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B96B14" w14:paraId="0F022E1F" w14:textId="77777777" w:rsidTr="001E1D53">
        <w:trPr>
          <w:cantSplit/>
          <w:trHeight w:val="1134"/>
        </w:trPr>
        <w:tc>
          <w:tcPr>
            <w:tcW w:w="6663" w:type="dxa"/>
          </w:tcPr>
          <w:p w14:paraId="4F3935F3" w14:textId="77777777" w:rsidR="00B96B14" w:rsidRDefault="00B96B14" w:rsidP="001E1D5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0D78604" w14:textId="77777777" w:rsidR="00B96B14" w:rsidRPr="00844A56" w:rsidRDefault="00B96B14" w:rsidP="001E1D53">
            <w:pPr>
              <w:spacing w:before="100" w:after="120"/>
              <w:ind w:left="34"/>
              <w:rPr>
                <w:rFonts w:ascii="Verdana" w:hAnsi="Verdana"/>
                <w:sz w:val="28"/>
                <w:szCs w:val="28"/>
              </w:rPr>
            </w:pPr>
            <w:r>
              <w:rPr>
                <w:b/>
                <w:bCs/>
                <w:sz w:val="26"/>
                <w:szCs w:val="26"/>
              </w:rPr>
              <w:t>2</w:t>
            </w:r>
            <w:r w:rsidRPr="001826EB">
              <w:rPr>
                <w:b/>
                <w:bCs/>
                <w:sz w:val="26"/>
                <w:szCs w:val="26"/>
                <w:lang w:val="en-US"/>
              </w:rPr>
              <w:t>5</w:t>
            </w:r>
            <w:proofErr w:type="spellStart"/>
            <w:r>
              <w:rPr>
                <w:b/>
                <w:bCs/>
                <w:sz w:val="26"/>
                <w:szCs w:val="26"/>
              </w:rPr>
              <w:t>th</w:t>
            </w:r>
            <w:proofErr w:type="spellEnd"/>
            <w:r>
              <w:rPr>
                <w:b/>
                <w:bCs/>
                <w:sz w:val="26"/>
                <w:szCs w:val="26"/>
              </w:rPr>
              <w:t xml:space="preserve"> Meeting, </w:t>
            </w:r>
            <w:r>
              <w:rPr>
                <w:b/>
                <w:bCs/>
                <w:sz w:val="26"/>
                <w:szCs w:val="26"/>
                <w:lang w:val="en-US"/>
              </w:rPr>
              <w:t>Geneva</w:t>
            </w:r>
            <w:r>
              <w:rPr>
                <w:b/>
                <w:bCs/>
                <w:sz w:val="26"/>
                <w:szCs w:val="26"/>
              </w:rPr>
              <w:t xml:space="preserve">, </w:t>
            </w:r>
            <w:r w:rsidRPr="001826EB">
              <w:rPr>
                <w:b/>
                <w:bCs/>
                <w:sz w:val="26"/>
                <w:szCs w:val="26"/>
                <w:lang w:val="en-US"/>
              </w:rPr>
              <w:t>2</w:t>
            </w:r>
            <w:r>
              <w:rPr>
                <w:b/>
                <w:bCs/>
                <w:sz w:val="26"/>
                <w:szCs w:val="26"/>
              </w:rPr>
              <w:t xml:space="preserve">-5 </w:t>
            </w:r>
            <w:r>
              <w:rPr>
                <w:b/>
                <w:bCs/>
                <w:sz w:val="26"/>
                <w:szCs w:val="26"/>
                <w:lang w:val="en-US"/>
              </w:rPr>
              <w:t>June</w:t>
            </w:r>
            <w:r>
              <w:rPr>
                <w:b/>
                <w:bCs/>
                <w:sz w:val="26"/>
                <w:szCs w:val="26"/>
              </w:rPr>
              <w:t xml:space="preserve"> 2020</w:t>
            </w:r>
          </w:p>
        </w:tc>
        <w:tc>
          <w:tcPr>
            <w:tcW w:w="3225" w:type="dxa"/>
          </w:tcPr>
          <w:p w14:paraId="473D2005" w14:textId="77777777" w:rsidR="00B96B14" w:rsidRPr="00683C32" w:rsidRDefault="00B96B14" w:rsidP="001E1D53">
            <w:pPr>
              <w:spacing w:before="0"/>
              <w:ind w:right="142"/>
              <w:jc w:val="right"/>
            </w:pPr>
            <w:r w:rsidRPr="008E52B1">
              <w:rPr>
                <w:noProof/>
                <w:color w:val="3399FF"/>
                <w:lang w:val="en-US"/>
              </w:rPr>
              <w:drawing>
                <wp:inline distT="0" distB="0" distL="0" distR="0" wp14:anchorId="607D8FD3" wp14:editId="4C0388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96B14" w:rsidRPr="00997358" w14:paraId="47D35CA8" w14:textId="77777777" w:rsidTr="001E1D53">
        <w:trPr>
          <w:cantSplit/>
        </w:trPr>
        <w:tc>
          <w:tcPr>
            <w:tcW w:w="6663" w:type="dxa"/>
            <w:tcBorders>
              <w:top w:val="single" w:sz="12" w:space="0" w:color="auto"/>
            </w:tcBorders>
          </w:tcPr>
          <w:p w14:paraId="61B0079E" w14:textId="77777777" w:rsidR="00B96B14" w:rsidRPr="00997358" w:rsidRDefault="00B96B14" w:rsidP="001E1D53">
            <w:pPr>
              <w:spacing w:before="0"/>
              <w:rPr>
                <w:rFonts w:cs="Arial"/>
                <w:b/>
                <w:bCs/>
                <w:sz w:val="20"/>
              </w:rPr>
            </w:pPr>
          </w:p>
        </w:tc>
        <w:tc>
          <w:tcPr>
            <w:tcW w:w="3225" w:type="dxa"/>
            <w:tcBorders>
              <w:top w:val="single" w:sz="12" w:space="0" w:color="auto"/>
            </w:tcBorders>
          </w:tcPr>
          <w:p w14:paraId="3921269E" w14:textId="06B45E9E" w:rsidR="00B96B14" w:rsidRPr="00997358" w:rsidRDefault="00196604" w:rsidP="001E1D53">
            <w:pPr>
              <w:spacing w:before="0"/>
              <w:rPr>
                <w:b/>
                <w:bCs/>
                <w:sz w:val="20"/>
              </w:rPr>
            </w:pPr>
            <w:r w:rsidRPr="00196604">
              <w:rPr>
                <w:b/>
                <w:bCs/>
                <w:szCs w:val="24"/>
              </w:rPr>
              <w:t>Revision 1 to</w:t>
            </w:r>
          </w:p>
        </w:tc>
      </w:tr>
      <w:tr w:rsidR="00B96B14" w:rsidRPr="00002716" w14:paraId="3BAF91DE" w14:textId="77777777" w:rsidTr="001E1D53">
        <w:trPr>
          <w:cantSplit/>
        </w:trPr>
        <w:tc>
          <w:tcPr>
            <w:tcW w:w="6663" w:type="dxa"/>
          </w:tcPr>
          <w:p w14:paraId="12966A08" w14:textId="77777777" w:rsidR="00B96B14" w:rsidRPr="007F1CC7" w:rsidRDefault="00B96B14" w:rsidP="001E1D53">
            <w:pPr>
              <w:pStyle w:val="Committee"/>
              <w:framePr w:hSpace="0" w:wrap="auto" w:hAnchor="text" w:yAlign="inline"/>
              <w:rPr>
                <w:b w:val="0"/>
              </w:rPr>
            </w:pPr>
          </w:p>
        </w:tc>
        <w:tc>
          <w:tcPr>
            <w:tcW w:w="3225" w:type="dxa"/>
          </w:tcPr>
          <w:p w14:paraId="2F6E75F2" w14:textId="1FF0FE19" w:rsidR="00B96B14" w:rsidRPr="00B96B14" w:rsidRDefault="00B96B14" w:rsidP="00394B64">
            <w:pPr>
              <w:spacing w:before="0"/>
              <w:rPr>
                <w:bCs/>
                <w:szCs w:val="24"/>
                <w:lang w:val="en-US"/>
              </w:rPr>
            </w:pPr>
            <w:r>
              <w:rPr>
                <w:b/>
                <w:bCs/>
                <w:lang w:val="en-US"/>
              </w:rPr>
              <w:t>Addendum</w:t>
            </w:r>
            <w:r w:rsidR="00394B64">
              <w:rPr>
                <w:b/>
                <w:bCs/>
                <w:lang w:val="en-US"/>
              </w:rPr>
              <w:t xml:space="preserve">1 </w:t>
            </w:r>
            <w:r>
              <w:rPr>
                <w:b/>
                <w:bCs/>
                <w:lang w:val="en-US"/>
              </w:rPr>
              <w:t xml:space="preserve">to </w:t>
            </w:r>
            <w:r w:rsidRPr="00002716">
              <w:rPr>
                <w:b/>
                <w:bCs/>
                <w:lang w:val="en-US"/>
              </w:rPr>
              <w:t>Document</w:t>
            </w:r>
            <w:bookmarkStart w:id="0" w:name="DocRef1"/>
            <w:bookmarkEnd w:id="0"/>
            <w:r>
              <w:rPr>
                <w:b/>
                <w:bCs/>
                <w:lang w:val="en-US"/>
              </w:rPr>
              <w:t>s TDAG-20</w:t>
            </w:r>
            <w:r w:rsidRPr="00A54E72">
              <w:rPr>
                <w:b/>
                <w:bCs/>
                <w:lang w:val="en-US"/>
              </w:rPr>
              <w:t>/</w:t>
            </w:r>
            <w:r>
              <w:rPr>
                <w:b/>
                <w:bCs/>
                <w:lang w:val="en-US"/>
              </w:rPr>
              <w:t xml:space="preserve">43-E and </w:t>
            </w:r>
            <w:r>
              <w:rPr>
                <w:b/>
                <w:bCs/>
                <w:lang w:val="en-US"/>
              </w:rPr>
              <w:br/>
              <w:t>TDAG-20</w:t>
            </w:r>
            <w:r w:rsidRPr="00A54E72">
              <w:rPr>
                <w:b/>
                <w:bCs/>
                <w:lang w:val="en-US"/>
              </w:rPr>
              <w:t>/</w:t>
            </w:r>
            <w:bookmarkStart w:id="1" w:name="DocNo1"/>
            <w:bookmarkEnd w:id="1"/>
            <w:r>
              <w:rPr>
                <w:b/>
                <w:bCs/>
                <w:lang w:val="en-US"/>
              </w:rPr>
              <w:t>44-E</w:t>
            </w:r>
          </w:p>
        </w:tc>
      </w:tr>
      <w:tr w:rsidR="00B96B14" w14:paraId="626F3A7E" w14:textId="77777777" w:rsidTr="001E1D53">
        <w:trPr>
          <w:cantSplit/>
        </w:trPr>
        <w:tc>
          <w:tcPr>
            <w:tcW w:w="6663" w:type="dxa"/>
          </w:tcPr>
          <w:p w14:paraId="597BBA07" w14:textId="77777777" w:rsidR="00B96B14" w:rsidRPr="007F1CC7" w:rsidRDefault="00B96B14" w:rsidP="001E1D53">
            <w:pPr>
              <w:spacing w:before="0"/>
              <w:rPr>
                <w:b/>
                <w:bCs/>
                <w:smallCaps/>
                <w:szCs w:val="24"/>
                <w:lang w:val="en-US"/>
              </w:rPr>
            </w:pPr>
          </w:p>
        </w:tc>
        <w:tc>
          <w:tcPr>
            <w:tcW w:w="3225" w:type="dxa"/>
          </w:tcPr>
          <w:p w14:paraId="7A9C8A36" w14:textId="4A6ECB53" w:rsidR="00B96B14" w:rsidRPr="007F1CC7" w:rsidRDefault="00B96B14" w:rsidP="001E1D53">
            <w:pPr>
              <w:spacing w:before="0"/>
              <w:rPr>
                <w:b/>
                <w:szCs w:val="24"/>
              </w:rPr>
            </w:pPr>
            <w:bookmarkStart w:id="2" w:name="CreationDate"/>
            <w:bookmarkEnd w:id="2"/>
            <w:r>
              <w:rPr>
                <w:b/>
                <w:bCs/>
                <w:szCs w:val="28"/>
              </w:rPr>
              <w:t>2</w:t>
            </w:r>
            <w:r w:rsidR="00196604">
              <w:rPr>
                <w:b/>
                <w:bCs/>
                <w:szCs w:val="28"/>
              </w:rPr>
              <w:t>6</w:t>
            </w:r>
            <w:r>
              <w:rPr>
                <w:b/>
                <w:bCs/>
                <w:szCs w:val="28"/>
              </w:rPr>
              <w:t xml:space="preserve"> May </w:t>
            </w:r>
            <w:r w:rsidRPr="008F5D48">
              <w:rPr>
                <w:b/>
                <w:bCs/>
                <w:szCs w:val="28"/>
              </w:rPr>
              <w:t>20</w:t>
            </w:r>
            <w:r>
              <w:rPr>
                <w:b/>
                <w:bCs/>
                <w:szCs w:val="28"/>
              </w:rPr>
              <w:t>20</w:t>
            </w:r>
          </w:p>
        </w:tc>
      </w:tr>
      <w:tr w:rsidR="00B96B14" w14:paraId="454A3E87" w14:textId="77777777" w:rsidTr="001E1D53">
        <w:trPr>
          <w:cantSplit/>
        </w:trPr>
        <w:tc>
          <w:tcPr>
            <w:tcW w:w="6663" w:type="dxa"/>
          </w:tcPr>
          <w:p w14:paraId="6023DDCC" w14:textId="77777777" w:rsidR="00B96B14" w:rsidRPr="007F1CC7" w:rsidRDefault="00B96B14" w:rsidP="001E1D53">
            <w:pPr>
              <w:spacing w:before="0"/>
              <w:rPr>
                <w:b/>
                <w:bCs/>
                <w:smallCaps/>
                <w:szCs w:val="24"/>
              </w:rPr>
            </w:pPr>
          </w:p>
        </w:tc>
        <w:tc>
          <w:tcPr>
            <w:tcW w:w="3225" w:type="dxa"/>
          </w:tcPr>
          <w:p w14:paraId="5B00B5C5" w14:textId="77777777" w:rsidR="00B96B14" w:rsidRPr="007F1CC7" w:rsidRDefault="00B96B14" w:rsidP="001E1D53">
            <w:pPr>
              <w:spacing w:before="0"/>
              <w:rPr>
                <w:szCs w:val="24"/>
              </w:rPr>
            </w:pPr>
            <w:r>
              <w:rPr>
                <w:b/>
                <w:bCs/>
                <w:szCs w:val="24"/>
                <w:lang w:val="fr-FR"/>
              </w:rPr>
              <w:t>English only</w:t>
            </w:r>
          </w:p>
        </w:tc>
      </w:tr>
      <w:tr w:rsidR="00B96B14" w14:paraId="571F0E93" w14:textId="77777777" w:rsidTr="001E1D53">
        <w:trPr>
          <w:cantSplit/>
          <w:trHeight w:val="852"/>
        </w:trPr>
        <w:tc>
          <w:tcPr>
            <w:tcW w:w="9888" w:type="dxa"/>
            <w:gridSpan w:val="2"/>
          </w:tcPr>
          <w:p w14:paraId="4C4D9377" w14:textId="77777777" w:rsidR="00B96B14" w:rsidRPr="00B62876" w:rsidRDefault="00B96B14" w:rsidP="001E1D53">
            <w:pPr>
              <w:pStyle w:val="Source"/>
              <w:spacing w:before="240" w:after="240"/>
            </w:pPr>
            <w:bookmarkStart w:id="3" w:name="Source"/>
            <w:bookmarkEnd w:id="3"/>
            <w:r w:rsidRPr="00CD7E72">
              <w:t>Russian Federation</w:t>
            </w:r>
          </w:p>
        </w:tc>
      </w:tr>
      <w:tr w:rsidR="00B96B14" w:rsidRPr="002E6963" w14:paraId="6E74CDF0" w14:textId="77777777" w:rsidTr="001E1D53">
        <w:trPr>
          <w:cantSplit/>
        </w:trPr>
        <w:tc>
          <w:tcPr>
            <w:tcW w:w="9888" w:type="dxa"/>
            <w:gridSpan w:val="2"/>
            <w:vAlign w:val="center"/>
          </w:tcPr>
          <w:p w14:paraId="5D7F0F24" w14:textId="77777777" w:rsidR="00B96B14" w:rsidRPr="0063004D" w:rsidRDefault="00B96B14" w:rsidP="001E1D53">
            <w:pPr>
              <w:pStyle w:val="Title1"/>
              <w:spacing w:before="120" w:after="120"/>
              <w:rPr>
                <w:lang w:val="en-US"/>
              </w:rPr>
            </w:pPr>
            <w:bookmarkStart w:id="4" w:name="Title"/>
            <w:bookmarkEnd w:id="4"/>
            <w:r>
              <w:rPr>
                <w:bCs/>
                <w:lang w:val="en-US"/>
              </w:rPr>
              <w:t>Addendum</w:t>
            </w:r>
            <w:r w:rsidRPr="00B02014">
              <w:rPr>
                <w:bCs/>
                <w:lang w:val="en-US"/>
              </w:rPr>
              <w:t xml:space="preserve"> to </w:t>
            </w:r>
            <w:r w:rsidRPr="00002716">
              <w:rPr>
                <w:bCs/>
                <w:lang w:val="en-US"/>
              </w:rPr>
              <w:t>Document</w:t>
            </w:r>
            <w:r>
              <w:rPr>
                <w:bCs/>
                <w:lang w:val="en-US"/>
              </w:rPr>
              <w:t>s</w:t>
            </w:r>
            <w:r w:rsidRPr="00A54E72">
              <w:rPr>
                <w:bCs/>
                <w:lang w:val="en-US"/>
              </w:rPr>
              <w:t xml:space="preserve"> </w:t>
            </w:r>
            <w:r w:rsidRPr="00A6503E">
              <w:rPr>
                <w:bCs/>
              </w:rPr>
              <w:t>TDAG-20/</w:t>
            </w:r>
            <w:r>
              <w:rPr>
                <w:bCs/>
              </w:rPr>
              <w:t>43</w:t>
            </w:r>
            <w:r w:rsidRPr="006D42D8">
              <w:rPr>
                <w:bCs/>
                <w:lang w:val="en-US"/>
              </w:rPr>
              <w:t xml:space="preserve"> </w:t>
            </w:r>
            <w:r>
              <w:rPr>
                <w:bCs/>
                <w:lang w:val="en-US"/>
              </w:rPr>
              <w:t>and TDAG-20/44</w:t>
            </w:r>
          </w:p>
        </w:tc>
      </w:tr>
      <w:tr w:rsidR="00B96B14" w:rsidRPr="002E6963" w14:paraId="2702707F" w14:textId="77777777" w:rsidTr="001E1D53">
        <w:trPr>
          <w:cantSplit/>
        </w:trPr>
        <w:tc>
          <w:tcPr>
            <w:tcW w:w="9888" w:type="dxa"/>
            <w:gridSpan w:val="2"/>
            <w:tcBorders>
              <w:bottom w:val="single" w:sz="4" w:space="0" w:color="auto"/>
            </w:tcBorders>
          </w:tcPr>
          <w:p w14:paraId="120D65AE" w14:textId="77777777" w:rsidR="00B96B14" w:rsidRPr="00A721F4" w:rsidRDefault="00B96B14" w:rsidP="001E1D53"/>
        </w:tc>
      </w:tr>
      <w:tr w:rsidR="00B96B14" w:rsidRPr="002E6963" w14:paraId="3232763A" w14:textId="77777777" w:rsidTr="001E1D53">
        <w:trPr>
          <w:cantSplit/>
        </w:trPr>
        <w:tc>
          <w:tcPr>
            <w:tcW w:w="9888" w:type="dxa"/>
            <w:gridSpan w:val="2"/>
            <w:tcBorders>
              <w:top w:val="single" w:sz="4" w:space="0" w:color="auto"/>
              <w:left w:val="single" w:sz="4" w:space="0" w:color="auto"/>
              <w:bottom w:val="single" w:sz="4" w:space="0" w:color="auto"/>
              <w:right w:val="single" w:sz="4" w:space="0" w:color="auto"/>
            </w:tcBorders>
          </w:tcPr>
          <w:p w14:paraId="23A27907" w14:textId="77777777" w:rsidR="00B96B14" w:rsidRDefault="00B96B14" w:rsidP="001E1D53">
            <w:pPr>
              <w:rPr>
                <w:szCs w:val="24"/>
              </w:rPr>
            </w:pPr>
            <w:r w:rsidRPr="00DC0380">
              <w:rPr>
                <w:b/>
                <w:bCs/>
                <w:szCs w:val="24"/>
              </w:rPr>
              <w:t>Summary:</w:t>
            </w:r>
            <w:r>
              <w:rPr>
                <w:szCs w:val="24"/>
              </w:rPr>
              <w:t xml:space="preserve"> </w:t>
            </w:r>
          </w:p>
          <w:p w14:paraId="2B09C08F" w14:textId="377A7341" w:rsidR="00B96B14" w:rsidRDefault="00B96B14" w:rsidP="001E1D53">
            <w:pPr>
              <w:rPr>
                <w:szCs w:val="24"/>
              </w:rPr>
            </w:pPr>
            <w:r w:rsidRPr="00D810C3">
              <w:rPr>
                <w:szCs w:val="24"/>
              </w:rPr>
              <w:t>The document presents</w:t>
            </w:r>
            <w:r>
              <w:t xml:space="preserve"> </w:t>
            </w:r>
            <w:r w:rsidR="00DD6F9D">
              <w:t xml:space="preserve">Revision 1 to </w:t>
            </w:r>
            <w:r w:rsidR="00394B64">
              <w:t xml:space="preserve">the </w:t>
            </w:r>
            <w:r w:rsidRPr="00A5079F">
              <w:rPr>
                <w:szCs w:val="24"/>
              </w:rPr>
              <w:t>Addendum to Documents TDAG-20/43 and TDAG-20/44</w:t>
            </w:r>
            <w:r>
              <w:rPr>
                <w:szCs w:val="24"/>
              </w:rPr>
              <w:t xml:space="preserve"> containing Terms of Reference for TDAG Correspondence Groups proposed in abovementioned documents</w:t>
            </w:r>
            <w:r w:rsidRPr="00D810C3">
              <w:rPr>
                <w:szCs w:val="24"/>
              </w:rPr>
              <w:t>.</w:t>
            </w:r>
          </w:p>
          <w:p w14:paraId="302CFE93" w14:textId="77777777" w:rsidR="00B96B14" w:rsidRDefault="00B96B14" w:rsidP="001E1D53">
            <w:pPr>
              <w:rPr>
                <w:b/>
                <w:bCs/>
                <w:szCs w:val="24"/>
              </w:rPr>
            </w:pPr>
            <w:r w:rsidRPr="00DC0380">
              <w:rPr>
                <w:b/>
                <w:bCs/>
                <w:szCs w:val="24"/>
              </w:rPr>
              <w:t>Action required:</w:t>
            </w:r>
          </w:p>
          <w:p w14:paraId="492F11F6" w14:textId="1F597521" w:rsidR="00B96B14" w:rsidRPr="000A592B" w:rsidRDefault="00B96B14" w:rsidP="001E1D53">
            <w:pPr>
              <w:rPr>
                <w:bCs/>
                <w:szCs w:val="24"/>
              </w:rPr>
            </w:pPr>
            <w:r w:rsidRPr="000A592B">
              <w:rPr>
                <w:bCs/>
                <w:szCs w:val="24"/>
              </w:rPr>
              <w:t>TDAG is invited to consider document</w:t>
            </w:r>
            <w:r w:rsidR="00394B64">
              <w:rPr>
                <w:bCs/>
                <w:szCs w:val="24"/>
              </w:rPr>
              <w:t>s 43 and 44</w:t>
            </w:r>
            <w:r w:rsidRPr="000A592B">
              <w:rPr>
                <w:bCs/>
                <w:szCs w:val="24"/>
              </w:rPr>
              <w:t xml:space="preserve"> and support the proposals contained therein.</w:t>
            </w:r>
          </w:p>
          <w:p w14:paraId="2DD0EBED" w14:textId="77777777" w:rsidR="00B96B14" w:rsidRDefault="00B96B14" w:rsidP="001E1D53">
            <w:pPr>
              <w:rPr>
                <w:b/>
                <w:bCs/>
                <w:szCs w:val="24"/>
              </w:rPr>
            </w:pPr>
            <w:r w:rsidRPr="00DC0380">
              <w:rPr>
                <w:b/>
                <w:bCs/>
                <w:szCs w:val="24"/>
              </w:rPr>
              <w:t>References:</w:t>
            </w:r>
          </w:p>
          <w:p w14:paraId="42F7A99B" w14:textId="77777777" w:rsidR="00B96B14" w:rsidRPr="000A592B" w:rsidRDefault="00B96B14" w:rsidP="001E1D53">
            <w:pPr>
              <w:spacing w:after="120"/>
              <w:jc w:val="both"/>
            </w:pPr>
            <w:r>
              <w:rPr>
                <w:bCs/>
                <w:szCs w:val="24"/>
              </w:rPr>
              <w:t xml:space="preserve">Documents </w:t>
            </w:r>
            <w:hyperlink r:id="rId8" w:history="1">
              <w:r w:rsidRPr="00A5079F">
                <w:rPr>
                  <w:rStyle w:val="Hyperlink"/>
                  <w:szCs w:val="24"/>
                </w:rPr>
                <w:t>TDAG-20/43</w:t>
              </w:r>
            </w:hyperlink>
            <w:r>
              <w:rPr>
                <w:szCs w:val="24"/>
              </w:rPr>
              <w:t xml:space="preserve">, </w:t>
            </w:r>
            <w:hyperlink r:id="rId9" w:history="1">
              <w:r>
                <w:rPr>
                  <w:rStyle w:val="Hyperlink"/>
                  <w:szCs w:val="24"/>
                </w:rPr>
                <w:t>TDAG-20/44</w:t>
              </w:r>
            </w:hyperlink>
          </w:p>
        </w:tc>
      </w:tr>
    </w:tbl>
    <w:p w14:paraId="54EE5D85" w14:textId="77777777" w:rsidR="00B96B14" w:rsidRPr="00083760" w:rsidRDefault="00B96B14" w:rsidP="00B96B14">
      <w:pPr>
        <w:pStyle w:val="Heading1"/>
        <w:numPr>
          <w:ilvl w:val="0"/>
          <w:numId w:val="7"/>
        </w:numPr>
        <w:tabs>
          <w:tab w:val="clear" w:pos="794"/>
          <w:tab w:val="clear" w:pos="1191"/>
          <w:tab w:val="left" w:pos="0"/>
          <w:tab w:val="left" w:pos="709"/>
        </w:tabs>
        <w:spacing w:before="120" w:after="120"/>
        <w:ind w:left="357" w:hanging="357"/>
        <w:jc w:val="both"/>
        <w:rPr>
          <w:rFonts w:asciiTheme="minorHAnsi" w:eastAsiaTheme="majorEastAsia" w:hAnsiTheme="minorHAnsi" w:cstheme="minorHAnsi"/>
          <w:color w:val="000000" w:themeColor="text1"/>
          <w:sz w:val="24"/>
          <w:szCs w:val="24"/>
          <w:lang w:val="en-US"/>
        </w:rPr>
      </w:pPr>
      <w:r w:rsidRPr="00083760">
        <w:rPr>
          <w:rFonts w:asciiTheme="minorHAnsi" w:hAnsiTheme="minorHAnsi" w:cstheme="minorHAnsi"/>
          <w:color w:val="000000" w:themeColor="text1"/>
          <w:sz w:val="24"/>
          <w:szCs w:val="24"/>
          <w:lang w:val="en-US"/>
        </w:rPr>
        <w:t>Introduction</w:t>
      </w:r>
    </w:p>
    <w:p w14:paraId="578697F9" w14:textId="6663719C" w:rsidR="00B96B14" w:rsidRPr="00950AD8" w:rsidRDefault="00B96B14" w:rsidP="00895841">
      <w:pPr>
        <w:rPr>
          <w:rFonts w:asciiTheme="minorHAnsi" w:eastAsiaTheme="majorEastAsia" w:hAnsiTheme="minorHAnsi" w:cstheme="minorHAnsi"/>
          <w:color w:val="000000" w:themeColor="text1"/>
          <w:szCs w:val="24"/>
          <w:lang w:val="en-US"/>
        </w:rPr>
      </w:pPr>
      <w:r w:rsidRPr="00950AD8">
        <w:rPr>
          <w:rFonts w:asciiTheme="minorHAnsi" w:eastAsiaTheme="majorEastAsia" w:hAnsiTheme="minorHAnsi" w:cstheme="minorHAnsi"/>
          <w:color w:val="000000" w:themeColor="text1"/>
          <w:szCs w:val="24"/>
          <w:lang w:val="en-US"/>
        </w:rPr>
        <w:t xml:space="preserve">Following the proposals and explanations on the need of creating TDAG Correspondence Groups for the fostering WTDC-21 preparatory process provided in Documents </w:t>
      </w:r>
      <w:hyperlink r:id="rId10" w:history="1">
        <w:r w:rsidR="00196604" w:rsidRPr="00A5079F">
          <w:rPr>
            <w:rStyle w:val="Hyperlink"/>
            <w:szCs w:val="24"/>
          </w:rPr>
          <w:t>TDAG-20/43</w:t>
        </w:r>
      </w:hyperlink>
      <w:r w:rsidR="00196604">
        <w:rPr>
          <w:szCs w:val="24"/>
        </w:rPr>
        <w:t xml:space="preserve"> </w:t>
      </w:r>
      <w:r w:rsidRPr="00950AD8">
        <w:rPr>
          <w:color w:val="000000" w:themeColor="text1"/>
          <w:szCs w:val="24"/>
        </w:rPr>
        <w:t>and</w:t>
      </w:r>
      <w:r w:rsidR="00196604">
        <w:rPr>
          <w:color w:val="000000" w:themeColor="text1"/>
          <w:szCs w:val="24"/>
        </w:rPr>
        <w:t xml:space="preserve"> </w:t>
      </w:r>
      <w:hyperlink r:id="rId11" w:history="1">
        <w:r w:rsidR="00196604">
          <w:rPr>
            <w:rStyle w:val="Hyperlink"/>
            <w:szCs w:val="24"/>
          </w:rPr>
          <w:t>TDAG-20/44</w:t>
        </w:r>
      </w:hyperlink>
      <w:r w:rsidRPr="00950AD8">
        <w:rPr>
          <w:color w:val="000000" w:themeColor="text1"/>
          <w:szCs w:val="24"/>
        </w:rPr>
        <w:t>, Russian Federation proposes draft Terms of References for mentioned groups as Addendum to certain documents.</w:t>
      </w:r>
    </w:p>
    <w:p w14:paraId="6181116F" w14:textId="77777777" w:rsidR="00B96B14" w:rsidRPr="00083760" w:rsidRDefault="00B96B14" w:rsidP="00B96B14">
      <w:pPr>
        <w:pStyle w:val="Heading1"/>
        <w:numPr>
          <w:ilvl w:val="0"/>
          <w:numId w:val="7"/>
        </w:numPr>
        <w:tabs>
          <w:tab w:val="clear" w:pos="794"/>
          <w:tab w:val="clear" w:pos="1191"/>
          <w:tab w:val="left" w:pos="0"/>
          <w:tab w:val="left" w:pos="709"/>
        </w:tabs>
        <w:spacing w:before="120" w:after="120"/>
        <w:ind w:left="357" w:hanging="357"/>
        <w:jc w:val="both"/>
        <w:rPr>
          <w:rFonts w:asciiTheme="minorHAnsi" w:hAnsiTheme="minorHAnsi" w:cstheme="minorHAnsi"/>
          <w:color w:val="000000" w:themeColor="text1"/>
          <w:sz w:val="24"/>
          <w:szCs w:val="24"/>
          <w:lang w:val="en-US"/>
        </w:rPr>
      </w:pPr>
      <w:r w:rsidRPr="00950AD8">
        <w:rPr>
          <w:rFonts w:asciiTheme="minorHAnsi" w:hAnsiTheme="minorHAnsi" w:cstheme="minorHAnsi"/>
          <w:color w:val="000000" w:themeColor="text1"/>
          <w:sz w:val="24"/>
          <w:szCs w:val="24"/>
          <w:lang w:val="en-US"/>
        </w:rPr>
        <w:t>Proposals</w:t>
      </w:r>
    </w:p>
    <w:p w14:paraId="2F86B155" w14:textId="67656256" w:rsidR="00B96B14" w:rsidRPr="00950AD8" w:rsidRDefault="00394B64" w:rsidP="00895841">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asciiTheme="minorHAnsi" w:hAnsiTheme="minorHAnsi" w:cstheme="minorHAnsi"/>
          <w:b/>
          <w:color w:val="000000" w:themeColor="text1"/>
          <w:szCs w:val="24"/>
        </w:rPr>
      </w:pPr>
      <w:r>
        <w:rPr>
          <w:color w:val="000000" w:themeColor="text1"/>
          <w:szCs w:val="24"/>
        </w:rPr>
        <w:t>Draft Terms of Reference</w:t>
      </w:r>
      <w:r w:rsidR="00B96B14" w:rsidRPr="00950AD8">
        <w:rPr>
          <w:color w:val="000000" w:themeColor="text1"/>
          <w:szCs w:val="24"/>
        </w:rPr>
        <w:t xml:space="preserve"> of TDAG Correspondence groups provided in the Annex</w:t>
      </w:r>
      <w:r w:rsidR="00B96B14">
        <w:rPr>
          <w:color w:val="000000" w:themeColor="text1"/>
          <w:szCs w:val="24"/>
        </w:rPr>
        <w:t>.</w:t>
      </w:r>
    </w:p>
    <w:p w14:paraId="5D4DD3D5" w14:textId="77777777" w:rsidR="00B96B14" w:rsidRDefault="00B96B14" w:rsidP="00B96B14">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cstheme="minorHAnsi"/>
          <w:b/>
          <w:color w:val="000000" w:themeColor="text1"/>
          <w:szCs w:val="24"/>
        </w:rPr>
      </w:pPr>
      <w:r>
        <w:rPr>
          <w:rFonts w:asciiTheme="minorHAnsi" w:hAnsiTheme="minorHAnsi" w:cstheme="minorHAnsi"/>
          <w:color w:val="000000" w:themeColor="text1"/>
          <w:szCs w:val="24"/>
        </w:rPr>
        <w:br w:type="page"/>
      </w:r>
    </w:p>
    <w:p w14:paraId="45137F86" w14:textId="177B1283" w:rsidR="00B96B14" w:rsidRPr="00196604" w:rsidRDefault="00B96B14" w:rsidP="00196604">
      <w:pPr>
        <w:pStyle w:val="Annextitle"/>
        <w:spacing w:before="120" w:after="120"/>
        <w:jc w:val="left"/>
        <w:rPr>
          <w:rFonts w:asciiTheme="minorHAnsi" w:hAnsiTheme="minorHAnsi" w:cstheme="minorHAnsi"/>
          <w:szCs w:val="24"/>
        </w:rPr>
      </w:pPr>
      <w:r w:rsidRPr="00196604">
        <w:rPr>
          <w:rFonts w:asciiTheme="minorHAnsi" w:hAnsiTheme="minorHAnsi" w:cstheme="minorHAnsi"/>
          <w:color w:val="000000" w:themeColor="text1"/>
          <w:sz w:val="24"/>
          <w:szCs w:val="24"/>
        </w:rPr>
        <w:lastRenderedPageBreak/>
        <w:t>Annex</w:t>
      </w:r>
    </w:p>
    <w:p w14:paraId="18100336" w14:textId="77777777" w:rsidR="00F44CF1" w:rsidRPr="00196604" w:rsidRDefault="00F44CF1" w:rsidP="00196604">
      <w:pPr>
        <w:spacing w:after="120"/>
        <w:jc w:val="center"/>
        <w:rPr>
          <w:rFonts w:asciiTheme="minorHAnsi" w:hAnsiTheme="minorHAnsi" w:cstheme="minorHAnsi"/>
          <w:b/>
          <w:bCs/>
          <w:szCs w:val="24"/>
        </w:rPr>
      </w:pPr>
      <w:r w:rsidRPr="00196604">
        <w:rPr>
          <w:rFonts w:asciiTheme="minorHAnsi" w:hAnsiTheme="minorHAnsi" w:cstheme="minorHAnsi"/>
          <w:b/>
          <w:bCs/>
          <w:szCs w:val="24"/>
        </w:rPr>
        <w:t>TDAG Working Group on WTDC Reform</w:t>
      </w:r>
    </w:p>
    <w:p w14:paraId="3957E5B1" w14:textId="77777777" w:rsidR="00F44CF1" w:rsidRPr="00196604" w:rsidRDefault="00F44CF1" w:rsidP="00196604">
      <w:pPr>
        <w:spacing w:after="120"/>
        <w:jc w:val="center"/>
        <w:rPr>
          <w:rFonts w:asciiTheme="minorHAnsi" w:hAnsiTheme="minorHAnsi" w:cstheme="minorHAnsi"/>
          <w:b/>
          <w:bCs/>
          <w:szCs w:val="24"/>
        </w:rPr>
      </w:pPr>
      <w:r w:rsidRPr="00196604">
        <w:rPr>
          <w:rFonts w:asciiTheme="minorHAnsi" w:hAnsiTheme="minorHAnsi" w:cstheme="minorHAnsi"/>
          <w:b/>
          <w:bCs/>
          <w:szCs w:val="24"/>
        </w:rPr>
        <w:t>Proposed Terms of Reference</w:t>
      </w:r>
    </w:p>
    <w:p w14:paraId="12DCA479" w14:textId="77777777" w:rsidR="00F44CF1" w:rsidRPr="00196604" w:rsidRDefault="00F44CF1" w:rsidP="00196604">
      <w:pPr>
        <w:spacing w:after="120"/>
        <w:rPr>
          <w:rFonts w:asciiTheme="minorHAnsi" w:hAnsiTheme="minorHAnsi" w:cstheme="minorHAnsi"/>
          <w:color w:val="000000" w:themeColor="text1"/>
          <w:szCs w:val="24"/>
        </w:rPr>
      </w:pPr>
      <w:r w:rsidRPr="00196604">
        <w:rPr>
          <w:rFonts w:asciiTheme="minorHAnsi" w:hAnsiTheme="minorHAnsi" w:cstheme="minorHAnsi"/>
          <w:color w:val="000000" w:themeColor="text1"/>
          <w:szCs w:val="24"/>
        </w:rPr>
        <w:t xml:space="preserve">On the basis of contributions from Member States, Sector Members and others to TDAG-20, as well as the results of the two Web Dialogues on WTDC Reform, it is clear that there are several actions which TDAG can undertake which will be necessary for the achievement of a successful WTDC-21. Accordingly, it is proposed that a dedicated TDAG Working Group be established with the following terms of reference: </w:t>
      </w:r>
    </w:p>
    <w:p w14:paraId="359E6FE1" w14:textId="77777777" w:rsidR="00F44CF1" w:rsidRPr="00196604" w:rsidRDefault="00F44CF1" w:rsidP="00394B64">
      <w:pPr>
        <w:pStyle w:val="NormalWeb"/>
        <w:numPr>
          <w:ilvl w:val="0"/>
          <w:numId w:val="8"/>
        </w:numPr>
        <w:spacing w:before="120" w:beforeAutospacing="0" w:after="120" w:afterAutospacing="0"/>
        <w:ind w:left="567" w:hanging="567"/>
        <w:rPr>
          <w:rFonts w:asciiTheme="minorHAnsi" w:eastAsiaTheme="minorEastAsia" w:hAnsiTheme="minorHAnsi" w:cstheme="minorHAnsi"/>
          <w:color w:val="000000" w:themeColor="text1"/>
          <w:kern w:val="24"/>
        </w:rPr>
      </w:pPr>
      <w:r w:rsidRPr="00196604">
        <w:rPr>
          <w:rFonts w:asciiTheme="minorHAnsi" w:eastAsiaTheme="minorEastAsia" w:hAnsiTheme="minorHAnsi" w:cstheme="minorHAnsi"/>
          <w:color w:val="000000" w:themeColor="text1"/>
          <w:kern w:val="24"/>
        </w:rPr>
        <w:t xml:space="preserve">To review WTDC preliminary proposals, which were discussed during the two TDAG web dialogues on WTDC reform held in March and April 2020 and during </w:t>
      </w:r>
      <w:hyperlink r:id="rId12" w:history="1">
        <w:r w:rsidRPr="00196604">
          <w:rPr>
            <w:rFonts w:asciiTheme="minorHAnsi" w:eastAsiaTheme="minorEastAsia" w:hAnsiTheme="minorHAnsi" w:cstheme="minorHAnsi"/>
            <w:color w:val="000000" w:themeColor="text1"/>
            <w:kern w:val="24"/>
          </w:rPr>
          <w:t>TDAG-20 virtual meeting, 2-5 June 2020</w:t>
        </w:r>
      </w:hyperlink>
      <w:r w:rsidRPr="00196604">
        <w:rPr>
          <w:rFonts w:asciiTheme="minorHAnsi" w:eastAsiaTheme="minorEastAsia" w:hAnsiTheme="minorHAnsi" w:cstheme="minorHAnsi"/>
          <w:color w:val="000000" w:themeColor="text1"/>
          <w:kern w:val="24"/>
        </w:rPr>
        <w:t>.</w:t>
      </w:r>
    </w:p>
    <w:p w14:paraId="1A36CDE0" w14:textId="77777777" w:rsidR="00F44CF1" w:rsidRPr="00196604" w:rsidRDefault="00F44CF1" w:rsidP="00394B64">
      <w:pPr>
        <w:pStyle w:val="NormalWeb"/>
        <w:numPr>
          <w:ilvl w:val="0"/>
          <w:numId w:val="8"/>
        </w:numPr>
        <w:spacing w:before="120" w:beforeAutospacing="0" w:after="120" w:afterAutospacing="0"/>
        <w:ind w:left="567" w:hanging="567"/>
        <w:rPr>
          <w:rFonts w:asciiTheme="minorHAnsi" w:eastAsiaTheme="minorEastAsia" w:hAnsiTheme="minorHAnsi" w:cstheme="minorHAnsi"/>
          <w:color w:val="000000" w:themeColor="text1"/>
          <w:kern w:val="24"/>
        </w:rPr>
      </w:pPr>
      <w:r w:rsidRPr="00196604">
        <w:rPr>
          <w:rFonts w:asciiTheme="minorHAnsi" w:eastAsiaTheme="minorEastAsia" w:hAnsiTheme="minorHAnsi" w:cstheme="minorHAnsi"/>
          <w:color w:val="000000" w:themeColor="text1"/>
          <w:kern w:val="24"/>
        </w:rPr>
        <w:t>Develop proposals for structural arrangements by the role and interaction between RTO preparations, RPMs and inter-regional meetings, in terms of efficiency, effectiveness and economy, for undertaking the preparations for WTDC-21, taking into account the preparations underway in the regional telecommunication organizations (RTOs).</w:t>
      </w:r>
    </w:p>
    <w:p w14:paraId="4384DAA0" w14:textId="77777777" w:rsidR="00F44CF1" w:rsidRPr="00196604" w:rsidRDefault="00F44CF1" w:rsidP="00394B64">
      <w:pPr>
        <w:pStyle w:val="NormalWeb"/>
        <w:numPr>
          <w:ilvl w:val="0"/>
          <w:numId w:val="8"/>
        </w:numPr>
        <w:spacing w:before="120" w:beforeAutospacing="0" w:after="120" w:afterAutospacing="0"/>
        <w:ind w:left="567" w:hanging="567"/>
        <w:rPr>
          <w:rFonts w:asciiTheme="minorHAnsi" w:eastAsiaTheme="minorEastAsia" w:hAnsiTheme="minorHAnsi" w:cstheme="minorHAnsi"/>
          <w:color w:val="000000" w:themeColor="text1"/>
          <w:kern w:val="24"/>
        </w:rPr>
      </w:pPr>
      <w:r w:rsidRPr="00196604">
        <w:rPr>
          <w:rFonts w:asciiTheme="minorHAnsi" w:hAnsiTheme="minorHAnsi" w:cstheme="minorHAnsi"/>
          <w:color w:val="000000" w:themeColor="text1"/>
        </w:rPr>
        <w:t xml:space="preserve">Consider proposals from RTOs for regional priorities reflected in regional initiatives for the purpose of focusing on issues which create wider interest, lead to financing and proper implementation by BDT in all of the regions. </w:t>
      </w:r>
    </w:p>
    <w:p w14:paraId="5AC3F434" w14:textId="77777777" w:rsidR="00F44CF1" w:rsidRPr="00196604" w:rsidRDefault="00F44CF1" w:rsidP="00394B64">
      <w:pPr>
        <w:pStyle w:val="NormalWeb"/>
        <w:numPr>
          <w:ilvl w:val="0"/>
          <w:numId w:val="8"/>
        </w:numPr>
        <w:spacing w:before="120" w:beforeAutospacing="0" w:after="120" w:afterAutospacing="0"/>
        <w:ind w:left="567" w:hanging="567"/>
        <w:rPr>
          <w:rFonts w:asciiTheme="minorHAnsi" w:hAnsiTheme="minorHAnsi" w:cstheme="minorHAnsi"/>
          <w:color w:val="000000" w:themeColor="text1"/>
        </w:rPr>
      </w:pPr>
      <w:r w:rsidRPr="00196604">
        <w:rPr>
          <w:rFonts w:asciiTheme="minorHAnsi" w:hAnsiTheme="minorHAnsi" w:cstheme="minorHAnsi"/>
          <w:color w:val="000000" w:themeColor="text1"/>
        </w:rPr>
        <w:t>Propose changes for repurposing the high-level policy statement process and Side Events to thematic events and development tracks to address development challenges, as well as development funding and enhanced partnerships.</w:t>
      </w:r>
    </w:p>
    <w:p w14:paraId="2A7C650E" w14:textId="77777777" w:rsidR="00F44CF1" w:rsidRPr="00196604" w:rsidRDefault="00F44CF1" w:rsidP="00394B64">
      <w:pPr>
        <w:pStyle w:val="NormalWeb"/>
        <w:numPr>
          <w:ilvl w:val="0"/>
          <w:numId w:val="8"/>
        </w:numPr>
        <w:spacing w:before="120" w:beforeAutospacing="0" w:after="120" w:afterAutospacing="0"/>
        <w:ind w:left="567" w:hanging="567"/>
        <w:rPr>
          <w:rFonts w:asciiTheme="minorHAnsi" w:hAnsiTheme="minorHAnsi" w:cstheme="minorHAnsi"/>
          <w:color w:val="000000" w:themeColor="text1"/>
        </w:rPr>
      </w:pPr>
      <w:r w:rsidRPr="00196604">
        <w:rPr>
          <w:rFonts w:asciiTheme="minorHAnsi" w:hAnsiTheme="minorHAnsi" w:cstheme="minorHAnsi"/>
          <w:color w:val="000000" w:themeColor="text1"/>
        </w:rPr>
        <w:t>Propose strategies for assisting Member States prepare inputs for WTDC-21.</w:t>
      </w:r>
    </w:p>
    <w:p w14:paraId="013D8EB9" w14:textId="77777777" w:rsidR="00F44CF1" w:rsidRPr="00196604" w:rsidRDefault="00F44CF1" w:rsidP="00394B64">
      <w:pPr>
        <w:pStyle w:val="NormalWeb"/>
        <w:numPr>
          <w:ilvl w:val="0"/>
          <w:numId w:val="8"/>
        </w:numPr>
        <w:spacing w:before="120" w:beforeAutospacing="0" w:after="120" w:afterAutospacing="0"/>
        <w:ind w:left="567" w:hanging="567"/>
        <w:rPr>
          <w:rFonts w:asciiTheme="minorHAnsi" w:hAnsiTheme="minorHAnsi" w:cstheme="minorHAnsi"/>
          <w:color w:val="000000" w:themeColor="text1"/>
        </w:rPr>
      </w:pPr>
      <w:r w:rsidRPr="00196604">
        <w:rPr>
          <w:rFonts w:asciiTheme="minorHAnsi" w:hAnsiTheme="minorHAnsi" w:cstheme="minorHAnsi"/>
          <w:color w:val="000000" w:themeColor="text1"/>
        </w:rPr>
        <w:t>Consider and propose actions necessary for enhancing the participation at WTDC-21 of the right stakeholders (e.g., problem owners, solution owners, fund owners and beneficiaries) at WTDC-21.</w:t>
      </w:r>
    </w:p>
    <w:p w14:paraId="3199115F" w14:textId="77777777" w:rsidR="00F44CF1" w:rsidRPr="00196604" w:rsidRDefault="00F44CF1" w:rsidP="00394B64">
      <w:pPr>
        <w:pStyle w:val="NormalWeb"/>
        <w:numPr>
          <w:ilvl w:val="0"/>
          <w:numId w:val="8"/>
        </w:numPr>
        <w:spacing w:before="120" w:beforeAutospacing="0" w:after="120" w:afterAutospacing="0"/>
        <w:ind w:left="567" w:hanging="567"/>
        <w:rPr>
          <w:rFonts w:asciiTheme="minorHAnsi" w:hAnsiTheme="minorHAnsi" w:cstheme="minorHAnsi"/>
          <w:color w:val="000000" w:themeColor="text1"/>
        </w:rPr>
      </w:pPr>
      <w:r w:rsidRPr="00196604">
        <w:rPr>
          <w:rFonts w:asciiTheme="minorHAnsi" w:hAnsiTheme="minorHAnsi" w:cstheme="minorHAnsi"/>
          <w:color w:val="000000" w:themeColor="text1"/>
        </w:rPr>
        <w:t>Identify the elements associated with the elaboration of the draft Declaration as the blueprint for the implementation of the Action Plan.</w:t>
      </w:r>
    </w:p>
    <w:p w14:paraId="583C2BE6" w14:textId="08BB9C63" w:rsidR="00F44CF1" w:rsidRPr="00196604" w:rsidRDefault="00F44CF1" w:rsidP="00394B64">
      <w:pPr>
        <w:pStyle w:val="NormalWeb"/>
        <w:numPr>
          <w:ilvl w:val="0"/>
          <w:numId w:val="8"/>
        </w:numPr>
        <w:spacing w:before="120" w:beforeAutospacing="0" w:after="120" w:afterAutospacing="0"/>
        <w:ind w:left="567" w:hanging="567"/>
        <w:rPr>
          <w:rFonts w:asciiTheme="minorHAnsi" w:hAnsiTheme="minorHAnsi" w:cstheme="minorHAnsi"/>
          <w:color w:val="000000" w:themeColor="text1"/>
        </w:rPr>
      </w:pPr>
      <w:r w:rsidRPr="00196604">
        <w:rPr>
          <w:rFonts w:asciiTheme="minorHAnsi" w:hAnsiTheme="minorHAnsi" w:cstheme="minorHAnsi"/>
          <w:color w:val="000000" w:themeColor="text1"/>
        </w:rPr>
        <w:t>To report to the 2021 meeting of TDAG</w:t>
      </w:r>
      <w:r w:rsidR="00196604">
        <w:rPr>
          <w:rFonts w:asciiTheme="minorHAnsi" w:hAnsiTheme="minorHAnsi" w:cstheme="minorHAnsi"/>
          <w:color w:val="000000" w:themeColor="text1"/>
        </w:rPr>
        <w:t>.</w:t>
      </w:r>
    </w:p>
    <w:p w14:paraId="4AA6A4F2" w14:textId="77777777" w:rsidR="00F44CF1" w:rsidRPr="00196604" w:rsidRDefault="00F44CF1" w:rsidP="00196604">
      <w:pPr>
        <w:pStyle w:val="NormalWeb"/>
        <w:spacing w:before="120" w:beforeAutospacing="0" w:after="120" w:afterAutospacing="0"/>
        <w:rPr>
          <w:rFonts w:asciiTheme="minorHAnsi" w:hAnsiTheme="minorHAnsi" w:cstheme="minorHAnsi"/>
          <w:color w:val="000000" w:themeColor="text1"/>
        </w:rPr>
      </w:pPr>
      <w:r w:rsidRPr="00196604">
        <w:rPr>
          <w:rFonts w:asciiTheme="minorHAnsi" w:hAnsiTheme="minorHAnsi" w:cstheme="minorHAnsi"/>
          <w:color w:val="000000" w:themeColor="text1"/>
        </w:rPr>
        <w:t xml:space="preserve">It is further proposed that the composition and working methods including timelines of the Working Group be established by TDAG-20 to enable the work to begin as soon as practicable. </w:t>
      </w:r>
    </w:p>
    <w:p w14:paraId="7612BB0B" w14:textId="30E21151" w:rsidR="00F44CF1" w:rsidRPr="00196604" w:rsidRDefault="00F44CF1" w:rsidP="00196604">
      <w:pPr>
        <w:pStyle w:val="NormalWeb"/>
        <w:spacing w:before="120" w:beforeAutospacing="0" w:after="120" w:afterAutospacing="0"/>
        <w:rPr>
          <w:rFonts w:asciiTheme="minorHAnsi" w:hAnsiTheme="minorHAnsi" w:cstheme="minorHAnsi"/>
          <w:color w:val="000000" w:themeColor="text1"/>
        </w:rPr>
      </w:pPr>
      <w:r w:rsidRPr="00196604">
        <w:rPr>
          <w:rFonts w:asciiTheme="minorHAnsi" w:hAnsiTheme="minorHAnsi" w:cstheme="minorHAnsi"/>
          <w:color w:val="000000" w:themeColor="text1"/>
        </w:rPr>
        <w:t>The development of issues associated with the ITU-D part of the Strategic Plan could be considered in a correspondence group established by TDAG for the purpose of identifying any pertinent matters at WTDC-21, but focused principally on the formulation of an input via the BDT Director to the Council Working Group on the elaboration of the draft Strategic Plan for the Plenipotentiary Conference in 2022.</w:t>
      </w:r>
    </w:p>
    <w:p w14:paraId="479E7AC0" w14:textId="77777777" w:rsidR="00F44CF1" w:rsidRPr="00196604" w:rsidRDefault="00F44CF1" w:rsidP="00196604">
      <w:pPr>
        <w:spacing w:after="120"/>
        <w:rPr>
          <w:rFonts w:asciiTheme="minorHAnsi" w:hAnsiTheme="minorHAnsi" w:cstheme="minorHAnsi"/>
          <w:color w:val="000000" w:themeColor="text1"/>
        </w:rPr>
      </w:pPr>
    </w:p>
    <w:p w14:paraId="1BA09419" w14:textId="77777777" w:rsidR="00196604" w:rsidRDefault="00196604">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cstheme="minorHAnsi"/>
          <w:b/>
          <w:color w:val="000000" w:themeColor="text1"/>
          <w:szCs w:val="24"/>
        </w:rPr>
      </w:pPr>
      <w:r>
        <w:rPr>
          <w:rFonts w:cstheme="minorHAnsi"/>
          <w:b/>
          <w:color w:val="000000" w:themeColor="text1"/>
          <w:szCs w:val="24"/>
        </w:rPr>
        <w:br w:type="page"/>
      </w:r>
    </w:p>
    <w:p w14:paraId="47BF3DF2" w14:textId="0EB84961" w:rsidR="00196604" w:rsidRDefault="00F44CF1" w:rsidP="00196604">
      <w:pPr>
        <w:pStyle w:val="ListParagraph"/>
        <w:spacing w:after="120"/>
        <w:contextualSpacing w:val="0"/>
        <w:jc w:val="center"/>
        <w:rPr>
          <w:rFonts w:cstheme="minorHAnsi"/>
          <w:b/>
          <w:color w:val="000000" w:themeColor="text1"/>
          <w:szCs w:val="24"/>
        </w:rPr>
      </w:pPr>
      <w:r w:rsidRPr="00196604">
        <w:rPr>
          <w:rFonts w:cstheme="minorHAnsi"/>
          <w:b/>
          <w:color w:val="000000" w:themeColor="text1"/>
          <w:szCs w:val="24"/>
        </w:rPr>
        <w:lastRenderedPageBreak/>
        <w:t>TDAG Working Group</w:t>
      </w:r>
      <w:r w:rsidR="00196604">
        <w:rPr>
          <w:rFonts w:cstheme="minorHAnsi"/>
          <w:b/>
          <w:color w:val="000000" w:themeColor="text1"/>
          <w:szCs w:val="24"/>
        </w:rPr>
        <w:t xml:space="preserve"> </w:t>
      </w:r>
      <w:r w:rsidRPr="00196604">
        <w:rPr>
          <w:rFonts w:cstheme="minorHAnsi"/>
          <w:b/>
          <w:color w:val="000000" w:themeColor="text1"/>
          <w:szCs w:val="24"/>
        </w:rPr>
        <w:t xml:space="preserve">on </w:t>
      </w:r>
      <w:r w:rsidRPr="00196604">
        <w:rPr>
          <w:rFonts w:cstheme="minorHAnsi"/>
          <w:b/>
          <w:color w:val="000000" w:themeColor="text1"/>
          <w:szCs w:val="24"/>
          <w:lang w:val="en-US"/>
        </w:rPr>
        <w:t xml:space="preserve">WTDC </w:t>
      </w:r>
      <w:r w:rsidRPr="00196604">
        <w:rPr>
          <w:rFonts w:cstheme="minorHAnsi"/>
          <w:b/>
          <w:color w:val="000000" w:themeColor="text1"/>
          <w:szCs w:val="24"/>
        </w:rPr>
        <w:t>Resolutions and ITU-D thematic priorities</w:t>
      </w:r>
    </w:p>
    <w:p w14:paraId="5183497C" w14:textId="4B77A344" w:rsidR="00F44CF1" w:rsidRPr="00196604" w:rsidRDefault="00F44CF1" w:rsidP="00196604">
      <w:pPr>
        <w:pStyle w:val="ListParagraph"/>
        <w:spacing w:after="120"/>
        <w:contextualSpacing w:val="0"/>
        <w:jc w:val="center"/>
        <w:rPr>
          <w:rFonts w:cstheme="minorHAnsi"/>
          <w:b/>
          <w:bCs/>
          <w:color w:val="000000" w:themeColor="text1"/>
          <w:szCs w:val="24"/>
        </w:rPr>
      </w:pPr>
      <w:r w:rsidRPr="00196604">
        <w:rPr>
          <w:rFonts w:cstheme="minorHAnsi"/>
          <w:b/>
          <w:bCs/>
          <w:color w:val="000000" w:themeColor="text1"/>
          <w:szCs w:val="24"/>
        </w:rPr>
        <w:t>Proposed Terms of Reference</w:t>
      </w:r>
    </w:p>
    <w:p w14:paraId="6409360A" w14:textId="77777777" w:rsidR="00F44CF1" w:rsidRPr="00196604" w:rsidRDefault="00F44CF1" w:rsidP="00394B64">
      <w:pPr>
        <w:pStyle w:val="ListParagraph"/>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after="120"/>
        <w:ind w:left="567" w:hanging="567"/>
        <w:contextualSpacing w:val="0"/>
        <w:textAlignment w:val="auto"/>
        <w:rPr>
          <w:rFonts w:cstheme="minorHAnsi"/>
          <w:i/>
          <w:color w:val="000000" w:themeColor="text1"/>
          <w:szCs w:val="24"/>
        </w:rPr>
      </w:pPr>
      <w:r w:rsidRPr="00196604">
        <w:rPr>
          <w:rFonts w:cstheme="minorHAnsi"/>
          <w:color w:val="000000" w:themeColor="text1"/>
          <w:szCs w:val="24"/>
        </w:rPr>
        <w:t>To review</w:t>
      </w:r>
      <w:r w:rsidRPr="00196604">
        <w:rPr>
          <w:rFonts w:cstheme="minorHAnsi"/>
          <w:color w:val="000000" w:themeColor="text1"/>
          <w:lang w:val="en-US"/>
        </w:rPr>
        <w:t xml:space="preserve"> </w:t>
      </w:r>
      <w:r w:rsidRPr="00196604">
        <w:rPr>
          <w:rFonts w:cstheme="minorHAnsi"/>
          <w:color w:val="000000" w:themeColor="text1"/>
          <w:szCs w:val="24"/>
        </w:rPr>
        <w:t xml:space="preserve">WTDC Resolutions </w:t>
      </w:r>
      <w:r w:rsidRPr="00196604">
        <w:rPr>
          <w:rFonts w:cstheme="minorHAnsi"/>
          <w:color w:val="000000" w:themeColor="text1"/>
          <w:lang w:val="en-US"/>
        </w:rPr>
        <w:t>with a view to streamlining them</w:t>
      </w:r>
      <w:r w:rsidRPr="00196604">
        <w:rPr>
          <w:rFonts w:cstheme="minorHAnsi"/>
          <w:color w:val="000000" w:themeColor="text1"/>
          <w:szCs w:val="24"/>
        </w:rPr>
        <w:t xml:space="preserve"> to avoid repetitions and duplication with existing Resolutions of the Plenipotentiary Conference, Council, WTSA and RA </w:t>
      </w:r>
      <w:r w:rsidRPr="00196604">
        <w:rPr>
          <w:rFonts w:cstheme="minorHAnsi"/>
          <w:color w:val="000000" w:themeColor="text1"/>
          <w:lang w:val="en-US"/>
        </w:rPr>
        <w:t>as appropriate.</w:t>
      </w:r>
    </w:p>
    <w:p w14:paraId="506B1CB6" w14:textId="4CF675D3" w:rsidR="00F44CF1" w:rsidRPr="00196604" w:rsidRDefault="00F44CF1" w:rsidP="00394B64">
      <w:pPr>
        <w:pStyle w:val="ListParagraph"/>
        <w:numPr>
          <w:ilvl w:val="0"/>
          <w:numId w:val="9"/>
        </w:numPr>
        <w:tabs>
          <w:tab w:val="clear" w:pos="1134"/>
          <w:tab w:val="clear" w:pos="1871"/>
          <w:tab w:val="clear" w:pos="2268"/>
        </w:tabs>
        <w:overflowPunct/>
        <w:autoSpaceDE/>
        <w:autoSpaceDN/>
        <w:adjustRightInd/>
        <w:spacing w:after="120"/>
        <w:ind w:left="567" w:hanging="567"/>
        <w:contextualSpacing w:val="0"/>
        <w:textAlignment w:val="auto"/>
        <w:rPr>
          <w:rFonts w:cstheme="minorHAnsi"/>
          <w:color w:val="000000" w:themeColor="text1"/>
        </w:rPr>
      </w:pPr>
      <w:r w:rsidRPr="00196604">
        <w:rPr>
          <w:rFonts w:cstheme="minorHAnsi"/>
          <w:color w:val="000000" w:themeColor="text1"/>
          <w:szCs w:val="24"/>
        </w:rPr>
        <w:t xml:space="preserve">To align the ITU-D thematic priorities with proposed to WTDC regional priorities and study </w:t>
      </w:r>
      <w:r w:rsidRPr="00196604">
        <w:rPr>
          <w:rFonts w:cstheme="minorHAnsi"/>
          <w:color w:val="000000" w:themeColor="text1"/>
          <w:szCs w:val="24"/>
          <w:lang w:val="en-US"/>
        </w:rPr>
        <w:t xml:space="preserve">group </w:t>
      </w:r>
      <w:r w:rsidRPr="00196604">
        <w:rPr>
          <w:rFonts w:cstheme="minorHAnsi"/>
          <w:color w:val="000000" w:themeColor="text1"/>
          <w:szCs w:val="24"/>
        </w:rPr>
        <w:t xml:space="preserve">questions </w:t>
      </w:r>
      <w:r w:rsidRPr="00196604">
        <w:rPr>
          <w:rFonts w:cstheme="minorHAnsi"/>
          <w:color w:val="000000" w:themeColor="text1"/>
          <w:lang w:val="en-US"/>
        </w:rPr>
        <w:t>takin</w:t>
      </w:r>
      <w:bookmarkStart w:id="5" w:name="_GoBack"/>
      <w:bookmarkEnd w:id="5"/>
      <w:r w:rsidRPr="00196604">
        <w:rPr>
          <w:rFonts w:cstheme="minorHAnsi"/>
          <w:color w:val="000000" w:themeColor="text1"/>
          <w:lang w:val="en-US"/>
        </w:rPr>
        <w:t xml:space="preserve">g into account proposals of ITU-D Study Groups, outcomes of the Regional Preparatory Meetings for WTDC-21, </w:t>
      </w:r>
      <w:r w:rsidRPr="00196604">
        <w:rPr>
          <w:rFonts w:cstheme="minorHAnsi"/>
          <w:color w:val="000000" w:themeColor="text1"/>
          <w:szCs w:val="24"/>
        </w:rPr>
        <w:t>2030 Sustainable Development Goals and relevant WSIS Action Lines</w:t>
      </w:r>
      <w:r w:rsidR="00196604">
        <w:rPr>
          <w:rFonts w:cstheme="minorHAnsi"/>
          <w:color w:val="000000" w:themeColor="text1"/>
          <w:szCs w:val="24"/>
        </w:rPr>
        <w:t xml:space="preserve"> </w:t>
      </w:r>
      <w:r w:rsidRPr="00196604">
        <w:rPr>
          <w:rFonts w:cstheme="minorHAnsi"/>
          <w:color w:val="000000" w:themeColor="text1"/>
          <w:szCs w:val="24"/>
        </w:rPr>
        <w:t>for which ITU has responsibility.</w:t>
      </w:r>
      <w:r w:rsidRPr="00196604">
        <w:rPr>
          <w:rFonts w:cstheme="minorHAnsi"/>
          <w:color w:val="000000" w:themeColor="text1"/>
          <w:lang w:val="en-US"/>
        </w:rPr>
        <w:t xml:space="preserve"> </w:t>
      </w:r>
    </w:p>
    <w:p w14:paraId="38394E5B" w14:textId="3B737CF4" w:rsidR="00F44CF1" w:rsidRPr="00196604" w:rsidRDefault="00F44CF1" w:rsidP="00394B64">
      <w:pPr>
        <w:pStyle w:val="ListParagraph"/>
        <w:numPr>
          <w:ilvl w:val="0"/>
          <w:numId w:val="9"/>
        </w:numPr>
        <w:tabs>
          <w:tab w:val="clear" w:pos="1134"/>
          <w:tab w:val="clear" w:pos="1871"/>
          <w:tab w:val="clear" w:pos="2268"/>
        </w:tabs>
        <w:overflowPunct/>
        <w:autoSpaceDE/>
        <w:autoSpaceDN/>
        <w:adjustRightInd/>
        <w:spacing w:after="120"/>
        <w:ind w:left="567" w:hanging="567"/>
        <w:contextualSpacing w:val="0"/>
        <w:textAlignment w:val="auto"/>
        <w:rPr>
          <w:rFonts w:cstheme="minorHAnsi"/>
          <w:color w:val="000000" w:themeColor="text1"/>
        </w:rPr>
      </w:pPr>
      <w:r w:rsidRPr="00196604">
        <w:rPr>
          <w:rFonts w:cstheme="minorHAnsi"/>
          <w:color w:val="000000" w:themeColor="text1"/>
          <w:lang w:val="en-US"/>
        </w:rPr>
        <w:t xml:space="preserve">To </w:t>
      </w:r>
      <w:r w:rsidRPr="00196604">
        <w:rPr>
          <w:rFonts w:cstheme="minorHAnsi"/>
          <w:color w:val="000000" w:themeColor="text1"/>
          <w:szCs w:val="24"/>
        </w:rPr>
        <w:t>report</w:t>
      </w:r>
      <w:r w:rsidRPr="00196604">
        <w:rPr>
          <w:rFonts w:cstheme="minorHAnsi"/>
          <w:color w:val="000000" w:themeColor="text1"/>
          <w:lang w:val="en-US"/>
        </w:rPr>
        <w:t xml:space="preserve"> to the 2021 meeting of TDAG</w:t>
      </w:r>
      <w:r w:rsidR="00196604">
        <w:rPr>
          <w:rFonts w:cstheme="minorHAnsi"/>
          <w:color w:val="000000" w:themeColor="text1"/>
          <w:lang w:val="en-US"/>
        </w:rPr>
        <w:t>.</w:t>
      </w:r>
    </w:p>
    <w:p w14:paraId="588D603A" w14:textId="77777777" w:rsidR="00196604" w:rsidRPr="00196604" w:rsidRDefault="00196604" w:rsidP="00196604">
      <w:pPr>
        <w:tabs>
          <w:tab w:val="clear" w:pos="1134"/>
          <w:tab w:val="clear" w:pos="2268"/>
        </w:tabs>
        <w:spacing w:after="120"/>
        <w:rPr>
          <w:rFonts w:cstheme="minorHAnsi"/>
          <w:color w:val="000000" w:themeColor="text1"/>
        </w:rPr>
      </w:pPr>
    </w:p>
    <w:p w14:paraId="59E5D086" w14:textId="744171DD" w:rsidR="001E0506" w:rsidRDefault="00196604" w:rsidP="00196604">
      <w:pPr>
        <w:jc w:val="center"/>
      </w:pPr>
      <w:r>
        <w:rPr>
          <w:rFonts w:asciiTheme="minorHAnsi" w:hAnsiTheme="minorHAnsi" w:cstheme="minorHAnsi"/>
          <w:szCs w:val="24"/>
        </w:rPr>
        <w:t>________________</w:t>
      </w:r>
    </w:p>
    <w:sectPr w:rsidR="001E0506" w:rsidSect="007D0F2A">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67F40" w14:textId="77777777" w:rsidR="00996CC8" w:rsidRDefault="00996CC8">
      <w:pPr>
        <w:spacing w:before="0"/>
      </w:pPr>
      <w:r>
        <w:separator/>
      </w:r>
    </w:p>
  </w:endnote>
  <w:endnote w:type="continuationSeparator" w:id="0">
    <w:p w14:paraId="0D864C43" w14:textId="77777777" w:rsidR="00996CC8" w:rsidRDefault="00996C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83B1E" w:rsidRPr="00CF2D02" w14:paraId="444C4A45" w14:textId="77777777" w:rsidTr="00124194">
      <w:tc>
        <w:tcPr>
          <w:tcW w:w="1526" w:type="dxa"/>
          <w:tcBorders>
            <w:top w:val="single" w:sz="4" w:space="0" w:color="000000"/>
          </w:tcBorders>
          <w:shd w:val="clear" w:color="auto" w:fill="auto"/>
        </w:tcPr>
        <w:p w14:paraId="761B0686" w14:textId="77777777" w:rsidR="00183B1E" w:rsidRPr="002752D5" w:rsidRDefault="00183B1E" w:rsidP="00183B1E">
          <w:pPr>
            <w:pStyle w:val="FirstFooter"/>
            <w:tabs>
              <w:tab w:val="left" w:pos="1559"/>
              <w:tab w:val="left" w:pos="3828"/>
            </w:tabs>
            <w:rPr>
              <w:rFonts w:asciiTheme="minorHAnsi" w:hAnsiTheme="minorHAnsi"/>
              <w:sz w:val="18"/>
              <w:szCs w:val="18"/>
            </w:rPr>
          </w:pPr>
          <w:r w:rsidRPr="004D495C">
            <w:rPr>
              <w:sz w:val="18"/>
              <w:szCs w:val="18"/>
              <w:lang w:val="en-US"/>
            </w:rPr>
            <w:t>Contact:</w:t>
          </w:r>
        </w:p>
      </w:tc>
      <w:tc>
        <w:tcPr>
          <w:tcW w:w="2410" w:type="dxa"/>
          <w:tcBorders>
            <w:top w:val="single" w:sz="4" w:space="0" w:color="000000"/>
          </w:tcBorders>
          <w:shd w:val="clear" w:color="auto" w:fill="auto"/>
        </w:tcPr>
        <w:p w14:paraId="05D62A29" w14:textId="77777777" w:rsidR="00183B1E" w:rsidRPr="002752D5" w:rsidRDefault="00183B1E" w:rsidP="00183B1E">
          <w:pPr>
            <w:pStyle w:val="FirstFooter"/>
            <w:tabs>
              <w:tab w:val="left" w:pos="2302"/>
            </w:tabs>
            <w:ind w:left="2302" w:hanging="2302"/>
            <w:rPr>
              <w:rFonts w:asciiTheme="minorHAnsi" w:hAnsiTheme="minorHAnsi"/>
              <w:sz w:val="18"/>
              <w:szCs w:val="18"/>
              <w:lang w:val="en-US"/>
            </w:rPr>
          </w:pPr>
          <w:r w:rsidRPr="004D495C">
            <w:rPr>
              <w:sz w:val="18"/>
              <w:szCs w:val="18"/>
              <w:lang w:val="en-US"/>
            </w:rPr>
            <w:t>Name/Organization/Entity:</w:t>
          </w:r>
        </w:p>
      </w:tc>
      <w:tc>
        <w:tcPr>
          <w:tcW w:w="5987" w:type="dxa"/>
          <w:tcBorders>
            <w:top w:val="single" w:sz="4" w:space="0" w:color="000000"/>
          </w:tcBorders>
        </w:tcPr>
        <w:p w14:paraId="041C1488" w14:textId="77777777" w:rsidR="00183B1E" w:rsidRDefault="00183B1E" w:rsidP="00183B1E">
          <w:pPr>
            <w:pStyle w:val="FirstFooter"/>
            <w:tabs>
              <w:tab w:val="left" w:pos="2302"/>
            </w:tabs>
            <w:rPr>
              <w:sz w:val="18"/>
              <w:szCs w:val="18"/>
              <w:lang w:val="en-US"/>
            </w:rPr>
          </w:pPr>
          <w:r>
            <w:rPr>
              <w:sz w:val="18"/>
              <w:szCs w:val="18"/>
              <w:lang w:val="en-US"/>
            </w:rPr>
            <w:t>Prof Vladimir Minkin</w:t>
          </w:r>
          <w:r w:rsidRPr="002F067E">
            <w:rPr>
              <w:sz w:val="18"/>
              <w:szCs w:val="18"/>
              <w:lang w:val="en-US"/>
            </w:rPr>
            <w:t>, Radio Research &amp; Development Institute (NIIR), Russia</w:t>
          </w:r>
          <w:r>
            <w:rPr>
              <w:sz w:val="18"/>
              <w:szCs w:val="18"/>
              <w:lang w:val="en-US"/>
            </w:rPr>
            <w:t>n Federation</w:t>
          </w:r>
        </w:p>
      </w:tc>
      <w:bookmarkStart w:id="6" w:name="OrgName"/>
      <w:bookmarkEnd w:id="6"/>
    </w:tr>
    <w:tr w:rsidR="00183B1E" w:rsidRPr="00CF2D02" w14:paraId="4B27C040" w14:textId="77777777" w:rsidTr="00124194">
      <w:tc>
        <w:tcPr>
          <w:tcW w:w="1526" w:type="dxa"/>
          <w:shd w:val="clear" w:color="auto" w:fill="auto"/>
        </w:tcPr>
        <w:p w14:paraId="3DCA20FE" w14:textId="77777777" w:rsidR="00183B1E" w:rsidRPr="00CF2D02" w:rsidRDefault="00183B1E" w:rsidP="00183B1E">
          <w:pPr>
            <w:pStyle w:val="FirstFooter"/>
            <w:tabs>
              <w:tab w:val="left" w:pos="1559"/>
              <w:tab w:val="left" w:pos="3828"/>
            </w:tabs>
            <w:rPr>
              <w:rFonts w:asciiTheme="minorHAnsi" w:hAnsiTheme="minorHAnsi"/>
              <w:sz w:val="18"/>
              <w:szCs w:val="18"/>
              <w:lang w:val="en-US"/>
            </w:rPr>
          </w:pPr>
        </w:p>
      </w:tc>
      <w:tc>
        <w:tcPr>
          <w:tcW w:w="2410" w:type="dxa"/>
          <w:shd w:val="clear" w:color="auto" w:fill="auto"/>
        </w:tcPr>
        <w:p w14:paraId="0E6087A5" w14:textId="77777777" w:rsidR="00183B1E" w:rsidRPr="00CF2D02" w:rsidRDefault="00183B1E" w:rsidP="00183B1E">
          <w:pPr>
            <w:pStyle w:val="FirstFooter"/>
            <w:tabs>
              <w:tab w:val="left" w:pos="2302"/>
            </w:tabs>
            <w:rPr>
              <w:rFonts w:asciiTheme="minorHAnsi" w:hAnsiTheme="minorHAnsi"/>
              <w:sz w:val="18"/>
              <w:szCs w:val="18"/>
              <w:lang w:val="en-US"/>
            </w:rPr>
          </w:pPr>
          <w:r w:rsidRPr="004D495C">
            <w:rPr>
              <w:sz w:val="18"/>
              <w:szCs w:val="18"/>
              <w:lang w:val="en-US"/>
            </w:rPr>
            <w:t>Phone number:</w:t>
          </w:r>
        </w:p>
      </w:tc>
      <w:tc>
        <w:tcPr>
          <w:tcW w:w="5987" w:type="dxa"/>
        </w:tcPr>
        <w:p w14:paraId="2840707A" w14:textId="77777777" w:rsidR="00183B1E" w:rsidRPr="00CD7E72" w:rsidRDefault="00183B1E" w:rsidP="00183B1E">
          <w:pPr>
            <w:pStyle w:val="FirstFooter"/>
            <w:tabs>
              <w:tab w:val="left" w:pos="2302"/>
            </w:tabs>
            <w:rPr>
              <w:sz w:val="18"/>
              <w:szCs w:val="22"/>
            </w:rPr>
          </w:pPr>
          <w:r w:rsidRPr="00CD7E72">
            <w:rPr>
              <w:sz w:val="18"/>
              <w:szCs w:val="22"/>
            </w:rPr>
            <w:t>+7 499 2619307</w:t>
          </w:r>
        </w:p>
      </w:tc>
      <w:bookmarkStart w:id="7" w:name="PhoneNo"/>
      <w:bookmarkEnd w:id="7"/>
    </w:tr>
    <w:tr w:rsidR="00183B1E" w:rsidRPr="00CF2D02" w14:paraId="02DC4FFC" w14:textId="77777777" w:rsidTr="00124194">
      <w:tc>
        <w:tcPr>
          <w:tcW w:w="1526" w:type="dxa"/>
          <w:tcBorders>
            <w:bottom w:val="single" w:sz="4" w:space="0" w:color="auto"/>
          </w:tcBorders>
          <w:shd w:val="clear" w:color="auto" w:fill="auto"/>
        </w:tcPr>
        <w:p w14:paraId="4F073F7A" w14:textId="77777777" w:rsidR="00183B1E" w:rsidRPr="00CF2D02" w:rsidRDefault="00183B1E" w:rsidP="00183B1E">
          <w:pPr>
            <w:pStyle w:val="FirstFooter"/>
            <w:tabs>
              <w:tab w:val="left" w:pos="1559"/>
              <w:tab w:val="left" w:pos="3828"/>
            </w:tabs>
            <w:rPr>
              <w:rFonts w:asciiTheme="minorHAnsi" w:hAnsiTheme="minorHAnsi"/>
              <w:sz w:val="18"/>
              <w:szCs w:val="18"/>
              <w:lang w:val="en-US"/>
            </w:rPr>
          </w:pPr>
        </w:p>
      </w:tc>
      <w:tc>
        <w:tcPr>
          <w:tcW w:w="2410" w:type="dxa"/>
          <w:tcBorders>
            <w:bottom w:val="single" w:sz="4" w:space="0" w:color="auto"/>
          </w:tcBorders>
          <w:shd w:val="clear" w:color="auto" w:fill="auto"/>
        </w:tcPr>
        <w:p w14:paraId="641AF832" w14:textId="77777777" w:rsidR="00183B1E" w:rsidRPr="00CF2D02" w:rsidRDefault="00183B1E" w:rsidP="00183B1E">
          <w:pPr>
            <w:pStyle w:val="FirstFooter"/>
            <w:tabs>
              <w:tab w:val="left" w:pos="2302"/>
            </w:tabs>
            <w:rPr>
              <w:rFonts w:asciiTheme="minorHAnsi" w:hAnsiTheme="minorHAnsi"/>
              <w:sz w:val="18"/>
              <w:szCs w:val="18"/>
              <w:lang w:val="en-US"/>
            </w:rPr>
          </w:pPr>
          <w:r w:rsidRPr="004D495C">
            <w:rPr>
              <w:sz w:val="18"/>
              <w:szCs w:val="18"/>
              <w:lang w:val="en-US"/>
            </w:rPr>
            <w:t>E-mail:</w:t>
          </w:r>
        </w:p>
      </w:tc>
      <w:tc>
        <w:tcPr>
          <w:tcW w:w="5987" w:type="dxa"/>
          <w:tcBorders>
            <w:bottom w:val="single" w:sz="4" w:space="0" w:color="auto"/>
          </w:tcBorders>
        </w:tcPr>
        <w:p w14:paraId="79B07DF0" w14:textId="77777777" w:rsidR="00183B1E" w:rsidRDefault="00394B64" w:rsidP="00183B1E">
          <w:pPr>
            <w:pStyle w:val="FirstFooter"/>
            <w:tabs>
              <w:tab w:val="left" w:pos="2302"/>
            </w:tabs>
            <w:rPr>
              <w:rStyle w:val="Hyperlink"/>
              <w:sz w:val="18"/>
              <w:szCs w:val="22"/>
            </w:rPr>
          </w:pPr>
          <w:hyperlink r:id="rId1" w:history="1">
            <w:r w:rsidR="00183B1E" w:rsidRPr="004756FB">
              <w:rPr>
                <w:rStyle w:val="Hyperlink"/>
                <w:sz w:val="18"/>
                <w:szCs w:val="22"/>
              </w:rPr>
              <w:t>minkin-itu@mail.ru</w:t>
            </w:r>
          </w:hyperlink>
          <w:r w:rsidR="00183B1E">
            <w:rPr>
              <w:sz w:val="18"/>
              <w:szCs w:val="22"/>
            </w:rPr>
            <w:t xml:space="preserve"> </w:t>
          </w:r>
        </w:p>
      </w:tc>
      <w:bookmarkStart w:id="8" w:name="Email"/>
      <w:bookmarkEnd w:id="8"/>
    </w:tr>
    <w:tr w:rsidR="00183B1E" w:rsidRPr="00CF2D02" w14:paraId="176176D4" w14:textId="77777777" w:rsidTr="00124194">
      <w:tc>
        <w:tcPr>
          <w:tcW w:w="1526" w:type="dxa"/>
          <w:tcBorders>
            <w:top w:val="single" w:sz="4" w:space="0" w:color="auto"/>
          </w:tcBorders>
          <w:shd w:val="clear" w:color="auto" w:fill="auto"/>
        </w:tcPr>
        <w:p w14:paraId="58F52A52" w14:textId="77777777" w:rsidR="00183B1E" w:rsidRPr="00CF2D02" w:rsidRDefault="00183B1E" w:rsidP="00183B1E">
          <w:pPr>
            <w:pStyle w:val="FirstFooter"/>
            <w:tabs>
              <w:tab w:val="left" w:pos="1559"/>
              <w:tab w:val="left" w:pos="3828"/>
            </w:tabs>
            <w:rPr>
              <w:rFonts w:asciiTheme="minorHAnsi" w:hAnsiTheme="minorHAnsi"/>
              <w:sz w:val="18"/>
              <w:szCs w:val="18"/>
              <w:lang w:val="en-US"/>
            </w:rPr>
          </w:pPr>
          <w:r w:rsidRPr="002752D5">
            <w:rPr>
              <w:rFonts w:asciiTheme="minorHAnsi" w:hAnsiTheme="minorHAnsi"/>
              <w:sz w:val="18"/>
              <w:szCs w:val="18"/>
              <w:lang w:val="en-US"/>
            </w:rPr>
            <w:t>Contact:</w:t>
          </w:r>
        </w:p>
      </w:tc>
      <w:tc>
        <w:tcPr>
          <w:tcW w:w="2410" w:type="dxa"/>
          <w:tcBorders>
            <w:top w:val="single" w:sz="4" w:space="0" w:color="auto"/>
          </w:tcBorders>
          <w:shd w:val="clear" w:color="auto" w:fill="auto"/>
        </w:tcPr>
        <w:p w14:paraId="50657956" w14:textId="77777777" w:rsidR="00183B1E" w:rsidRPr="00CF2D02" w:rsidRDefault="00183B1E" w:rsidP="00183B1E">
          <w:pPr>
            <w:pStyle w:val="FirstFooter"/>
            <w:tabs>
              <w:tab w:val="left" w:pos="2302"/>
            </w:tabs>
            <w:rPr>
              <w:rFonts w:asciiTheme="minorHAnsi" w:hAnsiTheme="minorHAnsi"/>
              <w:sz w:val="18"/>
              <w:szCs w:val="18"/>
              <w:lang w:val="en-US"/>
            </w:rPr>
          </w:pPr>
          <w:r w:rsidRPr="002752D5">
            <w:rPr>
              <w:rFonts w:asciiTheme="minorHAnsi" w:hAnsiTheme="minorHAnsi"/>
              <w:sz w:val="18"/>
              <w:szCs w:val="18"/>
              <w:lang w:val="en-US"/>
            </w:rPr>
            <w:t>Name/Organization/Entity:</w:t>
          </w:r>
        </w:p>
      </w:tc>
      <w:tc>
        <w:tcPr>
          <w:tcW w:w="5987" w:type="dxa"/>
          <w:tcBorders>
            <w:top w:val="single" w:sz="4" w:space="0" w:color="auto"/>
          </w:tcBorders>
        </w:tcPr>
        <w:p w14:paraId="5FECB826" w14:textId="77777777" w:rsidR="00183B1E" w:rsidRDefault="00183B1E" w:rsidP="00183B1E">
          <w:pPr>
            <w:pStyle w:val="FirstFooter"/>
            <w:tabs>
              <w:tab w:val="left" w:pos="2302"/>
            </w:tabs>
          </w:pPr>
          <w:r>
            <w:rPr>
              <w:sz w:val="18"/>
              <w:szCs w:val="18"/>
              <w:lang w:val="en-US"/>
            </w:rPr>
            <w:t>Mr Arseny Plossky</w:t>
          </w:r>
          <w:r w:rsidRPr="002F067E">
            <w:rPr>
              <w:sz w:val="18"/>
              <w:szCs w:val="18"/>
              <w:lang w:val="en-US"/>
            </w:rPr>
            <w:t>, Radio Research &amp; Development Institute (NIIR), Russia</w:t>
          </w:r>
          <w:r>
            <w:rPr>
              <w:sz w:val="18"/>
              <w:szCs w:val="18"/>
              <w:lang w:val="en-US"/>
            </w:rPr>
            <w:t>n Federation</w:t>
          </w:r>
        </w:p>
      </w:tc>
    </w:tr>
    <w:tr w:rsidR="00183B1E" w:rsidRPr="00CF2D02" w14:paraId="45E569DE" w14:textId="77777777" w:rsidTr="00124194">
      <w:tc>
        <w:tcPr>
          <w:tcW w:w="1526" w:type="dxa"/>
          <w:shd w:val="clear" w:color="auto" w:fill="auto"/>
        </w:tcPr>
        <w:p w14:paraId="11186182" w14:textId="77777777" w:rsidR="00183B1E" w:rsidRPr="00CF2D02" w:rsidRDefault="00183B1E" w:rsidP="00183B1E">
          <w:pPr>
            <w:pStyle w:val="FirstFooter"/>
            <w:tabs>
              <w:tab w:val="left" w:pos="1559"/>
              <w:tab w:val="left" w:pos="3828"/>
            </w:tabs>
            <w:rPr>
              <w:rFonts w:asciiTheme="minorHAnsi" w:hAnsiTheme="minorHAnsi"/>
              <w:sz w:val="18"/>
              <w:szCs w:val="18"/>
              <w:lang w:val="en-US"/>
            </w:rPr>
          </w:pPr>
        </w:p>
      </w:tc>
      <w:tc>
        <w:tcPr>
          <w:tcW w:w="2410" w:type="dxa"/>
          <w:shd w:val="clear" w:color="auto" w:fill="auto"/>
        </w:tcPr>
        <w:p w14:paraId="6F617E6F" w14:textId="77777777" w:rsidR="00183B1E" w:rsidRPr="00CF2D02" w:rsidRDefault="00183B1E" w:rsidP="00183B1E">
          <w:pPr>
            <w:pStyle w:val="FirstFooter"/>
            <w:tabs>
              <w:tab w:val="left" w:pos="2302"/>
            </w:tabs>
            <w:rPr>
              <w:rFonts w:asciiTheme="minorHAnsi" w:hAnsiTheme="minorHAnsi"/>
              <w:sz w:val="18"/>
              <w:szCs w:val="18"/>
              <w:lang w:val="en-US"/>
            </w:rPr>
          </w:pPr>
          <w:r w:rsidRPr="00CF2D02">
            <w:rPr>
              <w:rFonts w:asciiTheme="minorHAnsi" w:hAnsiTheme="minorHAnsi"/>
              <w:sz w:val="18"/>
              <w:szCs w:val="18"/>
              <w:lang w:val="en-US"/>
            </w:rPr>
            <w:t>Phone number:</w:t>
          </w:r>
        </w:p>
      </w:tc>
      <w:tc>
        <w:tcPr>
          <w:tcW w:w="5987" w:type="dxa"/>
        </w:tcPr>
        <w:p w14:paraId="0A3C49BC" w14:textId="77777777" w:rsidR="00183B1E" w:rsidRDefault="00183B1E" w:rsidP="00183B1E">
          <w:pPr>
            <w:pStyle w:val="FirstFooter"/>
            <w:tabs>
              <w:tab w:val="left" w:pos="2302"/>
            </w:tabs>
          </w:pPr>
          <w:r w:rsidRPr="00CD7E72">
            <w:rPr>
              <w:sz w:val="18"/>
              <w:szCs w:val="22"/>
            </w:rPr>
            <w:t xml:space="preserve">+7 </w:t>
          </w:r>
          <w:r>
            <w:rPr>
              <w:sz w:val="18"/>
              <w:szCs w:val="22"/>
            </w:rPr>
            <w:t>926 169 62 11</w:t>
          </w:r>
        </w:p>
      </w:tc>
    </w:tr>
    <w:tr w:rsidR="00183B1E" w:rsidRPr="00CF2D02" w14:paraId="4AA07370" w14:textId="77777777" w:rsidTr="00124194">
      <w:tc>
        <w:tcPr>
          <w:tcW w:w="1526" w:type="dxa"/>
          <w:shd w:val="clear" w:color="auto" w:fill="auto"/>
        </w:tcPr>
        <w:p w14:paraId="0D1B48D0" w14:textId="77777777" w:rsidR="00183B1E" w:rsidRPr="00CF2D02" w:rsidRDefault="00183B1E" w:rsidP="00183B1E">
          <w:pPr>
            <w:pStyle w:val="FirstFooter"/>
            <w:tabs>
              <w:tab w:val="left" w:pos="1559"/>
              <w:tab w:val="left" w:pos="3828"/>
            </w:tabs>
            <w:rPr>
              <w:rFonts w:asciiTheme="minorHAnsi" w:hAnsiTheme="minorHAnsi"/>
              <w:sz w:val="18"/>
              <w:szCs w:val="18"/>
              <w:lang w:val="en-US"/>
            </w:rPr>
          </w:pPr>
        </w:p>
      </w:tc>
      <w:tc>
        <w:tcPr>
          <w:tcW w:w="2410" w:type="dxa"/>
          <w:shd w:val="clear" w:color="auto" w:fill="auto"/>
        </w:tcPr>
        <w:p w14:paraId="6AC4FAE6" w14:textId="77777777" w:rsidR="00183B1E" w:rsidRPr="00CF2D02" w:rsidRDefault="00183B1E" w:rsidP="00183B1E">
          <w:pPr>
            <w:pStyle w:val="FirstFooter"/>
            <w:tabs>
              <w:tab w:val="left" w:pos="2302"/>
            </w:tabs>
            <w:rPr>
              <w:rFonts w:asciiTheme="minorHAnsi" w:hAnsiTheme="minorHAnsi"/>
              <w:sz w:val="18"/>
              <w:szCs w:val="18"/>
              <w:lang w:val="en-US"/>
            </w:rPr>
          </w:pPr>
          <w:r w:rsidRPr="00CF2D02">
            <w:rPr>
              <w:rFonts w:asciiTheme="minorHAnsi" w:hAnsiTheme="minorHAnsi"/>
              <w:sz w:val="18"/>
              <w:szCs w:val="18"/>
              <w:lang w:val="en-US"/>
            </w:rPr>
            <w:t>E-mail:</w:t>
          </w:r>
        </w:p>
      </w:tc>
      <w:tc>
        <w:tcPr>
          <w:tcW w:w="5987" w:type="dxa"/>
        </w:tcPr>
        <w:p w14:paraId="21DA3142" w14:textId="77777777" w:rsidR="00183B1E" w:rsidRDefault="00394B64" w:rsidP="00183B1E">
          <w:pPr>
            <w:pStyle w:val="FirstFooter"/>
            <w:tabs>
              <w:tab w:val="left" w:pos="2302"/>
            </w:tabs>
          </w:pPr>
          <w:hyperlink r:id="rId2" w:history="1">
            <w:r w:rsidR="00183B1E">
              <w:rPr>
                <w:rStyle w:val="Hyperlink"/>
                <w:sz w:val="18"/>
                <w:szCs w:val="22"/>
              </w:rPr>
              <w:t>a.plossky@niir.ru</w:t>
            </w:r>
          </w:hyperlink>
          <w:r w:rsidR="00183B1E">
            <w:rPr>
              <w:sz w:val="18"/>
              <w:szCs w:val="22"/>
            </w:rPr>
            <w:t xml:space="preserve"> </w:t>
          </w:r>
        </w:p>
      </w:tc>
    </w:tr>
  </w:tbl>
  <w:p w14:paraId="63C9E208" w14:textId="77777777" w:rsidR="007D0F2A" w:rsidRDefault="00394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A247E" w14:textId="77777777" w:rsidR="00996CC8" w:rsidRDefault="00996CC8">
      <w:pPr>
        <w:spacing w:before="0"/>
      </w:pPr>
      <w:r>
        <w:separator/>
      </w:r>
    </w:p>
  </w:footnote>
  <w:footnote w:type="continuationSeparator" w:id="0">
    <w:p w14:paraId="49117505" w14:textId="77777777" w:rsidR="00996CC8" w:rsidRDefault="00996CC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E661" w14:textId="77777777" w:rsidR="00E91A96" w:rsidRDefault="00394B64" w:rsidP="00487A4C">
    <w:pPr>
      <w:tabs>
        <w:tab w:val="clear" w:pos="567"/>
        <w:tab w:val="clear" w:pos="1134"/>
        <w:tab w:val="clear" w:pos="1701"/>
        <w:tab w:val="clear" w:pos="2268"/>
        <w:tab w:val="clear" w:pos="2835"/>
        <w:tab w:val="center" w:pos="7655"/>
        <w:tab w:val="right" w:pos="14601"/>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7873A2"/>
    <w:multiLevelType w:val="hybridMultilevel"/>
    <w:tmpl w:val="7EBC831C"/>
    <w:lvl w:ilvl="0" w:tplc="E96C83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3" w15:restartNumberingAfterBreak="0">
    <w:nsid w:val="2B5D544E"/>
    <w:multiLevelType w:val="hybridMultilevel"/>
    <w:tmpl w:val="7EBC831C"/>
    <w:lvl w:ilvl="0" w:tplc="E96C83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649F6"/>
    <w:multiLevelType w:val="hybridMultilevel"/>
    <w:tmpl w:val="35DA7B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7C46F5"/>
    <w:multiLevelType w:val="hybridMultilevel"/>
    <w:tmpl w:val="A0CA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427F5"/>
    <w:multiLevelType w:val="hybridMultilevel"/>
    <w:tmpl w:val="C524899C"/>
    <w:lvl w:ilvl="0" w:tplc="32008978">
      <w:start w:val="1"/>
      <w:numFmt w:val="lowerLetter"/>
      <w:lvlText w:val="%1)"/>
      <w:lvlJc w:val="left"/>
      <w:pPr>
        <w:ind w:left="927" w:hanging="360"/>
      </w:pPr>
      <w:rPr>
        <w:rFonts w:hint="default"/>
        <w:i/>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3D6219"/>
    <w:multiLevelType w:val="hybridMultilevel"/>
    <w:tmpl w:val="7EBC831C"/>
    <w:lvl w:ilvl="0" w:tplc="E96C83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97EDB"/>
    <w:multiLevelType w:val="hybridMultilevel"/>
    <w:tmpl w:val="C524899C"/>
    <w:lvl w:ilvl="0" w:tplc="32008978">
      <w:start w:val="1"/>
      <w:numFmt w:val="lowerLetter"/>
      <w:lvlText w:val="%1)"/>
      <w:lvlJc w:val="left"/>
      <w:pPr>
        <w:ind w:left="927" w:hanging="360"/>
      </w:pPr>
      <w:rPr>
        <w:rFonts w:hint="default"/>
        <w:i/>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3"/>
  </w:num>
  <w:num w:numId="3">
    <w:abstractNumId w:val="1"/>
  </w:num>
  <w:num w:numId="4">
    <w:abstractNumId w:val="7"/>
  </w:num>
  <w:num w:numId="5">
    <w:abstractNumId w:val="6"/>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4"/>
    <w:rsid w:val="000A4958"/>
    <w:rsid w:val="000E4CB7"/>
    <w:rsid w:val="00157906"/>
    <w:rsid w:val="00183B1E"/>
    <w:rsid w:val="00196604"/>
    <w:rsid w:val="00394B64"/>
    <w:rsid w:val="003C5804"/>
    <w:rsid w:val="00642F82"/>
    <w:rsid w:val="00881592"/>
    <w:rsid w:val="00895841"/>
    <w:rsid w:val="00996CC8"/>
    <w:rsid w:val="00B96B14"/>
    <w:rsid w:val="00DD6F9D"/>
    <w:rsid w:val="00F4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0B3B"/>
  <w15:chartTrackingRefBased/>
  <w15:docId w15:val="{934CEC24-EA1C-4B63-B45F-6BA3C61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1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B96B14"/>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pPr>
    <w:rPr>
      <w:b/>
      <w:sz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B14"/>
    <w:rPr>
      <w:rFonts w:ascii="Calibri" w:eastAsia="Times New Roman" w:hAnsi="Calibri" w:cs="Times New Roman"/>
      <w:b/>
      <w:szCs w:val="20"/>
      <w:lang w:val="ru-RU"/>
    </w:rPr>
  </w:style>
  <w:style w:type="paragraph" w:styleId="Footer">
    <w:name w:val="footer"/>
    <w:basedOn w:val="Normal"/>
    <w:link w:val="FooterChar"/>
    <w:rsid w:val="00B96B14"/>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96B14"/>
    <w:rPr>
      <w:rFonts w:ascii="Calibri" w:eastAsia="Times New Roman" w:hAnsi="Calibri" w:cs="Times New Roman"/>
      <w:caps/>
      <w:noProof/>
      <w:sz w:val="16"/>
      <w:szCs w:val="20"/>
      <w:lang w:val="en-GB"/>
    </w:rPr>
  </w:style>
  <w:style w:type="paragraph" w:customStyle="1" w:styleId="Source">
    <w:name w:val="Source"/>
    <w:basedOn w:val="Normal"/>
    <w:next w:val="Title1"/>
    <w:link w:val="SourceChar"/>
    <w:autoRedefine/>
    <w:qFormat/>
    <w:rsid w:val="00B96B14"/>
    <w:pPr>
      <w:spacing w:before="840"/>
      <w:jc w:val="center"/>
    </w:pPr>
    <w:rPr>
      <w:b/>
      <w:sz w:val="28"/>
    </w:rPr>
  </w:style>
  <w:style w:type="paragraph" w:customStyle="1" w:styleId="Title1">
    <w:name w:val="Title 1"/>
    <w:basedOn w:val="Source"/>
    <w:next w:val="Normal"/>
    <w:link w:val="Title1Char"/>
    <w:qFormat/>
    <w:rsid w:val="00B96B14"/>
    <w:pPr>
      <w:spacing w:before="240"/>
    </w:pPr>
    <w:rPr>
      <w:b w:val="0"/>
      <w:caps/>
    </w:rPr>
  </w:style>
  <w:style w:type="character" w:styleId="Hyperlink">
    <w:name w:val="Hyperlink"/>
    <w:basedOn w:val="DefaultParagraphFont"/>
    <w:rsid w:val="00B96B14"/>
    <w:rPr>
      <w:color w:val="0000FF"/>
      <w:u w:val="single"/>
    </w:rPr>
  </w:style>
  <w:style w:type="paragraph" w:customStyle="1" w:styleId="FirstFooter">
    <w:name w:val="FirstFooter"/>
    <w:basedOn w:val="Footer"/>
    <w:rsid w:val="00B96B14"/>
    <w:rPr>
      <w:caps w:val="0"/>
    </w:rPr>
  </w:style>
  <w:style w:type="paragraph" w:customStyle="1" w:styleId="Committee">
    <w:name w:val="Committee"/>
    <w:basedOn w:val="Normal"/>
    <w:qFormat/>
    <w:rsid w:val="00B96B14"/>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customStyle="1" w:styleId="SourceChar">
    <w:name w:val="Source Char"/>
    <w:link w:val="Source"/>
    <w:locked/>
    <w:rsid w:val="00B96B14"/>
    <w:rPr>
      <w:rFonts w:ascii="Calibri" w:eastAsia="Times New Roman" w:hAnsi="Calibri" w:cs="Times New Roman"/>
      <w:b/>
      <w:sz w:val="28"/>
      <w:szCs w:val="20"/>
      <w:lang w:val="en-GB"/>
    </w:rPr>
  </w:style>
  <w:style w:type="character" w:customStyle="1" w:styleId="Title1Char">
    <w:name w:val="Title 1 Char"/>
    <w:link w:val="Title1"/>
    <w:locked/>
    <w:rsid w:val="00B96B14"/>
    <w:rPr>
      <w:rFonts w:ascii="Calibri" w:eastAsia="Times New Roman" w:hAnsi="Calibri" w:cs="Times New Roman"/>
      <w:caps/>
      <w:sz w:val="28"/>
      <w:szCs w:val="20"/>
      <w:lang w:val="en-GB"/>
    </w:rPr>
  </w:style>
  <w:style w:type="paragraph" w:customStyle="1" w:styleId="Normalaftertitle">
    <w:name w:val="Normal after title"/>
    <w:basedOn w:val="Normal"/>
    <w:next w:val="Normal"/>
    <w:link w:val="NormalaftertitleChar"/>
    <w:rsid w:val="00B96B14"/>
    <w:pPr>
      <w:spacing w:before="240"/>
    </w:pPr>
  </w:style>
  <w:style w:type="paragraph" w:customStyle="1" w:styleId="Annextitle">
    <w:name w:val="Annex_title"/>
    <w:basedOn w:val="Normal"/>
    <w:next w:val="Normal"/>
    <w:link w:val="AnnextitleChar"/>
    <w:rsid w:val="00B96B14"/>
    <w:pPr>
      <w:spacing w:before="240" w:after="240"/>
      <w:jc w:val="center"/>
    </w:pPr>
    <w:rPr>
      <w:b/>
      <w:sz w:val="28"/>
    </w:rPr>
  </w:style>
  <w:style w:type="character" w:customStyle="1" w:styleId="NormalaftertitleChar">
    <w:name w:val="Normal after title Char"/>
    <w:basedOn w:val="DefaultParagraphFont"/>
    <w:link w:val="Normalaftertitle"/>
    <w:rsid w:val="00B96B14"/>
    <w:rPr>
      <w:rFonts w:ascii="Calibri" w:eastAsia="Times New Roman" w:hAnsi="Calibri" w:cs="Times New Roman"/>
      <w:sz w:val="24"/>
      <w:szCs w:val="20"/>
      <w:lang w:val="en-GB"/>
    </w:rPr>
  </w:style>
  <w:style w:type="character" w:customStyle="1" w:styleId="AnnextitleChar">
    <w:name w:val="Annex_title Char"/>
    <w:basedOn w:val="DefaultParagraphFont"/>
    <w:link w:val="Annextitle"/>
    <w:rsid w:val="00B96B14"/>
    <w:rPr>
      <w:rFonts w:ascii="Calibri" w:eastAsia="Times New Roman" w:hAnsi="Calibri" w:cs="Times New Roman"/>
      <w:b/>
      <w:sz w:val="28"/>
      <w:szCs w:val="20"/>
      <w:lang w:val="en-GB"/>
    </w:rPr>
  </w:style>
  <w:style w:type="paragraph" w:styleId="NormalWeb">
    <w:name w:val="Normal (Web)"/>
    <w:basedOn w:val="Normal"/>
    <w:uiPriority w:val="99"/>
    <w:unhideWhenUsed/>
    <w:rsid w:val="00F44CF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ListParagraph">
    <w:name w:val="List Paragraph"/>
    <w:basedOn w:val="Normal"/>
    <w:uiPriority w:val="34"/>
    <w:qFormat/>
    <w:rsid w:val="00F44CF1"/>
    <w:pPr>
      <w:tabs>
        <w:tab w:val="clear" w:pos="567"/>
        <w:tab w:val="clear" w:pos="1701"/>
        <w:tab w:val="clear" w:pos="2835"/>
        <w:tab w:val="left" w:pos="1871"/>
      </w:tabs>
      <w:ind w:left="720"/>
      <w:contextualSpacing/>
    </w:pPr>
    <w:rPr>
      <w:rFonts w:asciiTheme="minorHAnsi" w:hAnsiTheme="minorHAnsi"/>
    </w:rPr>
  </w:style>
  <w:style w:type="paragraph" w:styleId="Header">
    <w:name w:val="header"/>
    <w:basedOn w:val="Normal"/>
    <w:link w:val="HeaderChar"/>
    <w:uiPriority w:val="99"/>
    <w:unhideWhenUsed/>
    <w:rsid w:val="00183B1E"/>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183B1E"/>
    <w:rPr>
      <w:rFonts w:ascii="Calibri" w:eastAsia="Times New Roman" w:hAnsi="Calibr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5.2-C-0043/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ITU-D/Conferences/TDAG/Pages/TDAG25/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5.2-C-0044/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D18-TDAG25.2-C-0043/en" TargetMode="External"/><Relationship Id="rId4" Type="http://schemas.openxmlformats.org/officeDocument/2006/relationships/webSettings" Target="webSettings.xml"/><Relationship Id="rId9" Type="http://schemas.openxmlformats.org/officeDocument/2006/relationships/hyperlink" Target="https://www.itu.int/md/D18-TDAG25.2-C-0044/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plossky@niir.ru" TargetMode="External"/><Relationship Id="rId1" Type="http://schemas.openxmlformats.org/officeDocument/2006/relationships/hyperlink" Target="mailto:minkin-itu@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3834</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Comas Barnes, Maite</cp:lastModifiedBy>
  <cp:revision>3</cp:revision>
  <dcterms:created xsi:type="dcterms:W3CDTF">2020-05-27T08:24:00Z</dcterms:created>
  <dcterms:modified xsi:type="dcterms:W3CDTF">2020-05-27T08:27:00Z</dcterms:modified>
</cp:coreProperties>
</file>