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425"/>
        <w:gridCol w:w="2800"/>
        <w:gridCol w:w="35"/>
      </w:tblGrid>
      <w:tr w:rsidR="009D3C99" w14:paraId="44A1EC60" w14:textId="77777777" w:rsidTr="00D20099">
        <w:trPr>
          <w:cantSplit/>
          <w:trHeight w:val="1134"/>
        </w:trPr>
        <w:tc>
          <w:tcPr>
            <w:tcW w:w="7088" w:type="dxa"/>
            <w:gridSpan w:val="2"/>
          </w:tcPr>
          <w:p w14:paraId="315CE91B" w14:textId="500B17B2" w:rsidR="009D3C99" w:rsidRDefault="009D3C99" w:rsidP="009D3C99">
            <w:pPr>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7C9BD010" w14:textId="0D0567DB" w:rsidR="009D3C99" w:rsidRPr="00844A56" w:rsidRDefault="009D3C99" w:rsidP="009D3C99">
            <w:pPr>
              <w:tabs>
                <w:tab w:val="clear" w:pos="1191"/>
                <w:tab w:val="clear" w:pos="1588"/>
                <w:tab w:val="clear" w:pos="1985"/>
              </w:tabs>
              <w:spacing w:before="100" w:after="120"/>
              <w:ind w:left="34" w:right="-142"/>
              <w:rPr>
                <w:rFonts w:ascii="Verdana" w:hAnsi="Verdana"/>
                <w:sz w:val="28"/>
                <w:szCs w:val="28"/>
              </w:rPr>
            </w:pPr>
            <w:r>
              <w:rPr>
                <w:b/>
                <w:bCs/>
                <w:sz w:val="26"/>
                <w:szCs w:val="26"/>
              </w:rPr>
              <w:t xml:space="preserve">25th Meeting, Geneva, </w:t>
            </w:r>
            <w:r w:rsidR="004650F8">
              <w:rPr>
                <w:b/>
                <w:bCs/>
                <w:sz w:val="26"/>
                <w:szCs w:val="26"/>
              </w:rPr>
              <w:t>2-5</w:t>
            </w:r>
            <w:r>
              <w:rPr>
                <w:b/>
                <w:bCs/>
                <w:sz w:val="26"/>
                <w:szCs w:val="26"/>
              </w:rPr>
              <w:t xml:space="preserve"> </w:t>
            </w:r>
            <w:r w:rsidR="004650F8">
              <w:rPr>
                <w:b/>
                <w:bCs/>
                <w:sz w:val="26"/>
                <w:szCs w:val="26"/>
              </w:rPr>
              <w:t>June</w:t>
            </w:r>
            <w:r>
              <w:rPr>
                <w:b/>
                <w:bCs/>
                <w:sz w:val="26"/>
                <w:szCs w:val="26"/>
              </w:rPr>
              <w:t xml:space="preserve"> 2020</w:t>
            </w:r>
          </w:p>
        </w:tc>
        <w:tc>
          <w:tcPr>
            <w:tcW w:w="2835" w:type="dxa"/>
            <w:gridSpan w:val="2"/>
          </w:tcPr>
          <w:p w14:paraId="0089E1A3" w14:textId="63F542E0" w:rsidR="009D3C99" w:rsidRPr="00683C32" w:rsidRDefault="009D3C99" w:rsidP="009D3C99">
            <w:pPr>
              <w:spacing w:before="0"/>
              <w:jc w:val="right"/>
            </w:pPr>
            <w:r w:rsidRPr="008E52B1">
              <w:rPr>
                <w:noProof/>
                <w:color w:val="3399FF"/>
                <w:lang w:val="en-US"/>
              </w:rPr>
              <w:drawing>
                <wp:inline distT="0" distB="0" distL="0" distR="0" wp14:anchorId="5313777F" wp14:editId="2CDC211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F910C04" w14:textId="77777777" w:rsidTr="00D20099">
        <w:trPr>
          <w:gridAfter w:val="1"/>
          <w:wAfter w:w="35" w:type="dxa"/>
          <w:cantSplit/>
        </w:trPr>
        <w:tc>
          <w:tcPr>
            <w:tcW w:w="6663" w:type="dxa"/>
            <w:tcBorders>
              <w:top w:val="single" w:sz="12" w:space="0" w:color="auto"/>
            </w:tcBorders>
          </w:tcPr>
          <w:p w14:paraId="12F607A1" w14:textId="77777777" w:rsidR="00683C32" w:rsidRPr="00997358" w:rsidRDefault="00683C32" w:rsidP="00D20099">
            <w:pPr>
              <w:spacing w:before="0"/>
              <w:ind w:left="34" w:right="-142"/>
              <w:rPr>
                <w:rFonts w:cs="Arial"/>
                <w:b/>
                <w:bCs/>
                <w:sz w:val="20"/>
              </w:rPr>
            </w:pPr>
          </w:p>
        </w:tc>
        <w:tc>
          <w:tcPr>
            <w:tcW w:w="3225" w:type="dxa"/>
            <w:gridSpan w:val="2"/>
            <w:tcBorders>
              <w:top w:val="single" w:sz="12" w:space="0" w:color="auto"/>
            </w:tcBorders>
          </w:tcPr>
          <w:p w14:paraId="038F67E2" w14:textId="2F945FCD" w:rsidR="00683C32" w:rsidRPr="004B6501" w:rsidRDefault="00F236BC" w:rsidP="00D20099">
            <w:pPr>
              <w:spacing w:before="0"/>
              <w:ind w:left="34" w:right="-142"/>
              <w:rPr>
                <w:b/>
              </w:rPr>
            </w:pPr>
            <w:r w:rsidRPr="00F236BC">
              <w:rPr>
                <w:b/>
                <w:bCs/>
                <w:szCs w:val="24"/>
              </w:rPr>
              <w:t>Revision 1 to</w:t>
            </w:r>
          </w:p>
        </w:tc>
      </w:tr>
      <w:tr w:rsidR="00683C32" w:rsidRPr="00002716" w14:paraId="4EBA5443" w14:textId="77777777" w:rsidTr="00D20099">
        <w:trPr>
          <w:gridAfter w:val="1"/>
          <w:wAfter w:w="35" w:type="dxa"/>
          <w:cantSplit/>
        </w:trPr>
        <w:tc>
          <w:tcPr>
            <w:tcW w:w="6663" w:type="dxa"/>
          </w:tcPr>
          <w:p w14:paraId="6A86B0CB" w14:textId="77777777" w:rsidR="00683C32" w:rsidRPr="007F1CC7" w:rsidRDefault="00683C32" w:rsidP="00D20099">
            <w:pPr>
              <w:pStyle w:val="Committee"/>
              <w:spacing w:before="0"/>
              <w:ind w:left="34" w:right="-142"/>
              <w:rPr>
                <w:b w:val="0"/>
                <w:szCs w:val="24"/>
              </w:rPr>
            </w:pPr>
          </w:p>
        </w:tc>
        <w:tc>
          <w:tcPr>
            <w:tcW w:w="3225" w:type="dxa"/>
            <w:gridSpan w:val="2"/>
          </w:tcPr>
          <w:p w14:paraId="4C39568E" w14:textId="6E374A57" w:rsidR="00683C32" w:rsidRPr="00F236BC" w:rsidRDefault="0096201B" w:rsidP="00D20099">
            <w:pPr>
              <w:spacing w:before="0"/>
              <w:ind w:left="34" w:right="-142"/>
              <w:jc w:val="both"/>
              <w:rPr>
                <w:bCs/>
                <w:szCs w:val="24"/>
                <w:lang w:val="en-US"/>
              </w:rPr>
            </w:pPr>
            <w:r w:rsidRPr="00F236BC">
              <w:rPr>
                <w:b/>
                <w:bCs/>
                <w:szCs w:val="24"/>
                <w:lang w:val="en-US"/>
              </w:rPr>
              <w:t>Document</w:t>
            </w:r>
            <w:bookmarkStart w:id="1" w:name="DocRef1"/>
            <w:bookmarkEnd w:id="1"/>
            <w:r w:rsidR="009D3C99" w:rsidRPr="00F236BC">
              <w:rPr>
                <w:b/>
                <w:bCs/>
                <w:szCs w:val="24"/>
                <w:lang w:val="en-US"/>
              </w:rPr>
              <w:t xml:space="preserve"> TDAG-20/</w:t>
            </w:r>
            <w:bookmarkStart w:id="2" w:name="DocNo1"/>
            <w:bookmarkEnd w:id="2"/>
            <w:r w:rsidR="009D3C99" w:rsidRPr="00F236BC">
              <w:rPr>
                <w:b/>
                <w:bCs/>
                <w:szCs w:val="24"/>
                <w:lang w:val="en-US"/>
              </w:rPr>
              <w:t>37-E</w:t>
            </w:r>
          </w:p>
        </w:tc>
      </w:tr>
      <w:tr w:rsidR="00683C32" w14:paraId="51CA9284" w14:textId="77777777" w:rsidTr="00D20099">
        <w:trPr>
          <w:gridAfter w:val="1"/>
          <w:wAfter w:w="35" w:type="dxa"/>
          <w:cantSplit/>
        </w:trPr>
        <w:tc>
          <w:tcPr>
            <w:tcW w:w="6663" w:type="dxa"/>
          </w:tcPr>
          <w:p w14:paraId="5D3F5D8A" w14:textId="77777777" w:rsidR="00683C32" w:rsidRPr="007F1CC7" w:rsidRDefault="00683C32" w:rsidP="00D20099">
            <w:pPr>
              <w:spacing w:before="0"/>
              <w:ind w:left="34" w:right="-142"/>
              <w:rPr>
                <w:b/>
                <w:bCs/>
                <w:smallCaps/>
                <w:szCs w:val="24"/>
                <w:lang w:val="en-US"/>
              </w:rPr>
            </w:pPr>
          </w:p>
        </w:tc>
        <w:tc>
          <w:tcPr>
            <w:tcW w:w="3225" w:type="dxa"/>
            <w:gridSpan w:val="2"/>
          </w:tcPr>
          <w:p w14:paraId="62F450BF" w14:textId="0198CFEE" w:rsidR="00683C32" w:rsidRPr="007F1CC7" w:rsidRDefault="00F236BC" w:rsidP="001B2305">
            <w:pPr>
              <w:spacing w:before="0"/>
              <w:ind w:left="34" w:right="-142"/>
              <w:rPr>
                <w:b/>
                <w:szCs w:val="24"/>
              </w:rPr>
            </w:pPr>
            <w:bookmarkStart w:id="3" w:name="CreationDate"/>
            <w:bookmarkEnd w:id="3"/>
            <w:r>
              <w:rPr>
                <w:b/>
                <w:szCs w:val="24"/>
              </w:rPr>
              <w:t xml:space="preserve">18 </w:t>
            </w:r>
            <w:r w:rsidR="00EF6CE5">
              <w:rPr>
                <w:b/>
                <w:szCs w:val="24"/>
              </w:rPr>
              <w:t xml:space="preserve">May </w:t>
            </w:r>
            <w:r w:rsidR="009D3C99">
              <w:rPr>
                <w:b/>
                <w:szCs w:val="24"/>
              </w:rPr>
              <w:t>2020</w:t>
            </w:r>
          </w:p>
        </w:tc>
      </w:tr>
      <w:tr w:rsidR="00683C32" w14:paraId="161C12E1" w14:textId="77777777" w:rsidTr="00D20099">
        <w:trPr>
          <w:gridAfter w:val="1"/>
          <w:wAfter w:w="35" w:type="dxa"/>
          <w:cantSplit/>
        </w:trPr>
        <w:tc>
          <w:tcPr>
            <w:tcW w:w="6663" w:type="dxa"/>
          </w:tcPr>
          <w:p w14:paraId="6363B7B4" w14:textId="77777777" w:rsidR="00683C32" w:rsidRPr="007F1CC7" w:rsidRDefault="00683C32" w:rsidP="00D20099">
            <w:pPr>
              <w:spacing w:before="0"/>
              <w:ind w:left="34" w:right="-142"/>
              <w:rPr>
                <w:b/>
                <w:bCs/>
                <w:smallCaps/>
                <w:szCs w:val="24"/>
              </w:rPr>
            </w:pPr>
          </w:p>
        </w:tc>
        <w:tc>
          <w:tcPr>
            <w:tcW w:w="3225" w:type="dxa"/>
            <w:gridSpan w:val="2"/>
          </w:tcPr>
          <w:p w14:paraId="038B67DC" w14:textId="5E6D9D60" w:rsidR="00514D2F" w:rsidRPr="007F1CC7" w:rsidRDefault="009D3C99" w:rsidP="00D20099">
            <w:pPr>
              <w:spacing w:before="0"/>
              <w:ind w:left="34" w:right="-142"/>
              <w:rPr>
                <w:szCs w:val="24"/>
              </w:rPr>
            </w:pPr>
            <w:bookmarkStart w:id="4" w:name="Original"/>
            <w:bookmarkEnd w:id="4"/>
            <w:r>
              <w:rPr>
                <w:b/>
              </w:rPr>
              <w:t>English</w:t>
            </w:r>
            <w:r w:rsidR="00F236BC">
              <w:rPr>
                <w:b/>
              </w:rPr>
              <w:t xml:space="preserve"> only</w:t>
            </w:r>
          </w:p>
        </w:tc>
      </w:tr>
      <w:tr w:rsidR="00A13162" w14:paraId="63980019" w14:textId="77777777" w:rsidTr="00D20099">
        <w:trPr>
          <w:gridAfter w:val="1"/>
          <w:wAfter w:w="35" w:type="dxa"/>
          <w:cantSplit/>
          <w:trHeight w:val="852"/>
        </w:trPr>
        <w:tc>
          <w:tcPr>
            <w:tcW w:w="9888" w:type="dxa"/>
            <w:gridSpan w:val="3"/>
          </w:tcPr>
          <w:p w14:paraId="4E0CFECE" w14:textId="77777777" w:rsidR="00A13162" w:rsidRPr="0030353C" w:rsidRDefault="009D3C99" w:rsidP="009D3C99">
            <w:pPr>
              <w:pStyle w:val="Source"/>
              <w:spacing w:before="240" w:after="240"/>
              <w:ind w:left="34" w:right="-142"/>
            </w:pPr>
            <w:bookmarkStart w:id="5" w:name="Source"/>
            <w:bookmarkEnd w:id="5"/>
            <w:r>
              <w:t>Canada</w:t>
            </w:r>
          </w:p>
        </w:tc>
      </w:tr>
      <w:tr w:rsidR="00AC6F14" w:rsidRPr="002E6963" w14:paraId="527E17A1" w14:textId="77777777" w:rsidTr="00D20099">
        <w:trPr>
          <w:gridAfter w:val="1"/>
          <w:wAfter w:w="35" w:type="dxa"/>
          <w:cantSplit/>
        </w:trPr>
        <w:tc>
          <w:tcPr>
            <w:tcW w:w="9888" w:type="dxa"/>
            <w:gridSpan w:val="3"/>
          </w:tcPr>
          <w:p w14:paraId="5948A210" w14:textId="77777777" w:rsidR="00AC6F14" w:rsidRPr="009D3C99" w:rsidRDefault="009D3C99" w:rsidP="009D3C99">
            <w:pPr>
              <w:pStyle w:val="Title1"/>
              <w:spacing w:after="120"/>
              <w:ind w:left="34" w:right="-142"/>
              <w:rPr>
                <w:caps/>
              </w:rPr>
            </w:pPr>
            <w:bookmarkStart w:id="6" w:name="Title"/>
            <w:bookmarkEnd w:id="6"/>
            <w:r w:rsidRPr="009D3C99">
              <w:rPr>
                <w:caps/>
              </w:rPr>
              <w:t>Achieving Organizational and Operational Efficiencies at WTDC-21</w:t>
            </w:r>
          </w:p>
        </w:tc>
      </w:tr>
      <w:tr w:rsidR="00A721F4" w:rsidRPr="002E6963" w14:paraId="78F2D0F2" w14:textId="77777777" w:rsidTr="003708C3">
        <w:trPr>
          <w:gridAfter w:val="1"/>
          <w:wAfter w:w="35" w:type="dxa"/>
          <w:cantSplit/>
        </w:trPr>
        <w:tc>
          <w:tcPr>
            <w:tcW w:w="9888" w:type="dxa"/>
            <w:gridSpan w:val="3"/>
            <w:tcBorders>
              <w:bottom w:val="single" w:sz="4" w:space="0" w:color="auto"/>
            </w:tcBorders>
          </w:tcPr>
          <w:p w14:paraId="4A5D50D5" w14:textId="77777777" w:rsidR="00A721F4" w:rsidRPr="00A721F4" w:rsidRDefault="00A721F4" w:rsidP="00D20099">
            <w:pPr>
              <w:ind w:left="34" w:right="-142"/>
            </w:pPr>
          </w:p>
        </w:tc>
      </w:tr>
      <w:tr w:rsidR="00A721F4" w:rsidRPr="002E6963" w14:paraId="5B90B54A" w14:textId="77777777" w:rsidTr="003708C3">
        <w:trPr>
          <w:gridAfter w:val="1"/>
          <w:wAfter w:w="35" w:type="dxa"/>
          <w:cantSplit/>
        </w:trPr>
        <w:tc>
          <w:tcPr>
            <w:tcW w:w="9888" w:type="dxa"/>
            <w:gridSpan w:val="3"/>
            <w:tcBorders>
              <w:top w:val="single" w:sz="4" w:space="0" w:color="auto"/>
              <w:left w:val="single" w:sz="4" w:space="0" w:color="auto"/>
              <w:bottom w:val="single" w:sz="4" w:space="0" w:color="auto"/>
              <w:right w:val="single" w:sz="4" w:space="0" w:color="auto"/>
            </w:tcBorders>
          </w:tcPr>
          <w:p w14:paraId="1646BE64" w14:textId="77777777" w:rsidR="00A721F4" w:rsidRPr="00D9621A" w:rsidRDefault="00A721F4" w:rsidP="003708C3">
            <w:pPr>
              <w:spacing w:before="240"/>
              <w:rPr>
                <w:b/>
                <w:bCs/>
                <w:szCs w:val="24"/>
              </w:rPr>
            </w:pPr>
            <w:r w:rsidRPr="00D9621A">
              <w:rPr>
                <w:b/>
                <w:bCs/>
                <w:szCs w:val="24"/>
              </w:rPr>
              <w:t>Summary:</w:t>
            </w:r>
          </w:p>
          <w:p w14:paraId="3302BA27" w14:textId="36E6AC04" w:rsidR="00A721F4" w:rsidRPr="00D9621A" w:rsidRDefault="009D3C99" w:rsidP="003708C3">
            <w:pPr>
              <w:rPr>
                <w:szCs w:val="24"/>
              </w:rPr>
            </w:pPr>
            <w:bookmarkStart w:id="7" w:name="Abstract"/>
            <w:bookmarkEnd w:id="7"/>
            <w:r>
              <w:rPr>
                <w:szCs w:val="24"/>
              </w:rPr>
              <w:t xml:space="preserve">This </w:t>
            </w:r>
            <w:r w:rsidR="00656673">
              <w:rPr>
                <w:szCs w:val="24"/>
              </w:rPr>
              <w:t>contribution</w:t>
            </w:r>
            <w:r>
              <w:rPr>
                <w:szCs w:val="24"/>
              </w:rPr>
              <w:t xml:space="preserve"> proposes the creation of a Working Group or Ad Hoc Group of TDAG, tasked with identifying areas where WTDC-21 organizational and operational efficiencies could be achieved, and consequently assist the BDT in establishing a streamlined and focused plan of action which responds to the needs of the ITU-D membership within its human and financial resource limitations. </w:t>
            </w:r>
          </w:p>
          <w:p w14:paraId="0AAC2A03" w14:textId="77777777" w:rsidR="00A721F4" w:rsidRPr="00D9621A" w:rsidRDefault="00A721F4" w:rsidP="003708C3">
            <w:pPr>
              <w:rPr>
                <w:b/>
                <w:bCs/>
                <w:szCs w:val="24"/>
              </w:rPr>
            </w:pPr>
            <w:r w:rsidRPr="005E090D">
              <w:rPr>
                <w:b/>
                <w:bCs/>
              </w:rPr>
              <w:t>Action required:</w:t>
            </w:r>
          </w:p>
          <w:p w14:paraId="09D45F47" w14:textId="48E2B703" w:rsidR="00A721F4" w:rsidRPr="00D9621A" w:rsidRDefault="009D3C99" w:rsidP="003708C3">
            <w:pPr>
              <w:rPr>
                <w:szCs w:val="24"/>
              </w:rPr>
            </w:pPr>
            <w:bookmarkStart w:id="8" w:name="ActionRequired"/>
            <w:bookmarkEnd w:id="8"/>
            <w:r>
              <w:rPr>
                <w:szCs w:val="24"/>
              </w:rPr>
              <w:t>Action</w:t>
            </w:r>
            <w:r w:rsidR="00EF6CE5">
              <w:rPr>
                <w:szCs w:val="24"/>
              </w:rPr>
              <w:t xml:space="preserve"> to organize a comprehensive reform strategy in the preparations for WTDC-21.</w:t>
            </w:r>
          </w:p>
          <w:p w14:paraId="3357E463" w14:textId="77777777" w:rsidR="00A721F4" w:rsidRPr="00D9621A" w:rsidRDefault="00A721F4" w:rsidP="003708C3">
            <w:pPr>
              <w:rPr>
                <w:b/>
                <w:bCs/>
                <w:szCs w:val="24"/>
              </w:rPr>
            </w:pPr>
            <w:r w:rsidRPr="00D9621A">
              <w:rPr>
                <w:b/>
                <w:bCs/>
                <w:szCs w:val="24"/>
              </w:rPr>
              <w:t>References:</w:t>
            </w:r>
          </w:p>
          <w:p w14:paraId="1FF0E859" w14:textId="32953EA0" w:rsidR="00A721F4" w:rsidRDefault="00EF6CE5" w:rsidP="00AA087E">
            <w:pPr>
              <w:spacing w:after="120"/>
            </w:pPr>
            <w:bookmarkStart w:id="9" w:name="References"/>
            <w:bookmarkEnd w:id="9"/>
            <w:r>
              <w:t>Reports of the First and Second Web Dialogues on WTDC Reform</w:t>
            </w:r>
            <w:r w:rsidR="00A17126">
              <w:t>.</w:t>
            </w:r>
          </w:p>
          <w:p w14:paraId="4DE16947" w14:textId="4AF04F93" w:rsidR="0085165A" w:rsidRPr="00D9621A" w:rsidRDefault="00D57DDE" w:rsidP="00AA087E">
            <w:pPr>
              <w:spacing w:after="120"/>
            </w:pPr>
            <w:r>
              <w:t>Document TDAG-20/46 (Streamli</w:t>
            </w:r>
            <w:r w:rsidR="00355CEA">
              <w:t xml:space="preserve">ning PP Resolution 58 and WTDC Resolution 31); </w:t>
            </w:r>
            <w:r w:rsidR="00C43AB4">
              <w:t>Document T</w:t>
            </w:r>
            <w:r w:rsidR="00511E85">
              <w:t>DAG-</w:t>
            </w:r>
            <w:r w:rsidR="00BE3CB7">
              <w:t>20</w:t>
            </w:r>
            <w:r w:rsidR="0082096C">
              <w:t>/43 (Preparations for WTDC-21)</w:t>
            </w:r>
            <w:r>
              <w:t xml:space="preserve">; </w:t>
            </w:r>
            <w:r w:rsidR="00AB50E5">
              <w:t xml:space="preserve">Document </w:t>
            </w:r>
            <w:r w:rsidR="00E07CAE">
              <w:t>T</w:t>
            </w:r>
            <w:r w:rsidR="00511E85">
              <w:t>D</w:t>
            </w:r>
            <w:r w:rsidR="00E07CAE">
              <w:t>AG-20/</w:t>
            </w:r>
            <w:r w:rsidR="002554CE">
              <w:t xml:space="preserve">22 (LS/R on Streamlining Resolutions); </w:t>
            </w:r>
            <w:r w:rsidR="006320B3">
              <w:t>Document TDAG</w:t>
            </w:r>
            <w:r w:rsidR="00792A82">
              <w:t xml:space="preserve">-20/28 (2019 </w:t>
            </w:r>
            <w:r w:rsidR="001B408C">
              <w:t>Progress Report on the Implementation of Results-</w:t>
            </w:r>
            <w:r w:rsidR="00E707E7">
              <w:t>B</w:t>
            </w:r>
            <w:r w:rsidR="001B408C">
              <w:t xml:space="preserve">ased Management </w:t>
            </w:r>
            <w:r w:rsidR="00E707E7">
              <w:t>in BDT</w:t>
            </w:r>
            <w:r w:rsidR="00001396">
              <w:t xml:space="preserve">; </w:t>
            </w:r>
            <w:r w:rsidR="005F4EDC">
              <w:t>Document TDAG-20/</w:t>
            </w:r>
            <w:r w:rsidR="00D51E28">
              <w:t>34Rev.1</w:t>
            </w:r>
            <w:r w:rsidR="004509BD">
              <w:t xml:space="preserve"> (</w:t>
            </w:r>
            <w:r w:rsidR="004E4A0E">
              <w:t>Incoming LS – LS on Streamlining Resolutions</w:t>
            </w:r>
            <w:r w:rsidR="00284CDC">
              <w:t>)</w:t>
            </w:r>
          </w:p>
        </w:tc>
      </w:tr>
    </w:tbl>
    <w:p w14:paraId="6E6F7086" w14:textId="77777777" w:rsidR="00AC6F14" w:rsidRDefault="00AC6F14" w:rsidP="00D20099">
      <w:pPr>
        <w:ind w:left="34" w:right="-142"/>
      </w:pPr>
    </w:p>
    <w:p w14:paraId="5FA6A393" w14:textId="77777777" w:rsidR="00AA087E" w:rsidRDefault="00AA087E">
      <w:pPr>
        <w:tabs>
          <w:tab w:val="clear" w:pos="794"/>
          <w:tab w:val="clear" w:pos="1191"/>
          <w:tab w:val="clear" w:pos="1588"/>
          <w:tab w:val="clear" w:pos="1985"/>
        </w:tabs>
        <w:overflowPunct/>
        <w:autoSpaceDE/>
        <w:autoSpaceDN/>
        <w:adjustRightInd/>
        <w:spacing w:before="0"/>
        <w:textAlignment w:val="auto"/>
      </w:pPr>
      <w:bookmarkStart w:id="10" w:name="Proposal"/>
      <w:bookmarkEnd w:id="10"/>
      <w:r>
        <w:br w:type="page"/>
      </w:r>
    </w:p>
    <w:p w14:paraId="02C5FAB4" w14:textId="77777777" w:rsidR="00352CFE" w:rsidRPr="00352CFE" w:rsidRDefault="00352CFE" w:rsidP="00352CFE">
      <w:pPr>
        <w:tabs>
          <w:tab w:val="clear" w:pos="794"/>
          <w:tab w:val="clear" w:pos="1191"/>
          <w:tab w:val="clear" w:pos="1588"/>
          <w:tab w:val="clear" w:pos="1985"/>
        </w:tabs>
        <w:spacing w:after="120"/>
        <w:ind w:left="34" w:right="-142"/>
        <w:jc w:val="center"/>
        <w:rPr>
          <w:b/>
          <w:bCs/>
        </w:rPr>
      </w:pPr>
      <w:r w:rsidRPr="00352CFE">
        <w:rPr>
          <w:b/>
          <w:bCs/>
        </w:rPr>
        <w:lastRenderedPageBreak/>
        <w:t>World Telecommunication Development Conferences</w:t>
      </w:r>
    </w:p>
    <w:p w14:paraId="002F817E" w14:textId="77777777" w:rsidR="00352CFE" w:rsidRPr="00352CFE" w:rsidRDefault="00352CFE" w:rsidP="00352CFE">
      <w:pPr>
        <w:tabs>
          <w:tab w:val="clear" w:pos="794"/>
          <w:tab w:val="clear" w:pos="1191"/>
          <w:tab w:val="clear" w:pos="1588"/>
          <w:tab w:val="clear" w:pos="1985"/>
        </w:tabs>
        <w:spacing w:after="120"/>
        <w:ind w:left="34" w:right="-142"/>
        <w:jc w:val="center"/>
        <w:rPr>
          <w:b/>
          <w:bCs/>
        </w:rPr>
      </w:pPr>
      <w:r w:rsidRPr="00352CFE">
        <w:rPr>
          <w:b/>
          <w:bCs/>
        </w:rPr>
        <w:t>Achieving Organizational and Operational Efficiencies at WTDC-21</w:t>
      </w:r>
    </w:p>
    <w:p w14:paraId="1C252092" w14:textId="77777777" w:rsidR="00352CFE" w:rsidRPr="00352CFE" w:rsidRDefault="00352CFE" w:rsidP="00352CFE">
      <w:pPr>
        <w:tabs>
          <w:tab w:val="clear" w:pos="794"/>
          <w:tab w:val="clear" w:pos="1191"/>
          <w:tab w:val="clear" w:pos="1588"/>
          <w:tab w:val="clear" w:pos="1985"/>
        </w:tabs>
        <w:spacing w:after="120"/>
        <w:ind w:left="34" w:right="-142"/>
        <w:rPr>
          <w:b/>
          <w:bCs/>
        </w:rPr>
      </w:pPr>
      <w:r w:rsidRPr="00352CFE">
        <w:rPr>
          <w:b/>
          <w:bCs/>
        </w:rPr>
        <w:t>Introduction</w:t>
      </w:r>
    </w:p>
    <w:p w14:paraId="7B48F3CB" w14:textId="77777777" w:rsidR="00352CFE" w:rsidRDefault="00352CFE" w:rsidP="00F236BC">
      <w:pPr>
        <w:tabs>
          <w:tab w:val="clear" w:pos="794"/>
          <w:tab w:val="clear" w:pos="1191"/>
          <w:tab w:val="clear" w:pos="1588"/>
          <w:tab w:val="clear" w:pos="1985"/>
        </w:tabs>
        <w:spacing w:after="120"/>
        <w:ind w:left="34" w:right="-142"/>
      </w:pPr>
      <w:r>
        <w:t xml:space="preserve">WTDCs have played an important role in providing direction and guidance to the BDT. Nonetheless, since the inception of the WTDC in 1994 there has been no review undertaken to identify areas where organizational and operational efficiencies could be achieved. Such efficiencies will assist the BDT in establishing a streamlined and focused plan of action which responds to the needs of the ITU-D membership within its human and financial resource limitations. </w:t>
      </w:r>
    </w:p>
    <w:p w14:paraId="53CAA4C6" w14:textId="21B3FBA1" w:rsidR="005C326F" w:rsidRDefault="00EF6CE5" w:rsidP="00F236BC">
      <w:pPr>
        <w:spacing w:after="120"/>
        <w:ind w:right="-142"/>
      </w:pPr>
      <w:r>
        <w:t xml:space="preserve">The two Web Dialogues held virtually on WTDC reform have provided an excellent pathway to achieving meaningful reform prior to and during WTDC-21. It is Canada’s view that the following considerations also be </w:t>
      </w:r>
      <w:proofErr w:type="gramStart"/>
      <w:r>
        <w:t>taken into account</w:t>
      </w:r>
      <w:proofErr w:type="gramEnd"/>
      <w:r>
        <w:t xml:space="preserve"> in the formulation of a way forward to ensure a successful Conference:</w:t>
      </w:r>
    </w:p>
    <w:p w14:paraId="1B3F45A2" w14:textId="73419991" w:rsidR="00352CFE" w:rsidRDefault="00352CFE" w:rsidP="004B6501">
      <w:pPr>
        <w:pStyle w:val="ListParagraph"/>
        <w:numPr>
          <w:ilvl w:val="0"/>
          <w:numId w:val="5"/>
        </w:numPr>
        <w:spacing w:after="120"/>
        <w:ind w:left="714" w:right="-142" w:hanging="357"/>
        <w:contextualSpacing w:val="0"/>
      </w:pPr>
      <w:r w:rsidRPr="004B6501">
        <w:rPr>
          <w:b/>
          <w:u w:val="single"/>
        </w:rPr>
        <w:t>Streamlining of WTDC resolutions; examine their number and subject matter</w:t>
      </w:r>
      <w:r>
        <w:t xml:space="preserve">. </w:t>
      </w:r>
    </w:p>
    <w:p w14:paraId="51EE687F" w14:textId="6213FCA2" w:rsidR="00822F83" w:rsidRDefault="00822F83" w:rsidP="00F236BC">
      <w:pPr>
        <w:pStyle w:val="ListParagraph"/>
        <w:spacing w:after="120"/>
        <w:contextualSpacing w:val="0"/>
      </w:pPr>
      <w:r>
        <w:t xml:space="preserve">One of the key activities tasked to TDAG in preparation for WTDC-21 is in the review of WTDC resolutions including actions associated with streamlining. In the preparations for WTSA-20, TSAG has established a Rapporteur Group to review WTSA Resolutions, </w:t>
      </w:r>
      <w:r w:rsidRPr="00822F83">
        <w:rPr>
          <w:i/>
          <w:iCs/>
        </w:rPr>
        <w:t>inter alia</w:t>
      </w:r>
      <w:r>
        <w:t>, to avoid repetitions and duplication with the Resolutions of the Plenipotentiary Conference</w:t>
      </w:r>
      <w:proofErr w:type="gramStart"/>
      <w:r w:rsidR="00CA151B">
        <w:t>.</w:t>
      </w:r>
      <w:r>
        <w:t xml:space="preserve"> .</w:t>
      </w:r>
      <w:proofErr w:type="gramEnd"/>
      <w:r>
        <w:t xml:space="preserve"> In a recent TSAG Liaison Statement (LS-30R1), a related approach of ‘streamlining-by-restructuring’ was identified through an analysis of the operational parts (resolves, instructs, etc.) of WTSA/PP/WTDC/RA/Council Resolutions in terms of giving specific tasks to ITU-T study groups and TSAG. This approach can be duplicated by TDAG to ensure that the WTDC is well-equipped to reduce the number and length of its Resolutions.</w:t>
      </w:r>
    </w:p>
    <w:p w14:paraId="13EF0AAC" w14:textId="41EF3F04" w:rsidR="00AB2EF7" w:rsidRPr="00AB2EF7" w:rsidRDefault="00352CFE" w:rsidP="00F236BC">
      <w:pPr>
        <w:pStyle w:val="ListParagraph"/>
        <w:numPr>
          <w:ilvl w:val="0"/>
          <w:numId w:val="5"/>
        </w:numPr>
        <w:spacing w:after="120"/>
        <w:ind w:left="714" w:right="-142" w:hanging="357"/>
        <w:contextualSpacing w:val="0"/>
        <w:rPr>
          <w:rFonts w:ascii="Calibri" w:hAnsi="Calibri"/>
          <w:sz w:val="22"/>
          <w:lang w:val="en-US"/>
        </w:rPr>
      </w:pPr>
      <w:r w:rsidRPr="004B6501">
        <w:rPr>
          <w:b/>
          <w:u w:val="single"/>
        </w:rPr>
        <w:t>Process of Regional Preparatory Meetings</w:t>
      </w:r>
      <w:r>
        <w:t xml:space="preserve"> </w:t>
      </w:r>
    </w:p>
    <w:p w14:paraId="4C5EA062" w14:textId="12514570" w:rsidR="00C436F2" w:rsidRDefault="00822F83" w:rsidP="00F236BC">
      <w:pPr>
        <w:pStyle w:val="ListParagraph"/>
        <w:spacing w:after="120"/>
        <w:ind w:left="714" w:right="-142"/>
        <w:contextualSpacing w:val="0"/>
      </w:pPr>
      <w:r>
        <w:t xml:space="preserve">As far as the preparatory process is concerned, </w:t>
      </w:r>
      <w:r w:rsidR="005C326F">
        <w:t>there is a</w:t>
      </w:r>
      <w:r>
        <w:t xml:space="preserve"> need to streamline and simplify the process as much as possible. In general, this would mean placing the onus on the regional organizations to identify their own limited number of priorities (perhaps 2) (the word ‘initiatives’ is too ambiguous and should be changed). To one of the RTO meetings an RPM could be attached, which would be of limited duration and could, for example, assist the regions in formulating their priorities against existing programmes and activities, and in discussing funding opportunities and limitations. </w:t>
      </w:r>
    </w:p>
    <w:p w14:paraId="506DFDD8" w14:textId="52E18A04" w:rsidR="00822F83" w:rsidRPr="004B6501" w:rsidRDefault="008756AF" w:rsidP="004B6501">
      <w:pPr>
        <w:pStyle w:val="ListParagraph"/>
        <w:spacing w:after="120"/>
        <w:ind w:left="714" w:right="-142"/>
        <w:contextualSpacing w:val="0"/>
        <w:rPr>
          <w:rFonts w:ascii="Calibri" w:hAnsi="Calibri"/>
          <w:sz w:val="22"/>
          <w:lang w:val="en-US"/>
        </w:rPr>
      </w:pPr>
      <w:r>
        <w:t xml:space="preserve">It should be noted that </w:t>
      </w:r>
      <w:proofErr w:type="gramStart"/>
      <w:r w:rsidR="002333CA">
        <w:t>the majority of</w:t>
      </w:r>
      <w:proofErr w:type="gramEnd"/>
      <w:r w:rsidR="002333CA">
        <w:t xml:space="preserve"> RTO meetings are open to representation from </w:t>
      </w:r>
      <w:r w:rsidR="00265387">
        <w:t xml:space="preserve">other RTOs in the interest of </w:t>
      </w:r>
      <w:r w:rsidR="009F0432">
        <w:t xml:space="preserve">promoting inter-regional exchange and consultation. </w:t>
      </w:r>
      <w:r w:rsidR="00822F83">
        <w:t xml:space="preserve">One </w:t>
      </w:r>
      <w:r w:rsidR="00A337FF">
        <w:t xml:space="preserve">dedicated </w:t>
      </w:r>
      <w:r w:rsidR="00822F83">
        <w:t>inter-regional meeting could be organized closer to the Conference to provide an opportunity for discussion on areas of commonality and where further negotiation may be necessary.</w:t>
      </w:r>
    </w:p>
    <w:p w14:paraId="0B171D9F" w14:textId="242168C5" w:rsidR="00352CFE" w:rsidRPr="004B6501" w:rsidRDefault="00352CFE" w:rsidP="004B6501">
      <w:pPr>
        <w:pStyle w:val="ListParagraph"/>
        <w:numPr>
          <w:ilvl w:val="0"/>
          <w:numId w:val="5"/>
        </w:numPr>
        <w:spacing w:after="120"/>
        <w:ind w:left="714" w:right="-142" w:hanging="357"/>
        <w:contextualSpacing w:val="0"/>
        <w:rPr>
          <w:b/>
          <w:u w:val="single"/>
        </w:rPr>
      </w:pPr>
      <w:r w:rsidRPr="004B6501">
        <w:rPr>
          <w:b/>
          <w:u w:val="single"/>
        </w:rPr>
        <w:t>Continued need for a Conference Declaration</w:t>
      </w:r>
    </w:p>
    <w:p w14:paraId="1ACEDFCC" w14:textId="236522BB" w:rsidR="00681873" w:rsidRDefault="00822F83" w:rsidP="00F236BC">
      <w:pPr>
        <w:pStyle w:val="ListParagraph"/>
        <w:spacing w:after="120"/>
        <w:contextualSpacing w:val="0"/>
      </w:pPr>
      <w:r>
        <w:t>Regarding the Declaration, it would be preferable to have a brief, concise statement at the end of the Conference which reflects the main features of the agreed Action Plan and the strategies necessary to carry them out within the BDT’s resource constraints.</w:t>
      </w:r>
      <w:r w:rsidR="00E76BD0">
        <w:t xml:space="preserve"> A streamlined Declaration </w:t>
      </w:r>
      <w:r w:rsidR="00392198">
        <w:t>would function the same way a Communiqu</w:t>
      </w:r>
      <w:r w:rsidR="00DD2728">
        <w:rPr>
          <w:rFonts w:cstheme="minorHAnsi"/>
        </w:rPr>
        <w:t>é</w:t>
      </w:r>
      <w:r w:rsidR="00DD2728">
        <w:t xml:space="preserve"> does at the end of many meetings</w:t>
      </w:r>
      <w:r w:rsidR="00AC140E">
        <w:t>.</w:t>
      </w:r>
    </w:p>
    <w:p w14:paraId="197ABBB7" w14:textId="0B5C03BA" w:rsidR="00DA4974" w:rsidRDefault="0015036F" w:rsidP="00F236BC">
      <w:pPr>
        <w:pStyle w:val="ListParagraph"/>
        <w:spacing w:after="120"/>
        <w:contextualSpacing w:val="0"/>
      </w:pPr>
      <w:r>
        <w:t xml:space="preserve">It would be feasible for </w:t>
      </w:r>
      <w:r w:rsidR="009641CA">
        <w:t xml:space="preserve">the Reform Working Group to </w:t>
      </w:r>
      <w:r w:rsidR="00BF3DB6">
        <w:t>prepare a draft outline of the structure of the Declaration</w:t>
      </w:r>
      <w:r w:rsidR="005B70D8">
        <w:t xml:space="preserve"> which would identify its constituent elements. A streamlined Declaration</w:t>
      </w:r>
      <w:r w:rsidR="00AC140E">
        <w:t>.</w:t>
      </w:r>
      <w:r w:rsidR="00A725BB">
        <w:t xml:space="preserve"> </w:t>
      </w:r>
    </w:p>
    <w:p w14:paraId="10D811BD" w14:textId="78DC16DF" w:rsidR="00352CFE" w:rsidRPr="004B6501" w:rsidRDefault="00352CFE" w:rsidP="004B6501">
      <w:pPr>
        <w:pStyle w:val="ListParagraph"/>
        <w:numPr>
          <w:ilvl w:val="0"/>
          <w:numId w:val="5"/>
        </w:numPr>
        <w:spacing w:after="120"/>
        <w:ind w:left="714" w:right="-142" w:hanging="357"/>
        <w:contextualSpacing w:val="0"/>
        <w:rPr>
          <w:b/>
          <w:u w:val="single"/>
        </w:rPr>
      </w:pPr>
      <w:r w:rsidRPr="004B6501">
        <w:rPr>
          <w:b/>
          <w:u w:val="single"/>
        </w:rPr>
        <w:lastRenderedPageBreak/>
        <w:t>Strengthening Results-Based Management within ITU-D</w:t>
      </w:r>
    </w:p>
    <w:p w14:paraId="08E1E509" w14:textId="71F6A4E7" w:rsidR="002C2841" w:rsidRDefault="00446B55" w:rsidP="00F236BC">
      <w:pPr>
        <w:pStyle w:val="ListParagraph"/>
        <w:spacing w:after="120"/>
        <w:ind w:left="714" w:right="-142"/>
        <w:contextualSpacing w:val="0"/>
      </w:pPr>
      <w:r>
        <w:t>As is stated in Document TDAG-20/28, in 2019 the BDT undertook a comprehensive overhaul of its use of RBM to make this fundamental tool more relevant for the implementation of all work programmes, for use as a managerial decision and monitoring tool</w:t>
      </w:r>
      <w:r w:rsidR="002C2841">
        <w:t>, for measuring BDT’s impact and efficacy, and as a platform to engage with internal and external partners. It will also be used to replicate and scale up successful projects and work programme initiatives.</w:t>
      </w:r>
      <w:r w:rsidR="00AD5AD9">
        <w:t xml:space="preserve"> </w:t>
      </w:r>
    </w:p>
    <w:p w14:paraId="2F6818D5" w14:textId="3C7B4CB9" w:rsidR="00AD5AD9" w:rsidRDefault="00AD5AD9" w:rsidP="004B6501">
      <w:pPr>
        <w:pStyle w:val="ListParagraph"/>
        <w:spacing w:after="120"/>
        <w:ind w:left="714" w:right="-142"/>
        <w:contextualSpacing w:val="0"/>
      </w:pPr>
      <w:r>
        <w:t>RPM can also be used to develop an efficient overlay between the BDT areas of action and the implementation of the SDGs, taking into consideration the WSIS Action Lines (C2, C5 and C6) for which ITU has lead responsibility.</w:t>
      </w:r>
    </w:p>
    <w:p w14:paraId="7C79441D" w14:textId="17F00704" w:rsidR="00446B55" w:rsidRDefault="002C2841" w:rsidP="00F236BC">
      <w:pPr>
        <w:pStyle w:val="ListParagraph"/>
        <w:spacing w:after="120"/>
        <w:ind w:left="714" w:right="-142"/>
        <w:contextualSpacing w:val="0"/>
      </w:pPr>
      <w:r>
        <w:t xml:space="preserve">In order to maintain the momentum in implementing these measures, </w:t>
      </w:r>
      <w:r w:rsidR="005255DD">
        <w:t>compan</w:t>
      </w:r>
      <w:r w:rsidR="005B41FF">
        <w:t xml:space="preserve">ion </w:t>
      </w:r>
      <w:r w:rsidR="00B3217B">
        <w:t>actions</w:t>
      </w:r>
      <w:r>
        <w:t xml:space="preserve"> to reform the WTDC process </w:t>
      </w:r>
      <w:proofErr w:type="gramStart"/>
      <w:r w:rsidR="00DC64A3">
        <w:t xml:space="preserve">as a whole </w:t>
      </w:r>
      <w:r>
        <w:t>will</w:t>
      </w:r>
      <w:proofErr w:type="gramEnd"/>
      <w:r>
        <w:t xml:space="preserve"> be essential.</w:t>
      </w:r>
    </w:p>
    <w:p w14:paraId="178D665F" w14:textId="62194217" w:rsidR="00AD5AD9" w:rsidRPr="00AD5AD9" w:rsidRDefault="00AD5AD9" w:rsidP="00F236BC">
      <w:pPr>
        <w:pStyle w:val="ListParagraph"/>
        <w:numPr>
          <w:ilvl w:val="0"/>
          <w:numId w:val="5"/>
        </w:numPr>
        <w:spacing w:after="120"/>
        <w:ind w:right="-142"/>
        <w:contextualSpacing w:val="0"/>
      </w:pPr>
      <w:r>
        <w:rPr>
          <w:b/>
          <w:bCs/>
          <w:u w:val="single"/>
        </w:rPr>
        <w:t>Review of the Strategic Plan</w:t>
      </w:r>
    </w:p>
    <w:p w14:paraId="31FE3718" w14:textId="082E76E3" w:rsidR="00AD5AD9" w:rsidRDefault="00AD5AD9" w:rsidP="00F236BC">
      <w:pPr>
        <w:pStyle w:val="ListParagraph"/>
        <w:spacing w:after="120"/>
        <w:contextualSpacing w:val="0"/>
      </w:pPr>
      <w:r>
        <w:t xml:space="preserve">Aside from there being nothing in the treaty texts of ITU to suggest that a review of the ITU strategic plan is necessary (this being clearly within the remit of the plenipotentiary conference), such ‘contribution’ by ITU-D should be limited to providing the BDT Director with any pertinent information that could be used in the preparation of the Sector for the Plenipotentiary Conference. TDAG and the WTDC could use the evaluation and implementation criteria in section 4 of Annex 1 to advise the Director on, for example, ITU-D’s contribution to achieving the “one ITU concept”. It would be expected that TDAG could examine further details of the Strategic Plan in the intervening period between WTDC-21 and PP-22, taking into account the outcome of the WTDC (again, it would be the role of TDAG to advise the Director, in accordance with Article 17A of the Convention, and not to ‘approve’ or ‘endorse’ the Strategic Plan). </w:t>
      </w:r>
    </w:p>
    <w:p w14:paraId="79939C9B" w14:textId="6633BEBC" w:rsidR="005C326F" w:rsidRPr="005C326F" w:rsidRDefault="005C326F" w:rsidP="00F236BC">
      <w:pPr>
        <w:pStyle w:val="ListParagraph"/>
        <w:numPr>
          <w:ilvl w:val="0"/>
          <w:numId w:val="5"/>
        </w:numPr>
        <w:spacing w:after="120"/>
        <w:contextualSpacing w:val="0"/>
      </w:pPr>
      <w:r>
        <w:rPr>
          <w:b/>
          <w:bCs/>
          <w:u w:val="single"/>
        </w:rPr>
        <w:t>Plan of Action, including programmes and regional initiatives</w:t>
      </w:r>
    </w:p>
    <w:p w14:paraId="7E649CE4" w14:textId="3C3281EB" w:rsidR="005C326F" w:rsidRDefault="005C326F" w:rsidP="00F236BC">
      <w:pPr>
        <w:pStyle w:val="ListParagraph"/>
        <w:spacing w:after="120"/>
        <w:contextualSpacing w:val="0"/>
      </w:pPr>
      <w:r>
        <w:t>Within a results-based framework, the Plan of Action needs to reflect the objectives of ITU-D and the expectations of a set of activities and programmes which can be realistically achieved. It must not be infused with a long list of unachievable actions and confused with a non-sustainable list of regional ‘initiatives’ and actions reflected in resolutions which cannot be implemented. To assist the BDT in the implementation phase of the Action Plan post-WTDC, a limited number of regional ‘priorities’, articulated through the regional organizations, and based on the defined scope of the conference, could be elaborated.</w:t>
      </w:r>
    </w:p>
    <w:p w14:paraId="78AEF8A0" w14:textId="6E49E2AE" w:rsidR="005C326F" w:rsidRPr="005C326F" w:rsidRDefault="005C326F" w:rsidP="00F236BC">
      <w:pPr>
        <w:pStyle w:val="ListParagraph"/>
        <w:numPr>
          <w:ilvl w:val="0"/>
          <w:numId w:val="5"/>
        </w:numPr>
        <w:spacing w:after="120"/>
        <w:contextualSpacing w:val="0"/>
      </w:pPr>
      <w:r>
        <w:rPr>
          <w:b/>
          <w:bCs/>
          <w:u w:val="single"/>
        </w:rPr>
        <w:t>ITU-D study</w:t>
      </w:r>
      <w:r w:rsidRPr="004B6501">
        <w:rPr>
          <w:b/>
          <w:u w:val="single"/>
        </w:rPr>
        <w:t xml:space="preserve"> group </w:t>
      </w:r>
      <w:r>
        <w:rPr>
          <w:b/>
          <w:bCs/>
          <w:u w:val="single"/>
        </w:rPr>
        <w:t>Questions</w:t>
      </w:r>
    </w:p>
    <w:p w14:paraId="36D69785" w14:textId="0ACD8D29" w:rsidR="005C326F" w:rsidRDefault="005C326F" w:rsidP="00F236BC">
      <w:pPr>
        <w:pStyle w:val="ListParagraph"/>
        <w:spacing w:after="120"/>
        <w:contextualSpacing w:val="0"/>
      </w:pPr>
      <w:r>
        <w:t xml:space="preserve">While study group Questions could be identified by the WTDC, it would seem logical that high priority Questions in general could be identified post-WTDC based on the agreed Action Plan, taking into account areas of work which could best be implemented in coordination with ITU-R or ITU-T. </w:t>
      </w:r>
    </w:p>
    <w:p w14:paraId="7CB41282" w14:textId="6E35E6C6" w:rsidR="005C326F" w:rsidRPr="004B6501" w:rsidRDefault="005C326F" w:rsidP="004B6501">
      <w:pPr>
        <w:spacing w:after="120"/>
      </w:pPr>
      <w:r>
        <w:rPr>
          <w:b/>
          <w:bCs/>
        </w:rPr>
        <w:t>Proposal</w:t>
      </w:r>
    </w:p>
    <w:p w14:paraId="16DDC98F" w14:textId="5B798D5A" w:rsidR="00F236BC" w:rsidRDefault="005C326F" w:rsidP="004B6501">
      <w:r>
        <w:t>It is proposed that a working group or correspondence group of TDAG be established to carry out a detailed set of tasks identified in part in the proposals from the Web Dialogues, and in part on the proposals submitted to TDAG. A reformed and focused WTDC-21 offers the potential for the establishment of a programme of work which is sensitive to the needs of developing countries but is more efficient, effective and fit-for-purpose.</w:t>
      </w:r>
    </w:p>
    <w:p w14:paraId="6ED71B5E" w14:textId="13BB6351" w:rsidR="001F6259" w:rsidRDefault="003C58BF" w:rsidP="004B6501">
      <w:pPr>
        <w:spacing w:before="0"/>
        <w:jc w:val="center"/>
      </w:pPr>
      <w:r>
        <w:t>_____________</w:t>
      </w:r>
      <w:r w:rsidR="004122C5">
        <w:t>_</w:t>
      </w:r>
      <w:r w:rsidR="00922EC1">
        <w:t>_</w:t>
      </w:r>
    </w:p>
    <w:sectPr w:rsidR="001F6259" w:rsidSect="00D20099">
      <w:headerReference w:type="even" r:id="rId13"/>
      <w:headerReference w:type="default" r:id="rId14"/>
      <w:footerReference w:type="even" r:id="rId15"/>
      <w:footerReference w:type="default" r:id="rId16"/>
      <w:headerReference w:type="first" r:id="rId17"/>
      <w:footerReference w:type="first" r:id="rId18"/>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CB181" w14:textId="77777777" w:rsidR="00B52146" w:rsidRDefault="00B52146">
      <w:r>
        <w:separator/>
      </w:r>
    </w:p>
  </w:endnote>
  <w:endnote w:type="continuationSeparator" w:id="0">
    <w:p w14:paraId="2EA938E2" w14:textId="77777777" w:rsidR="00B52146" w:rsidRDefault="00B52146">
      <w:r>
        <w:continuationSeparator/>
      </w:r>
    </w:p>
  </w:endnote>
  <w:endnote w:type="continuationNotice" w:id="1">
    <w:p w14:paraId="1BA4EE29" w14:textId="77777777" w:rsidR="00B52146" w:rsidRDefault="00B521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2E0B" w14:textId="77777777" w:rsidR="00B52146" w:rsidRDefault="00B52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116A" w14:textId="77777777" w:rsidR="00B52146" w:rsidRPr="004B6501" w:rsidRDefault="00B52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6061C" w:rsidRPr="004D495C" w14:paraId="260FA5AD" w14:textId="77777777" w:rsidTr="00CF44F0">
      <w:tc>
        <w:tcPr>
          <w:tcW w:w="1526" w:type="dxa"/>
          <w:tcBorders>
            <w:top w:val="single" w:sz="4" w:space="0" w:color="000000"/>
          </w:tcBorders>
          <w:shd w:val="clear" w:color="auto" w:fill="auto"/>
        </w:tcPr>
        <w:p w14:paraId="4447920B"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8BA8066"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75DC78B5" w14:textId="2610FA5D" w:rsidR="0006061C" w:rsidRPr="00255A4F" w:rsidRDefault="00656673" w:rsidP="00656673">
          <w:pPr>
            <w:pStyle w:val="FirstFooter"/>
            <w:tabs>
              <w:tab w:val="left" w:pos="2302"/>
            </w:tabs>
            <w:rPr>
              <w:sz w:val="18"/>
              <w:szCs w:val="18"/>
              <w:lang w:val="en-US"/>
            </w:rPr>
          </w:pPr>
          <w:bookmarkStart w:id="11" w:name="OrgName"/>
          <w:bookmarkEnd w:id="11"/>
          <w:proofErr w:type="spellStart"/>
          <w:r>
            <w:rPr>
              <w:sz w:val="18"/>
              <w:szCs w:val="18"/>
              <w:lang w:val="en-US"/>
            </w:rPr>
            <w:t>Mr</w:t>
          </w:r>
          <w:proofErr w:type="spellEnd"/>
          <w:r>
            <w:rPr>
              <w:sz w:val="18"/>
              <w:szCs w:val="18"/>
              <w:lang w:val="en-US"/>
            </w:rPr>
            <w:t xml:space="preserve"> </w:t>
          </w:r>
          <w:r w:rsidR="009D3C99">
            <w:rPr>
              <w:sz w:val="18"/>
              <w:szCs w:val="18"/>
              <w:lang w:val="en-US"/>
            </w:rPr>
            <w:t>Santiago Reyes-</w:t>
          </w:r>
          <w:proofErr w:type="spellStart"/>
          <w:r w:rsidR="009D3C99">
            <w:rPr>
              <w:sz w:val="18"/>
              <w:szCs w:val="18"/>
              <w:lang w:val="en-US"/>
            </w:rPr>
            <w:t>Borda</w:t>
          </w:r>
          <w:proofErr w:type="spellEnd"/>
          <w:r w:rsidR="009D3C99">
            <w:rPr>
              <w:sz w:val="18"/>
              <w:szCs w:val="18"/>
              <w:lang w:val="en-US"/>
            </w:rPr>
            <w:t xml:space="preserve">, </w:t>
          </w:r>
          <w:r w:rsidRPr="00656673">
            <w:rPr>
              <w:sz w:val="18"/>
              <w:szCs w:val="18"/>
              <w:lang w:val="en-US"/>
            </w:rPr>
            <w:t>Innovation, Science and Economic Development Canada</w:t>
          </w:r>
          <w:r w:rsidR="009D3C99">
            <w:rPr>
              <w:sz w:val="18"/>
              <w:szCs w:val="18"/>
              <w:lang w:val="en-US"/>
            </w:rPr>
            <w:t>, Canada</w:t>
          </w:r>
        </w:p>
      </w:tc>
    </w:tr>
    <w:tr w:rsidR="0006061C" w:rsidRPr="004D495C" w14:paraId="294C1AE3" w14:textId="77777777" w:rsidTr="00CF44F0">
      <w:tc>
        <w:tcPr>
          <w:tcW w:w="1526" w:type="dxa"/>
          <w:shd w:val="clear" w:color="auto" w:fill="auto"/>
        </w:tcPr>
        <w:p w14:paraId="4153A34E"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40ACCFC9"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40AC33CD" w14:textId="38F81F24" w:rsidR="0006061C" w:rsidRPr="001647C3" w:rsidRDefault="009D3C99" w:rsidP="0006061C">
          <w:pPr>
            <w:pStyle w:val="FirstFooter"/>
            <w:tabs>
              <w:tab w:val="left" w:pos="2302"/>
            </w:tabs>
            <w:rPr>
              <w:sz w:val="18"/>
              <w:szCs w:val="18"/>
              <w:lang w:val="en-US"/>
            </w:rPr>
          </w:pPr>
          <w:bookmarkStart w:id="12" w:name="PhoneNo"/>
          <w:bookmarkEnd w:id="12"/>
          <w:r>
            <w:rPr>
              <w:sz w:val="18"/>
              <w:szCs w:val="18"/>
              <w:lang w:val="en-US"/>
            </w:rPr>
            <w:t>+1</w:t>
          </w:r>
          <w:r w:rsidR="00656673">
            <w:rPr>
              <w:sz w:val="18"/>
              <w:szCs w:val="18"/>
              <w:lang w:val="en-US"/>
            </w:rPr>
            <w:t xml:space="preserve"> </w:t>
          </w:r>
          <w:r>
            <w:rPr>
              <w:sz w:val="18"/>
              <w:szCs w:val="18"/>
              <w:lang w:val="en-US"/>
            </w:rPr>
            <w:t>343</w:t>
          </w:r>
          <w:r w:rsidR="00656673">
            <w:rPr>
              <w:sz w:val="18"/>
              <w:szCs w:val="18"/>
              <w:lang w:val="en-US"/>
            </w:rPr>
            <w:t xml:space="preserve"> </w:t>
          </w:r>
          <w:r>
            <w:rPr>
              <w:sz w:val="18"/>
              <w:szCs w:val="18"/>
              <w:lang w:val="en-US"/>
            </w:rPr>
            <w:t>291</w:t>
          </w:r>
          <w:r w:rsidR="00656673">
            <w:rPr>
              <w:sz w:val="18"/>
              <w:szCs w:val="18"/>
              <w:lang w:val="en-US"/>
            </w:rPr>
            <w:t xml:space="preserve"> </w:t>
          </w:r>
          <w:r>
            <w:rPr>
              <w:sz w:val="18"/>
              <w:szCs w:val="18"/>
              <w:lang w:val="en-US"/>
            </w:rPr>
            <w:t>3066</w:t>
          </w:r>
        </w:p>
      </w:tc>
    </w:tr>
    <w:tr w:rsidR="0006061C" w:rsidRPr="004D495C" w14:paraId="52D5D3D5" w14:textId="77777777" w:rsidTr="00CF44F0">
      <w:tc>
        <w:tcPr>
          <w:tcW w:w="1526" w:type="dxa"/>
          <w:shd w:val="clear" w:color="auto" w:fill="auto"/>
        </w:tcPr>
        <w:p w14:paraId="67B04104"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6FBB2C63"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14:paraId="7AA2CE6B" w14:textId="7D359E00" w:rsidR="0006061C" w:rsidRPr="001647C3" w:rsidRDefault="00656673"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"mailto:santiago.reyes-borda@canada.ca" </w:instrText>
          </w:r>
          <w:r>
            <w:rPr>
              <w:sz w:val="18"/>
              <w:szCs w:val="18"/>
              <w:lang w:val="en-US"/>
            </w:rPr>
            <w:fldChar w:fldCharType="separate"/>
          </w:r>
          <w:r w:rsidRPr="00454865">
            <w:rPr>
              <w:rStyle w:val="Hyperlink"/>
              <w:sz w:val="18"/>
              <w:szCs w:val="18"/>
              <w:lang w:val="en-US"/>
            </w:rPr>
            <w:t>santiago.reyes-borda@canada.ca</w:t>
          </w:r>
          <w:r>
            <w:rPr>
              <w:sz w:val="18"/>
              <w:szCs w:val="18"/>
              <w:lang w:val="en-US"/>
            </w:rPr>
            <w:fldChar w:fldCharType="end"/>
          </w:r>
          <w:r>
            <w:rPr>
              <w:sz w:val="18"/>
              <w:szCs w:val="18"/>
              <w:lang w:val="en-US"/>
            </w:rPr>
            <w:t xml:space="preserve"> </w:t>
          </w:r>
        </w:p>
      </w:tc>
    </w:tr>
  </w:tbl>
  <w:p w14:paraId="702C810C" w14:textId="77777777" w:rsidR="0006061C" w:rsidRPr="00D83BF5" w:rsidRDefault="004B6501" w:rsidP="0006061C">
    <w:pPr>
      <w:jc w:val="center"/>
    </w:pPr>
    <w:hyperlink r:id="rId1" w:history="1">
      <w:r w:rsidR="0006061C" w:rsidRPr="001E252D">
        <w:rPr>
          <w:rStyle w:val="Hyperlink"/>
          <w:sz w:val="20"/>
        </w:rPr>
        <w:t>TDAG</w:t>
      </w:r>
    </w:hyperlink>
  </w:p>
  <w:p w14:paraId="765F8E0F"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48C88" w14:textId="77777777" w:rsidR="00B52146" w:rsidRDefault="00B52146">
      <w:r>
        <w:t>____________________</w:t>
      </w:r>
    </w:p>
  </w:footnote>
  <w:footnote w:type="continuationSeparator" w:id="0">
    <w:p w14:paraId="4B395600" w14:textId="77777777" w:rsidR="00B52146" w:rsidRDefault="00B52146">
      <w:r>
        <w:continuationSeparator/>
      </w:r>
    </w:p>
  </w:footnote>
  <w:footnote w:type="continuationNotice" w:id="1">
    <w:p w14:paraId="39807BAE" w14:textId="77777777" w:rsidR="00B52146" w:rsidRDefault="00B5214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518C" w14:textId="77777777" w:rsidR="00B52146" w:rsidRDefault="00B52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2B1B" w14:textId="68C2C847" w:rsidR="00721657" w:rsidRPr="00096577" w:rsidRDefault="00096577" w:rsidP="00096577">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37</w:t>
    </w:r>
    <w:r w:rsidR="00F236BC">
      <w:rPr>
        <w:sz w:val="22"/>
        <w:szCs w:val="22"/>
        <w:lang w:val="es-ES_tradnl"/>
      </w:rPr>
      <w:t>(R</w:t>
    </w:r>
    <w:r w:rsidR="00F236BC" w:rsidRPr="00F236BC">
      <w:rPr>
        <w:smallCaps/>
        <w:sz w:val="22"/>
        <w:szCs w:val="22"/>
        <w:lang w:val="es-ES_tradnl"/>
      </w:rPr>
      <w:t>ev</w:t>
    </w:r>
    <w:r w:rsidR="00F236BC">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52146">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FAEB" w14:textId="77777777" w:rsidR="00B52146" w:rsidRDefault="00B52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3911"/>
    <w:multiLevelType w:val="hybridMultilevel"/>
    <w:tmpl w:val="0C5202CE"/>
    <w:lvl w:ilvl="0" w:tplc="D8AA70E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D6386"/>
    <w:multiLevelType w:val="hybridMultilevel"/>
    <w:tmpl w:val="CAE2FEF2"/>
    <w:lvl w:ilvl="0" w:tplc="D8AA70EE">
      <w:start w:val="1"/>
      <w:numFmt w:val="bullet"/>
      <w:lvlText w:val=""/>
      <w:lvlJc w:val="left"/>
      <w:pPr>
        <w:ind w:left="717" w:hanging="360"/>
      </w:pPr>
      <w:rPr>
        <w:rFonts w:ascii="Symbol" w:hAnsi="Symbo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2" w15:restartNumberingAfterBreak="0">
    <w:nsid w:val="1E3C0F6E"/>
    <w:multiLevelType w:val="hybridMultilevel"/>
    <w:tmpl w:val="33A48E28"/>
    <w:lvl w:ilvl="0" w:tplc="20000001">
      <w:start w:val="1"/>
      <w:numFmt w:val="bullet"/>
      <w:lvlText w:val=""/>
      <w:lvlJc w:val="left"/>
      <w:pPr>
        <w:ind w:left="754" w:hanging="360"/>
      </w:pPr>
      <w:rPr>
        <w:rFonts w:ascii="Symbol" w:hAnsi="Symbol" w:hint="default"/>
      </w:rPr>
    </w:lvl>
    <w:lvl w:ilvl="1" w:tplc="20000003" w:tentative="1">
      <w:start w:val="1"/>
      <w:numFmt w:val="bullet"/>
      <w:lvlText w:val="o"/>
      <w:lvlJc w:val="left"/>
      <w:pPr>
        <w:ind w:left="1474" w:hanging="360"/>
      </w:pPr>
      <w:rPr>
        <w:rFonts w:ascii="Courier New" w:hAnsi="Courier New" w:cs="Courier New" w:hint="default"/>
      </w:rPr>
    </w:lvl>
    <w:lvl w:ilvl="2" w:tplc="20000005" w:tentative="1">
      <w:start w:val="1"/>
      <w:numFmt w:val="bullet"/>
      <w:lvlText w:val=""/>
      <w:lvlJc w:val="left"/>
      <w:pPr>
        <w:ind w:left="2194" w:hanging="360"/>
      </w:pPr>
      <w:rPr>
        <w:rFonts w:ascii="Wingdings" w:hAnsi="Wingdings" w:hint="default"/>
      </w:rPr>
    </w:lvl>
    <w:lvl w:ilvl="3" w:tplc="20000001" w:tentative="1">
      <w:start w:val="1"/>
      <w:numFmt w:val="bullet"/>
      <w:lvlText w:val=""/>
      <w:lvlJc w:val="left"/>
      <w:pPr>
        <w:ind w:left="2914" w:hanging="360"/>
      </w:pPr>
      <w:rPr>
        <w:rFonts w:ascii="Symbol" w:hAnsi="Symbol" w:hint="default"/>
      </w:rPr>
    </w:lvl>
    <w:lvl w:ilvl="4" w:tplc="20000003" w:tentative="1">
      <w:start w:val="1"/>
      <w:numFmt w:val="bullet"/>
      <w:lvlText w:val="o"/>
      <w:lvlJc w:val="left"/>
      <w:pPr>
        <w:ind w:left="3634" w:hanging="360"/>
      </w:pPr>
      <w:rPr>
        <w:rFonts w:ascii="Courier New" w:hAnsi="Courier New" w:cs="Courier New" w:hint="default"/>
      </w:rPr>
    </w:lvl>
    <w:lvl w:ilvl="5" w:tplc="20000005" w:tentative="1">
      <w:start w:val="1"/>
      <w:numFmt w:val="bullet"/>
      <w:lvlText w:val=""/>
      <w:lvlJc w:val="left"/>
      <w:pPr>
        <w:ind w:left="4354" w:hanging="360"/>
      </w:pPr>
      <w:rPr>
        <w:rFonts w:ascii="Wingdings" w:hAnsi="Wingdings" w:hint="default"/>
      </w:rPr>
    </w:lvl>
    <w:lvl w:ilvl="6" w:tplc="20000001" w:tentative="1">
      <w:start w:val="1"/>
      <w:numFmt w:val="bullet"/>
      <w:lvlText w:val=""/>
      <w:lvlJc w:val="left"/>
      <w:pPr>
        <w:ind w:left="5074" w:hanging="360"/>
      </w:pPr>
      <w:rPr>
        <w:rFonts w:ascii="Symbol" w:hAnsi="Symbol" w:hint="default"/>
      </w:rPr>
    </w:lvl>
    <w:lvl w:ilvl="7" w:tplc="20000003" w:tentative="1">
      <w:start w:val="1"/>
      <w:numFmt w:val="bullet"/>
      <w:lvlText w:val="o"/>
      <w:lvlJc w:val="left"/>
      <w:pPr>
        <w:ind w:left="5794" w:hanging="360"/>
      </w:pPr>
      <w:rPr>
        <w:rFonts w:ascii="Courier New" w:hAnsi="Courier New" w:cs="Courier New" w:hint="default"/>
      </w:rPr>
    </w:lvl>
    <w:lvl w:ilvl="8" w:tplc="20000005" w:tentative="1">
      <w:start w:val="1"/>
      <w:numFmt w:val="bullet"/>
      <w:lvlText w:val=""/>
      <w:lvlJc w:val="left"/>
      <w:pPr>
        <w:ind w:left="6514" w:hanging="360"/>
      </w:pPr>
      <w:rPr>
        <w:rFonts w:ascii="Wingdings" w:hAnsi="Wingdings" w:hint="default"/>
      </w:rPr>
    </w:lvl>
  </w:abstractNum>
  <w:abstractNum w:abstractNumId="3" w15:restartNumberingAfterBreak="0">
    <w:nsid w:val="3DAB0EEA"/>
    <w:multiLevelType w:val="hybridMultilevel"/>
    <w:tmpl w:val="D53E3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8407DAA"/>
    <w:multiLevelType w:val="hybridMultilevel"/>
    <w:tmpl w:val="62A26DFC"/>
    <w:lvl w:ilvl="0" w:tplc="B092740C">
      <w:numFmt w:val="bullet"/>
      <w:lvlText w:val="•"/>
      <w:lvlJc w:val="left"/>
      <w:pPr>
        <w:ind w:left="394" w:hanging="360"/>
      </w:pPr>
      <w:rPr>
        <w:rFonts w:ascii="Calibri" w:eastAsia="Times New Roman" w:hAnsi="Calibri" w:cs="Calibri" w:hint="default"/>
      </w:rPr>
    </w:lvl>
    <w:lvl w:ilvl="1" w:tplc="20000003" w:tentative="1">
      <w:start w:val="1"/>
      <w:numFmt w:val="bullet"/>
      <w:lvlText w:val="o"/>
      <w:lvlJc w:val="left"/>
      <w:pPr>
        <w:ind w:left="1114" w:hanging="360"/>
      </w:pPr>
      <w:rPr>
        <w:rFonts w:ascii="Courier New" w:hAnsi="Courier New" w:cs="Courier New" w:hint="default"/>
      </w:rPr>
    </w:lvl>
    <w:lvl w:ilvl="2" w:tplc="20000005" w:tentative="1">
      <w:start w:val="1"/>
      <w:numFmt w:val="bullet"/>
      <w:lvlText w:val=""/>
      <w:lvlJc w:val="left"/>
      <w:pPr>
        <w:ind w:left="1834" w:hanging="360"/>
      </w:pPr>
      <w:rPr>
        <w:rFonts w:ascii="Wingdings" w:hAnsi="Wingdings" w:hint="default"/>
      </w:rPr>
    </w:lvl>
    <w:lvl w:ilvl="3" w:tplc="20000001" w:tentative="1">
      <w:start w:val="1"/>
      <w:numFmt w:val="bullet"/>
      <w:lvlText w:val=""/>
      <w:lvlJc w:val="left"/>
      <w:pPr>
        <w:ind w:left="2554" w:hanging="360"/>
      </w:pPr>
      <w:rPr>
        <w:rFonts w:ascii="Symbol" w:hAnsi="Symbol" w:hint="default"/>
      </w:rPr>
    </w:lvl>
    <w:lvl w:ilvl="4" w:tplc="20000003" w:tentative="1">
      <w:start w:val="1"/>
      <w:numFmt w:val="bullet"/>
      <w:lvlText w:val="o"/>
      <w:lvlJc w:val="left"/>
      <w:pPr>
        <w:ind w:left="3274" w:hanging="360"/>
      </w:pPr>
      <w:rPr>
        <w:rFonts w:ascii="Courier New" w:hAnsi="Courier New" w:cs="Courier New" w:hint="default"/>
      </w:rPr>
    </w:lvl>
    <w:lvl w:ilvl="5" w:tplc="20000005" w:tentative="1">
      <w:start w:val="1"/>
      <w:numFmt w:val="bullet"/>
      <w:lvlText w:val=""/>
      <w:lvlJc w:val="left"/>
      <w:pPr>
        <w:ind w:left="3994" w:hanging="360"/>
      </w:pPr>
      <w:rPr>
        <w:rFonts w:ascii="Wingdings" w:hAnsi="Wingdings" w:hint="default"/>
      </w:rPr>
    </w:lvl>
    <w:lvl w:ilvl="6" w:tplc="20000001" w:tentative="1">
      <w:start w:val="1"/>
      <w:numFmt w:val="bullet"/>
      <w:lvlText w:val=""/>
      <w:lvlJc w:val="left"/>
      <w:pPr>
        <w:ind w:left="4714" w:hanging="360"/>
      </w:pPr>
      <w:rPr>
        <w:rFonts w:ascii="Symbol" w:hAnsi="Symbol" w:hint="default"/>
      </w:rPr>
    </w:lvl>
    <w:lvl w:ilvl="7" w:tplc="20000003" w:tentative="1">
      <w:start w:val="1"/>
      <w:numFmt w:val="bullet"/>
      <w:lvlText w:val="o"/>
      <w:lvlJc w:val="left"/>
      <w:pPr>
        <w:ind w:left="5434" w:hanging="360"/>
      </w:pPr>
      <w:rPr>
        <w:rFonts w:ascii="Courier New" w:hAnsi="Courier New" w:cs="Courier New" w:hint="default"/>
      </w:rPr>
    </w:lvl>
    <w:lvl w:ilvl="8" w:tplc="20000005" w:tentative="1">
      <w:start w:val="1"/>
      <w:numFmt w:val="bullet"/>
      <w:lvlText w:val=""/>
      <w:lvlJc w:val="left"/>
      <w:pPr>
        <w:ind w:left="6154" w:hanging="360"/>
      </w:pPr>
      <w:rPr>
        <w:rFonts w:ascii="Wingdings" w:hAnsi="Wingdings" w:hint="default"/>
      </w:rPr>
    </w:lvl>
  </w:abstractNum>
  <w:abstractNum w:abstractNumId="6" w15:restartNumberingAfterBreak="0">
    <w:nsid w:val="78773D0F"/>
    <w:multiLevelType w:val="hybridMultilevel"/>
    <w:tmpl w:val="4302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99"/>
    <w:rsid w:val="00001396"/>
    <w:rsid w:val="00002716"/>
    <w:rsid w:val="00005791"/>
    <w:rsid w:val="00010827"/>
    <w:rsid w:val="00015089"/>
    <w:rsid w:val="0002065A"/>
    <w:rsid w:val="0002520B"/>
    <w:rsid w:val="00032C33"/>
    <w:rsid w:val="00037A9E"/>
    <w:rsid w:val="00037F91"/>
    <w:rsid w:val="00044D2C"/>
    <w:rsid w:val="000536CB"/>
    <w:rsid w:val="000539F1"/>
    <w:rsid w:val="00054747"/>
    <w:rsid w:val="0005521D"/>
    <w:rsid w:val="00055A2A"/>
    <w:rsid w:val="0006061C"/>
    <w:rsid w:val="000615C1"/>
    <w:rsid w:val="00061675"/>
    <w:rsid w:val="00073308"/>
    <w:rsid w:val="000743AA"/>
    <w:rsid w:val="00091C11"/>
    <w:rsid w:val="0009225C"/>
    <w:rsid w:val="00096577"/>
    <w:rsid w:val="000A17C4"/>
    <w:rsid w:val="000A36A4"/>
    <w:rsid w:val="000B2352"/>
    <w:rsid w:val="000B5D7C"/>
    <w:rsid w:val="000C7039"/>
    <w:rsid w:val="000C7B84"/>
    <w:rsid w:val="000D114D"/>
    <w:rsid w:val="000D261B"/>
    <w:rsid w:val="000D58A3"/>
    <w:rsid w:val="000E3ED4"/>
    <w:rsid w:val="000E3F9C"/>
    <w:rsid w:val="000F1550"/>
    <w:rsid w:val="000F251B"/>
    <w:rsid w:val="000F5FE8"/>
    <w:rsid w:val="000F6644"/>
    <w:rsid w:val="00100833"/>
    <w:rsid w:val="00102F72"/>
    <w:rsid w:val="00103963"/>
    <w:rsid w:val="00107E85"/>
    <w:rsid w:val="00113EE8"/>
    <w:rsid w:val="0011455A"/>
    <w:rsid w:val="00114A65"/>
    <w:rsid w:val="00133061"/>
    <w:rsid w:val="00141699"/>
    <w:rsid w:val="00145A8C"/>
    <w:rsid w:val="00147000"/>
    <w:rsid w:val="0015036F"/>
    <w:rsid w:val="00163091"/>
    <w:rsid w:val="001645CB"/>
    <w:rsid w:val="001647C3"/>
    <w:rsid w:val="00166305"/>
    <w:rsid w:val="00167545"/>
    <w:rsid w:val="001703C6"/>
    <w:rsid w:val="00173781"/>
    <w:rsid w:val="0017470C"/>
    <w:rsid w:val="00175ADF"/>
    <w:rsid w:val="00175CAE"/>
    <w:rsid w:val="001828DB"/>
    <w:rsid w:val="001850FE"/>
    <w:rsid w:val="00185135"/>
    <w:rsid w:val="0019037C"/>
    <w:rsid w:val="001905A9"/>
    <w:rsid w:val="00191273"/>
    <w:rsid w:val="001942A7"/>
    <w:rsid w:val="0019587B"/>
    <w:rsid w:val="001A163D"/>
    <w:rsid w:val="001A441E"/>
    <w:rsid w:val="001A6733"/>
    <w:rsid w:val="001B2305"/>
    <w:rsid w:val="001B357F"/>
    <w:rsid w:val="001B408C"/>
    <w:rsid w:val="001C3444"/>
    <w:rsid w:val="001C3702"/>
    <w:rsid w:val="001C4656"/>
    <w:rsid w:val="001C46BC"/>
    <w:rsid w:val="001D0794"/>
    <w:rsid w:val="001F23E6"/>
    <w:rsid w:val="001F4238"/>
    <w:rsid w:val="001F6259"/>
    <w:rsid w:val="00200A38"/>
    <w:rsid w:val="00200A46"/>
    <w:rsid w:val="00211B6F"/>
    <w:rsid w:val="00217CC3"/>
    <w:rsid w:val="00220AB6"/>
    <w:rsid w:val="0022120F"/>
    <w:rsid w:val="0022754A"/>
    <w:rsid w:val="00231D64"/>
    <w:rsid w:val="00233087"/>
    <w:rsid w:val="002333CA"/>
    <w:rsid w:val="00236560"/>
    <w:rsid w:val="0023662E"/>
    <w:rsid w:val="00245D0F"/>
    <w:rsid w:val="002548C3"/>
    <w:rsid w:val="002554CE"/>
    <w:rsid w:val="00255A4F"/>
    <w:rsid w:val="002566A4"/>
    <w:rsid w:val="002578AC"/>
    <w:rsid w:val="00257ACD"/>
    <w:rsid w:val="00262908"/>
    <w:rsid w:val="002650F4"/>
    <w:rsid w:val="00265387"/>
    <w:rsid w:val="002715FD"/>
    <w:rsid w:val="002770B1"/>
    <w:rsid w:val="00284CDC"/>
    <w:rsid w:val="00285B33"/>
    <w:rsid w:val="00287A3C"/>
    <w:rsid w:val="00293C89"/>
    <w:rsid w:val="00295D31"/>
    <w:rsid w:val="002A2FC6"/>
    <w:rsid w:val="002A7DEE"/>
    <w:rsid w:val="002B5E1E"/>
    <w:rsid w:val="002C1EC7"/>
    <w:rsid w:val="002C2841"/>
    <w:rsid w:val="002C4342"/>
    <w:rsid w:val="002C7EA3"/>
    <w:rsid w:val="002D0C64"/>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400B5"/>
    <w:rsid w:val="00352CFE"/>
    <w:rsid w:val="0035516C"/>
    <w:rsid w:val="00355A4C"/>
    <w:rsid w:val="00355CEA"/>
    <w:rsid w:val="003604FB"/>
    <w:rsid w:val="00360B73"/>
    <w:rsid w:val="003708C3"/>
    <w:rsid w:val="00380B71"/>
    <w:rsid w:val="0038365A"/>
    <w:rsid w:val="00386A89"/>
    <w:rsid w:val="00392198"/>
    <w:rsid w:val="0039648E"/>
    <w:rsid w:val="003A5AFE"/>
    <w:rsid w:val="003A5D5F"/>
    <w:rsid w:val="003A7FFE"/>
    <w:rsid w:val="003B0A63"/>
    <w:rsid w:val="003B50E1"/>
    <w:rsid w:val="003C1746"/>
    <w:rsid w:val="003C2AA9"/>
    <w:rsid w:val="003C52B3"/>
    <w:rsid w:val="003C58BF"/>
    <w:rsid w:val="003D451D"/>
    <w:rsid w:val="003F2DD8"/>
    <w:rsid w:val="003F3F2D"/>
    <w:rsid w:val="003F50B2"/>
    <w:rsid w:val="00400CCF"/>
    <w:rsid w:val="00401BFF"/>
    <w:rsid w:val="00402C63"/>
    <w:rsid w:val="00404424"/>
    <w:rsid w:val="0041156B"/>
    <w:rsid w:val="004122C5"/>
    <w:rsid w:val="00413B78"/>
    <w:rsid w:val="00416DDE"/>
    <w:rsid w:val="004258F6"/>
    <w:rsid w:val="0044411E"/>
    <w:rsid w:val="00446B55"/>
    <w:rsid w:val="004509BD"/>
    <w:rsid w:val="00453435"/>
    <w:rsid w:val="004650F8"/>
    <w:rsid w:val="00466398"/>
    <w:rsid w:val="0047306D"/>
    <w:rsid w:val="00473791"/>
    <w:rsid w:val="00476E48"/>
    <w:rsid w:val="00481DE9"/>
    <w:rsid w:val="00481FEC"/>
    <w:rsid w:val="0049128B"/>
    <w:rsid w:val="004933BE"/>
    <w:rsid w:val="004936A8"/>
    <w:rsid w:val="00493B49"/>
    <w:rsid w:val="00495501"/>
    <w:rsid w:val="004A070A"/>
    <w:rsid w:val="004A0B42"/>
    <w:rsid w:val="004A298F"/>
    <w:rsid w:val="004A320E"/>
    <w:rsid w:val="004A4E9C"/>
    <w:rsid w:val="004B1A3C"/>
    <w:rsid w:val="004B6501"/>
    <w:rsid w:val="004D2CC3"/>
    <w:rsid w:val="004D35CB"/>
    <w:rsid w:val="004E20E5"/>
    <w:rsid w:val="004E4A0E"/>
    <w:rsid w:val="004E64EA"/>
    <w:rsid w:val="004E7828"/>
    <w:rsid w:val="004F46AA"/>
    <w:rsid w:val="004F6A70"/>
    <w:rsid w:val="00500AD7"/>
    <w:rsid w:val="00502ABF"/>
    <w:rsid w:val="00504DB0"/>
    <w:rsid w:val="0050542F"/>
    <w:rsid w:val="00507C35"/>
    <w:rsid w:val="00510735"/>
    <w:rsid w:val="00511E85"/>
    <w:rsid w:val="00514D2F"/>
    <w:rsid w:val="005255DD"/>
    <w:rsid w:val="00532B5F"/>
    <w:rsid w:val="00541A86"/>
    <w:rsid w:val="0054420E"/>
    <w:rsid w:val="0054465F"/>
    <w:rsid w:val="00544D1B"/>
    <w:rsid w:val="00545DC0"/>
    <w:rsid w:val="00545F6C"/>
    <w:rsid w:val="005477D9"/>
    <w:rsid w:val="0055720C"/>
    <w:rsid w:val="00557BCC"/>
    <w:rsid w:val="005632DD"/>
    <w:rsid w:val="0056423B"/>
    <w:rsid w:val="00570AE8"/>
    <w:rsid w:val="00573424"/>
    <w:rsid w:val="0057402F"/>
    <w:rsid w:val="005849D6"/>
    <w:rsid w:val="00585367"/>
    <w:rsid w:val="005871A1"/>
    <w:rsid w:val="0058737E"/>
    <w:rsid w:val="00592518"/>
    <w:rsid w:val="00592E87"/>
    <w:rsid w:val="00594C4D"/>
    <w:rsid w:val="005A33B0"/>
    <w:rsid w:val="005B41FF"/>
    <w:rsid w:val="005B70D8"/>
    <w:rsid w:val="005C2DC2"/>
    <w:rsid w:val="005C304A"/>
    <w:rsid w:val="005C326F"/>
    <w:rsid w:val="005C3D69"/>
    <w:rsid w:val="005C7C98"/>
    <w:rsid w:val="005D11EA"/>
    <w:rsid w:val="005D55A4"/>
    <w:rsid w:val="005D57C8"/>
    <w:rsid w:val="005D7761"/>
    <w:rsid w:val="005E0278"/>
    <w:rsid w:val="005E090D"/>
    <w:rsid w:val="005E3CA0"/>
    <w:rsid w:val="005E44B1"/>
    <w:rsid w:val="005E636A"/>
    <w:rsid w:val="005E67B0"/>
    <w:rsid w:val="005E7047"/>
    <w:rsid w:val="005E777F"/>
    <w:rsid w:val="005F1CA7"/>
    <w:rsid w:val="005F43DD"/>
    <w:rsid w:val="005F4EDC"/>
    <w:rsid w:val="005F51A9"/>
    <w:rsid w:val="005F6BE1"/>
    <w:rsid w:val="005F7416"/>
    <w:rsid w:val="005F7506"/>
    <w:rsid w:val="00600C11"/>
    <w:rsid w:val="00606B89"/>
    <w:rsid w:val="00611EAF"/>
    <w:rsid w:val="00623F30"/>
    <w:rsid w:val="00625FB8"/>
    <w:rsid w:val="006261BD"/>
    <w:rsid w:val="006320B3"/>
    <w:rsid w:val="00635EDB"/>
    <w:rsid w:val="0064734E"/>
    <w:rsid w:val="00650137"/>
    <w:rsid w:val="006509D7"/>
    <w:rsid w:val="00651CE8"/>
    <w:rsid w:val="0065521B"/>
    <w:rsid w:val="00656673"/>
    <w:rsid w:val="00671EF6"/>
    <w:rsid w:val="0067205B"/>
    <w:rsid w:val="006748F8"/>
    <w:rsid w:val="00680489"/>
    <w:rsid w:val="00681873"/>
    <w:rsid w:val="00683C32"/>
    <w:rsid w:val="00690BB2"/>
    <w:rsid w:val="00693D09"/>
    <w:rsid w:val="006A6549"/>
    <w:rsid w:val="006A7710"/>
    <w:rsid w:val="006A7A61"/>
    <w:rsid w:val="006B1E59"/>
    <w:rsid w:val="006B2FFB"/>
    <w:rsid w:val="006C10A2"/>
    <w:rsid w:val="006C1F18"/>
    <w:rsid w:val="006C338A"/>
    <w:rsid w:val="006D2F97"/>
    <w:rsid w:val="006D40D5"/>
    <w:rsid w:val="006E0273"/>
    <w:rsid w:val="006E0D36"/>
    <w:rsid w:val="006E7F8C"/>
    <w:rsid w:val="006F009A"/>
    <w:rsid w:val="006F3B4C"/>
    <w:rsid w:val="006F3D93"/>
    <w:rsid w:val="007019B1"/>
    <w:rsid w:val="00721657"/>
    <w:rsid w:val="00722E49"/>
    <w:rsid w:val="007279A8"/>
    <w:rsid w:val="00727B1A"/>
    <w:rsid w:val="00741337"/>
    <w:rsid w:val="00741C3A"/>
    <w:rsid w:val="00752258"/>
    <w:rsid w:val="007529E1"/>
    <w:rsid w:val="007579C0"/>
    <w:rsid w:val="00762880"/>
    <w:rsid w:val="00762AD6"/>
    <w:rsid w:val="00762E02"/>
    <w:rsid w:val="00772290"/>
    <w:rsid w:val="00777265"/>
    <w:rsid w:val="007805E7"/>
    <w:rsid w:val="0078222A"/>
    <w:rsid w:val="00787D48"/>
    <w:rsid w:val="00792A82"/>
    <w:rsid w:val="00795294"/>
    <w:rsid w:val="007A4E50"/>
    <w:rsid w:val="007A5F1F"/>
    <w:rsid w:val="007B18A7"/>
    <w:rsid w:val="007B250E"/>
    <w:rsid w:val="007B68EA"/>
    <w:rsid w:val="007C27FC"/>
    <w:rsid w:val="007C51FF"/>
    <w:rsid w:val="007D50E4"/>
    <w:rsid w:val="007E2DC5"/>
    <w:rsid w:val="007F1CC7"/>
    <w:rsid w:val="008027AC"/>
    <w:rsid w:val="008028CE"/>
    <w:rsid w:val="0080332E"/>
    <w:rsid w:val="008141E0"/>
    <w:rsid w:val="00816EE1"/>
    <w:rsid w:val="00816F88"/>
    <w:rsid w:val="0082096C"/>
    <w:rsid w:val="00822323"/>
    <w:rsid w:val="00822F83"/>
    <w:rsid w:val="00827BC6"/>
    <w:rsid w:val="008300AD"/>
    <w:rsid w:val="00833024"/>
    <w:rsid w:val="008419B1"/>
    <w:rsid w:val="00844A56"/>
    <w:rsid w:val="00845B11"/>
    <w:rsid w:val="0085165A"/>
    <w:rsid w:val="00852081"/>
    <w:rsid w:val="00852CFC"/>
    <w:rsid w:val="00856228"/>
    <w:rsid w:val="00872639"/>
    <w:rsid w:val="00872B6E"/>
    <w:rsid w:val="00874391"/>
    <w:rsid w:val="00874DFD"/>
    <w:rsid w:val="008756AF"/>
    <w:rsid w:val="008802F9"/>
    <w:rsid w:val="00883086"/>
    <w:rsid w:val="0088730A"/>
    <w:rsid w:val="008879FD"/>
    <w:rsid w:val="00894C37"/>
    <w:rsid w:val="008A00EA"/>
    <w:rsid w:val="008A3F93"/>
    <w:rsid w:val="008A6236"/>
    <w:rsid w:val="008A6E1C"/>
    <w:rsid w:val="008A72FD"/>
    <w:rsid w:val="008B1774"/>
    <w:rsid w:val="008B2EDF"/>
    <w:rsid w:val="008B53D1"/>
    <w:rsid w:val="008B5464"/>
    <w:rsid w:val="008B54CB"/>
    <w:rsid w:val="008B5A3D"/>
    <w:rsid w:val="008C4010"/>
    <w:rsid w:val="008C4FDF"/>
    <w:rsid w:val="008C6B1F"/>
    <w:rsid w:val="008D5E4F"/>
    <w:rsid w:val="008F14F5"/>
    <w:rsid w:val="008F48A7"/>
    <w:rsid w:val="008F71C1"/>
    <w:rsid w:val="00902D41"/>
    <w:rsid w:val="00902F49"/>
    <w:rsid w:val="00914004"/>
    <w:rsid w:val="00914279"/>
    <w:rsid w:val="00922EC1"/>
    <w:rsid w:val="00924566"/>
    <w:rsid w:val="009301F1"/>
    <w:rsid w:val="009307DF"/>
    <w:rsid w:val="009359B8"/>
    <w:rsid w:val="00935FF0"/>
    <w:rsid w:val="009431F8"/>
    <w:rsid w:val="00947A35"/>
    <w:rsid w:val="009521CD"/>
    <w:rsid w:val="0095499D"/>
    <w:rsid w:val="009553B6"/>
    <w:rsid w:val="0096201B"/>
    <w:rsid w:val="00962081"/>
    <w:rsid w:val="009641CA"/>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3C99"/>
    <w:rsid w:val="009D49A2"/>
    <w:rsid w:val="009D7F2C"/>
    <w:rsid w:val="009F0432"/>
    <w:rsid w:val="009F0C9A"/>
    <w:rsid w:val="009F3940"/>
    <w:rsid w:val="009F3EB2"/>
    <w:rsid w:val="009F6BB0"/>
    <w:rsid w:val="009F6EB1"/>
    <w:rsid w:val="00A11D05"/>
    <w:rsid w:val="00A13162"/>
    <w:rsid w:val="00A17126"/>
    <w:rsid w:val="00A20267"/>
    <w:rsid w:val="00A2347F"/>
    <w:rsid w:val="00A3158C"/>
    <w:rsid w:val="00A32DF3"/>
    <w:rsid w:val="00A332A9"/>
    <w:rsid w:val="00A337FF"/>
    <w:rsid w:val="00A33E32"/>
    <w:rsid w:val="00A35E20"/>
    <w:rsid w:val="00A36F6D"/>
    <w:rsid w:val="00A50CA0"/>
    <w:rsid w:val="00A525CC"/>
    <w:rsid w:val="00A53E7C"/>
    <w:rsid w:val="00A60087"/>
    <w:rsid w:val="00A63683"/>
    <w:rsid w:val="00A63B06"/>
    <w:rsid w:val="00A705E8"/>
    <w:rsid w:val="00A70C24"/>
    <w:rsid w:val="00A721F4"/>
    <w:rsid w:val="00A725BB"/>
    <w:rsid w:val="00A73DCA"/>
    <w:rsid w:val="00A8624E"/>
    <w:rsid w:val="00A8762A"/>
    <w:rsid w:val="00A9392C"/>
    <w:rsid w:val="00A9462B"/>
    <w:rsid w:val="00A97D59"/>
    <w:rsid w:val="00AA087E"/>
    <w:rsid w:val="00AA3E09"/>
    <w:rsid w:val="00AA4BEF"/>
    <w:rsid w:val="00AB1659"/>
    <w:rsid w:val="00AB2EF7"/>
    <w:rsid w:val="00AB4962"/>
    <w:rsid w:val="00AB50E5"/>
    <w:rsid w:val="00AB734E"/>
    <w:rsid w:val="00AB740F"/>
    <w:rsid w:val="00AC140E"/>
    <w:rsid w:val="00AC6F14"/>
    <w:rsid w:val="00AC7221"/>
    <w:rsid w:val="00AD5AD9"/>
    <w:rsid w:val="00AE5961"/>
    <w:rsid w:val="00AF0745"/>
    <w:rsid w:val="00AF4971"/>
    <w:rsid w:val="00AF5276"/>
    <w:rsid w:val="00AF7C86"/>
    <w:rsid w:val="00B01046"/>
    <w:rsid w:val="00B1209F"/>
    <w:rsid w:val="00B15F49"/>
    <w:rsid w:val="00B310F9"/>
    <w:rsid w:val="00B3217B"/>
    <w:rsid w:val="00B37866"/>
    <w:rsid w:val="00B40124"/>
    <w:rsid w:val="00B412FB"/>
    <w:rsid w:val="00B41EFD"/>
    <w:rsid w:val="00B4576B"/>
    <w:rsid w:val="00B46350"/>
    <w:rsid w:val="00B46658"/>
    <w:rsid w:val="00B46DF3"/>
    <w:rsid w:val="00B52146"/>
    <w:rsid w:val="00B656E3"/>
    <w:rsid w:val="00B66E8F"/>
    <w:rsid w:val="00B71BD6"/>
    <w:rsid w:val="00B74046"/>
    <w:rsid w:val="00B80157"/>
    <w:rsid w:val="00B82549"/>
    <w:rsid w:val="00B83D5E"/>
    <w:rsid w:val="00B8460A"/>
    <w:rsid w:val="00B8650D"/>
    <w:rsid w:val="00B879B4"/>
    <w:rsid w:val="00B90F07"/>
    <w:rsid w:val="00B97BB9"/>
    <w:rsid w:val="00BA0009"/>
    <w:rsid w:val="00BB1863"/>
    <w:rsid w:val="00BB25EE"/>
    <w:rsid w:val="00BB363A"/>
    <w:rsid w:val="00BB6F2E"/>
    <w:rsid w:val="00BB6F91"/>
    <w:rsid w:val="00BC10A0"/>
    <w:rsid w:val="00BC7BA2"/>
    <w:rsid w:val="00BD426B"/>
    <w:rsid w:val="00BD79F0"/>
    <w:rsid w:val="00BE2B4D"/>
    <w:rsid w:val="00BE3CB7"/>
    <w:rsid w:val="00BF2904"/>
    <w:rsid w:val="00BF3DB6"/>
    <w:rsid w:val="00C015F8"/>
    <w:rsid w:val="00C0513F"/>
    <w:rsid w:val="00C07E26"/>
    <w:rsid w:val="00C1011C"/>
    <w:rsid w:val="00C12F94"/>
    <w:rsid w:val="00C14D60"/>
    <w:rsid w:val="00C177C5"/>
    <w:rsid w:val="00C34EC3"/>
    <w:rsid w:val="00C40286"/>
    <w:rsid w:val="00C4038C"/>
    <w:rsid w:val="00C42722"/>
    <w:rsid w:val="00C42BA2"/>
    <w:rsid w:val="00C436F2"/>
    <w:rsid w:val="00C43AB4"/>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51B"/>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54AC"/>
    <w:rsid w:val="00D16E54"/>
    <w:rsid w:val="00D20099"/>
    <w:rsid w:val="00D20E99"/>
    <w:rsid w:val="00D21C83"/>
    <w:rsid w:val="00D35BDD"/>
    <w:rsid w:val="00D51E28"/>
    <w:rsid w:val="00D56E1C"/>
    <w:rsid w:val="00D57DDE"/>
    <w:rsid w:val="00D63006"/>
    <w:rsid w:val="00D72301"/>
    <w:rsid w:val="00D911DE"/>
    <w:rsid w:val="00D91B97"/>
    <w:rsid w:val="00D93ACC"/>
    <w:rsid w:val="00D93C08"/>
    <w:rsid w:val="00D95DAC"/>
    <w:rsid w:val="00DA0B53"/>
    <w:rsid w:val="00DA4974"/>
    <w:rsid w:val="00DB1171"/>
    <w:rsid w:val="00DB1519"/>
    <w:rsid w:val="00DB2840"/>
    <w:rsid w:val="00DC1BD3"/>
    <w:rsid w:val="00DC2C1A"/>
    <w:rsid w:val="00DC64A3"/>
    <w:rsid w:val="00DD2728"/>
    <w:rsid w:val="00DD5488"/>
    <w:rsid w:val="00DD6396"/>
    <w:rsid w:val="00DD66B4"/>
    <w:rsid w:val="00DE1972"/>
    <w:rsid w:val="00DE27AB"/>
    <w:rsid w:val="00DE2E8F"/>
    <w:rsid w:val="00DF2AB3"/>
    <w:rsid w:val="00DF7250"/>
    <w:rsid w:val="00E00CAA"/>
    <w:rsid w:val="00E03EBF"/>
    <w:rsid w:val="00E05209"/>
    <w:rsid w:val="00E07CAE"/>
    <w:rsid w:val="00E1023F"/>
    <w:rsid w:val="00E11BCF"/>
    <w:rsid w:val="00E1225D"/>
    <w:rsid w:val="00E13FA5"/>
    <w:rsid w:val="00E1767E"/>
    <w:rsid w:val="00E17C52"/>
    <w:rsid w:val="00E2258E"/>
    <w:rsid w:val="00E236BE"/>
    <w:rsid w:val="00E23DC6"/>
    <w:rsid w:val="00E260C2"/>
    <w:rsid w:val="00E32596"/>
    <w:rsid w:val="00E368F7"/>
    <w:rsid w:val="00E36EB8"/>
    <w:rsid w:val="00E37FB8"/>
    <w:rsid w:val="00E40B07"/>
    <w:rsid w:val="00E42326"/>
    <w:rsid w:val="00E43544"/>
    <w:rsid w:val="00E44D89"/>
    <w:rsid w:val="00E477EA"/>
    <w:rsid w:val="00E55807"/>
    <w:rsid w:val="00E63B14"/>
    <w:rsid w:val="00E65CA0"/>
    <w:rsid w:val="00E707E7"/>
    <w:rsid w:val="00E70D9F"/>
    <w:rsid w:val="00E76BD0"/>
    <w:rsid w:val="00E76DD9"/>
    <w:rsid w:val="00E83810"/>
    <w:rsid w:val="00E86933"/>
    <w:rsid w:val="00E9605B"/>
    <w:rsid w:val="00E97298"/>
    <w:rsid w:val="00E97753"/>
    <w:rsid w:val="00EA7DE7"/>
    <w:rsid w:val="00EB7A8A"/>
    <w:rsid w:val="00EB7E82"/>
    <w:rsid w:val="00EC454C"/>
    <w:rsid w:val="00EE3A64"/>
    <w:rsid w:val="00EE50E5"/>
    <w:rsid w:val="00EF01CF"/>
    <w:rsid w:val="00EF6CE5"/>
    <w:rsid w:val="00F03590"/>
    <w:rsid w:val="00F03622"/>
    <w:rsid w:val="00F077FD"/>
    <w:rsid w:val="00F124FF"/>
    <w:rsid w:val="00F1606A"/>
    <w:rsid w:val="00F204F3"/>
    <w:rsid w:val="00F218AB"/>
    <w:rsid w:val="00F236BC"/>
    <w:rsid w:val="00F238B3"/>
    <w:rsid w:val="00F24FED"/>
    <w:rsid w:val="00F25586"/>
    <w:rsid w:val="00F2651D"/>
    <w:rsid w:val="00F27362"/>
    <w:rsid w:val="00F31498"/>
    <w:rsid w:val="00F31908"/>
    <w:rsid w:val="00F324BC"/>
    <w:rsid w:val="00F32FEF"/>
    <w:rsid w:val="00F41B1C"/>
    <w:rsid w:val="00F42E13"/>
    <w:rsid w:val="00F42F1C"/>
    <w:rsid w:val="00F43B44"/>
    <w:rsid w:val="00F440E5"/>
    <w:rsid w:val="00F448F6"/>
    <w:rsid w:val="00F52741"/>
    <w:rsid w:val="00F53D8A"/>
    <w:rsid w:val="00F60DAC"/>
    <w:rsid w:val="00F626F7"/>
    <w:rsid w:val="00F736F9"/>
    <w:rsid w:val="00F73833"/>
    <w:rsid w:val="00F9211C"/>
    <w:rsid w:val="00FA095D"/>
    <w:rsid w:val="00FA6C8B"/>
    <w:rsid w:val="00FA6CDA"/>
    <w:rsid w:val="00FA7C89"/>
    <w:rsid w:val="00FB4139"/>
    <w:rsid w:val="00FB476E"/>
    <w:rsid w:val="00FC0D90"/>
    <w:rsid w:val="00FC4480"/>
    <w:rsid w:val="00FC7D8C"/>
    <w:rsid w:val="00FD3980"/>
    <w:rsid w:val="00FD431E"/>
    <w:rsid w:val="00FD5A2C"/>
    <w:rsid w:val="00FE0D47"/>
    <w:rsid w:val="00FE1D5C"/>
    <w:rsid w:val="00FE2F8B"/>
    <w:rsid w:val="00FE3669"/>
    <w:rsid w:val="00FE3E11"/>
    <w:rsid w:val="00FE5204"/>
    <w:rsid w:val="00FF287F"/>
    <w:rsid w:val="00FF4DC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856BB"/>
  <w15:docId w15:val="{B99F619B-35DE-4B9F-8B84-828AF29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qFormat/>
    <w:rsid w:val="00B5214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656673"/>
    <w:rPr>
      <w:color w:val="605E5C"/>
      <w:shd w:val="clear" w:color="auto" w:fill="E1DFDD"/>
    </w:rPr>
  </w:style>
  <w:style w:type="character" w:customStyle="1" w:styleId="ResNoChar">
    <w:name w:val="Res_No Char"/>
    <w:link w:val="ResNo"/>
    <w:locked/>
    <w:rsid w:val="00EB7E82"/>
    <w:rPr>
      <w:rFonts w:asciiTheme="minorHAnsi" w:hAnsiTheme="minorHAnsi"/>
      <w:caps/>
      <w:sz w:val="28"/>
      <w:lang w:val="en-GB" w:eastAsia="en-US"/>
    </w:rPr>
  </w:style>
  <w:style w:type="character" w:customStyle="1" w:styleId="RestitleChar">
    <w:name w:val="Res_title Char"/>
    <w:link w:val="Restitle"/>
    <w:uiPriority w:val="99"/>
    <w:locked/>
    <w:rsid w:val="00EB7E82"/>
    <w:rPr>
      <w:rFonts w:asciiTheme="minorHAnsi" w:hAnsiTheme="minorHAnsi"/>
      <w:b/>
      <w:sz w:val="28"/>
      <w:lang w:val="en-GB" w:eastAsia="en-US"/>
    </w:rPr>
  </w:style>
  <w:style w:type="character" w:customStyle="1" w:styleId="href">
    <w:name w:val="href"/>
    <w:basedOn w:val="DefaultParagraphFont"/>
    <w:rsid w:val="00EB7E82"/>
  </w:style>
  <w:style w:type="character" w:customStyle="1" w:styleId="CallChar">
    <w:name w:val="Call Char"/>
    <w:link w:val="Call"/>
    <w:uiPriority w:val="99"/>
    <w:locked/>
    <w:rsid w:val="00B46658"/>
    <w:rPr>
      <w:rFonts w:asciiTheme="minorHAnsi" w:hAnsiTheme="minorHAnsi"/>
      <w:i/>
      <w:sz w:val="24"/>
      <w:lang w:val="en-GB" w:eastAsia="en-US"/>
    </w:rPr>
  </w:style>
  <w:style w:type="character" w:customStyle="1" w:styleId="tlid-translation">
    <w:name w:val="tlid-translation"/>
    <w:basedOn w:val="DefaultParagraphFont"/>
    <w:rsid w:val="00B46658"/>
  </w:style>
  <w:style w:type="paragraph" w:styleId="BalloonText">
    <w:name w:val="Balloon Text"/>
    <w:basedOn w:val="Normal"/>
    <w:link w:val="BalloonTextChar"/>
    <w:semiHidden/>
    <w:unhideWhenUsed/>
    <w:rsid w:val="00E76D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DD9"/>
    <w:rPr>
      <w:rFonts w:ascii="Segoe UI" w:hAnsi="Segoe UI" w:cs="Segoe UI"/>
      <w:sz w:val="18"/>
      <w:szCs w:val="18"/>
      <w:lang w:val="en-GB" w:eastAsia="en-US"/>
    </w:rPr>
  </w:style>
  <w:style w:type="character" w:customStyle="1" w:styleId="UnresolvedMention2">
    <w:name w:val="Unresolved Mention2"/>
    <w:basedOn w:val="DefaultParagraphFont"/>
    <w:uiPriority w:val="99"/>
    <w:semiHidden/>
    <w:unhideWhenUsed/>
    <w:rsid w:val="00B52146"/>
    <w:rPr>
      <w:color w:val="605E5C"/>
      <w:shd w:val="clear" w:color="auto" w:fill="E1DFDD"/>
    </w:rPr>
  </w:style>
  <w:style w:type="paragraph" w:styleId="Revision">
    <w:name w:val="Revision"/>
    <w:hidden/>
    <w:uiPriority w:val="99"/>
    <w:semiHidden/>
    <w:rsid w:val="00B521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0571">
      <w:bodyDiv w:val="1"/>
      <w:marLeft w:val="0"/>
      <w:marRight w:val="0"/>
      <w:marTop w:val="0"/>
      <w:marBottom w:val="0"/>
      <w:divBdr>
        <w:top w:val="none" w:sz="0" w:space="0" w:color="auto"/>
        <w:left w:val="none" w:sz="0" w:space="0" w:color="auto"/>
        <w:bottom w:val="none" w:sz="0" w:space="0" w:color="auto"/>
        <w:right w:val="none" w:sz="0" w:space="0" w:color="auto"/>
      </w:divBdr>
    </w:div>
    <w:div w:id="693114596">
      <w:bodyDiv w:val="1"/>
      <w:marLeft w:val="0"/>
      <w:marRight w:val="0"/>
      <w:marTop w:val="0"/>
      <w:marBottom w:val="0"/>
      <w:divBdr>
        <w:top w:val="none" w:sz="0" w:space="0" w:color="auto"/>
        <w:left w:val="none" w:sz="0" w:space="0" w:color="auto"/>
        <w:bottom w:val="none" w:sz="0" w:space="0" w:color="auto"/>
        <w:right w:val="none" w:sz="0" w:space="0" w:color="auto"/>
      </w:divBdr>
    </w:div>
    <w:div w:id="1177423083">
      <w:bodyDiv w:val="1"/>
      <w:marLeft w:val="0"/>
      <w:marRight w:val="0"/>
      <w:marTop w:val="0"/>
      <w:marBottom w:val="0"/>
      <w:divBdr>
        <w:top w:val="none" w:sz="0" w:space="0" w:color="auto"/>
        <w:left w:val="none" w:sz="0" w:space="0" w:color="auto"/>
        <w:bottom w:val="none" w:sz="0" w:space="0" w:color="auto"/>
        <w:right w:val="none" w:sz="0" w:space="0" w:color="auto"/>
      </w:divBdr>
    </w:div>
    <w:div w:id="1660881732">
      <w:bodyDiv w:val="1"/>
      <w:marLeft w:val="0"/>
      <w:marRight w:val="0"/>
      <w:marTop w:val="0"/>
      <w:marBottom w:val="0"/>
      <w:divBdr>
        <w:top w:val="none" w:sz="0" w:space="0" w:color="auto"/>
        <w:left w:val="none" w:sz="0" w:space="0" w:color="auto"/>
        <w:bottom w:val="none" w:sz="0" w:space="0" w:color="auto"/>
        <w:right w:val="none" w:sz="0" w:space="0" w:color="auto"/>
      </w:divBdr>
    </w:div>
    <w:div w:id="1678574640">
      <w:bodyDiv w:val="1"/>
      <w:marLeft w:val="0"/>
      <w:marRight w:val="0"/>
      <w:marTop w:val="0"/>
      <w:marBottom w:val="0"/>
      <w:divBdr>
        <w:top w:val="none" w:sz="0" w:space="0" w:color="auto"/>
        <w:left w:val="none" w:sz="0" w:space="0" w:color="auto"/>
        <w:bottom w:val="none" w:sz="0" w:space="0" w:color="auto"/>
        <w:right w:val="none" w:sz="0" w:space="0" w:color="auto"/>
      </w:divBdr>
    </w:div>
    <w:div w:id="1889955884">
      <w:bodyDiv w:val="1"/>
      <w:marLeft w:val="0"/>
      <w:marRight w:val="0"/>
      <w:marTop w:val="0"/>
      <w:marBottom w:val="0"/>
      <w:divBdr>
        <w:top w:val="none" w:sz="0" w:space="0" w:color="auto"/>
        <w:left w:val="none" w:sz="0" w:space="0" w:color="auto"/>
        <w:bottom w:val="none" w:sz="0" w:space="0" w:color="auto"/>
        <w:right w:val="none" w:sz="0" w:space="0" w:color="auto"/>
      </w:divBdr>
    </w:div>
    <w:div w:id="19829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0" ma:contentTypeDescription="Create a new document." ma:contentTypeScope="" ma:versionID="9d99e2baebf3d4c5fc266d99cda94857">
  <xsd:schema xmlns:xsd="http://www.w3.org/2001/XMLSchema" xmlns:xs="http://www.w3.org/2001/XMLSchema" xmlns:p="http://schemas.microsoft.com/office/2006/metadata/properties" targetNamespace="http://schemas.microsoft.com/office/2006/metadata/properties" ma:root="true" ma:fieldsID="9c072ab0557353f7e46052524eeb6f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1933-A8B1-4821-AFD3-7D5A6188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9446-C4CB-4820-9905-B5530A667DCB}">
  <ds:schemaRefs>
    <ds:schemaRef ds:uri="http://schemas.microsoft.com/sharepoint/v3/contenttype/forms"/>
  </ds:schemaRefs>
</ds:datastoreItem>
</file>

<file path=customXml/itemProps3.xml><?xml version="1.0" encoding="utf-8"?>
<ds:datastoreItem xmlns:ds="http://schemas.openxmlformats.org/officeDocument/2006/customXml" ds:itemID="{A6B6F450-8BDB-4E22-AD3C-7641ADEA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6DCBE5-1EF9-483C-A2E1-A4EFDBBF015C}">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10299242-1a9f-41a3-ba29-0a43e323a3a2"/>
    <ds:schemaRef ds:uri="http://www.w3.org/XML/1998/namespace"/>
  </ds:schemaRefs>
</ds:datastoreItem>
</file>

<file path=customXml/itemProps5.xml><?xml version="1.0" encoding="utf-8"?>
<ds:datastoreItem xmlns:ds="http://schemas.openxmlformats.org/officeDocument/2006/customXml" ds:itemID="{6C39D9AF-6F99-4675-A660-5FBCBF1F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BDT-nd</cp:lastModifiedBy>
  <cp:revision>2</cp:revision>
  <cp:lastPrinted>2014-11-04T09:22:00Z</cp:lastPrinted>
  <dcterms:created xsi:type="dcterms:W3CDTF">2020-05-21T09:43:00Z</dcterms:created>
  <dcterms:modified xsi:type="dcterms:W3CDTF">2020-05-21T09:43:00Z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0x01010038CFD7BCCB11654597752DB982821F90</vt:lpwstr>
  </property>
</Properties>
</file>