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C32615" w14:paraId="2213C9FC" w14:textId="77777777" w:rsidTr="006D7E3A">
        <w:trPr>
          <w:cantSplit/>
          <w:trHeight w:val="1134"/>
        </w:trPr>
        <w:tc>
          <w:tcPr>
            <w:tcW w:w="7251" w:type="dxa"/>
          </w:tcPr>
          <w:p w14:paraId="3E25E484" w14:textId="77777777" w:rsidR="0021438F" w:rsidRPr="00C32615" w:rsidRDefault="0021438F" w:rsidP="000E3182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C32615">
              <w:rPr>
                <w:b/>
                <w:sz w:val="32"/>
                <w:szCs w:val="32"/>
                <w:lang w:val="fr-FR"/>
              </w:rPr>
              <w:t>Groupe</w:t>
            </w:r>
            <w:r w:rsidRPr="00C32615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C32615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4EBC7CD6" w14:textId="238CA656" w:rsidR="0021438F" w:rsidRPr="00C32615" w:rsidRDefault="00D87E6C" w:rsidP="000E3182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C32615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2577C1" w:rsidRPr="00C32615"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C32615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 w:rsidR="001B7E10">
              <w:rPr>
                <w:b/>
                <w:bCs/>
                <w:sz w:val="26"/>
                <w:szCs w:val="26"/>
                <w:lang w:val="fr-FR"/>
              </w:rPr>
              <w:t>2-5 juin</w:t>
            </w:r>
            <w:bookmarkStart w:id="0" w:name="_GoBack"/>
            <w:bookmarkEnd w:id="0"/>
            <w:r w:rsidRPr="00C32615">
              <w:rPr>
                <w:b/>
                <w:bCs/>
                <w:sz w:val="26"/>
                <w:szCs w:val="26"/>
                <w:lang w:val="fr-FR"/>
              </w:rPr>
              <w:t xml:space="preserve"> 20</w:t>
            </w:r>
            <w:r w:rsidR="003C1EDB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6" w:type="dxa"/>
          </w:tcPr>
          <w:p w14:paraId="300DF243" w14:textId="77777777" w:rsidR="0021438F" w:rsidRPr="00C32615" w:rsidRDefault="00D87E6C" w:rsidP="000E3182">
            <w:pPr>
              <w:spacing w:before="0"/>
              <w:ind w:right="142"/>
              <w:jc w:val="right"/>
              <w:rPr>
                <w:lang w:val="fr-FR"/>
              </w:rPr>
            </w:pPr>
            <w:r w:rsidRPr="00C32615">
              <w:rPr>
                <w:noProof/>
                <w:color w:val="3399FF"/>
                <w:lang w:val="fr-FR" w:eastAsia="en-GB"/>
              </w:rPr>
              <w:drawing>
                <wp:inline distT="0" distB="0" distL="0" distR="0" wp14:anchorId="65E8516D" wp14:editId="1C88A59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C32615" w14:paraId="58DCA738" w14:textId="77777777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14:paraId="6C38939F" w14:textId="77777777" w:rsidR="00683C32" w:rsidRPr="00C32615" w:rsidRDefault="00683C32" w:rsidP="000E3182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14:paraId="51843B1D" w14:textId="77777777" w:rsidR="00683C32" w:rsidRPr="00C32615" w:rsidRDefault="00683C32" w:rsidP="000E3182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C32615" w14:paraId="73EFD24A" w14:textId="77777777" w:rsidTr="000C61E9">
        <w:trPr>
          <w:cantSplit/>
        </w:trPr>
        <w:tc>
          <w:tcPr>
            <w:tcW w:w="7251" w:type="dxa"/>
          </w:tcPr>
          <w:p w14:paraId="2407E776" w14:textId="77777777" w:rsidR="00683C32" w:rsidRPr="00C32615" w:rsidRDefault="00683C32" w:rsidP="000E3182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5E4764B8" w14:textId="790827A9" w:rsidR="00683C32" w:rsidRPr="00C32615" w:rsidRDefault="00323587" w:rsidP="000E3182">
            <w:pPr>
              <w:spacing w:before="0"/>
              <w:rPr>
                <w:bCs/>
                <w:szCs w:val="24"/>
                <w:lang w:val="fr-FR"/>
              </w:rPr>
            </w:pPr>
            <w:r w:rsidRPr="00C32615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1" w:name="DocRef1"/>
            <w:bookmarkEnd w:id="1"/>
            <w:r w:rsidRPr="00C32615">
              <w:rPr>
                <w:b/>
                <w:bCs/>
                <w:szCs w:val="28"/>
                <w:lang w:val="fr-FR"/>
              </w:rPr>
              <w:t>TDAG</w:t>
            </w:r>
            <w:r w:rsidR="008F20EB" w:rsidRPr="00C32615">
              <w:rPr>
                <w:b/>
                <w:bCs/>
                <w:szCs w:val="28"/>
                <w:lang w:val="fr-FR"/>
              </w:rPr>
              <w:t>-</w:t>
            </w:r>
            <w:r w:rsidR="002577C1" w:rsidRPr="00C32615">
              <w:rPr>
                <w:b/>
                <w:bCs/>
                <w:szCs w:val="28"/>
                <w:lang w:val="fr-FR"/>
              </w:rPr>
              <w:t>20</w:t>
            </w:r>
            <w:r w:rsidRPr="00C32615">
              <w:rPr>
                <w:b/>
                <w:bCs/>
                <w:szCs w:val="28"/>
                <w:lang w:val="fr-FR"/>
              </w:rPr>
              <w:t>/</w:t>
            </w:r>
            <w:bookmarkStart w:id="2" w:name="DocNo1"/>
            <w:bookmarkEnd w:id="2"/>
            <w:r w:rsidR="00A7557F" w:rsidRPr="00C32615">
              <w:rPr>
                <w:b/>
                <w:bCs/>
                <w:szCs w:val="28"/>
                <w:lang w:val="fr-FR"/>
              </w:rPr>
              <w:t>31</w:t>
            </w:r>
            <w:r w:rsidRPr="00C32615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C32615" w14:paraId="73B23689" w14:textId="77777777" w:rsidTr="000C61E9">
        <w:trPr>
          <w:cantSplit/>
        </w:trPr>
        <w:tc>
          <w:tcPr>
            <w:tcW w:w="7251" w:type="dxa"/>
          </w:tcPr>
          <w:p w14:paraId="52634CDB" w14:textId="77777777" w:rsidR="00683C32" w:rsidRPr="00C32615" w:rsidRDefault="00683C32" w:rsidP="000E3182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46883DA8" w14:textId="43E254A6" w:rsidR="00683C32" w:rsidRPr="00C32615" w:rsidRDefault="00A7557F" w:rsidP="000E3182">
            <w:pPr>
              <w:spacing w:before="0"/>
              <w:rPr>
                <w:b/>
                <w:szCs w:val="24"/>
                <w:lang w:val="fr-FR"/>
              </w:rPr>
            </w:pPr>
            <w:bookmarkStart w:id="3" w:name="CreationDate"/>
            <w:bookmarkEnd w:id="3"/>
            <w:r w:rsidRPr="00C32615">
              <w:rPr>
                <w:b/>
                <w:bCs/>
                <w:szCs w:val="28"/>
                <w:lang w:val="fr-FR"/>
              </w:rPr>
              <w:t>7 février</w:t>
            </w:r>
            <w:r w:rsidR="00323587" w:rsidRPr="00C32615">
              <w:rPr>
                <w:b/>
                <w:bCs/>
                <w:szCs w:val="28"/>
                <w:lang w:val="fr-FR"/>
              </w:rPr>
              <w:t xml:space="preserve"> 20</w:t>
            </w:r>
            <w:r w:rsidR="002577C1" w:rsidRPr="00C32615">
              <w:rPr>
                <w:b/>
                <w:bCs/>
                <w:szCs w:val="28"/>
                <w:lang w:val="fr-FR"/>
              </w:rPr>
              <w:t>20</w:t>
            </w:r>
          </w:p>
        </w:tc>
      </w:tr>
      <w:tr w:rsidR="00683C32" w:rsidRPr="00C32615" w14:paraId="5C6624DF" w14:textId="77777777" w:rsidTr="000C61E9">
        <w:trPr>
          <w:cantSplit/>
        </w:trPr>
        <w:tc>
          <w:tcPr>
            <w:tcW w:w="7251" w:type="dxa"/>
          </w:tcPr>
          <w:p w14:paraId="16E3242D" w14:textId="77777777" w:rsidR="00683C32" w:rsidRPr="00C32615" w:rsidRDefault="00683C32" w:rsidP="000E3182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22EF964F" w14:textId="7149907F" w:rsidR="00514D2F" w:rsidRPr="00C32615" w:rsidRDefault="00323587" w:rsidP="000E3182">
            <w:pPr>
              <w:spacing w:before="0"/>
              <w:rPr>
                <w:szCs w:val="24"/>
                <w:lang w:val="fr-FR"/>
              </w:rPr>
            </w:pPr>
            <w:r w:rsidRPr="00C32615">
              <w:rPr>
                <w:b/>
                <w:szCs w:val="28"/>
                <w:lang w:val="fr-FR"/>
              </w:rPr>
              <w:t>Original:</w:t>
            </w:r>
            <w:r w:rsidR="00A7557F" w:rsidRPr="00C32615">
              <w:rPr>
                <w:b/>
                <w:lang w:val="fr-FR"/>
              </w:rPr>
              <w:t xml:space="preserve"> </w:t>
            </w:r>
            <w:r w:rsidR="00A7557F" w:rsidRPr="00C32615">
              <w:rPr>
                <w:b/>
                <w:szCs w:val="28"/>
                <w:lang w:val="fr-FR"/>
              </w:rPr>
              <w:t>anglais</w:t>
            </w:r>
          </w:p>
        </w:tc>
      </w:tr>
      <w:tr w:rsidR="00A13162" w:rsidRPr="00C32615" w14:paraId="2BE59D55" w14:textId="77777777" w:rsidTr="000C61E9">
        <w:trPr>
          <w:cantSplit/>
          <w:trHeight w:val="852"/>
        </w:trPr>
        <w:tc>
          <w:tcPr>
            <w:tcW w:w="10247" w:type="dxa"/>
            <w:gridSpan w:val="2"/>
          </w:tcPr>
          <w:p w14:paraId="55A1667D" w14:textId="22F53C70" w:rsidR="00A13162" w:rsidRPr="00C32615" w:rsidRDefault="00A7557F" w:rsidP="0047396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C32615">
              <w:rPr>
                <w:lang w:val="fr-FR"/>
              </w:rPr>
              <w:t>Royaume-Uni de Grande-Bretagne et d</w:t>
            </w:r>
            <w:r w:rsidR="00C32615" w:rsidRPr="00C32615">
              <w:rPr>
                <w:lang w:val="fr-FR"/>
              </w:rPr>
              <w:t>'</w:t>
            </w:r>
            <w:r w:rsidRPr="00C32615">
              <w:rPr>
                <w:lang w:val="fr-FR"/>
              </w:rPr>
              <w:t>Irlande du Nord</w:t>
            </w:r>
          </w:p>
        </w:tc>
      </w:tr>
      <w:tr w:rsidR="00AC6F14" w:rsidRPr="00C32615" w14:paraId="5BAD4CC3" w14:textId="77777777" w:rsidTr="000C61E9">
        <w:trPr>
          <w:cantSplit/>
        </w:trPr>
        <w:tc>
          <w:tcPr>
            <w:tcW w:w="10247" w:type="dxa"/>
            <w:gridSpan w:val="2"/>
          </w:tcPr>
          <w:p w14:paraId="22D18A24" w14:textId="41574C6B" w:rsidR="00AC6F14" w:rsidRPr="00C32615" w:rsidRDefault="0047396C" w:rsidP="000E3182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C32615">
              <w:rPr>
                <w:lang w:val="fr-FR"/>
              </w:rPr>
              <w:t xml:space="preserve">AMÉLIORATION DE L'ACCÈS AUX RESSOURCES DE L'UIT </w:t>
            </w:r>
            <w:r>
              <w:rPr>
                <w:lang w:val="fr-FR"/>
              </w:rPr>
              <w:br/>
            </w:r>
            <w:r w:rsidRPr="00C32615">
              <w:rPr>
                <w:lang w:val="fr-FR"/>
              </w:rPr>
              <w:t>RELATIVES À LA FRACTURE NUMÉRIQUE</w:t>
            </w:r>
          </w:p>
        </w:tc>
      </w:tr>
      <w:tr w:rsidR="00A721F4" w:rsidRPr="00C32615" w14:paraId="57DADFCC" w14:textId="77777777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14:paraId="2266ABD5" w14:textId="77777777" w:rsidR="00A721F4" w:rsidRPr="00C32615" w:rsidRDefault="00A721F4" w:rsidP="000E3182">
            <w:pPr>
              <w:rPr>
                <w:lang w:val="fr-FR"/>
              </w:rPr>
            </w:pPr>
          </w:p>
        </w:tc>
      </w:tr>
      <w:tr w:rsidR="00A721F4" w:rsidRPr="00C32615" w14:paraId="573981C9" w14:textId="77777777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1A6" w14:textId="77777777" w:rsidR="00A721F4" w:rsidRPr="00C32615" w:rsidRDefault="00156BF6" w:rsidP="000E3182">
            <w:pPr>
              <w:pStyle w:val="Headingb"/>
              <w:rPr>
                <w:lang w:val="fr-FR"/>
              </w:rPr>
            </w:pPr>
            <w:r w:rsidRPr="00C32615">
              <w:rPr>
                <w:lang w:val="fr-FR"/>
              </w:rPr>
              <w:t>Résumé:</w:t>
            </w:r>
          </w:p>
          <w:p w14:paraId="5EBCAD4B" w14:textId="3837EB8D" w:rsidR="00A721F4" w:rsidRPr="00C32615" w:rsidRDefault="00A7557F" w:rsidP="000E3182">
            <w:pPr>
              <w:rPr>
                <w:szCs w:val="24"/>
                <w:lang w:val="fr-FR"/>
              </w:rPr>
            </w:pPr>
            <w:r w:rsidRPr="00C32615">
              <w:rPr>
                <w:szCs w:val="24"/>
                <w:lang w:val="fr-FR"/>
              </w:rPr>
              <w:t xml:space="preserve">Dans la présente contribution, il est proposé que le Bureau de développement </w:t>
            </w:r>
            <w:r w:rsidR="00DD79AF" w:rsidRPr="00C32615">
              <w:rPr>
                <w:szCs w:val="24"/>
                <w:lang w:val="fr-FR"/>
              </w:rPr>
              <w:t xml:space="preserve">des télécommunications </w:t>
            </w:r>
            <w:r w:rsidRPr="00C32615">
              <w:rPr>
                <w:szCs w:val="24"/>
                <w:lang w:val="fr-FR"/>
              </w:rPr>
              <w:t xml:space="preserve">prenne des mesures pour </w:t>
            </w:r>
            <w:r w:rsidR="00DD79AF" w:rsidRPr="00C32615">
              <w:rPr>
                <w:szCs w:val="24"/>
                <w:lang w:val="fr-FR"/>
              </w:rPr>
              <w:t xml:space="preserve">faire en sorte </w:t>
            </w:r>
            <w:r w:rsidRPr="00C32615">
              <w:rPr>
                <w:szCs w:val="24"/>
                <w:lang w:val="fr-FR"/>
              </w:rPr>
              <w:t>que les informations et les bonnes pratiques relatives à la réduction de la fracture numérique soient plus accessibles et utiles</w:t>
            </w:r>
            <w:r w:rsidR="00DD79AF" w:rsidRPr="00C32615">
              <w:rPr>
                <w:szCs w:val="24"/>
                <w:lang w:val="fr-FR"/>
              </w:rPr>
              <w:t>.</w:t>
            </w:r>
          </w:p>
          <w:p w14:paraId="47C99CA6" w14:textId="2E0F3540" w:rsidR="00A721F4" w:rsidRPr="00C32615" w:rsidRDefault="00A7557F" w:rsidP="000E3182">
            <w:pPr>
              <w:pStyle w:val="Headingb"/>
              <w:rPr>
                <w:lang w:val="fr-FR"/>
              </w:rPr>
            </w:pPr>
            <w:r w:rsidRPr="00C32615">
              <w:rPr>
                <w:lang w:val="fr-FR"/>
              </w:rPr>
              <w:t>Action demandée:</w:t>
            </w:r>
          </w:p>
          <w:p w14:paraId="187AB4CA" w14:textId="08F657F5" w:rsidR="00A7557F" w:rsidRPr="00C32615" w:rsidRDefault="00A7557F" w:rsidP="000E3182">
            <w:pPr>
              <w:rPr>
                <w:szCs w:val="24"/>
                <w:lang w:val="fr-FR"/>
              </w:rPr>
            </w:pPr>
            <w:r w:rsidRPr="00C32615">
              <w:rPr>
                <w:szCs w:val="24"/>
                <w:lang w:val="fr-FR"/>
              </w:rPr>
              <w:t>Le GCDT est prié d</w:t>
            </w:r>
            <w:r w:rsidR="00C32615" w:rsidRPr="00C32615">
              <w:rPr>
                <w:szCs w:val="24"/>
                <w:lang w:val="fr-FR"/>
              </w:rPr>
              <w:t>'</w:t>
            </w:r>
            <w:r w:rsidRPr="00C32615">
              <w:rPr>
                <w:szCs w:val="24"/>
                <w:lang w:val="fr-FR"/>
              </w:rPr>
              <w:t>examiner la présente contribution et d</w:t>
            </w:r>
            <w:r w:rsidR="00C32615" w:rsidRPr="00C32615">
              <w:rPr>
                <w:szCs w:val="24"/>
                <w:lang w:val="fr-FR"/>
              </w:rPr>
              <w:t>'</w:t>
            </w:r>
            <w:r w:rsidRPr="00C32615">
              <w:rPr>
                <w:szCs w:val="24"/>
                <w:lang w:val="fr-FR"/>
              </w:rPr>
              <w:t>approuver les propositions qui y figurent</w:t>
            </w:r>
            <w:r w:rsidR="00900F54" w:rsidRPr="00C32615">
              <w:rPr>
                <w:szCs w:val="24"/>
                <w:lang w:val="fr-FR"/>
              </w:rPr>
              <w:t>.</w:t>
            </w:r>
          </w:p>
          <w:p w14:paraId="1C8B69AB" w14:textId="77777777" w:rsidR="00A721F4" w:rsidRPr="00C32615" w:rsidRDefault="00156BF6" w:rsidP="000E3182">
            <w:pPr>
              <w:pStyle w:val="Headingb"/>
              <w:rPr>
                <w:lang w:val="fr-FR"/>
              </w:rPr>
            </w:pPr>
            <w:r w:rsidRPr="00C32615">
              <w:rPr>
                <w:lang w:val="fr-FR"/>
              </w:rPr>
              <w:t>Références:</w:t>
            </w:r>
          </w:p>
          <w:p w14:paraId="2B618509" w14:textId="3A699741" w:rsidR="00A721F4" w:rsidRPr="00C32615" w:rsidRDefault="00DD79AF" w:rsidP="000E3182">
            <w:pPr>
              <w:spacing w:after="120"/>
              <w:rPr>
                <w:lang w:val="fr-FR"/>
              </w:rPr>
            </w:pPr>
            <w:r w:rsidRPr="00C32615">
              <w:rPr>
                <w:lang w:val="fr-FR"/>
              </w:rPr>
              <w:t>S</w:t>
            </w:r>
            <w:r w:rsidR="00A7557F" w:rsidRPr="00C32615">
              <w:rPr>
                <w:lang w:val="fr-FR"/>
              </w:rPr>
              <w:t>ans objet</w:t>
            </w:r>
            <w:r w:rsidR="00900F54" w:rsidRPr="00C32615">
              <w:rPr>
                <w:lang w:val="fr-FR"/>
              </w:rPr>
              <w:t>.</w:t>
            </w:r>
          </w:p>
        </w:tc>
      </w:tr>
    </w:tbl>
    <w:p w14:paraId="76D06A30" w14:textId="77777777" w:rsidR="002577C1" w:rsidRPr="00C32615" w:rsidRDefault="002577C1" w:rsidP="000E31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bookmarkStart w:id="6" w:name="Proposal"/>
      <w:bookmarkEnd w:id="6"/>
      <w:r w:rsidRPr="00C32615">
        <w:rPr>
          <w:lang w:val="fr-FR"/>
        </w:rPr>
        <w:br w:type="page"/>
      </w:r>
    </w:p>
    <w:p w14:paraId="3F5A9068" w14:textId="25BE0631" w:rsidR="00A7557F" w:rsidRPr="0047396C" w:rsidRDefault="004B40EB" w:rsidP="0047396C">
      <w:pPr>
        <w:pStyle w:val="Heading1"/>
      </w:pPr>
      <w:r w:rsidRPr="0047396C">
        <w:lastRenderedPageBreak/>
        <w:t>1</w:t>
      </w:r>
      <w:r w:rsidRPr="0047396C">
        <w:tab/>
      </w:r>
      <w:r w:rsidR="00A7557F" w:rsidRPr="0047396C">
        <w:t>Introduction</w:t>
      </w:r>
    </w:p>
    <w:p w14:paraId="1062C11F" w14:textId="2231F455" w:rsidR="00A7557F" w:rsidRPr="00A7557F" w:rsidRDefault="00A7557F" w:rsidP="000E3182">
      <w:pPr>
        <w:spacing w:after="120"/>
        <w:rPr>
          <w:lang w:val="fr-FR"/>
        </w:rPr>
      </w:pPr>
      <w:r w:rsidRPr="00A7557F">
        <w:rPr>
          <w:lang w:val="fr-FR"/>
        </w:rPr>
        <w:t xml:space="preserve">Le </w:t>
      </w:r>
      <w:r w:rsidR="007279BA" w:rsidRPr="00C32615">
        <w:rPr>
          <w:lang w:val="fr-FR"/>
        </w:rPr>
        <w:t>Royaume-Uni</w:t>
      </w:r>
      <w:r w:rsidRPr="00A7557F">
        <w:rPr>
          <w:lang w:val="fr-FR"/>
        </w:rPr>
        <w:t xml:space="preserve"> propose que le GCDT demande au Bureau de développement des télécommunications d</w:t>
      </w:r>
      <w:r w:rsidR="00C32615" w:rsidRPr="00C32615">
        <w:rPr>
          <w:lang w:val="fr-FR"/>
        </w:rPr>
        <w:t>'</w:t>
      </w:r>
      <w:r w:rsidRPr="00A7557F">
        <w:rPr>
          <w:lang w:val="fr-FR"/>
        </w:rPr>
        <w:t>adopter un ensemble de mesures visant à réduire la fracture numérique grâce à un accès financièrement abordable aux services de télécommunication</w:t>
      </w:r>
      <w:r w:rsidR="007279BA" w:rsidRPr="00C32615">
        <w:rPr>
          <w:lang w:val="fr-FR"/>
        </w:rPr>
        <w:t>.</w:t>
      </w:r>
    </w:p>
    <w:p w14:paraId="379785D9" w14:textId="56849235" w:rsidR="00A7557F" w:rsidRPr="00C32615" w:rsidRDefault="004B40EB" w:rsidP="000E3182">
      <w:pPr>
        <w:pStyle w:val="Heading1"/>
        <w:rPr>
          <w:lang w:val="fr-FR"/>
        </w:rPr>
      </w:pPr>
      <w:r w:rsidRPr="00C32615">
        <w:rPr>
          <w:lang w:val="fr-FR"/>
        </w:rPr>
        <w:t>2</w:t>
      </w:r>
      <w:r w:rsidRPr="00C32615">
        <w:rPr>
          <w:lang w:val="fr-FR"/>
        </w:rPr>
        <w:tab/>
      </w:r>
      <w:r w:rsidR="00A7557F" w:rsidRPr="00C32615">
        <w:rPr>
          <w:lang w:val="fr-FR"/>
        </w:rPr>
        <w:t>Propositions</w:t>
      </w:r>
    </w:p>
    <w:p w14:paraId="4AF6A987" w14:textId="26D3916E" w:rsidR="00A7557F" w:rsidRPr="00C32615" w:rsidRDefault="00A7557F" w:rsidP="000E3182">
      <w:pPr>
        <w:rPr>
          <w:lang w:val="fr-FR"/>
        </w:rPr>
      </w:pPr>
      <w:r w:rsidRPr="00C32615">
        <w:rPr>
          <w:lang w:val="fr-FR"/>
        </w:rPr>
        <w:t>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>Union s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 xml:space="preserve">est engagée à intensifier les efforts en vue de réduire la fracture numérique et a </w:t>
      </w:r>
      <w:r w:rsidR="007279BA" w:rsidRPr="00C32615">
        <w:rPr>
          <w:lang w:val="fr-FR"/>
        </w:rPr>
        <w:t>mis l'accent</w:t>
      </w:r>
      <w:r w:rsidRPr="00C32615">
        <w:rPr>
          <w:lang w:val="fr-FR"/>
        </w:rPr>
        <w:t xml:space="preserve"> à de nombreuses reprises </w:t>
      </w:r>
      <w:r w:rsidR="007279BA" w:rsidRPr="00C32615">
        <w:rPr>
          <w:lang w:val="fr-FR"/>
        </w:rPr>
        <w:t xml:space="preserve">sur </w:t>
      </w:r>
      <w:r w:rsidRPr="00C32615">
        <w:rPr>
          <w:lang w:val="fr-FR"/>
        </w:rPr>
        <w:t>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>importance de cette question.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 xml:space="preserve">UIT, et tout particulièrement le Secteur du développement des télécommunications, a un rôle </w:t>
      </w:r>
      <w:r w:rsidR="007279BA" w:rsidRPr="00C32615">
        <w:rPr>
          <w:lang w:val="fr-FR"/>
        </w:rPr>
        <w:t>unique</w:t>
      </w:r>
      <w:r w:rsidRPr="00C32615">
        <w:rPr>
          <w:lang w:val="fr-FR"/>
        </w:rPr>
        <w:t xml:space="preserve"> et important à jouer en encourageant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>adoption de bonnes pratiques dans le domaine de la réglementation des télécommunications, afin de réduire les coûts de gros du large bande et de promouvoir une connectivité financièrement abordable</w:t>
      </w:r>
      <w:r w:rsidR="000E3182">
        <w:rPr>
          <w:lang w:val="fr-FR"/>
        </w:rPr>
        <w:t>.</w:t>
      </w:r>
    </w:p>
    <w:p w14:paraId="73D275C2" w14:textId="3ED8C0D0" w:rsidR="00A7557F" w:rsidRPr="00C32615" w:rsidRDefault="00A7557F" w:rsidP="000E3182">
      <w:pPr>
        <w:rPr>
          <w:lang w:val="fr-FR"/>
        </w:rPr>
      </w:pPr>
      <w:r w:rsidRPr="00C32615">
        <w:rPr>
          <w:lang w:val="fr-FR"/>
        </w:rPr>
        <w:t>Il existe incontestablement à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 xml:space="preserve">UIT un ensemble de ressources très précieuses </w:t>
      </w:r>
      <w:r w:rsidR="008A3FC7" w:rsidRPr="00C32615">
        <w:rPr>
          <w:lang w:val="fr-FR"/>
        </w:rPr>
        <w:t>–</w:t>
      </w:r>
      <w:r w:rsidRPr="00C32615">
        <w:rPr>
          <w:lang w:val="fr-FR"/>
        </w:rPr>
        <w:t xml:space="preserve"> données, bonnes pratiques, programmes de renforcement des capacités dans le domaine des politiques réglementaires et résultats connexes, Recommandations et travaux de recherche</w:t>
      </w:r>
      <w:r w:rsidR="007279BA" w:rsidRPr="00C32615">
        <w:rPr>
          <w:lang w:val="fr-FR"/>
        </w:rPr>
        <w:t xml:space="preserve"> notamment</w:t>
      </w:r>
      <w:r w:rsidR="008A3FC7" w:rsidRPr="00C32615">
        <w:rPr>
          <w:lang w:val="fr-FR"/>
        </w:rPr>
        <w:t xml:space="preserve"> –</w:t>
      </w:r>
      <w:r w:rsidRPr="00C32615">
        <w:rPr>
          <w:lang w:val="fr-FR"/>
        </w:rPr>
        <w:t xml:space="preserve"> qui sont mises à disposition pour un usage général ou à la demande des différents</w:t>
      </w:r>
      <w:r w:rsidR="00C32615" w:rsidRPr="00C32615">
        <w:rPr>
          <w:lang w:val="fr-FR"/>
        </w:rPr>
        <w:t xml:space="preserve"> </w:t>
      </w:r>
      <w:r w:rsidRPr="00C32615">
        <w:rPr>
          <w:lang w:val="fr-FR"/>
        </w:rPr>
        <w:t>Membres dans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 xml:space="preserve">optique de la réduction de la fracture numérique, mais </w:t>
      </w:r>
      <w:r w:rsidR="007279BA" w:rsidRPr="00C32615">
        <w:rPr>
          <w:lang w:val="fr-FR"/>
        </w:rPr>
        <w:t xml:space="preserve">toutes ces </w:t>
      </w:r>
      <w:r w:rsidRPr="00C32615">
        <w:rPr>
          <w:lang w:val="fr-FR"/>
        </w:rPr>
        <w:t>informations n</w:t>
      </w:r>
      <w:r w:rsidR="007279BA" w:rsidRPr="00C32615">
        <w:rPr>
          <w:lang w:val="fr-FR"/>
        </w:rPr>
        <w:t>e sont</w:t>
      </w:r>
      <w:r w:rsidRPr="00C32615">
        <w:rPr>
          <w:lang w:val="fr-FR"/>
        </w:rPr>
        <w:t xml:space="preserve"> pas toujours facile</w:t>
      </w:r>
      <w:r w:rsidR="007279BA" w:rsidRPr="00C32615">
        <w:rPr>
          <w:lang w:val="fr-FR"/>
        </w:rPr>
        <w:t>s</w:t>
      </w:r>
      <w:r w:rsidRPr="00C32615">
        <w:rPr>
          <w:lang w:val="fr-FR"/>
        </w:rPr>
        <w:t xml:space="preserve"> à trouver et n</w:t>
      </w:r>
      <w:r w:rsidR="007279BA" w:rsidRPr="00C32615">
        <w:rPr>
          <w:lang w:val="fr-FR"/>
        </w:rPr>
        <w:t>e sont</w:t>
      </w:r>
      <w:r w:rsidRPr="00C32615">
        <w:rPr>
          <w:lang w:val="fr-FR"/>
        </w:rPr>
        <w:t xml:space="preserve"> pas regroupé</w:t>
      </w:r>
      <w:r w:rsidR="007279BA" w:rsidRPr="00C32615">
        <w:rPr>
          <w:lang w:val="fr-FR"/>
        </w:rPr>
        <w:t>es</w:t>
      </w:r>
      <w:r w:rsidRPr="00C32615">
        <w:rPr>
          <w:lang w:val="fr-FR"/>
        </w:rPr>
        <w:t xml:space="preserve"> ou rattaché</w:t>
      </w:r>
      <w:r w:rsidR="007279BA" w:rsidRPr="00C32615">
        <w:rPr>
          <w:lang w:val="fr-FR"/>
        </w:rPr>
        <w:t>es</w:t>
      </w:r>
      <w:r w:rsidRPr="00C32615">
        <w:rPr>
          <w:lang w:val="fr-FR"/>
        </w:rPr>
        <w:t xml:space="preserve"> par thème, ce qui rend difficile </w:t>
      </w:r>
      <w:r w:rsidR="007279BA" w:rsidRPr="00C32615">
        <w:rPr>
          <w:lang w:val="fr-FR"/>
        </w:rPr>
        <w:t>leur</w:t>
      </w:r>
      <w:r w:rsidRPr="00C32615">
        <w:rPr>
          <w:lang w:val="fr-FR"/>
        </w:rPr>
        <w:t xml:space="preserve"> utilisation et </w:t>
      </w:r>
      <w:r w:rsidR="007279BA" w:rsidRPr="00C32615">
        <w:rPr>
          <w:lang w:val="fr-FR"/>
        </w:rPr>
        <w:t>leur</w:t>
      </w:r>
      <w:r w:rsidRPr="00C32615">
        <w:rPr>
          <w:lang w:val="fr-FR"/>
        </w:rPr>
        <w:t xml:space="preserve"> application.</w:t>
      </w:r>
    </w:p>
    <w:p w14:paraId="6BFC8BE2" w14:textId="47ED0F94" w:rsidR="00A7557F" w:rsidRPr="00C32615" w:rsidRDefault="00A7557F" w:rsidP="000E3182">
      <w:pPr>
        <w:rPr>
          <w:lang w:val="fr-FR"/>
        </w:rPr>
      </w:pPr>
      <w:r w:rsidRPr="00C32615">
        <w:rPr>
          <w:lang w:val="fr-FR"/>
        </w:rPr>
        <w:t>Il serait particulièrement utile de compiler et de présenter ces information</w:t>
      </w:r>
      <w:r w:rsidR="007279BA" w:rsidRPr="00C32615">
        <w:rPr>
          <w:lang w:val="fr-FR"/>
        </w:rPr>
        <w:t>s</w:t>
      </w:r>
      <w:r w:rsidRPr="00C32615">
        <w:rPr>
          <w:lang w:val="fr-FR"/>
        </w:rPr>
        <w:t xml:space="preserve"> sous une forme plus accessible et par thème, non seulement pour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>Union, mais aussi pour les institutions, les organismes publics, les ONG et les nombreuses autres parties prenantes concernées par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 xml:space="preserve">intensification des efforts </w:t>
      </w:r>
      <w:r w:rsidR="007279BA" w:rsidRPr="00C32615">
        <w:rPr>
          <w:lang w:val="fr-FR"/>
        </w:rPr>
        <w:t>pour</w:t>
      </w:r>
      <w:r w:rsidRPr="00C32615">
        <w:rPr>
          <w:lang w:val="fr-FR"/>
        </w:rPr>
        <w:t xml:space="preserve"> réduire la fracture numérique, notamment </w:t>
      </w:r>
      <w:r w:rsidR="007279BA" w:rsidRPr="00C32615">
        <w:rPr>
          <w:lang w:val="fr-FR"/>
        </w:rPr>
        <w:t>en ce qui concerne les</w:t>
      </w:r>
      <w:r w:rsidRPr="00C32615">
        <w:rPr>
          <w:lang w:val="fr-FR"/>
        </w:rPr>
        <w:t xml:space="preserve"> choix stratégiques en matière de réglementation visant à encourager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>accès à des services de télécommunication financièrement abordables</w:t>
      </w:r>
      <w:r w:rsidR="007279BA" w:rsidRPr="00C32615">
        <w:rPr>
          <w:lang w:val="fr-FR"/>
        </w:rPr>
        <w:t>.</w:t>
      </w:r>
    </w:p>
    <w:p w14:paraId="528F5968" w14:textId="585AA699" w:rsidR="00A7557F" w:rsidRPr="00C32615" w:rsidRDefault="00A7557F" w:rsidP="000E3182">
      <w:pPr>
        <w:rPr>
          <w:lang w:val="fr-FR"/>
        </w:rPr>
      </w:pPr>
      <w:r w:rsidRPr="00C32615">
        <w:rPr>
          <w:lang w:val="fr-FR"/>
        </w:rPr>
        <w:t>En conséquence, nous proposons que le Bureau de développement des télécommunications prenne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 xml:space="preserve">initiative </w:t>
      </w:r>
      <w:r w:rsidR="007279BA" w:rsidRPr="00C32615">
        <w:rPr>
          <w:lang w:val="fr-FR"/>
        </w:rPr>
        <w:t>dans la mise au point</w:t>
      </w:r>
      <w:r w:rsidRPr="00C32615">
        <w:rPr>
          <w:lang w:val="fr-FR"/>
        </w:rPr>
        <w:t xml:space="preserve"> de </w:t>
      </w:r>
      <w:r w:rsidR="007279BA" w:rsidRPr="00C32615">
        <w:rPr>
          <w:lang w:val="fr-FR"/>
        </w:rPr>
        <w:t>ces</w:t>
      </w:r>
      <w:r w:rsidRPr="00C32615">
        <w:rPr>
          <w:lang w:val="fr-FR"/>
        </w:rPr>
        <w:t xml:space="preserve"> ressources</w:t>
      </w:r>
      <w:r w:rsidR="007279BA" w:rsidRPr="00C32615">
        <w:rPr>
          <w:lang w:val="fr-FR"/>
        </w:rPr>
        <w:t>.</w:t>
      </w:r>
    </w:p>
    <w:p w14:paraId="3D2EC2AC" w14:textId="30A86F30" w:rsidR="00A7557F" w:rsidRPr="00C32615" w:rsidRDefault="00A7557F" w:rsidP="000E3182">
      <w:pPr>
        <w:rPr>
          <w:lang w:val="fr-FR"/>
        </w:rPr>
      </w:pPr>
      <w:r w:rsidRPr="00C32615">
        <w:rPr>
          <w:lang w:val="fr-FR"/>
        </w:rPr>
        <w:t>Nous suggérons que ces ressources</w:t>
      </w:r>
      <w:r w:rsidR="007279BA" w:rsidRPr="00C32615">
        <w:rPr>
          <w:lang w:val="fr-FR"/>
        </w:rPr>
        <w:t>:</w:t>
      </w:r>
    </w:p>
    <w:p w14:paraId="45EF1D78" w14:textId="5C47122D" w:rsidR="00A7557F" w:rsidRPr="00C32615" w:rsidRDefault="004B40EB" w:rsidP="000E3182">
      <w:pPr>
        <w:pStyle w:val="enumlev1"/>
        <w:rPr>
          <w:lang w:val="fr-FR"/>
        </w:rPr>
      </w:pPr>
      <w:r w:rsidRPr="00C32615">
        <w:rPr>
          <w:lang w:val="fr-FR"/>
        </w:rPr>
        <w:t>–</w:t>
      </w:r>
      <w:r w:rsidRPr="00C32615">
        <w:rPr>
          <w:lang w:val="fr-FR"/>
        </w:rPr>
        <w:tab/>
      </w:r>
      <w:r w:rsidR="007279BA" w:rsidRPr="00C32615">
        <w:rPr>
          <w:lang w:val="fr-FR"/>
        </w:rPr>
        <w:t>soient</w:t>
      </w:r>
      <w:r w:rsidR="00A7557F" w:rsidRPr="00C32615">
        <w:rPr>
          <w:lang w:val="fr-FR"/>
        </w:rPr>
        <w:t xml:space="preserve"> accessibles en ligne dans toutes les langues de l</w:t>
      </w:r>
      <w:r w:rsidR="00C32615" w:rsidRPr="00C32615">
        <w:rPr>
          <w:lang w:val="fr-FR"/>
        </w:rPr>
        <w:t>'</w:t>
      </w:r>
      <w:r w:rsidR="00A7557F" w:rsidRPr="00C32615">
        <w:rPr>
          <w:lang w:val="fr-FR"/>
        </w:rPr>
        <w:t xml:space="preserve">Union et </w:t>
      </w:r>
      <w:r w:rsidR="007279BA" w:rsidRPr="00C32615">
        <w:rPr>
          <w:lang w:val="fr-FR"/>
        </w:rPr>
        <w:t xml:space="preserve">soient </w:t>
      </w:r>
      <w:r w:rsidR="00A7557F" w:rsidRPr="00C32615">
        <w:rPr>
          <w:lang w:val="fr-FR"/>
        </w:rPr>
        <w:t>organisées de telle sorte que les non-professionnel</w:t>
      </w:r>
      <w:r w:rsidR="007279BA" w:rsidRPr="00C32615">
        <w:rPr>
          <w:lang w:val="fr-FR"/>
        </w:rPr>
        <w:t>s</w:t>
      </w:r>
      <w:r w:rsidR="00A7557F" w:rsidRPr="00C32615">
        <w:rPr>
          <w:lang w:val="fr-FR"/>
        </w:rPr>
        <w:t xml:space="preserve"> puissent trouver aisément des informations de base, tout en ayant la possibilité d</w:t>
      </w:r>
      <w:r w:rsidR="00C32615" w:rsidRPr="00C32615">
        <w:rPr>
          <w:lang w:val="fr-FR"/>
        </w:rPr>
        <w:t>'</w:t>
      </w:r>
      <w:r w:rsidR="00A7557F" w:rsidRPr="00C32615">
        <w:rPr>
          <w:lang w:val="fr-FR"/>
        </w:rPr>
        <w:t>accéder à un niveau de détail suffisant en cas de besoin</w:t>
      </w:r>
      <w:r w:rsidR="007279BA" w:rsidRPr="00C32615">
        <w:rPr>
          <w:lang w:val="fr-FR"/>
        </w:rPr>
        <w:t>;</w:t>
      </w:r>
    </w:p>
    <w:p w14:paraId="014A6E66" w14:textId="10A6D00A" w:rsidR="00A7557F" w:rsidRPr="00C32615" w:rsidRDefault="004B40EB" w:rsidP="000E3182">
      <w:pPr>
        <w:pStyle w:val="enumlev1"/>
        <w:rPr>
          <w:lang w:val="fr-FR"/>
        </w:rPr>
      </w:pPr>
      <w:r w:rsidRPr="00C32615">
        <w:rPr>
          <w:lang w:val="fr-FR"/>
        </w:rPr>
        <w:t>–</w:t>
      </w:r>
      <w:r w:rsidRPr="00C32615">
        <w:rPr>
          <w:lang w:val="fr-FR"/>
        </w:rPr>
        <w:tab/>
      </w:r>
      <w:r w:rsidR="007279BA" w:rsidRPr="00C32615">
        <w:rPr>
          <w:lang w:val="fr-FR"/>
        </w:rPr>
        <w:t>soient</w:t>
      </w:r>
      <w:r w:rsidR="00A7557F" w:rsidRPr="00C32615">
        <w:rPr>
          <w:lang w:val="fr-FR"/>
        </w:rPr>
        <w:t xml:space="preserve"> constamment mises à jour</w:t>
      </w:r>
      <w:r w:rsidR="007279BA" w:rsidRPr="00C32615">
        <w:rPr>
          <w:lang w:val="fr-FR"/>
        </w:rPr>
        <w:t>,</w:t>
      </w:r>
      <w:r w:rsidR="00A7557F" w:rsidRPr="00C32615">
        <w:rPr>
          <w:lang w:val="fr-FR"/>
        </w:rPr>
        <w:t xml:space="preserve"> les informations obsolètes </w:t>
      </w:r>
      <w:r w:rsidR="007279BA" w:rsidRPr="00C32615">
        <w:rPr>
          <w:lang w:val="fr-FR"/>
        </w:rPr>
        <w:t>devant</w:t>
      </w:r>
      <w:r w:rsidR="00A7557F" w:rsidRPr="00C32615">
        <w:rPr>
          <w:lang w:val="fr-FR"/>
        </w:rPr>
        <w:t xml:space="preserve"> être supprimées;</w:t>
      </w:r>
    </w:p>
    <w:p w14:paraId="1F79DE74" w14:textId="114CF174" w:rsidR="00A7557F" w:rsidRPr="00C32615" w:rsidRDefault="004B40EB" w:rsidP="000E3182">
      <w:pPr>
        <w:pStyle w:val="enumlev1"/>
        <w:rPr>
          <w:lang w:val="fr-FR"/>
        </w:rPr>
      </w:pPr>
      <w:r w:rsidRPr="00C32615">
        <w:rPr>
          <w:lang w:val="fr-FR"/>
        </w:rPr>
        <w:t>–</w:t>
      </w:r>
      <w:r w:rsidRPr="00C32615">
        <w:rPr>
          <w:lang w:val="fr-FR"/>
        </w:rPr>
        <w:tab/>
      </w:r>
      <w:r w:rsidR="00A7557F" w:rsidRPr="00C32615">
        <w:rPr>
          <w:lang w:val="fr-FR"/>
        </w:rPr>
        <w:t>rassemble</w:t>
      </w:r>
      <w:r w:rsidR="007279BA" w:rsidRPr="00C32615">
        <w:rPr>
          <w:lang w:val="fr-FR"/>
        </w:rPr>
        <w:t>nt</w:t>
      </w:r>
      <w:r w:rsidR="00A7557F" w:rsidRPr="00C32615">
        <w:rPr>
          <w:lang w:val="fr-FR"/>
        </w:rPr>
        <w:t xml:space="preserve"> toute la documentation se rapportant à la question chaque fois que celle-ci a été élaborée au sein de l</w:t>
      </w:r>
      <w:r w:rsidR="00C32615" w:rsidRPr="00C32615">
        <w:rPr>
          <w:lang w:val="fr-FR"/>
        </w:rPr>
        <w:t>'</w:t>
      </w:r>
      <w:r w:rsidR="00A7557F" w:rsidRPr="00C32615">
        <w:rPr>
          <w:lang w:val="fr-FR"/>
        </w:rPr>
        <w:t xml:space="preserve">Union, et </w:t>
      </w:r>
      <w:r w:rsidR="007279BA" w:rsidRPr="00C32615">
        <w:rPr>
          <w:lang w:val="fr-FR"/>
        </w:rPr>
        <w:t>indiquent</w:t>
      </w:r>
      <w:r w:rsidR="00A7557F" w:rsidRPr="00C32615">
        <w:rPr>
          <w:lang w:val="fr-FR"/>
        </w:rPr>
        <w:t>, dans la mesure du possible, la documentation pertinente émanant d</w:t>
      </w:r>
      <w:r w:rsidR="00C32615" w:rsidRPr="00C32615">
        <w:rPr>
          <w:lang w:val="fr-FR"/>
        </w:rPr>
        <w:t>'</w:t>
      </w:r>
      <w:r w:rsidR="00A7557F" w:rsidRPr="00C32615">
        <w:rPr>
          <w:lang w:val="fr-FR"/>
        </w:rPr>
        <w:t>autres organisations</w:t>
      </w:r>
      <w:r w:rsidR="007279BA" w:rsidRPr="00C32615">
        <w:rPr>
          <w:lang w:val="fr-FR"/>
        </w:rPr>
        <w:t>;</w:t>
      </w:r>
    </w:p>
    <w:p w14:paraId="2157BFBE" w14:textId="6705E74C" w:rsidR="00A7557F" w:rsidRPr="00C32615" w:rsidRDefault="004B40EB" w:rsidP="000E3182">
      <w:pPr>
        <w:pStyle w:val="enumlev1"/>
        <w:rPr>
          <w:lang w:val="fr-FR"/>
        </w:rPr>
      </w:pPr>
      <w:r w:rsidRPr="00C32615">
        <w:rPr>
          <w:lang w:val="fr-FR"/>
        </w:rPr>
        <w:t>–</w:t>
      </w:r>
      <w:r w:rsidRPr="00C32615">
        <w:rPr>
          <w:lang w:val="fr-FR"/>
        </w:rPr>
        <w:tab/>
      </w:r>
      <w:r w:rsidR="007279BA" w:rsidRPr="00C32615">
        <w:rPr>
          <w:lang w:val="fr-FR"/>
        </w:rPr>
        <w:t>indiquent</w:t>
      </w:r>
      <w:r w:rsidR="00A7557F" w:rsidRPr="00C32615">
        <w:rPr>
          <w:lang w:val="fr-FR"/>
        </w:rPr>
        <w:t xml:space="preserve">, dans la mesure du possible, les liens vers les programmes de renforcement des capacités et de développement des ressources disponibles, en particulier pour les pays en développement, </w:t>
      </w:r>
      <w:r w:rsidR="007279BA" w:rsidRPr="00C32615">
        <w:rPr>
          <w:lang w:val="fr-FR"/>
        </w:rPr>
        <w:t>aux fins de</w:t>
      </w:r>
      <w:r w:rsidR="00A7557F" w:rsidRPr="00C32615">
        <w:rPr>
          <w:lang w:val="fr-FR"/>
        </w:rPr>
        <w:t xml:space="preserve"> la mise en œuvre des bonnes pratiques identifiées par les ressources</w:t>
      </w:r>
      <w:r w:rsidR="007279BA" w:rsidRPr="00C32615">
        <w:rPr>
          <w:lang w:val="fr-FR"/>
        </w:rPr>
        <w:t>;</w:t>
      </w:r>
    </w:p>
    <w:p w14:paraId="3E639276" w14:textId="25905A8B" w:rsidR="00A7557F" w:rsidRPr="00C32615" w:rsidRDefault="004B40EB" w:rsidP="000E3182">
      <w:pPr>
        <w:pStyle w:val="enumlev1"/>
        <w:rPr>
          <w:lang w:val="fr-FR"/>
        </w:rPr>
      </w:pPr>
      <w:r w:rsidRPr="00C32615">
        <w:rPr>
          <w:lang w:val="fr-FR"/>
        </w:rPr>
        <w:t>–</w:t>
      </w:r>
      <w:r w:rsidRPr="00C32615">
        <w:rPr>
          <w:lang w:val="fr-FR"/>
        </w:rPr>
        <w:tab/>
      </w:r>
      <w:r w:rsidR="007279BA" w:rsidRPr="00C32615">
        <w:rPr>
          <w:lang w:val="fr-FR"/>
        </w:rPr>
        <w:t>indiquent</w:t>
      </w:r>
      <w:r w:rsidR="00A7557F" w:rsidRPr="00C32615">
        <w:rPr>
          <w:lang w:val="fr-FR"/>
        </w:rPr>
        <w:t xml:space="preserve"> clairement l</w:t>
      </w:r>
      <w:r w:rsidR="00C32615" w:rsidRPr="00C32615">
        <w:rPr>
          <w:lang w:val="fr-FR"/>
        </w:rPr>
        <w:t>'</w:t>
      </w:r>
      <w:r w:rsidR="00A7557F" w:rsidRPr="00C32615">
        <w:rPr>
          <w:lang w:val="fr-FR"/>
        </w:rPr>
        <w:t xml:space="preserve">origine des informations provenant de différentes sources, en particulier </w:t>
      </w:r>
      <w:r w:rsidR="007279BA" w:rsidRPr="00C32615">
        <w:rPr>
          <w:lang w:val="fr-FR"/>
        </w:rPr>
        <w:t xml:space="preserve">dans les cas où certaines </w:t>
      </w:r>
      <w:r w:rsidR="00A7557F" w:rsidRPr="00C32615">
        <w:rPr>
          <w:lang w:val="fr-FR"/>
        </w:rPr>
        <w:t>informations se rapportent à des résultats obtenus par consensus par des groupes de travail de l</w:t>
      </w:r>
      <w:r w:rsidR="00C32615" w:rsidRPr="00C32615">
        <w:rPr>
          <w:lang w:val="fr-FR"/>
        </w:rPr>
        <w:t>'</w:t>
      </w:r>
      <w:r w:rsidR="00A7557F" w:rsidRPr="00C32615">
        <w:rPr>
          <w:lang w:val="fr-FR"/>
        </w:rPr>
        <w:t xml:space="preserve">UIT </w:t>
      </w:r>
      <w:r w:rsidR="00900F54" w:rsidRPr="00C32615">
        <w:rPr>
          <w:lang w:val="fr-FR"/>
        </w:rPr>
        <w:t>et où d'autres</w:t>
      </w:r>
      <w:r w:rsidR="00A7557F" w:rsidRPr="00C32615">
        <w:rPr>
          <w:lang w:val="fr-FR"/>
        </w:rPr>
        <w:t xml:space="preserve"> proviennent d</w:t>
      </w:r>
      <w:r w:rsidR="00C32615" w:rsidRPr="00C32615">
        <w:rPr>
          <w:lang w:val="fr-FR"/>
        </w:rPr>
        <w:t>'</w:t>
      </w:r>
      <w:r w:rsidR="00A7557F" w:rsidRPr="00C32615">
        <w:rPr>
          <w:lang w:val="fr-FR"/>
        </w:rPr>
        <w:t>autres sources</w:t>
      </w:r>
      <w:r w:rsidR="007279BA" w:rsidRPr="00C32615">
        <w:rPr>
          <w:lang w:val="fr-FR"/>
        </w:rPr>
        <w:t>.</w:t>
      </w:r>
    </w:p>
    <w:p w14:paraId="0CF67E11" w14:textId="0E6F90BA" w:rsidR="00A7557F" w:rsidRDefault="00A7557F" w:rsidP="000E3182">
      <w:pPr>
        <w:rPr>
          <w:lang w:val="fr-FR"/>
        </w:rPr>
      </w:pPr>
      <w:r w:rsidRPr="00C32615">
        <w:rPr>
          <w:lang w:val="fr-FR"/>
        </w:rPr>
        <w:lastRenderedPageBreak/>
        <w:t>Nous sommes conscients du fait que cela représente un</w:t>
      </w:r>
      <w:r w:rsidR="00900F54" w:rsidRPr="00C32615">
        <w:rPr>
          <w:lang w:val="fr-FR"/>
        </w:rPr>
        <w:t>e</w:t>
      </w:r>
      <w:r w:rsidRPr="00C32615">
        <w:rPr>
          <w:lang w:val="fr-FR"/>
        </w:rPr>
        <w:t xml:space="preserve"> </w:t>
      </w:r>
      <w:r w:rsidR="00900F54" w:rsidRPr="00C32615">
        <w:rPr>
          <w:lang w:val="fr-FR"/>
        </w:rPr>
        <w:t>tâche de grande ampleur</w:t>
      </w:r>
      <w:r w:rsidRPr="00C32615">
        <w:rPr>
          <w:lang w:val="fr-FR"/>
        </w:rPr>
        <w:t>, mais</w:t>
      </w:r>
      <w:r w:rsidR="00900F54" w:rsidRPr="00C32615">
        <w:rPr>
          <w:lang w:val="fr-FR"/>
        </w:rPr>
        <w:t xml:space="preserve"> </w:t>
      </w:r>
      <w:r w:rsidRPr="00C32615">
        <w:rPr>
          <w:lang w:val="fr-FR"/>
        </w:rPr>
        <w:t>considérons qu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>il est primordial d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>appuyer les efforts visant à réduire la fracture numérique. Une telle démarche s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 xml:space="preserve">inscrit dans </w:t>
      </w:r>
      <w:r w:rsidR="00900F54" w:rsidRPr="00C32615">
        <w:rPr>
          <w:lang w:val="fr-FR"/>
        </w:rPr>
        <w:t>la droite ligne</w:t>
      </w:r>
      <w:r w:rsidRPr="00C32615">
        <w:rPr>
          <w:lang w:val="fr-FR"/>
        </w:rPr>
        <w:t xml:space="preserve"> de plusieurs Résolutions des Conférences de plénipotentiaires, de l</w:t>
      </w:r>
      <w:r w:rsidR="00C32615" w:rsidRPr="00C32615">
        <w:rPr>
          <w:lang w:val="fr-FR"/>
        </w:rPr>
        <w:t>'</w:t>
      </w:r>
      <w:r w:rsidRPr="00C32615">
        <w:rPr>
          <w:lang w:val="fr-FR"/>
        </w:rPr>
        <w:t>AMNT</w:t>
      </w:r>
      <w:r w:rsidR="00C32615">
        <w:rPr>
          <w:lang w:val="fr-FR"/>
        </w:rPr>
        <w:t xml:space="preserve"> </w:t>
      </w:r>
      <w:r w:rsidRPr="00C32615">
        <w:rPr>
          <w:lang w:val="fr-FR"/>
        </w:rPr>
        <w:t>et de la CMDT ainsi que de plusieurs décisions du Conseil</w:t>
      </w:r>
      <w:r w:rsidR="00900F54" w:rsidRPr="00C32615">
        <w:rPr>
          <w:lang w:val="fr-FR"/>
        </w:rPr>
        <w:t>.</w:t>
      </w:r>
    </w:p>
    <w:p w14:paraId="690FF4CD" w14:textId="77777777" w:rsidR="0047396C" w:rsidRPr="00C32615" w:rsidRDefault="0047396C" w:rsidP="000E3182">
      <w:pPr>
        <w:rPr>
          <w:lang w:val="fr-FR"/>
        </w:rPr>
      </w:pPr>
    </w:p>
    <w:p w14:paraId="2F30661E" w14:textId="77777777" w:rsidR="002770B1" w:rsidRPr="00C32615" w:rsidRDefault="003C58BF" w:rsidP="000E318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r w:rsidRPr="00C32615">
        <w:rPr>
          <w:lang w:val="fr-FR"/>
        </w:rPr>
        <w:t>_____________</w:t>
      </w:r>
      <w:r w:rsidR="004122C5" w:rsidRPr="00C32615">
        <w:rPr>
          <w:lang w:val="fr-FR"/>
        </w:rPr>
        <w:t>_</w:t>
      </w:r>
      <w:r w:rsidR="00922EC1" w:rsidRPr="00C32615">
        <w:rPr>
          <w:lang w:val="fr-FR"/>
        </w:rPr>
        <w:t>_</w:t>
      </w:r>
    </w:p>
    <w:sectPr w:rsidR="002770B1" w:rsidRPr="00C32615" w:rsidSect="0047379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2EB47" w14:textId="77777777" w:rsidR="00A7557F" w:rsidRDefault="00A7557F">
      <w:r>
        <w:separator/>
      </w:r>
    </w:p>
  </w:endnote>
  <w:endnote w:type="continuationSeparator" w:id="0">
    <w:p w14:paraId="46E3FB36" w14:textId="77777777" w:rsidR="00A7557F" w:rsidRDefault="00A7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7799" w14:textId="368805B5" w:rsidR="00721657" w:rsidRPr="00C32615" w:rsidRDefault="00721657" w:rsidP="00A525CC">
    <w:pPr>
      <w:pStyle w:val="Footer"/>
      <w:rPr>
        <w:caps w:val="0"/>
        <w:szCs w:val="16"/>
        <w:lang w:val="en-US"/>
      </w:rPr>
    </w:pPr>
    <w:r w:rsidRPr="00C32615">
      <w:rPr>
        <w:caps w:val="0"/>
        <w:szCs w:val="16"/>
      </w:rPr>
      <w:fldChar w:fldCharType="begin"/>
    </w:r>
    <w:r w:rsidRPr="00C32615">
      <w:rPr>
        <w:caps w:val="0"/>
        <w:szCs w:val="16"/>
        <w:lang w:val="en-US"/>
      </w:rPr>
      <w:instrText xml:space="preserve"> FILENAME \p \* MERGEFORMAT </w:instrText>
    </w:r>
    <w:r w:rsidRPr="00C32615">
      <w:rPr>
        <w:caps w:val="0"/>
        <w:szCs w:val="16"/>
      </w:rPr>
      <w:fldChar w:fldCharType="separate"/>
    </w:r>
    <w:r w:rsidR="003C1EDB">
      <w:rPr>
        <w:caps w:val="0"/>
        <w:szCs w:val="16"/>
        <w:lang w:val="en-US"/>
      </w:rPr>
      <w:t>P:\FRA\ITU-D\CONF-D\TDAG20\000\031F.docx</w:t>
    </w:r>
    <w:r w:rsidRPr="00C32615">
      <w:rPr>
        <w:caps w:val="0"/>
        <w:szCs w:val="16"/>
        <w:lang w:val="en-US"/>
      </w:rPr>
      <w:fldChar w:fldCharType="end"/>
    </w:r>
    <w:r w:rsidR="00C32615" w:rsidRPr="00C32615">
      <w:rPr>
        <w:caps w:val="0"/>
        <w:szCs w:val="16"/>
        <w:lang w:val="en-US"/>
      </w:rPr>
      <w:t xml:space="preserve"> (467660)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454E1" w:rsidRPr="00DD79AF" w14:paraId="54A5776C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8B8D073" w14:textId="77777777"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52178BD" w14:textId="77777777" w:rsidR="00A454E1" w:rsidRPr="004D495C" w:rsidRDefault="00A454E1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70219D89" w14:textId="7A967793" w:rsidR="00A454E1" w:rsidRPr="00DD79AF" w:rsidRDefault="00DD79AF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DD79AF">
            <w:rPr>
              <w:sz w:val="18"/>
              <w:szCs w:val="18"/>
              <w:lang w:val="fr-CH"/>
            </w:rPr>
            <w:t>M. Nick Ashton-Hart, Office des communications (Ofcom), Royaume</w:t>
          </w:r>
          <w:r>
            <w:rPr>
              <w:sz w:val="18"/>
              <w:szCs w:val="18"/>
              <w:lang w:val="fr-CH"/>
            </w:rPr>
            <w:t>-Uni</w:t>
          </w:r>
        </w:p>
      </w:tc>
    </w:tr>
    <w:tr w:rsidR="00A454E1" w:rsidRPr="004D495C" w14:paraId="7ED3584D" w14:textId="77777777" w:rsidTr="004E3CF5">
      <w:tc>
        <w:tcPr>
          <w:tcW w:w="1526" w:type="dxa"/>
          <w:shd w:val="clear" w:color="auto" w:fill="auto"/>
        </w:tcPr>
        <w:p w14:paraId="6AE33E60" w14:textId="77777777" w:rsidR="00A454E1" w:rsidRPr="00DD79AF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2ADCE868" w14:textId="77777777"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77CC9740" w14:textId="67DF1875" w:rsidR="00A454E1" w:rsidRPr="00E5653A" w:rsidRDefault="00DD79AF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D79AF">
            <w:rPr>
              <w:sz w:val="18"/>
              <w:szCs w:val="18"/>
              <w:lang w:val="en-US"/>
            </w:rPr>
            <w:t>+31615120232</w:t>
          </w:r>
        </w:p>
      </w:tc>
    </w:tr>
    <w:tr w:rsidR="00A454E1" w:rsidRPr="004D495C" w14:paraId="121AD9EC" w14:textId="77777777" w:rsidTr="004E3CF5">
      <w:tc>
        <w:tcPr>
          <w:tcW w:w="1526" w:type="dxa"/>
          <w:shd w:val="clear" w:color="auto" w:fill="auto"/>
        </w:tcPr>
        <w:p w14:paraId="0CEF6B1A" w14:textId="77777777"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7EC71ED" w14:textId="77777777"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  <w:shd w:val="clear" w:color="auto" w:fill="auto"/>
        </w:tcPr>
        <w:p w14:paraId="24DB74C1" w14:textId="76441071" w:rsidR="00A454E1" w:rsidRPr="00E5653A" w:rsidRDefault="001B7E10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D79AF" w:rsidRPr="00DD79AF">
              <w:rPr>
                <w:rStyle w:val="Hyperlink"/>
                <w:sz w:val="18"/>
                <w:szCs w:val="18"/>
                <w:lang w:val="en-US"/>
              </w:rPr>
              <w:t>nashton@consensus.pro</w:t>
            </w:r>
          </w:hyperlink>
        </w:p>
      </w:tc>
    </w:tr>
  </w:tbl>
  <w:p w14:paraId="0DDEDCDA" w14:textId="692DDEF6" w:rsidR="00721657" w:rsidRPr="008802F9" w:rsidRDefault="001B7E10" w:rsidP="0047396C">
    <w:pPr>
      <w:pStyle w:val="Footer"/>
      <w:spacing w:before="120"/>
      <w:jc w:val="center"/>
    </w:pPr>
    <w:hyperlink r:id="rId2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F695" w14:textId="77777777" w:rsidR="00A7557F" w:rsidRDefault="00A7557F">
      <w:r>
        <w:t>____________________</w:t>
      </w:r>
    </w:p>
  </w:footnote>
  <w:footnote w:type="continuationSeparator" w:id="0">
    <w:p w14:paraId="61BE0286" w14:textId="77777777" w:rsidR="00A7557F" w:rsidRDefault="00A7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003E" w14:textId="5C0FF4EA" w:rsidR="00A525CC" w:rsidRPr="00C32615" w:rsidRDefault="00A525CC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18"/>
        <w:szCs w:val="18"/>
        <w:lang w:val="de-CH"/>
      </w:rPr>
    </w:pPr>
    <w:r w:rsidRPr="00C32615">
      <w:rPr>
        <w:sz w:val="18"/>
        <w:szCs w:val="18"/>
      </w:rPr>
      <w:tab/>
    </w:r>
    <w:r w:rsidRPr="00C32615">
      <w:rPr>
        <w:sz w:val="18"/>
        <w:szCs w:val="18"/>
        <w:lang w:val="de-CH"/>
      </w:rPr>
      <w:t>TDAG</w:t>
    </w:r>
    <w:r w:rsidR="008F20EB" w:rsidRPr="00C32615">
      <w:rPr>
        <w:sz w:val="18"/>
        <w:szCs w:val="18"/>
        <w:lang w:val="de-CH"/>
      </w:rPr>
      <w:t>-</w:t>
    </w:r>
    <w:r w:rsidR="002577C1" w:rsidRPr="00C32615">
      <w:rPr>
        <w:sz w:val="18"/>
        <w:szCs w:val="18"/>
        <w:lang w:val="de-CH"/>
      </w:rPr>
      <w:t>20</w:t>
    </w:r>
    <w:r w:rsidRPr="00C32615">
      <w:rPr>
        <w:sz w:val="18"/>
        <w:szCs w:val="18"/>
        <w:lang w:val="de-CH"/>
      </w:rPr>
      <w:t>/</w:t>
    </w:r>
    <w:r w:rsidR="00DD79AF" w:rsidRPr="00C32615">
      <w:rPr>
        <w:sz w:val="18"/>
        <w:szCs w:val="18"/>
        <w:lang w:val="de-CH"/>
      </w:rPr>
      <w:t>31</w:t>
    </w:r>
    <w:r w:rsidRPr="00C32615">
      <w:rPr>
        <w:sz w:val="18"/>
        <w:szCs w:val="18"/>
        <w:lang w:val="de-CH"/>
      </w:rPr>
      <w:t>-</w:t>
    </w:r>
    <w:r w:rsidR="00B533E9" w:rsidRPr="00C32615">
      <w:rPr>
        <w:sz w:val="18"/>
        <w:szCs w:val="18"/>
        <w:lang w:val="de-CH"/>
      </w:rPr>
      <w:t>F</w:t>
    </w:r>
    <w:r w:rsidRPr="00C32615">
      <w:rPr>
        <w:sz w:val="18"/>
        <w:szCs w:val="18"/>
        <w:lang w:val="de-CH"/>
      </w:rPr>
      <w:tab/>
      <w:t xml:space="preserve">Page </w:t>
    </w:r>
    <w:r w:rsidRPr="00C32615">
      <w:rPr>
        <w:sz w:val="18"/>
        <w:szCs w:val="18"/>
      </w:rPr>
      <w:fldChar w:fldCharType="begin"/>
    </w:r>
    <w:r w:rsidRPr="00C32615">
      <w:rPr>
        <w:sz w:val="18"/>
        <w:szCs w:val="18"/>
        <w:lang w:val="de-CH"/>
      </w:rPr>
      <w:instrText xml:space="preserve"> PAGE </w:instrText>
    </w:r>
    <w:r w:rsidRPr="00C32615">
      <w:rPr>
        <w:sz w:val="18"/>
        <w:szCs w:val="18"/>
      </w:rPr>
      <w:fldChar w:fldCharType="separate"/>
    </w:r>
    <w:r w:rsidR="0078113B" w:rsidRPr="00C32615">
      <w:rPr>
        <w:noProof/>
        <w:sz w:val="18"/>
        <w:szCs w:val="18"/>
        <w:lang w:val="de-CH"/>
      </w:rPr>
      <w:t>2</w:t>
    </w:r>
    <w:r w:rsidRPr="00C3261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8105C"/>
    <w:multiLevelType w:val="hybridMultilevel"/>
    <w:tmpl w:val="9D30E14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0CD6254"/>
    <w:multiLevelType w:val="hybridMultilevel"/>
    <w:tmpl w:val="2A1CE7D6"/>
    <w:lvl w:ilvl="0" w:tplc="7DBC3CC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7F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182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7E10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7C1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1EDB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396C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0EB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9BA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113B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3FC7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0F54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7557F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261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D79AF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F58005"/>
  <w15:docId w15:val="{EC3FA51A-7B1C-4CB0-9020-0EF83F4A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755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557F"/>
    <w:rPr>
      <w:rFonts w:ascii="Segoe UI" w:hAnsi="Segoe UI" w:cs="Segoe UI"/>
      <w:sz w:val="18"/>
      <w:szCs w:val="18"/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79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E3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nashton@consensus.p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A8A7-A080-4B65-B85C-B83A4E50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PF_TDAG20.dotx</Template>
  <TotalTime>58</TotalTime>
  <Pages>3</Pages>
  <Words>624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Chanavat, Emilie</dc:creator>
  <cp:lastModifiedBy>BDT</cp:lastModifiedBy>
  <cp:revision>7</cp:revision>
  <cp:lastPrinted>2020-02-11T09:02:00Z</cp:lastPrinted>
  <dcterms:created xsi:type="dcterms:W3CDTF">2020-02-11T08:13:00Z</dcterms:created>
  <dcterms:modified xsi:type="dcterms:W3CDTF">2020-03-10T13:53:00Z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