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088"/>
        <w:gridCol w:w="2800"/>
        <w:gridCol w:w="35"/>
      </w:tblGrid>
      <w:tr w:rsidR="00D20099" w14:paraId="644F43C7" w14:textId="77777777" w:rsidTr="00D20099">
        <w:trPr>
          <w:cantSplit/>
          <w:trHeight w:val="1134"/>
        </w:trPr>
        <w:tc>
          <w:tcPr>
            <w:tcW w:w="7088" w:type="dxa"/>
          </w:tcPr>
          <w:p w14:paraId="1E0D8CA2"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8D8F534" w14:textId="69AC1D46" w:rsidR="00D20099" w:rsidRPr="00844A56" w:rsidRDefault="00977AF0" w:rsidP="00D37A66">
            <w:pPr>
              <w:tabs>
                <w:tab w:val="clear" w:pos="1191"/>
                <w:tab w:val="clear" w:pos="1588"/>
                <w:tab w:val="clear" w:pos="1985"/>
              </w:tabs>
              <w:spacing w:before="100" w:after="120"/>
              <w:ind w:left="34" w:right="-142"/>
              <w:rPr>
                <w:rFonts w:ascii="Verdana" w:hAnsi="Verdana"/>
                <w:sz w:val="28"/>
                <w:szCs w:val="28"/>
              </w:rPr>
            </w:pPr>
            <w:r w:rsidRPr="00977AF0">
              <w:rPr>
                <w:b/>
                <w:bCs/>
                <w:sz w:val="26"/>
                <w:szCs w:val="26"/>
              </w:rPr>
              <w:t xml:space="preserve">25th Meeting, Geneva, </w:t>
            </w:r>
            <w:r w:rsidR="00CE2BE8">
              <w:rPr>
                <w:b/>
                <w:bCs/>
                <w:sz w:val="26"/>
                <w:szCs w:val="26"/>
              </w:rPr>
              <w:t>2-5 June</w:t>
            </w:r>
            <w:bookmarkStart w:id="0" w:name="_GoBack"/>
            <w:bookmarkEnd w:id="0"/>
            <w:r w:rsidRPr="00977AF0">
              <w:rPr>
                <w:b/>
                <w:bCs/>
                <w:sz w:val="26"/>
                <w:szCs w:val="26"/>
              </w:rPr>
              <w:t xml:space="preserve"> 20</w:t>
            </w:r>
            <w:r w:rsidR="00D37A66">
              <w:rPr>
                <w:b/>
                <w:bCs/>
                <w:sz w:val="26"/>
                <w:szCs w:val="26"/>
              </w:rPr>
              <w:t>20</w:t>
            </w:r>
          </w:p>
        </w:tc>
        <w:tc>
          <w:tcPr>
            <w:tcW w:w="2835" w:type="dxa"/>
            <w:gridSpan w:val="2"/>
          </w:tcPr>
          <w:p w14:paraId="064370E9" w14:textId="77777777" w:rsidR="00D20099" w:rsidRPr="00683C32" w:rsidRDefault="00F95DD5" w:rsidP="00255A4F">
            <w:pPr>
              <w:spacing w:before="0"/>
              <w:jc w:val="right"/>
            </w:pPr>
            <w:r>
              <w:rPr>
                <w:noProof/>
                <w:lang w:eastAsia="zh-CN"/>
              </w:rPr>
              <w:drawing>
                <wp:inline distT="0" distB="0" distL="0" distR="0" wp14:anchorId="4C9590FE" wp14:editId="20E8486D">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512BBE39" w14:textId="77777777" w:rsidTr="00DD1743">
        <w:trPr>
          <w:gridAfter w:val="1"/>
          <w:wAfter w:w="35" w:type="dxa"/>
          <w:cantSplit/>
        </w:trPr>
        <w:tc>
          <w:tcPr>
            <w:tcW w:w="7088" w:type="dxa"/>
            <w:tcBorders>
              <w:top w:val="single" w:sz="12" w:space="0" w:color="auto"/>
            </w:tcBorders>
          </w:tcPr>
          <w:p w14:paraId="4FE81EC8" w14:textId="77777777" w:rsidR="00683C32" w:rsidRPr="00997358" w:rsidRDefault="00683C32" w:rsidP="00D20099">
            <w:pPr>
              <w:spacing w:before="0"/>
              <w:ind w:left="34" w:right="-142"/>
              <w:rPr>
                <w:rFonts w:cs="Arial"/>
                <w:b/>
                <w:bCs/>
                <w:sz w:val="20"/>
              </w:rPr>
            </w:pPr>
          </w:p>
        </w:tc>
        <w:tc>
          <w:tcPr>
            <w:tcW w:w="2800" w:type="dxa"/>
            <w:tcBorders>
              <w:top w:val="single" w:sz="12" w:space="0" w:color="auto"/>
            </w:tcBorders>
          </w:tcPr>
          <w:p w14:paraId="16F1B14E" w14:textId="77777777" w:rsidR="00683C32" w:rsidRPr="00997358" w:rsidRDefault="00683C32" w:rsidP="00D20099">
            <w:pPr>
              <w:spacing w:before="0"/>
              <w:ind w:left="34" w:right="-142"/>
              <w:rPr>
                <w:b/>
                <w:bCs/>
                <w:sz w:val="20"/>
              </w:rPr>
            </w:pPr>
          </w:p>
        </w:tc>
      </w:tr>
      <w:tr w:rsidR="00BA3906" w:rsidRPr="00002716" w14:paraId="57F643F5" w14:textId="77777777" w:rsidTr="00DD1743">
        <w:trPr>
          <w:gridAfter w:val="1"/>
          <w:wAfter w:w="35" w:type="dxa"/>
          <w:cantSplit/>
        </w:trPr>
        <w:tc>
          <w:tcPr>
            <w:tcW w:w="7088" w:type="dxa"/>
          </w:tcPr>
          <w:p w14:paraId="162D7616" w14:textId="77777777" w:rsidR="00BA3906" w:rsidRPr="007F1CC7" w:rsidRDefault="00BA3906" w:rsidP="00BA3906">
            <w:pPr>
              <w:pStyle w:val="Committee"/>
              <w:spacing w:before="0"/>
              <w:ind w:left="34" w:right="-142"/>
              <w:rPr>
                <w:b w:val="0"/>
                <w:szCs w:val="24"/>
              </w:rPr>
            </w:pPr>
          </w:p>
        </w:tc>
        <w:tc>
          <w:tcPr>
            <w:tcW w:w="2800" w:type="dxa"/>
          </w:tcPr>
          <w:p w14:paraId="6917FA9D" w14:textId="77777777" w:rsidR="00BA3906" w:rsidRPr="007F1CC7" w:rsidRDefault="00BA3906" w:rsidP="00BA3906">
            <w:pPr>
              <w:spacing w:before="0"/>
              <w:ind w:left="34" w:right="-142"/>
              <w:jc w:val="both"/>
              <w:rPr>
                <w:bCs/>
                <w:szCs w:val="24"/>
                <w:lang w:val="en-US"/>
              </w:rPr>
            </w:pPr>
            <w:r w:rsidRPr="00002716">
              <w:rPr>
                <w:b/>
                <w:bCs/>
                <w:lang w:val="en-US"/>
              </w:rPr>
              <w:t>Document</w:t>
            </w:r>
            <w:bookmarkStart w:id="1" w:name="DocRef1"/>
            <w:bookmarkStart w:id="2" w:name="DocNo1"/>
            <w:bookmarkEnd w:id="1"/>
            <w:bookmarkEnd w:id="2"/>
            <w:r>
              <w:rPr>
                <w:b/>
                <w:bCs/>
                <w:lang w:val="en-US"/>
              </w:rPr>
              <w:t xml:space="preserve"> TDAG-20</w:t>
            </w:r>
            <w:r w:rsidRPr="00A54E72">
              <w:rPr>
                <w:b/>
                <w:bCs/>
                <w:lang w:val="en-US"/>
              </w:rPr>
              <w:t>/</w:t>
            </w:r>
            <w:r>
              <w:rPr>
                <w:b/>
                <w:bCs/>
                <w:lang w:val="en-US"/>
              </w:rPr>
              <w:t>31-E</w:t>
            </w:r>
          </w:p>
        </w:tc>
      </w:tr>
      <w:tr w:rsidR="00BA3906" w14:paraId="4452A835" w14:textId="77777777" w:rsidTr="00DD1743">
        <w:trPr>
          <w:gridAfter w:val="1"/>
          <w:wAfter w:w="35" w:type="dxa"/>
          <w:cantSplit/>
        </w:trPr>
        <w:tc>
          <w:tcPr>
            <w:tcW w:w="7088" w:type="dxa"/>
          </w:tcPr>
          <w:p w14:paraId="1D99EF90" w14:textId="77777777" w:rsidR="00BA3906" w:rsidRPr="007F1CC7" w:rsidRDefault="00BA3906" w:rsidP="00BA3906">
            <w:pPr>
              <w:spacing w:before="0"/>
              <w:ind w:left="34" w:right="-142"/>
              <w:rPr>
                <w:b/>
                <w:bCs/>
                <w:smallCaps/>
                <w:szCs w:val="24"/>
                <w:lang w:val="en-US"/>
              </w:rPr>
            </w:pPr>
          </w:p>
        </w:tc>
        <w:tc>
          <w:tcPr>
            <w:tcW w:w="2800" w:type="dxa"/>
          </w:tcPr>
          <w:p w14:paraId="35882DD2" w14:textId="77777777" w:rsidR="00BA3906" w:rsidRPr="007F1CC7" w:rsidRDefault="00BA3906" w:rsidP="00BA3906">
            <w:pPr>
              <w:spacing w:before="0"/>
              <w:ind w:left="34" w:right="-142"/>
              <w:rPr>
                <w:b/>
                <w:szCs w:val="24"/>
              </w:rPr>
            </w:pPr>
            <w:bookmarkStart w:id="3" w:name="CreationDate"/>
            <w:bookmarkEnd w:id="3"/>
            <w:r>
              <w:rPr>
                <w:b/>
                <w:szCs w:val="24"/>
              </w:rPr>
              <w:t>7 February 2020</w:t>
            </w:r>
          </w:p>
        </w:tc>
      </w:tr>
      <w:tr w:rsidR="00BA3906" w14:paraId="590F2356" w14:textId="77777777" w:rsidTr="00DD1743">
        <w:trPr>
          <w:gridAfter w:val="1"/>
          <w:wAfter w:w="35" w:type="dxa"/>
          <w:cantSplit/>
        </w:trPr>
        <w:tc>
          <w:tcPr>
            <w:tcW w:w="7088" w:type="dxa"/>
          </w:tcPr>
          <w:p w14:paraId="320BC7B4" w14:textId="77777777" w:rsidR="00BA3906" w:rsidRPr="007F1CC7" w:rsidRDefault="00BA3906" w:rsidP="00BA3906">
            <w:pPr>
              <w:spacing w:before="0"/>
              <w:ind w:left="34" w:right="-142"/>
              <w:rPr>
                <w:b/>
                <w:bCs/>
                <w:smallCaps/>
                <w:szCs w:val="24"/>
              </w:rPr>
            </w:pPr>
          </w:p>
        </w:tc>
        <w:tc>
          <w:tcPr>
            <w:tcW w:w="2800" w:type="dxa"/>
          </w:tcPr>
          <w:p w14:paraId="08F9250D" w14:textId="77777777" w:rsidR="00BA3906" w:rsidRPr="007F1CC7" w:rsidRDefault="00BA3906" w:rsidP="00BA3906">
            <w:pPr>
              <w:spacing w:before="0"/>
              <w:ind w:left="34" w:right="-142"/>
              <w:rPr>
                <w:szCs w:val="24"/>
              </w:rPr>
            </w:pPr>
            <w:r>
              <w:rPr>
                <w:b/>
              </w:rPr>
              <w:t xml:space="preserve">Original: </w:t>
            </w:r>
            <w:bookmarkStart w:id="4" w:name="Original"/>
            <w:bookmarkEnd w:id="4"/>
            <w:r>
              <w:rPr>
                <w:b/>
              </w:rPr>
              <w:t>English</w:t>
            </w:r>
          </w:p>
        </w:tc>
      </w:tr>
      <w:tr w:rsidR="00A13162" w14:paraId="7D6A6D33" w14:textId="77777777" w:rsidTr="00D20099">
        <w:trPr>
          <w:gridAfter w:val="1"/>
          <w:wAfter w:w="35" w:type="dxa"/>
          <w:cantSplit/>
          <w:trHeight w:val="852"/>
        </w:trPr>
        <w:tc>
          <w:tcPr>
            <w:tcW w:w="9888" w:type="dxa"/>
            <w:gridSpan w:val="2"/>
          </w:tcPr>
          <w:p w14:paraId="34CB7C40" w14:textId="77777777" w:rsidR="00A13162" w:rsidRPr="0030353C" w:rsidRDefault="009E6712" w:rsidP="00BA3906">
            <w:pPr>
              <w:pStyle w:val="Source"/>
              <w:spacing w:before="240" w:after="240"/>
              <w:ind w:left="29" w:right="-144"/>
            </w:pPr>
            <w:bookmarkStart w:id="5" w:name="Source"/>
            <w:bookmarkEnd w:id="5"/>
            <w:r>
              <w:t>United Kingdom of Great Britain and Northern Ireland</w:t>
            </w:r>
          </w:p>
        </w:tc>
      </w:tr>
      <w:tr w:rsidR="00AC6F14" w:rsidRPr="002E6963" w14:paraId="61A40E43" w14:textId="77777777" w:rsidTr="00D20099">
        <w:trPr>
          <w:gridAfter w:val="1"/>
          <w:wAfter w:w="35" w:type="dxa"/>
          <w:cantSplit/>
        </w:trPr>
        <w:tc>
          <w:tcPr>
            <w:tcW w:w="9888" w:type="dxa"/>
            <w:gridSpan w:val="2"/>
          </w:tcPr>
          <w:p w14:paraId="76EC4871" w14:textId="77777777" w:rsidR="00AC6F14" w:rsidRPr="0030353C" w:rsidRDefault="009E6712" w:rsidP="00BA3906">
            <w:pPr>
              <w:pStyle w:val="Title1"/>
              <w:spacing w:before="120" w:after="120"/>
              <w:ind w:left="29" w:right="-144"/>
            </w:pPr>
            <w:bookmarkStart w:id="6" w:name="Title"/>
            <w:bookmarkEnd w:id="6"/>
            <w:r>
              <w:t>IMPROVING ACCESS TO ITU RESOURCES RELATED TO THE DIGITAL DIVIDE</w:t>
            </w:r>
          </w:p>
        </w:tc>
      </w:tr>
      <w:tr w:rsidR="00A721F4" w:rsidRPr="002E6963" w14:paraId="125608E7" w14:textId="77777777" w:rsidTr="003708C3">
        <w:trPr>
          <w:gridAfter w:val="1"/>
          <w:wAfter w:w="35" w:type="dxa"/>
          <w:cantSplit/>
        </w:trPr>
        <w:tc>
          <w:tcPr>
            <w:tcW w:w="9888" w:type="dxa"/>
            <w:gridSpan w:val="2"/>
            <w:tcBorders>
              <w:bottom w:val="single" w:sz="4" w:space="0" w:color="auto"/>
            </w:tcBorders>
          </w:tcPr>
          <w:p w14:paraId="6DC3F9E0" w14:textId="77777777" w:rsidR="00A721F4" w:rsidRPr="00A721F4" w:rsidRDefault="00A721F4" w:rsidP="00D20099">
            <w:pPr>
              <w:ind w:left="34" w:right="-142"/>
            </w:pPr>
          </w:p>
        </w:tc>
      </w:tr>
      <w:tr w:rsidR="00A721F4" w:rsidRPr="002E6963" w14:paraId="7215D478"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09A04995" w14:textId="77777777" w:rsidR="00A721F4" w:rsidRPr="00D9621A" w:rsidRDefault="00A721F4" w:rsidP="003708C3">
            <w:pPr>
              <w:spacing w:before="240"/>
              <w:rPr>
                <w:b/>
                <w:bCs/>
                <w:szCs w:val="24"/>
              </w:rPr>
            </w:pPr>
            <w:r w:rsidRPr="00D9621A">
              <w:rPr>
                <w:b/>
                <w:bCs/>
                <w:szCs w:val="24"/>
              </w:rPr>
              <w:t>Summary:</w:t>
            </w:r>
          </w:p>
          <w:p w14:paraId="65338D6D" w14:textId="77777777" w:rsidR="00A721F4" w:rsidRPr="00D9621A" w:rsidRDefault="009E6712" w:rsidP="00232C10">
            <w:pPr>
              <w:rPr>
                <w:szCs w:val="24"/>
              </w:rPr>
            </w:pPr>
            <w:bookmarkStart w:id="7" w:name="Abstract"/>
            <w:bookmarkEnd w:id="7"/>
            <w:r>
              <w:rPr>
                <w:szCs w:val="24"/>
              </w:rPr>
              <w:t xml:space="preserve">This contribution proposes actions to be taken by the Development </w:t>
            </w:r>
            <w:r w:rsidR="00232C10">
              <w:rPr>
                <w:szCs w:val="24"/>
              </w:rPr>
              <w:t xml:space="preserve">Bureau </w:t>
            </w:r>
            <w:r>
              <w:rPr>
                <w:szCs w:val="24"/>
              </w:rPr>
              <w:t>to make information and best practice about bridging the digital divide more accessible and useful.</w:t>
            </w:r>
          </w:p>
          <w:p w14:paraId="05C58690" w14:textId="77777777" w:rsidR="00A721F4" w:rsidRPr="00D9621A" w:rsidRDefault="00A721F4" w:rsidP="003708C3">
            <w:pPr>
              <w:rPr>
                <w:b/>
                <w:bCs/>
                <w:szCs w:val="24"/>
              </w:rPr>
            </w:pPr>
            <w:r w:rsidRPr="005E090D">
              <w:rPr>
                <w:b/>
                <w:bCs/>
              </w:rPr>
              <w:t>Action required:</w:t>
            </w:r>
          </w:p>
          <w:p w14:paraId="05C7EE60" w14:textId="77777777" w:rsidR="00A721F4" w:rsidRPr="00D9621A" w:rsidRDefault="008C2CF8" w:rsidP="003708C3">
            <w:pPr>
              <w:rPr>
                <w:szCs w:val="24"/>
              </w:rPr>
            </w:pPr>
            <w:bookmarkStart w:id="8" w:name="ActionRequired"/>
            <w:bookmarkEnd w:id="8"/>
            <w:r>
              <w:rPr>
                <w:szCs w:val="24"/>
              </w:rPr>
              <w:t>TDAG is kindly requested to examine this contribution and approve the proposals contained therein.</w:t>
            </w:r>
          </w:p>
          <w:p w14:paraId="621084DB" w14:textId="77777777" w:rsidR="00A721F4" w:rsidRPr="00D9621A" w:rsidRDefault="00A721F4" w:rsidP="003708C3">
            <w:pPr>
              <w:rPr>
                <w:b/>
                <w:bCs/>
                <w:szCs w:val="24"/>
              </w:rPr>
            </w:pPr>
            <w:r w:rsidRPr="00D9621A">
              <w:rPr>
                <w:b/>
                <w:bCs/>
                <w:szCs w:val="24"/>
              </w:rPr>
              <w:t>References:</w:t>
            </w:r>
          </w:p>
          <w:p w14:paraId="2EC5B74D" w14:textId="77777777" w:rsidR="00A721F4" w:rsidRPr="00D9621A" w:rsidRDefault="009E6712" w:rsidP="001872F7">
            <w:pPr>
              <w:spacing w:after="120"/>
            </w:pPr>
            <w:bookmarkStart w:id="9" w:name="References"/>
            <w:bookmarkEnd w:id="9"/>
            <w:r>
              <w:t>N/A</w:t>
            </w:r>
          </w:p>
        </w:tc>
      </w:tr>
    </w:tbl>
    <w:p w14:paraId="4A84F515" w14:textId="77777777" w:rsidR="001872F7" w:rsidRDefault="001872F7" w:rsidP="00D20099">
      <w:pPr>
        <w:ind w:left="34" w:right="-142"/>
      </w:pPr>
      <w:bookmarkStart w:id="10" w:name="Proposal"/>
      <w:bookmarkEnd w:id="10"/>
    </w:p>
    <w:p w14:paraId="69BAF946" w14:textId="77777777" w:rsidR="001872F7" w:rsidRDefault="001872F7">
      <w:pPr>
        <w:tabs>
          <w:tab w:val="clear" w:pos="794"/>
          <w:tab w:val="clear" w:pos="1191"/>
          <w:tab w:val="clear" w:pos="1588"/>
          <w:tab w:val="clear" w:pos="1985"/>
        </w:tabs>
        <w:overflowPunct/>
        <w:autoSpaceDE/>
        <w:autoSpaceDN/>
        <w:adjustRightInd/>
        <w:spacing w:before="0"/>
        <w:textAlignment w:val="auto"/>
      </w:pPr>
      <w:r>
        <w:br w:type="page"/>
      </w:r>
    </w:p>
    <w:p w14:paraId="44F9D9AE" w14:textId="77777777" w:rsidR="007E6368" w:rsidRDefault="007E6368" w:rsidP="007E6368">
      <w:pPr>
        <w:pStyle w:val="ListParagraph"/>
        <w:numPr>
          <w:ilvl w:val="0"/>
          <w:numId w:val="2"/>
        </w:numPr>
        <w:spacing w:after="120"/>
        <w:ind w:left="357" w:hanging="357"/>
        <w:contextualSpacing w:val="0"/>
        <w:jc w:val="both"/>
        <w:rPr>
          <w:b/>
          <w:szCs w:val="24"/>
        </w:rPr>
      </w:pPr>
      <w:r w:rsidRPr="00EE2E86">
        <w:rPr>
          <w:b/>
          <w:szCs w:val="24"/>
        </w:rPr>
        <w:lastRenderedPageBreak/>
        <w:t>Introduction</w:t>
      </w:r>
    </w:p>
    <w:p w14:paraId="4020CD97" w14:textId="77777777" w:rsidR="007E6368" w:rsidRPr="004022CA" w:rsidRDefault="007E6368">
      <w:pPr>
        <w:spacing w:after="120"/>
        <w:jc w:val="both"/>
      </w:pPr>
      <w:r w:rsidRPr="00EA0B23">
        <w:t xml:space="preserve">The United Kingdom </w:t>
      </w:r>
      <w:r>
        <w:t xml:space="preserve">proposes that TDAG should request a set of actions from the Development </w:t>
      </w:r>
      <w:r w:rsidR="00232C10">
        <w:t xml:space="preserve">Bureau </w:t>
      </w:r>
      <w:r>
        <w:t>related to bridging the digital divide through affordable access to telecommunications services.</w:t>
      </w:r>
    </w:p>
    <w:p w14:paraId="457BEA7A" w14:textId="77777777" w:rsidR="007E6368" w:rsidRPr="00EE2E86" w:rsidRDefault="007E6368" w:rsidP="007E6368">
      <w:pPr>
        <w:pStyle w:val="ListParagraph"/>
        <w:numPr>
          <w:ilvl w:val="0"/>
          <w:numId w:val="2"/>
        </w:numPr>
        <w:spacing w:after="120"/>
        <w:ind w:left="357" w:hanging="357"/>
        <w:contextualSpacing w:val="0"/>
        <w:jc w:val="both"/>
        <w:rPr>
          <w:b/>
          <w:szCs w:val="24"/>
        </w:rPr>
      </w:pPr>
      <w:r w:rsidRPr="00EE2E86">
        <w:rPr>
          <w:b/>
          <w:szCs w:val="24"/>
        </w:rPr>
        <w:t>Proposals</w:t>
      </w:r>
    </w:p>
    <w:p w14:paraId="3DDF353E" w14:textId="77777777" w:rsidR="007E6368" w:rsidRDefault="007E6368">
      <w:pPr>
        <w:spacing w:after="120"/>
      </w:pPr>
      <w:r>
        <w:t>The Union has a commitment to accelerating efforts to bridge the digital divide, and it has many times emphasised the importance of this issue. ITU, and particularly the Development Sector, has a unique and important role with respect to promoting best practice in telecommunications regulation in order to decrease wholesale broadband costs and promote affordable connectivity.</w:t>
      </w:r>
    </w:p>
    <w:p w14:paraId="370A6D15" w14:textId="77777777" w:rsidR="007E6368" w:rsidRDefault="007E6368" w:rsidP="00607F53">
      <w:pPr>
        <w:spacing w:after="120"/>
      </w:pPr>
      <w:r>
        <w:t xml:space="preserve">There is unquestionably an invaluable body of data, best practices, regulatory policy capacity building programmes and their output, Recommendations and research developed by ITU for general use and at the request of individual Members, and other resources the ITU has with respect to bridging the digital divide. However, this body of information is not always easy to find and it is not thematically compiled or linked, which makes it difficult to use and apply. </w:t>
      </w:r>
    </w:p>
    <w:p w14:paraId="26078523" w14:textId="77777777" w:rsidR="007E6368" w:rsidRDefault="007E6368" w:rsidP="007E6368">
      <w:pPr>
        <w:spacing w:after="120"/>
      </w:pPr>
      <w:r>
        <w:t xml:space="preserve">Compiling and presenting this material in a more accessible and thematic way would be a significant benefit not just to the Union, but also to institutions, government agencies, NGOs, and many other stakeholders concerned with accelerating efforts to bridge the digital divide, particularly as regards to regulatory policy choices to promote access to affordable telecommunications services. </w:t>
      </w:r>
    </w:p>
    <w:p w14:paraId="098B66A3" w14:textId="77777777" w:rsidR="007E6368" w:rsidRDefault="007E6368">
      <w:pPr>
        <w:spacing w:after="120"/>
      </w:pPr>
      <w:r>
        <w:t xml:space="preserve">Accordingly, we propose that the Development </w:t>
      </w:r>
      <w:r w:rsidR="00232C10">
        <w:t xml:space="preserve">Bureau </w:t>
      </w:r>
      <w:r>
        <w:t xml:space="preserve">take the lead in developing such a resource. </w:t>
      </w:r>
    </w:p>
    <w:p w14:paraId="43ED234D" w14:textId="77777777" w:rsidR="007E6368" w:rsidRDefault="007E6368" w:rsidP="007E6368">
      <w:pPr>
        <w:spacing w:after="120"/>
      </w:pPr>
      <w:r>
        <w:t>We suggest it should have the following characteristics:</w:t>
      </w:r>
    </w:p>
    <w:p w14:paraId="7B7021A0" w14:textId="77777777" w:rsidR="007E6368" w:rsidRPr="004022CA" w:rsidRDefault="007E6368" w:rsidP="007E6368">
      <w:pPr>
        <w:pStyle w:val="ListParagraph"/>
        <w:numPr>
          <w:ilvl w:val="0"/>
          <w:numId w:val="4"/>
        </w:numPr>
        <w:tabs>
          <w:tab w:val="clear" w:pos="1134"/>
          <w:tab w:val="clear" w:pos="1871"/>
          <w:tab w:val="clear" w:pos="2268"/>
        </w:tabs>
        <w:overflowPunct/>
        <w:autoSpaceDE/>
        <w:autoSpaceDN/>
        <w:adjustRightInd/>
        <w:spacing w:before="40" w:after="40"/>
        <w:contextualSpacing w:val="0"/>
        <w:textAlignment w:val="auto"/>
        <w:rPr>
          <w:rFonts w:ascii="Calibri" w:hAnsi="Calibri" w:cs="Calibri"/>
        </w:rPr>
      </w:pPr>
      <w:r w:rsidRPr="004022CA">
        <w:rPr>
          <w:rFonts w:ascii="Calibri" w:hAnsi="Calibri" w:cs="Calibri"/>
        </w:rPr>
        <w:t xml:space="preserve">It should be accessible online in all the languages of the Union, organised in such a way that </w:t>
      </w:r>
      <w:r>
        <w:rPr>
          <w:rFonts w:ascii="Calibri" w:hAnsi="Calibri" w:cs="Calibri"/>
        </w:rPr>
        <w:t>non-professionals</w:t>
      </w:r>
      <w:r w:rsidRPr="004022CA">
        <w:rPr>
          <w:rFonts w:ascii="Calibri" w:hAnsi="Calibri" w:cs="Calibri"/>
        </w:rPr>
        <w:t xml:space="preserve"> can easily find basic information, yet drill down to technical detail as required;</w:t>
      </w:r>
    </w:p>
    <w:p w14:paraId="17C70378" w14:textId="77777777" w:rsidR="007E6368" w:rsidRPr="004022CA" w:rsidRDefault="007E6368" w:rsidP="007E6368">
      <w:pPr>
        <w:pStyle w:val="ListParagraph"/>
        <w:numPr>
          <w:ilvl w:val="0"/>
          <w:numId w:val="4"/>
        </w:numPr>
        <w:tabs>
          <w:tab w:val="clear" w:pos="1134"/>
          <w:tab w:val="clear" w:pos="1871"/>
          <w:tab w:val="clear" w:pos="2268"/>
        </w:tabs>
        <w:overflowPunct/>
        <w:autoSpaceDE/>
        <w:autoSpaceDN/>
        <w:adjustRightInd/>
        <w:spacing w:before="40" w:after="40"/>
        <w:contextualSpacing w:val="0"/>
        <w:textAlignment w:val="auto"/>
        <w:rPr>
          <w:rFonts w:ascii="Calibri" w:hAnsi="Calibri" w:cs="Calibri"/>
        </w:rPr>
      </w:pPr>
      <w:r w:rsidRPr="004022CA">
        <w:rPr>
          <w:rFonts w:ascii="Calibri" w:hAnsi="Calibri" w:cs="Calibri"/>
        </w:rPr>
        <w:t>It should always be up to date</w:t>
      </w:r>
      <w:r>
        <w:rPr>
          <w:rFonts w:ascii="Calibri" w:hAnsi="Calibri" w:cs="Calibri"/>
        </w:rPr>
        <w:t xml:space="preserve"> and outdated material should be removed</w:t>
      </w:r>
      <w:r w:rsidRPr="004022CA">
        <w:rPr>
          <w:rFonts w:ascii="Calibri" w:hAnsi="Calibri" w:cs="Calibri"/>
        </w:rPr>
        <w:t>;</w:t>
      </w:r>
    </w:p>
    <w:p w14:paraId="48DCCE50" w14:textId="77777777" w:rsidR="007E6368" w:rsidRPr="004022CA" w:rsidRDefault="007E6368" w:rsidP="007E6368">
      <w:pPr>
        <w:pStyle w:val="ListParagraph"/>
        <w:numPr>
          <w:ilvl w:val="0"/>
          <w:numId w:val="4"/>
        </w:numPr>
        <w:tabs>
          <w:tab w:val="clear" w:pos="1134"/>
          <w:tab w:val="clear" w:pos="1871"/>
          <w:tab w:val="clear" w:pos="2268"/>
        </w:tabs>
        <w:overflowPunct/>
        <w:autoSpaceDE/>
        <w:autoSpaceDN/>
        <w:adjustRightInd/>
        <w:spacing w:before="40" w:after="40"/>
        <w:contextualSpacing w:val="0"/>
        <w:textAlignment w:val="auto"/>
        <w:rPr>
          <w:rFonts w:ascii="Calibri" w:hAnsi="Calibri" w:cs="Calibri"/>
        </w:rPr>
      </w:pPr>
      <w:r w:rsidRPr="004022CA">
        <w:rPr>
          <w:rFonts w:ascii="Calibri" w:hAnsi="Calibri" w:cs="Calibri"/>
        </w:rPr>
        <w:t xml:space="preserve">It </w:t>
      </w:r>
      <w:r>
        <w:rPr>
          <w:rFonts w:ascii="Calibri" w:hAnsi="Calibri" w:cs="Calibri"/>
        </w:rPr>
        <w:t>should</w:t>
      </w:r>
      <w:r w:rsidRPr="004022CA">
        <w:rPr>
          <w:rFonts w:ascii="Calibri" w:hAnsi="Calibri" w:cs="Calibri"/>
        </w:rPr>
        <w:t xml:space="preserve"> bring together all the material relevant to the subject wherever it has been developed </w:t>
      </w:r>
      <w:r>
        <w:rPr>
          <w:rFonts w:ascii="Calibri" w:hAnsi="Calibri" w:cs="Calibri"/>
        </w:rPr>
        <w:t>within the Union – and wherever possible it should sign post to</w:t>
      </w:r>
      <w:r w:rsidRPr="004022CA">
        <w:rPr>
          <w:rFonts w:ascii="Calibri" w:hAnsi="Calibri" w:cs="Calibri"/>
        </w:rPr>
        <w:t xml:space="preserve"> relevant material from other </w:t>
      </w:r>
      <w:r>
        <w:rPr>
          <w:rFonts w:ascii="Calibri" w:hAnsi="Calibri" w:cs="Calibri"/>
        </w:rPr>
        <w:t>organisations</w:t>
      </w:r>
      <w:r w:rsidR="00452CA7">
        <w:rPr>
          <w:rFonts w:ascii="Calibri" w:hAnsi="Calibri" w:cs="Calibri"/>
        </w:rPr>
        <w:t>;</w:t>
      </w:r>
    </w:p>
    <w:p w14:paraId="59E3A3FC" w14:textId="77777777" w:rsidR="007E6368" w:rsidRPr="004022CA" w:rsidRDefault="007E6368" w:rsidP="007E6368">
      <w:pPr>
        <w:pStyle w:val="ListParagraph"/>
        <w:numPr>
          <w:ilvl w:val="0"/>
          <w:numId w:val="4"/>
        </w:numPr>
        <w:tabs>
          <w:tab w:val="clear" w:pos="1134"/>
          <w:tab w:val="clear" w:pos="1871"/>
          <w:tab w:val="clear" w:pos="2268"/>
        </w:tabs>
        <w:overflowPunct/>
        <w:autoSpaceDE/>
        <w:autoSpaceDN/>
        <w:adjustRightInd/>
        <w:spacing w:before="40" w:after="40"/>
        <w:contextualSpacing w:val="0"/>
        <w:textAlignment w:val="auto"/>
        <w:rPr>
          <w:rFonts w:ascii="Calibri" w:hAnsi="Calibri" w:cs="Calibri"/>
        </w:rPr>
      </w:pPr>
      <w:r w:rsidRPr="004022CA">
        <w:rPr>
          <w:rFonts w:ascii="Calibri" w:hAnsi="Calibri" w:cs="Calibri"/>
        </w:rPr>
        <w:t>It should, to the extent possible, provide links to the capacity and resource development programmes available, especially for developing countries, in implementing the best pract</w:t>
      </w:r>
      <w:r w:rsidR="00452CA7">
        <w:rPr>
          <w:rFonts w:ascii="Calibri" w:hAnsi="Calibri" w:cs="Calibri"/>
        </w:rPr>
        <w:t>ices identified by the resource;</w:t>
      </w:r>
    </w:p>
    <w:p w14:paraId="0D16DAFC" w14:textId="77777777" w:rsidR="007E6368" w:rsidRPr="00965753" w:rsidRDefault="007E6368" w:rsidP="007E6368">
      <w:pPr>
        <w:pStyle w:val="ListParagraph"/>
        <w:numPr>
          <w:ilvl w:val="0"/>
          <w:numId w:val="4"/>
        </w:numPr>
        <w:tabs>
          <w:tab w:val="clear" w:pos="1134"/>
          <w:tab w:val="clear" w:pos="1871"/>
          <w:tab w:val="clear" w:pos="2268"/>
        </w:tabs>
        <w:overflowPunct/>
        <w:autoSpaceDE/>
        <w:autoSpaceDN/>
        <w:adjustRightInd/>
        <w:spacing w:before="40" w:after="40"/>
        <w:contextualSpacing w:val="0"/>
        <w:textAlignment w:val="auto"/>
        <w:rPr>
          <w:rFonts w:ascii="Calibri" w:hAnsi="Calibri" w:cs="Calibri"/>
        </w:rPr>
      </w:pPr>
      <w:r w:rsidRPr="004022CA">
        <w:rPr>
          <w:rFonts w:ascii="Calibri" w:hAnsi="Calibri" w:cs="Calibri"/>
        </w:rPr>
        <w:t>It should make clear what the origin of material drawn from different sources is, especially where some material relates to consensus outcomes of ITU’s working bodies and some is from other sources.</w:t>
      </w:r>
    </w:p>
    <w:p w14:paraId="40DBA042" w14:textId="77777777" w:rsidR="007E6368" w:rsidRDefault="007E6368" w:rsidP="007E6368">
      <w:pPr>
        <w:spacing w:after="120"/>
      </w:pPr>
      <w:r>
        <w:t xml:space="preserve">We recognise that </w:t>
      </w:r>
      <w:r w:rsidRPr="00106426">
        <w:t xml:space="preserve">this represents a meaningful amount of work, </w:t>
      </w:r>
      <w:r>
        <w:t xml:space="preserve">but we believe it is fundamentally important to support efforts to bridge the digital divide and it </w:t>
      </w:r>
      <w:r w:rsidRPr="00106426">
        <w:t xml:space="preserve">is entirely </w:t>
      </w:r>
      <w:r>
        <w:t>in line</w:t>
      </w:r>
      <w:r w:rsidRPr="00106426">
        <w:t xml:space="preserve"> with, and supported by, </w:t>
      </w:r>
      <w:r>
        <w:t>several Plenipotentiary, WTSA, and WTDC resolutions as well as Council decisions.</w:t>
      </w:r>
    </w:p>
    <w:p w14:paraId="449FCBFC" w14:textId="77777777" w:rsidR="00607F53" w:rsidRDefault="00607F53" w:rsidP="00D20099">
      <w:pPr>
        <w:tabs>
          <w:tab w:val="clear" w:pos="794"/>
          <w:tab w:val="clear" w:pos="1191"/>
          <w:tab w:val="clear" w:pos="1588"/>
          <w:tab w:val="clear" w:pos="1985"/>
        </w:tabs>
        <w:spacing w:after="120"/>
        <w:ind w:left="34" w:right="-142"/>
        <w:jc w:val="center"/>
      </w:pPr>
    </w:p>
    <w:p w14:paraId="41614B61" w14:textId="77777777" w:rsidR="002770B1" w:rsidRDefault="003C58BF" w:rsidP="00D20099">
      <w:pPr>
        <w:tabs>
          <w:tab w:val="clear" w:pos="794"/>
          <w:tab w:val="clear" w:pos="1191"/>
          <w:tab w:val="clear" w:pos="1588"/>
          <w:tab w:val="clear" w:pos="1985"/>
        </w:tabs>
        <w:spacing w:after="120"/>
        <w:ind w:left="34" w:right="-142"/>
        <w:jc w:val="center"/>
      </w:pPr>
      <w:r>
        <w:t>_____________</w:t>
      </w:r>
      <w:r w:rsidR="004122C5">
        <w:t>_</w:t>
      </w:r>
      <w:r w:rsidR="00922EC1">
        <w:t>_</w:t>
      </w:r>
    </w:p>
    <w:sectPr w:rsidR="002770B1" w:rsidSect="00D20099">
      <w:headerReference w:type="default" r:id="rId9"/>
      <w:footerReference w:type="first" r:id="rId10"/>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8F8FC" w14:textId="77777777" w:rsidR="009E6712" w:rsidRDefault="009E6712">
      <w:r>
        <w:separator/>
      </w:r>
    </w:p>
  </w:endnote>
  <w:endnote w:type="continuationSeparator" w:id="0">
    <w:p w14:paraId="6B1DE918" w14:textId="77777777" w:rsidR="009E6712" w:rsidRDefault="009E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9C5F22" w:rsidRPr="004D495C" w14:paraId="695BBDD0" w14:textId="77777777" w:rsidTr="0022700C">
      <w:tc>
        <w:tcPr>
          <w:tcW w:w="1526" w:type="dxa"/>
          <w:tcBorders>
            <w:top w:val="single" w:sz="4" w:space="0" w:color="000000"/>
          </w:tcBorders>
          <w:shd w:val="clear" w:color="auto" w:fill="auto"/>
        </w:tcPr>
        <w:p w14:paraId="15C2AFDF" w14:textId="77777777" w:rsidR="009C5F22" w:rsidRPr="004D495C" w:rsidRDefault="009C5F22" w:rsidP="009C5F2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8E1B24F" w14:textId="77777777" w:rsidR="009C5F22" w:rsidRPr="004D495C" w:rsidRDefault="009C5F22" w:rsidP="009C5F22">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58278A9" w14:textId="77777777" w:rsidR="009C5F22" w:rsidRPr="00255A4F" w:rsidRDefault="009C5F22" w:rsidP="009C5F22">
          <w:pPr>
            <w:pStyle w:val="FirstFooter"/>
            <w:tabs>
              <w:tab w:val="left" w:pos="2302"/>
            </w:tabs>
            <w:ind w:left="2302" w:hanging="2302"/>
            <w:rPr>
              <w:sz w:val="18"/>
              <w:szCs w:val="18"/>
              <w:lang w:val="en-US"/>
            </w:rPr>
          </w:pPr>
          <w:bookmarkStart w:id="11" w:name="OrgName"/>
          <w:bookmarkEnd w:id="11"/>
          <w:r>
            <w:rPr>
              <w:sz w:val="18"/>
              <w:szCs w:val="18"/>
              <w:lang w:val="en-US"/>
            </w:rPr>
            <w:t xml:space="preserve">Mr Nick Ashton-Hart, </w:t>
          </w:r>
          <w:r w:rsidRPr="00967395">
            <w:rPr>
              <w:sz w:val="18"/>
              <w:szCs w:val="18"/>
              <w:lang w:val="en-US"/>
            </w:rPr>
            <w:t xml:space="preserve">Office of Communications </w:t>
          </w:r>
          <w:r>
            <w:rPr>
              <w:sz w:val="18"/>
              <w:szCs w:val="18"/>
              <w:lang w:val="en-US"/>
            </w:rPr>
            <w:t>(</w:t>
          </w:r>
          <w:r w:rsidRPr="00967395">
            <w:rPr>
              <w:sz w:val="18"/>
              <w:szCs w:val="18"/>
              <w:lang w:val="en-US"/>
            </w:rPr>
            <w:t>Ofcom</w:t>
          </w:r>
          <w:r>
            <w:rPr>
              <w:sz w:val="18"/>
              <w:szCs w:val="18"/>
              <w:lang w:val="en-US"/>
            </w:rPr>
            <w:t>), United Kingdom</w:t>
          </w:r>
        </w:p>
      </w:tc>
    </w:tr>
    <w:tr w:rsidR="009C5F22" w:rsidRPr="004D495C" w14:paraId="65EDEEF7" w14:textId="77777777" w:rsidTr="0022700C">
      <w:tc>
        <w:tcPr>
          <w:tcW w:w="1526" w:type="dxa"/>
          <w:shd w:val="clear" w:color="auto" w:fill="auto"/>
        </w:tcPr>
        <w:p w14:paraId="7F8DCD45" w14:textId="77777777" w:rsidR="009C5F22" w:rsidRPr="004D495C" w:rsidRDefault="009C5F22" w:rsidP="009C5F22">
          <w:pPr>
            <w:pStyle w:val="FirstFooter"/>
            <w:tabs>
              <w:tab w:val="left" w:pos="1559"/>
              <w:tab w:val="left" w:pos="3828"/>
            </w:tabs>
            <w:rPr>
              <w:sz w:val="20"/>
              <w:lang w:val="en-US"/>
            </w:rPr>
          </w:pPr>
        </w:p>
      </w:tc>
      <w:tc>
        <w:tcPr>
          <w:tcW w:w="2410" w:type="dxa"/>
          <w:shd w:val="clear" w:color="auto" w:fill="auto"/>
        </w:tcPr>
        <w:p w14:paraId="7E08C1CE" w14:textId="77777777" w:rsidR="009C5F22" w:rsidRPr="004D495C" w:rsidRDefault="009C5F22" w:rsidP="009C5F22">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30FFF1D9" w14:textId="77777777" w:rsidR="009C5F22" w:rsidRPr="001647C3" w:rsidRDefault="009C5F22" w:rsidP="00A069B9">
          <w:pPr>
            <w:pStyle w:val="FirstFooter"/>
            <w:tabs>
              <w:tab w:val="left" w:pos="2302"/>
            </w:tabs>
            <w:rPr>
              <w:sz w:val="18"/>
              <w:szCs w:val="18"/>
              <w:lang w:val="en-US"/>
            </w:rPr>
          </w:pPr>
          <w:bookmarkStart w:id="12" w:name="PhoneNo"/>
          <w:bookmarkEnd w:id="12"/>
          <w:r>
            <w:rPr>
              <w:sz w:val="18"/>
              <w:szCs w:val="18"/>
              <w:lang w:val="en-US"/>
            </w:rPr>
            <w:t>+31615120232</w:t>
          </w:r>
        </w:p>
      </w:tc>
    </w:tr>
    <w:tr w:rsidR="009C5F22" w:rsidRPr="004D495C" w14:paraId="208BCE3A" w14:textId="77777777" w:rsidTr="0022700C">
      <w:tc>
        <w:tcPr>
          <w:tcW w:w="1526" w:type="dxa"/>
          <w:shd w:val="clear" w:color="auto" w:fill="auto"/>
        </w:tcPr>
        <w:p w14:paraId="73F57177" w14:textId="77777777" w:rsidR="009C5F22" w:rsidRPr="004D495C" w:rsidRDefault="009C5F22" w:rsidP="009C5F22">
          <w:pPr>
            <w:pStyle w:val="FirstFooter"/>
            <w:tabs>
              <w:tab w:val="left" w:pos="1559"/>
              <w:tab w:val="left" w:pos="3828"/>
            </w:tabs>
            <w:rPr>
              <w:sz w:val="20"/>
              <w:lang w:val="en-US"/>
            </w:rPr>
          </w:pPr>
        </w:p>
      </w:tc>
      <w:tc>
        <w:tcPr>
          <w:tcW w:w="2410" w:type="dxa"/>
          <w:shd w:val="clear" w:color="auto" w:fill="auto"/>
        </w:tcPr>
        <w:p w14:paraId="2A0EC61D" w14:textId="77777777" w:rsidR="009C5F22" w:rsidRPr="004D495C" w:rsidRDefault="009C5F22" w:rsidP="009C5F22">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14:paraId="13D2FEF6" w14:textId="77777777" w:rsidR="009C5F22" w:rsidRPr="001647C3" w:rsidRDefault="009C5F22" w:rsidP="009C5F22">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"mailto:nashton@consensus.pro" </w:instrText>
          </w:r>
          <w:r>
            <w:rPr>
              <w:sz w:val="18"/>
              <w:szCs w:val="18"/>
              <w:lang w:val="en-US"/>
            </w:rPr>
            <w:fldChar w:fldCharType="separate"/>
          </w:r>
          <w:r w:rsidRPr="00BE6598">
            <w:rPr>
              <w:rStyle w:val="Hyperlink"/>
              <w:sz w:val="18"/>
              <w:szCs w:val="18"/>
              <w:lang w:val="en-US"/>
            </w:rPr>
            <w:t>nashton@consensus.pro</w:t>
          </w:r>
          <w:r>
            <w:rPr>
              <w:sz w:val="18"/>
              <w:szCs w:val="18"/>
              <w:lang w:val="en-US"/>
            </w:rPr>
            <w:fldChar w:fldCharType="end"/>
          </w:r>
          <w:r>
            <w:rPr>
              <w:sz w:val="18"/>
              <w:szCs w:val="18"/>
              <w:lang w:val="en-US"/>
            </w:rPr>
            <w:t xml:space="preserve"> </w:t>
          </w:r>
        </w:p>
      </w:tc>
    </w:tr>
  </w:tbl>
  <w:p w14:paraId="2E735D04" w14:textId="77777777" w:rsidR="0006061C" w:rsidRPr="00D83BF5" w:rsidRDefault="00CE2BE8" w:rsidP="0006061C">
    <w:pPr>
      <w:jc w:val="center"/>
    </w:pPr>
    <w:hyperlink r:id="rId1" w:history="1">
      <w:r w:rsidR="0006061C" w:rsidRPr="001E252D">
        <w:rPr>
          <w:rStyle w:val="Hyperlink"/>
          <w:sz w:val="20"/>
        </w:rPr>
        <w:t>TDAG</w:t>
      </w:r>
    </w:hyperlink>
  </w:p>
  <w:p w14:paraId="1AC4230B" w14:textId="77777777" w:rsidR="00721657" w:rsidRPr="0006061C" w:rsidRDefault="00721657" w:rsidP="0006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F4382" w14:textId="77777777" w:rsidR="009E6712" w:rsidRDefault="009E6712">
      <w:r>
        <w:t>____________________</w:t>
      </w:r>
    </w:p>
  </w:footnote>
  <w:footnote w:type="continuationSeparator" w:id="0">
    <w:p w14:paraId="1FF3DCE6" w14:textId="77777777" w:rsidR="009E6712" w:rsidRDefault="009E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7BC9" w14:textId="77777777" w:rsidR="00721657" w:rsidRPr="00A069B9" w:rsidRDefault="00A069B9" w:rsidP="00A069B9">
    <w:pPr>
      <w:tabs>
        <w:tab w:val="clear" w:pos="794"/>
        <w:tab w:val="clear" w:pos="1191"/>
        <w:tab w:val="clear" w:pos="1588"/>
        <w:tab w:val="clear" w:pos="1985"/>
        <w:tab w:val="center" w:pos="4820"/>
        <w:tab w:val="right" w:pos="9639"/>
      </w:tabs>
      <w:spacing w:after="120"/>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26D18">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586C"/>
    <w:multiLevelType w:val="hybridMultilevel"/>
    <w:tmpl w:val="DD66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8105C"/>
    <w:multiLevelType w:val="hybridMultilevel"/>
    <w:tmpl w:val="9D30E14A"/>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0CD6254"/>
    <w:multiLevelType w:val="hybridMultilevel"/>
    <w:tmpl w:val="2A1CE7D6"/>
    <w:lvl w:ilvl="0" w:tplc="7DBC3CC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12"/>
    <w:rsid w:val="00002716"/>
    <w:rsid w:val="00005791"/>
    <w:rsid w:val="00010827"/>
    <w:rsid w:val="00015089"/>
    <w:rsid w:val="0002520B"/>
    <w:rsid w:val="00037A9E"/>
    <w:rsid w:val="00037F91"/>
    <w:rsid w:val="000539F1"/>
    <w:rsid w:val="00054747"/>
    <w:rsid w:val="0005521D"/>
    <w:rsid w:val="00055A2A"/>
    <w:rsid w:val="0006061C"/>
    <w:rsid w:val="000615C1"/>
    <w:rsid w:val="00061675"/>
    <w:rsid w:val="00073308"/>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872F7"/>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2C10"/>
    <w:rsid w:val="00236560"/>
    <w:rsid w:val="0023662E"/>
    <w:rsid w:val="00245D0F"/>
    <w:rsid w:val="002548C3"/>
    <w:rsid w:val="00255A4F"/>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708C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58F6"/>
    <w:rsid w:val="0044411E"/>
    <w:rsid w:val="00452CA7"/>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07F53"/>
    <w:rsid w:val="00611EAF"/>
    <w:rsid w:val="00623F30"/>
    <w:rsid w:val="00625FB8"/>
    <w:rsid w:val="006261BD"/>
    <w:rsid w:val="00626D18"/>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E6368"/>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2CF8"/>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A452B"/>
    <w:rsid w:val="009B050C"/>
    <w:rsid w:val="009B087F"/>
    <w:rsid w:val="009B2AF4"/>
    <w:rsid w:val="009C110B"/>
    <w:rsid w:val="009C5441"/>
    <w:rsid w:val="009C5F22"/>
    <w:rsid w:val="009D119F"/>
    <w:rsid w:val="009D49A2"/>
    <w:rsid w:val="009E6712"/>
    <w:rsid w:val="009F3940"/>
    <w:rsid w:val="009F3EB2"/>
    <w:rsid w:val="009F6EB1"/>
    <w:rsid w:val="00A069B9"/>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B1659"/>
    <w:rsid w:val="00AB4962"/>
    <w:rsid w:val="00AB734E"/>
    <w:rsid w:val="00AB740F"/>
    <w:rsid w:val="00AC6B3E"/>
    <w:rsid w:val="00AC6F14"/>
    <w:rsid w:val="00AC7221"/>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E8F"/>
    <w:rsid w:val="00B80157"/>
    <w:rsid w:val="00B83D5E"/>
    <w:rsid w:val="00B8460A"/>
    <w:rsid w:val="00B8650D"/>
    <w:rsid w:val="00B879B4"/>
    <w:rsid w:val="00B90F07"/>
    <w:rsid w:val="00B97BB9"/>
    <w:rsid w:val="00BA0009"/>
    <w:rsid w:val="00BA3906"/>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2BE8"/>
    <w:rsid w:val="00CE5E4D"/>
    <w:rsid w:val="00CF02C4"/>
    <w:rsid w:val="00CF167F"/>
    <w:rsid w:val="00CF72E5"/>
    <w:rsid w:val="00D013EE"/>
    <w:rsid w:val="00D01F54"/>
    <w:rsid w:val="00D040F7"/>
    <w:rsid w:val="00D04A76"/>
    <w:rsid w:val="00D10FC7"/>
    <w:rsid w:val="00D1519F"/>
    <w:rsid w:val="00D20099"/>
    <w:rsid w:val="00D20E99"/>
    <w:rsid w:val="00D21C83"/>
    <w:rsid w:val="00D35BDD"/>
    <w:rsid w:val="00D37A66"/>
    <w:rsid w:val="00D63006"/>
    <w:rsid w:val="00D72301"/>
    <w:rsid w:val="00D911DE"/>
    <w:rsid w:val="00D91B97"/>
    <w:rsid w:val="00D93ACC"/>
    <w:rsid w:val="00D93C08"/>
    <w:rsid w:val="00D95DAC"/>
    <w:rsid w:val="00DA0B53"/>
    <w:rsid w:val="00DB1171"/>
    <w:rsid w:val="00DB1519"/>
    <w:rsid w:val="00DB2840"/>
    <w:rsid w:val="00DC1BD3"/>
    <w:rsid w:val="00DC2C1A"/>
    <w:rsid w:val="00DD1743"/>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454C"/>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5DD5"/>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F03194"/>
  <w15:docId w15:val="{F0AD0588-2351-43DF-A846-CA0B6BA6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8771-EAAD-412B-A484-75EAAFB7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1</TotalTime>
  <Pages>2</Pages>
  <Words>512</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cp:lastModifiedBy>
  <cp:revision>4</cp:revision>
  <cp:lastPrinted>2014-11-04T09:22:00Z</cp:lastPrinted>
  <dcterms:created xsi:type="dcterms:W3CDTF">2020-02-07T11:09:00Z</dcterms:created>
  <dcterms:modified xsi:type="dcterms:W3CDTF">2020-03-10T13:52:00Z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