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  <w:gridCol w:w="35"/>
      </w:tblGrid>
      <w:tr w:rsidR="00D20099" w14:paraId="18956F23" w14:textId="77777777" w:rsidTr="006642DF">
        <w:trPr>
          <w:cantSplit/>
          <w:trHeight w:val="1134"/>
        </w:trPr>
        <w:tc>
          <w:tcPr>
            <w:tcW w:w="6663" w:type="dxa"/>
            <w:vAlign w:val="center"/>
          </w:tcPr>
          <w:p w14:paraId="30097131" w14:textId="77777777" w:rsidR="00F07784" w:rsidRPr="00F07784" w:rsidRDefault="00F07784" w:rsidP="00F07784">
            <w:pPr>
              <w:spacing w:after="48" w:line="240" w:lineRule="atLeast"/>
              <w:ind w:left="34"/>
              <w:rPr>
                <w:rFonts w:ascii="Calibri" w:hAnsi="Calibri" w:cs="Calibri"/>
                <w:b/>
                <w:bCs/>
                <w:sz w:val="32"/>
                <w:szCs w:val="32"/>
                <w:lang w:eastAsia="zh-CN"/>
              </w:rPr>
            </w:pPr>
            <w:r w:rsidRPr="00F07784">
              <w:rPr>
                <w:rFonts w:ascii="Calibri" w:hAnsi="Calibri" w:cs="Calibri" w:hint="eastAsia"/>
                <w:b/>
                <w:bCs/>
                <w:sz w:val="32"/>
                <w:szCs w:val="22"/>
                <w:lang w:eastAsia="zh-CN"/>
              </w:rPr>
              <w:t>电信发展顾问组（</w:t>
            </w:r>
            <w:r w:rsidRPr="00F07784">
              <w:rPr>
                <w:rFonts w:ascii="Calibri" w:hAnsi="Calibri" w:cs="Calibri"/>
                <w:b/>
                <w:bCs/>
                <w:sz w:val="32"/>
                <w:szCs w:val="22"/>
                <w:lang w:eastAsia="zh-CN"/>
              </w:rPr>
              <w:t>TDAG</w:t>
            </w:r>
            <w:r w:rsidRPr="00F07784">
              <w:rPr>
                <w:rFonts w:ascii="Calibri" w:hAnsi="Calibri" w:cs="Calibri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14:paraId="75483DAA" w14:textId="592FC20B" w:rsidR="00D20099" w:rsidRPr="00844A56" w:rsidRDefault="009A04C4" w:rsidP="00F07784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 w:right="-142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9A04C4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第</w:t>
            </w:r>
            <w:r w:rsidRPr="009A04C4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25</w:t>
            </w:r>
            <w:r w:rsidRPr="009A04C4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次会议，</w:t>
            </w:r>
            <w:r w:rsidRPr="009A04C4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2020</w:t>
            </w:r>
            <w:r w:rsidRPr="009A04C4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年</w:t>
            </w:r>
            <w:r w:rsidRPr="009A04C4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6</w:t>
            </w:r>
            <w:r w:rsidRPr="009A04C4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月</w:t>
            </w:r>
            <w:r w:rsidRPr="009A04C4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2-5</w:t>
            </w:r>
            <w:r w:rsidRPr="009A04C4">
              <w:rPr>
                <w:rFonts w:ascii="Calibri" w:hAnsi="Calibri" w:cs="Calibri" w:hint="eastAsia"/>
                <w:b/>
                <w:bCs/>
                <w:szCs w:val="24"/>
                <w:lang w:val="fr-CH" w:eastAsia="zh-CN"/>
              </w:rPr>
              <w:t>日，日内瓦</w:t>
            </w:r>
            <w:bookmarkStart w:id="0" w:name="_GoBack"/>
            <w:bookmarkEnd w:id="0"/>
          </w:p>
        </w:tc>
        <w:tc>
          <w:tcPr>
            <w:tcW w:w="3260" w:type="dxa"/>
            <w:gridSpan w:val="2"/>
          </w:tcPr>
          <w:p w14:paraId="6F728CEE" w14:textId="77777777" w:rsidR="00D20099" w:rsidRPr="00683C32" w:rsidRDefault="00572884" w:rsidP="00255A4F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2EF0F712" wp14:editId="6D432B5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comas\AppData\Local\Temp\Rar$DRa0.735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7B17B724" w14:textId="77777777" w:rsidTr="00D20099">
        <w:trPr>
          <w:gridAfter w:val="1"/>
          <w:wAfter w:w="35" w:type="dxa"/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37D5621D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1021C88E" w14:textId="77777777" w:rsidR="00683C32" w:rsidRPr="00997358" w:rsidRDefault="00683C32" w:rsidP="00D20099">
            <w:pPr>
              <w:spacing w:before="0"/>
              <w:ind w:left="34" w:right="-142"/>
              <w:rPr>
                <w:b/>
                <w:bCs/>
                <w:sz w:val="20"/>
              </w:rPr>
            </w:pPr>
          </w:p>
        </w:tc>
      </w:tr>
      <w:tr w:rsidR="00683C32" w:rsidRPr="00002716" w14:paraId="4F21A0FF" w14:textId="77777777" w:rsidTr="00D20099">
        <w:trPr>
          <w:gridAfter w:val="1"/>
          <w:wAfter w:w="35" w:type="dxa"/>
          <w:cantSplit/>
        </w:trPr>
        <w:tc>
          <w:tcPr>
            <w:tcW w:w="6663" w:type="dxa"/>
          </w:tcPr>
          <w:p w14:paraId="57D9CBD3" w14:textId="77777777" w:rsidR="00683C32" w:rsidRPr="007F1CC7" w:rsidRDefault="00683C32" w:rsidP="00D20099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14:paraId="596D3F48" w14:textId="5DFEE350" w:rsidR="00683C32" w:rsidRPr="007F1CC7" w:rsidRDefault="00F07784" w:rsidP="00A736FD">
            <w:pPr>
              <w:spacing w:before="0"/>
              <w:ind w:left="34" w:right="-142"/>
              <w:jc w:val="both"/>
              <w:rPr>
                <w:bCs/>
                <w:szCs w:val="24"/>
                <w:lang w:val="en-US"/>
              </w:rPr>
            </w:pPr>
            <w:bookmarkStart w:id="1" w:name="DocRef1"/>
            <w:bookmarkStart w:id="2" w:name="DocNo1"/>
            <w:bookmarkEnd w:id="1"/>
            <w:bookmarkEnd w:id="2"/>
            <w:r>
              <w:rPr>
                <w:rFonts w:asciiTheme="minorEastAsia" w:eastAsiaTheme="minorEastAsia" w:hAnsiTheme="minorEastAsia" w:hint="eastAsia"/>
                <w:b/>
                <w:bCs/>
                <w:lang w:val="en-US" w:eastAsia="zh-CN"/>
              </w:rPr>
              <w:t>文件</w:t>
            </w:r>
            <w:r w:rsidR="007B12BF" w:rsidRPr="007B12BF">
              <w:rPr>
                <w:rFonts w:ascii="Calibri" w:hAnsi="Calibri" w:cs="Calibri" w:hint="eastAsia"/>
                <w:b/>
                <w:bCs/>
                <w:lang w:val="en-US" w:eastAsia="zh-CN"/>
              </w:rPr>
              <w:t xml:space="preserve"> </w:t>
            </w:r>
            <w:r w:rsidR="00A736FD">
              <w:rPr>
                <w:b/>
                <w:bCs/>
                <w:lang w:val="en-US"/>
              </w:rPr>
              <w:t>TDAG-20</w:t>
            </w:r>
            <w:r w:rsidR="00A736FD" w:rsidRPr="00A54E72">
              <w:rPr>
                <w:b/>
                <w:bCs/>
                <w:lang w:val="en-US"/>
              </w:rPr>
              <w:t>/</w:t>
            </w:r>
            <w:r w:rsidR="00A736FD">
              <w:rPr>
                <w:b/>
                <w:bCs/>
                <w:lang w:val="en-US"/>
              </w:rPr>
              <w:t>30-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43E9CCF1" w14:textId="77777777" w:rsidTr="00D20099">
        <w:trPr>
          <w:gridAfter w:val="1"/>
          <w:wAfter w:w="35" w:type="dxa"/>
          <w:cantSplit/>
        </w:trPr>
        <w:tc>
          <w:tcPr>
            <w:tcW w:w="6663" w:type="dxa"/>
          </w:tcPr>
          <w:p w14:paraId="582A296E" w14:textId="77777777" w:rsidR="00683C32" w:rsidRPr="007F1CC7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14:paraId="64845626" w14:textId="77777777" w:rsidR="00683C32" w:rsidRPr="007F1CC7" w:rsidRDefault="00396D07" w:rsidP="00F07784">
            <w:pPr>
              <w:spacing w:before="0"/>
              <w:ind w:left="34" w:right="-142"/>
              <w:rPr>
                <w:b/>
                <w:szCs w:val="24"/>
              </w:rPr>
            </w:pPr>
            <w:bookmarkStart w:id="3" w:name="CreationDate"/>
            <w:bookmarkEnd w:id="3"/>
            <w:r>
              <w:rPr>
                <w:b/>
                <w:szCs w:val="24"/>
              </w:rPr>
              <w:t>2020</w:t>
            </w:r>
            <w:r w:rsidR="00F07784">
              <w:rPr>
                <w:rFonts w:hint="eastAsia"/>
                <w:b/>
                <w:szCs w:val="24"/>
                <w:lang w:eastAsia="zh-CN"/>
              </w:rPr>
              <w:t>年</w:t>
            </w:r>
            <w:r w:rsidR="00F07784">
              <w:rPr>
                <w:rFonts w:hint="eastAsia"/>
                <w:b/>
                <w:szCs w:val="24"/>
                <w:lang w:eastAsia="zh-CN"/>
              </w:rPr>
              <w:t>2</w:t>
            </w:r>
            <w:r w:rsidR="00F07784">
              <w:rPr>
                <w:rFonts w:hint="eastAsia"/>
                <w:b/>
                <w:szCs w:val="24"/>
                <w:lang w:eastAsia="zh-CN"/>
              </w:rPr>
              <w:t>月</w:t>
            </w:r>
            <w:r w:rsidR="00F07784">
              <w:rPr>
                <w:rFonts w:hint="eastAsia"/>
                <w:b/>
                <w:szCs w:val="24"/>
                <w:lang w:eastAsia="zh-CN"/>
              </w:rPr>
              <w:t>7</w:t>
            </w:r>
            <w:r w:rsidR="00F07784">
              <w:rPr>
                <w:rFonts w:hint="eastAsia"/>
                <w:b/>
                <w:szCs w:val="24"/>
                <w:lang w:eastAsia="zh-CN"/>
              </w:rPr>
              <w:t>日</w:t>
            </w:r>
          </w:p>
        </w:tc>
      </w:tr>
      <w:tr w:rsidR="00683C32" w14:paraId="4F63DCD2" w14:textId="77777777" w:rsidTr="00D20099">
        <w:trPr>
          <w:gridAfter w:val="1"/>
          <w:wAfter w:w="35" w:type="dxa"/>
          <w:cantSplit/>
        </w:trPr>
        <w:tc>
          <w:tcPr>
            <w:tcW w:w="6663" w:type="dxa"/>
          </w:tcPr>
          <w:p w14:paraId="7B680AEB" w14:textId="77777777" w:rsidR="00683C32" w:rsidRPr="007F1CC7" w:rsidRDefault="00683C32" w:rsidP="00D20099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6177E39D" w14:textId="77777777" w:rsidR="00514D2F" w:rsidRPr="007F1CC7" w:rsidRDefault="00F07784" w:rsidP="00D20099">
            <w:pPr>
              <w:spacing w:before="0"/>
              <w:ind w:left="34" w:right="-142"/>
              <w:rPr>
                <w:szCs w:val="24"/>
              </w:rPr>
            </w:pPr>
            <w:r w:rsidRPr="005C448B">
              <w:rPr>
                <w:rFonts w:ascii="Calibri" w:hAnsi="Calibri" w:cs="Calibri" w:hint="eastAsia"/>
                <w:b/>
                <w:bCs/>
                <w:szCs w:val="24"/>
                <w:lang w:val="fr-FR" w:eastAsia="zh-CN"/>
              </w:rPr>
              <w:t>原文</w:t>
            </w:r>
            <w:r w:rsidRPr="005C448B">
              <w:rPr>
                <w:rFonts w:ascii="Calibri" w:hAnsi="Calibri" w:cs="Calibri"/>
                <w:b/>
                <w:bCs/>
                <w:szCs w:val="24"/>
                <w:lang w:val="fr-FR" w:eastAsia="zh-CN"/>
              </w:rPr>
              <w:t>：</w:t>
            </w:r>
            <w:r w:rsidRPr="005C448B">
              <w:rPr>
                <w:rFonts w:ascii="Calibri" w:hAnsi="Calibri" w:cs="Calibri"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A13162" w14:paraId="3FE0B888" w14:textId="77777777" w:rsidTr="00D20099">
        <w:trPr>
          <w:gridAfter w:val="1"/>
          <w:wAfter w:w="35" w:type="dxa"/>
          <w:cantSplit/>
          <w:trHeight w:val="852"/>
        </w:trPr>
        <w:tc>
          <w:tcPr>
            <w:tcW w:w="9888" w:type="dxa"/>
            <w:gridSpan w:val="2"/>
          </w:tcPr>
          <w:p w14:paraId="451B3583" w14:textId="77777777" w:rsidR="00A13162" w:rsidRPr="0030353C" w:rsidRDefault="00F07784" w:rsidP="00A736FD">
            <w:pPr>
              <w:pStyle w:val="Source"/>
              <w:spacing w:before="240" w:after="240"/>
              <w:ind w:left="29" w:right="-144"/>
              <w:rPr>
                <w:lang w:eastAsia="zh-CN"/>
              </w:rPr>
            </w:pPr>
            <w:bookmarkStart w:id="4" w:name="Source"/>
            <w:bookmarkEnd w:id="4"/>
            <w:r w:rsidRPr="00F07784">
              <w:rPr>
                <w:rFonts w:hint="eastAsia"/>
                <w:lang w:eastAsia="zh-CN"/>
              </w:rPr>
              <w:t>大不列颠及北爱尔兰联合王国</w:t>
            </w:r>
          </w:p>
        </w:tc>
      </w:tr>
      <w:tr w:rsidR="00AC6F14" w:rsidRPr="002E6963" w14:paraId="3E2A32ED" w14:textId="77777777" w:rsidTr="00D20099">
        <w:trPr>
          <w:gridAfter w:val="1"/>
          <w:wAfter w:w="35" w:type="dxa"/>
          <w:cantSplit/>
        </w:trPr>
        <w:tc>
          <w:tcPr>
            <w:tcW w:w="9888" w:type="dxa"/>
            <w:gridSpan w:val="2"/>
          </w:tcPr>
          <w:p w14:paraId="2B14205C" w14:textId="11F02C5B" w:rsidR="00AC6F14" w:rsidRPr="0030353C" w:rsidRDefault="00010F63" w:rsidP="00A736FD">
            <w:pPr>
              <w:pStyle w:val="Title1"/>
              <w:spacing w:before="120" w:after="120"/>
              <w:ind w:left="29" w:right="-144"/>
              <w:rPr>
                <w:lang w:eastAsia="zh-CN"/>
              </w:rPr>
            </w:pPr>
            <w:bookmarkStart w:id="5" w:name="Title"/>
            <w:bookmarkEnd w:id="5"/>
            <w:r>
              <w:rPr>
                <w:rFonts w:hint="eastAsia"/>
                <w:lang w:eastAsia="zh-CN"/>
              </w:rPr>
              <w:t>通过让</w:t>
            </w:r>
            <w:r w:rsidRPr="00010F63">
              <w:rPr>
                <w:rFonts w:hint="eastAsia"/>
                <w:lang w:eastAsia="zh-CN"/>
              </w:rPr>
              <w:t>内陆发展中国家（</w:t>
            </w:r>
            <w:r w:rsidRPr="00010F63">
              <w:rPr>
                <w:rFonts w:hint="eastAsia"/>
                <w:lang w:eastAsia="zh-CN"/>
              </w:rPr>
              <w:t>LLDC</w:t>
            </w:r>
            <w:r w:rsidRPr="00010F63">
              <w:rPr>
                <w:rFonts w:hint="eastAsia"/>
                <w:lang w:eastAsia="zh-CN"/>
              </w:rPr>
              <w:t>）和小岛屿发展中国家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SIDS</w:t>
            </w:r>
            <w:r>
              <w:rPr>
                <w:rFonts w:hint="eastAsia"/>
                <w:lang w:eastAsia="zh-CN"/>
              </w:rPr>
              <w:t>）</w:t>
            </w:r>
            <w:r w:rsidR="00670C3C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面临的挑战更醒目提升国际电联统计数据的价值</w:t>
            </w:r>
          </w:p>
        </w:tc>
      </w:tr>
      <w:tr w:rsidR="00A721F4" w:rsidRPr="002E6963" w14:paraId="6EB2A750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3F08F34" w14:textId="77777777" w:rsidR="00A721F4" w:rsidRPr="00A721F4" w:rsidRDefault="00A721F4" w:rsidP="00D20099">
            <w:pPr>
              <w:ind w:left="34" w:right="-142"/>
              <w:rPr>
                <w:lang w:eastAsia="zh-CN"/>
              </w:rPr>
            </w:pPr>
          </w:p>
        </w:tc>
      </w:tr>
      <w:tr w:rsidR="00A721F4" w:rsidRPr="002E6963" w14:paraId="0A6741B5" w14:textId="77777777" w:rsidTr="003708C3">
        <w:trPr>
          <w:gridAfter w:val="1"/>
          <w:wAfter w:w="35" w:type="dxa"/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7C8" w14:textId="77777777" w:rsidR="00A721F4" w:rsidRPr="00D9621A" w:rsidRDefault="00F07784" w:rsidP="003708C3">
            <w:pPr>
              <w:spacing w:before="240"/>
              <w:rPr>
                <w:b/>
                <w:bCs/>
                <w:szCs w:val="24"/>
                <w:lang w:eastAsia="zh-CN"/>
              </w:rPr>
            </w:pPr>
            <w:r w:rsidRPr="005C448B">
              <w:rPr>
                <w:rFonts w:ascii="Calibri" w:hAnsi="Calibri" w:cs="Calibri" w:hint="eastAsia"/>
                <w:b/>
                <w:szCs w:val="24"/>
                <w:lang w:val="fr-CH" w:eastAsia="zh-CN"/>
              </w:rPr>
              <w:t>摘要</w:t>
            </w:r>
            <w:r w:rsidRPr="00701B51">
              <w:rPr>
                <w:rFonts w:ascii="Calibri" w:hAnsi="Calibri" w:cs="Calibri"/>
                <w:b/>
                <w:szCs w:val="24"/>
                <w:lang w:eastAsia="zh-CN"/>
              </w:rPr>
              <w:t>：</w:t>
            </w:r>
          </w:p>
          <w:p w14:paraId="0ED0A6E8" w14:textId="77777777" w:rsidR="00A721F4" w:rsidRPr="00F07784" w:rsidRDefault="00F07784" w:rsidP="00CD2877">
            <w:pPr>
              <w:ind w:firstLineChars="200" w:firstLine="480"/>
              <w:rPr>
                <w:szCs w:val="24"/>
                <w:lang w:val="en-US" w:eastAsia="zh-CN"/>
              </w:rPr>
            </w:pPr>
            <w:bookmarkStart w:id="6" w:name="Abstract"/>
            <w:bookmarkEnd w:id="6"/>
            <w:r w:rsidRPr="00F07784">
              <w:rPr>
                <w:rFonts w:hint="eastAsia"/>
                <w:szCs w:val="24"/>
                <w:lang w:eastAsia="zh-CN"/>
              </w:rPr>
              <w:t>根据</w:t>
            </w:r>
            <w:r w:rsidR="00B25797">
              <w:rPr>
                <w:rFonts w:hint="eastAsia"/>
                <w:szCs w:val="24"/>
                <w:lang w:eastAsia="zh-CN"/>
              </w:rPr>
              <w:t>关于</w:t>
            </w:r>
            <w:r w:rsidR="00F539A1" w:rsidRPr="00F07784">
              <w:rPr>
                <w:rFonts w:hint="eastAsia"/>
                <w:szCs w:val="24"/>
                <w:lang w:eastAsia="zh-CN"/>
              </w:rPr>
              <w:t>为建设综合型包容性信息社会进行信息通信技术的衡量</w:t>
            </w:r>
            <w:r w:rsidR="00F539A1">
              <w:rPr>
                <w:rFonts w:hint="eastAsia"/>
                <w:szCs w:val="24"/>
                <w:lang w:eastAsia="zh-CN"/>
              </w:rPr>
              <w:t>的</w:t>
            </w:r>
            <w:r w:rsidRPr="00F07784">
              <w:rPr>
                <w:rFonts w:hint="eastAsia"/>
                <w:szCs w:val="24"/>
                <w:lang w:eastAsia="zh-CN"/>
              </w:rPr>
              <w:t>第</w:t>
            </w:r>
            <w:r w:rsidRPr="00F07784">
              <w:rPr>
                <w:rFonts w:hint="eastAsia"/>
                <w:szCs w:val="24"/>
                <w:lang w:eastAsia="zh-CN"/>
              </w:rPr>
              <w:t>131</w:t>
            </w:r>
            <w:r w:rsidRPr="00F07784">
              <w:rPr>
                <w:rFonts w:hint="eastAsia"/>
                <w:szCs w:val="24"/>
                <w:lang w:eastAsia="zh-CN"/>
              </w:rPr>
              <w:t>号决议（</w:t>
            </w:r>
            <w:r w:rsidRPr="00F07784">
              <w:rPr>
                <w:rFonts w:hint="eastAsia"/>
                <w:szCs w:val="24"/>
                <w:lang w:eastAsia="zh-CN"/>
              </w:rPr>
              <w:t>2018</w:t>
            </w:r>
            <w:r w:rsidRPr="00F07784">
              <w:rPr>
                <w:rFonts w:hint="eastAsia"/>
                <w:szCs w:val="24"/>
                <w:lang w:eastAsia="zh-CN"/>
              </w:rPr>
              <w:t>年，迪拜，修订版），</w:t>
            </w:r>
            <w:r w:rsidR="00B25797">
              <w:rPr>
                <w:rFonts w:hint="eastAsia"/>
                <w:szCs w:val="24"/>
                <w:lang w:eastAsia="zh-CN"/>
              </w:rPr>
              <w:t>关于</w:t>
            </w:r>
            <w:r w:rsidRPr="00F07784">
              <w:rPr>
                <w:rFonts w:hint="eastAsia"/>
                <w:szCs w:val="24"/>
                <w:lang w:eastAsia="zh-CN"/>
              </w:rPr>
              <w:t>为发展中国家提供</w:t>
            </w:r>
            <w:r>
              <w:rPr>
                <w:rFonts w:hint="eastAsia"/>
                <w:szCs w:val="24"/>
                <w:lang w:eastAsia="zh-CN"/>
              </w:rPr>
              <w:t>的互联网接入和可用性及国际互联网连接收费原则的</w:t>
            </w:r>
            <w:r w:rsidRPr="00F07784">
              <w:rPr>
                <w:rFonts w:hint="eastAsia"/>
                <w:szCs w:val="24"/>
                <w:lang w:eastAsia="zh-CN"/>
              </w:rPr>
              <w:t>第</w:t>
            </w:r>
            <w:r w:rsidRPr="00F07784">
              <w:rPr>
                <w:rFonts w:hint="eastAsia"/>
                <w:szCs w:val="24"/>
                <w:lang w:eastAsia="zh-CN"/>
              </w:rPr>
              <w:t>23</w:t>
            </w:r>
            <w:r w:rsidRPr="00F07784">
              <w:rPr>
                <w:rFonts w:hint="eastAsia"/>
                <w:szCs w:val="24"/>
                <w:lang w:eastAsia="zh-CN"/>
              </w:rPr>
              <w:t>号决议（</w:t>
            </w:r>
            <w:r w:rsidRPr="00F07784">
              <w:rPr>
                <w:rFonts w:hint="eastAsia"/>
                <w:szCs w:val="24"/>
                <w:lang w:eastAsia="zh-CN"/>
              </w:rPr>
              <w:t>2017</w:t>
            </w:r>
            <w:r w:rsidRPr="00F07784">
              <w:rPr>
                <w:rFonts w:hint="eastAsia"/>
                <w:szCs w:val="24"/>
                <w:lang w:eastAsia="zh-CN"/>
              </w:rPr>
              <w:t>年，布宜诺斯艾利斯，修订版）</w:t>
            </w:r>
            <w:r w:rsidR="00A84D95">
              <w:rPr>
                <w:rFonts w:hint="eastAsia"/>
                <w:szCs w:val="24"/>
                <w:lang w:val="en-US" w:eastAsia="zh-CN"/>
              </w:rPr>
              <w:t>，</w:t>
            </w:r>
            <w:r w:rsidR="00A84D95">
              <w:rPr>
                <w:rFonts w:hint="eastAsia"/>
                <w:szCs w:val="24"/>
                <w:lang w:eastAsia="zh-CN"/>
              </w:rPr>
              <w:t>以及</w:t>
            </w:r>
            <w:r w:rsidR="00B25797">
              <w:rPr>
                <w:rFonts w:hint="eastAsia"/>
                <w:szCs w:val="24"/>
                <w:lang w:eastAsia="zh-CN"/>
              </w:rPr>
              <w:t>关于</w:t>
            </w:r>
            <w:r w:rsidRPr="00F07784">
              <w:rPr>
                <w:rFonts w:hint="eastAsia"/>
                <w:szCs w:val="24"/>
                <w:lang w:eastAsia="zh-CN"/>
              </w:rPr>
              <w:t>针对最不发达国家、小岛屿发展中国家、内陆发展中国家和经济转型国家采取的特别行动和措施</w:t>
            </w:r>
            <w:r w:rsidR="00F539A1">
              <w:rPr>
                <w:rFonts w:hint="eastAsia"/>
                <w:szCs w:val="24"/>
                <w:lang w:eastAsia="zh-CN"/>
              </w:rPr>
              <w:t>的</w:t>
            </w:r>
            <w:r w:rsidR="00F539A1" w:rsidRPr="00F07784">
              <w:rPr>
                <w:rFonts w:hint="eastAsia"/>
                <w:szCs w:val="24"/>
                <w:lang w:eastAsia="zh-CN"/>
              </w:rPr>
              <w:t>第</w:t>
            </w:r>
            <w:r w:rsidR="00F539A1" w:rsidRPr="00F07784">
              <w:rPr>
                <w:rFonts w:hint="eastAsia"/>
                <w:szCs w:val="24"/>
                <w:lang w:eastAsia="zh-CN"/>
              </w:rPr>
              <w:t>16</w:t>
            </w:r>
            <w:r w:rsidR="00F539A1" w:rsidRPr="00F07784">
              <w:rPr>
                <w:rFonts w:hint="eastAsia"/>
                <w:szCs w:val="24"/>
                <w:lang w:eastAsia="zh-CN"/>
              </w:rPr>
              <w:t>号决议（</w:t>
            </w:r>
            <w:r w:rsidR="00F539A1" w:rsidRPr="00F07784">
              <w:rPr>
                <w:rFonts w:hint="eastAsia"/>
                <w:szCs w:val="24"/>
                <w:lang w:eastAsia="zh-CN"/>
              </w:rPr>
              <w:t>2017</w:t>
            </w:r>
            <w:r w:rsidR="00F539A1">
              <w:rPr>
                <w:rFonts w:hint="eastAsia"/>
                <w:szCs w:val="24"/>
                <w:lang w:eastAsia="zh-CN"/>
              </w:rPr>
              <w:t>年，布宜诺斯艾利斯，修订版）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 w:rsidR="00F539A1">
              <w:rPr>
                <w:rFonts w:hint="eastAsia"/>
                <w:szCs w:val="24"/>
                <w:lang w:eastAsia="zh-CN"/>
              </w:rPr>
              <w:t>本</w:t>
            </w:r>
            <w:r w:rsidR="00F539A1" w:rsidRPr="00F07784">
              <w:rPr>
                <w:rFonts w:hint="eastAsia"/>
                <w:szCs w:val="24"/>
                <w:lang w:eastAsia="zh-CN"/>
              </w:rPr>
              <w:t>文稿</w:t>
            </w:r>
            <w:r w:rsidR="003C7E18">
              <w:rPr>
                <w:rFonts w:hint="eastAsia"/>
                <w:szCs w:val="24"/>
                <w:lang w:val="en-US" w:eastAsia="zh-CN"/>
              </w:rPr>
              <w:t>提出了</w:t>
            </w:r>
            <w:r w:rsidR="00FC7893">
              <w:rPr>
                <w:rFonts w:hint="eastAsia"/>
                <w:szCs w:val="24"/>
                <w:lang w:val="en-US" w:eastAsia="zh-CN"/>
              </w:rPr>
              <w:t>有关</w:t>
            </w:r>
            <w:r>
              <w:rPr>
                <w:rFonts w:hint="eastAsia"/>
                <w:szCs w:val="24"/>
                <w:lang w:eastAsia="zh-CN"/>
              </w:rPr>
              <w:t>电信发展局统计处工作</w:t>
            </w:r>
            <w:r w:rsidR="00F539A1">
              <w:rPr>
                <w:rFonts w:hint="eastAsia"/>
                <w:szCs w:val="24"/>
                <w:lang w:eastAsia="zh-CN"/>
              </w:rPr>
              <w:t>的提案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759FBE30" w14:textId="77777777" w:rsidR="00A721F4" w:rsidRPr="00D9621A" w:rsidRDefault="00F07784" w:rsidP="003708C3">
            <w:pPr>
              <w:rPr>
                <w:b/>
                <w:bCs/>
                <w:szCs w:val="24"/>
                <w:lang w:eastAsia="zh-CN"/>
              </w:rPr>
            </w:pPr>
            <w:r w:rsidRPr="005C448B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需</w:t>
            </w:r>
            <w:r w:rsidRPr="005C448B">
              <w:rPr>
                <w:rFonts w:ascii="Calibri" w:hAnsi="Calibri" w:cs="Calibri"/>
                <w:b/>
                <w:bCs/>
                <w:szCs w:val="24"/>
                <w:lang w:eastAsia="zh-CN"/>
              </w:rPr>
              <w:t>采取</w:t>
            </w:r>
            <w:r w:rsidRPr="005C448B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的</w:t>
            </w:r>
            <w:r w:rsidRPr="005C448B">
              <w:rPr>
                <w:rFonts w:ascii="Calibri" w:hAnsi="Calibri" w:cs="Calibri"/>
                <w:b/>
                <w:bCs/>
                <w:szCs w:val="24"/>
                <w:lang w:eastAsia="zh-CN"/>
              </w:rPr>
              <w:t>行动：</w:t>
            </w:r>
          </w:p>
          <w:p w14:paraId="0C502237" w14:textId="77777777" w:rsidR="0086578A" w:rsidRDefault="003A65A7" w:rsidP="00CD2877">
            <w:pPr>
              <w:ind w:firstLineChars="200" w:firstLine="480"/>
              <w:rPr>
                <w:szCs w:val="24"/>
                <w:lang w:eastAsia="zh-CN"/>
              </w:rPr>
            </w:pPr>
            <w:bookmarkStart w:id="7" w:name="ActionRequired"/>
            <w:bookmarkEnd w:id="7"/>
            <w:r w:rsidRPr="003A65A7">
              <w:rPr>
                <w:rFonts w:hint="eastAsia"/>
                <w:szCs w:val="24"/>
                <w:lang w:eastAsia="zh-CN"/>
              </w:rPr>
              <w:t>请电信发展顾问组（</w:t>
            </w:r>
            <w:r w:rsidRPr="003A65A7">
              <w:rPr>
                <w:rFonts w:hint="eastAsia"/>
                <w:szCs w:val="24"/>
                <w:lang w:eastAsia="zh-CN"/>
              </w:rPr>
              <w:t>TDAG</w:t>
            </w:r>
            <w:r w:rsidRPr="003A65A7">
              <w:rPr>
                <w:rFonts w:hint="eastAsia"/>
                <w:szCs w:val="24"/>
                <w:lang w:eastAsia="zh-CN"/>
              </w:rPr>
              <w:t>）</w:t>
            </w:r>
            <w:r>
              <w:rPr>
                <w:rFonts w:hint="eastAsia"/>
                <w:szCs w:val="24"/>
                <w:lang w:eastAsia="zh-CN"/>
              </w:rPr>
              <w:t>审查本文稿并批准其中所载的建议。</w:t>
            </w:r>
          </w:p>
          <w:p w14:paraId="793D454F" w14:textId="77777777" w:rsidR="00A721F4" w:rsidRPr="00F07784" w:rsidRDefault="00F07784" w:rsidP="003708C3">
            <w:pPr>
              <w:rPr>
                <w:b/>
                <w:bCs/>
                <w:szCs w:val="24"/>
                <w:lang w:eastAsia="zh-CN"/>
              </w:rPr>
            </w:pPr>
            <w:r w:rsidRPr="00F07784">
              <w:rPr>
                <w:rFonts w:ascii="Calibri" w:hAnsi="Calibri" w:cs="Calibri"/>
                <w:b/>
                <w:bCs/>
                <w:szCs w:val="24"/>
                <w:lang w:eastAsia="zh-CN"/>
              </w:rPr>
              <w:t>参考文件：</w:t>
            </w:r>
          </w:p>
          <w:p w14:paraId="3E98E3C8" w14:textId="77777777" w:rsidR="00A721F4" w:rsidRPr="00D9621A" w:rsidRDefault="003A65A7" w:rsidP="00CD2877">
            <w:pPr>
              <w:spacing w:after="120"/>
              <w:ind w:firstLineChars="200" w:firstLine="480"/>
              <w:rPr>
                <w:lang w:eastAsia="zh-CN"/>
              </w:rPr>
            </w:pPr>
            <w:bookmarkStart w:id="8" w:name="References"/>
            <w:bookmarkEnd w:id="8"/>
            <w:r w:rsidRPr="00F07784">
              <w:rPr>
                <w:rFonts w:hint="eastAsia"/>
                <w:szCs w:val="24"/>
                <w:lang w:eastAsia="zh-CN"/>
              </w:rPr>
              <w:t>第</w:t>
            </w:r>
            <w:r w:rsidRPr="00F07784">
              <w:rPr>
                <w:rFonts w:hint="eastAsia"/>
                <w:szCs w:val="24"/>
                <w:lang w:eastAsia="zh-CN"/>
              </w:rPr>
              <w:t>131</w:t>
            </w:r>
            <w:r w:rsidRPr="00F07784">
              <w:rPr>
                <w:rFonts w:hint="eastAsia"/>
                <w:szCs w:val="24"/>
                <w:lang w:eastAsia="zh-CN"/>
              </w:rPr>
              <w:t>号决议（</w:t>
            </w:r>
            <w:r w:rsidRPr="00F07784">
              <w:rPr>
                <w:rFonts w:hint="eastAsia"/>
                <w:szCs w:val="24"/>
                <w:lang w:eastAsia="zh-CN"/>
              </w:rPr>
              <w:t>2018</w:t>
            </w:r>
            <w:r w:rsidRPr="00F07784">
              <w:rPr>
                <w:rFonts w:hint="eastAsia"/>
                <w:szCs w:val="24"/>
                <w:lang w:eastAsia="zh-CN"/>
              </w:rPr>
              <w:t>年，迪拜，修订版）</w:t>
            </w:r>
            <w:r>
              <w:rPr>
                <w:rFonts w:hint="eastAsia"/>
                <w:szCs w:val="24"/>
                <w:lang w:eastAsia="zh-CN"/>
              </w:rPr>
              <w:t>、</w:t>
            </w:r>
            <w:r w:rsidRPr="003A65A7">
              <w:rPr>
                <w:rFonts w:hint="eastAsia"/>
                <w:szCs w:val="24"/>
                <w:lang w:eastAsia="zh-CN"/>
              </w:rPr>
              <w:t>第</w:t>
            </w:r>
            <w:r w:rsidRPr="003A65A7">
              <w:rPr>
                <w:rFonts w:hint="eastAsia"/>
                <w:szCs w:val="24"/>
                <w:lang w:eastAsia="zh-CN"/>
              </w:rPr>
              <w:t>23</w:t>
            </w:r>
            <w:r w:rsidRPr="003A65A7">
              <w:rPr>
                <w:rFonts w:hint="eastAsia"/>
                <w:szCs w:val="24"/>
                <w:lang w:eastAsia="zh-CN"/>
              </w:rPr>
              <w:t>号决议（</w:t>
            </w:r>
            <w:r w:rsidRPr="003A65A7">
              <w:rPr>
                <w:rFonts w:hint="eastAsia"/>
                <w:szCs w:val="24"/>
                <w:lang w:eastAsia="zh-CN"/>
              </w:rPr>
              <w:t>2017</w:t>
            </w:r>
            <w:r w:rsidRPr="003A65A7">
              <w:rPr>
                <w:rFonts w:hint="eastAsia"/>
                <w:szCs w:val="24"/>
                <w:lang w:eastAsia="zh-CN"/>
              </w:rPr>
              <w:t>年，布宜诺斯艾利斯，修订版）</w:t>
            </w:r>
            <w:r>
              <w:rPr>
                <w:rFonts w:hint="eastAsia"/>
                <w:szCs w:val="24"/>
                <w:lang w:eastAsia="zh-CN"/>
              </w:rPr>
              <w:t>、</w:t>
            </w:r>
            <w:r w:rsidRPr="003A65A7">
              <w:rPr>
                <w:rFonts w:hint="eastAsia"/>
                <w:szCs w:val="24"/>
                <w:lang w:eastAsia="zh-CN"/>
              </w:rPr>
              <w:t>第</w:t>
            </w:r>
            <w:r w:rsidRPr="003A65A7">
              <w:rPr>
                <w:rFonts w:hint="eastAsia"/>
                <w:szCs w:val="24"/>
                <w:lang w:eastAsia="zh-CN"/>
              </w:rPr>
              <w:t>16</w:t>
            </w:r>
            <w:r w:rsidRPr="003A65A7">
              <w:rPr>
                <w:rFonts w:hint="eastAsia"/>
                <w:szCs w:val="24"/>
                <w:lang w:eastAsia="zh-CN"/>
              </w:rPr>
              <w:t>号决议（</w:t>
            </w:r>
            <w:r w:rsidRPr="003A65A7">
              <w:rPr>
                <w:rFonts w:hint="eastAsia"/>
                <w:szCs w:val="24"/>
                <w:lang w:eastAsia="zh-CN"/>
              </w:rPr>
              <w:t>2017</w:t>
            </w:r>
            <w:r w:rsidRPr="003A65A7">
              <w:rPr>
                <w:rFonts w:hint="eastAsia"/>
                <w:szCs w:val="24"/>
                <w:lang w:eastAsia="zh-CN"/>
              </w:rPr>
              <w:t>年，布宜诺斯艾利斯，修订版）</w:t>
            </w:r>
          </w:p>
        </w:tc>
      </w:tr>
    </w:tbl>
    <w:p w14:paraId="36506C42" w14:textId="77777777" w:rsidR="00AC6F14" w:rsidRDefault="00AC6F14" w:rsidP="00D20099">
      <w:pPr>
        <w:ind w:left="34" w:right="-142"/>
        <w:rPr>
          <w:lang w:eastAsia="zh-CN"/>
        </w:rPr>
      </w:pPr>
    </w:p>
    <w:p w14:paraId="4655FFF6" w14:textId="77777777" w:rsidR="00A736FD" w:rsidRDefault="00A736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bookmarkStart w:id="9" w:name="Proposal"/>
      <w:bookmarkEnd w:id="9"/>
      <w:r>
        <w:rPr>
          <w:lang w:eastAsia="zh-CN"/>
        </w:rPr>
        <w:br w:type="page"/>
      </w:r>
    </w:p>
    <w:p w14:paraId="6C494DFE" w14:textId="0B1802AA" w:rsidR="00EA704B" w:rsidRPr="004F2173" w:rsidRDefault="00997E7D" w:rsidP="00997E7D">
      <w:pPr>
        <w:pStyle w:val="Heading1"/>
      </w:pPr>
      <w:r>
        <w:rPr>
          <w:rFonts w:hint="eastAsia"/>
          <w:lang w:eastAsia="zh-CN"/>
        </w:rPr>
        <w:lastRenderedPageBreak/>
        <w:t>1</w:t>
      </w:r>
      <w:r>
        <w:rPr>
          <w:lang w:eastAsia="zh-CN"/>
        </w:rPr>
        <w:tab/>
      </w:r>
      <w:r w:rsidR="003A65A7">
        <w:rPr>
          <w:rFonts w:hint="eastAsia"/>
          <w:lang w:eastAsia="zh-CN"/>
        </w:rPr>
        <w:t>提案</w:t>
      </w:r>
    </w:p>
    <w:p w14:paraId="5341EA01" w14:textId="77777777" w:rsidR="00CD6362" w:rsidRDefault="003A65A7" w:rsidP="002427A2">
      <w:pPr>
        <w:ind w:firstLineChars="200" w:firstLine="480"/>
        <w:rPr>
          <w:lang w:eastAsia="zh-CN"/>
        </w:rPr>
      </w:pPr>
      <w:r w:rsidRPr="003A65A7">
        <w:rPr>
          <w:rFonts w:hint="eastAsia"/>
          <w:lang w:eastAsia="zh-CN"/>
        </w:rPr>
        <w:t>众所周知，内陆发展中国家（</w:t>
      </w:r>
      <w:r>
        <w:rPr>
          <w:rFonts w:hint="eastAsia"/>
          <w:lang w:eastAsia="zh-CN"/>
        </w:rPr>
        <w:t>LLDC</w:t>
      </w:r>
      <w:r w:rsidRPr="003A65A7">
        <w:rPr>
          <w:rFonts w:hint="eastAsia"/>
          <w:lang w:eastAsia="zh-CN"/>
        </w:rPr>
        <w:t>）和小岛屿发展中国家（</w:t>
      </w:r>
      <w:r w:rsidRPr="003A65A7">
        <w:rPr>
          <w:rFonts w:hint="eastAsia"/>
          <w:lang w:eastAsia="zh-CN"/>
        </w:rPr>
        <w:t>SIDS</w:t>
      </w:r>
      <w:r>
        <w:rPr>
          <w:rFonts w:hint="eastAsia"/>
          <w:lang w:eastAsia="zh-CN"/>
        </w:rPr>
        <w:t>）在电信业务的连通性、价格可承受性和可</w:t>
      </w:r>
      <w:r w:rsidR="009413C6">
        <w:rPr>
          <w:rFonts w:hint="eastAsia"/>
          <w:lang w:eastAsia="zh-CN"/>
        </w:rPr>
        <w:t>用性方面面</w:t>
      </w:r>
      <w:r w:rsidRPr="003A65A7">
        <w:rPr>
          <w:rFonts w:hint="eastAsia"/>
          <w:lang w:eastAsia="zh-CN"/>
        </w:rPr>
        <w:t>临</w:t>
      </w:r>
      <w:r>
        <w:rPr>
          <w:rFonts w:hint="eastAsia"/>
          <w:lang w:eastAsia="zh-CN"/>
        </w:rPr>
        <w:t>着</w:t>
      </w:r>
      <w:r w:rsidRPr="003A65A7">
        <w:rPr>
          <w:rFonts w:hint="eastAsia"/>
          <w:lang w:eastAsia="zh-CN"/>
        </w:rPr>
        <w:t>特殊</w:t>
      </w:r>
      <w:r>
        <w:rPr>
          <w:rFonts w:hint="eastAsia"/>
          <w:lang w:eastAsia="zh-CN"/>
        </w:rPr>
        <w:t>的</w:t>
      </w:r>
      <w:r w:rsidRPr="003A65A7">
        <w:rPr>
          <w:rFonts w:hint="eastAsia"/>
          <w:lang w:eastAsia="zh-CN"/>
        </w:rPr>
        <w:t>挑战。</w:t>
      </w:r>
      <w:r w:rsidR="00BE6990">
        <w:rPr>
          <w:rFonts w:hint="eastAsia"/>
          <w:lang w:eastAsia="zh-CN"/>
        </w:rPr>
        <w:t>这一现实</w:t>
      </w:r>
      <w:r w:rsidR="00F856D3">
        <w:rPr>
          <w:rFonts w:hint="eastAsia"/>
          <w:lang w:eastAsia="zh-CN"/>
        </w:rPr>
        <w:t>已在</w:t>
      </w:r>
      <w:r w:rsidRPr="003A65A7">
        <w:rPr>
          <w:rFonts w:hint="eastAsia"/>
          <w:lang w:eastAsia="zh-CN"/>
        </w:rPr>
        <w:t>国际电联全权</w:t>
      </w:r>
      <w:r w:rsidR="00F856D3">
        <w:rPr>
          <w:rFonts w:hint="eastAsia"/>
          <w:lang w:eastAsia="zh-CN"/>
        </w:rPr>
        <w:t>代表大会和世界电信发展大会的成果中反复强调</w:t>
      </w:r>
      <w:r w:rsidRPr="003A65A7">
        <w:rPr>
          <w:rFonts w:hint="eastAsia"/>
          <w:lang w:eastAsia="zh-CN"/>
        </w:rPr>
        <w:t>。</w:t>
      </w:r>
    </w:p>
    <w:p w14:paraId="22BB1563" w14:textId="77777777" w:rsidR="00EA704B" w:rsidRDefault="00F856D3" w:rsidP="002427A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英国认为，</w:t>
      </w:r>
      <w:r w:rsidR="00BE6990">
        <w:rPr>
          <w:rFonts w:hint="eastAsia"/>
          <w:lang w:eastAsia="zh-CN"/>
        </w:rPr>
        <w:t>整个</w:t>
      </w:r>
      <w:r>
        <w:rPr>
          <w:rFonts w:hint="eastAsia"/>
          <w:lang w:eastAsia="zh-CN"/>
        </w:rPr>
        <w:t>国际电联</w:t>
      </w:r>
      <w:r w:rsidR="00BE6990">
        <w:rPr>
          <w:rFonts w:hint="eastAsia"/>
          <w:lang w:eastAsia="zh-CN"/>
        </w:rPr>
        <w:t>应</w:t>
      </w:r>
      <w:r w:rsidR="007C1633">
        <w:rPr>
          <w:rFonts w:hint="eastAsia"/>
          <w:lang w:eastAsia="zh-CN"/>
        </w:rPr>
        <w:t>更好地认识这些特定</w:t>
      </w:r>
      <w:r w:rsidR="00BE6990">
        <w:rPr>
          <w:rFonts w:hint="eastAsia"/>
          <w:lang w:eastAsia="zh-CN"/>
        </w:rPr>
        <w:t>挑战，而能够做到这点的</w:t>
      </w:r>
      <w:r w:rsidR="007C1633">
        <w:rPr>
          <w:rFonts w:hint="eastAsia"/>
          <w:lang w:eastAsia="zh-CN"/>
        </w:rPr>
        <w:t>一个非常实际</w:t>
      </w:r>
      <w:r w:rsidR="00BE6990">
        <w:rPr>
          <w:rFonts w:hint="eastAsia"/>
          <w:lang w:eastAsia="zh-CN"/>
        </w:rPr>
        <w:t>的方法是让这些国家集团</w:t>
      </w:r>
      <w:r w:rsidR="009F07FC">
        <w:rPr>
          <w:rFonts w:hint="eastAsia"/>
          <w:lang w:eastAsia="zh-CN"/>
        </w:rPr>
        <w:t>的</w:t>
      </w:r>
      <w:r w:rsidR="00BE6990">
        <w:rPr>
          <w:rFonts w:hint="eastAsia"/>
          <w:lang w:eastAsia="zh-CN"/>
        </w:rPr>
        <w:t>相关统计信息更醒目</w:t>
      </w:r>
      <w:r w:rsidRPr="00F856D3">
        <w:rPr>
          <w:rFonts w:hint="eastAsia"/>
          <w:lang w:eastAsia="zh-CN"/>
        </w:rPr>
        <w:t>。因此，我们建议：</w:t>
      </w:r>
    </w:p>
    <w:p w14:paraId="7E303574" w14:textId="53148D56" w:rsidR="00EA704B" w:rsidRDefault="002427A2" w:rsidP="002427A2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 w:rsidR="00F92788">
        <w:rPr>
          <w:lang w:eastAsia="zh-CN"/>
        </w:rPr>
        <w:t>)</w:t>
      </w:r>
      <w:r>
        <w:rPr>
          <w:lang w:eastAsia="zh-CN"/>
        </w:rPr>
        <w:tab/>
      </w:r>
      <w:r w:rsidR="002C4577">
        <w:rPr>
          <w:rFonts w:hint="eastAsia"/>
          <w:lang w:eastAsia="zh-CN"/>
        </w:rPr>
        <w:t>无论</w:t>
      </w:r>
      <w:r w:rsidR="007C1633">
        <w:rPr>
          <w:rFonts w:hint="eastAsia"/>
          <w:lang w:eastAsia="zh-CN"/>
        </w:rPr>
        <w:t>国际电联统计数据</w:t>
      </w:r>
      <w:r w:rsidR="00272ED8">
        <w:rPr>
          <w:rFonts w:hint="eastAsia"/>
          <w:lang w:eastAsia="zh-CN"/>
        </w:rPr>
        <w:t>在何处提供</w:t>
      </w:r>
      <w:r w:rsidR="00272ED8">
        <w:rPr>
          <w:rFonts w:hint="eastAsia"/>
          <w:lang w:eastAsia="zh-CN"/>
        </w:rPr>
        <w:t>LDC</w:t>
      </w:r>
      <w:r w:rsidR="009F07FC">
        <w:rPr>
          <w:rFonts w:hint="eastAsia"/>
          <w:lang w:eastAsia="zh-CN"/>
        </w:rPr>
        <w:t>这个</w:t>
      </w:r>
      <w:r w:rsidR="00272ED8">
        <w:rPr>
          <w:rFonts w:hint="eastAsia"/>
          <w:lang w:eastAsia="zh-CN"/>
        </w:rPr>
        <w:t>整体的概要</w:t>
      </w:r>
      <w:r w:rsidR="007C1633" w:rsidRPr="007C1633">
        <w:rPr>
          <w:rFonts w:hint="eastAsia"/>
          <w:lang w:eastAsia="zh-CN"/>
        </w:rPr>
        <w:t>，</w:t>
      </w:r>
      <w:r w:rsidR="009F07FC">
        <w:rPr>
          <w:rFonts w:hint="eastAsia"/>
          <w:lang w:eastAsia="zh-CN"/>
        </w:rPr>
        <w:t>均</w:t>
      </w:r>
      <w:r w:rsidR="007C1633">
        <w:rPr>
          <w:rFonts w:hint="eastAsia"/>
          <w:lang w:eastAsia="zh-CN"/>
        </w:rPr>
        <w:t>应在</w:t>
      </w:r>
      <w:r w:rsidR="00272ED8">
        <w:rPr>
          <w:rFonts w:hint="eastAsia"/>
          <w:lang w:eastAsia="zh-CN"/>
        </w:rPr>
        <w:t>一旁</w:t>
      </w:r>
      <w:r w:rsidR="002C4577">
        <w:rPr>
          <w:rFonts w:hint="eastAsia"/>
          <w:lang w:eastAsia="zh-CN"/>
        </w:rPr>
        <w:t>展示关于</w:t>
      </w:r>
      <w:r w:rsidR="007C1633">
        <w:rPr>
          <w:rFonts w:hint="eastAsia"/>
          <w:lang w:eastAsia="zh-CN"/>
        </w:rPr>
        <w:t>LLDC</w:t>
      </w:r>
      <w:r w:rsidR="007C1633">
        <w:rPr>
          <w:rFonts w:hint="eastAsia"/>
          <w:lang w:eastAsia="zh-CN"/>
        </w:rPr>
        <w:t>和</w:t>
      </w:r>
      <w:r w:rsidR="007C1633">
        <w:rPr>
          <w:rFonts w:hint="eastAsia"/>
          <w:lang w:eastAsia="zh-CN"/>
        </w:rPr>
        <w:t>SIDS</w:t>
      </w:r>
      <w:r w:rsidR="00272ED8">
        <w:rPr>
          <w:rFonts w:hint="eastAsia"/>
          <w:lang w:eastAsia="zh-CN"/>
        </w:rPr>
        <w:t>的</w:t>
      </w:r>
      <w:r w:rsidR="002C4577">
        <w:rPr>
          <w:rFonts w:hint="eastAsia"/>
          <w:lang w:eastAsia="zh-CN"/>
        </w:rPr>
        <w:t>相同</w:t>
      </w:r>
      <w:r w:rsidR="00272ED8">
        <w:rPr>
          <w:rFonts w:hint="eastAsia"/>
          <w:lang w:eastAsia="zh-CN"/>
        </w:rPr>
        <w:t>概要</w:t>
      </w:r>
      <w:r w:rsidR="007C1633" w:rsidRPr="007C1633">
        <w:rPr>
          <w:rFonts w:hint="eastAsia"/>
          <w:lang w:eastAsia="zh-CN"/>
        </w:rPr>
        <w:t>。</w:t>
      </w:r>
    </w:p>
    <w:p w14:paraId="1A7F8FB7" w14:textId="567F025E" w:rsidR="00EA704B" w:rsidRPr="004F2173" w:rsidRDefault="002427A2" w:rsidP="002427A2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 w:rsidR="00F92788">
        <w:rPr>
          <w:lang w:eastAsia="zh-CN"/>
        </w:rPr>
        <w:t>)</w:t>
      </w:r>
      <w:r>
        <w:rPr>
          <w:lang w:eastAsia="zh-CN"/>
        </w:rPr>
        <w:tab/>
      </w:r>
      <w:r w:rsidR="002C4577">
        <w:rPr>
          <w:rFonts w:hint="eastAsia"/>
          <w:lang w:eastAsia="zh-CN"/>
        </w:rPr>
        <w:t>只要</w:t>
      </w:r>
      <w:r w:rsidR="00602B24">
        <w:rPr>
          <w:rFonts w:hint="eastAsia"/>
          <w:lang w:eastAsia="zh-CN"/>
        </w:rPr>
        <w:t>统计数据</w:t>
      </w:r>
      <w:r w:rsidR="007C1633" w:rsidRPr="007C1633">
        <w:rPr>
          <w:rFonts w:hint="eastAsia"/>
          <w:lang w:eastAsia="zh-CN"/>
        </w:rPr>
        <w:t>提供</w:t>
      </w:r>
      <w:r w:rsidR="00602B24">
        <w:rPr>
          <w:rFonts w:hint="eastAsia"/>
          <w:lang w:eastAsia="zh-CN"/>
        </w:rPr>
        <w:t>LDC</w:t>
      </w:r>
      <w:r w:rsidR="00602B24">
        <w:rPr>
          <w:rFonts w:hint="eastAsia"/>
          <w:lang w:eastAsia="zh-CN"/>
        </w:rPr>
        <w:t>国家层面的详细信息，则应</w:t>
      </w:r>
      <w:r w:rsidR="002C4577">
        <w:rPr>
          <w:rFonts w:hint="eastAsia"/>
          <w:lang w:eastAsia="zh-CN"/>
        </w:rPr>
        <w:t>提供关于</w:t>
      </w:r>
      <w:r w:rsidR="00602B24">
        <w:rPr>
          <w:lang w:eastAsia="zh-CN"/>
        </w:rPr>
        <w:t>LLDC</w:t>
      </w:r>
      <w:r w:rsidR="00602B24">
        <w:rPr>
          <w:rFonts w:hint="eastAsia"/>
          <w:lang w:eastAsia="zh-CN"/>
        </w:rPr>
        <w:t>和</w:t>
      </w:r>
      <w:r w:rsidR="00602B24" w:rsidRPr="004F2173">
        <w:rPr>
          <w:lang w:eastAsia="zh-CN"/>
        </w:rPr>
        <w:t>SIDS</w:t>
      </w:r>
      <w:r w:rsidR="002C4577">
        <w:rPr>
          <w:rFonts w:hint="eastAsia"/>
          <w:lang w:eastAsia="zh-CN"/>
        </w:rPr>
        <w:t>的</w:t>
      </w:r>
      <w:r w:rsidR="00602B24">
        <w:rPr>
          <w:rFonts w:hint="eastAsia"/>
          <w:lang w:eastAsia="zh-CN"/>
        </w:rPr>
        <w:t>相同</w:t>
      </w:r>
      <w:r w:rsidR="007C1633" w:rsidRPr="007C1633">
        <w:rPr>
          <w:rFonts w:hint="eastAsia"/>
          <w:lang w:eastAsia="zh-CN"/>
        </w:rPr>
        <w:t>信息。</w:t>
      </w:r>
    </w:p>
    <w:p w14:paraId="2AB91A9A" w14:textId="77777777" w:rsidR="00EA704B" w:rsidRDefault="00B87896" w:rsidP="002427A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通过这种方式，我们认为</w:t>
      </w:r>
      <w:r w:rsidR="00D360D3">
        <w:rPr>
          <w:rFonts w:hint="eastAsia"/>
          <w:lang w:eastAsia="zh-CN"/>
        </w:rPr>
        <w:t>国际电联将能够更好地认识</w:t>
      </w:r>
      <w:r>
        <w:rPr>
          <w:rFonts w:hint="eastAsia"/>
          <w:lang w:eastAsia="zh-CN"/>
        </w:rPr>
        <w:t>这些国家</w:t>
      </w:r>
      <w:r w:rsidR="00D360D3">
        <w:rPr>
          <w:rFonts w:hint="eastAsia"/>
          <w:lang w:eastAsia="zh-CN"/>
        </w:rPr>
        <w:t>集团</w:t>
      </w:r>
      <w:r w:rsidR="00D360D3">
        <w:rPr>
          <w:rFonts w:ascii="SimSun" w:hAnsi="SimSun" w:cs="SimSun" w:hint="eastAsia"/>
          <w:lang w:eastAsia="zh-CN"/>
        </w:rPr>
        <w:t>面临的问题，</w:t>
      </w:r>
      <w:r>
        <w:rPr>
          <w:rFonts w:ascii="SimSun" w:hAnsi="SimSun" w:cs="SimSun" w:hint="eastAsia"/>
          <w:lang w:eastAsia="zh-CN"/>
        </w:rPr>
        <w:t>帮助制定更有效且量身定制的方法</w:t>
      </w:r>
      <w:r w:rsidR="00D360D3">
        <w:rPr>
          <w:rFonts w:ascii="SimSun" w:hAnsi="SimSun" w:cs="SimSun" w:hint="eastAsia"/>
          <w:lang w:eastAsia="zh-CN"/>
        </w:rPr>
        <w:t>，</w:t>
      </w:r>
      <w:r>
        <w:rPr>
          <w:rFonts w:ascii="SimSun" w:hAnsi="SimSun" w:cs="SimSun" w:hint="eastAsia"/>
          <w:lang w:eastAsia="zh-CN"/>
        </w:rPr>
        <w:t>促进价格可承受的互连互通</w:t>
      </w:r>
      <w:r w:rsidRPr="00B87896">
        <w:rPr>
          <w:rFonts w:hint="eastAsia"/>
          <w:lang w:eastAsia="zh-CN"/>
        </w:rPr>
        <w:t>。</w:t>
      </w:r>
    </w:p>
    <w:p w14:paraId="1A3E457D" w14:textId="77777777" w:rsidR="00EE0F34" w:rsidRDefault="00EE0F34" w:rsidP="0065345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34" w:right="-142"/>
        <w:rPr>
          <w:lang w:eastAsia="zh-CN"/>
        </w:rPr>
      </w:pPr>
    </w:p>
    <w:p w14:paraId="61FC8115" w14:textId="77777777" w:rsidR="002770B1" w:rsidRDefault="003C58BF" w:rsidP="00D2009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left="34" w:right="-142"/>
        <w:jc w:val="center"/>
      </w:pPr>
      <w:r>
        <w:t>_____________</w:t>
      </w:r>
      <w:r w:rsidR="004122C5">
        <w:t>_</w:t>
      </w:r>
      <w:r w:rsidR="00922EC1">
        <w:t>_</w:t>
      </w:r>
    </w:p>
    <w:sectPr w:rsidR="002770B1" w:rsidSect="00D20099">
      <w:headerReference w:type="default" r:id="rId9"/>
      <w:footerReference w:type="default" r:id="rId10"/>
      <w:footerReference w:type="first" r:id="rId11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86CC" w14:textId="77777777" w:rsidR="00396D07" w:rsidRDefault="00396D07">
      <w:r>
        <w:separator/>
      </w:r>
    </w:p>
  </w:endnote>
  <w:endnote w:type="continuationSeparator" w:id="0">
    <w:p w14:paraId="24155620" w14:textId="77777777" w:rsidR="00396D07" w:rsidRDefault="0039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AEE5F" w14:textId="6B5106EA" w:rsidR="00D246D4" w:rsidRDefault="009A04C4" w:rsidP="00D246D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D2FA8">
      <w:t>P:\CHI\ITU-D\CONF-D\TDAG20\000\030C.docx</w:t>
    </w:r>
    <w:r>
      <w:fldChar w:fldCharType="end"/>
    </w:r>
    <w:r w:rsidR="00D246D4">
      <w:t xml:space="preserve"> (467659)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07784" w:rsidRPr="004D495C" w14:paraId="61FC0A44" w14:textId="77777777" w:rsidTr="00CF44F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FC9FAB7" w14:textId="77777777" w:rsidR="00F07784" w:rsidRPr="004D495C" w:rsidRDefault="00F07784" w:rsidP="00F0778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2A3FAF2" w14:textId="1693CAE0" w:rsidR="00F07784" w:rsidRPr="004D495C" w:rsidRDefault="00F07784" w:rsidP="00F0778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实体</w:t>
          </w:r>
          <w:r>
            <w:rPr>
              <w:rFonts w:ascii="SimSun" w:hAnsi="SimSun" w:hint="eastAsia"/>
              <w:sz w:val="18"/>
              <w:szCs w:val="18"/>
              <w:lang w:val="es-ES_tradnl" w:eastAsia="zh-CN"/>
            </w:rPr>
            <w:t>/姓</w:t>
          </w: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名</w:t>
          </w:r>
          <w:r w:rsidRPr="00952839">
            <w:rPr>
              <w:rFonts w:ascii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17DF0629" w14:textId="77777777" w:rsidR="00F07784" w:rsidRPr="00255A4F" w:rsidRDefault="003A65A7" w:rsidP="00875A6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10" w:name="OrgName"/>
          <w:bookmarkEnd w:id="10"/>
          <w:proofErr w:type="spellStart"/>
          <w:r w:rsidRPr="003A65A7">
            <w:rPr>
              <w:rFonts w:hint="eastAsia"/>
              <w:sz w:val="18"/>
              <w:szCs w:val="18"/>
              <w:lang w:val="en-US"/>
            </w:rPr>
            <w:t>英国通信管理局（</w:t>
          </w:r>
          <w:r w:rsidRPr="003A65A7">
            <w:rPr>
              <w:rFonts w:hint="eastAsia"/>
              <w:sz w:val="18"/>
              <w:szCs w:val="18"/>
              <w:lang w:val="en-US"/>
            </w:rPr>
            <w:t>OFCOM</w:t>
          </w:r>
          <w:r w:rsidRPr="003A65A7">
            <w:rPr>
              <w:rFonts w:hint="eastAsia"/>
              <w:sz w:val="18"/>
              <w:szCs w:val="18"/>
              <w:lang w:val="en-US"/>
            </w:rPr>
            <w:t>）</w:t>
          </w:r>
          <w:r w:rsidR="00F07784">
            <w:rPr>
              <w:sz w:val="18"/>
              <w:szCs w:val="18"/>
              <w:lang w:val="en-US"/>
            </w:rPr>
            <w:t>Nick</w:t>
          </w:r>
          <w:proofErr w:type="spellEnd"/>
          <w:r w:rsidR="00F07784">
            <w:rPr>
              <w:sz w:val="18"/>
              <w:szCs w:val="18"/>
              <w:lang w:val="en-US"/>
            </w:rPr>
            <w:t xml:space="preserve"> Ashton-Hart</w:t>
          </w:r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</w:tr>
    <w:tr w:rsidR="00F07784" w:rsidRPr="004D495C" w14:paraId="41B17A72" w14:textId="77777777" w:rsidTr="00CF44F0">
      <w:tc>
        <w:tcPr>
          <w:tcW w:w="1526" w:type="dxa"/>
          <w:shd w:val="clear" w:color="auto" w:fill="auto"/>
        </w:tcPr>
        <w:p w14:paraId="1D22B576" w14:textId="77777777" w:rsidR="00F07784" w:rsidRPr="004D495C" w:rsidRDefault="00F07784" w:rsidP="00F0778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579832C7" w14:textId="77777777" w:rsidR="00F07784" w:rsidRPr="004D495C" w:rsidRDefault="00F07784" w:rsidP="00F077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  <w:shd w:val="clear" w:color="auto" w:fill="auto"/>
        </w:tcPr>
        <w:p w14:paraId="04E0DE01" w14:textId="77777777" w:rsidR="00F07784" w:rsidRPr="001647C3" w:rsidRDefault="00F07784" w:rsidP="00F077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1" w:name="PhoneNo"/>
          <w:bookmarkEnd w:id="11"/>
          <w:r>
            <w:rPr>
              <w:sz w:val="18"/>
              <w:szCs w:val="18"/>
              <w:lang w:val="en-US"/>
            </w:rPr>
            <w:t>+31615120232</w:t>
          </w:r>
        </w:p>
      </w:tc>
    </w:tr>
    <w:tr w:rsidR="00F07784" w:rsidRPr="004D495C" w14:paraId="5DD09BA8" w14:textId="77777777" w:rsidTr="00CF44F0">
      <w:tc>
        <w:tcPr>
          <w:tcW w:w="1526" w:type="dxa"/>
          <w:shd w:val="clear" w:color="auto" w:fill="auto"/>
        </w:tcPr>
        <w:p w14:paraId="50B33617" w14:textId="77777777" w:rsidR="00F07784" w:rsidRPr="004D495C" w:rsidRDefault="00F07784" w:rsidP="00F0778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62EDF8F" w14:textId="77777777" w:rsidR="00F07784" w:rsidRPr="004D495C" w:rsidRDefault="00F07784" w:rsidP="00F077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bookmarkStart w:id="12" w:name="Email"/>
      <w:bookmarkEnd w:id="12"/>
      <w:tc>
        <w:tcPr>
          <w:tcW w:w="5987" w:type="dxa"/>
          <w:shd w:val="clear" w:color="auto" w:fill="auto"/>
        </w:tcPr>
        <w:p w14:paraId="4F432433" w14:textId="77777777" w:rsidR="00F07784" w:rsidRPr="001647C3" w:rsidRDefault="00F07784" w:rsidP="00F0778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"mailto:nashton@consensus.pro"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BE6598">
            <w:rPr>
              <w:rStyle w:val="Hyperlink"/>
              <w:sz w:val="18"/>
              <w:szCs w:val="18"/>
              <w:lang w:val="en-US"/>
            </w:rPr>
            <w:t>nashton@consensus.pro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26F061C9" w14:textId="77777777" w:rsidR="00721657" w:rsidRPr="0006061C" w:rsidRDefault="009A04C4" w:rsidP="00EE0F34">
    <w:pPr>
      <w:jc w:val="center"/>
    </w:pPr>
    <w:hyperlink r:id="rId1" w:history="1">
      <w:r w:rsidR="0006061C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31647" w14:textId="77777777" w:rsidR="00396D07" w:rsidRDefault="00396D07">
      <w:r>
        <w:t>____________________</w:t>
      </w:r>
    </w:p>
  </w:footnote>
  <w:footnote w:type="continuationSeparator" w:id="0">
    <w:p w14:paraId="17B73CAA" w14:textId="77777777" w:rsidR="00396D07" w:rsidRDefault="0039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0D3C" w14:textId="45B593D4" w:rsidR="00721657" w:rsidRPr="009C6BCE" w:rsidRDefault="009C6BCE" w:rsidP="009C6BC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-20</w:t>
    </w:r>
    <w:r w:rsidRPr="00A54E72">
      <w:rPr>
        <w:sz w:val="22"/>
        <w:szCs w:val="22"/>
        <w:lang w:val="de-CH"/>
      </w:rPr>
      <w:t>/</w:t>
    </w:r>
    <w:r>
      <w:rPr>
        <w:sz w:val="22"/>
        <w:szCs w:val="22"/>
        <w:lang w:val="de-CH"/>
      </w:rPr>
      <w:t>30</w:t>
    </w:r>
    <w:r w:rsidR="003A65A7">
      <w:rPr>
        <w:sz w:val="22"/>
        <w:szCs w:val="22"/>
        <w:lang w:val="de-CH"/>
      </w:rPr>
      <w:t>-</w:t>
    </w:r>
    <w:r w:rsidR="003A65A7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9F07FC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CF5"/>
    <w:multiLevelType w:val="hybridMultilevel"/>
    <w:tmpl w:val="94F2A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0CD6254"/>
    <w:multiLevelType w:val="hybridMultilevel"/>
    <w:tmpl w:val="2A1CE7D6"/>
    <w:lvl w:ilvl="0" w:tplc="7DBC3CC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C6CA2"/>
    <w:multiLevelType w:val="hybridMultilevel"/>
    <w:tmpl w:val="4E6297A2"/>
    <w:lvl w:ilvl="0" w:tplc="2020B28C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07"/>
    <w:rsid w:val="00002716"/>
    <w:rsid w:val="00005791"/>
    <w:rsid w:val="00010827"/>
    <w:rsid w:val="00010F63"/>
    <w:rsid w:val="00015089"/>
    <w:rsid w:val="0002520B"/>
    <w:rsid w:val="00037A9E"/>
    <w:rsid w:val="00037F91"/>
    <w:rsid w:val="00051BDC"/>
    <w:rsid w:val="000539F1"/>
    <w:rsid w:val="00054747"/>
    <w:rsid w:val="0005521D"/>
    <w:rsid w:val="00055A2A"/>
    <w:rsid w:val="0006061C"/>
    <w:rsid w:val="000615C1"/>
    <w:rsid w:val="00061675"/>
    <w:rsid w:val="00073308"/>
    <w:rsid w:val="000743AA"/>
    <w:rsid w:val="00087517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0F6E63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4540"/>
    <w:rsid w:val="00163091"/>
    <w:rsid w:val="001645CB"/>
    <w:rsid w:val="001647C3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5726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27A2"/>
    <w:rsid w:val="00245D0F"/>
    <w:rsid w:val="002548C3"/>
    <w:rsid w:val="00255A4F"/>
    <w:rsid w:val="00257ACD"/>
    <w:rsid w:val="00262908"/>
    <w:rsid w:val="002650F4"/>
    <w:rsid w:val="002715FD"/>
    <w:rsid w:val="00272ED8"/>
    <w:rsid w:val="002770B1"/>
    <w:rsid w:val="00285B33"/>
    <w:rsid w:val="00287A3C"/>
    <w:rsid w:val="002A2FC6"/>
    <w:rsid w:val="002C1EC7"/>
    <w:rsid w:val="002C4342"/>
    <w:rsid w:val="002C4577"/>
    <w:rsid w:val="002C5F0F"/>
    <w:rsid w:val="002C7EA3"/>
    <w:rsid w:val="002D20AE"/>
    <w:rsid w:val="002D6C61"/>
    <w:rsid w:val="002E2104"/>
    <w:rsid w:val="002E2DAC"/>
    <w:rsid w:val="002E5357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708C3"/>
    <w:rsid w:val="00380B71"/>
    <w:rsid w:val="0038365A"/>
    <w:rsid w:val="00386A89"/>
    <w:rsid w:val="0039648E"/>
    <w:rsid w:val="00396D07"/>
    <w:rsid w:val="003A5AFE"/>
    <w:rsid w:val="003A5D5F"/>
    <w:rsid w:val="003A65A7"/>
    <w:rsid w:val="003A7FFE"/>
    <w:rsid w:val="003B0A63"/>
    <w:rsid w:val="003B50E1"/>
    <w:rsid w:val="003C1746"/>
    <w:rsid w:val="003C2AA9"/>
    <w:rsid w:val="003C58BF"/>
    <w:rsid w:val="003C7E18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58F6"/>
    <w:rsid w:val="0044411E"/>
    <w:rsid w:val="00453435"/>
    <w:rsid w:val="00466398"/>
    <w:rsid w:val="0047306D"/>
    <w:rsid w:val="00473791"/>
    <w:rsid w:val="00476E48"/>
    <w:rsid w:val="00481DE9"/>
    <w:rsid w:val="0049128B"/>
    <w:rsid w:val="004933BE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5211"/>
    <w:rsid w:val="004F6A70"/>
    <w:rsid w:val="00500AD7"/>
    <w:rsid w:val="00502ABF"/>
    <w:rsid w:val="00504DB0"/>
    <w:rsid w:val="00507C35"/>
    <w:rsid w:val="00510735"/>
    <w:rsid w:val="00514D2F"/>
    <w:rsid w:val="005300FA"/>
    <w:rsid w:val="0054420E"/>
    <w:rsid w:val="00544D1B"/>
    <w:rsid w:val="00545DC0"/>
    <w:rsid w:val="00545F6C"/>
    <w:rsid w:val="005477D9"/>
    <w:rsid w:val="0055720C"/>
    <w:rsid w:val="005632DD"/>
    <w:rsid w:val="0056423B"/>
    <w:rsid w:val="00570AE8"/>
    <w:rsid w:val="00572884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B24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345D"/>
    <w:rsid w:val="0065521B"/>
    <w:rsid w:val="006642DF"/>
    <w:rsid w:val="00670C3C"/>
    <w:rsid w:val="00671EF6"/>
    <w:rsid w:val="0067205B"/>
    <w:rsid w:val="006748F8"/>
    <w:rsid w:val="00680489"/>
    <w:rsid w:val="00683C32"/>
    <w:rsid w:val="00690BB2"/>
    <w:rsid w:val="00692AF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A5F1F"/>
    <w:rsid w:val="007B12BF"/>
    <w:rsid w:val="007B18A7"/>
    <w:rsid w:val="007B250E"/>
    <w:rsid w:val="007C1633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419B1"/>
    <w:rsid w:val="00844A56"/>
    <w:rsid w:val="00845B11"/>
    <w:rsid w:val="00852081"/>
    <w:rsid w:val="0086578A"/>
    <w:rsid w:val="00872B6E"/>
    <w:rsid w:val="00874DFD"/>
    <w:rsid w:val="00875A6A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3D1"/>
    <w:rsid w:val="008B54CB"/>
    <w:rsid w:val="008B5A3D"/>
    <w:rsid w:val="008C4010"/>
    <w:rsid w:val="008C4FDF"/>
    <w:rsid w:val="008C6B1F"/>
    <w:rsid w:val="008D2FA8"/>
    <w:rsid w:val="008D5E4F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413C6"/>
    <w:rsid w:val="009431F8"/>
    <w:rsid w:val="00947A35"/>
    <w:rsid w:val="00950EE1"/>
    <w:rsid w:val="0096201B"/>
    <w:rsid w:val="00962081"/>
    <w:rsid w:val="00966CB5"/>
    <w:rsid w:val="00967395"/>
    <w:rsid w:val="00975786"/>
    <w:rsid w:val="00977AF0"/>
    <w:rsid w:val="00981CB7"/>
    <w:rsid w:val="00983E1F"/>
    <w:rsid w:val="00993F46"/>
    <w:rsid w:val="00997358"/>
    <w:rsid w:val="00997E7D"/>
    <w:rsid w:val="009A04C4"/>
    <w:rsid w:val="009A452B"/>
    <w:rsid w:val="009B050C"/>
    <w:rsid w:val="009B087F"/>
    <w:rsid w:val="009B2AF4"/>
    <w:rsid w:val="009C110B"/>
    <w:rsid w:val="009C5441"/>
    <w:rsid w:val="009C6BCE"/>
    <w:rsid w:val="009D119F"/>
    <w:rsid w:val="009D49A2"/>
    <w:rsid w:val="009F07FC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36FD"/>
    <w:rsid w:val="00A73DCA"/>
    <w:rsid w:val="00A84D95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15F49"/>
    <w:rsid w:val="00B25797"/>
    <w:rsid w:val="00B310F9"/>
    <w:rsid w:val="00B37866"/>
    <w:rsid w:val="00B412FB"/>
    <w:rsid w:val="00B41EFD"/>
    <w:rsid w:val="00B4576B"/>
    <w:rsid w:val="00B46350"/>
    <w:rsid w:val="00B46DF3"/>
    <w:rsid w:val="00B656E3"/>
    <w:rsid w:val="00B66E8F"/>
    <w:rsid w:val="00B80157"/>
    <w:rsid w:val="00B83D5E"/>
    <w:rsid w:val="00B8460A"/>
    <w:rsid w:val="00B8650D"/>
    <w:rsid w:val="00B87896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BE6990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B95"/>
    <w:rsid w:val="00CA1F0B"/>
    <w:rsid w:val="00CB110F"/>
    <w:rsid w:val="00CB2A2E"/>
    <w:rsid w:val="00CB338A"/>
    <w:rsid w:val="00CB4B97"/>
    <w:rsid w:val="00CB79C5"/>
    <w:rsid w:val="00CC411F"/>
    <w:rsid w:val="00CC4B75"/>
    <w:rsid w:val="00CC732E"/>
    <w:rsid w:val="00CD2877"/>
    <w:rsid w:val="00CD2FCD"/>
    <w:rsid w:val="00CD6362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099"/>
    <w:rsid w:val="00D20E99"/>
    <w:rsid w:val="00D21C83"/>
    <w:rsid w:val="00D246D4"/>
    <w:rsid w:val="00D35BDD"/>
    <w:rsid w:val="00D360D3"/>
    <w:rsid w:val="00D63006"/>
    <w:rsid w:val="00D72301"/>
    <w:rsid w:val="00D911DE"/>
    <w:rsid w:val="00D91B97"/>
    <w:rsid w:val="00D93ACC"/>
    <w:rsid w:val="00D93C08"/>
    <w:rsid w:val="00D95DAC"/>
    <w:rsid w:val="00DA0B53"/>
    <w:rsid w:val="00DA55C3"/>
    <w:rsid w:val="00DB1171"/>
    <w:rsid w:val="00DB1519"/>
    <w:rsid w:val="00DB2840"/>
    <w:rsid w:val="00DB66E5"/>
    <w:rsid w:val="00DC1BD3"/>
    <w:rsid w:val="00DC2C1A"/>
    <w:rsid w:val="00DD66B4"/>
    <w:rsid w:val="00DE1972"/>
    <w:rsid w:val="00DE27AB"/>
    <w:rsid w:val="00DF2AB3"/>
    <w:rsid w:val="00DF7250"/>
    <w:rsid w:val="00DF7A97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04B"/>
    <w:rsid w:val="00EA7DE7"/>
    <w:rsid w:val="00EB7A8A"/>
    <w:rsid w:val="00EC454C"/>
    <w:rsid w:val="00ED747B"/>
    <w:rsid w:val="00EE0F34"/>
    <w:rsid w:val="00EE3A64"/>
    <w:rsid w:val="00EE50E5"/>
    <w:rsid w:val="00EF01CF"/>
    <w:rsid w:val="00EF3052"/>
    <w:rsid w:val="00F03590"/>
    <w:rsid w:val="00F03622"/>
    <w:rsid w:val="00F07784"/>
    <w:rsid w:val="00F077FD"/>
    <w:rsid w:val="00F124FF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9A1"/>
    <w:rsid w:val="00F53D8A"/>
    <w:rsid w:val="00F626F7"/>
    <w:rsid w:val="00F736F9"/>
    <w:rsid w:val="00F73833"/>
    <w:rsid w:val="00F856D3"/>
    <w:rsid w:val="00F9211C"/>
    <w:rsid w:val="00F92788"/>
    <w:rsid w:val="00FA095D"/>
    <w:rsid w:val="00FA6C8B"/>
    <w:rsid w:val="00FA6CDA"/>
    <w:rsid w:val="00FA7C89"/>
    <w:rsid w:val="00FB4139"/>
    <w:rsid w:val="00FB476E"/>
    <w:rsid w:val="00FC0D90"/>
    <w:rsid w:val="00FC7893"/>
    <w:rsid w:val="00FC7D8C"/>
    <w:rsid w:val="00FD0B9F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E5CE66D"/>
  <w15:docId w15:val="{62663280-7BD7-4155-A44A-40859CD4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81F9-5BDF-4928-A34F-B4F5D11C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</Pages>
  <Words>699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</dc:creator>
  <cp:lastModifiedBy>BDT</cp:lastModifiedBy>
  <cp:revision>36</cp:revision>
  <cp:lastPrinted>2020-02-20T08:42:00Z</cp:lastPrinted>
  <dcterms:created xsi:type="dcterms:W3CDTF">2020-02-19T16:10:00Z</dcterms:created>
  <dcterms:modified xsi:type="dcterms:W3CDTF">2020-03-10T13:48:00Z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