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B7755" w14:textId="405EC01F" w:rsidR="00D502FB" w:rsidRDefault="00D502FB">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0DFD3032" w14:textId="77777777" w:rsidR="00B84DE5" w:rsidRDefault="00B84DE5">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502FB" w:rsidRPr="00A6503E" w14:paraId="2B02D5F9" w14:textId="77777777" w:rsidTr="0054502F">
        <w:trPr>
          <w:cantSplit/>
          <w:trHeight w:val="1134"/>
        </w:trPr>
        <w:tc>
          <w:tcPr>
            <w:tcW w:w="6663" w:type="dxa"/>
          </w:tcPr>
          <w:p w14:paraId="2312AFB3" w14:textId="77777777" w:rsidR="005D306E" w:rsidRDefault="005D306E" w:rsidP="005D306E">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14:paraId="01DDA6DA" w14:textId="30897C16" w:rsidR="00D502FB" w:rsidRPr="005D306E" w:rsidRDefault="005D306E" w:rsidP="005D306E">
            <w:pPr>
              <w:tabs>
                <w:tab w:val="clear" w:pos="1191"/>
                <w:tab w:val="clear" w:pos="1588"/>
                <w:tab w:val="clear" w:pos="1985"/>
              </w:tabs>
              <w:spacing w:before="100" w:after="120"/>
              <w:ind w:left="34"/>
              <w:rPr>
                <w:rFonts w:ascii="Verdana" w:hAnsi="Verdana"/>
                <w:sz w:val="28"/>
                <w:szCs w:val="28"/>
                <w:lang w:val="es-ES_tradnl"/>
              </w:rPr>
            </w:pPr>
            <w:r w:rsidRPr="00656B29">
              <w:rPr>
                <w:b/>
                <w:bCs/>
                <w:sz w:val="26"/>
                <w:szCs w:val="26"/>
                <w:lang w:val="es-ES_tradnl"/>
              </w:rPr>
              <w:t>2</w:t>
            </w:r>
            <w:r w:rsidR="00634E4C">
              <w:rPr>
                <w:b/>
                <w:bCs/>
                <w:sz w:val="26"/>
                <w:szCs w:val="26"/>
                <w:lang w:val="es-ES_tradnl"/>
              </w:rPr>
              <w:t>5</w:t>
            </w:r>
            <w:r w:rsidRPr="00656B29">
              <w:rPr>
                <w:b/>
                <w:bCs/>
                <w:sz w:val="26"/>
                <w:szCs w:val="26"/>
                <w:lang w:val="es-ES_tradnl"/>
              </w:rPr>
              <w:t xml:space="preserve">ª reunión, Ginebra, </w:t>
            </w:r>
            <w:r w:rsidR="00AF1DEB">
              <w:rPr>
                <w:b/>
                <w:bCs/>
                <w:sz w:val="26"/>
                <w:szCs w:val="26"/>
                <w:lang w:val="es-ES_tradnl"/>
              </w:rPr>
              <w:t>2-5 de junio</w:t>
            </w:r>
            <w:bookmarkStart w:id="0" w:name="_GoBack"/>
            <w:bookmarkEnd w:id="0"/>
            <w:r>
              <w:rPr>
                <w:b/>
                <w:bCs/>
                <w:sz w:val="26"/>
                <w:szCs w:val="26"/>
                <w:lang w:val="es-ES_tradnl"/>
              </w:rPr>
              <w:t xml:space="preserve"> de 2020</w:t>
            </w:r>
          </w:p>
        </w:tc>
        <w:tc>
          <w:tcPr>
            <w:tcW w:w="3225" w:type="dxa"/>
          </w:tcPr>
          <w:p w14:paraId="2F56ABA0" w14:textId="77777777" w:rsidR="00D502FB" w:rsidRPr="00A6503E" w:rsidRDefault="00D502FB" w:rsidP="00107E85">
            <w:pPr>
              <w:spacing w:before="0"/>
              <w:ind w:right="142"/>
              <w:jc w:val="right"/>
            </w:pPr>
            <w:r w:rsidRPr="00A6503E">
              <w:rPr>
                <w:noProof/>
                <w:color w:val="3399FF"/>
                <w:lang w:eastAsia="en-GB"/>
              </w:rPr>
              <w:drawing>
                <wp:inline distT="0" distB="0" distL="0" distR="0" wp14:anchorId="2E0C556A" wp14:editId="2A35939C">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502FB" w:rsidRPr="00A6503E" w14:paraId="12B5B064" w14:textId="77777777" w:rsidTr="00107E85">
        <w:trPr>
          <w:cantSplit/>
        </w:trPr>
        <w:tc>
          <w:tcPr>
            <w:tcW w:w="6663" w:type="dxa"/>
            <w:tcBorders>
              <w:top w:val="single" w:sz="12" w:space="0" w:color="auto"/>
            </w:tcBorders>
          </w:tcPr>
          <w:p w14:paraId="26D76875" w14:textId="77777777" w:rsidR="00D502FB" w:rsidRPr="00A6503E" w:rsidRDefault="00D502FB" w:rsidP="00107E85">
            <w:pPr>
              <w:spacing w:before="0"/>
              <w:rPr>
                <w:rFonts w:cs="Arial"/>
                <w:b/>
                <w:bCs/>
                <w:sz w:val="20"/>
              </w:rPr>
            </w:pPr>
          </w:p>
        </w:tc>
        <w:tc>
          <w:tcPr>
            <w:tcW w:w="3225" w:type="dxa"/>
            <w:tcBorders>
              <w:top w:val="single" w:sz="12" w:space="0" w:color="auto"/>
            </w:tcBorders>
          </w:tcPr>
          <w:p w14:paraId="30CF106B" w14:textId="77777777" w:rsidR="00D502FB" w:rsidRPr="00A6503E" w:rsidRDefault="00D502FB" w:rsidP="00107E85">
            <w:pPr>
              <w:spacing w:before="0"/>
              <w:rPr>
                <w:b/>
                <w:bCs/>
                <w:sz w:val="20"/>
              </w:rPr>
            </w:pPr>
          </w:p>
        </w:tc>
      </w:tr>
      <w:tr w:rsidR="00D502FB" w:rsidRPr="00A6503E" w14:paraId="151C32DF" w14:textId="77777777" w:rsidTr="00107E85">
        <w:trPr>
          <w:cantSplit/>
        </w:trPr>
        <w:tc>
          <w:tcPr>
            <w:tcW w:w="6663" w:type="dxa"/>
          </w:tcPr>
          <w:p w14:paraId="5F3CA5CC" w14:textId="77777777" w:rsidR="00D502FB" w:rsidRPr="00A6503E" w:rsidRDefault="00D502FB" w:rsidP="00400CCF">
            <w:pPr>
              <w:pStyle w:val="Committee"/>
              <w:spacing w:before="0"/>
              <w:rPr>
                <w:b w:val="0"/>
                <w:szCs w:val="24"/>
              </w:rPr>
            </w:pPr>
          </w:p>
        </w:tc>
        <w:tc>
          <w:tcPr>
            <w:tcW w:w="3225" w:type="dxa"/>
          </w:tcPr>
          <w:p w14:paraId="34B1692A" w14:textId="77777777" w:rsidR="00D502FB" w:rsidRPr="00A6503E" w:rsidRDefault="00D502FB" w:rsidP="009144FE">
            <w:pPr>
              <w:spacing w:before="0"/>
              <w:jc w:val="both"/>
              <w:rPr>
                <w:bCs/>
                <w:szCs w:val="24"/>
              </w:rPr>
            </w:pPr>
            <w:r w:rsidRPr="00A6503E">
              <w:rPr>
                <w:b/>
                <w:bCs/>
              </w:rPr>
              <w:t>Document</w:t>
            </w:r>
            <w:r>
              <w:rPr>
                <w:b/>
                <w:bCs/>
              </w:rPr>
              <w:t>o</w:t>
            </w:r>
            <w:r w:rsidRPr="00A6503E">
              <w:rPr>
                <w:b/>
                <w:bCs/>
              </w:rPr>
              <w:t xml:space="preserve"> TDAG-20/</w:t>
            </w:r>
            <w:r>
              <w:rPr>
                <w:b/>
                <w:bCs/>
              </w:rPr>
              <w:t>28</w:t>
            </w:r>
          </w:p>
        </w:tc>
      </w:tr>
      <w:tr w:rsidR="00D502FB" w:rsidRPr="00A6503E" w14:paraId="19D0174F" w14:textId="77777777" w:rsidTr="00107E85">
        <w:trPr>
          <w:cantSplit/>
        </w:trPr>
        <w:tc>
          <w:tcPr>
            <w:tcW w:w="6663" w:type="dxa"/>
          </w:tcPr>
          <w:p w14:paraId="75D85AD8" w14:textId="77777777" w:rsidR="00D502FB" w:rsidRPr="00A6503E" w:rsidRDefault="00D502FB" w:rsidP="00400CCF">
            <w:pPr>
              <w:spacing w:before="0"/>
              <w:rPr>
                <w:b/>
                <w:bCs/>
                <w:smallCaps/>
                <w:szCs w:val="24"/>
              </w:rPr>
            </w:pPr>
          </w:p>
        </w:tc>
        <w:tc>
          <w:tcPr>
            <w:tcW w:w="3225" w:type="dxa"/>
          </w:tcPr>
          <w:p w14:paraId="0821F567" w14:textId="77777777" w:rsidR="00D502FB" w:rsidRPr="003B71B4" w:rsidRDefault="00D502FB" w:rsidP="003B71B4">
            <w:pPr>
              <w:spacing w:before="0"/>
              <w:rPr>
                <w:b/>
                <w:szCs w:val="24"/>
              </w:rPr>
            </w:pPr>
            <w:r w:rsidRPr="003B71B4">
              <w:rPr>
                <w:b/>
                <w:bCs/>
                <w:szCs w:val="28"/>
              </w:rPr>
              <w:t xml:space="preserve">17 </w:t>
            </w:r>
            <w:r>
              <w:rPr>
                <w:b/>
                <w:bCs/>
                <w:szCs w:val="28"/>
              </w:rPr>
              <w:t>de febrero de</w:t>
            </w:r>
            <w:r w:rsidRPr="003B71B4">
              <w:rPr>
                <w:b/>
                <w:bCs/>
                <w:szCs w:val="28"/>
              </w:rPr>
              <w:t xml:space="preserve"> 2020</w:t>
            </w:r>
          </w:p>
        </w:tc>
      </w:tr>
      <w:tr w:rsidR="00D502FB" w:rsidRPr="00A6503E" w14:paraId="1AF33503" w14:textId="77777777" w:rsidTr="00107E85">
        <w:trPr>
          <w:cantSplit/>
        </w:trPr>
        <w:tc>
          <w:tcPr>
            <w:tcW w:w="6663" w:type="dxa"/>
          </w:tcPr>
          <w:p w14:paraId="5F1AEF97" w14:textId="77777777" w:rsidR="00D502FB" w:rsidRPr="00A6503E" w:rsidRDefault="00D502FB" w:rsidP="00400CCF">
            <w:pPr>
              <w:spacing w:before="0"/>
              <w:rPr>
                <w:b/>
                <w:bCs/>
                <w:smallCaps/>
                <w:szCs w:val="24"/>
              </w:rPr>
            </w:pPr>
          </w:p>
        </w:tc>
        <w:tc>
          <w:tcPr>
            <w:tcW w:w="3225" w:type="dxa"/>
          </w:tcPr>
          <w:p w14:paraId="27664F0C" w14:textId="77777777" w:rsidR="00D502FB" w:rsidRPr="00A6503E" w:rsidRDefault="00D502FB" w:rsidP="00400CCF">
            <w:pPr>
              <w:spacing w:before="0"/>
              <w:rPr>
                <w:szCs w:val="24"/>
              </w:rPr>
            </w:pPr>
            <w:r w:rsidRPr="00A6503E">
              <w:rPr>
                <w:b/>
              </w:rPr>
              <w:t xml:space="preserve">Original: </w:t>
            </w:r>
            <w:r>
              <w:rPr>
                <w:b/>
              </w:rPr>
              <w:t>inglés</w:t>
            </w:r>
          </w:p>
        </w:tc>
      </w:tr>
      <w:tr w:rsidR="00D502FB" w:rsidRPr="00634E4C" w14:paraId="24F373BA" w14:textId="77777777" w:rsidTr="00107E85">
        <w:trPr>
          <w:cantSplit/>
          <w:trHeight w:val="852"/>
        </w:trPr>
        <w:tc>
          <w:tcPr>
            <w:tcW w:w="9888" w:type="dxa"/>
            <w:gridSpan w:val="2"/>
          </w:tcPr>
          <w:p w14:paraId="7F4569A9" w14:textId="77777777" w:rsidR="00D502FB" w:rsidRPr="0042242F" w:rsidRDefault="00D502FB" w:rsidP="0030353C">
            <w:pPr>
              <w:pStyle w:val="Source"/>
              <w:rPr>
                <w:lang w:val="es-ES"/>
              </w:rPr>
            </w:pPr>
            <w:r w:rsidRPr="0042242F">
              <w:rPr>
                <w:lang w:val="es-ES"/>
              </w:rPr>
              <w:t xml:space="preserve">Directora de la Oficina de </w:t>
            </w:r>
            <w:r>
              <w:rPr>
                <w:lang w:val="es-ES"/>
              </w:rPr>
              <w:t>Desarrollo de las Telecomunicaciones</w:t>
            </w:r>
          </w:p>
        </w:tc>
      </w:tr>
      <w:tr w:rsidR="00D502FB" w:rsidRPr="00634E4C" w14:paraId="10530EDB" w14:textId="77777777" w:rsidTr="00107E85">
        <w:trPr>
          <w:cantSplit/>
        </w:trPr>
        <w:tc>
          <w:tcPr>
            <w:tcW w:w="9888" w:type="dxa"/>
            <w:gridSpan w:val="2"/>
          </w:tcPr>
          <w:p w14:paraId="2AAB7FD0" w14:textId="77777777" w:rsidR="00D502FB" w:rsidRPr="0042242F" w:rsidRDefault="00D502FB" w:rsidP="00976750">
            <w:pPr>
              <w:pStyle w:val="Title1"/>
              <w:rPr>
                <w:bCs/>
                <w:caps w:val="0"/>
                <w:lang w:val="es-ES"/>
              </w:rPr>
            </w:pPr>
            <w:r w:rsidRPr="0042242F">
              <w:rPr>
                <w:bCs/>
                <w:lang w:val="es-ES"/>
              </w:rPr>
              <w:t>INFORME INTERMEDIO SOBRE LA IMPLEMENTACIÓN DE LA GESTIÓN BA</w:t>
            </w:r>
            <w:r>
              <w:rPr>
                <w:bCs/>
                <w:lang w:val="es-ES"/>
              </w:rPr>
              <w:t xml:space="preserve">SADA EN RESULTADOS EN LA BDT EN </w:t>
            </w:r>
            <w:r w:rsidRPr="0042242F">
              <w:rPr>
                <w:bCs/>
                <w:lang w:val="es-ES"/>
              </w:rPr>
              <w:t>2019</w:t>
            </w:r>
          </w:p>
        </w:tc>
      </w:tr>
      <w:tr w:rsidR="00D502FB" w:rsidRPr="00634E4C" w14:paraId="50014407" w14:textId="77777777" w:rsidTr="00A721F4">
        <w:trPr>
          <w:cantSplit/>
        </w:trPr>
        <w:tc>
          <w:tcPr>
            <w:tcW w:w="9888" w:type="dxa"/>
            <w:gridSpan w:val="2"/>
            <w:tcBorders>
              <w:bottom w:val="single" w:sz="4" w:space="0" w:color="auto"/>
            </w:tcBorders>
          </w:tcPr>
          <w:p w14:paraId="5D6D9530" w14:textId="77777777" w:rsidR="00D502FB" w:rsidRPr="0042242F" w:rsidRDefault="00D502FB" w:rsidP="0030353C">
            <w:pPr>
              <w:rPr>
                <w:lang w:val="es-ES"/>
              </w:rPr>
            </w:pPr>
          </w:p>
        </w:tc>
      </w:tr>
      <w:tr w:rsidR="00D502FB" w:rsidRPr="00634E4C" w14:paraId="3EE8290F" w14:textId="77777777" w:rsidTr="009272F6">
        <w:trPr>
          <w:cantSplit/>
          <w:trHeight w:val="4983"/>
        </w:trPr>
        <w:tc>
          <w:tcPr>
            <w:tcW w:w="9888" w:type="dxa"/>
            <w:gridSpan w:val="2"/>
            <w:tcBorders>
              <w:top w:val="single" w:sz="4" w:space="0" w:color="auto"/>
              <w:left w:val="single" w:sz="4" w:space="0" w:color="auto"/>
              <w:bottom w:val="single" w:sz="4" w:space="0" w:color="auto"/>
              <w:right w:val="single" w:sz="4" w:space="0" w:color="auto"/>
            </w:tcBorders>
          </w:tcPr>
          <w:p w14:paraId="5B9BA878" w14:textId="77777777" w:rsidR="00D502FB" w:rsidRPr="00C92E6E" w:rsidRDefault="00D502FB" w:rsidP="009144FE">
            <w:pPr>
              <w:rPr>
                <w:b/>
                <w:bCs/>
                <w:szCs w:val="24"/>
                <w:lang w:val="es-ES_tradnl"/>
              </w:rPr>
            </w:pPr>
            <w:r w:rsidRPr="00C92E6E">
              <w:rPr>
                <w:b/>
                <w:bCs/>
                <w:szCs w:val="24"/>
                <w:lang w:val="es-ES_tradnl"/>
              </w:rPr>
              <w:t>Resumen:</w:t>
            </w:r>
          </w:p>
          <w:p w14:paraId="7D9ADAF5" w14:textId="5AD8C87A" w:rsidR="00D502FB" w:rsidRPr="0042242F" w:rsidRDefault="00D502FB" w:rsidP="006D3E76">
            <w:pPr>
              <w:rPr>
                <w:rFonts w:cstheme="minorHAnsi"/>
                <w:lang w:val="es-ES"/>
              </w:rPr>
            </w:pPr>
            <w:r w:rsidRPr="0042242F">
              <w:rPr>
                <w:rFonts w:cstheme="minorHAnsi"/>
                <w:lang w:val="es-ES"/>
              </w:rPr>
              <w:t>En 2019 la BDT inició una reforma global de su gestión basada en resultados (GBR) para dotar a la Oficina de todo lo necesario para afrontar los retos que plantea la rápida evolución del panorama de desarrollo</w:t>
            </w:r>
            <w:r>
              <w:rPr>
                <w:rFonts w:cstheme="minorHAnsi"/>
                <w:lang w:val="es-ES"/>
              </w:rPr>
              <w:t xml:space="preserve"> y que esté adaptada a su misión (</w:t>
            </w:r>
            <w:r w:rsidR="00813432">
              <w:rPr>
                <w:rFonts w:cstheme="minorHAnsi"/>
                <w:lang w:val="es-ES"/>
              </w:rPr>
              <w:t>"</w:t>
            </w:r>
            <w:r w:rsidRPr="0042242F">
              <w:rPr>
                <w:rFonts w:cstheme="minorHAnsi"/>
                <w:lang w:val="es-ES"/>
              </w:rPr>
              <w:t>Fit4Purpose</w:t>
            </w:r>
            <w:r w:rsidR="00813432">
              <w:rPr>
                <w:rFonts w:cstheme="minorHAnsi"/>
                <w:lang w:val="es-ES"/>
              </w:rPr>
              <w:t>"</w:t>
            </w:r>
            <w:r>
              <w:rPr>
                <w:rFonts w:cstheme="minorHAnsi"/>
                <w:lang w:val="es-ES"/>
              </w:rPr>
              <w:t>). Esta reforma prevé utilizar la GBR para la ejecución de todos los programas de trabajo, como herramienta para la supervisión y la toma de decisiones de gestión, y para demostrar la influencia de la BDT. También servirá de plataforma para la asociación a nivel interno y externo y para replicar y ampliar proyectos e iniciativas del programa de trabajo que se hayan coronado con éxito</w:t>
            </w:r>
            <w:r w:rsidRPr="0042242F">
              <w:rPr>
                <w:rFonts w:cstheme="minorHAnsi"/>
                <w:lang w:val="es-ES"/>
              </w:rPr>
              <w:t xml:space="preserve">. </w:t>
            </w:r>
          </w:p>
          <w:p w14:paraId="38CEE144" w14:textId="77777777" w:rsidR="00D502FB" w:rsidRPr="00C92E6E" w:rsidRDefault="00D502FB" w:rsidP="009144FE">
            <w:pPr>
              <w:rPr>
                <w:b/>
                <w:bCs/>
                <w:szCs w:val="24"/>
                <w:lang w:val="es-ES_tradnl"/>
              </w:rPr>
            </w:pPr>
            <w:r w:rsidRPr="00C92E6E">
              <w:rPr>
                <w:b/>
                <w:bCs/>
                <w:lang w:val="es-ES_tradnl"/>
              </w:rPr>
              <w:t>Acción solicitada:</w:t>
            </w:r>
          </w:p>
          <w:p w14:paraId="73A4B5B5" w14:textId="77777777" w:rsidR="00D502FB" w:rsidRPr="0042242F" w:rsidRDefault="00D502FB" w:rsidP="009144FE">
            <w:pPr>
              <w:rPr>
                <w:szCs w:val="24"/>
                <w:lang w:val="es-ES"/>
              </w:rPr>
            </w:pPr>
            <w:r w:rsidRPr="0042242F">
              <w:rPr>
                <w:szCs w:val="24"/>
                <w:lang w:val="es-ES"/>
              </w:rPr>
              <w:t>Se invita al GADT a tomar nota de este Informe y formular los comentarios que estime oportunos.</w:t>
            </w:r>
          </w:p>
          <w:p w14:paraId="10DBCFF3" w14:textId="77777777" w:rsidR="00D502FB" w:rsidRPr="00C92E6E" w:rsidRDefault="00D502FB" w:rsidP="009144FE">
            <w:pPr>
              <w:rPr>
                <w:b/>
                <w:bCs/>
                <w:szCs w:val="24"/>
                <w:lang w:val="es-ES_tradnl"/>
              </w:rPr>
            </w:pPr>
            <w:r w:rsidRPr="00C92E6E">
              <w:rPr>
                <w:b/>
                <w:bCs/>
                <w:szCs w:val="24"/>
                <w:lang w:val="es-ES_tradnl"/>
              </w:rPr>
              <w:t>Referencias:</w:t>
            </w:r>
          </w:p>
          <w:p w14:paraId="5BC56608" w14:textId="77777777" w:rsidR="00D502FB" w:rsidRPr="0042242F" w:rsidRDefault="00D502FB" w:rsidP="00976750">
            <w:pPr>
              <w:spacing w:after="120"/>
              <w:rPr>
                <w:lang w:val="es-ES"/>
              </w:rPr>
            </w:pPr>
            <w:r w:rsidRPr="0042242F">
              <w:rPr>
                <w:lang w:val="es-ES"/>
              </w:rPr>
              <w:t>Plan de Acción de Buenos Aires de la Conferencia Mundial de Desarrollo de las Telecomunicaciones de 2017 (CMDT-17), Resolu</w:t>
            </w:r>
            <w:r>
              <w:rPr>
                <w:lang w:val="es-ES"/>
              </w:rPr>
              <w:t>ciones</w:t>
            </w:r>
            <w:r w:rsidRPr="0042242F">
              <w:rPr>
                <w:lang w:val="es-ES"/>
              </w:rPr>
              <w:t xml:space="preserve"> 25, 71 </w:t>
            </w:r>
            <w:r>
              <w:rPr>
                <w:lang w:val="es-ES"/>
              </w:rPr>
              <w:t>y</w:t>
            </w:r>
            <w:r w:rsidRPr="0042242F">
              <w:rPr>
                <w:lang w:val="es-ES"/>
              </w:rPr>
              <w:t xml:space="preserve"> 151 (Rev. Dub</w:t>
            </w:r>
            <w:r>
              <w:rPr>
                <w:lang w:val="es-ES"/>
              </w:rPr>
              <w:t>á</w:t>
            </w:r>
            <w:r w:rsidRPr="0042242F">
              <w:rPr>
                <w:lang w:val="es-ES"/>
              </w:rPr>
              <w:t xml:space="preserve">i, 2018) </w:t>
            </w:r>
            <w:r>
              <w:rPr>
                <w:lang w:val="es-ES"/>
              </w:rPr>
              <w:t>de la Conferencia de Plenipotenciarios, Resoluciones</w:t>
            </w:r>
            <w:r w:rsidRPr="0042242F">
              <w:rPr>
                <w:lang w:val="es-ES"/>
              </w:rPr>
              <w:t xml:space="preserve"> 52 </w:t>
            </w:r>
            <w:r>
              <w:rPr>
                <w:lang w:val="es-ES"/>
              </w:rPr>
              <w:t>y</w:t>
            </w:r>
            <w:r w:rsidRPr="0042242F">
              <w:rPr>
                <w:lang w:val="es-ES"/>
              </w:rPr>
              <w:t xml:space="preserve"> 53 (Rev. Dub</w:t>
            </w:r>
            <w:r>
              <w:rPr>
                <w:lang w:val="es-ES"/>
              </w:rPr>
              <w:t>á</w:t>
            </w:r>
            <w:r w:rsidRPr="0042242F">
              <w:rPr>
                <w:lang w:val="es-ES"/>
              </w:rPr>
              <w:t xml:space="preserve">i, 2014) </w:t>
            </w:r>
            <w:r>
              <w:rPr>
                <w:lang w:val="es-ES"/>
              </w:rPr>
              <w:t>de la CMDT</w:t>
            </w:r>
          </w:p>
        </w:tc>
      </w:tr>
    </w:tbl>
    <w:p w14:paraId="130BA883" w14:textId="77777777" w:rsidR="005D306E" w:rsidRDefault="005D306E">
      <w:pPr>
        <w:keepNext/>
        <w:spacing w:before="360"/>
        <w:rPr>
          <w:rFonts w:cstheme="minorHAnsi"/>
          <w:b/>
          <w:bCs/>
          <w:szCs w:val="24"/>
          <w:lang w:val="es-ES"/>
        </w:rPr>
        <w:sectPr w:rsidR="005D306E" w:rsidSect="004B7893">
          <w:headerReference w:type="default" r:id="rId9"/>
          <w:footerReference w:type="default" r:id="rId10"/>
          <w:footerReference w:type="first" r:id="rId11"/>
          <w:pgSz w:w="11906" w:h="16838" w:code="9"/>
          <w:pgMar w:top="1418" w:right="1134" w:bottom="1418" w:left="1134" w:header="709" w:footer="709" w:gutter="0"/>
          <w:cols w:space="708"/>
          <w:titlePg/>
          <w:docGrid w:linePitch="360"/>
        </w:sectPr>
      </w:pPr>
    </w:p>
    <w:p w14:paraId="6B7BEA5B" w14:textId="23D73B53" w:rsidR="00D502FB" w:rsidRPr="0042242F" w:rsidRDefault="00D502FB" w:rsidP="00813432">
      <w:pPr>
        <w:pStyle w:val="Headingb"/>
        <w:rPr>
          <w:lang w:val="es-ES"/>
        </w:rPr>
      </w:pPr>
      <w:r w:rsidRPr="0042242F">
        <w:rPr>
          <w:lang w:val="es-ES"/>
        </w:rPr>
        <w:lastRenderedPageBreak/>
        <w:t>El porqué de la iniciativa de reforma de</w:t>
      </w:r>
      <w:r>
        <w:rPr>
          <w:lang w:val="es-ES"/>
        </w:rPr>
        <w:t xml:space="preserve"> la GBR de largo alcance</w:t>
      </w:r>
    </w:p>
    <w:p w14:paraId="0BDA90F5" w14:textId="77777777" w:rsidR="00D502FB" w:rsidRPr="00897210" w:rsidRDefault="00D502FB" w:rsidP="0008280E">
      <w:pPr>
        <w:rPr>
          <w:rFonts w:cstheme="minorHAnsi"/>
          <w:szCs w:val="24"/>
          <w:lang w:val="es-ES"/>
        </w:rPr>
      </w:pPr>
      <w:r w:rsidRPr="00897210">
        <w:rPr>
          <w:rFonts w:cstheme="minorHAnsi"/>
          <w:szCs w:val="24"/>
          <w:lang w:val="es-ES"/>
        </w:rPr>
        <w:t>En un contexto en el que el panorama del desarrollo cambia a gran velocidad, han surgido varias organizaciones nuevas dedicadas al desarrollo de las TIC y los Estados Miembros piden constantemente que la BDT sea eficie</w:t>
      </w:r>
      <w:r>
        <w:rPr>
          <w:rFonts w:cstheme="minorHAnsi"/>
          <w:szCs w:val="24"/>
          <w:lang w:val="es-ES"/>
        </w:rPr>
        <w:t>nte y eficaz</w:t>
      </w:r>
      <w:r>
        <w:rPr>
          <w:rStyle w:val="FootnoteReference"/>
          <w:rFonts w:cstheme="minorHAnsi"/>
          <w:szCs w:val="24"/>
        </w:rPr>
        <w:footnoteReference w:id="1"/>
      </w:r>
      <w:r w:rsidRPr="00897210">
        <w:rPr>
          <w:rFonts w:cstheme="minorHAnsi"/>
          <w:szCs w:val="24"/>
          <w:lang w:val="es-ES"/>
        </w:rPr>
        <w:t xml:space="preserve">, </w:t>
      </w:r>
      <w:r>
        <w:rPr>
          <w:rFonts w:cstheme="minorHAnsi"/>
          <w:szCs w:val="24"/>
          <w:lang w:val="es-ES"/>
        </w:rPr>
        <w:t xml:space="preserve">la Oficina redobló esfuerzos en 2019 por establecer un marco de gestión basada en resultados global y mejorado. </w:t>
      </w:r>
      <w:r w:rsidRPr="00897210">
        <w:rPr>
          <w:rFonts w:cstheme="minorHAnsi"/>
          <w:szCs w:val="24"/>
          <w:lang w:val="es-ES"/>
        </w:rPr>
        <w:t>A fin de conservar y aumentar la pertinencia de la BDT, a lo larg</w:t>
      </w:r>
      <w:r>
        <w:rPr>
          <w:rFonts w:cstheme="minorHAnsi"/>
          <w:szCs w:val="24"/>
          <w:lang w:val="es-ES"/>
        </w:rPr>
        <w:t>o del primer semestre de 2019 se realizó un análisis destinado a que la BDT esté adaptada a su misión, cuyas conclusiones fueron las siguientes</w:t>
      </w:r>
      <w:r w:rsidRPr="00897210">
        <w:rPr>
          <w:rFonts w:cstheme="minorHAnsi"/>
          <w:szCs w:val="24"/>
          <w:lang w:val="es-ES"/>
        </w:rPr>
        <w:t>:</w:t>
      </w:r>
    </w:p>
    <w:p w14:paraId="5AF7D00F" w14:textId="03B7E401" w:rsidR="00D502FB" w:rsidRPr="00A627B2" w:rsidRDefault="00A627B2" w:rsidP="00A627B2">
      <w:pPr>
        <w:pStyle w:val="enumlev1"/>
        <w:rPr>
          <w:lang w:val="es-ES_tradnl"/>
        </w:rPr>
      </w:pPr>
      <w:r w:rsidRPr="005B6133">
        <w:rPr>
          <w:rFonts w:ascii="Courier New" w:hAnsi="Courier New" w:cs="Courier New"/>
          <w:lang w:val="es-ES_tradnl"/>
        </w:rPr>
        <w:t>–</w:t>
      </w:r>
      <w:r>
        <w:rPr>
          <w:rFonts w:ascii="Courier New" w:hAnsi="Courier New" w:cs="Courier New"/>
          <w:lang w:val="es-ES_tradnl"/>
        </w:rPr>
        <w:tab/>
      </w:r>
      <w:r w:rsidR="00D502FB" w:rsidRPr="00A627B2">
        <w:rPr>
          <w:lang w:val="es-ES_tradnl"/>
        </w:rPr>
        <w:t xml:space="preserve">Nuestras actividades se han fragmentado, por lo que resulta difícil atraer a los socios de manera sistemática, aprovechar oportunidades de sinergia con el Sector de Normalización de las Telecomunicaciones de la UIT (UIT-T) y el Sector de Radiocomunicaciones de la UIT (UIT-R) y hacer un seguimiento de las consecuencias de dichas actividades. </w:t>
      </w:r>
    </w:p>
    <w:p w14:paraId="6FF5AD1B" w14:textId="3F0EB707" w:rsidR="00D502FB" w:rsidRPr="00A627B2" w:rsidRDefault="00A627B2" w:rsidP="00A627B2">
      <w:pPr>
        <w:pStyle w:val="enumlev1"/>
        <w:rPr>
          <w:lang w:val="es-ES_tradnl"/>
        </w:rPr>
      </w:pPr>
      <w:r w:rsidRPr="00A627B2">
        <w:rPr>
          <w:lang w:val="es-ES_tradnl"/>
        </w:rPr>
        <w:t>–</w:t>
      </w:r>
      <w:r>
        <w:rPr>
          <w:lang w:val="es-ES_tradnl"/>
        </w:rPr>
        <w:tab/>
      </w:r>
      <w:r w:rsidR="00D502FB" w:rsidRPr="00A627B2">
        <w:rPr>
          <w:lang w:val="es-ES_tradnl"/>
        </w:rPr>
        <w:t>La ejecución de los programas de trabajo iba por libre y con frecuencia el programa de trabajo del plan operacional estaba desconectado de los proyectos e iniciativas regionales.</w:t>
      </w:r>
    </w:p>
    <w:p w14:paraId="3EFEE6F6" w14:textId="65D85696" w:rsidR="00D502FB" w:rsidRPr="00A627B2" w:rsidRDefault="00A627B2" w:rsidP="00A627B2">
      <w:pPr>
        <w:pStyle w:val="enumlev1"/>
        <w:rPr>
          <w:lang w:val="es-ES_tradnl"/>
        </w:rPr>
      </w:pPr>
      <w:r w:rsidRPr="00A627B2">
        <w:rPr>
          <w:lang w:val="es-ES_tradnl"/>
        </w:rPr>
        <w:t>–</w:t>
      </w:r>
      <w:r>
        <w:rPr>
          <w:lang w:val="es-ES_tradnl"/>
        </w:rPr>
        <w:tab/>
      </w:r>
      <w:r w:rsidR="00D502FB" w:rsidRPr="00A627B2">
        <w:rPr>
          <w:lang w:val="es-ES_tradnl"/>
        </w:rPr>
        <w:t>Nuestras iniciativas regionales, en particular las dedicadas a temáticas similares en diferentes regiones, no se beneficiaban de las posibilidades de ampliación y las oportunidades de movilización de recursos</w:t>
      </w:r>
      <w:r w:rsidR="00D502FB" w:rsidRPr="00813432">
        <w:rPr>
          <w:vertAlign w:val="superscript"/>
          <w:lang w:val="es-ES_tradnl"/>
        </w:rPr>
        <w:footnoteReference w:id="2"/>
      </w:r>
      <w:r w:rsidR="00D502FB" w:rsidRPr="00A627B2">
        <w:rPr>
          <w:lang w:val="es-ES_tradnl"/>
        </w:rPr>
        <w:t xml:space="preserve">. </w:t>
      </w:r>
    </w:p>
    <w:p w14:paraId="53EF3279" w14:textId="7CF9DC62" w:rsidR="00D502FB" w:rsidRPr="00A627B2" w:rsidRDefault="00A627B2" w:rsidP="00A627B2">
      <w:pPr>
        <w:pStyle w:val="enumlev1"/>
        <w:rPr>
          <w:lang w:val="es-ES_tradnl"/>
        </w:rPr>
      </w:pPr>
      <w:r w:rsidRPr="00A627B2">
        <w:rPr>
          <w:lang w:val="es-ES_tradnl"/>
        </w:rPr>
        <w:t>–</w:t>
      </w:r>
      <w:r>
        <w:rPr>
          <w:lang w:val="es-ES_tradnl"/>
        </w:rPr>
        <w:tab/>
      </w:r>
      <w:r w:rsidR="00D502FB" w:rsidRPr="00A627B2">
        <w:rPr>
          <w:lang w:val="es-ES_tradnl"/>
        </w:rPr>
        <w:t xml:space="preserve">Nuestro papel como organismo especializado de las Naciones Unidas para las TIC, y en particular el objetivo de la BDT de ser el </w:t>
      </w:r>
      <w:r w:rsidR="00813432">
        <w:rPr>
          <w:rFonts w:cstheme="minorHAnsi"/>
          <w:lang w:val="es-ES_tradnl"/>
        </w:rPr>
        <w:t>"</w:t>
      </w:r>
      <w:r w:rsidR="00D502FB" w:rsidRPr="00A627B2">
        <w:rPr>
          <w:lang w:val="es-ES_tradnl"/>
        </w:rPr>
        <w:t>referente para la transformación digital mediante una conectividad positiva</w:t>
      </w:r>
      <w:r w:rsidR="00813432">
        <w:rPr>
          <w:lang w:val="es-ES_tradnl"/>
        </w:rPr>
        <w:t>"</w:t>
      </w:r>
      <w:r w:rsidR="00D502FB" w:rsidRPr="00A627B2">
        <w:rPr>
          <w:lang w:val="es-ES_tradnl"/>
        </w:rPr>
        <w:t xml:space="preserve">, no recibía el suficiente reconocimiento de otras organizaciones internacionales clave y otros Estados Miembros. </w:t>
      </w:r>
    </w:p>
    <w:p w14:paraId="1A703443" w14:textId="77777777" w:rsidR="00D502FB" w:rsidRPr="009272F6" w:rsidRDefault="00D502FB" w:rsidP="00345B42">
      <w:pPr>
        <w:rPr>
          <w:rFonts w:cstheme="minorHAnsi"/>
          <w:spacing w:val="-2"/>
          <w:szCs w:val="24"/>
          <w:lang w:val="es-ES"/>
        </w:rPr>
      </w:pPr>
      <w:r w:rsidRPr="009E2FD5">
        <w:rPr>
          <w:rFonts w:cstheme="minorHAnsi"/>
          <w:szCs w:val="24"/>
          <w:lang w:val="es-ES"/>
        </w:rPr>
        <w:t xml:space="preserve">En resumen, nos pareció que se necesitaba un enfoque más coherente para ejecutar nuestros </w:t>
      </w:r>
      <w:r w:rsidRPr="009272F6">
        <w:rPr>
          <w:rFonts w:cstheme="minorHAnsi"/>
          <w:spacing w:val="-2"/>
          <w:szCs w:val="24"/>
          <w:lang w:val="es-ES"/>
        </w:rPr>
        <w:t>programas de trabajo y garantizar que la BDT se considere como un elemento clave del panorama del desarrollo.</w:t>
      </w:r>
    </w:p>
    <w:p w14:paraId="5D919BD2" w14:textId="77777777" w:rsidR="00D502FB" w:rsidRPr="009272F6" w:rsidRDefault="00D502FB" w:rsidP="00813432">
      <w:pPr>
        <w:pStyle w:val="Headingb"/>
        <w:rPr>
          <w:lang w:val="es-ES"/>
        </w:rPr>
      </w:pPr>
      <w:r w:rsidRPr="005B6133">
        <w:rPr>
          <w:lang w:val="es-ES_tradnl"/>
        </w:rPr>
        <w:t>Cómo se procedió a reformar la perspectiva del programa de trabajo</w:t>
      </w:r>
    </w:p>
    <w:p w14:paraId="3613AAF2" w14:textId="77777777" w:rsidR="00D502FB" w:rsidRPr="009E2FD5" w:rsidRDefault="00D502FB" w:rsidP="00345B42">
      <w:pPr>
        <w:rPr>
          <w:rFonts w:cstheme="minorHAnsi"/>
          <w:szCs w:val="24"/>
          <w:lang w:val="es-ES"/>
        </w:rPr>
      </w:pPr>
      <w:r w:rsidRPr="009272F6">
        <w:rPr>
          <w:rFonts w:cstheme="minorHAnsi"/>
          <w:spacing w:val="-2"/>
          <w:szCs w:val="24"/>
          <w:lang w:val="es-ES"/>
        </w:rPr>
        <w:t>A partir de ejercicios anteriores para utilizar la GBR como metodología de planificación, se celebraron varios talleres y reuniones con el personal de la Sede y las Oficinas Regionales y Zonales a lo largo del último trimestre de 2019 y el primer trimestre de 2020. El objetivo es garantizar que el marco de GBR no se limita a la planificación, sino que también se concentra en la coordinación y ejecución del programa de trabajo a fin de obtener pruebas de los logros alcanzados y su influencia.</w:t>
      </w:r>
      <w:r w:rsidRPr="009E2FD5">
        <w:rPr>
          <w:rFonts w:cstheme="minorHAnsi"/>
          <w:szCs w:val="24"/>
          <w:lang w:val="es-ES"/>
        </w:rPr>
        <w:t xml:space="preserve"> </w:t>
      </w:r>
    </w:p>
    <w:p w14:paraId="2B91CFB8" w14:textId="77777777" w:rsidR="00D502FB" w:rsidRPr="009E2FD5" w:rsidRDefault="00D502FB" w:rsidP="009144FE">
      <w:pPr>
        <w:keepNext/>
        <w:rPr>
          <w:rFonts w:cstheme="minorHAnsi"/>
          <w:szCs w:val="24"/>
          <w:lang w:val="es-ES"/>
        </w:rPr>
      </w:pPr>
      <w:r w:rsidRPr="009E2FD5">
        <w:rPr>
          <w:rFonts w:cstheme="minorHAnsi"/>
          <w:szCs w:val="24"/>
          <w:lang w:val="es-ES"/>
        </w:rPr>
        <w:t>Así, la BDT ha ampliado el marco para incluir los siguientes bloq</w:t>
      </w:r>
      <w:r>
        <w:rPr>
          <w:rFonts w:cstheme="minorHAnsi"/>
          <w:szCs w:val="24"/>
          <w:lang w:val="es-ES"/>
        </w:rPr>
        <w:t>ues de GBR</w:t>
      </w:r>
      <w:r w:rsidRPr="009E2FD5">
        <w:rPr>
          <w:rFonts w:cstheme="minorHAnsi"/>
          <w:szCs w:val="24"/>
          <w:lang w:val="es-ES"/>
        </w:rPr>
        <w:t xml:space="preserve">: </w:t>
      </w:r>
    </w:p>
    <w:p w14:paraId="234301F1" w14:textId="4D382F4A" w:rsidR="009272F6" w:rsidRDefault="00A627B2" w:rsidP="00A627B2">
      <w:pPr>
        <w:pStyle w:val="enumlev1"/>
        <w:rPr>
          <w:rFonts w:cstheme="minorHAnsi"/>
          <w:szCs w:val="24"/>
          <w:lang w:val="es-ES"/>
        </w:rPr>
      </w:pPr>
      <w:r w:rsidRPr="00A627B2">
        <w:rPr>
          <w:lang w:val="es-ES_tradnl"/>
        </w:rPr>
        <w:t>–</w:t>
      </w:r>
      <w:r>
        <w:rPr>
          <w:lang w:val="es-ES_tradnl"/>
        </w:rPr>
        <w:tab/>
      </w:r>
      <w:r w:rsidR="00D502FB" w:rsidRPr="009272F6">
        <w:rPr>
          <w:rFonts w:cstheme="minorHAnsi"/>
          <w:b/>
          <w:bCs/>
          <w:i/>
          <w:iCs/>
          <w:szCs w:val="24"/>
          <w:lang w:val="es-ES"/>
        </w:rPr>
        <w:t>Sendas de influencia</w:t>
      </w:r>
      <w:r w:rsidR="00D502FB" w:rsidRPr="009272F6">
        <w:rPr>
          <w:rFonts w:cstheme="minorHAnsi"/>
          <w:szCs w:val="24"/>
          <w:lang w:val="es-ES"/>
        </w:rPr>
        <w:t xml:space="preserve">, por las que se hace un seguimiento de las actividades temáticas a fin de identificar los resultados obtenidos, los receptores objetivo alcanzados, los cambios den la capacidad de la población receptora, y su correspondiente cambio de comportamiento, que se traduce en </w:t>
      </w:r>
      <w:r w:rsidR="00D502FB" w:rsidRPr="00A627B2">
        <w:rPr>
          <w:lang w:val="es-ES_tradnl"/>
        </w:rPr>
        <w:t>una</w:t>
      </w:r>
      <w:r w:rsidR="00D502FB" w:rsidRPr="009272F6">
        <w:rPr>
          <w:rFonts w:cstheme="minorHAnsi"/>
          <w:szCs w:val="24"/>
          <w:lang w:val="es-ES"/>
        </w:rPr>
        <w:t xml:space="preserve"> influencia aún mayor</w:t>
      </w:r>
      <w:r w:rsidR="00813432">
        <w:rPr>
          <w:rFonts w:cstheme="minorHAnsi"/>
          <w:szCs w:val="24"/>
          <w:lang w:val="es-ES"/>
        </w:rPr>
        <w:t>.</w:t>
      </w:r>
    </w:p>
    <w:p w14:paraId="44B133CF" w14:textId="15C1B4A7" w:rsidR="00D502FB" w:rsidRPr="009272F6" w:rsidRDefault="00A627B2" w:rsidP="00A627B2">
      <w:pPr>
        <w:pStyle w:val="enumlev1"/>
        <w:rPr>
          <w:rFonts w:cstheme="minorHAnsi"/>
          <w:szCs w:val="24"/>
          <w:lang w:val="es-ES"/>
        </w:rPr>
      </w:pPr>
      <w:r w:rsidRPr="00A627B2">
        <w:rPr>
          <w:lang w:val="es-ES_tradnl"/>
        </w:rPr>
        <w:t>–</w:t>
      </w:r>
      <w:r>
        <w:rPr>
          <w:lang w:val="es-ES_tradnl"/>
        </w:rPr>
        <w:tab/>
      </w:r>
      <w:r w:rsidR="00D502FB" w:rsidRPr="00A627B2">
        <w:rPr>
          <w:lang w:val="es-ES_tradnl"/>
        </w:rPr>
        <w:t>Articulación</w:t>
      </w:r>
      <w:r w:rsidR="00D502FB" w:rsidRPr="009272F6">
        <w:rPr>
          <w:rFonts w:cstheme="minorHAnsi"/>
          <w:szCs w:val="24"/>
          <w:lang w:val="es-ES"/>
        </w:rPr>
        <w:t xml:space="preserve"> de los </w:t>
      </w:r>
      <w:r w:rsidR="00D502FB" w:rsidRPr="009272F6">
        <w:rPr>
          <w:rFonts w:cstheme="minorHAnsi"/>
          <w:b/>
          <w:bCs/>
          <w:i/>
          <w:iCs/>
          <w:szCs w:val="24"/>
          <w:lang w:val="es-ES"/>
        </w:rPr>
        <w:t>supuestos subyacentes y los riesgos operativos</w:t>
      </w:r>
      <w:r w:rsidR="00D502FB" w:rsidRPr="009272F6">
        <w:rPr>
          <w:rFonts w:cstheme="minorHAnsi"/>
          <w:szCs w:val="24"/>
          <w:lang w:val="es-ES"/>
        </w:rPr>
        <w:t xml:space="preserve">, gracias a lo cual se puede detectar si los avances ralentizan o se detienen y, sobre la base de esa información, </w:t>
      </w:r>
      <w:r w:rsidR="00D502FB" w:rsidRPr="009272F6">
        <w:rPr>
          <w:rFonts w:cstheme="minorHAnsi"/>
          <w:szCs w:val="24"/>
          <w:lang w:val="es-ES"/>
        </w:rPr>
        <w:lastRenderedPageBreak/>
        <w:t>reaccionar rápidamente y ajustar los supuestos de planificación iniciales del programa de trabajo para que vuelva a funcionar adecuadamente</w:t>
      </w:r>
      <w:r w:rsidR="00813432">
        <w:rPr>
          <w:rFonts w:cstheme="minorHAnsi"/>
          <w:szCs w:val="24"/>
          <w:lang w:val="es-ES"/>
        </w:rPr>
        <w:t>.</w:t>
      </w:r>
    </w:p>
    <w:p w14:paraId="5D1D56FA" w14:textId="74AADF9E" w:rsidR="00D502FB" w:rsidRPr="009E2FD5" w:rsidRDefault="00A627B2" w:rsidP="00A627B2">
      <w:pPr>
        <w:pStyle w:val="enumlev1"/>
        <w:rPr>
          <w:rFonts w:cstheme="minorHAnsi"/>
          <w:szCs w:val="24"/>
          <w:lang w:val="es-ES"/>
        </w:rPr>
      </w:pPr>
      <w:r w:rsidRPr="00A627B2">
        <w:rPr>
          <w:lang w:val="es-ES_tradnl"/>
        </w:rPr>
        <w:t>–</w:t>
      </w:r>
      <w:r>
        <w:rPr>
          <w:lang w:val="es-ES_tradnl"/>
        </w:rPr>
        <w:tab/>
      </w:r>
      <w:r w:rsidR="00D502FB" w:rsidRPr="009E2FD5">
        <w:rPr>
          <w:rFonts w:cstheme="minorHAnsi"/>
          <w:szCs w:val="24"/>
          <w:lang w:val="es-ES"/>
        </w:rPr>
        <w:t xml:space="preserve">Articulación de los vínculos entre cada </w:t>
      </w:r>
      <w:r w:rsidR="00D502FB">
        <w:rPr>
          <w:rFonts w:cstheme="minorHAnsi"/>
          <w:szCs w:val="24"/>
          <w:lang w:val="es-ES"/>
        </w:rPr>
        <w:t>grupo temático</w:t>
      </w:r>
      <w:r w:rsidR="00D502FB" w:rsidRPr="009E2FD5">
        <w:rPr>
          <w:rFonts w:cstheme="minorHAnsi"/>
          <w:szCs w:val="24"/>
          <w:lang w:val="es-ES"/>
        </w:rPr>
        <w:t xml:space="preserve"> (es decir, los programas de la CMDT) y las </w:t>
      </w:r>
      <w:r w:rsidRPr="00A627B2">
        <w:rPr>
          <w:lang w:val="es-ES_tradnl"/>
        </w:rPr>
        <w:t>–</w:t>
      </w:r>
      <w:r>
        <w:rPr>
          <w:lang w:val="es-ES_tradnl"/>
        </w:rPr>
        <w:tab/>
      </w:r>
      <w:r w:rsidR="00D502FB" w:rsidRPr="00A627B2">
        <w:rPr>
          <w:lang w:val="es-ES_tradnl"/>
        </w:rPr>
        <w:t>Comisiones</w:t>
      </w:r>
      <w:r w:rsidR="00D502FB" w:rsidRPr="009E2FD5">
        <w:rPr>
          <w:rFonts w:cstheme="minorHAnsi"/>
          <w:szCs w:val="24"/>
          <w:lang w:val="es-ES"/>
        </w:rPr>
        <w:t xml:space="preserve"> </w:t>
      </w:r>
      <w:r w:rsidR="00D502FB">
        <w:rPr>
          <w:rFonts w:cstheme="minorHAnsi"/>
          <w:szCs w:val="24"/>
          <w:lang w:val="es-ES"/>
        </w:rPr>
        <w:t>de Estudio del UIT-D pertinentes y los demás Sectores de la UIT (UIT-T y UIT-R)</w:t>
      </w:r>
      <w:r w:rsidR="00813432">
        <w:rPr>
          <w:rFonts w:cstheme="minorHAnsi"/>
          <w:szCs w:val="24"/>
          <w:lang w:val="es-ES"/>
        </w:rPr>
        <w:t>.</w:t>
      </w:r>
    </w:p>
    <w:p w14:paraId="499E994D" w14:textId="36F25476" w:rsidR="00D502FB" w:rsidRPr="00586486" w:rsidRDefault="00A627B2" w:rsidP="00A627B2">
      <w:pPr>
        <w:pStyle w:val="enumlev1"/>
        <w:rPr>
          <w:rFonts w:cstheme="minorHAnsi"/>
          <w:szCs w:val="24"/>
          <w:lang w:val="es-ES"/>
        </w:rPr>
      </w:pPr>
      <w:r w:rsidRPr="00A627B2">
        <w:rPr>
          <w:lang w:val="es-ES_tradnl"/>
        </w:rPr>
        <w:t>–</w:t>
      </w:r>
      <w:r>
        <w:rPr>
          <w:lang w:val="es-ES_tradnl"/>
        </w:rPr>
        <w:tab/>
      </w:r>
      <w:r w:rsidR="00D502FB" w:rsidRPr="00586486">
        <w:rPr>
          <w:rFonts w:cstheme="minorHAnsi"/>
          <w:b/>
          <w:bCs/>
          <w:i/>
          <w:iCs/>
          <w:szCs w:val="24"/>
          <w:lang w:val="es-ES"/>
        </w:rPr>
        <w:t xml:space="preserve">Indicadores fundamentales de rendimiento </w:t>
      </w:r>
      <w:r w:rsidR="00D502FB" w:rsidRPr="00586486">
        <w:rPr>
          <w:rFonts w:cstheme="minorHAnsi"/>
          <w:szCs w:val="24"/>
          <w:lang w:val="es-ES"/>
        </w:rPr>
        <w:t>(IFR) SMART, que ofrecen las herramientas necesarias para</w:t>
      </w:r>
      <w:r w:rsidR="00D502FB">
        <w:rPr>
          <w:rFonts w:cstheme="minorHAnsi"/>
          <w:szCs w:val="24"/>
          <w:lang w:val="es-ES"/>
        </w:rPr>
        <w:t>, de manera constante,</w:t>
      </w:r>
      <w:r w:rsidR="00D502FB" w:rsidRPr="00586486">
        <w:rPr>
          <w:rFonts w:cstheme="minorHAnsi"/>
          <w:szCs w:val="24"/>
          <w:lang w:val="es-ES"/>
        </w:rPr>
        <w:t xml:space="preserve"> medir y registrar cuantitativa y cuantitativamente </w:t>
      </w:r>
      <w:r w:rsidR="00D502FB" w:rsidRPr="00A627B2">
        <w:rPr>
          <w:lang w:val="es-ES_tradnl"/>
        </w:rPr>
        <w:t>nuestro</w:t>
      </w:r>
      <w:r w:rsidR="00D502FB" w:rsidRPr="00586486">
        <w:rPr>
          <w:rFonts w:cstheme="minorHAnsi"/>
          <w:szCs w:val="24"/>
          <w:lang w:val="es-ES"/>
        </w:rPr>
        <w:t xml:space="preserve"> avance en la consecució</w:t>
      </w:r>
      <w:r w:rsidR="00D502FB">
        <w:rPr>
          <w:rFonts w:cstheme="minorHAnsi"/>
          <w:szCs w:val="24"/>
          <w:lang w:val="es-ES"/>
        </w:rPr>
        <w:t>n de los objetivos temáticos a medio y largo plazo articulados</w:t>
      </w:r>
      <w:r w:rsidR="00D502FB" w:rsidRPr="00586486">
        <w:rPr>
          <w:rFonts w:cstheme="minorHAnsi"/>
          <w:szCs w:val="24"/>
          <w:lang w:val="es-ES"/>
        </w:rPr>
        <w:t xml:space="preserve">. </w:t>
      </w:r>
    </w:p>
    <w:p w14:paraId="646BE8B3" w14:textId="77777777" w:rsidR="00D502FB" w:rsidRPr="00586486" w:rsidRDefault="00D502FB" w:rsidP="009144FE">
      <w:pPr>
        <w:keepNext/>
        <w:rPr>
          <w:rFonts w:cstheme="minorHAnsi"/>
          <w:szCs w:val="24"/>
          <w:lang w:val="es-ES"/>
        </w:rPr>
      </w:pPr>
      <w:r w:rsidRPr="00586486">
        <w:rPr>
          <w:rFonts w:cstheme="minorHAnsi"/>
          <w:szCs w:val="24"/>
          <w:lang w:val="es-ES"/>
        </w:rPr>
        <w:t xml:space="preserve">Para cada </w:t>
      </w:r>
      <w:r>
        <w:rPr>
          <w:rFonts w:cstheme="minorHAnsi"/>
          <w:szCs w:val="24"/>
          <w:lang w:val="es-ES"/>
        </w:rPr>
        <w:t>grupo temático</w:t>
      </w:r>
      <w:r w:rsidRPr="00586486">
        <w:rPr>
          <w:rFonts w:cstheme="minorHAnsi"/>
          <w:szCs w:val="24"/>
          <w:lang w:val="es-ES"/>
        </w:rPr>
        <w:t xml:space="preserve"> (en 2019) y Oficina Regional</w:t>
      </w:r>
      <w:r>
        <w:rPr>
          <w:rStyle w:val="FootnoteReference"/>
          <w:rFonts w:cstheme="minorHAnsi"/>
          <w:szCs w:val="24"/>
        </w:rPr>
        <w:footnoteReference w:id="3"/>
      </w:r>
      <w:r w:rsidRPr="00586486">
        <w:rPr>
          <w:rFonts w:cstheme="minorHAnsi"/>
          <w:szCs w:val="24"/>
          <w:lang w:val="es-ES"/>
        </w:rPr>
        <w:t xml:space="preserve"> (en 2020) se ha definido un marco de GBR (teoría del cambio) que refleja sus prio</w:t>
      </w:r>
      <w:r>
        <w:rPr>
          <w:rFonts w:cstheme="minorHAnsi"/>
          <w:szCs w:val="24"/>
          <w:lang w:val="es-ES"/>
        </w:rPr>
        <w:t xml:space="preserve">ridades temáticas y especificidades regionales, incluidos todos los bloques anteriores, en consonancia plena con las prioridades del Plan de Acción de Buenos Aires. </w:t>
      </w:r>
      <w:r w:rsidRPr="00586486">
        <w:rPr>
          <w:rFonts w:cstheme="minorHAnsi"/>
          <w:szCs w:val="24"/>
          <w:lang w:val="es-ES"/>
        </w:rPr>
        <w:t xml:space="preserve">En el marco de ese ejercicio se formularon también los siguientes principios rectores: </w:t>
      </w:r>
    </w:p>
    <w:p w14:paraId="1ACB110B" w14:textId="32F42D3E" w:rsidR="00D502FB" w:rsidRPr="006C1020" w:rsidRDefault="00A627B2" w:rsidP="00A627B2">
      <w:pPr>
        <w:pStyle w:val="enumlev1"/>
        <w:rPr>
          <w:rFonts w:cstheme="minorHAnsi"/>
          <w:szCs w:val="24"/>
          <w:lang w:val="es-ES"/>
        </w:rPr>
      </w:pPr>
      <w:r w:rsidRPr="00A627B2">
        <w:rPr>
          <w:lang w:val="es-ES_tradnl"/>
        </w:rPr>
        <w:t>–</w:t>
      </w:r>
      <w:r>
        <w:rPr>
          <w:lang w:val="es-ES_tradnl"/>
        </w:rPr>
        <w:tab/>
      </w:r>
      <w:r w:rsidR="00D502FB" w:rsidRPr="006C1020">
        <w:rPr>
          <w:rFonts w:cstheme="minorHAnsi"/>
          <w:szCs w:val="24"/>
          <w:lang w:val="es-ES"/>
        </w:rPr>
        <w:t xml:space="preserve">Trabajar entre </w:t>
      </w:r>
      <w:r w:rsidR="00D502FB">
        <w:rPr>
          <w:rFonts w:cstheme="minorHAnsi"/>
          <w:szCs w:val="24"/>
          <w:lang w:val="es-ES"/>
        </w:rPr>
        <w:t xml:space="preserve">grupos </w:t>
      </w:r>
      <w:r w:rsidR="00D502FB" w:rsidRPr="00A627B2">
        <w:rPr>
          <w:lang w:val="es-ES_tradnl"/>
        </w:rPr>
        <w:t>temáticos</w:t>
      </w:r>
      <w:r w:rsidR="00D502FB" w:rsidRPr="006C1020">
        <w:rPr>
          <w:rFonts w:cstheme="minorHAnsi"/>
          <w:szCs w:val="24"/>
          <w:lang w:val="es-ES"/>
        </w:rPr>
        <w:t xml:space="preserve"> y en coordinación con ell</w:t>
      </w:r>
      <w:r w:rsidR="00D502FB">
        <w:rPr>
          <w:rFonts w:cstheme="minorHAnsi"/>
          <w:szCs w:val="24"/>
          <w:lang w:val="es-ES"/>
        </w:rPr>
        <w:t>o</w:t>
      </w:r>
      <w:r w:rsidR="00D502FB" w:rsidRPr="006C1020">
        <w:rPr>
          <w:rFonts w:cstheme="minorHAnsi"/>
          <w:szCs w:val="24"/>
          <w:lang w:val="es-ES"/>
        </w:rPr>
        <w:t>s.</w:t>
      </w:r>
    </w:p>
    <w:p w14:paraId="7B5989B1" w14:textId="5C7866E2" w:rsidR="00D502FB" w:rsidRPr="00A627B2" w:rsidRDefault="00A627B2" w:rsidP="00A627B2">
      <w:pPr>
        <w:pStyle w:val="enumlev1"/>
        <w:rPr>
          <w:lang w:val="es-ES_tradnl"/>
        </w:rPr>
      </w:pPr>
      <w:r w:rsidRPr="00A627B2">
        <w:rPr>
          <w:lang w:val="es-ES_tradnl"/>
        </w:rPr>
        <w:t>–</w:t>
      </w:r>
      <w:r>
        <w:rPr>
          <w:lang w:val="es-ES_tradnl"/>
        </w:rPr>
        <w:tab/>
      </w:r>
      <w:r w:rsidR="00D502FB" w:rsidRPr="006C1020">
        <w:rPr>
          <w:rFonts w:cstheme="minorHAnsi"/>
          <w:szCs w:val="24"/>
          <w:lang w:val="es-ES"/>
        </w:rPr>
        <w:t xml:space="preserve">Utilizar la </w:t>
      </w:r>
      <w:r w:rsidR="00D502FB" w:rsidRPr="00A627B2">
        <w:rPr>
          <w:lang w:val="es-ES_tradnl"/>
        </w:rPr>
        <w:t xml:space="preserve">GBR para la toma de decisiones de gestión. </w:t>
      </w:r>
    </w:p>
    <w:p w14:paraId="35043C12" w14:textId="120FD142" w:rsidR="00D502FB" w:rsidRPr="00A627B2" w:rsidRDefault="00A627B2" w:rsidP="00A627B2">
      <w:pPr>
        <w:pStyle w:val="enumlev1"/>
        <w:rPr>
          <w:lang w:val="es-ES_tradnl"/>
        </w:rPr>
      </w:pPr>
      <w:r w:rsidRPr="00A627B2">
        <w:rPr>
          <w:lang w:val="es-ES_tradnl"/>
        </w:rPr>
        <w:t>–</w:t>
      </w:r>
      <w:r>
        <w:rPr>
          <w:lang w:val="es-ES_tradnl"/>
        </w:rPr>
        <w:tab/>
      </w:r>
      <w:r w:rsidR="00D502FB" w:rsidRPr="00A627B2">
        <w:rPr>
          <w:lang w:val="es-ES_tradnl"/>
        </w:rPr>
        <w:t xml:space="preserve">Utilizar un enfoque global, que aúne todos los recursos disponibles (humanos, financieros) reuniendo el plan de trabajo del plan operacional de 2020, los proyectos, las iniciativas regionales y cualquier otra actividad. </w:t>
      </w:r>
    </w:p>
    <w:p w14:paraId="7E81403F" w14:textId="03DB8CB3" w:rsidR="00D502FB" w:rsidRPr="00A627B2" w:rsidRDefault="00A627B2" w:rsidP="00A627B2">
      <w:pPr>
        <w:pStyle w:val="enumlev1"/>
        <w:rPr>
          <w:lang w:val="es-ES_tradnl"/>
        </w:rPr>
      </w:pPr>
      <w:r w:rsidRPr="00A627B2">
        <w:rPr>
          <w:lang w:val="es-ES_tradnl"/>
        </w:rPr>
        <w:t>–</w:t>
      </w:r>
      <w:r>
        <w:rPr>
          <w:lang w:val="es-ES_tradnl"/>
        </w:rPr>
        <w:tab/>
      </w:r>
      <w:r w:rsidR="00D502FB" w:rsidRPr="00A627B2">
        <w:rPr>
          <w:lang w:val="es-ES_tradnl"/>
        </w:rPr>
        <w:t xml:space="preserve">Hacer de las asociaciones y la movilización de recursos una prioridad para cada funcionario y el modo de funcionamiento por defecto. </w:t>
      </w:r>
    </w:p>
    <w:p w14:paraId="3F8ABC8E" w14:textId="18B15997" w:rsidR="00D502FB" w:rsidRPr="00A627B2" w:rsidRDefault="00A627B2" w:rsidP="00A627B2">
      <w:pPr>
        <w:pStyle w:val="enumlev1"/>
        <w:rPr>
          <w:lang w:val="es-ES_tradnl"/>
        </w:rPr>
      </w:pPr>
      <w:r w:rsidRPr="00A627B2">
        <w:rPr>
          <w:lang w:val="es-ES_tradnl"/>
        </w:rPr>
        <w:t>–</w:t>
      </w:r>
      <w:r>
        <w:rPr>
          <w:lang w:val="es-ES_tradnl"/>
        </w:rPr>
        <w:tab/>
      </w:r>
      <w:r w:rsidR="00D502FB" w:rsidRPr="00A627B2">
        <w:rPr>
          <w:lang w:val="es-ES_tradnl"/>
        </w:rPr>
        <w:t xml:space="preserve">Utilizar la cadena de resultados y las pruebas de su influencia como base para la comunicación de la BDT. </w:t>
      </w:r>
    </w:p>
    <w:p w14:paraId="48705D3E" w14:textId="66C6AFEC" w:rsidR="00D502FB" w:rsidRPr="006C1020" w:rsidRDefault="00A627B2" w:rsidP="00A627B2">
      <w:pPr>
        <w:pStyle w:val="enumlev1"/>
        <w:rPr>
          <w:rFonts w:cstheme="minorHAnsi"/>
          <w:szCs w:val="24"/>
          <w:lang w:val="es-ES"/>
        </w:rPr>
      </w:pPr>
      <w:r w:rsidRPr="00A627B2">
        <w:rPr>
          <w:lang w:val="es-ES_tradnl"/>
        </w:rPr>
        <w:t>–</w:t>
      </w:r>
      <w:r>
        <w:rPr>
          <w:lang w:val="es-ES_tradnl"/>
        </w:rPr>
        <w:tab/>
      </w:r>
      <w:r w:rsidR="00D502FB" w:rsidRPr="00A627B2">
        <w:rPr>
          <w:lang w:val="es-ES_tradnl"/>
        </w:rPr>
        <w:t>Delegar la autoridad a los facilitadores de cada grupo y a los Directores Regionales (dentro de los límites de</w:t>
      </w:r>
      <w:r w:rsidR="00D502FB">
        <w:rPr>
          <w:rFonts w:cstheme="minorHAnsi"/>
          <w:szCs w:val="24"/>
          <w:lang w:val="es-ES"/>
        </w:rPr>
        <w:t xml:space="preserve"> aprobación predefinidos</w:t>
      </w:r>
      <w:r w:rsidR="00D502FB" w:rsidRPr="006C1020">
        <w:rPr>
          <w:rFonts w:cstheme="minorHAnsi"/>
          <w:szCs w:val="24"/>
          <w:lang w:val="es-ES"/>
        </w:rPr>
        <w:t>).</w:t>
      </w:r>
    </w:p>
    <w:p w14:paraId="19B5DC35" w14:textId="77777777" w:rsidR="00D502FB" w:rsidRPr="006C1020" w:rsidRDefault="00D502FB" w:rsidP="00E95169">
      <w:pPr>
        <w:rPr>
          <w:rFonts w:cstheme="minorHAnsi"/>
          <w:szCs w:val="24"/>
          <w:lang w:val="es-ES"/>
        </w:rPr>
      </w:pPr>
      <w:r w:rsidRPr="006C1020">
        <w:rPr>
          <w:rFonts w:cstheme="minorHAnsi"/>
          <w:szCs w:val="24"/>
          <w:lang w:val="es-ES"/>
        </w:rPr>
        <w:t xml:space="preserve">Este enfoque global exigirá que se creen nuevos sistemas para el seguimiento de los avances en la implementación, de los IFR y de los </w:t>
      </w:r>
      <w:r>
        <w:rPr>
          <w:rFonts w:cstheme="minorHAnsi"/>
          <w:szCs w:val="24"/>
          <w:lang w:val="es-ES"/>
        </w:rPr>
        <w:t xml:space="preserve">gastos incurridos por producto, además de las actividades. </w:t>
      </w:r>
      <w:r w:rsidRPr="006C1020">
        <w:rPr>
          <w:rFonts w:cstheme="minorHAnsi"/>
          <w:szCs w:val="24"/>
          <w:lang w:val="es-ES"/>
        </w:rPr>
        <w:t>De este modo, mientras</w:t>
      </w:r>
      <w:r>
        <w:rPr>
          <w:rFonts w:cstheme="minorHAnsi"/>
          <w:szCs w:val="24"/>
          <w:lang w:val="es-ES"/>
        </w:rPr>
        <w:t xml:space="preserve"> se completa la renovación de los sistemas de TI,</w:t>
      </w:r>
      <w:r w:rsidRPr="006C1020">
        <w:rPr>
          <w:rFonts w:cstheme="minorHAnsi"/>
          <w:szCs w:val="24"/>
          <w:lang w:val="es-ES"/>
        </w:rPr>
        <w:t xml:space="preserve"> se podrán establecer vínculos directos entre el presupuesto y los gastos en prioridades del programa de trabajo. </w:t>
      </w:r>
    </w:p>
    <w:p w14:paraId="70CD9812" w14:textId="77777777" w:rsidR="00D502FB" w:rsidRPr="00C92E6E" w:rsidRDefault="00D502FB" w:rsidP="00A04715">
      <w:pPr>
        <w:pStyle w:val="Headingb"/>
        <w:rPr>
          <w:lang w:val="es-ES_tradnl"/>
        </w:rPr>
      </w:pPr>
      <w:r w:rsidRPr="00C92E6E">
        <w:rPr>
          <w:lang w:val="es-ES_tradnl"/>
        </w:rPr>
        <w:t xml:space="preserve">Lo que va a cambiar </w:t>
      </w:r>
    </w:p>
    <w:p w14:paraId="1A4FDAEF" w14:textId="77777777" w:rsidR="00D502FB" w:rsidRPr="006C1020" w:rsidRDefault="00D502FB" w:rsidP="00E95169">
      <w:pPr>
        <w:rPr>
          <w:rFonts w:cstheme="minorHAnsi"/>
          <w:szCs w:val="24"/>
          <w:lang w:val="es-ES"/>
        </w:rPr>
      </w:pPr>
      <w:r w:rsidRPr="006C1020">
        <w:rPr>
          <w:rFonts w:cstheme="minorHAnsi"/>
          <w:szCs w:val="24"/>
          <w:lang w:val="es-ES"/>
        </w:rPr>
        <w:t xml:space="preserve">Utilizar la GBR como herramienta para la toma de decisiones de gestión en el marco del programa de trabajo de la BDT sienta las bases de una BDT eficaz, eficiente </w:t>
      </w:r>
      <w:r>
        <w:rPr>
          <w:rFonts w:cstheme="minorHAnsi"/>
          <w:szCs w:val="24"/>
          <w:lang w:val="es-ES"/>
        </w:rPr>
        <w:t>y adecuada a su misión</w:t>
      </w:r>
      <w:r w:rsidRPr="006C1020">
        <w:rPr>
          <w:rFonts w:cstheme="minorHAnsi"/>
          <w:szCs w:val="24"/>
          <w:lang w:val="es-ES"/>
        </w:rPr>
        <w:t xml:space="preserve">: </w:t>
      </w:r>
    </w:p>
    <w:p w14:paraId="048EC7FD" w14:textId="01BD3C00" w:rsidR="00D502FB" w:rsidRPr="00A627B2" w:rsidRDefault="00A627B2" w:rsidP="00A627B2">
      <w:pPr>
        <w:pStyle w:val="enumlev1"/>
        <w:rPr>
          <w:lang w:val="es-ES_tradnl"/>
        </w:rPr>
      </w:pPr>
      <w:r w:rsidRPr="00A627B2">
        <w:rPr>
          <w:lang w:val="es-ES_tradnl"/>
        </w:rPr>
        <w:t>–</w:t>
      </w:r>
      <w:r>
        <w:rPr>
          <w:lang w:val="es-ES_tradnl"/>
        </w:rPr>
        <w:tab/>
      </w:r>
      <w:r w:rsidR="00D502FB" w:rsidRPr="00C35F56">
        <w:rPr>
          <w:rFonts w:cstheme="minorHAnsi"/>
          <w:szCs w:val="24"/>
          <w:lang w:val="es-ES"/>
        </w:rPr>
        <w:t xml:space="preserve">En reuniones trimestrales entre los grupos temáticos y las Oficinas Regionales se revisarán los avances de </w:t>
      </w:r>
      <w:r w:rsidR="00D502FB" w:rsidRPr="00A627B2">
        <w:rPr>
          <w:lang w:val="es-ES_tradnl"/>
        </w:rPr>
        <w:t>todos los elementos del programa de trabajo y se podrán efectuar ajustes.</w:t>
      </w:r>
    </w:p>
    <w:p w14:paraId="749ADB1F" w14:textId="77F22E3B" w:rsidR="00D502FB" w:rsidRPr="00C35F56" w:rsidRDefault="00A627B2" w:rsidP="00A627B2">
      <w:pPr>
        <w:pStyle w:val="enumlev1"/>
        <w:rPr>
          <w:rFonts w:cstheme="minorHAnsi"/>
          <w:szCs w:val="24"/>
          <w:lang w:val="es-ES"/>
        </w:rPr>
      </w:pPr>
      <w:r w:rsidRPr="00A627B2">
        <w:rPr>
          <w:lang w:val="es-ES_tradnl"/>
        </w:rPr>
        <w:t>–</w:t>
      </w:r>
      <w:r>
        <w:rPr>
          <w:lang w:val="es-ES_tradnl"/>
        </w:rPr>
        <w:tab/>
      </w:r>
      <w:r w:rsidR="00D502FB" w:rsidRPr="00A627B2">
        <w:rPr>
          <w:lang w:val="es-ES_tradnl"/>
        </w:rPr>
        <w:t>Las evaluaciones de riesgos operativos se consignarán en un registro de riesgo por unidades, que se agregarán a nivel de la BDT. De este modo se podrá detectar rápidamente cualquier problema (en rojo) y remitirlo a las instancias decisorias superiores a fin de resolver los problemas p</w:t>
      </w:r>
      <w:r w:rsidR="00D502FB" w:rsidRPr="00C35F56">
        <w:rPr>
          <w:rFonts w:cstheme="minorHAnsi"/>
          <w:szCs w:val="24"/>
          <w:lang w:val="es-ES"/>
        </w:rPr>
        <w:t>endientes</w:t>
      </w:r>
      <w:r w:rsidR="00A04715">
        <w:rPr>
          <w:rFonts w:cstheme="minorHAnsi"/>
          <w:szCs w:val="24"/>
          <w:lang w:val="es-ES"/>
        </w:rPr>
        <w:t>.</w:t>
      </w:r>
    </w:p>
    <w:p w14:paraId="73D52686" w14:textId="6AA0D122" w:rsidR="00D502FB" w:rsidRPr="00A627B2" w:rsidRDefault="00A627B2" w:rsidP="00A627B2">
      <w:pPr>
        <w:pStyle w:val="enumlev1"/>
        <w:rPr>
          <w:lang w:val="es-ES_tradnl"/>
        </w:rPr>
      </w:pPr>
      <w:r w:rsidRPr="00A627B2">
        <w:rPr>
          <w:lang w:val="es-ES_tradnl"/>
        </w:rPr>
        <w:t>–</w:t>
      </w:r>
      <w:r>
        <w:rPr>
          <w:lang w:val="es-ES_tradnl"/>
        </w:rPr>
        <w:tab/>
      </w:r>
      <w:r w:rsidR="00D502FB" w:rsidRPr="00C35F56">
        <w:rPr>
          <w:rFonts w:cstheme="minorHAnsi"/>
          <w:szCs w:val="24"/>
          <w:lang w:val="es-ES"/>
        </w:rPr>
        <w:t xml:space="preserve">También se </w:t>
      </w:r>
      <w:r w:rsidR="00D502FB" w:rsidRPr="00A627B2">
        <w:rPr>
          <w:lang w:val="es-ES_tradnl"/>
        </w:rPr>
        <w:t>revisarán periódicamente los supuestos de trabajo para garantizar la agilidad de los ajustes del programa de trabajo y reaccionar rápidamente ante los cambios</w:t>
      </w:r>
      <w:r w:rsidR="00A04715">
        <w:rPr>
          <w:lang w:val="es-ES_tradnl"/>
        </w:rPr>
        <w:t>.</w:t>
      </w:r>
    </w:p>
    <w:p w14:paraId="5333E308" w14:textId="4DCE3C5B" w:rsidR="00D502FB" w:rsidRPr="00A627B2" w:rsidRDefault="00A627B2" w:rsidP="00A627B2">
      <w:pPr>
        <w:pStyle w:val="enumlev1"/>
        <w:rPr>
          <w:lang w:val="es-ES_tradnl"/>
        </w:rPr>
      </w:pPr>
      <w:r w:rsidRPr="00A627B2">
        <w:rPr>
          <w:lang w:val="es-ES_tradnl"/>
        </w:rPr>
        <w:lastRenderedPageBreak/>
        <w:t>–</w:t>
      </w:r>
      <w:r>
        <w:rPr>
          <w:lang w:val="es-ES_tradnl"/>
        </w:rPr>
        <w:tab/>
      </w:r>
      <w:r w:rsidR="00D502FB" w:rsidRPr="00A627B2">
        <w:rPr>
          <w:lang w:val="es-ES_tradnl"/>
        </w:rPr>
        <w:t>Se efectuará una evaluación constante del progreso de los indicadores fundamentales de rendimiento en el panel de control de la BDT, y se dará cuenta de ese progreso periódicamente.</w:t>
      </w:r>
    </w:p>
    <w:p w14:paraId="08998998" w14:textId="7BEE50B0" w:rsidR="00D502FB" w:rsidRPr="00C35F56" w:rsidRDefault="00A627B2" w:rsidP="00A627B2">
      <w:pPr>
        <w:pStyle w:val="enumlev1"/>
        <w:rPr>
          <w:rFonts w:cstheme="minorHAnsi"/>
          <w:szCs w:val="24"/>
          <w:lang w:val="es-ES"/>
        </w:rPr>
      </w:pPr>
      <w:r w:rsidRPr="00A627B2">
        <w:rPr>
          <w:lang w:val="es-ES_tradnl"/>
        </w:rPr>
        <w:t>–</w:t>
      </w:r>
      <w:r>
        <w:rPr>
          <w:lang w:val="es-ES_tradnl"/>
        </w:rPr>
        <w:tab/>
      </w:r>
      <w:r w:rsidR="00D502FB" w:rsidRPr="00A627B2">
        <w:rPr>
          <w:lang w:val="es-ES_tradnl"/>
        </w:rPr>
        <w:t>Los proyectos y programas de éxito, incluidas las iniciativas regionales, se replicarán y ampliarán con</w:t>
      </w:r>
      <w:r w:rsidR="00D502FB" w:rsidRPr="00C35F56">
        <w:rPr>
          <w:rFonts w:cstheme="minorHAnsi"/>
          <w:szCs w:val="24"/>
          <w:lang w:val="es-ES"/>
        </w:rPr>
        <w:t xml:space="preserve"> la ayuda de nuestros socios y en función del interés </w:t>
      </w:r>
      <w:r w:rsidR="00D502FB">
        <w:rPr>
          <w:rFonts w:cstheme="minorHAnsi"/>
          <w:szCs w:val="24"/>
          <w:lang w:val="es-ES"/>
        </w:rPr>
        <w:t>de los Miembros</w:t>
      </w:r>
      <w:r w:rsidR="00D502FB" w:rsidRPr="00C35F56">
        <w:rPr>
          <w:rFonts w:cstheme="minorHAnsi"/>
          <w:szCs w:val="24"/>
          <w:lang w:val="es-ES"/>
        </w:rPr>
        <w:t>.</w:t>
      </w:r>
    </w:p>
    <w:p w14:paraId="05403DFA" w14:textId="77777777" w:rsidR="00D502FB" w:rsidRPr="00C35F56" w:rsidRDefault="00D502FB" w:rsidP="00496818">
      <w:pPr>
        <w:rPr>
          <w:rFonts w:cstheme="minorHAnsi"/>
          <w:szCs w:val="24"/>
          <w:lang w:val="es-ES"/>
        </w:rPr>
      </w:pPr>
      <w:r w:rsidRPr="00C35F56">
        <w:rPr>
          <w:rFonts w:cstheme="minorHAnsi"/>
          <w:szCs w:val="24"/>
          <w:lang w:val="es-ES"/>
        </w:rPr>
        <w:t xml:space="preserve">Las medidas expuestas darán resultados palpables, cuyos primeros signos ya son visibles, y se </w:t>
      </w:r>
      <w:r>
        <w:rPr>
          <w:rFonts w:cstheme="minorHAnsi"/>
          <w:szCs w:val="24"/>
          <w:lang w:val="es-ES"/>
        </w:rPr>
        <w:t>hará un seguimiento sistemático de las pruebas de su influencia</w:t>
      </w:r>
      <w:r w:rsidRPr="00C35F56">
        <w:rPr>
          <w:rFonts w:cstheme="minorHAnsi"/>
          <w:szCs w:val="24"/>
          <w:lang w:val="es-ES"/>
        </w:rPr>
        <w:t xml:space="preserve">. </w:t>
      </w:r>
    </w:p>
    <w:p w14:paraId="0C964450" w14:textId="77777777" w:rsidR="00D502FB" w:rsidRPr="00C35F56" w:rsidRDefault="00D502FB" w:rsidP="00496818">
      <w:pPr>
        <w:rPr>
          <w:rFonts w:cstheme="minorHAnsi"/>
          <w:szCs w:val="24"/>
          <w:lang w:val="es-ES"/>
        </w:rPr>
      </w:pPr>
    </w:p>
    <w:p w14:paraId="7BC77625" w14:textId="77777777" w:rsidR="00D502FB" w:rsidRPr="00496818" w:rsidRDefault="00D502FB" w:rsidP="009144FE">
      <w:pPr>
        <w:jc w:val="center"/>
        <w:rPr>
          <w:rFonts w:cstheme="minorHAnsi"/>
          <w:szCs w:val="24"/>
        </w:rPr>
      </w:pPr>
      <w:r>
        <w:rPr>
          <w:rFonts w:cstheme="minorHAnsi"/>
          <w:szCs w:val="24"/>
        </w:rPr>
        <w:t>_______________</w:t>
      </w:r>
    </w:p>
    <w:sectPr w:rsidR="00D502FB" w:rsidRPr="00496818" w:rsidSect="009272F6">
      <w:headerReference w:type="default" r:id="rId12"/>
      <w:footerReference w:type="default" r:id="rId13"/>
      <w:headerReference w:type="first" r:id="rId14"/>
      <w:footerReference w:type="first" r:id="rId15"/>
      <w:pgSz w:w="11906" w:h="16838" w:code="9"/>
      <w:pgMar w:top="1418"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25EFD" w14:textId="77777777" w:rsidR="00D502FB" w:rsidRDefault="00D502FB" w:rsidP="0088106F">
      <w:r>
        <w:separator/>
      </w:r>
    </w:p>
  </w:endnote>
  <w:endnote w:type="continuationSeparator" w:id="0">
    <w:p w14:paraId="12695CAF" w14:textId="77777777" w:rsidR="00D502FB" w:rsidRDefault="00D502FB"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B794" w14:textId="142F1DAB" w:rsidR="009A6FC4" w:rsidRDefault="00634E4C">
    <w:pPr>
      <w:pStyle w:val="Footer"/>
    </w:pPr>
    <w:fldSimple w:instr=" FILENAME \p  \* MERGEFORMAT ">
      <w:r w:rsidR="00605AD6">
        <w:t>P:\ESP\ITU-D\CONF-D\TDAG20\000\028S.docx</w:t>
      </w:r>
    </w:fldSimple>
    <w:r w:rsidR="009A6FC4">
      <w:tab/>
    </w:r>
    <w:r w:rsidR="009A6FC4">
      <w:fldChar w:fldCharType="begin"/>
    </w:r>
    <w:r w:rsidR="009A6FC4">
      <w:instrText xml:space="preserve"> SAVEDATE \@ DD.MM.YY </w:instrText>
    </w:r>
    <w:r w:rsidR="009A6FC4">
      <w:fldChar w:fldCharType="separate"/>
    </w:r>
    <w:r w:rsidR="00AF1DEB">
      <w:t>28.02.20</w:t>
    </w:r>
    <w:r w:rsidR="009A6FC4">
      <w:fldChar w:fldCharType="end"/>
    </w:r>
    <w:r w:rsidR="009A6FC4">
      <w:tab/>
    </w:r>
    <w:r w:rsidR="009A6FC4">
      <w:fldChar w:fldCharType="begin"/>
    </w:r>
    <w:r w:rsidR="009A6FC4">
      <w:instrText xml:space="preserve"> PRINTDATE \@ DD.MM.YY </w:instrText>
    </w:r>
    <w:r w:rsidR="009A6FC4">
      <w:fldChar w:fldCharType="separate"/>
    </w:r>
    <w:r w:rsidR="00605AD6">
      <w:t>27.02.20</w:t>
    </w:r>
    <w:r w:rsidR="009A6FC4">
      <w:fldChar w:fldCharType="end"/>
    </w:r>
  </w:p>
  <w:p w14:paraId="014F84C8" w14:textId="77777777" w:rsidR="0088106F" w:rsidRPr="009A6FC4" w:rsidRDefault="0088106F" w:rsidP="009A6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81" w:type="dxa"/>
      <w:tblLayout w:type="fixed"/>
      <w:tblLook w:val="04A0" w:firstRow="1" w:lastRow="0" w:firstColumn="1" w:lastColumn="0" w:noHBand="0" w:noVBand="1"/>
    </w:tblPr>
    <w:tblGrid>
      <w:gridCol w:w="938"/>
      <w:gridCol w:w="2534"/>
      <w:gridCol w:w="6509"/>
    </w:tblGrid>
    <w:tr w:rsidR="009272F6" w:rsidRPr="00634E4C" w14:paraId="162B075A" w14:textId="77777777" w:rsidTr="009272F6">
      <w:trPr>
        <w:trHeight w:val="363"/>
      </w:trPr>
      <w:tc>
        <w:tcPr>
          <w:tcW w:w="938" w:type="dxa"/>
          <w:tcBorders>
            <w:top w:val="single" w:sz="4" w:space="0" w:color="000000"/>
          </w:tcBorders>
          <w:shd w:val="clear" w:color="auto" w:fill="auto"/>
        </w:tcPr>
        <w:p w14:paraId="1A9A7E28" w14:textId="77777777" w:rsidR="009272F6" w:rsidRPr="004D495C" w:rsidRDefault="009272F6" w:rsidP="009272F6">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34" w:type="dxa"/>
          <w:tcBorders>
            <w:top w:val="single" w:sz="4" w:space="0" w:color="000000"/>
          </w:tcBorders>
          <w:shd w:val="clear" w:color="auto" w:fill="auto"/>
        </w:tcPr>
        <w:p w14:paraId="33E6900F" w14:textId="5114B4C6" w:rsidR="009272F6" w:rsidRPr="004D495C" w:rsidRDefault="009272F6" w:rsidP="009272F6">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p>
      </w:tc>
      <w:tc>
        <w:tcPr>
          <w:tcW w:w="6509" w:type="dxa"/>
          <w:tcBorders>
            <w:top w:val="single" w:sz="4" w:space="0" w:color="000000"/>
          </w:tcBorders>
        </w:tcPr>
        <w:p w14:paraId="469658A9" w14:textId="4268AAB6" w:rsidR="009272F6" w:rsidRPr="009272F6" w:rsidRDefault="009272F6" w:rsidP="009272F6">
          <w:pPr>
            <w:pStyle w:val="FirstFooter"/>
            <w:ind w:right="-115"/>
            <w:rPr>
              <w:sz w:val="18"/>
              <w:szCs w:val="18"/>
              <w:lang w:val="es-ES_tradnl"/>
            </w:rPr>
          </w:pPr>
          <w:r w:rsidRPr="009272F6">
            <w:rPr>
              <w:sz w:val="18"/>
              <w:szCs w:val="18"/>
              <w:lang w:val="es-ES_tradnl"/>
            </w:rPr>
            <w:t>Sra. Doreen Bogdan-Martin, Directora, Oficina de Desarrollo de las</w:t>
          </w:r>
          <w:r>
            <w:rPr>
              <w:sz w:val="18"/>
              <w:szCs w:val="18"/>
              <w:lang w:val="es-ES_tradnl"/>
            </w:rPr>
            <w:t xml:space="preserve"> </w:t>
          </w:r>
          <w:r w:rsidRPr="009272F6">
            <w:rPr>
              <w:sz w:val="18"/>
              <w:szCs w:val="18"/>
              <w:lang w:val="es-ES_tradnl"/>
            </w:rPr>
            <w:t>Telecomunicaciones</w:t>
          </w:r>
        </w:p>
      </w:tc>
      <w:bookmarkStart w:id="1" w:name="OrgName"/>
      <w:bookmarkEnd w:id="1"/>
    </w:tr>
    <w:tr w:rsidR="009272F6" w:rsidRPr="004D495C" w14:paraId="44E55206" w14:textId="77777777" w:rsidTr="009272F6">
      <w:tc>
        <w:tcPr>
          <w:tcW w:w="938" w:type="dxa"/>
          <w:shd w:val="clear" w:color="auto" w:fill="auto"/>
        </w:tcPr>
        <w:p w14:paraId="0BC5B4BB" w14:textId="77777777" w:rsidR="009272F6" w:rsidRPr="009272F6" w:rsidRDefault="009272F6" w:rsidP="009272F6">
          <w:pPr>
            <w:pStyle w:val="FirstFooter"/>
            <w:tabs>
              <w:tab w:val="left" w:pos="1559"/>
              <w:tab w:val="left" w:pos="3828"/>
            </w:tabs>
            <w:rPr>
              <w:sz w:val="20"/>
              <w:lang w:val="es-ES_tradnl"/>
            </w:rPr>
          </w:pPr>
        </w:p>
      </w:tc>
      <w:tc>
        <w:tcPr>
          <w:tcW w:w="2534" w:type="dxa"/>
          <w:shd w:val="clear" w:color="auto" w:fill="auto"/>
        </w:tcPr>
        <w:p w14:paraId="3AB323C7" w14:textId="77777777" w:rsidR="009272F6" w:rsidRPr="004D495C" w:rsidRDefault="009272F6" w:rsidP="009272F6">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509" w:type="dxa"/>
        </w:tcPr>
        <w:p w14:paraId="351B46AD" w14:textId="052DCC28" w:rsidR="009272F6" w:rsidRPr="00050E06" w:rsidRDefault="009272F6" w:rsidP="009272F6">
          <w:pPr>
            <w:pStyle w:val="FirstFooter"/>
            <w:tabs>
              <w:tab w:val="left" w:pos="2302"/>
            </w:tabs>
            <w:rPr>
              <w:sz w:val="18"/>
              <w:szCs w:val="18"/>
              <w:lang w:val="en-US"/>
            </w:rPr>
          </w:pPr>
          <w:r>
            <w:rPr>
              <w:sz w:val="18"/>
              <w:szCs w:val="18"/>
              <w:lang w:val="en-US"/>
            </w:rPr>
            <w:t>+41 22 730 5533</w:t>
          </w:r>
        </w:p>
      </w:tc>
      <w:bookmarkStart w:id="2" w:name="PhoneNo"/>
      <w:bookmarkEnd w:id="2"/>
    </w:tr>
    <w:tr w:rsidR="009272F6" w:rsidRPr="004D495C" w14:paraId="40A704A1" w14:textId="77777777" w:rsidTr="009272F6">
      <w:tc>
        <w:tcPr>
          <w:tcW w:w="938" w:type="dxa"/>
          <w:shd w:val="clear" w:color="auto" w:fill="auto"/>
        </w:tcPr>
        <w:p w14:paraId="2C8877E3" w14:textId="77777777" w:rsidR="009272F6" w:rsidRPr="004D495C" w:rsidRDefault="009272F6" w:rsidP="009272F6">
          <w:pPr>
            <w:pStyle w:val="FirstFooter"/>
            <w:tabs>
              <w:tab w:val="left" w:pos="1559"/>
              <w:tab w:val="left" w:pos="3828"/>
            </w:tabs>
            <w:rPr>
              <w:sz w:val="20"/>
              <w:lang w:val="en-US"/>
            </w:rPr>
          </w:pPr>
        </w:p>
      </w:tc>
      <w:tc>
        <w:tcPr>
          <w:tcW w:w="2534" w:type="dxa"/>
          <w:shd w:val="clear" w:color="auto" w:fill="auto"/>
        </w:tcPr>
        <w:p w14:paraId="0A6C12CA" w14:textId="77777777" w:rsidR="009272F6" w:rsidRPr="004D495C" w:rsidRDefault="009272F6" w:rsidP="009272F6">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509" w:type="dxa"/>
        </w:tcPr>
        <w:p w14:paraId="498DCC0A" w14:textId="48FDD427" w:rsidR="009272F6" w:rsidRPr="00050E06" w:rsidRDefault="00AF1DEB" w:rsidP="009272F6">
          <w:pPr>
            <w:pStyle w:val="FirstFooter"/>
            <w:tabs>
              <w:tab w:val="left" w:pos="2302"/>
            </w:tabs>
            <w:rPr>
              <w:sz w:val="18"/>
              <w:szCs w:val="18"/>
              <w:lang w:val="en-US"/>
            </w:rPr>
          </w:pPr>
          <w:hyperlink r:id="rId1" w:history="1">
            <w:r w:rsidR="009272F6" w:rsidRPr="00AB63B0">
              <w:rPr>
                <w:rStyle w:val="Hyperlink"/>
                <w:sz w:val="18"/>
                <w:szCs w:val="18"/>
                <w:lang w:val="en-US"/>
              </w:rPr>
              <w:t>bdtdir@itu.int</w:t>
            </w:r>
          </w:hyperlink>
        </w:p>
      </w:tc>
      <w:bookmarkStart w:id="3" w:name="Email"/>
      <w:bookmarkEnd w:id="3"/>
    </w:tr>
  </w:tbl>
  <w:p w14:paraId="626968A2" w14:textId="77777777" w:rsidR="009D1BD4" w:rsidRDefault="009D1BD4" w:rsidP="006E4AB3">
    <w:pPr>
      <w:tabs>
        <w:tab w:val="clear" w:pos="794"/>
        <w:tab w:val="clear" w:pos="1191"/>
        <w:tab w:val="clear" w:pos="1588"/>
        <w:tab w:val="clear" w:pos="1985"/>
        <w:tab w:val="left" w:pos="5954"/>
        <w:tab w:val="right" w:pos="9639"/>
      </w:tabs>
      <w:spacing w:before="0"/>
      <w:jc w:val="center"/>
    </w:pPr>
  </w:p>
  <w:p w14:paraId="00DFE805" w14:textId="51FA4435" w:rsidR="006E4AB3" w:rsidRPr="006E4AB3" w:rsidRDefault="00AF1DEB"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2" w:history="1">
      <w:r w:rsidR="00225D2E">
        <w:rPr>
          <w:rFonts w:ascii="Calibri" w:hAnsi="Calibri"/>
          <w:color w:val="0000FF"/>
          <w:sz w:val="18"/>
          <w:szCs w:val="18"/>
          <w:u w:val="single"/>
        </w:rPr>
        <w:t>GADT</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06CFF" w14:textId="6FD1322C" w:rsidR="005D306E" w:rsidRPr="00B65F41" w:rsidRDefault="00B65F41" w:rsidP="00B65F41">
    <w:pPr>
      <w:pStyle w:val="Footer"/>
    </w:pPr>
    <w:r w:rsidRPr="005D306E">
      <w:rPr>
        <w:rFonts w:ascii="Calibri" w:hAnsi="Calibri"/>
        <w:szCs w:val="18"/>
      </w:rPr>
      <w:fldChar w:fldCharType="begin"/>
    </w:r>
    <w:r w:rsidRPr="005D306E">
      <w:rPr>
        <w:rFonts w:ascii="Calibri" w:hAnsi="Calibri"/>
        <w:szCs w:val="18"/>
      </w:rPr>
      <w:instrText xml:space="preserve"> FILENAME \p  \* MERGEFORMAT </w:instrText>
    </w:r>
    <w:r w:rsidRPr="005D306E">
      <w:rPr>
        <w:rFonts w:ascii="Calibri" w:hAnsi="Calibri"/>
        <w:szCs w:val="18"/>
      </w:rPr>
      <w:fldChar w:fldCharType="separate"/>
    </w:r>
    <w:r w:rsidR="00605AD6">
      <w:rPr>
        <w:rFonts w:ascii="Calibri" w:hAnsi="Calibri"/>
        <w:szCs w:val="18"/>
      </w:rPr>
      <w:t>P:\ESP\ITU-D</w:t>
    </w:r>
    <w:r w:rsidR="00605AD6" w:rsidRPr="00605AD6">
      <w:rPr>
        <w:rFonts w:ascii="Calibri" w:hAnsi="Calibri"/>
        <w:sz w:val="18"/>
        <w:szCs w:val="18"/>
      </w:rPr>
      <w:t>\CONF-D\TDAG20\000\028S.docx</w:t>
    </w:r>
    <w:r w:rsidRPr="005D306E">
      <w:rPr>
        <w:rFonts w:ascii="Calibri" w:hAnsi="Calibri"/>
        <w:sz w:val="18"/>
        <w:szCs w:val="18"/>
      </w:rPr>
      <w:fldChar w:fldCharType="end"/>
    </w:r>
    <w:r w:rsidRPr="005D306E">
      <w:rPr>
        <w:rFonts w:ascii="Calibri" w:hAnsi="Calibri"/>
        <w:szCs w:val="18"/>
      </w:rPr>
      <w:t xml:space="preserve"> (</w:t>
    </w:r>
    <w:r>
      <w:rPr>
        <w:rFonts w:ascii="Calibri" w:hAnsi="Calibri"/>
        <w:szCs w:val="18"/>
      </w:rPr>
      <w:t>467656</w:t>
    </w:r>
    <w:r w:rsidRPr="005D306E">
      <w:rPr>
        <w:rFonts w:ascii="Calibri" w:hAnsi="Calibri"/>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ABD5" w14:textId="1051BE0D" w:rsidR="005D306E" w:rsidRPr="005D306E" w:rsidRDefault="005D306E" w:rsidP="009272F6">
    <w:pPr>
      <w:pStyle w:val="Footer"/>
      <w:tabs>
        <w:tab w:val="clear" w:pos="5954"/>
        <w:tab w:val="clear" w:pos="9639"/>
        <w:tab w:val="left" w:pos="6097"/>
      </w:tabs>
      <w:rPr>
        <w:rFonts w:ascii="Calibri" w:hAnsi="Calibri"/>
      </w:rPr>
    </w:pPr>
    <w:r w:rsidRPr="005D306E">
      <w:rPr>
        <w:rFonts w:ascii="Calibri" w:hAnsi="Calibri"/>
        <w:szCs w:val="18"/>
      </w:rPr>
      <w:fldChar w:fldCharType="begin"/>
    </w:r>
    <w:r w:rsidRPr="005D306E">
      <w:rPr>
        <w:rFonts w:ascii="Calibri" w:hAnsi="Calibri"/>
        <w:szCs w:val="18"/>
      </w:rPr>
      <w:instrText xml:space="preserve"> FILENAME \p  \* MERGEFORMAT </w:instrText>
    </w:r>
    <w:r w:rsidRPr="005D306E">
      <w:rPr>
        <w:rFonts w:ascii="Calibri" w:hAnsi="Calibri"/>
        <w:szCs w:val="18"/>
      </w:rPr>
      <w:fldChar w:fldCharType="separate"/>
    </w:r>
    <w:r w:rsidR="00605AD6">
      <w:rPr>
        <w:rFonts w:ascii="Calibri" w:hAnsi="Calibri"/>
        <w:szCs w:val="18"/>
      </w:rPr>
      <w:t>P:\ESP\ITU-D</w:t>
    </w:r>
    <w:r w:rsidR="00605AD6" w:rsidRPr="00605AD6">
      <w:rPr>
        <w:rFonts w:ascii="Calibri" w:hAnsi="Calibri"/>
        <w:sz w:val="18"/>
        <w:szCs w:val="18"/>
      </w:rPr>
      <w:t>\CONF-D\TDAG20\000\028S.docx</w:t>
    </w:r>
    <w:r w:rsidRPr="005D306E">
      <w:rPr>
        <w:rFonts w:ascii="Calibri" w:hAnsi="Calibri"/>
        <w:sz w:val="18"/>
        <w:szCs w:val="18"/>
      </w:rPr>
      <w:fldChar w:fldCharType="end"/>
    </w:r>
    <w:r w:rsidRPr="005D306E">
      <w:rPr>
        <w:rFonts w:ascii="Calibri" w:hAnsi="Calibri"/>
        <w:szCs w:val="18"/>
      </w:rPr>
      <w:t xml:space="preserve"> (</w:t>
    </w:r>
    <w:r>
      <w:rPr>
        <w:rFonts w:ascii="Calibri" w:hAnsi="Calibri"/>
        <w:szCs w:val="18"/>
      </w:rPr>
      <w:t>467656</w:t>
    </w:r>
    <w:r w:rsidRPr="005D306E">
      <w:rPr>
        <w:rFonts w:ascii="Calibri" w:hAnsi="Calibri"/>
        <w:szCs w:val="18"/>
      </w:rPr>
      <w:t>)</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2A9EB" w14:textId="77777777" w:rsidR="00D502FB" w:rsidRDefault="00D502FB" w:rsidP="0088106F">
      <w:r>
        <w:separator/>
      </w:r>
    </w:p>
  </w:footnote>
  <w:footnote w:type="continuationSeparator" w:id="0">
    <w:p w14:paraId="45B66BF6" w14:textId="77777777" w:rsidR="00D502FB" w:rsidRDefault="00D502FB" w:rsidP="0088106F">
      <w:r>
        <w:continuationSeparator/>
      </w:r>
    </w:p>
  </w:footnote>
  <w:footnote w:id="1">
    <w:p w14:paraId="646C81D0" w14:textId="77777777" w:rsidR="00D502FB" w:rsidRPr="00897210" w:rsidRDefault="00D502FB" w:rsidP="00566AD3">
      <w:pPr>
        <w:pStyle w:val="FootnoteText"/>
        <w:spacing w:before="0"/>
        <w:ind w:left="259" w:hanging="259"/>
        <w:rPr>
          <w:sz w:val="20"/>
          <w:lang w:val="es-ES"/>
        </w:rPr>
      </w:pPr>
      <w:r>
        <w:rPr>
          <w:rStyle w:val="FootnoteReference"/>
        </w:rPr>
        <w:footnoteRef/>
      </w:r>
      <w:r w:rsidRPr="00897210">
        <w:rPr>
          <w:lang w:val="es-ES"/>
        </w:rPr>
        <w:t xml:space="preserve"> </w:t>
      </w:r>
      <w:r w:rsidRPr="00897210">
        <w:rPr>
          <w:lang w:val="es-ES"/>
        </w:rPr>
        <w:tab/>
      </w:r>
      <w:r w:rsidRPr="00897210">
        <w:rPr>
          <w:sz w:val="20"/>
          <w:lang w:val="es-ES"/>
        </w:rPr>
        <w:t>En concreto, véa</w:t>
      </w:r>
      <w:r>
        <w:rPr>
          <w:sz w:val="20"/>
          <w:lang w:val="es-ES"/>
        </w:rPr>
        <w:t>n</w:t>
      </w:r>
      <w:r w:rsidRPr="00897210">
        <w:rPr>
          <w:sz w:val="20"/>
          <w:lang w:val="es-ES"/>
        </w:rPr>
        <w:t xml:space="preserve">se la Resolución 151 (Rev. Dubái, 2018), que pide la implementación de la gestión basada en los resultados, la Resolución 71 (Rev. Dubái, 2018), que pide la implementación coordinada del Plan Estratégico de la </w:t>
      </w:r>
      <w:r>
        <w:rPr>
          <w:sz w:val="20"/>
          <w:lang w:val="es-ES"/>
        </w:rPr>
        <w:t>UIT, y la Resolución</w:t>
      </w:r>
      <w:r w:rsidRPr="00897210">
        <w:rPr>
          <w:sz w:val="20"/>
          <w:lang w:val="es-ES"/>
        </w:rPr>
        <w:t xml:space="preserve"> 52 (Rev. Dub</w:t>
      </w:r>
      <w:r>
        <w:rPr>
          <w:sz w:val="20"/>
          <w:lang w:val="es-ES"/>
        </w:rPr>
        <w:t>á</w:t>
      </w:r>
      <w:r w:rsidRPr="00897210">
        <w:rPr>
          <w:sz w:val="20"/>
          <w:lang w:val="es-ES"/>
        </w:rPr>
        <w:t xml:space="preserve">i, 2014) </w:t>
      </w:r>
      <w:r>
        <w:rPr>
          <w:sz w:val="20"/>
          <w:lang w:val="es-ES"/>
        </w:rPr>
        <w:t>de la CMDT, que pide el fortalecimiento del papel del Sector de Desarrollo de las Telecomunicaciones como organismo ejecutivo</w:t>
      </w:r>
      <w:r w:rsidRPr="00897210">
        <w:rPr>
          <w:sz w:val="20"/>
          <w:lang w:val="es-ES"/>
        </w:rPr>
        <w:t xml:space="preserve">. </w:t>
      </w:r>
    </w:p>
  </w:footnote>
  <w:footnote w:id="2">
    <w:p w14:paraId="31BD06F8" w14:textId="3B76F739" w:rsidR="00D502FB" w:rsidRPr="009E2FD5" w:rsidRDefault="00D502FB" w:rsidP="00566AD3">
      <w:pPr>
        <w:pStyle w:val="FootnoteText"/>
        <w:spacing w:before="0"/>
        <w:ind w:left="259" w:hanging="259"/>
        <w:rPr>
          <w:sz w:val="20"/>
          <w:lang w:val="es-ES"/>
        </w:rPr>
      </w:pPr>
      <w:r w:rsidRPr="009D3F27">
        <w:rPr>
          <w:rStyle w:val="FootnoteReference"/>
          <w:sz w:val="20"/>
        </w:rPr>
        <w:footnoteRef/>
      </w:r>
      <w:r w:rsidRPr="009E2FD5">
        <w:rPr>
          <w:sz w:val="20"/>
          <w:lang w:val="es-ES"/>
        </w:rPr>
        <w:t xml:space="preserve"> </w:t>
      </w:r>
      <w:r w:rsidRPr="009E2FD5">
        <w:rPr>
          <w:sz w:val="20"/>
          <w:lang w:val="es-ES"/>
        </w:rPr>
        <w:tab/>
        <w:t>Véanse en concreto la Resolución 25 (Rev. Dubái, 2018), que pide el fortalecimiento de la presencia regional, y la Resolución 53 (Rev. Dub</w:t>
      </w:r>
      <w:r>
        <w:rPr>
          <w:sz w:val="20"/>
          <w:lang w:val="es-ES"/>
        </w:rPr>
        <w:t>á</w:t>
      </w:r>
      <w:r w:rsidRPr="009E2FD5">
        <w:rPr>
          <w:sz w:val="20"/>
          <w:lang w:val="es-ES"/>
        </w:rPr>
        <w:t xml:space="preserve">i, 2014) </w:t>
      </w:r>
      <w:r>
        <w:rPr>
          <w:sz w:val="20"/>
          <w:lang w:val="es-ES"/>
        </w:rPr>
        <w:t>de la CMDT, que pide la definición de un marco estratégico y financiero para la elaboración e implementación del Plan de Acción de Dubái</w:t>
      </w:r>
      <w:r w:rsidRPr="009E2FD5">
        <w:rPr>
          <w:sz w:val="20"/>
          <w:lang w:val="es-ES"/>
        </w:rPr>
        <w:t>.</w:t>
      </w:r>
    </w:p>
  </w:footnote>
  <w:footnote w:id="3">
    <w:p w14:paraId="3BC11BFB" w14:textId="77777777" w:rsidR="00D502FB" w:rsidRPr="00C35F56" w:rsidRDefault="00D502FB" w:rsidP="00566AD3">
      <w:pPr>
        <w:pStyle w:val="FootnoteText"/>
        <w:spacing w:before="0"/>
        <w:ind w:left="259" w:hanging="259"/>
        <w:rPr>
          <w:sz w:val="20"/>
          <w:lang w:val="es-ES"/>
        </w:rPr>
      </w:pPr>
      <w:r w:rsidRPr="009D3F27">
        <w:rPr>
          <w:rStyle w:val="FootnoteReference"/>
          <w:sz w:val="20"/>
        </w:rPr>
        <w:footnoteRef/>
      </w:r>
      <w:r w:rsidRPr="00C35F56">
        <w:rPr>
          <w:sz w:val="20"/>
          <w:lang w:val="es-ES"/>
        </w:rPr>
        <w:t xml:space="preserve"> </w:t>
      </w:r>
      <w:r w:rsidRPr="00C35F56">
        <w:rPr>
          <w:sz w:val="20"/>
          <w:lang w:val="es-ES"/>
        </w:rPr>
        <w:tab/>
        <w:t>Los talleres GBR regionales se iniciaron en enero de 2020 en la</w:t>
      </w:r>
      <w:r>
        <w:rPr>
          <w:sz w:val="20"/>
          <w:lang w:val="es-ES"/>
        </w:rPr>
        <w:t xml:space="preserve"> región de Américas. </w:t>
      </w:r>
      <w:r w:rsidRPr="00C35F56">
        <w:rPr>
          <w:sz w:val="20"/>
          <w:lang w:val="es-ES"/>
        </w:rPr>
        <w:t>Todas las regiones celebrarán su taller durante el primer semestre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42E2" w14:textId="77777777" w:rsidR="009A6FC4" w:rsidRPr="009A6FC4" w:rsidRDefault="009A6FC4" w:rsidP="004E786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20</w:t>
    </w:r>
    <w:r w:rsidRPr="003D4CFB">
      <w:rPr>
        <w:sz w:val="22"/>
        <w:szCs w:val="22"/>
        <w:lang w:val="en-US"/>
      </w:rPr>
      <w:t>/x-S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p w14:paraId="09FEA701" w14:textId="77777777" w:rsidR="009A6FC4" w:rsidRPr="009A6FC4" w:rsidRDefault="009A6FC4" w:rsidP="009A6FC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06800" w14:textId="782FD3D3" w:rsidR="005D306E" w:rsidRPr="009A6FC4" w:rsidRDefault="005D306E" w:rsidP="004E786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sidR="00B65F41">
      <w:rPr>
        <w:sz w:val="22"/>
        <w:szCs w:val="22"/>
        <w:lang w:val="en-US"/>
      </w:rPr>
      <w:t>28</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p w14:paraId="63F2C85A" w14:textId="77777777" w:rsidR="005D306E" w:rsidRPr="009A6FC4" w:rsidRDefault="005D306E" w:rsidP="009A6FC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174B" w14:textId="5B5F4E11" w:rsidR="005D306E" w:rsidRDefault="005D306E">
    <w:pPr>
      <w:pStyle w:val="Header"/>
    </w:pPr>
    <w:r w:rsidRPr="003D4CFB">
      <w:rPr>
        <w:sz w:val="22"/>
        <w:szCs w:val="22"/>
        <w:lang w:val="en-US"/>
      </w:rPr>
      <w:t>TDAG</w:t>
    </w:r>
    <w:r>
      <w:rPr>
        <w:sz w:val="22"/>
        <w:szCs w:val="22"/>
        <w:lang w:val="en-US"/>
      </w:rPr>
      <w:t>-20</w:t>
    </w:r>
    <w:r w:rsidRPr="003D4CFB">
      <w:rPr>
        <w:sz w:val="22"/>
        <w:szCs w:val="22"/>
        <w:lang w:val="en-US"/>
      </w:rPr>
      <w:t>/</w:t>
    </w:r>
    <w:r>
      <w:rPr>
        <w:sz w:val="22"/>
        <w:szCs w:val="22"/>
        <w:lang w:val="en-US"/>
      </w:rPr>
      <w:t>28</w:t>
    </w:r>
    <w:r w:rsidRPr="003D4CFB">
      <w:rPr>
        <w:sz w:val="22"/>
        <w:szCs w:val="22"/>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03273"/>
    <w:multiLevelType w:val="hybridMultilevel"/>
    <w:tmpl w:val="3DF4165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160BA1"/>
    <w:multiLevelType w:val="hybridMultilevel"/>
    <w:tmpl w:val="7CA68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FB"/>
    <w:rsid w:val="000135AE"/>
    <w:rsid w:val="00033D49"/>
    <w:rsid w:val="000725A1"/>
    <w:rsid w:val="0008280E"/>
    <w:rsid w:val="000C0AA7"/>
    <w:rsid w:val="000E7A0A"/>
    <w:rsid w:val="00194CB2"/>
    <w:rsid w:val="00213302"/>
    <w:rsid w:val="00221C14"/>
    <w:rsid w:val="00225D2E"/>
    <w:rsid w:val="00241CB9"/>
    <w:rsid w:val="002A7FAB"/>
    <w:rsid w:val="002D4BE6"/>
    <w:rsid w:val="002D6772"/>
    <w:rsid w:val="003023BD"/>
    <w:rsid w:val="00302736"/>
    <w:rsid w:val="0033649F"/>
    <w:rsid w:val="00360762"/>
    <w:rsid w:val="00390391"/>
    <w:rsid w:val="003D4CFB"/>
    <w:rsid w:val="00482632"/>
    <w:rsid w:val="004B7893"/>
    <w:rsid w:val="004E7861"/>
    <w:rsid w:val="00535C50"/>
    <w:rsid w:val="005557A3"/>
    <w:rsid w:val="005637B9"/>
    <w:rsid w:val="005643DC"/>
    <w:rsid w:val="005B6133"/>
    <w:rsid w:val="005D306E"/>
    <w:rsid w:val="00602B27"/>
    <w:rsid w:val="00605AD6"/>
    <w:rsid w:val="006339E7"/>
    <w:rsid w:val="00634E4C"/>
    <w:rsid w:val="00635A62"/>
    <w:rsid w:val="006E4AB3"/>
    <w:rsid w:val="006F39EB"/>
    <w:rsid w:val="007C3061"/>
    <w:rsid w:val="007E471D"/>
    <w:rsid w:val="00813432"/>
    <w:rsid w:val="00835A77"/>
    <w:rsid w:val="0086435F"/>
    <w:rsid w:val="0088106F"/>
    <w:rsid w:val="008C1852"/>
    <w:rsid w:val="008D789A"/>
    <w:rsid w:val="0090111A"/>
    <w:rsid w:val="00917B12"/>
    <w:rsid w:val="009272F6"/>
    <w:rsid w:val="009752D2"/>
    <w:rsid w:val="00991B13"/>
    <w:rsid w:val="009952F6"/>
    <w:rsid w:val="009A6FC4"/>
    <w:rsid w:val="009D1BD4"/>
    <w:rsid w:val="00A04715"/>
    <w:rsid w:val="00A33516"/>
    <w:rsid w:val="00A627B2"/>
    <w:rsid w:val="00A71F61"/>
    <w:rsid w:val="00A87DD9"/>
    <w:rsid w:val="00AA076A"/>
    <w:rsid w:val="00AE1BA7"/>
    <w:rsid w:val="00AF1DEB"/>
    <w:rsid w:val="00AF563E"/>
    <w:rsid w:val="00B65F41"/>
    <w:rsid w:val="00B84DE5"/>
    <w:rsid w:val="00BC7208"/>
    <w:rsid w:val="00CC266D"/>
    <w:rsid w:val="00D16175"/>
    <w:rsid w:val="00D372A5"/>
    <w:rsid w:val="00D502FB"/>
    <w:rsid w:val="00E17138"/>
    <w:rsid w:val="00E204A0"/>
    <w:rsid w:val="00E3519F"/>
    <w:rsid w:val="00E51C72"/>
    <w:rsid w:val="00E827C2"/>
    <w:rsid w:val="00EB6D19"/>
    <w:rsid w:val="00ED2681"/>
    <w:rsid w:val="00F01E28"/>
    <w:rsid w:val="00F12690"/>
    <w:rsid w:val="00FA67A2"/>
    <w:rsid w:val="00FD3A29"/>
    <w:rsid w:val="00FE3A5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722808"/>
  <w15:docId w15:val="{FAA555EF-0685-4ADF-AF56-9D6075F1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D502FB"/>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basedOn w:val="DefaultParagraphFont"/>
    <w:link w:val="ListParagraph"/>
    <w:uiPriority w:val="34"/>
    <w:locked/>
    <w:rsid w:val="00D502FB"/>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es/ITU-D/Conferences/TDAG/Pages/default.aspx" TargetMode="External"/><Relationship Id="rId1" Type="http://schemas.openxmlformats.org/officeDocument/2006/relationships/hyperlink" Target="mailto:bdtdir@itu.i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E3F5-B6A2-4077-9C51-62E4CE0E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31</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cp:lastModifiedBy>
  <cp:revision>25</cp:revision>
  <cp:lastPrinted>2020-02-27T13:38:00Z</cp:lastPrinted>
  <dcterms:created xsi:type="dcterms:W3CDTF">2020-02-27T13:21:00Z</dcterms:created>
  <dcterms:modified xsi:type="dcterms:W3CDTF">2020-03-10T13:41:00Z</dcterms:modified>
</cp:coreProperties>
</file>