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10247"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7251"/>
        <w:gridCol w:w="2996"/>
      </w:tblGrid>
      <w:tr w:rsidR="0021438F" w:rsidRPr="00DC1F12" w14:paraId="45D64AC1" w14:textId="77777777" w:rsidTr="006D7E3A">
        <w:trPr>
          <w:cantSplit/>
          <w:trHeight w:val="1134"/>
        </w:trPr>
        <w:tc>
          <w:tcPr>
            <w:tcW w:w="7251" w:type="dxa"/>
          </w:tcPr>
          <w:p w14:paraId="3B924C7E" w14:textId="77777777" w:rsidR="0021438F" w:rsidRPr="00DC1F12" w:rsidRDefault="0021438F" w:rsidP="00F80702">
            <w:pPr>
              <w:tabs>
                <w:tab w:val="left" w:pos="1871"/>
                <w:tab w:val="left" w:pos="2268"/>
              </w:tabs>
              <w:spacing w:before="20" w:after="48"/>
              <w:ind w:left="34"/>
              <w:rPr>
                <w:b/>
                <w:bCs/>
                <w:sz w:val="32"/>
                <w:szCs w:val="32"/>
                <w:lang w:val="fr-FR"/>
              </w:rPr>
            </w:pPr>
            <w:r w:rsidRPr="00DC1F12">
              <w:rPr>
                <w:b/>
                <w:sz w:val="32"/>
                <w:szCs w:val="32"/>
                <w:lang w:val="fr-FR"/>
              </w:rPr>
              <w:t>Groupe</w:t>
            </w:r>
            <w:r w:rsidRPr="00DC1F12">
              <w:rPr>
                <w:b/>
                <w:bCs/>
                <w:sz w:val="32"/>
                <w:szCs w:val="32"/>
                <w:lang w:val="fr-FR"/>
              </w:rPr>
              <w:t xml:space="preserve"> consultatif pour le développement </w:t>
            </w:r>
            <w:r w:rsidRPr="00DC1F12">
              <w:rPr>
                <w:b/>
                <w:bCs/>
                <w:sz w:val="32"/>
                <w:szCs w:val="32"/>
                <w:lang w:val="fr-FR"/>
              </w:rPr>
              <w:br/>
              <w:t>des télécommunications (GCDT)</w:t>
            </w:r>
          </w:p>
          <w:p w14:paraId="768D440E" w14:textId="032FB6EB" w:rsidR="0021438F" w:rsidRPr="00DC1F12" w:rsidRDefault="00D87E6C" w:rsidP="00F80702">
            <w:pPr>
              <w:tabs>
                <w:tab w:val="clear" w:pos="1191"/>
                <w:tab w:val="clear" w:pos="1588"/>
                <w:tab w:val="clear" w:pos="1985"/>
              </w:tabs>
              <w:spacing w:before="100" w:after="120"/>
              <w:ind w:left="34"/>
              <w:rPr>
                <w:rFonts w:ascii="Verdana" w:hAnsi="Verdana"/>
                <w:sz w:val="28"/>
                <w:szCs w:val="28"/>
                <w:lang w:val="fr-FR"/>
              </w:rPr>
            </w:pPr>
            <w:r w:rsidRPr="00DC1F12">
              <w:rPr>
                <w:b/>
                <w:bCs/>
                <w:sz w:val="26"/>
                <w:szCs w:val="26"/>
                <w:lang w:val="fr-FR"/>
              </w:rPr>
              <w:t>2</w:t>
            </w:r>
            <w:r w:rsidR="002577C1" w:rsidRPr="00DC1F12">
              <w:rPr>
                <w:b/>
                <w:bCs/>
                <w:sz w:val="26"/>
                <w:szCs w:val="26"/>
                <w:lang w:val="fr-FR"/>
              </w:rPr>
              <w:t>5</w:t>
            </w:r>
            <w:r w:rsidRPr="00DC1F12">
              <w:rPr>
                <w:b/>
                <w:bCs/>
                <w:sz w:val="26"/>
                <w:szCs w:val="26"/>
                <w:lang w:val="fr-FR"/>
              </w:rPr>
              <w:t xml:space="preserve">ème réunion, Genève, </w:t>
            </w:r>
            <w:r w:rsidR="000A0797">
              <w:rPr>
                <w:b/>
                <w:bCs/>
                <w:sz w:val="26"/>
                <w:szCs w:val="26"/>
                <w:lang w:val="fr-FR"/>
              </w:rPr>
              <w:t>2-5 June</w:t>
            </w:r>
            <w:bookmarkStart w:id="0" w:name="_GoBack"/>
            <w:bookmarkEnd w:id="0"/>
            <w:r w:rsidRPr="00DC1F12">
              <w:rPr>
                <w:b/>
                <w:bCs/>
                <w:sz w:val="26"/>
                <w:szCs w:val="26"/>
                <w:lang w:val="fr-FR"/>
              </w:rPr>
              <w:t xml:space="preserve"> 20</w:t>
            </w:r>
            <w:r w:rsidR="00EB44C7" w:rsidRPr="00DC1F12">
              <w:rPr>
                <w:b/>
                <w:bCs/>
                <w:sz w:val="26"/>
                <w:szCs w:val="26"/>
                <w:lang w:val="fr-FR"/>
              </w:rPr>
              <w:t>20</w:t>
            </w:r>
          </w:p>
        </w:tc>
        <w:tc>
          <w:tcPr>
            <w:tcW w:w="2996" w:type="dxa"/>
          </w:tcPr>
          <w:p w14:paraId="2478B577" w14:textId="77777777" w:rsidR="0021438F" w:rsidRPr="00DC1F12" w:rsidRDefault="00D87E6C" w:rsidP="00F80702">
            <w:pPr>
              <w:spacing w:before="0"/>
              <w:ind w:right="142"/>
              <w:jc w:val="right"/>
              <w:rPr>
                <w:lang w:val="fr-FR"/>
              </w:rPr>
            </w:pPr>
            <w:r w:rsidRPr="00DC1F12">
              <w:rPr>
                <w:noProof/>
                <w:color w:val="3399FF"/>
                <w:lang w:val="fr-FR" w:eastAsia="en-GB"/>
              </w:rPr>
              <w:drawing>
                <wp:inline distT="0" distB="0" distL="0" distR="0" wp14:anchorId="6A642D05" wp14:editId="201FFCB3">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DC1F12" w14:paraId="074D76FA" w14:textId="77777777" w:rsidTr="000C61E9">
        <w:trPr>
          <w:cantSplit/>
        </w:trPr>
        <w:tc>
          <w:tcPr>
            <w:tcW w:w="7251" w:type="dxa"/>
            <w:tcBorders>
              <w:top w:val="single" w:sz="12" w:space="0" w:color="auto"/>
            </w:tcBorders>
          </w:tcPr>
          <w:p w14:paraId="48FEB49D" w14:textId="77777777" w:rsidR="00683C32" w:rsidRPr="00DC1F12" w:rsidRDefault="00683C32" w:rsidP="00F80702">
            <w:pPr>
              <w:spacing w:before="0"/>
              <w:rPr>
                <w:rFonts w:cs="Arial"/>
                <w:b/>
                <w:bCs/>
                <w:sz w:val="20"/>
                <w:lang w:val="fr-FR"/>
              </w:rPr>
            </w:pPr>
          </w:p>
        </w:tc>
        <w:tc>
          <w:tcPr>
            <w:tcW w:w="2996" w:type="dxa"/>
            <w:tcBorders>
              <w:top w:val="single" w:sz="12" w:space="0" w:color="auto"/>
            </w:tcBorders>
          </w:tcPr>
          <w:p w14:paraId="6E63D774" w14:textId="77777777" w:rsidR="00683C32" w:rsidRPr="00DC1F12" w:rsidRDefault="00683C32" w:rsidP="00F80702">
            <w:pPr>
              <w:spacing w:before="0"/>
              <w:rPr>
                <w:b/>
                <w:bCs/>
                <w:sz w:val="20"/>
                <w:lang w:val="fr-FR"/>
              </w:rPr>
            </w:pPr>
          </w:p>
        </w:tc>
      </w:tr>
      <w:tr w:rsidR="00683C32" w:rsidRPr="00DC1F12" w14:paraId="385BA0DE" w14:textId="77777777" w:rsidTr="000C61E9">
        <w:trPr>
          <w:cantSplit/>
        </w:trPr>
        <w:tc>
          <w:tcPr>
            <w:tcW w:w="7251" w:type="dxa"/>
          </w:tcPr>
          <w:p w14:paraId="41DA15C9" w14:textId="77777777" w:rsidR="00683C32" w:rsidRPr="00DC1F12" w:rsidRDefault="00683C32" w:rsidP="00F80702">
            <w:pPr>
              <w:pStyle w:val="Committee"/>
              <w:spacing w:before="0"/>
              <w:rPr>
                <w:b w:val="0"/>
                <w:szCs w:val="24"/>
                <w:lang w:val="fr-FR"/>
              </w:rPr>
            </w:pPr>
          </w:p>
        </w:tc>
        <w:tc>
          <w:tcPr>
            <w:tcW w:w="2996" w:type="dxa"/>
          </w:tcPr>
          <w:p w14:paraId="66828600" w14:textId="65AE0857" w:rsidR="00683C32" w:rsidRPr="00DC1F12" w:rsidRDefault="00323587" w:rsidP="00F80702">
            <w:pPr>
              <w:spacing w:before="0"/>
              <w:rPr>
                <w:bCs/>
                <w:szCs w:val="24"/>
                <w:lang w:val="fr-FR"/>
              </w:rPr>
            </w:pPr>
            <w:r w:rsidRPr="00DC1F12">
              <w:rPr>
                <w:b/>
                <w:bCs/>
                <w:szCs w:val="28"/>
                <w:lang w:val="fr-FR"/>
              </w:rPr>
              <w:t xml:space="preserve">Document </w:t>
            </w:r>
            <w:bookmarkStart w:id="1" w:name="DocRef1"/>
            <w:bookmarkEnd w:id="1"/>
            <w:r w:rsidRPr="00DC1F12">
              <w:rPr>
                <w:b/>
                <w:bCs/>
                <w:szCs w:val="28"/>
                <w:lang w:val="fr-FR"/>
              </w:rPr>
              <w:t>TDAG</w:t>
            </w:r>
            <w:r w:rsidR="008F20EB" w:rsidRPr="00DC1F12">
              <w:rPr>
                <w:b/>
                <w:bCs/>
                <w:szCs w:val="28"/>
                <w:lang w:val="fr-FR"/>
              </w:rPr>
              <w:t>-</w:t>
            </w:r>
            <w:r w:rsidR="002577C1" w:rsidRPr="00DC1F12">
              <w:rPr>
                <w:b/>
                <w:bCs/>
                <w:szCs w:val="28"/>
                <w:lang w:val="fr-FR"/>
              </w:rPr>
              <w:t>20</w:t>
            </w:r>
            <w:r w:rsidRPr="00DC1F12">
              <w:rPr>
                <w:b/>
                <w:bCs/>
                <w:szCs w:val="28"/>
                <w:lang w:val="fr-FR"/>
              </w:rPr>
              <w:t>/</w:t>
            </w:r>
            <w:bookmarkStart w:id="2" w:name="DocNo1"/>
            <w:bookmarkEnd w:id="2"/>
            <w:r w:rsidR="008A03AD" w:rsidRPr="00DC1F12">
              <w:rPr>
                <w:b/>
                <w:bCs/>
                <w:szCs w:val="28"/>
                <w:lang w:val="fr-FR"/>
              </w:rPr>
              <w:t>28</w:t>
            </w:r>
            <w:r w:rsidRPr="00DC1F12">
              <w:rPr>
                <w:b/>
                <w:bCs/>
                <w:szCs w:val="28"/>
                <w:lang w:val="fr-FR"/>
              </w:rPr>
              <w:t>-F</w:t>
            </w:r>
          </w:p>
        </w:tc>
      </w:tr>
      <w:tr w:rsidR="00683C32" w:rsidRPr="00DC1F12" w14:paraId="49DC7E86" w14:textId="77777777" w:rsidTr="000C61E9">
        <w:trPr>
          <w:cantSplit/>
        </w:trPr>
        <w:tc>
          <w:tcPr>
            <w:tcW w:w="7251" w:type="dxa"/>
          </w:tcPr>
          <w:p w14:paraId="2E372995" w14:textId="77777777" w:rsidR="00683C32" w:rsidRPr="00DC1F12" w:rsidRDefault="00683C32" w:rsidP="00F80702">
            <w:pPr>
              <w:spacing w:before="0"/>
              <w:rPr>
                <w:b/>
                <w:bCs/>
                <w:smallCaps/>
                <w:szCs w:val="24"/>
                <w:lang w:val="fr-FR"/>
              </w:rPr>
            </w:pPr>
          </w:p>
        </w:tc>
        <w:tc>
          <w:tcPr>
            <w:tcW w:w="2996" w:type="dxa"/>
          </w:tcPr>
          <w:p w14:paraId="1543172B" w14:textId="60C918BB" w:rsidR="00683C32" w:rsidRPr="00DC1F12" w:rsidRDefault="008A03AD" w:rsidP="00F80702">
            <w:pPr>
              <w:spacing w:before="0"/>
              <w:rPr>
                <w:b/>
                <w:szCs w:val="24"/>
                <w:lang w:val="fr-FR"/>
              </w:rPr>
            </w:pPr>
            <w:bookmarkStart w:id="3" w:name="CreationDate"/>
            <w:bookmarkEnd w:id="3"/>
            <w:r w:rsidRPr="00DC1F12">
              <w:rPr>
                <w:b/>
                <w:bCs/>
                <w:szCs w:val="28"/>
                <w:lang w:val="fr-FR"/>
              </w:rPr>
              <w:t>17 février</w:t>
            </w:r>
            <w:r w:rsidR="00323587" w:rsidRPr="00DC1F12">
              <w:rPr>
                <w:b/>
                <w:bCs/>
                <w:szCs w:val="28"/>
                <w:lang w:val="fr-FR"/>
              </w:rPr>
              <w:t xml:space="preserve"> 20</w:t>
            </w:r>
            <w:r w:rsidR="002577C1" w:rsidRPr="00DC1F12">
              <w:rPr>
                <w:b/>
                <w:bCs/>
                <w:szCs w:val="28"/>
                <w:lang w:val="fr-FR"/>
              </w:rPr>
              <w:t>20</w:t>
            </w:r>
          </w:p>
        </w:tc>
      </w:tr>
      <w:tr w:rsidR="00683C32" w:rsidRPr="00DC1F12" w14:paraId="06E7AFD6" w14:textId="77777777" w:rsidTr="000C61E9">
        <w:trPr>
          <w:cantSplit/>
        </w:trPr>
        <w:tc>
          <w:tcPr>
            <w:tcW w:w="7251" w:type="dxa"/>
          </w:tcPr>
          <w:p w14:paraId="2AEEB379" w14:textId="77777777" w:rsidR="00683C32" w:rsidRPr="00DC1F12" w:rsidRDefault="00683C32" w:rsidP="00F80702">
            <w:pPr>
              <w:spacing w:before="0"/>
              <w:rPr>
                <w:b/>
                <w:bCs/>
                <w:smallCaps/>
                <w:szCs w:val="24"/>
                <w:lang w:val="fr-FR"/>
              </w:rPr>
            </w:pPr>
          </w:p>
        </w:tc>
        <w:tc>
          <w:tcPr>
            <w:tcW w:w="2996" w:type="dxa"/>
          </w:tcPr>
          <w:p w14:paraId="2267E5CD" w14:textId="50893C7F" w:rsidR="00514D2F" w:rsidRPr="00DC1F12" w:rsidRDefault="00323587" w:rsidP="00F80702">
            <w:pPr>
              <w:spacing w:before="0"/>
              <w:rPr>
                <w:szCs w:val="24"/>
                <w:lang w:val="fr-FR"/>
              </w:rPr>
            </w:pPr>
            <w:r w:rsidRPr="00DC1F12">
              <w:rPr>
                <w:b/>
                <w:szCs w:val="28"/>
                <w:lang w:val="fr-FR"/>
              </w:rPr>
              <w:t>Original:</w:t>
            </w:r>
            <w:bookmarkStart w:id="4" w:name="Original"/>
            <w:bookmarkEnd w:id="4"/>
            <w:r w:rsidR="008A03AD" w:rsidRPr="00DC1F12">
              <w:rPr>
                <w:b/>
                <w:szCs w:val="28"/>
                <w:lang w:val="fr-FR"/>
              </w:rPr>
              <w:t xml:space="preserve"> anglais</w:t>
            </w:r>
          </w:p>
        </w:tc>
      </w:tr>
      <w:tr w:rsidR="008A03AD" w:rsidRPr="00DC1F12" w14:paraId="262B6B1E" w14:textId="77777777" w:rsidTr="000C61E9">
        <w:trPr>
          <w:cantSplit/>
          <w:trHeight w:val="852"/>
        </w:trPr>
        <w:tc>
          <w:tcPr>
            <w:tcW w:w="10247" w:type="dxa"/>
            <w:gridSpan w:val="2"/>
          </w:tcPr>
          <w:p w14:paraId="0151475D" w14:textId="279301F6" w:rsidR="008A03AD" w:rsidRPr="00DC1F12" w:rsidRDefault="008A03AD" w:rsidP="00F80702">
            <w:pPr>
              <w:pStyle w:val="Source"/>
              <w:rPr>
                <w:lang w:val="fr-FR"/>
              </w:rPr>
            </w:pPr>
            <w:bookmarkStart w:id="5" w:name="Source"/>
            <w:bookmarkEnd w:id="5"/>
            <w:r w:rsidRPr="00DC1F12">
              <w:rPr>
                <w:lang w:val="fr-FR"/>
              </w:rPr>
              <w:t>Directrice du Bureau de développement des télécommunications</w:t>
            </w:r>
          </w:p>
        </w:tc>
      </w:tr>
      <w:tr w:rsidR="008A03AD" w:rsidRPr="00DC1F12" w14:paraId="59C54292" w14:textId="77777777" w:rsidTr="000C61E9">
        <w:trPr>
          <w:cantSplit/>
        </w:trPr>
        <w:tc>
          <w:tcPr>
            <w:tcW w:w="10247" w:type="dxa"/>
            <w:gridSpan w:val="2"/>
          </w:tcPr>
          <w:p w14:paraId="6AB91771" w14:textId="6FA2B9A3" w:rsidR="008A03AD" w:rsidRPr="00DC1F12" w:rsidRDefault="008A03AD" w:rsidP="00F80702">
            <w:pPr>
              <w:pStyle w:val="Title1"/>
              <w:rPr>
                <w:lang w:val="fr-FR"/>
              </w:rPr>
            </w:pPr>
            <w:bookmarkStart w:id="6" w:name="Title"/>
            <w:bookmarkEnd w:id="6"/>
            <w:r w:rsidRPr="00DC1F12">
              <w:rPr>
                <w:color w:val="000000"/>
                <w:lang w:val="fr-FR"/>
              </w:rPr>
              <w:t>RAPPORT D</w:t>
            </w:r>
            <w:r w:rsidR="00726649" w:rsidRPr="00DC1F12">
              <w:rPr>
                <w:color w:val="000000"/>
                <w:lang w:val="fr-FR"/>
              </w:rPr>
              <w:t>'</w:t>
            </w:r>
            <w:r w:rsidRPr="00DC1F12">
              <w:rPr>
                <w:color w:val="000000"/>
                <w:lang w:val="fr-FR"/>
              </w:rPr>
              <w:t xml:space="preserve">ACTIVITÉ DE 2019 SUR LA MISE EN ŒUVRE DE LA </w:t>
            </w:r>
            <w:r w:rsidR="00DC1F12" w:rsidRPr="00DC1F12">
              <w:rPr>
                <w:color w:val="000000"/>
                <w:lang w:val="fr-FR"/>
              </w:rPr>
              <w:br/>
            </w:r>
            <w:r w:rsidRPr="00DC1F12">
              <w:rPr>
                <w:color w:val="000000"/>
                <w:lang w:val="fr-FR"/>
              </w:rPr>
              <w:t>GESTION AXÉE SUR LES RÉSULTATS AU BDT</w:t>
            </w:r>
          </w:p>
        </w:tc>
      </w:tr>
      <w:tr w:rsidR="008A03AD" w:rsidRPr="00DC1F12" w14:paraId="7DDCE10C" w14:textId="77777777" w:rsidTr="000C61E9">
        <w:trPr>
          <w:cantSplit/>
        </w:trPr>
        <w:tc>
          <w:tcPr>
            <w:tcW w:w="10247" w:type="dxa"/>
            <w:gridSpan w:val="2"/>
            <w:tcBorders>
              <w:bottom w:val="single" w:sz="4" w:space="0" w:color="auto"/>
            </w:tcBorders>
          </w:tcPr>
          <w:p w14:paraId="7F97CE93" w14:textId="77777777" w:rsidR="008A03AD" w:rsidRPr="00DC1F12" w:rsidRDefault="008A03AD" w:rsidP="00F80702">
            <w:pPr>
              <w:rPr>
                <w:lang w:val="fr-FR"/>
              </w:rPr>
            </w:pPr>
          </w:p>
        </w:tc>
      </w:tr>
      <w:tr w:rsidR="008A03AD" w:rsidRPr="00DC1F12" w14:paraId="363D45A5" w14:textId="77777777" w:rsidTr="000C61E9">
        <w:trPr>
          <w:cantSplit/>
        </w:trPr>
        <w:tc>
          <w:tcPr>
            <w:tcW w:w="10247" w:type="dxa"/>
            <w:gridSpan w:val="2"/>
            <w:tcBorders>
              <w:top w:val="single" w:sz="4" w:space="0" w:color="auto"/>
              <w:left w:val="single" w:sz="4" w:space="0" w:color="auto"/>
              <w:bottom w:val="single" w:sz="4" w:space="0" w:color="auto"/>
              <w:right w:val="single" w:sz="4" w:space="0" w:color="auto"/>
            </w:tcBorders>
          </w:tcPr>
          <w:p w14:paraId="1DB28F1C" w14:textId="77777777" w:rsidR="008A03AD" w:rsidRPr="00DC1F12" w:rsidRDefault="008A03AD" w:rsidP="00F80702">
            <w:pPr>
              <w:rPr>
                <w:b/>
                <w:bCs/>
                <w:szCs w:val="24"/>
                <w:lang w:val="fr-FR"/>
              </w:rPr>
            </w:pPr>
            <w:r w:rsidRPr="00DC1F12">
              <w:rPr>
                <w:b/>
                <w:bCs/>
                <w:szCs w:val="24"/>
                <w:lang w:val="fr-FR"/>
              </w:rPr>
              <w:t>Résumé:</w:t>
            </w:r>
          </w:p>
          <w:p w14:paraId="2908336E" w14:textId="18F456F9" w:rsidR="008A03AD" w:rsidRPr="00DC1F12" w:rsidRDefault="008A03AD" w:rsidP="00F80702">
            <w:pPr>
              <w:rPr>
                <w:szCs w:val="24"/>
                <w:lang w:val="fr-FR"/>
              </w:rPr>
            </w:pPr>
            <w:r w:rsidRPr="00DC1F12">
              <w:rPr>
                <w:szCs w:val="24"/>
                <w:lang w:val="fr-FR"/>
              </w:rPr>
              <w:t xml:space="preserve">En 2019, le BDT a entamé une refonte complète de sa mise en œuvre de la gestion axée sur les résultats, afin </w:t>
            </w:r>
            <w:r w:rsidR="00EB033C" w:rsidRPr="00DC1F12">
              <w:rPr>
                <w:szCs w:val="24"/>
                <w:lang w:val="fr-FR"/>
              </w:rPr>
              <w:t>que</w:t>
            </w:r>
            <w:r w:rsidRPr="00DC1F12">
              <w:rPr>
                <w:szCs w:val="24"/>
                <w:lang w:val="fr-FR"/>
              </w:rPr>
              <w:t xml:space="preserve"> le Bureau </w:t>
            </w:r>
            <w:r w:rsidR="00EB033C" w:rsidRPr="00DC1F12">
              <w:rPr>
                <w:szCs w:val="24"/>
                <w:lang w:val="fr-FR"/>
              </w:rPr>
              <w:t>soit à même de</w:t>
            </w:r>
            <w:r w:rsidRPr="00DC1F12">
              <w:rPr>
                <w:szCs w:val="24"/>
                <w:lang w:val="fr-FR"/>
              </w:rPr>
              <w:t xml:space="preserve"> relever les défis que pose un environnement du développement en évolution rapide et </w:t>
            </w:r>
            <w:r w:rsidR="00EB033C" w:rsidRPr="00DC1F12">
              <w:rPr>
                <w:szCs w:val="24"/>
                <w:lang w:val="fr-FR"/>
              </w:rPr>
              <w:t>qu</w:t>
            </w:r>
            <w:r w:rsidR="00726649" w:rsidRPr="00DC1F12">
              <w:rPr>
                <w:szCs w:val="24"/>
                <w:lang w:val="fr-FR"/>
              </w:rPr>
              <w:t>'</w:t>
            </w:r>
            <w:r w:rsidR="00EB033C" w:rsidRPr="00DC1F12">
              <w:rPr>
                <w:szCs w:val="24"/>
                <w:lang w:val="fr-FR"/>
              </w:rPr>
              <w:t>il</w:t>
            </w:r>
            <w:r w:rsidRPr="00DC1F12">
              <w:rPr>
                <w:szCs w:val="24"/>
                <w:lang w:val="fr-FR"/>
              </w:rPr>
              <w:t xml:space="preserve"> soit "en adéquation avec sa mission". Cette réforme permettra d</w:t>
            </w:r>
            <w:r w:rsidR="00726649" w:rsidRPr="00DC1F12">
              <w:rPr>
                <w:szCs w:val="24"/>
                <w:lang w:val="fr-FR"/>
              </w:rPr>
              <w:t>'</w:t>
            </w:r>
            <w:r w:rsidRPr="00DC1F12">
              <w:rPr>
                <w:szCs w:val="24"/>
                <w:lang w:val="fr-FR"/>
              </w:rPr>
              <w:t>utiliser la gestion axée sur les résultats efficacement dans la mise en œuvre de tous les programmes de travail et comme outil pour la prise de décisions et le suivi en matière de gestion, et d</w:t>
            </w:r>
            <w:r w:rsidR="00726649" w:rsidRPr="00DC1F12">
              <w:rPr>
                <w:szCs w:val="24"/>
                <w:lang w:val="fr-FR"/>
              </w:rPr>
              <w:t>'</w:t>
            </w:r>
            <w:r w:rsidRPr="00DC1F12">
              <w:rPr>
                <w:szCs w:val="24"/>
                <w:lang w:val="fr-FR"/>
              </w:rPr>
              <w:t>obtenir des éléments concrets attestant de l</w:t>
            </w:r>
            <w:r w:rsidR="00726649" w:rsidRPr="00DC1F12">
              <w:rPr>
                <w:szCs w:val="24"/>
                <w:lang w:val="fr-FR"/>
              </w:rPr>
              <w:t>'</w:t>
            </w:r>
            <w:r w:rsidRPr="00DC1F12">
              <w:rPr>
                <w:szCs w:val="24"/>
                <w:lang w:val="fr-FR"/>
              </w:rPr>
              <w:t xml:space="preserve">efficacité du BDT. La gestion axée sur les résultats servira en outre de plate-forme pour associer des partenaires internes et externes, et pour reproduire et déployer à grande échelle les projets et les initiatives relatives aux programmes de travail qui ont fait leurs preuves. </w:t>
            </w:r>
          </w:p>
          <w:p w14:paraId="495F5AB7" w14:textId="77777777" w:rsidR="008A03AD" w:rsidRPr="00DC1F12" w:rsidRDefault="008A03AD" w:rsidP="00F80702">
            <w:pPr>
              <w:rPr>
                <w:b/>
                <w:bCs/>
                <w:szCs w:val="24"/>
                <w:lang w:val="fr-FR"/>
              </w:rPr>
            </w:pPr>
            <w:r w:rsidRPr="00DC1F12">
              <w:rPr>
                <w:b/>
                <w:bCs/>
                <w:szCs w:val="24"/>
                <w:lang w:val="fr-FR"/>
              </w:rPr>
              <w:t>Suite à donner:</w:t>
            </w:r>
          </w:p>
          <w:p w14:paraId="4F259F04" w14:textId="0EDB3739" w:rsidR="008A03AD" w:rsidRPr="00DC1F12" w:rsidRDefault="008A03AD" w:rsidP="00F80702">
            <w:pPr>
              <w:rPr>
                <w:szCs w:val="24"/>
                <w:lang w:val="fr-FR"/>
              </w:rPr>
            </w:pPr>
            <w:r w:rsidRPr="00DC1F12">
              <w:rPr>
                <w:szCs w:val="24"/>
                <w:lang w:val="fr-FR"/>
              </w:rPr>
              <w:t>Le GCDT est invité à prendre note du présent rapport et à fournir les indications qu</w:t>
            </w:r>
            <w:r w:rsidR="00726649" w:rsidRPr="00DC1F12">
              <w:rPr>
                <w:szCs w:val="24"/>
                <w:lang w:val="fr-FR"/>
              </w:rPr>
              <w:t>'</w:t>
            </w:r>
            <w:r w:rsidRPr="00DC1F12">
              <w:rPr>
                <w:szCs w:val="24"/>
                <w:lang w:val="fr-FR"/>
              </w:rPr>
              <w:t>il jugera utiles.</w:t>
            </w:r>
          </w:p>
          <w:p w14:paraId="1C3A1EC5" w14:textId="77777777" w:rsidR="008A03AD" w:rsidRPr="00DC1F12" w:rsidRDefault="008A03AD" w:rsidP="00F80702">
            <w:pPr>
              <w:rPr>
                <w:b/>
                <w:bCs/>
                <w:szCs w:val="24"/>
                <w:lang w:val="fr-FR"/>
              </w:rPr>
            </w:pPr>
            <w:r w:rsidRPr="00DC1F12">
              <w:rPr>
                <w:b/>
                <w:bCs/>
                <w:szCs w:val="24"/>
                <w:lang w:val="fr-FR"/>
              </w:rPr>
              <w:t>Références:</w:t>
            </w:r>
          </w:p>
          <w:p w14:paraId="7CBB3DC2" w14:textId="246509FD" w:rsidR="008A03AD" w:rsidRPr="00DC1F12" w:rsidRDefault="008A03AD" w:rsidP="00F80702">
            <w:pPr>
              <w:spacing w:after="120"/>
              <w:rPr>
                <w:lang w:val="fr-FR"/>
              </w:rPr>
            </w:pPr>
            <w:r w:rsidRPr="00DC1F12">
              <w:rPr>
                <w:lang w:val="fr-FR"/>
              </w:rPr>
              <w:t>Plan d</w:t>
            </w:r>
            <w:r w:rsidR="00726649" w:rsidRPr="00DC1F12">
              <w:rPr>
                <w:lang w:val="fr-FR"/>
              </w:rPr>
              <w:t>'</w:t>
            </w:r>
            <w:r w:rsidRPr="00DC1F12">
              <w:rPr>
                <w:lang w:val="fr-FR"/>
              </w:rPr>
              <w:t>action de Buenos Aires adopté par la Conférence mondiale de développement des télécommunications de 2017 (CMDT-17); Résolutions 25, 71 et 151 (Rév. Dubaï, 2018) de la Conférence de plénipotentiaires (PP); Résolutions 52 et 53 (Rév. Dubaï, 2014) de la CMDT.</w:t>
            </w:r>
          </w:p>
        </w:tc>
      </w:tr>
    </w:tbl>
    <w:p w14:paraId="6744BFA5" w14:textId="5B77E2FC" w:rsidR="00984929" w:rsidRPr="00DC1F12" w:rsidRDefault="00984929" w:rsidP="00F80702">
      <w:pPr>
        <w:rPr>
          <w:lang w:val="fr-FR"/>
        </w:rPr>
      </w:pPr>
      <w:bookmarkStart w:id="7" w:name="Proposal"/>
      <w:bookmarkEnd w:id="7"/>
    </w:p>
    <w:p w14:paraId="214BB78A" w14:textId="77777777" w:rsidR="008A03AD" w:rsidRPr="00DC1F12" w:rsidRDefault="008A03AD" w:rsidP="00F80702">
      <w:pPr>
        <w:rPr>
          <w:lang w:val="fr-FR"/>
        </w:rPr>
      </w:pPr>
    </w:p>
    <w:p w14:paraId="537910C8" w14:textId="77777777" w:rsidR="002577C1" w:rsidRPr="00DC1F12" w:rsidRDefault="002577C1" w:rsidP="00F80702">
      <w:pPr>
        <w:tabs>
          <w:tab w:val="clear" w:pos="794"/>
          <w:tab w:val="clear" w:pos="1191"/>
          <w:tab w:val="clear" w:pos="1588"/>
          <w:tab w:val="clear" w:pos="1985"/>
        </w:tabs>
        <w:overflowPunct/>
        <w:autoSpaceDE/>
        <w:autoSpaceDN/>
        <w:adjustRightInd/>
        <w:spacing w:before="0"/>
        <w:textAlignment w:val="auto"/>
        <w:rPr>
          <w:lang w:val="fr-FR"/>
        </w:rPr>
      </w:pPr>
      <w:r w:rsidRPr="00DC1F12">
        <w:rPr>
          <w:lang w:val="fr-FR"/>
        </w:rPr>
        <w:br w:type="page"/>
      </w:r>
    </w:p>
    <w:p w14:paraId="59ABA863" w14:textId="77777777" w:rsidR="008A03AD" w:rsidRPr="00DC1F12" w:rsidRDefault="008A03AD" w:rsidP="00F80702">
      <w:pPr>
        <w:pStyle w:val="Headingb"/>
        <w:rPr>
          <w:lang w:val="fr-FR"/>
        </w:rPr>
      </w:pPr>
      <w:r w:rsidRPr="00DC1F12">
        <w:rPr>
          <w:lang w:val="fr-FR"/>
        </w:rPr>
        <w:lastRenderedPageBreak/>
        <w:t>Pourquoi avons-nous entrepris ce projet ambitieux qui vise à changer la gestion axée sur les résultats?</w:t>
      </w:r>
    </w:p>
    <w:p w14:paraId="3E9ADFEE" w14:textId="07511527" w:rsidR="00007D8D" w:rsidRPr="00DC1F12" w:rsidRDefault="008A03AD" w:rsidP="00F80702">
      <w:pPr>
        <w:rPr>
          <w:lang w:val="fr-FR"/>
        </w:rPr>
      </w:pPr>
      <w:r w:rsidRPr="00DC1F12">
        <w:rPr>
          <w:lang w:val="fr-FR"/>
        </w:rPr>
        <w:t>Dans un contexte marqué par un environnement du développement en évolution rapide et par l</w:t>
      </w:r>
      <w:r w:rsidR="00726649" w:rsidRPr="00DC1F12">
        <w:rPr>
          <w:lang w:val="fr-FR"/>
        </w:rPr>
        <w:t>'</w:t>
      </w:r>
      <w:r w:rsidRPr="00DC1F12">
        <w:rPr>
          <w:lang w:val="fr-FR"/>
        </w:rPr>
        <w:t>entrée de nouveaux acteurs dans le secteur du développement des technologies de l</w:t>
      </w:r>
      <w:r w:rsidR="00726649" w:rsidRPr="00DC1F12">
        <w:rPr>
          <w:lang w:val="fr-FR"/>
        </w:rPr>
        <w:t>'</w:t>
      </w:r>
      <w:r w:rsidRPr="00DC1F12">
        <w:rPr>
          <w:lang w:val="fr-FR"/>
        </w:rPr>
        <w:t>information et de la communication (TIC), et compte tenu des demandes réitérées des États Membres en faveur d</w:t>
      </w:r>
      <w:r w:rsidR="00726649" w:rsidRPr="00DC1F12">
        <w:rPr>
          <w:lang w:val="fr-FR"/>
        </w:rPr>
        <w:t>'</w:t>
      </w:r>
      <w:r w:rsidRPr="00DC1F12">
        <w:rPr>
          <w:lang w:val="fr-FR"/>
        </w:rPr>
        <w:t>un BDT qui travaille de manière efficace et rationnelle</w:t>
      </w:r>
      <w:r w:rsidRPr="00DC1F12">
        <w:rPr>
          <w:rStyle w:val="FootnoteReference"/>
          <w:lang w:val="fr-FR"/>
        </w:rPr>
        <w:footnoteReference w:id="1"/>
      </w:r>
      <w:r w:rsidRPr="00DC1F12">
        <w:rPr>
          <w:lang w:val="fr-FR"/>
        </w:rPr>
        <w:t>, le Bureau a entrepris de nouveaux efforts, en 2019, en vue de déployer un cadre de gestion axée sur les résultats exhaustif et amélioré. Afin de maintenir et de renforcer l</w:t>
      </w:r>
      <w:r w:rsidR="00726649" w:rsidRPr="00DC1F12">
        <w:rPr>
          <w:lang w:val="fr-FR"/>
        </w:rPr>
        <w:t>'</w:t>
      </w:r>
      <w:r w:rsidRPr="00DC1F12">
        <w:rPr>
          <w:lang w:val="fr-FR"/>
        </w:rPr>
        <w:t>efficacité du BDT, nous avons réalisé une analyse de base durant la première moitié de 2019, dans le souci de bâtir un BDT qui soit "en adéquation avec sa mission". Cette analyse a mis en lumière ce qui suit:</w:t>
      </w:r>
    </w:p>
    <w:p w14:paraId="2FE148F3" w14:textId="0A65B0AF" w:rsidR="00007D8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Nos activités sont devenues fragmentées, raison pour laquelle il est difficile d</w:t>
      </w:r>
      <w:r w:rsidR="00726649" w:rsidRPr="00DC1F12">
        <w:rPr>
          <w:lang w:val="fr-FR"/>
        </w:rPr>
        <w:t>'</w:t>
      </w:r>
      <w:r w:rsidR="008A03AD" w:rsidRPr="00DC1F12">
        <w:rPr>
          <w:lang w:val="fr-FR"/>
        </w:rPr>
        <w:t>associer des partenaires de manière systématique, de tirer parti des éventuelles synergies avec le Secteur de la normalisation des télécommunications de l</w:t>
      </w:r>
      <w:r w:rsidR="00726649" w:rsidRPr="00DC1F12">
        <w:rPr>
          <w:lang w:val="fr-FR"/>
        </w:rPr>
        <w:t>'</w:t>
      </w:r>
      <w:r w:rsidR="008A03AD" w:rsidRPr="00DC1F12">
        <w:rPr>
          <w:lang w:val="fr-FR"/>
        </w:rPr>
        <w:t>UIT (UIT-T) et le Secteur des radiocommunications de l</w:t>
      </w:r>
      <w:r w:rsidR="00726649" w:rsidRPr="00DC1F12">
        <w:rPr>
          <w:lang w:val="fr-FR"/>
        </w:rPr>
        <w:t>'</w:t>
      </w:r>
      <w:r w:rsidR="008A03AD" w:rsidRPr="00DC1F12">
        <w:rPr>
          <w:lang w:val="fr-FR"/>
        </w:rPr>
        <w:t xml:space="preserve">UIT (UIT-R), et de recenser les résultats obtenus. </w:t>
      </w:r>
    </w:p>
    <w:p w14:paraId="5ACC4F92" w14:textId="6F9ED960" w:rsidR="00007D8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Nos programmes de travail étaient mis en œuvre de manière isolée et le volet opérationnel des programmes de travail était souvent déconnecté des projets et des initiatives régionales.</w:t>
      </w:r>
    </w:p>
    <w:p w14:paraId="072BA9C4" w14:textId="3C063A53" w:rsidR="00007D8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Nos initiatives régionales, en particulier celles ayant trait à des domaines thématiques similaires et déployées dans diverses régions, ne tiraient pas parti des possibilités de transposition à plus grande échelle et de mobilisation de ressources</w:t>
      </w:r>
      <w:r w:rsidR="008A03AD" w:rsidRPr="00DC1F12">
        <w:rPr>
          <w:rStyle w:val="FootnoteReference"/>
          <w:lang w:val="fr-FR"/>
        </w:rPr>
        <w:footnoteReference w:id="2"/>
      </w:r>
      <w:r w:rsidR="008A03AD" w:rsidRPr="00DC1F12">
        <w:rPr>
          <w:lang w:val="fr-FR"/>
        </w:rPr>
        <w:t xml:space="preserve">. </w:t>
      </w:r>
    </w:p>
    <w:p w14:paraId="075D81AE" w14:textId="0685DD14" w:rsidR="008A03A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Notre rôle en tant qu</w:t>
      </w:r>
      <w:r w:rsidR="00726649" w:rsidRPr="00DC1F12">
        <w:rPr>
          <w:lang w:val="fr-FR"/>
        </w:rPr>
        <w:t>'</w:t>
      </w:r>
      <w:r w:rsidR="008A03AD" w:rsidRPr="00DC1F12">
        <w:rPr>
          <w:lang w:val="fr-FR"/>
        </w:rPr>
        <w:t>institution spécialisée des Nations Unies pour les TIC, et en particulier l</w:t>
      </w:r>
      <w:r w:rsidR="00726649" w:rsidRPr="00DC1F12">
        <w:rPr>
          <w:lang w:val="fr-FR"/>
        </w:rPr>
        <w:t>'</w:t>
      </w:r>
      <w:r w:rsidR="008A03AD" w:rsidRPr="00DC1F12">
        <w:rPr>
          <w:lang w:val="fr-FR"/>
        </w:rPr>
        <w:t>objectif du BDT d</w:t>
      </w:r>
      <w:r w:rsidR="00726649" w:rsidRPr="00DC1F12">
        <w:rPr>
          <w:lang w:val="fr-FR"/>
        </w:rPr>
        <w:t>'</w:t>
      </w:r>
      <w:r w:rsidR="008A03AD" w:rsidRPr="00DC1F12">
        <w:rPr>
          <w:lang w:val="fr-FR"/>
        </w:rPr>
        <w:t>être le "partenaire pour la transformation numérique grâce à une connectivité efficace", n</w:t>
      </w:r>
      <w:r w:rsidR="00726649" w:rsidRPr="00DC1F12">
        <w:rPr>
          <w:lang w:val="fr-FR"/>
        </w:rPr>
        <w:t>'</w:t>
      </w:r>
      <w:r w:rsidR="008A03AD" w:rsidRPr="00DC1F12">
        <w:rPr>
          <w:lang w:val="fr-FR"/>
        </w:rPr>
        <w:t>étaient pas suffisamment reconnus par d</w:t>
      </w:r>
      <w:r w:rsidR="00726649" w:rsidRPr="00DC1F12">
        <w:rPr>
          <w:lang w:val="fr-FR"/>
        </w:rPr>
        <w:t>'</w:t>
      </w:r>
      <w:r w:rsidR="008A03AD" w:rsidRPr="00DC1F12">
        <w:rPr>
          <w:lang w:val="fr-FR"/>
        </w:rPr>
        <w:t>autres grandes organisations internationales et d</w:t>
      </w:r>
      <w:r w:rsidR="00726649" w:rsidRPr="00DC1F12">
        <w:rPr>
          <w:lang w:val="fr-FR"/>
        </w:rPr>
        <w:t>'</w:t>
      </w:r>
      <w:r w:rsidR="008A03AD" w:rsidRPr="00DC1F12">
        <w:rPr>
          <w:lang w:val="fr-FR"/>
        </w:rPr>
        <w:t xml:space="preserve">autres États Membres. </w:t>
      </w:r>
    </w:p>
    <w:p w14:paraId="2944AC01" w14:textId="1BE56A2E" w:rsidR="008A03AD" w:rsidRPr="00DC1F12" w:rsidRDefault="008A03AD" w:rsidP="00F80702">
      <w:pPr>
        <w:rPr>
          <w:lang w:val="fr-FR"/>
        </w:rPr>
      </w:pPr>
      <w:r w:rsidRPr="00DC1F12">
        <w:rPr>
          <w:lang w:val="fr-FR"/>
        </w:rPr>
        <w:t>En résumé, il a été estimé qu</w:t>
      </w:r>
      <w:r w:rsidR="00726649" w:rsidRPr="00DC1F12">
        <w:rPr>
          <w:lang w:val="fr-FR"/>
        </w:rPr>
        <w:t>'</w:t>
      </w:r>
      <w:r w:rsidRPr="00DC1F12">
        <w:rPr>
          <w:lang w:val="fr-FR"/>
        </w:rPr>
        <w:t xml:space="preserve">une approche plus cohérente était nécessaire afin de mettre en œuvre nos programmes de travail et de faire en sorte que le BDT soit considéré comme un partenaire indispensable du développement. </w:t>
      </w:r>
    </w:p>
    <w:p w14:paraId="4A877A41" w14:textId="77777777" w:rsidR="008A03AD" w:rsidRPr="00DC1F12" w:rsidRDefault="008A03AD" w:rsidP="00F80702">
      <w:pPr>
        <w:pStyle w:val="Headingb"/>
        <w:rPr>
          <w:lang w:val="fr-FR"/>
        </w:rPr>
      </w:pPr>
      <w:r w:rsidRPr="00DC1F12">
        <w:rPr>
          <w:lang w:val="fr-FR"/>
        </w:rPr>
        <w:t xml:space="preserve">Comment avons-nous repensé notre approche en matière de programme de travail? </w:t>
      </w:r>
    </w:p>
    <w:p w14:paraId="4A69EBED" w14:textId="0CC08DE3" w:rsidR="008A03AD" w:rsidRPr="00DC1F12" w:rsidRDefault="008A03AD" w:rsidP="00F80702">
      <w:pPr>
        <w:rPr>
          <w:lang w:val="fr-FR"/>
        </w:rPr>
      </w:pPr>
      <w:r w:rsidRPr="00DC1F12">
        <w:rPr>
          <w:lang w:val="fr-FR"/>
        </w:rPr>
        <w:t>Dans le prolongement des efforts déployés précédemment en vue d</w:t>
      </w:r>
      <w:r w:rsidR="00726649" w:rsidRPr="00DC1F12">
        <w:rPr>
          <w:lang w:val="fr-FR"/>
        </w:rPr>
        <w:t>'</w:t>
      </w:r>
      <w:r w:rsidRPr="00DC1F12">
        <w:rPr>
          <w:lang w:val="fr-FR"/>
        </w:rPr>
        <w:t>appliquer la gestion axée sur les résultats comme méthode de planification, nous avons organisé un grand nombre d</w:t>
      </w:r>
      <w:r w:rsidR="00726649" w:rsidRPr="00DC1F12">
        <w:rPr>
          <w:lang w:val="fr-FR"/>
        </w:rPr>
        <w:t>'</w:t>
      </w:r>
      <w:r w:rsidRPr="00DC1F12">
        <w:rPr>
          <w:lang w:val="fr-FR"/>
        </w:rPr>
        <w:t>ateliers et de sessions avec des fonctionnaires du siège et des bureaux régionaux et de zone, tout au long du dernier trimestre de 2019 et durant le premier trimestre de 2020. L</w:t>
      </w:r>
      <w:r w:rsidR="00726649" w:rsidRPr="00DC1F12">
        <w:rPr>
          <w:lang w:val="fr-FR"/>
        </w:rPr>
        <w:t>'</w:t>
      </w:r>
      <w:r w:rsidRPr="00DC1F12">
        <w:rPr>
          <w:lang w:val="fr-FR"/>
        </w:rPr>
        <w:t>objectif est d</w:t>
      </w:r>
      <w:r w:rsidR="00726649" w:rsidRPr="00DC1F12">
        <w:rPr>
          <w:lang w:val="fr-FR"/>
        </w:rPr>
        <w:t>'</w:t>
      </w:r>
      <w:r w:rsidRPr="00DC1F12">
        <w:rPr>
          <w:lang w:val="fr-FR"/>
        </w:rPr>
        <w:t>assurer que le cadre de gestion axée sur les résultats ne se limite pas à la planification, mais qu</w:t>
      </w:r>
      <w:r w:rsidR="00726649" w:rsidRPr="00DC1F12">
        <w:rPr>
          <w:lang w:val="fr-FR"/>
        </w:rPr>
        <w:t>'</w:t>
      </w:r>
      <w:r w:rsidRPr="00DC1F12">
        <w:rPr>
          <w:lang w:val="fr-FR"/>
        </w:rPr>
        <w:t>il accorde aussi une place importante à la coordination et à la mise en œuvre du programme de travail, afin de recueillir les éléments concrets attestant des résultats obtenus en vue de produire des effets réels.</w:t>
      </w:r>
    </w:p>
    <w:p w14:paraId="589DB04C" w14:textId="586F91E2" w:rsidR="00007D8D" w:rsidRPr="00DC1F12" w:rsidRDefault="008A03AD" w:rsidP="00F80702">
      <w:pPr>
        <w:rPr>
          <w:lang w:val="fr-FR"/>
        </w:rPr>
      </w:pPr>
      <w:r w:rsidRPr="00DC1F12">
        <w:rPr>
          <w:lang w:val="fr-FR"/>
        </w:rPr>
        <w:lastRenderedPageBreak/>
        <w:t>En conséquence, le BDT a élargi la portée du cadre de gestion axée sur les résultats afin d</w:t>
      </w:r>
      <w:r w:rsidR="00726649" w:rsidRPr="00DC1F12">
        <w:rPr>
          <w:lang w:val="fr-FR"/>
        </w:rPr>
        <w:t>'</w:t>
      </w:r>
      <w:r w:rsidRPr="00DC1F12">
        <w:rPr>
          <w:lang w:val="fr-FR"/>
        </w:rPr>
        <w:t xml:space="preserve">intégrer les éléments constitutifs suivants: </w:t>
      </w:r>
    </w:p>
    <w:p w14:paraId="36ABF6E5" w14:textId="1EA2A047" w:rsidR="00007D8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 xml:space="preserve">Des </w:t>
      </w:r>
      <w:r w:rsidR="008A03AD" w:rsidRPr="00DC1F12">
        <w:rPr>
          <w:b/>
          <w:bCs/>
          <w:i/>
          <w:iCs/>
          <w:lang w:val="fr-FR"/>
        </w:rPr>
        <w:t>chemins d</w:t>
      </w:r>
      <w:r w:rsidR="00726649" w:rsidRPr="00DC1F12">
        <w:rPr>
          <w:b/>
          <w:bCs/>
          <w:i/>
          <w:iCs/>
          <w:lang w:val="fr-FR"/>
        </w:rPr>
        <w:t>'</w:t>
      </w:r>
      <w:r w:rsidR="008A03AD" w:rsidRPr="00DC1F12">
        <w:rPr>
          <w:b/>
          <w:bCs/>
          <w:i/>
          <w:iCs/>
          <w:lang w:val="fr-FR"/>
        </w:rPr>
        <w:t>impact</w:t>
      </w:r>
      <w:r w:rsidR="008A03AD" w:rsidRPr="00DC1F12">
        <w:rPr>
          <w:lang w:val="fr-FR"/>
        </w:rPr>
        <w:t>, qui permettent d</w:t>
      </w:r>
      <w:r w:rsidR="00726649" w:rsidRPr="00DC1F12">
        <w:rPr>
          <w:lang w:val="fr-FR"/>
        </w:rPr>
        <w:t>'</w:t>
      </w:r>
      <w:r w:rsidR="008A03AD" w:rsidRPr="00DC1F12">
        <w:rPr>
          <w:lang w:val="fr-FR"/>
        </w:rPr>
        <w:t>assurer le suivi des axes de travail des activités thématiques, afin de recenser les produits fournis, les destinataires cibles effectifs, l</w:t>
      </w:r>
      <w:r w:rsidR="00726649" w:rsidRPr="00DC1F12">
        <w:rPr>
          <w:lang w:val="fr-FR"/>
        </w:rPr>
        <w:t>'</w:t>
      </w:r>
      <w:r w:rsidR="008A03AD" w:rsidRPr="00DC1F12">
        <w:rPr>
          <w:lang w:val="fr-FR"/>
        </w:rPr>
        <w:t>évolution des capacités des populations destinataires, et les changements de comportement qui en résultent, pour une plus grande efficacité.</w:t>
      </w:r>
    </w:p>
    <w:p w14:paraId="362B81C6" w14:textId="7769F3E8" w:rsidR="00007D8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La formulation d</w:t>
      </w:r>
      <w:r w:rsidR="00726649" w:rsidRPr="00DC1F12">
        <w:rPr>
          <w:lang w:val="fr-FR"/>
        </w:rPr>
        <w:t>'</w:t>
      </w:r>
      <w:r w:rsidR="008A03AD" w:rsidRPr="00DC1F12">
        <w:rPr>
          <w:b/>
          <w:bCs/>
          <w:i/>
          <w:iCs/>
          <w:lang w:val="fr-FR"/>
        </w:rPr>
        <w:t xml:space="preserve">hypothèses et de risques opérationnels </w:t>
      </w:r>
      <w:r w:rsidR="008A03AD" w:rsidRPr="00DC1F12">
        <w:rPr>
          <w:lang w:val="fr-FR"/>
        </w:rPr>
        <w:t>sous-jacents, afin de surveiller les cas où la réalisation de progrès est freinée ou empêchée et, sur la base des informations obtenues, de tirer des enseignements et de corriger en temps voulu les premières hypothèses de planification concernant le programme de travail, l</w:t>
      </w:r>
      <w:r w:rsidR="00726649" w:rsidRPr="00DC1F12">
        <w:rPr>
          <w:lang w:val="fr-FR"/>
        </w:rPr>
        <w:t>'</w:t>
      </w:r>
      <w:r w:rsidR="008A03AD" w:rsidRPr="00DC1F12">
        <w:rPr>
          <w:lang w:val="fr-FR"/>
        </w:rPr>
        <w:t xml:space="preserve">objectif étant de remettre le programme sur les rails. </w:t>
      </w:r>
    </w:p>
    <w:p w14:paraId="4F77F912" w14:textId="681CDD59" w:rsidR="00007D8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L</w:t>
      </w:r>
      <w:r w:rsidR="00726649" w:rsidRPr="00DC1F12">
        <w:rPr>
          <w:lang w:val="fr-FR"/>
        </w:rPr>
        <w:t>'</w:t>
      </w:r>
      <w:r w:rsidR="008A03AD" w:rsidRPr="00DC1F12">
        <w:rPr>
          <w:lang w:val="fr-FR"/>
        </w:rPr>
        <w:t>établissement de liens entre chaque groupe thématique (tel que les programmes des CMDT), les Commissions d</w:t>
      </w:r>
      <w:r w:rsidR="00726649" w:rsidRPr="00DC1F12">
        <w:rPr>
          <w:lang w:val="fr-FR"/>
        </w:rPr>
        <w:t>'</w:t>
      </w:r>
      <w:r w:rsidR="008A03AD" w:rsidRPr="00DC1F12">
        <w:rPr>
          <w:lang w:val="fr-FR"/>
        </w:rPr>
        <w:t>études de l</w:t>
      </w:r>
      <w:r w:rsidR="00726649" w:rsidRPr="00DC1F12">
        <w:rPr>
          <w:lang w:val="fr-FR"/>
        </w:rPr>
        <w:t>'</w:t>
      </w:r>
      <w:r w:rsidR="008A03AD" w:rsidRPr="00DC1F12">
        <w:rPr>
          <w:lang w:val="fr-FR"/>
        </w:rPr>
        <w:t>UIT-D compétentes et les autres Secteurs de l</w:t>
      </w:r>
      <w:r w:rsidR="00726649" w:rsidRPr="00DC1F12">
        <w:rPr>
          <w:lang w:val="fr-FR"/>
        </w:rPr>
        <w:t>'</w:t>
      </w:r>
      <w:r w:rsidR="008A03AD" w:rsidRPr="00DC1F12">
        <w:rPr>
          <w:lang w:val="fr-FR"/>
        </w:rPr>
        <w:t>UIT (UIT-T et UIT-R).</w:t>
      </w:r>
    </w:p>
    <w:p w14:paraId="7EE0E54E" w14:textId="7543B4FC" w:rsidR="008A03AD" w:rsidRPr="00DC1F12" w:rsidRDefault="00007D8D" w:rsidP="00F80702">
      <w:pPr>
        <w:pStyle w:val="enumlev1"/>
        <w:rPr>
          <w:lang w:val="fr-FR"/>
        </w:rPr>
      </w:pPr>
      <w:r w:rsidRPr="00DC1F12">
        <w:rPr>
          <w:lang w:val="fr-FR"/>
        </w:rPr>
        <w:t>–</w:t>
      </w:r>
      <w:r w:rsidRPr="00DC1F12">
        <w:rPr>
          <w:lang w:val="fr-FR"/>
        </w:rPr>
        <w:tab/>
      </w:r>
      <w:r w:rsidR="008A03AD" w:rsidRPr="00DC1F12">
        <w:rPr>
          <w:lang w:val="fr-FR"/>
        </w:rPr>
        <w:t xml:space="preserve">Des </w:t>
      </w:r>
      <w:r w:rsidR="008A03AD" w:rsidRPr="00DC1F12">
        <w:rPr>
          <w:b/>
          <w:bCs/>
          <w:i/>
          <w:iCs/>
          <w:lang w:val="fr-FR"/>
        </w:rPr>
        <w:t xml:space="preserve">indicateurs fondamentaux de performance </w:t>
      </w:r>
      <w:r w:rsidR="008A03AD" w:rsidRPr="00DC1F12">
        <w:rPr>
          <w:lang w:val="fr-FR"/>
        </w:rPr>
        <w:t xml:space="preserve">SMART, qui fournissent les outils qualitatifs ou quantitatifs pour mesurer et enregistrer en continu les progrès accomplis en vue de la réalisation des objectifs thématiques fixés à moyen terme et à long terme. </w:t>
      </w:r>
    </w:p>
    <w:p w14:paraId="14C9D9AC" w14:textId="54977FD8" w:rsidR="008A03AD" w:rsidRPr="00DC1F12" w:rsidRDefault="008A03AD" w:rsidP="00F80702">
      <w:pPr>
        <w:rPr>
          <w:lang w:val="fr-FR"/>
        </w:rPr>
      </w:pPr>
      <w:r w:rsidRPr="00DC1F12">
        <w:rPr>
          <w:lang w:val="fr-FR"/>
        </w:rPr>
        <w:t>Chaque groupe thématique (en 2019) et chaque bureau régional</w:t>
      </w:r>
      <w:r w:rsidRPr="00DC1F12">
        <w:rPr>
          <w:rStyle w:val="FootnoteReference"/>
          <w:lang w:val="fr-FR"/>
        </w:rPr>
        <w:footnoteReference w:id="3"/>
      </w:r>
      <w:r w:rsidRPr="00DC1F12">
        <w:rPr>
          <w:lang w:val="fr-FR"/>
        </w:rPr>
        <w:t xml:space="preserve"> (en 2020) a élaboré un cadre de gestion axée sur les résultats (suivant la théorie du changement) afin de tenir compte de ses priorités thématiques et de ses particularités régionales, en intégrant tous les éléments constitutifs susmentionnés, dans le droit fil des priorités énoncées dans le Plan d</w:t>
      </w:r>
      <w:r w:rsidR="00726649" w:rsidRPr="00DC1F12">
        <w:rPr>
          <w:lang w:val="fr-FR"/>
        </w:rPr>
        <w:t>'</w:t>
      </w:r>
      <w:r w:rsidRPr="00DC1F12">
        <w:rPr>
          <w:lang w:val="fr-FR"/>
        </w:rPr>
        <w:t>action de Buenos</w:t>
      </w:r>
      <w:r w:rsidR="00577AB4" w:rsidRPr="00DC1F12">
        <w:rPr>
          <w:lang w:val="fr-FR"/>
        </w:rPr>
        <w:t> </w:t>
      </w:r>
      <w:r w:rsidRPr="00DC1F12">
        <w:rPr>
          <w:lang w:val="fr-FR"/>
        </w:rPr>
        <w:t xml:space="preserve">Aires. Ce faisant, les principes directeurs suivants ont été formulés clairement: </w:t>
      </w:r>
    </w:p>
    <w:p w14:paraId="1EB06A89" w14:textId="5E00D74B"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 xml:space="preserve">Travailler dans le cadre des groupes thématiques et en coordination avec ces groupes. </w:t>
      </w:r>
    </w:p>
    <w:p w14:paraId="70F3D572" w14:textId="6150396E"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 xml:space="preserve">Se fonder sur la gestion axée sur les résultats en vue de prendre des décisions en matière de gestion. </w:t>
      </w:r>
    </w:p>
    <w:p w14:paraId="555061C9" w14:textId="5DB811FE"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 xml:space="preserve">Adopter une approche holistique, qui englobe toutes les ressources disponibles (humaines et financières), en réunissant le plan de travail opérationnel de 2020, les projets, les initiatives régionales et toute autre activité. </w:t>
      </w:r>
    </w:p>
    <w:p w14:paraId="07C4411A" w14:textId="6520A969"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Mettre l</w:t>
      </w:r>
      <w:r w:rsidR="00726649" w:rsidRPr="00DC1F12">
        <w:rPr>
          <w:lang w:val="fr-FR"/>
        </w:rPr>
        <w:t>'</w:t>
      </w:r>
      <w:r w:rsidR="008A03AD" w:rsidRPr="00DC1F12">
        <w:rPr>
          <w:lang w:val="fr-FR"/>
        </w:rPr>
        <w:t>établissement de partenariats et la mobilisation de ressources au cœur du travail de chaque fonctionnaire, et s</w:t>
      </w:r>
      <w:r w:rsidR="00726649" w:rsidRPr="00DC1F12">
        <w:rPr>
          <w:lang w:val="fr-FR"/>
        </w:rPr>
        <w:t>'</w:t>
      </w:r>
      <w:r w:rsidR="008A03AD" w:rsidRPr="00DC1F12">
        <w:rPr>
          <w:lang w:val="fr-FR"/>
        </w:rPr>
        <w:t>assurer que ce soit l</w:t>
      </w:r>
      <w:r w:rsidR="00726649" w:rsidRPr="00DC1F12">
        <w:rPr>
          <w:lang w:val="fr-FR"/>
        </w:rPr>
        <w:t>'</w:t>
      </w:r>
      <w:r w:rsidR="008A03AD" w:rsidRPr="00DC1F12">
        <w:rPr>
          <w:lang w:val="fr-FR"/>
        </w:rPr>
        <w:t xml:space="preserve">approche adoptée par défaut. </w:t>
      </w:r>
    </w:p>
    <w:p w14:paraId="0F023733" w14:textId="4F66CCD6"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Utiliser les chaînes de résultats et les études d</w:t>
      </w:r>
      <w:r w:rsidR="00726649" w:rsidRPr="00DC1F12">
        <w:rPr>
          <w:lang w:val="fr-FR"/>
        </w:rPr>
        <w:t>'</w:t>
      </w:r>
      <w:r w:rsidR="008A03AD" w:rsidRPr="00DC1F12">
        <w:rPr>
          <w:lang w:val="fr-FR"/>
        </w:rPr>
        <w:t xml:space="preserve">impact comme les fondements de la stratégie de communication du BDT. </w:t>
      </w:r>
    </w:p>
    <w:p w14:paraId="630C4E35" w14:textId="1615EBE4"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Déléguer des pouvoirs aux facilitateurs des groupes et aux directeurs des bureaux régionaux (dans les limites d</w:t>
      </w:r>
      <w:r w:rsidR="00726649" w:rsidRPr="00DC1F12">
        <w:rPr>
          <w:lang w:val="fr-FR"/>
        </w:rPr>
        <w:t>'</w:t>
      </w:r>
      <w:r w:rsidR="008A03AD" w:rsidRPr="00DC1F12">
        <w:rPr>
          <w:lang w:val="fr-FR"/>
        </w:rPr>
        <w:t>approbation définies au préalable).</w:t>
      </w:r>
    </w:p>
    <w:p w14:paraId="1AA0C3F4" w14:textId="77777777" w:rsidR="00DC1F12" w:rsidRPr="00DC1F12" w:rsidRDefault="00DC1F12" w:rsidP="00F80702">
      <w:pPr>
        <w:rPr>
          <w:lang w:val="fr-FR"/>
        </w:rPr>
      </w:pPr>
      <w:r w:rsidRPr="00DC1F12">
        <w:rPr>
          <w:lang w:val="fr-FR"/>
        </w:rPr>
        <w:br w:type="page"/>
      </w:r>
    </w:p>
    <w:p w14:paraId="6A21274F" w14:textId="6BEDBE0C" w:rsidR="008A03AD" w:rsidRPr="00DC1F12" w:rsidRDefault="008A03AD" w:rsidP="00F80702">
      <w:pPr>
        <w:rPr>
          <w:lang w:val="fr-FR"/>
        </w:rPr>
      </w:pPr>
      <w:r w:rsidRPr="00DC1F12">
        <w:rPr>
          <w:lang w:val="fr-FR"/>
        </w:rPr>
        <w:lastRenderedPageBreak/>
        <w:t>Afin de déployer cette approche exhaustive, il sera nécessaire de mettre en place de nouveaux systèmes pour suivre les progrès accomplis dans la mise en œuvre, pour rendre compte des indicateurs fondamentaux de performance et des dépenses liées aux produits, ainsi que pour assurer le suivi des activités. De cette manière, nous pourrons établir des liens directs entre, d</w:t>
      </w:r>
      <w:r w:rsidR="00726649" w:rsidRPr="00DC1F12">
        <w:rPr>
          <w:lang w:val="fr-FR"/>
        </w:rPr>
        <w:t>'</w:t>
      </w:r>
      <w:r w:rsidRPr="00DC1F12">
        <w:rPr>
          <w:lang w:val="fr-FR"/>
        </w:rPr>
        <w:t>une part, notre budget et les dépenses encourues et, d</w:t>
      </w:r>
      <w:r w:rsidR="00726649" w:rsidRPr="00DC1F12">
        <w:rPr>
          <w:lang w:val="fr-FR"/>
        </w:rPr>
        <w:t>'</w:t>
      </w:r>
      <w:r w:rsidRPr="00DC1F12">
        <w:rPr>
          <w:lang w:val="fr-FR"/>
        </w:rPr>
        <w:t xml:space="preserve">autre part, les priorités énoncées dans notre programme de travail, en attendant que la modernisation des systèmes informatiques soit menée à bien. </w:t>
      </w:r>
    </w:p>
    <w:p w14:paraId="14EDFCA9" w14:textId="77777777" w:rsidR="008A03AD" w:rsidRPr="00DC1F12" w:rsidRDefault="008A03AD" w:rsidP="00F80702">
      <w:pPr>
        <w:pStyle w:val="Headingb"/>
        <w:rPr>
          <w:lang w:val="fr-FR"/>
        </w:rPr>
      </w:pPr>
      <w:r w:rsidRPr="00DC1F12">
        <w:rPr>
          <w:lang w:val="fr-FR"/>
        </w:rPr>
        <w:t xml:space="preserve">Quels sont les changements attendus? </w:t>
      </w:r>
    </w:p>
    <w:p w14:paraId="090295A5" w14:textId="635B8741" w:rsidR="008A03AD" w:rsidRPr="00DC1F12" w:rsidRDefault="008A03AD" w:rsidP="00F80702">
      <w:pPr>
        <w:rPr>
          <w:lang w:val="fr-FR"/>
        </w:rPr>
      </w:pPr>
      <w:r w:rsidRPr="00DC1F12">
        <w:rPr>
          <w:lang w:val="fr-FR"/>
        </w:rPr>
        <w:t>En utilisant la gestion axée sur les résultats comme outil pour prendre des décisions en matière de gestion, en vue de mettre en œuvre le programme de travail du BDT, nous jetons les bases d</w:t>
      </w:r>
      <w:r w:rsidR="00726649" w:rsidRPr="00DC1F12">
        <w:rPr>
          <w:lang w:val="fr-FR"/>
        </w:rPr>
        <w:t>'</w:t>
      </w:r>
      <w:r w:rsidRPr="00DC1F12">
        <w:rPr>
          <w:lang w:val="fr-FR"/>
        </w:rPr>
        <w:t>un</w:t>
      </w:r>
      <w:r w:rsidR="00DC1F12" w:rsidRPr="00DC1F12">
        <w:rPr>
          <w:lang w:val="fr-FR"/>
        </w:rPr>
        <w:t> </w:t>
      </w:r>
      <w:r w:rsidRPr="00DC1F12">
        <w:rPr>
          <w:lang w:val="fr-FR"/>
        </w:rPr>
        <w:t xml:space="preserve">BDT qui travaille de manière efficace et rationnelle, et qui est "en adéquation avec sa mission": </w:t>
      </w:r>
    </w:p>
    <w:p w14:paraId="4333A1E6" w14:textId="4E6A5D75"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Des réunions d</w:t>
      </w:r>
      <w:r w:rsidR="00726649" w:rsidRPr="00DC1F12">
        <w:rPr>
          <w:lang w:val="fr-FR"/>
        </w:rPr>
        <w:t>'</w:t>
      </w:r>
      <w:r w:rsidR="008A03AD" w:rsidRPr="00DC1F12">
        <w:rPr>
          <w:lang w:val="fr-FR"/>
        </w:rPr>
        <w:t>examen seront organisées tous les trimestres entre les groupes thématiques et les bureaux régionaux, afin d</w:t>
      </w:r>
      <w:r w:rsidR="00726649" w:rsidRPr="00DC1F12">
        <w:rPr>
          <w:lang w:val="fr-FR"/>
        </w:rPr>
        <w:t>'</w:t>
      </w:r>
      <w:r w:rsidR="008A03AD" w:rsidRPr="00DC1F12">
        <w:rPr>
          <w:lang w:val="fr-FR"/>
        </w:rPr>
        <w:t>évaluer les progrès accomplis concernant tous les éléments du programme de travail et de permettre d</w:t>
      </w:r>
      <w:r w:rsidR="00726649" w:rsidRPr="00DC1F12">
        <w:rPr>
          <w:lang w:val="fr-FR"/>
        </w:rPr>
        <w:t>'</w:t>
      </w:r>
      <w:r w:rsidR="008A03AD" w:rsidRPr="00DC1F12">
        <w:rPr>
          <w:lang w:val="fr-FR"/>
        </w:rPr>
        <w:t>apporter des ajustements, en suivant une approche holistique.</w:t>
      </w:r>
    </w:p>
    <w:p w14:paraId="2ED6CEEB" w14:textId="3435DC78"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Les évaluations des risques opérationnels seront enregistrées dans un registre des risques au niveau des unités, avant d</w:t>
      </w:r>
      <w:r w:rsidR="00726649" w:rsidRPr="00DC1F12">
        <w:rPr>
          <w:lang w:val="fr-FR"/>
        </w:rPr>
        <w:t>'</w:t>
      </w:r>
      <w:r w:rsidR="008A03AD" w:rsidRPr="00DC1F12">
        <w:rPr>
          <w:lang w:val="fr-FR"/>
        </w:rPr>
        <w:t>être agrégées à l</w:t>
      </w:r>
      <w:r w:rsidR="00726649" w:rsidRPr="00DC1F12">
        <w:rPr>
          <w:lang w:val="fr-FR"/>
        </w:rPr>
        <w:t>'</w:t>
      </w:r>
      <w:r w:rsidR="008A03AD" w:rsidRPr="00DC1F12">
        <w:rPr>
          <w:lang w:val="fr-FR"/>
        </w:rPr>
        <w:t>échelle du BDT. De cette manière, il sera possible de détecter en temps voulu tous les éléments qui posent un problème (signalés en rouge), afin de prendre des décisions sans délai et de résoudre les questions liées au programme qui sont restées en suspens.</w:t>
      </w:r>
    </w:p>
    <w:p w14:paraId="01CCE976" w14:textId="60AFC752"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 xml:space="preserve">Les hypothèses de travail seront également examinées régulièrement, afin de garantir une certaine souplesse dans les ajustements apportés aux programmes de travail, et de tirer rapidement des enseignements de ces changements. </w:t>
      </w:r>
    </w:p>
    <w:p w14:paraId="2D251069" w14:textId="6C9C4867"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Les progrès accomplis au regard des indicateurs fondamentaux de performance seront mis à jour en continu sur un tableau de bord du BDT et feront l</w:t>
      </w:r>
      <w:r w:rsidR="00726649" w:rsidRPr="00DC1F12">
        <w:rPr>
          <w:lang w:val="fr-FR"/>
        </w:rPr>
        <w:t>'</w:t>
      </w:r>
      <w:r w:rsidR="008A03AD" w:rsidRPr="00DC1F12">
        <w:rPr>
          <w:lang w:val="fr-FR"/>
        </w:rPr>
        <w:t xml:space="preserve">objet de rapports périodiques. </w:t>
      </w:r>
    </w:p>
    <w:p w14:paraId="01F35D00" w14:textId="06709706" w:rsidR="008A03AD" w:rsidRPr="00DC1F12" w:rsidRDefault="00B569F7" w:rsidP="00F80702">
      <w:pPr>
        <w:pStyle w:val="enumlev1"/>
        <w:rPr>
          <w:lang w:val="fr-FR"/>
        </w:rPr>
      </w:pPr>
      <w:r w:rsidRPr="00DC1F12">
        <w:rPr>
          <w:lang w:val="fr-FR"/>
        </w:rPr>
        <w:t>–</w:t>
      </w:r>
      <w:r w:rsidRPr="00DC1F12">
        <w:rPr>
          <w:lang w:val="fr-FR"/>
        </w:rPr>
        <w:tab/>
      </w:r>
      <w:r w:rsidR="008A03AD" w:rsidRPr="00DC1F12">
        <w:rPr>
          <w:lang w:val="fr-FR"/>
        </w:rPr>
        <w:t>Les projets et les programmes qui ont fait leurs preuves, y compris les initiatives régionales, seront reproduits et déployés à plus grande échelle, avec le concours de nos partenaires et en fonction des intérêts de nos membres.</w:t>
      </w:r>
    </w:p>
    <w:p w14:paraId="5310540A" w14:textId="73075879" w:rsidR="00577AB4" w:rsidRPr="00DC1F12" w:rsidRDefault="008A03AD" w:rsidP="00F80702">
      <w:pPr>
        <w:pStyle w:val="Reasons"/>
        <w:rPr>
          <w:lang w:val="fr-FR"/>
        </w:rPr>
      </w:pPr>
      <w:r w:rsidRPr="00DC1F12">
        <w:rPr>
          <w:lang w:val="fr-FR"/>
        </w:rPr>
        <w:t>Les mesures susmentionnées produiront des effets tangibles, que nous commençons déjà à ressentir, et que nous chercherons systématiquement à démontrer par des éléments concrets.</w:t>
      </w:r>
    </w:p>
    <w:p w14:paraId="7BDA0866" w14:textId="77777777" w:rsidR="00577AB4" w:rsidRPr="00DC1F12" w:rsidRDefault="00577AB4" w:rsidP="00F80702">
      <w:pPr>
        <w:rPr>
          <w:lang w:val="fr-FR"/>
        </w:rPr>
      </w:pPr>
    </w:p>
    <w:p w14:paraId="3474E3EB" w14:textId="77777777" w:rsidR="00577AB4" w:rsidRPr="00DC1F12" w:rsidRDefault="00577AB4" w:rsidP="00F80702">
      <w:pPr>
        <w:jc w:val="center"/>
        <w:rPr>
          <w:lang w:val="fr-FR"/>
        </w:rPr>
      </w:pPr>
      <w:r w:rsidRPr="00DC1F12">
        <w:rPr>
          <w:lang w:val="fr-FR"/>
        </w:rPr>
        <w:t>______________</w:t>
      </w:r>
    </w:p>
    <w:sectPr w:rsidR="00577AB4" w:rsidRPr="00DC1F12" w:rsidSect="00473791">
      <w:headerReference w:type="default" r:id="rId9"/>
      <w:footerReference w:type="default" r:id="rId10"/>
      <w:footerReference w:type="first" r:id="rId11"/>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0001" w14:textId="77777777" w:rsidR="00D35C90" w:rsidRDefault="00D35C90">
      <w:r>
        <w:separator/>
      </w:r>
    </w:p>
  </w:endnote>
  <w:endnote w:type="continuationSeparator" w:id="0">
    <w:p w14:paraId="5EA570E2" w14:textId="77777777" w:rsidR="00D35C90" w:rsidRDefault="00D3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C87D" w14:textId="1FD4194F" w:rsidR="00721657" w:rsidRPr="00A525CC" w:rsidRDefault="00721657" w:rsidP="00A525CC">
    <w:pPr>
      <w:pStyle w:val="Footer"/>
      <w:rPr>
        <w:caps w:val="0"/>
        <w:sz w:val="18"/>
        <w:szCs w:val="18"/>
        <w:lang w:val="en-US"/>
      </w:rPr>
    </w:pPr>
    <w:r w:rsidRPr="003125C3">
      <w:rPr>
        <w:caps w:val="0"/>
        <w:sz w:val="18"/>
        <w:szCs w:val="18"/>
      </w:rPr>
      <w:fldChar w:fldCharType="begin"/>
    </w:r>
    <w:r w:rsidRPr="00A525CC">
      <w:rPr>
        <w:caps w:val="0"/>
        <w:sz w:val="18"/>
        <w:szCs w:val="18"/>
        <w:lang w:val="en-US"/>
      </w:rPr>
      <w:instrText xml:space="preserve"> FILENAME \p \* MERGEFORMAT </w:instrText>
    </w:r>
    <w:r w:rsidRPr="003125C3">
      <w:rPr>
        <w:caps w:val="0"/>
        <w:sz w:val="18"/>
        <w:szCs w:val="18"/>
      </w:rPr>
      <w:fldChar w:fldCharType="separate"/>
    </w:r>
    <w:r w:rsidR="00DC1F12">
      <w:rPr>
        <w:caps w:val="0"/>
        <w:sz w:val="18"/>
        <w:szCs w:val="18"/>
        <w:lang w:val="en-US"/>
      </w:rPr>
      <w:t>P:\FRA\ITU-D\CONF-D\TDAG20\000\028F.docx</w:t>
    </w:r>
    <w:r w:rsidRPr="003125C3">
      <w:rPr>
        <w:caps w:val="0"/>
        <w:sz w:val="18"/>
        <w:szCs w:val="18"/>
        <w:lang w:val="en-US"/>
      </w:rPr>
      <w:fldChar w:fldCharType="end"/>
    </w:r>
    <w:r w:rsidR="008A03AD">
      <w:rPr>
        <w:caps w:val="0"/>
        <w:sz w:val="18"/>
        <w:szCs w:val="18"/>
        <w:lang w:val="en-US"/>
      </w:rPr>
      <w:t xml:space="preserve"> (467656)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A454E1" w:rsidRPr="004D495C" w14:paraId="0287FC09" w14:textId="77777777" w:rsidTr="004E3CF5">
      <w:tc>
        <w:tcPr>
          <w:tcW w:w="1526" w:type="dxa"/>
          <w:tcBorders>
            <w:top w:val="single" w:sz="4" w:space="0" w:color="000000"/>
          </w:tcBorders>
          <w:shd w:val="clear" w:color="auto" w:fill="auto"/>
        </w:tcPr>
        <w:p w14:paraId="749CD125" w14:textId="77777777" w:rsidR="00A454E1" w:rsidRPr="004D495C" w:rsidRDefault="00A454E1" w:rsidP="00A454E1">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3F105F78" w14:textId="77777777" w:rsidR="00A454E1" w:rsidRPr="004D495C" w:rsidRDefault="00A454E1" w:rsidP="00A454E1">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shd w:val="clear" w:color="auto" w:fill="auto"/>
        </w:tcPr>
        <w:p w14:paraId="722B4F24" w14:textId="7A6004D1" w:rsidR="00A454E1" w:rsidRPr="008A03AD" w:rsidRDefault="008A03AD" w:rsidP="008A03AD">
          <w:pPr>
            <w:pStyle w:val="FirstFooter"/>
            <w:tabs>
              <w:tab w:val="left" w:pos="2302"/>
            </w:tabs>
            <w:rPr>
              <w:sz w:val="18"/>
              <w:szCs w:val="18"/>
              <w:lang w:val="fr-CH"/>
            </w:rPr>
          </w:pPr>
          <w:r w:rsidRPr="008A03AD">
            <w:rPr>
              <w:sz w:val="18"/>
              <w:szCs w:val="18"/>
              <w:lang w:val="fr-CH"/>
            </w:rPr>
            <w:t>Mme Doreen Bogdan-Martin, Directrice, Bureau de développement des télécommunications</w:t>
          </w:r>
        </w:p>
      </w:tc>
    </w:tr>
    <w:tr w:rsidR="008A03AD" w:rsidRPr="004D495C" w14:paraId="27630812" w14:textId="77777777" w:rsidTr="004E3CF5">
      <w:tc>
        <w:tcPr>
          <w:tcW w:w="1526" w:type="dxa"/>
          <w:shd w:val="clear" w:color="auto" w:fill="auto"/>
        </w:tcPr>
        <w:p w14:paraId="35DCA4BC" w14:textId="77777777" w:rsidR="008A03AD" w:rsidRPr="008A03AD" w:rsidRDefault="008A03AD" w:rsidP="008A03AD">
          <w:pPr>
            <w:pStyle w:val="FirstFooter"/>
            <w:tabs>
              <w:tab w:val="left" w:pos="1559"/>
              <w:tab w:val="left" w:pos="3828"/>
            </w:tabs>
            <w:rPr>
              <w:sz w:val="20"/>
              <w:lang w:val="fr-CH"/>
            </w:rPr>
          </w:pPr>
        </w:p>
      </w:tc>
      <w:tc>
        <w:tcPr>
          <w:tcW w:w="2410" w:type="dxa"/>
          <w:shd w:val="clear" w:color="auto" w:fill="auto"/>
        </w:tcPr>
        <w:p w14:paraId="6CA8945E" w14:textId="77777777" w:rsidR="008A03AD" w:rsidRPr="004D495C" w:rsidRDefault="008A03AD" w:rsidP="008A03AD">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shd w:val="clear" w:color="auto" w:fill="auto"/>
        </w:tcPr>
        <w:p w14:paraId="1A50C35A" w14:textId="59E4CDED" w:rsidR="008A03AD" w:rsidRPr="00E5653A" w:rsidRDefault="008A03AD" w:rsidP="008A03AD">
          <w:pPr>
            <w:pStyle w:val="FirstFooter"/>
            <w:tabs>
              <w:tab w:val="left" w:pos="2302"/>
            </w:tabs>
            <w:rPr>
              <w:sz w:val="18"/>
              <w:szCs w:val="18"/>
              <w:lang w:val="en-US"/>
            </w:rPr>
          </w:pPr>
          <w:bookmarkStart w:id="8" w:name="PhoneNo"/>
          <w:bookmarkEnd w:id="8"/>
          <w:r w:rsidRPr="00AA5536">
            <w:rPr>
              <w:sz w:val="18"/>
              <w:szCs w:val="18"/>
              <w:lang w:val="en-US"/>
            </w:rPr>
            <w:t>+41 22 730</w:t>
          </w:r>
          <w:r>
            <w:rPr>
              <w:sz w:val="18"/>
              <w:szCs w:val="18"/>
              <w:lang w:val="en-US"/>
            </w:rPr>
            <w:t xml:space="preserve"> 5533</w:t>
          </w:r>
        </w:p>
      </w:tc>
    </w:tr>
    <w:tr w:rsidR="008A03AD" w:rsidRPr="004D495C" w14:paraId="0B19F60D" w14:textId="77777777" w:rsidTr="004E3CF5">
      <w:tc>
        <w:tcPr>
          <w:tcW w:w="1526" w:type="dxa"/>
          <w:shd w:val="clear" w:color="auto" w:fill="auto"/>
        </w:tcPr>
        <w:p w14:paraId="1D39731B" w14:textId="77777777" w:rsidR="008A03AD" w:rsidRPr="004D495C" w:rsidRDefault="008A03AD" w:rsidP="008A03AD">
          <w:pPr>
            <w:pStyle w:val="FirstFooter"/>
            <w:tabs>
              <w:tab w:val="left" w:pos="1559"/>
              <w:tab w:val="left" w:pos="3828"/>
            </w:tabs>
            <w:rPr>
              <w:sz w:val="20"/>
              <w:lang w:val="en-US"/>
            </w:rPr>
          </w:pPr>
        </w:p>
      </w:tc>
      <w:tc>
        <w:tcPr>
          <w:tcW w:w="2410" w:type="dxa"/>
          <w:shd w:val="clear" w:color="auto" w:fill="auto"/>
        </w:tcPr>
        <w:p w14:paraId="4001A11C" w14:textId="77777777" w:rsidR="008A03AD" w:rsidRPr="004D495C" w:rsidRDefault="008A03AD" w:rsidP="008A03AD">
          <w:pPr>
            <w:pStyle w:val="FirstFooter"/>
            <w:tabs>
              <w:tab w:val="left" w:pos="2302"/>
            </w:tabs>
            <w:rPr>
              <w:sz w:val="18"/>
              <w:szCs w:val="18"/>
              <w:lang w:val="en-US"/>
            </w:rPr>
          </w:pPr>
          <w:r>
            <w:rPr>
              <w:sz w:val="18"/>
              <w:szCs w:val="18"/>
              <w:lang w:val="en-US"/>
            </w:rPr>
            <w:t>Courriel:</w:t>
          </w:r>
        </w:p>
      </w:tc>
      <w:bookmarkStart w:id="9" w:name="Email"/>
      <w:bookmarkEnd w:id="9"/>
      <w:tc>
        <w:tcPr>
          <w:tcW w:w="5987" w:type="dxa"/>
          <w:shd w:val="clear" w:color="auto" w:fill="auto"/>
        </w:tcPr>
        <w:p w14:paraId="198E81E5" w14:textId="39BCF2BC" w:rsidR="008A03AD" w:rsidRPr="00E5653A" w:rsidRDefault="008A03AD" w:rsidP="008A03AD">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w:instrText>
          </w:r>
          <w:r w:rsidRPr="00E96C99">
            <w:rPr>
              <w:sz w:val="18"/>
              <w:szCs w:val="18"/>
              <w:lang w:val="en-US"/>
            </w:rPr>
            <w:instrText>bdtdir@itu.int</w:instrText>
          </w:r>
          <w:r>
            <w:rPr>
              <w:sz w:val="18"/>
              <w:szCs w:val="18"/>
              <w:lang w:val="en-US"/>
            </w:rPr>
            <w:instrText xml:space="preserve">" </w:instrText>
          </w:r>
          <w:r>
            <w:rPr>
              <w:sz w:val="18"/>
              <w:szCs w:val="18"/>
              <w:lang w:val="en-US"/>
            </w:rPr>
            <w:fldChar w:fldCharType="separate"/>
          </w:r>
          <w:r w:rsidRPr="00BA4954">
            <w:rPr>
              <w:rStyle w:val="Hyperlink"/>
              <w:sz w:val="18"/>
              <w:szCs w:val="18"/>
              <w:lang w:val="en-US"/>
            </w:rPr>
            <w:t>bdtdir@itu.int</w:t>
          </w:r>
          <w:r>
            <w:rPr>
              <w:sz w:val="18"/>
              <w:szCs w:val="18"/>
              <w:lang w:val="en-US"/>
            </w:rPr>
            <w:fldChar w:fldCharType="end"/>
          </w:r>
        </w:p>
      </w:tc>
    </w:tr>
  </w:tbl>
  <w:p w14:paraId="7E010B9D" w14:textId="77777777" w:rsidR="00A454E1" w:rsidRDefault="00A454E1" w:rsidP="00B80157">
    <w:pPr>
      <w:pStyle w:val="Footer"/>
      <w:jc w:val="center"/>
      <w:rPr>
        <w:lang w:val="fr-CH"/>
      </w:rPr>
    </w:pPr>
  </w:p>
  <w:p w14:paraId="09277D66" w14:textId="77777777" w:rsidR="00721657" w:rsidRPr="008802F9" w:rsidRDefault="000A0797" w:rsidP="00B80157">
    <w:pPr>
      <w:pStyle w:val="Footer"/>
      <w:jc w:val="center"/>
    </w:pPr>
    <w:hyperlink r:id="rId1" w:history="1">
      <w:r w:rsidR="00851060">
        <w:rPr>
          <w:rStyle w:val="Hyperlink"/>
          <w:caps w:val="0"/>
          <w:noProof w:val="0"/>
          <w:sz w:val="18"/>
          <w:szCs w:val="18"/>
          <w:lang w:val="fr-CH"/>
        </w:rPr>
        <w:t>GCDT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E1761" w14:textId="77777777" w:rsidR="00D35C90" w:rsidRDefault="00D35C90">
      <w:r>
        <w:t>____________________</w:t>
      </w:r>
    </w:p>
  </w:footnote>
  <w:footnote w:type="continuationSeparator" w:id="0">
    <w:p w14:paraId="06CA340E" w14:textId="77777777" w:rsidR="00D35C90" w:rsidRDefault="00D35C90">
      <w:r>
        <w:continuationSeparator/>
      </w:r>
    </w:p>
  </w:footnote>
  <w:footnote w:id="1">
    <w:p w14:paraId="65AF8127" w14:textId="55419FCB" w:rsidR="008A03AD" w:rsidRPr="00ED3957" w:rsidRDefault="008A03AD" w:rsidP="00153A6A">
      <w:pPr>
        <w:pStyle w:val="FootnoteText"/>
        <w:spacing w:before="0"/>
        <w:ind w:left="259" w:hanging="259"/>
        <w:rPr>
          <w:sz w:val="20"/>
        </w:rPr>
      </w:pPr>
      <w:r>
        <w:rPr>
          <w:rStyle w:val="FootnoteReference"/>
        </w:rPr>
        <w:footnoteRef/>
      </w:r>
      <w:r w:rsidRPr="00D07A83">
        <w:tab/>
      </w:r>
      <w:r w:rsidRPr="009D4B4C">
        <w:rPr>
          <w:sz w:val="22"/>
          <w:szCs w:val="22"/>
        </w:rPr>
        <w:t>En particulier, voir la Résolution 151 (Rév. Dubaï, 2018) de la PP concernant la mise en œuvre de la gestion axée sur les résultats et la Résolution 71 (Rév. Dubaï, 2018) de la PP sur la mise en œuvre coordonnée d</w:t>
      </w:r>
      <w:r w:rsidR="00EB033C">
        <w:rPr>
          <w:sz w:val="22"/>
          <w:szCs w:val="22"/>
        </w:rPr>
        <w:t>u</w:t>
      </w:r>
      <w:r w:rsidRPr="009D4B4C">
        <w:rPr>
          <w:sz w:val="22"/>
          <w:szCs w:val="22"/>
        </w:rPr>
        <w:t xml:space="preserve"> </w:t>
      </w:r>
      <w:r w:rsidR="00DC1F12" w:rsidRPr="009D4B4C">
        <w:rPr>
          <w:sz w:val="22"/>
          <w:szCs w:val="22"/>
        </w:rPr>
        <w:t>P</w:t>
      </w:r>
      <w:r w:rsidRPr="009D4B4C">
        <w:rPr>
          <w:sz w:val="22"/>
          <w:szCs w:val="22"/>
        </w:rPr>
        <w:t xml:space="preserve">lan stratégique de l'UIT, ainsi que la Résolution 52 (Rév. Dubaï, 2014) de la CMDT sur le renforcement du rôle d'agent d'exécution du Secteur du développement des télécommunications de l'UIT. </w:t>
      </w:r>
    </w:p>
  </w:footnote>
  <w:footnote w:id="2">
    <w:p w14:paraId="18FA94B4" w14:textId="2163C216" w:rsidR="008A03AD" w:rsidRPr="008C1FBE" w:rsidRDefault="008A03AD" w:rsidP="00153A6A">
      <w:pPr>
        <w:pStyle w:val="FootnoteText"/>
        <w:spacing w:before="0"/>
        <w:ind w:left="259" w:hanging="259"/>
        <w:rPr>
          <w:sz w:val="20"/>
        </w:rPr>
      </w:pPr>
      <w:r w:rsidRPr="009D3F27">
        <w:rPr>
          <w:rStyle w:val="FootnoteReference"/>
          <w:sz w:val="20"/>
        </w:rPr>
        <w:footnoteRef/>
      </w:r>
      <w:r w:rsidRPr="006A5D30">
        <w:rPr>
          <w:sz w:val="20"/>
        </w:rPr>
        <w:tab/>
      </w:r>
      <w:r w:rsidRPr="009D4B4C">
        <w:rPr>
          <w:sz w:val="22"/>
          <w:szCs w:val="22"/>
        </w:rPr>
        <w:t>En particulier, voir la Résolution 25 (Rév. Dubaï, 2018) de la PP sur le renforcement de la présence régionale et la Résolution 53 (Rév. Dubaï, 2014) de la CMDT, dans laquelle il est demandé de développer un cadre stratégique et financier pour l'élaboration et la mise en œuvre du Plan d'action de Dubaï.</w:t>
      </w:r>
    </w:p>
  </w:footnote>
  <w:footnote w:id="3">
    <w:p w14:paraId="60278791" w14:textId="6678F91F" w:rsidR="008A03AD" w:rsidRPr="00D267E2" w:rsidRDefault="008A03AD" w:rsidP="00153A6A">
      <w:pPr>
        <w:pStyle w:val="FootnoteText"/>
        <w:spacing w:before="0"/>
        <w:ind w:left="259" w:hanging="259"/>
        <w:rPr>
          <w:sz w:val="22"/>
          <w:szCs w:val="22"/>
        </w:rPr>
      </w:pPr>
      <w:r w:rsidRPr="009D3F27">
        <w:rPr>
          <w:rStyle w:val="FootnoteReference"/>
          <w:sz w:val="20"/>
        </w:rPr>
        <w:footnoteRef/>
      </w:r>
      <w:r w:rsidRPr="00CE4C8B">
        <w:rPr>
          <w:sz w:val="20"/>
        </w:rPr>
        <w:tab/>
      </w:r>
      <w:r w:rsidRPr="00D267E2">
        <w:rPr>
          <w:sz w:val="22"/>
          <w:szCs w:val="22"/>
        </w:rPr>
        <w:t>Le premier atelier régiona</w:t>
      </w:r>
      <w:r w:rsidR="00EB033C">
        <w:rPr>
          <w:sz w:val="22"/>
          <w:szCs w:val="22"/>
        </w:rPr>
        <w:t>l</w:t>
      </w:r>
      <w:r w:rsidRPr="00D267E2">
        <w:rPr>
          <w:sz w:val="22"/>
          <w:szCs w:val="22"/>
        </w:rPr>
        <w:t xml:space="preserve"> sur la gestion axée sur les résultats </w:t>
      </w:r>
      <w:r w:rsidR="00EB033C">
        <w:rPr>
          <w:sz w:val="22"/>
          <w:szCs w:val="22"/>
        </w:rPr>
        <w:t>a</w:t>
      </w:r>
      <w:r w:rsidRPr="00D267E2">
        <w:rPr>
          <w:sz w:val="22"/>
          <w:szCs w:val="22"/>
        </w:rPr>
        <w:t xml:space="preserve"> eu lieu en janvier 2020 dans la région Amériques. Toutes les régions en bénéficieront </w:t>
      </w:r>
      <w:r w:rsidR="00EB033C">
        <w:rPr>
          <w:sz w:val="22"/>
          <w:szCs w:val="22"/>
        </w:rPr>
        <w:t>au cours du premier semestre</w:t>
      </w:r>
      <w:r w:rsidRPr="00D267E2">
        <w:rPr>
          <w:sz w:val="22"/>
          <w:szCs w:val="22"/>
        </w:rPr>
        <w:t xml:space="preserve">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9869" w14:textId="2F12769C" w:rsidR="00A525CC" w:rsidRPr="006D271A" w:rsidRDefault="00A525CC" w:rsidP="00D87E6C">
    <w:pPr>
      <w:tabs>
        <w:tab w:val="clear" w:pos="794"/>
        <w:tab w:val="clear" w:pos="1191"/>
        <w:tab w:val="clear" w:pos="1588"/>
        <w:tab w:val="clear" w:pos="1985"/>
        <w:tab w:val="center" w:pos="4820"/>
        <w:tab w:val="right" w:pos="9639"/>
      </w:tabs>
      <w:ind w:right="1"/>
      <w:rPr>
        <w:smallCaps/>
        <w:spacing w:val="24"/>
        <w:sz w:val="22"/>
        <w:szCs w:val="22"/>
        <w:lang w:val="de-CH"/>
      </w:rPr>
    </w:pPr>
    <w:r w:rsidRPr="00972BCD">
      <w:rPr>
        <w:sz w:val="22"/>
        <w:szCs w:val="22"/>
      </w:rPr>
      <w:tab/>
    </w:r>
    <w:r w:rsidRPr="00A54E72">
      <w:rPr>
        <w:sz w:val="22"/>
        <w:szCs w:val="22"/>
        <w:lang w:val="de-CH"/>
      </w:rPr>
      <w:t>TDAG</w:t>
    </w:r>
    <w:r w:rsidR="008F20EB">
      <w:rPr>
        <w:sz w:val="22"/>
        <w:szCs w:val="22"/>
        <w:lang w:val="de-CH"/>
      </w:rPr>
      <w:t>-</w:t>
    </w:r>
    <w:r w:rsidR="002577C1">
      <w:rPr>
        <w:sz w:val="22"/>
        <w:szCs w:val="22"/>
        <w:lang w:val="de-CH"/>
      </w:rPr>
      <w:t>20</w:t>
    </w:r>
    <w:r w:rsidRPr="00A54E72">
      <w:rPr>
        <w:sz w:val="22"/>
        <w:szCs w:val="22"/>
        <w:lang w:val="de-CH"/>
      </w:rPr>
      <w:t>/</w:t>
    </w:r>
    <w:r w:rsidR="008A03AD">
      <w:rPr>
        <w:sz w:val="22"/>
        <w:szCs w:val="22"/>
        <w:lang w:val="de-CH"/>
      </w:rPr>
      <w:t>28-</w:t>
    </w:r>
    <w:r w:rsidR="00B533E9">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78113B">
      <w:rPr>
        <w:noProof/>
        <w:sz w:val="22"/>
        <w:szCs w:val="22"/>
        <w:lang w:val="de-CH"/>
      </w:rPr>
      <w:t>2</w:t>
    </w:r>
    <w:r w:rsidRPr="00972BCD">
      <w:rPr>
        <w:sz w:val="22"/>
        <w:szCs w:val="22"/>
      </w:rPr>
      <w:fldChar w:fldCharType="end"/>
    </w:r>
  </w:p>
  <w:p w14:paraId="0DB3E092" w14:textId="77777777" w:rsidR="00721657" w:rsidRPr="00A525CC" w:rsidRDefault="00721657" w:rsidP="00A525C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B6A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D82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0B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562B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4C12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08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67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C43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F825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C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03273"/>
    <w:multiLevelType w:val="hybridMultilevel"/>
    <w:tmpl w:val="3DF4165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160BA1"/>
    <w:multiLevelType w:val="hybridMultilevel"/>
    <w:tmpl w:val="7CA68B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006A5"/>
    <w:multiLevelType w:val="hybridMultilevel"/>
    <w:tmpl w:val="2D323D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250F6"/>
    <w:multiLevelType w:val="hybridMultilevel"/>
    <w:tmpl w:val="9B6020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4"/>
  </w:num>
  <w:num w:numId="2">
    <w:abstractNumId w:val="13"/>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90"/>
    <w:rsid w:val="00002716"/>
    <w:rsid w:val="00005791"/>
    <w:rsid w:val="00007D8D"/>
    <w:rsid w:val="00010827"/>
    <w:rsid w:val="00015089"/>
    <w:rsid w:val="0002520B"/>
    <w:rsid w:val="00037A9E"/>
    <w:rsid w:val="00037F91"/>
    <w:rsid w:val="000539F1"/>
    <w:rsid w:val="00054747"/>
    <w:rsid w:val="00055A2A"/>
    <w:rsid w:val="000615C1"/>
    <w:rsid w:val="00061675"/>
    <w:rsid w:val="000743AA"/>
    <w:rsid w:val="0009225C"/>
    <w:rsid w:val="000A0797"/>
    <w:rsid w:val="000A17C4"/>
    <w:rsid w:val="000A36A4"/>
    <w:rsid w:val="000B1EE1"/>
    <w:rsid w:val="000B2352"/>
    <w:rsid w:val="000C61E9"/>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53A6A"/>
    <w:rsid w:val="00156BF6"/>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438F"/>
    <w:rsid w:val="00217CC3"/>
    <w:rsid w:val="00220AB6"/>
    <w:rsid w:val="0022120F"/>
    <w:rsid w:val="0022754A"/>
    <w:rsid w:val="00236560"/>
    <w:rsid w:val="0023662E"/>
    <w:rsid w:val="00245D0F"/>
    <w:rsid w:val="002548C3"/>
    <w:rsid w:val="002577C1"/>
    <w:rsid w:val="00257ACD"/>
    <w:rsid w:val="00262908"/>
    <w:rsid w:val="002650F4"/>
    <w:rsid w:val="002715FD"/>
    <w:rsid w:val="002770B1"/>
    <w:rsid w:val="00285B33"/>
    <w:rsid w:val="00287A3C"/>
    <w:rsid w:val="002A2FC6"/>
    <w:rsid w:val="002C1EC7"/>
    <w:rsid w:val="002C4342"/>
    <w:rsid w:val="002C7EA3"/>
    <w:rsid w:val="002D20AE"/>
    <w:rsid w:val="002D6C61"/>
    <w:rsid w:val="002E2104"/>
    <w:rsid w:val="002E2DAC"/>
    <w:rsid w:val="002E6963"/>
    <w:rsid w:val="002E6F8F"/>
    <w:rsid w:val="002F05D8"/>
    <w:rsid w:val="002F0682"/>
    <w:rsid w:val="002F2DE0"/>
    <w:rsid w:val="002F5E25"/>
    <w:rsid w:val="0030353C"/>
    <w:rsid w:val="003125C3"/>
    <w:rsid w:val="00312AE6"/>
    <w:rsid w:val="00317D1A"/>
    <w:rsid w:val="003211FF"/>
    <w:rsid w:val="00323587"/>
    <w:rsid w:val="00327247"/>
    <w:rsid w:val="00327A9D"/>
    <w:rsid w:val="0033130E"/>
    <w:rsid w:val="0033269C"/>
    <w:rsid w:val="0035516C"/>
    <w:rsid w:val="00355A4C"/>
    <w:rsid w:val="003604FB"/>
    <w:rsid w:val="00360B73"/>
    <w:rsid w:val="00380B71"/>
    <w:rsid w:val="0038365A"/>
    <w:rsid w:val="00386A89"/>
    <w:rsid w:val="0039648E"/>
    <w:rsid w:val="003A37E1"/>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6DDE"/>
    <w:rsid w:val="0044411E"/>
    <w:rsid w:val="00453435"/>
    <w:rsid w:val="00466398"/>
    <w:rsid w:val="0047306D"/>
    <w:rsid w:val="00473791"/>
    <w:rsid w:val="00476E48"/>
    <w:rsid w:val="00481DE9"/>
    <w:rsid w:val="0049128B"/>
    <w:rsid w:val="00493B49"/>
    <w:rsid w:val="00495501"/>
    <w:rsid w:val="004A070A"/>
    <w:rsid w:val="004A320E"/>
    <w:rsid w:val="004A4E9C"/>
    <w:rsid w:val="004B1A3C"/>
    <w:rsid w:val="004C3A9F"/>
    <w:rsid w:val="004D2CC3"/>
    <w:rsid w:val="004D35C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32DD"/>
    <w:rsid w:val="0056423B"/>
    <w:rsid w:val="00573002"/>
    <w:rsid w:val="00573424"/>
    <w:rsid w:val="0057402F"/>
    <w:rsid w:val="00577AB4"/>
    <w:rsid w:val="005849D6"/>
    <w:rsid w:val="00585367"/>
    <w:rsid w:val="005871A1"/>
    <w:rsid w:val="0058737E"/>
    <w:rsid w:val="00592518"/>
    <w:rsid w:val="00592E87"/>
    <w:rsid w:val="00594C4D"/>
    <w:rsid w:val="005A33B0"/>
    <w:rsid w:val="005B7445"/>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B78D0"/>
    <w:rsid w:val="006C10A2"/>
    <w:rsid w:val="006C1F18"/>
    <w:rsid w:val="006D40D5"/>
    <w:rsid w:val="006E6B2B"/>
    <w:rsid w:val="006F009A"/>
    <w:rsid w:val="006F3D93"/>
    <w:rsid w:val="007019B1"/>
    <w:rsid w:val="00721657"/>
    <w:rsid w:val="00726649"/>
    <w:rsid w:val="007279A8"/>
    <w:rsid w:val="00727B1A"/>
    <w:rsid w:val="00741337"/>
    <w:rsid w:val="00752258"/>
    <w:rsid w:val="007529E1"/>
    <w:rsid w:val="00762880"/>
    <w:rsid w:val="00762AD6"/>
    <w:rsid w:val="00762E02"/>
    <w:rsid w:val="00772290"/>
    <w:rsid w:val="00777265"/>
    <w:rsid w:val="007805E7"/>
    <w:rsid w:val="0078113B"/>
    <w:rsid w:val="0078222A"/>
    <w:rsid w:val="00787D48"/>
    <w:rsid w:val="00795294"/>
    <w:rsid w:val="007A4E50"/>
    <w:rsid w:val="007B18A7"/>
    <w:rsid w:val="007B250E"/>
    <w:rsid w:val="007C27FC"/>
    <w:rsid w:val="007C51FF"/>
    <w:rsid w:val="007D50E4"/>
    <w:rsid w:val="007F1CC7"/>
    <w:rsid w:val="008027AC"/>
    <w:rsid w:val="008028CE"/>
    <w:rsid w:val="0080332E"/>
    <w:rsid w:val="008141E0"/>
    <w:rsid w:val="00816EE1"/>
    <w:rsid w:val="00816F88"/>
    <w:rsid w:val="00822323"/>
    <w:rsid w:val="00827BC6"/>
    <w:rsid w:val="008300AD"/>
    <w:rsid w:val="00833024"/>
    <w:rsid w:val="00836BDB"/>
    <w:rsid w:val="008419B1"/>
    <w:rsid w:val="00844A56"/>
    <w:rsid w:val="00845B11"/>
    <w:rsid w:val="00851060"/>
    <w:rsid w:val="00852081"/>
    <w:rsid w:val="00872B6E"/>
    <w:rsid w:val="00874DFD"/>
    <w:rsid w:val="008802F9"/>
    <w:rsid w:val="00883086"/>
    <w:rsid w:val="008879FD"/>
    <w:rsid w:val="00894C37"/>
    <w:rsid w:val="008A00EA"/>
    <w:rsid w:val="008A03AD"/>
    <w:rsid w:val="008A3F93"/>
    <w:rsid w:val="008A6236"/>
    <w:rsid w:val="008A6E1C"/>
    <w:rsid w:val="008A72FD"/>
    <w:rsid w:val="008B2EDF"/>
    <w:rsid w:val="008B54CB"/>
    <w:rsid w:val="008B5A3D"/>
    <w:rsid w:val="008C4010"/>
    <w:rsid w:val="008C4FDF"/>
    <w:rsid w:val="008C6B1F"/>
    <w:rsid w:val="008D5E4F"/>
    <w:rsid w:val="008F14F5"/>
    <w:rsid w:val="008F20EB"/>
    <w:rsid w:val="008F71C1"/>
    <w:rsid w:val="00902D41"/>
    <w:rsid w:val="00902F49"/>
    <w:rsid w:val="00914004"/>
    <w:rsid w:val="0092088B"/>
    <w:rsid w:val="00922EC1"/>
    <w:rsid w:val="009301F1"/>
    <w:rsid w:val="009307DF"/>
    <w:rsid w:val="009359B8"/>
    <w:rsid w:val="00935FF0"/>
    <w:rsid w:val="009431F8"/>
    <w:rsid w:val="00947A35"/>
    <w:rsid w:val="00962081"/>
    <w:rsid w:val="00966CB5"/>
    <w:rsid w:val="00975786"/>
    <w:rsid w:val="00981CB7"/>
    <w:rsid w:val="00983E1F"/>
    <w:rsid w:val="00984929"/>
    <w:rsid w:val="00993F46"/>
    <w:rsid w:val="00997358"/>
    <w:rsid w:val="009A452B"/>
    <w:rsid w:val="009B050C"/>
    <w:rsid w:val="009B087F"/>
    <w:rsid w:val="009B2AF4"/>
    <w:rsid w:val="009C110B"/>
    <w:rsid w:val="009C5441"/>
    <w:rsid w:val="009D119F"/>
    <w:rsid w:val="009D49A2"/>
    <w:rsid w:val="009D4B4C"/>
    <w:rsid w:val="009E2E4A"/>
    <w:rsid w:val="009F3940"/>
    <w:rsid w:val="009F3EB2"/>
    <w:rsid w:val="009F6EB1"/>
    <w:rsid w:val="00A11D05"/>
    <w:rsid w:val="00A13162"/>
    <w:rsid w:val="00A20267"/>
    <w:rsid w:val="00A3158C"/>
    <w:rsid w:val="00A32DF3"/>
    <w:rsid w:val="00A33E32"/>
    <w:rsid w:val="00A35E20"/>
    <w:rsid w:val="00A36F6D"/>
    <w:rsid w:val="00A454E1"/>
    <w:rsid w:val="00A50CA0"/>
    <w:rsid w:val="00A525CC"/>
    <w:rsid w:val="00A53E7C"/>
    <w:rsid w:val="00A60087"/>
    <w:rsid w:val="00A61CDE"/>
    <w:rsid w:val="00A705E8"/>
    <w:rsid w:val="00A721F4"/>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310F9"/>
    <w:rsid w:val="00B37866"/>
    <w:rsid w:val="00B412FB"/>
    <w:rsid w:val="00B4576B"/>
    <w:rsid w:val="00B46350"/>
    <w:rsid w:val="00B46DF3"/>
    <w:rsid w:val="00B533E9"/>
    <w:rsid w:val="00B569F7"/>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DBE"/>
    <w:rsid w:val="00CE5E4D"/>
    <w:rsid w:val="00CF02C4"/>
    <w:rsid w:val="00CF167F"/>
    <w:rsid w:val="00CF72E5"/>
    <w:rsid w:val="00D013EE"/>
    <w:rsid w:val="00D01F54"/>
    <w:rsid w:val="00D040F7"/>
    <w:rsid w:val="00D04A76"/>
    <w:rsid w:val="00D10FC7"/>
    <w:rsid w:val="00D1519F"/>
    <w:rsid w:val="00D20E99"/>
    <w:rsid w:val="00D21C83"/>
    <w:rsid w:val="00D267E2"/>
    <w:rsid w:val="00D35BDD"/>
    <w:rsid w:val="00D35C90"/>
    <w:rsid w:val="00D5468D"/>
    <w:rsid w:val="00D63006"/>
    <w:rsid w:val="00D72301"/>
    <w:rsid w:val="00D87E6C"/>
    <w:rsid w:val="00D90E76"/>
    <w:rsid w:val="00D911DE"/>
    <w:rsid w:val="00D91B97"/>
    <w:rsid w:val="00D93ACC"/>
    <w:rsid w:val="00D93C08"/>
    <w:rsid w:val="00D95DAC"/>
    <w:rsid w:val="00DA0B53"/>
    <w:rsid w:val="00DB1171"/>
    <w:rsid w:val="00DB1519"/>
    <w:rsid w:val="00DB2840"/>
    <w:rsid w:val="00DC1BD3"/>
    <w:rsid w:val="00DC1F12"/>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5733F"/>
    <w:rsid w:val="00E63B14"/>
    <w:rsid w:val="00E65CA0"/>
    <w:rsid w:val="00E70D9F"/>
    <w:rsid w:val="00E83810"/>
    <w:rsid w:val="00E86933"/>
    <w:rsid w:val="00E9605B"/>
    <w:rsid w:val="00E97298"/>
    <w:rsid w:val="00E97753"/>
    <w:rsid w:val="00EA7DE7"/>
    <w:rsid w:val="00EB033C"/>
    <w:rsid w:val="00EB44C7"/>
    <w:rsid w:val="00EB7196"/>
    <w:rsid w:val="00EB7A8A"/>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5588C"/>
    <w:rsid w:val="00F626F7"/>
    <w:rsid w:val="00F736F9"/>
    <w:rsid w:val="00F73833"/>
    <w:rsid w:val="00F80702"/>
    <w:rsid w:val="00F9211C"/>
    <w:rsid w:val="00FA095D"/>
    <w:rsid w:val="00FA6C8B"/>
    <w:rsid w:val="00FA7C89"/>
    <w:rsid w:val="00FB3E9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E47C2A"/>
  <w15:docId w15:val="{47EA4903-CC9A-42D1-BDF6-10E48D21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BF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CH"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984929"/>
    <w:pPr>
      <w:spacing w:before="240" w:after="240"/>
      <w:jc w:val="center"/>
    </w:pPr>
    <w:rPr>
      <w:b/>
      <w:sz w:val="28"/>
    </w:rPr>
  </w:style>
  <w:style w:type="paragraph" w:customStyle="1" w:styleId="Title1">
    <w:name w:val="Title 1"/>
    <w:basedOn w:val="Source"/>
    <w:next w:val="Title2"/>
    <w:rsid w:val="00984929"/>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FB3E99"/>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0B1EE1"/>
    <w:pPr>
      <w:tabs>
        <w:tab w:val="clear" w:pos="794"/>
        <w:tab w:val="clear" w:pos="1191"/>
        <w:tab w:val="left" w:pos="1134"/>
        <w:tab w:val="left" w:pos="1871"/>
      </w:tabs>
    </w:pPr>
  </w:style>
  <w:style w:type="paragraph" w:customStyle="1" w:styleId="Default">
    <w:name w:val="Default"/>
    <w:rsid w:val="00984929"/>
    <w:pPr>
      <w:autoSpaceDE w:val="0"/>
      <w:autoSpaceDN w:val="0"/>
      <w:adjustRightInd w:val="0"/>
    </w:pPr>
    <w:rPr>
      <w:rFonts w:ascii="Calibri" w:hAnsi="Calibri" w:cs="Calibri"/>
      <w:color w:val="000000"/>
      <w:sz w:val="24"/>
      <w:szCs w:val="24"/>
      <w:lang w:val="en-GB"/>
    </w:rPr>
  </w:style>
  <w:style w:type="paragraph" w:styleId="BalloonText">
    <w:name w:val="Balloon Text"/>
    <w:basedOn w:val="Normal"/>
    <w:link w:val="BalloonTextChar"/>
    <w:semiHidden/>
    <w:unhideWhenUsed/>
    <w:rsid w:val="00F8070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80702"/>
    <w:rPr>
      <w:rFonts w:ascii="Segoe UI" w:hAnsi="Segoe UI" w:cs="Segoe UI"/>
      <w:sz w:val="18"/>
      <w:szCs w:val="18"/>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POOL%20F%20-%20ITU\PF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0C77-3BDF-4EFA-9442-D98E0456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PF_TDAG20.dotx</Template>
  <TotalTime>20</TotalTime>
  <Pages>4</Pages>
  <Words>1459</Words>
  <Characters>8079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Collonge, Marion</dc:creator>
  <cp:lastModifiedBy>BDT</cp:lastModifiedBy>
  <cp:revision>19</cp:revision>
  <cp:lastPrinted>2020-02-20T11:01:00Z</cp:lastPrinted>
  <dcterms:created xsi:type="dcterms:W3CDTF">2020-02-20T10:43:00Z</dcterms:created>
  <dcterms:modified xsi:type="dcterms:W3CDTF">2020-03-10T13:40:00Z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