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713B2C" w14:paraId="59E09696" w14:textId="77777777" w:rsidTr="00D92762">
        <w:trPr>
          <w:cantSplit/>
          <w:trHeight w:val="1134"/>
        </w:trPr>
        <w:tc>
          <w:tcPr>
            <w:tcW w:w="6663" w:type="dxa"/>
            <w:tcBorders>
              <w:bottom w:val="single" w:sz="12" w:space="0" w:color="auto"/>
            </w:tcBorders>
          </w:tcPr>
          <w:p w14:paraId="2F7A7DDD" w14:textId="77777777" w:rsidR="00D372A5" w:rsidRPr="00713B2C" w:rsidRDefault="00D372A5" w:rsidP="00BC7208">
            <w:pPr>
              <w:rPr>
                <w:b/>
                <w:bCs/>
                <w:sz w:val="32"/>
                <w:szCs w:val="32"/>
                <w:lang w:val="es-ES_tradnl"/>
              </w:rPr>
            </w:pPr>
            <w:r w:rsidRPr="00713B2C">
              <w:rPr>
                <w:rFonts w:cstheme="minorHAnsi"/>
                <w:b/>
                <w:bCs/>
                <w:sz w:val="32"/>
                <w:szCs w:val="32"/>
                <w:lang w:val="es-ES_tradnl"/>
              </w:rPr>
              <w:t>Grupo Asesor de Desarrollo de las Telecomunicaciones (GADT</w:t>
            </w:r>
            <w:r w:rsidRPr="00713B2C">
              <w:rPr>
                <w:b/>
                <w:bCs/>
                <w:sz w:val="32"/>
                <w:szCs w:val="32"/>
                <w:lang w:val="es-ES_tradnl"/>
              </w:rPr>
              <w:t>)</w:t>
            </w:r>
          </w:p>
          <w:p w14:paraId="093B592F" w14:textId="2B715F3C" w:rsidR="00D372A5" w:rsidRPr="00713B2C" w:rsidRDefault="004E7861" w:rsidP="00AA076A">
            <w:pPr>
              <w:spacing w:before="100" w:after="120"/>
              <w:rPr>
                <w:rFonts w:ascii="Verdana" w:hAnsi="Verdana"/>
                <w:sz w:val="28"/>
                <w:szCs w:val="28"/>
                <w:lang w:val="es-ES_tradnl"/>
              </w:rPr>
            </w:pPr>
            <w:r w:rsidRPr="00713B2C">
              <w:rPr>
                <w:b/>
                <w:bCs/>
                <w:sz w:val="26"/>
                <w:szCs w:val="26"/>
                <w:lang w:val="es-ES_tradnl"/>
              </w:rPr>
              <w:t>2</w:t>
            </w:r>
            <w:r w:rsidR="001B0166" w:rsidRPr="00713B2C">
              <w:rPr>
                <w:b/>
                <w:bCs/>
                <w:sz w:val="26"/>
                <w:szCs w:val="26"/>
                <w:lang w:val="es-ES_tradnl"/>
              </w:rPr>
              <w:t>5</w:t>
            </w:r>
            <w:r w:rsidRPr="00713B2C">
              <w:rPr>
                <w:b/>
                <w:bCs/>
                <w:sz w:val="26"/>
                <w:szCs w:val="26"/>
                <w:lang w:val="es-ES_tradnl"/>
              </w:rPr>
              <w:t xml:space="preserve">ª reunión, Ginebra, </w:t>
            </w:r>
            <w:r w:rsidR="00AA076A" w:rsidRPr="00713B2C">
              <w:rPr>
                <w:b/>
                <w:bCs/>
                <w:sz w:val="26"/>
                <w:szCs w:val="26"/>
                <w:lang w:val="es-ES_tradnl"/>
              </w:rPr>
              <w:t>2</w:t>
            </w:r>
            <w:r w:rsidR="00AD6F4E">
              <w:rPr>
                <w:b/>
                <w:bCs/>
                <w:sz w:val="26"/>
                <w:szCs w:val="26"/>
                <w:lang w:val="es-ES_tradnl"/>
              </w:rPr>
              <w:t>-5 de junio</w:t>
            </w:r>
            <w:bookmarkStart w:id="0" w:name="_GoBack"/>
            <w:bookmarkEnd w:id="0"/>
            <w:r w:rsidRPr="00713B2C">
              <w:rPr>
                <w:b/>
                <w:bCs/>
                <w:sz w:val="26"/>
                <w:szCs w:val="26"/>
                <w:lang w:val="es-ES_tradnl"/>
              </w:rPr>
              <w:t xml:space="preserve"> de 20</w:t>
            </w:r>
            <w:r w:rsidR="001B0166" w:rsidRPr="00713B2C">
              <w:rPr>
                <w:b/>
                <w:bCs/>
                <w:sz w:val="26"/>
                <w:szCs w:val="26"/>
                <w:lang w:val="es-ES_tradnl"/>
              </w:rPr>
              <w:t>20</w:t>
            </w:r>
          </w:p>
        </w:tc>
        <w:tc>
          <w:tcPr>
            <w:tcW w:w="3225" w:type="dxa"/>
            <w:tcBorders>
              <w:bottom w:val="single" w:sz="12" w:space="0" w:color="auto"/>
            </w:tcBorders>
          </w:tcPr>
          <w:p w14:paraId="44D92801" w14:textId="77777777" w:rsidR="00D372A5" w:rsidRPr="00713B2C" w:rsidRDefault="004E7861" w:rsidP="004E7861">
            <w:pPr>
              <w:spacing w:before="40" w:after="80"/>
              <w:ind w:right="142"/>
              <w:jc w:val="right"/>
              <w:rPr>
                <w:lang w:val="es-ES_tradnl"/>
              </w:rPr>
            </w:pPr>
            <w:r w:rsidRPr="00713B2C">
              <w:rPr>
                <w:noProof/>
                <w:color w:val="3399FF"/>
                <w:lang w:val="es-ES_tradnl" w:eastAsia="en-GB"/>
              </w:rPr>
              <w:drawing>
                <wp:inline distT="0" distB="0" distL="0" distR="0" wp14:anchorId="2D31030A" wp14:editId="4C4E7185">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4B7893" w:rsidRPr="00713B2C" w14:paraId="2E10AB8C" w14:textId="77777777" w:rsidTr="004B7893">
        <w:trPr>
          <w:cantSplit/>
        </w:trPr>
        <w:tc>
          <w:tcPr>
            <w:tcW w:w="6663" w:type="dxa"/>
            <w:tcBorders>
              <w:top w:val="single" w:sz="12" w:space="0" w:color="auto"/>
            </w:tcBorders>
          </w:tcPr>
          <w:p w14:paraId="17FDEBBC" w14:textId="77777777" w:rsidR="004B7893" w:rsidRPr="00713B2C" w:rsidRDefault="004B7893" w:rsidP="004B7893">
            <w:pPr>
              <w:spacing w:before="0"/>
              <w:rPr>
                <w:rFonts w:cs="Arial"/>
                <w:b/>
                <w:bCs/>
                <w:sz w:val="20"/>
                <w:lang w:val="es-ES_tradnl"/>
              </w:rPr>
            </w:pPr>
          </w:p>
        </w:tc>
        <w:tc>
          <w:tcPr>
            <w:tcW w:w="3225" w:type="dxa"/>
            <w:tcBorders>
              <w:top w:val="single" w:sz="12" w:space="0" w:color="auto"/>
            </w:tcBorders>
          </w:tcPr>
          <w:p w14:paraId="03494CB7" w14:textId="77777777" w:rsidR="004B7893" w:rsidRPr="00713B2C" w:rsidRDefault="004B7893" w:rsidP="004B7893">
            <w:pPr>
              <w:spacing w:before="0"/>
              <w:rPr>
                <w:b/>
                <w:bCs/>
                <w:sz w:val="20"/>
                <w:lang w:val="es-ES_tradnl"/>
              </w:rPr>
            </w:pPr>
          </w:p>
        </w:tc>
      </w:tr>
      <w:tr w:rsidR="004B7893" w:rsidRPr="00713B2C" w14:paraId="67712B46" w14:textId="77777777" w:rsidTr="004B7893">
        <w:trPr>
          <w:cantSplit/>
        </w:trPr>
        <w:tc>
          <w:tcPr>
            <w:tcW w:w="6663" w:type="dxa"/>
          </w:tcPr>
          <w:p w14:paraId="5091F400" w14:textId="77777777" w:rsidR="004B7893" w:rsidRPr="00713B2C" w:rsidRDefault="004B7893" w:rsidP="004B7893">
            <w:pPr>
              <w:pStyle w:val="Committee"/>
              <w:spacing w:before="0"/>
              <w:rPr>
                <w:b w:val="0"/>
                <w:lang w:val="es-ES_tradnl"/>
              </w:rPr>
            </w:pPr>
          </w:p>
        </w:tc>
        <w:tc>
          <w:tcPr>
            <w:tcW w:w="3225" w:type="dxa"/>
          </w:tcPr>
          <w:p w14:paraId="0A4A8230" w14:textId="65DEEBD4" w:rsidR="004B7893" w:rsidRPr="00713B2C" w:rsidRDefault="005637B9" w:rsidP="00AA076A">
            <w:pPr>
              <w:spacing w:before="0"/>
              <w:rPr>
                <w:bCs/>
                <w:lang w:val="es-ES_tradnl"/>
              </w:rPr>
            </w:pPr>
            <w:r w:rsidRPr="00713B2C">
              <w:rPr>
                <w:b/>
                <w:bCs/>
                <w:lang w:val="es-ES_tradnl"/>
              </w:rPr>
              <w:t xml:space="preserve">Documento </w:t>
            </w:r>
            <w:bookmarkStart w:id="1" w:name="DocRef1"/>
            <w:bookmarkEnd w:id="1"/>
            <w:r w:rsidRPr="00713B2C">
              <w:rPr>
                <w:b/>
                <w:bCs/>
                <w:lang w:val="es-ES_tradnl"/>
              </w:rPr>
              <w:t>TDAG</w:t>
            </w:r>
            <w:r w:rsidR="00602B27" w:rsidRPr="00713B2C">
              <w:rPr>
                <w:b/>
                <w:bCs/>
                <w:lang w:val="es-ES_tradnl"/>
              </w:rPr>
              <w:t>-</w:t>
            </w:r>
            <w:r w:rsidR="00AA076A" w:rsidRPr="00713B2C">
              <w:rPr>
                <w:b/>
                <w:bCs/>
                <w:lang w:val="es-ES_tradnl"/>
              </w:rPr>
              <w:t>20</w:t>
            </w:r>
            <w:r w:rsidRPr="00713B2C">
              <w:rPr>
                <w:b/>
                <w:bCs/>
                <w:lang w:val="es-ES_tradnl"/>
              </w:rPr>
              <w:t>/</w:t>
            </w:r>
            <w:bookmarkStart w:id="2" w:name="DocNo1"/>
            <w:bookmarkEnd w:id="2"/>
            <w:r w:rsidR="001B0166" w:rsidRPr="00713B2C">
              <w:rPr>
                <w:b/>
                <w:bCs/>
                <w:lang w:val="es-ES_tradnl"/>
              </w:rPr>
              <w:t>11</w:t>
            </w:r>
            <w:r w:rsidRPr="00713B2C">
              <w:rPr>
                <w:b/>
                <w:bCs/>
                <w:lang w:val="es-ES_tradnl"/>
              </w:rPr>
              <w:t>-S</w:t>
            </w:r>
          </w:p>
        </w:tc>
      </w:tr>
      <w:tr w:rsidR="004B7893" w:rsidRPr="00713B2C" w14:paraId="4E9757C7" w14:textId="77777777" w:rsidTr="004B7893">
        <w:trPr>
          <w:cantSplit/>
        </w:trPr>
        <w:tc>
          <w:tcPr>
            <w:tcW w:w="6663" w:type="dxa"/>
          </w:tcPr>
          <w:p w14:paraId="7B961356" w14:textId="77777777" w:rsidR="004B7893" w:rsidRPr="00713B2C" w:rsidRDefault="004B7893" w:rsidP="004B7893">
            <w:pPr>
              <w:spacing w:before="0"/>
              <w:rPr>
                <w:b/>
                <w:bCs/>
                <w:smallCaps/>
                <w:lang w:val="es-ES_tradnl"/>
              </w:rPr>
            </w:pPr>
          </w:p>
        </w:tc>
        <w:tc>
          <w:tcPr>
            <w:tcW w:w="3225" w:type="dxa"/>
          </w:tcPr>
          <w:p w14:paraId="4770D48F" w14:textId="54EF2FB6" w:rsidR="004B7893" w:rsidRPr="00713B2C" w:rsidRDefault="001B0166" w:rsidP="00AA076A">
            <w:pPr>
              <w:spacing w:before="0"/>
              <w:rPr>
                <w:b/>
                <w:lang w:val="es-ES_tradnl"/>
              </w:rPr>
            </w:pPr>
            <w:bookmarkStart w:id="3" w:name="CreationDate"/>
            <w:bookmarkEnd w:id="3"/>
            <w:r w:rsidRPr="00713B2C">
              <w:rPr>
                <w:b/>
                <w:bCs/>
                <w:szCs w:val="28"/>
                <w:lang w:val="es-ES_tradnl"/>
              </w:rPr>
              <w:t>4 de febrero de</w:t>
            </w:r>
            <w:r w:rsidR="00BC7208" w:rsidRPr="00713B2C">
              <w:rPr>
                <w:b/>
                <w:bCs/>
                <w:szCs w:val="28"/>
                <w:lang w:val="es-ES_tradnl"/>
              </w:rPr>
              <w:t xml:space="preserve"> 20</w:t>
            </w:r>
            <w:r w:rsidR="00AA076A" w:rsidRPr="00713B2C">
              <w:rPr>
                <w:b/>
                <w:bCs/>
                <w:szCs w:val="28"/>
                <w:lang w:val="es-ES_tradnl"/>
              </w:rPr>
              <w:t>20</w:t>
            </w:r>
          </w:p>
        </w:tc>
      </w:tr>
      <w:tr w:rsidR="004B7893" w:rsidRPr="00713B2C" w14:paraId="1187A6FE" w14:textId="77777777" w:rsidTr="004B7893">
        <w:trPr>
          <w:cantSplit/>
        </w:trPr>
        <w:tc>
          <w:tcPr>
            <w:tcW w:w="6663" w:type="dxa"/>
          </w:tcPr>
          <w:p w14:paraId="1F0F415D" w14:textId="77777777" w:rsidR="004B7893" w:rsidRPr="00713B2C" w:rsidRDefault="004B7893" w:rsidP="004B7893">
            <w:pPr>
              <w:spacing w:before="0"/>
              <w:rPr>
                <w:b/>
                <w:bCs/>
                <w:smallCaps/>
                <w:lang w:val="es-ES_tradnl"/>
              </w:rPr>
            </w:pPr>
          </w:p>
        </w:tc>
        <w:tc>
          <w:tcPr>
            <w:tcW w:w="3225" w:type="dxa"/>
          </w:tcPr>
          <w:p w14:paraId="274B5EFC" w14:textId="20C7271E" w:rsidR="004B7893" w:rsidRPr="00713B2C" w:rsidRDefault="005637B9" w:rsidP="004B7893">
            <w:pPr>
              <w:spacing w:before="0"/>
              <w:rPr>
                <w:szCs w:val="24"/>
                <w:lang w:val="es-ES_tradnl"/>
              </w:rPr>
            </w:pPr>
            <w:r w:rsidRPr="00713B2C">
              <w:rPr>
                <w:b/>
                <w:lang w:val="es-ES_tradnl"/>
              </w:rPr>
              <w:t>Original:</w:t>
            </w:r>
            <w:bookmarkStart w:id="4" w:name="Original"/>
            <w:bookmarkEnd w:id="4"/>
            <w:r w:rsidRPr="00713B2C">
              <w:rPr>
                <w:b/>
                <w:lang w:val="es-ES_tradnl"/>
              </w:rPr>
              <w:t xml:space="preserve"> </w:t>
            </w:r>
            <w:r w:rsidR="001B0166" w:rsidRPr="00713B2C">
              <w:rPr>
                <w:b/>
                <w:lang w:val="es-ES_tradnl"/>
              </w:rPr>
              <w:t>inglés</w:t>
            </w:r>
          </w:p>
        </w:tc>
      </w:tr>
      <w:tr w:rsidR="004B7893" w:rsidRPr="00D80F60" w14:paraId="484B480B" w14:textId="77777777" w:rsidTr="004B7893">
        <w:trPr>
          <w:cantSplit/>
          <w:trHeight w:val="852"/>
        </w:trPr>
        <w:tc>
          <w:tcPr>
            <w:tcW w:w="9888" w:type="dxa"/>
            <w:gridSpan w:val="2"/>
          </w:tcPr>
          <w:p w14:paraId="1C1E0FA7" w14:textId="737F7BE0" w:rsidR="004B7893" w:rsidRPr="00713B2C" w:rsidRDefault="001B0166" w:rsidP="004B7893">
            <w:pPr>
              <w:pStyle w:val="Source"/>
              <w:rPr>
                <w:szCs w:val="28"/>
                <w:lang w:val="es-ES_tradnl"/>
              </w:rPr>
            </w:pPr>
            <w:bookmarkStart w:id="5" w:name="Source"/>
            <w:bookmarkEnd w:id="5"/>
            <w:r w:rsidRPr="00713B2C">
              <w:rPr>
                <w:lang w:val="es-ES_tradnl"/>
              </w:rPr>
              <w:t>Director de la Oficina de Desarrollo de Telecomunicaciones</w:t>
            </w:r>
          </w:p>
        </w:tc>
      </w:tr>
      <w:tr w:rsidR="004B7893" w:rsidRPr="00D80F60" w14:paraId="2588CEAD" w14:textId="77777777" w:rsidTr="004B7893">
        <w:trPr>
          <w:cantSplit/>
        </w:trPr>
        <w:tc>
          <w:tcPr>
            <w:tcW w:w="9888" w:type="dxa"/>
            <w:gridSpan w:val="2"/>
          </w:tcPr>
          <w:p w14:paraId="0B17A7B0" w14:textId="29F04814" w:rsidR="004B7893" w:rsidRPr="00713B2C" w:rsidRDefault="001B0166" w:rsidP="004B7893">
            <w:pPr>
              <w:pStyle w:val="Title1"/>
              <w:rPr>
                <w:bCs/>
                <w:szCs w:val="28"/>
                <w:lang w:val="es-ES_tradnl"/>
              </w:rPr>
            </w:pPr>
            <w:bookmarkStart w:id="6" w:name="Title"/>
            <w:bookmarkEnd w:id="6"/>
            <w:r w:rsidRPr="00713B2C">
              <w:rPr>
                <w:lang w:val="es-ES_tradnl"/>
              </w:rPr>
              <w:t>MIEMBROS DE SECTOR, ASOCIADOS E INSTITUCIONES ACADÉMICAS DEL UIT-D</w:t>
            </w:r>
          </w:p>
        </w:tc>
      </w:tr>
      <w:tr w:rsidR="004B7893" w:rsidRPr="00D80F60" w14:paraId="5F8C125F" w14:textId="77777777" w:rsidTr="004B7893">
        <w:trPr>
          <w:cantSplit/>
        </w:trPr>
        <w:tc>
          <w:tcPr>
            <w:tcW w:w="9888" w:type="dxa"/>
            <w:gridSpan w:val="2"/>
            <w:tcBorders>
              <w:bottom w:val="single" w:sz="4" w:space="0" w:color="auto"/>
            </w:tcBorders>
          </w:tcPr>
          <w:p w14:paraId="0C6D7E1F" w14:textId="77777777" w:rsidR="004B7893" w:rsidRPr="00713B2C" w:rsidRDefault="004B7893" w:rsidP="00BC7208">
            <w:pPr>
              <w:rPr>
                <w:lang w:val="es-ES_tradnl"/>
              </w:rPr>
            </w:pPr>
          </w:p>
        </w:tc>
      </w:tr>
      <w:tr w:rsidR="004B7893" w:rsidRPr="00D80F60" w14:paraId="30509199" w14:textId="77777777"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14:paraId="1BA9BFAC" w14:textId="77777777" w:rsidR="004B7893" w:rsidRPr="00713B2C" w:rsidRDefault="004B7893" w:rsidP="004B7893">
            <w:pPr>
              <w:spacing w:before="240"/>
              <w:rPr>
                <w:b/>
                <w:bCs/>
                <w:lang w:val="es-ES_tradnl"/>
              </w:rPr>
            </w:pPr>
            <w:r w:rsidRPr="00713B2C">
              <w:rPr>
                <w:b/>
                <w:bCs/>
                <w:lang w:val="es-ES_tradnl"/>
              </w:rPr>
              <w:t>Resumen:</w:t>
            </w:r>
          </w:p>
          <w:p w14:paraId="5A2AF84F" w14:textId="67E2FACC" w:rsidR="004B7893" w:rsidRPr="00713B2C" w:rsidRDefault="001B0166" w:rsidP="004B7893">
            <w:pPr>
              <w:rPr>
                <w:b/>
                <w:bCs/>
                <w:lang w:val="es-ES_tradnl"/>
              </w:rPr>
            </w:pPr>
            <w:r w:rsidRPr="00713B2C">
              <w:rPr>
                <w:lang w:val="es-ES_tradnl"/>
              </w:rPr>
              <w:t>En el presente documento se proporciona una visión general de la evolución de la cantidad de Miembros del UIT-D. También se recomiendan varias medidas para aumentar dicha cantidad, de conformidad con los resultados de la Conferencia Mundial de Desarrollo de las Telecomunicaciones de 2017 (CMDT-17) y la Conferencia de Plenipotenciarios de 2018. Los Miembros del UIT-D incluyen Miembros de Sector, Asociados e Instituciones Académicas</w:t>
            </w:r>
            <w:r w:rsidRPr="00713B2C">
              <w:rPr>
                <w:rStyle w:val="FootnoteReference"/>
                <w:lang w:val="es-ES_tradnl"/>
              </w:rPr>
              <w:footnoteReference w:id="1"/>
            </w:r>
            <w:r w:rsidRPr="00713B2C">
              <w:rPr>
                <w:lang w:val="es-ES_tradnl"/>
              </w:rPr>
              <w:t>.</w:t>
            </w:r>
          </w:p>
          <w:p w14:paraId="3D84CBD6" w14:textId="76C9DB1F" w:rsidR="004B7893" w:rsidRPr="00713B2C" w:rsidRDefault="004B7893" w:rsidP="004B7893">
            <w:pPr>
              <w:rPr>
                <w:b/>
                <w:bCs/>
                <w:lang w:val="es-ES_tradnl"/>
              </w:rPr>
            </w:pPr>
            <w:r w:rsidRPr="00713B2C">
              <w:rPr>
                <w:b/>
                <w:bCs/>
                <w:lang w:val="es-ES_tradnl"/>
              </w:rPr>
              <w:t>Acción solicitada:</w:t>
            </w:r>
          </w:p>
          <w:p w14:paraId="2A8CA21E" w14:textId="4ED5345F" w:rsidR="004B7893" w:rsidRPr="00713B2C" w:rsidRDefault="001B0166" w:rsidP="004B7893">
            <w:pPr>
              <w:rPr>
                <w:b/>
                <w:bCs/>
                <w:lang w:val="es-ES_tradnl"/>
              </w:rPr>
            </w:pPr>
            <w:r w:rsidRPr="00713B2C">
              <w:rPr>
                <w:lang w:val="es-ES_tradnl"/>
              </w:rPr>
              <w:t>Se invita al GADT a que tome nota del presente documento y formule las observaciones que estime oportunas.</w:t>
            </w:r>
          </w:p>
          <w:p w14:paraId="70341669" w14:textId="77777777" w:rsidR="004B7893" w:rsidRPr="00713B2C" w:rsidRDefault="004B7893" w:rsidP="004B7893">
            <w:pPr>
              <w:rPr>
                <w:b/>
                <w:bCs/>
                <w:lang w:val="es-ES_tradnl"/>
              </w:rPr>
            </w:pPr>
            <w:r w:rsidRPr="00713B2C">
              <w:rPr>
                <w:b/>
                <w:bCs/>
                <w:lang w:val="es-ES_tradnl"/>
              </w:rPr>
              <w:t>Referencias:</w:t>
            </w:r>
          </w:p>
          <w:p w14:paraId="194CBF38" w14:textId="3B903416" w:rsidR="004B7893" w:rsidRPr="00713B2C" w:rsidRDefault="001B0166" w:rsidP="004D25AB">
            <w:pPr>
              <w:spacing w:after="120"/>
              <w:rPr>
                <w:b/>
                <w:bCs/>
                <w:lang w:val="es-ES_tradnl"/>
              </w:rPr>
            </w:pPr>
            <w:r w:rsidRPr="00713B2C">
              <w:rPr>
                <w:lang w:val="es-ES_tradnl"/>
              </w:rPr>
              <w:t>Resolución 71 (Rev. Buenos Aires, 2017) de la CMDT; Resoluciones 169 (Rev. Dubái, 2018), 205</w:t>
            </w:r>
            <w:r w:rsidR="00016C61">
              <w:rPr>
                <w:lang w:val="es-ES_tradnl"/>
              </w:rPr>
              <w:t> </w:t>
            </w:r>
            <w:r w:rsidRPr="00713B2C">
              <w:rPr>
                <w:lang w:val="es-ES_tradnl"/>
              </w:rPr>
              <w:t>(Dubái, 2018) y 209 (Dubái, 2018) de la Conferencia de Plenipotenciarios.</w:t>
            </w:r>
          </w:p>
        </w:tc>
      </w:tr>
    </w:tbl>
    <w:p w14:paraId="1DEE74A6" w14:textId="77777777" w:rsidR="00835A77" w:rsidRPr="00713B2C" w:rsidRDefault="00835A77" w:rsidP="00BC7208">
      <w:pPr>
        <w:rPr>
          <w:lang w:val="es-ES_tradnl"/>
        </w:rPr>
      </w:pPr>
    </w:p>
    <w:p w14:paraId="783B54F9" w14:textId="77777777" w:rsidR="00AA076A" w:rsidRPr="00713B2C" w:rsidRDefault="00AA076A" w:rsidP="00991B13">
      <w:pPr>
        <w:rPr>
          <w:lang w:val="es-ES_tradnl"/>
        </w:rPr>
      </w:pPr>
    </w:p>
    <w:p w14:paraId="1737D5B6" w14:textId="77777777" w:rsidR="00AA076A" w:rsidRPr="00713B2C" w:rsidRDefault="00AA076A">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r w:rsidRPr="00713B2C">
        <w:rPr>
          <w:lang w:val="es-ES_tradnl"/>
        </w:rPr>
        <w:br w:type="page"/>
      </w:r>
    </w:p>
    <w:p w14:paraId="37AF37C6" w14:textId="77777777" w:rsidR="001B0166" w:rsidRPr="00713B2C" w:rsidRDefault="001B0166" w:rsidP="00655255">
      <w:pPr>
        <w:pStyle w:val="Heading1"/>
        <w:rPr>
          <w:lang w:val="es-ES_tradnl"/>
        </w:rPr>
      </w:pPr>
      <w:r w:rsidRPr="00713B2C">
        <w:rPr>
          <w:lang w:val="es-ES_tradnl"/>
        </w:rPr>
        <w:lastRenderedPageBreak/>
        <w:t>1</w:t>
      </w:r>
      <w:r w:rsidRPr="00713B2C">
        <w:rPr>
          <w:lang w:val="es-ES_tradnl"/>
        </w:rPr>
        <w:tab/>
        <w:t>Antecedentes</w:t>
      </w:r>
    </w:p>
    <w:p w14:paraId="57FB79F3" w14:textId="77777777" w:rsidR="001B0166" w:rsidRPr="00713B2C" w:rsidRDefault="001B0166" w:rsidP="004D25AB">
      <w:pPr>
        <w:rPr>
          <w:lang w:val="es-ES_tradnl"/>
        </w:rPr>
      </w:pPr>
      <w:r w:rsidRPr="00713B2C">
        <w:rPr>
          <w:lang w:val="es-ES_tradnl"/>
        </w:rPr>
        <w:t>En la Conferencia Mundial de Desarrollo de las Telecomunicaciones de 2017 (CMDT-17) se revisó y aprobó la Resolución 71 (Rev. Buenos Aires, 2017</w:t>
      </w:r>
      <w:r w:rsidRPr="00713B2C">
        <w:rPr>
          <w:rStyle w:val="FootnoteReference"/>
          <w:lang w:val="es-ES_tradnl"/>
        </w:rPr>
        <w:footnoteReference w:id="2"/>
      </w:r>
      <w:r w:rsidRPr="00713B2C">
        <w:rPr>
          <w:lang w:val="es-ES_tradnl"/>
        </w:rPr>
        <w:t>) a fin de promover la participación eficaz de los actuales Miembros de Sector, Asociados e Instituciones Académicas en las actividades del UIT-D, incluida su participación en la labor de las Comisiones de Estudio del UIT-D, y atraer a nuevos miembros de los sectores público, privado y académico.</w:t>
      </w:r>
    </w:p>
    <w:p w14:paraId="65824301" w14:textId="00BBBA57" w:rsidR="001B0166" w:rsidRPr="00713B2C" w:rsidRDefault="001B0166" w:rsidP="00655255">
      <w:pPr>
        <w:rPr>
          <w:lang w:val="es-ES_tradnl"/>
        </w:rPr>
      </w:pPr>
      <w:r w:rsidRPr="00713B2C">
        <w:rPr>
          <w:lang w:val="es-ES_tradnl"/>
        </w:rPr>
        <w:t>En virtud de lo dispuesto en la Resolución 71 (Rev. Buenos Aires, 2017), se hace hincapié en la evolución de la función del sector privado en el UIT-D, al encargar a la BDT que siga organizando reuniones destinadas a altos ejecutivos del sector industrial, en particular el Grupo Asesor de la Industria para Cuestiones de Desarrollo (IAGDI). Las reuniones del IAGDI cuentan con una amplia representación de la industria a través de Miembros de Sector del UIT-D de todas las regiones. En el marco de la Resolución también se reconoce la labor de los Directores de Reglamentación</w:t>
      </w:r>
      <w:r w:rsidR="00D80F60">
        <w:rPr>
          <w:lang w:val="es-ES_tradnl"/>
        </w:rPr>
        <w:t> </w:t>
      </w:r>
      <w:r w:rsidRPr="00713B2C">
        <w:rPr>
          <w:lang w:val="es-ES_tradnl"/>
        </w:rPr>
        <w:t>(CRO).</w:t>
      </w:r>
    </w:p>
    <w:p w14:paraId="51517480" w14:textId="77777777" w:rsidR="001B0166" w:rsidRPr="00713B2C" w:rsidRDefault="001B0166" w:rsidP="00655255">
      <w:pPr>
        <w:rPr>
          <w:lang w:val="es-ES_tradnl"/>
        </w:rPr>
      </w:pPr>
      <w:r w:rsidRPr="00713B2C">
        <w:rPr>
          <w:lang w:val="es-ES_tradnl"/>
        </w:rPr>
        <w:t>Por otro lado, en la Conferencia de Plenipotenciarios de 2018 (PP-18) se adoptaron varias Resoluciones relativas a los Miembros, en particular la Resolución 209 (Dubái, 2018), en virtud de la cual se alienta la participación de las pequeñas y medianas empresas (PYME) en los trabajos de la Unión.</w:t>
      </w:r>
    </w:p>
    <w:p w14:paraId="3CEF24FF" w14:textId="77777777" w:rsidR="001B0166" w:rsidRPr="00713B2C" w:rsidRDefault="001B0166" w:rsidP="00655255">
      <w:pPr>
        <w:rPr>
          <w:lang w:val="es-ES_tradnl"/>
        </w:rPr>
      </w:pPr>
      <w:r w:rsidRPr="00713B2C">
        <w:rPr>
          <w:lang w:val="es-ES_tradnl"/>
        </w:rPr>
        <w:t>En virtud de la revisión de la Resolución 169 (Rev. Dubái, 2018), los representantes de las Instituciones Académicas pueden asumir las funciones de relator, vicerrelator o relator asociado, de conformidad con las reglas establecidas en los procedimientos de los respectivos Sectores. También se insta a las Instituciones Académicas a participar en el desarrollo de los trabajos técnicos de la Unión.</w:t>
      </w:r>
    </w:p>
    <w:p w14:paraId="3D6B23F4" w14:textId="425FFE6A" w:rsidR="001B0166" w:rsidRPr="00713B2C" w:rsidRDefault="001B0166" w:rsidP="004D25AB">
      <w:pPr>
        <w:rPr>
          <w:lang w:val="es-ES_tradnl"/>
        </w:rPr>
      </w:pPr>
      <w:r w:rsidRPr="00713B2C">
        <w:rPr>
          <w:lang w:val="es-ES_tradnl"/>
        </w:rPr>
        <w:t>La PP-18 también adoptó la Resolución 205 sobre la innovación centrada en las TIC para impulsar la economía digital. En ella se encarga a la BDT que brinde apoyo a los Estados Miembros que lo soliciten en la promoción de un entorno propicio para facilitar las actividades de innovación de las</w:t>
      </w:r>
      <w:r w:rsidR="004D25AB" w:rsidRPr="00713B2C">
        <w:rPr>
          <w:lang w:val="es-ES_tradnl"/>
        </w:rPr>
        <w:t> </w:t>
      </w:r>
      <w:r w:rsidRPr="00713B2C">
        <w:rPr>
          <w:lang w:val="es-ES_tradnl"/>
        </w:rPr>
        <w:t>PYME, las empresas de nueva creación, los centros de creación empresarial y los jóvenes empresarios en las esferas de las telecomunicaciones y las TIC. Mediante la citada Resolución también se invita a los Estados Miembros, Miembros de Sector y Asociados a que alienten la participación de empresarios, empresas de nueva creación y centros de creación y desarrollo empresariales del sector de las TIC en ITU Telecom, así como en otros eventos pertinentes de la</w:t>
      </w:r>
      <w:r w:rsidR="004D25AB" w:rsidRPr="00713B2C">
        <w:rPr>
          <w:lang w:val="es-ES_tradnl"/>
        </w:rPr>
        <w:t> </w:t>
      </w:r>
      <w:r w:rsidRPr="00713B2C">
        <w:rPr>
          <w:lang w:val="es-ES_tradnl"/>
        </w:rPr>
        <w:t>UIT.</w:t>
      </w:r>
    </w:p>
    <w:p w14:paraId="524F0EE6" w14:textId="77777777" w:rsidR="001B0166" w:rsidRPr="00713B2C" w:rsidRDefault="001B0166" w:rsidP="00655255">
      <w:pPr>
        <w:pStyle w:val="Heading1"/>
        <w:rPr>
          <w:lang w:val="es-ES_tradnl"/>
        </w:rPr>
      </w:pPr>
      <w:r w:rsidRPr="00713B2C">
        <w:rPr>
          <w:lang w:val="es-ES_tradnl"/>
        </w:rPr>
        <w:t>2</w:t>
      </w:r>
      <w:r w:rsidRPr="00713B2C">
        <w:rPr>
          <w:lang w:val="es-ES_tradnl"/>
        </w:rPr>
        <w:tab/>
        <w:t>Objetivos estratégicos de los Miembros del UIT-D</w:t>
      </w:r>
    </w:p>
    <w:p w14:paraId="3DFB5D6E" w14:textId="77777777" w:rsidR="001B0166" w:rsidRPr="00713B2C" w:rsidRDefault="001B0166" w:rsidP="004D25AB">
      <w:pPr>
        <w:rPr>
          <w:lang w:val="es-ES_tradnl"/>
        </w:rPr>
      </w:pPr>
      <w:r w:rsidRPr="00713B2C">
        <w:rPr>
          <w:lang w:val="es-ES_tradnl"/>
        </w:rPr>
        <w:t>De conformidad con los resultados de la CMDT-17 y la PP-18, la BDT sigue haciendo hincapié en los dos objetivos principales enumerados a continuación, en estrecha colaboración con la Secretaría General, las otras dos Oficinas y las Oficinas Regionales y de Zona:</w:t>
      </w:r>
    </w:p>
    <w:p w14:paraId="6F3C1090" w14:textId="77777777" w:rsidR="001B0166" w:rsidRPr="00713B2C" w:rsidRDefault="001B0166" w:rsidP="00016C61">
      <w:pPr>
        <w:pStyle w:val="enumlev1"/>
        <w:keepNext/>
        <w:rPr>
          <w:lang w:val="es-ES_tradnl"/>
        </w:rPr>
      </w:pPr>
      <w:r w:rsidRPr="00713B2C">
        <w:rPr>
          <w:lang w:val="es-ES_tradnl"/>
        </w:rPr>
        <w:lastRenderedPageBreak/>
        <w:t>–</w:t>
      </w:r>
      <w:r w:rsidRPr="00713B2C">
        <w:rPr>
          <w:lang w:val="es-ES_tradnl"/>
        </w:rPr>
        <w:tab/>
        <w:t>lograr la participación de más entidades como Miembros de Sector, Asociados, PYME o Instituciones Académicas, y</w:t>
      </w:r>
    </w:p>
    <w:p w14:paraId="6E5448B7" w14:textId="77777777" w:rsidR="001B0166" w:rsidRPr="00713B2C" w:rsidRDefault="001B0166" w:rsidP="00655255">
      <w:pPr>
        <w:pStyle w:val="enumlev1"/>
        <w:rPr>
          <w:lang w:val="es-ES_tradnl"/>
        </w:rPr>
      </w:pPr>
      <w:r w:rsidRPr="00713B2C">
        <w:rPr>
          <w:lang w:val="es-ES_tradnl"/>
        </w:rPr>
        <w:t>–</w:t>
      </w:r>
      <w:r w:rsidRPr="00713B2C">
        <w:rPr>
          <w:lang w:val="es-ES_tradnl"/>
        </w:rPr>
        <w:tab/>
        <w:t>mejorar las plataformas y herramientas de participación y retención de los Miembros de Sector del UIT-D, Asociados e Instituciones Académicas.</w:t>
      </w:r>
    </w:p>
    <w:p w14:paraId="32767D9B" w14:textId="77777777" w:rsidR="001B0166" w:rsidRPr="00713B2C" w:rsidRDefault="001B0166" w:rsidP="00655255">
      <w:pPr>
        <w:pStyle w:val="Heading1"/>
        <w:rPr>
          <w:lang w:val="es-ES_tradnl"/>
        </w:rPr>
      </w:pPr>
      <w:r w:rsidRPr="00713B2C">
        <w:rPr>
          <w:lang w:val="es-ES_tradnl"/>
        </w:rPr>
        <w:t>3</w:t>
      </w:r>
      <w:r w:rsidRPr="00713B2C">
        <w:rPr>
          <w:lang w:val="es-ES_tradnl"/>
        </w:rPr>
        <w:tab/>
        <w:t>Situación de los miembros del UIT-D</w:t>
      </w:r>
    </w:p>
    <w:p w14:paraId="2D90F6D3" w14:textId="1F437FDC" w:rsidR="001B0166" w:rsidRPr="00DF7A5B" w:rsidRDefault="001B0166" w:rsidP="004D25AB">
      <w:pPr>
        <w:rPr>
          <w:b/>
          <w:lang w:val="es-ES_tradnl"/>
        </w:rPr>
      </w:pPr>
      <w:r w:rsidRPr="00713B2C">
        <w:rPr>
          <w:lang w:val="es-ES_tradnl"/>
        </w:rPr>
        <w:t>En el cuadro que figura a continuación se representa la evolución de la cantidad de miembros del</w:t>
      </w:r>
      <w:r w:rsidR="004D25AB" w:rsidRPr="00713B2C">
        <w:rPr>
          <w:b/>
          <w:lang w:val="es-ES_tradnl"/>
        </w:rPr>
        <w:t> </w:t>
      </w:r>
      <w:r w:rsidRPr="00713B2C">
        <w:rPr>
          <w:lang w:val="es-ES_tradnl"/>
        </w:rPr>
        <w:t>UIT-D (Miembros de Sector, Asociados e instituciones Académicas</w:t>
      </w:r>
      <w:r w:rsidRPr="00713B2C">
        <w:rPr>
          <w:rStyle w:val="FootnoteReference"/>
          <w:lang w:val="es-ES_tradnl"/>
        </w:rPr>
        <w:footnoteReference w:id="3"/>
      </w:r>
      <w:r w:rsidRPr="00713B2C">
        <w:rPr>
          <w:lang w:val="es-ES_tradnl"/>
        </w:rPr>
        <w:t>) a lo largo del per</w:t>
      </w:r>
      <w:r w:rsidR="00803384">
        <w:rPr>
          <w:lang w:val="es-ES_tradnl"/>
        </w:rPr>
        <w:t>i</w:t>
      </w:r>
      <w:r w:rsidRPr="00713B2C">
        <w:rPr>
          <w:lang w:val="es-ES_tradnl"/>
        </w:rPr>
        <w:t>odo comprendido entre 2009 y 2019. Si bien en 2019 se incorporaron 13 nuevas entidades como Miembros de Sector, incluidas destacadas empresas del sector de las TIC, como se pone de manifiesto en la sección 3.1 que figura a continuación, varios Miembros de Sector se dieron de baja por razones de fusión industrial o financieras, lo cual constituye un motivo de inquietud. Por otro lado, la cantidad de Asociados y de Instituciones Académicas aumentó a un ritmo constante.</w:t>
      </w:r>
    </w:p>
    <w:p w14:paraId="63611589" w14:textId="71B2AE74" w:rsidR="00803384" w:rsidRDefault="001B0166" w:rsidP="00DF7A5B">
      <w:pPr>
        <w:pStyle w:val="Tabletitle"/>
        <w:spacing w:before="480"/>
        <w:rPr>
          <w:lang w:val="es-ES_tradnl"/>
        </w:rPr>
      </w:pPr>
      <w:r w:rsidRPr="00DF7A5B">
        <w:rPr>
          <w:lang w:val="es-ES_tradnl"/>
        </w:rPr>
        <w:t>Gráfico 1</w:t>
      </w:r>
      <w:r w:rsidR="00DF7A5B">
        <w:rPr>
          <w:lang w:val="es-ES_tradnl"/>
        </w:rPr>
        <w:t xml:space="preserve"> </w:t>
      </w:r>
      <w:r w:rsidR="00DF7A5B" w:rsidRPr="00DF7A5B">
        <w:rPr>
          <w:lang w:val="es-ES_tradnl"/>
        </w:rPr>
        <w:t>–</w:t>
      </w:r>
      <w:r w:rsidR="00DF7A5B">
        <w:rPr>
          <w:lang w:val="es-ES_tradnl"/>
        </w:rPr>
        <w:t xml:space="preserve"> </w:t>
      </w:r>
      <w:r w:rsidRPr="00DF7A5B">
        <w:rPr>
          <w:lang w:val="es-ES_tradnl"/>
        </w:rPr>
        <w:t xml:space="preserve">Evolución de la cantidad de Miembros del UIT D (Miembros de Sector, Asociados </w:t>
      </w:r>
      <w:r w:rsidRPr="00DF7A5B">
        <w:rPr>
          <w:lang w:val="es-ES_tradnl"/>
        </w:rPr>
        <w:br/>
        <w:t>e Instituciones Académicas</w:t>
      </w:r>
      <w:r w:rsidRPr="00DF7A5B">
        <w:rPr>
          <w:rStyle w:val="FootnoteReference"/>
          <w:b w:val="0"/>
          <w:bCs/>
          <w:lang w:val="es-ES_tradnl"/>
        </w:rPr>
        <w:footnoteReference w:id="4"/>
      </w:r>
      <w:r w:rsidRPr="00DF7A5B">
        <w:rPr>
          <w:lang w:val="es-ES_tradnl"/>
        </w:rPr>
        <w:t>) de 2009 a 2019.</w:t>
      </w:r>
    </w:p>
    <w:tbl>
      <w:tblPr>
        <w:tblW w:w="9381" w:type="dxa"/>
        <w:jc w:val="center"/>
        <w:tblCellMar>
          <w:left w:w="0" w:type="dxa"/>
          <w:right w:w="0" w:type="dxa"/>
        </w:tblCellMar>
        <w:tblLook w:val="04A0" w:firstRow="1" w:lastRow="0" w:firstColumn="1" w:lastColumn="0" w:noHBand="0" w:noVBand="1"/>
      </w:tblPr>
      <w:tblGrid>
        <w:gridCol w:w="2134"/>
        <w:gridCol w:w="663"/>
        <w:gridCol w:w="663"/>
        <w:gridCol w:w="663"/>
        <w:gridCol w:w="663"/>
        <w:gridCol w:w="663"/>
        <w:gridCol w:w="663"/>
        <w:gridCol w:w="663"/>
        <w:gridCol w:w="663"/>
        <w:gridCol w:w="663"/>
        <w:gridCol w:w="663"/>
        <w:gridCol w:w="617"/>
      </w:tblGrid>
      <w:tr w:rsidR="00DF7A5B" w:rsidRPr="00DF7A5B" w14:paraId="6B9CDFAE" w14:textId="77777777" w:rsidTr="00DF7A5B">
        <w:trPr>
          <w:tblHeader/>
          <w:jc w:val="center"/>
        </w:trPr>
        <w:tc>
          <w:tcPr>
            <w:tcW w:w="2134" w:type="dxa"/>
            <w:tcBorders>
              <w:top w:val="nil"/>
              <w:left w:val="nil"/>
              <w:bottom w:val="single" w:sz="4" w:space="0" w:color="auto"/>
              <w:right w:val="single" w:sz="4" w:space="0" w:color="auto"/>
            </w:tcBorders>
            <w:tcMar>
              <w:top w:w="0" w:type="dxa"/>
              <w:left w:w="108" w:type="dxa"/>
              <w:bottom w:w="0" w:type="dxa"/>
              <w:right w:w="108" w:type="dxa"/>
            </w:tcMar>
            <w:hideMark/>
          </w:tcPr>
          <w:p w14:paraId="7FD4CDE3" w14:textId="77777777" w:rsidR="00DF7A5B" w:rsidRPr="0079643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val="es-ES" w:eastAsia="zh-CN"/>
              </w:rPr>
            </w:pPr>
          </w:p>
        </w:tc>
        <w:tc>
          <w:tcPr>
            <w:tcW w:w="663" w:type="dxa"/>
            <w:tcBorders>
              <w:top w:val="single" w:sz="4" w:space="0" w:color="auto"/>
              <w:left w:val="single" w:sz="4" w:space="0" w:color="auto"/>
              <w:bottom w:val="single" w:sz="4" w:space="0" w:color="auto"/>
              <w:right w:val="single" w:sz="8" w:space="0" w:color="auto"/>
            </w:tcBorders>
            <w:shd w:val="clear" w:color="auto" w:fill="95B3D7"/>
            <w:tcMar>
              <w:top w:w="0" w:type="dxa"/>
              <w:left w:w="108" w:type="dxa"/>
              <w:bottom w:w="0" w:type="dxa"/>
              <w:right w:w="108" w:type="dxa"/>
            </w:tcMar>
            <w:vAlign w:val="center"/>
            <w:hideMark/>
          </w:tcPr>
          <w:p w14:paraId="21EB6DC9"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bCs/>
                <w:sz w:val="22"/>
                <w:lang w:eastAsia="zh-CN"/>
              </w:rPr>
            </w:pPr>
            <w:r w:rsidRPr="00DF7A5B">
              <w:rPr>
                <w:rFonts w:ascii="Calibri" w:hAnsi="Calibri"/>
                <w:b/>
                <w:bCs/>
                <w:sz w:val="22"/>
                <w:lang w:eastAsia="zh-CN"/>
              </w:rPr>
              <w:t>2009</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5FDF7649"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2010</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1AC9A630"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2011</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44F946D8"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2012</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2A1FAA48"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2013</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1BD44F85"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2014</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3AFB601B"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2015</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58A2CDE3"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2016</w:t>
            </w:r>
          </w:p>
        </w:tc>
        <w:tc>
          <w:tcPr>
            <w:tcW w:w="663" w:type="dxa"/>
            <w:tcBorders>
              <w:top w:val="single" w:sz="4" w:space="0" w:color="auto"/>
              <w:left w:val="nil"/>
              <w:bottom w:val="single" w:sz="4" w:space="0" w:color="auto"/>
              <w:right w:val="single" w:sz="8" w:space="0" w:color="auto"/>
            </w:tcBorders>
            <w:shd w:val="clear" w:color="auto" w:fill="95B3D7"/>
            <w:tcMar>
              <w:top w:w="0" w:type="dxa"/>
              <w:left w:w="108" w:type="dxa"/>
              <w:bottom w:w="0" w:type="dxa"/>
              <w:right w:w="108" w:type="dxa"/>
            </w:tcMar>
            <w:vAlign w:val="center"/>
            <w:hideMark/>
          </w:tcPr>
          <w:p w14:paraId="78C174BF"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2017</w:t>
            </w:r>
          </w:p>
        </w:tc>
        <w:tc>
          <w:tcPr>
            <w:tcW w:w="663" w:type="dxa"/>
            <w:tcBorders>
              <w:top w:val="single" w:sz="4" w:space="0" w:color="auto"/>
              <w:left w:val="nil"/>
              <w:bottom w:val="single" w:sz="4" w:space="0" w:color="auto"/>
              <w:right w:val="single" w:sz="4" w:space="0" w:color="auto"/>
            </w:tcBorders>
            <w:shd w:val="clear" w:color="auto" w:fill="95B3D7"/>
            <w:tcMar>
              <w:top w:w="0" w:type="dxa"/>
              <w:left w:w="108" w:type="dxa"/>
              <w:bottom w:w="0" w:type="dxa"/>
              <w:right w:w="108" w:type="dxa"/>
            </w:tcMar>
            <w:vAlign w:val="center"/>
            <w:hideMark/>
          </w:tcPr>
          <w:p w14:paraId="30A8CA2F"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2018</w:t>
            </w:r>
          </w:p>
        </w:tc>
        <w:tc>
          <w:tcPr>
            <w:tcW w:w="61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56613E38" w14:textId="77777777" w:rsidR="00DF7A5B" w:rsidRPr="00DF7A5B" w:rsidRDefault="00DF7A5B" w:rsidP="00DF7A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hAnsi="Calibri"/>
                <w:b/>
                <w:sz w:val="22"/>
                <w:lang w:eastAsia="zh-CN"/>
              </w:rPr>
            </w:pPr>
            <w:r w:rsidRPr="00DF7A5B">
              <w:rPr>
                <w:rFonts w:ascii="Calibri" w:hAnsi="Calibri"/>
                <w:b/>
                <w:sz w:val="22"/>
                <w:lang w:eastAsia="zh-CN"/>
              </w:rPr>
              <w:t>2019</w:t>
            </w:r>
          </w:p>
        </w:tc>
      </w:tr>
      <w:tr w:rsidR="00DF7A5B" w:rsidRPr="00DF7A5B" w14:paraId="3F4A1644" w14:textId="77777777" w:rsidTr="00DF7A5B">
        <w:trPr>
          <w:jc w:val="center"/>
        </w:trPr>
        <w:tc>
          <w:tcPr>
            <w:tcW w:w="2134" w:type="dxa"/>
            <w:tcBorders>
              <w:top w:val="single" w:sz="4" w:space="0" w:color="auto"/>
              <w:left w:val="single" w:sz="4" w:space="0" w:color="auto"/>
              <w:bottom w:val="single" w:sz="8" w:space="0" w:color="auto"/>
              <w:right w:val="single" w:sz="4" w:space="0" w:color="auto"/>
            </w:tcBorders>
            <w:shd w:val="clear" w:color="auto" w:fill="DBE5F1"/>
            <w:tcMar>
              <w:top w:w="0" w:type="dxa"/>
              <w:left w:w="108" w:type="dxa"/>
              <w:bottom w:w="0" w:type="dxa"/>
              <w:right w:w="108" w:type="dxa"/>
            </w:tcMar>
            <w:vAlign w:val="center"/>
            <w:hideMark/>
          </w:tcPr>
          <w:p w14:paraId="7C3E0148" w14:textId="3D663AA9"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Calibri" w:hAnsi="Calibri"/>
                <w:b/>
                <w:bCs/>
                <w:sz w:val="22"/>
                <w:szCs w:val="22"/>
                <w:lang w:val="en-GB" w:eastAsia="zh-CN"/>
              </w:rPr>
            </w:pPr>
            <w:r w:rsidRPr="00016C61">
              <w:rPr>
                <w:rFonts w:ascii="Calibri" w:hAnsi="Calibri" w:cs="Calibri"/>
                <w:b/>
                <w:sz w:val="22"/>
                <w:szCs w:val="22"/>
                <w:lang w:val="es-ES_tradnl" w:eastAsia="zh-CN"/>
              </w:rPr>
              <w:t>Miembros de Sector</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416B9"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8A2E2"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311</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D6C55"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323</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19D25"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330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E66AFC"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346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32E8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338</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C9084"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340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80D68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331</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B2797E"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318</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BBF90"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310</w:t>
            </w:r>
          </w:p>
        </w:tc>
        <w:tc>
          <w:tcPr>
            <w:tcW w:w="617" w:type="dxa"/>
            <w:tcBorders>
              <w:top w:val="single" w:sz="4" w:space="0" w:color="auto"/>
              <w:left w:val="single" w:sz="4" w:space="0" w:color="auto"/>
              <w:bottom w:val="single" w:sz="4" w:space="0" w:color="auto"/>
              <w:right w:val="single" w:sz="4" w:space="0" w:color="auto"/>
            </w:tcBorders>
            <w:vAlign w:val="center"/>
            <w:hideMark/>
          </w:tcPr>
          <w:p w14:paraId="6C20BEF1"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307</w:t>
            </w:r>
          </w:p>
        </w:tc>
      </w:tr>
      <w:tr w:rsidR="00DF7A5B" w:rsidRPr="00DF7A5B" w14:paraId="056FC7B7" w14:textId="77777777" w:rsidTr="00DF7A5B">
        <w:trPr>
          <w:jc w:val="center"/>
        </w:trPr>
        <w:tc>
          <w:tcPr>
            <w:tcW w:w="2134" w:type="dxa"/>
            <w:tcBorders>
              <w:top w:val="single" w:sz="8" w:space="0" w:color="auto"/>
              <w:left w:val="single" w:sz="4" w:space="0" w:color="auto"/>
              <w:bottom w:val="single" w:sz="8" w:space="0" w:color="auto"/>
              <w:right w:val="single" w:sz="4" w:space="0" w:color="auto"/>
            </w:tcBorders>
            <w:shd w:val="clear" w:color="auto" w:fill="DBE5F1"/>
            <w:tcMar>
              <w:top w:w="0" w:type="dxa"/>
              <w:left w:w="108" w:type="dxa"/>
              <w:bottom w:w="0" w:type="dxa"/>
              <w:right w:w="108" w:type="dxa"/>
            </w:tcMar>
            <w:vAlign w:val="center"/>
            <w:hideMark/>
          </w:tcPr>
          <w:p w14:paraId="18450C24" w14:textId="40D1F698"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Calibri" w:hAnsi="Calibri"/>
                <w:b/>
                <w:bCs/>
                <w:sz w:val="22"/>
                <w:szCs w:val="22"/>
                <w:lang w:val="en-GB" w:eastAsia="zh-CN"/>
              </w:rPr>
            </w:pPr>
            <w:r w:rsidRPr="00016C61">
              <w:rPr>
                <w:rFonts w:ascii="Calibri" w:hAnsi="Calibri" w:cs="Calibri"/>
                <w:b/>
                <w:sz w:val="22"/>
                <w:szCs w:val="22"/>
                <w:lang w:val="es-ES_tradnl" w:eastAsia="zh-CN"/>
              </w:rPr>
              <w:t>Asociados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F87F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3FBBC4"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5</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13080C"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896E4"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7</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17D4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9</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FB51A"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39C02"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11</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B4D257"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12</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636BB"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12</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9EB00C"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14</w:t>
            </w:r>
          </w:p>
        </w:tc>
        <w:tc>
          <w:tcPr>
            <w:tcW w:w="617" w:type="dxa"/>
            <w:tcBorders>
              <w:top w:val="single" w:sz="4" w:space="0" w:color="auto"/>
              <w:left w:val="single" w:sz="4" w:space="0" w:color="auto"/>
              <w:bottom w:val="single" w:sz="4" w:space="0" w:color="auto"/>
              <w:right w:val="single" w:sz="4" w:space="0" w:color="auto"/>
            </w:tcBorders>
            <w:vAlign w:val="center"/>
            <w:hideMark/>
          </w:tcPr>
          <w:p w14:paraId="07D4AFFA"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17</w:t>
            </w:r>
          </w:p>
        </w:tc>
      </w:tr>
      <w:tr w:rsidR="00DF7A5B" w:rsidRPr="00DF7A5B" w14:paraId="1E8D7535" w14:textId="77777777" w:rsidTr="00DF7A5B">
        <w:trPr>
          <w:jc w:val="center"/>
        </w:trPr>
        <w:tc>
          <w:tcPr>
            <w:tcW w:w="2134" w:type="dxa"/>
            <w:tcBorders>
              <w:top w:val="single" w:sz="8" w:space="0" w:color="auto"/>
              <w:left w:val="single" w:sz="4" w:space="0" w:color="auto"/>
              <w:bottom w:val="single" w:sz="8" w:space="0" w:color="auto"/>
              <w:right w:val="single" w:sz="4" w:space="0" w:color="auto"/>
            </w:tcBorders>
            <w:shd w:val="clear" w:color="auto" w:fill="DBE5F1"/>
            <w:tcMar>
              <w:top w:w="0" w:type="dxa"/>
              <w:left w:w="108" w:type="dxa"/>
              <w:bottom w:w="0" w:type="dxa"/>
              <w:right w:w="108" w:type="dxa"/>
            </w:tcMar>
            <w:vAlign w:val="center"/>
            <w:hideMark/>
          </w:tcPr>
          <w:p w14:paraId="2C4D6C4E" w14:textId="2F908DA4"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Calibri" w:hAnsi="Calibri"/>
                <w:b/>
                <w:bCs/>
                <w:sz w:val="22"/>
                <w:szCs w:val="22"/>
                <w:lang w:val="en-GB" w:eastAsia="zh-CN"/>
              </w:rPr>
            </w:pPr>
            <w:r w:rsidRPr="00016C61">
              <w:rPr>
                <w:rFonts w:ascii="Calibri" w:hAnsi="Calibri" w:cs="Calibri"/>
                <w:b/>
                <w:sz w:val="22"/>
                <w:szCs w:val="22"/>
                <w:lang w:val="es-ES_tradnl" w:eastAsia="zh-CN"/>
              </w:rPr>
              <w:t>Instituciones Académicas</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40C859"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noBreakHyphen/>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2DA4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noBreakHyphen/>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C5E0A"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25</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0585C"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A9A23"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45</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80CF3"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86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5B71E"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109</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AEE8DE"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107</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866DD"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125</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EFA6F"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156</w:t>
            </w:r>
          </w:p>
        </w:tc>
        <w:tc>
          <w:tcPr>
            <w:tcW w:w="617" w:type="dxa"/>
            <w:tcBorders>
              <w:top w:val="single" w:sz="4" w:space="0" w:color="auto"/>
              <w:left w:val="single" w:sz="4" w:space="0" w:color="auto"/>
              <w:bottom w:val="single" w:sz="4" w:space="0" w:color="auto"/>
              <w:right w:val="single" w:sz="4" w:space="0" w:color="auto"/>
            </w:tcBorders>
            <w:vAlign w:val="center"/>
            <w:hideMark/>
          </w:tcPr>
          <w:p w14:paraId="52DA5F79"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163</w:t>
            </w:r>
          </w:p>
        </w:tc>
      </w:tr>
      <w:tr w:rsidR="00DF7A5B" w:rsidRPr="00DF7A5B" w14:paraId="184DEFE0" w14:textId="77777777" w:rsidTr="00DF7A5B">
        <w:trPr>
          <w:jc w:val="center"/>
        </w:trPr>
        <w:tc>
          <w:tcPr>
            <w:tcW w:w="2134" w:type="dxa"/>
            <w:tcBorders>
              <w:top w:val="single" w:sz="8"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vAlign w:val="center"/>
            <w:hideMark/>
          </w:tcPr>
          <w:p w14:paraId="33D63A56"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Calibri" w:hAnsi="Calibri"/>
                <w:b/>
                <w:bCs/>
                <w:sz w:val="22"/>
                <w:lang w:val="en-GB" w:eastAsia="zh-CN"/>
              </w:rPr>
            </w:pPr>
            <w:r w:rsidRPr="00DF7A5B">
              <w:rPr>
                <w:rFonts w:ascii="Calibri" w:hAnsi="Calibri"/>
                <w:b/>
                <w:bCs/>
                <w:sz w:val="22"/>
                <w:lang w:val="en-GB" w:eastAsia="zh-CN"/>
              </w:rPr>
              <w:t>TOTAL</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8C50B"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319</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BFBA1"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316</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13804"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354</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EB3D7"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373</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61667"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400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611FC"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434</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CBC9A"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460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5C216F"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450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B6FB9"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455</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9E23A"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480</w:t>
            </w:r>
          </w:p>
        </w:tc>
        <w:tc>
          <w:tcPr>
            <w:tcW w:w="617" w:type="dxa"/>
            <w:tcBorders>
              <w:top w:val="single" w:sz="4" w:space="0" w:color="auto"/>
              <w:left w:val="single" w:sz="4" w:space="0" w:color="auto"/>
              <w:bottom w:val="single" w:sz="4" w:space="0" w:color="auto"/>
              <w:right w:val="single" w:sz="4" w:space="0" w:color="auto"/>
            </w:tcBorders>
            <w:vAlign w:val="center"/>
            <w:hideMark/>
          </w:tcPr>
          <w:p w14:paraId="7FE892A0" w14:textId="77777777" w:rsidR="00DF7A5B" w:rsidRPr="00DF7A5B" w:rsidRDefault="00DF7A5B" w:rsidP="00DF7A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Calibri" w:hAnsi="Calibri"/>
                <w:sz w:val="22"/>
                <w:lang w:eastAsia="zh-CN"/>
              </w:rPr>
            </w:pPr>
            <w:r w:rsidRPr="00DF7A5B">
              <w:rPr>
                <w:rFonts w:ascii="Calibri" w:hAnsi="Calibri"/>
                <w:sz w:val="22"/>
                <w:lang w:eastAsia="zh-CN"/>
              </w:rPr>
              <w:t>487</w:t>
            </w:r>
          </w:p>
        </w:tc>
      </w:tr>
    </w:tbl>
    <w:p w14:paraId="7D2ED336" w14:textId="7D93A79E" w:rsidR="00803384" w:rsidRDefault="00DF7A5B" w:rsidP="00DF7A5B">
      <w:pPr>
        <w:rPr>
          <w:lang w:val="es-ES_tradnl"/>
        </w:rPr>
      </w:pPr>
      <w:r w:rsidRPr="00713B2C">
        <w:rPr>
          <w:lang w:val="es-ES_tradnl"/>
        </w:rPr>
        <w:t>En el gráfico que figura a continuación se muestra la evolución de la cantidad de miembros del UIT-D para el per</w:t>
      </w:r>
      <w:r>
        <w:rPr>
          <w:lang w:val="es-ES_tradnl"/>
        </w:rPr>
        <w:t>i</w:t>
      </w:r>
      <w:r w:rsidRPr="00713B2C">
        <w:rPr>
          <w:lang w:val="es-ES_tradnl"/>
        </w:rPr>
        <w:t>odo comprendido entre 1994 y 2019, en el que se registró un aumento a ritmo constante.</w:t>
      </w:r>
    </w:p>
    <w:p w14:paraId="24924D5D" w14:textId="77777777" w:rsidR="00DF7A5B" w:rsidRPr="00803384" w:rsidRDefault="00DF7A5B" w:rsidP="00DF7A5B">
      <w:pPr>
        <w:rPr>
          <w:lang w:val="es-ES_tradnl"/>
        </w:rPr>
      </w:pPr>
    </w:p>
    <w:p w14:paraId="5A79B3AF" w14:textId="77777777" w:rsidR="00D655C2" w:rsidRPr="00D655C2" w:rsidRDefault="00D655C2" w:rsidP="00D655C2">
      <w:pPr>
        <w:jc w:val="center"/>
        <w:rPr>
          <w:rFonts w:ascii="Calibri" w:hAnsi="Calibri"/>
        </w:rPr>
      </w:pPr>
      <w:r w:rsidRPr="00D655C2">
        <w:rPr>
          <w:rFonts w:ascii="Calibri" w:hAnsi="Calibri"/>
          <w:noProof/>
          <w:lang w:eastAsia="en-GB"/>
        </w:rPr>
        <w:lastRenderedPageBreak/>
        <w:drawing>
          <wp:inline distT="0" distB="0" distL="0" distR="0" wp14:anchorId="36B81074" wp14:editId="4DE69681">
            <wp:extent cx="5717355" cy="2673350"/>
            <wp:effectExtent l="0" t="0" r="1714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53F8C1" w14:textId="77777777" w:rsidR="001B0166" w:rsidRPr="00713B2C" w:rsidRDefault="001B0166" w:rsidP="00655255">
      <w:pPr>
        <w:pStyle w:val="Heading2"/>
        <w:rPr>
          <w:lang w:val="es-ES_tradnl"/>
        </w:rPr>
      </w:pPr>
      <w:r w:rsidRPr="00713B2C">
        <w:rPr>
          <w:lang w:val="es-ES_tradnl"/>
        </w:rPr>
        <w:t>3.1</w:t>
      </w:r>
      <w:r w:rsidRPr="00713B2C">
        <w:rPr>
          <w:lang w:val="es-ES_tradnl"/>
        </w:rPr>
        <w:tab/>
        <w:t>Miembros de Sector y Asociados en 2019</w:t>
      </w:r>
    </w:p>
    <w:p w14:paraId="5A7AE239" w14:textId="2DD94EA5" w:rsidR="001B0166" w:rsidRPr="00713B2C" w:rsidRDefault="001B0166" w:rsidP="004D25AB">
      <w:pPr>
        <w:rPr>
          <w:lang w:val="es-ES_tradnl"/>
        </w:rPr>
      </w:pPr>
      <w:r w:rsidRPr="00713B2C">
        <w:rPr>
          <w:lang w:val="es-ES_tradnl"/>
        </w:rPr>
        <w:t xml:space="preserve">En 2019, se adhirieron al UIT-D </w:t>
      </w:r>
      <w:r w:rsidRPr="00713B2C">
        <w:rPr>
          <w:b/>
          <w:bCs/>
          <w:lang w:val="es-ES_tradnl"/>
        </w:rPr>
        <w:t>13 nuevos Miembros de Sector</w:t>
      </w:r>
      <w:r w:rsidRPr="00713B2C">
        <w:rPr>
          <w:lang w:val="es-ES_tradnl"/>
        </w:rPr>
        <w:t>: AEPF (Chad), Amazon Web Services (Estados Unidos), ANSUT (Cote d’Ivoire), BCSL (Bangladesh), Hughes Network Systems LLC (Estados Unidos), la Corporación para la Asignación de Nombres y Números de Internet (ICANN), (Estados Unidos), Loon LLC (Estados Unidos), Mada-Qatar Assistive Technology Center (Qatar), MTN Group Management Services (Sudáfrica), Reliance JIO Infocom (India), Sharing Mobile Group</w:t>
      </w:r>
      <w:r w:rsidR="00016C61">
        <w:rPr>
          <w:lang w:val="es-ES_tradnl"/>
        </w:rPr>
        <w:t> </w:t>
      </w:r>
      <w:r w:rsidRPr="00713B2C">
        <w:rPr>
          <w:lang w:val="es-ES_tradnl"/>
        </w:rPr>
        <w:t xml:space="preserve">(China), Subah Infosolutions Ghana Limited (Ghana), U Mobile Sdn Bhd (Malaysia) y ViaSat Inc (Estados Unidos). También se adhirieron al UIT-D </w:t>
      </w:r>
      <w:r w:rsidRPr="00713B2C">
        <w:rPr>
          <w:b/>
          <w:bCs/>
          <w:lang w:val="es-ES_tradnl"/>
        </w:rPr>
        <w:t>cinco nuevos Asociados</w:t>
      </w:r>
      <w:r w:rsidRPr="00713B2C">
        <w:rPr>
          <w:lang w:val="es-ES_tradnl"/>
        </w:rPr>
        <w:t xml:space="preserve">: </w:t>
      </w:r>
      <w:r w:rsidRPr="00713B2C">
        <w:rPr>
          <w:szCs w:val="24"/>
          <w:lang w:val="es-ES_tradnl"/>
        </w:rPr>
        <w:t>Afilias Ltd (Irlanda), CACF-3g Technologies (Pakistán), Codewise (Polonia), PWC (Suiza), Silensec (Kenya).</w:t>
      </w:r>
    </w:p>
    <w:p w14:paraId="374583F1" w14:textId="77777777" w:rsidR="001B0166" w:rsidRPr="00713B2C" w:rsidRDefault="001B0166" w:rsidP="00655255">
      <w:pPr>
        <w:pStyle w:val="Heading2"/>
        <w:rPr>
          <w:lang w:val="es-ES_tradnl"/>
        </w:rPr>
      </w:pPr>
      <w:r w:rsidRPr="00713B2C">
        <w:rPr>
          <w:lang w:val="es-ES_tradnl"/>
        </w:rPr>
        <w:t>3.2</w:t>
      </w:r>
      <w:r w:rsidRPr="00713B2C">
        <w:rPr>
          <w:lang w:val="es-ES_tradnl"/>
        </w:rPr>
        <w:tab/>
        <w:t>Instituciones académicas en 2019</w:t>
      </w:r>
    </w:p>
    <w:p w14:paraId="00E38939" w14:textId="77777777" w:rsidR="001B0166" w:rsidRPr="00713B2C" w:rsidRDefault="001B0166" w:rsidP="004D25AB">
      <w:pPr>
        <w:rPr>
          <w:lang w:val="es-ES_tradnl"/>
        </w:rPr>
      </w:pPr>
      <w:r w:rsidRPr="00713B2C">
        <w:rPr>
          <w:lang w:val="es-ES_tradnl"/>
        </w:rPr>
        <w:t xml:space="preserve">Las Instituciones Académicas participan en los trabajos de los tres Sectores de la UIT y abonan una sola cuota. Desde 2011, más de 200 instituciones académicas se han adherido a la UIT. Esta categoría de miembros es la que registra un mayor ritmo de aumento, con respecto a las demás categorías. En 2019, los esfuerzos desplegados de forma coordinada con la Secretaría General dieron lugar a la adhesión de </w:t>
      </w:r>
      <w:r w:rsidRPr="00713B2C">
        <w:rPr>
          <w:b/>
          <w:bCs/>
          <w:lang w:val="es-ES_tradnl"/>
        </w:rPr>
        <w:t>22 instituciones académicas</w:t>
      </w:r>
      <w:r w:rsidRPr="00713B2C">
        <w:rPr>
          <w:lang w:val="es-ES_tradnl"/>
        </w:rPr>
        <w:t xml:space="preserve"> a los tres Sectores de la UIT</w:t>
      </w:r>
      <w:r w:rsidRPr="00713B2C">
        <w:rPr>
          <w:rStyle w:val="FootnoteReference"/>
          <w:lang w:val="es-ES_tradnl"/>
        </w:rPr>
        <w:footnoteReference w:id="5"/>
      </w:r>
      <w:r w:rsidRPr="00713B2C">
        <w:rPr>
          <w:lang w:val="es-ES_tradnl"/>
        </w:rPr>
        <w:t>.</w:t>
      </w:r>
    </w:p>
    <w:p w14:paraId="34140CED" w14:textId="77777777" w:rsidR="001B0166" w:rsidRPr="00713B2C" w:rsidRDefault="001B0166" w:rsidP="00655255">
      <w:pPr>
        <w:pStyle w:val="Heading1"/>
        <w:rPr>
          <w:lang w:val="es-ES_tradnl"/>
        </w:rPr>
      </w:pPr>
      <w:r w:rsidRPr="00713B2C">
        <w:rPr>
          <w:lang w:val="es-ES_tradnl"/>
        </w:rPr>
        <w:t>4</w:t>
      </w:r>
      <w:r w:rsidRPr="00713B2C">
        <w:rPr>
          <w:lang w:val="es-ES_tradnl"/>
        </w:rPr>
        <w:tab/>
        <w:t>Principales medidas y resultados</w:t>
      </w:r>
    </w:p>
    <w:p w14:paraId="0040A2F0" w14:textId="77777777" w:rsidR="001B0166" w:rsidRPr="00713B2C" w:rsidRDefault="001B0166" w:rsidP="004D25AB">
      <w:pPr>
        <w:rPr>
          <w:lang w:val="es-ES_tradnl"/>
        </w:rPr>
      </w:pPr>
      <w:r w:rsidRPr="00713B2C">
        <w:rPr>
          <w:lang w:val="es-ES_tradnl"/>
        </w:rPr>
        <w:t>La BDT ha adoptado una serie de medidas estratégicas para promover la colaboración con los Miembros del UIT-D y la participación de los mismos en los trabajos del Sector.</w:t>
      </w:r>
    </w:p>
    <w:p w14:paraId="4AB79110" w14:textId="77777777" w:rsidR="001B0166" w:rsidRPr="00713B2C" w:rsidRDefault="001B0166" w:rsidP="00655255">
      <w:pPr>
        <w:pStyle w:val="Heading2"/>
        <w:rPr>
          <w:lang w:val="es-ES_tradnl"/>
        </w:rPr>
      </w:pPr>
      <w:r w:rsidRPr="00713B2C">
        <w:rPr>
          <w:lang w:val="es-ES_tradnl"/>
        </w:rPr>
        <w:lastRenderedPageBreak/>
        <w:t>4.1</w:t>
      </w:r>
      <w:r w:rsidRPr="00713B2C">
        <w:rPr>
          <w:lang w:val="es-ES_tradnl"/>
        </w:rPr>
        <w:tab/>
        <w:t>Mejora de los instrumentos y servicios de los Miembros de Sector del UIT-D</w:t>
      </w:r>
    </w:p>
    <w:p w14:paraId="7F44FA06" w14:textId="3F1DF457" w:rsidR="001B0166" w:rsidRPr="00713B2C" w:rsidRDefault="001B0166" w:rsidP="004D25AB">
      <w:pPr>
        <w:rPr>
          <w:lang w:val="es-ES_tradnl"/>
        </w:rPr>
      </w:pPr>
      <w:r w:rsidRPr="00713B2C">
        <w:rPr>
          <w:lang w:val="es-ES_tradnl"/>
        </w:rPr>
        <w:t>En estrecha colaboración con el Departamento de Planificación Estratégica y Relaciones con los Miembros, la BDT implantó en el último trimestre de 2019 la utilización de la herramienta</w:t>
      </w:r>
      <w:r w:rsidRPr="00713B2C">
        <w:rPr>
          <w:i/>
          <w:iCs/>
          <w:lang w:val="es-ES_tradnl"/>
        </w:rPr>
        <w:t xml:space="preserve"> Linkedin Sales Navigator</w:t>
      </w:r>
      <w:r w:rsidRPr="00713B2C">
        <w:rPr>
          <w:lang w:val="es-ES_tradnl"/>
        </w:rPr>
        <w:t xml:space="preserve"> para facilitar el acceso a las redes del sector de las TIC, a fin de atraer a un mayor número de entidades interesadas y aumentar la cantidad de miembros del UIT-D.</w:t>
      </w:r>
    </w:p>
    <w:p w14:paraId="1438BB9B" w14:textId="7B339155" w:rsidR="001B0166" w:rsidRPr="00713B2C" w:rsidRDefault="001B0166" w:rsidP="004D25AB">
      <w:pPr>
        <w:rPr>
          <w:lang w:val="es-ES_tradnl"/>
        </w:rPr>
      </w:pPr>
      <w:r w:rsidRPr="00713B2C">
        <w:rPr>
          <w:lang w:val="es-ES_tradnl"/>
        </w:rPr>
        <w:t xml:space="preserve">Con miras a atraer a nuevos miembros del UIT-D y facilitar su adhesión, se diseñaron y desarrollaron a tal efecto dos conjuntos de herramientas que se utilizan actualmente. El </w:t>
      </w:r>
      <w:r w:rsidR="00803384">
        <w:rPr>
          <w:lang w:val="es-ES_tradnl"/>
        </w:rPr>
        <w:t>"</w:t>
      </w:r>
      <w:r w:rsidRPr="00713B2C">
        <w:rPr>
          <w:lang w:val="es-ES_tradnl"/>
        </w:rPr>
        <w:t>Conjunto de herramientas informativas</w:t>
      </w:r>
      <w:r w:rsidR="00803384">
        <w:rPr>
          <w:lang w:val="es-ES_tradnl"/>
        </w:rPr>
        <w:t>"</w:t>
      </w:r>
      <w:r w:rsidRPr="00713B2C">
        <w:rPr>
          <w:lang w:val="es-ES_tradnl"/>
        </w:rPr>
        <w:t xml:space="preserve">, destinado a miembros interesados en adherirse al UIT-D, permite dar a conocer la labor del UIT-D y presenta las oportunidades y ventajas que brinda dicha adhesión. El </w:t>
      </w:r>
      <w:r w:rsidR="00803384">
        <w:rPr>
          <w:lang w:val="es-ES_tradnl"/>
        </w:rPr>
        <w:t>"</w:t>
      </w:r>
      <w:r w:rsidRPr="00713B2C">
        <w:rPr>
          <w:lang w:val="es-ES_tradnl"/>
        </w:rPr>
        <w:t>Conjunto de herramientas de bienvenida" proporciona información práctica a miembros de reciente incorporación, con objeto de que puedan aprovechar las ventajas de su condición de miembro.</w:t>
      </w:r>
    </w:p>
    <w:p w14:paraId="5F81F3DC" w14:textId="0B1DBB7F" w:rsidR="001B0166" w:rsidRPr="00713B2C" w:rsidRDefault="001B0166" w:rsidP="004D25AB">
      <w:pPr>
        <w:rPr>
          <w:lang w:val="es-ES_tradnl"/>
        </w:rPr>
      </w:pPr>
      <w:r w:rsidRPr="00713B2C">
        <w:rPr>
          <w:lang w:val="es-ES_tradnl"/>
        </w:rPr>
        <w:t xml:space="preserve">La BDT organizó en marzo de 2019 un </w:t>
      </w:r>
      <w:r w:rsidRPr="00713B2C">
        <w:rPr>
          <w:b/>
          <w:bCs/>
          <w:lang w:val="es-ES_tradnl"/>
        </w:rPr>
        <w:t>taller de creación conjunta</w:t>
      </w:r>
      <w:r w:rsidRPr="00713B2C">
        <w:rPr>
          <w:lang w:val="es-ES_tradnl"/>
        </w:rPr>
        <w:t xml:space="preserve"> </w:t>
      </w:r>
      <w:r w:rsidRPr="00713B2C">
        <w:rPr>
          <w:b/>
          <w:bCs/>
          <w:lang w:val="es-ES_tradnl"/>
        </w:rPr>
        <w:t>destinado a instituciones académicas,</w:t>
      </w:r>
      <w:r w:rsidRPr="00713B2C">
        <w:rPr>
          <w:lang w:val="es-ES_tradnl"/>
        </w:rPr>
        <w:t xml:space="preserve"> con objeto de tener una comprensión más cabal de las necesidades y expectativas de las instituciones académicas y de investigación afiliadas a la UIT. El sector académico y los coordinadores de la BDT, entre otras partes interesadas, intercambiaron información sobre estudios de caso satisfactorios y propusieron nuevas esferas de colaboración, incluida la contribución del sector académico a la Gaceta de la UIT, a la labor de las Comisiones de Estudio de la UIT y a la plataforma </w:t>
      </w:r>
      <w:r w:rsidR="00231E5F">
        <w:rPr>
          <w:lang w:val="es-ES_tradnl"/>
        </w:rPr>
        <w:t xml:space="preserve">de la </w:t>
      </w:r>
      <w:r w:rsidRPr="00713B2C">
        <w:rPr>
          <w:lang w:val="es-ES_tradnl"/>
        </w:rPr>
        <w:t xml:space="preserve">Academia de la UIT en la BDT. El informe puede consultarse </w:t>
      </w:r>
      <w:hyperlink r:id="rId9" w:history="1">
        <w:r w:rsidRPr="00713B2C">
          <w:rPr>
            <w:rStyle w:val="Hyperlink"/>
            <w:rFonts w:cs="Segoe UI"/>
            <w:szCs w:val="24"/>
            <w:lang w:val="es-ES_tradnl"/>
          </w:rPr>
          <w:t>a través de la siguiente dirección web</w:t>
        </w:r>
      </w:hyperlink>
      <w:r w:rsidRPr="00713B2C">
        <w:rPr>
          <w:lang w:val="es-ES_tradnl"/>
        </w:rPr>
        <w:t>.</w:t>
      </w:r>
    </w:p>
    <w:p w14:paraId="177534DD" w14:textId="3C13CE7B" w:rsidR="001B0166" w:rsidRPr="00713B2C" w:rsidRDefault="001B0166" w:rsidP="004D25AB">
      <w:pPr>
        <w:rPr>
          <w:lang w:val="es-ES_tradnl"/>
        </w:rPr>
      </w:pPr>
      <w:r w:rsidRPr="00713B2C">
        <w:rPr>
          <w:lang w:val="es-ES_tradnl"/>
        </w:rPr>
        <w:t>La BDT también celebró consultas bilaterales con instituciones académicas durante los eventos y las reuniones de la UIT a lo largo de 2019 para fomentar la participación del sector académico en la labor del UIT-D.</w:t>
      </w:r>
    </w:p>
    <w:p w14:paraId="0679B205" w14:textId="77777777" w:rsidR="001B0166" w:rsidRPr="00713B2C" w:rsidRDefault="001B0166" w:rsidP="00655255">
      <w:pPr>
        <w:pStyle w:val="Heading2"/>
        <w:rPr>
          <w:lang w:val="es-ES_tradnl"/>
        </w:rPr>
      </w:pPr>
      <w:r w:rsidRPr="00713B2C">
        <w:rPr>
          <w:lang w:val="es-ES_tradnl"/>
        </w:rPr>
        <w:t>4.2</w:t>
      </w:r>
      <w:r w:rsidRPr="00713B2C">
        <w:rPr>
          <w:lang w:val="es-ES_tradnl"/>
        </w:rPr>
        <w:tab/>
        <w:t>Aplicación de la Resolución 71 (Rev. Buenos Aires, 2017)</w:t>
      </w:r>
    </w:p>
    <w:p w14:paraId="05AF11FB" w14:textId="5EE51190" w:rsidR="001B0166" w:rsidRPr="00713B2C" w:rsidRDefault="001B0166" w:rsidP="004D25AB">
      <w:pPr>
        <w:rPr>
          <w:lang w:val="es-ES_tradnl"/>
        </w:rPr>
      </w:pPr>
      <w:r w:rsidRPr="00713B2C">
        <w:rPr>
          <w:lang w:val="es-ES_tradnl"/>
        </w:rPr>
        <w:t>La BDT ha llevado a cabo una serie de actividades de conformidad con la Resolución 71 (Rev. Buenos Aires, 2017) de la CMDT-17, en relación con el fortalecimiento de la cooperación entre los Estados Miembros, los Miembros de Sector, los Asociados y las instituciones académicas del UIT-D, en particular en el sector privado.</w:t>
      </w:r>
    </w:p>
    <w:p w14:paraId="28518B73" w14:textId="24D04D93" w:rsidR="001B0166" w:rsidRPr="00713B2C" w:rsidRDefault="001B0166" w:rsidP="004D25AB">
      <w:pPr>
        <w:rPr>
          <w:lang w:val="es-ES_tradnl"/>
        </w:rPr>
      </w:pPr>
      <w:r w:rsidRPr="00713B2C">
        <w:rPr>
          <w:lang w:val="es-ES_tradnl"/>
        </w:rPr>
        <w:t xml:space="preserve">En 2018, el Grupo Asesor de la Industria para Cuestiones de Desarrollo (IAGDI) celebró su primera reunión de forma conjunta con la de los Directores de Reglamentación del Sector Privado, en el marco del Simposio Mundial para Organismos Reguladores (GSR-18). En la reunión del IAGDI se pidieron medidas concretas para facilitar el acceso a la conectividad de manera sostenible mediante el fomento de la inclusividad, el despliegue de infraestructuras, la adopción de la banda ancha y un entorno que facilite las actividades de innovación. A raíz de ello, los Directores de Reglamentación del Sector Privado convocaron una reunión el 9 de julio de 2019 en el marco del Simposio Mundial para Organismos Reguladores (GSR-19). Más de 100 representantes de alto nivel del sector industrial determinaron las prácticas idóneas para fomentar la conectividad digital y poner al alcance de la población de todo el mundo las ventajas que brinda la transformación digital, incluida su participación en la economía digital (véase el </w:t>
      </w:r>
      <w:hyperlink r:id="rId10" w:history="1">
        <w:r w:rsidRPr="00713B2C">
          <w:rPr>
            <w:rStyle w:val="Hyperlink"/>
            <w:lang w:val="es-ES_tradnl"/>
          </w:rPr>
          <w:t>Informe del Presidente del Grupo de Directores de Reglamentación del Sector Privado</w:t>
        </w:r>
      </w:hyperlink>
      <w:r w:rsidRPr="00713B2C">
        <w:rPr>
          <w:lang w:val="es-ES_tradnl"/>
        </w:rPr>
        <w:t>).</w:t>
      </w:r>
    </w:p>
    <w:p w14:paraId="5B5F7645" w14:textId="77777777" w:rsidR="001B0166" w:rsidRPr="00713B2C" w:rsidRDefault="001B0166" w:rsidP="004D25AB">
      <w:pPr>
        <w:rPr>
          <w:lang w:val="es-ES_tradnl"/>
        </w:rPr>
      </w:pPr>
      <w:r w:rsidRPr="00713B2C">
        <w:rPr>
          <w:lang w:val="es-ES_tradnl"/>
        </w:rPr>
        <w:t xml:space="preserve">El IAGDI y los Directores de Reglamentación del Sector Privado celebrarán reuniones conjuntas a partir de ahora en varios eventos, en particular </w:t>
      </w:r>
      <w:r w:rsidRPr="00713B2C">
        <w:rPr>
          <w:i/>
          <w:iCs/>
          <w:lang w:val="es-ES_tradnl"/>
        </w:rPr>
        <w:t>ITU Telecom World</w:t>
      </w:r>
      <w:r w:rsidRPr="00713B2C">
        <w:rPr>
          <w:lang w:val="es-ES_tradnl"/>
        </w:rPr>
        <w:t>, el Simposio Mundial para Organismos Reguladores y eventos estratégicos que no organice la UIT.</w:t>
      </w:r>
    </w:p>
    <w:p w14:paraId="78491772" w14:textId="77777777" w:rsidR="001B0166" w:rsidRPr="00713B2C" w:rsidRDefault="001B0166" w:rsidP="00655255">
      <w:pPr>
        <w:pStyle w:val="Heading2"/>
        <w:rPr>
          <w:lang w:val="es-ES_tradnl"/>
        </w:rPr>
      </w:pPr>
      <w:r w:rsidRPr="00713B2C">
        <w:rPr>
          <w:lang w:val="es-ES_tradnl"/>
        </w:rPr>
        <w:lastRenderedPageBreak/>
        <w:t>4.3</w:t>
      </w:r>
      <w:r w:rsidRPr="00713B2C">
        <w:rPr>
          <w:lang w:val="es-ES_tradnl"/>
        </w:rPr>
        <w:tab/>
        <w:t>Consultas con los Miembros de Sector del UIT-D</w:t>
      </w:r>
    </w:p>
    <w:p w14:paraId="27155D36" w14:textId="14DF99BB" w:rsidR="001B0166" w:rsidRPr="00713B2C" w:rsidRDefault="001B0166" w:rsidP="004D25AB">
      <w:pPr>
        <w:rPr>
          <w:lang w:val="es-ES_tradnl"/>
        </w:rPr>
      </w:pPr>
      <w:r w:rsidRPr="00713B2C">
        <w:rPr>
          <w:lang w:val="es-ES_tradnl"/>
        </w:rPr>
        <w:t xml:space="preserve">En 2019, el Director de la BDT inició una serie de consultas con los miembros del UIT-D para estudiar la forma de mantener la adhesión de los miembros y atraer a nuevos. En particular, en el marco de </w:t>
      </w:r>
      <w:r w:rsidRPr="00713B2C">
        <w:rPr>
          <w:i/>
          <w:iCs/>
          <w:lang w:val="es-ES_tradnl"/>
        </w:rPr>
        <w:t>ITU Telecom World 2019</w:t>
      </w:r>
      <w:r w:rsidRPr="00713B2C">
        <w:rPr>
          <w:lang w:val="es-ES_tradnl"/>
        </w:rPr>
        <w:t xml:space="preserve"> se organizó una </w:t>
      </w:r>
      <w:r w:rsidRPr="00713B2C">
        <w:rPr>
          <w:b/>
          <w:bCs/>
          <w:i/>
          <w:iCs/>
          <w:lang w:val="es-ES_tradnl"/>
        </w:rPr>
        <w:t>reunión especial sobre los miembros del UIT-D</w:t>
      </w:r>
      <w:r w:rsidRPr="00713B2C">
        <w:rPr>
          <w:lang w:val="es-ES_tradnl"/>
        </w:rPr>
        <w:t xml:space="preserve"> para obtener información y aportaciones de los miembros en relación con sus expectativas, las lagunas existentes entre estas y los servicios que realmente se les presta, y nuevas propuestas sobre cómo sacar más provecho de su afiliación.</w:t>
      </w:r>
    </w:p>
    <w:p w14:paraId="79A5B090" w14:textId="77777777" w:rsidR="001B0166" w:rsidRPr="00713B2C" w:rsidRDefault="001B0166" w:rsidP="004D25AB">
      <w:pPr>
        <w:rPr>
          <w:lang w:val="es-ES_tradnl"/>
        </w:rPr>
      </w:pPr>
      <w:r w:rsidRPr="00713B2C">
        <w:rPr>
          <w:lang w:val="es-ES_tradnl"/>
        </w:rPr>
        <w:t>Está previsto que se celebren reuniones consultivas sobre los miembros del UIT-D con ocasión de las reuniones de las Comisiones de Estudio del UIT-D, que tendrán lugar en Ginebra (Suiza) el 19 de febrero y el 26 de marzo de 2020, en el marco del GADT.</w:t>
      </w:r>
    </w:p>
    <w:p w14:paraId="64737D3F" w14:textId="77777777" w:rsidR="001B0166" w:rsidRPr="00713B2C" w:rsidRDefault="001B0166" w:rsidP="003F725D">
      <w:pPr>
        <w:pStyle w:val="Heading1"/>
        <w:rPr>
          <w:lang w:val="es-ES_tradnl"/>
        </w:rPr>
      </w:pPr>
      <w:r w:rsidRPr="00713B2C">
        <w:rPr>
          <w:lang w:val="es-ES_tradnl"/>
        </w:rPr>
        <w:t>5</w:t>
      </w:r>
      <w:r w:rsidRPr="00713B2C">
        <w:rPr>
          <w:lang w:val="es-ES_tradnl"/>
        </w:rPr>
        <w:tab/>
        <w:t>Medidas futuras</w:t>
      </w:r>
    </w:p>
    <w:p w14:paraId="3D98BA52" w14:textId="77777777" w:rsidR="001B0166" w:rsidRPr="00713B2C" w:rsidRDefault="001B0166" w:rsidP="004D25AB">
      <w:pPr>
        <w:rPr>
          <w:lang w:val="es-ES_tradnl"/>
        </w:rPr>
      </w:pPr>
      <w:r w:rsidRPr="00713B2C">
        <w:rPr>
          <w:lang w:val="es-ES_tradnl"/>
        </w:rPr>
        <w:t>La BDT seguirá haciendo hincapié en nuevos enfoques para mejorar la participación y la colaboración con los miembros y sus redes de contactos, con objeto de:</w:t>
      </w:r>
    </w:p>
    <w:p w14:paraId="2730ACDD" w14:textId="44BEAE87" w:rsidR="001B0166" w:rsidRPr="00713B2C" w:rsidRDefault="001B0166" w:rsidP="00526F96">
      <w:pPr>
        <w:pStyle w:val="enumlev1"/>
        <w:rPr>
          <w:lang w:val="es-ES_tradnl"/>
        </w:rPr>
      </w:pPr>
      <w:r w:rsidRPr="00713B2C">
        <w:rPr>
          <w:lang w:val="es-ES_tradnl"/>
        </w:rPr>
        <w:t>a)</w:t>
      </w:r>
      <w:r w:rsidR="004D25AB" w:rsidRPr="00713B2C">
        <w:rPr>
          <w:lang w:val="es-ES_tradnl"/>
        </w:rPr>
        <w:tab/>
      </w:r>
      <w:r w:rsidRPr="00713B2C">
        <w:rPr>
          <w:lang w:val="es-ES_tradnl"/>
        </w:rPr>
        <w:t>aumentar la cantidad de miembros, al tiempo que se mantiene la adhesión de los existentes, con arreglo a la visión y los objetivos de la BDT;</w:t>
      </w:r>
    </w:p>
    <w:p w14:paraId="1164624B" w14:textId="70719C1E" w:rsidR="001B0166" w:rsidRPr="00713B2C" w:rsidRDefault="001B0166" w:rsidP="00526F96">
      <w:pPr>
        <w:pStyle w:val="enumlev1"/>
        <w:rPr>
          <w:lang w:val="es-ES_tradnl"/>
        </w:rPr>
      </w:pPr>
      <w:r w:rsidRPr="00713B2C">
        <w:rPr>
          <w:lang w:val="es-ES_tradnl"/>
        </w:rPr>
        <w:t>b)</w:t>
      </w:r>
      <w:r w:rsidR="004D25AB" w:rsidRPr="00713B2C">
        <w:rPr>
          <w:lang w:val="es-ES_tradnl"/>
        </w:rPr>
        <w:tab/>
      </w:r>
      <w:r w:rsidRPr="00713B2C">
        <w:rPr>
          <w:lang w:val="es-ES_tradnl"/>
        </w:rPr>
        <w:t>promover la participación de los miembros en las actividades y los eventos del UIT-D y optimizar su contribución al Programa de Desarrollo Sostenible de 2030;</w:t>
      </w:r>
    </w:p>
    <w:p w14:paraId="531BA013" w14:textId="143E31DF" w:rsidR="001B0166" w:rsidRPr="00713B2C" w:rsidRDefault="001B0166" w:rsidP="00526F96">
      <w:pPr>
        <w:pStyle w:val="enumlev1"/>
        <w:rPr>
          <w:lang w:val="es-ES_tradnl"/>
        </w:rPr>
      </w:pPr>
      <w:r w:rsidRPr="00713B2C">
        <w:rPr>
          <w:lang w:val="es-ES_tradnl"/>
        </w:rPr>
        <w:t>c)</w:t>
      </w:r>
      <w:r w:rsidR="004D25AB" w:rsidRPr="00713B2C">
        <w:rPr>
          <w:lang w:val="es-ES_tradnl"/>
        </w:rPr>
        <w:tab/>
      </w:r>
      <w:r w:rsidRPr="00713B2C">
        <w:rPr>
          <w:lang w:val="es-ES_tradnl"/>
        </w:rPr>
        <w:t>fomentar las oportunidades de asociación con los actuales miembros con el fin de facilitar una financiación conjunta de los proyectos, incluidas las iniciativas regionales; y</w:t>
      </w:r>
    </w:p>
    <w:p w14:paraId="65D8E805" w14:textId="323EC19C" w:rsidR="001B0166" w:rsidRPr="00713B2C" w:rsidRDefault="001B0166" w:rsidP="00526F96">
      <w:pPr>
        <w:pStyle w:val="enumlev1"/>
        <w:rPr>
          <w:lang w:val="es-ES_tradnl"/>
        </w:rPr>
      </w:pPr>
      <w:r w:rsidRPr="00713B2C">
        <w:rPr>
          <w:lang w:val="es-ES_tradnl"/>
        </w:rPr>
        <w:t>d)</w:t>
      </w:r>
      <w:r w:rsidR="004D25AB" w:rsidRPr="00713B2C">
        <w:rPr>
          <w:lang w:val="es-ES_tradnl"/>
        </w:rPr>
        <w:tab/>
      </w:r>
      <w:r w:rsidRPr="00713B2C">
        <w:rPr>
          <w:lang w:val="es-ES_tradnl"/>
        </w:rPr>
        <w:t>seguir mejorando los instrumentos y servicios que faciliten la participación de los miembros</w:t>
      </w:r>
      <w:r w:rsidRPr="00713B2C">
        <w:rPr>
          <w:spacing w:val="-2"/>
          <w:lang w:val="es-ES_tradnl"/>
        </w:rPr>
        <w:t>.</w:t>
      </w:r>
    </w:p>
    <w:p w14:paraId="2C963C2A" w14:textId="77777777" w:rsidR="004D25AB" w:rsidRPr="00713B2C" w:rsidRDefault="004D25AB" w:rsidP="00411C49">
      <w:pPr>
        <w:pStyle w:val="Reasons"/>
        <w:rPr>
          <w:lang w:val="es-ES_tradnl"/>
        </w:rPr>
      </w:pPr>
    </w:p>
    <w:p w14:paraId="1A8EDD78" w14:textId="77777777" w:rsidR="004D25AB" w:rsidRPr="00713B2C" w:rsidRDefault="004D25AB">
      <w:pPr>
        <w:jc w:val="center"/>
        <w:rPr>
          <w:lang w:val="es-ES_tradnl"/>
        </w:rPr>
      </w:pPr>
      <w:r w:rsidRPr="00713B2C">
        <w:rPr>
          <w:lang w:val="es-ES_tradnl"/>
        </w:rPr>
        <w:t>______________</w:t>
      </w:r>
    </w:p>
    <w:sectPr w:rsidR="004D25AB" w:rsidRPr="00713B2C" w:rsidSect="004B7893">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09077" w14:textId="77777777" w:rsidR="001B0166" w:rsidRDefault="001B0166" w:rsidP="0088106F">
      <w:r>
        <w:separator/>
      </w:r>
    </w:p>
  </w:endnote>
  <w:endnote w:type="continuationSeparator" w:id="0">
    <w:p w14:paraId="5BFF17BF" w14:textId="77777777" w:rsidR="001B0166" w:rsidRDefault="001B0166"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A43" w14:textId="31B04C40" w:rsidR="0088106F" w:rsidRPr="00713B2C" w:rsidRDefault="00713B2C" w:rsidP="00713B2C">
    <w:pPr>
      <w:pStyle w:val="Footer"/>
      <w:rPr>
        <w:szCs w:val="16"/>
      </w:rPr>
    </w:pPr>
    <w:r w:rsidRPr="00713B2C">
      <w:rPr>
        <w:szCs w:val="16"/>
      </w:rPr>
      <w:fldChar w:fldCharType="begin"/>
    </w:r>
    <w:r w:rsidRPr="00713B2C">
      <w:rPr>
        <w:szCs w:val="16"/>
      </w:rPr>
      <w:instrText xml:space="preserve"> FILENAME \p  \* MERGEFORMAT </w:instrText>
    </w:r>
    <w:r w:rsidRPr="00713B2C">
      <w:rPr>
        <w:szCs w:val="16"/>
      </w:rPr>
      <w:fldChar w:fldCharType="separate"/>
    </w:r>
    <w:r w:rsidR="00AA3EA6">
      <w:rPr>
        <w:szCs w:val="16"/>
      </w:rPr>
      <w:t>P:\ESP\ITU-D\CONF-D\TDAG20\000\011S.docx</w:t>
    </w:r>
    <w:r w:rsidRPr="00713B2C">
      <w:rPr>
        <w:szCs w:val="16"/>
      </w:rPr>
      <w:fldChar w:fldCharType="end"/>
    </w:r>
    <w:r w:rsidRPr="00713B2C">
      <w:rPr>
        <w:szCs w:val="16"/>
      </w:rPr>
      <w:t xml:space="preserve"> (465658)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134"/>
      <w:gridCol w:w="2552"/>
      <w:gridCol w:w="6237"/>
    </w:tblGrid>
    <w:tr w:rsidR="009D1BD4" w:rsidRPr="00D80F60" w14:paraId="4839980B" w14:textId="77777777" w:rsidTr="004E3CF5">
      <w:tc>
        <w:tcPr>
          <w:tcW w:w="1134" w:type="dxa"/>
          <w:tcBorders>
            <w:top w:val="single" w:sz="4" w:space="0" w:color="000000"/>
          </w:tcBorders>
          <w:shd w:val="clear" w:color="auto" w:fill="auto"/>
        </w:tcPr>
        <w:p w14:paraId="75D3F79F" w14:textId="77777777" w:rsidR="009D1BD4" w:rsidRPr="001B0166" w:rsidRDefault="009D1BD4" w:rsidP="009D1BD4">
          <w:pPr>
            <w:pStyle w:val="FirstFooter"/>
            <w:tabs>
              <w:tab w:val="left" w:pos="1559"/>
              <w:tab w:val="left" w:pos="3828"/>
            </w:tabs>
            <w:rPr>
              <w:sz w:val="18"/>
              <w:szCs w:val="18"/>
              <w:lang w:val="es-ES_tradnl"/>
            </w:rPr>
          </w:pPr>
          <w:r w:rsidRPr="001B0166">
            <w:rPr>
              <w:sz w:val="18"/>
              <w:szCs w:val="18"/>
              <w:lang w:val="es-ES_tradnl"/>
            </w:rPr>
            <w:t>Contacto:</w:t>
          </w:r>
        </w:p>
      </w:tc>
      <w:tc>
        <w:tcPr>
          <w:tcW w:w="2552" w:type="dxa"/>
          <w:tcBorders>
            <w:top w:val="single" w:sz="4" w:space="0" w:color="000000"/>
          </w:tcBorders>
          <w:shd w:val="clear" w:color="auto" w:fill="auto"/>
        </w:tcPr>
        <w:p w14:paraId="5FCF78C9" w14:textId="77777777" w:rsidR="009D1BD4" w:rsidRPr="001B0166" w:rsidRDefault="009D1BD4" w:rsidP="009D1BD4">
          <w:pPr>
            <w:pStyle w:val="FirstFooter"/>
            <w:tabs>
              <w:tab w:val="left" w:pos="2302"/>
            </w:tabs>
            <w:ind w:left="2302" w:hanging="2302"/>
            <w:rPr>
              <w:sz w:val="18"/>
              <w:szCs w:val="18"/>
              <w:lang w:val="es-ES_tradnl"/>
            </w:rPr>
          </w:pPr>
          <w:r w:rsidRPr="001B0166">
            <w:rPr>
              <w:sz w:val="18"/>
              <w:szCs w:val="18"/>
              <w:lang w:val="es-ES_tradnl"/>
            </w:rPr>
            <w:t>Nombre/Organización/Entidad:</w:t>
          </w:r>
        </w:p>
      </w:tc>
      <w:tc>
        <w:tcPr>
          <w:tcW w:w="6237" w:type="dxa"/>
          <w:tcBorders>
            <w:top w:val="single" w:sz="4" w:space="0" w:color="000000"/>
          </w:tcBorders>
          <w:shd w:val="clear" w:color="auto" w:fill="auto"/>
        </w:tcPr>
        <w:p w14:paraId="355991C2" w14:textId="7F43DCB3" w:rsidR="009D1BD4" w:rsidRPr="001B0166" w:rsidRDefault="001B0166" w:rsidP="001B0166">
          <w:pPr>
            <w:pStyle w:val="FirstFooter"/>
            <w:tabs>
              <w:tab w:val="left" w:pos="2302"/>
            </w:tabs>
            <w:rPr>
              <w:sz w:val="18"/>
              <w:szCs w:val="18"/>
              <w:lang w:val="es-ES_tradnl"/>
            </w:rPr>
          </w:pPr>
          <w:bookmarkStart w:id="7" w:name="OrgName"/>
          <w:bookmarkEnd w:id="7"/>
          <w:r w:rsidRPr="001B0166">
            <w:rPr>
              <w:sz w:val="18"/>
              <w:szCs w:val="18"/>
              <w:lang w:val="es-ES_tradnl"/>
            </w:rPr>
            <w:t>Dr. Cosmas Zavazava, Director del Departamento de asociaciones para el desarrollo digital, Oficina de Desarrollo de las Telecomunicaciones</w:t>
          </w:r>
        </w:p>
      </w:tc>
    </w:tr>
    <w:tr w:rsidR="009D1BD4" w:rsidRPr="004D495C" w14:paraId="3DFBC38E" w14:textId="77777777" w:rsidTr="004E3CF5">
      <w:tc>
        <w:tcPr>
          <w:tcW w:w="1134" w:type="dxa"/>
          <w:shd w:val="clear" w:color="auto" w:fill="auto"/>
        </w:tcPr>
        <w:p w14:paraId="648AAC4B" w14:textId="77777777" w:rsidR="009D1BD4" w:rsidRPr="001B0166" w:rsidRDefault="009D1BD4" w:rsidP="009D1BD4">
          <w:pPr>
            <w:pStyle w:val="FirstFooter"/>
            <w:tabs>
              <w:tab w:val="left" w:pos="1559"/>
              <w:tab w:val="left" w:pos="3828"/>
            </w:tabs>
            <w:rPr>
              <w:sz w:val="20"/>
              <w:lang w:val="es-ES_tradnl"/>
            </w:rPr>
          </w:pPr>
        </w:p>
      </w:tc>
      <w:tc>
        <w:tcPr>
          <w:tcW w:w="2552" w:type="dxa"/>
          <w:shd w:val="clear" w:color="auto" w:fill="auto"/>
        </w:tcPr>
        <w:p w14:paraId="3700B255" w14:textId="77777777" w:rsidR="009D1BD4" w:rsidRPr="001B0166" w:rsidRDefault="009D1BD4" w:rsidP="009D1BD4">
          <w:pPr>
            <w:pStyle w:val="FirstFooter"/>
            <w:tabs>
              <w:tab w:val="left" w:pos="2302"/>
            </w:tabs>
            <w:rPr>
              <w:sz w:val="18"/>
              <w:szCs w:val="18"/>
              <w:lang w:val="es-ES_tradnl"/>
            </w:rPr>
          </w:pPr>
          <w:r w:rsidRPr="001B0166">
            <w:rPr>
              <w:sz w:val="18"/>
              <w:szCs w:val="18"/>
              <w:lang w:val="es-ES_tradnl"/>
            </w:rPr>
            <w:t>Teléfono:</w:t>
          </w:r>
        </w:p>
      </w:tc>
      <w:tc>
        <w:tcPr>
          <w:tcW w:w="6237" w:type="dxa"/>
          <w:shd w:val="clear" w:color="auto" w:fill="auto"/>
        </w:tcPr>
        <w:p w14:paraId="30C62EBD" w14:textId="2F4EEADC" w:rsidR="009D1BD4" w:rsidRPr="001B0166" w:rsidRDefault="001B0166" w:rsidP="009D1BD4">
          <w:pPr>
            <w:pStyle w:val="FirstFooter"/>
            <w:tabs>
              <w:tab w:val="left" w:pos="2302"/>
            </w:tabs>
            <w:rPr>
              <w:sz w:val="18"/>
              <w:szCs w:val="18"/>
              <w:lang w:val="es-ES_tradnl"/>
            </w:rPr>
          </w:pPr>
          <w:bookmarkStart w:id="8" w:name="PhoneNo"/>
          <w:bookmarkEnd w:id="8"/>
          <w:r w:rsidRPr="001B0166">
            <w:rPr>
              <w:sz w:val="18"/>
              <w:szCs w:val="18"/>
              <w:lang w:val="es-ES_tradnl"/>
            </w:rPr>
            <w:t>+41 22 730 5447</w:t>
          </w:r>
        </w:p>
      </w:tc>
    </w:tr>
    <w:tr w:rsidR="009D1BD4" w:rsidRPr="004D495C" w14:paraId="719E45CD" w14:textId="77777777" w:rsidTr="004E3CF5">
      <w:tc>
        <w:tcPr>
          <w:tcW w:w="1134" w:type="dxa"/>
          <w:shd w:val="clear" w:color="auto" w:fill="auto"/>
        </w:tcPr>
        <w:p w14:paraId="7E89EF94" w14:textId="77777777" w:rsidR="009D1BD4" w:rsidRPr="001B0166" w:rsidRDefault="009D1BD4" w:rsidP="009D1BD4">
          <w:pPr>
            <w:pStyle w:val="FirstFooter"/>
            <w:tabs>
              <w:tab w:val="left" w:pos="1559"/>
              <w:tab w:val="left" w:pos="3828"/>
            </w:tabs>
            <w:rPr>
              <w:sz w:val="20"/>
              <w:lang w:val="es-ES_tradnl"/>
            </w:rPr>
          </w:pPr>
        </w:p>
      </w:tc>
      <w:tc>
        <w:tcPr>
          <w:tcW w:w="2552" w:type="dxa"/>
          <w:shd w:val="clear" w:color="auto" w:fill="auto"/>
        </w:tcPr>
        <w:p w14:paraId="0CB90E89" w14:textId="77777777" w:rsidR="009D1BD4" w:rsidRPr="001B0166" w:rsidRDefault="009D1BD4" w:rsidP="009D1BD4">
          <w:pPr>
            <w:pStyle w:val="FirstFooter"/>
            <w:tabs>
              <w:tab w:val="left" w:pos="2302"/>
            </w:tabs>
            <w:rPr>
              <w:sz w:val="18"/>
              <w:szCs w:val="18"/>
              <w:lang w:val="es-ES_tradnl"/>
            </w:rPr>
          </w:pPr>
          <w:r w:rsidRPr="001B0166">
            <w:rPr>
              <w:sz w:val="18"/>
              <w:szCs w:val="18"/>
              <w:lang w:val="es-ES_tradnl"/>
            </w:rPr>
            <w:t>Correo-e:</w:t>
          </w:r>
        </w:p>
      </w:tc>
      <w:bookmarkStart w:id="9" w:name="Email"/>
      <w:bookmarkEnd w:id="9"/>
      <w:tc>
        <w:tcPr>
          <w:tcW w:w="6237" w:type="dxa"/>
          <w:shd w:val="clear" w:color="auto" w:fill="auto"/>
        </w:tcPr>
        <w:p w14:paraId="326F445C" w14:textId="5A332706" w:rsidR="009D1BD4" w:rsidRPr="001B0166" w:rsidRDefault="001B0166" w:rsidP="009D1BD4">
          <w:pPr>
            <w:pStyle w:val="FirstFooter"/>
            <w:tabs>
              <w:tab w:val="left" w:pos="2302"/>
            </w:tabs>
            <w:rPr>
              <w:sz w:val="18"/>
              <w:szCs w:val="18"/>
              <w:lang w:val="es-ES_tradnl"/>
            </w:rPr>
          </w:pPr>
          <w:r w:rsidRPr="001B0166">
            <w:rPr>
              <w:sz w:val="18"/>
              <w:szCs w:val="18"/>
              <w:lang w:val="es-ES_tradnl"/>
            </w:rPr>
            <w:fldChar w:fldCharType="begin"/>
          </w:r>
          <w:r w:rsidRPr="001B0166">
            <w:rPr>
              <w:sz w:val="18"/>
              <w:szCs w:val="18"/>
              <w:lang w:val="es-ES_tradnl"/>
            </w:rPr>
            <w:instrText xml:space="preserve"> HYPERLINK "mailto:zavazava@itu.int" </w:instrText>
          </w:r>
          <w:r w:rsidRPr="001B0166">
            <w:rPr>
              <w:sz w:val="18"/>
              <w:szCs w:val="18"/>
              <w:lang w:val="es-ES_tradnl"/>
            </w:rPr>
            <w:fldChar w:fldCharType="separate"/>
          </w:r>
          <w:r w:rsidRPr="001B0166">
            <w:rPr>
              <w:rStyle w:val="Hyperlink"/>
              <w:sz w:val="18"/>
              <w:szCs w:val="18"/>
              <w:lang w:val="es-ES_tradnl"/>
            </w:rPr>
            <w:t>zavazava@itu.int</w:t>
          </w:r>
          <w:r w:rsidRPr="001B0166">
            <w:rPr>
              <w:sz w:val="18"/>
              <w:szCs w:val="18"/>
              <w:lang w:val="es-ES_tradnl"/>
            </w:rPr>
            <w:fldChar w:fldCharType="end"/>
          </w:r>
        </w:p>
      </w:tc>
    </w:tr>
  </w:tbl>
  <w:p w14:paraId="5FE8B525" w14:textId="77777777" w:rsidR="009D1BD4" w:rsidRDefault="009D1BD4" w:rsidP="006E4AB3">
    <w:pPr>
      <w:tabs>
        <w:tab w:val="clear" w:pos="794"/>
        <w:tab w:val="clear" w:pos="1191"/>
        <w:tab w:val="clear" w:pos="1588"/>
        <w:tab w:val="clear" w:pos="1985"/>
        <w:tab w:val="left" w:pos="5954"/>
        <w:tab w:val="right" w:pos="9639"/>
      </w:tabs>
      <w:spacing w:before="0"/>
      <w:jc w:val="center"/>
    </w:pPr>
  </w:p>
  <w:p w14:paraId="7D7A2707" w14:textId="77777777" w:rsidR="006E4AB3" w:rsidRPr="006E4AB3" w:rsidRDefault="00AD6F4E"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1" w:history="1">
      <w:r w:rsidR="00225D2E">
        <w:rPr>
          <w:rFonts w:ascii="Calibri" w:hAnsi="Calibri"/>
          <w:color w:val="0000FF"/>
          <w:sz w:val="18"/>
          <w:szCs w:val="18"/>
          <w:u w:val="single"/>
        </w:rPr>
        <w:t>GADT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4FB58" w14:textId="77777777" w:rsidR="001B0166" w:rsidRDefault="001B0166" w:rsidP="0088106F">
      <w:r>
        <w:separator/>
      </w:r>
    </w:p>
  </w:footnote>
  <w:footnote w:type="continuationSeparator" w:id="0">
    <w:p w14:paraId="7C0D7797" w14:textId="77777777" w:rsidR="001B0166" w:rsidRDefault="001B0166" w:rsidP="0088106F">
      <w:r>
        <w:continuationSeparator/>
      </w:r>
    </w:p>
  </w:footnote>
  <w:footnote w:id="1">
    <w:p w14:paraId="09BC59AD" w14:textId="0DBFB938" w:rsidR="001B0166" w:rsidRPr="002A52E4" w:rsidRDefault="001B0166" w:rsidP="006F3EBD">
      <w:pPr>
        <w:pStyle w:val="FootnoteText"/>
        <w:spacing w:before="0"/>
        <w:ind w:left="259" w:hanging="259"/>
        <w:rPr>
          <w:sz w:val="20"/>
          <w:lang w:val="es-ES_tradnl"/>
        </w:rPr>
      </w:pPr>
      <w:r w:rsidRPr="002A52E4">
        <w:rPr>
          <w:rStyle w:val="FootnoteReference"/>
          <w:sz w:val="16"/>
          <w:szCs w:val="18"/>
        </w:rPr>
        <w:footnoteRef/>
      </w:r>
      <w:r w:rsidR="00713B2C" w:rsidRPr="002A52E4">
        <w:rPr>
          <w:sz w:val="22"/>
          <w:szCs w:val="18"/>
          <w:lang w:val="es-ES"/>
        </w:rPr>
        <w:tab/>
      </w:r>
      <w:r w:rsidRPr="002A52E4">
        <w:rPr>
          <w:sz w:val="20"/>
          <w:lang w:val="es-ES_tradnl"/>
        </w:rPr>
        <w:t>Véase la Resolución 169 (Guadalajara, 2010) de la Conferencia de Plenipotenciarios, en virtud de la cual se permitió la participación de la nueva categoría Instituciones académicas en la labor de la UIT.</w:t>
      </w:r>
    </w:p>
  </w:footnote>
  <w:footnote w:id="2">
    <w:p w14:paraId="1DEEE568" w14:textId="17CEF222" w:rsidR="001B0166" w:rsidRPr="002A52E4" w:rsidRDefault="001B0166" w:rsidP="006F3EBD">
      <w:pPr>
        <w:pStyle w:val="FootnoteText"/>
        <w:spacing w:before="0"/>
        <w:ind w:left="259" w:hanging="259"/>
        <w:rPr>
          <w:sz w:val="20"/>
          <w:lang w:val="es-ES_tradnl"/>
        </w:rPr>
      </w:pPr>
      <w:r w:rsidRPr="002A52E4">
        <w:rPr>
          <w:rStyle w:val="FootnoteReference"/>
          <w:sz w:val="16"/>
          <w:szCs w:val="18"/>
        </w:rPr>
        <w:footnoteRef/>
      </w:r>
      <w:r w:rsidR="004D25AB" w:rsidRPr="002A52E4">
        <w:rPr>
          <w:sz w:val="22"/>
          <w:szCs w:val="18"/>
          <w:lang w:val="es-ES"/>
        </w:rPr>
        <w:tab/>
      </w:r>
      <w:r w:rsidRPr="002A52E4">
        <w:rPr>
          <w:sz w:val="20"/>
          <w:lang w:val="es-ES_tradnl"/>
        </w:rPr>
        <w:t xml:space="preserve">Resolución 71 (Rev. Buenos Aires, 2017, </w:t>
      </w:r>
      <w:r w:rsidR="00803384" w:rsidRPr="002A52E4">
        <w:rPr>
          <w:sz w:val="20"/>
          <w:lang w:val="es-ES_tradnl"/>
        </w:rPr>
        <w:t>"</w:t>
      </w:r>
      <w:r w:rsidRPr="002A52E4">
        <w:rPr>
          <w:sz w:val="20"/>
          <w:lang w:val="es-ES_tradnl"/>
        </w:rPr>
        <w:t>Fortalecimiento de la cooperación entre los Estados Miembros, los Miembros de Sector, los Asociados y las Instituciones Académicas del Sector de Desarrollo de las Telecomunicaciones y la evolución de la función del sector privado en el Sector de Desarrollo de las Telecomunicaciones de la UIT</w:t>
      </w:r>
      <w:r w:rsidR="00803384" w:rsidRPr="002A52E4">
        <w:rPr>
          <w:sz w:val="20"/>
          <w:lang w:val="es-ES_tradnl"/>
        </w:rPr>
        <w:t>"</w:t>
      </w:r>
      <w:r w:rsidRPr="002A52E4">
        <w:rPr>
          <w:sz w:val="20"/>
          <w:lang w:val="es-ES_tradnl"/>
        </w:rPr>
        <w:t>.</w:t>
      </w:r>
    </w:p>
  </w:footnote>
  <w:footnote w:id="3">
    <w:p w14:paraId="70E395E7" w14:textId="1FFE5350" w:rsidR="001B0166" w:rsidRPr="002A52E4" w:rsidRDefault="001B0166" w:rsidP="006F3EBD">
      <w:pPr>
        <w:pStyle w:val="FootnoteText"/>
        <w:spacing w:before="0"/>
        <w:ind w:left="259" w:hanging="259"/>
        <w:rPr>
          <w:sz w:val="22"/>
          <w:szCs w:val="18"/>
          <w:lang w:val="es-ES"/>
        </w:rPr>
      </w:pPr>
      <w:r w:rsidRPr="002A52E4">
        <w:rPr>
          <w:rStyle w:val="FootnoteReference"/>
          <w:sz w:val="16"/>
          <w:szCs w:val="18"/>
        </w:rPr>
        <w:footnoteRef/>
      </w:r>
      <w:r w:rsidR="00713B2C" w:rsidRPr="002A52E4">
        <w:rPr>
          <w:sz w:val="22"/>
          <w:szCs w:val="18"/>
          <w:lang w:val="es-ES"/>
        </w:rPr>
        <w:tab/>
      </w:r>
      <w:r w:rsidRPr="002A52E4">
        <w:rPr>
          <w:sz w:val="20"/>
          <w:lang w:val="es-ES_tradnl"/>
        </w:rPr>
        <w:t>Véase la Resolución 169 (Guadalajara, 2010), que permitió a la nueva categoría de Academia participar en la labor de la UIT</w:t>
      </w:r>
      <w:r w:rsidR="0079643B" w:rsidRPr="002A52E4">
        <w:rPr>
          <w:sz w:val="20"/>
          <w:lang w:val="es-ES_tradnl"/>
        </w:rPr>
        <w:t>.</w:t>
      </w:r>
    </w:p>
  </w:footnote>
  <w:footnote w:id="4">
    <w:p w14:paraId="65FAB7ED" w14:textId="488E412B" w:rsidR="001B0166" w:rsidRPr="002A52E4" w:rsidRDefault="001B0166" w:rsidP="006F3EBD">
      <w:pPr>
        <w:pStyle w:val="FootnoteText"/>
        <w:spacing w:before="0"/>
        <w:ind w:left="259" w:hanging="259"/>
        <w:rPr>
          <w:sz w:val="22"/>
          <w:szCs w:val="18"/>
          <w:lang w:val="es-ES_tradnl"/>
        </w:rPr>
      </w:pPr>
      <w:r w:rsidRPr="002A52E4">
        <w:rPr>
          <w:rStyle w:val="FootnoteReference"/>
          <w:sz w:val="16"/>
          <w:szCs w:val="18"/>
        </w:rPr>
        <w:footnoteRef/>
      </w:r>
      <w:r w:rsidRPr="002A52E4">
        <w:rPr>
          <w:sz w:val="22"/>
          <w:szCs w:val="18"/>
          <w:lang w:val="es-ES_tradnl"/>
        </w:rPr>
        <w:tab/>
      </w:r>
      <w:r w:rsidRPr="002A52E4">
        <w:rPr>
          <w:sz w:val="20"/>
          <w:lang w:val="es-ES_tradnl"/>
        </w:rPr>
        <w:t>Las instituciones académicas participan en la labor de los tres Sectores de la UIT, incluidos sus Grupos asesores. También participan en otras Conferencias, talleres y actividades de la Unión a escalas mundial y regional, con excepción de las Conferencias de Plenipotenciarios, las Conferencias Mundiales de Radiocomunicaciones, las Conferencias Mundiales de las Telecomunicaciones Internacionales y las reuniones del Consejo de la UIT, de conformidad con el Reglamento Interno de los respectivos Sectores.</w:t>
      </w:r>
    </w:p>
  </w:footnote>
  <w:footnote w:id="5">
    <w:p w14:paraId="5F8AA994" w14:textId="4883E479" w:rsidR="001B0166" w:rsidRPr="002A52E4" w:rsidRDefault="001B0166" w:rsidP="006F3EBD">
      <w:pPr>
        <w:pStyle w:val="FootnoteText"/>
        <w:spacing w:before="0"/>
        <w:ind w:left="259" w:hanging="259"/>
        <w:rPr>
          <w:sz w:val="22"/>
          <w:szCs w:val="18"/>
          <w:lang w:val="es-ES_tradnl"/>
        </w:rPr>
      </w:pPr>
      <w:r w:rsidRPr="002A52E4">
        <w:rPr>
          <w:rStyle w:val="FootnoteReference"/>
          <w:sz w:val="16"/>
          <w:szCs w:val="18"/>
        </w:rPr>
        <w:footnoteRef/>
      </w:r>
      <w:r w:rsidRPr="002A52E4">
        <w:rPr>
          <w:sz w:val="22"/>
          <w:szCs w:val="18"/>
          <w:lang w:val="es-ES_tradnl"/>
        </w:rPr>
        <w:tab/>
      </w:r>
      <w:r w:rsidRPr="002A52E4">
        <w:rPr>
          <w:sz w:val="20"/>
          <w:lang w:val="es-ES_tradnl"/>
        </w:rPr>
        <w:t>Universidad RWTH de Aquisgrán (Alemania), Universidad de Dodoma (Tanzanía), Universidad de Teherán (Irán, República Islámica de), Instituto de Tecnología de Tokio (Japón), Investigación y Educación de los Estados Árabes (Jordania), Universidad Tecnológica Amirkabir (Irán, República Islámica de), Universidad de Nazarbayev (Kazajstán), Universidad de Surrey (Reino Unido), Universidad Tarbiat Modares (Irán, República Islámica de), Universidad Técnica del Norte (Ecuador), Universidad de California Irvine (Estados Unidos), Universidad Hamad Bin Khalifa (Qatar), Instituto Científico Europeo (Francia), Smart Quantum Communication (Corea, Rep. de), Universidad de Bristol (Reino Unido), Hong Kong Applied Science and Technology (China), Universidad de Burdeos (Francia), Universidad Tecnológica de Ilmenau (Alemania), Centro de Desarrollo de la Telemática (India), Universidad Concordia (Canadá), Universidad de Shinshu (Japón), Mila-Institut Québécois d'Intelligence (Canadá).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09B0" w14:textId="6CA66E83" w:rsidR="009A6FC4" w:rsidRPr="00713B2C" w:rsidRDefault="009A6FC4" w:rsidP="00713B2C">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602B27">
      <w:rPr>
        <w:sz w:val="22"/>
        <w:szCs w:val="22"/>
        <w:lang w:val="en-US"/>
      </w:rPr>
      <w:t>-</w:t>
    </w:r>
    <w:r w:rsidR="00AA076A">
      <w:rPr>
        <w:sz w:val="22"/>
        <w:szCs w:val="22"/>
        <w:lang w:val="en-US"/>
      </w:rPr>
      <w:t>20</w:t>
    </w:r>
    <w:r w:rsidRPr="003D4CFB">
      <w:rPr>
        <w:sz w:val="22"/>
        <w:szCs w:val="22"/>
        <w:lang w:val="en-US"/>
      </w:rPr>
      <w:t>/</w:t>
    </w:r>
    <w:r w:rsidR="00713B2C">
      <w:rPr>
        <w:sz w:val="22"/>
        <w:szCs w:val="22"/>
        <w:lang w:val="en-US"/>
      </w:rPr>
      <w:t>11</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66"/>
    <w:rsid w:val="000135AE"/>
    <w:rsid w:val="00016C61"/>
    <w:rsid w:val="00033D49"/>
    <w:rsid w:val="000725A1"/>
    <w:rsid w:val="000C0AA7"/>
    <w:rsid w:val="000E7A0A"/>
    <w:rsid w:val="00194CB2"/>
    <w:rsid w:val="001B0166"/>
    <w:rsid w:val="00213302"/>
    <w:rsid w:val="00221C14"/>
    <w:rsid w:val="00225D2E"/>
    <w:rsid w:val="00231E5F"/>
    <w:rsid w:val="00241CB9"/>
    <w:rsid w:val="002A52E4"/>
    <w:rsid w:val="002A7FAB"/>
    <w:rsid w:val="002D4BE6"/>
    <w:rsid w:val="002D6772"/>
    <w:rsid w:val="00302736"/>
    <w:rsid w:val="0033649F"/>
    <w:rsid w:val="00360762"/>
    <w:rsid w:val="00390391"/>
    <w:rsid w:val="003D4CFB"/>
    <w:rsid w:val="00482632"/>
    <w:rsid w:val="004B7893"/>
    <w:rsid w:val="004D25AB"/>
    <w:rsid w:val="004E7861"/>
    <w:rsid w:val="00526F96"/>
    <w:rsid w:val="00535C50"/>
    <w:rsid w:val="005557A3"/>
    <w:rsid w:val="005637B9"/>
    <w:rsid w:val="005643DC"/>
    <w:rsid w:val="005A59D0"/>
    <w:rsid w:val="00602B27"/>
    <w:rsid w:val="006339E7"/>
    <w:rsid w:val="00635A62"/>
    <w:rsid w:val="006E4AB3"/>
    <w:rsid w:val="006F39EB"/>
    <w:rsid w:val="006F3EBD"/>
    <w:rsid w:val="00713B2C"/>
    <w:rsid w:val="0079643B"/>
    <w:rsid w:val="007C3061"/>
    <w:rsid w:val="007E471D"/>
    <w:rsid w:val="00803384"/>
    <w:rsid w:val="00835A77"/>
    <w:rsid w:val="0086435F"/>
    <w:rsid w:val="0088106F"/>
    <w:rsid w:val="008C1852"/>
    <w:rsid w:val="008D789A"/>
    <w:rsid w:val="00917B12"/>
    <w:rsid w:val="009752D2"/>
    <w:rsid w:val="00991B13"/>
    <w:rsid w:val="009952F6"/>
    <w:rsid w:val="009A6FC4"/>
    <w:rsid w:val="009B2435"/>
    <w:rsid w:val="009D1BD4"/>
    <w:rsid w:val="00A33516"/>
    <w:rsid w:val="00A87DD9"/>
    <w:rsid w:val="00AA076A"/>
    <w:rsid w:val="00AA3EA6"/>
    <w:rsid w:val="00AD6F4E"/>
    <w:rsid w:val="00AE1BA7"/>
    <w:rsid w:val="00AF563E"/>
    <w:rsid w:val="00BC7208"/>
    <w:rsid w:val="00D16175"/>
    <w:rsid w:val="00D372A5"/>
    <w:rsid w:val="00D655C2"/>
    <w:rsid w:val="00D80F60"/>
    <w:rsid w:val="00DF4A6E"/>
    <w:rsid w:val="00DF7A5B"/>
    <w:rsid w:val="00E17138"/>
    <w:rsid w:val="00E204A0"/>
    <w:rsid w:val="00E3519F"/>
    <w:rsid w:val="00E51C72"/>
    <w:rsid w:val="00E827C2"/>
    <w:rsid w:val="00EA2F7C"/>
    <w:rsid w:val="00EB6D19"/>
    <w:rsid w:val="00ED2681"/>
    <w:rsid w:val="00F01E28"/>
    <w:rsid w:val="00F12690"/>
    <w:rsid w:val="00FA67A2"/>
    <w:rsid w:val="00FD3A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BCF12C"/>
  <w15:docId w15:val="{AEFBBE8A-51D4-4CF1-8C5B-5CE68187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character" w:styleId="FollowedHyperlink">
    <w:name w:val="FollowedHyperlink"/>
    <w:basedOn w:val="DefaultParagraphFont"/>
    <w:uiPriority w:val="99"/>
    <w:semiHidden/>
    <w:unhideWhenUsed/>
    <w:rsid w:val="00713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en/ITU-D/Conferences/CRO/Documents/CRO10/CRO2019_chairman_report.pdf" TargetMode="External"/><Relationship Id="rId4" Type="http://schemas.openxmlformats.org/officeDocument/2006/relationships/webSettings" Target="webSettings.xml"/><Relationship Id="rId9" Type="http://schemas.openxmlformats.org/officeDocument/2006/relationships/hyperlink" Target="https://www.itu.int/en/ITU-D/Membership/PublishingImages/Outcome%20Brief_Co-Creation%20Workshop%20for%20Academia%20Members%20%28002%29.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TDAG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baseline="0">
                <a:effectLst/>
              </a:rPr>
              <a:t>G</a:t>
            </a:r>
            <a:r>
              <a:rPr lang="es-ES_tradnl" sz="1200" b="1" i="0" u="none" strike="noStrike" baseline="0">
                <a:effectLst/>
              </a:rPr>
              <a:t>ráfico</a:t>
            </a:r>
            <a:r>
              <a:rPr lang="es-ES_tradnl" sz="1400" b="0" i="0" u="none" strike="noStrike" baseline="0">
                <a:effectLst/>
              </a:rPr>
              <a:t> </a:t>
            </a:r>
            <a:r>
              <a:rPr lang="en-GB" sz="1200" b="0" i="0" baseline="0">
                <a:effectLst/>
              </a:rPr>
              <a:t> </a:t>
            </a:r>
            <a:r>
              <a:rPr lang="en-CA" sz="1200" b="1" i="0" baseline="0">
                <a:effectLst/>
              </a:rPr>
              <a:t>–</a:t>
            </a:r>
            <a:r>
              <a:rPr lang="en-GB" sz="1200" b="1" i="0" baseline="0">
                <a:effectLst/>
              </a:rPr>
              <a:t> </a:t>
            </a:r>
            <a:r>
              <a:rPr lang="es-ES_tradnl" sz="1200" b="1" i="0" u="none" strike="noStrike" baseline="0">
                <a:effectLst/>
              </a:rPr>
              <a:t>Evolución de la cantidad de Miembros del UIT-D </a:t>
            </a:r>
            <a:r>
              <a:rPr lang="en-GB" sz="1200" b="1" i="0" baseline="0">
                <a:effectLst/>
              </a:rPr>
              <a:t>(1994-2019</a:t>
            </a:r>
            <a:r>
              <a:rPr lang="en-GB" sz="1100" b="1" i="0" baseline="0">
                <a:effectLst/>
              </a:rPr>
              <a:t>)</a:t>
            </a:r>
            <a:endParaRPr lang="en-US" sz="11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CH"/>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Sheet1!$B$1:$AA$1</c:f>
              <c:numCache>
                <c:formatCode>General</c:formatCode>
                <c:ptCount val="2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formatCode="mmm\-yy">
                  <c:v>43435</c:v>
                </c:pt>
                <c:pt idx="25" formatCode="mmm\-yy">
                  <c:v>43800</c:v>
                </c:pt>
              </c:numCache>
            </c:numRef>
          </c:cat>
          <c:val>
            <c:numRef>
              <c:f>Sheet1!$B$2:$AA$2</c:f>
              <c:numCache>
                <c:formatCode>General</c:formatCode>
                <c:ptCount val="26"/>
                <c:pt idx="0">
                  <c:v>27</c:v>
                </c:pt>
                <c:pt idx="1">
                  <c:v>81</c:v>
                </c:pt>
                <c:pt idx="2">
                  <c:v>107</c:v>
                </c:pt>
                <c:pt idx="3">
                  <c:v>130</c:v>
                </c:pt>
                <c:pt idx="4">
                  <c:v>143</c:v>
                </c:pt>
                <c:pt idx="5">
                  <c:v>185</c:v>
                </c:pt>
                <c:pt idx="6">
                  <c:v>204</c:v>
                </c:pt>
                <c:pt idx="7">
                  <c:v>243</c:v>
                </c:pt>
                <c:pt idx="8">
                  <c:v>247</c:v>
                </c:pt>
                <c:pt idx="9">
                  <c:v>260</c:v>
                </c:pt>
                <c:pt idx="10">
                  <c:v>282</c:v>
                </c:pt>
                <c:pt idx="11">
                  <c:v>307</c:v>
                </c:pt>
                <c:pt idx="12">
                  <c:v>326</c:v>
                </c:pt>
                <c:pt idx="13">
                  <c:v>320</c:v>
                </c:pt>
                <c:pt idx="14">
                  <c:v>311</c:v>
                </c:pt>
                <c:pt idx="15">
                  <c:v>319</c:v>
                </c:pt>
                <c:pt idx="16">
                  <c:v>316</c:v>
                </c:pt>
                <c:pt idx="17">
                  <c:v>352</c:v>
                </c:pt>
                <c:pt idx="18">
                  <c:v>377</c:v>
                </c:pt>
                <c:pt idx="19">
                  <c:v>412</c:v>
                </c:pt>
                <c:pt idx="20">
                  <c:v>433</c:v>
                </c:pt>
                <c:pt idx="21">
                  <c:v>459</c:v>
                </c:pt>
                <c:pt idx="22">
                  <c:v>475</c:v>
                </c:pt>
                <c:pt idx="23">
                  <c:v>453</c:v>
                </c:pt>
                <c:pt idx="24">
                  <c:v>480</c:v>
                </c:pt>
                <c:pt idx="25">
                  <c:v>487</c:v>
                </c:pt>
              </c:numCache>
            </c:numRef>
          </c:val>
          <c:smooth val="0"/>
          <c:extLst>
            <c:ext xmlns:c16="http://schemas.microsoft.com/office/drawing/2014/chart" uri="{C3380CC4-5D6E-409C-BE32-E72D297353CC}">
              <c16:uniqueId val="{00000000-F217-4DF4-A3A7-862937A02869}"/>
            </c:ext>
          </c:extLst>
        </c:ser>
        <c:dLbls>
          <c:showLegendKey val="0"/>
          <c:showVal val="0"/>
          <c:showCatName val="0"/>
          <c:showSerName val="0"/>
          <c:showPercent val="0"/>
          <c:showBubbleSize val="0"/>
        </c:dLbls>
        <c:smooth val="0"/>
        <c:axId val="518477144"/>
        <c:axId val="292475816"/>
      </c:lineChart>
      <c:catAx>
        <c:axId val="51847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292475816"/>
        <c:crosses val="autoZero"/>
        <c:auto val="1"/>
        <c:lblAlgn val="ctr"/>
        <c:lblOffset val="100"/>
        <c:noMultiLvlLbl val="0"/>
      </c:catAx>
      <c:valAx>
        <c:axId val="29247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518477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CH"/>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CE8A-541B-4140-98C1-2498C448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PS_TDAG20.dotx</Template>
  <TotalTime>116</TotalTime>
  <Pages>6</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Spanish1</dc:creator>
  <cp:keywords/>
  <dc:description/>
  <cp:lastModifiedBy>BDT</cp:lastModifiedBy>
  <cp:revision>11</cp:revision>
  <dcterms:created xsi:type="dcterms:W3CDTF">2020-02-24T08:51:00Z</dcterms:created>
  <dcterms:modified xsi:type="dcterms:W3CDTF">2020-03-10T12:52:00Z</dcterms:modified>
</cp:coreProperties>
</file>