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790"/>
        <w:tblW w:w="9639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2977"/>
      </w:tblGrid>
      <w:tr w:rsidR="004713B8" w:rsidRPr="000C23E0" w14:paraId="7BE450E0" w14:textId="77777777" w:rsidTr="00FB3DB6">
        <w:trPr>
          <w:trHeight w:val="1134"/>
        </w:trPr>
        <w:tc>
          <w:tcPr>
            <w:tcW w:w="6662" w:type="dxa"/>
          </w:tcPr>
          <w:p w14:paraId="0C2D2E0D" w14:textId="77777777" w:rsidR="004713B8" w:rsidRPr="000C23E0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0C23E0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14:paraId="3C4C6D5C" w14:textId="46419CDF" w:rsidR="004713B8" w:rsidRPr="000C23E0" w:rsidRDefault="001F3E47" w:rsidP="00CD1F3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1F3E4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25-е собрание, Женева, 2-5 июня 2020</w:t>
            </w: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14:paraId="5B0C2495" w14:textId="77777777" w:rsidR="004713B8" w:rsidRPr="000C23E0" w:rsidRDefault="00B24169" w:rsidP="00B24169">
            <w:pPr>
              <w:widowControl w:val="0"/>
              <w:spacing w:before="40"/>
              <w:jc w:val="right"/>
            </w:pPr>
            <w:r w:rsidRPr="000C23E0">
              <w:rPr>
                <w:noProof/>
                <w:color w:val="3399FF"/>
                <w:lang w:eastAsia="en-GB"/>
              </w:rPr>
              <w:drawing>
                <wp:inline distT="0" distB="0" distL="0" distR="0" wp14:anchorId="7D714750" wp14:editId="7DC9C81D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0C23E0" w14:paraId="24E97DAB" w14:textId="77777777" w:rsidTr="00FB3DB6">
        <w:tc>
          <w:tcPr>
            <w:tcW w:w="6662" w:type="dxa"/>
            <w:tcBorders>
              <w:top w:val="single" w:sz="12" w:space="0" w:color="auto"/>
            </w:tcBorders>
          </w:tcPr>
          <w:p w14:paraId="00FF9F09" w14:textId="77777777" w:rsidR="00CD34AE" w:rsidRPr="000C23E0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6984C0E8" w14:textId="77777777" w:rsidR="00CD34AE" w:rsidRPr="000C23E0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0C23E0" w14:paraId="3C6678D8" w14:textId="77777777" w:rsidTr="00FB3DB6">
        <w:trPr>
          <w:trHeight w:val="300"/>
        </w:trPr>
        <w:tc>
          <w:tcPr>
            <w:tcW w:w="6662" w:type="dxa"/>
          </w:tcPr>
          <w:p w14:paraId="2C86D1F4" w14:textId="77777777" w:rsidR="00CD34AE" w:rsidRPr="000C23E0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977" w:type="dxa"/>
          </w:tcPr>
          <w:p w14:paraId="4B314665" w14:textId="59F4DFB6" w:rsidR="00CD34AE" w:rsidRPr="000C23E0" w:rsidRDefault="003E6E87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0C23E0">
              <w:rPr>
                <w:rFonts w:cstheme="minorHAnsi"/>
                <w:b/>
                <w:bCs/>
              </w:rPr>
              <w:t xml:space="preserve">Документ </w:t>
            </w:r>
            <w:bookmarkStart w:id="1" w:name="DocRef1"/>
            <w:bookmarkEnd w:id="1"/>
            <w:r w:rsidRPr="000C23E0">
              <w:rPr>
                <w:rFonts w:cstheme="minorHAnsi"/>
                <w:b/>
                <w:bCs/>
              </w:rPr>
              <w:t>TDAG</w:t>
            </w:r>
            <w:r w:rsidR="0040328D" w:rsidRPr="000C23E0">
              <w:rPr>
                <w:rFonts w:cstheme="minorHAnsi"/>
                <w:b/>
                <w:bCs/>
              </w:rPr>
              <w:t>-</w:t>
            </w:r>
            <w:r w:rsidR="002502FE" w:rsidRPr="000C23E0">
              <w:rPr>
                <w:rFonts w:cstheme="minorHAnsi"/>
                <w:b/>
                <w:bCs/>
              </w:rPr>
              <w:t>20</w:t>
            </w:r>
            <w:r w:rsidRPr="000C23E0">
              <w:rPr>
                <w:rFonts w:cstheme="minorHAnsi"/>
                <w:b/>
                <w:bCs/>
              </w:rPr>
              <w:t>/</w:t>
            </w:r>
            <w:bookmarkStart w:id="2" w:name="DocNo1"/>
            <w:bookmarkEnd w:id="2"/>
            <w:r w:rsidR="00A11E73" w:rsidRPr="000C23E0">
              <w:rPr>
                <w:rFonts w:cstheme="minorHAnsi"/>
                <w:b/>
                <w:bCs/>
              </w:rPr>
              <w:t>11</w:t>
            </w:r>
            <w:r w:rsidRPr="000C23E0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0C23E0" w14:paraId="2B6F66FD" w14:textId="77777777" w:rsidTr="00FB3DB6">
        <w:trPr>
          <w:trHeight w:val="300"/>
        </w:trPr>
        <w:tc>
          <w:tcPr>
            <w:tcW w:w="6662" w:type="dxa"/>
          </w:tcPr>
          <w:p w14:paraId="4236BC61" w14:textId="77777777" w:rsidR="00CD34AE" w:rsidRPr="000C23E0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2977" w:type="dxa"/>
          </w:tcPr>
          <w:p w14:paraId="48E59AC6" w14:textId="6CE31FBB" w:rsidR="00CD34AE" w:rsidRPr="000C23E0" w:rsidRDefault="00A11E73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3" w:name="CreationDate"/>
            <w:bookmarkEnd w:id="3"/>
            <w:r w:rsidRPr="000C23E0">
              <w:rPr>
                <w:b/>
                <w:bCs/>
              </w:rPr>
              <w:t>4 февраля</w:t>
            </w:r>
            <w:r w:rsidR="00A73D91" w:rsidRPr="000C23E0">
              <w:rPr>
                <w:b/>
                <w:bCs/>
              </w:rPr>
              <w:t xml:space="preserve"> 20</w:t>
            </w:r>
            <w:r w:rsidR="002502FE" w:rsidRPr="000C23E0">
              <w:rPr>
                <w:b/>
                <w:bCs/>
              </w:rPr>
              <w:t>20</w:t>
            </w:r>
            <w:r w:rsidR="00A73D91" w:rsidRPr="000C23E0">
              <w:rPr>
                <w:b/>
                <w:bCs/>
              </w:rPr>
              <w:t xml:space="preserve"> года</w:t>
            </w:r>
          </w:p>
        </w:tc>
      </w:tr>
      <w:tr w:rsidR="00CD34AE" w:rsidRPr="000C23E0" w14:paraId="55854D1A" w14:textId="77777777" w:rsidTr="00FB3DB6">
        <w:trPr>
          <w:trHeight w:val="300"/>
        </w:trPr>
        <w:tc>
          <w:tcPr>
            <w:tcW w:w="6662" w:type="dxa"/>
          </w:tcPr>
          <w:p w14:paraId="6BCEAF34" w14:textId="77777777" w:rsidR="00CD34AE" w:rsidRPr="000C23E0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977" w:type="dxa"/>
          </w:tcPr>
          <w:p w14:paraId="7324600A" w14:textId="110E9616" w:rsidR="00CD34AE" w:rsidRPr="000C23E0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0C23E0">
              <w:rPr>
                <w:rFonts w:cstheme="minorHAnsi"/>
                <w:b/>
                <w:bCs/>
              </w:rPr>
              <w:t>Оригинал:</w:t>
            </w:r>
            <w:bookmarkStart w:id="4" w:name="Original"/>
            <w:bookmarkEnd w:id="4"/>
            <w:r w:rsidR="00A73D91" w:rsidRPr="000C23E0">
              <w:rPr>
                <w:rFonts w:cstheme="minorHAnsi"/>
                <w:b/>
                <w:bCs/>
              </w:rPr>
              <w:t xml:space="preserve"> </w:t>
            </w:r>
            <w:r w:rsidR="00A11E73" w:rsidRPr="000C23E0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A11E73" w:rsidRPr="000C23E0" w14:paraId="71374119" w14:textId="77777777" w:rsidTr="00FB3DB6">
        <w:trPr>
          <w:trHeight w:val="850"/>
        </w:trPr>
        <w:tc>
          <w:tcPr>
            <w:tcW w:w="9639" w:type="dxa"/>
            <w:gridSpan w:val="2"/>
          </w:tcPr>
          <w:p w14:paraId="75EBC6D1" w14:textId="3E8C24DE" w:rsidR="00A11E73" w:rsidRPr="000C23E0" w:rsidRDefault="00A11E73" w:rsidP="00A11E73">
            <w:pPr>
              <w:pStyle w:val="Source"/>
              <w:framePr w:hSpace="0" w:wrap="auto" w:vAnchor="margin" w:hAnchor="text" w:yAlign="inline"/>
            </w:pPr>
            <w:bookmarkStart w:id="5" w:name="Source"/>
            <w:bookmarkEnd w:id="5"/>
            <w:r w:rsidRPr="000C23E0">
              <w:t>Директор Бюро развития электросвязи</w:t>
            </w:r>
          </w:p>
        </w:tc>
      </w:tr>
      <w:tr w:rsidR="00A11E73" w:rsidRPr="000C23E0" w14:paraId="1BC0A471" w14:textId="77777777" w:rsidTr="00FB3DB6">
        <w:tc>
          <w:tcPr>
            <w:tcW w:w="9639" w:type="dxa"/>
            <w:gridSpan w:val="2"/>
          </w:tcPr>
          <w:p w14:paraId="6FC961FA" w14:textId="7E9D2DAB" w:rsidR="00A11E73" w:rsidRPr="000C23E0" w:rsidRDefault="00A11E73" w:rsidP="00A11E73">
            <w:pPr>
              <w:pStyle w:val="Title1"/>
            </w:pPr>
            <w:bookmarkStart w:id="6" w:name="Title"/>
            <w:bookmarkEnd w:id="6"/>
            <w:r w:rsidRPr="000C23E0">
              <w:t>Члены Сектора, Ассоциированные Члены и Академические организации − ЧЛЕНЫ МСЭ-D</w:t>
            </w:r>
          </w:p>
        </w:tc>
      </w:tr>
      <w:tr w:rsidR="00CD34AE" w:rsidRPr="000C23E0" w14:paraId="3A512A33" w14:textId="77777777" w:rsidTr="00FB3DB6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487136D3" w14:textId="77777777" w:rsidR="00CD34AE" w:rsidRPr="000C23E0" w:rsidRDefault="00CD34AE" w:rsidP="00CD34AE"/>
        </w:tc>
      </w:tr>
      <w:tr w:rsidR="00CD34AE" w:rsidRPr="000C23E0" w14:paraId="32A28E85" w14:textId="77777777" w:rsidTr="00FB3DB6">
        <w:trPr>
          <w:trHeight w:val="70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AF6E" w14:textId="77777777" w:rsidR="00CD34AE" w:rsidRPr="000C23E0" w:rsidRDefault="00CD34AE" w:rsidP="007E6B3A">
            <w:pPr>
              <w:rPr>
                <w:b/>
                <w:bCs/>
              </w:rPr>
            </w:pPr>
            <w:r w:rsidRPr="000C23E0">
              <w:rPr>
                <w:b/>
                <w:bCs/>
              </w:rPr>
              <w:t>Резюме</w:t>
            </w:r>
          </w:p>
          <w:p w14:paraId="0573050D" w14:textId="2C21ADFC" w:rsidR="00CD34AE" w:rsidRPr="000C23E0" w:rsidRDefault="00A11E73" w:rsidP="00CD34AE">
            <w:r w:rsidRPr="000C23E0">
              <w:t>В настоящем документе представлен обзор развития членского состава МСЭ</w:t>
            </w:r>
            <w:r w:rsidRPr="000C23E0">
              <w:noBreakHyphen/>
              <w:t>D</w:t>
            </w:r>
            <w:r w:rsidR="000659D0" w:rsidRPr="000C23E0">
              <w:t xml:space="preserve">. В нем также рекомендуются </w:t>
            </w:r>
            <w:r w:rsidRPr="000C23E0">
              <w:t>действи</w:t>
            </w:r>
            <w:r w:rsidR="000659D0" w:rsidRPr="000C23E0">
              <w:t>я</w:t>
            </w:r>
            <w:r w:rsidRPr="000C23E0">
              <w:t>, направленны</w:t>
            </w:r>
            <w:r w:rsidR="000659D0" w:rsidRPr="000C23E0">
              <w:t>е</w:t>
            </w:r>
            <w:r w:rsidRPr="000C23E0">
              <w:t xml:space="preserve"> на укрепление членского состава МСЭ</w:t>
            </w:r>
            <w:r w:rsidRPr="000C23E0">
              <w:noBreakHyphen/>
              <w:t xml:space="preserve">D в соответствии с решениями Всемирной конференции по развитию электросвязи 2017 года (ВКРЭ-17) и Полномочной конференции 2018 года. В состав МСЭ-D входят Члены Сектора, Ассоциированные </w:t>
            </w:r>
            <w:r w:rsidR="00D904F2" w:rsidRPr="000C23E0">
              <w:t xml:space="preserve">члены </w:t>
            </w:r>
            <w:r w:rsidRPr="000C23E0">
              <w:t>и Академические организации</w:t>
            </w:r>
            <w:r w:rsidR="00113D06" w:rsidRPr="000C23E0">
              <w:rPr>
                <w:rStyle w:val="FootnoteReference"/>
              </w:rPr>
              <w:footnoteReference w:id="1"/>
            </w:r>
            <w:r w:rsidRPr="000C23E0">
              <w:t>.</w:t>
            </w:r>
          </w:p>
          <w:p w14:paraId="28958164" w14:textId="77777777" w:rsidR="00CD34AE" w:rsidRPr="000C23E0" w:rsidRDefault="00CD34AE" w:rsidP="00CD34AE">
            <w:pPr>
              <w:rPr>
                <w:b/>
                <w:bCs/>
              </w:rPr>
            </w:pPr>
            <w:r w:rsidRPr="000C23E0">
              <w:rPr>
                <w:b/>
                <w:bCs/>
              </w:rPr>
              <w:t>Необходимые действия</w:t>
            </w:r>
          </w:p>
          <w:p w14:paraId="0A919F9D" w14:textId="6D3EFAE8" w:rsidR="00CD34AE" w:rsidRPr="000C23E0" w:rsidRDefault="00A11E73" w:rsidP="00CD34AE">
            <w:r w:rsidRPr="000C23E0">
              <w:t>КГРЭ предлагается принять настоящий документ к сведению и по мере необходимости предоставить руководящие указания.</w:t>
            </w:r>
          </w:p>
          <w:p w14:paraId="0FA50C0D" w14:textId="77777777" w:rsidR="00CD34AE" w:rsidRPr="000C23E0" w:rsidRDefault="00CD34AE" w:rsidP="00CD34AE">
            <w:pPr>
              <w:rPr>
                <w:b/>
                <w:bCs/>
              </w:rPr>
            </w:pPr>
            <w:r w:rsidRPr="000C23E0">
              <w:rPr>
                <w:b/>
                <w:bCs/>
              </w:rPr>
              <w:t>Справочные материалы</w:t>
            </w:r>
          </w:p>
          <w:p w14:paraId="49CC032C" w14:textId="275C050F" w:rsidR="00CD34AE" w:rsidRPr="000C23E0" w:rsidRDefault="00A11E73" w:rsidP="00113D06">
            <w:pPr>
              <w:spacing w:after="120"/>
            </w:pPr>
            <w:r w:rsidRPr="000C23E0">
              <w:t xml:space="preserve">Резолюция 71 (Пересм. Буэнос-Айрес, 2017 г.) ВКРЭ; Резолюции 169 (Пересм. Дубай, 2018 г.), </w:t>
            </w:r>
            <w:r w:rsidR="00113D06" w:rsidRPr="000C23E0">
              <w:t xml:space="preserve">205 (Дубай, 2018 г.) и </w:t>
            </w:r>
            <w:r w:rsidRPr="000C23E0">
              <w:t xml:space="preserve">209 (Дубай, 2018 г.) </w:t>
            </w:r>
            <w:r w:rsidR="00113D06" w:rsidRPr="000C23E0">
              <w:t>Полномочной конференции</w:t>
            </w:r>
          </w:p>
        </w:tc>
      </w:tr>
    </w:tbl>
    <w:p w14:paraId="70A8C075" w14:textId="77777777" w:rsidR="002931FA" w:rsidRPr="000C23E0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0C23E0">
        <w:br w:type="page"/>
      </w:r>
    </w:p>
    <w:p w14:paraId="60FD5F5C" w14:textId="77777777" w:rsidR="00113D06" w:rsidRPr="000C23E0" w:rsidRDefault="00113D06" w:rsidP="00113D06">
      <w:pPr>
        <w:pStyle w:val="Heading1"/>
        <w:pageBreakBefore/>
      </w:pPr>
      <w:bookmarkStart w:id="7" w:name="lt_pId024"/>
      <w:r w:rsidRPr="000C23E0">
        <w:lastRenderedPageBreak/>
        <w:t>1</w:t>
      </w:r>
      <w:r w:rsidRPr="000C23E0">
        <w:tab/>
        <w:t>Базовая информация</w:t>
      </w:r>
    </w:p>
    <w:p w14:paraId="325B93B9" w14:textId="20506ED1" w:rsidR="00113D06" w:rsidRPr="000C23E0" w:rsidRDefault="00113D06" w:rsidP="00113D06">
      <w:pPr>
        <w:rPr>
          <w:szCs w:val="24"/>
        </w:rPr>
      </w:pPr>
      <w:bookmarkStart w:id="8" w:name="lt_pId025"/>
      <w:bookmarkEnd w:id="7"/>
      <w:r w:rsidRPr="000C23E0">
        <w:t>Всемирная конференция по развитию электросвязи 2017 года (ВКРЭ-17) пересмотрела и приняла Резолюцию 71</w:t>
      </w:r>
      <w:r w:rsidRPr="000C23E0">
        <w:rPr>
          <w:szCs w:val="24"/>
        </w:rPr>
        <w:t xml:space="preserve"> (Пересм. Буэнос-Айрес, 2017 г.)</w:t>
      </w:r>
      <w:r w:rsidRPr="000C23E0">
        <w:rPr>
          <w:rStyle w:val="FootnoteReference"/>
        </w:rPr>
        <w:footnoteReference w:id="2"/>
      </w:r>
      <w:r w:rsidRPr="000C23E0">
        <w:rPr>
          <w:szCs w:val="24"/>
        </w:rPr>
        <w:t xml:space="preserve"> в целях содействия активному участию действующих </w:t>
      </w:r>
      <w:r w:rsidRPr="000C23E0">
        <w:t xml:space="preserve">Членов Сектора, Ассоциированных </w:t>
      </w:r>
      <w:r w:rsidR="00D904F2" w:rsidRPr="000C23E0">
        <w:t xml:space="preserve">членов </w:t>
      </w:r>
      <w:r w:rsidRPr="000C23E0">
        <w:t>и Академических организаций в деятельности МСЭ</w:t>
      </w:r>
      <w:r w:rsidRPr="000C23E0">
        <w:rPr>
          <w:szCs w:val="24"/>
        </w:rPr>
        <w:t xml:space="preserve">-D, в том числе в работе исследовательских комиссий </w:t>
      </w:r>
      <w:r w:rsidRPr="000C23E0">
        <w:t>МСЭ</w:t>
      </w:r>
      <w:r w:rsidRPr="000C23E0">
        <w:rPr>
          <w:szCs w:val="24"/>
        </w:rPr>
        <w:t xml:space="preserve">-D, и </w:t>
      </w:r>
      <w:r w:rsidR="006703BB" w:rsidRPr="000C23E0">
        <w:rPr>
          <w:szCs w:val="24"/>
        </w:rPr>
        <w:t>привлечения новых</w:t>
      </w:r>
      <w:r w:rsidRPr="000C23E0">
        <w:rPr>
          <w:szCs w:val="24"/>
        </w:rPr>
        <w:t xml:space="preserve"> </w:t>
      </w:r>
      <w:r w:rsidR="006703BB" w:rsidRPr="000C23E0">
        <w:rPr>
          <w:szCs w:val="24"/>
        </w:rPr>
        <w:t xml:space="preserve">членов из </w:t>
      </w:r>
      <w:r w:rsidRPr="000C23E0">
        <w:rPr>
          <w:szCs w:val="24"/>
        </w:rPr>
        <w:t>государственного, частного и академического секторов.</w:t>
      </w:r>
      <w:bookmarkEnd w:id="8"/>
    </w:p>
    <w:p w14:paraId="7E3EF71F" w14:textId="05BF2DDF" w:rsidR="00113D06" w:rsidRPr="000C23E0" w:rsidRDefault="00113D06" w:rsidP="00113D06">
      <w:pPr>
        <w:rPr>
          <w:szCs w:val="24"/>
        </w:rPr>
      </w:pPr>
      <w:r w:rsidRPr="000C23E0">
        <w:rPr>
          <w:szCs w:val="24"/>
          <w:lang w:eastAsia="en-AU"/>
        </w:rPr>
        <w:t xml:space="preserve">В Резолюции </w:t>
      </w:r>
      <w:r w:rsidRPr="000C23E0">
        <w:t>71</w:t>
      </w:r>
      <w:r w:rsidRPr="000C23E0">
        <w:rPr>
          <w:szCs w:val="24"/>
        </w:rPr>
        <w:t xml:space="preserve"> (Пересм. Буэнос-Айрес, 2017 г.) уделяется большее внимание </w:t>
      </w:r>
      <w:r w:rsidR="007C2DC2" w:rsidRPr="000C23E0">
        <w:rPr>
          <w:szCs w:val="24"/>
        </w:rPr>
        <w:t>из</w:t>
      </w:r>
      <w:r w:rsidRPr="000C23E0">
        <w:rPr>
          <w:szCs w:val="24"/>
        </w:rPr>
        <w:t>меняющейся роли частн</w:t>
      </w:r>
      <w:r w:rsidR="000659D0" w:rsidRPr="000C23E0">
        <w:rPr>
          <w:szCs w:val="24"/>
        </w:rPr>
        <w:t xml:space="preserve">ого сектора </w:t>
      </w:r>
      <w:r w:rsidRPr="000C23E0">
        <w:rPr>
          <w:szCs w:val="24"/>
        </w:rPr>
        <w:t xml:space="preserve">в </w:t>
      </w:r>
      <w:r w:rsidRPr="000C23E0">
        <w:t>МСЭ</w:t>
      </w:r>
      <w:r w:rsidRPr="000C23E0">
        <w:rPr>
          <w:szCs w:val="24"/>
        </w:rPr>
        <w:t xml:space="preserve">-D, </w:t>
      </w:r>
      <w:r w:rsidR="000659D0" w:rsidRPr="000C23E0">
        <w:rPr>
          <w:szCs w:val="24"/>
        </w:rPr>
        <w:t>при этом БРЭ поручено и далее организовывать собрания для</w:t>
      </w:r>
      <w:r w:rsidR="000659D0" w:rsidRPr="000C23E0">
        <w:t xml:space="preserve"> </w:t>
      </w:r>
      <w:r w:rsidR="000659D0" w:rsidRPr="000C23E0">
        <w:rPr>
          <w:szCs w:val="24"/>
        </w:rPr>
        <w:t xml:space="preserve">высокопоставленных руководителей отрасли, в </w:t>
      </w:r>
      <w:r w:rsidRPr="000C23E0">
        <w:rPr>
          <w:szCs w:val="24"/>
        </w:rPr>
        <w:t>частности</w:t>
      </w:r>
      <w:r w:rsidR="000659D0" w:rsidRPr="000C23E0">
        <w:rPr>
          <w:szCs w:val="24"/>
        </w:rPr>
        <w:t xml:space="preserve"> собрания </w:t>
      </w:r>
      <w:r w:rsidRPr="000C23E0">
        <w:rPr>
          <w:szCs w:val="24"/>
        </w:rPr>
        <w:t>Отраслев</w:t>
      </w:r>
      <w:r w:rsidR="000659D0" w:rsidRPr="000C23E0">
        <w:rPr>
          <w:szCs w:val="24"/>
        </w:rPr>
        <w:t>ой</w:t>
      </w:r>
      <w:r w:rsidRPr="000C23E0">
        <w:rPr>
          <w:szCs w:val="24"/>
        </w:rPr>
        <w:t xml:space="preserve"> консультативн</w:t>
      </w:r>
      <w:r w:rsidR="000659D0" w:rsidRPr="000C23E0">
        <w:rPr>
          <w:szCs w:val="24"/>
        </w:rPr>
        <w:t>ой</w:t>
      </w:r>
      <w:r w:rsidRPr="000C23E0">
        <w:rPr>
          <w:szCs w:val="24"/>
        </w:rPr>
        <w:t xml:space="preserve"> групп</w:t>
      </w:r>
      <w:r w:rsidR="000659D0" w:rsidRPr="000C23E0">
        <w:rPr>
          <w:szCs w:val="24"/>
        </w:rPr>
        <w:t>ы</w:t>
      </w:r>
      <w:r w:rsidRPr="000C23E0">
        <w:rPr>
          <w:szCs w:val="24"/>
        </w:rPr>
        <w:t xml:space="preserve"> по вопросам развития (IAGDI)</w:t>
      </w:r>
      <w:r w:rsidR="000659D0" w:rsidRPr="000C23E0">
        <w:rPr>
          <w:szCs w:val="24"/>
        </w:rPr>
        <w:t>.</w:t>
      </w:r>
      <w:r w:rsidRPr="000C23E0">
        <w:rPr>
          <w:szCs w:val="24"/>
        </w:rPr>
        <w:t xml:space="preserve"> </w:t>
      </w:r>
      <w:r w:rsidR="000659D0" w:rsidRPr="000C23E0">
        <w:rPr>
          <w:szCs w:val="24"/>
        </w:rPr>
        <w:t xml:space="preserve">На собраниях IAGDI </w:t>
      </w:r>
      <w:r w:rsidRPr="000C23E0">
        <w:rPr>
          <w:szCs w:val="24"/>
        </w:rPr>
        <w:t>широк</w:t>
      </w:r>
      <w:r w:rsidR="000659D0" w:rsidRPr="000C23E0">
        <w:rPr>
          <w:szCs w:val="24"/>
        </w:rPr>
        <w:t xml:space="preserve">о </w:t>
      </w:r>
      <w:r w:rsidRPr="000C23E0">
        <w:rPr>
          <w:szCs w:val="24"/>
        </w:rPr>
        <w:t>представлен</w:t>
      </w:r>
      <w:r w:rsidR="000659D0" w:rsidRPr="000C23E0">
        <w:rPr>
          <w:szCs w:val="24"/>
        </w:rPr>
        <w:t xml:space="preserve">ы </w:t>
      </w:r>
      <w:r w:rsidRPr="000C23E0">
        <w:rPr>
          <w:szCs w:val="24"/>
        </w:rPr>
        <w:t>отраслевы</w:t>
      </w:r>
      <w:r w:rsidR="000659D0" w:rsidRPr="000C23E0">
        <w:rPr>
          <w:szCs w:val="24"/>
        </w:rPr>
        <w:t>е</w:t>
      </w:r>
      <w:r w:rsidRPr="000C23E0">
        <w:rPr>
          <w:szCs w:val="24"/>
        </w:rPr>
        <w:t xml:space="preserve"> компан</w:t>
      </w:r>
      <w:r w:rsidR="000659D0" w:rsidRPr="000C23E0">
        <w:rPr>
          <w:szCs w:val="24"/>
        </w:rPr>
        <w:t>ии</w:t>
      </w:r>
      <w:r w:rsidRPr="000C23E0">
        <w:rPr>
          <w:szCs w:val="24"/>
        </w:rPr>
        <w:t xml:space="preserve"> – Член</w:t>
      </w:r>
      <w:r w:rsidR="000659D0" w:rsidRPr="000C23E0">
        <w:rPr>
          <w:szCs w:val="24"/>
        </w:rPr>
        <w:t>ы</w:t>
      </w:r>
      <w:r w:rsidRPr="000C23E0">
        <w:rPr>
          <w:szCs w:val="24"/>
        </w:rPr>
        <w:t xml:space="preserve"> Сектора МСЭ-D из всех регионов. </w:t>
      </w:r>
      <w:r w:rsidR="00C11038" w:rsidRPr="000C23E0">
        <w:rPr>
          <w:szCs w:val="24"/>
        </w:rPr>
        <w:t xml:space="preserve">В </w:t>
      </w:r>
      <w:r w:rsidR="00615B42" w:rsidRPr="000C23E0">
        <w:rPr>
          <w:szCs w:val="24"/>
        </w:rPr>
        <w:t xml:space="preserve">Резолюции </w:t>
      </w:r>
      <w:r w:rsidR="00C11038" w:rsidRPr="000C23E0">
        <w:rPr>
          <w:szCs w:val="24"/>
        </w:rPr>
        <w:t xml:space="preserve">также признается </w:t>
      </w:r>
      <w:r w:rsidR="00615B42" w:rsidRPr="000C23E0">
        <w:rPr>
          <w:szCs w:val="24"/>
        </w:rPr>
        <w:t>деятельность</w:t>
      </w:r>
      <w:r w:rsidRPr="000C23E0">
        <w:rPr>
          <w:szCs w:val="24"/>
        </w:rPr>
        <w:t xml:space="preserve"> </w:t>
      </w:r>
      <w:r w:rsidR="007C2DC2" w:rsidRPr="000C23E0">
        <w:rPr>
          <w:szCs w:val="24"/>
        </w:rPr>
        <w:t xml:space="preserve">Старших </w:t>
      </w:r>
      <w:r w:rsidR="00C11038" w:rsidRPr="000C23E0">
        <w:rPr>
          <w:szCs w:val="24"/>
        </w:rPr>
        <w:t xml:space="preserve">сотрудников по регуляторным вопросам </w:t>
      </w:r>
      <w:r w:rsidRPr="000C23E0">
        <w:rPr>
          <w:szCs w:val="24"/>
        </w:rPr>
        <w:t>(CRO).</w:t>
      </w:r>
    </w:p>
    <w:p w14:paraId="509B5513" w14:textId="6FCA403D" w:rsidR="00113D06" w:rsidRPr="000C23E0" w:rsidRDefault="00113D06" w:rsidP="00113D06">
      <w:bookmarkStart w:id="9" w:name="lt_pId028"/>
      <w:r w:rsidRPr="000C23E0">
        <w:t>Кроме этого, Полномочная конференция 2018 года (ПК-18) приняла несколько Резолюций, касающихся членского состава, например Резолюцию 209 (Дубай, 2018 г.), в котор</w:t>
      </w:r>
      <w:bookmarkEnd w:id="9"/>
      <w:r w:rsidRPr="000C23E0">
        <w:t xml:space="preserve">ой поощряется участие </w:t>
      </w:r>
      <w:r w:rsidR="007914E1" w:rsidRPr="000C23E0">
        <w:t xml:space="preserve">малых и средних предприятий (МСП) </w:t>
      </w:r>
      <w:r w:rsidRPr="000C23E0">
        <w:t>в работе Союза.</w:t>
      </w:r>
    </w:p>
    <w:p w14:paraId="721B9AA2" w14:textId="15375F16" w:rsidR="00113D06" w:rsidRPr="000C23E0" w:rsidRDefault="007914E1" w:rsidP="00113D06">
      <w:r w:rsidRPr="000C23E0">
        <w:t xml:space="preserve">Благодаря </w:t>
      </w:r>
      <w:r w:rsidR="00113D06" w:rsidRPr="000C23E0">
        <w:t>пересмотр</w:t>
      </w:r>
      <w:r w:rsidRPr="000C23E0">
        <w:t>у</w:t>
      </w:r>
      <w:r w:rsidR="00113D06" w:rsidRPr="000C23E0">
        <w:t xml:space="preserve"> Резолюци</w:t>
      </w:r>
      <w:r w:rsidRPr="000C23E0">
        <w:t>и</w:t>
      </w:r>
      <w:r w:rsidR="00113D06" w:rsidRPr="000C23E0">
        <w:t xml:space="preserve"> 169</w:t>
      </w:r>
      <w:r w:rsidR="001D5426" w:rsidRPr="000C23E0">
        <w:t xml:space="preserve"> (Пересм. Дубай, 2018 г.)</w:t>
      </w:r>
      <w:r w:rsidR="00113D06" w:rsidRPr="000C23E0">
        <w:t xml:space="preserve"> представители Академических организаций </w:t>
      </w:r>
      <w:r w:rsidRPr="000C23E0">
        <w:t xml:space="preserve">теперь </w:t>
      </w:r>
      <w:r w:rsidR="00113D06" w:rsidRPr="000C23E0">
        <w:t xml:space="preserve">могут выступать Докладчиками, заместителями Докладчика или </w:t>
      </w:r>
      <w:r w:rsidRPr="000C23E0">
        <w:t xml:space="preserve">ассоциированными Докладчиками </w:t>
      </w:r>
      <w:r w:rsidR="00113D06" w:rsidRPr="000C23E0">
        <w:t>в соответствии с установленными правилами процедуры соответствующих Секторов. Также поощряется участие Академических организаций в расширении технической деятельности Союза.</w:t>
      </w:r>
    </w:p>
    <w:p w14:paraId="280825CD" w14:textId="75015F19" w:rsidR="00113D06" w:rsidRPr="000C23E0" w:rsidRDefault="00113D06" w:rsidP="00113D06">
      <w:pPr>
        <w:pStyle w:val="PlainText"/>
        <w:spacing w:before="120"/>
        <w:rPr>
          <w:szCs w:val="22"/>
          <w:lang w:val="ru-RU"/>
        </w:rPr>
      </w:pPr>
      <w:r w:rsidRPr="000C23E0">
        <w:rPr>
          <w:szCs w:val="22"/>
          <w:lang w:val="ru-RU"/>
        </w:rPr>
        <w:t>Кроме того, в ходе ПК-18 была принята Резолюция 205 (Дубай, 2018 г.) об ориентированных на ИКТ инновациях для поддержки цифровой экономики</w:t>
      </w:r>
      <w:r w:rsidR="00615B42" w:rsidRPr="000C23E0">
        <w:rPr>
          <w:szCs w:val="22"/>
          <w:lang w:val="ru-RU"/>
        </w:rPr>
        <w:t>.</w:t>
      </w:r>
      <w:r w:rsidRPr="000C23E0">
        <w:rPr>
          <w:szCs w:val="22"/>
          <w:lang w:val="ru-RU"/>
        </w:rPr>
        <w:t xml:space="preserve"> </w:t>
      </w:r>
      <w:r w:rsidR="00615B42" w:rsidRPr="000C23E0">
        <w:rPr>
          <w:szCs w:val="22"/>
          <w:lang w:val="ru-RU"/>
        </w:rPr>
        <w:t>В Резолюции МСЭ</w:t>
      </w:r>
      <w:r w:rsidRPr="000C23E0">
        <w:rPr>
          <w:szCs w:val="22"/>
          <w:lang w:val="ru-RU"/>
        </w:rPr>
        <w:t xml:space="preserve"> было поручено </w:t>
      </w:r>
      <w:r w:rsidR="00615B42" w:rsidRPr="000C23E0">
        <w:rPr>
          <w:szCs w:val="22"/>
          <w:lang w:val="ru-RU"/>
        </w:rPr>
        <w:t>по запросу оказывать Государствам-Членам поддержку в содействии формированию благоприятной среды для ориентированных на электросвязь/ИКТ инноваци</w:t>
      </w:r>
      <w:r w:rsidR="007914E1" w:rsidRPr="000C23E0">
        <w:rPr>
          <w:szCs w:val="22"/>
          <w:lang w:val="ru-RU"/>
        </w:rPr>
        <w:t>й</w:t>
      </w:r>
      <w:r w:rsidR="00615B42" w:rsidRPr="000C23E0">
        <w:rPr>
          <w:szCs w:val="22"/>
          <w:lang w:val="ru-RU"/>
        </w:rPr>
        <w:t>, разрабатываемых МСП, стартапами, инкубационными центрами и молодыми предпринимателями.</w:t>
      </w:r>
      <w:r w:rsidR="00772CF7" w:rsidRPr="000C23E0">
        <w:rPr>
          <w:szCs w:val="22"/>
          <w:lang w:val="ru-RU"/>
        </w:rPr>
        <w:t xml:space="preserve"> </w:t>
      </w:r>
      <w:r w:rsidR="00615B42" w:rsidRPr="000C23E0">
        <w:rPr>
          <w:szCs w:val="22"/>
          <w:lang w:val="ru-RU"/>
        </w:rPr>
        <w:t>В Резолюции Государства-Члены, Члены Сектор</w:t>
      </w:r>
      <w:r w:rsidR="00772CF7" w:rsidRPr="000C23E0">
        <w:rPr>
          <w:szCs w:val="22"/>
          <w:lang w:val="ru-RU"/>
        </w:rPr>
        <w:t>ов</w:t>
      </w:r>
      <w:r w:rsidR="00615B42" w:rsidRPr="000C23E0">
        <w:rPr>
          <w:szCs w:val="22"/>
          <w:lang w:val="ru-RU"/>
        </w:rPr>
        <w:t xml:space="preserve"> и </w:t>
      </w:r>
      <w:r w:rsidR="00772CF7" w:rsidRPr="000C23E0">
        <w:rPr>
          <w:szCs w:val="22"/>
          <w:lang w:val="ru-RU"/>
        </w:rPr>
        <w:t xml:space="preserve">Ассоциированные </w:t>
      </w:r>
      <w:r w:rsidR="00D904F2" w:rsidRPr="000C23E0">
        <w:rPr>
          <w:szCs w:val="22"/>
          <w:lang w:val="ru-RU"/>
        </w:rPr>
        <w:t xml:space="preserve">члены </w:t>
      </w:r>
      <w:r w:rsidR="007914E1" w:rsidRPr="000C23E0">
        <w:rPr>
          <w:szCs w:val="22"/>
          <w:lang w:val="ru-RU"/>
        </w:rPr>
        <w:t xml:space="preserve">также </w:t>
      </w:r>
      <w:r w:rsidR="00772CF7" w:rsidRPr="000C23E0">
        <w:rPr>
          <w:szCs w:val="22"/>
          <w:lang w:val="ru-RU"/>
        </w:rPr>
        <w:t xml:space="preserve">призваны поощрять </w:t>
      </w:r>
      <w:r w:rsidR="00615B42" w:rsidRPr="000C23E0">
        <w:rPr>
          <w:szCs w:val="22"/>
          <w:lang w:val="ru-RU"/>
        </w:rPr>
        <w:t>участие работающих в сфере электросвязи/ИКТ предпринимателей, стартапов, инкубационных центров и центров ускорения роста во Всемирном мероприятии ITU Telecom и в других соответствующих мероприятиях</w:t>
      </w:r>
      <w:r w:rsidR="007914E1" w:rsidRPr="000C23E0">
        <w:rPr>
          <w:szCs w:val="22"/>
          <w:lang w:val="ru-RU"/>
        </w:rPr>
        <w:t xml:space="preserve"> МСЭ</w:t>
      </w:r>
      <w:r w:rsidR="00615B42" w:rsidRPr="000C23E0">
        <w:rPr>
          <w:szCs w:val="22"/>
          <w:lang w:val="ru-RU"/>
        </w:rPr>
        <w:t>.</w:t>
      </w:r>
    </w:p>
    <w:p w14:paraId="424EA386" w14:textId="47F60998" w:rsidR="00113D06" w:rsidRPr="000C23E0" w:rsidRDefault="001D5426" w:rsidP="001D5426">
      <w:pPr>
        <w:pStyle w:val="Heading1"/>
      </w:pPr>
      <w:r w:rsidRPr="000C23E0">
        <w:t>2</w:t>
      </w:r>
      <w:r w:rsidRPr="000C23E0">
        <w:tab/>
      </w:r>
      <w:r w:rsidR="00772CF7" w:rsidRPr="000C23E0">
        <w:t>Стратегические задачи МСЭ-D в отношении членс</w:t>
      </w:r>
      <w:r w:rsidR="00224002" w:rsidRPr="000C23E0">
        <w:t>кого состава</w:t>
      </w:r>
    </w:p>
    <w:p w14:paraId="5DE414BC" w14:textId="15878ED8" w:rsidR="00113D06" w:rsidRPr="000C23E0" w:rsidRDefault="00224002" w:rsidP="00113D06">
      <w:r w:rsidRPr="000C23E0">
        <w:t xml:space="preserve">В соответствии с решениями ВКРЭ-17 и ПК-18 в тесной координации и сотрудничестве с Генеральным секретариатом, двумя другими Бюро и региональными/зональными отделениями </w:t>
      </w:r>
      <w:r w:rsidR="000F1541" w:rsidRPr="000C23E0">
        <w:t xml:space="preserve">БРЭ </w:t>
      </w:r>
      <w:r w:rsidR="007914E1" w:rsidRPr="000C23E0">
        <w:t xml:space="preserve">и далее акцентирует внимание </w:t>
      </w:r>
      <w:r w:rsidRPr="000C23E0">
        <w:t>на выполнени</w:t>
      </w:r>
      <w:r w:rsidR="007914E1" w:rsidRPr="000C23E0">
        <w:t>и</w:t>
      </w:r>
      <w:r w:rsidRPr="000C23E0">
        <w:t xml:space="preserve"> двух </w:t>
      </w:r>
      <w:r w:rsidR="007914E1" w:rsidRPr="000C23E0">
        <w:t xml:space="preserve">важнейших </w:t>
      </w:r>
      <w:r w:rsidRPr="000C23E0">
        <w:t>задач</w:t>
      </w:r>
      <w:r w:rsidR="00113D06" w:rsidRPr="000C23E0">
        <w:t xml:space="preserve">: </w:t>
      </w:r>
    </w:p>
    <w:p w14:paraId="11FC4DF6" w14:textId="07516D00" w:rsidR="00113D06" w:rsidRPr="000C23E0" w:rsidRDefault="001D5426" w:rsidP="001D5426">
      <w:pPr>
        <w:pStyle w:val="enumlev1"/>
      </w:pPr>
      <w:r w:rsidRPr="000C23E0">
        <w:t>−</w:t>
      </w:r>
      <w:r w:rsidRPr="000C23E0">
        <w:tab/>
      </w:r>
      <w:r w:rsidR="007914E1" w:rsidRPr="000C23E0">
        <w:t xml:space="preserve">ведение </w:t>
      </w:r>
      <w:r w:rsidR="00224002" w:rsidRPr="000C23E0">
        <w:t>информационно-разъяснительной работы с целью привлечения новых структур к участию в качестве Членов Сектор</w:t>
      </w:r>
      <w:r w:rsidR="00D904F2" w:rsidRPr="000C23E0">
        <w:t>а</w:t>
      </w:r>
      <w:r w:rsidR="00224002" w:rsidRPr="000C23E0">
        <w:t>, Ассоциированных членов, МСП и Академических организаций</w:t>
      </w:r>
      <w:r w:rsidR="007914E1" w:rsidRPr="000C23E0">
        <w:t>;</w:t>
      </w:r>
    </w:p>
    <w:p w14:paraId="17478BCB" w14:textId="181070C6" w:rsidR="00113D06" w:rsidRPr="000C23E0" w:rsidRDefault="001D5426" w:rsidP="001D5426">
      <w:pPr>
        <w:pStyle w:val="enumlev1"/>
      </w:pPr>
      <w:r w:rsidRPr="000C23E0">
        <w:t>−</w:t>
      </w:r>
      <w:r w:rsidRPr="000C23E0">
        <w:tab/>
      </w:r>
      <w:r w:rsidR="007914E1" w:rsidRPr="000C23E0">
        <w:t xml:space="preserve">укрепление </w:t>
      </w:r>
      <w:r w:rsidR="001D0729" w:rsidRPr="000C23E0">
        <w:t>платформ для взаимодействия и удержание действующих Членов Сектора МСЭ-D, Ассоциированных членов и Академических организаций</w:t>
      </w:r>
      <w:r w:rsidR="00113D06" w:rsidRPr="000C23E0">
        <w:t>.</w:t>
      </w:r>
    </w:p>
    <w:p w14:paraId="2ECAB1C8" w14:textId="7E4C11C0" w:rsidR="00113D06" w:rsidRPr="000C23E0" w:rsidRDefault="001D5426" w:rsidP="001D5426">
      <w:pPr>
        <w:pStyle w:val="Heading1"/>
      </w:pPr>
      <w:r w:rsidRPr="000C23E0">
        <w:lastRenderedPageBreak/>
        <w:t>3</w:t>
      </w:r>
      <w:r w:rsidRPr="000C23E0">
        <w:tab/>
      </w:r>
      <w:r w:rsidR="00224002" w:rsidRPr="000C23E0">
        <w:t xml:space="preserve">Статус членского состава МСЭ-D </w:t>
      </w:r>
    </w:p>
    <w:p w14:paraId="311300A0" w14:textId="67FD8EAD" w:rsidR="00113D06" w:rsidRPr="000C23E0" w:rsidRDefault="001D0729" w:rsidP="00113D06">
      <w:r w:rsidRPr="000C23E0">
        <w:t xml:space="preserve">В таблице 1, ниже, показана динамика изменения членского состава МСЭ-D </w:t>
      </w:r>
      <w:r w:rsidR="00113D06" w:rsidRPr="000C23E0">
        <w:t>(</w:t>
      </w:r>
      <w:r w:rsidR="00832717" w:rsidRPr="000C23E0">
        <w:t>Члены Сектора, Ассоциированные члены и Академические</w:t>
      </w:r>
      <w:r w:rsidR="00832717" w:rsidRPr="000C23E0">
        <w:rPr>
          <w:rFonts w:ascii="inherit" w:hAnsi="inherit"/>
          <w:color w:val="000000"/>
          <w:shd w:val="clear" w:color="auto" w:fill="F0F0F0"/>
        </w:rPr>
        <w:t xml:space="preserve"> </w:t>
      </w:r>
      <w:r w:rsidR="00832717" w:rsidRPr="000C23E0">
        <w:t>организации</w:t>
      </w:r>
      <w:r w:rsidR="00113D06" w:rsidRPr="000C23E0">
        <w:rPr>
          <w:rStyle w:val="FootnoteReference"/>
        </w:rPr>
        <w:footnoteReference w:id="3"/>
      </w:r>
      <w:r w:rsidR="00113D06" w:rsidRPr="000C23E0">
        <w:t xml:space="preserve">) </w:t>
      </w:r>
      <w:r w:rsidRPr="000C23E0">
        <w:t xml:space="preserve">в период с 2009 по 2019 год. </w:t>
      </w:r>
      <w:r w:rsidR="00DE56F9" w:rsidRPr="000C23E0">
        <w:t>В</w:t>
      </w:r>
      <w:r w:rsidR="004D6896" w:rsidRPr="000C23E0">
        <w:t xml:space="preserve"> </w:t>
      </w:r>
      <w:r w:rsidR="00E712EA" w:rsidRPr="000C23E0">
        <w:t>20</w:t>
      </w:r>
      <w:r w:rsidR="004D6896" w:rsidRPr="000C23E0">
        <w:t>1</w:t>
      </w:r>
      <w:r w:rsidR="00E712EA" w:rsidRPr="000C23E0">
        <w:t xml:space="preserve">9 году </w:t>
      </w:r>
      <w:r w:rsidR="004D6896" w:rsidRPr="000C23E0">
        <w:t xml:space="preserve">Членами Сектора </w:t>
      </w:r>
      <w:r w:rsidR="00E712EA" w:rsidRPr="000C23E0">
        <w:t>стали 13 структур, в том числе ведущие компании</w:t>
      </w:r>
      <w:r w:rsidR="007914E1" w:rsidRPr="000C23E0">
        <w:t xml:space="preserve"> в сфере ИКТ</w:t>
      </w:r>
      <w:r w:rsidR="00E712EA" w:rsidRPr="000C23E0">
        <w:t>, что следует из данных, представленных в разделе 3.1, ниже</w:t>
      </w:r>
      <w:r w:rsidR="00DE56F9" w:rsidRPr="000C23E0">
        <w:t>,</w:t>
      </w:r>
      <w:r w:rsidR="00E712EA" w:rsidRPr="000C23E0">
        <w:t xml:space="preserve"> </w:t>
      </w:r>
      <w:r w:rsidR="000F1541" w:rsidRPr="000C23E0">
        <w:t xml:space="preserve">в то же время </w:t>
      </w:r>
      <w:r w:rsidR="00E712EA" w:rsidRPr="000C23E0">
        <w:t>вызывает озабоченность отказ от членства р</w:t>
      </w:r>
      <w:r w:rsidR="007C2DC2" w:rsidRPr="000C23E0">
        <w:t>я</w:t>
      </w:r>
      <w:r w:rsidR="00E712EA" w:rsidRPr="000C23E0">
        <w:t>да Членов Сектор</w:t>
      </w:r>
      <w:r w:rsidR="00DE56F9" w:rsidRPr="000C23E0">
        <w:t>а</w:t>
      </w:r>
      <w:r w:rsidR="00E712EA" w:rsidRPr="000C23E0">
        <w:t xml:space="preserve"> ввиду консолидации отрасли или финансовых причин. С</w:t>
      </w:r>
      <w:r w:rsidR="00DE56F9" w:rsidRPr="000C23E0">
        <w:t> </w:t>
      </w:r>
      <w:r w:rsidR="00E712EA" w:rsidRPr="000C23E0">
        <w:t>другой стороны</w:t>
      </w:r>
      <w:r w:rsidR="004D6896" w:rsidRPr="000C23E0">
        <w:t>,</w:t>
      </w:r>
      <w:r w:rsidR="00E712EA" w:rsidRPr="000C23E0">
        <w:t xml:space="preserve"> Ассоциированные члены и Академические организации показ</w:t>
      </w:r>
      <w:r w:rsidR="004D6896" w:rsidRPr="000C23E0">
        <w:t>ывали</w:t>
      </w:r>
      <w:r w:rsidR="00E712EA" w:rsidRPr="000C23E0">
        <w:t xml:space="preserve"> устойчивый рост.</w:t>
      </w:r>
    </w:p>
    <w:p w14:paraId="52203517" w14:textId="03C0F875" w:rsidR="001D5426" w:rsidRPr="000C23E0" w:rsidRDefault="001D5426" w:rsidP="001D5426">
      <w:pPr>
        <w:pStyle w:val="TableNo"/>
      </w:pPr>
      <w:r w:rsidRPr="000C23E0">
        <w:t>Таблица</w:t>
      </w:r>
    </w:p>
    <w:p w14:paraId="410BD217" w14:textId="7AC18F90" w:rsidR="00113D06" w:rsidRPr="000C23E0" w:rsidRDefault="001D5426" w:rsidP="001D5426">
      <w:pPr>
        <w:pStyle w:val="Tabletitle"/>
      </w:pPr>
      <w:r w:rsidRPr="000C23E0">
        <w:t>Динамика членского состава Сектора МСЭ</w:t>
      </w:r>
      <w:r w:rsidRPr="000C23E0">
        <w:noBreakHyphen/>
        <w:t>D в период 2009–2019 годов в разбивке по Членам Сектор</w:t>
      </w:r>
      <w:r w:rsidR="00DE56F9" w:rsidRPr="000C23E0">
        <w:t>а</w:t>
      </w:r>
      <w:r w:rsidRPr="000C23E0">
        <w:t>, Ассоциированным членам и Академическим организациям</w:t>
      </w:r>
      <w:r w:rsidR="00113D06" w:rsidRPr="000C23E0">
        <w:rPr>
          <w:rStyle w:val="FootnoteReference"/>
          <w:b w:val="0"/>
          <w:bCs/>
        </w:rPr>
        <w:footnoteReference w:id="4"/>
      </w:r>
      <w:r w:rsidR="00113D06" w:rsidRPr="000C23E0">
        <w:t>)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723"/>
        <w:gridCol w:w="724"/>
        <w:gridCol w:w="723"/>
        <w:gridCol w:w="724"/>
        <w:gridCol w:w="723"/>
        <w:gridCol w:w="724"/>
        <w:gridCol w:w="723"/>
        <w:gridCol w:w="724"/>
        <w:gridCol w:w="723"/>
        <w:gridCol w:w="724"/>
        <w:gridCol w:w="724"/>
      </w:tblGrid>
      <w:tr w:rsidR="001D5426" w:rsidRPr="000C23E0" w14:paraId="5417CC8F" w14:textId="77777777" w:rsidTr="00FB3DB6">
        <w:trPr>
          <w:tblHeader/>
          <w:jc w:val="center"/>
        </w:trPr>
        <w:tc>
          <w:tcPr>
            <w:tcW w:w="1822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79FA2" w14:textId="77777777" w:rsidR="00113D06" w:rsidRPr="000C23E0" w:rsidRDefault="00113D06" w:rsidP="001D5426">
            <w:pPr>
              <w:pStyle w:val="Tablehead"/>
            </w:pPr>
          </w:p>
        </w:tc>
        <w:tc>
          <w:tcPr>
            <w:tcW w:w="723" w:type="dxa"/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3FD8A" w14:textId="6589C19B" w:rsidR="00113D06" w:rsidRPr="000C23E0" w:rsidRDefault="00113D06" w:rsidP="001D5426">
            <w:pPr>
              <w:pStyle w:val="Tablehead"/>
              <w:ind w:left="-57" w:right="-57"/>
            </w:pPr>
            <w:r w:rsidRPr="000C23E0">
              <w:t>2009</w:t>
            </w:r>
            <w:r w:rsidR="001D5426" w:rsidRPr="000C23E0">
              <w:t xml:space="preserve"> г.</w:t>
            </w:r>
          </w:p>
        </w:tc>
        <w:tc>
          <w:tcPr>
            <w:tcW w:w="724" w:type="dxa"/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2825B" w14:textId="5EB2CC78" w:rsidR="00113D06" w:rsidRPr="000C23E0" w:rsidRDefault="00113D06" w:rsidP="001D5426">
            <w:pPr>
              <w:pStyle w:val="Tablehead"/>
              <w:ind w:left="-57" w:right="-57"/>
            </w:pPr>
            <w:r w:rsidRPr="000C23E0">
              <w:t>2010</w:t>
            </w:r>
            <w:r w:rsidR="001D5426" w:rsidRPr="000C23E0">
              <w:t xml:space="preserve"> г.</w:t>
            </w:r>
          </w:p>
        </w:tc>
        <w:tc>
          <w:tcPr>
            <w:tcW w:w="723" w:type="dxa"/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FB41F" w14:textId="181DDECD" w:rsidR="00113D06" w:rsidRPr="000C23E0" w:rsidRDefault="00113D06" w:rsidP="001D5426">
            <w:pPr>
              <w:pStyle w:val="Tablehead"/>
              <w:ind w:left="-57" w:right="-57"/>
            </w:pPr>
            <w:r w:rsidRPr="000C23E0">
              <w:t>2011</w:t>
            </w:r>
            <w:r w:rsidR="001D5426" w:rsidRPr="000C23E0">
              <w:t xml:space="preserve"> г.</w:t>
            </w:r>
          </w:p>
        </w:tc>
        <w:tc>
          <w:tcPr>
            <w:tcW w:w="724" w:type="dxa"/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E0C02" w14:textId="0B20FE38" w:rsidR="00113D06" w:rsidRPr="000C23E0" w:rsidRDefault="00113D06" w:rsidP="001D5426">
            <w:pPr>
              <w:pStyle w:val="Tablehead"/>
              <w:ind w:left="-57" w:right="-57"/>
            </w:pPr>
            <w:r w:rsidRPr="000C23E0">
              <w:t>2012</w:t>
            </w:r>
            <w:r w:rsidR="001D5426" w:rsidRPr="000C23E0">
              <w:t xml:space="preserve"> г.</w:t>
            </w:r>
          </w:p>
        </w:tc>
        <w:tc>
          <w:tcPr>
            <w:tcW w:w="723" w:type="dxa"/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FA795" w14:textId="2E176E2D" w:rsidR="00113D06" w:rsidRPr="000C23E0" w:rsidRDefault="00113D06" w:rsidP="001D5426">
            <w:pPr>
              <w:pStyle w:val="Tablehead"/>
              <w:ind w:left="-57" w:right="-57"/>
            </w:pPr>
            <w:r w:rsidRPr="000C23E0">
              <w:t>2013</w:t>
            </w:r>
            <w:r w:rsidR="001D5426" w:rsidRPr="000C23E0">
              <w:t xml:space="preserve"> г.</w:t>
            </w:r>
          </w:p>
        </w:tc>
        <w:tc>
          <w:tcPr>
            <w:tcW w:w="724" w:type="dxa"/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CC68A" w14:textId="6871B834" w:rsidR="00113D06" w:rsidRPr="000C23E0" w:rsidRDefault="00113D06" w:rsidP="001D5426">
            <w:pPr>
              <w:pStyle w:val="Tablehead"/>
              <w:ind w:left="-57" w:right="-57"/>
            </w:pPr>
            <w:r w:rsidRPr="000C23E0">
              <w:t>2014</w:t>
            </w:r>
            <w:r w:rsidR="001D5426" w:rsidRPr="000C23E0">
              <w:t xml:space="preserve"> г.</w:t>
            </w:r>
          </w:p>
        </w:tc>
        <w:tc>
          <w:tcPr>
            <w:tcW w:w="723" w:type="dxa"/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95394" w14:textId="417DB3F5" w:rsidR="00113D06" w:rsidRPr="000C23E0" w:rsidRDefault="00113D06" w:rsidP="001D5426">
            <w:pPr>
              <w:pStyle w:val="Tablehead"/>
              <w:ind w:left="-57" w:right="-57"/>
            </w:pPr>
            <w:r w:rsidRPr="000C23E0">
              <w:t>2015</w:t>
            </w:r>
            <w:r w:rsidR="001D5426" w:rsidRPr="000C23E0">
              <w:t xml:space="preserve"> г.</w:t>
            </w:r>
          </w:p>
        </w:tc>
        <w:tc>
          <w:tcPr>
            <w:tcW w:w="724" w:type="dxa"/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83E7C" w14:textId="1D5B8BA9" w:rsidR="00113D06" w:rsidRPr="000C23E0" w:rsidRDefault="00113D06" w:rsidP="001D5426">
            <w:pPr>
              <w:pStyle w:val="Tablehead"/>
              <w:ind w:left="-57" w:right="-57"/>
            </w:pPr>
            <w:r w:rsidRPr="000C23E0">
              <w:t>2016</w:t>
            </w:r>
            <w:r w:rsidR="001D5426" w:rsidRPr="000C23E0">
              <w:t xml:space="preserve"> г.</w:t>
            </w:r>
          </w:p>
        </w:tc>
        <w:tc>
          <w:tcPr>
            <w:tcW w:w="723" w:type="dxa"/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226A3" w14:textId="76C8B201" w:rsidR="00113D06" w:rsidRPr="000C23E0" w:rsidRDefault="00113D06" w:rsidP="001D5426">
            <w:pPr>
              <w:pStyle w:val="Tablehead"/>
              <w:ind w:left="-57" w:right="-57"/>
            </w:pPr>
            <w:r w:rsidRPr="000C23E0">
              <w:t>2017</w:t>
            </w:r>
            <w:r w:rsidR="001D5426" w:rsidRPr="000C23E0">
              <w:t xml:space="preserve"> г.</w:t>
            </w:r>
          </w:p>
        </w:tc>
        <w:tc>
          <w:tcPr>
            <w:tcW w:w="724" w:type="dxa"/>
            <w:shd w:val="clear" w:color="auto" w:fill="95B3D7" w:themeFill="accent1" w:themeFillTint="99"/>
            <w:hideMark/>
          </w:tcPr>
          <w:p w14:paraId="12D12458" w14:textId="1F8B1C6D" w:rsidR="00113D06" w:rsidRPr="000C23E0" w:rsidRDefault="00113D06" w:rsidP="001D5426">
            <w:pPr>
              <w:pStyle w:val="Tablehead"/>
              <w:ind w:left="-57" w:right="-57"/>
            </w:pPr>
            <w:r w:rsidRPr="000C23E0">
              <w:t>2018</w:t>
            </w:r>
            <w:r w:rsidR="001D5426" w:rsidRPr="000C23E0">
              <w:t xml:space="preserve"> г.</w:t>
            </w:r>
          </w:p>
        </w:tc>
        <w:tc>
          <w:tcPr>
            <w:tcW w:w="724" w:type="dxa"/>
            <w:shd w:val="clear" w:color="auto" w:fill="95B3D7" w:themeFill="accent1" w:themeFillTint="99"/>
          </w:tcPr>
          <w:p w14:paraId="7C6BF15F" w14:textId="20D10053" w:rsidR="00113D06" w:rsidRPr="000C23E0" w:rsidRDefault="00113D06" w:rsidP="001D5426">
            <w:pPr>
              <w:pStyle w:val="Tablehead"/>
              <w:ind w:left="-57" w:right="-57"/>
            </w:pPr>
            <w:r w:rsidRPr="000C23E0">
              <w:t>2019</w:t>
            </w:r>
            <w:r w:rsidR="001D5426" w:rsidRPr="000C23E0">
              <w:t xml:space="preserve"> г.</w:t>
            </w:r>
          </w:p>
        </w:tc>
      </w:tr>
      <w:tr w:rsidR="001D5426" w:rsidRPr="000C23E0" w14:paraId="3EBCA0E3" w14:textId="77777777" w:rsidTr="00FB3DB6">
        <w:trPr>
          <w:jc w:val="center"/>
        </w:trPr>
        <w:tc>
          <w:tcPr>
            <w:tcW w:w="1822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F7E50" w14:textId="4D444462" w:rsidR="001D5426" w:rsidRPr="000C23E0" w:rsidRDefault="001D5426" w:rsidP="001D5426">
            <w:pPr>
              <w:pStyle w:val="Tabletext"/>
              <w:rPr>
                <w:b/>
                <w:bCs/>
              </w:rPr>
            </w:pPr>
            <w:r w:rsidRPr="000C23E0">
              <w:rPr>
                <w:b/>
                <w:bCs/>
                <w:lang w:eastAsia="zh-CN"/>
              </w:rPr>
              <w:t>Члены Сектор</w:t>
            </w:r>
            <w:r w:rsidR="00DE56F9" w:rsidRPr="000C23E0">
              <w:rPr>
                <w:b/>
                <w:bCs/>
                <w:lang w:eastAsia="zh-CN"/>
              </w:rPr>
              <w:t>а</w:t>
            </w:r>
          </w:p>
        </w:tc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6DA046" w14:textId="77777777" w:rsidR="001D5426" w:rsidRPr="000C23E0" w:rsidRDefault="001D5426" w:rsidP="00F01119">
            <w:pPr>
              <w:pStyle w:val="Tabletext"/>
              <w:ind w:right="113"/>
              <w:jc w:val="right"/>
            </w:pPr>
            <w:r w:rsidRPr="000C23E0">
              <w:t>316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AA75C5" w14:textId="77777777" w:rsidR="001D5426" w:rsidRPr="000C23E0" w:rsidRDefault="001D5426" w:rsidP="00F01119">
            <w:pPr>
              <w:pStyle w:val="Tabletext"/>
              <w:ind w:right="113"/>
              <w:jc w:val="right"/>
            </w:pPr>
            <w:r w:rsidRPr="000C23E0">
              <w:t>311</w:t>
            </w:r>
          </w:p>
        </w:tc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74E654" w14:textId="77777777" w:rsidR="001D5426" w:rsidRPr="000C23E0" w:rsidRDefault="001D5426" w:rsidP="00F01119">
            <w:pPr>
              <w:pStyle w:val="Tabletext"/>
              <w:ind w:right="113"/>
              <w:jc w:val="right"/>
            </w:pPr>
            <w:r w:rsidRPr="000C23E0">
              <w:t>323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B4DD3D" w14:textId="77777777" w:rsidR="001D5426" w:rsidRPr="000C23E0" w:rsidRDefault="001D5426" w:rsidP="00F01119">
            <w:pPr>
              <w:pStyle w:val="Tabletext"/>
              <w:ind w:right="113"/>
              <w:jc w:val="right"/>
            </w:pPr>
            <w:r w:rsidRPr="000C23E0">
              <w:t>330</w:t>
            </w:r>
          </w:p>
        </w:tc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9833E4" w14:textId="77777777" w:rsidR="001D5426" w:rsidRPr="000C23E0" w:rsidRDefault="001D5426" w:rsidP="00F01119">
            <w:pPr>
              <w:pStyle w:val="Tabletext"/>
              <w:ind w:right="113"/>
              <w:jc w:val="right"/>
            </w:pPr>
            <w:r w:rsidRPr="000C23E0">
              <w:t>346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0B9DA6" w14:textId="77777777" w:rsidR="001D5426" w:rsidRPr="000C23E0" w:rsidRDefault="001D5426" w:rsidP="00F01119">
            <w:pPr>
              <w:pStyle w:val="Tabletext"/>
              <w:ind w:right="113"/>
              <w:jc w:val="right"/>
            </w:pPr>
            <w:r w:rsidRPr="000C23E0">
              <w:t>338</w:t>
            </w:r>
          </w:p>
        </w:tc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ABD1C2" w14:textId="77777777" w:rsidR="001D5426" w:rsidRPr="000C23E0" w:rsidRDefault="001D5426" w:rsidP="00F01119">
            <w:pPr>
              <w:pStyle w:val="Tabletext"/>
              <w:ind w:right="113"/>
              <w:jc w:val="right"/>
            </w:pPr>
            <w:r w:rsidRPr="000C23E0">
              <w:t>340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9ABAE4" w14:textId="77777777" w:rsidR="001D5426" w:rsidRPr="000C23E0" w:rsidRDefault="001D5426" w:rsidP="00F01119">
            <w:pPr>
              <w:pStyle w:val="Tabletext"/>
              <w:ind w:right="113"/>
              <w:jc w:val="right"/>
            </w:pPr>
            <w:r w:rsidRPr="000C23E0">
              <w:t>331</w:t>
            </w:r>
          </w:p>
        </w:tc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00BE9A" w14:textId="0D10FB1E" w:rsidR="001D5426" w:rsidRPr="000C23E0" w:rsidRDefault="001D5426" w:rsidP="00F01119">
            <w:pPr>
              <w:pStyle w:val="Tabletext"/>
              <w:ind w:right="113"/>
              <w:jc w:val="right"/>
            </w:pPr>
            <w:r w:rsidRPr="000C23E0">
              <w:t>318</w:t>
            </w:r>
          </w:p>
        </w:tc>
        <w:tc>
          <w:tcPr>
            <w:tcW w:w="724" w:type="dxa"/>
            <w:vAlign w:val="bottom"/>
            <w:hideMark/>
          </w:tcPr>
          <w:p w14:paraId="099D0ADE" w14:textId="77777777" w:rsidR="001D5426" w:rsidRPr="000C23E0" w:rsidRDefault="001D5426" w:rsidP="00F01119">
            <w:pPr>
              <w:pStyle w:val="Tabletext"/>
              <w:ind w:right="113"/>
              <w:jc w:val="right"/>
            </w:pPr>
            <w:r w:rsidRPr="000C23E0">
              <w:t>310</w:t>
            </w:r>
          </w:p>
        </w:tc>
        <w:tc>
          <w:tcPr>
            <w:tcW w:w="724" w:type="dxa"/>
            <w:vAlign w:val="bottom"/>
          </w:tcPr>
          <w:p w14:paraId="68B68FEF" w14:textId="77777777" w:rsidR="001D5426" w:rsidRPr="000C23E0" w:rsidRDefault="001D5426" w:rsidP="00F01119">
            <w:pPr>
              <w:pStyle w:val="Tabletext"/>
              <w:ind w:right="113"/>
              <w:jc w:val="right"/>
            </w:pPr>
            <w:r w:rsidRPr="000C23E0">
              <w:t>307</w:t>
            </w:r>
          </w:p>
        </w:tc>
      </w:tr>
      <w:tr w:rsidR="001D5426" w:rsidRPr="000C23E0" w14:paraId="6B380961" w14:textId="77777777" w:rsidTr="00FB3DB6">
        <w:trPr>
          <w:jc w:val="center"/>
        </w:trPr>
        <w:tc>
          <w:tcPr>
            <w:tcW w:w="1822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4EEDE" w14:textId="513E3240" w:rsidR="001D5426" w:rsidRPr="000C23E0" w:rsidRDefault="001D5426" w:rsidP="001D5426">
            <w:pPr>
              <w:pStyle w:val="Tabletext"/>
              <w:rPr>
                <w:b/>
                <w:bCs/>
              </w:rPr>
            </w:pPr>
            <w:r w:rsidRPr="000C23E0">
              <w:rPr>
                <w:b/>
                <w:bCs/>
                <w:lang w:eastAsia="zh-CN"/>
              </w:rPr>
              <w:t>Ассоциированные члены</w:t>
            </w:r>
          </w:p>
        </w:tc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FCA2A6" w14:textId="77777777" w:rsidR="001D5426" w:rsidRPr="000C23E0" w:rsidRDefault="001D5426" w:rsidP="00F01119">
            <w:pPr>
              <w:pStyle w:val="Tabletext"/>
              <w:ind w:right="113"/>
              <w:jc w:val="right"/>
            </w:pPr>
            <w:r w:rsidRPr="000C23E0">
              <w:t>3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F898A3" w14:textId="77777777" w:rsidR="001D5426" w:rsidRPr="000C23E0" w:rsidRDefault="001D5426" w:rsidP="00F01119">
            <w:pPr>
              <w:pStyle w:val="Tabletext"/>
              <w:ind w:right="113"/>
              <w:jc w:val="right"/>
            </w:pPr>
            <w:r w:rsidRPr="000C23E0">
              <w:t>5</w:t>
            </w:r>
          </w:p>
        </w:tc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04995A" w14:textId="77777777" w:rsidR="001D5426" w:rsidRPr="000C23E0" w:rsidRDefault="001D5426" w:rsidP="00F01119">
            <w:pPr>
              <w:pStyle w:val="Tabletext"/>
              <w:ind w:right="113"/>
              <w:jc w:val="right"/>
            </w:pPr>
            <w:r w:rsidRPr="000C23E0">
              <w:t>6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7C005D" w14:textId="77777777" w:rsidR="001D5426" w:rsidRPr="000C23E0" w:rsidRDefault="001D5426" w:rsidP="00F01119">
            <w:pPr>
              <w:pStyle w:val="Tabletext"/>
              <w:ind w:right="113"/>
              <w:jc w:val="right"/>
            </w:pPr>
            <w:r w:rsidRPr="000C23E0">
              <w:t>7</w:t>
            </w:r>
          </w:p>
        </w:tc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26D47E" w14:textId="77777777" w:rsidR="001D5426" w:rsidRPr="000C23E0" w:rsidRDefault="001D5426" w:rsidP="00F01119">
            <w:pPr>
              <w:pStyle w:val="Tabletext"/>
              <w:ind w:right="113"/>
              <w:jc w:val="right"/>
            </w:pPr>
            <w:r w:rsidRPr="000C23E0">
              <w:t>9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B29E0B" w14:textId="77777777" w:rsidR="001D5426" w:rsidRPr="000C23E0" w:rsidRDefault="001D5426" w:rsidP="00F01119">
            <w:pPr>
              <w:pStyle w:val="Tabletext"/>
              <w:ind w:right="113"/>
              <w:jc w:val="right"/>
            </w:pPr>
            <w:r w:rsidRPr="000C23E0">
              <w:t>10</w:t>
            </w:r>
          </w:p>
        </w:tc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65F5A6" w14:textId="77777777" w:rsidR="001D5426" w:rsidRPr="000C23E0" w:rsidRDefault="001D5426" w:rsidP="00F01119">
            <w:pPr>
              <w:pStyle w:val="Tabletext"/>
              <w:ind w:right="113"/>
              <w:jc w:val="right"/>
            </w:pPr>
            <w:r w:rsidRPr="000C23E0">
              <w:t>11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8D9921" w14:textId="77777777" w:rsidR="001D5426" w:rsidRPr="000C23E0" w:rsidRDefault="001D5426" w:rsidP="00F01119">
            <w:pPr>
              <w:pStyle w:val="Tabletext"/>
              <w:ind w:right="113"/>
              <w:jc w:val="right"/>
            </w:pPr>
            <w:r w:rsidRPr="000C23E0">
              <w:t>12</w:t>
            </w:r>
          </w:p>
        </w:tc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3846D3" w14:textId="77777777" w:rsidR="001D5426" w:rsidRPr="000C23E0" w:rsidRDefault="001D5426" w:rsidP="00F01119">
            <w:pPr>
              <w:pStyle w:val="Tabletext"/>
              <w:ind w:right="113"/>
              <w:jc w:val="right"/>
            </w:pPr>
            <w:r w:rsidRPr="000C23E0">
              <w:t>12</w:t>
            </w:r>
          </w:p>
        </w:tc>
        <w:tc>
          <w:tcPr>
            <w:tcW w:w="724" w:type="dxa"/>
            <w:vAlign w:val="bottom"/>
            <w:hideMark/>
          </w:tcPr>
          <w:p w14:paraId="3C020390" w14:textId="77777777" w:rsidR="001D5426" w:rsidRPr="000C23E0" w:rsidRDefault="001D5426" w:rsidP="00F01119">
            <w:pPr>
              <w:pStyle w:val="Tabletext"/>
              <w:ind w:right="113"/>
              <w:jc w:val="right"/>
            </w:pPr>
            <w:r w:rsidRPr="000C23E0">
              <w:t>14</w:t>
            </w:r>
          </w:p>
        </w:tc>
        <w:tc>
          <w:tcPr>
            <w:tcW w:w="724" w:type="dxa"/>
            <w:vAlign w:val="bottom"/>
          </w:tcPr>
          <w:p w14:paraId="344F8F45" w14:textId="77777777" w:rsidR="001D5426" w:rsidRPr="000C23E0" w:rsidRDefault="001D5426" w:rsidP="00F01119">
            <w:pPr>
              <w:pStyle w:val="Tabletext"/>
              <w:ind w:right="113"/>
              <w:jc w:val="right"/>
            </w:pPr>
            <w:r w:rsidRPr="000C23E0">
              <w:t>17</w:t>
            </w:r>
          </w:p>
        </w:tc>
      </w:tr>
      <w:tr w:rsidR="001D5426" w:rsidRPr="000C23E0" w14:paraId="0FCFC3F3" w14:textId="77777777" w:rsidTr="00FB3DB6">
        <w:trPr>
          <w:jc w:val="center"/>
        </w:trPr>
        <w:tc>
          <w:tcPr>
            <w:tcW w:w="1822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CBABC" w14:textId="499CF473" w:rsidR="001D5426" w:rsidRPr="000C23E0" w:rsidRDefault="001D5426" w:rsidP="001D5426">
            <w:pPr>
              <w:pStyle w:val="Tabletext"/>
              <w:rPr>
                <w:b/>
                <w:bCs/>
              </w:rPr>
            </w:pPr>
            <w:r w:rsidRPr="000C23E0">
              <w:rPr>
                <w:b/>
                <w:bCs/>
                <w:lang w:eastAsia="zh-CN"/>
              </w:rPr>
              <w:t>Академические организации</w:t>
            </w:r>
          </w:p>
        </w:tc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2498BC" w14:textId="11FA3455" w:rsidR="001D5426" w:rsidRPr="000C23E0" w:rsidRDefault="001D5426" w:rsidP="00F01119">
            <w:pPr>
              <w:pStyle w:val="Tabletext"/>
              <w:ind w:right="113"/>
              <w:jc w:val="right"/>
            </w:pPr>
            <w:r w:rsidRPr="000C23E0">
              <w:t>−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04475A" w14:textId="4A0E0329" w:rsidR="001D5426" w:rsidRPr="000C23E0" w:rsidRDefault="001D5426" w:rsidP="00F01119">
            <w:pPr>
              <w:pStyle w:val="Tabletext"/>
              <w:ind w:right="113"/>
              <w:jc w:val="right"/>
            </w:pPr>
            <w:r w:rsidRPr="000C23E0">
              <w:t>−</w:t>
            </w:r>
          </w:p>
        </w:tc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32267B" w14:textId="77777777" w:rsidR="001D5426" w:rsidRPr="000C23E0" w:rsidRDefault="001D5426" w:rsidP="00F01119">
            <w:pPr>
              <w:pStyle w:val="Tabletext"/>
              <w:ind w:right="113"/>
              <w:jc w:val="right"/>
            </w:pPr>
            <w:r w:rsidRPr="000C23E0">
              <w:t>25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FB0DE9" w14:textId="77777777" w:rsidR="001D5426" w:rsidRPr="000C23E0" w:rsidRDefault="001D5426" w:rsidP="00F01119">
            <w:pPr>
              <w:pStyle w:val="Tabletext"/>
              <w:ind w:right="113"/>
              <w:jc w:val="right"/>
            </w:pPr>
            <w:r w:rsidRPr="000C23E0">
              <w:t>36</w:t>
            </w:r>
          </w:p>
        </w:tc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51533A" w14:textId="77777777" w:rsidR="001D5426" w:rsidRPr="000C23E0" w:rsidRDefault="001D5426" w:rsidP="00F01119">
            <w:pPr>
              <w:pStyle w:val="Tabletext"/>
              <w:ind w:right="113"/>
              <w:jc w:val="right"/>
            </w:pPr>
            <w:r w:rsidRPr="000C23E0">
              <w:t>45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F298A9" w14:textId="77777777" w:rsidR="001D5426" w:rsidRPr="000C23E0" w:rsidRDefault="001D5426" w:rsidP="00F01119">
            <w:pPr>
              <w:pStyle w:val="Tabletext"/>
              <w:ind w:right="113"/>
              <w:jc w:val="right"/>
            </w:pPr>
            <w:r w:rsidRPr="000C23E0">
              <w:t>86</w:t>
            </w:r>
          </w:p>
        </w:tc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D754E7" w14:textId="77777777" w:rsidR="001D5426" w:rsidRPr="000C23E0" w:rsidRDefault="001D5426" w:rsidP="00F01119">
            <w:pPr>
              <w:pStyle w:val="Tabletext"/>
              <w:ind w:right="113"/>
              <w:jc w:val="right"/>
            </w:pPr>
            <w:r w:rsidRPr="000C23E0">
              <w:t>109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E0DCA9" w14:textId="77777777" w:rsidR="001D5426" w:rsidRPr="000C23E0" w:rsidRDefault="001D5426" w:rsidP="00F01119">
            <w:pPr>
              <w:pStyle w:val="Tabletext"/>
              <w:ind w:right="113"/>
              <w:jc w:val="right"/>
            </w:pPr>
            <w:r w:rsidRPr="000C23E0">
              <w:t>107</w:t>
            </w:r>
          </w:p>
        </w:tc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7E28D2" w14:textId="77777777" w:rsidR="001D5426" w:rsidRPr="000C23E0" w:rsidRDefault="001D5426" w:rsidP="00F01119">
            <w:pPr>
              <w:pStyle w:val="Tabletext"/>
              <w:ind w:right="113"/>
              <w:jc w:val="right"/>
            </w:pPr>
            <w:r w:rsidRPr="000C23E0">
              <w:t>125</w:t>
            </w:r>
          </w:p>
        </w:tc>
        <w:tc>
          <w:tcPr>
            <w:tcW w:w="724" w:type="dxa"/>
            <w:vAlign w:val="bottom"/>
            <w:hideMark/>
          </w:tcPr>
          <w:p w14:paraId="23F0C992" w14:textId="77777777" w:rsidR="001D5426" w:rsidRPr="000C23E0" w:rsidRDefault="001D5426" w:rsidP="00F01119">
            <w:pPr>
              <w:pStyle w:val="Tabletext"/>
              <w:ind w:right="113"/>
              <w:jc w:val="right"/>
            </w:pPr>
            <w:r w:rsidRPr="000C23E0">
              <w:t>156</w:t>
            </w:r>
          </w:p>
        </w:tc>
        <w:tc>
          <w:tcPr>
            <w:tcW w:w="724" w:type="dxa"/>
            <w:vAlign w:val="bottom"/>
          </w:tcPr>
          <w:p w14:paraId="6771B23D" w14:textId="77777777" w:rsidR="001D5426" w:rsidRPr="000C23E0" w:rsidRDefault="001D5426" w:rsidP="00F01119">
            <w:pPr>
              <w:pStyle w:val="Tabletext"/>
              <w:ind w:right="113"/>
              <w:jc w:val="right"/>
            </w:pPr>
            <w:r w:rsidRPr="000C23E0">
              <w:t>163</w:t>
            </w:r>
          </w:p>
        </w:tc>
      </w:tr>
      <w:tr w:rsidR="001D5426" w:rsidRPr="000C23E0" w14:paraId="7F39469D" w14:textId="77777777" w:rsidTr="00FB3DB6">
        <w:trPr>
          <w:jc w:val="center"/>
        </w:trPr>
        <w:tc>
          <w:tcPr>
            <w:tcW w:w="1822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D096F" w14:textId="50AA3C4B" w:rsidR="001D5426" w:rsidRPr="000C23E0" w:rsidRDefault="001D5426" w:rsidP="001D5426">
            <w:pPr>
              <w:pStyle w:val="Tabletext"/>
            </w:pPr>
            <w:r w:rsidRPr="000C23E0">
              <w:rPr>
                <w:b/>
                <w:bCs/>
                <w:lang w:eastAsia="zh-CN"/>
              </w:rPr>
              <w:t>ИТОГО</w:t>
            </w:r>
          </w:p>
        </w:tc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7FBE18" w14:textId="77777777" w:rsidR="001D5426" w:rsidRPr="000C23E0" w:rsidRDefault="001D5426" w:rsidP="00F01119">
            <w:pPr>
              <w:pStyle w:val="Tabletext"/>
              <w:ind w:right="113"/>
              <w:jc w:val="right"/>
              <w:rPr>
                <w:b/>
                <w:bCs/>
              </w:rPr>
            </w:pPr>
            <w:r w:rsidRPr="000C23E0">
              <w:rPr>
                <w:b/>
                <w:bCs/>
              </w:rPr>
              <w:t>319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AC5F3C" w14:textId="77777777" w:rsidR="001D5426" w:rsidRPr="000C23E0" w:rsidRDefault="001D5426" w:rsidP="00F01119">
            <w:pPr>
              <w:pStyle w:val="Tabletext"/>
              <w:ind w:right="113"/>
              <w:jc w:val="right"/>
              <w:rPr>
                <w:b/>
                <w:bCs/>
              </w:rPr>
            </w:pPr>
            <w:r w:rsidRPr="000C23E0">
              <w:rPr>
                <w:b/>
                <w:bCs/>
              </w:rPr>
              <w:t>316</w:t>
            </w:r>
          </w:p>
        </w:tc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CE4355" w14:textId="77777777" w:rsidR="001D5426" w:rsidRPr="000C23E0" w:rsidRDefault="001D5426" w:rsidP="00F01119">
            <w:pPr>
              <w:pStyle w:val="Tabletext"/>
              <w:ind w:right="113"/>
              <w:jc w:val="right"/>
              <w:rPr>
                <w:b/>
                <w:bCs/>
              </w:rPr>
            </w:pPr>
            <w:r w:rsidRPr="000C23E0">
              <w:rPr>
                <w:b/>
                <w:bCs/>
              </w:rPr>
              <w:t>354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F9F91C" w14:textId="77777777" w:rsidR="001D5426" w:rsidRPr="000C23E0" w:rsidRDefault="001D5426" w:rsidP="00F01119">
            <w:pPr>
              <w:pStyle w:val="Tabletext"/>
              <w:ind w:right="113"/>
              <w:jc w:val="right"/>
              <w:rPr>
                <w:b/>
                <w:bCs/>
              </w:rPr>
            </w:pPr>
            <w:r w:rsidRPr="000C23E0">
              <w:rPr>
                <w:b/>
                <w:bCs/>
              </w:rPr>
              <w:t>373</w:t>
            </w:r>
          </w:p>
        </w:tc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D669DD" w14:textId="77777777" w:rsidR="001D5426" w:rsidRPr="000C23E0" w:rsidRDefault="001D5426" w:rsidP="00F01119">
            <w:pPr>
              <w:pStyle w:val="Tabletext"/>
              <w:ind w:right="113"/>
              <w:jc w:val="right"/>
              <w:rPr>
                <w:b/>
                <w:bCs/>
              </w:rPr>
            </w:pPr>
            <w:r w:rsidRPr="000C23E0">
              <w:rPr>
                <w:b/>
                <w:bCs/>
              </w:rPr>
              <w:t>400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A7E9BA" w14:textId="77777777" w:rsidR="001D5426" w:rsidRPr="000C23E0" w:rsidRDefault="001D5426" w:rsidP="00F01119">
            <w:pPr>
              <w:pStyle w:val="Tabletext"/>
              <w:ind w:right="113"/>
              <w:jc w:val="right"/>
              <w:rPr>
                <w:b/>
                <w:bCs/>
              </w:rPr>
            </w:pPr>
            <w:r w:rsidRPr="000C23E0">
              <w:rPr>
                <w:b/>
                <w:bCs/>
              </w:rPr>
              <w:t>434</w:t>
            </w:r>
          </w:p>
        </w:tc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BE3F03" w14:textId="77777777" w:rsidR="001D5426" w:rsidRPr="000C23E0" w:rsidRDefault="001D5426" w:rsidP="00F01119">
            <w:pPr>
              <w:pStyle w:val="Tabletext"/>
              <w:ind w:right="113"/>
              <w:jc w:val="right"/>
              <w:rPr>
                <w:b/>
                <w:bCs/>
              </w:rPr>
            </w:pPr>
            <w:r w:rsidRPr="000C23E0">
              <w:rPr>
                <w:b/>
                <w:bCs/>
              </w:rPr>
              <w:t>460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844A01" w14:textId="31E9EC6B" w:rsidR="001D5426" w:rsidRPr="000C23E0" w:rsidRDefault="001D5426" w:rsidP="00F01119">
            <w:pPr>
              <w:pStyle w:val="Tabletext"/>
              <w:ind w:right="113"/>
              <w:jc w:val="right"/>
              <w:rPr>
                <w:b/>
                <w:bCs/>
              </w:rPr>
            </w:pPr>
            <w:r w:rsidRPr="000C23E0">
              <w:rPr>
                <w:b/>
                <w:bCs/>
              </w:rPr>
              <w:t>450</w:t>
            </w:r>
          </w:p>
        </w:tc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17E234" w14:textId="77777777" w:rsidR="001D5426" w:rsidRPr="000C23E0" w:rsidRDefault="001D5426" w:rsidP="00F01119">
            <w:pPr>
              <w:pStyle w:val="Tabletext"/>
              <w:ind w:right="113"/>
              <w:jc w:val="right"/>
              <w:rPr>
                <w:b/>
                <w:bCs/>
              </w:rPr>
            </w:pPr>
            <w:r w:rsidRPr="000C23E0">
              <w:rPr>
                <w:b/>
                <w:bCs/>
              </w:rPr>
              <w:t>455</w:t>
            </w:r>
          </w:p>
        </w:tc>
        <w:tc>
          <w:tcPr>
            <w:tcW w:w="724" w:type="dxa"/>
            <w:vAlign w:val="bottom"/>
            <w:hideMark/>
          </w:tcPr>
          <w:p w14:paraId="564DB690" w14:textId="77777777" w:rsidR="001D5426" w:rsidRPr="000C23E0" w:rsidRDefault="001D5426" w:rsidP="00F01119">
            <w:pPr>
              <w:pStyle w:val="Tabletext"/>
              <w:ind w:right="113"/>
              <w:jc w:val="right"/>
              <w:rPr>
                <w:b/>
                <w:bCs/>
              </w:rPr>
            </w:pPr>
            <w:r w:rsidRPr="000C23E0">
              <w:rPr>
                <w:b/>
                <w:bCs/>
              </w:rPr>
              <w:t>480</w:t>
            </w:r>
          </w:p>
        </w:tc>
        <w:tc>
          <w:tcPr>
            <w:tcW w:w="724" w:type="dxa"/>
            <w:vAlign w:val="bottom"/>
          </w:tcPr>
          <w:p w14:paraId="7E618BB3" w14:textId="77777777" w:rsidR="001D5426" w:rsidRPr="000C23E0" w:rsidRDefault="001D5426" w:rsidP="00F01119">
            <w:pPr>
              <w:pStyle w:val="Tabletext"/>
              <w:ind w:right="113"/>
              <w:jc w:val="right"/>
              <w:rPr>
                <w:b/>
                <w:bCs/>
              </w:rPr>
            </w:pPr>
            <w:r w:rsidRPr="000C23E0">
              <w:rPr>
                <w:b/>
                <w:bCs/>
              </w:rPr>
              <w:t>487</w:t>
            </w:r>
          </w:p>
        </w:tc>
      </w:tr>
    </w:tbl>
    <w:p w14:paraId="5356E726" w14:textId="2AD56823" w:rsidR="00113D06" w:rsidRPr="000C23E0" w:rsidRDefault="0055230A" w:rsidP="00672F1F">
      <w:pPr>
        <w:spacing w:before="240"/>
      </w:pPr>
      <w:r w:rsidRPr="000C23E0">
        <w:t>На графике, ниже, показано изменение членского состава МСЭ</w:t>
      </w:r>
      <w:r w:rsidR="00113D06" w:rsidRPr="000C23E0">
        <w:t xml:space="preserve">-D </w:t>
      </w:r>
      <w:r w:rsidRPr="000C23E0">
        <w:t>с</w:t>
      </w:r>
      <w:r w:rsidR="00113D06" w:rsidRPr="000C23E0">
        <w:t xml:space="preserve"> 1994 </w:t>
      </w:r>
      <w:r w:rsidRPr="000C23E0">
        <w:t>по</w:t>
      </w:r>
      <w:r w:rsidR="00113D06" w:rsidRPr="000C23E0">
        <w:t xml:space="preserve"> 2019</w:t>
      </w:r>
      <w:r w:rsidRPr="000C23E0">
        <w:t xml:space="preserve"> </w:t>
      </w:r>
      <w:r w:rsidR="00DE56F9" w:rsidRPr="000C23E0">
        <w:t>год</w:t>
      </w:r>
      <w:r w:rsidR="00113D06" w:rsidRPr="000C23E0">
        <w:t xml:space="preserve">, </w:t>
      </w:r>
      <w:r w:rsidRPr="000C23E0">
        <w:t xml:space="preserve">указывающее на общий стабильный рост числа </w:t>
      </w:r>
      <w:r w:rsidR="00DE56F9" w:rsidRPr="000C23E0">
        <w:t>членов</w:t>
      </w:r>
      <w:r w:rsidR="00113D06" w:rsidRPr="000C23E0">
        <w:t>.</w:t>
      </w:r>
    </w:p>
    <w:p w14:paraId="47EE8F38" w14:textId="77777777" w:rsidR="00113D06" w:rsidRPr="000C23E0" w:rsidRDefault="00113D06" w:rsidP="00672F1F">
      <w:pPr>
        <w:jc w:val="center"/>
      </w:pPr>
      <w:r w:rsidRPr="000C23E0">
        <w:rPr>
          <w:noProof/>
        </w:rPr>
        <w:drawing>
          <wp:inline distT="0" distB="0" distL="0" distR="0" wp14:anchorId="5C92E86B" wp14:editId="1FA16F2B">
            <wp:extent cx="5717355" cy="2673350"/>
            <wp:effectExtent l="0" t="0" r="17145" b="12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5F93F32" w14:textId="235172CE" w:rsidR="00113D06" w:rsidRPr="000C23E0" w:rsidRDefault="00113D06" w:rsidP="00672F1F">
      <w:pPr>
        <w:pStyle w:val="Heading2"/>
        <w:rPr>
          <w:u w:val="single"/>
        </w:rPr>
      </w:pPr>
      <w:r w:rsidRPr="000C23E0">
        <w:lastRenderedPageBreak/>
        <w:t>3.1</w:t>
      </w:r>
      <w:r w:rsidR="00672F1F" w:rsidRPr="000C23E0">
        <w:tab/>
      </w:r>
      <w:r w:rsidR="00EA4DCB" w:rsidRPr="000C23E0">
        <w:t xml:space="preserve">Члены Сектора и Ассоциированные члены в </w:t>
      </w:r>
      <w:r w:rsidRPr="000C23E0">
        <w:t>2019</w:t>
      </w:r>
      <w:r w:rsidR="00EA4DCB" w:rsidRPr="000C23E0">
        <w:t xml:space="preserve"> году</w:t>
      </w:r>
    </w:p>
    <w:p w14:paraId="65FA318F" w14:textId="2605A524" w:rsidR="00113D06" w:rsidRPr="000C23E0" w:rsidRDefault="00827736" w:rsidP="00113D06">
      <w:r w:rsidRPr="000C23E0">
        <w:t xml:space="preserve">В 2019 году к работе МСЭ-D присоединились </w:t>
      </w:r>
      <w:r w:rsidR="00113D06" w:rsidRPr="000C23E0">
        <w:rPr>
          <w:b/>
          <w:i/>
        </w:rPr>
        <w:t xml:space="preserve">13 </w:t>
      </w:r>
      <w:r w:rsidRPr="000C23E0">
        <w:rPr>
          <w:b/>
          <w:i/>
        </w:rPr>
        <w:t>новых Членов Сектора</w:t>
      </w:r>
      <w:r w:rsidR="00113D06" w:rsidRPr="000C23E0">
        <w:t>: AEPF (</w:t>
      </w:r>
      <w:r w:rsidR="00EA4DCB" w:rsidRPr="000C23E0">
        <w:t>Чад</w:t>
      </w:r>
      <w:r w:rsidR="00113D06" w:rsidRPr="000C23E0">
        <w:t>), Amazon Web Services (</w:t>
      </w:r>
      <w:r w:rsidR="00EA4DCB" w:rsidRPr="000C23E0">
        <w:t>Соединенные Штаты</w:t>
      </w:r>
      <w:r w:rsidR="00113D06" w:rsidRPr="000C23E0">
        <w:t>), ANSUT (</w:t>
      </w:r>
      <w:r w:rsidR="00EA4DCB" w:rsidRPr="000C23E0">
        <w:t>Кот-д'Ивуар</w:t>
      </w:r>
      <w:r w:rsidR="00113D06" w:rsidRPr="000C23E0">
        <w:t>), BCSL (</w:t>
      </w:r>
      <w:r w:rsidR="00EA4DCB" w:rsidRPr="000C23E0">
        <w:t>Бангладеш</w:t>
      </w:r>
      <w:r w:rsidR="00113D06" w:rsidRPr="000C23E0">
        <w:t>), Hughes Network Systems LLC (</w:t>
      </w:r>
      <w:r w:rsidR="00EA4DCB" w:rsidRPr="000C23E0">
        <w:t>Соединенные Штаты</w:t>
      </w:r>
      <w:r w:rsidR="00113D06" w:rsidRPr="000C23E0">
        <w:t xml:space="preserve">), </w:t>
      </w:r>
      <w:r w:rsidR="00DE56F9" w:rsidRPr="000C23E0">
        <w:t>Корпорация Интернет по присваиванию наименований и номеров (</w:t>
      </w:r>
      <w:r w:rsidR="00113D06" w:rsidRPr="000C23E0">
        <w:t>ICANN</w:t>
      </w:r>
      <w:r w:rsidR="00DE56F9" w:rsidRPr="000C23E0">
        <w:t>,</w:t>
      </w:r>
      <w:r w:rsidR="00113D06" w:rsidRPr="000C23E0">
        <w:t xml:space="preserve"> </w:t>
      </w:r>
      <w:r w:rsidR="00EA4DCB" w:rsidRPr="000C23E0">
        <w:t>Соединенные Штаты</w:t>
      </w:r>
      <w:r w:rsidR="00113D06" w:rsidRPr="000C23E0">
        <w:t>), Loon LLC (</w:t>
      </w:r>
      <w:r w:rsidR="00EA4DCB" w:rsidRPr="000C23E0">
        <w:t>Соединенные Штаты</w:t>
      </w:r>
      <w:r w:rsidR="00113D06" w:rsidRPr="000C23E0">
        <w:t>), Mada-Qatar Assistive Technology Center (</w:t>
      </w:r>
      <w:r w:rsidR="00EA4DCB" w:rsidRPr="000C23E0">
        <w:t>Катар</w:t>
      </w:r>
      <w:r w:rsidR="00113D06" w:rsidRPr="000C23E0">
        <w:t>), MTN Group Management Services (</w:t>
      </w:r>
      <w:r w:rsidR="00EA4DCB" w:rsidRPr="000C23E0">
        <w:t>Южная Африка</w:t>
      </w:r>
      <w:r w:rsidR="00113D06" w:rsidRPr="000C23E0">
        <w:t>), Reliance JIO Infocom (</w:t>
      </w:r>
      <w:r w:rsidR="00EA4DCB" w:rsidRPr="000C23E0">
        <w:t>Индия</w:t>
      </w:r>
      <w:r w:rsidR="00113D06" w:rsidRPr="000C23E0">
        <w:t>), Sharing Mobile Group (</w:t>
      </w:r>
      <w:r w:rsidR="00EA4DCB" w:rsidRPr="000C23E0">
        <w:t>Китай</w:t>
      </w:r>
      <w:r w:rsidR="00113D06" w:rsidRPr="000C23E0">
        <w:t>), Subah Infosolutions Ghana Limited (</w:t>
      </w:r>
      <w:r w:rsidR="00EA4DCB" w:rsidRPr="000C23E0">
        <w:t>Гана</w:t>
      </w:r>
      <w:r w:rsidR="00113D06" w:rsidRPr="000C23E0">
        <w:t>), U Mobile Sdn Bhd (</w:t>
      </w:r>
      <w:r w:rsidR="00EA4DCB" w:rsidRPr="000C23E0">
        <w:t>Малайзия</w:t>
      </w:r>
      <w:r w:rsidR="00113D06" w:rsidRPr="000C23E0">
        <w:t>), ViaSat Inc (</w:t>
      </w:r>
      <w:r w:rsidR="00EA4DCB" w:rsidRPr="000C23E0">
        <w:t>США</w:t>
      </w:r>
      <w:r w:rsidR="00113D06" w:rsidRPr="000C23E0">
        <w:t>).</w:t>
      </w:r>
      <w:r w:rsidR="009E1355" w:rsidRPr="000C23E0">
        <w:t xml:space="preserve"> К</w:t>
      </w:r>
      <w:r w:rsidR="00DE56F9" w:rsidRPr="000C23E0">
        <w:t> </w:t>
      </w:r>
      <w:r w:rsidR="009E1355" w:rsidRPr="000C23E0">
        <w:t>МСЭ</w:t>
      </w:r>
      <w:r w:rsidR="00113D06" w:rsidRPr="000C23E0">
        <w:t xml:space="preserve">-D </w:t>
      </w:r>
      <w:r w:rsidR="009E1355" w:rsidRPr="000C23E0">
        <w:t>также присоединились</w:t>
      </w:r>
      <w:r w:rsidR="00113D06" w:rsidRPr="000C23E0">
        <w:t xml:space="preserve"> </w:t>
      </w:r>
      <w:r w:rsidR="00113D06" w:rsidRPr="000C23E0">
        <w:rPr>
          <w:b/>
          <w:i/>
        </w:rPr>
        <w:t>5</w:t>
      </w:r>
      <w:r w:rsidR="00EA4DCB" w:rsidRPr="000C23E0">
        <w:rPr>
          <w:b/>
          <w:i/>
        </w:rPr>
        <w:t> </w:t>
      </w:r>
      <w:r w:rsidR="009E1355" w:rsidRPr="000C23E0">
        <w:rPr>
          <w:b/>
          <w:i/>
        </w:rPr>
        <w:t>новых Ассоциированных членов</w:t>
      </w:r>
      <w:r w:rsidR="00113D06" w:rsidRPr="000C23E0">
        <w:t>: Afilias Ltd (</w:t>
      </w:r>
      <w:r w:rsidR="00EA4DCB" w:rsidRPr="000C23E0">
        <w:t>Ирландия</w:t>
      </w:r>
      <w:r w:rsidR="00113D06" w:rsidRPr="000C23E0">
        <w:t>), CACF-3g Technologies (</w:t>
      </w:r>
      <w:r w:rsidR="00EA4DCB" w:rsidRPr="000C23E0">
        <w:t>Пакистан</w:t>
      </w:r>
      <w:r w:rsidR="00113D06" w:rsidRPr="000C23E0">
        <w:t>), Codewise (</w:t>
      </w:r>
      <w:r w:rsidR="00EA4DCB" w:rsidRPr="000C23E0">
        <w:t>Польша</w:t>
      </w:r>
      <w:r w:rsidR="00113D06" w:rsidRPr="000C23E0">
        <w:t>), PWC (</w:t>
      </w:r>
      <w:r w:rsidR="00EA4DCB" w:rsidRPr="000C23E0">
        <w:t>Швейцария</w:t>
      </w:r>
      <w:r w:rsidR="00113D06" w:rsidRPr="000C23E0">
        <w:t>), Silensec (</w:t>
      </w:r>
      <w:r w:rsidR="00EA4DCB" w:rsidRPr="000C23E0">
        <w:t>Кения</w:t>
      </w:r>
      <w:r w:rsidR="00113D06" w:rsidRPr="000C23E0">
        <w:t>)</w:t>
      </w:r>
      <w:r w:rsidR="00EA4DCB" w:rsidRPr="000C23E0">
        <w:t>.</w:t>
      </w:r>
    </w:p>
    <w:p w14:paraId="4A4C3754" w14:textId="37141CF4" w:rsidR="00113D06" w:rsidRPr="000C23E0" w:rsidRDefault="00113D06" w:rsidP="00672F1F">
      <w:pPr>
        <w:pStyle w:val="Heading2"/>
      </w:pPr>
      <w:r w:rsidRPr="000C23E0">
        <w:t>3.2</w:t>
      </w:r>
      <w:r w:rsidR="00672F1F" w:rsidRPr="000C23E0">
        <w:tab/>
      </w:r>
      <w:r w:rsidR="00EA4DCB" w:rsidRPr="000C23E0">
        <w:t xml:space="preserve">Академические организации в </w:t>
      </w:r>
      <w:r w:rsidRPr="000C23E0">
        <w:t>2019</w:t>
      </w:r>
      <w:r w:rsidR="00EA4DCB" w:rsidRPr="000C23E0">
        <w:t xml:space="preserve"> году</w:t>
      </w:r>
    </w:p>
    <w:p w14:paraId="68F37F6F" w14:textId="7A7EDD64" w:rsidR="00113D06" w:rsidRPr="000C23E0" w:rsidRDefault="009E1355" w:rsidP="00113D06">
      <w:r w:rsidRPr="000C23E0">
        <w:t>Академические организации участвуют в работе всех трех Секторов МСЭ при уплате единого сбора. Начиная с 2011 года к МСЭ присоединились более</w:t>
      </w:r>
      <w:r w:rsidR="00113D06" w:rsidRPr="000C23E0">
        <w:t xml:space="preserve"> 200</w:t>
      </w:r>
      <w:r w:rsidR="00827736" w:rsidRPr="000C23E0">
        <w:t> </w:t>
      </w:r>
      <w:r w:rsidRPr="000C23E0">
        <w:t>Академических организаций</w:t>
      </w:r>
      <w:r w:rsidR="00113D06" w:rsidRPr="000C23E0">
        <w:t xml:space="preserve">. </w:t>
      </w:r>
      <w:r w:rsidRPr="000C23E0">
        <w:t xml:space="preserve">Этот сегмент имеет самые высокие темпы роста по сравнению с другими категориями </w:t>
      </w:r>
      <w:r w:rsidR="00D904F2" w:rsidRPr="000C23E0">
        <w:t>членов</w:t>
      </w:r>
      <w:r w:rsidR="00113D06" w:rsidRPr="000C23E0">
        <w:t xml:space="preserve">. </w:t>
      </w:r>
      <w:r w:rsidRPr="000C23E0">
        <w:t>В</w:t>
      </w:r>
      <w:r w:rsidR="00113D06" w:rsidRPr="000C23E0">
        <w:t xml:space="preserve"> 2019</w:t>
      </w:r>
      <w:r w:rsidRPr="000C23E0">
        <w:t xml:space="preserve"> году благодаря скоординированным Генеральным секретариатом усилиям</w:t>
      </w:r>
      <w:r w:rsidR="00113D06" w:rsidRPr="000C23E0">
        <w:t xml:space="preserve"> </w:t>
      </w:r>
      <w:r w:rsidR="00113D06" w:rsidRPr="000C23E0">
        <w:rPr>
          <w:b/>
          <w:i/>
        </w:rPr>
        <w:t xml:space="preserve">22 </w:t>
      </w:r>
      <w:r w:rsidRPr="000C23E0">
        <w:rPr>
          <w:b/>
          <w:i/>
        </w:rPr>
        <w:t xml:space="preserve">новые Академические организации </w:t>
      </w:r>
      <w:r w:rsidRPr="000C23E0">
        <w:t>присоединились к работе трех Секторов МСЭ</w:t>
      </w:r>
      <w:r w:rsidR="00EA4DCB" w:rsidRPr="000C23E0">
        <w:rPr>
          <w:rStyle w:val="FootnoteReference"/>
        </w:rPr>
        <w:footnoteReference w:id="5"/>
      </w:r>
      <w:r w:rsidR="00113D06" w:rsidRPr="000C23E0">
        <w:t>.</w:t>
      </w:r>
    </w:p>
    <w:p w14:paraId="606CB112" w14:textId="7AA6AFDD" w:rsidR="00113D06" w:rsidRPr="000C23E0" w:rsidRDefault="00EA4DCB" w:rsidP="00EA4DCB">
      <w:pPr>
        <w:pStyle w:val="Heading1"/>
      </w:pPr>
      <w:r w:rsidRPr="000C23E0">
        <w:t>4</w:t>
      </w:r>
      <w:r w:rsidRPr="000C23E0">
        <w:tab/>
        <w:t>Основные направления деятельности и результаты</w:t>
      </w:r>
    </w:p>
    <w:p w14:paraId="44D1E105" w14:textId="4D5B0249" w:rsidR="00113D06" w:rsidRPr="000C23E0" w:rsidRDefault="006A493E" w:rsidP="00113D06">
      <w:r w:rsidRPr="000C23E0">
        <w:t xml:space="preserve">БРЭ проводит серию стратегических мероприятий по расширению взаимодействия с </w:t>
      </w:r>
      <w:r w:rsidR="00DE56F9" w:rsidRPr="000C23E0">
        <w:t xml:space="preserve">членами </w:t>
      </w:r>
      <w:r w:rsidRPr="000C23E0">
        <w:t>МСЭ-D и их участия</w:t>
      </w:r>
      <w:r w:rsidR="00113D06" w:rsidRPr="000C23E0">
        <w:t xml:space="preserve"> </w:t>
      </w:r>
      <w:r w:rsidRPr="000C23E0">
        <w:t>в работе Сектора</w:t>
      </w:r>
      <w:r w:rsidR="00113D06" w:rsidRPr="000C23E0">
        <w:t xml:space="preserve">. </w:t>
      </w:r>
    </w:p>
    <w:p w14:paraId="42B262B8" w14:textId="37738003" w:rsidR="00113D06" w:rsidRPr="000C23E0" w:rsidRDefault="00EA4DCB" w:rsidP="00EA4DCB">
      <w:pPr>
        <w:pStyle w:val="Heading2"/>
      </w:pPr>
      <w:r w:rsidRPr="000C23E0">
        <w:t>4.1</w:t>
      </w:r>
      <w:r w:rsidRPr="000C23E0">
        <w:tab/>
      </w:r>
      <w:r w:rsidR="00827736" w:rsidRPr="000C23E0">
        <w:t>Инструменты и услуги для укрепления членского состава МСЭ-D</w:t>
      </w:r>
    </w:p>
    <w:p w14:paraId="508207E2" w14:textId="35FB78F9" w:rsidR="00113D06" w:rsidRPr="000C23E0" w:rsidRDefault="00375CD0" w:rsidP="00113D06">
      <w:r w:rsidRPr="000C23E0">
        <w:t>При тесном сотрудничестве с</w:t>
      </w:r>
      <w:r w:rsidR="00113D06" w:rsidRPr="000C23E0">
        <w:t xml:space="preserve"> </w:t>
      </w:r>
      <w:r w:rsidR="006A493E" w:rsidRPr="000C23E0">
        <w:t>Департамент</w:t>
      </w:r>
      <w:r w:rsidRPr="000C23E0">
        <w:t xml:space="preserve">ом </w:t>
      </w:r>
      <w:r w:rsidR="006A493E" w:rsidRPr="000C23E0">
        <w:t xml:space="preserve">по стратегическому планированию и связям с </w:t>
      </w:r>
      <w:r w:rsidR="007C2DC2" w:rsidRPr="000C23E0">
        <w:t xml:space="preserve">Членами </w:t>
      </w:r>
      <w:r w:rsidR="00113D06" w:rsidRPr="000C23E0">
        <w:t>(SPM)</w:t>
      </w:r>
      <w:r w:rsidRPr="000C23E0">
        <w:t xml:space="preserve"> в последнем квартале 2019 года БРЭ приступил</w:t>
      </w:r>
      <w:r w:rsidR="00384CA0" w:rsidRPr="000C23E0">
        <w:t>о</w:t>
      </w:r>
      <w:r w:rsidRPr="000C23E0">
        <w:t xml:space="preserve"> к использованию навигатора продаж</w:t>
      </w:r>
      <w:r w:rsidR="00113D06" w:rsidRPr="000C23E0">
        <w:t xml:space="preserve"> Linkedin </w:t>
      </w:r>
      <w:r w:rsidR="00DE56F9" w:rsidRPr="000C23E0">
        <w:t xml:space="preserve">в целях расширения </w:t>
      </w:r>
      <w:r w:rsidRPr="000C23E0">
        <w:t xml:space="preserve">доступа к отраслевым сетям ИКТ для привлечения большего количества потенциальных структур и увеличения количества </w:t>
      </w:r>
      <w:r w:rsidR="00DE56F9" w:rsidRPr="000C23E0">
        <w:t xml:space="preserve">членов </w:t>
      </w:r>
      <w:r w:rsidRPr="000C23E0">
        <w:t>МСЭ</w:t>
      </w:r>
      <w:r w:rsidR="00113D06" w:rsidRPr="000C23E0">
        <w:t xml:space="preserve">-D. </w:t>
      </w:r>
    </w:p>
    <w:p w14:paraId="2775372E" w14:textId="539811DB" w:rsidR="00113D06" w:rsidRPr="000C23E0" w:rsidRDefault="00375CD0" w:rsidP="00113D06">
      <w:r w:rsidRPr="000C23E0">
        <w:t xml:space="preserve">В целях привлечения и поощрения новых </w:t>
      </w:r>
      <w:r w:rsidR="00DE56F9" w:rsidRPr="000C23E0">
        <w:t xml:space="preserve">членов </w:t>
      </w:r>
      <w:r w:rsidRPr="000C23E0">
        <w:t>МСЭ</w:t>
      </w:r>
      <w:r w:rsidR="00113D06" w:rsidRPr="000C23E0">
        <w:t>-D</w:t>
      </w:r>
      <w:r w:rsidRPr="000C23E0">
        <w:t xml:space="preserve"> были разработаны, созданы и использ</w:t>
      </w:r>
      <w:r w:rsidR="002C4052" w:rsidRPr="000C23E0">
        <w:t>уются</w:t>
      </w:r>
      <w:r w:rsidRPr="000C23E0">
        <w:t xml:space="preserve"> два </w:t>
      </w:r>
      <w:r w:rsidR="007D59CB" w:rsidRPr="000C23E0">
        <w:t>комплекта</w:t>
      </w:r>
      <w:r w:rsidR="002C4052" w:rsidRPr="000C23E0">
        <w:t xml:space="preserve"> материалов</w:t>
      </w:r>
      <w:r w:rsidR="00113D06" w:rsidRPr="000C23E0">
        <w:t xml:space="preserve">. </w:t>
      </w:r>
      <w:r w:rsidR="002D5F25" w:rsidRPr="000C23E0">
        <w:t>"</w:t>
      </w:r>
      <w:r w:rsidR="002C4052" w:rsidRPr="000C23E0">
        <w:t>Набор информационных материалов</w:t>
      </w:r>
      <w:r w:rsidR="002D5F25" w:rsidRPr="000C23E0">
        <w:t>"</w:t>
      </w:r>
      <w:r w:rsidR="00113D06" w:rsidRPr="000C23E0">
        <w:t xml:space="preserve"> </w:t>
      </w:r>
      <w:r w:rsidR="002C4052" w:rsidRPr="000C23E0">
        <w:t>для перспективных членов</w:t>
      </w:r>
      <w:r w:rsidR="00113D06" w:rsidRPr="000C23E0">
        <w:t xml:space="preserve"> </w:t>
      </w:r>
      <w:r w:rsidR="002C4052" w:rsidRPr="000C23E0">
        <w:t>касается продвижения результатов работы МСЭ</w:t>
      </w:r>
      <w:r w:rsidR="00113D06" w:rsidRPr="000C23E0">
        <w:t>-D</w:t>
      </w:r>
      <w:r w:rsidR="002C4052" w:rsidRPr="000C23E0">
        <w:t xml:space="preserve">, а также </w:t>
      </w:r>
      <w:r w:rsidR="007D59CB" w:rsidRPr="000C23E0">
        <w:t xml:space="preserve">рассказывает о </w:t>
      </w:r>
      <w:r w:rsidR="002C4052" w:rsidRPr="000C23E0">
        <w:t>возможност</w:t>
      </w:r>
      <w:r w:rsidR="007D59CB" w:rsidRPr="000C23E0">
        <w:t>ях</w:t>
      </w:r>
      <w:r w:rsidR="002C4052" w:rsidRPr="000C23E0">
        <w:t xml:space="preserve"> и преимуществ</w:t>
      </w:r>
      <w:r w:rsidR="007D59CB" w:rsidRPr="000C23E0">
        <w:t>ах</w:t>
      </w:r>
      <w:r w:rsidR="002C4052" w:rsidRPr="000C23E0">
        <w:t xml:space="preserve"> присоединения к МСЭ</w:t>
      </w:r>
      <w:r w:rsidR="00113D06" w:rsidRPr="000C23E0">
        <w:t xml:space="preserve">-D. </w:t>
      </w:r>
      <w:r w:rsidR="002C4052" w:rsidRPr="000C23E0">
        <w:t>Второй</w:t>
      </w:r>
      <w:r w:rsidR="007D59CB" w:rsidRPr="000C23E0">
        <w:t xml:space="preserve"> комплект материалов </w:t>
      </w:r>
      <w:r w:rsidR="007E6B4A" w:rsidRPr="000C23E0">
        <w:t>–</w:t>
      </w:r>
      <w:r w:rsidR="007D59CB" w:rsidRPr="000C23E0">
        <w:t xml:space="preserve"> </w:t>
      </w:r>
      <w:r w:rsidR="002D5F25" w:rsidRPr="000C23E0">
        <w:t>"</w:t>
      </w:r>
      <w:r w:rsidR="007E6B4A" w:rsidRPr="000C23E0">
        <w:t xml:space="preserve">Набор </w:t>
      </w:r>
      <w:r w:rsidR="002C4052" w:rsidRPr="000C23E0">
        <w:t>материал</w:t>
      </w:r>
      <w:r w:rsidR="007D59CB" w:rsidRPr="000C23E0">
        <w:t>ов</w:t>
      </w:r>
      <w:r w:rsidR="002C4052" w:rsidRPr="000C23E0">
        <w:t xml:space="preserve"> для новых </w:t>
      </w:r>
      <w:r w:rsidR="007E6B4A" w:rsidRPr="000C23E0">
        <w:t>членов</w:t>
      </w:r>
      <w:r w:rsidR="002D5F25" w:rsidRPr="000C23E0">
        <w:t>"</w:t>
      </w:r>
      <w:r w:rsidR="007D59CB" w:rsidRPr="000C23E0">
        <w:t xml:space="preserve"> </w:t>
      </w:r>
      <w:r w:rsidR="007E6B4A" w:rsidRPr="000C23E0">
        <w:t>–</w:t>
      </w:r>
      <w:r w:rsidR="00113D06" w:rsidRPr="000C23E0">
        <w:t xml:space="preserve"> </w:t>
      </w:r>
      <w:r w:rsidR="002C4052" w:rsidRPr="000C23E0">
        <w:t xml:space="preserve">включает практическую информацию для новых </w:t>
      </w:r>
      <w:r w:rsidR="007E6B4A" w:rsidRPr="000C23E0">
        <w:t>членов</w:t>
      </w:r>
      <w:r w:rsidR="002C4052" w:rsidRPr="000C23E0">
        <w:t xml:space="preserve">, чтобы они могли </w:t>
      </w:r>
      <w:r w:rsidR="007D59CB" w:rsidRPr="000C23E0">
        <w:t>с выгодой использовать преимущества своего членства</w:t>
      </w:r>
      <w:r w:rsidR="00113D06" w:rsidRPr="000C23E0">
        <w:t xml:space="preserve">. </w:t>
      </w:r>
    </w:p>
    <w:p w14:paraId="56D29D87" w14:textId="7C67B553" w:rsidR="00113D06" w:rsidRPr="000C23E0" w:rsidRDefault="007D59CB" w:rsidP="00113D06">
      <w:r w:rsidRPr="000C23E0">
        <w:t>В марте 2019 года БРЭ провело</w:t>
      </w:r>
      <w:r w:rsidR="00893BA7" w:rsidRPr="000C23E0">
        <w:t xml:space="preserve"> семинар-практикум по вопросам совместной творческой работы для Академии</w:t>
      </w:r>
      <w:r w:rsidR="00113D06" w:rsidRPr="000C23E0">
        <w:t xml:space="preserve"> </w:t>
      </w:r>
      <w:r w:rsidR="00893BA7" w:rsidRPr="000C23E0">
        <w:t>с целью лучше понять потребности и ожидания академических и исследовательских организаций, связанных с МСЭ</w:t>
      </w:r>
      <w:r w:rsidR="00113D06" w:rsidRPr="000C23E0">
        <w:t xml:space="preserve">. </w:t>
      </w:r>
      <w:r w:rsidR="007E6B4A" w:rsidRPr="000C23E0">
        <w:t xml:space="preserve">Представители </w:t>
      </w:r>
      <w:r w:rsidR="00893BA7" w:rsidRPr="000C23E0">
        <w:t>Академи</w:t>
      </w:r>
      <w:r w:rsidR="007E6B4A" w:rsidRPr="000C23E0">
        <w:t>и</w:t>
      </w:r>
      <w:r w:rsidR="00113D06" w:rsidRPr="000C23E0">
        <w:t xml:space="preserve">, </w:t>
      </w:r>
      <w:r w:rsidR="007E6B4A" w:rsidRPr="000C23E0">
        <w:t xml:space="preserve">координаторы </w:t>
      </w:r>
      <w:r w:rsidR="00893BA7" w:rsidRPr="000C23E0">
        <w:t>БРЭ и другие заинтересованные стороны</w:t>
      </w:r>
      <w:r w:rsidR="00113D06" w:rsidRPr="000C23E0">
        <w:t xml:space="preserve"> </w:t>
      </w:r>
      <w:r w:rsidR="00893BA7" w:rsidRPr="000C23E0">
        <w:t xml:space="preserve">рассказали о своих историях успеха и представили предложения, </w:t>
      </w:r>
      <w:r w:rsidR="00306220" w:rsidRPr="000C23E0">
        <w:t>касающиеся</w:t>
      </w:r>
      <w:r w:rsidR="00893BA7" w:rsidRPr="000C23E0">
        <w:t xml:space="preserve"> новых направлений сотрудничества, </w:t>
      </w:r>
      <w:r w:rsidR="007E6B4A" w:rsidRPr="000C23E0">
        <w:t xml:space="preserve">помимо </w:t>
      </w:r>
      <w:r w:rsidR="00893BA7" w:rsidRPr="000C23E0">
        <w:t>вклад</w:t>
      </w:r>
      <w:r w:rsidR="007E6B4A" w:rsidRPr="000C23E0">
        <w:t>а</w:t>
      </w:r>
      <w:r w:rsidR="00893BA7" w:rsidRPr="000C23E0">
        <w:t xml:space="preserve"> Академии</w:t>
      </w:r>
      <w:r w:rsidR="007E6B4A" w:rsidRPr="000C23E0">
        <w:t xml:space="preserve"> для</w:t>
      </w:r>
      <w:r w:rsidR="00893BA7" w:rsidRPr="000C23E0">
        <w:t xml:space="preserve"> Журнал</w:t>
      </w:r>
      <w:r w:rsidR="007E6B4A" w:rsidRPr="000C23E0">
        <w:t>а</w:t>
      </w:r>
      <w:r w:rsidR="00893BA7" w:rsidRPr="000C23E0">
        <w:t xml:space="preserve"> МСЭ</w:t>
      </w:r>
      <w:r w:rsidR="00113D06" w:rsidRPr="000C23E0">
        <w:t xml:space="preserve">, </w:t>
      </w:r>
      <w:r w:rsidR="00893BA7" w:rsidRPr="000C23E0">
        <w:lastRenderedPageBreak/>
        <w:t>исследовательски</w:t>
      </w:r>
      <w:r w:rsidR="00306220" w:rsidRPr="000C23E0">
        <w:t>х</w:t>
      </w:r>
      <w:r w:rsidR="00893BA7" w:rsidRPr="000C23E0">
        <w:t xml:space="preserve"> комисси</w:t>
      </w:r>
      <w:r w:rsidR="00306220" w:rsidRPr="000C23E0">
        <w:t>й</w:t>
      </w:r>
      <w:r w:rsidR="00893BA7" w:rsidRPr="000C23E0">
        <w:t xml:space="preserve"> МСЭ</w:t>
      </w:r>
      <w:r w:rsidR="00306220" w:rsidRPr="000C23E0">
        <w:t xml:space="preserve"> и </w:t>
      </w:r>
      <w:r w:rsidR="007E6B4A" w:rsidRPr="000C23E0">
        <w:t xml:space="preserve">вклада </w:t>
      </w:r>
      <w:r w:rsidR="00306220" w:rsidRPr="000C23E0">
        <w:t>платформы Академии МСЭ</w:t>
      </w:r>
      <w:r w:rsidR="00113D06" w:rsidRPr="000C23E0">
        <w:t xml:space="preserve"> </w:t>
      </w:r>
      <w:r w:rsidR="00306220" w:rsidRPr="000C23E0">
        <w:t>в работу БРЭ</w:t>
      </w:r>
      <w:r w:rsidR="00113D06" w:rsidRPr="000C23E0">
        <w:t xml:space="preserve">. </w:t>
      </w:r>
      <w:r w:rsidR="00306220" w:rsidRPr="000C23E0">
        <w:t>Отчет</w:t>
      </w:r>
      <w:r w:rsidR="007E6B4A" w:rsidRPr="000C23E0">
        <w:t xml:space="preserve"> </w:t>
      </w:r>
      <w:r w:rsidR="00306220" w:rsidRPr="000C23E0">
        <w:t xml:space="preserve">приводится </w:t>
      </w:r>
      <w:hyperlink r:id="rId10" w:history="1">
        <w:r w:rsidR="00306220" w:rsidRPr="000C23E0">
          <w:rPr>
            <w:rStyle w:val="Hyperlink"/>
          </w:rPr>
          <w:t>здесь</w:t>
        </w:r>
      </w:hyperlink>
      <w:r w:rsidR="00113D06" w:rsidRPr="000C23E0">
        <w:t>.</w:t>
      </w:r>
    </w:p>
    <w:p w14:paraId="68F21843" w14:textId="6FC6866B" w:rsidR="00113D06" w:rsidRPr="000C23E0" w:rsidRDefault="00083975" w:rsidP="00113D06">
      <w:r w:rsidRPr="000C23E0">
        <w:t xml:space="preserve">БРЭ также провело двусторонние консультации с Академией в ходе мероприятий и собраний МСЭ в </w:t>
      </w:r>
      <w:r w:rsidR="00113D06" w:rsidRPr="000C23E0">
        <w:t>2019</w:t>
      </w:r>
      <w:r w:rsidRPr="000C23E0">
        <w:t xml:space="preserve"> году с целью расширения участия академических организаций в работе МСЭ</w:t>
      </w:r>
      <w:r w:rsidR="00113D06" w:rsidRPr="000C23E0">
        <w:t xml:space="preserve">-D. </w:t>
      </w:r>
    </w:p>
    <w:p w14:paraId="2A99A279" w14:textId="1EEA7BC6" w:rsidR="00113D06" w:rsidRPr="000C23E0" w:rsidRDefault="00EA4DCB" w:rsidP="00EA4DCB">
      <w:pPr>
        <w:pStyle w:val="Heading2"/>
      </w:pPr>
      <w:r w:rsidRPr="000C23E0">
        <w:t>4.2</w:t>
      </w:r>
      <w:r w:rsidRPr="000C23E0">
        <w:tab/>
      </w:r>
      <w:r w:rsidR="000F1541" w:rsidRPr="000C23E0">
        <w:t xml:space="preserve">Выполнение Резолюции </w:t>
      </w:r>
      <w:r w:rsidR="00113D06" w:rsidRPr="000C23E0">
        <w:t>71</w:t>
      </w:r>
      <w:r w:rsidRPr="000C23E0">
        <w:t xml:space="preserve"> </w:t>
      </w:r>
      <w:r w:rsidR="00113D06" w:rsidRPr="000C23E0">
        <w:t>(</w:t>
      </w:r>
      <w:r w:rsidRPr="000C23E0">
        <w:t>Пересм. Буэнос-Айрес</w:t>
      </w:r>
      <w:r w:rsidR="00113D06" w:rsidRPr="000C23E0">
        <w:t>, 2017</w:t>
      </w:r>
      <w:r w:rsidRPr="000C23E0">
        <w:t> г.</w:t>
      </w:r>
      <w:r w:rsidR="00113D06" w:rsidRPr="000C23E0">
        <w:t>)</w:t>
      </w:r>
    </w:p>
    <w:p w14:paraId="62FAD785" w14:textId="718DD8AE" w:rsidR="00113D06" w:rsidRPr="000C23E0" w:rsidRDefault="00083975" w:rsidP="00113D06">
      <w:r w:rsidRPr="000C23E0">
        <w:t>БРЭ провело серию мероприятий в соответствии с Резолюцией</w:t>
      </w:r>
      <w:r w:rsidR="00113D06" w:rsidRPr="000C23E0">
        <w:t xml:space="preserve"> 71 (</w:t>
      </w:r>
      <w:r w:rsidR="00E357A8" w:rsidRPr="000C23E0">
        <w:t>Пересм. Буэнос-Айрес</w:t>
      </w:r>
      <w:r w:rsidR="00113D06" w:rsidRPr="000C23E0">
        <w:t>, 2017</w:t>
      </w:r>
      <w:r w:rsidR="00E357A8" w:rsidRPr="000C23E0">
        <w:t> г.</w:t>
      </w:r>
      <w:r w:rsidR="00113D06" w:rsidRPr="000C23E0">
        <w:t xml:space="preserve">) </w:t>
      </w:r>
      <w:r w:rsidR="00E357A8" w:rsidRPr="000C23E0">
        <w:t>ВКРЭ</w:t>
      </w:r>
      <w:r w:rsidR="00113D06" w:rsidRPr="000C23E0">
        <w:t xml:space="preserve">-17 </w:t>
      </w:r>
      <w:r w:rsidRPr="000C23E0">
        <w:t>по укреплению сотрудничества между Государствами-Членами, Членами Сектора, Ассоциированными членами и Академическими организациями − Членами МСЭ-D, уделяя особое внимание частному сектору</w:t>
      </w:r>
      <w:r w:rsidR="00113D06" w:rsidRPr="000C23E0">
        <w:t xml:space="preserve">. </w:t>
      </w:r>
    </w:p>
    <w:p w14:paraId="4C2AE1CE" w14:textId="3060817F" w:rsidR="00113D06" w:rsidRPr="000C23E0" w:rsidRDefault="00384CA0" w:rsidP="00113D06">
      <w:r w:rsidRPr="000C23E0">
        <w:t>В</w:t>
      </w:r>
      <w:r w:rsidR="00113D06" w:rsidRPr="000C23E0">
        <w:t xml:space="preserve"> 2018</w:t>
      </w:r>
      <w:r w:rsidRPr="000C23E0">
        <w:t xml:space="preserve"> году</w:t>
      </w:r>
      <w:r w:rsidR="00113D06" w:rsidRPr="000C23E0">
        <w:t xml:space="preserve"> </w:t>
      </w:r>
      <w:r w:rsidR="00364FC5" w:rsidRPr="000C23E0">
        <w:t xml:space="preserve">в рамках Глобального симпозиума для регуляторных органов (ГСР-18) </w:t>
      </w:r>
      <w:r w:rsidRPr="000C23E0">
        <w:t xml:space="preserve">Отраслевая консультативная группа по вопросам развития </w:t>
      </w:r>
      <w:r w:rsidR="00113D06" w:rsidRPr="000C23E0">
        <w:t xml:space="preserve">(IAGDI) </w:t>
      </w:r>
      <w:r w:rsidRPr="000C23E0">
        <w:t>провела свое первое собрание совместно с собранием</w:t>
      </w:r>
      <w:r w:rsidR="00113D06" w:rsidRPr="000C23E0">
        <w:t xml:space="preserve"> </w:t>
      </w:r>
      <w:r w:rsidR="00364FC5" w:rsidRPr="000C23E0">
        <w:t xml:space="preserve">Старших </w:t>
      </w:r>
      <w:r w:rsidR="00AB34A8" w:rsidRPr="000C23E0">
        <w:t xml:space="preserve">сотрудников по регуляторным вопросам из частного сектора </w:t>
      </w:r>
      <w:r w:rsidR="00113D06" w:rsidRPr="000C23E0">
        <w:t xml:space="preserve">(CRO). </w:t>
      </w:r>
      <w:r w:rsidR="00AB34A8" w:rsidRPr="000C23E0">
        <w:t>Собрание</w:t>
      </w:r>
      <w:r w:rsidR="00113D06" w:rsidRPr="000C23E0">
        <w:t xml:space="preserve"> IAGDI </w:t>
      </w:r>
      <w:r w:rsidR="00AB34A8" w:rsidRPr="000C23E0">
        <w:t>призвало</w:t>
      </w:r>
      <w:r w:rsidR="00113D06" w:rsidRPr="000C23E0">
        <w:t xml:space="preserve"> </w:t>
      </w:r>
      <w:r w:rsidR="00364FC5" w:rsidRPr="000C23E0">
        <w:t>принять меры по упрощению доступа к возможностям установления соединений на устойчивой основе путем содействия открытости, обеспечения масштабного развертывания инфраструктуры, стимулирования перехода на широкополосную связь и создания условий для процветания инноваций</w:t>
      </w:r>
      <w:r w:rsidR="00931C87" w:rsidRPr="000C23E0">
        <w:t>.</w:t>
      </w:r>
      <w:r w:rsidR="00113D06" w:rsidRPr="000C23E0">
        <w:t xml:space="preserve"> </w:t>
      </w:r>
      <w:r w:rsidR="00364FC5" w:rsidRPr="000C23E0">
        <w:t xml:space="preserve">9 июля 2019 года в рамках Глобального симпозиума для регуляторных органов (ГСР-19) </w:t>
      </w:r>
      <w:r w:rsidR="00931C87" w:rsidRPr="000C23E0">
        <w:t xml:space="preserve">в качестве последующей меры </w:t>
      </w:r>
      <w:r w:rsidR="00113D06" w:rsidRPr="000C23E0">
        <w:t xml:space="preserve">CRO </w:t>
      </w:r>
      <w:r w:rsidR="00364FC5" w:rsidRPr="000C23E0">
        <w:t>провело собрание</w:t>
      </w:r>
      <w:r w:rsidR="00113D06" w:rsidRPr="000C23E0">
        <w:t xml:space="preserve">. </w:t>
      </w:r>
      <w:r w:rsidR="00364FC5" w:rsidRPr="000C23E0">
        <w:t>Более</w:t>
      </w:r>
      <w:r w:rsidR="00113D06" w:rsidRPr="000C23E0">
        <w:t xml:space="preserve"> 100</w:t>
      </w:r>
      <w:r w:rsidR="00E357A8" w:rsidRPr="000C23E0">
        <w:t> </w:t>
      </w:r>
      <w:r w:rsidR="00F7372A" w:rsidRPr="000C23E0">
        <w:t xml:space="preserve"> представителей отрасли</w:t>
      </w:r>
      <w:r w:rsidR="00113D06" w:rsidRPr="000C23E0">
        <w:t xml:space="preserve"> </w:t>
      </w:r>
      <w:r w:rsidR="00F7372A" w:rsidRPr="000C23E0">
        <w:t>из состава старших сотрудников определили примеры передового опыта в целях ускорения процесса</w:t>
      </w:r>
      <w:r w:rsidR="00113D06" w:rsidRPr="000C23E0">
        <w:t xml:space="preserve"> </w:t>
      </w:r>
      <w:r w:rsidR="00F7372A" w:rsidRPr="000C23E0">
        <w:t>установления цифровых соединений, чтобы позволить людям повсеместно воспользоваться выгодами цифровой трансформации и участия в цифровой экономике</w:t>
      </w:r>
      <w:r w:rsidR="00113D06" w:rsidRPr="000C23E0">
        <w:t xml:space="preserve"> (</w:t>
      </w:r>
      <w:r w:rsidR="00364FC5" w:rsidRPr="000C23E0">
        <w:t>см.</w:t>
      </w:r>
      <w:r w:rsidR="00113D06" w:rsidRPr="000C23E0">
        <w:t xml:space="preserve"> </w:t>
      </w:r>
      <w:hyperlink r:id="rId11" w:history="1">
        <w:r w:rsidR="00364FC5" w:rsidRPr="000C23E0">
          <w:rPr>
            <w:rStyle w:val="Hyperlink"/>
          </w:rPr>
          <w:t>Отчет председателя</w:t>
        </w:r>
        <w:r w:rsidR="00113D06" w:rsidRPr="000C23E0">
          <w:rPr>
            <w:rStyle w:val="Hyperlink"/>
          </w:rPr>
          <w:t xml:space="preserve"> </w:t>
        </w:r>
        <w:r w:rsidR="00364FC5" w:rsidRPr="000C23E0">
          <w:rPr>
            <w:rStyle w:val="Hyperlink"/>
          </w:rPr>
          <w:t>CRO</w:t>
        </w:r>
      </w:hyperlink>
      <w:r w:rsidR="00113D06" w:rsidRPr="000C23E0">
        <w:rPr>
          <w:u w:val="single"/>
        </w:rPr>
        <w:t>)</w:t>
      </w:r>
      <w:r w:rsidR="00113D06" w:rsidRPr="000C23E0">
        <w:t>.</w:t>
      </w:r>
    </w:p>
    <w:p w14:paraId="24258988" w14:textId="771AA209" w:rsidR="00113D06" w:rsidRPr="000C23E0" w:rsidRDefault="00F7372A" w:rsidP="00113D06">
      <w:r w:rsidRPr="000C23E0">
        <w:t>В будущем</w:t>
      </w:r>
      <w:r w:rsidR="00113D06" w:rsidRPr="000C23E0">
        <w:t xml:space="preserve"> IAGDI </w:t>
      </w:r>
      <w:r w:rsidRPr="000C23E0">
        <w:t>и</w:t>
      </w:r>
      <w:r w:rsidR="00113D06" w:rsidRPr="000C23E0">
        <w:t xml:space="preserve"> CRO </w:t>
      </w:r>
      <w:r w:rsidRPr="000C23E0">
        <w:t>будут проводить совместные собрания в рамках различных мероприятий, таких как Всемирное мероприятие ITU Telecom</w:t>
      </w:r>
      <w:r w:rsidR="00113D06" w:rsidRPr="000C23E0">
        <w:t xml:space="preserve">, </w:t>
      </w:r>
      <w:r w:rsidRPr="000C23E0">
        <w:t>Глобальный симпозиум для регуляторных органов</w:t>
      </w:r>
      <w:r w:rsidR="00113D06" w:rsidRPr="000C23E0">
        <w:t xml:space="preserve">, </w:t>
      </w:r>
      <w:r w:rsidRPr="000C23E0">
        <w:t>а также в рамках важнейших мероприятий, организуемых другими организациями</w:t>
      </w:r>
      <w:r w:rsidR="00113D06" w:rsidRPr="000C23E0">
        <w:t xml:space="preserve">. </w:t>
      </w:r>
    </w:p>
    <w:p w14:paraId="4F19FD3F" w14:textId="5B98C2DC" w:rsidR="00113D06" w:rsidRPr="000C23E0" w:rsidRDefault="00E357A8" w:rsidP="00E357A8">
      <w:pPr>
        <w:pStyle w:val="Heading2"/>
      </w:pPr>
      <w:r w:rsidRPr="000C23E0">
        <w:t>4.3</w:t>
      </w:r>
      <w:r w:rsidRPr="000C23E0">
        <w:tab/>
      </w:r>
      <w:r w:rsidR="000F1541" w:rsidRPr="000C23E0">
        <w:t xml:space="preserve">Консультации с Членам Сектора МСЭ-D </w:t>
      </w:r>
    </w:p>
    <w:p w14:paraId="331547BC" w14:textId="7C788EE8" w:rsidR="00113D06" w:rsidRPr="000C23E0" w:rsidRDefault="00C433D6" w:rsidP="00113D06">
      <w:r w:rsidRPr="000C23E0">
        <w:t>В</w:t>
      </w:r>
      <w:r w:rsidR="00113D06" w:rsidRPr="000C23E0">
        <w:t xml:space="preserve"> 2019</w:t>
      </w:r>
      <w:r w:rsidRPr="000C23E0">
        <w:t xml:space="preserve"> году Директор БРЭ приступил</w:t>
      </w:r>
      <w:r w:rsidR="007E6B4A" w:rsidRPr="000C23E0">
        <w:t>а</w:t>
      </w:r>
      <w:r w:rsidRPr="000C23E0">
        <w:t xml:space="preserve"> к проведению серии консультаций с Членами МСЭ</w:t>
      </w:r>
      <w:r w:rsidR="00113D06" w:rsidRPr="000C23E0">
        <w:t>-D</w:t>
      </w:r>
      <w:r w:rsidRPr="000C23E0">
        <w:t xml:space="preserve"> с целью изучения способов удержания </w:t>
      </w:r>
      <w:r w:rsidR="007C2DC2" w:rsidRPr="000C23E0">
        <w:t>действующих</w:t>
      </w:r>
      <w:r w:rsidRPr="000C23E0">
        <w:t xml:space="preserve"> </w:t>
      </w:r>
      <w:r w:rsidR="00D904F2" w:rsidRPr="000C23E0">
        <w:t xml:space="preserve">членов </w:t>
      </w:r>
      <w:r w:rsidRPr="000C23E0">
        <w:t>и привлечения новых</w:t>
      </w:r>
      <w:r w:rsidR="00113D06" w:rsidRPr="000C23E0">
        <w:t xml:space="preserve">. </w:t>
      </w:r>
      <w:r w:rsidRPr="000C23E0">
        <w:t xml:space="preserve">В частности была проведена </w:t>
      </w:r>
      <w:r w:rsidRPr="000C23E0">
        <w:rPr>
          <w:b/>
          <w:i/>
        </w:rPr>
        <w:t>Специальная сессия по вопросам членства в МСЭ</w:t>
      </w:r>
      <w:r w:rsidR="00113D06" w:rsidRPr="000C23E0">
        <w:rPr>
          <w:b/>
          <w:i/>
        </w:rPr>
        <w:t xml:space="preserve">-D </w:t>
      </w:r>
      <w:r w:rsidRPr="000C23E0">
        <w:t>в рамках Всемирного мероприятия</w:t>
      </w:r>
      <w:r w:rsidR="00113D06" w:rsidRPr="000C23E0">
        <w:t xml:space="preserve"> ITU Telecom</w:t>
      </w:r>
      <w:r w:rsidR="007E6B4A" w:rsidRPr="000C23E0">
        <w:t>-</w:t>
      </w:r>
      <w:r w:rsidR="00113D06" w:rsidRPr="000C23E0">
        <w:t xml:space="preserve">2019 </w:t>
      </w:r>
      <w:r w:rsidRPr="000C23E0">
        <w:t xml:space="preserve">с целью получения отзывов и вкладов от </w:t>
      </w:r>
      <w:r w:rsidR="007C2DC2" w:rsidRPr="000C23E0">
        <w:t xml:space="preserve">действующих </w:t>
      </w:r>
      <w:r w:rsidR="007E6B4A" w:rsidRPr="000C23E0">
        <w:t xml:space="preserve">членов </w:t>
      </w:r>
      <w:r w:rsidRPr="000C23E0">
        <w:t>относительно их ожиданий</w:t>
      </w:r>
      <w:r w:rsidR="00113D06" w:rsidRPr="000C23E0">
        <w:t xml:space="preserve">, </w:t>
      </w:r>
      <w:r w:rsidRPr="000C23E0">
        <w:t>существующего разрыва между их ожиданиями и теми услугами, которые они фактически получают</w:t>
      </w:r>
      <w:r w:rsidR="00113D06" w:rsidRPr="000C23E0">
        <w:t xml:space="preserve">, </w:t>
      </w:r>
      <w:r w:rsidRPr="000C23E0">
        <w:t>а также новых предложени</w:t>
      </w:r>
      <w:r w:rsidR="00B834EC" w:rsidRPr="000C23E0">
        <w:t>й по увеличению полезности членства</w:t>
      </w:r>
      <w:r w:rsidR="00113D06" w:rsidRPr="000C23E0">
        <w:t xml:space="preserve">. </w:t>
      </w:r>
    </w:p>
    <w:p w14:paraId="526DB5B6" w14:textId="59E6D4B7" w:rsidR="00113D06" w:rsidRPr="000C23E0" w:rsidRDefault="00B834EC" w:rsidP="00113D06">
      <w:r w:rsidRPr="000C23E0">
        <w:t>Консультативные сессии по вопросам членства в МСЭ</w:t>
      </w:r>
      <w:r w:rsidR="00113D06" w:rsidRPr="000C23E0">
        <w:t xml:space="preserve">-D </w:t>
      </w:r>
      <w:r w:rsidRPr="000C23E0">
        <w:t xml:space="preserve">запланированы </w:t>
      </w:r>
      <w:r w:rsidR="00D904F2" w:rsidRPr="000C23E0">
        <w:t>в Женеве, Швейцария, в</w:t>
      </w:r>
      <w:r w:rsidRPr="000C23E0">
        <w:t xml:space="preserve"> период проведения собраний исследовательских комиссий МСЭ</w:t>
      </w:r>
      <w:r w:rsidR="00113D06" w:rsidRPr="000C23E0">
        <w:t>-D</w:t>
      </w:r>
      <w:r w:rsidR="00D904F2" w:rsidRPr="000C23E0">
        <w:t>,</w:t>
      </w:r>
      <w:r w:rsidR="00113D06" w:rsidRPr="000C23E0">
        <w:t xml:space="preserve"> 19 </w:t>
      </w:r>
      <w:r w:rsidR="00E357A8" w:rsidRPr="000C23E0">
        <w:t>февраля</w:t>
      </w:r>
      <w:r w:rsidR="00113D06" w:rsidRPr="000C23E0">
        <w:t xml:space="preserve"> 2020</w:t>
      </w:r>
      <w:r w:rsidR="00E357A8" w:rsidRPr="000C23E0">
        <w:t> года</w:t>
      </w:r>
      <w:r w:rsidR="007E6B4A" w:rsidRPr="000C23E0">
        <w:t>,</w:t>
      </w:r>
      <w:r w:rsidR="00113D06" w:rsidRPr="000C23E0">
        <w:t xml:space="preserve"> </w:t>
      </w:r>
      <w:r w:rsidRPr="000C23E0">
        <w:t>и</w:t>
      </w:r>
      <w:r w:rsidR="00113D06" w:rsidRPr="000C23E0">
        <w:t xml:space="preserve"> </w:t>
      </w:r>
      <w:r w:rsidR="007E6B4A" w:rsidRPr="000C23E0">
        <w:t xml:space="preserve">в ходе собрания КГРЭ, </w:t>
      </w:r>
      <w:r w:rsidR="00113D06" w:rsidRPr="000C23E0">
        <w:t>26</w:t>
      </w:r>
      <w:r w:rsidR="007E6B4A" w:rsidRPr="000C23E0">
        <w:t> </w:t>
      </w:r>
      <w:r w:rsidR="00E357A8" w:rsidRPr="000C23E0">
        <w:t>марта</w:t>
      </w:r>
      <w:r w:rsidR="00113D06" w:rsidRPr="000C23E0">
        <w:t xml:space="preserve"> 2020</w:t>
      </w:r>
      <w:r w:rsidR="00E357A8" w:rsidRPr="000C23E0">
        <w:t> года</w:t>
      </w:r>
      <w:r w:rsidR="00113D06" w:rsidRPr="000C23E0">
        <w:t xml:space="preserve">. </w:t>
      </w:r>
    </w:p>
    <w:p w14:paraId="55E0ECB8" w14:textId="152B5167" w:rsidR="00113D06" w:rsidRPr="000C23E0" w:rsidRDefault="00E357A8" w:rsidP="00E357A8">
      <w:pPr>
        <w:pStyle w:val="Heading1"/>
      </w:pPr>
      <w:r w:rsidRPr="000C23E0">
        <w:t>5</w:t>
      </w:r>
      <w:r w:rsidRPr="000C23E0">
        <w:tab/>
      </w:r>
      <w:r w:rsidR="000F1541" w:rsidRPr="000C23E0">
        <w:t>Дальнейшая работа</w:t>
      </w:r>
    </w:p>
    <w:p w14:paraId="30E6345F" w14:textId="549E446E" w:rsidR="00113D06" w:rsidRPr="000C23E0" w:rsidRDefault="00B834EC" w:rsidP="00113D06">
      <w:r w:rsidRPr="000C23E0">
        <w:t xml:space="preserve">БРЭ будет </w:t>
      </w:r>
      <w:r w:rsidR="00D904F2" w:rsidRPr="000C23E0">
        <w:t xml:space="preserve">и далее </w:t>
      </w:r>
      <w:r w:rsidRPr="000C23E0">
        <w:t>уделять внимание</w:t>
      </w:r>
      <w:r w:rsidR="00A47D8F" w:rsidRPr="000C23E0">
        <w:t xml:space="preserve"> </w:t>
      </w:r>
      <w:r w:rsidRPr="000C23E0">
        <w:t xml:space="preserve">новым подходам </w:t>
      </w:r>
      <w:r w:rsidR="00D904F2" w:rsidRPr="000C23E0">
        <w:t>к п</w:t>
      </w:r>
      <w:r w:rsidRPr="000C23E0">
        <w:t>овышени</w:t>
      </w:r>
      <w:r w:rsidR="00D904F2" w:rsidRPr="000C23E0">
        <w:t>ю</w:t>
      </w:r>
      <w:r w:rsidR="00A47D8F" w:rsidRPr="000C23E0">
        <w:t xml:space="preserve"> </w:t>
      </w:r>
      <w:r w:rsidRPr="000C23E0">
        <w:t xml:space="preserve">уровня </w:t>
      </w:r>
      <w:r w:rsidR="00D904F2" w:rsidRPr="000C23E0">
        <w:t xml:space="preserve">взаимодействия </w:t>
      </w:r>
      <w:r w:rsidRPr="000C23E0">
        <w:t>и сотрудничества с член</w:t>
      </w:r>
      <w:r w:rsidR="00D904F2" w:rsidRPr="000C23E0">
        <w:t xml:space="preserve">ами </w:t>
      </w:r>
      <w:r w:rsidRPr="000C23E0">
        <w:t>и их сетями</w:t>
      </w:r>
      <w:r w:rsidR="00D904F2" w:rsidRPr="000C23E0">
        <w:t>, с тем чтобы</w:t>
      </w:r>
      <w:r w:rsidR="00113D06" w:rsidRPr="000C23E0">
        <w:t xml:space="preserve">: </w:t>
      </w:r>
    </w:p>
    <w:p w14:paraId="19F44F3E" w14:textId="655EAF7A" w:rsidR="00A47D8F" w:rsidRPr="000C23E0" w:rsidRDefault="00E357A8" w:rsidP="00E357A8">
      <w:pPr>
        <w:pStyle w:val="enumlev1"/>
      </w:pPr>
      <w:r w:rsidRPr="000C23E0">
        <w:t>a)</w:t>
      </w:r>
      <w:r w:rsidRPr="000C23E0">
        <w:tab/>
      </w:r>
      <w:r w:rsidR="00D904F2" w:rsidRPr="000C23E0">
        <w:t>увеличить разнообразие членского состава</w:t>
      </w:r>
      <w:r w:rsidR="00113D06" w:rsidRPr="000C23E0">
        <w:t>,</w:t>
      </w:r>
      <w:r w:rsidR="00B834EC" w:rsidRPr="000C23E0">
        <w:t xml:space="preserve"> сохраняя при этом </w:t>
      </w:r>
      <w:r w:rsidR="007C2DC2" w:rsidRPr="000C23E0">
        <w:t xml:space="preserve">действующих </w:t>
      </w:r>
      <w:r w:rsidR="00D904F2" w:rsidRPr="000C23E0">
        <w:t xml:space="preserve">членов </w:t>
      </w:r>
      <w:r w:rsidR="00B834EC" w:rsidRPr="000C23E0">
        <w:t xml:space="preserve">в соответствии с </w:t>
      </w:r>
      <w:r w:rsidR="00A47D8F" w:rsidRPr="000C23E0">
        <w:t>концепцией соответствия БРЭ своему целевому назначению</w:t>
      </w:r>
      <w:r w:rsidR="00D904F2" w:rsidRPr="000C23E0">
        <w:t>;</w:t>
      </w:r>
    </w:p>
    <w:p w14:paraId="1F0D3839" w14:textId="6D3BF2FF" w:rsidR="00113D06" w:rsidRPr="000C23E0" w:rsidRDefault="00E357A8" w:rsidP="00E357A8">
      <w:pPr>
        <w:pStyle w:val="enumlev1"/>
      </w:pPr>
      <w:r w:rsidRPr="000C23E0">
        <w:t>b)</w:t>
      </w:r>
      <w:r w:rsidRPr="000C23E0">
        <w:tab/>
      </w:r>
      <w:r w:rsidR="00D904F2" w:rsidRPr="000C23E0">
        <w:t xml:space="preserve">повысить </w:t>
      </w:r>
      <w:r w:rsidR="00A47D8F" w:rsidRPr="000C23E0">
        <w:t xml:space="preserve">уровень участия </w:t>
      </w:r>
      <w:r w:rsidR="00D904F2" w:rsidRPr="000C23E0">
        <w:t xml:space="preserve">членов </w:t>
      </w:r>
      <w:r w:rsidR="00A47D8F" w:rsidRPr="000C23E0">
        <w:t>в работе МСЭ-</w:t>
      </w:r>
      <w:r w:rsidR="00113D06" w:rsidRPr="000C23E0">
        <w:t>D</w:t>
      </w:r>
      <w:r w:rsidR="00A47D8F" w:rsidRPr="000C23E0">
        <w:t>, в том числе в различных видах деятельности и мероприятиях, создавая оптимальные условия для их вклада в реализацию Повестки дня в области устойчивого развития на период до 2030 года</w:t>
      </w:r>
      <w:r w:rsidR="00D904F2" w:rsidRPr="000C23E0">
        <w:t>;</w:t>
      </w:r>
    </w:p>
    <w:p w14:paraId="59329EA6" w14:textId="06C593B3" w:rsidR="00113D06" w:rsidRPr="000C23E0" w:rsidRDefault="00E357A8" w:rsidP="00E357A8">
      <w:pPr>
        <w:pStyle w:val="enumlev1"/>
      </w:pPr>
      <w:r w:rsidRPr="000C23E0">
        <w:lastRenderedPageBreak/>
        <w:t>c)</w:t>
      </w:r>
      <w:r w:rsidRPr="000C23E0">
        <w:tab/>
      </w:r>
      <w:r w:rsidR="00D904F2" w:rsidRPr="000C23E0">
        <w:t xml:space="preserve">расширить </w:t>
      </w:r>
      <w:r w:rsidR="00A47D8F" w:rsidRPr="000C23E0">
        <w:t xml:space="preserve">возможности для создания партнерств между </w:t>
      </w:r>
      <w:r w:rsidR="007C2DC2" w:rsidRPr="000C23E0">
        <w:t xml:space="preserve">действующими </w:t>
      </w:r>
      <w:r w:rsidR="00D904F2" w:rsidRPr="000C23E0">
        <w:t xml:space="preserve">членами </w:t>
      </w:r>
      <w:r w:rsidR="00A47D8F" w:rsidRPr="000C23E0">
        <w:t>с целью совместного финансирования проектов</w:t>
      </w:r>
      <w:r w:rsidR="00113D06" w:rsidRPr="000C23E0">
        <w:t xml:space="preserve">, </w:t>
      </w:r>
      <w:r w:rsidR="00A47D8F" w:rsidRPr="000C23E0">
        <w:t>в том числе региональных инициатив</w:t>
      </w:r>
      <w:r w:rsidR="00D904F2" w:rsidRPr="000C23E0">
        <w:t>;</w:t>
      </w:r>
    </w:p>
    <w:p w14:paraId="05FD2C23" w14:textId="5AAA5994" w:rsidR="00113D06" w:rsidRPr="000C23E0" w:rsidRDefault="00E357A8" w:rsidP="00E357A8">
      <w:pPr>
        <w:pStyle w:val="enumlev1"/>
      </w:pPr>
      <w:r w:rsidRPr="000C23E0">
        <w:t>d)</w:t>
      </w:r>
      <w:r w:rsidRPr="000C23E0">
        <w:tab/>
      </w:r>
      <w:r w:rsidR="00D904F2" w:rsidRPr="000C23E0">
        <w:t xml:space="preserve">непрерывно </w:t>
      </w:r>
      <w:r w:rsidR="00A47D8F" w:rsidRPr="000C23E0">
        <w:t xml:space="preserve">совершенствовать инструменты и услуги с целью </w:t>
      </w:r>
      <w:r w:rsidR="00D904F2" w:rsidRPr="000C23E0">
        <w:t xml:space="preserve">содействия </w:t>
      </w:r>
      <w:r w:rsidR="00A47D8F" w:rsidRPr="000C23E0">
        <w:t>участи</w:t>
      </w:r>
      <w:r w:rsidR="00D904F2" w:rsidRPr="000C23E0">
        <w:t>ю</w:t>
      </w:r>
      <w:r w:rsidR="00A47D8F" w:rsidRPr="000C23E0">
        <w:t xml:space="preserve"> </w:t>
      </w:r>
      <w:r w:rsidR="00D904F2" w:rsidRPr="000C23E0">
        <w:t>членов</w:t>
      </w:r>
      <w:r w:rsidR="00113D06" w:rsidRPr="000C23E0">
        <w:t xml:space="preserve">. </w:t>
      </w:r>
    </w:p>
    <w:p w14:paraId="0EEDD714" w14:textId="77777777" w:rsidR="0040328D" w:rsidRPr="000C23E0" w:rsidRDefault="0040328D" w:rsidP="00E357A8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r w:rsidRPr="000C23E0">
        <w:t>_______________</w:t>
      </w:r>
    </w:p>
    <w:sectPr w:rsidR="0040328D" w:rsidRPr="000C23E0" w:rsidSect="002502FE">
      <w:headerReference w:type="default" r:id="rId12"/>
      <w:footerReference w:type="default" r:id="rId13"/>
      <w:footerReference w:type="first" r:id="rId14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4EDB7" w14:textId="77777777" w:rsidR="00893BA7" w:rsidRDefault="00893BA7" w:rsidP="00E54FD2">
      <w:pPr>
        <w:spacing w:before="0"/>
      </w:pPr>
      <w:r>
        <w:separator/>
      </w:r>
    </w:p>
  </w:endnote>
  <w:endnote w:type="continuationSeparator" w:id="0">
    <w:p w14:paraId="23ABFFF1" w14:textId="77777777" w:rsidR="00893BA7" w:rsidRDefault="00893BA7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C4121" w14:textId="58BEAAC3" w:rsidR="00893BA7" w:rsidRPr="00AA42F8" w:rsidRDefault="001F3E47" w:rsidP="00AA42F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FB3DB6">
      <w:t>P:\RUS\ITU-D\CONF-D\TDAG20\000\011R.docx</w:t>
    </w:r>
    <w:r>
      <w:fldChar w:fldCharType="end"/>
    </w:r>
    <w:r w:rsidR="00893BA7">
      <w:t xml:space="preserve"> (</w:t>
    </w:r>
    <w:r w:rsidR="00893BA7">
      <w:rPr>
        <w:lang w:val="en-US"/>
      </w:rPr>
      <w:t>465658</w:t>
    </w:r>
    <w:r w:rsidR="00893B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893BA7" w:rsidRPr="006703BB" w14:paraId="5545AE68" w14:textId="77777777" w:rsidTr="00FB3DB6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2965A32C" w14:textId="77777777" w:rsidR="00893BA7" w:rsidRPr="004D495C" w:rsidRDefault="00893BA7" w:rsidP="00113D06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3B31950B" w14:textId="77777777" w:rsidR="00893BA7" w:rsidRPr="00EB2F10" w:rsidRDefault="00893BA7" w:rsidP="00113D06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26D6A39D" w14:textId="2B21C49A" w:rsidR="00893BA7" w:rsidRPr="006703BB" w:rsidRDefault="00893BA7" w:rsidP="00113D0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д</w:t>
          </w:r>
          <w:r w:rsidRPr="006703BB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р</w:t>
          </w:r>
          <w:r w:rsidRPr="006703BB">
            <w:rPr>
              <w:sz w:val="18"/>
              <w:szCs w:val="18"/>
            </w:rPr>
            <w:t xml:space="preserve"> </w:t>
          </w:r>
          <w:r w:rsidRPr="00421856">
            <w:rPr>
              <w:sz w:val="18"/>
              <w:szCs w:val="18"/>
            </w:rPr>
            <w:t>Космас</w:t>
          </w:r>
          <w:r w:rsidRPr="006703BB">
            <w:rPr>
              <w:sz w:val="18"/>
              <w:szCs w:val="18"/>
            </w:rPr>
            <w:t xml:space="preserve"> </w:t>
          </w:r>
          <w:r w:rsidRPr="00421856">
            <w:rPr>
              <w:sz w:val="18"/>
              <w:szCs w:val="18"/>
            </w:rPr>
            <w:t>Завазава</w:t>
          </w:r>
          <w:r w:rsidRPr="006703BB">
            <w:rPr>
              <w:sz w:val="18"/>
              <w:szCs w:val="18"/>
            </w:rPr>
            <w:t xml:space="preserve"> (</w:t>
          </w:r>
          <w:r>
            <w:rPr>
              <w:sz w:val="18"/>
              <w:szCs w:val="18"/>
              <w:lang w:val="en-GB"/>
            </w:rPr>
            <w:t>D</w:t>
          </w:r>
          <w:r w:rsidRPr="00E84F22">
            <w:rPr>
              <w:sz w:val="18"/>
              <w:szCs w:val="18"/>
              <w:lang w:val="en-US"/>
            </w:rPr>
            <w:t>r</w:t>
          </w:r>
          <w:r w:rsidRPr="006703BB">
            <w:rPr>
              <w:sz w:val="18"/>
              <w:szCs w:val="18"/>
            </w:rPr>
            <w:t xml:space="preserve"> </w:t>
          </w:r>
          <w:r w:rsidRPr="00E84F22">
            <w:rPr>
              <w:sz w:val="18"/>
              <w:szCs w:val="18"/>
              <w:lang w:val="en-US"/>
            </w:rPr>
            <w:t>Cosmas</w:t>
          </w:r>
          <w:r w:rsidRPr="006703BB">
            <w:rPr>
              <w:sz w:val="18"/>
              <w:szCs w:val="18"/>
            </w:rPr>
            <w:t xml:space="preserve"> </w:t>
          </w:r>
          <w:r w:rsidRPr="00E84F22">
            <w:rPr>
              <w:sz w:val="18"/>
              <w:szCs w:val="18"/>
              <w:lang w:val="en-US"/>
            </w:rPr>
            <w:t>Zavazava</w:t>
          </w:r>
          <w:r w:rsidRPr="006703BB">
            <w:rPr>
              <w:sz w:val="18"/>
              <w:szCs w:val="18"/>
            </w:rPr>
            <w:t xml:space="preserve">), </w:t>
          </w:r>
          <w:r>
            <w:rPr>
              <w:sz w:val="18"/>
              <w:szCs w:val="18"/>
            </w:rPr>
            <w:t>руководитель</w:t>
          </w:r>
          <w:r w:rsidRPr="006703BB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Департамента</w:t>
          </w:r>
          <w:r w:rsidRPr="006703BB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партнерств</w:t>
          </w:r>
          <w:r w:rsidRPr="006703BB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в</w:t>
          </w:r>
          <w:r w:rsidRPr="006703BB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целях</w:t>
          </w:r>
          <w:r w:rsidRPr="006703BB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цифрового</w:t>
          </w:r>
          <w:r w:rsidRPr="006703BB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развития</w:t>
          </w:r>
          <w:r w:rsidRPr="006703BB">
            <w:rPr>
              <w:sz w:val="18"/>
              <w:szCs w:val="18"/>
            </w:rPr>
            <w:t xml:space="preserve"> </w:t>
          </w:r>
          <w:r w:rsidRPr="00421856">
            <w:rPr>
              <w:sz w:val="18"/>
              <w:szCs w:val="18"/>
            </w:rPr>
            <w:t>Бюро</w:t>
          </w:r>
          <w:r w:rsidRPr="006703BB">
            <w:rPr>
              <w:sz w:val="18"/>
              <w:szCs w:val="18"/>
            </w:rPr>
            <w:t xml:space="preserve"> </w:t>
          </w:r>
          <w:r w:rsidRPr="00421856">
            <w:rPr>
              <w:sz w:val="18"/>
              <w:szCs w:val="18"/>
            </w:rPr>
            <w:t>развития</w:t>
          </w:r>
          <w:r w:rsidRPr="006703BB">
            <w:rPr>
              <w:sz w:val="18"/>
              <w:szCs w:val="18"/>
            </w:rPr>
            <w:t xml:space="preserve"> </w:t>
          </w:r>
          <w:r w:rsidRPr="00421856">
            <w:rPr>
              <w:sz w:val="18"/>
              <w:szCs w:val="18"/>
            </w:rPr>
            <w:t>электросвязи</w:t>
          </w:r>
        </w:p>
      </w:tc>
    </w:tr>
    <w:tr w:rsidR="00893BA7" w:rsidRPr="004D495C" w14:paraId="3C5D1C47" w14:textId="77777777" w:rsidTr="00FB3DB6">
      <w:tc>
        <w:tcPr>
          <w:tcW w:w="1418" w:type="dxa"/>
          <w:shd w:val="clear" w:color="auto" w:fill="auto"/>
        </w:tcPr>
        <w:p w14:paraId="6D40AA43" w14:textId="77777777" w:rsidR="00893BA7" w:rsidRPr="006703BB" w:rsidRDefault="00893BA7" w:rsidP="00113D06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14:paraId="64D0CE6A" w14:textId="77777777" w:rsidR="00893BA7" w:rsidRPr="00EB2F10" w:rsidRDefault="00893BA7" w:rsidP="00113D06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6A29FB9B" w14:textId="06B92221" w:rsidR="00893BA7" w:rsidRPr="00B41105" w:rsidRDefault="00893BA7" w:rsidP="00113D0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421856">
            <w:rPr>
              <w:sz w:val="18"/>
              <w:szCs w:val="18"/>
            </w:rPr>
            <w:t>+41 22 730 5447</w:t>
          </w:r>
        </w:p>
      </w:tc>
    </w:tr>
    <w:tr w:rsidR="00893BA7" w:rsidRPr="004D495C" w14:paraId="37A5B5C2" w14:textId="77777777" w:rsidTr="00FB3DB6">
      <w:tc>
        <w:tcPr>
          <w:tcW w:w="1418" w:type="dxa"/>
          <w:shd w:val="clear" w:color="auto" w:fill="auto"/>
        </w:tcPr>
        <w:p w14:paraId="5B12A762" w14:textId="77777777" w:rsidR="00893BA7" w:rsidRPr="004D495C" w:rsidRDefault="00893BA7" w:rsidP="00113D06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14:paraId="75AC4166" w14:textId="77777777" w:rsidR="00893BA7" w:rsidRPr="00EB2F10" w:rsidRDefault="00893BA7" w:rsidP="00113D0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14:paraId="711D1275" w14:textId="075EF9B3" w:rsidR="00893BA7" w:rsidRPr="00B41105" w:rsidRDefault="001F3E47" w:rsidP="00113D0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893BA7" w:rsidRPr="00421856">
              <w:rPr>
                <w:rStyle w:val="Hyperlink"/>
                <w:sz w:val="18"/>
                <w:szCs w:val="18"/>
                <w:lang w:val="en-US"/>
              </w:rPr>
              <w:t>cosmas.zavazava@itu.int</w:t>
            </w:r>
          </w:hyperlink>
        </w:p>
      </w:tc>
    </w:tr>
  </w:tbl>
  <w:p w14:paraId="6B3A9CD4" w14:textId="77777777" w:rsidR="00893BA7" w:rsidRPr="002502FE" w:rsidRDefault="00893BA7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6"/>
        <w:szCs w:val="16"/>
      </w:rPr>
    </w:pPr>
  </w:p>
  <w:p w14:paraId="429F6A8D" w14:textId="77777777" w:rsidR="00893BA7" w:rsidRPr="006E4AB3" w:rsidRDefault="001F3E47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hyperlink r:id="rId2" w:history="1">
      <w:r w:rsidR="00893BA7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EEAB5" w14:textId="77777777" w:rsidR="00893BA7" w:rsidRDefault="00893BA7" w:rsidP="00E54FD2">
      <w:pPr>
        <w:spacing w:before="0"/>
      </w:pPr>
      <w:r>
        <w:separator/>
      </w:r>
    </w:p>
  </w:footnote>
  <w:footnote w:type="continuationSeparator" w:id="0">
    <w:p w14:paraId="174FEE49" w14:textId="77777777" w:rsidR="00893BA7" w:rsidRDefault="00893BA7" w:rsidP="00E54FD2">
      <w:pPr>
        <w:spacing w:before="0"/>
      </w:pPr>
      <w:r>
        <w:continuationSeparator/>
      </w:r>
    </w:p>
  </w:footnote>
  <w:footnote w:id="1">
    <w:p w14:paraId="7102AA0E" w14:textId="5CD5A476" w:rsidR="00893BA7" w:rsidRPr="006703BB" w:rsidRDefault="00893BA7" w:rsidP="00113D06">
      <w:pPr>
        <w:pStyle w:val="FootnoteText"/>
        <w:spacing w:after="240"/>
      </w:pPr>
      <w:r>
        <w:rPr>
          <w:rStyle w:val="FootnoteReference"/>
        </w:rPr>
        <w:footnoteRef/>
      </w:r>
      <w:r w:rsidRPr="006703BB">
        <w:tab/>
      </w:r>
      <w:r>
        <w:t>См</w:t>
      </w:r>
      <w:r w:rsidRPr="006703BB">
        <w:t xml:space="preserve">. </w:t>
      </w:r>
      <w:r>
        <w:t>Резолюцию</w:t>
      </w:r>
      <w:r w:rsidRPr="006703BB">
        <w:t xml:space="preserve"> 169 (</w:t>
      </w:r>
      <w:r>
        <w:t>Гвадалахара</w:t>
      </w:r>
      <w:r w:rsidRPr="006703BB">
        <w:t>, 2010</w:t>
      </w:r>
      <w:r w:rsidRPr="00113D06">
        <w:rPr>
          <w:lang w:val="en-GB"/>
        </w:rPr>
        <w:t> </w:t>
      </w:r>
      <w:r>
        <w:t>г</w:t>
      </w:r>
      <w:r w:rsidRPr="006703BB">
        <w:t xml:space="preserve">.) </w:t>
      </w:r>
      <w:r>
        <w:t>Полномочной</w:t>
      </w:r>
      <w:r w:rsidRPr="006703BB">
        <w:t xml:space="preserve"> </w:t>
      </w:r>
      <w:r>
        <w:t>конференции</w:t>
      </w:r>
      <w:r w:rsidRPr="006703BB">
        <w:t xml:space="preserve">, в которой была введена новая категория участия в работе МСЭ для академических организаций. </w:t>
      </w:r>
    </w:p>
  </w:footnote>
  <w:footnote w:id="2">
    <w:p w14:paraId="5E689228" w14:textId="229B5C6F" w:rsidR="00893BA7" w:rsidRPr="001D0729" w:rsidRDefault="00893BA7" w:rsidP="00113D06">
      <w:pPr>
        <w:pStyle w:val="FootnoteText"/>
      </w:pPr>
      <w:r>
        <w:rPr>
          <w:rStyle w:val="FootnoteReference"/>
        </w:rPr>
        <w:footnoteRef/>
      </w:r>
      <w:r w:rsidRPr="00113D06">
        <w:tab/>
      </w:r>
      <w:r>
        <w:t>Резолюция</w:t>
      </w:r>
      <w:r w:rsidRPr="00113D06">
        <w:t xml:space="preserve"> 71 (</w:t>
      </w:r>
      <w:r>
        <w:t>Пересм</w:t>
      </w:r>
      <w:r w:rsidRPr="00113D06">
        <w:t xml:space="preserve">. </w:t>
      </w:r>
      <w:r>
        <w:t>Буэнос</w:t>
      </w:r>
      <w:r w:rsidRPr="00113D06">
        <w:t>-</w:t>
      </w:r>
      <w:r>
        <w:t>Айрес</w:t>
      </w:r>
      <w:r w:rsidRPr="00113D06">
        <w:t>, 2017</w:t>
      </w:r>
      <w:r w:rsidRPr="00113D06">
        <w:rPr>
          <w:lang w:val="en-GB"/>
        </w:rPr>
        <w:t> </w:t>
      </w:r>
      <w:r>
        <w:t>г</w:t>
      </w:r>
      <w:r w:rsidRPr="00113D06">
        <w:t xml:space="preserve">.) </w:t>
      </w:r>
      <w:r w:rsidRPr="001D0729">
        <w:t>"Укрепление сотрудничества между Государствами-Членами, Членами Сектора, Ассоциированными членами и академическими организациями − Членами Сектора развития электросвязи МСЭ и изменяющаяся роль частного сектора в деятельности Сектора развития электросвязи МСЭ".</w:t>
      </w:r>
    </w:p>
  </w:footnote>
  <w:footnote w:id="3">
    <w:p w14:paraId="0F910AF3" w14:textId="4D203D00" w:rsidR="00893BA7" w:rsidRPr="001D0729" w:rsidRDefault="00893BA7" w:rsidP="00113D06">
      <w:pPr>
        <w:pStyle w:val="FootnoteText"/>
      </w:pPr>
      <w:r>
        <w:rPr>
          <w:rStyle w:val="FootnoteReference"/>
        </w:rPr>
        <w:footnoteRef/>
      </w:r>
      <w:r w:rsidRPr="001D0729">
        <w:tab/>
      </w:r>
      <w:r>
        <w:t>См</w:t>
      </w:r>
      <w:r w:rsidRPr="006703BB">
        <w:t xml:space="preserve">. </w:t>
      </w:r>
      <w:r>
        <w:t>Резолюцию</w:t>
      </w:r>
      <w:r w:rsidRPr="006703BB">
        <w:t xml:space="preserve"> 169 (</w:t>
      </w:r>
      <w:r>
        <w:t>Гвадалахара</w:t>
      </w:r>
      <w:r w:rsidRPr="006703BB">
        <w:t>, 2010</w:t>
      </w:r>
      <w:r w:rsidRPr="00113D06">
        <w:rPr>
          <w:lang w:val="en-GB"/>
        </w:rPr>
        <w:t> </w:t>
      </w:r>
      <w:r>
        <w:t>г</w:t>
      </w:r>
      <w:r w:rsidRPr="006703BB">
        <w:t xml:space="preserve">.) </w:t>
      </w:r>
      <w:r>
        <w:t>Полномочной</w:t>
      </w:r>
      <w:r w:rsidRPr="006703BB">
        <w:t xml:space="preserve"> </w:t>
      </w:r>
      <w:r>
        <w:t>конференции</w:t>
      </w:r>
      <w:r w:rsidRPr="006703BB">
        <w:t>, в которой была введена новая категория участия в работе МСЭ для академических организаций</w:t>
      </w:r>
      <w:r w:rsidRPr="001D0729">
        <w:t xml:space="preserve">. </w:t>
      </w:r>
    </w:p>
  </w:footnote>
  <w:footnote w:id="4">
    <w:p w14:paraId="4C31B907" w14:textId="4D98FBDE" w:rsidR="00893BA7" w:rsidRPr="0055230A" w:rsidRDefault="00893BA7" w:rsidP="00113D06">
      <w:pPr>
        <w:pStyle w:val="FootnoteText"/>
      </w:pPr>
      <w:r w:rsidRPr="00F01119">
        <w:rPr>
          <w:rStyle w:val="FootnoteReference"/>
        </w:rPr>
        <w:footnoteRef/>
      </w:r>
      <w:r w:rsidRPr="00597618">
        <w:rPr>
          <w:szCs w:val="16"/>
        </w:rPr>
        <w:tab/>
        <w:t xml:space="preserve">Академические организации участвуют в работе </w:t>
      </w:r>
      <w:r>
        <w:rPr>
          <w:szCs w:val="16"/>
        </w:rPr>
        <w:t>всех</w:t>
      </w:r>
      <w:r w:rsidRPr="00597618">
        <w:rPr>
          <w:szCs w:val="16"/>
        </w:rPr>
        <w:t xml:space="preserve"> трех Секторов</w:t>
      </w:r>
      <w:r>
        <w:rPr>
          <w:szCs w:val="16"/>
        </w:rPr>
        <w:t xml:space="preserve"> МСЭ</w:t>
      </w:r>
      <w:r w:rsidRPr="00597618">
        <w:rPr>
          <w:szCs w:val="16"/>
        </w:rPr>
        <w:t xml:space="preserve">, </w:t>
      </w:r>
      <w:r w:rsidRPr="00EA0473">
        <w:rPr>
          <w:szCs w:val="16"/>
        </w:rPr>
        <w:t>в том числе их консультативных групп. Академические организации также участвуют в других глобальных и региональных конференциях, семинарах-практикумах и мероприятиях Союза, за исключением полномочных конференций, всемирных конференций радиосвязи, всемирных конференций по международной электросвязи и Совета МСЭ, в соответствии с правилами процедуры соответствующих Секторов.</w:t>
      </w:r>
    </w:p>
  </w:footnote>
  <w:footnote w:id="5">
    <w:p w14:paraId="4C3AF2B6" w14:textId="4E114F92" w:rsidR="00893BA7" w:rsidRPr="00FB3DB6" w:rsidRDefault="00893BA7" w:rsidP="00EA4DCB">
      <w:pPr>
        <w:pStyle w:val="FootnoteText"/>
      </w:pPr>
      <w:r>
        <w:rPr>
          <w:rStyle w:val="FootnoteReference"/>
        </w:rPr>
        <w:footnoteRef/>
      </w:r>
      <w:r w:rsidRPr="00FB3DB6">
        <w:tab/>
      </w:r>
      <w:r w:rsidRPr="00113D06">
        <w:rPr>
          <w:lang w:val="en-GB"/>
        </w:rPr>
        <w:t>RWTH</w:t>
      </w:r>
      <w:r w:rsidRPr="00FB3DB6">
        <w:t xml:space="preserve"> </w:t>
      </w:r>
      <w:r w:rsidRPr="00113D06">
        <w:rPr>
          <w:lang w:val="en-GB"/>
        </w:rPr>
        <w:t>Aachen</w:t>
      </w:r>
      <w:r w:rsidRPr="00FB3DB6">
        <w:t xml:space="preserve"> </w:t>
      </w:r>
      <w:r w:rsidRPr="00113D06">
        <w:rPr>
          <w:lang w:val="en-GB"/>
        </w:rPr>
        <w:t>University</w:t>
      </w:r>
      <w:r w:rsidRPr="00FB3DB6">
        <w:t xml:space="preserve"> (</w:t>
      </w:r>
      <w:r>
        <w:t>Германия</w:t>
      </w:r>
      <w:r w:rsidRPr="00FB3DB6">
        <w:t xml:space="preserve">), </w:t>
      </w:r>
      <w:r w:rsidRPr="00113D06">
        <w:rPr>
          <w:lang w:val="en-GB"/>
        </w:rPr>
        <w:t>The</w:t>
      </w:r>
      <w:r w:rsidRPr="00FB3DB6">
        <w:t xml:space="preserve"> </w:t>
      </w:r>
      <w:r w:rsidRPr="00113D06">
        <w:rPr>
          <w:lang w:val="en-GB"/>
        </w:rPr>
        <w:t>University</w:t>
      </w:r>
      <w:r w:rsidRPr="00FB3DB6">
        <w:t xml:space="preserve"> </w:t>
      </w:r>
      <w:r w:rsidRPr="00113D06">
        <w:rPr>
          <w:lang w:val="en-GB"/>
        </w:rPr>
        <w:t>of</w:t>
      </w:r>
      <w:r w:rsidRPr="00FB3DB6">
        <w:t xml:space="preserve"> </w:t>
      </w:r>
      <w:r w:rsidRPr="00113D06">
        <w:rPr>
          <w:lang w:val="en-GB"/>
        </w:rPr>
        <w:t>Dodoma</w:t>
      </w:r>
      <w:r w:rsidRPr="00FB3DB6">
        <w:t xml:space="preserve"> (</w:t>
      </w:r>
      <w:r>
        <w:t>Танзания</w:t>
      </w:r>
      <w:r w:rsidRPr="00FB3DB6">
        <w:t xml:space="preserve">), </w:t>
      </w:r>
      <w:r w:rsidRPr="00113D06">
        <w:rPr>
          <w:lang w:val="en-GB"/>
        </w:rPr>
        <w:t>University</w:t>
      </w:r>
      <w:r w:rsidRPr="00FB3DB6">
        <w:t xml:space="preserve"> </w:t>
      </w:r>
      <w:r w:rsidRPr="00113D06">
        <w:rPr>
          <w:lang w:val="en-GB"/>
        </w:rPr>
        <w:t>of</w:t>
      </w:r>
      <w:r w:rsidRPr="00FB3DB6">
        <w:t xml:space="preserve"> </w:t>
      </w:r>
      <w:r w:rsidRPr="00113D06">
        <w:rPr>
          <w:lang w:val="en-GB"/>
        </w:rPr>
        <w:t>Tehran</w:t>
      </w:r>
      <w:r w:rsidRPr="00FB3DB6">
        <w:t xml:space="preserve"> (</w:t>
      </w:r>
      <w:r w:rsidRPr="002D5F25">
        <w:t>Иран</w:t>
      </w:r>
      <w:r w:rsidRPr="00FB3DB6">
        <w:t xml:space="preserve"> (</w:t>
      </w:r>
      <w:r w:rsidRPr="002D5F25">
        <w:t>Исламская</w:t>
      </w:r>
      <w:r w:rsidRPr="00FB3DB6">
        <w:t xml:space="preserve"> </w:t>
      </w:r>
      <w:r w:rsidRPr="002D5F25">
        <w:t>Республика</w:t>
      </w:r>
      <w:r w:rsidRPr="00FB3DB6">
        <w:t xml:space="preserve">)), </w:t>
      </w:r>
      <w:r w:rsidRPr="00113D06">
        <w:rPr>
          <w:lang w:val="en-GB"/>
        </w:rPr>
        <w:t>Tokyo</w:t>
      </w:r>
      <w:r w:rsidRPr="00FB3DB6">
        <w:t xml:space="preserve"> </w:t>
      </w:r>
      <w:r w:rsidRPr="00113D06">
        <w:rPr>
          <w:lang w:val="en-GB"/>
        </w:rPr>
        <w:t>Institute</w:t>
      </w:r>
      <w:r w:rsidRPr="00FB3DB6">
        <w:t xml:space="preserve"> </w:t>
      </w:r>
      <w:r w:rsidRPr="00113D06">
        <w:rPr>
          <w:lang w:val="en-GB"/>
        </w:rPr>
        <w:t>of</w:t>
      </w:r>
      <w:r w:rsidRPr="00FB3DB6">
        <w:t xml:space="preserve"> </w:t>
      </w:r>
      <w:r w:rsidRPr="00113D06">
        <w:rPr>
          <w:lang w:val="en-GB"/>
        </w:rPr>
        <w:t>Technology</w:t>
      </w:r>
      <w:r w:rsidRPr="00FB3DB6">
        <w:t xml:space="preserve"> (</w:t>
      </w:r>
      <w:r>
        <w:t>Япония</w:t>
      </w:r>
      <w:r w:rsidRPr="00FB3DB6">
        <w:t xml:space="preserve">), </w:t>
      </w:r>
      <w:r w:rsidRPr="00113D06">
        <w:rPr>
          <w:lang w:val="en-GB"/>
        </w:rPr>
        <w:t>Arab</w:t>
      </w:r>
      <w:r w:rsidRPr="00FB3DB6">
        <w:t xml:space="preserve"> </w:t>
      </w:r>
      <w:r w:rsidRPr="00113D06">
        <w:rPr>
          <w:lang w:val="en-GB"/>
        </w:rPr>
        <w:t>States</w:t>
      </w:r>
      <w:r w:rsidRPr="00FB3DB6">
        <w:t xml:space="preserve"> </w:t>
      </w:r>
      <w:r w:rsidRPr="00113D06">
        <w:rPr>
          <w:lang w:val="en-GB"/>
        </w:rPr>
        <w:t>Research</w:t>
      </w:r>
      <w:r w:rsidRPr="00FB3DB6">
        <w:t xml:space="preserve"> </w:t>
      </w:r>
      <w:r w:rsidRPr="00113D06">
        <w:rPr>
          <w:lang w:val="en-GB"/>
        </w:rPr>
        <w:t>and</w:t>
      </w:r>
      <w:r w:rsidRPr="00FB3DB6">
        <w:t xml:space="preserve"> </w:t>
      </w:r>
      <w:r w:rsidRPr="00113D06">
        <w:rPr>
          <w:lang w:val="en-GB"/>
        </w:rPr>
        <w:t>Education</w:t>
      </w:r>
      <w:r w:rsidRPr="00FB3DB6">
        <w:t xml:space="preserve"> (</w:t>
      </w:r>
      <w:r>
        <w:t>Иордания</w:t>
      </w:r>
      <w:r w:rsidRPr="00FB3DB6">
        <w:t xml:space="preserve">), </w:t>
      </w:r>
      <w:r w:rsidRPr="00113D06">
        <w:rPr>
          <w:lang w:val="en-GB"/>
        </w:rPr>
        <w:t>Amirkabir</w:t>
      </w:r>
      <w:r w:rsidRPr="00FB3DB6">
        <w:t xml:space="preserve"> </w:t>
      </w:r>
      <w:r w:rsidRPr="00113D06">
        <w:rPr>
          <w:lang w:val="en-GB"/>
        </w:rPr>
        <w:t>University</w:t>
      </w:r>
      <w:r w:rsidRPr="00FB3DB6">
        <w:t xml:space="preserve"> </w:t>
      </w:r>
      <w:r w:rsidRPr="00113D06">
        <w:rPr>
          <w:lang w:val="en-GB"/>
        </w:rPr>
        <w:t>of</w:t>
      </w:r>
      <w:r w:rsidRPr="00FB3DB6">
        <w:t xml:space="preserve"> </w:t>
      </w:r>
      <w:r w:rsidRPr="00113D06">
        <w:rPr>
          <w:lang w:val="en-GB"/>
        </w:rPr>
        <w:t>Technology</w:t>
      </w:r>
      <w:r w:rsidRPr="00FB3DB6">
        <w:t xml:space="preserve"> (</w:t>
      </w:r>
      <w:r w:rsidRPr="002D5F25">
        <w:t>Иран</w:t>
      </w:r>
      <w:r w:rsidRPr="00FB3DB6">
        <w:t xml:space="preserve"> (</w:t>
      </w:r>
      <w:r w:rsidRPr="002D5F25">
        <w:t>Исламская</w:t>
      </w:r>
      <w:r w:rsidRPr="00FB3DB6">
        <w:t xml:space="preserve"> </w:t>
      </w:r>
      <w:r w:rsidRPr="002D5F25">
        <w:t>Республика</w:t>
      </w:r>
      <w:r w:rsidRPr="00FB3DB6">
        <w:t xml:space="preserve">)), </w:t>
      </w:r>
      <w:r w:rsidRPr="00113D06">
        <w:rPr>
          <w:lang w:val="en-GB"/>
        </w:rPr>
        <w:t>Nazarbayev</w:t>
      </w:r>
      <w:r w:rsidRPr="00FB3DB6">
        <w:t xml:space="preserve"> </w:t>
      </w:r>
      <w:r w:rsidRPr="00113D06">
        <w:rPr>
          <w:lang w:val="en-GB"/>
        </w:rPr>
        <w:t>University</w:t>
      </w:r>
      <w:r w:rsidRPr="00FB3DB6">
        <w:t xml:space="preserve"> (</w:t>
      </w:r>
      <w:r>
        <w:t>Казахстан</w:t>
      </w:r>
      <w:r w:rsidRPr="00FB3DB6">
        <w:t xml:space="preserve">), </w:t>
      </w:r>
      <w:r w:rsidRPr="00113D06">
        <w:rPr>
          <w:lang w:val="en-GB"/>
        </w:rPr>
        <w:t>University</w:t>
      </w:r>
      <w:r w:rsidRPr="00FB3DB6">
        <w:t xml:space="preserve"> </w:t>
      </w:r>
      <w:r w:rsidRPr="00113D06">
        <w:rPr>
          <w:lang w:val="en-GB"/>
        </w:rPr>
        <w:t>of</w:t>
      </w:r>
      <w:r w:rsidRPr="00FB3DB6">
        <w:t xml:space="preserve"> </w:t>
      </w:r>
      <w:r w:rsidRPr="00113D06">
        <w:rPr>
          <w:lang w:val="en-GB"/>
        </w:rPr>
        <w:t>Surrey</w:t>
      </w:r>
      <w:r w:rsidRPr="00FB3DB6">
        <w:t xml:space="preserve"> (</w:t>
      </w:r>
      <w:r>
        <w:t>Соединенное</w:t>
      </w:r>
      <w:r w:rsidRPr="00FB3DB6">
        <w:t xml:space="preserve"> </w:t>
      </w:r>
      <w:r>
        <w:t>Королевство</w:t>
      </w:r>
      <w:r w:rsidRPr="00FB3DB6">
        <w:t xml:space="preserve">), </w:t>
      </w:r>
      <w:r w:rsidRPr="00113D06">
        <w:rPr>
          <w:lang w:val="en-GB"/>
        </w:rPr>
        <w:t>Tarbiat</w:t>
      </w:r>
      <w:r w:rsidRPr="00FB3DB6">
        <w:t xml:space="preserve"> </w:t>
      </w:r>
      <w:r w:rsidRPr="00113D06">
        <w:rPr>
          <w:lang w:val="en-GB"/>
        </w:rPr>
        <w:t>Modares</w:t>
      </w:r>
      <w:r w:rsidRPr="00FB3DB6">
        <w:t xml:space="preserve"> </w:t>
      </w:r>
      <w:r w:rsidRPr="00113D06">
        <w:rPr>
          <w:lang w:val="en-GB"/>
        </w:rPr>
        <w:t>University</w:t>
      </w:r>
      <w:r w:rsidRPr="00FB3DB6">
        <w:t xml:space="preserve"> (</w:t>
      </w:r>
      <w:r w:rsidRPr="002D5F25">
        <w:t>Иран</w:t>
      </w:r>
      <w:r w:rsidRPr="00FB3DB6">
        <w:t xml:space="preserve"> (</w:t>
      </w:r>
      <w:r w:rsidRPr="002D5F25">
        <w:t>Исламская</w:t>
      </w:r>
      <w:r w:rsidRPr="00FB3DB6">
        <w:t xml:space="preserve"> </w:t>
      </w:r>
      <w:r w:rsidRPr="002D5F25">
        <w:t>Республика</w:t>
      </w:r>
      <w:r w:rsidRPr="00FB3DB6">
        <w:t xml:space="preserve">)), </w:t>
      </w:r>
      <w:r w:rsidRPr="00113D06">
        <w:rPr>
          <w:lang w:val="en-GB"/>
        </w:rPr>
        <w:t>Universidad</w:t>
      </w:r>
      <w:r w:rsidRPr="00FB3DB6">
        <w:t xml:space="preserve"> </w:t>
      </w:r>
      <w:r w:rsidRPr="00113D06">
        <w:rPr>
          <w:lang w:val="en-GB"/>
        </w:rPr>
        <w:t>T</w:t>
      </w:r>
      <w:r w:rsidRPr="00FB3DB6">
        <w:t>é</w:t>
      </w:r>
      <w:r w:rsidRPr="00113D06">
        <w:rPr>
          <w:lang w:val="en-GB"/>
        </w:rPr>
        <w:t>cnica</w:t>
      </w:r>
      <w:r w:rsidRPr="00FB3DB6">
        <w:t xml:space="preserve"> </w:t>
      </w:r>
      <w:r w:rsidRPr="00113D06">
        <w:rPr>
          <w:lang w:val="en-GB"/>
        </w:rPr>
        <w:t>del</w:t>
      </w:r>
      <w:r w:rsidRPr="00FB3DB6">
        <w:t xml:space="preserve"> </w:t>
      </w:r>
      <w:r w:rsidRPr="00113D06">
        <w:rPr>
          <w:lang w:val="en-GB"/>
        </w:rPr>
        <w:t>Norte</w:t>
      </w:r>
      <w:r w:rsidRPr="00FB3DB6">
        <w:t xml:space="preserve"> (</w:t>
      </w:r>
      <w:r>
        <w:t>Эквадор</w:t>
      </w:r>
      <w:r w:rsidRPr="00FB3DB6">
        <w:t xml:space="preserve">), </w:t>
      </w:r>
      <w:r w:rsidRPr="00113D06">
        <w:rPr>
          <w:lang w:val="en-GB"/>
        </w:rPr>
        <w:t>University</w:t>
      </w:r>
      <w:r w:rsidRPr="00FB3DB6">
        <w:t xml:space="preserve"> </w:t>
      </w:r>
      <w:r w:rsidRPr="00113D06">
        <w:rPr>
          <w:lang w:val="en-GB"/>
        </w:rPr>
        <w:t>of</w:t>
      </w:r>
      <w:r w:rsidRPr="00FB3DB6">
        <w:t xml:space="preserve"> </w:t>
      </w:r>
      <w:r w:rsidRPr="00113D06">
        <w:rPr>
          <w:lang w:val="en-GB"/>
        </w:rPr>
        <w:t>California</w:t>
      </w:r>
      <w:r w:rsidRPr="00FB3DB6">
        <w:t xml:space="preserve"> </w:t>
      </w:r>
      <w:r w:rsidRPr="00113D06">
        <w:rPr>
          <w:lang w:val="en-GB"/>
        </w:rPr>
        <w:t>Irvine</w:t>
      </w:r>
      <w:r w:rsidRPr="00FB3DB6">
        <w:t xml:space="preserve"> (</w:t>
      </w:r>
      <w:r>
        <w:t>Соединенные</w:t>
      </w:r>
      <w:r w:rsidRPr="00FB3DB6">
        <w:t xml:space="preserve"> </w:t>
      </w:r>
      <w:r>
        <w:t>Штаты</w:t>
      </w:r>
      <w:r w:rsidRPr="00FB3DB6">
        <w:t xml:space="preserve">), </w:t>
      </w:r>
      <w:r w:rsidRPr="00113D06">
        <w:rPr>
          <w:lang w:val="en-GB"/>
        </w:rPr>
        <w:t>Hamad</w:t>
      </w:r>
      <w:r w:rsidRPr="00FB3DB6">
        <w:t xml:space="preserve"> </w:t>
      </w:r>
      <w:r w:rsidRPr="00113D06">
        <w:rPr>
          <w:lang w:val="en-GB"/>
        </w:rPr>
        <w:t>Bin</w:t>
      </w:r>
      <w:r w:rsidRPr="00FB3DB6">
        <w:t xml:space="preserve"> </w:t>
      </w:r>
      <w:r w:rsidRPr="00113D06">
        <w:rPr>
          <w:lang w:val="en-GB"/>
        </w:rPr>
        <w:t>Khalifa</w:t>
      </w:r>
      <w:r w:rsidRPr="00FB3DB6">
        <w:t xml:space="preserve"> </w:t>
      </w:r>
      <w:r w:rsidRPr="00113D06">
        <w:rPr>
          <w:lang w:val="en-GB"/>
        </w:rPr>
        <w:t>University</w:t>
      </w:r>
      <w:r w:rsidRPr="00FB3DB6">
        <w:t xml:space="preserve"> (</w:t>
      </w:r>
      <w:r>
        <w:t>Катар</w:t>
      </w:r>
      <w:r w:rsidRPr="00FB3DB6">
        <w:t xml:space="preserve">), </w:t>
      </w:r>
      <w:r w:rsidRPr="00113D06">
        <w:rPr>
          <w:lang w:val="en-GB"/>
        </w:rPr>
        <w:t>Institut</w:t>
      </w:r>
      <w:r w:rsidRPr="00FB3DB6">
        <w:t xml:space="preserve"> </w:t>
      </w:r>
      <w:r w:rsidRPr="00113D06">
        <w:rPr>
          <w:lang w:val="en-GB"/>
        </w:rPr>
        <w:t>Scientifique</w:t>
      </w:r>
      <w:r w:rsidRPr="00FB3DB6">
        <w:t xml:space="preserve"> </w:t>
      </w:r>
      <w:r w:rsidRPr="00113D06">
        <w:rPr>
          <w:lang w:val="en-GB"/>
        </w:rPr>
        <w:t>Europ</w:t>
      </w:r>
      <w:r w:rsidRPr="00FB3DB6">
        <w:t>é</w:t>
      </w:r>
      <w:r w:rsidRPr="00113D06">
        <w:rPr>
          <w:lang w:val="en-GB"/>
        </w:rPr>
        <w:t>an</w:t>
      </w:r>
      <w:r w:rsidRPr="00FB3DB6">
        <w:t xml:space="preserve"> (</w:t>
      </w:r>
      <w:r>
        <w:t>Франция</w:t>
      </w:r>
      <w:r w:rsidRPr="00FB3DB6">
        <w:t xml:space="preserve">), </w:t>
      </w:r>
      <w:r w:rsidRPr="00113D06">
        <w:rPr>
          <w:lang w:val="en-GB"/>
        </w:rPr>
        <w:t>Smart</w:t>
      </w:r>
      <w:r w:rsidRPr="00FB3DB6">
        <w:t xml:space="preserve"> </w:t>
      </w:r>
      <w:r w:rsidRPr="00113D06">
        <w:rPr>
          <w:lang w:val="en-GB"/>
        </w:rPr>
        <w:t>Quantum</w:t>
      </w:r>
      <w:r w:rsidRPr="00FB3DB6">
        <w:t xml:space="preserve"> </w:t>
      </w:r>
      <w:r w:rsidRPr="00113D06">
        <w:rPr>
          <w:lang w:val="en-GB"/>
        </w:rPr>
        <w:t>Communication</w:t>
      </w:r>
      <w:r w:rsidRPr="00FB3DB6">
        <w:t xml:space="preserve"> (</w:t>
      </w:r>
      <w:r w:rsidRPr="002D5F25">
        <w:t>Корея</w:t>
      </w:r>
      <w:r w:rsidRPr="00FB3DB6">
        <w:t xml:space="preserve"> (</w:t>
      </w:r>
      <w:r w:rsidRPr="002D5F25">
        <w:t>Респ</w:t>
      </w:r>
      <w:r w:rsidRPr="00FB3DB6">
        <w:t xml:space="preserve">.)), </w:t>
      </w:r>
      <w:r w:rsidRPr="00113D06">
        <w:rPr>
          <w:lang w:val="en-GB"/>
        </w:rPr>
        <w:t>University</w:t>
      </w:r>
      <w:r w:rsidRPr="00FB3DB6">
        <w:t xml:space="preserve"> </w:t>
      </w:r>
      <w:r w:rsidRPr="00113D06">
        <w:rPr>
          <w:lang w:val="en-GB"/>
        </w:rPr>
        <w:t>of</w:t>
      </w:r>
      <w:r w:rsidRPr="00FB3DB6">
        <w:t xml:space="preserve"> </w:t>
      </w:r>
      <w:r w:rsidRPr="00113D06">
        <w:rPr>
          <w:lang w:val="en-GB"/>
        </w:rPr>
        <w:t>Bristol</w:t>
      </w:r>
      <w:r w:rsidRPr="00FB3DB6">
        <w:t xml:space="preserve"> (</w:t>
      </w:r>
      <w:r>
        <w:t>Соединенное</w:t>
      </w:r>
      <w:r w:rsidRPr="00FB3DB6">
        <w:t xml:space="preserve"> </w:t>
      </w:r>
      <w:r>
        <w:t>Королевство</w:t>
      </w:r>
      <w:r w:rsidRPr="00FB3DB6">
        <w:t xml:space="preserve">), </w:t>
      </w:r>
      <w:r w:rsidRPr="00113D06">
        <w:rPr>
          <w:lang w:val="en-GB"/>
        </w:rPr>
        <w:t>Hong</w:t>
      </w:r>
      <w:r w:rsidRPr="00FB3DB6">
        <w:t xml:space="preserve"> </w:t>
      </w:r>
      <w:r w:rsidRPr="00113D06">
        <w:rPr>
          <w:lang w:val="en-GB"/>
        </w:rPr>
        <w:t>Kong</w:t>
      </w:r>
      <w:r w:rsidRPr="00FB3DB6">
        <w:t xml:space="preserve"> </w:t>
      </w:r>
      <w:r w:rsidRPr="00113D06">
        <w:rPr>
          <w:lang w:val="en-GB"/>
        </w:rPr>
        <w:t>Applied</w:t>
      </w:r>
      <w:r w:rsidRPr="00FB3DB6">
        <w:t xml:space="preserve"> </w:t>
      </w:r>
      <w:r w:rsidRPr="00113D06">
        <w:rPr>
          <w:lang w:val="en-GB"/>
        </w:rPr>
        <w:t>Science</w:t>
      </w:r>
      <w:r w:rsidRPr="00FB3DB6">
        <w:t xml:space="preserve"> </w:t>
      </w:r>
      <w:r w:rsidRPr="00113D06">
        <w:rPr>
          <w:lang w:val="en-GB"/>
        </w:rPr>
        <w:t>and</w:t>
      </w:r>
      <w:r w:rsidRPr="00FB3DB6">
        <w:t xml:space="preserve"> </w:t>
      </w:r>
      <w:r w:rsidRPr="00113D06">
        <w:rPr>
          <w:lang w:val="en-GB"/>
        </w:rPr>
        <w:t>Technology</w:t>
      </w:r>
      <w:r w:rsidRPr="00FB3DB6">
        <w:t xml:space="preserve"> (</w:t>
      </w:r>
      <w:r>
        <w:t>Китай</w:t>
      </w:r>
      <w:r w:rsidRPr="00FB3DB6">
        <w:t xml:space="preserve">), </w:t>
      </w:r>
      <w:r w:rsidRPr="00113D06">
        <w:rPr>
          <w:lang w:val="en-GB"/>
        </w:rPr>
        <w:t>Universit</w:t>
      </w:r>
      <w:r w:rsidRPr="00FB3DB6">
        <w:t xml:space="preserve">é </w:t>
      </w:r>
      <w:r w:rsidRPr="00113D06">
        <w:rPr>
          <w:lang w:val="en-GB"/>
        </w:rPr>
        <w:t>de</w:t>
      </w:r>
      <w:r w:rsidRPr="00FB3DB6">
        <w:t xml:space="preserve"> </w:t>
      </w:r>
      <w:r w:rsidRPr="00113D06">
        <w:rPr>
          <w:lang w:val="en-GB"/>
        </w:rPr>
        <w:t>Bordeaux</w:t>
      </w:r>
      <w:r w:rsidRPr="00FB3DB6">
        <w:t xml:space="preserve"> (</w:t>
      </w:r>
      <w:r>
        <w:t>Франция</w:t>
      </w:r>
      <w:r w:rsidRPr="00FB3DB6">
        <w:t xml:space="preserve">), </w:t>
      </w:r>
      <w:r w:rsidRPr="00113D06">
        <w:rPr>
          <w:lang w:val="en-GB"/>
        </w:rPr>
        <w:t>Ilmenau</w:t>
      </w:r>
      <w:r w:rsidRPr="00FB3DB6">
        <w:t xml:space="preserve"> </w:t>
      </w:r>
      <w:r w:rsidRPr="00113D06">
        <w:rPr>
          <w:lang w:val="en-GB"/>
        </w:rPr>
        <w:t>University</w:t>
      </w:r>
      <w:r w:rsidRPr="00FB3DB6">
        <w:t xml:space="preserve"> </w:t>
      </w:r>
      <w:r w:rsidRPr="00113D06">
        <w:rPr>
          <w:lang w:val="en-GB"/>
        </w:rPr>
        <w:t>of</w:t>
      </w:r>
      <w:r w:rsidRPr="00FB3DB6">
        <w:t xml:space="preserve"> </w:t>
      </w:r>
      <w:r w:rsidRPr="00113D06">
        <w:rPr>
          <w:lang w:val="en-GB"/>
        </w:rPr>
        <w:t>Technology</w:t>
      </w:r>
      <w:r w:rsidRPr="00FB3DB6">
        <w:t xml:space="preserve"> (</w:t>
      </w:r>
      <w:r>
        <w:t>Германия</w:t>
      </w:r>
      <w:r w:rsidRPr="00FB3DB6">
        <w:t xml:space="preserve">), </w:t>
      </w:r>
      <w:r w:rsidRPr="00113D06">
        <w:rPr>
          <w:lang w:val="en-GB"/>
        </w:rPr>
        <w:t>Centre</w:t>
      </w:r>
      <w:r w:rsidRPr="00FB3DB6">
        <w:t xml:space="preserve"> </w:t>
      </w:r>
      <w:r w:rsidRPr="00113D06">
        <w:rPr>
          <w:lang w:val="en-GB"/>
        </w:rPr>
        <w:t>for</w:t>
      </w:r>
      <w:r w:rsidRPr="00FB3DB6">
        <w:t xml:space="preserve"> </w:t>
      </w:r>
      <w:r w:rsidRPr="00113D06">
        <w:rPr>
          <w:lang w:val="en-GB"/>
        </w:rPr>
        <w:t>Development</w:t>
      </w:r>
      <w:r w:rsidRPr="00FB3DB6">
        <w:t xml:space="preserve"> </w:t>
      </w:r>
      <w:r w:rsidRPr="00113D06">
        <w:rPr>
          <w:lang w:val="en-GB"/>
        </w:rPr>
        <w:t>of</w:t>
      </w:r>
      <w:r w:rsidRPr="00FB3DB6">
        <w:t xml:space="preserve"> </w:t>
      </w:r>
      <w:r w:rsidRPr="00113D06">
        <w:rPr>
          <w:lang w:val="en-GB"/>
        </w:rPr>
        <w:t>Telematics</w:t>
      </w:r>
      <w:r w:rsidRPr="00FB3DB6">
        <w:t xml:space="preserve"> (</w:t>
      </w:r>
      <w:r>
        <w:t>Индия</w:t>
      </w:r>
      <w:r w:rsidRPr="00FB3DB6">
        <w:t xml:space="preserve">), </w:t>
      </w:r>
      <w:r w:rsidRPr="00113D06">
        <w:rPr>
          <w:lang w:val="en-GB"/>
        </w:rPr>
        <w:t>Concordia</w:t>
      </w:r>
      <w:r w:rsidRPr="00FB3DB6">
        <w:t xml:space="preserve"> </w:t>
      </w:r>
      <w:r w:rsidRPr="00113D06">
        <w:rPr>
          <w:lang w:val="en-GB"/>
        </w:rPr>
        <w:t>University</w:t>
      </w:r>
      <w:r w:rsidRPr="00FB3DB6">
        <w:t xml:space="preserve"> (</w:t>
      </w:r>
      <w:r>
        <w:t>Канада</w:t>
      </w:r>
      <w:r w:rsidRPr="00FB3DB6">
        <w:t xml:space="preserve">), </w:t>
      </w:r>
      <w:r w:rsidRPr="00113D06">
        <w:rPr>
          <w:lang w:val="en-GB"/>
        </w:rPr>
        <w:t>Shinshu</w:t>
      </w:r>
      <w:r w:rsidRPr="00FB3DB6">
        <w:t xml:space="preserve"> </w:t>
      </w:r>
      <w:r w:rsidRPr="00113D06">
        <w:rPr>
          <w:lang w:val="en-GB"/>
        </w:rPr>
        <w:t>University</w:t>
      </w:r>
      <w:r w:rsidRPr="00FB3DB6">
        <w:t xml:space="preserve"> (</w:t>
      </w:r>
      <w:r>
        <w:t>Япония</w:t>
      </w:r>
      <w:r w:rsidRPr="00FB3DB6">
        <w:t xml:space="preserve">), </w:t>
      </w:r>
      <w:r w:rsidRPr="00113D06">
        <w:rPr>
          <w:lang w:val="en-GB"/>
        </w:rPr>
        <w:t>Mila</w:t>
      </w:r>
      <w:r w:rsidRPr="00FB3DB6">
        <w:t>-</w:t>
      </w:r>
      <w:r w:rsidRPr="00113D06">
        <w:rPr>
          <w:lang w:val="en-GB"/>
        </w:rPr>
        <w:t>Institut</w:t>
      </w:r>
      <w:r w:rsidRPr="00FB3DB6">
        <w:t xml:space="preserve"> </w:t>
      </w:r>
      <w:r w:rsidRPr="00113D06">
        <w:rPr>
          <w:lang w:val="en-GB"/>
        </w:rPr>
        <w:t>Qu</w:t>
      </w:r>
      <w:r w:rsidRPr="00FB3DB6">
        <w:t>é</w:t>
      </w:r>
      <w:r w:rsidRPr="00113D06">
        <w:rPr>
          <w:lang w:val="en-GB"/>
        </w:rPr>
        <w:t>b</w:t>
      </w:r>
      <w:r w:rsidRPr="00FB3DB6">
        <w:t>é</w:t>
      </w:r>
      <w:r w:rsidRPr="00113D06">
        <w:rPr>
          <w:lang w:val="en-GB"/>
        </w:rPr>
        <w:t>cois</w:t>
      </w:r>
      <w:r w:rsidRPr="00FB3DB6">
        <w:t xml:space="preserve"> </w:t>
      </w:r>
      <w:r w:rsidRPr="00113D06">
        <w:rPr>
          <w:lang w:val="en-GB"/>
        </w:rPr>
        <w:t>d</w:t>
      </w:r>
      <w:r w:rsidRPr="00FB3DB6">
        <w:t>’</w:t>
      </w:r>
      <w:r w:rsidRPr="00113D06">
        <w:rPr>
          <w:lang w:val="en-GB"/>
        </w:rPr>
        <w:t>Intelligence</w:t>
      </w:r>
      <w:r w:rsidRPr="00FB3DB6">
        <w:t xml:space="preserve"> (</w:t>
      </w:r>
      <w:r>
        <w:t>Канада</w:t>
      </w:r>
      <w:r w:rsidRPr="00FB3DB6"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EBA53" w14:textId="4F6F88C8" w:rsidR="00893BA7" w:rsidRPr="00701E31" w:rsidRDefault="00893BA7" w:rsidP="00B24169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</w:rPr>
    </w:pPr>
    <w:r w:rsidRPr="00972BCD">
      <w:tab/>
    </w:r>
    <w:r w:rsidRPr="002236F8">
      <w:t>TDAG</w:t>
    </w:r>
    <w:r w:rsidRPr="0040328D">
      <w:t>-</w:t>
    </w:r>
    <w:r>
      <w:rPr>
        <w:lang w:val="en-US"/>
      </w:rPr>
      <w:t>20</w:t>
    </w:r>
    <w:r w:rsidRPr="00701E31">
      <w:t>/</w:t>
    </w:r>
    <w:r>
      <w:rPr>
        <w:lang w:val="en-US"/>
      </w:rPr>
      <w:t>11</w:t>
    </w:r>
    <w:r w:rsidRPr="00701E31">
      <w:t>-</w:t>
    </w:r>
    <w:r w:rsidRPr="00D923CD">
      <w:t>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>
      <w:rPr>
        <w:rStyle w:val="PageNumber"/>
        <w:noProof/>
      </w:rPr>
      <w:t>2</w:t>
    </w:r>
    <w:r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B252B"/>
    <w:multiLevelType w:val="hybridMultilevel"/>
    <w:tmpl w:val="18F4A99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5B5483"/>
    <w:multiLevelType w:val="hybridMultilevel"/>
    <w:tmpl w:val="DCE6F108"/>
    <w:lvl w:ilvl="0" w:tplc="9CDC4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CB7926"/>
    <w:multiLevelType w:val="multilevel"/>
    <w:tmpl w:val="DF7C27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659D0"/>
    <w:rsid w:val="00083975"/>
    <w:rsid w:val="000B02B1"/>
    <w:rsid w:val="000C221C"/>
    <w:rsid w:val="000C23E0"/>
    <w:rsid w:val="000F1541"/>
    <w:rsid w:val="00107E03"/>
    <w:rsid w:val="00111662"/>
    <w:rsid w:val="0011274C"/>
    <w:rsid w:val="00113D06"/>
    <w:rsid w:val="00134D3C"/>
    <w:rsid w:val="001530FB"/>
    <w:rsid w:val="00191479"/>
    <w:rsid w:val="001C6DD3"/>
    <w:rsid w:val="001D0729"/>
    <w:rsid w:val="001D5426"/>
    <w:rsid w:val="001E3E78"/>
    <w:rsid w:val="001F3E47"/>
    <w:rsid w:val="00202D0A"/>
    <w:rsid w:val="002236F8"/>
    <w:rsid w:val="00224002"/>
    <w:rsid w:val="002502FE"/>
    <w:rsid w:val="00257C2C"/>
    <w:rsid w:val="00270876"/>
    <w:rsid w:val="002717CC"/>
    <w:rsid w:val="002931FA"/>
    <w:rsid w:val="002C4052"/>
    <w:rsid w:val="002D5F25"/>
    <w:rsid w:val="00306220"/>
    <w:rsid w:val="00316454"/>
    <w:rsid w:val="00364FC5"/>
    <w:rsid w:val="00366978"/>
    <w:rsid w:val="00375CD0"/>
    <w:rsid w:val="00384CA0"/>
    <w:rsid w:val="003A294B"/>
    <w:rsid w:val="003C6E83"/>
    <w:rsid w:val="003E6E87"/>
    <w:rsid w:val="0040328D"/>
    <w:rsid w:val="004143D5"/>
    <w:rsid w:val="00422053"/>
    <w:rsid w:val="00424174"/>
    <w:rsid w:val="00446874"/>
    <w:rsid w:val="004713B8"/>
    <w:rsid w:val="00492670"/>
    <w:rsid w:val="004D6896"/>
    <w:rsid w:val="004E4490"/>
    <w:rsid w:val="0055230A"/>
    <w:rsid w:val="005773D4"/>
    <w:rsid w:val="00597618"/>
    <w:rsid w:val="00615B42"/>
    <w:rsid w:val="00655923"/>
    <w:rsid w:val="006703BB"/>
    <w:rsid w:val="00672F1F"/>
    <w:rsid w:val="00694764"/>
    <w:rsid w:val="006A493E"/>
    <w:rsid w:val="00701E31"/>
    <w:rsid w:val="00772CF7"/>
    <w:rsid w:val="007914E1"/>
    <w:rsid w:val="007C2DC2"/>
    <w:rsid w:val="007D59CB"/>
    <w:rsid w:val="007E6B3A"/>
    <w:rsid w:val="007E6B4A"/>
    <w:rsid w:val="008112E9"/>
    <w:rsid w:val="00827736"/>
    <w:rsid w:val="00832717"/>
    <w:rsid w:val="00875722"/>
    <w:rsid w:val="00893BA7"/>
    <w:rsid w:val="008B58EB"/>
    <w:rsid w:val="008C576E"/>
    <w:rsid w:val="00916B10"/>
    <w:rsid w:val="00931C87"/>
    <w:rsid w:val="009C5B8E"/>
    <w:rsid w:val="009E1355"/>
    <w:rsid w:val="00A11E73"/>
    <w:rsid w:val="00A30897"/>
    <w:rsid w:val="00A44602"/>
    <w:rsid w:val="00A47D8F"/>
    <w:rsid w:val="00A57969"/>
    <w:rsid w:val="00A64F9D"/>
    <w:rsid w:val="00A73D91"/>
    <w:rsid w:val="00AA42F8"/>
    <w:rsid w:val="00AB34A8"/>
    <w:rsid w:val="00AC2E0E"/>
    <w:rsid w:val="00AC6023"/>
    <w:rsid w:val="00AE0BB7"/>
    <w:rsid w:val="00AE1BA7"/>
    <w:rsid w:val="00B222FE"/>
    <w:rsid w:val="00B24169"/>
    <w:rsid w:val="00B52E6E"/>
    <w:rsid w:val="00B726C0"/>
    <w:rsid w:val="00B75868"/>
    <w:rsid w:val="00B834EC"/>
    <w:rsid w:val="00BD2C91"/>
    <w:rsid w:val="00BD7A1A"/>
    <w:rsid w:val="00C11038"/>
    <w:rsid w:val="00C433D6"/>
    <w:rsid w:val="00C62E82"/>
    <w:rsid w:val="00C71A6F"/>
    <w:rsid w:val="00C84CCD"/>
    <w:rsid w:val="00CD1F3E"/>
    <w:rsid w:val="00CD34AE"/>
    <w:rsid w:val="00CE37A1"/>
    <w:rsid w:val="00CE5E7B"/>
    <w:rsid w:val="00D16175"/>
    <w:rsid w:val="00D712FE"/>
    <w:rsid w:val="00D904F2"/>
    <w:rsid w:val="00D923CD"/>
    <w:rsid w:val="00D93FCC"/>
    <w:rsid w:val="00DA4610"/>
    <w:rsid w:val="00DD19E1"/>
    <w:rsid w:val="00DD5D8C"/>
    <w:rsid w:val="00DE56F9"/>
    <w:rsid w:val="00E06A7D"/>
    <w:rsid w:val="00E30170"/>
    <w:rsid w:val="00E357A8"/>
    <w:rsid w:val="00E54FD2"/>
    <w:rsid w:val="00E712EA"/>
    <w:rsid w:val="00E82D31"/>
    <w:rsid w:val="00EA0473"/>
    <w:rsid w:val="00EA4DCB"/>
    <w:rsid w:val="00EE153D"/>
    <w:rsid w:val="00F01119"/>
    <w:rsid w:val="00F72A94"/>
    <w:rsid w:val="00F7372A"/>
    <w:rsid w:val="00F746B3"/>
    <w:rsid w:val="00F961B7"/>
    <w:rsid w:val="00FA2BC3"/>
    <w:rsid w:val="00FB3DB6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6C0C5B9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113D06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13D06"/>
    <w:rPr>
      <w:rFonts w:ascii="Calibri" w:eastAsia="Times New Roman" w:hAnsi="Calibri" w:cs="Times New Roman"/>
      <w:sz w:val="20"/>
      <w:lang w:val="ru-RU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4143D5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13D0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113D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 w:cstheme="minorBidi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13D06"/>
    <w:rPr>
      <w:rFonts w:ascii="Calibri" w:hAnsi="Calibri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D/Conferences/CRO/Documents/CRO10/CRO2019_chairman_report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ITU-D/Membership/PublishingImages/Outcome%20Brief_Co-Creation%20Workshop%20for%20Academia%20Members%20%28002%29.pdf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cosmas.zavazava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TDAG20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solidFill>
                  <a:sysClr val="windowText" lastClr="000000"/>
                </a:solidFill>
                <a:latin typeface="+mn-lt"/>
              </a:rPr>
              <a:t>График</a:t>
            </a:r>
            <a:r>
              <a:rPr lang="en-GB" sz="1100" b="0" baseline="0">
                <a:solidFill>
                  <a:sysClr val="windowText" lastClr="000000"/>
                </a:solidFill>
                <a:latin typeface="+mn-lt"/>
              </a:rPr>
              <a:t> </a:t>
            </a:r>
            <a:r>
              <a:rPr lang="en-CA" sz="1400" b="0" i="0" u="none" strike="noStrike" baseline="0">
                <a:solidFill>
                  <a:sysClr val="windowText" lastClr="000000"/>
                </a:solidFill>
                <a:effectLst/>
              </a:rPr>
              <a:t>–</a:t>
            </a:r>
            <a:r>
              <a:rPr lang="en-GB" sz="1100" b="1" baseline="0">
                <a:solidFill>
                  <a:sysClr val="windowText" lastClr="000000"/>
                </a:solidFill>
                <a:latin typeface="+mn-lt"/>
              </a:rPr>
              <a:t> </a:t>
            </a:r>
            <a:r>
              <a:rPr lang="ru-RU" sz="1100" b="1" baseline="0">
                <a:solidFill>
                  <a:sysClr val="windowText" lastClr="000000"/>
                </a:solidFill>
                <a:latin typeface="+mn-lt"/>
              </a:rPr>
              <a:t>Изменене членского состава МСЭ</a:t>
            </a:r>
            <a:r>
              <a:rPr lang="en-GB" sz="1100" b="1" baseline="0">
                <a:solidFill>
                  <a:sysClr val="windowText" lastClr="000000"/>
                </a:solidFill>
                <a:latin typeface="+mn-lt"/>
              </a:rPr>
              <a:t>-D (1994</a:t>
            </a:r>
            <a:r>
              <a:rPr lang="ru-RU" sz="1400" b="0" i="0" u="none" strike="noStrike" baseline="0">
                <a:solidFill>
                  <a:sysClr val="windowText" lastClr="000000"/>
                </a:solidFill>
                <a:effectLst/>
              </a:rPr>
              <a:t>−</a:t>
            </a:r>
            <a:r>
              <a:rPr lang="en-GB" sz="1100" b="1" baseline="0">
                <a:solidFill>
                  <a:sysClr val="windowText" lastClr="000000"/>
                </a:solidFill>
                <a:latin typeface="+mn-lt"/>
              </a:rPr>
              <a:t>2019</a:t>
            </a:r>
            <a:r>
              <a:rPr lang="ru-RU" sz="1100" b="1" baseline="0">
                <a:solidFill>
                  <a:sysClr val="windowText" lastClr="000000"/>
                </a:solidFill>
                <a:latin typeface="+mn-lt"/>
              </a:rPr>
              <a:t> гг.</a:t>
            </a:r>
            <a:r>
              <a:rPr lang="en-GB" sz="1100" b="1" baseline="0">
                <a:solidFill>
                  <a:sysClr val="windowText" lastClr="000000"/>
                </a:solidFill>
                <a:latin typeface="+mn-lt"/>
              </a:rPr>
              <a:t>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CH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Sheet1!$B$1:$AA$1</c:f>
              <c:strCache>
                <c:ptCount val="26"/>
                <c:pt idx="0">
                  <c:v>1994 г.</c:v>
                </c:pt>
                <c:pt idx="1">
                  <c:v>1995 г.</c:v>
                </c:pt>
                <c:pt idx="2">
                  <c:v>1996 г.</c:v>
                </c:pt>
                <c:pt idx="3">
                  <c:v>1997 г.</c:v>
                </c:pt>
                <c:pt idx="4">
                  <c:v>1998 г.</c:v>
                </c:pt>
                <c:pt idx="5">
                  <c:v>1999 г.</c:v>
                </c:pt>
                <c:pt idx="6">
                  <c:v>2000 г.</c:v>
                </c:pt>
                <c:pt idx="7">
                  <c:v>2001 г.</c:v>
                </c:pt>
                <c:pt idx="8">
                  <c:v>2002 г.</c:v>
                </c:pt>
                <c:pt idx="9">
                  <c:v>2003 г.</c:v>
                </c:pt>
                <c:pt idx="10">
                  <c:v>2004 г.</c:v>
                </c:pt>
                <c:pt idx="11">
                  <c:v>2005 г.</c:v>
                </c:pt>
                <c:pt idx="12">
                  <c:v>2006 г.</c:v>
                </c:pt>
                <c:pt idx="13">
                  <c:v>2007 г.</c:v>
                </c:pt>
                <c:pt idx="14">
                  <c:v>2008 г.</c:v>
                </c:pt>
                <c:pt idx="15">
                  <c:v>2009 г.</c:v>
                </c:pt>
                <c:pt idx="16">
                  <c:v>2010 г.</c:v>
                </c:pt>
                <c:pt idx="17">
                  <c:v>2011 г.</c:v>
                </c:pt>
                <c:pt idx="18">
                  <c:v>2012 г.</c:v>
                </c:pt>
                <c:pt idx="19">
                  <c:v>2013 г.</c:v>
                </c:pt>
                <c:pt idx="20">
                  <c:v>2014 г.</c:v>
                </c:pt>
                <c:pt idx="21">
                  <c:v>2015 г.</c:v>
                </c:pt>
                <c:pt idx="22">
                  <c:v>2016 г.</c:v>
                </c:pt>
                <c:pt idx="23">
                  <c:v>2017 г.</c:v>
                </c:pt>
                <c:pt idx="24">
                  <c:v>Декабрь 2018 г.</c:v>
                </c:pt>
                <c:pt idx="25">
                  <c:v>Декабрь 2019 г.</c:v>
                </c:pt>
              </c:strCache>
            </c:strRef>
          </c:cat>
          <c:val>
            <c:numRef>
              <c:f>Sheet1!$B$2:$AA$2</c:f>
              <c:numCache>
                <c:formatCode>General</c:formatCode>
                <c:ptCount val="26"/>
                <c:pt idx="0">
                  <c:v>27</c:v>
                </c:pt>
                <c:pt idx="1">
                  <c:v>81</c:v>
                </c:pt>
                <c:pt idx="2">
                  <c:v>107</c:v>
                </c:pt>
                <c:pt idx="3">
                  <c:v>130</c:v>
                </c:pt>
                <c:pt idx="4">
                  <c:v>143</c:v>
                </c:pt>
                <c:pt idx="5">
                  <c:v>185</c:v>
                </c:pt>
                <c:pt idx="6">
                  <c:v>204</c:v>
                </c:pt>
                <c:pt idx="7">
                  <c:v>243</c:v>
                </c:pt>
                <c:pt idx="8">
                  <c:v>247</c:v>
                </c:pt>
                <c:pt idx="9">
                  <c:v>260</c:v>
                </c:pt>
                <c:pt idx="10">
                  <c:v>282</c:v>
                </c:pt>
                <c:pt idx="11">
                  <c:v>307</c:v>
                </c:pt>
                <c:pt idx="12">
                  <c:v>326</c:v>
                </c:pt>
                <c:pt idx="13">
                  <c:v>320</c:v>
                </c:pt>
                <c:pt idx="14">
                  <c:v>311</c:v>
                </c:pt>
                <c:pt idx="15">
                  <c:v>319</c:v>
                </c:pt>
                <c:pt idx="16">
                  <c:v>316</c:v>
                </c:pt>
                <c:pt idx="17">
                  <c:v>352</c:v>
                </c:pt>
                <c:pt idx="18">
                  <c:v>377</c:v>
                </c:pt>
                <c:pt idx="19">
                  <c:v>412</c:v>
                </c:pt>
                <c:pt idx="20">
                  <c:v>433</c:v>
                </c:pt>
                <c:pt idx="21">
                  <c:v>459</c:v>
                </c:pt>
                <c:pt idx="22">
                  <c:v>475</c:v>
                </c:pt>
                <c:pt idx="23">
                  <c:v>453</c:v>
                </c:pt>
                <c:pt idx="24">
                  <c:v>480</c:v>
                </c:pt>
                <c:pt idx="25">
                  <c:v>487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E63-4D7A-8D67-0C23B14A77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18477144"/>
        <c:axId val="292475816"/>
      </c:lineChart>
      <c:catAx>
        <c:axId val="518477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CH"/>
          </a:p>
        </c:txPr>
        <c:crossAx val="292475816"/>
        <c:crosses val="autoZero"/>
        <c:auto val="1"/>
        <c:lblAlgn val="ctr"/>
        <c:lblOffset val="100"/>
        <c:noMultiLvlLbl val="0"/>
      </c:catAx>
      <c:valAx>
        <c:axId val="292475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CH"/>
          </a:p>
        </c:txPr>
        <c:crossAx val="518477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C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5478F-D133-4A84-846E-D0013EE7E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PR_TDAG20.dotx</Template>
  <TotalTime>44</TotalTime>
  <Pages>6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BDT</cp:lastModifiedBy>
  <cp:revision>7</cp:revision>
  <cp:lastPrinted>2015-03-02T13:42:00Z</cp:lastPrinted>
  <dcterms:created xsi:type="dcterms:W3CDTF">2020-02-18T16:30:00Z</dcterms:created>
  <dcterms:modified xsi:type="dcterms:W3CDTF">2020-03-10T12:51:00Z</dcterms:modified>
</cp:coreProperties>
</file>