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D15B9B" w14:paraId="6C4FDBBF" w14:textId="77777777" w:rsidTr="006D7E3A">
        <w:trPr>
          <w:cantSplit/>
          <w:trHeight w:val="1134"/>
        </w:trPr>
        <w:tc>
          <w:tcPr>
            <w:tcW w:w="7251" w:type="dxa"/>
          </w:tcPr>
          <w:p w14:paraId="3FFE4A5F" w14:textId="77777777" w:rsidR="0021438F" w:rsidRPr="00D15B9B" w:rsidRDefault="0021438F" w:rsidP="00DF0002">
            <w:pPr>
              <w:tabs>
                <w:tab w:val="left" w:pos="1871"/>
                <w:tab w:val="left" w:pos="2268"/>
              </w:tabs>
              <w:spacing w:before="20" w:after="48"/>
              <w:ind w:left="34"/>
              <w:rPr>
                <w:b/>
                <w:bCs/>
                <w:sz w:val="32"/>
                <w:szCs w:val="32"/>
                <w:lang w:val="fr-FR"/>
              </w:rPr>
            </w:pPr>
            <w:r w:rsidRPr="00D15B9B">
              <w:rPr>
                <w:b/>
                <w:sz w:val="32"/>
                <w:szCs w:val="32"/>
                <w:lang w:val="fr-FR"/>
              </w:rPr>
              <w:t>Groupe</w:t>
            </w:r>
            <w:r w:rsidRPr="00D15B9B">
              <w:rPr>
                <w:b/>
                <w:bCs/>
                <w:sz w:val="32"/>
                <w:szCs w:val="32"/>
                <w:lang w:val="fr-FR"/>
              </w:rPr>
              <w:t xml:space="preserve"> consultatif pour le développement </w:t>
            </w:r>
            <w:r w:rsidRPr="00D15B9B">
              <w:rPr>
                <w:b/>
                <w:bCs/>
                <w:sz w:val="32"/>
                <w:szCs w:val="32"/>
                <w:lang w:val="fr-FR"/>
              </w:rPr>
              <w:br/>
              <w:t>des télécommunications (GCDT)</w:t>
            </w:r>
          </w:p>
          <w:p w14:paraId="197805EA" w14:textId="3466616A" w:rsidR="0021438F" w:rsidRPr="00D15B9B" w:rsidRDefault="00D87E6C" w:rsidP="00DF0002">
            <w:pPr>
              <w:tabs>
                <w:tab w:val="clear" w:pos="1191"/>
                <w:tab w:val="clear" w:pos="1588"/>
                <w:tab w:val="clear" w:pos="1985"/>
              </w:tabs>
              <w:spacing w:before="100" w:after="120"/>
              <w:ind w:left="34"/>
              <w:rPr>
                <w:rFonts w:ascii="Verdana" w:hAnsi="Verdana"/>
                <w:sz w:val="28"/>
                <w:szCs w:val="28"/>
                <w:lang w:val="fr-FR"/>
              </w:rPr>
            </w:pPr>
            <w:r w:rsidRPr="00D15B9B">
              <w:rPr>
                <w:b/>
                <w:bCs/>
                <w:sz w:val="26"/>
                <w:szCs w:val="26"/>
                <w:lang w:val="fr-FR"/>
              </w:rPr>
              <w:t>2</w:t>
            </w:r>
            <w:r w:rsidR="002577C1" w:rsidRPr="00D15B9B">
              <w:rPr>
                <w:b/>
                <w:bCs/>
                <w:sz w:val="26"/>
                <w:szCs w:val="26"/>
                <w:lang w:val="fr-FR"/>
              </w:rPr>
              <w:t>5</w:t>
            </w:r>
            <w:r w:rsidRPr="00D15B9B">
              <w:rPr>
                <w:b/>
                <w:bCs/>
                <w:sz w:val="26"/>
                <w:szCs w:val="26"/>
                <w:lang w:val="fr-FR"/>
              </w:rPr>
              <w:t xml:space="preserve">ème réunion, Genève, </w:t>
            </w:r>
            <w:r w:rsidR="002577C1" w:rsidRPr="00D15B9B">
              <w:rPr>
                <w:b/>
                <w:bCs/>
                <w:sz w:val="26"/>
                <w:szCs w:val="26"/>
                <w:lang w:val="fr-FR"/>
              </w:rPr>
              <w:t>2</w:t>
            </w:r>
            <w:r w:rsidR="00EE19DE">
              <w:rPr>
                <w:b/>
                <w:bCs/>
                <w:sz w:val="26"/>
                <w:szCs w:val="26"/>
                <w:lang w:val="fr-FR"/>
              </w:rPr>
              <w:t>-5 juin</w:t>
            </w:r>
            <w:bookmarkStart w:id="0" w:name="_GoBack"/>
            <w:bookmarkEnd w:id="0"/>
            <w:r w:rsidRPr="00D15B9B">
              <w:rPr>
                <w:b/>
                <w:bCs/>
                <w:sz w:val="26"/>
                <w:szCs w:val="26"/>
                <w:lang w:val="fr-FR"/>
              </w:rPr>
              <w:t xml:space="preserve"> 20</w:t>
            </w:r>
            <w:r w:rsidR="00FA0CF2" w:rsidRPr="00D15B9B">
              <w:rPr>
                <w:b/>
                <w:bCs/>
                <w:sz w:val="26"/>
                <w:szCs w:val="26"/>
                <w:lang w:val="fr-FR"/>
              </w:rPr>
              <w:t>20</w:t>
            </w:r>
          </w:p>
        </w:tc>
        <w:tc>
          <w:tcPr>
            <w:tcW w:w="2996" w:type="dxa"/>
          </w:tcPr>
          <w:p w14:paraId="2C87AEF6" w14:textId="77777777" w:rsidR="0021438F" w:rsidRPr="00D15B9B" w:rsidRDefault="00D87E6C" w:rsidP="00DF0002">
            <w:pPr>
              <w:spacing w:before="0"/>
              <w:ind w:right="142"/>
              <w:jc w:val="right"/>
              <w:rPr>
                <w:lang w:val="fr-FR"/>
              </w:rPr>
            </w:pPr>
            <w:r w:rsidRPr="00D15B9B">
              <w:rPr>
                <w:noProof/>
                <w:color w:val="3399FF"/>
                <w:lang w:val="fr-FR" w:eastAsia="en-GB"/>
              </w:rPr>
              <w:drawing>
                <wp:inline distT="0" distB="0" distL="0" distR="0" wp14:anchorId="47800FF5" wp14:editId="16F0F68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15B9B" w14:paraId="634B2642" w14:textId="77777777" w:rsidTr="000C61E9">
        <w:trPr>
          <w:cantSplit/>
        </w:trPr>
        <w:tc>
          <w:tcPr>
            <w:tcW w:w="7251" w:type="dxa"/>
            <w:tcBorders>
              <w:top w:val="single" w:sz="12" w:space="0" w:color="auto"/>
            </w:tcBorders>
          </w:tcPr>
          <w:p w14:paraId="4EAE1A0F" w14:textId="77777777" w:rsidR="00683C32" w:rsidRPr="00D15B9B" w:rsidRDefault="00683C32" w:rsidP="00DF0002">
            <w:pPr>
              <w:spacing w:before="0"/>
              <w:rPr>
                <w:rFonts w:cs="Arial"/>
                <w:b/>
                <w:bCs/>
                <w:sz w:val="20"/>
                <w:lang w:val="fr-FR"/>
              </w:rPr>
            </w:pPr>
          </w:p>
        </w:tc>
        <w:tc>
          <w:tcPr>
            <w:tcW w:w="2996" w:type="dxa"/>
            <w:tcBorders>
              <w:top w:val="single" w:sz="12" w:space="0" w:color="auto"/>
            </w:tcBorders>
          </w:tcPr>
          <w:p w14:paraId="082A8C0B" w14:textId="77777777" w:rsidR="00683C32" w:rsidRPr="00D15B9B" w:rsidRDefault="00683C32" w:rsidP="00DF0002">
            <w:pPr>
              <w:spacing w:before="0"/>
              <w:rPr>
                <w:b/>
                <w:bCs/>
                <w:sz w:val="20"/>
                <w:lang w:val="fr-FR"/>
              </w:rPr>
            </w:pPr>
          </w:p>
        </w:tc>
      </w:tr>
      <w:tr w:rsidR="00683C32" w:rsidRPr="00D15B9B" w14:paraId="29A335CE" w14:textId="77777777" w:rsidTr="000C61E9">
        <w:trPr>
          <w:cantSplit/>
        </w:trPr>
        <w:tc>
          <w:tcPr>
            <w:tcW w:w="7251" w:type="dxa"/>
          </w:tcPr>
          <w:p w14:paraId="5507AEE2" w14:textId="77777777" w:rsidR="00683C32" w:rsidRPr="00D15B9B" w:rsidRDefault="00683C32" w:rsidP="00DF0002">
            <w:pPr>
              <w:pStyle w:val="Committee"/>
              <w:spacing w:before="0"/>
              <w:rPr>
                <w:b w:val="0"/>
                <w:szCs w:val="24"/>
                <w:lang w:val="fr-FR"/>
              </w:rPr>
            </w:pPr>
          </w:p>
        </w:tc>
        <w:tc>
          <w:tcPr>
            <w:tcW w:w="2996" w:type="dxa"/>
          </w:tcPr>
          <w:p w14:paraId="22CCE613" w14:textId="2C23E2EB" w:rsidR="00683C32" w:rsidRPr="00D15B9B" w:rsidRDefault="00323587" w:rsidP="00DF0002">
            <w:pPr>
              <w:spacing w:before="0"/>
              <w:rPr>
                <w:bCs/>
                <w:szCs w:val="24"/>
                <w:lang w:val="fr-FR"/>
              </w:rPr>
            </w:pPr>
            <w:r w:rsidRPr="00D15B9B">
              <w:rPr>
                <w:b/>
                <w:bCs/>
                <w:szCs w:val="28"/>
                <w:lang w:val="fr-FR"/>
              </w:rPr>
              <w:t xml:space="preserve">Document </w:t>
            </w:r>
            <w:bookmarkStart w:id="1" w:name="DocRef1"/>
            <w:bookmarkEnd w:id="1"/>
            <w:r w:rsidRPr="00D15B9B">
              <w:rPr>
                <w:b/>
                <w:bCs/>
                <w:szCs w:val="28"/>
                <w:lang w:val="fr-FR"/>
              </w:rPr>
              <w:t>TDAG</w:t>
            </w:r>
            <w:r w:rsidR="008F20EB" w:rsidRPr="00D15B9B">
              <w:rPr>
                <w:b/>
                <w:bCs/>
                <w:szCs w:val="28"/>
                <w:lang w:val="fr-FR"/>
              </w:rPr>
              <w:t>-</w:t>
            </w:r>
            <w:r w:rsidR="002577C1" w:rsidRPr="00D15B9B">
              <w:rPr>
                <w:b/>
                <w:bCs/>
                <w:szCs w:val="28"/>
                <w:lang w:val="fr-FR"/>
              </w:rPr>
              <w:t>20</w:t>
            </w:r>
            <w:r w:rsidRPr="00D15B9B">
              <w:rPr>
                <w:b/>
                <w:bCs/>
                <w:szCs w:val="28"/>
                <w:lang w:val="fr-FR"/>
              </w:rPr>
              <w:t>/</w:t>
            </w:r>
            <w:bookmarkStart w:id="2" w:name="DocNo1"/>
            <w:bookmarkEnd w:id="2"/>
            <w:r w:rsidR="00DF18F9" w:rsidRPr="00D15B9B">
              <w:rPr>
                <w:b/>
                <w:bCs/>
                <w:szCs w:val="28"/>
                <w:lang w:val="fr-FR"/>
              </w:rPr>
              <w:t>11</w:t>
            </w:r>
            <w:r w:rsidRPr="00D15B9B">
              <w:rPr>
                <w:b/>
                <w:bCs/>
                <w:szCs w:val="28"/>
                <w:lang w:val="fr-FR"/>
              </w:rPr>
              <w:t>-F</w:t>
            </w:r>
          </w:p>
        </w:tc>
      </w:tr>
      <w:tr w:rsidR="00683C32" w:rsidRPr="00D15B9B" w14:paraId="140631C9" w14:textId="77777777" w:rsidTr="000C61E9">
        <w:trPr>
          <w:cantSplit/>
        </w:trPr>
        <w:tc>
          <w:tcPr>
            <w:tcW w:w="7251" w:type="dxa"/>
          </w:tcPr>
          <w:p w14:paraId="7553DD93" w14:textId="77777777" w:rsidR="00683C32" w:rsidRPr="00D15B9B" w:rsidRDefault="00683C32" w:rsidP="00DF0002">
            <w:pPr>
              <w:spacing w:before="0"/>
              <w:rPr>
                <w:b/>
                <w:bCs/>
                <w:smallCaps/>
                <w:szCs w:val="24"/>
                <w:lang w:val="fr-FR"/>
              </w:rPr>
            </w:pPr>
          </w:p>
        </w:tc>
        <w:tc>
          <w:tcPr>
            <w:tcW w:w="2996" w:type="dxa"/>
          </w:tcPr>
          <w:p w14:paraId="2D684405" w14:textId="592FE310" w:rsidR="00683C32" w:rsidRPr="00D15B9B" w:rsidRDefault="00DF18F9" w:rsidP="00DF0002">
            <w:pPr>
              <w:spacing w:before="0"/>
              <w:rPr>
                <w:b/>
                <w:szCs w:val="24"/>
                <w:lang w:val="fr-FR"/>
              </w:rPr>
            </w:pPr>
            <w:bookmarkStart w:id="3" w:name="CreationDate"/>
            <w:bookmarkEnd w:id="3"/>
            <w:r w:rsidRPr="00D15B9B">
              <w:rPr>
                <w:b/>
                <w:bCs/>
                <w:szCs w:val="28"/>
                <w:lang w:val="fr-FR"/>
              </w:rPr>
              <w:t>4 février</w:t>
            </w:r>
            <w:r w:rsidR="00323587" w:rsidRPr="00D15B9B">
              <w:rPr>
                <w:b/>
                <w:bCs/>
                <w:szCs w:val="28"/>
                <w:lang w:val="fr-FR"/>
              </w:rPr>
              <w:t xml:space="preserve"> 20</w:t>
            </w:r>
            <w:r w:rsidR="002577C1" w:rsidRPr="00D15B9B">
              <w:rPr>
                <w:b/>
                <w:bCs/>
                <w:szCs w:val="28"/>
                <w:lang w:val="fr-FR"/>
              </w:rPr>
              <w:t>20</w:t>
            </w:r>
          </w:p>
        </w:tc>
      </w:tr>
      <w:tr w:rsidR="00683C32" w:rsidRPr="00D15B9B" w14:paraId="3D8B7474" w14:textId="77777777" w:rsidTr="000C61E9">
        <w:trPr>
          <w:cantSplit/>
        </w:trPr>
        <w:tc>
          <w:tcPr>
            <w:tcW w:w="7251" w:type="dxa"/>
          </w:tcPr>
          <w:p w14:paraId="4CB0A7D0" w14:textId="77777777" w:rsidR="00683C32" w:rsidRPr="00D15B9B" w:rsidRDefault="00683C32" w:rsidP="00DF0002">
            <w:pPr>
              <w:spacing w:before="0"/>
              <w:rPr>
                <w:b/>
                <w:bCs/>
                <w:smallCaps/>
                <w:szCs w:val="24"/>
                <w:lang w:val="fr-FR"/>
              </w:rPr>
            </w:pPr>
          </w:p>
        </w:tc>
        <w:tc>
          <w:tcPr>
            <w:tcW w:w="2996" w:type="dxa"/>
          </w:tcPr>
          <w:p w14:paraId="3022AE74" w14:textId="6EE43528" w:rsidR="00514D2F" w:rsidRPr="00D15B9B" w:rsidRDefault="00323587" w:rsidP="00DF0002">
            <w:pPr>
              <w:spacing w:before="0"/>
              <w:rPr>
                <w:szCs w:val="24"/>
                <w:lang w:val="fr-FR"/>
              </w:rPr>
            </w:pPr>
            <w:r w:rsidRPr="00D15B9B">
              <w:rPr>
                <w:b/>
                <w:szCs w:val="28"/>
                <w:lang w:val="fr-FR"/>
              </w:rPr>
              <w:t>Original:</w:t>
            </w:r>
            <w:bookmarkStart w:id="4" w:name="Original"/>
            <w:bookmarkEnd w:id="4"/>
            <w:r w:rsidR="00DF18F9" w:rsidRPr="00D15B9B">
              <w:rPr>
                <w:b/>
                <w:szCs w:val="28"/>
                <w:lang w:val="fr-FR"/>
              </w:rPr>
              <w:t xml:space="preserve"> anglais</w:t>
            </w:r>
          </w:p>
        </w:tc>
      </w:tr>
      <w:tr w:rsidR="00A13162" w:rsidRPr="00D15B9B" w14:paraId="43D00057" w14:textId="77777777" w:rsidTr="000C61E9">
        <w:trPr>
          <w:cantSplit/>
          <w:trHeight w:val="852"/>
        </w:trPr>
        <w:tc>
          <w:tcPr>
            <w:tcW w:w="10247" w:type="dxa"/>
            <w:gridSpan w:val="2"/>
          </w:tcPr>
          <w:p w14:paraId="29FF5797" w14:textId="458C034C" w:rsidR="00A13162" w:rsidRPr="00D15B9B" w:rsidRDefault="004A462D" w:rsidP="00DF0002">
            <w:pPr>
              <w:pStyle w:val="Source"/>
              <w:rPr>
                <w:lang w:val="fr-FR"/>
              </w:rPr>
            </w:pPr>
            <w:bookmarkStart w:id="5" w:name="Source"/>
            <w:bookmarkEnd w:id="5"/>
            <w:r w:rsidRPr="00D15B9B">
              <w:rPr>
                <w:bCs/>
                <w:lang w:val="fr-FR"/>
              </w:rPr>
              <w:t>Directrice du Bureau de développement des télécommunications</w:t>
            </w:r>
          </w:p>
        </w:tc>
      </w:tr>
      <w:tr w:rsidR="00AC6F14" w:rsidRPr="00D15B9B" w14:paraId="19A41CCC" w14:textId="77777777" w:rsidTr="000C61E9">
        <w:trPr>
          <w:cantSplit/>
        </w:trPr>
        <w:tc>
          <w:tcPr>
            <w:tcW w:w="10247" w:type="dxa"/>
            <w:gridSpan w:val="2"/>
          </w:tcPr>
          <w:p w14:paraId="1DA9E432" w14:textId="6DA82E04" w:rsidR="00AC6F14" w:rsidRPr="00D15B9B" w:rsidRDefault="000F720F" w:rsidP="00DF0002">
            <w:pPr>
              <w:pStyle w:val="Title1"/>
              <w:rPr>
                <w:lang w:val="fr-FR"/>
              </w:rPr>
            </w:pPr>
            <w:bookmarkStart w:id="6" w:name="Title"/>
            <w:bookmarkEnd w:id="6"/>
            <w:r w:rsidRPr="00D15B9B">
              <w:rPr>
                <w:bCs/>
                <w:lang w:val="fr-FR"/>
              </w:rPr>
              <w:t>MEMBRES DU SECTEUR ET ASSOCIÉS DE L'UIT-D ET ÉTABLISSEMENTS UNIVERSITAIRES PARTICIPANT AUX TRAVAUX DE L'UIT-D</w:t>
            </w:r>
          </w:p>
        </w:tc>
      </w:tr>
      <w:tr w:rsidR="00A721F4" w:rsidRPr="00D15B9B" w14:paraId="1420DEDB" w14:textId="77777777" w:rsidTr="000C61E9">
        <w:trPr>
          <w:cantSplit/>
        </w:trPr>
        <w:tc>
          <w:tcPr>
            <w:tcW w:w="10247" w:type="dxa"/>
            <w:gridSpan w:val="2"/>
            <w:tcBorders>
              <w:bottom w:val="single" w:sz="4" w:space="0" w:color="auto"/>
            </w:tcBorders>
          </w:tcPr>
          <w:p w14:paraId="47F16E4A" w14:textId="77777777" w:rsidR="00A721F4" w:rsidRPr="00D15B9B" w:rsidRDefault="00A721F4" w:rsidP="00DF0002">
            <w:pPr>
              <w:rPr>
                <w:lang w:val="fr-FR"/>
              </w:rPr>
            </w:pPr>
          </w:p>
        </w:tc>
      </w:tr>
      <w:tr w:rsidR="00A721F4" w:rsidRPr="00D15B9B" w14:paraId="4D7AFEC0"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C124675" w14:textId="77777777" w:rsidR="00A721F4" w:rsidRPr="00D15B9B" w:rsidRDefault="00156BF6" w:rsidP="00DF0002">
            <w:pPr>
              <w:pStyle w:val="Headingb"/>
              <w:spacing w:before="120"/>
              <w:rPr>
                <w:lang w:val="fr-FR"/>
              </w:rPr>
            </w:pPr>
            <w:r w:rsidRPr="00D15B9B">
              <w:rPr>
                <w:lang w:val="fr-FR"/>
              </w:rPr>
              <w:t>Résumé:</w:t>
            </w:r>
          </w:p>
          <w:p w14:paraId="7425DA9B" w14:textId="7E82AA12" w:rsidR="00A721F4" w:rsidRPr="00D15B9B" w:rsidRDefault="00DF18F9" w:rsidP="00DF0002">
            <w:pPr>
              <w:rPr>
                <w:szCs w:val="24"/>
                <w:lang w:val="fr-FR"/>
              </w:rPr>
            </w:pPr>
            <w:r w:rsidRPr="00D15B9B">
              <w:rPr>
                <w:szCs w:val="24"/>
                <w:lang w:val="fr-FR"/>
              </w:rPr>
              <w:t>Le présent document donne un aperçu de l'évolution de la composition de l'UIT-D</w:t>
            </w:r>
            <w:r w:rsidR="007A4086" w:rsidRPr="00D15B9B">
              <w:rPr>
                <w:szCs w:val="24"/>
                <w:lang w:val="fr-FR"/>
              </w:rPr>
              <w:t xml:space="preserve">. Il contient en outre des recommandations concernant les mesures à prendre pour </w:t>
            </w:r>
            <w:r w:rsidR="000F720F" w:rsidRPr="00D15B9B">
              <w:rPr>
                <w:szCs w:val="24"/>
                <w:lang w:val="fr-FR"/>
              </w:rPr>
              <w:t>accroître le nombre de membres</w:t>
            </w:r>
            <w:r w:rsidRPr="00D15B9B">
              <w:rPr>
                <w:szCs w:val="24"/>
                <w:lang w:val="fr-FR"/>
              </w:rPr>
              <w:t xml:space="preserve"> de l'UIT-D conformément aux résultats de la</w:t>
            </w:r>
            <w:r w:rsidR="007A4086" w:rsidRPr="00D15B9B">
              <w:rPr>
                <w:szCs w:val="24"/>
                <w:lang w:val="fr-FR"/>
              </w:rPr>
              <w:t xml:space="preserve"> Conférence mondiale de développement des télécommunications de 2017</w:t>
            </w:r>
            <w:r w:rsidRPr="00D15B9B">
              <w:rPr>
                <w:szCs w:val="24"/>
                <w:lang w:val="fr-FR"/>
              </w:rPr>
              <w:t xml:space="preserve"> </w:t>
            </w:r>
            <w:r w:rsidR="007A4086" w:rsidRPr="00D15B9B">
              <w:rPr>
                <w:szCs w:val="24"/>
                <w:lang w:val="fr-FR"/>
              </w:rPr>
              <w:t>(</w:t>
            </w:r>
            <w:r w:rsidRPr="00D15B9B">
              <w:rPr>
                <w:szCs w:val="24"/>
                <w:lang w:val="fr-FR"/>
              </w:rPr>
              <w:t>CMDT-17</w:t>
            </w:r>
            <w:r w:rsidR="007A4086" w:rsidRPr="00D15B9B">
              <w:rPr>
                <w:szCs w:val="24"/>
                <w:lang w:val="fr-FR"/>
              </w:rPr>
              <w:t>)</w:t>
            </w:r>
            <w:r w:rsidRPr="00D15B9B">
              <w:rPr>
                <w:szCs w:val="24"/>
                <w:lang w:val="fr-FR"/>
              </w:rPr>
              <w:t xml:space="preserve"> et de la </w:t>
            </w:r>
            <w:r w:rsidR="007A4086" w:rsidRPr="00D15B9B">
              <w:rPr>
                <w:szCs w:val="24"/>
                <w:lang w:val="fr-FR"/>
              </w:rPr>
              <w:t>Conférence de plénipotentiaires de 2018</w:t>
            </w:r>
            <w:r w:rsidRPr="00D15B9B">
              <w:rPr>
                <w:szCs w:val="24"/>
                <w:lang w:val="fr-FR"/>
              </w:rPr>
              <w:t xml:space="preserve">. </w:t>
            </w:r>
            <w:r w:rsidR="007A4086" w:rsidRPr="00D15B9B">
              <w:rPr>
                <w:szCs w:val="24"/>
                <w:lang w:val="fr-FR"/>
              </w:rPr>
              <w:t>L</w:t>
            </w:r>
            <w:r w:rsidR="00F72481" w:rsidRPr="00D15B9B">
              <w:rPr>
                <w:szCs w:val="24"/>
                <w:lang w:val="fr-FR"/>
              </w:rPr>
              <w:t>'</w:t>
            </w:r>
            <w:r w:rsidR="007A4086" w:rsidRPr="00D15B9B">
              <w:rPr>
                <w:szCs w:val="24"/>
                <w:lang w:val="fr-FR"/>
              </w:rPr>
              <w:t>UIT-D comprend des Membres de Secteur, des Associés et des établissements universitaires</w:t>
            </w:r>
            <w:bookmarkStart w:id="7" w:name="dorlang"/>
            <w:bookmarkEnd w:id="7"/>
            <w:r w:rsidRPr="00D15B9B">
              <w:rPr>
                <w:rStyle w:val="FootnoteReference"/>
                <w:szCs w:val="24"/>
                <w:lang w:val="fr-FR"/>
              </w:rPr>
              <w:footnoteReference w:id="1"/>
            </w:r>
            <w:r w:rsidRPr="00D15B9B">
              <w:rPr>
                <w:szCs w:val="24"/>
                <w:lang w:val="fr-FR"/>
              </w:rPr>
              <w:t>.</w:t>
            </w:r>
          </w:p>
          <w:p w14:paraId="6B405FEC" w14:textId="5E1E226D" w:rsidR="00A721F4" w:rsidRPr="00D15B9B" w:rsidRDefault="00DF0002" w:rsidP="00DF0002">
            <w:pPr>
              <w:pStyle w:val="Headingb"/>
              <w:rPr>
                <w:lang w:val="fr-FR"/>
              </w:rPr>
            </w:pPr>
            <w:r w:rsidRPr="00D15B9B">
              <w:rPr>
                <w:lang w:val="fr-FR"/>
              </w:rPr>
              <w:t>Suite à donner</w:t>
            </w:r>
            <w:r w:rsidR="00DF18F9" w:rsidRPr="00D15B9B">
              <w:rPr>
                <w:lang w:val="fr-FR"/>
              </w:rPr>
              <w:t>:</w:t>
            </w:r>
          </w:p>
          <w:p w14:paraId="1FACC511" w14:textId="07DFF8A5" w:rsidR="00A721F4" w:rsidRPr="00D15B9B" w:rsidRDefault="00DF18F9" w:rsidP="00DF0002">
            <w:pPr>
              <w:rPr>
                <w:szCs w:val="24"/>
                <w:lang w:val="fr-FR"/>
              </w:rPr>
            </w:pPr>
            <w:r w:rsidRPr="00D15B9B">
              <w:rPr>
                <w:szCs w:val="24"/>
                <w:lang w:val="fr-FR"/>
              </w:rPr>
              <w:t>Le GCDT est invité à prendre note du présent document et à fournir les orientations qu'il jugera nécessaires.</w:t>
            </w:r>
          </w:p>
          <w:p w14:paraId="4210D90B" w14:textId="77777777" w:rsidR="00A721F4" w:rsidRPr="00D15B9B" w:rsidRDefault="00156BF6" w:rsidP="00DF0002">
            <w:pPr>
              <w:pStyle w:val="Headingb"/>
              <w:rPr>
                <w:lang w:val="fr-FR"/>
              </w:rPr>
            </w:pPr>
            <w:r w:rsidRPr="00D15B9B">
              <w:rPr>
                <w:lang w:val="fr-FR"/>
              </w:rPr>
              <w:t>Références:</w:t>
            </w:r>
          </w:p>
          <w:p w14:paraId="1B6359DC" w14:textId="19D3E038" w:rsidR="00A721F4" w:rsidRPr="00D15B9B" w:rsidRDefault="00DF18F9" w:rsidP="00DF0002">
            <w:pPr>
              <w:spacing w:after="120"/>
              <w:rPr>
                <w:lang w:val="fr-FR"/>
              </w:rPr>
            </w:pPr>
            <w:r w:rsidRPr="00D15B9B">
              <w:rPr>
                <w:lang w:val="fr-FR"/>
              </w:rPr>
              <w:t>Résolution 71 (Rév.Buenos Aires, 2017) de la CMDT; Résolutions 169 (Rév. Dubaï, 2018), 20</w:t>
            </w:r>
            <w:r w:rsidR="000F720F" w:rsidRPr="00D15B9B">
              <w:rPr>
                <w:lang w:val="fr-FR"/>
              </w:rPr>
              <w:t>5</w:t>
            </w:r>
            <w:r w:rsidR="003E5493">
              <w:rPr>
                <w:lang w:val="fr-FR"/>
              </w:rPr>
              <w:t> </w:t>
            </w:r>
            <w:r w:rsidRPr="00D15B9B">
              <w:rPr>
                <w:lang w:val="fr-FR"/>
              </w:rPr>
              <w:t>(Dubaï,</w:t>
            </w:r>
            <w:r w:rsidR="003E5493">
              <w:rPr>
                <w:lang w:val="fr-FR"/>
              </w:rPr>
              <w:t> </w:t>
            </w:r>
            <w:r w:rsidRPr="00D15B9B">
              <w:rPr>
                <w:lang w:val="fr-FR"/>
              </w:rPr>
              <w:t>2018) et 20</w:t>
            </w:r>
            <w:r w:rsidR="000F720F" w:rsidRPr="00D15B9B">
              <w:rPr>
                <w:lang w:val="fr-FR"/>
              </w:rPr>
              <w:t>9</w:t>
            </w:r>
            <w:r w:rsidRPr="00D15B9B">
              <w:rPr>
                <w:lang w:val="fr-FR"/>
              </w:rPr>
              <w:t xml:space="preserve"> (Dubaï, 2018) de la Conférence de plénipotentiaires.</w:t>
            </w:r>
          </w:p>
        </w:tc>
      </w:tr>
    </w:tbl>
    <w:p w14:paraId="54CF6B3E" w14:textId="77777777" w:rsidR="002577C1" w:rsidRPr="00D15B9B" w:rsidRDefault="002577C1" w:rsidP="00DF0002">
      <w:pPr>
        <w:tabs>
          <w:tab w:val="clear" w:pos="794"/>
          <w:tab w:val="clear" w:pos="1191"/>
          <w:tab w:val="clear" w:pos="1588"/>
          <w:tab w:val="clear" w:pos="1985"/>
        </w:tabs>
        <w:overflowPunct/>
        <w:autoSpaceDE/>
        <w:autoSpaceDN/>
        <w:adjustRightInd/>
        <w:spacing w:before="0"/>
        <w:textAlignment w:val="auto"/>
        <w:rPr>
          <w:lang w:val="fr-FR"/>
        </w:rPr>
      </w:pPr>
      <w:bookmarkStart w:id="8" w:name="Proposal"/>
      <w:bookmarkEnd w:id="8"/>
      <w:r w:rsidRPr="00D15B9B">
        <w:rPr>
          <w:lang w:val="fr-FR"/>
        </w:rPr>
        <w:br w:type="page"/>
      </w:r>
    </w:p>
    <w:p w14:paraId="03CBF796" w14:textId="2989DE18" w:rsidR="00DF18F9" w:rsidRPr="00CF034E" w:rsidRDefault="00DF18F9" w:rsidP="00DF0002">
      <w:pPr>
        <w:pStyle w:val="Heading1"/>
        <w:tabs>
          <w:tab w:val="clear" w:pos="1985"/>
          <w:tab w:val="left" w:pos="5685"/>
        </w:tabs>
        <w:rPr>
          <w:sz w:val="24"/>
          <w:szCs w:val="24"/>
          <w:lang w:val="fr-FR"/>
        </w:rPr>
      </w:pPr>
      <w:r w:rsidRPr="00CF034E">
        <w:rPr>
          <w:sz w:val="24"/>
          <w:szCs w:val="24"/>
          <w:lang w:val="fr-FR"/>
        </w:rPr>
        <w:lastRenderedPageBreak/>
        <w:t>1</w:t>
      </w:r>
      <w:r w:rsidRPr="00CF034E">
        <w:rPr>
          <w:sz w:val="24"/>
          <w:szCs w:val="24"/>
          <w:lang w:val="fr-FR"/>
        </w:rPr>
        <w:tab/>
        <w:t>Rappel</w:t>
      </w:r>
    </w:p>
    <w:p w14:paraId="42E5EA8B" w14:textId="69F39D3F" w:rsidR="00DF18F9" w:rsidRPr="00D15B9B" w:rsidRDefault="00DF18F9" w:rsidP="00DF0002">
      <w:pPr>
        <w:rPr>
          <w:lang w:val="fr-FR"/>
        </w:rPr>
      </w:pPr>
      <w:r w:rsidRPr="00D15B9B">
        <w:rPr>
          <w:lang w:val="fr-FR"/>
        </w:rPr>
        <w:t xml:space="preserve">La Conférence mondiale de développement des télécommunications tenue en 2017 (CMDT-17) a modifié et adopté la Résolution 71 </w:t>
      </w:r>
      <w:r w:rsidR="00642FD0" w:rsidRPr="00D15B9B">
        <w:rPr>
          <w:lang w:val="fr-FR"/>
        </w:rPr>
        <w:t>(Rév.Buenos Aires, 2017</w:t>
      </w:r>
      <w:r w:rsidRPr="00D15B9B">
        <w:rPr>
          <w:rStyle w:val="FootnoteReference"/>
          <w:lang w:val="fr-FR"/>
        </w:rPr>
        <w:footnoteReference w:id="2"/>
      </w:r>
      <w:r w:rsidRPr="00D15B9B">
        <w:rPr>
          <w:lang w:val="fr-FR"/>
        </w:rPr>
        <w:t xml:space="preserve">) afin </w:t>
      </w:r>
      <w:r w:rsidR="000F720F" w:rsidRPr="00D15B9B">
        <w:rPr>
          <w:lang w:val="fr-FR"/>
        </w:rPr>
        <w:t>de promouvoir une participation</w:t>
      </w:r>
      <w:r w:rsidRPr="00D15B9B">
        <w:rPr>
          <w:lang w:val="fr-FR"/>
        </w:rPr>
        <w:t xml:space="preserve"> active des </w:t>
      </w:r>
      <w:r w:rsidR="000F720F" w:rsidRPr="00D15B9B">
        <w:rPr>
          <w:lang w:val="fr-FR"/>
        </w:rPr>
        <w:t xml:space="preserve">actuels </w:t>
      </w:r>
      <w:r w:rsidRPr="00D15B9B">
        <w:rPr>
          <w:lang w:val="fr-FR"/>
        </w:rPr>
        <w:t xml:space="preserve">Membres de Secteur, Associés et établissements universitaires participant aux </w:t>
      </w:r>
      <w:r w:rsidR="000F720F" w:rsidRPr="00D15B9B">
        <w:rPr>
          <w:lang w:val="fr-FR"/>
        </w:rPr>
        <w:t>activités</w:t>
      </w:r>
      <w:r w:rsidRPr="00D15B9B">
        <w:rPr>
          <w:lang w:val="fr-FR"/>
        </w:rPr>
        <w:t xml:space="preserve"> de l'UIT-D, </w:t>
      </w:r>
      <w:r w:rsidR="000F720F" w:rsidRPr="00D15B9B">
        <w:rPr>
          <w:lang w:val="fr-FR"/>
        </w:rPr>
        <w:t xml:space="preserve">y compris la participation aux </w:t>
      </w:r>
      <w:r w:rsidRPr="00D15B9B">
        <w:rPr>
          <w:lang w:val="fr-FR"/>
        </w:rPr>
        <w:t xml:space="preserve">travaux des </w:t>
      </w:r>
      <w:r w:rsidR="000F720F" w:rsidRPr="00D15B9B">
        <w:rPr>
          <w:lang w:val="fr-FR"/>
        </w:rPr>
        <w:t>c</w:t>
      </w:r>
      <w:r w:rsidRPr="00D15B9B">
        <w:rPr>
          <w:lang w:val="fr-FR"/>
        </w:rPr>
        <w:t>ommissions d'études de l'UIT-D</w:t>
      </w:r>
      <w:r w:rsidR="000F720F" w:rsidRPr="00D15B9B">
        <w:rPr>
          <w:lang w:val="fr-FR"/>
        </w:rPr>
        <w:t xml:space="preserve"> –</w:t>
      </w:r>
      <w:r w:rsidRPr="00D15B9B">
        <w:rPr>
          <w:lang w:val="fr-FR"/>
        </w:rPr>
        <w:t xml:space="preserve"> et </w:t>
      </w:r>
      <w:r w:rsidR="000F720F" w:rsidRPr="00D15B9B">
        <w:rPr>
          <w:lang w:val="fr-FR"/>
        </w:rPr>
        <w:t>d'attirer de nouveaux membres</w:t>
      </w:r>
      <w:r w:rsidRPr="00D15B9B">
        <w:rPr>
          <w:lang w:val="fr-FR"/>
        </w:rPr>
        <w:t xml:space="preserve"> des secteurs public, privé et universitaire.</w:t>
      </w:r>
    </w:p>
    <w:p w14:paraId="62579F18" w14:textId="72E51047" w:rsidR="00642FD0" w:rsidRPr="00D15B9B" w:rsidRDefault="00DF18F9" w:rsidP="00DF0002">
      <w:pPr>
        <w:rPr>
          <w:lang w:val="fr-FR"/>
        </w:rPr>
      </w:pPr>
      <w:r w:rsidRPr="00D15B9B">
        <w:rPr>
          <w:lang w:val="fr-FR"/>
        </w:rPr>
        <w:t xml:space="preserve">La Résolution 71 </w:t>
      </w:r>
      <w:r w:rsidR="00642FD0" w:rsidRPr="00D15B9B">
        <w:rPr>
          <w:lang w:val="fr-FR"/>
        </w:rPr>
        <w:t xml:space="preserve">(Rév.Buenos Aires, 2017) </w:t>
      </w:r>
      <w:r w:rsidR="000F720F" w:rsidRPr="00D15B9B">
        <w:rPr>
          <w:lang w:val="fr-FR"/>
        </w:rPr>
        <w:t>a mis</w:t>
      </w:r>
      <w:r w:rsidR="00642FD0" w:rsidRPr="00D15B9B">
        <w:rPr>
          <w:lang w:val="fr-FR"/>
        </w:rPr>
        <w:t xml:space="preserve"> davantage en lumière l'évolution du rôle du secteur privé au sein de l'UIT-D, puisque le BDT est chargé de continuer d'organiser des réunions de hauts dirigeants du secteur, par exemple des réunions du Groupe consultatif de professionnels chargé des questions de développement (IAGDI)</w:t>
      </w:r>
      <w:r w:rsidR="004D49F3" w:rsidRPr="00D15B9B">
        <w:rPr>
          <w:lang w:val="fr-FR"/>
        </w:rPr>
        <w:t>.</w:t>
      </w:r>
      <w:r w:rsidR="00642FD0" w:rsidRPr="00D15B9B">
        <w:rPr>
          <w:lang w:val="fr-FR"/>
        </w:rPr>
        <w:t xml:space="preserve"> </w:t>
      </w:r>
      <w:r w:rsidR="00D70EEF" w:rsidRPr="00D15B9B">
        <w:rPr>
          <w:lang w:val="fr-FR"/>
        </w:rPr>
        <w:t xml:space="preserve">Un large éventail de représentants du secteur privé, parmi des Membres du Secteur de l'UIT-D de toutes les régions </w:t>
      </w:r>
      <w:r w:rsidR="00642FD0" w:rsidRPr="00D15B9B">
        <w:rPr>
          <w:lang w:val="fr-FR"/>
        </w:rPr>
        <w:t>particip</w:t>
      </w:r>
      <w:r w:rsidR="00D70EEF" w:rsidRPr="00D15B9B">
        <w:rPr>
          <w:lang w:val="fr-FR"/>
        </w:rPr>
        <w:t>e</w:t>
      </w:r>
      <w:r w:rsidR="00642FD0" w:rsidRPr="00D15B9B">
        <w:rPr>
          <w:lang w:val="fr-FR"/>
        </w:rPr>
        <w:t xml:space="preserve"> aux travaux du Groupe IAGDI. Cette Résolution reconnaît en outre le travail accompli pendant les réunions</w:t>
      </w:r>
      <w:r w:rsidR="00CD32B7" w:rsidRPr="00D15B9B">
        <w:rPr>
          <w:lang w:val="fr-FR"/>
        </w:rPr>
        <w:t xml:space="preserve"> des</w:t>
      </w:r>
      <w:r w:rsidR="00642FD0" w:rsidRPr="00D15B9B">
        <w:rPr>
          <w:lang w:val="fr-FR"/>
        </w:rPr>
        <w:t xml:space="preserve"> </w:t>
      </w:r>
      <w:r w:rsidR="00CD32B7" w:rsidRPr="00D15B9B">
        <w:rPr>
          <w:lang w:val="fr-FR"/>
        </w:rPr>
        <w:t>Directeurs de la réglementation du secteur privé</w:t>
      </w:r>
      <w:r w:rsidR="00AE1AFE" w:rsidRPr="00D15B9B">
        <w:rPr>
          <w:lang w:val="fr-FR"/>
        </w:rPr>
        <w:t>.</w:t>
      </w:r>
    </w:p>
    <w:p w14:paraId="4E263F4C" w14:textId="093AB2D6" w:rsidR="00DF18F9" w:rsidRPr="00D15B9B" w:rsidRDefault="00DF18F9" w:rsidP="00DF0002">
      <w:pPr>
        <w:rPr>
          <w:lang w:val="fr-FR"/>
        </w:rPr>
      </w:pPr>
      <w:r w:rsidRPr="00D15B9B">
        <w:rPr>
          <w:lang w:val="fr-FR"/>
        </w:rPr>
        <w:t xml:space="preserve">En outre, la Conférence de plénipotentiaires de 2018 </w:t>
      </w:r>
      <w:r w:rsidR="00DD7C21" w:rsidRPr="00D15B9B">
        <w:rPr>
          <w:lang w:val="fr-FR"/>
        </w:rPr>
        <w:t xml:space="preserve">(PP-18) </w:t>
      </w:r>
      <w:r w:rsidRPr="00D15B9B">
        <w:rPr>
          <w:lang w:val="fr-FR"/>
        </w:rPr>
        <w:t xml:space="preserve">a adopté plusieurs Résolutions relatives </w:t>
      </w:r>
      <w:r w:rsidR="00DD7C21" w:rsidRPr="00D15B9B">
        <w:rPr>
          <w:lang w:val="fr-FR"/>
        </w:rPr>
        <w:t>aux membres</w:t>
      </w:r>
      <w:r w:rsidRPr="00D15B9B">
        <w:rPr>
          <w:lang w:val="fr-FR"/>
        </w:rPr>
        <w:t>, telles que la Résolution 209 (Dubaï, 2018)</w:t>
      </w:r>
      <w:r w:rsidR="00AE1AFE" w:rsidRPr="00D15B9B">
        <w:rPr>
          <w:lang w:val="fr-FR"/>
        </w:rPr>
        <w:t>, aux termes de laquelle les petites et moyennes entreprises</w:t>
      </w:r>
      <w:r w:rsidRPr="00D15B9B">
        <w:rPr>
          <w:lang w:val="fr-FR"/>
        </w:rPr>
        <w:t xml:space="preserve"> </w:t>
      </w:r>
      <w:r w:rsidR="00AE1AFE" w:rsidRPr="00D15B9B">
        <w:rPr>
          <w:lang w:val="fr-FR"/>
        </w:rPr>
        <w:t>(</w:t>
      </w:r>
      <w:r w:rsidRPr="00D15B9B">
        <w:rPr>
          <w:lang w:val="fr-FR"/>
        </w:rPr>
        <w:t>PME</w:t>
      </w:r>
      <w:r w:rsidR="00AE1AFE" w:rsidRPr="00D15B9B">
        <w:rPr>
          <w:lang w:val="fr-FR"/>
        </w:rPr>
        <w:t>) sont encouragées</w:t>
      </w:r>
      <w:r w:rsidRPr="00D15B9B">
        <w:rPr>
          <w:lang w:val="fr-FR"/>
        </w:rPr>
        <w:t xml:space="preserve"> à participer aux travaux de l'Union.</w:t>
      </w:r>
    </w:p>
    <w:p w14:paraId="249423E7" w14:textId="7CD2A651" w:rsidR="006B7037" w:rsidRPr="00D15B9B" w:rsidRDefault="006B7037" w:rsidP="00DF0002">
      <w:pPr>
        <w:rPr>
          <w:lang w:val="fr-FR"/>
        </w:rPr>
      </w:pPr>
      <w:bookmarkStart w:id="9" w:name="lt_pId031"/>
      <w:r w:rsidRPr="00D15B9B">
        <w:rPr>
          <w:lang w:val="fr-FR"/>
        </w:rPr>
        <w:t xml:space="preserve">Au titre de la Résolution 169 (Rév. Dubaï, 2018) de la Conférence de plénipotentiaires, un représentant des établissements universitaires peut </w:t>
      </w:r>
      <w:r w:rsidR="00DD7C21" w:rsidRPr="00D15B9B">
        <w:rPr>
          <w:lang w:val="fr-FR"/>
        </w:rPr>
        <w:t xml:space="preserve">désormais </w:t>
      </w:r>
      <w:r w:rsidRPr="00D15B9B">
        <w:rPr>
          <w:lang w:val="fr-FR"/>
        </w:rPr>
        <w:t>assumer les fonctions de rapporteur, de vice-rapporteur ou de rapporteur associé, conformément au règlement intérieur établi des différents Secteurs. Les établissements universitaires sont en outre encouragés à contribuer à l'avancement des travaux techniques de l'Union.</w:t>
      </w:r>
    </w:p>
    <w:p w14:paraId="57BB42DE" w14:textId="2A940C08" w:rsidR="006B7037" w:rsidRPr="00D15B9B" w:rsidRDefault="006B7037" w:rsidP="00DF0002">
      <w:pPr>
        <w:rPr>
          <w:lang w:val="fr-FR"/>
        </w:rPr>
      </w:pPr>
      <w:r w:rsidRPr="00D15B9B">
        <w:rPr>
          <w:lang w:val="fr-FR"/>
        </w:rPr>
        <w:t>La Conférence de plénipotentiaires de 2018 a en outre adopté sa</w:t>
      </w:r>
      <w:r w:rsidR="00DF18F9" w:rsidRPr="00D15B9B">
        <w:rPr>
          <w:lang w:val="fr-FR"/>
        </w:rPr>
        <w:t xml:space="preserve"> Résolution 205 (Dubaï, 2018) relative à l'innovation centrée sur les TIC pour appuyer l'économie numérique</w:t>
      </w:r>
      <w:r w:rsidRPr="00D15B9B">
        <w:rPr>
          <w:lang w:val="fr-FR"/>
        </w:rPr>
        <w:t>, par laquelle elle</w:t>
      </w:r>
      <w:r w:rsidR="00DF18F9" w:rsidRPr="00D15B9B">
        <w:rPr>
          <w:lang w:val="fr-FR"/>
        </w:rPr>
        <w:t xml:space="preserve"> a chargé</w:t>
      </w:r>
      <w:r w:rsidRPr="00D15B9B">
        <w:rPr>
          <w:lang w:val="fr-FR"/>
        </w:rPr>
        <w:t xml:space="preserve"> l'UIT de fournir aux États Membres qui en font la demande un appui pour favoriser la mise en place de conditions propices à l'innovation centrée sur les télécommunications/TIC par les</w:t>
      </w:r>
      <w:r w:rsidR="003E5493">
        <w:rPr>
          <w:lang w:val="fr-FR"/>
        </w:rPr>
        <w:t> </w:t>
      </w:r>
      <w:r w:rsidRPr="00D15B9B">
        <w:rPr>
          <w:lang w:val="fr-FR"/>
        </w:rPr>
        <w:t xml:space="preserve">PME, les start-up, les incubateurs et les jeunes entrepreneurs. Les États Membres, les Membres de Secteur et les Associés </w:t>
      </w:r>
      <w:r w:rsidR="00DD7C21" w:rsidRPr="00D15B9B">
        <w:rPr>
          <w:lang w:val="fr-FR"/>
        </w:rPr>
        <w:t xml:space="preserve">sont en outre invités </w:t>
      </w:r>
      <w:r w:rsidRPr="00D15B9B">
        <w:rPr>
          <w:lang w:val="fr-FR"/>
        </w:rPr>
        <w:t>à encourager la participation des entrepreneurs, des</w:t>
      </w:r>
      <w:r w:rsidR="003E5493">
        <w:rPr>
          <w:lang w:val="fr-FR"/>
        </w:rPr>
        <w:t> </w:t>
      </w:r>
      <w:r w:rsidRPr="00D15B9B">
        <w:rPr>
          <w:lang w:val="fr-FR"/>
        </w:rPr>
        <w:t>PME, des start-up, ainsi que des incubateurs et accélérateurs d'entreprises du secteur des télécommunications/TIC à ITU Telecom World et à d'autres manifestations</w:t>
      </w:r>
      <w:r w:rsidR="003D752D" w:rsidRPr="00D15B9B">
        <w:rPr>
          <w:lang w:val="fr-FR"/>
        </w:rPr>
        <w:t xml:space="preserve"> de l'UIT</w:t>
      </w:r>
      <w:r w:rsidRPr="00D15B9B">
        <w:rPr>
          <w:lang w:val="fr-FR"/>
        </w:rPr>
        <w:t xml:space="preserve"> connexes</w:t>
      </w:r>
      <w:r w:rsidR="003D752D" w:rsidRPr="00D15B9B">
        <w:rPr>
          <w:lang w:val="fr-FR"/>
        </w:rPr>
        <w:t>.</w:t>
      </w:r>
    </w:p>
    <w:p w14:paraId="431C0BB5" w14:textId="35DAAC7D" w:rsidR="00DF18F9" w:rsidRPr="00CF034E" w:rsidRDefault="00DF18F9" w:rsidP="00DF0002">
      <w:pPr>
        <w:pStyle w:val="Heading1"/>
        <w:rPr>
          <w:sz w:val="24"/>
          <w:szCs w:val="24"/>
          <w:lang w:val="fr-FR"/>
        </w:rPr>
      </w:pPr>
      <w:bookmarkStart w:id="10" w:name="lt_pId034"/>
      <w:bookmarkEnd w:id="9"/>
      <w:r w:rsidRPr="00CF034E">
        <w:rPr>
          <w:sz w:val="24"/>
          <w:szCs w:val="24"/>
          <w:lang w:val="fr-FR"/>
        </w:rPr>
        <w:t>2</w:t>
      </w:r>
      <w:r w:rsidRPr="00CF034E">
        <w:rPr>
          <w:sz w:val="24"/>
          <w:szCs w:val="24"/>
          <w:lang w:val="fr-FR"/>
        </w:rPr>
        <w:tab/>
      </w:r>
      <w:r w:rsidR="009351EC" w:rsidRPr="00CF034E">
        <w:rPr>
          <w:sz w:val="24"/>
          <w:szCs w:val="24"/>
          <w:lang w:val="fr-FR"/>
        </w:rPr>
        <w:t>Objectifs stratégiques</w:t>
      </w:r>
      <w:r w:rsidR="00DD7C21" w:rsidRPr="00CF034E">
        <w:rPr>
          <w:sz w:val="24"/>
          <w:szCs w:val="24"/>
          <w:lang w:val="fr-FR"/>
        </w:rPr>
        <w:t xml:space="preserve"> concernant les membres de l'UIT-D</w:t>
      </w:r>
    </w:p>
    <w:p w14:paraId="25FA0123" w14:textId="5A7D2192" w:rsidR="00DF18F9" w:rsidRPr="00D15B9B" w:rsidRDefault="00DF18F9" w:rsidP="00DF0002">
      <w:pPr>
        <w:rPr>
          <w:lang w:val="fr-FR"/>
        </w:rPr>
      </w:pPr>
      <w:r w:rsidRPr="00D15B9B">
        <w:rPr>
          <w:lang w:val="fr-FR"/>
        </w:rPr>
        <w:t xml:space="preserve">Conformément aux résultats de la CMDT-17 et de la PP-18, le BDT, en coordination et en collaboration étroites avec le Secrétariat général, les deux autres Bureaux et les bureaux régionaux/de zone, </w:t>
      </w:r>
      <w:r w:rsidR="009351EC" w:rsidRPr="00D15B9B">
        <w:rPr>
          <w:lang w:val="fr-FR"/>
        </w:rPr>
        <w:t>continue de s'efforcer</w:t>
      </w:r>
      <w:r w:rsidRPr="00D15B9B">
        <w:rPr>
          <w:lang w:val="fr-FR"/>
        </w:rPr>
        <w:t xml:space="preserve"> d'atteindre deux objectifs essentiels:</w:t>
      </w:r>
    </w:p>
    <w:p w14:paraId="030A6227" w14:textId="65084757" w:rsidR="00DF18F9" w:rsidRPr="00D15B9B" w:rsidRDefault="00DF18F9" w:rsidP="00DF0002">
      <w:pPr>
        <w:pStyle w:val="enumlev1"/>
        <w:rPr>
          <w:lang w:val="fr-FR"/>
        </w:rPr>
      </w:pPr>
      <w:bookmarkStart w:id="11" w:name="lt_pId037"/>
      <w:bookmarkEnd w:id="10"/>
      <w:r w:rsidRPr="00D15B9B">
        <w:rPr>
          <w:lang w:val="fr-FR"/>
        </w:rPr>
        <w:t>–</w:t>
      </w:r>
      <w:r w:rsidRPr="00D15B9B">
        <w:rPr>
          <w:lang w:val="fr-FR"/>
        </w:rPr>
        <w:tab/>
        <w:t>établir des contacts avec de nouvelles entités afin de les inciter à participer à ses travaux en qualité de Membre de Secteur, d'Associé, de PME ou d'établissement universitaire;</w:t>
      </w:r>
      <w:bookmarkEnd w:id="11"/>
      <w:r w:rsidRPr="00D15B9B">
        <w:rPr>
          <w:lang w:val="fr-FR"/>
        </w:rPr>
        <w:t xml:space="preserve"> et</w:t>
      </w:r>
    </w:p>
    <w:p w14:paraId="345201B7" w14:textId="575941EC" w:rsidR="00D040F7" w:rsidRPr="00D15B9B" w:rsidRDefault="00DF18F9" w:rsidP="00DF0002">
      <w:pPr>
        <w:pStyle w:val="enumlev1"/>
        <w:rPr>
          <w:lang w:val="fr-FR"/>
        </w:rPr>
      </w:pPr>
      <w:r w:rsidRPr="00D15B9B">
        <w:rPr>
          <w:lang w:val="fr-FR"/>
        </w:rPr>
        <w:lastRenderedPageBreak/>
        <w:t>–</w:t>
      </w:r>
      <w:r w:rsidRPr="00D15B9B">
        <w:rPr>
          <w:lang w:val="fr-FR"/>
        </w:rPr>
        <w:tab/>
        <w:t xml:space="preserve">renforcer les plates-formes </w:t>
      </w:r>
      <w:r w:rsidR="00DD7C21" w:rsidRPr="00D15B9B">
        <w:rPr>
          <w:lang w:val="fr-FR"/>
        </w:rPr>
        <w:t xml:space="preserve">et les outils </w:t>
      </w:r>
      <w:r w:rsidRPr="00D15B9B">
        <w:rPr>
          <w:lang w:val="fr-FR"/>
        </w:rPr>
        <w:t>permettant la participation et la fidélisation des Membres et des Associés du Secteur de l'UIT-D ou des établissements universitaires actuels participant aux travaux de ce Secteur.</w:t>
      </w:r>
    </w:p>
    <w:p w14:paraId="0C432416" w14:textId="5E2F09FC" w:rsidR="0068400B" w:rsidRPr="00CF034E" w:rsidRDefault="0068400B" w:rsidP="00DF0002">
      <w:pPr>
        <w:pStyle w:val="Heading1"/>
        <w:rPr>
          <w:sz w:val="24"/>
          <w:szCs w:val="24"/>
          <w:lang w:val="fr-FR"/>
        </w:rPr>
      </w:pPr>
      <w:r w:rsidRPr="00CF034E">
        <w:rPr>
          <w:sz w:val="24"/>
          <w:szCs w:val="24"/>
          <w:lang w:val="fr-FR"/>
        </w:rPr>
        <w:t>3</w:t>
      </w:r>
      <w:r w:rsidRPr="00CF034E">
        <w:rPr>
          <w:sz w:val="24"/>
          <w:szCs w:val="24"/>
          <w:lang w:val="fr-FR"/>
        </w:rPr>
        <w:tab/>
      </w:r>
      <w:r w:rsidR="001B517C" w:rsidRPr="00CF034E">
        <w:rPr>
          <w:sz w:val="24"/>
          <w:szCs w:val="24"/>
          <w:lang w:val="fr-FR"/>
        </w:rPr>
        <w:t>Composition de l'UIT-D</w:t>
      </w:r>
    </w:p>
    <w:p w14:paraId="1EEB4841" w14:textId="77076261" w:rsidR="005C16C3" w:rsidRPr="00D15B9B" w:rsidRDefault="001B517C" w:rsidP="00DF0002">
      <w:pPr>
        <w:spacing w:after="240"/>
        <w:rPr>
          <w:lang w:val="fr-FR"/>
        </w:rPr>
      </w:pPr>
      <w:r w:rsidRPr="00D15B9B">
        <w:rPr>
          <w:lang w:val="fr-FR"/>
        </w:rPr>
        <w:t>Le tableau ci-dessous montre l'évolution de la composition de l'UIT-D (Membres de Secteur, Associés et établissements universitaires</w:t>
      </w:r>
      <w:r w:rsidR="0068400B" w:rsidRPr="00D15B9B">
        <w:rPr>
          <w:rStyle w:val="FootnoteReference"/>
          <w:szCs w:val="24"/>
          <w:lang w:val="fr-FR"/>
        </w:rPr>
        <w:footnoteReference w:id="3"/>
      </w:r>
      <w:r w:rsidR="0068400B" w:rsidRPr="00D15B9B">
        <w:rPr>
          <w:lang w:val="fr-FR"/>
        </w:rPr>
        <w:t xml:space="preserve">) </w:t>
      </w:r>
      <w:r w:rsidR="002E521A" w:rsidRPr="00D15B9B">
        <w:rPr>
          <w:lang w:val="fr-FR"/>
        </w:rPr>
        <w:t>entre</w:t>
      </w:r>
      <w:r w:rsidRPr="00D15B9B">
        <w:rPr>
          <w:lang w:val="fr-FR"/>
        </w:rPr>
        <w:t xml:space="preserve"> 2009 </w:t>
      </w:r>
      <w:r w:rsidR="002E521A" w:rsidRPr="00D15B9B">
        <w:rPr>
          <w:lang w:val="fr-FR"/>
        </w:rPr>
        <w:t>et</w:t>
      </w:r>
      <w:r w:rsidRPr="00D15B9B">
        <w:rPr>
          <w:lang w:val="fr-FR"/>
        </w:rPr>
        <w:t xml:space="preserve"> 2019</w:t>
      </w:r>
      <w:r w:rsidR="0068400B" w:rsidRPr="00D15B9B">
        <w:rPr>
          <w:lang w:val="fr-FR"/>
        </w:rPr>
        <w:t xml:space="preserve">. </w:t>
      </w:r>
      <w:r w:rsidR="005C16C3" w:rsidRPr="00D15B9B">
        <w:rPr>
          <w:lang w:val="fr-FR"/>
        </w:rPr>
        <w:t xml:space="preserve">Bien que 13 nouvelles entités, dont de grandes entreprises </w:t>
      </w:r>
      <w:r w:rsidR="00DD7C21" w:rsidRPr="00D15B9B">
        <w:rPr>
          <w:lang w:val="fr-FR"/>
        </w:rPr>
        <w:t xml:space="preserve">du secteur des </w:t>
      </w:r>
      <w:r w:rsidR="005C16C3" w:rsidRPr="00D15B9B">
        <w:rPr>
          <w:lang w:val="fr-FR"/>
        </w:rPr>
        <w:t>TIC comme indiqué au § 3.1 ci-après, soient devenues Membres d</w:t>
      </w:r>
      <w:r w:rsidR="00DD7C21" w:rsidRPr="00D15B9B">
        <w:rPr>
          <w:lang w:val="fr-FR"/>
        </w:rPr>
        <w:t>e</w:t>
      </w:r>
      <w:r w:rsidR="005C16C3" w:rsidRPr="00D15B9B">
        <w:rPr>
          <w:lang w:val="fr-FR"/>
        </w:rPr>
        <w:t xml:space="preserve"> Secteur en 2019, le fait que des Membres d</w:t>
      </w:r>
      <w:r w:rsidR="00DD7C21" w:rsidRPr="00D15B9B">
        <w:rPr>
          <w:lang w:val="fr-FR"/>
        </w:rPr>
        <w:t>e</w:t>
      </w:r>
      <w:r w:rsidR="005C16C3" w:rsidRPr="00D15B9B">
        <w:rPr>
          <w:lang w:val="fr-FR"/>
        </w:rPr>
        <w:t xml:space="preserve"> Secteur aient mis un terme à leur participation en invoquant une consolidation d'entreprise ou des raisons financières </w:t>
      </w:r>
      <w:r w:rsidR="00DD7C21" w:rsidRPr="00D15B9B">
        <w:rPr>
          <w:lang w:val="fr-FR"/>
        </w:rPr>
        <w:t>est une source de préoccupations</w:t>
      </w:r>
      <w:r w:rsidR="005C16C3" w:rsidRPr="00D15B9B">
        <w:rPr>
          <w:lang w:val="fr-FR"/>
        </w:rPr>
        <w:t>. Par ailleurs, le nombre d'Associés et d'établissements universitaires participant aux travaux a augmenté de manière régulière.</w:t>
      </w:r>
    </w:p>
    <w:p w14:paraId="6191379F" w14:textId="29954EDA" w:rsidR="00E33450" w:rsidRPr="00D15B9B" w:rsidRDefault="00E33450" w:rsidP="00DF0002">
      <w:pPr>
        <w:pStyle w:val="Tabletitle"/>
        <w:rPr>
          <w:lang w:val="fr-FR"/>
        </w:rPr>
      </w:pPr>
      <w:r w:rsidRPr="00D15B9B">
        <w:rPr>
          <w:lang w:val="fr-FR"/>
        </w:rPr>
        <w:t>Tableau – Évolution de la composition de l'UIT-D (Membres de Secteur, Associés</w:t>
      </w:r>
      <w:r w:rsidR="003E5493">
        <w:rPr>
          <w:lang w:val="fr-FR"/>
        </w:rPr>
        <w:t> </w:t>
      </w:r>
      <w:r w:rsidRPr="00D15B9B">
        <w:rPr>
          <w:lang w:val="fr-FR"/>
        </w:rPr>
        <w:t>et</w:t>
      </w:r>
      <w:r w:rsidR="003E5493">
        <w:rPr>
          <w:lang w:val="fr-FR"/>
        </w:rPr>
        <w:t> </w:t>
      </w:r>
      <w:r w:rsidRPr="00D15B9B">
        <w:rPr>
          <w:lang w:val="fr-FR"/>
        </w:rPr>
        <w:t xml:space="preserve">établissements universitaires participant aux travaux </w:t>
      </w:r>
      <w:r w:rsidR="003E5493">
        <w:rPr>
          <w:lang w:val="fr-FR"/>
        </w:rPr>
        <w:br/>
      </w:r>
      <w:r w:rsidRPr="00D15B9B">
        <w:rPr>
          <w:lang w:val="fr-FR"/>
        </w:rPr>
        <w:t>de ce Secteur</w:t>
      </w:r>
      <w:r w:rsidRPr="003E5493">
        <w:rPr>
          <w:rStyle w:val="FootnoteReference"/>
          <w:b w:val="0"/>
          <w:bCs/>
          <w:lang w:val="fr-FR"/>
        </w:rPr>
        <w:footnoteReference w:id="4"/>
      </w:r>
      <w:r w:rsidRPr="00D15B9B">
        <w:rPr>
          <w:lang w:val="fr-FR"/>
        </w:rPr>
        <w:t>) entre 2009 et 2019</w:t>
      </w:r>
    </w:p>
    <w:tbl>
      <w:tblPr>
        <w:tblW w:w="9381" w:type="dxa"/>
        <w:jc w:val="center"/>
        <w:tblCellMar>
          <w:left w:w="0" w:type="dxa"/>
          <w:right w:w="0" w:type="dxa"/>
        </w:tblCellMar>
        <w:tblLook w:val="04A0" w:firstRow="1" w:lastRow="0" w:firstColumn="1" w:lastColumn="0" w:noHBand="0" w:noVBand="1"/>
      </w:tblPr>
      <w:tblGrid>
        <w:gridCol w:w="2134"/>
        <w:gridCol w:w="663"/>
        <w:gridCol w:w="663"/>
        <w:gridCol w:w="663"/>
        <w:gridCol w:w="663"/>
        <w:gridCol w:w="663"/>
        <w:gridCol w:w="663"/>
        <w:gridCol w:w="663"/>
        <w:gridCol w:w="663"/>
        <w:gridCol w:w="663"/>
        <w:gridCol w:w="663"/>
        <w:gridCol w:w="617"/>
      </w:tblGrid>
      <w:tr w:rsidR="00E33450" w:rsidRPr="00D15B9B" w14:paraId="63989BF5" w14:textId="77777777" w:rsidTr="0056586C">
        <w:trPr>
          <w:tblHeader/>
          <w:jc w:val="center"/>
        </w:trPr>
        <w:tc>
          <w:tcPr>
            <w:tcW w:w="2134" w:type="dxa"/>
            <w:tcBorders>
              <w:top w:val="nil"/>
              <w:left w:val="nil"/>
              <w:bottom w:val="single" w:sz="4" w:space="0" w:color="auto"/>
              <w:right w:val="single" w:sz="4" w:space="0" w:color="auto"/>
            </w:tcBorders>
            <w:tcMar>
              <w:top w:w="0" w:type="dxa"/>
              <w:left w:w="108" w:type="dxa"/>
              <w:bottom w:w="0" w:type="dxa"/>
              <w:right w:w="108" w:type="dxa"/>
            </w:tcMar>
            <w:hideMark/>
          </w:tcPr>
          <w:p w14:paraId="1B0FA934" w14:textId="77777777" w:rsidR="00E33450" w:rsidRPr="00D15B9B" w:rsidRDefault="00E33450" w:rsidP="0056586C">
            <w:pPr>
              <w:pStyle w:val="Tablehead"/>
              <w:rPr>
                <w:lang w:val="fr-FR" w:eastAsia="zh-CN"/>
              </w:rPr>
            </w:pPr>
          </w:p>
        </w:tc>
        <w:tc>
          <w:tcPr>
            <w:tcW w:w="663" w:type="dxa"/>
            <w:tcBorders>
              <w:top w:val="single" w:sz="4" w:space="0" w:color="auto"/>
              <w:left w:val="single" w:sz="4" w:space="0" w:color="auto"/>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42DAEC95" w14:textId="72BDDBF9" w:rsidR="00E33450" w:rsidRPr="0056586C" w:rsidRDefault="00E33450" w:rsidP="0056586C">
            <w:pPr>
              <w:pStyle w:val="Tablehead"/>
              <w:rPr>
                <w:bCs/>
                <w:lang w:val="fr-FR" w:eastAsia="zh-CN"/>
              </w:rPr>
            </w:pPr>
            <w:r w:rsidRPr="0056586C">
              <w:rPr>
                <w:bCs/>
                <w:lang w:val="fr-FR" w:eastAsia="zh-CN"/>
              </w:rPr>
              <w:t>200</w:t>
            </w:r>
            <w:r w:rsidR="005D22AB" w:rsidRPr="0056586C">
              <w:rPr>
                <w:bCs/>
                <w:lang w:val="fr-FR" w:eastAsia="zh-CN"/>
              </w:rPr>
              <w:t>9</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63B2EEE9" w14:textId="7CA647B6" w:rsidR="00E33450" w:rsidRPr="00D15B9B" w:rsidRDefault="00E33450" w:rsidP="0056586C">
            <w:pPr>
              <w:pStyle w:val="Tablehead"/>
              <w:rPr>
                <w:lang w:val="fr-FR" w:eastAsia="zh-CN"/>
              </w:rPr>
            </w:pPr>
            <w:r w:rsidRPr="00D15B9B">
              <w:rPr>
                <w:lang w:val="fr-FR" w:eastAsia="zh-CN"/>
              </w:rPr>
              <w:t>20</w:t>
            </w:r>
            <w:r w:rsidR="005D22AB" w:rsidRPr="00D15B9B">
              <w:rPr>
                <w:lang w:val="fr-FR" w:eastAsia="zh-CN"/>
              </w:rPr>
              <w:t>10</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6284583A" w14:textId="09BEAF14"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1</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0A39A561" w14:textId="443EAFAB"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2</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608A3AD3" w14:textId="1B8C0B0B"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3</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31FFA085" w14:textId="4A8DAC68"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4</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36BDEF6D" w14:textId="200E9CC0"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5</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2F96EBA9" w14:textId="7ACF2795"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6</w:t>
            </w:r>
          </w:p>
        </w:tc>
        <w:tc>
          <w:tcPr>
            <w:tcW w:w="663" w:type="dxa"/>
            <w:tcBorders>
              <w:top w:val="single" w:sz="4" w:space="0" w:color="auto"/>
              <w:left w:val="nil"/>
              <w:bottom w:val="single" w:sz="4"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14:paraId="4BDB7BAD" w14:textId="2A36B8DF"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7</w:t>
            </w:r>
          </w:p>
        </w:tc>
        <w:tc>
          <w:tcPr>
            <w:tcW w:w="663" w:type="dxa"/>
            <w:tcBorders>
              <w:top w:val="single" w:sz="4" w:space="0" w:color="auto"/>
              <w:left w:val="nil"/>
              <w:bottom w:val="single" w:sz="4" w:space="0" w:color="auto"/>
              <w:right w:val="single" w:sz="4" w:space="0" w:color="auto"/>
            </w:tcBorders>
            <w:shd w:val="clear" w:color="auto" w:fill="95B3D7" w:themeFill="accent1" w:themeFillTint="99"/>
            <w:tcMar>
              <w:top w:w="0" w:type="dxa"/>
              <w:left w:w="108" w:type="dxa"/>
              <w:bottom w:w="0" w:type="dxa"/>
              <w:right w:w="108" w:type="dxa"/>
            </w:tcMar>
            <w:vAlign w:val="center"/>
            <w:hideMark/>
          </w:tcPr>
          <w:p w14:paraId="3E24680D" w14:textId="2736DEAB"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8</w:t>
            </w:r>
          </w:p>
        </w:tc>
        <w:tc>
          <w:tcPr>
            <w:tcW w:w="6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5B88A26" w14:textId="1A3EC782" w:rsidR="00E33450" w:rsidRPr="00D15B9B" w:rsidRDefault="00E33450" w:rsidP="0056586C">
            <w:pPr>
              <w:pStyle w:val="Tablehead"/>
              <w:rPr>
                <w:lang w:val="fr-FR" w:eastAsia="zh-CN"/>
              </w:rPr>
            </w:pPr>
            <w:r w:rsidRPr="00D15B9B">
              <w:rPr>
                <w:lang w:val="fr-FR" w:eastAsia="zh-CN"/>
              </w:rPr>
              <w:t>201</w:t>
            </w:r>
            <w:r w:rsidR="005D22AB" w:rsidRPr="00D15B9B">
              <w:rPr>
                <w:lang w:val="fr-FR" w:eastAsia="zh-CN"/>
              </w:rPr>
              <w:t>9</w:t>
            </w:r>
          </w:p>
        </w:tc>
      </w:tr>
      <w:tr w:rsidR="005D22AB" w:rsidRPr="00D15B9B" w14:paraId="3912D8A5" w14:textId="77777777" w:rsidTr="0056586C">
        <w:trPr>
          <w:jc w:val="center"/>
        </w:trPr>
        <w:tc>
          <w:tcPr>
            <w:tcW w:w="2134" w:type="dxa"/>
            <w:tcBorders>
              <w:top w:val="single" w:sz="4"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70A40322" w14:textId="77777777" w:rsidR="005D22AB" w:rsidRPr="0056586C" w:rsidRDefault="005D22AB" w:rsidP="0056586C">
            <w:pPr>
              <w:pStyle w:val="Tabletext"/>
              <w:rPr>
                <w:b/>
                <w:bCs/>
                <w:lang w:val="en-GB" w:eastAsia="zh-CN"/>
              </w:rPr>
            </w:pPr>
            <w:r w:rsidRPr="0056586C">
              <w:rPr>
                <w:b/>
                <w:bCs/>
                <w:lang w:val="en-GB" w:eastAsia="zh-CN"/>
              </w:rPr>
              <w:t>Membres de Secteur</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19163A" w14:textId="76F9453A" w:rsidR="005D22AB" w:rsidRPr="00D15B9B" w:rsidRDefault="005D22AB" w:rsidP="0056586C">
            <w:pPr>
              <w:pStyle w:val="Tabletext"/>
              <w:jc w:val="center"/>
              <w:rPr>
                <w:lang w:val="fr-FR" w:eastAsia="zh-CN"/>
              </w:rPr>
            </w:pPr>
            <w:r w:rsidRPr="00D15B9B">
              <w:rPr>
                <w:lang w:val="fr-FR" w:eastAsia="zh-CN"/>
              </w:rPr>
              <w:t>316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6980B" w14:textId="168DAD1D" w:rsidR="005D22AB" w:rsidRPr="00D15B9B" w:rsidRDefault="005D22AB" w:rsidP="0056586C">
            <w:pPr>
              <w:pStyle w:val="Tabletext"/>
              <w:jc w:val="center"/>
              <w:rPr>
                <w:lang w:val="fr-FR" w:eastAsia="zh-CN"/>
              </w:rPr>
            </w:pPr>
            <w:r w:rsidRPr="00D15B9B">
              <w:rPr>
                <w:lang w:val="fr-FR" w:eastAsia="zh-CN"/>
              </w:rPr>
              <w:t>311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3CA31" w14:textId="5AD100AE" w:rsidR="005D22AB" w:rsidRPr="00D15B9B" w:rsidRDefault="005D22AB" w:rsidP="0056586C">
            <w:pPr>
              <w:pStyle w:val="Tabletext"/>
              <w:jc w:val="center"/>
              <w:rPr>
                <w:lang w:val="fr-FR" w:eastAsia="zh-CN"/>
              </w:rPr>
            </w:pPr>
            <w:r w:rsidRPr="00D15B9B">
              <w:rPr>
                <w:lang w:val="fr-FR" w:eastAsia="zh-CN"/>
              </w:rPr>
              <w:t>323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09EBB" w14:textId="5D3A1DB5" w:rsidR="005D22AB" w:rsidRPr="00D15B9B" w:rsidRDefault="005D22AB" w:rsidP="0056586C">
            <w:pPr>
              <w:pStyle w:val="Tabletext"/>
              <w:jc w:val="center"/>
              <w:rPr>
                <w:lang w:val="fr-FR" w:eastAsia="zh-CN"/>
              </w:rPr>
            </w:pPr>
            <w:r w:rsidRPr="00D15B9B">
              <w:rPr>
                <w:lang w:val="fr-FR" w:eastAsia="zh-CN"/>
              </w:rPr>
              <w:t>330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6391C" w14:textId="2882C689" w:rsidR="005D22AB" w:rsidRPr="00D15B9B" w:rsidRDefault="005D22AB" w:rsidP="0056586C">
            <w:pPr>
              <w:pStyle w:val="Tabletext"/>
              <w:jc w:val="center"/>
              <w:rPr>
                <w:lang w:val="fr-FR" w:eastAsia="zh-CN"/>
              </w:rPr>
            </w:pPr>
            <w:r w:rsidRPr="00D15B9B">
              <w:rPr>
                <w:lang w:val="fr-FR" w:eastAsia="zh-CN"/>
              </w:rPr>
              <w:t>346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B9C475" w14:textId="7A97FE1D" w:rsidR="005D22AB" w:rsidRPr="00D15B9B" w:rsidRDefault="005D22AB" w:rsidP="0056586C">
            <w:pPr>
              <w:pStyle w:val="Tabletext"/>
              <w:jc w:val="center"/>
              <w:rPr>
                <w:lang w:val="fr-FR" w:eastAsia="zh-CN"/>
              </w:rPr>
            </w:pPr>
            <w:r w:rsidRPr="00D15B9B">
              <w:rPr>
                <w:lang w:val="fr-FR" w:eastAsia="zh-CN"/>
              </w:rPr>
              <w:t>338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B29BD1" w14:textId="7E3A20C7" w:rsidR="005D22AB" w:rsidRPr="00D15B9B" w:rsidRDefault="005D22AB" w:rsidP="0056586C">
            <w:pPr>
              <w:pStyle w:val="Tabletext"/>
              <w:jc w:val="center"/>
              <w:rPr>
                <w:lang w:val="fr-FR" w:eastAsia="zh-CN"/>
              </w:rPr>
            </w:pPr>
            <w:r w:rsidRPr="00D15B9B">
              <w:rPr>
                <w:lang w:val="fr-FR" w:eastAsia="zh-CN"/>
              </w:rPr>
              <w:t>340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105633" w14:textId="3BCF506E" w:rsidR="005D22AB" w:rsidRPr="00D15B9B" w:rsidRDefault="005D22AB" w:rsidP="0056586C">
            <w:pPr>
              <w:pStyle w:val="Tabletext"/>
              <w:jc w:val="center"/>
              <w:rPr>
                <w:lang w:val="fr-FR" w:eastAsia="zh-CN"/>
              </w:rPr>
            </w:pPr>
            <w:r w:rsidRPr="00D15B9B">
              <w:rPr>
                <w:lang w:val="fr-FR" w:eastAsia="zh-CN"/>
              </w:rPr>
              <w:t>331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C7C1FC" w14:textId="7081A20C" w:rsidR="005D22AB" w:rsidRPr="00D15B9B" w:rsidRDefault="005D22AB" w:rsidP="0056586C">
            <w:pPr>
              <w:pStyle w:val="Tabletext"/>
              <w:jc w:val="center"/>
              <w:rPr>
                <w:lang w:val="fr-FR" w:eastAsia="zh-CN"/>
              </w:rPr>
            </w:pPr>
            <w:r w:rsidRPr="00D15B9B">
              <w:rPr>
                <w:lang w:val="fr-FR" w:eastAsia="zh-CN"/>
              </w:rPr>
              <w:t>318</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9CA1F" w14:textId="37285E31" w:rsidR="005D22AB" w:rsidRPr="00D15B9B" w:rsidRDefault="005D22AB" w:rsidP="0056586C">
            <w:pPr>
              <w:pStyle w:val="Tabletext"/>
              <w:jc w:val="center"/>
              <w:rPr>
                <w:lang w:val="fr-FR" w:eastAsia="zh-CN"/>
              </w:rPr>
            </w:pPr>
            <w:r w:rsidRPr="00D15B9B">
              <w:rPr>
                <w:lang w:val="fr-FR" w:eastAsia="zh-CN"/>
              </w:rPr>
              <w:t>310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67BDE7A" w14:textId="2BDF4286" w:rsidR="005D22AB" w:rsidRPr="00D15B9B" w:rsidRDefault="005D22AB" w:rsidP="0056586C">
            <w:pPr>
              <w:pStyle w:val="Tabletext"/>
              <w:jc w:val="center"/>
              <w:rPr>
                <w:lang w:val="fr-FR" w:eastAsia="zh-CN"/>
              </w:rPr>
            </w:pPr>
            <w:r w:rsidRPr="00D15B9B">
              <w:rPr>
                <w:lang w:val="fr-FR" w:eastAsia="zh-CN"/>
              </w:rPr>
              <w:t>307</w:t>
            </w:r>
          </w:p>
        </w:tc>
      </w:tr>
      <w:tr w:rsidR="005D22AB" w:rsidRPr="00D15B9B" w14:paraId="30D323FF" w14:textId="77777777" w:rsidTr="0056586C">
        <w:trPr>
          <w:jc w:val="center"/>
        </w:trPr>
        <w:tc>
          <w:tcPr>
            <w:tcW w:w="2134" w:type="dxa"/>
            <w:tcBorders>
              <w:top w:val="single" w:sz="8"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230E021E" w14:textId="77777777" w:rsidR="005D22AB" w:rsidRPr="0056586C" w:rsidRDefault="005D22AB" w:rsidP="0056586C">
            <w:pPr>
              <w:pStyle w:val="Tabletext"/>
              <w:rPr>
                <w:b/>
                <w:bCs/>
                <w:lang w:val="en-GB" w:eastAsia="zh-CN"/>
              </w:rPr>
            </w:pPr>
            <w:r w:rsidRPr="0056586C">
              <w:rPr>
                <w:b/>
                <w:bCs/>
                <w:lang w:val="en-GB" w:eastAsia="zh-CN"/>
              </w:rPr>
              <w:t>Associés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3FA02" w14:textId="5A4E0C12" w:rsidR="005D22AB" w:rsidRPr="00D15B9B" w:rsidRDefault="005D22AB" w:rsidP="0056586C">
            <w:pPr>
              <w:pStyle w:val="Tabletext"/>
              <w:jc w:val="center"/>
              <w:rPr>
                <w:lang w:val="fr-FR" w:eastAsia="zh-CN"/>
              </w:rPr>
            </w:pPr>
            <w:r w:rsidRPr="00D15B9B">
              <w:rPr>
                <w:lang w:val="fr-FR" w:eastAsia="zh-CN"/>
              </w:rPr>
              <w:t>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B1902" w14:textId="387045A0" w:rsidR="005D22AB" w:rsidRPr="00D15B9B" w:rsidRDefault="005D22AB" w:rsidP="0056586C">
            <w:pPr>
              <w:pStyle w:val="Tabletext"/>
              <w:jc w:val="center"/>
              <w:rPr>
                <w:lang w:val="fr-FR" w:eastAsia="zh-CN"/>
              </w:rPr>
            </w:pPr>
            <w:r w:rsidRPr="00D15B9B">
              <w:rPr>
                <w:lang w:val="fr-FR" w:eastAsia="zh-CN"/>
              </w:rPr>
              <w:t>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B4C59" w14:textId="1E65D91C" w:rsidR="005D22AB" w:rsidRPr="00D15B9B" w:rsidRDefault="005D22AB" w:rsidP="0056586C">
            <w:pPr>
              <w:pStyle w:val="Tabletext"/>
              <w:jc w:val="center"/>
              <w:rPr>
                <w:lang w:val="fr-FR" w:eastAsia="zh-CN"/>
              </w:rPr>
            </w:pPr>
            <w:r w:rsidRPr="00D15B9B">
              <w:rPr>
                <w:lang w:val="fr-FR" w:eastAsia="zh-CN"/>
              </w:rPr>
              <w:t>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7CDE61" w14:textId="6B0E25F8" w:rsidR="005D22AB" w:rsidRPr="00D15B9B" w:rsidRDefault="005D22AB" w:rsidP="0056586C">
            <w:pPr>
              <w:pStyle w:val="Tabletext"/>
              <w:jc w:val="center"/>
              <w:rPr>
                <w:lang w:val="fr-FR" w:eastAsia="zh-CN"/>
              </w:rPr>
            </w:pPr>
            <w:r w:rsidRPr="00D15B9B">
              <w:rPr>
                <w:lang w:val="fr-FR" w:eastAsia="zh-CN"/>
              </w:rPr>
              <w:t>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6C0661" w14:textId="095B3FF6" w:rsidR="005D22AB" w:rsidRPr="00D15B9B" w:rsidRDefault="005D22AB" w:rsidP="0056586C">
            <w:pPr>
              <w:pStyle w:val="Tabletext"/>
              <w:jc w:val="center"/>
              <w:rPr>
                <w:lang w:val="fr-FR" w:eastAsia="zh-CN"/>
              </w:rPr>
            </w:pPr>
            <w:r w:rsidRPr="00D15B9B">
              <w:rPr>
                <w:lang w:val="fr-FR" w:eastAsia="zh-CN"/>
              </w:rPr>
              <w:t>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3D9A97" w14:textId="11AFB4DF" w:rsidR="005D22AB" w:rsidRPr="00D15B9B" w:rsidRDefault="005D22AB" w:rsidP="0056586C">
            <w:pPr>
              <w:pStyle w:val="Tabletext"/>
              <w:jc w:val="center"/>
              <w:rPr>
                <w:lang w:val="fr-FR" w:eastAsia="zh-CN"/>
              </w:rPr>
            </w:pPr>
            <w:r w:rsidRPr="00D15B9B">
              <w:rPr>
                <w:lang w:val="fr-FR" w:eastAsia="zh-CN"/>
              </w:rPr>
              <w:t>10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608DAB" w14:textId="3D2C448D" w:rsidR="005D22AB" w:rsidRPr="00D15B9B" w:rsidRDefault="005D22AB" w:rsidP="0056586C">
            <w:pPr>
              <w:pStyle w:val="Tabletext"/>
              <w:jc w:val="center"/>
              <w:rPr>
                <w:lang w:val="fr-FR" w:eastAsia="zh-CN"/>
              </w:rPr>
            </w:pPr>
            <w:r w:rsidRPr="00D15B9B">
              <w:rPr>
                <w:lang w:val="fr-FR" w:eastAsia="zh-CN"/>
              </w:rPr>
              <w:t>11</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78181" w14:textId="7562162D" w:rsidR="005D22AB" w:rsidRPr="00D15B9B" w:rsidRDefault="005D22AB" w:rsidP="0056586C">
            <w:pPr>
              <w:pStyle w:val="Tabletext"/>
              <w:jc w:val="center"/>
              <w:rPr>
                <w:lang w:val="fr-FR" w:eastAsia="zh-CN"/>
              </w:rPr>
            </w:pPr>
            <w:r w:rsidRPr="00D15B9B">
              <w:rPr>
                <w:lang w:val="fr-FR" w:eastAsia="zh-CN"/>
              </w:rPr>
              <w:t>12</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02E65" w14:textId="5E7856E5" w:rsidR="005D22AB" w:rsidRPr="00D15B9B" w:rsidRDefault="005D22AB" w:rsidP="0056586C">
            <w:pPr>
              <w:pStyle w:val="Tabletext"/>
              <w:jc w:val="center"/>
              <w:rPr>
                <w:lang w:val="fr-FR" w:eastAsia="zh-CN"/>
              </w:rPr>
            </w:pPr>
            <w:r w:rsidRPr="00D15B9B">
              <w:rPr>
                <w:lang w:val="fr-FR" w:eastAsia="zh-CN"/>
              </w:rPr>
              <w:t>12</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20AE2F" w14:textId="2CE7A2E9" w:rsidR="005D22AB" w:rsidRPr="00D15B9B" w:rsidRDefault="005D22AB" w:rsidP="0056586C">
            <w:pPr>
              <w:pStyle w:val="Tabletext"/>
              <w:jc w:val="center"/>
              <w:rPr>
                <w:lang w:val="fr-FR" w:eastAsia="zh-CN"/>
              </w:rPr>
            </w:pPr>
            <w:r w:rsidRPr="00D15B9B">
              <w:rPr>
                <w:lang w:val="fr-FR" w:eastAsia="zh-CN"/>
              </w:rPr>
              <w:t>14</w:t>
            </w:r>
          </w:p>
        </w:tc>
        <w:tc>
          <w:tcPr>
            <w:tcW w:w="617" w:type="dxa"/>
            <w:tcBorders>
              <w:top w:val="single" w:sz="4" w:space="0" w:color="auto"/>
              <w:left w:val="single" w:sz="4" w:space="0" w:color="auto"/>
              <w:bottom w:val="single" w:sz="4" w:space="0" w:color="auto"/>
              <w:right w:val="single" w:sz="4" w:space="0" w:color="auto"/>
            </w:tcBorders>
            <w:vAlign w:val="center"/>
            <w:hideMark/>
          </w:tcPr>
          <w:p w14:paraId="56C72494" w14:textId="34493562" w:rsidR="005D22AB" w:rsidRPr="00D15B9B" w:rsidRDefault="005D22AB" w:rsidP="0056586C">
            <w:pPr>
              <w:pStyle w:val="Tabletext"/>
              <w:jc w:val="center"/>
              <w:rPr>
                <w:lang w:val="fr-FR" w:eastAsia="zh-CN"/>
              </w:rPr>
            </w:pPr>
            <w:r w:rsidRPr="00D15B9B">
              <w:rPr>
                <w:lang w:val="fr-FR" w:eastAsia="zh-CN"/>
              </w:rPr>
              <w:t>17</w:t>
            </w:r>
          </w:p>
        </w:tc>
      </w:tr>
      <w:tr w:rsidR="005D22AB" w:rsidRPr="00D15B9B" w14:paraId="01BDA4A8" w14:textId="77777777" w:rsidTr="0056586C">
        <w:trPr>
          <w:jc w:val="center"/>
        </w:trPr>
        <w:tc>
          <w:tcPr>
            <w:tcW w:w="2134" w:type="dxa"/>
            <w:tcBorders>
              <w:top w:val="single" w:sz="8" w:space="0" w:color="auto"/>
              <w:left w:val="single" w:sz="4" w:space="0" w:color="auto"/>
              <w:bottom w:val="single" w:sz="8"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2F18CC7F" w14:textId="77777777" w:rsidR="005D22AB" w:rsidRPr="0056586C" w:rsidRDefault="005D22AB" w:rsidP="0056586C">
            <w:pPr>
              <w:pStyle w:val="Tabletext"/>
              <w:rPr>
                <w:b/>
                <w:bCs/>
                <w:lang w:val="en-GB" w:eastAsia="zh-CN"/>
              </w:rPr>
            </w:pPr>
            <w:r w:rsidRPr="0056586C">
              <w:rPr>
                <w:b/>
                <w:bCs/>
                <w:lang w:val="en-GB" w:eastAsia="zh-CN"/>
              </w:rPr>
              <w:t>Établissements universitaires</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9FC53" w14:textId="30213670" w:rsidR="005D22AB" w:rsidRPr="00D15B9B" w:rsidRDefault="005D22AB" w:rsidP="0056586C">
            <w:pPr>
              <w:pStyle w:val="Tabletext"/>
              <w:jc w:val="center"/>
              <w:rPr>
                <w:lang w:val="fr-FR" w:eastAsia="zh-CN"/>
              </w:rPr>
            </w:pPr>
            <w:r w:rsidRPr="00D15B9B">
              <w:rPr>
                <w:lang w:val="fr-FR" w:eastAsia="zh-CN"/>
              </w:rPr>
              <w:noBreakHyphen/>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1F457" w14:textId="72A61AF0" w:rsidR="005D22AB" w:rsidRPr="00D15B9B" w:rsidRDefault="005D22AB" w:rsidP="0056586C">
            <w:pPr>
              <w:pStyle w:val="Tabletext"/>
              <w:jc w:val="center"/>
              <w:rPr>
                <w:lang w:val="fr-FR" w:eastAsia="zh-CN"/>
              </w:rPr>
            </w:pPr>
            <w:r w:rsidRPr="00D15B9B">
              <w:rPr>
                <w:lang w:val="fr-FR" w:eastAsia="zh-CN"/>
              </w:rPr>
              <w:noBreakHyphen/>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076E92" w14:textId="4B0C8002" w:rsidR="005D22AB" w:rsidRPr="00D15B9B" w:rsidRDefault="005D22AB" w:rsidP="0056586C">
            <w:pPr>
              <w:pStyle w:val="Tabletext"/>
              <w:jc w:val="center"/>
              <w:rPr>
                <w:lang w:val="fr-FR" w:eastAsia="zh-CN"/>
              </w:rPr>
            </w:pPr>
            <w:r w:rsidRPr="00D15B9B">
              <w:rPr>
                <w:lang w:val="fr-FR" w:eastAsia="zh-CN"/>
              </w:rPr>
              <w:t>25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99D05" w14:textId="095C802C" w:rsidR="005D22AB" w:rsidRPr="00D15B9B" w:rsidRDefault="005D22AB" w:rsidP="0056586C">
            <w:pPr>
              <w:pStyle w:val="Tabletext"/>
              <w:jc w:val="center"/>
              <w:rPr>
                <w:lang w:val="fr-FR" w:eastAsia="zh-CN"/>
              </w:rPr>
            </w:pPr>
            <w:r w:rsidRPr="00D15B9B">
              <w:rPr>
                <w:lang w:val="fr-FR" w:eastAsia="zh-CN"/>
              </w:rPr>
              <w:t>36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79BBAF" w14:textId="715DAB4E" w:rsidR="005D22AB" w:rsidRPr="00D15B9B" w:rsidRDefault="005D22AB" w:rsidP="0056586C">
            <w:pPr>
              <w:pStyle w:val="Tabletext"/>
              <w:jc w:val="center"/>
              <w:rPr>
                <w:lang w:val="fr-FR" w:eastAsia="zh-CN"/>
              </w:rPr>
            </w:pPr>
            <w:r w:rsidRPr="00D15B9B">
              <w:rPr>
                <w:lang w:val="fr-FR" w:eastAsia="zh-CN"/>
              </w:rPr>
              <w:t>45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1ED81" w14:textId="5AA7E29A" w:rsidR="005D22AB" w:rsidRPr="00D15B9B" w:rsidRDefault="005D22AB" w:rsidP="0056586C">
            <w:pPr>
              <w:pStyle w:val="Tabletext"/>
              <w:jc w:val="center"/>
              <w:rPr>
                <w:lang w:val="fr-FR" w:eastAsia="zh-CN"/>
              </w:rPr>
            </w:pPr>
            <w:r w:rsidRPr="00D15B9B">
              <w:rPr>
                <w:lang w:val="fr-FR" w:eastAsia="zh-CN"/>
              </w:rPr>
              <w:t>86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17243" w14:textId="0C13048C" w:rsidR="005D22AB" w:rsidRPr="00D15B9B" w:rsidRDefault="005D22AB" w:rsidP="0056586C">
            <w:pPr>
              <w:pStyle w:val="Tabletext"/>
              <w:jc w:val="center"/>
              <w:rPr>
                <w:lang w:val="fr-FR" w:eastAsia="zh-CN"/>
              </w:rPr>
            </w:pPr>
            <w:r w:rsidRPr="00D15B9B">
              <w:rPr>
                <w:lang w:val="fr-FR" w:eastAsia="zh-CN"/>
              </w:rPr>
              <w:t>109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A94CAD" w14:textId="75AD5EB0" w:rsidR="005D22AB" w:rsidRPr="00D15B9B" w:rsidRDefault="005D22AB" w:rsidP="0056586C">
            <w:pPr>
              <w:pStyle w:val="Tabletext"/>
              <w:jc w:val="center"/>
              <w:rPr>
                <w:lang w:val="fr-FR" w:eastAsia="zh-CN"/>
              </w:rPr>
            </w:pPr>
            <w:r w:rsidRPr="00D15B9B">
              <w:rPr>
                <w:lang w:val="fr-FR" w:eastAsia="zh-CN"/>
              </w:rPr>
              <w:t>107</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EF8EF9" w14:textId="56AEDE9E" w:rsidR="005D22AB" w:rsidRPr="00D15B9B" w:rsidRDefault="005D22AB" w:rsidP="0056586C">
            <w:pPr>
              <w:pStyle w:val="Tabletext"/>
              <w:jc w:val="center"/>
              <w:rPr>
                <w:lang w:val="fr-FR" w:eastAsia="zh-CN"/>
              </w:rPr>
            </w:pPr>
            <w:r w:rsidRPr="00D15B9B">
              <w:rPr>
                <w:lang w:val="fr-FR" w:eastAsia="zh-CN"/>
              </w:rPr>
              <w:t>125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C9F55" w14:textId="2EAB6DEE" w:rsidR="005D22AB" w:rsidRPr="00D15B9B" w:rsidRDefault="005D22AB" w:rsidP="0056586C">
            <w:pPr>
              <w:pStyle w:val="Tabletext"/>
              <w:jc w:val="center"/>
              <w:rPr>
                <w:lang w:val="fr-FR" w:eastAsia="zh-CN"/>
              </w:rPr>
            </w:pPr>
            <w:r w:rsidRPr="00D15B9B">
              <w:rPr>
                <w:lang w:val="fr-FR" w:eastAsia="zh-CN"/>
              </w:rPr>
              <w:t>156</w:t>
            </w:r>
          </w:p>
        </w:tc>
        <w:tc>
          <w:tcPr>
            <w:tcW w:w="617" w:type="dxa"/>
            <w:tcBorders>
              <w:top w:val="single" w:sz="4" w:space="0" w:color="auto"/>
              <w:left w:val="single" w:sz="4" w:space="0" w:color="auto"/>
              <w:bottom w:val="single" w:sz="4" w:space="0" w:color="auto"/>
              <w:right w:val="single" w:sz="4" w:space="0" w:color="auto"/>
            </w:tcBorders>
            <w:vAlign w:val="center"/>
            <w:hideMark/>
          </w:tcPr>
          <w:p w14:paraId="38892E2F" w14:textId="31FDF736" w:rsidR="005D22AB" w:rsidRPr="00D15B9B" w:rsidRDefault="005D22AB" w:rsidP="0056586C">
            <w:pPr>
              <w:pStyle w:val="Tabletext"/>
              <w:jc w:val="center"/>
              <w:rPr>
                <w:lang w:val="fr-FR" w:eastAsia="zh-CN"/>
              </w:rPr>
            </w:pPr>
            <w:r w:rsidRPr="00D15B9B">
              <w:rPr>
                <w:lang w:val="fr-FR" w:eastAsia="zh-CN"/>
              </w:rPr>
              <w:t>163</w:t>
            </w:r>
          </w:p>
        </w:tc>
      </w:tr>
      <w:tr w:rsidR="005D22AB" w:rsidRPr="00D15B9B" w14:paraId="2F836E36" w14:textId="77777777" w:rsidTr="0056586C">
        <w:trPr>
          <w:jc w:val="center"/>
        </w:trPr>
        <w:tc>
          <w:tcPr>
            <w:tcW w:w="2134" w:type="dxa"/>
            <w:tcBorders>
              <w:top w:val="single" w:sz="8"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636283DE" w14:textId="77777777" w:rsidR="005D22AB" w:rsidRPr="0056586C" w:rsidRDefault="005D22AB" w:rsidP="0056586C">
            <w:pPr>
              <w:pStyle w:val="Tabletext"/>
              <w:rPr>
                <w:b/>
                <w:bCs/>
                <w:lang w:val="en-GB" w:eastAsia="zh-CN"/>
              </w:rPr>
            </w:pPr>
            <w:r w:rsidRPr="0056586C">
              <w:rPr>
                <w:b/>
                <w:bCs/>
                <w:lang w:val="en-GB" w:eastAsia="zh-CN"/>
              </w:rPr>
              <w:t>TOTAL</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9B663" w14:textId="16338254" w:rsidR="005D22AB" w:rsidRPr="00D15B9B" w:rsidRDefault="005D22AB" w:rsidP="0056586C">
            <w:pPr>
              <w:pStyle w:val="Tabletext"/>
              <w:jc w:val="center"/>
              <w:rPr>
                <w:lang w:val="fr-FR" w:eastAsia="zh-CN"/>
              </w:rPr>
            </w:pPr>
            <w:r w:rsidRPr="00D15B9B">
              <w:rPr>
                <w:lang w:val="fr-FR" w:eastAsia="zh-CN"/>
              </w:rPr>
              <w:t>319</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6E388" w14:textId="271F3EE5" w:rsidR="005D22AB" w:rsidRPr="00D15B9B" w:rsidRDefault="005D22AB" w:rsidP="0056586C">
            <w:pPr>
              <w:pStyle w:val="Tabletext"/>
              <w:jc w:val="center"/>
              <w:rPr>
                <w:lang w:val="fr-FR" w:eastAsia="zh-CN"/>
              </w:rPr>
            </w:pPr>
            <w:r w:rsidRPr="00D15B9B">
              <w:rPr>
                <w:lang w:val="fr-FR" w:eastAsia="zh-CN"/>
              </w:rPr>
              <w:t>316</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D3C400" w14:textId="0578D63D" w:rsidR="005D22AB" w:rsidRPr="00D15B9B" w:rsidRDefault="005D22AB" w:rsidP="0056586C">
            <w:pPr>
              <w:pStyle w:val="Tabletext"/>
              <w:jc w:val="center"/>
              <w:rPr>
                <w:lang w:val="fr-FR" w:eastAsia="zh-CN"/>
              </w:rPr>
            </w:pPr>
            <w:r w:rsidRPr="00D15B9B">
              <w:rPr>
                <w:lang w:val="fr-FR" w:eastAsia="zh-CN"/>
              </w:rPr>
              <w:t>354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32DE8" w14:textId="5B0D6932" w:rsidR="005D22AB" w:rsidRPr="00D15B9B" w:rsidRDefault="005D22AB" w:rsidP="0056586C">
            <w:pPr>
              <w:pStyle w:val="Tabletext"/>
              <w:jc w:val="center"/>
              <w:rPr>
                <w:lang w:val="fr-FR" w:eastAsia="zh-CN"/>
              </w:rPr>
            </w:pPr>
            <w:r w:rsidRPr="00D15B9B">
              <w:rPr>
                <w:lang w:val="fr-FR" w:eastAsia="zh-CN"/>
              </w:rPr>
              <w:t>373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50B80" w14:textId="35B4F12F" w:rsidR="005D22AB" w:rsidRPr="00D15B9B" w:rsidRDefault="005D22AB" w:rsidP="0056586C">
            <w:pPr>
              <w:pStyle w:val="Tabletext"/>
              <w:jc w:val="center"/>
              <w:rPr>
                <w:lang w:val="fr-FR" w:eastAsia="zh-CN"/>
              </w:rPr>
            </w:pPr>
            <w:r w:rsidRPr="00D15B9B">
              <w:rPr>
                <w:lang w:val="fr-FR" w:eastAsia="zh-CN"/>
              </w:rPr>
              <w:t>400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270ED6" w14:textId="76A45FA4" w:rsidR="005D22AB" w:rsidRPr="00D15B9B" w:rsidRDefault="005D22AB" w:rsidP="0056586C">
            <w:pPr>
              <w:pStyle w:val="Tabletext"/>
              <w:jc w:val="center"/>
              <w:rPr>
                <w:lang w:val="fr-FR" w:eastAsia="zh-CN"/>
              </w:rPr>
            </w:pPr>
            <w:r w:rsidRPr="00D15B9B">
              <w:rPr>
                <w:lang w:val="fr-FR" w:eastAsia="zh-CN"/>
              </w:rPr>
              <w:t>434</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0D958" w14:textId="6BF1DE21" w:rsidR="005D22AB" w:rsidRPr="00D15B9B" w:rsidRDefault="005D22AB" w:rsidP="0056586C">
            <w:pPr>
              <w:pStyle w:val="Tabletext"/>
              <w:jc w:val="center"/>
              <w:rPr>
                <w:lang w:val="fr-FR" w:eastAsia="zh-CN"/>
              </w:rPr>
            </w:pPr>
            <w:r w:rsidRPr="00D15B9B">
              <w:rPr>
                <w:lang w:val="fr-FR" w:eastAsia="zh-CN"/>
              </w:rPr>
              <w:t>460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EE840" w14:textId="38328DC3" w:rsidR="005D22AB" w:rsidRPr="00D15B9B" w:rsidRDefault="005D22AB" w:rsidP="0056586C">
            <w:pPr>
              <w:pStyle w:val="Tabletext"/>
              <w:jc w:val="center"/>
              <w:rPr>
                <w:lang w:val="fr-FR" w:eastAsia="zh-CN"/>
              </w:rPr>
            </w:pPr>
            <w:r w:rsidRPr="00D15B9B">
              <w:rPr>
                <w:lang w:val="fr-FR" w:eastAsia="zh-CN"/>
              </w:rPr>
              <w:t>450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0B80A" w14:textId="2FEBAF08" w:rsidR="005D22AB" w:rsidRPr="00D15B9B" w:rsidRDefault="005D22AB" w:rsidP="0056586C">
            <w:pPr>
              <w:pStyle w:val="Tabletext"/>
              <w:jc w:val="center"/>
              <w:rPr>
                <w:lang w:val="fr-FR" w:eastAsia="zh-CN"/>
              </w:rPr>
            </w:pPr>
            <w:r w:rsidRPr="00D15B9B">
              <w:rPr>
                <w:lang w:val="fr-FR" w:eastAsia="zh-CN"/>
              </w:rPr>
              <w:t>455</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113AD7" w14:textId="3334B7A0" w:rsidR="005D22AB" w:rsidRPr="00D15B9B" w:rsidRDefault="005D22AB" w:rsidP="0056586C">
            <w:pPr>
              <w:pStyle w:val="Tabletext"/>
              <w:jc w:val="center"/>
              <w:rPr>
                <w:lang w:val="fr-FR" w:eastAsia="zh-CN"/>
              </w:rPr>
            </w:pPr>
            <w:r w:rsidRPr="00D15B9B">
              <w:rPr>
                <w:lang w:val="fr-FR" w:eastAsia="zh-CN"/>
              </w:rPr>
              <w:t>480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C0B1076" w14:textId="14B14A72" w:rsidR="005D22AB" w:rsidRPr="00D15B9B" w:rsidRDefault="005D22AB" w:rsidP="0056586C">
            <w:pPr>
              <w:pStyle w:val="Tabletext"/>
              <w:jc w:val="center"/>
              <w:rPr>
                <w:lang w:val="fr-FR" w:eastAsia="zh-CN"/>
              </w:rPr>
            </w:pPr>
            <w:r w:rsidRPr="00D15B9B">
              <w:rPr>
                <w:lang w:val="fr-FR" w:eastAsia="zh-CN"/>
              </w:rPr>
              <w:t>487</w:t>
            </w:r>
          </w:p>
        </w:tc>
      </w:tr>
    </w:tbl>
    <w:p w14:paraId="4B8F05C9" w14:textId="1DA3AC59" w:rsidR="00BF76C2" w:rsidRPr="00D15B9B" w:rsidRDefault="00BF76C2" w:rsidP="003E5493">
      <w:pPr>
        <w:spacing w:before="240"/>
        <w:rPr>
          <w:lang w:val="fr-FR"/>
        </w:rPr>
      </w:pPr>
      <w:r w:rsidRPr="00D15B9B">
        <w:rPr>
          <w:lang w:val="fr-FR"/>
        </w:rPr>
        <w:t>Le graphique ci-dessous montre l'évolution du nombre de membres de l'UIT-D entre 1994 et 2019, qui d'une manière générale est en hausse constante.</w:t>
      </w:r>
    </w:p>
    <w:p w14:paraId="1B8CEEEB" w14:textId="08B672C2" w:rsidR="005D22AB" w:rsidRPr="00D15B9B" w:rsidRDefault="005D22AB" w:rsidP="00DF0002">
      <w:pPr>
        <w:jc w:val="center"/>
        <w:rPr>
          <w:lang w:val="fr-FR"/>
        </w:rPr>
      </w:pPr>
      <w:r w:rsidRPr="00D15B9B">
        <w:rPr>
          <w:noProof/>
          <w:lang w:val="fr-FR" w:eastAsia="en-GB"/>
        </w:rPr>
        <w:lastRenderedPageBreak/>
        <w:drawing>
          <wp:inline distT="0" distB="0" distL="0" distR="0" wp14:anchorId="5A5D3798" wp14:editId="32E6972F">
            <wp:extent cx="5717355" cy="2673350"/>
            <wp:effectExtent l="0" t="0" r="1714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A04E93" w14:textId="15A22840" w:rsidR="005D22AB" w:rsidRPr="00D15B9B" w:rsidRDefault="005D22AB" w:rsidP="00DF0002">
      <w:pPr>
        <w:pStyle w:val="Heading2"/>
        <w:rPr>
          <w:lang w:val="fr-FR"/>
        </w:rPr>
      </w:pPr>
      <w:r w:rsidRPr="00D15B9B">
        <w:rPr>
          <w:lang w:val="fr-FR"/>
        </w:rPr>
        <w:t>3.1</w:t>
      </w:r>
      <w:r w:rsidRPr="00D15B9B">
        <w:rPr>
          <w:lang w:val="fr-FR"/>
        </w:rPr>
        <w:tab/>
        <w:t>Membres de Secteur et Associés en 2019</w:t>
      </w:r>
    </w:p>
    <w:p w14:paraId="08EEC9AA" w14:textId="039BAE8C" w:rsidR="005D22AB" w:rsidRPr="00D15B9B" w:rsidRDefault="00E446EA" w:rsidP="00DF0002">
      <w:pPr>
        <w:rPr>
          <w:lang w:val="fr-FR"/>
        </w:rPr>
      </w:pPr>
      <w:r w:rsidRPr="00D15B9B">
        <w:rPr>
          <w:lang w:val="fr-FR"/>
        </w:rPr>
        <w:t>E</w:t>
      </w:r>
      <w:r w:rsidR="005D22AB" w:rsidRPr="00D15B9B">
        <w:rPr>
          <w:lang w:val="fr-FR"/>
        </w:rPr>
        <w:t xml:space="preserve">n 2019, </w:t>
      </w:r>
      <w:r w:rsidR="005D22AB" w:rsidRPr="00D15B9B">
        <w:rPr>
          <w:b/>
          <w:i/>
          <w:lang w:val="fr-FR"/>
        </w:rPr>
        <w:t xml:space="preserve">13 </w:t>
      </w:r>
      <w:r w:rsidRPr="00D15B9B">
        <w:rPr>
          <w:b/>
          <w:i/>
          <w:lang w:val="fr-FR"/>
        </w:rPr>
        <w:t xml:space="preserve">nouvelles entités </w:t>
      </w:r>
      <w:r w:rsidRPr="00D15B9B">
        <w:rPr>
          <w:bCs/>
          <w:iCs/>
          <w:lang w:val="fr-FR"/>
        </w:rPr>
        <w:t xml:space="preserve">sont devenues </w:t>
      </w:r>
      <w:r w:rsidRPr="00D15B9B">
        <w:rPr>
          <w:b/>
          <w:i/>
          <w:lang w:val="fr-FR"/>
        </w:rPr>
        <w:t>Membres du Secteur</w:t>
      </w:r>
      <w:r w:rsidRPr="00D15B9B">
        <w:rPr>
          <w:bCs/>
          <w:iCs/>
          <w:lang w:val="fr-FR"/>
        </w:rPr>
        <w:t xml:space="preserve"> de l'UIT-D</w:t>
      </w:r>
      <w:r w:rsidR="005D22AB" w:rsidRPr="00D15B9B">
        <w:rPr>
          <w:lang w:val="fr-FR"/>
        </w:rPr>
        <w:t>: AEPF (</w:t>
      </w:r>
      <w:r w:rsidRPr="00D15B9B">
        <w:rPr>
          <w:lang w:val="fr-FR"/>
        </w:rPr>
        <w:t>Tc</w:t>
      </w:r>
      <w:r w:rsidR="005D22AB" w:rsidRPr="00D15B9B">
        <w:rPr>
          <w:lang w:val="fr-FR"/>
        </w:rPr>
        <w:t>had), Amazon Web Services (</w:t>
      </w:r>
      <w:r w:rsidRPr="00D15B9B">
        <w:rPr>
          <w:lang w:val="fr-FR"/>
        </w:rPr>
        <w:t>États-Unis</w:t>
      </w:r>
      <w:r w:rsidR="005D22AB" w:rsidRPr="00D15B9B">
        <w:rPr>
          <w:lang w:val="fr-FR"/>
        </w:rPr>
        <w:t>), ANSUT (C</w:t>
      </w:r>
      <w:r w:rsidRPr="00D15B9B">
        <w:rPr>
          <w:lang w:val="fr-FR"/>
        </w:rPr>
        <w:t>ô</w:t>
      </w:r>
      <w:r w:rsidR="005D22AB" w:rsidRPr="00D15B9B">
        <w:rPr>
          <w:lang w:val="fr-FR"/>
        </w:rPr>
        <w:t>te d</w:t>
      </w:r>
      <w:r w:rsidR="0056586C">
        <w:rPr>
          <w:lang w:val="fr-FR"/>
        </w:rPr>
        <w:t>'</w:t>
      </w:r>
      <w:r w:rsidR="005D22AB" w:rsidRPr="00D15B9B">
        <w:rPr>
          <w:lang w:val="fr-FR"/>
        </w:rPr>
        <w:t>Ivoire), BCSL (Bangladesh), Hughes Network Systems LLC (</w:t>
      </w:r>
      <w:r w:rsidRPr="00D15B9B">
        <w:rPr>
          <w:lang w:val="fr-FR"/>
        </w:rPr>
        <w:t>États-Unis</w:t>
      </w:r>
      <w:r w:rsidR="005D22AB" w:rsidRPr="00D15B9B">
        <w:rPr>
          <w:lang w:val="fr-FR"/>
        </w:rPr>
        <w:t>), Internet Corporation for Assigned Names and Numbers ICANN (</w:t>
      </w:r>
      <w:r w:rsidRPr="00D15B9B">
        <w:rPr>
          <w:lang w:val="fr-FR"/>
        </w:rPr>
        <w:t>États</w:t>
      </w:r>
      <w:r w:rsidR="00DF0002" w:rsidRPr="00D15B9B">
        <w:rPr>
          <w:lang w:val="fr-FR"/>
        </w:rPr>
        <w:noBreakHyphen/>
      </w:r>
      <w:r w:rsidRPr="00D15B9B">
        <w:rPr>
          <w:lang w:val="fr-FR"/>
        </w:rPr>
        <w:t>Unis</w:t>
      </w:r>
      <w:r w:rsidR="005D22AB" w:rsidRPr="00D15B9B">
        <w:rPr>
          <w:lang w:val="fr-FR"/>
        </w:rPr>
        <w:t>), Loon LLC (</w:t>
      </w:r>
      <w:r w:rsidRPr="00D15B9B">
        <w:rPr>
          <w:lang w:val="fr-FR"/>
        </w:rPr>
        <w:t>États-Unis</w:t>
      </w:r>
      <w:r w:rsidR="005D22AB" w:rsidRPr="00D15B9B">
        <w:rPr>
          <w:lang w:val="fr-FR"/>
        </w:rPr>
        <w:t>), Mada-Qatar Assistive Technology Center (Qatar), MTN Group Management Services (</w:t>
      </w:r>
      <w:r w:rsidRPr="00D15B9B">
        <w:rPr>
          <w:lang w:val="fr-FR"/>
        </w:rPr>
        <w:t>République sudafricaine</w:t>
      </w:r>
      <w:r w:rsidR="005D22AB" w:rsidRPr="00D15B9B">
        <w:rPr>
          <w:lang w:val="fr-FR"/>
        </w:rPr>
        <w:t>), Reliance JIO Infocom (Ind</w:t>
      </w:r>
      <w:r w:rsidRPr="00D15B9B">
        <w:rPr>
          <w:lang w:val="fr-FR"/>
        </w:rPr>
        <w:t>e</w:t>
      </w:r>
      <w:r w:rsidR="005D22AB" w:rsidRPr="00D15B9B">
        <w:rPr>
          <w:lang w:val="fr-FR"/>
        </w:rPr>
        <w:t>), Sharing Mobile Group (Chin</w:t>
      </w:r>
      <w:r w:rsidRPr="00D15B9B">
        <w:rPr>
          <w:lang w:val="fr-FR"/>
        </w:rPr>
        <w:t>e</w:t>
      </w:r>
      <w:r w:rsidR="005D22AB" w:rsidRPr="00D15B9B">
        <w:rPr>
          <w:lang w:val="fr-FR"/>
        </w:rPr>
        <w:t>), Subah Infosolutions Ghana Limited (Ghana), U Mobile Sdn Bhd (Mala</w:t>
      </w:r>
      <w:r w:rsidRPr="00D15B9B">
        <w:rPr>
          <w:lang w:val="fr-FR"/>
        </w:rPr>
        <w:t>isie</w:t>
      </w:r>
      <w:r w:rsidR="005D22AB" w:rsidRPr="00D15B9B">
        <w:rPr>
          <w:lang w:val="fr-FR"/>
        </w:rPr>
        <w:t>), ViaSat</w:t>
      </w:r>
      <w:r w:rsidR="00DF0002" w:rsidRPr="00D15B9B">
        <w:rPr>
          <w:lang w:val="fr-FR"/>
        </w:rPr>
        <w:t> </w:t>
      </w:r>
      <w:r w:rsidR="005D22AB" w:rsidRPr="00D15B9B">
        <w:rPr>
          <w:lang w:val="fr-FR"/>
        </w:rPr>
        <w:t>Inc (</w:t>
      </w:r>
      <w:r w:rsidRPr="00D15B9B">
        <w:rPr>
          <w:lang w:val="fr-FR"/>
        </w:rPr>
        <w:t>États-Unis</w:t>
      </w:r>
      <w:r w:rsidR="005D22AB" w:rsidRPr="00D15B9B">
        <w:rPr>
          <w:lang w:val="fr-FR"/>
        </w:rPr>
        <w:t xml:space="preserve">). </w:t>
      </w:r>
      <w:r w:rsidRPr="00D15B9B">
        <w:rPr>
          <w:lang w:val="fr-FR"/>
        </w:rPr>
        <w:t>L'UIT-D a également vu l'arrivée de</w:t>
      </w:r>
      <w:r w:rsidR="005D22AB" w:rsidRPr="00D15B9B">
        <w:rPr>
          <w:lang w:val="fr-FR"/>
        </w:rPr>
        <w:t xml:space="preserve"> </w:t>
      </w:r>
      <w:r w:rsidR="005D22AB" w:rsidRPr="00D15B9B">
        <w:rPr>
          <w:b/>
          <w:i/>
          <w:lang w:val="fr-FR"/>
        </w:rPr>
        <w:t xml:space="preserve">5 </w:t>
      </w:r>
      <w:r w:rsidRPr="00D15B9B">
        <w:rPr>
          <w:b/>
          <w:i/>
          <w:lang w:val="fr-FR"/>
        </w:rPr>
        <w:t>nouveaux</w:t>
      </w:r>
      <w:r w:rsidR="005D22AB" w:rsidRPr="00D15B9B">
        <w:rPr>
          <w:b/>
          <w:i/>
          <w:lang w:val="fr-FR"/>
        </w:rPr>
        <w:t xml:space="preserve"> Associ</w:t>
      </w:r>
      <w:r w:rsidRPr="00D15B9B">
        <w:rPr>
          <w:b/>
          <w:i/>
          <w:lang w:val="fr-FR"/>
        </w:rPr>
        <w:t>é</w:t>
      </w:r>
      <w:r w:rsidR="005D22AB" w:rsidRPr="00D15B9B">
        <w:rPr>
          <w:b/>
          <w:i/>
          <w:lang w:val="fr-FR"/>
        </w:rPr>
        <w:t>s</w:t>
      </w:r>
      <w:r w:rsidR="005D22AB" w:rsidRPr="00D15B9B">
        <w:rPr>
          <w:lang w:val="fr-FR"/>
        </w:rPr>
        <w:t>: Afilias Ltd (Irland</w:t>
      </w:r>
      <w:r w:rsidRPr="00D15B9B">
        <w:rPr>
          <w:lang w:val="fr-FR"/>
        </w:rPr>
        <w:t>e</w:t>
      </w:r>
      <w:r w:rsidR="005D22AB" w:rsidRPr="00D15B9B">
        <w:rPr>
          <w:lang w:val="fr-FR"/>
        </w:rPr>
        <w:t>), CACF-3g Technologies (Pakistan), Codewise (Pol</w:t>
      </w:r>
      <w:r w:rsidRPr="00D15B9B">
        <w:rPr>
          <w:lang w:val="fr-FR"/>
        </w:rPr>
        <w:t>ogne</w:t>
      </w:r>
      <w:r w:rsidR="005D22AB" w:rsidRPr="00D15B9B">
        <w:rPr>
          <w:lang w:val="fr-FR"/>
        </w:rPr>
        <w:t>), PWC (</w:t>
      </w:r>
      <w:r w:rsidRPr="00D15B9B">
        <w:rPr>
          <w:lang w:val="fr-FR"/>
        </w:rPr>
        <w:t>Suisse</w:t>
      </w:r>
      <w:r w:rsidR="005D22AB" w:rsidRPr="00D15B9B">
        <w:rPr>
          <w:lang w:val="fr-FR"/>
        </w:rPr>
        <w:t>), Silensec (Kenya).</w:t>
      </w:r>
    </w:p>
    <w:p w14:paraId="76AFC865" w14:textId="33983A26" w:rsidR="005D22AB" w:rsidRPr="00D15B9B" w:rsidRDefault="005D22AB" w:rsidP="00DF0002">
      <w:pPr>
        <w:pStyle w:val="Heading2"/>
        <w:rPr>
          <w:lang w:val="fr-FR"/>
        </w:rPr>
      </w:pPr>
      <w:r w:rsidRPr="00D15B9B">
        <w:rPr>
          <w:lang w:val="fr-FR"/>
        </w:rPr>
        <w:t>3.2</w:t>
      </w:r>
      <w:r w:rsidRPr="00D15B9B">
        <w:rPr>
          <w:lang w:val="fr-FR"/>
        </w:rPr>
        <w:tab/>
        <w:t>Établissements universitaires en 2019</w:t>
      </w:r>
    </w:p>
    <w:p w14:paraId="5696C465" w14:textId="499B7BEA" w:rsidR="005D22AB" w:rsidRPr="00D15B9B" w:rsidRDefault="00345B77" w:rsidP="00DF0002">
      <w:pPr>
        <w:rPr>
          <w:szCs w:val="24"/>
          <w:lang w:val="fr-FR"/>
        </w:rPr>
      </w:pPr>
      <w:r w:rsidRPr="00D15B9B">
        <w:rPr>
          <w:szCs w:val="24"/>
          <w:lang w:val="fr-FR"/>
        </w:rPr>
        <w:t>Les établissements universitaires s'acquittent d'un droit unique pour participer aux travaux des trois Secteurs</w:t>
      </w:r>
      <w:r w:rsidR="005D22AB" w:rsidRPr="00D15B9B">
        <w:rPr>
          <w:szCs w:val="24"/>
          <w:lang w:val="fr-FR"/>
        </w:rPr>
        <w:t xml:space="preserve">. </w:t>
      </w:r>
      <w:r w:rsidRPr="00D15B9B">
        <w:rPr>
          <w:szCs w:val="24"/>
          <w:lang w:val="fr-FR"/>
        </w:rPr>
        <w:t>Depuis</w:t>
      </w:r>
      <w:r w:rsidR="005D22AB" w:rsidRPr="00D15B9B">
        <w:rPr>
          <w:szCs w:val="24"/>
          <w:lang w:val="fr-FR"/>
        </w:rPr>
        <w:t xml:space="preserve"> 2011, </w:t>
      </w:r>
      <w:r w:rsidRPr="00D15B9B">
        <w:rPr>
          <w:szCs w:val="24"/>
          <w:lang w:val="fr-FR"/>
        </w:rPr>
        <w:t xml:space="preserve">plus de 200 établissements universitaires </w:t>
      </w:r>
      <w:r w:rsidR="00DD7C21" w:rsidRPr="00D15B9B">
        <w:rPr>
          <w:szCs w:val="24"/>
          <w:lang w:val="fr-FR"/>
        </w:rPr>
        <w:t xml:space="preserve">ont choisi de participer aux travaux de </w:t>
      </w:r>
      <w:r w:rsidRPr="00D15B9B">
        <w:rPr>
          <w:szCs w:val="24"/>
          <w:lang w:val="fr-FR"/>
        </w:rPr>
        <w:t>l'UI</w:t>
      </w:r>
      <w:r w:rsidR="00DD7C21" w:rsidRPr="00D15B9B">
        <w:rPr>
          <w:szCs w:val="24"/>
          <w:lang w:val="fr-FR"/>
        </w:rPr>
        <w:t>T</w:t>
      </w:r>
      <w:r w:rsidRPr="00D15B9B">
        <w:rPr>
          <w:szCs w:val="24"/>
          <w:lang w:val="fr-FR"/>
        </w:rPr>
        <w:t>. Cette catégorie de membres est celle qui enregistre la plus forte progression. En</w:t>
      </w:r>
      <w:r w:rsidR="003E5493">
        <w:rPr>
          <w:szCs w:val="24"/>
          <w:lang w:val="fr-FR"/>
        </w:rPr>
        <w:t> </w:t>
      </w:r>
      <w:r w:rsidRPr="00D15B9B">
        <w:rPr>
          <w:szCs w:val="24"/>
          <w:lang w:val="fr-FR"/>
        </w:rPr>
        <w:t xml:space="preserve">2019, grâce à des initiatives menées en coordination avec le Secrétariat général, </w:t>
      </w:r>
      <w:r w:rsidRPr="00D15B9B">
        <w:rPr>
          <w:b/>
          <w:bCs/>
          <w:i/>
          <w:iCs/>
          <w:szCs w:val="24"/>
          <w:lang w:val="fr-FR"/>
        </w:rPr>
        <w:t>22 nouveaux établissements universitaires</w:t>
      </w:r>
      <w:r w:rsidRPr="00D15B9B">
        <w:rPr>
          <w:szCs w:val="24"/>
          <w:lang w:val="fr-FR"/>
        </w:rPr>
        <w:t xml:space="preserve"> ont été admis à participer aux travaux </w:t>
      </w:r>
      <w:r w:rsidR="00C24056" w:rsidRPr="00D15B9B">
        <w:rPr>
          <w:szCs w:val="24"/>
          <w:lang w:val="fr-FR"/>
        </w:rPr>
        <w:t>des trois Secteurs de l'UIT</w:t>
      </w:r>
      <w:r w:rsidR="005D22AB" w:rsidRPr="00D15B9B">
        <w:rPr>
          <w:rStyle w:val="FootnoteReference"/>
          <w:szCs w:val="24"/>
          <w:lang w:val="fr-FR"/>
        </w:rPr>
        <w:footnoteReference w:id="5"/>
      </w:r>
      <w:r w:rsidR="003E5493">
        <w:rPr>
          <w:szCs w:val="24"/>
          <w:lang w:val="fr-FR"/>
        </w:rPr>
        <w:t>.</w:t>
      </w:r>
    </w:p>
    <w:p w14:paraId="4A8BCF39" w14:textId="77777777" w:rsidR="00DF0002" w:rsidRPr="00D15B9B" w:rsidRDefault="00DF0002" w:rsidP="00DF0002">
      <w:pPr>
        <w:pStyle w:val="Heading1"/>
        <w:rPr>
          <w:lang w:val="fr-FR"/>
        </w:rPr>
      </w:pPr>
      <w:r w:rsidRPr="00D15B9B">
        <w:rPr>
          <w:lang w:val="fr-FR"/>
        </w:rPr>
        <w:br w:type="page"/>
      </w:r>
    </w:p>
    <w:p w14:paraId="06447642" w14:textId="5F047F12" w:rsidR="005D22AB" w:rsidRPr="00CF034E" w:rsidRDefault="005D22AB" w:rsidP="00DF0002">
      <w:pPr>
        <w:pStyle w:val="Heading1"/>
        <w:rPr>
          <w:rFonts w:eastAsia="SimHei"/>
          <w:sz w:val="24"/>
          <w:szCs w:val="24"/>
          <w:lang w:val="fr-FR"/>
        </w:rPr>
      </w:pPr>
      <w:r w:rsidRPr="00CF034E">
        <w:rPr>
          <w:sz w:val="24"/>
          <w:szCs w:val="24"/>
          <w:lang w:val="fr-FR"/>
        </w:rPr>
        <w:lastRenderedPageBreak/>
        <w:t>4</w:t>
      </w:r>
      <w:r w:rsidRPr="00CF034E">
        <w:rPr>
          <w:sz w:val="24"/>
          <w:szCs w:val="24"/>
          <w:lang w:val="fr-FR"/>
        </w:rPr>
        <w:tab/>
      </w:r>
      <w:r w:rsidRPr="00CF034E">
        <w:rPr>
          <w:rFonts w:eastAsia="SimHei"/>
          <w:sz w:val="24"/>
          <w:szCs w:val="24"/>
          <w:lang w:val="fr-FR"/>
        </w:rPr>
        <w:t xml:space="preserve">Principales </w:t>
      </w:r>
      <w:r w:rsidR="00CE1D84" w:rsidRPr="00CF034E">
        <w:rPr>
          <w:rFonts w:eastAsia="SimHei"/>
          <w:sz w:val="24"/>
          <w:szCs w:val="24"/>
          <w:lang w:val="fr-FR"/>
        </w:rPr>
        <w:t>initiatives</w:t>
      </w:r>
      <w:r w:rsidRPr="00CF034E">
        <w:rPr>
          <w:rFonts w:eastAsia="SimHei"/>
          <w:sz w:val="24"/>
          <w:szCs w:val="24"/>
          <w:lang w:val="fr-FR"/>
        </w:rPr>
        <w:t xml:space="preserve"> et résultats obtenus</w:t>
      </w:r>
    </w:p>
    <w:p w14:paraId="3B4AC17C" w14:textId="0786493F" w:rsidR="00F15919" w:rsidRPr="00D15B9B" w:rsidRDefault="005D22AB" w:rsidP="00DF0002">
      <w:pPr>
        <w:spacing w:before="80"/>
        <w:rPr>
          <w:lang w:val="fr-FR"/>
        </w:rPr>
      </w:pPr>
      <w:r w:rsidRPr="00D15B9B">
        <w:rPr>
          <w:rFonts w:eastAsia="SimHei" w:cs="Simplified Arabic"/>
          <w:bCs/>
          <w:lang w:val="fr-FR"/>
        </w:rPr>
        <w:t xml:space="preserve">Le BDT </w:t>
      </w:r>
      <w:r w:rsidR="00F15919" w:rsidRPr="00D15B9B">
        <w:rPr>
          <w:rFonts w:eastAsia="SimHei" w:cs="Simplified Arabic"/>
          <w:bCs/>
          <w:lang w:val="fr-FR"/>
        </w:rPr>
        <w:t>met</w:t>
      </w:r>
      <w:r w:rsidRPr="00D15B9B">
        <w:rPr>
          <w:rFonts w:eastAsia="SimHei" w:cs="Simplified Arabic"/>
          <w:bCs/>
          <w:lang w:val="fr-FR"/>
        </w:rPr>
        <w:t xml:space="preserve"> en œuvre une série d</w:t>
      </w:r>
      <w:r w:rsidR="00DD7C21" w:rsidRPr="00D15B9B">
        <w:rPr>
          <w:rFonts w:eastAsia="SimHei" w:cs="Simplified Arabic"/>
          <w:bCs/>
          <w:lang w:val="fr-FR"/>
        </w:rPr>
        <w:t>'</w:t>
      </w:r>
      <w:r w:rsidR="00CE1D84" w:rsidRPr="00D15B9B">
        <w:rPr>
          <w:rFonts w:eastAsia="SimHei" w:cs="Simplified Arabic"/>
          <w:bCs/>
          <w:lang w:val="fr-FR"/>
        </w:rPr>
        <w:t>initiatives</w:t>
      </w:r>
      <w:r w:rsidRPr="00D15B9B">
        <w:rPr>
          <w:rFonts w:eastAsia="SimHei" w:cs="Simplified Arabic"/>
          <w:bCs/>
          <w:lang w:val="fr-FR"/>
        </w:rPr>
        <w:t xml:space="preserve"> stratégiques</w:t>
      </w:r>
      <w:bookmarkStart w:id="13" w:name="lt_pId044"/>
      <w:r w:rsidRPr="00D15B9B">
        <w:rPr>
          <w:lang w:val="fr-FR"/>
        </w:rPr>
        <w:t xml:space="preserve"> pour </w:t>
      </w:r>
      <w:r w:rsidR="00F15919" w:rsidRPr="00D15B9B">
        <w:rPr>
          <w:lang w:val="fr-FR"/>
        </w:rPr>
        <w:t>renforcer</w:t>
      </w:r>
      <w:r w:rsidRPr="00D15B9B">
        <w:rPr>
          <w:lang w:val="fr-FR"/>
        </w:rPr>
        <w:t xml:space="preserve"> </w:t>
      </w:r>
      <w:r w:rsidR="00F15919" w:rsidRPr="00D15B9B">
        <w:rPr>
          <w:lang w:val="fr-FR"/>
        </w:rPr>
        <w:t>les relations</w:t>
      </w:r>
      <w:r w:rsidR="00CE1D84" w:rsidRPr="00D15B9B">
        <w:rPr>
          <w:lang w:val="fr-FR"/>
        </w:rPr>
        <w:t xml:space="preserve"> avec les membres de l'UIT-D et leur participation aux travaux du Secteur.</w:t>
      </w:r>
    </w:p>
    <w:bookmarkEnd w:id="13"/>
    <w:p w14:paraId="1611AD3E" w14:textId="122EC432" w:rsidR="005D22AB" w:rsidRPr="00D15B9B" w:rsidRDefault="005D22AB" w:rsidP="00DF0002">
      <w:pPr>
        <w:pStyle w:val="Heading2"/>
        <w:rPr>
          <w:lang w:val="fr-FR"/>
        </w:rPr>
      </w:pPr>
      <w:r w:rsidRPr="00D15B9B">
        <w:rPr>
          <w:lang w:val="fr-FR"/>
        </w:rPr>
        <w:t>4.1</w:t>
      </w:r>
      <w:r w:rsidRPr="00D15B9B">
        <w:rPr>
          <w:lang w:val="fr-FR"/>
        </w:rPr>
        <w:tab/>
      </w:r>
      <w:bookmarkStart w:id="14" w:name="lt_pId048"/>
      <w:bookmarkStart w:id="15" w:name="lt_pId052"/>
      <w:r w:rsidR="00DD7C21" w:rsidRPr="00D15B9B">
        <w:rPr>
          <w:lang w:val="fr-FR"/>
        </w:rPr>
        <w:t>Améliorer</w:t>
      </w:r>
      <w:r w:rsidRPr="00D15B9B">
        <w:rPr>
          <w:lang w:val="fr-FR"/>
        </w:rPr>
        <w:t xml:space="preserve"> les outils et les services destinés aux </w:t>
      </w:r>
      <w:r w:rsidR="00DD7C21" w:rsidRPr="00D15B9B">
        <w:rPr>
          <w:lang w:val="fr-FR"/>
        </w:rPr>
        <w:t>me</w:t>
      </w:r>
      <w:r w:rsidRPr="00D15B9B">
        <w:rPr>
          <w:lang w:val="fr-FR"/>
        </w:rPr>
        <w:t>mbres de l'UIT-D</w:t>
      </w:r>
      <w:bookmarkEnd w:id="14"/>
      <w:bookmarkEnd w:id="15"/>
    </w:p>
    <w:p w14:paraId="2FDB98B5" w14:textId="6050F39F" w:rsidR="00CE1D84" w:rsidRPr="00D15B9B" w:rsidRDefault="00CE1D84" w:rsidP="00DF0002">
      <w:pPr>
        <w:spacing w:after="120"/>
        <w:rPr>
          <w:szCs w:val="24"/>
          <w:lang w:val="fr-FR"/>
        </w:rPr>
      </w:pPr>
      <w:r w:rsidRPr="00D15B9B">
        <w:rPr>
          <w:szCs w:val="24"/>
          <w:lang w:val="fr-FR"/>
        </w:rPr>
        <w:t>En étroite collaboration avec le Département de la planification stratégique et des</w:t>
      </w:r>
      <w:r w:rsidR="00DD7C21" w:rsidRPr="00D15B9B">
        <w:rPr>
          <w:szCs w:val="24"/>
          <w:lang w:val="fr-FR"/>
        </w:rPr>
        <w:t xml:space="preserve"> relations avec les</w:t>
      </w:r>
      <w:r w:rsidRPr="00D15B9B">
        <w:rPr>
          <w:szCs w:val="24"/>
          <w:lang w:val="fr-FR"/>
        </w:rPr>
        <w:t xml:space="preserve"> membres</w:t>
      </w:r>
      <w:r w:rsidR="002B30FC" w:rsidRPr="00D15B9B">
        <w:rPr>
          <w:szCs w:val="24"/>
          <w:lang w:val="fr-FR"/>
        </w:rPr>
        <w:t xml:space="preserve"> (SPM)</w:t>
      </w:r>
      <w:r w:rsidRPr="00D15B9B">
        <w:rPr>
          <w:szCs w:val="24"/>
          <w:lang w:val="fr-FR"/>
        </w:rPr>
        <w:t>, le BDT a commencé, au dernier trimestre de 2019, à utiliser</w:t>
      </w:r>
      <w:r w:rsidR="00BE7076" w:rsidRPr="00D15B9B">
        <w:rPr>
          <w:szCs w:val="24"/>
          <w:lang w:val="fr-FR"/>
        </w:rPr>
        <w:t xml:space="preserve"> LinkedIn Sales Navigator afin d</w:t>
      </w:r>
      <w:r w:rsidR="002B30FC" w:rsidRPr="00D15B9B">
        <w:rPr>
          <w:szCs w:val="24"/>
          <w:lang w:val="fr-FR"/>
        </w:rPr>
        <w:t>'avoir</w:t>
      </w:r>
      <w:r w:rsidR="00BE7076" w:rsidRPr="00D15B9B">
        <w:rPr>
          <w:szCs w:val="24"/>
          <w:lang w:val="fr-FR"/>
        </w:rPr>
        <w:t xml:space="preserve"> </w:t>
      </w:r>
      <w:r w:rsidR="002B30FC" w:rsidRPr="00D15B9B">
        <w:rPr>
          <w:szCs w:val="24"/>
          <w:lang w:val="fr-FR"/>
        </w:rPr>
        <w:t xml:space="preserve">un meilleur </w:t>
      </w:r>
      <w:r w:rsidR="00BE7076" w:rsidRPr="00D15B9B">
        <w:rPr>
          <w:szCs w:val="24"/>
          <w:lang w:val="fr-FR"/>
        </w:rPr>
        <w:t xml:space="preserve">accès aux réseaux </w:t>
      </w:r>
      <w:r w:rsidR="002B30FC" w:rsidRPr="00D15B9B">
        <w:rPr>
          <w:szCs w:val="24"/>
          <w:lang w:val="fr-FR"/>
        </w:rPr>
        <w:t xml:space="preserve">professionnels du secteur </w:t>
      </w:r>
      <w:r w:rsidR="00BE7076" w:rsidRPr="00D15B9B">
        <w:rPr>
          <w:szCs w:val="24"/>
          <w:lang w:val="fr-FR"/>
        </w:rPr>
        <w:t xml:space="preserve">des TIC afin </w:t>
      </w:r>
      <w:r w:rsidR="002B30FC" w:rsidRPr="00D15B9B">
        <w:rPr>
          <w:szCs w:val="24"/>
          <w:lang w:val="fr-FR"/>
        </w:rPr>
        <w:t xml:space="preserve">pour </w:t>
      </w:r>
      <w:r w:rsidR="00BE7076" w:rsidRPr="00D15B9B">
        <w:rPr>
          <w:szCs w:val="24"/>
          <w:lang w:val="fr-FR"/>
        </w:rPr>
        <w:t>attirer un plus grand nombre d'entités potentielles et accroître le nombre de membres de l'UIT-D.</w:t>
      </w:r>
    </w:p>
    <w:p w14:paraId="31BFDF63" w14:textId="2D33D4A5" w:rsidR="00BE7076" w:rsidRPr="00D15B9B" w:rsidRDefault="00BE7076" w:rsidP="00DF0002">
      <w:pPr>
        <w:spacing w:after="120"/>
        <w:rPr>
          <w:szCs w:val="24"/>
          <w:lang w:val="fr-FR"/>
        </w:rPr>
      </w:pPr>
      <w:r w:rsidRPr="00D15B9B">
        <w:rPr>
          <w:szCs w:val="24"/>
          <w:lang w:val="fr-FR"/>
        </w:rPr>
        <w:t>Afin de réussir à attirer de nouveaux membres de l'UIT-D, on a imaginé et réalisé deux kits</w:t>
      </w:r>
      <w:r w:rsidR="002B30FC" w:rsidRPr="00D15B9B">
        <w:rPr>
          <w:szCs w:val="24"/>
          <w:lang w:val="fr-FR"/>
        </w:rPr>
        <w:t>,</w:t>
      </w:r>
      <w:r w:rsidRPr="00D15B9B">
        <w:rPr>
          <w:szCs w:val="24"/>
          <w:lang w:val="fr-FR"/>
        </w:rPr>
        <w:t xml:space="preserve"> qui sont </w:t>
      </w:r>
      <w:r w:rsidR="002B30FC" w:rsidRPr="00D15B9B">
        <w:rPr>
          <w:szCs w:val="24"/>
          <w:lang w:val="fr-FR"/>
        </w:rPr>
        <w:t>actuellement</w:t>
      </w:r>
      <w:r w:rsidRPr="00D15B9B">
        <w:rPr>
          <w:szCs w:val="24"/>
          <w:lang w:val="fr-FR"/>
        </w:rPr>
        <w:t xml:space="preserve"> utilisés. Le "kit d'information" </w:t>
      </w:r>
      <w:r w:rsidR="002B30FC" w:rsidRPr="00D15B9B">
        <w:rPr>
          <w:szCs w:val="24"/>
          <w:lang w:val="fr-FR"/>
        </w:rPr>
        <w:t>destiné aux</w:t>
      </w:r>
      <w:r w:rsidRPr="00D15B9B">
        <w:rPr>
          <w:szCs w:val="24"/>
          <w:lang w:val="fr-FR"/>
        </w:rPr>
        <w:t xml:space="preserve"> membres potentiels présente de manière attractive les travaux de l'UIT</w:t>
      </w:r>
      <w:r w:rsidR="002B30FC" w:rsidRPr="00D15B9B">
        <w:rPr>
          <w:szCs w:val="24"/>
          <w:lang w:val="fr-FR"/>
        </w:rPr>
        <w:t>-D,</w:t>
      </w:r>
      <w:r w:rsidRPr="00D15B9B">
        <w:rPr>
          <w:szCs w:val="24"/>
          <w:lang w:val="fr-FR"/>
        </w:rPr>
        <w:t xml:space="preserve"> </w:t>
      </w:r>
      <w:r w:rsidR="006C4718" w:rsidRPr="00D15B9B">
        <w:rPr>
          <w:szCs w:val="24"/>
          <w:lang w:val="fr-FR"/>
        </w:rPr>
        <w:t xml:space="preserve">ainsi que les possibilités et les avantages dont profitent les membres de l'UIT-D. Le </w:t>
      </w:r>
      <w:r w:rsidR="009E139B" w:rsidRPr="00D15B9B">
        <w:rPr>
          <w:szCs w:val="24"/>
          <w:lang w:val="fr-FR"/>
        </w:rPr>
        <w:t>second</w:t>
      </w:r>
      <w:r w:rsidR="006C4718" w:rsidRPr="00D15B9B">
        <w:rPr>
          <w:szCs w:val="24"/>
          <w:lang w:val="fr-FR"/>
        </w:rPr>
        <w:t xml:space="preserve"> kit est le "kit de bienvenue"</w:t>
      </w:r>
      <w:r w:rsidR="009E139B" w:rsidRPr="00D15B9B">
        <w:rPr>
          <w:szCs w:val="24"/>
          <w:lang w:val="fr-FR"/>
        </w:rPr>
        <w:t xml:space="preserve">, qui </w:t>
      </w:r>
      <w:r w:rsidR="002B30FC" w:rsidRPr="00D15B9B">
        <w:rPr>
          <w:szCs w:val="24"/>
          <w:lang w:val="fr-FR"/>
        </w:rPr>
        <w:t xml:space="preserve">contient </w:t>
      </w:r>
      <w:r w:rsidR="009E139B" w:rsidRPr="00D15B9B">
        <w:rPr>
          <w:szCs w:val="24"/>
          <w:lang w:val="fr-FR"/>
        </w:rPr>
        <w:t xml:space="preserve">des informations pratiques </w:t>
      </w:r>
      <w:r w:rsidR="002B30FC" w:rsidRPr="00D15B9B">
        <w:rPr>
          <w:szCs w:val="24"/>
          <w:lang w:val="fr-FR"/>
        </w:rPr>
        <w:t>destinées aux</w:t>
      </w:r>
      <w:r w:rsidR="009E139B" w:rsidRPr="00D15B9B">
        <w:rPr>
          <w:szCs w:val="24"/>
          <w:lang w:val="fr-FR"/>
        </w:rPr>
        <w:t xml:space="preserve"> nouveaux membres</w:t>
      </w:r>
      <w:r w:rsidR="002B30FC" w:rsidRPr="00D15B9B">
        <w:rPr>
          <w:szCs w:val="24"/>
          <w:lang w:val="fr-FR"/>
        </w:rPr>
        <w:t>,</w:t>
      </w:r>
      <w:r w:rsidR="009E139B" w:rsidRPr="00D15B9B">
        <w:rPr>
          <w:szCs w:val="24"/>
          <w:lang w:val="fr-FR"/>
        </w:rPr>
        <w:t xml:space="preserve"> </w:t>
      </w:r>
      <w:r w:rsidR="002B30FC" w:rsidRPr="00D15B9B">
        <w:rPr>
          <w:szCs w:val="24"/>
          <w:lang w:val="fr-FR"/>
        </w:rPr>
        <w:t>afin que ceux-ci puissent</w:t>
      </w:r>
      <w:r w:rsidR="009E139B" w:rsidRPr="00D15B9B">
        <w:rPr>
          <w:szCs w:val="24"/>
          <w:lang w:val="fr-FR"/>
        </w:rPr>
        <w:t xml:space="preserve"> retirer le plus grand bénéfice de leur statut de membre.</w:t>
      </w:r>
    </w:p>
    <w:p w14:paraId="635B423C" w14:textId="783D6C4F" w:rsidR="005F3B18" w:rsidRPr="00D15B9B" w:rsidRDefault="009E139B" w:rsidP="00DF0002">
      <w:pPr>
        <w:spacing w:after="120"/>
        <w:rPr>
          <w:rFonts w:cs="Segoe UI"/>
          <w:szCs w:val="24"/>
          <w:lang w:val="fr-FR"/>
        </w:rPr>
      </w:pPr>
      <w:r w:rsidRPr="00D15B9B">
        <w:rPr>
          <w:szCs w:val="24"/>
          <w:lang w:val="fr-FR"/>
        </w:rPr>
        <w:t xml:space="preserve">En mars 2019, le BDT a organisé un </w:t>
      </w:r>
      <w:r w:rsidRPr="00D15B9B">
        <w:rPr>
          <w:b/>
          <w:bCs/>
          <w:i/>
          <w:iCs/>
          <w:szCs w:val="24"/>
          <w:lang w:val="fr-FR"/>
        </w:rPr>
        <w:t xml:space="preserve">Atelier sur la </w:t>
      </w:r>
      <w:r w:rsidR="000147A1" w:rsidRPr="00D15B9B">
        <w:rPr>
          <w:b/>
          <w:bCs/>
          <w:i/>
          <w:iCs/>
          <w:szCs w:val="24"/>
          <w:lang w:val="fr-FR"/>
        </w:rPr>
        <w:t>cocréation</w:t>
      </w:r>
      <w:r w:rsidRPr="00D15B9B">
        <w:rPr>
          <w:b/>
          <w:bCs/>
          <w:i/>
          <w:iCs/>
          <w:szCs w:val="24"/>
          <w:lang w:val="fr-FR"/>
        </w:rPr>
        <w:t xml:space="preserve"> à l'intention des établissements universitaires</w:t>
      </w:r>
      <w:r w:rsidRPr="00D15B9B">
        <w:rPr>
          <w:szCs w:val="24"/>
          <w:lang w:val="fr-FR"/>
        </w:rPr>
        <w:t xml:space="preserve"> afin de mieux comprendre les besoins et les attentes des établissements universitaires et des instituts de recherche participant aux travaux de l'UIT. Des représentants des établissements universitaires, les coordonnateurs du BDT et d'autres parties prenantes ont présenté des exemples de réussite et des propositions de nouveaux domaines de collaboration, en plus de la contribution des établissements universitaires au Journal de l'UIT, aux travaux des commissions d'études de l'UIT et à la plate-forme de l'Académie de l'UIT du BDT. </w:t>
      </w:r>
      <w:r w:rsidRPr="00D15B9B">
        <w:rPr>
          <w:rFonts w:cs="Segoe UI"/>
          <w:szCs w:val="24"/>
          <w:lang w:val="fr-FR"/>
        </w:rPr>
        <w:t>Le rapport de cet atelier est disponible</w:t>
      </w:r>
      <w:r w:rsidR="005F3B18" w:rsidRPr="00D15B9B">
        <w:rPr>
          <w:rFonts w:cs="Segoe UI"/>
          <w:szCs w:val="24"/>
          <w:lang w:val="fr-FR"/>
        </w:rPr>
        <w:t xml:space="preserve"> </w:t>
      </w:r>
      <w:hyperlink r:id="rId10" w:history="1">
        <w:r w:rsidRPr="0056586C">
          <w:rPr>
            <w:rStyle w:val="Hyperlink"/>
            <w:rFonts w:cs="Segoe UI"/>
            <w:b/>
            <w:bCs/>
            <w:szCs w:val="24"/>
            <w:lang w:val="fr-FR"/>
          </w:rPr>
          <w:t>ici</w:t>
        </w:r>
      </w:hyperlink>
      <w:r w:rsidR="005F3B18" w:rsidRPr="00D15B9B">
        <w:rPr>
          <w:rFonts w:cs="Segoe UI"/>
          <w:szCs w:val="24"/>
          <w:lang w:val="fr-FR"/>
        </w:rPr>
        <w:t>.</w:t>
      </w:r>
    </w:p>
    <w:p w14:paraId="67710ACF" w14:textId="63C3446C" w:rsidR="002B30FC" w:rsidRPr="00D15B9B" w:rsidRDefault="002B30FC" w:rsidP="00DF0002">
      <w:pPr>
        <w:spacing w:after="120"/>
        <w:rPr>
          <w:rFonts w:cs="Segoe UI"/>
          <w:szCs w:val="24"/>
          <w:lang w:val="fr-FR"/>
        </w:rPr>
      </w:pPr>
      <w:r w:rsidRPr="00D15B9B">
        <w:rPr>
          <w:rFonts w:cs="Segoe UI"/>
          <w:szCs w:val="24"/>
          <w:lang w:val="fr-FR"/>
        </w:rPr>
        <w:t>De plus, le BDT a tenu des consultations bilatérales avec les établissements universitaires à l'occasion de manifestations et de réunions organisées par l'UIT tout au long de l'année 2019, afin de renforcer la participation des établissements universitaires aux travaux de l'UIT-D.</w:t>
      </w:r>
    </w:p>
    <w:p w14:paraId="5555B2B9" w14:textId="5524D6FF" w:rsidR="005F3B18" w:rsidRPr="00D15B9B" w:rsidRDefault="005F3B18" w:rsidP="00DF0002">
      <w:pPr>
        <w:pStyle w:val="Heading2"/>
        <w:rPr>
          <w:lang w:val="fr-FR"/>
        </w:rPr>
      </w:pPr>
      <w:r w:rsidRPr="00D15B9B">
        <w:rPr>
          <w:lang w:val="fr-FR"/>
        </w:rPr>
        <w:t>4.2</w:t>
      </w:r>
      <w:r w:rsidRPr="00D15B9B">
        <w:rPr>
          <w:lang w:val="fr-FR"/>
        </w:rPr>
        <w:tab/>
      </w:r>
      <w:r w:rsidR="00500245" w:rsidRPr="00D15B9B">
        <w:rPr>
          <w:lang w:val="fr-FR"/>
        </w:rPr>
        <w:t xml:space="preserve">Mise en </w:t>
      </w:r>
      <w:r w:rsidR="000147A1" w:rsidRPr="00D15B9B">
        <w:rPr>
          <w:lang w:val="fr-FR"/>
        </w:rPr>
        <w:t>œuvre</w:t>
      </w:r>
      <w:r w:rsidR="00500245" w:rsidRPr="00D15B9B">
        <w:rPr>
          <w:lang w:val="fr-FR"/>
        </w:rPr>
        <w:t xml:space="preserve"> de la Résolution</w:t>
      </w:r>
      <w:r w:rsidRPr="00D15B9B">
        <w:rPr>
          <w:lang w:val="fr-FR"/>
        </w:rPr>
        <w:t xml:space="preserve"> 71</w:t>
      </w:r>
      <w:r w:rsidR="00500245" w:rsidRPr="00D15B9B">
        <w:rPr>
          <w:lang w:val="fr-FR"/>
        </w:rPr>
        <w:t xml:space="preserve"> </w:t>
      </w:r>
      <w:r w:rsidRPr="00D15B9B">
        <w:rPr>
          <w:lang w:val="fr-FR"/>
        </w:rPr>
        <w:t>(R</w:t>
      </w:r>
      <w:r w:rsidR="00500245" w:rsidRPr="00D15B9B">
        <w:rPr>
          <w:lang w:val="fr-FR"/>
        </w:rPr>
        <w:t>é</w:t>
      </w:r>
      <w:r w:rsidRPr="00D15B9B">
        <w:rPr>
          <w:lang w:val="fr-FR"/>
        </w:rPr>
        <w:t>v.Buenos Aires, 2017)</w:t>
      </w:r>
    </w:p>
    <w:p w14:paraId="1A601A20" w14:textId="0158E6D5" w:rsidR="00D948AC" w:rsidRPr="00D15B9B" w:rsidRDefault="00D948AC" w:rsidP="00DF0002">
      <w:pPr>
        <w:spacing w:after="120"/>
        <w:rPr>
          <w:szCs w:val="24"/>
          <w:lang w:val="fr-FR"/>
        </w:rPr>
      </w:pPr>
      <w:r w:rsidRPr="00D15B9B">
        <w:rPr>
          <w:szCs w:val="24"/>
          <w:lang w:val="fr-FR"/>
        </w:rPr>
        <w:t xml:space="preserve">Le BDT a mené une série d'activités conformément à la Résolution 71 (Rév.Buenos Aires, 2017) de la CMDT-17 relative au renforcement de la coopération entre les </w:t>
      </w:r>
      <w:r w:rsidR="000147A1" w:rsidRPr="00D15B9B">
        <w:rPr>
          <w:szCs w:val="24"/>
          <w:lang w:val="fr-FR"/>
        </w:rPr>
        <w:t>États</w:t>
      </w:r>
      <w:r w:rsidRPr="00D15B9B">
        <w:rPr>
          <w:szCs w:val="24"/>
          <w:lang w:val="fr-FR"/>
        </w:rPr>
        <w:t xml:space="preserve"> Membres, les Membres de Secteur, les Associés et les établissements universitaires participant aux travaux de l'UIT-D avec un accent particulier sur le secteur privé. </w:t>
      </w:r>
    </w:p>
    <w:p w14:paraId="36D843BE" w14:textId="7B68D73A" w:rsidR="00F474EF" w:rsidRPr="00D15B9B" w:rsidRDefault="00D948AC" w:rsidP="00DF0002">
      <w:pPr>
        <w:spacing w:after="120"/>
        <w:rPr>
          <w:szCs w:val="24"/>
          <w:lang w:val="fr-FR"/>
        </w:rPr>
      </w:pPr>
      <w:r w:rsidRPr="00D15B9B">
        <w:rPr>
          <w:szCs w:val="24"/>
          <w:lang w:val="fr-FR"/>
        </w:rPr>
        <w:t xml:space="preserve">En 2018, le </w:t>
      </w:r>
      <w:r w:rsidRPr="00D15B9B">
        <w:rPr>
          <w:lang w:val="fr-FR"/>
        </w:rPr>
        <w:t>Groupe consultatif de professionnels chargé des questions de développement</w:t>
      </w:r>
      <w:r w:rsidRPr="00D15B9B">
        <w:rPr>
          <w:szCs w:val="24"/>
          <w:lang w:val="fr-FR"/>
        </w:rPr>
        <w:t xml:space="preserve"> (IAGDI) a tenu sa première réunion parallèlement à la réunion </w:t>
      </w:r>
      <w:r w:rsidR="00CD32B7" w:rsidRPr="00D15B9B">
        <w:rPr>
          <w:lang w:val="fr-FR"/>
        </w:rPr>
        <w:t xml:space="preserve">des Directeurs de la réglementation du secteur privé </w:t>
      </w:r>
      <w:r w:rsidR="002B30FC" w:rsidRPr="00D15B9B">
        <w:rPr>
          <w:lang w:val="fr-FR"/>
        </w:rPr>
        <w:t xml:space="preserve">(CRO) </w:t>
      </w:r>
      <w:r w:rsidR="00CD32B7" w:rsidRPr="00D15B9B">
        <w:rPr>
          <w:lang w:val="fr-FR"/>
        </w:rPr>
        <w:t>lors du Colloque mondial des régulateurs (GSR-18).</w:t>
      </w:r>
      <w:r w:rsidR="001D0512" w:rsidRPr="00D15B9B">
        <w:rPr>
          <w:szCs w:val="24"/>
          <w:lang w:val="fr-FR"/>
        </w:rPr>
        <w:t xml:space="preserve"> Les participants à la réunion d</w:t>
      </w:r>
      <w:r w:rsidR="002B30FC" w:rsidRPr="00D15B9B">
        <w:rPr>
          <w:szCs w:val="24"/>
          <w:lang w:val="fr-FR"/>
        </w:rPr>
        <w:t>e l'</w:t>
      </w:r>
      <w:r w:rsidR="001D0512" w:rsidRPr="00D15B9B">
        <w:rPr>
          <w:szCs w:val="24"/>
          <w:lang w:val="fr-FR"/>
        </w:rPr>
        <w:t>IAGDI</w:t>
      </w:r>
      <w:r w:rsidR="00CD32B7" w:rsidRPr="00D15B9B">
        <w:rPr>
          <w:szCs w:val="24"/>
          <w:lang w:val="fr-FR"/>
        </w:rPr>
        <w:t xml:space="preserve"> </w:t>
      </w:r>
      <w:r w:rsidR="001D0512" w:rsidRPr="00D15B9B">
        <w:rPr>
          <w:szCs w:val="24"/>
          <w:lang w:val="fr-FR"/>
        </w:rPr>
        <w:t xml:space="preserve">ont lancé un appel à l'action en vue de faciliter l'accès pérenne à la connectivité grâce à la promotion de l'inclusion, au vaste déploiement de l'infrastructure, au renforcement de l'adoption du large bande et à l'instauration d'un environnement dans lequel l'innovation peut pleinement s'exprimer. </w:t>
      </w:r>
      <w:r w:rsidR="00CD32B7" w:rsidRPr="00D15B9B">
        <w:rPr>
          <w:szCs w:val="24"/>
          <w:lang w:val="fr-FR"/>
        </w:rPr>
        <w:t>Pour donner suite à ces manifestations, le 9 juillet 2019,</w:t>
      </w:r>
      <w:r w:rsidR="002B30FC" w:rsidRPr="00D15B9B">
        <w:rPr>
          <w:szCs w:val="24"/>
          <w:lang w:val="fr-FR"/>
        </w:rPr>
        <w:t xml:space="preserve"> le CRO a tenu</w:t>
      </w:r>
      <w:r w:rsidR="00CD32B7" w:rsidRPr="00D15B9B">
        <w:rPr>
          <w:szCs w:val="24"/>
          <w:lang w:val="fr-FR"/>
        </w:rPr>
        <w:t xml:space="preserve"> une réunion à l'occasion du Colloque mondial des régulateurs (GSR-19). Plus d'une centaine de hauts représentant du secteur privé ont défini des bonnes pratiques afin d'accélérer la mise en place de la connectivité numérique et de permettre à tout </w:t>
      </w:r>
      <w:r w:rsidR="002B30FC" w:rsidRPr="00D15B9B">
        <w:rPr>
          <w:szCs w:val="24"/>
          <w:lang w:val="fr-FR"/>
        </w:rPr>
        <w:t>u</w:t>
      </w:r>
      <w:r w:rsidR="00CD32B7" w:rsidRPr="00D15B9B">
        <w:rPr>
          <w:szCs w:val="24"/>
          <w:lang w:val="fr-FR"/>
        </w:rPr>
        <w:t xml:space="preserve">n chacun, partout dans le monde, de </w:t>
      </w:r>
      <w:r w:rsidR="000147A1" w:rsidRPr="00D15B9B">
        <w:rPr>
          <w:szCs w:val="24"/>
          <w:lang w:val="fr-FR"/>
        </w:rPr>
        <w:t>recueillir</w:t>
      </w:r>
      <w:r w:rsidR="00CD32B7" w:rsidRPr="00D15B9B">
        <w:rPr>
          <w:szCs w:val="24"/>
          <w:lang w:val="fr-FR"/>
        </w:rPr>
        <w:t xml:space="preserve"> les fruit</w:t>
      </w:r>
      <w:r w:rsidR="002B30FC" w:rsidRPr="00D15B9B">
        <w:rPr>
          <w:szCs w:val="24"/>
          <w:lang w:val="fr-FR"/>
        </w:rPr>
        <w:t>s</w:t>
      </w:r>
      <w:r w:rsidR="00CD32B7" w:rsidRPr="00D15B9B">
        <w:rPr>
          <w:szCs w:val="24"/>
          <w:lang w:val="fr-FR"/>
        </w:rPr>
        <w:t xml:space="preserve"> de la transformation numérique et de participer à l'économie numérique (voir le</w:t>
      </w:r>
      <w:r w:rsidR="001D0512" w:rsidRPr="00D15B9B">
        <w:rPr>
          <w:szCs w:val="24"/>
          <w:lang w:val="fr-FR"/>
        </w:rPr>
        <w:t xml:space="preserve"> </w:t>
      </w:r>
      <w:hyperlink r:id="rId11" w:history="1">
        <w:r w:rsidR="00CD32B7" w:rsidRPr="00BA1C58">
          <w:rPr>
            <w:rStyle w:val="Hyperlink"/>
            <w:szCs w:val="24"/>
            <w:lang w:val="fr-FR"/>
          </w:rPr>
          <w:t>Rapport du Président de la réunion</w:t>
        </w:r>
        <w:r w:rsidR="002B30FC" w:rsidRPr="00BA1C58">
          <w:rPr>
            <w:rStyle w:val="Hyperlink"/>
            <w:szCs w:val="24"/>
            <w:lang w:val="fr-FR"/>
          </w:rPr>
          <w:t xml:space="preserve"> du CRO</w:t>
        </w:r>
      </w:hyperlink>
      <w:r w:rsidR="001D0512" w:rsidRPr="003E5493">
        <w:rPr>
          <w:rStyle w:val="Hyperlink"/>
          <w:color w:val="auto"/>
          <w:szCs w:val="24"/>
          <w:u w:val="none"/>
          <w:lang w:val="fr-FR"/>
        </w:rPr>
        <w:t>)</w:t>
      </w:r>
      <w:r w:rsidR="001D0512" w:rsidRPr="00D15B9B">
        <w:rPr>
          <w:szCs w:val="24"/>
          <w:lang w:val="fr-FR"/>
        </w:rPr>
        <w:t>.</w:t>
      </w:r>
    </w:p>
    <w:p w14:paraId="0DE07C48" w14:textId="513688EE" w:rsidR="001D0512" w:rsidRPr="00D15B9B" w:rsidRDefault="00F474EF" w:rsidP="00DF0002">
      <w:pPr>
        <w:spacing w:after="120"/>
        <w:rPr>
          <w:szCs w:val="24"/>
          <w:lang w:val="fr-FR"/>
        </w:rPr>
      </w:pPr>
      <w:r w:rsidRPr="00D15B9B">
        <w:rPr>
          <w:szCs w:val="24"/>
          <w:lang w:val="fr-FR"/>
        </w:rPr>
        <w:lastRenderedPageBreak/>
        <w:t>Dans l'avenir, l</w:t>
      </w:r>
      <w:r w:rsidR="002B30FC" w:rsidRPr="00D15B9B">
        <w:rPr>
          <w:szCs w:val="24"/>
          <w:lang w:val="fr-FR"/>
        </w:rPr>
        <w:t>'</w:t>
      </w:r>
      <w:r w:rsidRPr="00D15B9B">
        <w:rPr>
          <w:szCs w:val="24"/>
          <w:lang w:val="fr-FR"/>
        </w:rPr>
        <w:t>IAGDI et le CRO tiendront des réunions conjointes à différentes manifestations comme ITU Telecom World</w:t>
      </w:r>
      <w:r w:rsidR="00D15951" w:rsidRPr="00D15B9B">
        <w:rPr>
          <w:szCs w:val="24"/>
          <w:lang w:val="fr-FR"/>
        </w:rPr>
        <w:t>, le Colloque mondial des régulateurs et d'autres manifestations stratégiques organisées par d'autres entités que l'UIT.</w:t>
      </w:r>
    </w:p>
    <w:p w14:paraId="1B648F9D" w14:textId="0015B6B3" w:rsidR="001D0512" w:rsidRPr="00D15B9B" w:rsidRDefault="001D0512" w:rsidP="00DF0002">
      <w:pPr>
        <w:pStyle w:val="Heading2"/>
        <w:rPr>
          <w:lang w:val="fr-FR"/>
        </w:rPr>
      </w:pPr>
      <w:r w:rsidRPr="00D15B9B">
        <w:rPr>
          <w:lang w:val="fr-FR"/>
        </w:rPr>
        <w:t>4.3</w:t>
      </w:r>
      <w:r w:rsidRPr="00D15B9B">
        <w:rPr>
          <w:lang w:val="fr-FR"/>
        </w:rPr>
        <w:tab/>
        <w:t>Consultation</w:t>
      </w:r>
      <w:r w:rsidR="00D15951" w:rsidRPr="00D15B9B">
        <w:rPr>
          <w:lang w:val="fr-FR"/>
        </w:rPr>
        <w:t xml:space="preserve"> des Membres du Secteur de l'UIT-D</w:t>
      </w:r>
    </w:p>
    <w:p w14:paraId="4FAECB6F" w14:textId="586AD2A3" w:rsidR="00104DC3" w:rsidRPr="00D15B9B" w:rsidRDefault="00104DC3" w:rsidP="00DF0002">
      <w:pPr>
        <w:spacing w:after="120"/>
        <w:rPr>
          <w:szCs w:val="24"/>
          <w:lang w:val="fr-FR"/>
        </w:rPr>
      </w:pPr>
      <w:r w:rsidRPr="00D15B9B">
        <w:rPr>
          <w:szCs w:val="24"/>
          <w:lang w:val="fr-FR"/>
        </w:rPr>
        <w:t>E</w:t>
      </w:r>
      <w:r w:rsidR="001D0512" w:rsidRPr="00D15B9B">
        <w:rPr>
          <w:szCs w:val="24"/>
          <w:lang w:val="fr-FR"/>
        </w:rPr>
        <w:t>n 2019,</w:t>
      </w:r>
      <w:r w:rsidRPr="00D15B9B">
        <w:rPr>
          <w:szCs w:val="24"/>
          <w:lang w:val="fr-FR"/>
        </w:rPr>
        <w:t xml:space="preserve"> la Directrice du BDT a lancé une série de consultations </w:t>
      </w:r>
      <w:r w:rsidR="002B30FC" w:rsidRPr="00D15B9B">
        <w:rPr>
          <w:szCs w:val="24"/>
          <w:lang w:val="fr-FR"/>
        </w:rPr>
        <w:t>avec les</w:t>
      </w:r>
      <w:r w:rsidRPr="00D15B9B">
        <w:rPr>
          <w:szCs w:val="24"/>
          <w:lang w:val="fr-FR"/>
        </w:rPr>
        <w:t xml:space="preserve"> membres de l'UIT-D afin d'envisager des solutions pour fidéliser les membres actuels et en attirer de nouveaux. En particulier, une </w:t>
      </w:r>
      <w:r w:rsidR="002B30FC" w:rsidRPr="00D15B9B">
        <w:rPr>
          <w:b/>
          <w:bCs/>
          <w:i/>
          <w:iCs/>
          <w:szCs w:val="24"/>
          <w:lang w:val="fr-FR"/>
        </w:rPr>
        <w:t>s</w:t>
      </w:r>
      <w:r w:rsidRPr="00D15B9B">
        <w:rPr>
          <w:b/>
          <w:bCs/>
          <w:i/>
          <w:iCs/>
          <w:szCs w:val="24"/>
          <w:lang w:val="fr-FR"/>
        </w:rPr>
        <w:t>éance spéciale sur la participation aux travaux de l'UIT-D</w:t>
      </w:r>
      <w:r w:rsidRPr="00D15B9B">
        <w:rPr>
          <w:b/>
          <w:bCs/>
          <w:szCs w:val="24"/>
          <w:lang w:val="fr-FR"/>
        </w:rPr>
        <w:t xml:space="preserve"> </w:t>
      </w:r>
      <w:r w:rsidR="002B30FC" w:rsidRPr="00D15B9B">
        <w:rPr>
          <w:b/>
          <w:bCs/>
          <w:i/>
          <w:iCs/>
          <w:szCs w:val="24"/>
          <w:lang w:val="fr-FR"/>
        </w:rPr>
        <w:t>en tant que membre</w:t>
      </w:r>
      <w:r w:rsidR="002B30FC" w:rsidRPr="00D15B9B">
        <w:rPr>
          <w:b/>
          <w:bCs/>
          <w:szCs w:val="24"/>
          <w:lang w:val="fr-FR"/>
        </w:rPr>
        <w:t xml:space="preserve"> </w:t>
      </w:r>
      <w:r w:rsidRPr="00D15B9B">
        <w:rPr>
          <w:szCs w:val="24"/>
          <w:lang w:val="fr-FR"/>
        </w:rPr>
        <w:t>a été organisée à l'occasion d'ITU Telecom World 2019</w:t>
      </w:r>
      <w:r w:rsidR="002B30FC" w:rsidRPr="00D15B9B">
        <w:rPr>
          <w:szCs w:val="24"/>
          <w:lang w:val="fr-FR"/>
        </w:rPr>
        <w:t>,</w:t>
      </w:r>
      <w:r w:rsidRPr="00D15B9B">
        <w:rPr>
          <w:szCs w:val="24"/>
          <w:lang w:val="fr-FR"/>
        </w:rPr>
        <w:t xml:space="preserve"> afin que les membres actuels puissent faire part de leurs observations et de leur</w:t>
      </w:r>
      <w:r w:rsidR="002B30FC" w:rsidRPr="00D15B9B">
        <w:rPr>
          <w:szCs w:val="24"/>
          <w:lang w:val="fr-FR"/>
        </w:rPr>
        <w:t>s</w:t>
      </w:r>
      <w:r w:rsidRPr="00D15B9B">
        <w:rPr>
          <w:szCs w:val="24"/>
          <w:lang w:val="fr-FR"/>
        </w:rPr>
        <w:t xml:space="preserve"> </w:t>
      </w:r>
      <w:r w:rsidR="002B30FC" w:rsidRPr="00D15B9B">
        <w:rPr>
          <w:szCs w:val="24"/>
          <w:lang w:val="fr-FR"/>
        </w:rPr>
        <w:t>suggestions</w:t>
      </w:r>
      <w:r w:rsidRPr="00D15B9B">
        <w:rPr>
          <w:szCs w:val="24"/>
          <w:lang w:val="fr-FR"/>
        </w:rPr>
        <w:t xml:space="preserve"> concernant leurs attentes, les décalages entre leurs attentes et les services </w:t>
      </w:r>
      <w:r w:rsidR="003E7CB8" w:rsidRPr="00D15B9B">
        <w:rPr>
          <w:szCs w:val="24"/>
          <w:lang w:val="fr-FR"/>
        </w:rPr>
        <w:t>qui leur sont</w:t>
      </w:r>
      <w:r w:rsidRPr="00D15B9B">
        <w:rPr>
          <w:szCs w:val="24"/>
          <w:lang w:val="fr-FR"/>
        </w:rPr>
        <w:t xml:space="preserve"> effectivement</w:t>
      </w:r>
      <w:r w:rsidR="003E7CB8" w:rsidRPr="00D15B9B">
        <w:rPr>
          <w:szCs w:val="24"/>
          <w:lang w:val="fr-FR"/>
        </w:rPr>
        <w:t xml:space="preserve"> proposés</w:t>
      </w:r>
      <w:r w:rsidRPr="00D15B9B">
        <w:rPr>
          <w:szCs w:val="24"/>
          <w:lang w:val="fr-FR"/>
        </w:rPr>
        <w:t xml:space="preserve"> et de nouvelles propositions sur la manière de rendre leur participation </w:t>
      </w:r>
      <w:r w:rsidR="003E7CB8" w:rsidRPr="00D15B9B">
        <w:rPr>
          <w:szCs w:val="24"/>
          <w:lang w:val="fr-FR"/>
        </w:rPr>
        <w:t>en tant que membre</w:t>
      </w:r>
      <w:r w:rsidRPr="00D15B9B">
        <w:rPr>
          <w:szCs w:val="24"/>
          <w:lang w:val="fr-FR"/>
        </w:rPr>
        <w:t xml:space="preserve"> encore plus intéressante.</w:t>
      </w:r>
    </w:p>
    <w:p w14:paraId="520FDFBA" w14:textId="34300541" w:rsidR="00104DC3" w:rsidRPr="00D15B9B" w:rsidRDefault="00104DC3" w:rsidP="00DF0002">
      <w:pPr>
        <w:spacing w:after="120"/>
        <w:rPr>
          <w:szCs w:val="24"/>
          <w:lang w:val="fr-FR"/>
        </w:rPr>
      </w:pPr>
      <w:r w:rsidRPr="00D15B9B">
        <w:rPr>
          <w:szCs w:val="24"/>
          <w:lang w:val="fr-FR"/>
        </w:rPr>
        <w:t xml:space="preserve">Il est prévu de tenir des séances de consultation </w:t>
      </w:r>
      <w:r w:rsidR="003E7CB8" w:rsidRPr="00D15B9B">
        <w:rPr>
          <w:szCs w:val="24"/>
          <w:lang w:val="fr-FR"/>
        </w:rPr>
        <w:t>sur la participation aux travaux</w:t>
      </w:r>
      <w:r w:rsidRPr="00D15B9B">
        <w:rPr>
          <w:szCs w:val="24"/>
          <w:lang w:val="fr-FR"/>
        </w:rPr>
        <w:t xml:space="preserve"> de l'UIT-D </w:t>
      </w:r>
      <w:r w:rsidR="003E7CB8" w:rsidRPr="00D15B9B">
        <w:rPr>
          <w:szCs w:val="24"/>
          <w:lang w:val="fr-FR"/>
        </w:rPr>
        <w:t xml:space="preserve">en tant que membre </w:t>
      </w:r>
      <w:r w:rsidRPr="00D15B9B">
        <w:rPr>
          <w:szCs w:val="24"/>
          <w:lang w:val="fr-FR"/>
        </w:rPr>
        <w:t>à Genève, le 19 février 2020 à l'occasion des réunions des commissions d'études de l'UIT-D et le 26 mars 2020 lors de la réunion du GCDT.</w:t>
      </w:r>
    </w:p>
    <w:p w14:paraId="77CAE74E" w14:textId="2F825996" w:rsidR="006843E4" w:rsidRPr="00CF034E" w:rsidRDefault="006843E4" w:rsidP="00DF0002">
      <w:pPr>
        <w:pStyle w:val="Heading1"/>
        <w:rPr>
          <w:sz w:val="24"/>
          <w:szCs w:val="24"/>
          <w:lang w:val="fr-FR"/>
        </w:rPr>
      </w:pPr>
      <w:r w:rsidRPr="00CF034E">
        <w:rPr>
          <w:sz w:val="24"/>
          <w:szCs w:val="24"/>
          <w:lang w:val="fr-FR"/>
        </w:rPr>
        <w:t>5</w:t>
      </w:r>
      <w:r w:rsidRPr="00CF034E">
        <w:rPr>
          <w:sz w:val="24"/>
          <w:szCs w:val="24"/>
          <w:lang w:val="fr-FR"/>
        </w:rPr>
        <w:tab/>
      </w:r>
      <w:r w:rsidR="0040345E" w:rsidRPr="00CF034E">
        <w:rPr>
          <w:rFonts w:eastAsia="SimHei"/>
          <w:sz w:val="24"/>
          <w:szCs w:val="24"/>
          <w:lang w:val="fr-FR"/>
        </w:rPr>
        <w:t>Perspectives d'avenir</w:t>
      </w:r>
    </w:p>
    <w:p w14:paraId="0BF196AB" w14:textId="3CB9B5C0" w:rsidR="0040345E" w:rsidRPr="00D15B9B" w:rsidRDefault="0040345E" w:rsidP="00DF0002">
      <w:pPr>
        <w:rPr>
          <w:lang w:val="fr-FR"/>
        </w:rPr>
      </w:pPr>
      <w:r w:rsidRPr="00D15B9B">
        <w:rPr>
          <w:lang w:val="fr-FR"/>
        </w:rPr>
        <w:t>Le BDT continuera de se concentrer sur de nouvelles stratégie</w:t>
      </w:r>
      <w:r w:rsidR="001B388C" w:rsidRPr="00D15B9B">
        <w:rPr>
          <w:lang w:val="fr-FR"/>
        </w:rPr>
        <w:t>s pour renforcer les relations et la collaboration avec les membres et leurs réseaux pour:</w:t>
      </w:r>
    </w:p>
    <w:p w14:paraId="511AC035" w14:textId="45C0F269" w:rsidR="001B388C" w:rsidRPr="00D15B9B" w:rsidRDefault="006843E4" w:rsidP="00DF0002">
      <w:pPr>
        <w:pStyle w:val="enumlev1"/>
        <w:rPr>
          <w:lang w:val="fr-FR"/>
        </w:rPr>
      </w:pPr>
      <w:r w:rsidRPr="00D15B9B">
        <w:rPr>
          <w:lang w:val="fr-FR"/>
        </w:rPr>
        <w:t>a)</w:t>
      </w:r>
      <w:r w:rsidRPr="00D15B9B">
        <w:rPr>
          <w:lang w:val="fr-FR"/>
        </w:rPr>
        <w:tab/>
      </w:r>
      <w:r w:rsidR="001B388C" w:rsidRPr="00D15B9B">
        <w:rPr>
          <w:lang w:val="fr-FR"/>
        </w:rPr>
        <w:t>élargir l'éventail des membres, tout en fidélisant les membres actuels conformément à la vision d'un BDT "en adéquation avec sa mission";</w:t>
      </w:r>
    </w:p>
    <w:p w14:paraId="78D1ED18" w14:textId="7AC945B1" w:rsidR="001B388C" w:rsidRPr="00D15B9B" w:rsidRDefault="006843E4" w:rsidP="00DF0002">
      <w:pPr>
        <w:pStyle w:val="enumlev1"/>
        <w:rPr>
          <w:lang w:val="fr-FR"/>
        </w:rPr>
      </w:pPr>
      <w:r w:rsidRPr="00D15B9B">
        <w:rPr>
          <w:lang w:val="fr-FR"/>
        </w:rPr>
        <w:t>b)</w:t>
      </w:r>
      <w:r w:rsidRPr="00D15B9B">
        <w:rPr>
          <w:lang w:val="fr-FR"/>
        </w:rPr>
        <w:tab/>
      </w:r>
      <w:r w:rsidR="001B388C" w:rsidRPr="00D15B9B">
        <w:rPr>
          <w:lang w:val="fr-FR"/>
        </w:rPr>
        <w:t xml:space="preserve">renforcer la participation des membres aux activités et manifestations de l'UIT-D et optimiser leur contribution à la mise en </w:t>
      </w:r>
      <w:r w:rsidR="000147A1" w:rsidRPr="00D15B9B">
        <w:rPr>
          <w:lang w:val="fr-FR"/>
        </w:rPr>
        <w:t>œuvre</w:t>
      </w:r>
      <w:r w:rsidR="001B388C" w:rsidRPr="00D15B9B">
        <w:rPr>
          <w:lang w:val="fr-FR"/>
        </w:rPr>
        <w:t xml:space="preserve"> </w:t>
      </w:r>
      <w:r w:rsidR="003E7CB8" w:rsidRPr="00D15B9B">
        <w:rPr>
          <w:lang w:val="fr-FR"/>
        </w:rPr>
        <w:t>du</w:t>
      </w:r>
      <w:r w:rsidR="001B388C" w:rsidRPr="00D15B9B">
        <w:rPr>
          <w:lang w:val="fr-FR"/>
        </w:rPr>
        <w:t xml:space="preserve"> Programme de développement durable à l'horizon 2030;</w:t>
      </w:r>
    </w:p>
    <w:p w14:paraId="4292B803" w14:textId="091C9356" w:rsidR="001B388C" w:rsidRPr="00D15B9B" w:rsidRDefault="006843E4" w:rsidP="00DF0002">
      <w:pPr>
        <w:pStyle w:val="enumlev1"/>
        <w:rPr>
          <w:lang w:val="fr-FR"/>
        </w:rPr>
      </w:pPr>
      <w:r w:rsidRPr="00D15B9B">
        <w:rPr>
          <w:lang w:val="fr-FR"/>
        </w:rPr>
        <w:t>c)</w:t>
      </w:r>
      <w:r w:rsidRPr="00D15B9B">
        <w:rPr>
          <w:lang w:val="fr-FR"/>
        </w:rPr>
        <w:tab/>
      </w:r>
      <w:r w:rsidR="001B388C" w:rsidRPr="00D15B9B">
        <w:rPr>
          <w:lang w:val="fr-FR"/>
        </w:rPr>
        <w:t>accroître les possibilités de mise en place de partenariats avec les membres actuels en vue de cofinancer des projets, notamment les initiatives régionales;</w:t>
      </w:r>
    </w:p>
    <w:p w14:paraId="3CBD7AE8" w14:textId="284CF40E" w:rsidR="001B388C" w:rsidRDefault="006843E4" w:rsidP="00DF0002">
      <w:pPr>
        <w:pStyle w:val="enumlev1"/>
        <w:rPr>
          <w:lang w:val="fr-FR"/>
        </w:rPr>
      </w:pPr>
      <w:r w:rsidRPr="00D15B9B">
        <w:rPr>
          <w:lang w:val="fr-FR"/>
        </w:rPr>
        <w:t>d)</w:t>
      </w:r>
      <w:r w:rsidRPr="00D15B9B">
        <w:rPr>
          <w:lang w:val="fr-FR"/>
        </w:rPr>
        <w:tab/>
      </w:r>
      <w:r w:rsidR="001B388C" w:rsidRPr="00D15B9B">
        <w:rPr>
          <w:lang w:val="fr-FR"/>
        </w:rPr>
        <w:t>améliorer en permanence les outils et les services afin de faciliter la participation des membres.</w:t>
      </w:r>
    </w:p>
    <w:p w14:paraId="2B3B7E33" w14:textId="77777777" w:rsidR="00A80AA5" w:rsidRPr="00D15B9B" w:rsidRDefault="00A80AA5" w:rsidP="00DF0002">
      <w:pPr>
        <w:pStyle w:val="enumlev1"/>
        <w:rPr>
          <w:lang w:val="fr-FR"/>
        </w:rPr>
      </w:pPr>
    </w:p>
    <w:p w14:paraId="49189B4D" w14:textId="19EB86D5" w:rsidR="002770B1" w:rsidRPr="00D15B9B" w:rsidRDefault="003C58BF" w:rsidP="00DF0002">
      <w:pPr>
        <w:tabs>
          <w:tab w:val="clear" w:pos="794"/>
          <w:tab w:val="clear" w:pos="1191"/>
          <w:tab w:val="clear" w:pos="1588"/>
          <w:tab w:val="clear" w:pos="1985"/>
        </w:tabs>
        <w:spacing w:after="120"/>
        <w:jc w:val="center"/>
        <w:rPr>
          <w:lang w:val="fr-FR"/>
        </w:rPr>
      </w:pPr>
      <w:r w:rsidRPr="00D15B9B">
        <w:rPr>
          <w:lang w:val="fr-FR"/>
        </w:rPr>
        <w:t>_____________</w:t>
      </w:r>
      <w:r w:rsidR="004122C5" w:rsidRPr="00D15B9B">
        <w:rPr>
          <w:lang w:val="fr-FR"/>
        </w:rPr>
        <w:t>_</w:t>
      </w:r>
      <w:r w:rsidR="00922EC1" w:rsidRPr="00D15B9B">
        <w:rPr>
          <w:lang w:val="fr-FR"/>
        </w:rPr>
        <w:t>_</w:t>
      </w:r>
    </w:p>
    <w:sectPr w:rsidR="002770B1" w:rsidRPr="00D15B9B"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64CD9" w14:textId="77777777" w:rsidR="00DF18F9" w:rsidRDefault="00DF18F9">
      <w:r>
        <w:separator/>
      </w:r>
    </w:p>
  </w:endnote>
  <w:endnote w:type="continuationSeparator" w:id="0">
    <w:p w14:paraId="445CA741" w14:textId="77777777" w:rsidR="00DF18F9" w:rsidRDefault="00DF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4DC8" w14:textId="60AC689F" w:rsidR="00721657" w:rsidRPr="00FB7C72" w:rsidRDefault="00721657" w:rsidP="00A525CC">
    <w:pPr>
      <w:pStyle w:val="Footer"/>
      <w:rPr>
        <w:caps w:val="0"/>
        <w:szCs w:val="16"/>
        <w:lang w:val="en-US"/>
      </w:rPr>
    </w:pPr>
    <w:r w:rsidRPr="00FB7C72">
      <w:rPr>
        <w:caps w:val="0"/>
        <w:szCs w:val="16"/>
      </w:rPr>
      <w:fldChar w:fldCharType="begin"/>
    </w:r>
    <w:r w:rsidRPr="00FB7C72">
      <w:rPr>
        <w:caps w:val="0"/>
        <w:szCs w:val="16"/>
        <w:lang w:val="en-US"/>
      </w:rPr>
      <w:instrText xml:space="preserve"> FILENAME \p \* MERGEFORMAT </w:instrText>
    </w:r>
    <w:r w:rsidRPr="00FB7C72">
      <w:rPr>
        <w:caps w:val="0"/>
        <w:szCs w:val="16"/>
      </w:rPr>
      <w:fldChar w:fldCharType="separate"/>
    </w:r>
    <w:r w:rsidR="00754233">
      <w:rPr>
        <w:caps w:val="0"/>
        <w:szCs w:val="16"/>
        <w:lang w:val="en-US"/>
      </w:rPr>
      <w:t>P:\FRA\ITU-D\CONF-D\TDAG20\000\011F.docx</w:t>
    </w:r>
    <w:r w:rsidRPr="00FB7C72">
      <w:rPr>
        <w:caps w:val="0"/>
        <w:szCs w:val="16"/>
        <w:lang w:val="en-US"/>
      </w:rPr>
      <w:fldChar w:fldCharType="end"/>
    </w:r>
    <w:r w:rsidR="00FB7C72" w:rsidRPr="00FB7C72">
      <w:rPr>
        <w:caps w:val="0"/>
        <w:szCs w:val="16"/>
        <w:lang w:val="en-US"/>
      </w:rPr>
      <w:t xml:space="preserve"> (465658)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A25BEE" w14:paraId="667C4CFD" w14:textId="77777777" w:rsidTr="004E3CF5">
      <w:tc>
        <w:tcPr>
          <w:tcW w:w="1526" w:type="dxa"/>
          <w:tcBorders>
            <w:top w:val="single" w:sz="4" w:space="0" w:color="000000"/>
          </w:tcBorders>
          <w:shd w:val="clear" w:color="auto" w:fill="auto"/>
        </w:tcPr>
        <w:p w14:paraId="5EA6CF17" w14:textId="77777777" w:rsidR="00A454E1" w:rsidRPr="00A25BEE" w:rsidRDefault="00A454E1" w:rsidP="00A454E1">
          <w:pPr>
            <w:pStyle w:val="FirstFooter"/>
            <w:tabs>
              <w:tab w:val="left" w:pos="1559"/>
              <w:tab w:val="left" w:pos="3828"/>
            </w:tabs>
            <w:rPr>
              <w:sz w:val="18"/>
              <w:szCs w:val="18"/>
              <w:lang w:val="fr-CH"/>
            </w:rPr>
          </w:pPr>
          <w:r w:rsidRPr="00A25BEE">
            <w:rPr>
              <w:sz w:val="18"/>
              <w:szCs w:val="18"/>
              <w:lang w:val="fr-CH"/>
            </w:rPr>
            <w:t>Contact:</w:t>
          </w:r>
        </w:p>
      </w:tc>
      <w:tc>
        <w:tcPr>
          <w:tcW w:w="2410" w:type="dxa"/>
          <w:tcBorders>
            <w:top w:val="single" w:sz="4" w:space="0" w:color="000000"/>
          </w:tcBorders>
          <w:shd w:val="clear" w:color="auto" w:fill="auto"/>
        </w:tcPr>
        <w:p w14:paraId="40637DEC" w14:textId="77777777" w:rsidR="00A454E1" w:rsidRPr="00A25BEE" w:rsidRDefault="00A454E1" w:rsidP="00A454E1">
          <w:pPr>
            <w:pStyle w:val="FirstFooter"/>
            <w:tabs>
              <w:tab w:val="left" w:pos="2302"/>
            </w:tabs>
            <w:ind w:left="2302" w:hanging="2302"/>
            <w:rPr>
              <w:sz w:val="18"/>
              <w:szCs w:val="18"/>
              <w:lang w:val="fr-CH"/>
            </w:rPr>
          </w:pPr>
          <w:r w:rsidRPr="00A25BEE">
            <w:rPr>
              <w:sz w:val="18"/>
              <w:szCs w:val="18"/>
              <w:lang w:val="fr-CH"/>
            </w:rPr>
            <w:t>Nom/Organisation/Entité:</w:t>
          </w:r>
        </w:p>
      </w:tc>
      <w:tc>
        <w:tcPr>
          <w:tcW w:w="5987" w:type="dxa"/>
          <w:tcBorders>
            <w:top w:val="single" w:sz="4" w:space="0" w:color="000000"/>
          </w:tcBorders>
          <w:shd w:val="clear" w:color="auto" w:fill="auto"/>
        </w:tcPr>
        <w:p w14:paraId="43E29509" w14:textId="15C2F330" w:rsidR="00A454E1" w:rsidRPr="00A25BEE" w:rsidRDefault="00A25BEE" w:rsidP="00DF18F9">
          <w:pPr>
            <w:pStyle w:val="FirstFooter"/>
            <w:tabs>
              <w:tab w:val="left" w:pos="628"/>
            </w:tabs>
            <w:rPr>
              <w:sz w:val="18"/>
              <w:szCs w:val="18"/>
              <w:lang w:val="fr-CH"/>
            </w:rPr>
          </w:pPr>
          <w:r w:rsidRPr="00A25BEE">
            <w:rPr>
              <w:sz w:val="18"/>
              <w:szCs w:val="18"/>
              <w:lang w:val="fr-CH"/>
            </w:rPr>
            <w:t>M.</w:t>
          </w:r>
          <w:r w:rsidR="00DF18F9" w:rsidRPr="00A25BEE">
            <w:rPr>
              <w:sz w:val="18"/>
              <w:szCs w:val="18"/>
              <w:lang w:val="fr-CH"/>
            </w:rPr>
            <w:t xml:space="preserve"> Cosmas Zavazava, </w:t>
          </w:r>
          <w:r w:rsidRPr="00A25BEE">
            <w:rPr>
              <w:sz w:val="18"/>
              <w:szCs w:val="18"/>
              <w:lang w:val="fr-CH"/>
            </w:rPr>
            <w:t>Chef du Département des partenariats pour le développement numérique</w:t>
          </w:r>
          <w:r w:rsidR="00DF18F9" w:rsidRPr="00A25BEE">
            <w:rPr>
              <w:sz w:val="18"/>
              <w:szCs w:val="18"/>
              <w:lang w:val="fr-CH"/>
            </w:rPr>
            <w:t>, Bureau</w:t>
          </w:r>
          <w:r>
            <w:rPr>
              <w:sz w:val="18"/>
              <w:szCs w:val="18"/>
              <w:lang w:val="fr-CH"/>
            </w:rPr>
            <w:t xml:space="preserve"> de développement des télécommunications</w:t>
          </w:r>
        </w:p>
      </w:tc>
    </w:tr>
    <w:tr w:rsidR="00DF18F9" w:rsidRPr="00A25BEE" w14:paraId="0D7C5195" w14:textId="77777777" w:rsidTr="004E3CF5">
      <w:tc>
        <w:tcPr>
          <w:tcW w:w="1526" w:type="dxa"/>
          <w:shd w:val="clear" w:color="auto" w:fill="auto"/>
        </w:tcPr>
        <w:p w14:paraId="49A27421" w14:textId="77777777" w:rsidR="00DF18F9" w:rsidRPr="00A25BEE" w:rsidRDefault="00DF18F9" w:rsidP="00DF18F9">
          <w:pPr>
            <w:pStyle w:val="FirstFooter"/>
            <w:tabs>
              <w:tab w:val="left" w:pos="1559"/>
              <w:tab w:val="left" w:pos="3828"/>
            </w:tabs>
            <w:rPr>
              <w:sz w:val="20"/>
              <w:lang w:val="fr-CH"/>
            </w:rPr>
          </w:pPr>
        </w:p>
      </w:tc>
      <w:tc>
        <w:tcPr>
          <w:tcW w:w="2410" w:type="dxa"/>
          <w:shd w:val="clear" w:color="auto" w:fill="auto"/>
        </w:tcPr>
        <w:p w14:paraId="784DF73E" w14:textId="77777777" w:rsidR="00DF18F9" w:rsidRPr="00A25BEE" w:rsidRDefault="00DF18F9" w:rsidP="00DF18F9">
          <w:pPr>
            <w:pStyle w:val="FirstFooter"/>
            <w:tabs>
              <w:tab w:val="left" w:pos="2302"/>
            </w:tabs>
            <w:rPr>
              <w:sz w:val="18"/>
              <w:szCs w:val="18"/>
              <w:lang w:val="fr-CH"/>
            </w:rPr>
          </w:pPr>
          <w:r w:rsidRPr="00A25BEE">
            <w:rPr>
              <w:sz w:val="18"/>
              <w:szCs w:val="18"/>
              <w:lang w:val="fr-CH"/>
            </w:rPr>
            <w:t>Numéro de téléphone:</w:t>
          </w:r>
        </w:p>
      </w:tc>
      <w:tc>
        <w:tcPr>
          <w:tcW w:w="5987" w:type="dxa"/>
          <w:shd w:val="clear" w:color="auto" w:fill="auto"/>
        </w:tcPr>
        <w:p w14:paraId="6212FCE2" w14:textId="2F356941" w:rsidR="00DF18F9" w:rsidRPr="00A25BEE" w:rsidRDefault="00DF18F9" w:rsidP="00DF18F9">
          <w:pPr>
            <w:pStyle w:val="FirstFooter"/>
            <w:tabs>
              <w:tab w:val="left" w:pos="2302"/>
            </w:tabs>
            <w:rPr>
              <w:sz w:val="18"/>
              <w:szCs w:val="18"/>
              <w:lang w:val="fr-CH"/>
            </w:rPr>
          </w:pPr>
          <w:bookmarkStart w:id="16" w:name="PhoneNo"/>
          <w:bookmarkEnd w:id="16"/>
          <w:r w:rsidRPr="00A25BEE">
            <w:rPr>
              <w:sz w:val="18"/>
              <w:szCs w:val="18"/>
              <w:lang w:val="fr-CH"/>
            </w:rPr>
            <w:t>+41 22 730 5447</w:t>
          </w:r>
        </w:p>
      </w:tc>
    </w:tr>
    <w:tr w:rsidR="00DF18F9" w:rsidRPr="00A25BEE" w14:paraId="6719BA8D" w14:textId="77777777" w:rsidTr="004E3CF5">
      <w:tc>
        <w:tcPr>
          <w:tcW w:w="1526" w:type="dxa"/>
          <w:shd w:val="clear" w:color="auto" w:fill="auto"/>
        </w:tcPr>
        <w:p w14:paraId="75526EAF" w14:textId="77777777" w:rsidR="00DF18F9" w:rsidRPr="00A25BEE" w:rsidRDefault="00DF18F9" w:rsidP="00DF18F9">
          <w:pPr>
            <w:pStyle w:val="FirstFooter"/>
            <w:tabs>
              <w:tab w:val="left" w:pos="1559"/>
              <w:tab w:val="left" w:pos="3828"/>
            </w:tabs>
            <w:rPr>
              <w:sz w:val="20"/>
              <w:lang w:val="fr-CH"/>
            </w:rPr>
          </w:pPr>
        </w:p>
      </w:tc>
      <w:tc>
        <w:tcPr>
          <w:tcW w:w="2410" w:type="dxa"/>
          <w:shd w:val="clear" w:color="auto" w:fill="auto"/>
        </w:tcPr>
        <w:p w14:paraId="766D1A32" w14:textId="77777777" w:rsidR="00DF18F9" w:rsidRPr="00A25BEE" w:rsidRDefault="00DF18F9" w:rsidP="00DF18F9">
          <w:pPr>
            <w:pStyle w:val="FirstFooter"/>
            <w:tabs>
              <w:tab w:val="left" w:pos="2302"/>
            </w:tabs>
            <w:rPr>
              <w:sz w:val="18"/>
              <w:szCs w:val="18"/>
              <w:lang w:val="fr-CH"/>
            </w:rPr>
          </w:pPr>
          <w:r w:rsidRPr="00A25BEE">
            <w:rPr>
              <w:sz w:val="18"/>
              <w:szCs w:val="18"/>
              <w:lang w:val="fr-CH"/>
            </w:rPr>
            <w:t>Courriel:</w:t>
          </w:r>
        </w:p>
      </w:tc>
      <w:bookmarkStart w:id="17" w:name="Email"/>
      <w:bookmarkEnd w:id="17"/>
      <w:tc>
        <w:tcPr>
          <w:tcW w:w="5987" w:type="dxa"/>
          <w:shd w:val="clear" w:color="auto" w:fill="auto"/>
        </w:tcPr>
        <w:p w14:paraId="5292DC49" w14:textId="1FB38809" w:rsidR="00DF18F9" w:rsidRPr="00A25BEE" w:rsidRDefault="00DF18F9" w:rsidP="00DF18F9">
          <w:pPr>
            <w:pStyle w:val="FirstFooter"/>
            <w:tabs>
              <w:tab w:val="left" w:pos="2302"/>
            </w:tabs>
            <w:rPr>
              <w:sz w:val="18"/>
              <w:szCs w:val="18"/>
              <w:lang w:val="fr-CH"/>
            </w:rPr>
          </w:pPr>
          <w:r w:rsidRPr="00A25BEE">
            <w:fldChar w:fldCharType="begin"/>
          </w:r>
          <w:r w:rsidRPr="00A25BEE">
            <w:rPr>
              <w:lang w:val="fr-CH"/>
            </w:rPr>
            <w:instrText xml:space="preserve"> HYPERLINK "mailto:zavazava@itu.int" </w:instrText>
          </w:r>
          <w:r w:rsidRPr="00A25BEE">
            <w:fldChar w:fldCharType="separate"/>
          </w:r>
          <w:r w:rsidRPr="00A25BEE">
            <w:rPr>
              <w:rStyle w:val="Hyperlink"/>
              <w:sz w:val="18"/>
              <w:szCs w:val="18"/>
              <w:lang w:val="fr-CH"/>
            </w:rPr>
            <w:t>zavazava@itu.int</w:t>
          </w:r>
          <w:r w:rsidRPr="00A25BEE">
            <w:rPr>
              <w:rStyle w:val="Hyperlink"/>
              <w:sz w:val="18"/>
              <w:szCs w:val="18"/>
              <w:lang w:val="fr-CH"/>
            </w:rPr>
            <w:fldChar w:fldCharType="end"/>
          </w:r>
        </w:p>
      </w:tc>
    </w:tr>
  </w:tbl>
  <w:p w14:paraId="3EB1D0FC" w14:textId="3B2A0E6C" w:rsidR="00721657" w:rsidRPr="00A25BEE" w:rsidRDefault="00EE19DE" w:rsidP="003E5493">
    <w:pPr>
      <w:pStyle w:val="Footer"/>
      <w:spacing w:before="120"/>
      <w:jc w:val="center"/>
      <w:rPr>
        <w:lang w:val="fr-CH"/>
      </w:rPr>
    </w:pPr>
    <w:hyperlink r:id="rId1" w:history="1">
      <w:r w:rsidR="00851060" w:rsidRPr="00A25BEE">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68EE" w14:textId="77777777" w:rsidR="00DF18F9" w:rsidRDefault="00DF18F9">
      <w:r>
        <w:t>____________________</w:t>
      </w:r>
    </w:p>
  </w:footnote>
  <w:footnote w:type="continuationSeparator" w:id="0">
    <w:p w14:paraId="5ECE9A5C" w14:textId="77777777" w:rsidR="00DF18F9" w:rsidRDefault="00DF18F9">
      <w:r>
        <w:continuationSeparator/>
      </w:r>
    </w:p>
  </w:footnote>
  <w:footnote w:id="1">
    <w:p w14:paraId="02A4F4B4" w14:textId="078A96CE" w:rsidR="00DF18F9" w:rsidRPr="007A4086" w:rsidRDefault="00DF18F9" w:rsidP="003E5493">
      <w:pPr>
        <w:pStyle w:val="FootnoteText"/>
        <w:spacing w:after="240"/>
      </w:pPr>
      <w:r w:rsidRPr="007A4086">
        <w:rPr>
          <w:rStyle w:val="FootnoteReference"/>
        </w:rPr>
        <w:footnoteRef/>
      </w:r>
      <w:r w:rsidR="001A284A">
        <w:tab/>
      </w:r>
      <w:r w:rsidR="007A4086" w:rsidRPr="007A4086">
        <w:rPr>
          <w:sz w:val="22"/>
          <w:szCs w:val="22"/>
        </w:rPr>
        <w:t>Voir la Résoluti</w:t>
      </w:r>
      <w:r w:rsidR="007A4086">
        <w:rPr>
          <w:sz w:val="22"/>
          <w:szCs w:val="22"/>
        </w:rPr>
        <w:t>o</w:t>
      </w:r>
      <w:r w:rsidR="007A4086" w:rsidRPr="007A4086">
        <w:rPr>
          <w:sz w:val="22"/>
          <w:szCs w:val="22"/>
        </w:rPr>
        <w:t>n</w:t>
      </w:r>
      <w:r w:rsidRPr="007A4086">
        <w:rPr>
          <w:sz w:val="22"/>
          <w:szCs w:val="22"/>
        </w:rPr>
        <w:t xml:space="preserve"> 169 (Guadalajara, 2010) </w:t>
      </w:r>
      <w:r w:rsidR="007A4086">
        <w:rPr>
          <w:sz w:val="22"/>
          <w:szCs w:val="22"/>
        </w:rPr>
        <w:t xml:space="preserve">de la Conférence de plénipotentiaires, </w:t>
      </w:r>
      <w:r w:rsidR="007A4086" w:rsidRPr="007A4086">
        <w:rPr>
          <w:sz w:val="22"/>
          <w:szCs w:val="22"/>
        </w:rPr>
        <w:t xml:space="preserve">qui a </w:t>
      </w:r>
      <w:r w:rsidR="000F720F">
        <w:rPr>
          <w:sz w:val="22"/>
          <w:szCs w:val="22"/>
        </w:rPr>
        <w:t>créé une</w:t>
      </w:r>
      <w:r w:rsidR="007A4086" w:rsidRPr="007A4086">
        <w:rPr>
          <w:sz w:val="22"/>
          <w:szCs w:val="22"/>
        </w:rPr>
        <w:t xml:space="preserve"> nouvelle catégorie de</w:t>
      </w:r>
      <w:r w:rsidR="000F720F">
        <w:rPr>
          <w:sz w:val="22"/>
          <w:szCs w:val="22"/>
        </w:rPr>
        <w:t xml:space="preserve"> membres permettant aux</w:t>
      </w:r>
      <w:r w:rsidR="007A4086" w:rsidRPr="007A4086">
        <w:rPr>
          <w:sz w:val="22"/>
          <w:szCs w:val="22"/>
        </w:rPr>
        <w:t xml:space="preserve"> établissements universitaires de participer aux travaux de l</w:t>
      </w:r>
      <w:r w:rsidR="0056586C">
        <w:rPr>
          <w:sz w:val="22"/>
          <w:szCs w:val="22"/>
        </w:rPr>
        <w:t>'</w:t>
      </w:r>
      <w:r w:rsidR="007A4086" w:rsidRPr="007A4086">
        <w:rPr>
          <w:sz w:val="22"/>
          <w:szCs w:val="22"/>
        </w:rPr>
        <w:t>UIT.</w:t>
      </w:r>
    </w:p>
  </w:footnote>
  <w:footnote w:id="2">
    <w:p w14:paraId="7545C4D0" w14:textId="362A4295" w:rsidR="00DF18F9" w:rsidRPr="007A4086" w:rsidRDefault="00DF18F9">
      <w:pPr>
        <w:pStyle w:val="FootnoteText"/>
      </w:pPr>
      <w:r w:rsidRPr="007A4086">
        <w:rPr>
          <w:rStyle w:val="FootnoteReference"/>
        </w:rPr>
        <w:footnoteRef/>
      </w:r>
      <w:r w:rsidR="0068400B" w:rsidRPr="007A4086">
        <w:tab/>
      </w:r>
      <w:r w:rsidR="0068400B" w:rsidRPr="007A4086">
        <w:rPr>
          <w:sz w:val="22"/>
          <w:szCs w:val="22"/>
        </w:rPr>
        <w:t>R</w:t>
      </w:r>
      <w:r w:rsidR="00DD7C21">
        <w:rPr>
          <w:sz w:val="22"/>
          <w:szCs w:val="22"/>
        </w:rPr>
        <w:t>ésolution</w:t>
      </w:r>
      <w:r w:rsidR="0068400B" w:rsidRPr="007A4086">
        <w:rPr>
          <w:sz w:val="22"/>
          <w:szCs w:val="22"/>
        </w:rPr>
        <w:t xml:space="preserve"> 71 (Rév.Buenos Aires, 2017) </w:t>
      </w:r>
      <w:r w:rsidR="00FB7C72" w:rsidRPr="007A4086">
        <w:rPr>
          <w:sz w:val="22"/>
          <w:szCs w:val="22"/>
        </w:rPr>
        <w:t>"</w:t>
      </w:r>
      <w:r w:rsidR="0068400B" w:rsidRPr="007A4086">
        <w:rPr>
          <w:sz w:val="22"/>
          <w:szCs w:val="22"/>
        </w:rPr>
        <w:t>Renforcement de la coopération entre les États Membres, les Membres de Secteur, les Associés et les établissements universitaires participant aux travaux du Secteur du développement des télécommunications de l</w:t>
      </w:r>
      <w:r w:rsidR="0056586C">
        <w:rPr>
          <w:sz w:val="22"/>
          <w:szCs w:val="22"/>
        </w:rPr>
        <w:t>'</w:t>
      </w:r>
      <w:r w:rsidR="0068400B" w:rsidRPr="007A4086">
        <w:rPr>
          <w:sz w:val="22"/>
          <w:szCs w:val="22"/>
        </w:rPr>
        <w:t>UIT et évolution du rôle du secteur privé au sein du Secteur du développement des télécommunications de l</w:t>
      </w:r>
      <w:r w:rsidR="0056586C">
        <w:rPr>
          <w:sz w:val="22"/>
          <w:szCs w:val="22"/>
        </w:rPr>
        <w:t>'</w:t>
      </w:r>
      <w:r w:rsidR="0068400B" w:rsidRPr="007A4086">
        <w:rPr>
          <w:sz w:val="22"/>
          <w:szCs w:val="22"/>
        </w:rPr>
        <w:t>UIT</w:t>
      </w:r>
      <w:r w:rsidR="00FB7C72" w:rsidRPr="007A4086">
        <w:rPr>
          <w:sz w:val="22"/>
          <w:szCs w:val="22"/>
        </w:rPr>
        <w:t>"</w:t>
      </w:r>
      <w:r w:rsidR="003E5493">
        <w:rPr>
          <w:sz w:val="22"/>
          <w:szCs w:val="22"/>
        </w:rPr>
        <w:t>.</w:t>
      </w:r>
    </w:p>
  </w:footnote>
  <w:footnote w:id="3">
    <w:p w14:paraId="38E9D309" w14:textId="270AECB7" w:rsidR="0068400B" w:rsidRPr="007A4086" w:rsidRDefault="0068400B" w:rsidP="0068400B">
      <w:pPr>
        <w:pStyle w:val="FootnoteText"/>
      </w:pPr>
      <w:r w:rsidRPr="007A4086">
        <w:rPr>
          <w:rStyle w:val="FootnoteReference"/>
        </w:rPr>
        <w:footnoteRef/>
      </w:r>
      <w:r w:rsidR="001A284A">
        <w:tab/>
      </w:r>
      <w:r w:rsidR="00D8043D" w:rsidRPr="007A4086">
        <w:rPr>
          <w:sz w:val="22"/>
          <w:szCs w:val="22"/>
        </w:rPr>
        <w:t>Voir la Résoluti</w:t>
      </w:r>
      <w:r w:rsidR="00D8043D">
        <w:rPr>
          <w:sz w:val="22"/>
          <w:szCs w:val="22"/>
        </w:rPr>
        <w:t>o</w:t>
      </w:r>
      <w:r w:rsidR="00D8043D" w:rsidRPr="007A4086">
        <w:rPr>
          <w:sz w:val="22"/>
          <w:szCs w:val="22"/>
        </w:rPr>
        <w:t xml:space="preserve">n 169 (Guadalajara, 2010) </w:t>
      </w:r>
      <w:r w:rsidR="00D8043D">
        <w:rPr>
          <w:sz w:val="22"/>
          <w:szCs w:val="22"/>
        </w:rPr>
        <w:t xml:space="preserve">de la Conférence de plénipotentiaires, </w:t>
      </w:r>
      <w:r w:rsidR="00D8043D" w:rsidRPr="007A4086">
        <w:rPr>
          <w:sz w:val="22"/>
          <w:szCs w:val="22"/>
        </w:rPr>
        <w:t xml:space="preserve">qui a </w:t>
      </w:r>
      <w:r w:rsidR="00DD7C21">
        <w:rPr>
          <w:sz w:val="22"/>
          <w:szCs w:val="22"/>
        </w:rPr>
        <w:t>créé une</w:t>
      </w:r>
      <w:r w:rsidR="00D8043D" w:rsidRPr="007A4086">
        <w:rPr>
          <w:sz w:val="22"/>
          <w:szCs w:val="22"/>
        </w:rPr>
        <w:t xml:space="preserve"> nouvelle catégorie </w:t>
      </w:r>
      <w:r w:rsidR="00DD7C21">
        <w:rPr>
          <w:sz w:val="22"/>
          <w:szCs w:val="22"/>
        </w:rPr>
        <w:t xml:space="preserve">permettant aux </w:t>
      </w:r>
      <w:r w:rsidR="00D8043D" w:rsidRPr="007A4086">
        <w:rPr>
          <w:sz w:val="22"/>
          <w:szCs w:val="22"/>
        </w:rPr>
        <w:t>établissements universitaires de participer aux travaux de l</w:t>
      </w:r>
      <w:r w:rsidR="0056586C">
        <w:rPr>
          <w:sz w:val="22"/>
          <w:szCs w:val="22"/>
        </w:rPr>
        <w:t>'</w:t>
      </w:r>
      <w:r w:rsidR="00D8043D" w:rsidRPr="007A4086">
        <w:rPr>
          <w:sz w:val="22"/>
          <w:szCs w:val="22"/>
        </w:rPr>
        <w:t>UIT.</w:t>
      </w:r>
    </w:p>
  </w:footnote>
  <w:footnote w:id="4">
    <w:p w14:paraId="6027E44F" w14:textId="71037BFC" w:rsidR="00E33450" w:rsidRPr="007A4086" w:rsidRDefault="00E33450" w:rsidP="003E5493">
      <w:pPr>
        <w:pStyle w:val="FootnoteText"/>
        <w:spacing w:before="80"/>
      </w:pPr>
      <w:r w:rsidRPr="007A4086">
        <w:rPr>
          <w:rStyle w:val="FootnoteReference"/>
        </w:rPr>
        <w:footnoteRef/>
      </w:r>
      <w:bookmarkStart w:id="12" w:name="lt_pId093"/>
      <w:r w:rsidRPr="007A4086">
        <w:tab/>
      </w:r>
      <w:r w:rsidRPr="007A4086">
        <w:rPr>
          <w:sz w:val="22"/>
          <w:szCs w:val="22"/>
        </w:rPr>
        <w:t xml:space="preserve">Les établissements universitaires </w:t>
      </w:r>
      <w:r w:rsidR="00BF76C2">
        <w:rPr>
          <w:sz w:val="22"/>
          <w:szCs w:val="22"/>
        </w:rPr>
        <w:t>participent</w:t>
      </w:r>
      <w:r w:rsidRPr="007A4086">
        <w:rPr>
          <w:sz w:val="22"/>
          <w:szCs w:val="22"/>
        </w:rPr>
        <w:t xml:space="preserve"> aux travaux des trois Secteurs</w:t>
      </w:r>
      <w:r w:rsidR="00BF76C2">
        <w:rPr>
          <w:sz w:val="22"/>
          <w:szCs w:val="22"/>
        </w:rPr>
        <w:t xml:space="preserve"> de l</w:t>
      </w:r>
      <w:r w:rsidR="0056586C">
        <w:rPr>
          <w:sz w:val="22"/>
          <w:szCs w:val="22"/>
        </w:rPr>
        <w:t>'</w:t>
      </w:r>
      <w:r w:rsidR="00BF76C2">
        <w:rPr>
          <w:sz w:val="22"/>
          <w:szCs w:val="22"/>
        </w:rPr>
        <w:t xml:space="preserve">UIT, y compris </w:t>
      </w:r>
      <w:r w:rsidR="00DD7C21">
        <w:rPr>
          <w:sz w:val="22"/>
          <w:szCs w:val="22"/>
        </w:rPr>
        <w:t xml:space="preserve">à ceux </w:t>
      </w:r>
      <w:r w:rsidR="00BF76C2">
        <w:rPr>
          <w:sz w:val="22"/>
          <w:szCs w:val="22"/>
        </w:rPr>
        <w:t>des groupes consultatifs</w:t>
      </w:r>
      <w:r w:rsidR="00DD7C21">
        <w:rPr>
          <w:sz w:val="22"/>
          <w:szCs w:val="22"/>
        </w:rPr>
        <w:t xml:space="preserve"> des trois </w:t>
      </w:r>
      <w:r w:rsidR="003E5493">
        <w:rPr>
          <w:sz w:val="22"/>
          <w:szCs w:val="22"/>
        </w:rPr>
        <w:t>S</w:t>
      </w:r>
      <w:r w:rsidR="00DD7C21">
        <w:rPr>
          <w:sz w:val="22"/>
          <w:szCs w:val="22"/>
        </w:rPr>
        <w:t>ecteurs</w:t>
      </w:r>
      <w:r w:rsidRPr="007A4086">
        <w:rPr>
          <w:sz w:val="22"/>
          <w:szCs w:val="22"/>
        </w:rPr>
        <w:t>.</w:t>
      </w:r>
      <w:bookmarkEnd w:id="12"/>
      <w:r w:rsidR="00FA0CF2" w:rsidRPr="007A4086">
        <w:rPr>
          <w:sz w:val="22"/>
          <w:szCs w:val="22"/>
        </w:rPr>
        <w:t xml:space="preserve"> Les établissements universitaires </w:t>
      </w:r>
      <w:r w:rsidR="00BF76C2">
        <w:rPr>
          <w:sz w:val="22"/>
          <w:szCs w:val="22"/>
        </w:rPr>
        <w:t>participent également</w:t>
      </w:r>
      <w:r w:rsidR="00FA0CF2" w:rsidRPr="007A4086">
        <w:rPr>
          <w:sz w:val="22"/>
          <w:szCs w:val="22"/>
        </w:rPr>
        <w:t xml:space="preserve"> à d</w:t>
      </w:r>
      <w:r w:rsidR="0056586C">
        <w:rPr>
          <w:sz w:val="22"/>
          <w:szCs w:val="22"/>
        </w:rPr>
        <w:t>'</w:t>
      </w:r>
      <w:r w:rsidR="00FA0CF2" w:rsidRPr="007A4086">
        <w:rPr>
          <w:sz w:val="22"/>
          <w:szCs w:val="22"/>
        </w:rPr>
        <w:t>autres conférences mondiales et régionales, ateliers et activités de l</w:t>
      </w:r>
      <w:r w:rsidR="0056586C">
        <w:rPr>
          <w:sz w:val="22"/>
          <w:szCs w:val="22"/>
        </w:rPr>
        <w:t>'</w:t>
      </w:r>
      <w:r w:rsidR="00FA0CF2" w:rsidRPr="007A4086">
        <w:rPr>
          <w:sz w:val="22"/>
          <w:szCs w:val="22"/>
        </w:rPr>
        <w:t>Union, à l</w:t>
      </w:r>
      <w:r w:rsidR="0056586C">
        <w:rPr>
          <w:sz w:val="22"/>
          <w:szCs w:val="22"/>
        </w:rPr>
        <w:t>'</w:t>
      </w:r>
      <w:r w:rsidR="00FA0CF2" w:rsidRPr="007A4086">
        <w:rPr>
          <w:sz w:val="22"/>
          <w:szCs w:val="22"/>
        </w:rPr>
        <w:t xml:space="preserve">exception des </w:t>
      </w:r>
      <w:r w:rsidR="0056586C">
        <w:rPr>
          <w:sz w:val="22"/>
          <w:szCs w:val="22"/>
        </w:rPr>
        <w:t>c</w:t>
      </w:r>
      <w:r w:rsidR="00FA0CF2" w:rsidRPr="007A4086">
        <w:rPr>
          <w:sz w:val="22"/>
          <w:szCs w:val="22"/>
        </w:rPr>
        <w:t>onférences de plénipotentiaires, des conférences mondiales des</w:t>
      </w:r>
      <w:r w:rsidR="00BC2A40" w:rsidRPr="007A4086">
        <w:rPr>
          <w:sz w:val="22"/>
          <w:szCs w:val="22"/>
        </w:rPr>
        <w:t xml:space="preserve"> radiocommunications, des conférences mondiales des télécommunications internationales et du Conseil de l</w:t>
      </w:r>
      <w:r w:rsidR="0056586C">
        <w:rPr>
          <w:sz w:val="22"/>
          <w:szCs w:val="22"/>
        </w:rPr>
        <w:t>'</w:t>
      </w:r>
      <w:r w:rsidR="00BC2A40" w:rsidRPr="007A4086">
        <w:rPr>
          <w:sz w:val="22"/>
          <w:szCs w:val="22"/>
        </w:rPr>
        <w:t>UIT, conformément au règlement intérieur des différents Secteurs.</w:t>
      </w:r>
    </w:p>
  </w:footnote>
  <w:footnote w:id="5">
    <w:p w14:paraId="780F62B2" w14:textId="6A14E70C" w:rsidR="005D22AB" w:rsidRPr="007A4086" w:rsidRDefault="005D22AB" w:rsidP="00DF0002">
      <w:pPr>
        <w:pStyle w:val="FootnoteText"/>
      </w:pPr>
      <w:r w:rsidRPr="007A4086">
        <w:rPr>
          <w:rStyle w:val="FootnoteReference"/>
        </w:rPr>
        <w:footnoteRef/>
      </w:r>
      <w:r w:rsidR="001A284A">
        <w:tab/>
      </w:r>
      <w:r w:rsidR="00C24056">
        <w:rPr>
          <w:sz w:val="22"/>
          <w:szCs w:val="22"/>
        </w:rPr>
        <w:t>Université</w:t>
      </w:r>
      <w:r w:rsidRPr="007A4086">
        <w:rPr>
          <w:sz w:val="22"/>
          <w:szCs w:val="22"/>
        </w:rPr>
        <w:t xml:space="preserve"> </w:t>
      </w:r>
      <w:r w:rsidR="00C24056" w:rsidRPr="007A4086">
        <w:rPr>
          <w:sz w:val="22"/>
          <w:szCs w:val="22"/>
        </w:rPr>
        <w:t xml:space="preserve">RWTH </w:t>
      </w:r>
      <w:r w:rsidR="00C24056">
        <w:rPr>
          <w:sz w:val="22"/>
          <w:szCs w:val="22"/>
        </w:rPr>
        <w:t>Aix-la-Chapelle</w:t>
      </w:r>
      <w:r w:rsidR="00C24056" w:rsidRPr="007A4086">
        <w:rPr>
          <w:sz w:val="22"/>
          <w:szCs w:val="22"/>
        </w:rPr>
        <w:t xml:space="preserve"> </w:t>
      </w:r>
      <w:r w:rsidRPr="007A4086">
        <w:rPr>
          <w:sz w:val="22"/>
          <w:szCs w:val="22"/>
        </w:rPr>
        <w:t>(</w:t>
      </w:r>
      <w:r w:rsidR="00C24056">
        <w:rPr>
          <w:sz w:val="22"/>
          <w:szCs w:val="22"/>
        </w:rPr>
        <w:t>Allemagne</w:t>
      </w:r>
      <w:r w:rsidRPr="007A4086">
        <w:rPr>
          <w:sz w:val="22"/>
          <w:szCs w:val="22"/>
        </w:rPr>
        <w:t xml:space="preserve">), </w:t>
      </w:r>
      <w:r w:rsidR="00C24056">
        <w:rPr>
          <w:sz w:val="22"/>
          <w:szCs w:val="22"/>
        </w:rPr>
        <w:t>Université de</w:t>
      </w:r>
      <w:r w:rsidRPr="007A4086">
        <w:rPr>
          <w:sz w:val="22"/>
          <w:szCs w:val="22"/>
        </w:rPr>
        <w:t xml:space="preserve"> Dodoma (Tanzani</w:t>
      </w:r>
      <w:r w:rsidR="00C24056">
        <w:rPr>
          <w:sz w:val="22"/>
          <w:szCs w:val="22"/>
        </w:rPr>
        <w:t>e</w:t>
      </w:r>
      <w:r w:rsidRPr="007A4086">
        <w:rPr>
          <w:sz w:val="22"/>
          <w:szCs w:val="22"/>
        </w:rPr>
        <w:t>), Universit</w:t>
      </w:r>
      <w:r w:rsidR="00C24056">
        <w:rPr>
          <w:sz w:val="22"/>
          <w:szCs w:val="22"/>
        </w:rPr>
        <w:t>é</w:t>
      </w:r>
      <w:r w:rsidRPr="007A4086">
        <w:rPr>
          <w:sz w:val="22"/>
          <w:szCs w:val="22"/>
        </w:rPr>
        <w:t xml:space="preserve"> </w:t>
      </w:r>
      <w:r w:rsidR="00C24056">
        <w:rPr>
          <w:sz w:val="22"/>
          <w:szCs w:val="22"/>
        </w:rPr>
        <w:t>de</w:t>
      </w:r>
      <w:r w:rsidRPr="007A4086">
        <w:rPr>
          <w:sz w:val="22"/>
          <w:szCs w:val="22"/>
        </w:rPr>
        <w:t xml:space="preserve"> T</w:t>
      </w:r>
      <w:r w:rsidR="00C24056">
        <w:rPr>
          <w:sz w:val="22"/>
          <w:szCs w:val="22"/>
        </w:rPr>
        <w:t>é</w:t>
      </w:r>
      <w:r w:rsidRPr="007A4086">
        <w:rPr>
          <w:sz w:val="22"/>
          <w:szCs w:val="22"/>
        </w:rPr>
        <w:t>h</w:t>
      </w:r>
      <w:r w:rsidR="00C24056">
        <w:rPr>
          <w:sz w:val="22"/>
          <w:szCs w:val="22"/>
        </w:rPr>
        <w:t>é</w:t>
      </w:r>
      <w:r w:rsidRPr="007A4086">
        <w:rPr>
          <w:sz w:val="22"/>
          <w:szCs w:val="22"/>
        </w:rPr>
        <w:t xml:space="preserve">ran (Iran, </w:t>
      </w:r>
      <w:r w:rsidR="00C24056">
        <w:rPr>
          <w:sz w:val="22"/>
          <w:szCs w:val="22"/>
        </w:rPr>
        <w:t>République islamique d</w:t>
      </w:r>
      <w:r w:rsidR="0056586C">
        <w:rPr>
          <w:sz w:val="22"/>
          <w:szCs w:val="22"/>
        </w:rPr>
        <w:t>'</w:t>
      </w:r>
      <w:r w:rsidRPr="007A4086">
        <w:rPr>
          <w:sz w:val="22"/>
          <w:szCs w:val="22"/>
        </w:rPr>
        <w:t xml:space="preserve">), </w:t>
      </w:r>
      <w:r w:rsidR="00C24056" w:rsidRPr="007A4086">
        <w:rPr>
          <w:sz w:val="22"/>
          <w:szCs w:val="22"/>
        </w:rPr>
        <w:t>Institut</w:t>
      </w:r>
      <w:r w:rsidR="00C24056">
        <w:rPr>
          <w:sz w:val="22"/>
          <w:szCs w:val="22"/>
        </w:rPr>
        <w:t xml:space="preserve"> de</w:t>
      </w:r>
      <w:r w:rsidR="00C24056" w:rsidRPr="007A4086">
        <w:rPr>
          <w:sz w:val="22"/>
          <w:szCs w:val="22"/>
        </w:rPr>
        <w:t xml:space="preserve"> </w:t>
      </w:r>
      <w:r w:rsidR="00C24056">
        <w:rPr>
          <w:sz w:val="22"/>
          <w:szCs w:val="22"/>
        </w:rPr>
        <w:t>t</w:t>
      </w:r>
      <w:r w:rsidR="00C24056" w:rsidRPr="007A4086">
        <w:rPr>
          <w:sz w:val="22"/>
          <w:szCs w:val="22"/>
        </w:rPr>
        <w:t>echnolog</w:t>
      </w:r>
      <w:r w:rsidR="00C24056">
        <w:rPr>
          <w:sz w:val="22"/>
          <w:szCs w:val="22"/>
        </w:rPr>
        <w:t>ie de</w:t>
      </w:r>
      <w:r w:rsidR="00C24056" w:rsidRPr="007A4086">
        <w:rPr>
          <w:sz w:val="22"/>
          <w:szCs w:val="22"/>
        </w:rPr>
        <w:t xml:space="preserve"> </w:t>
      </w:r>
      <w:r w:rsidRPr="007A4086">
        <w:rPr>
          <w:sz w:val="22"/>
          <w:szCs w:val="22"/>
        </w:rPr>
        <w:t>Tokyo (Jap</w:t>
      </w:r>
      <w:r w:rsidR="00C24056">
        <w:rPr>
          <w:sz w:val="22"/>
          <w:szCs w:val="22"/>
        </w:rPr>
        <w:t>o</w:t>
      </w:r>
      <w:r w:rsidRPr="007A4086">
        <w:rPr>
          <w:sz w:val="22"/>
          <w:szCs w:val="22"/>
        </w:rPr>
        <w:t xml:space="preserve">n), </w:t>
      </w:r>
      <w:r w:rsidR="00C24056" w:rsidRPr="00C24056">
        <w:rPr>
          <w:sz w:val="22"/>
          <w:szCs w:val="22"/>
        </w:rPr>
        <w:t>Réseau de recherche et d</w:t>
      </w:r>
      <w:r w:rsidR="0056586C">
        <w:rPr>
          <w:sz w:val="22"/>
          <w:szCs w:val="22"/>
        </w:rPr>
        <w:t>'</w:t>
      </w:r>
      <w:r w:rsidR="00C24056" w:rsidRPr="00C24056">
        <w:rPr>
          <w:sz w:val="22"/>
          <w:szCs w:val="22"/>
        </w:rPr>
        <w:t>enseignement des États arabes</w:t>
      </w:r>
      <w:r w:rsidRPr="007A4086">
        <w:rPr>
          <w:sz w:val="22"/>
          <w:szCs w:val="22"/>
        </w:rPr>
        <w:t xml:space="preserve"> (Jordan</w:t>
      </w:r>
      <w:r w:rsidR="00C24056">
        <w:rPr>
          <w:sz w:val="22"/>
          <w:szCs w:val="22"/>
        </w:rPr>
        <w:t>ie</w:t>
      </w:r>
      <w:r w:rsidRPr="007A4086">
        <w:rPr>
          <w:sz w:val="22"/>
          <w:szCs w:val="22"/>
        </w:rPr>
        <w:t>), Universit</w:t>
      </w:r>
      <w:r w:rsidR="00C24056">
        <w:rPr>
          <w:sz w:val="22"/>
          <w:szCs w:val="22"/>
        </w:rPr>
        <w:t>é</w:t>
      </w:r>
      <w:r w:rsidRPr="007A4086">
        <w:rPr>
          <w:sz w:val="22"/>
          <w:szCs w:val="22"/>
        </w:rPr>
        <w:t xml:space="preserve"> </w:t>
      </w:r>
      <w:r w:rsidR="00C24056">
        <w:rPr>
          <w:sz w:val="22"/>
          <w:szCs w:val="22"/>
        </w:rPr>
        <w:t>de</w:t>
      </w:r>
      <w:r w:rsidR="00C24056" w:rsidRPr="007A4086">
        <w:rPr>
          <w:sz w:val="22"/>
          <w:szCs w:val="22"/>
        </w:rPr>
        <w:t xml:space="preserve"> </w:t>
      </w:r>
      <w:r w:rsidR="00C24056">
        <w:rPr>
          <w:sz w:val="22"/>
          <w:szCs w:val="22"/>
        </w:rPr>
        <w:t>t</w:t>
      </w:r>
      <w:r w:rsidR="00C24056" w:rsidRPr="007A4086">
        <w:rPr>
          <w:sz w:val="22"/>
          <w:szCs w:val="22"/>
        </w:rPr>
        <w:t>echnolog</w:t>
      </w:r>
      <w:r w:rsidR="00C24056">
        <w:rPr>
          <w:sz w:val="22"/>
          <w:szCs w:val="22"/>
        </w:rPr>
        <w:t xml:space="preserve">ie </w:t>
      </w:r>
      <w:r w:rsidR="00C24056" w:rsidRPr="007A4086">
        <w:rPr>
          <w:sz w:val="22"/>
          <w:szCs w:val="22"/>
        </w:rPr>
        <w:t>Amirkabir</w:t>
      </w:r>
      <w:r w:rsidR="00C24056">
        <w:rPr>
          <w:sz w:val="22"/>
          <w:szCs w:val="22"/>
        </w:rPr>
        <w:t xml:space="preserve"> </w:t>
      </w:r>
      <w:r w:rsidRPr="007A4086">
        <w:rPr>
          <w:sz w:val="22"/>
          <w:szCs w:val="22"/>
        </w:rPr>
        <w:t xml:space="preserve">(Iran, </w:t>
      </w:r>
      <w:r w:rsidR="00C24056">
        <w:rPr>
          <w:sz w:val="22"/>
          <w:szCs w:val="22"/>
        </w:rPr>
        <w:t>République</w:t>
      </w:r>
      <w:r w:rsidR="0056586C">
        <w:rPr>
          <w:sz w:val="22"/>
          <w:szCs w:val="22"/>
        </w:rPr>
        <w:t xml:space="preserve"> </w:t>
      </w:r>
      <w:r w:rsidR="00C24056">
        <w:rPr>
          <w:sz w:val="22"/>
          <w:szCs w:val="22"/>
        </w:rPr>
        <w:t>islamique d</w:t>
      </w:r>
      <w:r w:rsidR="0056586C">
        <w:rPr>
          <w:sz w:val="22"/>
          <w:szCs w:val="22"/>
        </w:rPr>
        <w:t>'</w:t>
      </w:r>
      <w:r w:rsidRPr="007A4086">
        <w:rPr>
          <w:sz w:val="22"/>
          <w:szCs w:val="22"/>
        </w:rPr>
        <w:t xml:space="preserve">), </w:t>
      </w:r>
      <w:r w:rsidR="00C24056" w:rsidRPr="007A4086">
        <w:rPr>
          <w:sz w:val="22"/>
          <w:szCs w:val="22"/>
        </w:rPr>
        <w:t>Universit</w:t>
      </w:r>
      <w:r w:rsidR="00C24056">
        <w:rPr>
          <w:sz w:val="22"/>
          <w:szCs w:val="22"/>
        </w:rPr>
        <w:t>é</w:t>
      </w:r>
      <w:r w:rsidR="00C24056" w:rsidRPr="007A4086">
        <w:rPr>
          <w:sz w:val="22"/>
          <w:szCs w:val="22"/>
        </w:rPr>
        <w:t xml:space="preserve"> </w:t>
      </w:r>
      <w:r w:rsidRPr="007A4086">
        <w:rPr>
          <w:sz w:val="22"/>
          <w:szCs w:val="22"/>
        </w:rPr>
        <w:t>Nazarbayev (Kazakhstan), Universit</w:t>
      </w:r>
      <w:r w:rsidR="00C24056">
        <w:rPr>
          <w:sz w:val="22"/>
          <w:szCs w:val="22"/>
        </w:rPr>
        <w:t>é</w:t>
      </w:r>
      <w:r w:rsidRPr="007A4086">
        <w:rPr>
          <w:sz w:val="22"/>
          <w:szCs w:val="22"/>
        </w:rPr>
        <w:t xml:space="preserve"> </w:t>
      </w:r>
      <w:r w:rsidR="00C24056">
        <w:rPr>
          <w:sz w:val="22"/>
          <w:szCs w:val="22"/>
        </w:rPr>
        <w:t>du</w:t>
      </w:r>
      <w:r w:rsidRPr="007A4086">
        <w:rPr>
          <w:sz w:val="22"/>
          <w:szCs w:val="22"/>
        </w:rPr>
        <w:t xml:space="preserve"> Surrey (</w:t>
      </w:r>
      <w:r w:rsidR="00C24056">
        <w:rPr>
          <w:sz w:val="22"/>
          <w:szCs w:val="22"/>
        </w:rPr>
        <w:t>Royaume-Uni)</w:t>
      </w:r>
      <w:r w:rsidRPr="007A4086">
        <w:rPr>
          <w:sz w:val="22"/>
          <w:szCs w:val="22"/>
        </w:rPr>
        <w:t xml:space="preserve">, </w:t>
      </w:r>
      <w:r w:rsidR="00C24056" w:rsidRPr="007A4086">
        <w:rPr>
          <w:sz w:val="22"/>
          <w:szCs w:val="22"/>
        </w:rPr>
        <w:t>Universit</w:t>
      </w:r>
      <w:r w:rsidR="00C24056">
        <w:rPr>
          <w:sz w:val="22"/>
          <w:szCs w:val="22"/>
        </w:rPr>
        <w:t>é</w:t>
      </w:r>
      <w:r w:rsidR="00C24056" w:rsidRPr="007A4086">
        <w:rPr>
          <w:sz w:val="22"/>
          <w:szCs w:val="22"/>
        </w:rPr>
        <w:t xml:space="preserve"> </w:t>
      </w:r>
      <w:r w:rsidRPr="007A4086">
        <w:rPr>
          <w:sz w:val="22"/>
          <w:szCs w:val="22"/>
        </w:rPr>
        <w:t xml:space="preserve">Tarbiat Modares (Iran, </w:t>
      </w:r>
      <w:r w:rsidR="00C24056">
        <w:rPr>
          <w:sz w:val="22"/>
          <w:szCs w:val="22"/>
        </w:rPr>
        <w:t>République islamique d</w:t>
      </w:r>
      <w:r w:rsidR="0056586C">
        <w:rPr>
          <w:sz w:val="22"/>
          <w:szCs w:val="22"/>
        </w:rPr>
        <w:t>'</w:t>
      </w:r>
      <w:r w:rsidRPr="007A4086">
        <w:rPr>
          <w:sz w:val="22"/>
          <w:szCs w:val="22"/>
        </w:rPr>
        <w:t>), Universidad Técnica del Norte (</w:t>
      </w:r>
      <w:r w:rsidR="000147A1">
        <w:rPr>
          <w:sz w:val="22"/>
          <w:szCs w:val="22"/>
        </w:rPr>
        <w:t>Équateur</w:t>
      </w:r>
      <w:r w:rsidRPr="007A4086">
        <w:rPr>
          <w:sz w:val="22"/>
          <w:szCs w:val="22"/>
        </w:rPr>
        <w:t>), Universit</w:t>
      </w:r>
      <w:r w:rsidR="00C24056">
        <w:rPr>
          <w:sz w:val="22"/>
          <w:szCs w:val="22"/>
        </w:rPr>
        <w:t>é</w:t>
      </w:r>
      <w:r w:rsidRPr="007A4086">
        <w:rPr>
          <w:sz w:val="22"/>
          <w:szCs w:val="22"/>
        </w:rPr>
        <w:t xml:space="preserve"> </w:t>
      </w:r>
      <w:r w:rsidR="00C24056">
        <w:rPr>
          <w:sz w:val="22"/>
          <w:szCs w:val="22"/>
        </w:rPr>
        <w:t>de</w:t>
      </w:r>
      <w:r w:rsidRPr="007A4086">
        <w:rPr>
          <w:sz w:val="22"/>
          <w:szCs w:val="22"/>
        </w:rPr>
        <w:t xml:space="preserve"> Californi</w:t>
      </w:r>
      <w:r w:rsidR="00C24056">
        <w:rPr>
          <w:sz w:val="22"/>
          <w:szCs w:val="22"/>
        </w:rPr>
        <w:t>e</w:t>
      </w:r>
      <w:r w:rsidRPr="007A4086">
        <w:rPr>
          <w:sz w:val="22"/>
          <w:szCs w:val="22"/>
        </w:rPr>
        <w:t xml:space="preserve"> Irvine (</w:t>
      </w:r>
      <w:r w:rsidR="00C24056">
        <w:rPr>
          <w:sz w:val="22"/>
          <w:szCs w:val="22"/>
        </w:rPr>
        <w:t>États-Unis</w:t>
      </w:r>
      <w:r w:rsidRPr="007A4086">
        <w:rPr>
          <w:sz w:val="22"/>
          <w:szCs w:val="22"/>
        </w:rPr>
        <w:t>),</w:t>
      </w:r>
      <w:r w:rsidR="00651710" w:rsidRPr="00651710">
        <w:rPr>
          <w:sz w:val="22"/>
          <w:szCs w:val="22"/>
        </w:rPr>
        <w:t xml:space="preserve"> </w:t>
      </w:r>
      <w:r w:rsidR="00651710" w:rsidRPr="007A4086">
        <w:rPr>
          <w:sz w:val="22"/>
          <w:szCs w:val="22"/>
        </w:rPr>
        <w:t>Universit</w:t>
      </w:r>
      <w:r w:rsidR="00651710">
        <w:rPr>
          <w:sz w:val="22"/>
          <w:szCs w:val="22"/>
        </w:rPr>
        <w:t>é</w:t>
      </w:r>
      <w:r w:rsidRPr="007A4086">
        <w:rPr>
          <w:sz w:val="22"/>
          <w:szCs w:val="22"/>
        </w:rPr>
        <w:t xml:space="preserve"> Hamad Bin Khalifa (Qatar), Institut </w:t>
      </w:r>
      <w:r w:rsidR="00651710">
        <w:rPr>
          <w:sz w:val="22"/>
          <w:szCs w:val="22"/>
        </w:rPr>
        <w:t>s</w:t>
      </w:r>
      <w:r w:rsidRPr="007A4086">
        <w:rPr>
          <w:sz w:val="22"/>
          <w:szCs w:val="22"/>
        </w:rPr>
        <w:t xml:space="preserve">cientifique </w:t>
      </w:r>
      <w:r w:rsidR="00651710">
        <w:rPr>
          <w:sz w:val="22"/>
          <w:szCs w:val="22"/>
        </w:rPr>
        <w:t>e</w:t>
      </w:r>
      <w:r w:rsidRPr="007A4086">
        <w:rPr>
          <w:sz w:val="22"/>
          <w:szCs w:val="22"/>
        </w:rPr>
        <w:t>uropé</w:t>
      </w:r>
      <w:r w:rsidR="00651710">
        <w:rPr>
          <w:sz w:val="22"/>
          <w:szCs w:val="22"/>
        </w:rPr>
        <w:t>e</w:t>
      </w:r>
      <w:r w:rsidRPr="007A4086">
        <w:rPr>
          <w:sz w:val="22"/>
          <w:szCs w:val="22"/>
        </w:rPr>
        <w:t>n (France), Smart Quantum Communication (</w:t>
      </w:r>
      <w:r w:rsidR="00651710">
        <w:rPr>
          <w:sz w:val="22"/>
          <w:szCs w:val="22"/>
        </w:rPr>
        <w:t>Corée, Rép. de</w:t>
      </w:r>
      <w:r w:rsidRPr="007A4086">
        <w:rPr>
          <w:sz w:val="22"/>
          <w:szCs w:val="22"/>
        </w:rPr>
        <w:t xml:space="preserve">), </w:t>
      </w:r>
      <w:r w:rsidR="00651710" w:rsidRPr="007A4086">
        <w:rPr>
          <w:sz w:val="22"/>
          <w:szCs w:val="22"/>
        </w:rPr>
        <w:t>Universit</w:t>
      </w:r>
      <w:r w:rsidR="00651710">
        <w:rPr>
          <w:sz w:val="22"/>
          <w:szCs w:val="22"/>
        </w:rPr>
        <w:t>é</w:t>
      </w:r>
      <w:r w:rsidR="00651710" w:rsidRPr="007A4086">
        <w:rPr>
          <w:sz w:val="22"/>
          <w:szCs w:val="22"/>
        </w:rPr>
        <w:t xml:space="preserve"> </w:t>
      </w:r>
      <w:r w:rsidR="00651710">
        <w:rPr>
          <w:sz w:val="22"/>
          <w:szCs w:val="22"/>
        </w:rPr>
        <w:t>de</w:t>
      </w:r>
      <w:r w:rsidRPr="007A4086">
        <w:rPr>
          <w:sz w:val="22"/>
          <w:szCs w:val="22"/>
        </w:rPr>
        <w:t xml:space="preserve"> Bristol (</w:t>
      </w:r>
      <w:r w:rsidR="00651710">
        <w:rPr>
          <w:sz w:val="22"/>
          <w:szCs w:val="22"/>
        </w:rPr>
        <w:t>Royaume</w:t>
      </w:r>
      <w:r w:rsidR="001A284A">
        <w:rPr>
          <w:sz w:val="22"/>
          <w:szCs w:val="22"/>
        </w:rPr>
        <w:noBreakHyphen/>
      </w:r>
      <w:r w:rsidR="00651710">
        <w:rPr>
          <w:sz w:val="22"/>
          <w:szCs w:val="22"/>
        </w:rPr>
        <w:t>Uni</w:t>
      </w:r>
      <w:r w:rsidRPr="007A4086">
        <w:rPr>
          <w:sz w:val="22"/>
          <w:szCs w:val="22"/>
        </w:rPr>
        <w:t>), Hong</w:t>
      </w:r>
      <w:r w:rsidR="0056586C">
        <w:rPr>
          <w:sz w:val="22"/>
          <w:szCs w:val="22"/>
        </w:rPr>
        <w:t> </w:t>
      </w:r>
      <w:r w:rsidRPr="007A4086">
        <w:rPr>
          <w:sz w:val="22"/>
          <w:szCs w:val="22"/>
        </w:rPr>
        <w:t>Kong Applied Science and Technology (Chin</w:t>
      </w:r>
      <w:r w:rsidR="00651710">
        <w:rPr>
          <w:sz w:val="22"/>
          <w:szCs w:val="22"/>
        </w:rPr>
        <w:t>e</w:t>
      </w:r>
      <w:r w:rsidRPr="007A4086">
        <w:rPr>
          <w:sz w:val="22"/>
          <w:szCs w:val="22"/>
        </w:rPr>
        <w:t xml:space="preserve">), Université de Bordeaux (France), </w:t>
      </w:r>
      <w:r w:rsidR="00016B68" w:rsidRPr="007A4086">
        <w:rPr>
          <w:sz w:val="22"/>
          <w:szCs w:val="22"/>
        </w:rPr>
        <w:t>Universit</w:t>
      </w:r>
      <w:r w:rsidR="00016B68">
        <w:rPr>
          <w:sz w:val="22"/>
          <w:szCs w:val="22"/>
        </w:rPr>
        <w:t>é</w:t>
      </w:r>
      <w:r w:rsidR="00016B68" w:rsidRPr="007A4086">
        <w:rPr>
          <w:sz w:val="22"/>
          <w:szCs w:val="22"/>
        </w:rPr>
        <w:t xml:space="preserve"> </w:t>
      </w:r>
      <w:r w:rsidR="00016B68">
        <w:rPr>
          <w:sz w:val="22"/>
          <w:szCs w:val="22"/>
        </w:rPr>
        <w:t>de</w:t>
      </w:r>
      <w:r w:rsidR="00016B68" w:rsidRPr="007A4086">
        <w:rPr>
          <w:sz w:val="22"/>
          <w:szCs w:val="22"/>
        </w:rPr>
        <w:t xml:space="preserve"> </w:t>
      </w:r>
      <w:r w:rsidR="00016B68">
        <w:rPr>
          <w:sz w:val="22"/>
          <w:szCs w:val="22"/>
        </w:rPr>
        <w:t>t</w:t>
      </w:r>
      <w:r w:rsidR="00016B68" w:rsidRPr="007A4086">
        <w:rPr>
          <w:sz w:val="22"/>
          <w:szCs w:val="22"/>
        </w:rPr>
        <w:t>echnolog</w:t>
      </w:r>
      <w:r w:rsidR="00016B68">
        <w:rPr>
          <w:sz w:val="22"/>
          <w:szCs w:val="22"/>
        </w:rPr>
        <w:t>ie</w:t>
      </w:r>
      <w:r w:rsidRPr="007A4086">
        <w:rPr>
          <w:sz w:val="22"/>
          <w:szCs w:val="22"/>
        </w:rPr>
        <w:t xml:space="preserve"> </w:t>
      </w:r>
      <w:r w:rsidR="00016B68">
        <w:rPr>
          <w:sz w:val="22"/>
          <w:szCs w:val="22"/>
        </w:rPr>
        <w:t>d</w:t>
      </w:r>
      <w:r w:rsidR="0056586C">
        <w:rPr>
          <w:sz w:val="22"/>
          <w:szCs w:val="22"/>
        </w:rPr>
        <w:t>'</w:t>
      </w:r>
      <w:r w:rsidR="00016B68" w:rsidRPr="007A4086">
        <w:rPr>
          <w:sz w:val="22"/>
          <w:szCs w:val="22"/>
        </w:rPr>
        <w:t xml:space="preserve">Ilmenau </w:t>
      </w:r>
      <w:r w:rsidRPr="007A4086">
        <w:rPr>
          <w:sz w:val="22"/>
          <w:szCs w:val="22"/>
        </w:rPr>
        <w:t>(</w:t>
      </w:r>
      <w:r w:rsidR="00016B68">
        <w:rPr>
          <w:sz w:val="22"/>
          <w:szCs w:val="22"/>
        </w:rPr>
        <w:t>Allemagne</w:t>
      </w:r>
      <w:r w:rsidRPr="007A4086">
        <w:rPr>
          <w:sz w:val="22"/>
          <w:szCs w:val="22"/>
        </w:rPr>
        <w:t>), Centre for Development of Telematics (Ind</w:t>
      </w:r>
      <w:r w:rsidR="00016B68">
        <w:rPr>
          <w:sz w:val="22"/>
          <w:szCs w:val="22"/>
        </w:rPr>
        <w:t>e</w:t>
      </w:r>
      <w:r w:rsidRPr="007A4086">
        <w:rPr>
          <w:sz w:val="22"/>
          <w:szCs w:val="22"/>
        </w:rPr>
        <w:t xml:space="preserve">), </w:t>
      </w:r>
      <w:r w:rsidR="00016B68" w:rsidRPr="007A4086">
        <w:rPr>
          <w:sz w:val="22"/>
          <w:szCs w:val="22"/>
        </w:rPr>
        <w:t>Universit</w:t>
      </w:r>
      <w:r w:rsidR="00016B68">
        <w:rPr>
          <w:sz w:val="22"/>
          <w:szCs w:val="22"/>
        </w:rPr>
        <w:t>é</w:t>
      </w:r>
      <w:r w:rsidR="00016B68" w:rsidRPr="007A4086">
        <w:rPr>
          <w:sz w:val="22"/>
          <w:szCs w:val="22"/>
        </w:rPr>
        <w:t xml:space="preserve"> </w:t>
      </w:r>
      <w:r w:rsidRPr="007A4086">
        <w:rPr>
          <w:sz w:val="22"/>
          <w:szCs w:val="22"/>
        </w:rPr>
        <w:t xml:space="preserve">Concordia (Canada), </w:t>
      </w:r>
      <w:r w:rsidR="00016B68" w:rsidRPr="007A4086">
        <w:rPr>
          <w:sz w:val="22"/>
          <w:szCs w:val="22"/>
        </w:rPr>
        <w:t>Universit</w:t>
      </w:r>
      <w:r w:rsidR="00016B68">
        <w:rPr>
          <w:sz w:val="22"/>
          <w:szCs w:val="22"/>
        </w:rPr>
        <w:t>é</w:t>
      </w:r>
      <w:r w:rsidR="00016B68" w:rsidRPr="007A4086">
        <w:rPr>
          <w:sz w:val="22"/>
          <w:szCs w:val="22"/>
        </w:rPr>
        <w:t xml:space="preserve"> </w:t>
      </w:r>
      <w:r w:rsidR="00016B68">
        <w:rPr>
          <w:sz w:val="22"/>
          <w:szCs w:val="22"/>
        </w:rPr>
        <w:t xml:space="preserve">de </w:t>
      </w:r>
      <w:r w:rsidRPr="007A4086">
        <w:rPr>
          <w:sz w:val="22"/>
          <w:szCs w:val="22"/>
        </w:rPr>
        <w:t>Shinshu (Jap</w:t>
      </w:r>
      <w:r w:rsidR="00016B68">
        <w:rPr>
          <w:sz w:val="22"/>
          <w:szCs w:val="22"/>
        </w:rPr>
        <w:t>o</w:t>
      </w:r>
      <w:r w:rsidRPr="007A4086">
        <w:rPr>
          <w:sz w:val="22"/>
          <w:szCs w:val="22"/>
        </w:rPr>
        <w:t>n), Mila-Institut Québécois d</w:t>
      </w:r>
      <w:r w:rsidR="0056586C">
        <w:rPr>
          <w:sz w:val="22"/>
          <w:szCs w:val="22"/>
        </w:rPr>
        <w:t>'</w:t>
      </w:r>
      <w:r w:rsidRPr="007A4086">
        <w:rPr>
          <w:sz w:val="22"/>
          <w:szCs w:val="22"/>
        </w:rPr>
        <w:t xml:space="preserve">Intelligence </w:t>
      </w:r>
      <w:r w:rsidR="00016B68">
        <w:rPr>
          <w:sz w:val="22"/>
          <w:szCs w:val="22"/>
        </w:rPr>
        <w:t xml:space="preserve">artificielle </w:t>
      </w:r>
      <w:r w:rsidRPr="007A4086">
        <w:rPr>
          <w:sz w:val="22"/>
          <w:szCs w:val="22"/>
        </w:rPr>
        <w:t>(Canada).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D891" w14:textId="171E59BB" w:rsidR="00A525CC" w:rsidRPr="00FB7C72" w:rsidRDefault="00A525CC" w:rsidP="00D87E6C">
    <w:pPr>
      <w:tabs>
        <w:tab w:val="clear" w:pos="794"/>
        <w:tab w:val="clear" w:pos="1191"/>
        <w:tab w:val="clear" w:pos="1588"/>
        <w:tab w:val="clear" w:pos="1985"/>
        <w:tab w:val="center" w:pos="4820"/>
        <w:tab w:val="right" w:pos="9639"/>
      </w:tabs>
      <w:ind w:right="1"/>
      <w:rPr>
        <w:smallCaps/>
        <w:spacing w:val="24"/>
        <w:sz w:val="18"/>
        <w:szCs w:val="18"/>
        <w:lang w:val="de-CH"/>
      </w:rPr>
    </w:pPr>
    <w:r w:rsidRPr="00972BCD">
      <w:rPr>
        <w:sz w:val="22"/>
        <w:szCs w:val="22"/>
      </w:rPr>
      <w:tab/>
    </w:r>
    <w:r w:rsidRPr="00FB7C72">
      <w:rPr>
        <w:sz w:val="18"/>
        <w:szCs w:val="18"/>
        <w:lang w:val="de-CH"/>
      </w:rPr>
      <w:t>TDAG</w:t>
    </w:r>
    <w:r w:rsidR="008F20EB" w:rsidRPr="00FB7C72">
      <w:rPr>
        <w:sz w:val="18"/>
        <w:szCs w:val="18"/>
        <w:lang w:val="de-CH"/>
      </w:rPr>
      <w:t>-</w:t>
    </w:r>
    <w:r w:rsidR="002577C1" w:rsidRPr="00FB7C72">
      <w:rPr>
        <w:sz w:val="18"/>
        <w:szCs w:val="18"/>
        <w:lang w:val="de-CH"/>
      </w:rPr>
      <w:t>20</w:t>
    </w:r>
    <w:r w:rsidRPr="00FB7C72">
      <w:rPr>
        <w:sz w:val="18"/>
        <w:szCs w:val="18"/>
        <w:lang w:val="de-CH"/>
      </w:rPr>
      <w:t>/</w:t>
    </w:r>
    <w:r w:rsidR="00FB7C72" w:rsidRPr="00FB7C72">
      <w:rPr>
        <w:sz w:val="18"/>
        <w:szCs w:val="18"/>
        <w:lang w:val="de-CH"/>
      </w:rPr>
      <w:t>11</w:t>
    </w:r>
    <w:r w:rsidRPr="00FB7C72">
      <w:rPr>
        <w:sz w:val="18"/>
        <w:szCs w:val="18"/>
        <w:lang w:val="de-CH"/>
      </w:rPr>
      <w:t>-</w:t>
    </w:r>
    <w:r w:rsidR="00B533E9" w:rsidRPr="00FB7C72">
      <w:rPr>
        <w:sz w:val="18"/>
        <w:szCs w:val="18"/>
        <w:lang w:val="de-CH"/>
      </w:rPr>
      <w:t>F</w:t>
    </w:r>
    <w:r w:rsidRPr="00FB7C72">
      <w:rPr>
        <w:sz w:val="18"/>
        <w:szCs w:val="18"/>
        <w:lang w:val="de-CH"/>
      </w:rPr>
      <w:tab/>
      <w:t xml:space="preserve">Page </w:t>
    </w:r>
    <w:r w:rsidRPr="00FB7C72">
      <w:rPr>
        <w:sz w:val="18"/>
        <w:szCs w:val="18"/>
      </w:rPr>
      <w:fldChar w:fldCharType="begin"/>
    </w:r>
    <w:r w:rsidRPr="00FB7C72">
      <w:rPr>
        <w:sz w:val="18"/>
        <w:szCs w:val="18"/>
        <w:lang w:val="de-CH"/>
      </w:rPr>
      <w:instrText xml:space="preserve"> PAGE </w:instrText>
    </w:r>
    <w:r w:rsidRPr="00FB7C72">
      <w:rPr>
        <w:sz w:val="18"/>
        <w:szCs w:val="18"/>
      </w:rPr>
      <w:fldChar w:fldCharType="separate"/>
    </w:r>
    <w:r w:rsidR="0078113B" w:rsidRPr="00FB7C72">
      <w:rPr>
        <w:noProof/>
        <w:sz w:val="18"/>
        <w:szCs w:val="18"/>
        <w:lang w:val="de-CH"/>
      </w:rPr>
      <w:t>2</w:t>
    </w:r>
    <w:r w:rsidRPr="00FB7C72">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CB7926"/>
    <w:multiLevelType w:val="multilevel"/>
    <w:tmpl w:val="DF7C2730"/>
    <w:lvl w:ilvl="0">
      <w:start w:val="1"/>
      <w:numFmt w:val="decimal"/>
      <w:lvlText w:val="%1."/>
      <w:lvlJc w:val="left"/>
      <w:pPr>
        <w:ind w:left="192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F9"/>
    <w:rsid w:val="00002716"/>
    <w:rsid w:val="00005791"/>
    <w:rsid w:val="00010827"/>
    <w:rsid w:val="000147A1"/>
    <w:rsid w:val="00015089"/>
    <w:rsid w:val="00016B68"/>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0F720F"/>
    <w:rsid w:val="00100833"/>
    <w:rsid w:val="00102F72"/>
    <w:rsid w:val="00104DC3"/>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84A"/>
    <w:rsid w:val="001A441E"/>
    <w:rsid w:val="001A6733"/>
    <w:rsid w:val="001B357F"/>
    <w:rsid w:val="001B388C"/>
    <w:rsid w:val="001B517C"/>
    <w:rsid w:val="001C3444"/>
    <w:rsid w:val="001C3702"/>
    <w:rsid w:val="001C4656"/>
    <w:rsid w:val="001C46BC"/>
    <w:rsid w:val="001D0512"/>
    <w:rsid w:val="001F23E6"/>
    <w:rsid w:val="001F4238"/>
    <w:rsid w:val="00200A38"/>
    <w:rsid w:val="00200A46"/>
    <w:rsid w:val="00202C6F"/>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B30FC"/>
    <w:rsid w:val="002C1EC7"/>
    <w:rsid w:val="002C4342"/>
    <w:rsid w:val="002C7EA3"/>
    <w:rsid w:val="002D20AE"/>
    <w:rsid w:val="002D6C61"/>
    <w:rsid w:val="002E2104"/>
    <w:rsid w:val="002E2DAC"/>
    <w:rsid w:val="002E521A"/>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45B77"/>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752D"/>
    <w:rsid w:val="003E386C"/>
    <w:rsid w:val="003E5493"/>
    <w:rsid w:val="003E7CB8"/>
    <w:rsid w:val="003F2DD8"/>
    <w:rsid w:val="003F3F2D"/>
    <w:rsid w:val="003F50B2"/>
    <w:rsid w:val="00400CCF"/>
    <w:rsid w:val="00401BFF"/>
    <w:rsid w:val="0040345E"/>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62D"/>
    <w:rsid w:val="004A4E9C"/>
    <w:rsid w:val="004B1A3C"/>
    <w:rsid w:val="004D2CC3"/>
    <w:rsid w:val="004D35CB"/>
    <w:rsid w:val="004D49F3"/>
    <w:rsid w:val="004E20E5"/>
    <w:rsid w:val="004E64EA"/>
    <w:rsid w:val="004E7828"/>
    <w:rsid w:val="004F46AA"/>
    <w:rsid w:val="004F6A70"/>
    <w:rsid w:val="00500245"/>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586C"/>
    <w:rsid w:val="00573424"/>
    <w:rsid w:val="0057402F"/>
    <w:rsid w:val="005849D6"/>
    <w:rsid w:val="00585367"/>
    <w:rsid w:val="005871A1"/>
    <w:rsid w:val="0058737E"/>
    <w:rsid w:val="00592518"/>
    <w:rsid w:val="00592E87"/>
    <w:rsid w:val="00594C4D"/>
    <w:rsid w:val="005A33B0"/>
    <w:rsid w:val="005C16C3"/>
    <w:rsid w:val="005C2DC2"/>
    <w:rsid w:val="005C304A"/>
    <w:rsid w:val="005C3D69"/>
    <w:rsid w:val="005C7C98"/>
    <w:rsid w:val="005D22AB"/>
    <w:rsid w:val="005D55A4"/>
    <w:rsid w:val="005D57C8"/>
    <w:rsid w:val="005D7761"/>
    <w:rsid w:val="005E0278"/>
    <w:rsid w:val="005E090D"/>
    <w:rsid w:val="005E3CA0"/>
    <w:rsid w:val="005E44B1"/>
    <w:rsid w:val="005E67B0"/>
    <w:rsid w:val="005E7047"/>
    <w:rsid w:val="005E777F"/>
    <w:rsid w:val="005F1CA7"/>
    <w:rsid w:val="005F3B18"/>
    <w:rsid w:val="005F43DD"/>
    <w:rsid w:val="005F51A9"/>
    <w:rsid w:val="005F6BE1"/>
    <w:rsid w:val="005F7416"/>
    <w:rsid w:val="00600C11"/>
    <w:rsid w:val="00606B89"/>
    <w:rsid w:val="00611EAF"/>
    <w:rsid w:val="00623F30"/>
    <w:rsid w:val="00625FB8"/>
    <w:rsid w:val="006261BD"/>
    <w:rsid w:val="00635EDB"/>
    <w:rsid w:val="00642FD0"/>
    <w:rsid w:val="0064734E"/>
    <w:rsid w:val="00650137"/>
    <w:rsid w:val="006509D7"/>
    <w:rsid w:val="00651710"/>
    <w:rsid w:val="00651CE8"/>
    <w:rsid w:val="0065521B"/>
    <w:rsid w:val="00671EF6"/>
    <w:rsid w:val="0067205B"/>
    <w:rsid w:val="006748F8"/>
    <w:rsid w:val="00680489"/>
    <w:rsid w:val="00683C32"/>
    <w:rsid w:val="0068400B"/>
    <w:rsid w:val="006843E4"/>
    <w:rsid w:val="00690BB2"/>
    <w:rsid w:val="00693D09"/>
    <w:rsid w:val="006A6549"/>
    <w:rsid w:val="006A7710"/>
    <w:rsid w:val="006A7A61"/>
    <w:rsid w:val="006B1E59"/>
    <w:rsid w:val="006B2FFB"/>
    <w:rsid w:val="006B7037"/>
    <w:rsid w:val="006C10A2"/>
    <w:rsid w:val="006C1F18"/>
    <w:rsid w:val="006C4718"/>
    <w:rsid w:val="006D40D5"/>
    <w:rsid w:val="006E6B2B"/>
    <w:rsid w:val="006F009A"/>
    <w:rsid w:val="006F3D93"/>
    <w:rsid w:val="007019B1"/>
    <w:rsid w:val="00721657"/>
    <w:rsid w:val="007279A8"/>
    <w:rsid w:val="00727B1A"/>
    <w:rsid w:val="00730ADF"/>
    <w:rsid w:val="00741337"/>
    <w:rsid w:val="00752258"/>
    <w:rsid w:val="007529E1"/>
    <w:rsid w:val="00754233"/>
    <w:rsid w:val="00762880"/>
    <w:rsid w:val="00762AD6"/>
    <w:rsid w:val="00762E02"/>
    <w:rsid w:val="00772290"/>
    <w:rsid w:val="00777265"/>
    <w:rsid w:val="007805E7"/>
    <w:rsid w:val="0078113B"/>
    <w:rsid w:val="0078222A"/>
    <w:rsid w:val="00787D48"/>
    <w:rsid w:val="00795294"/>
    <w:rsid w:val="007A4086"/>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2D06"/>
    <w:rsid w:val="00827BC6"/>
    <w:rsid w:val="008300AD"/>
    <w:rsid w:val="00833024"/>
    <w:rsid w:val="00836BDB"/>
    <w:rsid w:val="008419B1"/>
    <w:rsid w:val="00841A8F"/>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1EC"/>
    <w:rsid w:val="009359B8"/>
    <w:rsid w:val="00935FF0"/>
    <w:rsid w:val="009431F8"/>
    <w:rsid w:val="00947A35"/>
    <w:rsid w:val="00956F64"/>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139B"/>
    <w:rsid w:val="009E2E4A"/>
    <w:rsid w:val="009F3940"/>
    <w:rsid w:val="009F3EB2"/>
    <w:rsid w:val="009F5CC7"/>
    <w:rsid w:val="009F6EB1"/>
    <w:rsid w:val="00A00260"/>
    <w:rsid w:val="00A11D05"/>
    <w:rsid w:val="00A13162"/>
    <w:rsid w:val="00A20267"/>
    <w:rsid w:val="00A25BEE"/>
    <w:rsid w:val="00A3158C"/>
    <w:rsid w:val="00A32DF3"/>
    <w:rsid w:val="00A33E32"/>
    <w:rsid w:val="00A35E20"/>
    <w:rsid w:val="00A36F6D"/>
    <w:rsid w:val="00A454E1"/>
    <w:rsid w:val="00A50CA0"/>
    <w:rsid w:val="00A525CC"/>
    <w:rsid w:val="00A53E7C"/>
    <w:rsid w:val="00A60087"/>
    <w:rsid w:val="00A705E8"/>
    <w:rsid w:val="00A721F4"/>
    <w:rsid w:val="00A80AA5"/>
    <w:rsid w:val="00A9392C"/>
    <w:rsid w:val="00A9462B"/>
    <w:rsid w:val="00A97D59"/>
    <w:rsid w:val="00AA3E09"/>
    <w:rsid w:val="00AA4BEF"/>
    <w:rsid w:val="00AB1659"/>
    <w:rsid w:val="00AB4962"/>
    <w:rsid w:val="00AB734E"/>
    <w:rsid w:val="00AB740F"/>
    <w:rsid w:val="00AC6F14"/>
    <w:rsid w:val="00AC7221"/>
    <w:rsid w:val="00AE1AFE"/>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A1C58"/>
    <w:rsid w:val="00BB1863"/>
    <w:rsid w:val="00BB25EE"/>
    <w:rsid w:val="00BB363A"/>
    <w:rsid w:val="00BC10A0"/>
    <w:rsid w:val="00BC2A40"/>
    <w:rsid w:val="00BC7BA2"/>
    <w:rsid w:val="00BD426B"/>
    <w:rsid w:val="00BD79F0"/>
    <w:rsid w:val="00BE2B4D"/>
    <w:rsid w:val="00BE7076"/>
    <w:rsid w:val="00BF76C2"/>
    <w:rsid w:val="00C015F8"/>
    <w:rsid w:val="00C07E26"/>
    <w:rsid w:val="00C1011C"/>
    <w:rsid w:val="00C12F94"/>
    <w:rsid w:val="00C177C5"/>
    <w:rsid w:val="00C24056"/>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2B7"/>
    <w:rsid w:val="00CD7207"/>
    <w:rsid w:val="00CE0DBE"/>
    <w:rsid w:val="00CE1D84"/>
    <w:rsid w:val="00CE5E4D"/>
    <w:rsid w:val="00CF02C4"/>
    <w:rsid w:val="00CF034E"/>
    <w:rsid w:val="00CF167F"/>
    <w:rsid w:val="00CF72E5"/>
    <w:rsid w:val="00D013EE"/>
    <w:rsid w:val="00D01F54"/>
    <w:rsid w:val="00D04020"/>
    <w:rsid w:val="00D040F7"/>
    <w:rsid w:val="00D04A76"/>
    <w:rsid w:val="00D10FC7"/>
    <w:rsid w:val="00D1519F"/>
    <w:rsid w:val="00D15951"/>
    <w:rsid w:val="00D15B9B"/>
    <w:rsid w:val="00D20E99"/>
    <w:rsid w:val="00D21C83"/>
    <w:rsid w:val="00D35BDD"/>
    <w:rsid w:val="00D5468D"/>
    <w:rsid w:val="00D63006"/>
    <w:rsid w:val="00D70EEF"/>
    <w:rsid w:val="00D72301"/>
    <w:rsid w:val="00D8043D"/>
    <w:rsid w:val="00D87E6C"/>
    <w:rsid w:val="00D90E76"/>
    <w:rsid w:val="00D911DE"/>
    <w:rsid w:val="00D91B97"/>
    <w:rsid w:val="00D93ACC"/>
    <w:rsid w:val="00D93C08"/>
    <w:rsid w:val="00D948AC"/>
    <w:rsid w:val="00D95DAC"/>
    <w:rsid w:val="00DA0B53"/>
    <w:rsid w:val="00DB1171"/>
    <w:rsid w:val="00DB1519"/>
    <w:rsid w:val="00DB2840"/>
    <w:rsid w:val="00DC1BD3"/>
    <w:rsid w:val="00DC2C1A"/>
    <w:rsid w:val="00DD66B4"/>
    <w:rsid w:val="00DD7C21"/>
    <w:rsid w:val="00DE1972"/>
    <w:rsid w:val="00DE27AB"/>
    <w:rsid w:val="00DF0002"/>
    <w:rsid w:val="00DF18F9"/>
    <w:rsid w:val="00DF2AB3"/>
    <w:rsid w:val="00DF7250"/>
    <w:rsid w:val="00E00CAA"/>
    <w:rsid w:val="00E03EBF"/>
    <w:rsid w:val="00E05209"/>
    <w:rsid w:val="00E11BCF"/>
    <w:rsid w:val="00E20C7E"/>
    <w:rsid w:val="00E2258E"/>
    <w:rsid w:val="00E260C2"/>
    <w:rsid w:val="00E32596"/>
    <w:rsid w:val="00E33450"/>
    <w:rsid w:val="00E368F7"/>
    <w:rsid w:val="00E36EB8"/>
    <w:rsid w:val="00E37FB8"/>
    <w:rsid w:val="00E40B07"/>
    <w:rsid w:val="00E42326"/>
    <w:rsid w:val="00E43544"/>
    <w:rsid w:val="00E446EA"/>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19DE"/>
    <w:rsid w:val="00EE3A64"/>
    <w:rsid w:val="00EE50E5"/>
    <w:rsid w:val="00EF01CF"/>
    <w:rsid w:val="00F03590"/>
    <w:rsid w:val="00F03622"/>
    <w:rsid w:val="00F077FD"/>
    <w:rsid w:val="00F15919"/>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74EF"/>
    <w:rsid w:val="00F52741"/>
    <w:rsid w:val="00F53D8A"/>
    <w:rsid w:val="00F626F7"/>
    <w:rsid w:val="00F72481"/>
    <w:rsid w:val="00F736F9"/>
    <w:rsid w:val="00F73833"/>
    <w:rsid w:val="00F9211C"/>
    <w:rsid w:val="00FA095D"/>
    <w:rsid w:val="00FA0CF2"/>
    <w:rsid w:val="00FA6C8B"/>
    <w:rsid w:val="00FA7C89"/>
    <w:rsid w:val="00FB3E99"/>
    <w:rsid w:val="00FB4139"/>
    <w:rsid w:val="00FB476E"/>
    <w:rsid w:val="00FB7C72"/>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D69FE2"/>
  <w15:docId w15:val="{AB60F19E-BA90-4333-A953-1F26AB64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basedOn w:val="DefaultParagraphFont"/>
    <w:link w:val="FootnoteText"/>
    <w:uiPriority w:val="99"/>
    <w:rsid w:val="00DF18F9"/>
    <w:rPr>
      <w:rFonts w:asciiTheme="minorHAnsi" w:hAnsiTheme="minorHAnsi"/>
      <w:sz w:val="24"/>
      <w:lang w:val="fr-CH" w:eastAsia="en-US"/>
    </w:rPr>
  </w:style>
  <w:style w:type="character" w:styleId="FollowedHyperlink">
    <w:name w:val="FollowedHyperlink"/>
    <w:basedOn w:val="DefaultParagraphFont"/>
    <w:semiHidden/>
    <w:unhideWhenUsed/>
    <w:rsid w:val="00DF18F9"/>
    <w:rPr>
      <w:color w:val="800080" w:themeColor="followedHyperlink"/>
      <w:u w:val="single"/>
    </w:rPr>
  </w:style>
  <w:style w:type="paragraph" w:styleId="BalloonText">
    <w:name w:val="Balloon Text"/>
    <w:basedOn w:val="Normal"/>
    <w:link w:val="BalloonTextChar"/>
    <w:semiHidden/>
    <w:unhideWhenUsed/>
    <w:rsid w:val="005D22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22AB"/>
    <w:rPr>
      <w:rFonts w:ascii="Segoe UI" w:hAnsi="Segoe UI" w:cs="Segoe UI"/>
      <w:sz w:val="18"/>
      <w:szCs w:val="18"/>
      <w:lang w:val="fr-CH" w:eastAsia="en-US"/>
    </w:rPr>
  </w:style>
  <w:style w:type="paragraph" w:styleId="PlainText">
    <w:name w:val="Plain Text"/>
    <w:basedOn w:val="Normal"/>
    <w:link w:val="PlainTextChar"/>
    <w:uiPriority w:val="99"/>
    <w:unhideWhenUsed/>
    <w:rsid w:val="005F3B1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5F3B18"/>
    <w:rPr>
      <w:rFonts w:ascii="Calibri" w:eastAsiaTheme="minorEastAsia" w:hAnsi="Calibri" w:cstheme="minorBidi"/>
      <w:sz w:val="22"/>
      <w:szCs w:val="21"/>
    </w:rPr>
  </w:style>
  <w:style w:type="character" w:customStyle="1" w:styleId="ListParagraphChar">
    <w:name w:val="List Paragraph Char"/>
    <w:aliases w:val="List Paragraph1 Char,Recommendation Char,List Paragraph11 Char"/>
    <w:basedOn w:val="DefaultParagraphFont"/>
    <w:link w:val="ListParagraph"/>
    <w:uiPriority w:val="34"/>
    <w:rsid w:val="006843E4"/>
    <w:rPr>
      <w:rFonts w:asciiTheme="minorHAnsi" w:hAnsiTheme="minorHAnsi"/>
      <w:sz w:val="24"/>
      <w:lang w:val="fr-CH" w:eastAsia="en-US"/>
    </w:rPr>
  </w:style>
  <w:style w:type="character" w:styleId="UnresolvedMention">
    <w:name w:val="Unresolved Mention"/>
    <w:basedOn w:val="DefaultParagraphFont"/>
    <w:uiPriority w:val="99"/>
    <w:semiHidden/>
    <w:unhideWhenUsed/>
    <w:rsid w:val="00BA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CRO/Documents/CRO10/CRO2019_chairman_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Membership/PublishingImages/Outcome%20Brief_Co-Creation%20Workshop%20for%20Academia%20Members%20%28002%29.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latin typeface="+mn-lt"/>
              </a:rPr>
              <a:t>Graphique</a:t>
            </a:r>
            <a:r>
              <a:rPr lang="en-GB" sz="1100" b="0" baseline="0">
                <a:latin typeface="+mn-lt"/>
              </a:rPr>
              <a:t> </a:t>
            </a:r>
            <a:r>
              <a:rPr lang="en-CA" sz="1400" b="0" i="0" u="none" strike="noStrike" baseline="0">
                <a:effectLst/>
              </a:rPr>
              <a:t>–</a:t>
            </a:r>
            <a:r>
              <a:rPr lang="en-GB" sz="1100" b="1" baseline="0">
                <a:latin typeface="+mn-lt"/>
              </a:rPr>
              <a:t> É</a:t>
            </a:r>
            <a:r>
              <a:rPr lang="en-GB" sz="1100" b="1">
                <a:latin typeface="+mn-lt"/>
              </a:rPr>
              <a:t>volution</a:t>
            </a:r>
            <a:r>
              <a:rPr lang="en-GB" sz="1100" b="1" baseline="0">
                <a:latin typeface="+mn-lt"/>
              </a:rPr>
              <a:t> du nombre de membres de l</a:t>
            </a:r>
            <a:r>
              <a:rPr lang="fr-CH" sz="1100" b="1" i="0" u="none" strike="noStrike" kern="1200" spc="0" baseline="0">
                <a:solidFill>
                  <a:sysClr val="windowText" lastClr="000000">
                    <a:lumMod val="65000"/>
                    <a:lumOff val="35000"/>
                  </a:sysClr>
                </a:solidFill>
                <a:latin typeface="+mn-lt"/>
                <a:ea typeface="+mn-ea"/>
                <a:cs typeface="+mn-cs"/>
              </a:rPr>
              <a:t>'</a:t>
            </a:r>
            <a:r>
              <a:rPr lang="en-GB" sz="1100" b="1" baseline="0">
                <a:latin typeface="+mn-lt"/>
              </a:rPr>
              <a:t>UIT-D (1994-2019)</a:t>
            </a:r>
            <a:endParaRPr lang="en-GB" sz="1100" b="1">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Sheet1!$B$1:$AA$1</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formatCode="mmm\-yy">
                  <c:v>43435</c:v>
                </c:pt>
                <c:pt idx="25" formatCode="mmm\-yy">
                  <c:v>43800</c:v>
                </c:pt>
              </c:numCache>
            </c:numRef>
          </c:cat>
          <c:val>
            <c:numRef>
              <c:f>Sheet1!$B$2:$AA$2</c:f>
              <c:numCache>
                <c:formatCode>General</c:formatCode>
                <c:ptCount val="26"/>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pt idx="24">
                  <c:v>480</c:v>
                </c:pt>
                <c:pt idx="25">
                  <c:v>487</c:v>
                </c:pt>
              </c:numCache>
            </c:numRef>
          </c:val>
          <c:smooth val="0"/>
          <c:extLst>
            <c:ext xmlns:c16="http://schemas.microsoft.com/office/drawing/2014/chart" uri="{C3380CC4-5D6E-409C-BE32-E72D297353CC}">
              <c16:uniqueId val="{00000000-1D39-4647-B1DF-E7C5E23A3183}"/>
            </c:ext>
          </c:extLst>
        </c:ser>
        <c:dLbls>
          <c:showLegendKey val="0"/>
          <c:showVal val="0"/>
          <c:showCatName val="0"/>
          <c:showSerName val="0"/>
          <c:showPercent val="0"/>
          <c:showBubbleSize val="0"/>
        </c:dLbls>
        <c:smooth val="0"/>
        <c:axId val="518477144"/>
        <c:axId val="292475816"/>
      </c:lineChart>
      <c:catAx>
        <c:axId val="51847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292475816"/>
        <c:crosses val="autoZero"/>
        <c:auto val="1"/>
        <c:lblAlgn val="ctr"/>
        <c:lblOffset val="100"/>
        <c:noMultiLvlLbl val="0"/>
      </c:catAx>
      <c:valAx>
        <c:axId val="29247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518477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4AF9-F0F3-41EA-93F3-E0C809A8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122</TotalTime>
  <Pages>6</Pages>
  <Words>1893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12</cp:revision>
  <cp:lastPrinted>2014-11-04T09:22:00Z</cp:lastPrinted>
  <dcterms:created xsi:type="dcterms:W3CDTF">2020-02-14T14:23:00Z</dcterms:created>
  <dcterms:modified xsi:type="dcterms:W3CDTF">2020-03-10T12:51:00Z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