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F902DB" w14:paraId="5E29BED3" w14:textId="77777777" w:rsidTr="00074382">
        <w:trPr>
          <w:cantSplit/>
          <w:trHeight w:val="1134"/>
        </w:trPr>
        <w:tc>
          <w:tcPr>
            <w:tcW w:w="6804" w:type="dxa"/>
          </w:tcPr>
          <w:p w14:paraId="59B63434" w14:textId="77777777" w:rsidR="00F902DB" w:rsidRDefault="00F902DB" w:rsidP="00074382">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DFD8E20" w14:textId="31996ABA" w:rsidR="00F902DB" w:rsidRPr="00421F93" w:rsidRDefault="004B633D" w:rsidP="00074382">
            <w:pPr>
              <w:tabs>
                <w:tab w:val="clear" w:pos="1134"/>
              </w:tabs>
              <w:spacing w:after="48" w:line="240" w:lineRule="atLeast"/>
              <w:ind w:left="34"/>
              <w:rPr>
                <w:b/>
                <w:bCs/>
                <w:sz w:val="28"/>
                <w:szCs w:val="28"/>
              </w:rPr>
            </w:pPr>
            <w:r>
              <w:rPr>
                <w:b/>
                <w:bCs/>
                <w:sz w:val="26"/>
                <w:szCs w:val="26"/>
              </w:rPr>
              <w:t xml:space="preserve">25th Meeting, Geneva, </w:t>
            </w:r>
            <w:r w:rsidR="002677A5">
              <w:rPr>
                <w:b/>
                <w:bCs/>
                <w:sz w:val="26"/>
                <w:szCs w:val="26"/>
              </w:rPr>
              <w:t>2-5 June</w:t>
            </w:r>
            <w:r w:rsidR="00982CC1">
              <w:rPr>
                <w:b/>
                <w:bCs/>
                <w:sz w:val="26"/>
                <w:szCs w:val="26"/>
              </w:rPr>
              <w:t xml:space="preserve"> </w:t>
            </w:r>
            <w:bookmarkStart w:id="0" w:name="_GoBack"/>
            <w:bookmarkEnd w:id="0"/>
            <w:r>
              <w:rPr>
                <w:b/>
                <w:bCs/>
                <w:sz w:val="26"/>
                <w:szCs w:val="26"/>
              </w:rPr>
              <w:t>2020</w:t>
            </w:r>
          </w:p>
        </w:tc>
        <w:tc>
          <w:tcPr>
            <w:tcW w:w="3227" w:type="dxa"/>
          </w:tcPr>
          <w:p w14:paraId="4342364B" w14:textId="77777777" w:rsidR="00F902DB" w:rsidRPr="00D96B4B" w:rsidRDefault="00F902DB" w:rsidP="00074382">
            <w:pPr>
              <w:spacing w:before="0" w:line="240" w:lineRule="atLeast"/>
              <w:jc w:val="right"/>
              <w:rPr>
                <w:rFonts w:cstheme="minorHAnsi"/>
              </w:rPr>
            </w:pPr>
            <w:bookmarkStart w:id="1" w:name="ditulogo"/>
            <w:bookmarkEnd w:id="1"/>
            <w:r w:rsidRPr="008E52B1">
              <w:rPr>
                <w:noProof/>
                <w:color w:val="3399FF"/>
                <w:lang w:eastAsia="en-GB"/>
              </w:rPr>
              <w:drawing>
                <wp:inline distT="0" distB="0" distL="0" distR="0" wp14:anchorId="59E2DA9B" wp14:editId="6EE9404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BD58E4" w:rsidRPr="00C324A8" w14:paraId="3859AF65" w14:textId="77777777" w:rsidTr="00074382">
        <w:trPr>
          <w:cantSplit/>
        </w:trPr>
        <w:tc>
          <w:tcPr>
            <w:tcW w:w="6804" w:type="dxa"/>
            <w:tcBorders>
              <w:top w:val="single" w:sz="12" w:space="0" w:color="auto"/>
            </w:tcBorders>
          </w:tcPr>
          <w:p w14:paraId="028A8DDB" w14:textId="77777777" w:rsidR="00BD58E4" w:rsidRPr="00D96B4B" w:rsidRDefault="00BD58E4" w:rsidP="00074382">
            <w:pPr>
              <w:spacing w:before="0" w:after="48" w:line="240" w:lineRule="atLeast"/>
              <w:rPr>
                <w:rFonts w:cstheme="minorHAnsi"/>
                <w:b/>
                <w:smallCaps/>
                <w:sz w:val="20"/>
              </w:rPr>
            </w:pPr>
            <w:bookmarkStart w:id="2" w:name="dhead"/>
          </w:p>
        </w:tc>
        <w:tc>
          <w:tcPr>
            <w:tcW w:w="3227" w:type="dxa"/>
            <w:tcBorders>
              <w:top w:val="single" w:sz="12" w:space="0" w:color="auto"/>
            </w:tcBorders>
          </w:tcPr>
          <w:p w14:paraId="1870BEF0" w14:textId="77777777" w:rsidR="00BD58E4" w:rsidRPr="00D96B4B" w:rsidRDefault="00BD58E4" w:rsidP="00074382">
            <w:pPr>
              <w:spacing w:before="0" w:line="240" w:lineRule="atLeast"/>
              <w:rPr>
                <w:rFonts w:cstheme="minorHAnsi"/>
                <w:sz w:val="20"/>
              </w:rPr>
            </w:pPr>
          </w:p>
        </w:tc>
      </w:tr>
      <w:tr w:rsidR="00F902DB" w:rsidRPr="0038489B" w14:paraId="1C7027E9" w14:textId="77777777" w:rsidTr="00074382">
        <w:trPr>
          <w:cantSplit/>
          <w:trHeight w:val="23"/>
        </w:trPr>
        <w:tc>
          <w:tcPr>
            <w:tcW w:w="6804" w:type="dxa"/>
            <w:shd w:val="clear" w:color="auto" w:fill="auto"/>
          </w:tcPr>
          <w:p w14:paraId="63AA74A1" w14:textId="77777777" w:rsidR="00F902DB" w:rsidRPr="00D96B4B" w:rsidRDefault="00F902DB" w:rsidP="00074382">
            <w:pPr>
              <w:pStyle w:val="Committee"/>
              <w:framePr w:hSpace="0" w:wrap="auto" w:hAnchor="text" w:yAlign="inline"/>
            </w:pPr>
            <w:bookmarkStart w:id="3" w:name="dnum" w:colFirst="1" w:colLast="1"/>
            <w:bookmarkStart w:id="4" w:name="dmeeting" w:colFirst="0" w:colLast="0"/>
            <w:bookmarkEnd w:id="2"/>
          </w:p>
        </w:tc>
        <w:tc>
          <w:tcPr>
            <w:tcW w:w="3227" w:type="dxa"/>
          </w:tcPr>
          <w:p w14:paraId="1D493482" w14:textId="509515D7" w:rsidR="00F902DB" w:rsidRPr="00E07105" w:rsidRDefault="00F902DB" w:rsidP="00074382">
            <w:pPr>
              <w:tabs>
                <w:tab w:val="left" w:pos="851"/>
              </w:tabs>
              <w:spacing w:before="0" w:line="240" w:lineRule="atLeast"/>
              <w:rPr>
                <w:rFonts w:cstheme="minorHAnsi"/>
                <w:szCs w:val="24"/>
                <w:lang w:val="es-ES_tradnl"/>
              </w:rPr>
            </w:pPr>
            <w:r w:rsidRPr="00002716">
              <w:rPr>
                <w:b/>
                <w:bCs/>
                <w:lang w:val="en-US"/>
              </w:rPr>
              <w:t>Document</w:t>
            </w:r>
            <w:r w:rsidRPr="00A54E72">
              <w:rPr>
                <w:b/>
                <w:bCs/>
                <w:lang w:val="en-US"/>
              </w:rPr>
              <w:t xml:space="preserve"> </w:t>
            </w:r>
            <w:bookmarkStart w:id="5" w:name="DocRef1"/>
            <w:bookmarkEnd w:id="5"/>
            <w:r w:rsidR="004B633D">
              <w:rPr>
                <w:b/>
                <w:bCs/>
                <w:lang w:val="en-US"/>
              </w:rPr>
              <w:t>TDAG-20</w:t>
            </w:r>
            <w:r w:rsidRPr="00A54E72">
              <w:rPr>
                <w:b/>
                <w:bCs/>
                <w:lang w:val="en-US"/>
              </w:rPr>
              <w:t>/</w:t>
            </w:r>
            <w:bookmarkStart w:id="6" w:name="DocNo1"/>
            <w:bookmarkEnd w:id="6"/>
            <w:r w:rsidR="004B633D">
              <w:rPr>
                <w:b/>
                <w:bCs/>
                <w:lang w:val="en-US"/>
              </w:rPr>
              <w:t>11</w:t>
            </w:r>
            <w:r w:rsidR="002513B5">
              <w:rPr>
                <w:b/>
                <w:bCs/>
                <w:lang w:val="en-US"/>
              </w:rPr>
              <w:t>-E</w:t>
            </w:r>
          </w:p>
        </w:tc>
      </w:tr>
      <w:tr w:rsidR="00F902DB" w:rsidRPr="00C324A8" w14:paraId="72B2E27F" w14:textId="77777777" w:rsidTr="00074382">
        <w:trPr>
          <w:cantSplit/>
          <w:trHeight w:val="23"/>
        </w:trPr>
        <w:tc>
          <w:tcPr>
            <w:tcW w:w="6804" w:type="dxa"/>
            <w:shd w:val="clear" w:color="auto" w:fill="auto"/>
          </w:tcPr>
          <w:p w14:paraId="15B7D077" w14:textId="77777777" w:rsidR="00F902DB" w:rsidRPr="00E07105" w:rsidRDefault="00F902DB" w:rsidP="00074382">
            <w:pPr>
              <w:tabs>
                <w:tab w:val="left" w:pos="851"/>
              </w:tabs>
              <w:spacing w:before="0" w:line="240" w:lineRule="atLeast"/>
              <w:rPr>
                <w:rFonts w:cstheme="minorHAnsi"/>
                <w:b/>
                <w:szCs w:val="24"/>
                <w:lang w:val="es-ES_tradnl"/>
              </w:rPr>
            </w:pPr>
            <w:bookmarkStart w:id="7" w:name="ddate" w:colFirst="1" w:colLast="1"/>
            <w:bookmarkStart w:id="8" w:name="dblank" w:colFirst="0" w:colLast="0"/>
            <w:bookmarkEnd w:id="3"/>
            <w:bookmarkEnd w:id="4"/>
          </w:p>
        </w:tc>
        <w:tc>
          <w:tcPr>
            <w:tcW w:w="3227" w:type="dxa"/>
          </w:tcPr>
          <w:p w14:paraId="47C52F42" w14:textId="77777777" w:rsidR="00F902DB" w:rsidRPr="00D96B4B" w:rsidRDefault="00C57502" w:rsidP="00074382">
            <w:pPr>
              <w:spacing w:before="0" w:line="240" w:lineRule="atLeast"/>
              <w:rPr>
                <w:rFonts w:cstheme="minorHAnsi"/>
                <w:szCs w:val="24"/>
              </w:rPr>
            </w:pPr>
            <w:r>
              <w:rPr>
                <w:b/>
                <w:bCs/>
                <w:szCs w:val="28"/>
              </w:rPr>
              <w:t>4</w:t>
            </w:r>
            <w:r w:rsidR="00894F79">
              <w:rPr>
                <w:b/>
                <w:bCs/>
                <w:szCs w:val="28"/>
              </w:rPr>
              <w:t xml:space="preserve"> February </w:t>
            </w:r>
            <w:r w:rsidR="004B633D">
              <w:rPr>
                <w:b/>
                <w:bCs/>
                <w:szCs w:val="28"/>
              </w:rPr>
              <w:t>2020</w:t>
            </w:r>
          </w:p>
        </w:tc>
      </w:tr>
      <w:bookmarkEnd w:id="7"/>
      <w:bookmarkEnd w:id="8"/>
      <w:tr w:rsidR="00F902DB" w:rsidRPr="00C324A8" w14:paraId="39714747" w14:textId="77777777" w:rsidTr="00074382">
        <w:trPr>
          <w:cantSplit/>
          <w:trHeight w:val="23"/>
        </w:trPr>
        <w:tc>
          <w:tcPr>
            <w:tcW w:w="6804" w:type="dxa"/>
            <w:shd w:val="clear" w:color="auto" w:fill="auto"/>
          </w:tcPr>
          <w:p w14:paraId="53A81513" w14:textId="77777777" w:rsidR="00F902DB" w:rsidRPr="00D96B4B" w:rsidRDefault="00F902DB" w:rsidP="00074382">
            <w:pPr>
              <w:tabs>
                <w:tab w:val="left" w:pos="851"/>
              </w:tabs>
              <w:spacing w:before="0" w:line="240" w:lineRule="atLeast"/>
              <w:rPr>
                <w:rFonts w:cstheme="minorHAnsi"/>
                <w:szCs w:val="24"/>
              </w:rPr>
            </w:pPr>
          </w:p>
        </w:tc>
        <w:tc>
          <w:tcPr>
            <w:tcW w:w="3227" w:type="dxa"/>
          </w:tcPr>
          <w:p w14:paraId="723D6C51" w14:textId="77777777" w:rsidR="00F902DB" w:rsidRPr="00D96B4B" w:rsidRDefault="00F902DB" w:rsidP="00074382">
            <w:pPr>
              <w:tabs>
                <w:tab w:val="left" w:pos="993"/>
              </w:tabs>
              <w:spacing w:before="0"/>
              <w:rPr>
                <w:rFonts w:cstheme="minorHAnsi"/>
                <w:b/>
                <w:szCs w:val="24"/>
              </w:rPr>
            </w:pPr>
            <w:r>
              <w:rPr>
                <w:b/>
                <w:bCs/>
                <w:szCs w:val="24"/>
                <w:lang w:val="fr-FR"/>
              </w:rPr>
              <w:t xml:space="preserve">Original: </w:t>
            </w:r>
            <w:r w:rsidRPr="00B62876">
              <w:rPr>
                <w:b/>
                <w:bCs/>
                <w:szCs w:val="24"/>
                <w:lang w:val="fr-FR"/>
              </w:rPr>
              <w:t>English</w:t>
            </w:r>
          </w:p>
        </w:tc>
      </w:tr>
      <w:tr w:rsidR="00BD58E4" w:rsidRPr="00C324A8" w14:paraId="2232D090" w14:textId="77777777" w:rsidTr="00074382">
        <w:trPr>
          <w:cantSplit/>
          <w:trHeight w:val="23"/>
        </w:trPr>
        <w:tc>
          <w:tcPr>
            <w:tcW w:w="10031" w:type="dxa"/>
            <w:gridSpan w:val="2"/>
            <w:shd w:val="clear" w:color="auto" w:fill="auto"/>
          </w:tcPr>
          <w:p w14:paraId="49C83F57" w14:textId="77777777" w:rsidR="00BD58E4" w:rsidRPr="00D83BF5" w:rsidRDefault="00BD58E4" w:rsidP="00074382">
            <w:pPr>
              <w:pStyle w:val="Source"/>
              <w:spacing w:before="240" w:after="240"/>
            </w:pPr>
            <w:bookmarkStart w:id="9" w:name="dbluepink" w:colFirst="0" w:colLast="0"/>
            <w:r w:rsidRPr="003604FB">
              <w:rPr>
                <w:bCs/>
                <w:szCs w:val="28"/>
                <w:lang w:val="en-US"/>
              </w:rPr>
              <w:t>Director</w:t>
            </w:r>
            <w:r>
              <w:rPr>
                <w:bCs/>
                <w:szCs w:val="28"/>
                <w:lang w:val="en-US"/>
              </w:rPr>
              <w:t>,</w:t>
            </w:r>
            <w:r w:rsidRPr="003604FB">
              <w:rPr>
                <w:bCs/>
                <w:szCs w:val="28"/>
                <w:lang w:val="en-US"/>
              </w:rPr>
              <w:t xml:space="preserve"> </w:t>
            </w:r>
            <w:r>
              <w:rPr>
                <w:bCs/>
                <w:szCs w:val="28"/>
                <w:lang w:val="en-US"/>
              </w:rPr>
              <w:t>Telecommunication Development Bureau</w:t>
            </w:r>
          </w:p>
        </w:tc>
      </w:tr>
      <w:tr w:rsidR="00BD58E4" w:rsidRPr="00C324A8" w14:paraId="1C645DA0" w14:textId="77777777" w:rsidTr="00074382">
        <w:trPr>
          <w:cantSplit/>
          <w:trHeight w:val="23"/>
        </w:trPr>
        <w:tc>
          <w:tcPr>
            <w:tcW w:w="10031" w:type="dxa"/>
            <w:gridSpan w:val="2"/>
            <w:shd w:val="clear" w:color="auto" w:fill="auto"/>
            <w:vAlign w:val="center"/>
          </w:tcPr>
          <w:p w14:paraId="1277E3A1" w14:textId="77777777" w:rsidR="00BD58E4" w:rsidRDefault="00BD58E4" w:rsidP="00B832F3">
            <w:pPr>
              <w:pStyle w:val="Title1"/>
              <w:spacing w:before="120" w:after="120"/>
            </w:pPr>
            <w:r w:rsidRPr="00FA3AD6">
              <w:rPr>
                <w:bCs/>
              </w:rPr>
              <w:t>ITU-D Sector members</w:t>
            </w:r>
            <w:r w:rsidR="00B832F3">
              <w:rPr>
                <w:bCs/>
              </w:rPr>
              <w:t>,</w:t>
            </w:r>
            <w:r w:rsidR="003952D7">
              <w:rPr>
                <w:bCs/>
              </w:rPr>
              <w:t xml:space="preserve"> </w:t>
            </w:r>
            <w:r w:rsidR="00B343C1">
              <w:rPr>
                <w:bCs/>
              </w:rPr>
              <w:t>Associates and academia</w:t>
            </w:r>
          </w:p>
        </w:tc>
      </w:tr>
      <w:tr w:rsidR="00BD58E4" w:rsidRPr="00C324A8" w14:paraId="2FB1C295" w14:textId="77777777" w:rsidTr="00074382">
        <w:trPr>
          <w:cantSplit/>
          <w:trHeight w:val="23"/>
        </w:trPr>
        <w:tc>
          <w:tcPr>
            <w:tcW w:w="10031" w:type="dxa"/>
            <w:gridSpan w:val="2"/>
            <w:tcBorders>
              <w:bottom w:val="single" w:sz="4" w:space="0" w:color="auto"/>
            </w:tcBorders>
            <w:shd w:val="clear" w:color="auto" w:fill="auto"/>
          </w:tcPr>
          <w:p w14:paraId="51687733" w14:textId="77777777" w:rsidR="00BD58E4" w:rsidRPr="00B911B2" w:rsidRDefault="00BD58E4" w:rsidP="00074382">
            <w:pPr>
              <w:pStyle w:val="Title1"/>
              <w:spacing w:before="120" w:after="120"/>
              <w:jc w:val="left"/>
              <w:rPr>
                <w:rFonts w:cs="Times New Roman Bold"/>
                <w:caps w:val="0"/>
                <w:szCs w:val="28"/>
              </w:rPr>
            </w:pPr>
          </w:p>
        </w:tc>
      </w:tr>
      <w:tr w:rsidR="00BD58E4" w:rsidRPr="00C324A8" w14:paraId="69435987" w14:textId="77777777" w:rsidTr="00074382">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5182ACEA" w14:textId="77777777" w:rsidR="00BD58E4" w:rsidRDefault="00BD58E4" w:rsidP="00074382">
            <w:pPr>
              <w:rPr>
                <w:sz w:val="20"/>
                <w:lang w:val="en-AU"/>
              </w:rPr>
            </w:pPr>
            <w:r w:rsidRPr="00D9621A">
              <w:rPr>
                <w:b/>
                <w:bCs/>
                <w:szCs w:val="24"/>
              </w:rPr>
              <w:t>Summary:</w:t>
            </w:r>
            <w:r w:rsidR="0010309D">
              <w:rPr>
                <w:b/>
                <w:bCs/>
                <w:szCs w:val="24"/>
              </w:rPr>
              <w:t xml:space="preserve"> </w:t>
            </w:r>
          </w:p>
          <w:p w14:paraId="1D305E3C" w14:textId="77777777" w:rsidR="00BD58E4" w:rsidRDefault="00BD58E4" w:rsidP="00096C36">
            <w:pPr>
              <w:rPr>
                <w:szCs w:val="24"/>
                <w:lang w:val="en-US"/>
              </w:rPr>
            </w:pPr>
            <w:r w:rsidRPr="00FA3AD6">
              <w:rPr>
                <w:szCs w:val="24"/>
                <w:lang w:val="en-US"/>
              </w:rPr>
              <w:t>This document provides an overview of the evolution of ITU-D</w:t>
            </w:r>
            <w:r>
              <w:rPr>
                <w:szCs w:val="24"/>
                <w:lang w:val="en-US"/>
              </w:rPr>
              <w:t xml:space="preserve"> membership</w:t>
            </w:r>
            <w:r w:rsidR="009C0EEE">
              <w:rPr>
                <w:szCs w:val="24"/>
                <w:lang w:val="en-US"/>
              </w:rPr>
              <w:t xml:space="preserve">. It also </w:t>
            </w:r>
            <w:r w:rsidR="0089426F">
              <w:rPr>
                <w:szCs w:val="24"/>
                <w:lang w:val="en-US"/>
              </w:rPr>
              <w:t>recommends</w:t>
            </w:r>
            <w:r w:rsidR="0089426F" w:rsidRPr="00FA3AD6">
              <w:rPr>
                <w:szCs w:val="24"/>
                <w:lang w:val="en-US"/>
              </w:rPr>
              <w:t xml:space="preserve"> actions</w:t>
            </w:r>
            <w:r w:rsidRPr="00FA3AD6">
              <w:rPr>
                <w:szCs w:val="24"/>
                <w:lang w:val="en-US"/>
              </w:rPr>
              <w:t xml:space="preserve"> to strengthen</w:t>
            </w:r>
            <w:r w:rsidR="008A36BE">
              <w:rPr>
                <w:szCs w:val="24"/>
                <w:lang w:val="en-US"/>
              </w:rPr>
              <w:t xml:space="preserve"> this</w:t>
            </w:r>
            <w:r w:rsidRPr="00FA3AD6">
              <w:rPr>
                <w:szCs w:val="24"/>
                <w:lang w:val="en-US"/>
              </w:rPr>
              <w:t xml:space="preserve"> membership in accordance with the outcomes of </w:t>
            </w:r>
            <w:r w:rsidR="00D95D44">
              <w:rPr>
                <w:szCs w:val="24"/>
                <w:lang w:val="en-US"/>
              </w:rPr>
              <w:t xml:space="preserve">the </w:t>
            </w:r>
            <w:r w:rsidR="00D95D44" w:rsidRPr="0010309D">
              <w:rPr>
                <w:szCs w:val="24"/>
              </w:rPr>
              <w:t xml:space="preserve">World Telecommunication Development Conference </w:t>
            </w:r>
            <w:r w:rsidR="008A36BE">
              <w:rPr>
                <w:szCs w:val="24"/>
              </w:rPr>
              <w:t>of</w:t>
            </w:r>
            <w:r w:rsidR="00D95D44" w:rsidRPr="0010309D">
              <w:rPr>
                <w:szCs w:val="24"/>
              </w:rPr>
              <w:t xml:space="preserve"> 2017 </w:t>
            </w:r>
            <w:r w:rsidR="00D95D44">
              <w:rPr>
                <w:szCs w:val="24"/>
              </w:rPr>
              <w:t>(</w:t>
            </w:r>
            <w:r w:rsidRPr="00FA3AD6">
              <w:rPr>
                <w:szCs w:val="24"/>
                <w:lang w:val="en-US"/>
              </w:rPr>
              <w:t>WTDC-</w:t>
            </w:r>
            <w:r>
              <w:rPr>
                <w:szCs w:val="24"/>
                <w:lang w:val="en-US"/>
              </w:rPr>
              <w:t>17</w:t>
            </w:r>
            <w:r w:rsidR="00D95D44">
              <w:rPr>
                <w:szCs w:val="24"/>
                <w:lang w:val="en-US"/>
              </w:rPr>
              <w:t>)</w:t>
            </w:r>
            <w:r>
              <w:rPr>
                <w:szCs w:val="24"/>
                <w:lang w:val="en-US"/>
              </w:rPr>
              <w:t xml:space="preserve"> and </w:t>
            </w:r>
            <w:r w:rsidR="00D95D44">
              <w:rPr>
                <w:szCs w:val="24"/>
                <w:lang w:val="en-US"/>
              </w:rPr>
              <w:t>the Plenipotentiary Conference</w:t>
            </w:r>
            <w:r w:rsidR="008A36BE">
              <w:rPr>
                <w:szCs w:val="24"/>
                <w:lang w:val="en-US"/>
              </w:rPr>
              <w:t xml:space="preserve"> of 2018</w:t>
            </w:r>
            <w:r w:rsidR="00D95D44">
              <w:rPr>
                <w:szCs w:val="24"/>
                <w:lang w:val="en-US"/>
              </w:rPr>
              <w:t xml:space="preserve">. </w:t>
            </w:r>
            <w:r w:rsidR="00B343C1" w:rsidRPr="00FA3AD6">
              <w:rPr>
                <w:szCs w:val="24"/>
                <w:lang w:val="en-US"/>
              </w:rPr>
              <w:t xml:space="preserve">ITU-D membership includes Sector Members, Associates and </w:t>
            </w:r>
            <w:r w:rsidR="00B343C1" w:rsidRPr="00096C36">
              <w:rPr>
                <w:szCs w:val="24"/>
                <w:lang w:val="en-US"/>
              </w:rPr>
              <w:t>Academia</w:t>
            </w:r>
            <w:bookmarkStart w:id="10" w:name="dorlang"/>
            <w:bookmarkEnd w:id="10"/>
            <w:r w:rsidR="00041E9F" w:rsidRPr="001E2E4D">
              <w:rPr>
                <w:rStyle w:val="FootnoteReference"/>
                <w:szCs w:val="24"/>
              </w:rPr>
              <w:footnoteReference w:id="1"/>
            </w:r>
            <w:r w:rsidR="00B343C1" w:rsidRPr="00FA3AD6">
              <w:rPr>
                <w:szCs w:val="24"/>
                <w:lang w:val="en-US"/>
              </w:rPr>
              <w:t>.</w:t>
            </w:r>
          </w:p>
          <w:p w14:paraId="639BD360" w14:textId="77777777" w:rsidR="00BD58E4" w:rsidRDefault="00BD58E4" w:rsidP="00074382">
            <w:pPr>
              <w:rPr>
                <w:b/>
                <w:bCs/>
              </w:rPr>
            </w:pPr>
            <w:r>
              <w:rPr>
                <w:b/>
                <w:bCs/>
              </w:rPr>
              <w:t xml:space="preserve">Action Required: </w:t>
            </w:r>
          </w:p>
          <w:p w14:paraId="6C08F0D3" w14:textId="77777777" w:rsidR="00BD58E4" w:rsidRDefault="00BD58E4" w:rsidP="00161C25">
            <w:pPr>
              <w:rPr>
                <w:szCs w:val="24"/>
                <w:lang w:val="en-US"/>
              </w:rPr>
            </w:pPr>
            <w:r w:rsidRPr="00FA3AD6">
              <w:rPr>
                <w:szCs w:val="24"/>
                <w:lang w:val="en-US"/>
              </w:rPr>
              <w:t xml:space="preserve">TDAG is invited to note the </w:t>
            </w:r>
            <w:r w:rsidR="00161C25">
              <w:rPr>
                <w:szCs w:val="24"/>
                <w:lang w:val="en-US"/>
              </w:rPr>
              <w:t>document</w:t>
            </w:r>
            <w:r w:rsidRPr="00FA3AD6">
              <w:rPr>
                <w:szCs w:val="24"/>
                <w:lang w:val="en-US"/>
              </w:rPr>
              <w:t xml:space="preserve"> and provide guidance as deemed appropriate.</w:t>
            </w:r>
          </w:p>
          <w:p w14:paraId="2E0BBE86" w14:textId="77777777" w:rsidR="00BD58E4" w:rsidRDefault="00BD58E4" w:rsidP="00074382">
            <w:pPr>
              <w:rPr>
                <w:b/>
                <w:bCs/>
              </w:rPr>
            </w:pPr>
            <w:r w:rsidRPr="00A550B6">
              <w:rPr>
                <w:b/>
                <w:bCs/>
              </w:rPr>
              <w:t xml:space="preserve">References: </w:t>
            </w:r>
          </w:p>
          <w:p w14:paraId="1398D580" w14:textId="77777777" w:rsidR="00BD58E4" w:rsidRPr="00D9621A" w:rsidRDefault="00BD58E4" w:rsidP="00205C07">
            <w:pPr>
              <w:spacing w:after="120"/>
            </w:pPr>
            <w:r w:rsidRPr="00FA3AD6">
              <w:t xml:space="preserve">Resolution 71 (Rev. Buenos </w:t>
            </w:r>
            <w:r>
              <w:t>Aires, 2017)</w:t>
            </w:r>
            <w:r w:rsidR="008A36BE">
              <w:t xml:space="preserve"> of </w:t>
            </w:r>
            <w:r w:rsidR="008A36BE" w:rsidRPr="00FA3AD6">
              <w:t>WTDC</w:t>
            </w:r>
            <w:r>
              <w:t>; Res</w:t>
            </w:r>
            <w:r w:rsidR="00A252AE">
              <w:t>olution</w:t>
            </w:r>
            <w:r w:rsidR="008A36BE">
              <w:t>s</w:t>
            </w:r>
            <w:r w:rsidR="00A252AE">
              <w:t xml:space="preserve"> </w:t>
            </w:r>
            <w:r>
              <w:t>169 (Rev. Dubai, 2018)</w:t>
            </w:r>
            <w:r w:rsidR="00F472E0">
              <w:t>, 205 (Dubai, 2018) and</w:t>
            </w:r>
            <w:r w:rsidR="00B343C1">
              <w:t xml:space="preserve"> 209</w:t>
            </w:r>
            <w:r w:rsidR="00F472E0">
              <w:t xml:space="preserve"> (Dubai, 2018</w:t>
            </w:r>
            <w:r w:rsidR="00280655">
              <w:t>)</w:t>
            </w:r>
            <w:r w:rsidR="008A36BE">
              <w:t xml:space="preserve"> of </w:t>
            </w:r>
            <w:r w:rsidR="008A36BE">
              <w:rPr>
                <w:szCs w:val="24"/>
                <w:lang w:val="en-US"/>
              </w:rPr>
              <w:t>the Plenipotentiary Conference</w:t>
            </w:r>
            <w:r w:rsidR="00F472E0">
              <w:t>.</w:t>
            </w:r>
            <w:r w:rsidR="000443B5">
              <w:t xml:space="preserve"> </w:t>
            </w:r>
          </w:p>
        </w:tc>
      </w:tr>
      <w:bookmarkEnd w:id="9"/>
    </w:tbl>
    <w:p w14:paraId="57CE7B90" w14:textId="77777777" w:rsidR="00BD58E4" w:rsidRDefault="00BD58E4" w:rsidP="00BD58E4">
      <w:pPr>
        <w:tabs>
          <w:tab w:val="clear" w:pos="1134"/>
          <w:tab w:val="clear" w:pos="1871"/>
          <w:tab w:val="clear" w:pos="2268"/>
        </w:tabs>
        <w:overflowPunct/>
        <w:autoSpaceDE/>
        <w:autoSpaceDN/>
        <w:adjustRightInd/>
        <w:spacing w:before="0"/>
        <w:textAlignment w:val="auto"/>
        <w:rPr>
          <w:szCs w:val="24"/>
        </w:rPr>
      </w:pPr>
    </w:p>
    <w:p w14:paraId="27673641" w14:textId="77777777" w:rsidR="00BD58E4" w:rsidRDefault="00BD58E4" w:rsidP="00BD58E4">
      <w:pPr>
        <w:tabs>
          <w:tab w:val="clear" w:pos="1134"/>
          <w:tab w:val="clear" w:pos="1871"/>
          <w:tab w:val="clear" w:pos="2268"/>
        </w:tabs>
        <w:overflowPunct/>
        <w:autoSpaceDE/>
        <w:autoSpaceDN/>
        <w:adjustRightInd/>
        <w:spacing w:before="0"/>
        <w:textAlignment w:val="auto"/>
        <w:rPr>
          <w:rFonts w:eastAsiaTheme="minorEastAsia" w:cstheme="minorBidi"/>
          <w:b/>
          <w:bCs/>
          <w:szCs w:val="24"/>
          <w:lang w:val="en-US" w:eastAsia="zh-CN"/>
        </w:rPr>
      </w:pPr>
      <w:r>
        <w:rPr>
          <w:b/>
          <w:bCs/>
          <w:szCs w:val="24"/>
        </w:rPr>
        <w:br w:type="page"/>
      </w:r>
    </w:p>
    <w:p w14:paraId="3D992784" w14:textId="77777777" w:rsidR="00BD58E4" w:rsidRPr="0010309D" w:rsidRDefault="00BD58E4" w:rsidP="0010309D">
      <w:pPr>
        <w:pStyle w:val="PlainText"/>
        <w:numPr>
          <w:ilvl w:val="0"/>
          <w:numId w:val="4"/>
        </w:numPr>
        <w:spacing w:before="120" w:after="120"/>
        <w:ind w:left="357" w:hanging="357"/>
        <w:rPr>
          <w:rFonts w:asciiTheme="minorHAnsi" w:hAnsiTheme="minorHAnsi"/>
          <w:b/>
          <w:bCs/>
          <w:sz w:val="24"/>
          <w:szCs w:val="24"/>
        </w:rPr>
      </w:pPr>
      <w:r w:rsidRPr="0010309D">
        <w:rPr>
          <w:rFonts w:asciiTheme="minorHAnsi" w:hAnsiTheme="minorHAnsi"/>
          <w:b/>
          <w:bCs/>
          <w:sz w:val="24"/>
          <w:szCs w:val="24"/>
        </w:rPr>
        <w:lastRenderedPageBreak/>
        <w:t>Background</w:t>
      </w:r>
    </w:p>
    <w:p w14:paraId="378DCCDE" w14:textId="77777777" w:rsidR="00BD58E4" w:rsidRPr="0010309D" w:rsidRDefault="009C0EEE">
      <w:pPr>
        <w:spacing w:after="120"/>
        <w:rPr>
          <w:szCs w:val="24"/>
        </w:rPr>
      </w:pPr>
      <w:r>
        <w:rPr>
          <w:szCs w:val="24"/>
        </w:rPr>
        <w:t xml:space="preserve">The </w:t>
      </w:r>
      <w:r w:rsidR="00BD58E4" w:rsidRPr="0010309D">
        <w:rPr>
          <w:szCs w:val="24"/>
        </w:rPr>
        <w:t>World Telecommunication Development Conference in 2017 (WTDC-17)</w:t>
      </w:r>
      <w:r w:rsidR="0010309D">
        <w:rPr>
          <w:szCs w:val="24"/>
        </w:rPr>
        <w:t xml:space="preserve"> </w:t>
      </w:r>
      <w:r w:rsidR="00BD58E4" w:rsidRPr="0010309D">
        <w:rPr>
          <w:szCs w:val="24"/>
        </w:rPr>
        <w:t>revised and adopted Resolution 71 (Rev. Buenos Aires, 2017</w:t>
      </w:r>
      <w:r w:rsidR="00E36FBE">
        <w:rPr>
          <w:rStyle w:val="FootnoteReference"/>
          <w:szCs w:val="24"/>
        </w:rPr>
        <w:footnoteReference w:id="2"/>
      </w:r>
      <w:r w:rsidR="00BD58E4" w:rsidRPr="0010309D">
        <w:rPr>
          <w:szCs w:val="24"/>
        </w:rPr>
        <w:t>) to promote active involvement of current Sector Members</w:t>
      </w:r>
      <w:r w:rsidR="008A36BE">
        <w:rPr>
          <w:szCs w:val="24"/>
        </w:rPr>
        <w:t xml:space="preserve">, </w:t>
      </w:r>
      <w:r w:rsidR="00BD58E4" w:rsidRPr="0010309D">
        <w:rPr>
          <w:szCs w:val="24"/>
        </w:rPr>
        <w:t xml:space="preserve">Associates and </w:t>
      </w:r>
      <w:r w:rsidR="00096C36">
        <w:rPr>
          <w:szCs w:val="24"/>
        </w:rPr>
        <w:t xml:space="preserve"> </w:t>
      </w:r>
      <w:r w:rsidR="00BD58E4" w:rsidRPr="0010309D">
        <w:rPr>
          <w:szCs w:val="24"/>
        </w:rPr>
        <w:t xml:space="preserve">Academia in ITU-D activities, including participation in the work of ITU-D </w:t>
      </w:r>
      <w:r w:rsidR="008A36BE">
        <w:rPr>
          <w:szCs w:val="24"/>
        </w:rPr>
        <w:t>s</w:t>
      </w:r>
      <w:r w:rsidR="00BD58E4" w:rsidRPr="0010309D">
        <w:rPr>
          <w:szCs w:val="24"/>
        </w:rPr>
        <w:t xml:space="preserve">tudy </w:t>
      </w:r>
      <w:r w:rsidR="008A36BE">
        <w:rPr>
          <w:szCs w:val="24"/>
        </w:rPr>
        <w:t>g</w:t>
      </w:r>
      <w:r w:rsidR="00BD58E4" w:rsidRPr="0010309D">
        <w:rPr>
          <w:szCs w:val="24"/>
        </w:rPr>
        <w:t xml:space="preserve">roups and </w:t>
      </w:r>
      <w:r w:rsidR="00B343C1">
        <w:rPr>
          <w:szCs w:val="24"/>
        </w:rPr>
        <w:t xml:space="preserve">to </w:t>
      </w:r>
      <w:r w:rsidR="00267A57">
        <w:rPr>
          <w:szCs w:val="24"/>
        </w:rPr>
        <w:t xml:space="preserve">attract new members </w:t>
      </w:r>
      <w:r w:rsidR="00BD58E4" w:rsidRPr="0010309D">
        <w:rPr>
          <w:szCs w:val="24"/>
        </w:rPr>
        <w:t>from the public, private and academic sectors</w:t>
      </w:r>
      <w:r w:rsidR="00267A57">
        <w:rPr>
          <w:szCs w:val="24"/>
        </w:rPr>
        <w:t xml:space="preserve">. </w:t>
      </w:r>
    </w:p>
    <w:p w14:paraId="55F9394A" w14:textId="77777777" w:rsidR="00BD58E4" w:rsidRPr="0010309D" w:rsidRDefault="00BD58E4" w:rsidP="0010309D">
      <w:pPr>
        <w:spacing w:after="120"/>
        <w:rPr>
          <w:szCs w:val="24"/>
        </w:rPr>
      </w:pPr>
      <w:r w:rsidRPr="0010309D">
        <w:rPr>
          <w:szCs w:val="24"/>
        </w:rPr>
        <w:t xml:space="preserve">Resolution 71 (Rev. Buenos Aires, 2017) </w:t>
      </w:r>
      <w:r w:rsidR="00A2436C">
        <w:rPr>
          <w:szCs w:val="24"/>
        </w:rPr>
        <w:t xml:space="preserve"> has brought </w:t>
      </w:r>
      <w:r w:rsidRPr="0010309D">
        <w:rPr>
          <w:szCs w:val="24"/>
        </w:rPr>
        <w:t>enhanced focus to the evolving role of the private sector in ITU-D</w:t>
      </w:r>
      <w:r w:rsidR="001465B0">
        <w:rPr>
          <w:szCs w:val="24"/>
        </w:rPr>
        <w:t>,</w:t>
      </w:r>
      <w:r w:rsidR="00A1458C">
        <w:rPr>
          <w:szCs w:val="24"/>
        </w:rPr>
        <w:t xml:space="preserve"> with its instruction to </w:t>
      </w:r>
      <w:r w:rsidR="006E0167">
        <w:rPr>
          <w:szCs w:val="24"/>
        </w:rPr>
        <w:t>BDT to continue  to organize meetings for high-level industry executives</w:t>
      </w:r>
      <w:r w:rsidR="00A1458C">
        <w:rPr>
          <w:szCs w:val="24"/>
        </w:rPr>
        <w:t xml:space="preserve"> such as</w:t>
      </w:r>
      <w:r w:rsidR="00ED7B1E">
        <w:rPr>
          <w:szCs w:val="24"/>
        </w:rPr>
        <w:t xml:space="preserve"> </w:t>
      </w:r>
      <w:r w:rsidRPr="0010309D">
        <w:rPr>
          <w:szCs w:val="24"/>
        </w:rPr>
        <w:t xml:space="preserve">the </w:t>
      </w:r>
      <w:r w:rsidRPr="0010309D">
        <w:rPr>
          <w:iCs/>
          <w:szCs w:val="24"/>
        </w:rPr>
        <w:t xml:space="preserve">Industry Advisory Group for Development </w:t>
      </w:r>
      <w:r w:rsidR="009136F3">
        <w:rPr>
          <w:iCs/>
          <w:szCs w:val="24"/>
        </w:rPr>
        <w:t>I</w:t>
      </w:r>
      <w:r w:rsidRPr="0010309D">
        <w:rPr>
          <w:iCs/>
          <w:szCs w:val="24"/>
        </w:rPr>
        <w:t>ssues (IAGDI)</w:t>
      </w:r>
      <w:r w:rsidR="00ED7B1E">
        <w:rPr>
          <w:iCs/>
          <w:szCs w:val="24"/>
        </w:rPr>
        <w:t xml:space="preserve">. </w:t>
      </w:r>
      <w:r w:rsidR="001465B0">
        <w:rPr>
          <w:szCs w:val="24"/>
        </w:rPr>
        <w:t xml:space="preserve"> A</w:t>
      </w:r>
      <w:r w:rsidRPr="0010309D">
        <w:rPr>
          <w:szCs w:val="24"/>
        </w:rPr>
        <w:t xml:space="preserve"> wide </w:t>
      </w:r>
      <w:r w:rsidRPr="0010309D">
        <w:rPr>
          <w:szCs w:val="24"/>
          <w:lang w:eastAsia="en-AU"/>
        </w:rPr>
        <w:t>representation of industry from the ITU</w:t>
      </w:r>
      <w:r w:rsidRPr="0010309D">
        <w:rPr>
          <w:szCs w:val="24"/>
          <w:lang w:eastAsia="en-AU"/>
        </w:rPr>
        <w:noBreakHyphen/>
        <w:t>D Sector Members from all regions</w:t>
      </w:r>
      <w:r w:rsidR="001465B0">
        <w:rPr>
          <w:szCs w:val="24"/>
          <w:lang w:eastAsia="en-AU"/>
        </w:rPr>
        <w:t xml:space="preserve"> participate in </w:t>
      </w:r>
      <w:r w:rsidR="001465B0" w:rsidRPr="0010309D">
        <w:rPr>
          <w:iCs/>
          <w:szCs w:val="24"/>
        </w:rPr>
        <w:t>IAGDI</w:t>
      </w:r>
      <w:r w:rsidR="001465B0">
        <w:rPr>
          <w:iCs/>
          <w:szCs w:val="24"/>
        </w:rPr>
        <w:t xml:space="preserve"> meetings</w:t>
      </w:r>
      <w:r w:rsidRPr="0010309D">
        <w:rPr>
          <w:szCs w:val="24"/>
          <w:lang w:eastAsia="en-AU"/>
        </w:rPr>
        <w:t>.</w:t>
      </w:r>
      <w:r w:rsidR="004C0089">
        <w:rPr>
          <w:szCs w:val="24"/>
          <w:lang w:eastAsia="en-AU"/>
        </w:rPr>
        <w:t xml:space="preserve"> </w:t>
      </w:r>
      <w:r w:rsidR="002A703C">
        <w:rPr>
          <w:szCs w:val="24"/>
          <w:lang w:eastAsia="en-AU"/>
        </w:rPr>
        <w:t>The resolution also recognizes the work of the Chief Regulatory Officers (CRO).</w:t>
      </w:r>
    </w:p>
    <w:p w14:paraId="5517A126" w14:textId="77777777" w:rsidR="00BD58E4" w:rsidRPr="0010309D" w:rsidRDefault="00BD58E4" w:rsidP="00B343C1">
      <w:pPr>
        <w:pStyle w:val="PlainText"/>
        <w:spacing w:before="120" w:after="120"/>
        <w:rPr>
          <w:rFonts w:asciiTheme="minorHAnsi" w:hAnsiTheme="minorHAnsi"/>
          <w:sz w:val="24"/>
          <w:szCs w:val="24"/>
          <w:lang w:val="en-GB"/>
        </w:rPr>
      </w:pPr>
      <w:r w:rsidRPr="0010309D">
        <w:rPr>
          <w:rFonts w:asciiTheme="minorHAnsi" w:hAnsiTheme="minorHAnsi"/>
          <w:sz w:val="24"/>
          <w:szCs w:val="24"/>
        </w:rPr>
        <w:t xml:space="preserve">Furthermore, the Plenipotentiary Conference in 2018 (PP-18) adopted several </w:t>
      </w:r>
      <w:r w:rsidR="009136F3">
        <w:rPr>
          <w:rFonts w:asciiTheme="minorHAnsi" w:hAnsiTheme="minorHAnsi"/>
          <w:sz w:val="24"/>
          <w:szCs w:val="24"/>
        </w:rPr>
        <w:t>r</w:t>
      </w:r>
      <w:r w:rsidRPr="0010309D">
        <w:rPr>
          <w:rFonts w:asciiTheme="minorHAnsi" w:hAnsiTheme="minorHAnsi"/>
          <w:sz w:val="24"/>
          <w:szCs w:val="24"/>
        </w:rPr>
        <w:t>esolutions related to membership, such as Resolu</w:t>
      </w:r>
      <w:r w:rsidR="00280655">
        <w:rPr>
          <w:rFonts w:asciiTheme="minorHAnsi" w:hAnsiTheme="minorHAnsi"/>
          <w:sz w:val="24"/>
          <w:szCs w:val="24"/>
        </w:rPr>
        <w:t xml:space="preserve">tion </w:t>
      </w:r>
      <w:r w:rsidR="00B343C1">
        <w:rPr>
          <w:rFonts w:asciiTheme="minorHAnsi" w:hAnsiTheme="minorHAnsi"/>
          <w:sz w:val="24"/>
          <w:szCs w:val="24"/>
        </w:rPr>
        <w:t>209</w:t>
      </w:r>
      <w:r w:rsidRPr="0010309D">
        <w:rPr>
          <w:rFonts w:asciiTheme="minorHAnsi" w:hAnsiTheme="minorHAnsi"/>
          <w:sz w:val="24"/>
          <w:szCs w:val="24"/>
        </w:rPr>
        <w:t xml:space="preserve"> (Dubai, 2018) which encourages the participation of </w:t>
      </w:r>
      <w:r w:rsidR="009136F3">
        <w:rPr>
          <w:rFonts w:asciiTheme="minorHAnsi" w:hAnsiTheme="minorHAnsi"/>
          <w:sz w:val="24"/>
          <w:szCs w:val="24"/>
        </w:rPr>
        <w:t>small</w:t>
      </w:r>
      <w:r w:rsidR="00380174">
        <w:rPr>
          <w:rFonts w:asciiTheme="minorHAnsi" w:hAnsiTheme="minorHAnsi"/>
          <w:sz w:val="24"/>
          <w:szCs w:val="24"/>
        </w:rPr>
        <w:t xml:space="preserve"> </w:t>
      </w:r>
      <w:r w:rsidR="009136F3">
        <w:rPr>
          <w:rFonts w:asciiTheme="minorHAnsi" w:hAnsiTheme="minorHAnsi"/>
          <w:sz w:val="24"/>
          <w:szCs w:val="24"/>
        </w:rPr>
        <w:t>and medium</w:t>
      </w:r>
      <w:r w:rsidR="00BA6D53">
        <w:rPr>
          <w:rFonts w:asciiTheme="minorHAnsi" w:hAnsiTheme="minorHAnsi"/>
          <w:sz w:val="24"/>
          <w:szCs w:val="24"/>
        </w:rPr>
        <w:t xml:space="preserve"> </w:t>
      </w:r>
      <w:r w:rsidR="009136F3">
        <w:rPr>
          <w:rFonts w:asciiTheme="minorHAnsi" w:hAnsiTheme="minorHAnsi"/>
          <w:sz w:val="24"/>
          <w:szCs w:val="24"/>
        </w:rPr>
        <w:t>enterprises (</w:t>
      </w:r>
      <w:r w:rsidRPr="0010309D">
        <w:rPr>
          <w:rFonts w:asciiTheme="minorHAnsi" w:hAnsiTheme="minorHAnsi"/>
          <w:sz w:val="24"/>
          <w:szCs w:val="24"/>
        </w:rPr>
        <w:t>SMEs</w:t>
      </w:r>
      <w:r w:rsidR="009136F3">
        <w:rPr>
          <w:rFonts w:asciiTheme="minorHAnsi" w:hAnsiTheme="minorHAnsi"/>
          <w:sz w:val="24"/>
          <w:szCs w:val="24"/>
        </w:rPr>
        <w:t>)</w:t>
      </w:r>
      <w:r w:rsidRPr="0010309D">
        <w:rPr>
          <w:rFonts w:asciiTheme="minorHAnsi" w:hAnsiTheme="minorHAnsi"/>
          <w:sz w:val="24"/>
          <w:szCs w:val="24"/>
        </w:rPr>
        <w:t xml:space="preserve"> in the work of the Union. </w:t>
      </w:r>
    </w:p>
    <w:p w14:paraId="068E23C6" w14:textId="77777777" w:rsidR="00BD58E4" w:rsidRPr="00DF5911" w:rsidRDefault="00BD58E4" w:rsidP="0010309D">
      <w:pPr>
        <w:pStyle w:val="PlainText"/>
        <w:spacing w:before="120" w:after="120"/>
        <w:rPr>
          <w:rFonts w:asciiTheme="minorHAnsi" w:hAnsiTheme="minorHAnsi"/>
          <w:sz w:val="24"/>
          <w:szCs w:val="24"/>
        </w:rPr>
      </w:pPr>
      <w:r w:rsidRPr="0010309D">
        <w:rPr>
          <w:rFonts w:asciiTheme="minorHAnsi" w:hAnsiTheme="minorHAnsi"/>
          <w:sz w:val="24"/>
          <w:szCs w:val="24"/>
        </w:rPr>
        <w:t xml:space="preserve"> </w:t>
      </w:r>
      <w:r w:rsidR="00EF6F62">
        <w:rPr>
          <w:rFonts w:asciiTheme="minorHAnsi" w:hAnsiTheme="minorHAnsi"/>
          <w:sz w:val="24"/>
          <w:szCs w:val="24"/>
        </w:rPr>
        <w:t>R</w:t>
      </w:r>
      <w:r w:rsidR="00267A57">
        <w:rPr>
          <w:rFonts w:asciiTheme="minorHAnsi" w:hAnsiTheme="minorHAnsi"/>
          <w:sz w:val="24"/>
          <w:szCs w:val="24"/>
        </w:rPr>
        <w:t xml:space="preserve">evisions to </w:t>
      </w:r>
      <w:r w:rsidRPr="0010309D">
        <w:rPr>
          <w:rFonts w:asciiTheme="minorHAnsi" w:hAnsiTheme="minorHAnsi"/>
          <w:sz w:val="24"/>
          <w:szCs w:val="24"/>
        </w:rPr>
        <w:t xml:space="preserve">Resolution 169 </w:t>
      </w:r>
      <w:r w:rsidR="009136F3">
        <w:t>(Rev. Dubai, 2018)</w:t>
      </w:r>
      <w:r w:rsidR="001465B0">
        <w:t xml:space="preserve"> </w:t>
      </w:r>
      <w:r w:rsidR="00EF6F62">
        <w:rPr>
          <w:rFonts w:asciiTheme="minorHAnsi" w:hAnsiTheme="minorHAnsi"/>
          <w:sz w:val="24"/>
          <w:szCs w:val="24"/>
        </w:rPr>
        <w:t xml:space="preserve">now allow </w:t>
      </w:r>
      <w:r w:rsidRPr="0010309D">
        <w:rPr>
          <w:rFonts w:asciiTheme="minorHAnsi" w:hAnsiTheme="minorHAnsi"/>
          <w:sz w:val="24"/>
          <w:szCs w:val="24"/>
        </w:rPr>
        <w:t>a representative of Academia</w:t>
      </w:r>
      <w:r w:rsidR="00EF6F62">
        <w:rPr>
          <w:rFonts w:asciiTheme="minorHAnsi" w:hAnsiTheme="minorHAnsi"/>
          <w:sz w:val="24"/>
          <w:szCs w:val="24"/>
        </w:rPr>
        <w:t xml:space="preserve"> to</w:t>
      </w:r>
      <w:r w:rsidRPr="0010309D">
        <w:rPr>
          <w:rFonts w:asciiTheme="minorHAnsi" w:hAnsiTheme="minorHAnsi"/>
          <w:sz w:val="24"/>
          <w:szCs w:val="24"/>
        </w:rPr>
        <w:t xml:space="preserve"> serve as rapporteur, vice-rapporteur or associate rapporteur in accordance with established rules of </w:t>
      </w:r>
      <w:r w:rsidRPr="00DF5911">
        <w:rPr>
          <w:rFonts w:asciiTheme="minorHAnsi" w:hAnsiTheme="minorHAnsi"/>
          <w:sz w:val="24"/>
          <w:szCs w:val="24"/>
        </w:rPr>
        <w:t xml:space="preserve">procedure of the respective Sectors. Academia is also encouraged to participate in the development of technical work in the Union. </w:t>
      </w:r>
    </w:p>
    <w:p w14:paraId="15FF04CD" w14:textId="77777777" w:rsidR="00BD58E4" w:rsidRPr="00DF5911" w:rsidRDefault="00BD58E4" w:rsidP="00684182">
      <w:pPr>
        <w:rPr>
          <w:szCs w:val="24"/>
        </w:rPr>
      </w:pPr>
      <w:r w:rsidRPr="00DF5911">
        <w:rPr>
          <w:szCs w:val="24"/>
        </w:rPr>
        <w:t>Resolution 205 (Dubai, 2018) on ICT-centric innovation to support the digital economy was also adopted during PP-18</w:t>
      </w:r>
      <w:r w:rsidR="001465B0" w:rsidRPr="00DF5911">
        <w:rPr>
          <w:szCs w:val="24"/>
        </w:rPr>
        <w:t xml:space="preserve">. It </w:t>
      </w:r>
      <w:r w:rsidR="00523ED4" w:rsidRPr="00DF5911">
        <w:rPr>
          <w:rFonts w:ascii="Calibri" w:hAnsi="Calibri" w:cs="Calibri"/>
          <w:szCs w:val="24"/>
        </w:rPr>
        <w:t>instructs ITU to support Member States, upon request, in promoting an enabling environment for telecommunication/ICT-centric innovation by SMEs, start-ups, incubation centres and young entrepreneurs.</w:t>
      </w:r>
      <w:r w:rsidRPr="00DF5911">
        <w:rPr>
          <w:szCs w:val="24"/>
        </w:rPr>
        <w:t xml:space="preserve"> </w:t>
      </w:r>
      <w:r w:rsidR="00BA6D53" w:rsidRPr="00DF5911">
        <w:rPr>
          <w:szCs w:val="24"/>
        </w:rPr>
        <w:t>The resolution</w:t>
      </w:r>
      <w:r w:rsidR="00523ED4" w:rsidRPr="00DF5911">
        <w:rPr>
          <w:szCs w:val="24"/>
        </w:rPr>
        <w:t xml:space="preserve"> also </w:t>
      </w:r>
      <w:r w:rsidRPr="00DF5911">
        <w:rPr>
          <w:szCs w:val="24"/>
        </w:rPr>
        <w:t>inv</w:t>
      </w:r>
      <w:r w:rsidR="00523ED4" w:rsidRPr="00DF5911">
        <w:rPr>
          <w:szCs w:val="24"/>
        </w:rPr>
        <w:t>ites</w:t>
      </w:r>
      <w:r w:rsidR="00380174" w:rsidRPr="00DF5911">
        <w:rPr>
          <w:szCs w:val="24"/>
        </w:rPr>
        <w:t xml:space="preserve"> </w:t>
      </w:r>
      <w:r w:rsidRPr="00DF5911">
        <w:rPr>
          <w:szCs w:val="24"/>
        </w:rPr>
        <w:t>Member States</w:t>
      </w:r>
      <w:r w:rsidR="00380174" w:rsidRPr="00DF5911">
        <w:rPr>
          <w:szCs w:val="24"/>
        </w:rPr>
        <w:t xml:space="preserve">, Sector Members and Associates </w:t>
      </w:r>
      <w:r w:rsidRPr="00DF5911">
        <w:rPr>
          <w:szCs w:val="24"/>
        </w:rPr>
        <w:t xml:space="preserve">to encourage the participation of </w:t>
      </w:r>
      <w:r w:rsidR="00C66D36" w:rsidRPr="00DF5911">
        <w:rPr>
          <w:szCs w:val="24"/>
        </w:rPr>
        <w:t>telecommunication/</w:t>
      </w:r>
      <w:r w:rsidRPr="00DF5911">
        <w:rPr>
          <w:szCs w:val="24"/>
        </w:rPr>
        <w:t>ICT-relate</w:t>
      </w:r>
      <w:r w:rsidR="002D5E37" w:rsidRPr="00DF5911">
        <w:rPr>
          <w:szCs w:val="24"/>
        </w:rPr>
        <w:t>d</w:t>
      </w:r>
      <w:r w:rsidRPr="00DF5911">
        <w:rPr>
          <w:szCs w:val="24"/>
        </w:rPr>
        <w:t xml:space="preserve"> entrepreneurs, start-ups and incubatio</w:t>
      </w:r>
      <w:r w:rsidR="00280655" w:rsidRPr="00DF5911">
        <w:rPr>
          <w:szCs w:val="24"/>
        </w:rPr>
        <w:t>n and acceleration cent</w:t>
      </w:r>
      <w:r w:rsidR="00380174" w:rsidRPr="00DF5911">
        <w:rPr>
          <w:szCs w:val="24"/>
        </w:rPr>
        <w:t xml:space="preserve">res in </w:t>
      </w:r>
      <w:r w:rsidR="00C66D36" w:rsidRPr="00DF5911">
        <w:rPr>
          <w:szCs w:val="24"/>
        </w:rPr>
        <w:t xml:space="preserve">the </w:t>
      </w:r>
      <w:r w:rsidR="00380174" w:rsidRPr="00DF5911">
        <w:rPr>
          <w:szCs w:val="24"/>
        </w:rPr>
        <w:t>ITU Telecom World and other relevant events</w:t>
      </w:r>
      <w:r w:rsidR="001465B0" w:rsidRPr="00DF5911">
        <w:rPr>
          <w:szCs w:val="24"/>
        </w:rPr>
        <w:t xml:space="preserve"> of ITU</w:t>
      </w:r>
      <w:r w:rsidR="00380174" w:rsidRPr="00DF5911">
        <w:rPr>
          <w:szCs w:val="24"/>
        </w:rPr>
        <w:t xml:space="preserve">. </w:t>
      </w:r>
    </w:p>
    <w:p w14:paraId="7367E3D8" w14:textId="77777777" w:rsidR="00BD58E4" w:rsidRPr="00DF5911" w:rsidRDefault="00B343C1" w:rsidP="0010309D">
      <w:pPr>
        <w:pStyle w:val="PlainText"/>
        <w:numPr>
          <w:ilvl w:val="0"/>
          <w:numId w:val="4"/>
        </w:numPr>
        <w:spacing w:before="120" w:after="120"/>
        <w:ind w:left="357" w:hanging="357"/>
        <w:rPr>
          <w:rFonts w:asciiTheme="minorHAnsi" w:hAnsiTheme="minorHAnsi"/>
          <w:b/>
          <w:bCs/>
          <w:sz w:val="24"/>
          <w:szCs w:val="24"/>
        </w:rPr>
      </w:pPr>
      <w:r w:rsidRPr="00DF5911">
        <w:rPr>
          <w:rFonts w:asciiTheme="minorHAnsi" w:hAnsiTheme="minorHAnsi"/>
          <w:b/>
          <w:bCs/>
          <w:sz w:val="24"/>
          <w:szCs w:val="24"/>
        </w:rPr>
        <w:t xml:space="preserve">ITU-D </w:t>
      </w:r>
      <w:r w:rsidR="00380174" w:rsidRPr="00DF5911">
        <w:rPr>
          <w:rFonts w:asciiTheme="minorHAnsi" w:hAnsiTheme="minorHAnsi"/>
          <w:b/>
          <w:bCs/>
          <w:sz w:val="24"/>
          <w:szCs w:val="24"/>
        </w:rPr>
        <w:t>m</w:t>
      </w:r>
      <w:r w:rsidRPr="00DF5911">
        <w:rPr>
          <w:rFonts w:asciiTheme="minorHAnsi" w:hAnsiTheme="minorHAnsi"/>
          <w:b/>
          <w:bCs/>
          <w:sz w:val="24"/>
          <w:szCs w:val="24"/>
        </w:rPr>
        <w:t xml:space="preserve">embership </w:t>
      </w:r>
      <w:r w:rsidR="00380174" w:rsidRPr="00DF5911">
        <w:rPr>
          <w:rFonts w:asciiTheme="minorHAnsi" w:hAnsiTheme="minorHAnsi"/>
          <w:b/>
          <w:bCs/>
          <w:sz w:val="24"/>
          <w:szCs w:val="24"/>
        </w:rPr>
        <w:t>s</w:t>
      </w:r>
      <w:r w:rsidR="00BD58E4" w:rsidRPr="00DF5911">
        <w:rPr>
          <w:rFonts w:asciiTheme="minorHAnsi" w:hAnsiTheme="minorHAnsi"/>
          <w:b/>
          <w:bCs/>
          <w:sz w:val="24"/>
          <w:szCs w:val="24"/>
        </w:rPr>
        <w:t xml:space="preserve">trategic </w:t>
      </w:r>
      <w:r w:rsidR="00380174" w:rsidRPr="00DF5911">
        <w:rPr>
          <w:rFonts w:asciiTheme="minorHAnsi" w:hAnsiTheme="minorHAnsi"/>
          <w:b/>
          <w:bCs/>
          <w:sz w:val="24"/>
          <w:szCs w:val="24"/>
        </w:rPr>
        <w:t>o</w:t>
      </w:r>
      <w:r w:rsidR="00BD58E4" w:rsidRPr="00DF5911">
        <w:rPr>
          <w:rFonts w:asciiTheme="minorHAnsi" w:hAnsiTheme="minorHAnsi"/>
          <w:b/>
          <w:bCs/>
          <w:sz w:val="24"/>
          <w:szCs w:val="24"/>
        </w:rPr>
        <w:t>bjectives</w:t>
      </w:r>
    </w:p>
    <w:p w14:paraId="739CB839" w14:textId="77777777" w:rsidR="00BD58E4" w:rsidRPr="0010309D" w:rsidRDefault="00BD58E4" w:rsidP="0010309D">
      <w:pPr>
        <w:pStyle w:val="CEONormal"/>
        <w:rPr>
          <w:rFonts w:asciiTheme="minorHAnsi" w:hAnsiTheme="minorHAnsi" w:cs="Calibri"/>
          <w:sz w:val="24"/>
          <w:szCs w:val="24"/>
        </w:rPr>
      </w:pPr>
      <w:r w:rsidRPr="00DF5911">
        <w:rPr>
          <w:rFonts w:asciiTheme="minorHAnsi" w:hAnsiTheme="minorHAnsi" w:cs="Calibri"/>
          <w:sz w:val="24"/>
          <w:szCs w:val="24"/>
        </w:rPr>
        <w:t>In accordance with the outcomes of WTDC-17 and PP-18,</w:t>
      </w:r>
      <w:r w:rsidR="000443B5" w:rsidRPr="00DF5911">
        <w:rPr>
          <w:rFonts w:asciiTheme="minorHAnsi" w:hAnsiTheme="minorHAnsi" w:cs="Calibri"/>
          <w:sz w:val="24"/>
          <w:szCs w:val="24"/>
        </w:rPr>
        <w:t xml:space="preserve"> </w:t>
      </w:r>
      <w:r w:rsidR="00380174" w:rsidRPr="00DF5911">
        <w:rPr>
          <w:rFonts w:asciiTheme="minorHAnsi" w:hAnsiTheme="minorHAnsi" w:cs="Calibri"/>
          <w:sz w:val="24"/>
          <w:szCs w:val="24"/>
        </w:rPr>
        <w:t>BDT continues to focus on two overarching</w:t>
      </w:r>
      <w:r w:rsidR="00380174" w:rsidRPr="0010309D">
        <w:rPr>
          <w:rFonts w:asciiTheme="minorHAnsi" w:hAnsiTheme="minorHAnsi" w:cs="Calibri"/>
          <w:sz w:val="24"/>
          <w:szCs w:val="24"/>
        </w:rPr>
        <w:t xml:space="preserve"> objectives </w:t>
      </w:r>
      <w:r w:rsidRPr="0010309D">
        <w:rPr>
          <w:rFonts w:asciiTheme="minorHAnsi" w:hAnsiTheme="minorHAnsi" w:cs="Calibri"/>
          <w:sz w:val="24"/>
          <w:szCs w:val="24"/>
        </w:rPr>
        <w:t xml:space="preserve">in close coordination and collaboration with the General Secretariat, the other two Bureaux and </w:t>
      </w:r>
      <w:r w:rsidR="00380174">
        <w:rPr>
          <w:rFonts w:asciiTheme="minorHAnsi" w:hAnsiTheme="minorHAnsi" w:cs="Calibri"/>
          <w:sz w:val="24"/>
          <w:szCs w:val="24"/>
        </w:rPr>
        <w:t>r</w:t>
      </w:r>
      <w:r w:rsidRPr="0010309D">
        <w:rPr>
          <w:rFonts w:asciiTheme="minorHAnsi" w:hAnsiTheme="minorHAnsi" w:cs="Calibri"/>
          <w:sz w:val="24"/>
          <w:szCs w:val="24"/>
        </w:rPr>
        <w:t>egional</w:t>
      </w:r>
      <w:r w:rsidR="00380174">
        <w:rPr>
          <w:rFonts w:asciiTheme="minorHAnsi" w:hAnsiTheme="minorHAnsi" w:cs="Calibri"/>
          <w:sz w:val="24"/>
          <w:szCs w:val="24"/>
        </w:rPr>
        <w:t xml:space="preserve"> and a</w:t>
      </w:r>
      <w:r w:rsidRPr="0010309D">
        <w:rPr>
          <w:rFonts w:asciiTheme="minorHAnsi" w:hAnsiTheme="minorHAnsi" w:cs="Calibri"/>
          <w:sz w:val="24"/>
          <w:szCs w:val="24"/>
        </w:rPr>
        <w:t>rea offices</w:t>
      </w:r>
      <w:r w:rsidR="00380174">
        <w:rPr>
          <w:rFonts w:asciiTheme="minorHAnsi" w:hAnsiTheme="minorHAnsi" w:cs="Calibri"/>
          <w:sz w:val="24"/>
          <w:szCs w:val="24"/>
        </w:rPr>
        <w:t xml:space="preserve">: </w:t>
      </w:r>
    </w:p>
    <w:p w14:paraId="5E544C21" w14:textId="77777777" w:rsidR="00BD58E4" w:rsidRPr="0010309D" w:rsidRDefault="00BD58E4" w:rsidP="001E2E4D">
      <w:pPr>
        <w:pStyle w:val="CEONormal"/>
        <w:numPr>
          <w:ilvl w:val="0"/>
          <w:numId w:val="5"/>
        </w:numPr>
        <w:spacing w:before="40" w:after="40"/>
        <w:rPr>
          <w:rFonts w:asciiTheme="minorHAnsi" w:hAnsiTheme="minorHAnsi" w:cs="Calibri"/>
          <w:sz w:val="24"/>
          <w:szCs w:val="24"/>
        </w:rPr>
      </w:pPr>
      <w:r w:rsidRPr="0010309D">
        <w:rPr>
          <w:rFonts w:asciiTheme="minorHAnsi" w:hAnsiTheme="minorHAnsi" w:cs="Calibri"/>
          <w:sz w:val="24"/>
          <w:szCs w:val="24"/>
        </w:rPr>
        <w:t xml:space="preserve">Outreach </w:t>
      </w:r>
      <w:r w:rsidR="00715ECD">
        <w:rPr>
          <w:rFonts w:asciiTheme="minorHAnsi" w:hAnsiTheme="minorHAnsi" w:cs="Calibri"/>
          <w:sz w:val="24"/>
          <w:szCs w:val="24"/>
        </w:rPr>
        <w:t>to</w:t>
      </w:r>
      <w:r w:rsidRPr="0010309D">
        <w:rPr>
          <w:rFonts w:asciiTheme="minorHAnsi" w:hAnsiTheme="minorHAnsi" w:cs="Calibri"/>
          <w:sz w:val="24"/>
          <w:szCs w:val="24"/>
        </w:rPr>
        <w:t xml:space="preserve"> new entities to join as Sector Members, Associates, SMEs and Academia</w:t>
      </w:r>
      <w:r w:rsidR="00380174">
        <w:rPr>
          <w:rFonts w:asciiTheme="minorHAnsi" w:hAnsiTheme="minorHAnsi" w:cs="Calibri"/>
          <w:sz w:val="24"/>
          <w:szCs w:val="24"/>
        </w:rPr>
        <w:t xml:space="preserve">. </w:t>
      </w:r>
    </w:p>
    <w:p w14:paraId="62F97DB4" w14:textId="77777777" w:rsidR="00BD58E4" w:rsidRDefault="00BD58E4">
      <w:pPr>
        <w:pStyle w:val="CEONormal"/>
        <w:numPr>
          <w:ilvl w:val="0"/>
          <w:numId w:val="5"/>
        </w:numPr>
        <w:spacing w:before="40" w:after="40"/>
        <w:rPr>
          <w:rFonts w:asciiTheme="minorHAnsi" w:hAnsiTheme="minorHAnsi" w:cs="Calibri"/>
          <w:sz w:val="24"/>
          <w:szCs w:val="24"/>
        </w:rPr>
      </w:pPr>
      <w:r w:rsidRPr="0010309D">
        <w:rPr>
          <w:rFonts w:asciiTheme="minorHAnsi" w:hAnsiTheme="minorHAnsi" w:cs="Calibri"/>
          <w:sz w:val="24"/>
          <w:szCs w:val="24"/>
        </w:rPr>
        <w:t>Enhance platforms and tools for engagement and retention of existing ITU-D Sector Members</w:t>
      </w:r>
      <w:r w:rsidR="00096C36">
        <w:rPr>
          <w:rFonts w:asciiTheme="minorHAnsi" w:hAnsiTheme="minorHAnsi" w:cs="Calibri"/>
          <w:sz w:val="24"/>
          <w:szCs w:val="24"/>
        </w:rPr>
        <w:t xml:space="preserve"> and</w:t>
      </w:r>
      <w:r w:rsidR="00096C36" w:rsidRPr="0010309D">
        <w:rPr>
          <w:rFonts w:asciiTheme="minorHAnsi" w:hAnsiTheme="minorHAnsi" w:cs="Calibri"/>
          <w:sz w:val="24"/>
          <w:szCs w:val="24"/>
        </w:rPr>
        <w:t xml:space="preserve"> </w:t>
      </w:r>
      <w:r w:rsidRPr="0010309D">
        <w:rPr>
          <w:rFonts w:asciiTheme="minorHAnsi" w:hAnsiTheme="minorHAnsi" w:cs="Calibri"/>
          <w:sz w:val="24"/>
          <w:szCs w:val="24"/>
        </w:rPr>
        <w:t>Associates</w:t>
      </w:r>
      <w:r w:rsidR="00096C36">
        <w:rPr>
          <w:rFonts w:asciiTheme="minorHAnsi" w:hAnsiTheme="minorHAnsi" w:cs="Calibri"/>
          <w:sz w:val="24"/>
          <w:szCs w:val="24"/>
        </w:rPr>
        <w:t>,</w:t>
      </w:r>
      <w:r w:rsidRPr="0010309D">
        <w:rPr>
          <w:rFonts w:asciiTheme="minorHAnsi" w:hAnsiTheme="minorHAnsi" w:cs="Calibri"/>
          <w:sz w:val="24"/>
          <w:szCs w:val="24"/>
        </w:rPr>
        <w:t xml:space="preserve"> and </w:t>
      </w:r>
      <w:r w:rsidR="00096C36">
        <w:rPr>
          <w:rFonts w:asciiTheme="minorHAnsi" w:hAnsiTheme="minorHAnsi" w:cs="Calibri"/>
          <w:sz w:val="24"/>
          <w:szCs w:val="24"/>
        </w:rPr>
        <w:t xml:space="preserve">of </w:t>
      </w:r>
      <w:r w:rsidRPr="0010309D">
        <w:rPr>
          <w:rFonts w:asciiTheme="minorHAnsi" w:hAnsiTheme="minorHAnsi" w:cs="Calibri"/>
          <w:sz w:val="24"/>
          <w:szCs w:val="24"/>
        </w:rPr>
        <w:t>Academia.</w:t>
      </w:r>
    </w:p>
    <w:p w14:paraId="18585BED" w14:textId="77777777" w:rsidR="00B840B3" w:rsidRPr="001E2E4D" w:rsidRDefault="00B343C1" w:rsidP="00B840B3">
      <w:pPr>
        <w:pStyle w:val="PlainText"/>
        <w:keepNext/>
        <w:numPr>
          <w:ilvl w:val="0"/>
          <w:numId w:val="4"/>
        </w:numPr>
        <w:shd w:val="clear" w:color="auto" w:fill="FFFFFF"/>
        <w:spacing w:before="120" w:after="120"/>
        <w:ind w:left="357" w:hanging="357"/>
        <w:rPr>
          <w:b/>
          <w:bCs/>
          <w:sz w:val="24"/>
          <w:szCs w:val="24"/>
          <w:lang w:val="en-GB"/>
        </w:rPr>
      </w:pPr>
      <w:r w:rsidRPr="001E2E4D">
        <w:rPr>
          <w:rFonts w:asciiTheme="minorHAnsi" w:hAnsiTheme="minorHAnsi"/>
          <w:b/>
          <w:bCs/>
          <w:sz w:val="24"/>
          <w:szCs w:val="24"/>
        </w:rPr>
        <w:t xml:space="preserve">ITU-D </w:t>
      </w:r>
      <w:r w:rsidR="00C105C0">
        <w:rPr>
          <w:rFonts w:asciiTheme="minorHAnsi" w:hAnsiTheme="minorHAnsi"/>
          <w:b/>
          <w:bCs/>
          <w:sz w:val="24"/>
          <w:szCs w:val="24"/>
        </w:rPr>
        <w:t>m</w:t>
      </w:r>
      <w:r w:rsidRPr="001E2E4D">
        <w:rPr>
          <w:rFonts w:asciiTheme="minorHAnsi" w:hAnsiTheme="minorHAnsi"/>
          <w:b/>
          <w:bCs/>
          <w:sz w:val="24"/>
          <w:szCs w:val="24"/>
        </w:rPr>
        <w:t>embership Status</w:t>
      </w:r>
    </w:p>
    <w:p w14:paraId="10CB5E67" w14:textId="77777777" w:rsidR="00B343C1" w:rsidRPr="001E2E4D" w:rsidRDefault="00B343C1" w:rsidP="0089426F">
      <w:pPr>
        <w:pStyle w:val="PlainText"/>
        <w:keepNext/>
        <w:shd w:val="clear" w:color="auto" w:fill="FFFFFF"/>
        <w:spacing w:before="120" w:after="120"/>
        <w:rPr>
          <w:rFonts w:asciiTheme="minorHAnsi" w:hAnsiTheme="minorHAnsi"/>
          <w:sz w:val="24"/>
          <w:szCs w:val="24"/>
        </w:rPr>
      </w:pPr>
      <w:r w:rsidRPr="001E2E4D">
        <w:rPr>
          <w:rFonts w:asciiTheme="minorHAnsi" w:hAnsiTheme="minorHAnsi"/>
          <w:sz w:val="24"/>
          <w:szCs w:val="24"/>
        </w:rPr>
        <w:t xml:space="preserve">The </w:t>
      </w:r>
      <w:r w:rsidR="00380174">
        <w:rPr>
          <w:rFonts w:asciiTheme="minorHAnsi" w:hAnsiTheme="minorHAnsi"/>
          <w:sz w:val="24"/>
          <w:szCs w:val="24"/>
        </w:rPr>
        <w:t>t</w:t>
      </w:r>
      <w:r w:rsidRPr="001E2E4D">
        <w:rPr>
          <w:rFonts w:asciiTheme="minorHAnsi" w:hAnsiTheme="minorHAnsi"/>
          <w:sz w:val="24"/>
          <w:szCs w:val="24"/>
        </w:rPr>
        <w:t>able below illustrates the evolution</w:t>
      </w:r>
      <w:r w:rsidR="00EE4C2F" w:rsidRPr="001E2E4D">
        <w:rPr>
          <w:rFonts w:asciiTheme="minorHAnsi" w:hAnsiTheme="minorHAnsi"/>
          <w:sz w:val="24"/>
          <w:szCs w:val="24"/>
        </w:rPr>
        <w:t xml:space="preserve"> of ITU-D </w:t>
      </w:r>
      <w:r w:rsidR="00380174">
        <w:rPr>
          <w:rFonts w:asciiTheme="minorHAnsi" w:hAnsiTheme="minorHAnsi"/>
          <w:sz w:val="24"/>
          <w:szCs w:val="24"/>
        </w:rPr>
        <w:t>m</w:t>
      </w:r>
      <w:r w:rsidRPr="001E2E4D">
        <w:rPr>
          <w:rFonts w:asciiTheme="minorHAnsi" w:hAnsiTheme="minorHAnsi"/>
          <w:sz w:val="24"/>
          <w:szCs w:val="24"/>
        </w:rPr>
        <w:t xml:space="preserve">embership (Sector Members, Associates </w:t>
      </w:r>
      <w:r w:rsidR="00B83D3C">
        <w:rPr>
          <w:rFonts w:asciiTheme="minorHAnsi" w:hAnsiTheme="minorHAnsi"/>
          <w:sz w:val="24"/>
          <w:szCs w:val="24"/>
        </w:rPr>
        <w:t>and</w:t>
      </w:r>
      <w:r w:rsidRPr="001E2E4D">
        <w:rPr>
          <w:rFonts w:asciiTheme="minorHAnsi" w:hAnsiTheme="minorHAnsi"/>
          <w:sz w:val="24"/>
          <w:szCs w:val="24"/>
        </w:rPr>
        <w:t xml:space="preserve"> Academia</w:t>
      </w:r>
      <w:r w:rsidRPr="001E2E4D">
        <w:rPr>
          <w:rStyle w:val="FootnoteReference"/>
          <w:sz w:val="24"/>
          <w:szCs w:val="24"/>
        </w:rPr>
        <w:footnoteReference w:id="3"/>
      </w:r>
      <w:r w:rsidRPr="001E2E4D">
        <w:rPr>
          <w:rFonts w:asciiTheme="minorHAnsi" w:hAnsiTheme="minorHAnsi"/>
          <w:sz w:val="24"/>
          <w:szCs w:val="24"/>
        </w:rPr>
        <w:t>) from 2009 to 201</w:t>
      </w:r>
      <w:r w:rsidR="00EE4C2F" w:rsidRPr="001E2E4D">
        <w:rPr>
          <w:rFonts w:asciiTheme="minorHAnsi" w:hAnsiTheme="minorHAnsi"/>
          <w:sz w:val="24"/>
          <w:szCs w:val="24"/>
        </w:rPr>
        <w:t>9. While 13 new entities joined as Sector Members</w:t>
      </w:r>
      <w:r w:rsidR="001C2CF0" w:rsidRPr="001E2E4D">
        <w:rPr>
          <w:rFonts w:asciiTheme="minorHAnsi" w:hAnsiTheme="minorHAnsi"/>
          <w:sz w:val="24"/>
          <w:szCs w:val="24"/>
        </w:rPr>
        <w:t xml:space="preserve"> in 2019</w:t>
      </w:r>
      <w:r w:rsidR="00EE4C2F" w:rsidRPr="001E2E4D">
        <w:rPr>
          <w:rFonts w:asciiTheme="minorHAnsi" w:hAnsiTheme="minorHAnsi"/>
          <w:sz w:val="24"/>
          <w:szCs w:val="24"/>
        </w:rPr>
        <w:t>, including leading ICT companies as detailed in section 3.1 below, denunciation</w:t>
      </w:r>
      <w:r w:rsidR="002E26C2" w:rsidRPr="001E2E4D">
        <w:rPr>
          <w:rFonts w:asciiTheme="minorHAnsi" w:hAnsiTheme="minorHAnsi"/>
          <w:sz w:val="24"/>
          <w:szCs w:val="24"/>
        </w:rPr>
        <w:t>s</w:t>
      </w:r>
      <w:r w:rsidR="000443B5">
        <w:rPr>
          <w:rFonts w:asciiTheme="minorHAnsi" w:hAnsiTheme="minorHAnsi"/>
          <w:sz w:val="24"/>
          <w:szCs w:val="24"/>
        </w:rPr>
        <w:t xml:space="preserve"> </w:t>
      </w:r>
      <w:r w:rsidR="002E26C2" w:rsidRPr="001E2E4D">
        <w:rPr>
          <w:rFonts w:asciiTheme="minorHAnsi" w:hAnsiTheme="minorHAnsi"/>
          <w:sz w:val="24"/>
          <w:szCs w:val="24"/>
        </w:rPr>
        <w:t>by</w:t>
      </w:r>
      <w:r w:rsidR="00EE4C2F" w:rsidRPr="001E2E4D">
        <w:rPr>
          <w:rFonts w:asciiTheme="minorHAnsi" w:hAnsiTheme="minorHAnsi"/>
          <w:sz w:val="24"/>
          <w:szCs w:val="24"/>
        </w:rPr>
        <w:t xml:space="preserve"> Sector Members </w:t>
      </w:r>
      <w:r w:rsidR="00380174">
        <w:rPr>
          <w:rFonts w:asciiTheme="minorHAnsi" w:hAnsiTheme="minorHAnsi"/>
          <w:sz w:val="24"/>
          <w:szCs w:val="24"/>
        </w:rPr>
        <w:t xml:space="preserve">because </w:t>
      </w:r>
      <w:r w:rsidR="00380174">
        <w:rPr>
          <w:rFonts w:asciiTheme="minorHAnsi" w:hAnsiTheme="minorHAnsi"/>
          <w:sz w:val="24"/>
          <w:szCs w:val="24"/>
        </w:rPr>
        <w:lastRenderedPageBreak/>
        <w:t xml:space="preserve">of </w:t>
      </w:r>
      <w:r w:rsidR="00EE4C2F" w:rsidRPr="001E2E4D">
        <w:rPr>
          <w:rFonts w:asciiTheme="minorHAnsi" w:hAnsiTheme="minorHAnsi"/>
          <w:sz w:val="24"/>
          <w:szCs w:val="24"/>
        </w:rPr>
        <w:t xml:space="preserve">industry consolidation or financial </w:t>
      </w:r>
      <w:r w:rsidR="002E26C2" w:rsidRPr="001E2E4D">
        <w:rPr>
          <w:rFonts w:asciiTheme="minorHAnsi" w:hAnsiTheme="minorHAnsi"/>
          <w:sz w:val="24"/>
          <w:szCs w:val="24"/>
        </w:rPr>
        <w:t xml:space="preserve">reasons </w:t>
      </w:r>
      <w:r w:rsidR="00EE4C2F" w:rsidRPr="001E2E4D">
        <w:rPr>
          <w:rFonts w:asciiTheme="minorHAnsi" w:hAnsiTheme="minorHAnsi"/>
          <w:sz w:val="24"/>
          <w:szCs w:val="24"/>
        </w:rPr>
        <w:t xml:space="preserve">is </w:t>
      </w:r>
      <w:r w:rsidR="00380174">
        <w:rPr>
          <w:rFonts w:asciiTheme="minorHAnsi" w:hAnsiTheme="minorHAnsi"/>
          <w:sz w:val="24"/>
          <w:szCs w:val="24"/>
        </w:rPr>
        <w:t xml:space="preserve">a matter </w:t>
      </w:r>
      <w:r w:rsidR="002E26C2" w:rsidRPr="001E2E4D">
        <w:rPr>
          <w:rFonts w:asciiTheme="minorHAnsi" w:hAnsiTheme="minorHAnsi"/>
          <w:sz w:val="24"/>
          <w:szCs w:val="24"/>
        </w:rPr>
        <w:t>of concern.</w:t>
      </w:r>
      <w:r w:rsidR="000443B5">
        <w:rPr>
          <w:rFonts w:asciiTheme="minorHAnsi" w:hAnsiTheme="minorHAnsi"/>
          <w:sz w:val="24"/>
          <w:szCs w:val="24"/>
        </w:rPr>
        <w:t xml:space="preserve"> </w:t>
      </w:r>
      <w:r w:rsidR="00380174">
        <w:rPr>
          <w:rFonts w:asciiTheme="minorHAnsi" w:hAnsiTheme="minorHAnsi"/>
          <w:sz w:val="24"/>
          <w:szCs w:val="24"/>
        </w:rPr>
        <w:t xml:space="preserve">On the other hand, </w:t>
      </w:r>
      <w:r w:rsidR="00EE4C2F" w:rsidRPr="001E2E4D">
        <w:rPr>
          <w:rFonts w:asciiTheme="minorHAnsi" w:hAnsiTheme="minorHAnsi"/>
          <w:sz w:val="24"/>
          <w:szCs w:val="24"/>
        </w:rPr>
        <w:t>Associate</w:t>
      </w:r>
      <w:r w:rsidR="002E26C2" w:rsidRPr="001E2E4D">
        <w:rPr>
          <w:rFonts w:asciiTheme="minorHAnsi" w:hAnsiTheme="minorHAnsi"/>
          <w:sz w:val="24"/>
          <w:szCs w:val="24"/>
        </w:rPr>
        <w:t>s</w:t>
      </w:r>
      <w:r w:rsidR="00EE4C2F" w:rsidRPr="001E2E4D">
        <w:rPr>
          <w:rFonts w:asciiTheme="minorHAnsi" w:hAnsiTheme="minorHAnsi"/>
          <w:sz w:val="24"/>
          <w:szCs w:val="24"/>
        </w:rPr>
        <w:t xml:space="preserve"> </w:t>
      </w:r>
      <w:r w:rsidR="002E26C2" w:rsidRPr="001E2E4D">
        <w:rPr>
          <w:rFonts w:asciiTheme="minorHAnsi" w:hAnsiTheme="minorHAnsi"/>
          <w:sz w:val="24"/>
          <w:szCs w:val="24"/>
        </w:rPr>
        <w:t xml:space="preserve">and Academia </w:t>
      </w:r>
      <w:r w:rsidR="00EE4C2F" w:rsidRPr="001E2E4D">
        <w:rPr>
          <w:rFonts w:asciiTheme="minorHAnsi" w:hAnsiTheme="minorHAnsi"/>
          <w:sz w:val="24"/>
          <w:szCs w:val="24"/>
        </w:rPr>
        <w:t>show</w:t>
      </w:r>
      <w:r w:rsidR="002E26C2" w:rsidRPr="001E2E4D">
        <w:rPr>
          <w:rFonts w:asciiTheme="minorHAnsi" w:hAnsiTheme="minorHAnsi"/>
          <w:sz w:val="24"/>
          <w:szCs w:val="24"/>
        </w:rPr>
        <w:t>ed</w:t>
      </w:r>
      <w:r w:rsidR="00EE4C2F" w:rsidRPr="001E2E4D">
        <w:rPr>
          <w:rFonts w:asciiTheme="minorHAnsi" w:hAnsiTheme="minorHAnsi"/>
          <w:sz w:val="24"/>
          <w:szCs w:val="24"/>
        </w:rPr>
        <w:t xml:space="preserve"> steady growth</w:t>
      </w:r>
      <w:r w:rsidR="002E26C2" w:rsidRPr="001E2E4D">
        <w:rPr>
          <w:rFonts w:asciiTheme="minorHAnsi" w:hAnsiTheme="minorHAnsi"/>
          <w:sz w:val="24"/>
          <w:szCs w:val="24"/>
        </w:rPr>
        <w:t>.</w:t>
      </w:r>
      <w:r w:rsidR="00EE4C2F" w:rsidRPr="001E2E4D">
        <w:rPr>
          <w:rFonts w:asciiTheme="minorHAnsi" w:hAnsiTheme="minorHAnsi"/>
          <w:sz w:val="24"/>
          <w:szCs w:val="24"/>
        </w:rPr>
        <w:t xml:space="preserve"> </w:t>
      </w:r>
    </w:p>
    <w:p w14:paraId="64F15DF2" w14:textId="77777777" w:rsidR="00B840B3" w:rsidRPr="001E2E4D" w:rsidRDefault="00B343C1" w:rsidP="001E2E4D">
      <w:pPr>
        <w:pStyle w:val="PlainText"/>
        <w:keepNext/>
        <w:shd w:val="clear" w:color="auto" w:fill="FFFFFF"/>
        <w:spacing w:before="120" w:after="120"/>
        <w:jc w:val="center"/>
        <w:rPr>
          <w:b/>
          <w:bCs/>
          <w:sz w:val="24"/>
          <w:szCs w:val="24"/>
          <w:lang w:val="en-GB"/>
        </w:rPr>
      </w:pPr>
      <w:r w:rsidRPr="001E2E4D">
        <w:rPr>
          <w:b/>
          <w:bCs/>
          <w:sz w:val="24"/>
          <w:szCs w:val="24"/>
        </w:rPr>
        <w:t>Table</w:t>
      </w:r>
      <w:r w:rsidR="00B83D3C" w:rsidRPr="00B83D3C">
        <w:rPr>
          <w:rFonts w:asciiTheme="minorHAnsi" w:hAnsiTheme="minorHAnsi"/>
          <w:szCs w:val="22"/>
          <w:lang w:val="en-CA"/>
        </w:rPr>
        <w:t xml:space="preserve"> </w:t>
      </w:r>
      <w:r w:rsidR="00B83D3C" w:rsidRPr="00684182">
        <w:rPr>
          <w:rFonts w:asciiTheme="minorHAnsi" w:hAnsiTheme="minorHAnsi"/>
          <w:b/>
          <w:szCs w:val="22"/>
          <w:lang w:val="en-CA"/>
        </w:rPr>
        <w:t>–</w:t>
      </w:r>
      <w:r w:rsidR="00380174">
        <w:rPr>
          <w:b/>
          <w:bCs/>
          <w:sz w:val="24"/>
          <w:szCs w:val="24"/>
        </w:rPr>
        <w:t xml:space="preserve"> </w:t>
      </w:r>
      <w:r w:rsidR="00B840B3" w:rsidRPr="001E2E4D">
        <w:rPr>
          <w:b/>
          <w:bCs/>
          <w:sz w:val="24"/>
          <w:szCs w:val="24"/>
        </w:rPr>
        <w:t>Evolution of ITU-D membership (Sector Members, Associates</w:t>
      </w:r>
      <w:r w:rsidR="00380174">
        <w:rPr>
          <w:b/>
          <w:bCs/>
          <w:sz w:val="24"/>
          <w:szCs w:val="24"/>
        </w:rPr>
        <w:t xml:space="preserve"> and</w:t>
      </w:r>
      <w:r w:rsidR="00B840B3" w:rsidRPr="001E2E4D">
        <w:rPr>
          <w:b/>
          <w:bCs/>
          <w:sz w:val="24"/>
          <w:szCs w:val="24"/>
        </w:rPr>
        <w:t xml:space="preserve"> </w:t>
      </w:r>
      <w:r w:rsidR="007C6FDD" w:rsidRPr="001E2E4D">
        <w:rPr>
          <w:b/>
          <w:bCs/>
          <w:sz w:val="24"/>
          <w:szCs w:val="24"/>
        </w:rPr>
        <w:t>Academia</w:t>
      </w:r>
      <w:r w:rsidR="00B840B3" w:rsidRPr="001E2E4D">
        <w:rPr>
          <w:rStyle w:val="FootnoteReference"/>
          <w:b/>
          <w:bCs/>
          <w:sz w:val="24"/>
          <w:szCs w:val="24"/>
        </w:rPr>
        <w:footnoteReference w:id="4"/>
      </w:r>
      <w:r w:rsidR="00B840B3" w:rsidRPr="001E2E4D">
        <w:rPr>
          <w:b/>
          <w:bCs/>
          <w:sz w:val="24"/>
          <w:szCs w:val="24"/>
        </w:rPr>
        <w:t xml:space="preserve">) </w:t>
      </w:r>
      <w:r w:rsidR="001E2E4D">
        <w:rPr>
          <w:b/>
          <w:bCs/>
          <w:sz w:val="24"/>
          <w:szCs w:val="24"/>
        </w:rPr>
        <w:br/>
      </w:r>
      <w:r w:rsidR="00B840B3" w:rsidRPr="001E2E4D">
        <w:rPr>
          <w:b/>
          <w:bCs/>
          <w:sz w:val="24"/>
          <w:szCs w:val="24"/>
        </w:rPr>
        <w:t>from 200</w:t>
      </w:r>
      <w:r w:rsidR="00495B2C" w:rsidRPr="001E2E4D">
        <w:rPr>
          <w:b/>
          <w:bCs/>
          <w:sz w:val="24"/>
          <w:szCs w:val="24"/>
        </w:rPr>
        <w:t>9 to 2019</w:t>
      </w:r>
    </w:p>
    <w:tbl>
      <w:tblPr>
        <w:tblW w:w="8955"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tblGrid>
      <w:tr w:rsidR="00495B2C" w:rsidRPr="001E2E4D" w14:paraId="7EC4D973" w14:textId="77777777" w:rsidTr="0022435D">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14:paraId="1AAE0686" w14:textId="77777777" w:rsidR="00495B2C" w:rsidRPr="001E2E4D" w:rsidRDefault="00495B2C" w:rsidP="009F365E">
            <w:pPr>
              <w:tabs>
                <w:tab w:val="clear" w:pos="1134"/>
                <w:tab w:val="clear" w:pos="1871"/>
                <w:tab w:val="clear" w:pos="2268"/>
                <w:tab w:val="left" w:pos="794"/>
                <w:tab w:val="left" w:pos="1191"/>
                <w:tab w:val="left" w:pos="1588"/>
                <w:tab w:val="left" w:pos="1985"/>
              </w:tabs>
              <w:rPr>
                <w:rFonts w:cstheme="minorHAnsi"/>
                <w:lang w:eastAsia="zh-CN"/>
              </w:rPr>
            </w:pPr>
          </w:p>
        </w:tc>
        <w:tc>
          <w:tcPr>
            <w:tcW w:w="656" w:type="dxa"/>
            <w:tcBorders>
              <w:top w:val="single" w:sz="12" w:space="0" w:color="auto"/>
              <w:left w:val="nil"/>
              <w:bottom w:val="single" w:sz="12" w:space="0" w:color="auto"/>
              <w:right w:val="single" w:sz="8" w:space="0" w:color="auto"/>
            </w:tcBorders>
            <w:shd w:val="clear" w:color="auto" w:fill="9CC2E5" w:themeFill="accent1" w:themeFillTint="99"/>
            <w:tcMar>
              <w:top w:w="0" w:type="dxa"/>
              <w:left w:w="108" w:type="dxa"/>
              <w:bottom w:w="0" w:type="dxa"/>
              <w:right w:w="108" w:type="dxa"/>
            </w:tcMar>
            <w:hideMark/>
          </w:tcPr>
          <w:p w14:paraId="213D14F4" w14:textId="77777777" w:rsidR="00495B2C" w:rsidRPr="001E2E4D" w:rsidRDefault="00495B2C" w:rsidP="009F365E">
            <w:pPr>
              <w:keepNext/>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80" w:after="80"/>
              <w:jc w:val="center"/>
              <w:rPr>
                <w:rFonts w:cstheme="minorHAnsi"/>
                <w:b/>
                <w:sz w:val="20"/>
                <w:lang w:eastAsia="zh-CN"/>
              </w:rPr>
            </w:pPr>
            <w:r w:rsidRPr="001E2E4D">
              <w:rPr>
                <w:rFonts w:cstheme="minorHAnsi"/>
                <w:b/>
                <w:sz w:val="20"/>
                <w:lang w:eastAsia="zh-CN"/>
              </w:rPr>
              <w:t>2009</w:t>
            </w:r>
          </w:p>
        </w:tc>
        <w:tc>
          <w:tcPr>
            <w:tcW w:w="656" w:type="dxa"/>
            <w:tcBorders>
              <w:top w:val="single" w:sz="12" w:space="0" w:color="auto"/>
              <w:left w:val="nil"/>
              <w:bottom w:val="single" w:sz="12" w:space="0" w:color="auto"/>
              <w:right w:val="single" w:sz="8" w:space="0" w:color="auto"/>
            </w:tcBorders>
            <w:shd w:val="clear" w:color="auto" w:fill="9CC2E5" w:themeFill="accent1" w:themeFillTint="99"/>
            <w:tcMar>
              <w:top w:w="0" w:type="dxa"/>
              <w:left w:w="108" w:type="dxa"/>
              <w:bottom w:w="0" w:type="dxa"/>
              <w:right w:w="108" w:type="dxa"/>
            </w:tcMar>
            <w:hideMark/>
          </w:tcPr>
          <w:p w14:paraId="3F59990D" w14:textId="77777777" w:rsidR="00495B2C" w:rsidRPr="001E2E4D" w:rsidRDefault="00495B2C" w:rsidP="009F365E">
            <w:pPr>
              <w:keepNext/>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80" w:after="80"/>
              <w:jc w:val="center"/>
              <w:rPr>
                <w:rFonts w:cstheme="minorHAnsi"/>
                <w:b/>
                <w:sz w:val="20"/>
                <w:lang w:eastAsia="zh-CN"/>
              </w:rPr>
            </w:pPr>
            <w:r w:rsidRPr="001E2E4D">
              <w:rPr>
                <w:rFonts w:cstheme="minorHAnsi"/>
                <w:b/>
                <w:sz w:val="20"/>
                <w:lang w:eastAsia="zh-CN"/>
              </w:rPr>
              <w:t>2010</w:t>
            </w:r>
          </w:p>
        </w:tc>
        <w:tc>
          <w:tcPr>
            <w:tcW w:w="656" w:type="dxa"/>
            <w:tcBorders>
              <w:top w:val="single" w:sz="12" w:space="0" w:color="auto"/>
              <w:left w:val="nil"/>
              <w:bottom w:val="single" w:sz="12" w:space="0" w:color="auto"/>
              <w:right w:val="single" w:sz="8" w:space="0" w:color="auto"/>
            </w:tcBorders>
            <w:shd w:val="clear" w:color="auto" w:fill="9CC2E5" w:themeFill="accent1" w:themeFillTint="99"/>
            <w:tcMar>
              <w:top w:w="0" w:type="dxa"/>
              <w:left w:w="108" w:type="dxa"/>
              <w:bottom w:w="0" w:type="dxa"/>
              <w:right w:w="108" w:type="dxa"/>
            </w:tcMar>
            <w:hideMark/>
          </w:tcPr>
          <w:p w14:paraId="6B515B57" w14:textId="77777777" w:rsidR="00495B2C" w:rsidRPr="001E2E4D" w:rsidRDefault="00495B2C" w:rsidP="009F365E">
            <w:pPr>
              <w:keepNext/>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80" w:after="80"/>
              <w:jc w:val="center"/>
              <w:rPr>
                <w:rFonts w:cstheme="minorHAnsi"/>
                <w:b/>
                <w:sz w:val="20"/>
                <w:lang w:eastAsia="zh-CN"/>
              </w:rPr>
            </w:pPr>
            <w:r w:rsidRPr="001E2E4D">
              <w:rPr>
                <w:rFonts w:cstheme="minorHAnsi"/>
                <w:b/>
                <w:sz w:val="20"/>
                <w:lang w:eastAsia="zh-CN"/>
              </w:rPr>
              <w:t>2011</w:t>
            </w:r>
          </w:p>
        </w:tc>
        <w:tc>
          <w:tcPr>
            <w:tcW w:w="656" w:type="dxa"/>
            <w:tcBorders>
              <w:top w:val="single" w:sz="12" w:space="0" w:color="auto"/>
              <w:left w:val="nil"/>
              <w:bottom w:val="single" w:sz="12" w:space="0" w:color="auto"/>
              <w:right w:val="single" w:sz="8" w:space="0" w:color="auto"/>
            </w:tcBorders>
            <w:shd w:val="clear" w:color="auto" w:fill="9CC2E5" w:themeFill="accent1" w:themeFillTint="99"/>
            <w:tcMar>
              <w:top w:w="0" w:type="dxa"/>
              <w:left w:w="108" w:type="dxa"/>
              <w:bottom w:w="0" w:type="dxa"/>
              <w:right w:w="108" w:type="dxa"/>
            </w:tcMar>
            <w:hideMark/>
          </w:tcPr>
          <w:p w14:paraId="2B2A0DB8" w14:textId="77777777" w:rsidR="00495B2C" w:rsidRPr="001E2E4D" w:rsidRDefault="00495B2C" w:rsidP="009F365E">
            <w:pPr>
              <w:keepNext/>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80" w:after="80"/>
              <w:jc w:val="center"/>
              <w:rPr>
                <w:rFonts w:cstheme="minorHAnsi"/>
                <w:b/>
                <w:sz w:val="20"/>
                <w:lang w:eastAsia="zh-CN"/>
              </w:rPr>
            </w:pPr>
            <w:r w:rsidRPr="001E2E4D">
              <w:rPr>
                <w:rFonts w:cstheme="minorHAnsi"/>
                <w:b/>
                <w:sz w:val="20"/>
                <w:lang w:eastAsia="zh-CN"/>
              </w:rPr>
              <w:t>2012</w:t>
            </w:r>
          </w:p>
        </w:tc>
        <w:tc>
          <w:tcPr>
            <w:tcW w:w="656" w:type="dxa"/>
            <w:tcBorders>
              <w:top w:val="single" w:sz="12" w:space="0" w:color="auto"/>
              <w:left w:val="nil"/>
              <w:bottom w:val="single" w:sz="12" w:space="0" w:color="auto"/>
              <w:right w:val="single" w:sz="8" w:space="0" w:color="auto"/>
            </w:tcBorders>
            <w:shd w:val="clear" w:color="auto" w:fill="9CC2E5" w:themeFill="accent1" w:themeFillTint="99"/>
            <w:tcMar>
              <w:top w:w="0" w:type="dxa"/>
              <w:left w:w="108" w:type="dxa"/>
              <w:bottom w:w="0" w:type="dxa"/>
              <w:right w:w="108" w:type="dxa"/>
            </w:tcMar>
            <w:hideMark/>
          </w:tcPr>
          <w:p w14:paraId="075D2217" w14:textId="77777777" w:rsidR="00495B2C" w:rsidRPr="001E2E4D" w:rsidRDefault="00495B2C" w:rsidP="009F365E">
            <w:pPr>
              <w:keepNext/>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80" w:after="80"/>
              <w:jc w:val="center"/>
              <w:rPr>
                <w:rFonts w:cstheme="minorHAnsi"/>
                <w:b/>
                <w:sz w:val="20"/>
                <w:lang w:eastAsia="zh-CN"/>
              </w:rPr>
            </w:pPr>
            <w:r w:rsidRPr="001E2E4D">
              <w:rPr>
                <w:rFonts w:cstheme="minorHAnsi"/>
                <w:b/>
                <w:sz w:val="20"/>
                <w:lang w:eastAsia="zh-CN"/>
              </w:rPr>
              <w:t>2013</w:t>
            </w:r>
          </w:p>
        </w:tc>
        <w:tc>
          <w:tcPr>
            <w:tcW w:w="656" w:type="dxa"/>
            <w:tcBorders>
              <w:top w:val="single" w:sz="12" w:space="0" w:color="auto"/>
              <w:left w:val="nil"/>
              <w:bottom w:val="single" w:sz="12" w:space="0" w:color="auto"/>
              <w:right w:val="single" w:sz="8" w:space="0" w:color="auto"/>
            </w:tcBorders>
            <w:shd w:val="clear" w:color="auto" w:fill="9CC2E5" w:themeFill="accent1" w:themeFillTint="99"/>
            <w:tcMar>
              <w:top w:w="0" w:type="dxa"/>
              <w:left w:w="108" w:type="dxa"/>
              <w:bottom w:w="0" w:type="dxa"/>
              <w:right w:w="108" w:type="dxa"/>
            </w:tcMar>
            <w:hideMark/>
          </w:tcPr>
          <w:p w14:paraId="1AF18275" w14:textId="77777777" w:rsidR="00495B2C" w:rsidRPr="001E2E4D" w:rsidRDefault="00495B2C" w:rsidP="009F365E">
            <w:pPr>
              <w:keepNext/>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80" w:after="80"/>
              <w:jc w:val="center"/>
              <w:rPr>
                <w:rFonts w:cstheme="minorHAnsi"/>
                <w:b/>
                <w:sz w:val="20"/>
                <w:lang w:eastAsia="zh-CN"/>
              </w:rPr>
            </w:pPr>
            <w:r w:rsidRPr="001E2E4D">
              <w:rPr>
                <w:rFonts w:cstheme="minorHAnsi"/>
                <w:b/>
                <w:sz w:val="20"/>
                <w:lang w:eastAsia="zh-CN"/>
              </w:rPr>
              <w:t>2014</w:t>
            </w:r>
          </w:p>
        </w:tc>
        <w:tc>
          <w:tcPr>
            <w:tcW w:w="656" w:type="dxa"/>
            <w:tcBorders>
              <w:top w:val="single" w:sz="12" w:space="0" w:color="auto"/>
              <w:left w:val="nil"/>
              <w:bottom w:val="single" w:sz="12" w:space="0" w:color="auto"/>
              <w:right w:val="single" w:sz="8" w:space="0" w:color="auto"/>
            </w:tcBorders>
            <w:shd w:val="clear" w:color="auto" w:fill="9CC2E5" w:themeFill="accent1" w:themeFillTint="99"/>
            <w:tcMar>
              <w:top w:w="0" w:type="dxa"/>
              <w:left w:w="108" w:type="dxa"/>
              <w:bottom w:w="0" w:type="dxa"/>
              <w:right w:w="108" w:type="dxa"/>
            </w:tcMar>
            <w:hideMark/>
          </w:tcPr>
          <w:p w14:paraId="3E267B86" w14:textId="77777777" w:rsidR="00495B2C" w:rsidRPr="001E2E4D" w:rsidRDefault="00495B2C" w:rsidP="009F365E">
            <w:pPr>
              <w:keepNext/>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80" w:after="80"/>
              <w:jc w:val="center"/>
              <w:rPr>
                <w:rFonts w:cstheme="minorHAnsi"/>
                <w:b/>
                <w:sz w:val="20"/>
                <w:lang w:eastAsia="zh-CN"/>
              </w:rPr>
            </w:pPr>
            <w:r w:rsidRPr="001E2E4D">
              <w:rPr>
                <w:rFonts w:cstheme="minorHAnsi"/>
                <w:b/>
                <w:sz w:val="20"/>
                <w:lang w:eastAsia="zh-CN"/>
              </w:rPr>
              <w:t>2015</w:t>
            </w:r>
          </w:p>
        </w:tc>
        <w:tc>
          <w:tcPr>
            <w:tcW w:w="656" w:type="dxa"/>
            <w:tcBorders>
              <w:top w:val="single" w:sz="12" w:space="0" w:color="auto"/>
              <w:left w:val="nil"/>
              <w:bottom w:val="single" w:sz="12" w:space="0" w:color="auto"/>
              <w:right w:val="single" w:sz="8" w:space="0" w:color="auto"/>
            </w:tcBorders>
            <w:shd w:val="clear" w:color="auto" w:fill="9CC2E5" w:themeFill="accent1" w:themeFillTint="99"/>
            <w:tcMar>
              <w:top w:w="0" w:type="dxa"/>
              <w:left w:w="108" w:type="dxa"/>
              <w:bottom w:w="0" w:type="dxa"/>
              <w:right w:w="108" w:type="dxa"/>
            </w:tcMar>
            <w:hideMark/>
          </w:tcPr>
          <w:p w14:paraId="655DA649" w14:textId="77777777" w:rsidR="00495B2C" w:rsidRPr="001E2E4D" w:rsidRDefault="00495B2C" w:rsidP="009F365E">
            <w:pPr>
              <w:keepNext/>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80" w:after="80"/>
              <w:jc w:val="center"/>
              <w:rPr>
                <w:rFonts w:cstheme="minorHAnsi"/>
                <w:b/>
                <w:sz w:val="20"/>
                <w:lang w:eastAsia="zh-CN"/>
              </w:rPr>
            </w:pPr>
            <w:r w:rsidRPr="001E2E4D">
              <w:rPr>
                <w:rFonts w:cstheme="minorHAnsi"/>
                <w:b/>
                <w:sz w:val="20"/>
                <w:lang w:eastAsia="zh-CN"/>
              </w:rPr>
              <w:t>2016</w:t>
            </w:r>
          </w:p>
        </w:tc>
        <w:tc>
          <w:tcPr>
            <w:tcW w:w="656" w:type="dxa"/>
            <w:tcBorders>
              <w:top w:val="single" w:sz="12" w:space="0" w:color="auto"/>
              <w:left w:val="nil"/>
              <w:bottom w:val="single" w:sz="12" w:space="0" w:color="auto"/>
              <w:right w:val="single" w:sz="12" w:space="0" w:color="auto"/>
            </w:tcBorders>
            <w:shd w:val="clear" w:color="auto" w:fill="9CC2E5" w:themeFill="accent1" w:themeFillTint="99"/>
            <w:tcMar>
              <w:top w:w="0" w:type="dxa"/>
              <w:left w:w="108" w:type="dxa"/>
              <w:bottom w:w="0" w:type="dxa"/>
              <w:right w:w="108" w:type="dxa"/>
            </w:tcMar>
            <w:hideMark/>
          </w:tcPr>
          <w:p w14:paraId="54C119DB" w14:textId="77777777" w:rsidR="00495B2C" w:rsidRPr="001E2E4D" w:rsidRDefault="00495B2C" w:rsidP="009F365E">
            <w:pPr>
              <w:keepNext/>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80" w:after="80"/>
              <w:jc w:val="center"/>
              <w:rPr>
                <w:rFonts w:cstheme="minorHAnsi"/>
                <w:b/>
                <w:sz w:val="20"/>
                <w:lang w:eastAsia="zh-CN"/>
              </w:rPr>
            </w:pPr>
            <w:r w:rsidRPr="001E2E4D">
              <w:rPr>
                <w:rFonts w:cstheme="minorHAnsi"/>
                <w:b/>
                <w:sz w:val="20"/>
                <w:lang w:eastAsia="zh-CN"/>
              </w:rPr>
              <w:t>2017</w:t>
            </w:r>
          </w:p>
        </w:tc>
        <w:tc>
          <w:tcPr>
            <w:tcW w:w="656" w:type="dxa"/>
            <w:tcBorders>
              <w:top w:val="single" w:sz="12" w:space="0" w:color="auto"/>
              <w:left w:val="nil"/>
              <w:bottom w:val="single" w:sz="12" w:space="0" w:color="auto"/>
              <w:right w:val="single" w:sz="12" w:space="0" w:color="auto"/>
            </w:tcBorders>
            <w:shd w:val="clear" w:color="auto" w:fill="9CC2E5" w:themeFill="accent1" w:themeFillTint="99"/>
            <w:hideMark/>
          </w:tcPr>
          <w:p w14:paraId="0F09D083" w14:textId="77777777" w:rsidR="00495B2C" w:rsidRPr="001E2E4D" w:rsidRDefault="00495B2C" w:rsidP="009F365E">
            <w:pPr>
              <w:keepNext/>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80" w:after="80"/>
              <w:jc w:val="center"/>
              <w:rPr>
                <w:rFonts w:cstheme="minorHAnsi"/>
                <w:b/>
                <w:sz w:val="20"/>
                <w:lang w:eastAsia="zh-CN"/>
              </w:rPr>
            </w:pPr>
            <w:r w:rsidRPr="001E2E4D">
              <w:rPr>
                <w:rFonts w:cstheme="minorHAnsi"/>
                <w:b/>
                <w:sz w:val="20"/>
                <w:lang w:eastAsia="zh-CN"/>
              </w:rPr>
              <w:t>2018</w:t>
            </w:r>
          </w:p>
        </w:tc>
        <w:tc>
          <w:tcPr>
            <w:tcW w:w="656" w:type="dxa"/>
            <w:tcBorders>
              <w:top w:val="single" w:sz="12" w:space="0" w:color="auto"/>
              <w:left w:val="nil"/>
              <w:bottom w:val="single" w:sz="12" w:space="0" w:color="auto"/>
              <w:right w:val="single" w:sz="12" w:space="0" w:color="auto"/>
            </w:tcBorders>
            <w:shd w:val="clear" w:color="auto" w:fill="9CC2E5" w:themeFill="accent1" w:themeFillTint="99"/>
          </w:tcPr>
          <w:p w14:paraId="0690DEED" w14:textId="77777777" w:rsidR="00495B2C" w:rsidRPr="001E2E4D" w:rsidRDefault="00495B2C" w:rsidP="009F365E">
            <w:pPr>
              <w:keepNext/>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80" w:after="80"/>
              <w:jc w:val="center"/>
              <w:rPr>
                <w:rFonts w:cstheme="minorHAnsi"/>
                <w:b/>
                <w:sz w:val="20"/>
                <w:lang w:eastAsia="zh-CN"/>
              </w:rPr>
            </w:pPr>
            <w:r w:rsidRPr="001E2E4D">
              <w:rPr>
                <w:rFonts w:cstheme="minorHAnsi"/>
                <w:b/>
                <w:sz w:val="20"/>
                <w:lang w:eastAsia="zh-CN"/>
              </w:rPr>
              <w:t>2019</w:t>
            </w:r>
          </w:p>
        </w:tc>
      </w:tr>
      <w:tr w:rsidR="00495B2C" w:rsidRPr="001E2E4D" w14:paraId="141A52A7" w14:textId="77777777" w:rsidTr="0022435D">
        <w:trPr>
          <w:jc w:val="center"/>
        </w:trPr>
        <w:tc>
          <w:tcPr>
            <w:tcW w:w="1739" w:type="dxa"/>
            <w:tcBorders>
              <w:top w:val="nil"/>
              <w:left w:val="single" w:sz="12"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60D7092F"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cstheme="minorHAnsi"/>
                <w:b/>
                <w:sz w:val="20"/>
                <w:lang w:eastAsia="zh-CN"/>
              </w:rPr>
            </w:pPr>
            <w:r w:rsidRPr="001E2E4D">
              <w:rPr>
                <w:rFonts w:cstheme="minorHAnsi"/>
                <w:b/>
                <w:sz w:val="20"/>
                <w:lang w:eastAsia="zh-CN"/>
              </w:rPr>
              <w:t>Sector Members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4884C62"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BE70C30"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311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9CB7D4F"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323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E92FA85"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330</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7A18A58"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346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B453D7D"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338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A54D759"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340</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3D663C0"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331</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52BD7E3D"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cstheme="minorHAnsi"/>
                <w:sz w:val="20"/>
                <w:lang w:eastAsia="zh-CN"/>
              </w:rPr>
            </w:pPr>
            <w:r w:rsidRPr="001E2E4D">
              <w:rPr>
                <w:rFonts w:cstheme="minorHAnsi"/>
                <w:sz w:val="20"/>
                <w:lang w:eastAsia="zh-CN"/>
              </w:rPr>
              <w:t xml:space="preserve"> 318</w:t>
            </w:r>
          </w:p>
        </w:tc>
        <w:tc>
          <w:tcPr>
            <w:tcW w:w="656" w:type="dxa"/>
            <w:tcBorders>
              <w:top w:val="nil"/>
              <w:left w:val="nil"/>
              <w:bottom w:val="single" w:sz="8" w:space="0" w:color="auto"/>
              <w:right w:val="single" w:sz="12" w:space="0" w:color="auto"/>
            </w:tcBorders>
            <w:hideMark/>
          </w:tcPr>
          <w:p w14:paraId="4AA0BA8F"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310</w:t>
            </w:r>
          </w:p>
        </w:tc>
        <w:tc>
          <w:tcPr>
            <w:tcW w:w="656" w:type="dxa"/>
            <w:tcBorders>
              <w:top w:val="nil"/>
              <w:left w:val="nil"/>
              <w:bottom w:val="single" w:sz="8" w:space="0" w:color="auto"/>
              <w:right w:val="single" w:sz="12" w:space="0" w:color="auto"/>
            </w:tcBorders>
          </w:tcPr>
          <w:p w14:paraId="1321D5F8"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307</w:t>
            </w:r>
          </w:p>
        </w:tc>
      </w:tr>
      <w:tr w:rsidR="00495B2C" w:rsidRPr="001E2E4D" w14:paraId="11EB3087" w14:textId="77777777" w:rsidTr="0022435D">
        <w:trPr>
          <w:jc w:val="center"/>
        </w:trPr>
        <w:tc>
          <w:tcPr>
            <w:tcW w:w="1739" w:type="dxa"/>
            <w:tcBorders>
              <w:top w:val="nil"/>
              <w:left w:val="single" w:sz="12"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50E1960D"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cstheme="minorHAnsi"/>
                <w:b/>
                <w:sz w:val="20"/>
                <w:lang w:eastAsia="zh-CN"/>
              </w:rPr>
            </w:pPr>
            <w:r w:rsidRPr="001E2E4D">
              <w:rPr>
                <w:rFonts w:cstheme="minorHAnsi"/>
                <w:b/>
                <w:sz w:val="20"/>
                <w:lang w:eastAsia="zh-CN"/>
              </w:rPr>
              <w:t>Associates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9465234"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9CC7ACC"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48F98C8"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3E52519"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8CCEDE6"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8CF64C6"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10</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759E011"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11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DF5A160"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12</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133CB85E"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12</w:t>
            </w:r>
          </w:p>
        </w:tc>
        <w:tc>
          <w:tcPr>
            <w:tcW w:w="656" w:type="dxa"/>
            <w:tcBorders>
              <w:top w:val="nil"/>
              <w:left w:val="nil"/>
              <w:bottom w:val="single" w:sz="8" w:space="0" w:color="auto"/>
              <w:right w:val="single" w:sz="12" w:space="0" w:color="auto"/>
            </w:tcBorders>
            <w:hideMark/>
          </w:tcPr>
          <w:p w14:paraId="1B79B57C"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14</w:t>
            </w:r>
          </w:p>
        </w:tc>
        <w:tc>
          <w:tcPr>
            <w:tcW w:w="656" w:type="dxa"/>
            <w:tcBorders>
              <w:top w:val="nil"/>
              <w:left w:val="nil"/>
              <w:bottom w:val="single" w:sz="8" w:space="0" w:color="auto"/>
              <w:right w:val="single" w:sz="12" w:space="0" w:color="auto"/>
            </w:tcBorders>
          </w:tcPr>
          <w:p w14:paraId="27340687"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17</w:t>
            </w:r>
          </w:p>
        </w:tc>
      </w:tr>
      <w:tr w:rsidR="00495B2C" w:rsidRPr="001E2E4D" w14:paraId="75137808" w14:textId="77777777" w:rsidTr="0022435D">
        <w:trPr>
          <w:jc w:val="center"/>
        </w:trPr>
        <w:tc>
          <w:tcPr>
            <w:tcW w:w="1739" w:type="dxa"/>
            <w:tcBorders>
              <w:top w:val="nil"/>
              <w:left w:val="single" w:sz="12"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6B16976"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cstheme="minorHAnsi"/>
                <w:b/>
                <w:sz w:val="20"/>
                <w:lang w:eastAsia="zh-CN"/>
              </w:rPr>
            </w:pPr>
            <w:r w:rsidRPr="001E2E4D">
              <w:rPr>
                <w:rFonts w:cstheme="minorHAnsi"/>
                <w:b/>
                <w:sz w:val="20"/>
                <w:lang w:eastAsia="zh-CN"/>
              </w:rPr>
              <w:t>Academia</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F27931B"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C435857"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EA0B9CE"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704D027"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EB24A7A"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8DFE9C9"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1189818"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78F7C8E"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46AA1107"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125</w:t>
            </w:r>
          </w:p>
        </w:tc>
        <w:tc>
          <w:tcPr>
            <w:tcW w:w="656" w:type="dxa"/>
            <w:tcBorders>
              <w:top w:val="nil"/>
              <w:left w:val="nil"/>
              <w:bottom w:val="single" w:sz="8" w:space="0" w:color="auto"/>
              <w:right w:val="single" w:sz="12" w:space="0" w:color="auto"/>
            </w:tcBorders>
            <w:hideMark/>
          </w:tcPr>
          <w:p w14:paraId="055C1CCA"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156</w:t>
            </w:r>
          </w:p>
        </w:tc>
        <w:tc>
          <w:tcPr>
            <w:tcW w:w="656" w:type="dxa"/>
            <w:tcBorders>
              <w:top w:val="nil"/>
              <w:left w:val="nil"/>
              <w:bottom w:val="single" w:sz="8" w:space="0" w:color="auto"/>
              <w:right w:val="single" w:sz="12" w:space="0" w:color="auto"/>
            </w:tcBorders>
          </w:tcPr>
          <w:p w14:paraId="39C92815"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163</w:t>
            </w:r>
          </w:p>
        </w:tc>
      </w:tr>
      <w:tr w:rsidR="00495B2C" w:rsidRPr="001E2E4D" w14:paraId="5CCE0DE8" w14:textId="77777777" w:rsidTr="0022435D">
        <w:trPr>
          <w:jc w:val="center"/>
        </w:trPr>
        <w:tc>
          <w:tcPr>
            <w:tcW w:w="1739" w:type="dxa"/>
            <w:tcBorders>
              <w:top w:val="nil"/>
              <w:left w:val="single" w:sz="12" w:space="0" w:color="auto"/>
              <w:bottom w:val="single" w:sz="12" w:space="0" w:color="auto"/>
              <w:right w:val="single" w:sz="8" w:space="0" w:color="auto"/>
            </w:tcBorders>
            <w:shd w:val="clear" w:color="auto" w:fill="DEEAF6" w:themeFill="accent1" w:themeFillTint="33"/>
            <w:tcMar>
              <w:top w:w="0" w:type="dxa"/>
              <w:left w:w="108" w:type="dxa"/>
              <w:bottom w:w="0" w:type="dxa"/>
              <w:right w:w="108" w:type="dxa"/>
            </w:tcMar>
            <w:hideMark/>
          </w:tcPr>
          <w:p w14:paraId="06F0B2E9"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cstheme="minorHAnsi"/>
                <w:b/>
                <w:sz w:val="20"/>
                <w:lang w:eastAsia="zh-CN"/>
              </w:rPr>
            </w:pPr>
            <w:r w:rsidRPr="001E2E4D">
              <w:rPr>
                <w:rFonts w:cstheme="minorHAnsi"/>
                <w:b/>
                <w:sz w:val="20"/>
                <w:lang w:eastAsia="zh-CN"/>
              </w:rPr>
              <w:t xml:space="preserve">TOTAL </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5B0C4C9D"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319</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01E4172E"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316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659E1A8"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354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6132A85F"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373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6F723A26"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400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0C2DA464"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434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4E08490C"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460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2EE73E75"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cstheme="minorHAnsi"/>
                <w:sz w:val="20"/>
                <w:lang w:eastAsia="zh-CN"/>
              </w:rPr>
            </w:pPr>
            <w:r w:rsidRPr="001E2E4D">
              <w:rPr>
                <w:rFonts w:cstheme="minorHAnsi"/>
                <w:sz w:val="20"/>
                <w:lang w:eastAsia="zh-CN"/>
              </w:rPr>
              <w:t xml:space="preserve"> 450</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14:paraId="7853D3F6"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455</w:t>
            </w:r>
          </w:p>
        </w:tc>
        <w:tc>
          <w:tcPr>
            <w:tcW w:w="656" w:type="dxa"/>
            <w:tcBorders>
              <w:top w:val="nil"/>
              <w:left w:val="nil"/>
              <w:bottom w:val="single" w:sz="12" w:space="0" w:color="auto"/>
              <w:right w:val="single" w:sz="12" w:space="0" w:color="auto"/>
            </w:tcBorders>
            <w:hideMark/>
          </w:tcPr>
          <w:p w14:paraId="42F76CD1"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480</w:t>
            </w:r>
          </w:p>
        </w:tc>
        <w:tc>
          <w:tcPr>
            <w:tcW w:w="656" w:type="dxa"/>
            <w:tcBorders>
              <w:top w:val="nil"/>
              <w:left w:val="nil"/>
              <w:bottom w:val="single" w:sz="12" w:space="0" w:color="auto"/>
              <w:right w:val="single" w:sz="12" w:space="0" w:color="auto"/>
            </w:tcBorders>
          </w:tcPr>
          <w:p w14:paraId="29166FDC" w14:textId="77777777" w:rsidR="00495B2C" w:rsidRPr="001E2E4D" w:rsidRDefault="00495B2C" w:rsidP="009F365E">
            <w:pPr>
              <w:tabs>
                <w:tab w:val="clear" w:pos="1871"/>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cstheme="minorHAnsi"/>
                <w:sz w:val="20"/>
                <w:lang w:eastAsia="zh-CN"/>
              </w:rPr>
            </w:pPr>
            <w:r w:rsidRPr="001E2E4D">
              <w:rPr>
                <w:rFonts w:cstheme="minorHAnsi"/>
                <w:sz w:val="20"/>
                <w:lang w:eastAsia="zh-CN"/>
              </w:rPr>
              <w:t>487</w:t>
            </w:r>
          </w:p>
        </w:tc>
      </w:tr>
    </w:tbl>
    <w:p w14:paraId="67F865F4" w14:textId="77777777" w:rsidR="00AA2F8E" w:rsidRPr="001E2E4D" w:rsidRDefault="00AA2F8E" w:rsidP="001E2E4D">
      <w:pPr>
        <w:pStyle w:val="NormalWeb"/>
        <w:shd w:val="clear" w:color="auto" w:fill="FFFFFF"/>
        <w:spacing w:before="120" w:beforeAutospacing="0" w:after="120" w:afterAutospacing="0"/>
        <w:rPr>
          <w:rFonts w:asciiTheme="minorHAnsi" w:eastAsia="SimSun" w:hAnsiTheme="minorHAnsi" w:cstheme="minorHAnsi"/>
          <w:noProof/>
        </w:rPr>
      </w:pPr>
      <w:r w:rsidRPr="001E2E4D">
        <w:rPr>
          <w:rFonts w:asciiTheme="minorHAnsi" w:eastAsia="SimSun" w:hAnsiTheme="minorHAnsi" w:cstheme="minorHAnsi"/>
          <w:noProof/>
        </w:rPr>
        <w:t xml:space="preserve">The graph </w:t>
      </w:r>
      <w:r w:rsidR="00B64FBF" w:rsidRPr="001E2E4D">
        <w:rPr>
          <w:rFonts w:asciiTheme="minorHAnsi" w:eastAsia="SimSun" w:hAnsiTheme="minorHAnsi" w:cstheme="minorHAnsi"/>
          <w:noProof/>
        </w:rPr>
        <w:t>below shows the evolution of ITU-D membership from 1994 to 2019</w:t>
      </w:r>
      <w:r w:rsidR="00C667FA">
        <w:rPr>
          <w:rFonts w:asciiTheme="minorHAnsi" w:eastAsia="SimSun" w:hAnsiTheme="minorHAnsi" w:cstheme="minorHAnsi"/>
          <w:noProof/>
        </w:rPr>
        <w:t>,</w:t>
      </w:r>
      <w:r w:rsidR="00B64FBF" w:rsidRPr="001E2E4D">
        <w:rPr>
          <w:rFonts w:asciiTheme="minorHAnsi" w:eastAsia="SimSun" w:hAnsiTheme="minorHAnsi" w:cstheme="minorHAnsi"/>
          <w:noProof/>
        </w:rPr>
        <w:t xml:space="preserve"> which in general reports steady growth.</w:t>
      </w:r>
    </w:p>
    <w:p w14:paraId="3F6C3854" w14:textId="77777777" w:rsidR="00BD58E4" w:rsidRDefault="00333579" w:rsidP="001E2E4D">
      <w:pPr>
        <w:pStyle w:val="NormalWeb"/>
        <w:shd w:val="clear" w:color="auto" w:fill="FFFFFF"/>
        <w:spacing w:before="120" w:beforeAutospacing="0" w:after="0" w:afterAutospacing="0"/>
        <w:jc w:val="center"/>
        <w:rPr>
          <w:noProof/>
        </w:rPr>
      </w:pPr>
      <w:r>
        <w:rPr>
          <w:noProof/>
          <w:lang w:val="en-GB" w:eastAsia="en-GB"/>
        </w:rPr>
        <w:drawing>
          <wp:inline distT="0" distB="0" distL="0" distR="0" wp14:anchorId="0554BB91" wp14:editId="1EAC6B3E">
            <wp:extent cx="5717355" cy="2673350"/>
            <wp:effectExtent l="0" t="0" r="1714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B9BD91" w14:textId="77777777" w:rsidR="008B2490" w:rsidRPr="00263754" w:rsidRDefault="0040554B" w:rsidP="001E2E4D">
      <w:pPr>
        <w:keepNext/>
        <w:spacing w:after="120"/>
        <w:rPr>
          <w:b/>
          <w:szCs w:val="24"/>
          <w:u w:val="single"/>
        </w:rPr>
      </w:pPr>
      <w:r w:rsidRPr="00263754">
        <w:rPr>
          <w:b/>
          <w:szCs w:val="24"/>
        </w:rPr>
        <w:t xml:space="preserve">3.1 </w:t>
      </w:r>
      <w:r w:rsidR="008B2490" w:rsidRPr="00263754">
        <w:rPr>
          <w:b/>
          <w:szCs w:val="24"/>
        </w:rPr>
        <w:t>Sector Members</w:t>
      </w:r>
      <w:r w:rsidR="00412916" w:rsidRPr="00263754">
        <w:rPr>
          <w:b/>
          <w:szCs w:val="24"/>
        </w:rPr>
        <w:t xml:space="preserve"> and </w:t>
      </w:r>
      <w:r w:rsidR="00280655">
        <w:rPr>
          <w:b/>
          <w:szCs w:val="24"/>
        </w:rPr>
        <w:t>Associates in 2019</w:t>
      </w:r>
    </w:p>
    <w:p w14:paraId="31AA2F5B" w14:textId="77777777" w:rsidR="00495B2C" w:rsidRDefault="00495B2C" w:rsidP="001E2E4D">
      <w:pPr>
        <w:keepNext/>
        <w:spacing w:after="120"/>
        <w:rPr>
          <w:szCs w:val="24"/>
        </w:rPr>
      </w:pPr>
      <w:r w:rsidRPr="00495B2C">
        <w:rPr>
          <w:szCs w:val="24"/>
        </w:rPr>
        <w:t xml:space="preserve">In 2019, ITU-D attracted </w:t>
      </w:r>
      <w:r w:rsidRPr="005820B6">
        <w:rPr>
          <w:b/>
          <w:i/>
          <w:szCs w:val="24"/>
        </w:rPr>
        <w:t>13 new Sector Members</w:t>
      </w:r>
      <w:r w:rsidRPr="00495B2C">
        <w:rPr>
          <w:szCs w:val="24"/>
        </w:rPr>
        <w:t>: AEPF (</w:t>
      </w:r>
      <w:r w:rsidR="00C667FA">
        <w:rPr>
          <w:szCs w:val="24"/>
        </w:rPr>
        <w:t>C</w:t>
      </w:r>
      <w:r w:rsidRPr="00495B2C">
        <w:rPr>
          <w:szCs w:val="24"/>
        </w:rPr>
        <w:t>had), Amazon Web Services (U</w:t>
      </w:r>
      <w:r w:rsidR="00C667FA">
        <w:rPr>
          <w:szCs w:val="24"/>
        </w:rPr>
        <w:t>nited States</w:t>
      </w:r>
      <w:r w:rsidRPr="00495B2C">
        <w:rPr>
          <w:szCs w:val="24"/>
        </w:rPr>
        <w:t xml:space="preserve">), ANSUT (Cote </w:t>
      </w:r>
      <w:r w:rsidR="00C667FA">
        <w:rPr>
          <w:szCs w:val="24"/>
        </w:rPr>
        <w:t>d</w:t>
      </w:r>
      <w:r w:rsidRPr="00495B2C">
        <w:rPr>
          <w:szCs w:val="24"/>
        </w:rPr>
        <w:t>’Ivoire), BCSL (Bangladesh), Hughes Network Systems LLC (U</w:t>
      </w:r>
      <w:r w:rsidR="00C667FA">
        <w:rPr>
          <w:szCs w:val="24"/>
        </w:rPr>
        <w:t>nited States</w:t>
      </w:r>
      <w:r w:rsidRPr="00495B2C">
        <w:rPr>
          <w:szCs w:val="24"/>
        </w:rPr>
        <w:t>), Internet Corporation for Assigned Names and Numbers ICANN (U</w:t>
      </w:r>
      <w:r w:rsidR="00C667FA">
        <w:rPr>
          <w:szCs w:val="24"/>
        </w:rPr>
        <w:t>nited States</w:t>
      </w:r>
      <w:r w:rsidRPr="00495B2C">
        <w:rPr>
          <w:szCs w:val="24"/>
        </w:rPr>
        <w:t>), Loon LLC (U</w:t>
      </w:r>
      <w:r w:rsidR="00C667FA">
        <w:rPr>
          <w:szCs w:val="24"/>
        </w:rPr>
        <w:t>nited States</w:t>
      </w:r>
      <w:r w:rsidRPr="00495B2C">
        <w:rPr>
          <w:szCs w:val="24"/>
        </w:rPr>
        <w:t>), Mada-Qatar Assistive Technology Center (Qatar), MTN Group Management Services (South Africa), Reliance JIO Infoco</w:t>
      </w:r>
      <w:r w:rsidR="00280655">
        <w:rPr>
          <w:szCs w:val="24"/>
        </w:rPr>
        <w:t>m</w:t>
      </w:r>
      <w:r w:rsidRPr="00495B2C">
        <w:rPr>
          <w:szCs w:val="24"/>
        </w:rPr>
        <w:t xml:space="preserve"> (India), Sharing Mobile Group (China), Subah Infosolutions Ghana Limited (Ghana), U Mobile Sdn Bhd (Malaysia), ViaSat Inc (USA)</w:t>
      </w:r>
      <w:r w:rsidR="004F4FEC">
        <w:rPr>
          <w:szCs w:val="24"/>
        </w:rPr>
        <w:t xml:space="preserve">. ITU-D also attracted </w:t>
      </w:r>
      <w:r w:rsidRPr="00495B2C">
        <w:rPr>
          <w:szCs w:val="24"/>
        </w:rPr>
        <w:t xml:space="preserve"> </w:t>
      </w:r>
      <w:r w:rsidRPr="005820B6">
        <w:rPr>
          <w:b/>
          <w:i/>
          <w:szCs w:val="24"/>
        </w:rPr>
        <w:t xml:space="preserve">5 new </w:t>
      </w:r>
      <w:r w:rsidRPr="005820B6">
        <w:rPr>
          <w:b/>
          <w:i/>
          <w:szCs w:val="24"/>
        </w:rPr>
        <w:lastRenderedPageBreak/>
        <w:t>Associates</w:t>
      </w:r>
      <w:r w:rsidRPr="00495B2C">
        <w:rPr>
          <w:szCs w:val="24"/>
        </w:rPr>
        <w:t xml:space="preserve">: Afilias Ltd (Ireland), CACF-3g Technologies (Pakistan), Codewise (Poland), PWC (Switzerland), Silensec (Kenya). </w:t>
      </w:r>
    </w:p>
    <w:p w14:paraId="68E77B11" w14:textId="77777777" w:rsidR="007E0115" w:rsidRPr="00263754" w:rsidRDefault="00092337" w:rsidP="001E2E4D">
      <w:pPr>
        <w:keepNext/>
        <w:spacing w:after="120"/>
        <w:rPr>
          <w:b/>
          <w:szCs w:val="24"/>
        </w:rPr>
      </w:pPr>
      <w:r>
        <w:rPr>
          <w:b/>
          <w:szCs w:val="24"/>
        </w:rPr>
        <w:t>3.2</w:t>
      </w:r>
      <w:r w:rsidR="0040554B" w:rsidRPr="00263754">
        <w:rPr>
          <w:b/>
          <w:szCs w:val="24"/>
        </w:rPr>
        <w:t xml:space="preserve"> </w:t>
      </w:r>
      <w:r w:rsidR="00280655">
        <w:rPr>
          <w:b/>
          <w:szCs w:val="24"/>
        </w:rPr>
        <w:t>Academia in 2019</w:t>
      </w:r>
    </w:p>
    <w:p w14:paraId="1369202F" w14:textId="77777777" w:rsidR="00C77AC6" w:rsidRPr="004D6975" w:rsidRDefault="007E0115" w:rsidP="001E2E4D">
      <w:pPr>
        <w:spacing w:after="120"/>
        <w:rPr>
          <w:szCs w:val="24"/>
        </w:rPr>
      </w:pPr>
      <w:r w:rsidRPr="007E0115">
        <w:rPr>
          <w:szCs w:val="24"/>
        </w:rPr>
        <w:t>Aca</w:t>
      </w:r>
      <w:r>
        <w:rPr>
          <w:szCs w:val="24"/>
        </w:rPr>
        <w:t xml:space="preserve">demia </w:t>
      </w:r>
      <w:r w:rsidRPr="007E0115">
        <w:rPr>
          <w:szCs w:val="24"/>
        </w:rPr>
        <w:t>participate</w:t>
      </w:r>
      <w:r>
        <w:rPr>
          <w:szCs w:val="24"/>
        </w:rPr>
        <w:t xml:space="preserve"> in the work of all</w:t>
      </w:r>
      <w:r w:rsidR="00630D5B">
        <w:rPr>
          <w:szCs w:val="24"/>
        </w:rPr>
        <w:t xml:space="preserve"> three ITU </w:t>
      </w:r>
      <w:r w:rsidR="00C667FA">
        <w:rPr>
          <w:szCs w:val="24"/>
        </w:rPr>
        <w:t>S</w:t>
      </w:r>
      <w:r w:rsidRPr="007E0115">
        <w:rPr>
          <w:szCs w:val="24"/>
        </w:rPr>
        <w:t xml:space="preserve">ectors </w:t>
      </w:r>
      <w:r>
        <w:rPr>
          <w:szCs w:val="24"/>
        </w:rPr>
        <w:t xml:space="preserve">with one single fee. </w:t>
      </w:r>
      <w:r w:rsidR="00A7013B">
        <w:rPr>
          <w:szCs w:val="24"/>
        </w:rPr>
        <w:t>Since 2011</w:t>
      </w:r>
      <w:r w:rsidR="00092337">
        <w:rPr>
          <w:szCs w:val="24"/>
        </w:rPr>
        <w:t>, more than 200</w:t>
      </w:r>
      <w:r w:rsidR="00AD3D11">
        <w:rPr>
          <w:szCs w:val="24"/>
        </w:rPr>
        <w:t xml:space="preserve"> Academia have joined ITU. </w:t>
      </w:r>
      <w:r w:rsidR="001462FB">
        <w:rPr>
          <w:szCs w:val="24"/>
        </w:rPr>
        <w:t>T</w:t>
      </w:r>
      <w:r w:rsidR="00A7013B">
        <w:rPr>
          <w:szCs w:val="24"/>
        </w:rPr>
        <w:t xml:space="preserve">his segment has </w:t>
      </w:r>
      <w:r w:rsidR="00B64FBF">
        <w:rPr>
          <w:szCs w:val="24"/>
        </w:rPr>
        <w:t xml:space="preserve">the </w:t>
      </w:r>
      <w:r w:rsidR="00A7013B">
        <w:rPr>
          <w:szCs w:val="24"/>
        </w:rPr>
        <w:t>highest</w:t>
      </w:r>
      <w:r w:rsidR="001462FB">
        <w:rPr>
          <w:szCs w:val="24"/>
        </w:rPr>
        <w:t xml:space="preserve"> growth </w:t>
      </w:r>
      <w:r w:rsidR="00A7013B">
        <w:rPr>
          <w:szCs w:val="24"/>
        </w:rPr>
        <w:t xml:space="preserve">rate, </w:t>
      </w:r>
      <w:r w:rsidR="001462FB">
        <w:rPr>
          <w:szCs w:val="24"/>
        </w:rPr>
        <w:t xml:space="preserve">compared to the other membership categories. </w:t>
      </w:r>
      <w:r w:rsidR="00092337">
        <w:rPr>
          <w:szCs w:val="24"/>
        </w:rPr>
        <w:t>For 2019</w:t>
      </w:r>
      <w:r w:rsidR="005942C0">
        <w:rPr>
          <w:szCs w:val="24"/>
        </w:rPr>
        <w:t xml:space="preserve">, </w:t>
      </w:r>
      <w:r w:rsidR="00E96A21">
        <w:rPr>
          <w:szCs w:val="24"/>
        </w:rPr>
        <w:t xml:space="preserve">through efforts </w:t>
      </w:r>
      <w:r w:rsidR="00E7188C">
        <w:rPr>
          <w:szCs w:val="24"/>
        </w:rPr>
        <w:t>coordinat</w:t>
      </w:r>
      <w:r w:rsidR="00E96A21">
        <w:rPr>
          <w:szCs w:val="24"/>
        </w:rPr>
        <w:t xml:space="preserve">ed </w:t>
      </w:r>
      <w:r w:rsidR="00E7188C">
        <w:rPr>
          <w:szCs w:val="24"/>
        </w:rPr>
        <w:t xml:space="preserve">with the General Secretariat, </w:t>
      </w:r>
      <w:r w:rsidR="00092337" w:rsidRPr="005820B6">
        <w:rPr>
          <w:b/>
          <w:i/>
          <w:szCs w:val="24"/>
        </w:rPr>
        <w:t>22</w:t>
      </w:r>
      <w:r w:rsidR="007E6FA0" w:rsidRPr="005820B6">
        <w:rPr>
          <w:b/>
          <w:i/>
          <w:szCs w:val="24"/>
        </w:rPr>
        <w:t xml:space="preserve"> new Academia</w:t>
      </w:r>
      <w:r w:rsidR="00E7188C" w:rsidRPr="00263754">
        <w:rPr>
          <w:szCs w:val="24"/>
        </w:rPr>
        <w:t xml:space="preserve"> joined the three </w:t>
      </w:r>
      <w:r w:rsidR="00630D5B">
        <w:rPr>
          <w:szCs w:val="24"/>
        </w:rPr>
        <w:t>S</w:t>
      </w:r>
      <w:r w:rsidR="00E7188C" w:rsidRPr="00263754">
        <w:rPr>
          <w:szCs w:val="24"/>
        </w:rPr>
        <w:t>ectors of ITU</w:t>
      </w:r>
      <w:r w:rsidR="002E4944">
        <w:rPr>
          <w:szCs w:val="24"/>
        </w:rPr>
        <w:t>.</w:t>
      </w:r>
      <w:r w:rsidR="00E7188C" w:rsidRPr="00263754">
        <w:rPr>
          <w:rStyle w:val="FootnoteReference"/>
          <w:szCs w:val="24"/>
        </w:rPr>
        <w:footnoteReference w:id="5"/>
      </w:r>
      <w:r w:rsidR="002E4944">
        <w:rPr>
          <w:szCs w:val="24"/>
        </w:rPr>
        <w:t xml:space="preserve"> </w:t>
      </w:r>
    </w:p>
    <w:p w14:paraId="430458DB" w14:textId="77777777" w:rsidR="002E4944" w:rsidRPr="00C77AC6" w:rsidRDefault="004D6975" w:rsidP="001E2E4D">
      <w:pPr>
        <w:pStyle w:val="ListParagraph"/>
        <w:numPr>
          <w:ilvl w:val="0"/>
          <w:numId w:val="4"/>
        </w:numPr>
        <w:spacing w:after="120"/>
        <w:contextualSpacing w:val="0"/>
        <w:rPr>
          <w:b/>
          <w:szCs w:val="24"/>
          <w:lang w:val="en-US"/>
        </w:rPr>
      </w:pPr>
      <w:r>
        <w:rPr>
          <w:b/>
          <w:szCs w:val="24"/>
          <w:lang w:val="en-US"/>
        </w:rPr>
        <w:t xml:space="preserve">Key actions </w:t>
      </w:r>
      <w:r w:rsidR="00C77AC6">
        <w:rPr>
          <w:b/>
          <w:szCs w:val="24"/>
          <w:lang w:val="en-US"/>
        </w:rPr>
        <w:t>and results</w:t>
      </w:r>
    </w:p>
    <w:p w14:paraId="18D1A2BA" w14:textId="77777777" w:rsidR="00BD58E4" w:rsidRDefault="00EE4C2F" w:rsidP="001E2E4D">
      <w:pPr>
        <w:spacing w:after="120"/>
        <w:rPr>
          <w:szCs w:val="24"/>
          <w:lang w:val="en-US"/>
        </w:rPr>
      </w:pPr>
      <w:r>
        <w:rPr>
          <w:szCs w:val="24"/>
          <w:lang w:val="en-US"/>
        </w:rPr>
        <w:t>BDT has</w:t>
      </w:r>
      <w:r w:rsidR="00BD58E4" w:rsidRPr="00690B5F">
        <w:rPr>
          <w:szCs w:val="24"/>
          <w:lang w:val="en-US"/>
        </w:rPr>
        <w:t xml:space="preserve"> been conducting a series of strategic actions</w:t>
      </w:r>
      <w:r w:rsidR="001B755D">
        <w:rPr>
          <w:szCs w:val="24"/>
          <w:lang w:val="en-US"/>
        </w:rPr>
        <w:t xml:space="preserve"> to </w:t>
      </w:r>
      <w:r w:rsidR="00B64FBF">
        <w:rPr>
          <w:szCs w:val="24"/>
          <w:lang w:val="en-US"/>
        </w:rPr>
        <w:t>enhanc</w:t>
      </w:r>
      <w:r w:rsidR="001B755D">
        <w:rPr>
          <w:szCs w:val="24"/>
          <w:lang w:val="en-US"/>
        </w:rPr>
        <w:t xml:space="preserve">e </w:t>
      </w:r>
      <w:r w:rsidR="00B64FBF">
        <w:rPr>
          <w:szCs w:val="24"/>
          <w:lang w:val="en-US"/>
        </w:rPr>
        <w:t xml:space="preserve"> </w:t>
      </w:r>
      <w:r w:rsidR="00FA6FAE">
        <w:rPr>
          <w:szCs w:val="24"/>
          <w:lang w:val="en-US"/>
        </w:rPr>
        <w:t xml:space="preserve"> </w:t>
      </w:r>
      <w:r w:rsidR="00B64FBF">
        <w:rPr>
          <w:szCs w:val="24"/>
          <w:lang w:val="en-US"/>
        </w:rPr>
        <w:t xml:space="preserve">engagement with, and participation </w:t>
      </w:r>
      <w:r w:rsidR="00465AB1">
        <w:rPr>
          <w:szCs w:val="24"/>
          <w:lang w:val="en-US"/>
        </w:rPr>
        <w:t>of</w:t>
      </w:r>
      <w:r w:rsidR="00E96A21">
        <w:rPr>
          <w:szCs w:val="24"/>
          <w:lang w:val="en-US"/>
        </w:rPr>
        <w:t>,</w:t>
      </w:r>
      <w:r w:rsidR="00465AB1">
        <w:rPr>
          <w:szCs w:val="24"/>
          <w:lang w:val="en-US"/>
        </w:rPr>
        <w:t xml:space="preserve"> </w:t>
      </w:r>
      <w:r w:rsidR="00B64FBF">
        <w:rPr>
          <w:szCs w:val="24"/>
          <w:lang w:val="en-US"/>
        </w:rPr>
        <w:t>ITU-D members</w:t>
      </w:r>
      <w:r w:rsidR="00FA6FAE">
        <w:rPr>
          <w:szCs w:val="24"/>
          <w:lang w:val="en-US"/>
        </w:rPr>
        <w:t xml:space="preserve"> in the work of the Sector</w:t>
      </w:r>
      <w:r w:rsidR="00B64FBF">
        <w:rPr>
          <w:szCs w:val="24"/>
          <w:lang w:val="en-US"/>
        </w:rPr>
        <w:t>.</w:t>
      </w:r>
      <w:r w:rsidR="000443B5">
        <w:rPr>
          <w:szCs w:val="24"/>
          <w:lang w:val="en-US"/>
        </w:rPr>
        <w:t xml:space="preserve"> </w:t>
      </w:r>
    </w:p>
    <w:p w14:paraId="3D5C72E4" w14:textId="77777777" w:rsidR="00BD58E4" w:rsidRPr="0010309D" w:rsidRDefault="00BD58E4" w:rsidP="001E2E4D">
      <w:pPr>
        <w:pStyle w:val="PlainText"/>
        <w:numPr>
          <w:ilvl w:val="1"/>
          <w:numId w:val="4"/>
        </w:numPr>
        <w:spacing w:before="120" w:after="120"/>
        <w:ind w:left="357" w:hanging="357"/>
        <w:rPr>
          <w:rFonts w:asciiTheme="minorHAnsi" w:hAnsiTheme="minorHAnsi"/>
          <w:b/>
          <w:bCs/>
          <w:sz w:val="24"/>
          <w:szCs w:val="24"/>
        </w:rPr>
      </w:pPr>
      <w:r w:rsidRPr="0010309D">
        <w:rPr>
          <w:rFonts w:asciiTheme="minorHAnsi" w:hAnsiTheme="minorHAnsi"/>
          <w:b/>
          <w:bCs/>
          <w:sz w:val="24"/>
          <w:szCs w:val="24"/>
        </w:rPr>
        <w:t xml:space="preserve">Enhancing ITU-D </w:t>
      </w:r>
      <w:r w:rsidR="001B755D">
        <w:rPr>
          <w:rFonts w:asciiTheme="minorHAnsi" w:hAnsiTheme="minorHAnsi"/>
          <w:b/>
          <w:bCs/>
          <w:sz w:val="24"/>
          <w:szCs w:val="24"/>
        </w:rPr>
        <w:t>m</w:t>
      </w:r>
      <w:r w:rsidRPr="0010309D">
        <w:rPr>
          <w:rFonts w:asciiTheme="minorHAnsi" w:hAnsiTheme="minorHAnsi"/>
          <w:b/>
          <w:bCs/>
          <w:sz w:val="24"/>
          <w:szCs w:val="24"/>
        </w:rPr>
        <w:t xml:space="preserve">embership tools and services </w:t>
      </w:r>
    </w:p>
    <w:p w14:paraId="1EB06CF2" w14:textId="77777777" w:rsidR="00B320E6" w:rsidRDefault="00B320E6" w:rsidP="001E2E4D">
      <w:pPr>
        <w:spacing w:after="120"/>
        <w:rPr>
          <w:szCs w:val="24"/>
          <w:lang w:val="en-US"/>
        </w:rPr>
      </w:pPr>
      <w:r>
        <w:rPr>
          <w:szCs w:val="24"/>
          <w:lang w:val="en-US"/>
        </w:rPr>
        <w:t xml:space="preserve">In close collaboration with </w:t>
      </w:r>
      <w:r w:rsidR="00EE4C2F">
        <w:rPr>
          <w:szCs w:val="24"/>
          <w:lang w:val="en-US"/>
        </w:rPr>
        <w:t>the Strategic Planning and Membership Department (SPM)</w:t>
      </w:r>
      <w:r w:rsidR="00D171CF">
        <w:rPr>
          <w:szCs w:val="24"/>
          <w:lang w:val="en-US"/>
        </w:rPr>
        <w:t xml:space="preserve">, BDT introduced </w:t>
      </w:r>
      <w:r w:rsidR="00FA6FAE">
        <w:rPr>
          <w:szCs w:val="24"/>
          <w:lang w:val="en-US"/>
        </w:rPr>
        <w:t xml:space="preserve">in the last </w:t>
      </w:r>
      <w:r w:rsidR="001B755D">
        <w:rPr>
          <w:szCs w:val="24"/>
          <w:lang w:val="en-US"/>
        </w:rPr>
        <w:t>q</w:t>
      </w:r>
      <w:r w:rsidR="00FA6FAE">
        <w:rPr>
          <w:szCs w:val="24"/>
          <w:lang w:val="en-US"/>
        </w:rPr>
        <w:t xml:space="preserve">uarter of 2019, </w:t>
      </w:r>
      <w:r w:rsidR="00D171CF">
        <w:rPr>
          <w:szCs w:val="24"/>
          <w:lang w:val="en-US"/>
        </w:rPr>
        <w:t>the</w:t>
      </w:r>
      <w:r w:rsidR="00465ED9">
        <w:rPr>
          <w:szCs w:val="24"/>
          <w:lang w:val="en-US"/>
        </w:rPr>
        <w:t xml:space="preserve"> use</w:t>
      </w:r>
      <w:r w:rsidR="00A625D6">
        <w:rPr>
          <w:szCs w:val="24"/>
          <w:lang w:val="en-US"/>
        </w:rPr>
        <w:t xml:space="preserve"> </w:t>
      </w:r>
      <w:r w:rsidR="00FA6FAE">
        <w:rPr>
          <w:szCs w:val="24"/>
          <w:lang w:val="en-US"/>
        </w:rPr>
        <w:t xml:space="preserve">of </w:t>
      </w:r>
      <w:r w:rsidR="00A625D6">
        <w:rPr>
          <w:szCs w:val="24"/>
          <w:lang w:val="en-US"/>
        </w:rPr>
        <w:t>Linkedin Sales Navigator</w:t>
      </w:r>
      <w:r w:rsidR="000443B5">
        <w:rPr>
          <w:szCs w:val="24"/>
          <w:lang w:val="en-US"/>
        </w:rPr>
        <w:t xml:space="preserve"> </w:t>
      </w:r>
      <w:r w:rsidR="00FA6FAE">
        <w:rPr>
          <w:szCs w:val="24"/>
          <w:lang w:val="en-US"/>
        </w:rPr>
        <w:t xml:space="preserve">in order to </w:t>
      </w:r>
      <w:r w:rsidR="00A15287">
        <w:rPr>
          <w:szCs w:val="24"/>
          <w:lang w:val="en-US"/>
        </w:rPr>
        <w:t xml:space="preserve">gain greater access  to </w:t>
      </w:r>
      <w:r w:rsidR="002738CA">
        <w:rPr>
          <w:szCs w:val="24"/>
        </w:rPr>
        <w:t xml:space="preserve">ICT </w:t>
      </w:r>
      <w:r w:rsidR="00465ED9">
        <w:rPr>
          <w:szCs w:val="24"/>
        </w:rPr>
        <w:t xml:space="preserve">industry </w:t>
      </w:r>
      <w:r w:rsidR="002738CA">
        <w:rPr>
          <w:szCs w:val="24"/>
        </w:rPr>
        <w:t>networks</w:t>
      </w:r>
      <w:r w:rsidR="00A15287">
        <w:rPr>
          <w:szCs w:val="24"/>
        </w:rPr>
        <w:t xml:space="preserve"> with the aim of attracting </w:t>
      </w:r>
      <w:r w:rsidR="002738CA">
        <w:rPr>
          <w:szCs w:val="24"/>
        </w:rPr>
        <w:t xml:space="preserve"> </w:t>
      </w:r>
      <w:r w:rsidR="00FA6FAE">
        <w:rPr>
          <w:szCs w:val="24"/>
        </w:rPr>
        <w:t>a higher</w:t>
      </w:r>
      <w:r w:rsidR="000443B5">
        <w:rPr>
          <w:szCs w:val="24"/>
        </w:rPr>
        <w:t xml:space="preserve"> </w:t>
      </w:r>
      <w:r w:rsidR="00D171CF">
        <w:rPr>
          <w:szCs w:val="24"/>
        </w:rPr>
        <w:t>number of prospective entities</w:t>
      </w:r>
      <w:r w:rsidR="000443B5">
        <w:rPr>
          <w:szCs w:val="24"/>
        </w:rPr>
        <w:t xml:space="preserve"> </w:t>
      </w:r>
      <w:r w:rsidR="00D171CF">
        <w:rPr>
          <w:szCs w:val="24"/>
        </w:rPr>
        <w:t xml:space="preserve">and </w:t>
      </w:r>
      <w:r w:rsidR="00FA6FAE">
        <w:rPr>
          <w:szCs w:val="24"/>
        </w:rPr>
        <w:t xml:space="preserve">increasing ITU-D membership. </w:t>
      </w:r>
    </w:p>
    <w:p w14:paraId="71504AC4" w14:textId="77777777" w:rsidR="00D171CF" w:rsidRDefault="00FA6FAE" w:rsidP="001E2E4D">
      <w:pPr>
        <w:spacing w:after="120"/>
        <w:rPr>
          <w:szCs w:val="24"/>
          <w:lang w:val="en-US"/>
        </w:rPr>
      </w:pPr>
      <w:r>
        <w:rPr>
          <w:szCs w:val="24"/>
          <w:lang w:val="en-US"/>
        </w:rPr>
        <w:t xml:space="preserve">In an effort to attract and welcome </w:t>
      </w:r>
      <w:r w:rsidR="00D171CF">
        <w:rPr>
          <w:szCs w:val="24"/>
          <w:lang w:val="en-US"/>
        </w:rPr>
        <w:t xml:space="preserve">new </w:t>
      </w:r>
      <w:r>
        <w:rPr>
          <w:szCs w:val="24"/>
          <w:lang w:val="en-US"/>
        </w:rPr>
        <w:t xml:space="preserve">ITU-D </w:t>
      </w:r>
      <w:r w:rsidR="00D171CF">
        <w:rPr>
          <w:szCs w:val="24"/>
          <w:lang w:val="en-US"/>
        </w:rPr>
        <w:t>members</w:t>
      </w:r>
      <w:r>
        <w:rPr>
          <w:szCs w:val="24"/>
          <w:lang w:val="en-US"/>
        </w:rPr>
        <w:t>,</w:t>
      </w:r>
      <w:r w:rsidR="00D171CF">
        <w:rPr>
          <w:szCs w:val="24"/>
          <w:lang w:val="en-US"/>
        </w:rPr>
        <w:t xml:space="preserve"> two </w:t>
      </w:r>
      <w:r w:rsidR="00DA644E">
        <w:rPr>
          <w:szCs w:val="24"/>
          <w:lang w:val="en-US"/>
        </w:rPr>
        <w:t>k</w:t>
      </w:r>
      <w:r w:rsidR="00D171CF">
        <w:rPr>
          <w:szCs w:val="24"/>
          <w:lang w:val="en-US"/>
        </w:rPr>
        <w:t>its were designed</w:t>
      </w:r>
      <w:r>
        <w:rPr>
          <w:szCs w:val="24"/>
          <w:lang w:val="en-US"/>
        </w:rPr>
        <w:t>,</w:t>
      </w:r>
      <w:r w:rsidR="00D171CF">
        <w:rPr>
          <w:szCs w:val="24"/>
          <w:lang w:val="en-US"/>
        </w:rPr>
        <w:t xml:space="preserve"> developed</w:t>
      </w:r>
      <w:r>
        <w:rPr>
          <w:szCs w:val="24"/>
          <w:lang w:val="en-US"/>
        </w:rPr>
        <w:t>, and are in use</w:t>
      </w:r>
      <w:r w:rsidR="00D171CF">
        <w:rPr>
          <w:szCs w:val="24"/>
          <w:lang w:val="en-US"/>
        </w:rPr>
        <w:t xml:space="preserve">. The </w:t>
      </w:r>
      <w:r w:rsidR="00DA644E">
        <w:rPr>
          <w:szCs w:val="24"/>
          <w:lang w:val="en-US"/>
        </w:rPr>
        <w:t>“</w:t>
      </w:r>
      <w:r w:rsidR="00465ED9">
        <w:rPr>
          <w:szCs w:val="24"/>
          <w:lang w:val="en-US"/>
        </w:rPr>
        <w:t>Information Kit</w:t>
      </w:r>
      <w:r w:rsidR="00DA644E">
        <w:rPr>
          <w:szCs w:val="24"/>
          <w:lang w:val="en-US"/>
        </w:rPr>
        <w:t>”</w:t>
      </w:r>
      <w:r w:rsidR="004B495A">
        <w:rPr>
          <w:szCs w:val="24"/>
          <w:lang w:val="en-US"/>
        </w:rPr>
        <w:t xml:space="preserve"> for prospective members</w:t>
      </w:r>
      <w:r w:rsidR="00D171CF">
        <w:rPr>
          <w:szCs w:val="24"/>
          <w:lang w:val="en-US"/>
        </w:rPr>
        <w:t xml:space="preserve"> focuses on </w:t>
      </w:r>
      <w:r w:rsidR="00CF6C96">
        <w:rPr>
          <w:szCs w:val="24"/>
          <w:lang w:val="en-US"/>
        </w:rPr>
        <w:t>marketing</w:t>
      </w:r>
      <w:r w:rsidR="00D171CF">
        <w:rPr>
          <w:szCs w:val="24"/>
          <w:lang w:val="en-US"/>
        </w:rPr>
        <w:t xml:space="preserve"> the work of ITU-D</w:t>
      </w:r>
      <w:r w:rsidR="00CF6C96">
        <w:rPr>
          <w:szCs w:val="24"/>
          <w:lang w:val="en-US"/>
        </w:rPr>
        <w:t xml:space="preserve"> and provides</w:t>
      </w:r>
      <w:r w:rsidR="004B495A">
        <w:rPr>
          <w:szCs w:val="24"/>
          <w:lang w:val="en-US"/>
        </w:rPr>
        <w:t xml:space="preserve"> </w:t>
      </w:r>
      <w:r w:rsidR="00D171CF">
        <w:rPr>
          <w:szCs w:val="24"/>
          <w:lang w:val="en-US"/>
        </w:rPr>
        <w:t>o</w:t>
      </w:r>
      <w:r w:rsidR="00465ED9">
        <w:rPr>
          <w:szCs w:val="24"/>
          <w:lang w:val="en-US"/>
        </w:rPr>
        <w:t>pportunities</w:t>
      </w:r>
      <w:r w:rsidR="00D171CF">
        <w:rPr>
          <w:szCs w:val="24"/>
          <w:lang w:val="en-US"/>
        </w:rPr>
        <w:t xml:space="preserve"> and benefits</w:t>
      </w:r>
      <w:r w:rsidR="00465ED9">
        <w:rPr>
          <w:szCs w:val="24"/>
          <w:lang w:val="en-US"/>
        </w:rPr>
        <w:t xml:space="preserve"> </w:t>
      </w:r>
      <w:r w:rsidR="00D171CF">
        <w:rPr>
          <w:szCs w:val="24"/>
          <w:lang w:val="en-US"/>
        </w:rPr>
        <w:t>for joining ITU-D</w:t>
      </w:r>
      <w:r w:rsidR="00DA644E">
        <w:rPr>
          <w:szCs w:val="24"/>
          <w:lang w:val="en-US"/>
        </w:rPr>
        <w:t>.</w:t>
      </w:r>
      <w:r w:rsidR="00D171CF">
        <w:rPr>
          <w:szCs w:val="24"/>
          <w:lang w:val="en-US"/>
        </w:rPr>
        <w:t xml:space="preserve"> </w:t>
      </w:r>
      <w:r w:rsidR="00CF6C96">
        <w:rPr>
          <w:szCs w:val="24"/>
          <w:lang w:val="en-US"/>
        </w:rPr>
        <w:t xml:space="preserve">The second </w:t>
      </w:r>
      <w:r w:rsidR="00DA644E">
        <w:rPr>
          <w:szCs w:val="24"/>
          <w:lang w:val="en-US"/>
        </w:rPr>
        <w:t>k</w:t>
      </w:r>
      <w:r w:rsidR="00CF6C96">
        <w:rPr>
          <w:szCs w:val="24"/>
          <w:lang w:val="en-US"/>
        </w:rPr>
        <w:t xml:space="preserve">it is </w:t>
      </w:r>
      <w:r w:rsidR="00295186">
        <w:rPr>
          <w:szCs w:val="24"/>
          <w:lang w:val="en-US"/>
        </w:rPr>
        <w:t xml:space="preserve">the </w:t>
      </w:r>
      <w:r w:rsidR="00DA644E">
        <w:rPr>
          <w:szCs w:val="24"/>
          <w:lang w:val="en-US"/>
        </w:rPr>
        <w:t>“</w:t>
      </w:r>
      <w:r w:rsidR="005D459A">
        <w:rPr>
          <w:szCs w:val="24"/>
          <w:lang w:val="en-US"/>
        </w:rPr>
        <w:t>Welcome Kit</w:t>
      </w:r>
      <w:r w:rsidR="00DA644E">
        <w:rPr>
          <w:szCs w:val="24"/>
          <w:lang w:val="en-US"/>
        </w:rPr>
        <w:t xml:space="preserve">” and </w:t>
      </w:r>
      <w:r w:rsidR="005D459A">
        <w:rPr>
          <w:szCs w:val="24"/>
          <w:lang w:val="en-US"/>
        </w:rPr>
        <w:t xml:space="preserve">includes practical information </w:t>
      </w:r>
      <w:r w:rsidR="00295186">
        <w:rPr>
          <w:szCs w:val="24"/>
          <w:lang w:val="en-US"/>
        </w:rPr>
        <w:t xml:space="preserve">for newcomers </w:t>
      </w:r>
      <w:r w:rsidR="00CF6C96">
        <w:rPr>
          <w:szCs w:val="24"/>
          <w:lang w:val="en-US"/>
        </w:rPr>
        <w:t>so they may optimize the</w:t>
      </w:r>
      <w:r w:rsidR="00DA644E">
        <w:rPr>
          <w:szCs w:val="24"/>
          <w:lang w:val="en-US"/>
        </w:rPr>
        <w:t>ir</w:t>
      </w:r>
      <w:r w:rsidR="00CF6C96">
        <w:rPr>
          <w:szCs w:val="24"/>
          <w:lang w:val="en-US"/>
        </w:rPr>
        <w:t xml:space="preserve"> </w:t>
      </w:r>
      <w:r w:rsidR="00DA644E">
        <w:rPr>
          <w:szCs w:val="24"/>
          <w:lang w:val="en-US"/>
        </w:rPr>
        <w:t xml:space="preserve">membership </w:t>
      </w:r>
      <w:r w:rsidR="00CF6C96">
        <w:rPr>
          <w:szCs w:val="24"/>
          <w:lang w:val="en-US"/>
        </w:rPr>
        <w:t>benefits</w:t>
      </w:r>
      <w:r w:rsidR="00DA644E">
        <w:rPr>
          <w:szCs w:val="24"/>
          <w:lang w:val="en-US"/>
        </w:rPr>
        <w:t xml:space="preserve">. </w:t>
      </w:r>
    </w:p>
    <w:p w14:paraId="30512CA7" w14:textId="77777777" w:rsidR="00295186" w:rsidRDefault="00295186" w:rsidP="00930994">
      <w:pPr>
        <w:shd w:val="clear" w:color="auto" w:fill="FFFFFF"/>
        <w:overflowPunct/>
        <w:autoSpaceDE/>
        <w:autoSpaceDN/>
        <w:adjustRightInd/>
        <w:spacing w:after="120"/>
        <w:textAlignment w:val="auto"/>
        <w:rPr>
          <w:rFonts w:cs="Segoe UI"/>
          <w:szCs w:val="24"/>
        </w:rPr>
      </w:pPr>
      <w:r>
        <w:rPr>
          <w:rFonts w:cs="Segoe UI"/>
          <w:szCs w:val="24"/>
        </w:rPr>
        <w:t xml:space="preserve">BDT </w:t>
      </w:r>
      <w:r w:rsidR="00DA644E">
        <w:rPr>
          <w:rFonts w:cs="Segoe UI"/>
          <w:szCs w:val="24"/>
        </w:rPr>
        <w:t>organized</w:t>
      </w:r>
      <w:r>
        <w:rPr>
          <w:rFonts w:cs="Segoe UI"/>
          <w:szCs w:val="24"/>
        </w:rPr>
        <w:t xml:space="preserve"> a</w:t>
      </w:r>
      <w:r w:rsidR="00995859">
        <w:rPr>
          <w:rFonts w:cs="Segoe UI"/>
          <w:szCs w:val="24"/>
        </w:rPr>
        <w:t xml:space="preserve"> </w:t>
      </w:r>
      <w:r w:rsidR="00995859" w:rsidRPr="005820B6">
        <w:rPr>
          <w:rFonts w:cs="Segoe UI"/>
          <w:b/>
          <w:i/>
          <w:szCs w:val="24"/>
        </w:rPr>
        <w:t xml:space="preserve">Co-Creation Workshop for Academia </w:t>
      </w:r>
      <w:r w:rsidR="00995859">
        <w:rPr>
          <w:rFonts w:cs="Segoe UI"/>
          <w:szCs w:val="24"/>
        </w:rPr>
        <w:t>in March</w:t>
      </w:r>
      <w:r w:rsidR="00611224">
        <w:rPr>
          <w:rFonts w:cs="Segoe UI"/>
          <w:szCs w:val="24"/>
        </w:rPr>
        <w:t xml:space="preserve"> 2019</w:t>
      </w:r>
      <w:r w:rsidR="00E96A21">
        <w:rPr>
          <w:rFonts w:cs="Segoe UI"/>
          <w:szCs w:val="24"/>
        </w:rPr>
        <w:t>, w</w:t>
      </w:r>
      <w:r w:rsidR="00E96A21">
        <w:rPr>
          <w:rFonts w:cs="Segoe UI"/>
          <w:szCs w:val="24"/>
          <w:lang w:val="en-US"/>
        </w:rPr>
        <w:t xml:space="preserve">ith the aim to better </w:t>
      </w:r>
      <w:r w:rsidR="00E96A21">
        <w:rPr>
          <w:rFonts w:cs="Segoe UI"/>
          <w:szCs w:val="24"/>
        </w:rPr>
        <w:t>understand the needs and expectations of academic and research entities affiliated to ITU</w:t>
      </w:r>
      <w:r w:rsidR="00995859">
        <w:rPr>
          <w:rFonts w:cs="Segoe UI"/>
          <w:szCs w:val="24"/>
        </w:rPr>
        <w:t>. Academia</w:t>
      </w:r>
      <w:r w:rsidR="00DA644E">
        <w:rPr>
          <w:rFonts w:cs="Segoe UI"/>
          <w:szCs w:val="24"/>
        </w:rPr>
        <w:t xml:space="preserve">, </w:t>
      </w:r>
      <w:r w:rsidR="00995859">
        <w:rPr>
          <w:rFonts w:cs="Segoe UI"/>
          <w:szCs w:val="24"/>
        </w:rPr>
        <w:t xml:space="preserve">BDT </w:t>
      </w:r>
      <w:r w:rsidR="00DA644E">
        <w:rPr>
          <w:rFonts w:cs="Segoe UI"/>
          <w:szCs w:val="24"/>
        </w:rPr>
        <w:t>f</w:t>
      </w:r>
      <w:r w:rsidR="00CF6C96">
        <w:rPr>
          <w:rFonts w:cs="Segoe UI"/>
          <w:szCs w:val="24"/>
        </w:rPr>
        <w:t xml:space="preserve">ocal </w:t>
      </w:r>
      <w:r w:rsidR="00DA644E">
        <w:rPr>
          <w:rFonts w:cs="Segoe UI"/>
          <w:szCs w:val="24"/>
        </w:rPr>
        <w:t>p</w:t>
      </w:r>
      <w:r w:rsidR="00CF6C96">
        <w:rPr>
          <w:rFonts w:cs="Segoe UI"/>
          <w:szCs w:val="24"/>
        </w:rPr>
        <w:t>oints</w:t>
      </w:r>
      <w:r w:rsidR="00995859">
        <w:rPr>
          <w:rFonts w:cs="Segoe UI"/>
          <w:szCs w:val="24"/>
        </w:rPr>
        <w:t xml:space="preserve"> and other stakeholders </w:t>
      </w:r>
      <w:r>
        <w:rPr>
          <w:rFonts w:cs="Segoe UI"/>
          <w:szCs w:val="24"/>
        </w:rPr>
        <w:t>shared</w:t>
      </w:r>
      <w:r w:rsidR="00995859">
        <w:rPr>
          <w:rFonts w:cs="Segoe UI"/>
          <w:szCs w:val="24"/>
        </w:rPr>
        <w:t xml:space="preserve"> success stories </w:t>
      </w:r>
      <w:r>
        <w:rPr>
          <w:rFonts w:cs="Segoe UI"/>
          <w:szCs w:val="24"/>
        </w:rPr>
        <w:t xml:space="preserve">and </w:t>
      </w:r>
      <w:r w:rsidR="00CF6C96">
        <w:rPr>
          <w:rFonts w:cs="Segoe UI"/>
          <w:szCs w:val="24"/>
        </w:rPr>
        <w:t xml:space="preserve">presented </w:t>
      </w:r>
      <w:r w:rsidR="00B735C0">
        <w:rPr>
          <w:rFonts w:cs="Segoe UI"/>
          <w:szCs w:val="24"/>
        </w:rPr>
        <w:t>proposals for new areas of collaboration</w:t>
      </w:r>
      <w:r w:rsidR="00B161A5">
        <w:rPr>
          <w:rFonts w:cs="Segoe UI"/>
          <w:szCs w:val="24"/>
        </w:rPr>
        <w:t>, beyond</w:t>
      </w:r>
      <w:r w:rsidR="00B735C0">
        <w:rPr>
          <w:rFonts w:cs="Segoe UI"/>
          <w:szCs w:val="24"/>
        </w:rPr>
        <w:t xml:space="preserve"> </w:t>
      </w:r>
      <w:r w:rsidR="00CF6C96">
        <w:rPr>
          <w:rFonts w:cs="Segoe UI"/>
          <w:szCs w:val="24"/>
        </w:rPr>
        <w:t xml:space="preserve">Academia’s </w:t>
      </w:r>
      <w:r w:rsidR="00B161A5">
        <w:rPr>
          <w:rFonts w:cs="Segoe UI"/>
          <w:szCs w:val="24"/>
        </w:rPr>
        <w:t xml:space="preserve">contribution to </w:t>
      </w:r>
      <w:r w:rsidR="00DA644E">
        <w:rPr>
          <w:rFonts w:cs="Segoe UI"/>
          <w:szCs w:val="24"/>
        </w:rPr>
        <w:t xml:space="preserve">the </w:t>
      </w:r>
      <w:r w:rsidR="00B161A5">
        <w:rPr>
          <w:rFonts w:cs="Segoe UI"/>
          <w:szCs w:val="24"/>
        </w:rPr>
        <w:t xml:space="preserve">ITU Journal, ITU </w:t>
      </w:r>
      <w:r w:rsidR="00DA644E">
        <w:rPr>
          <w:rFonts w:cs="Segoe UI"/>
          <w:szCs w:val="24"/>
        </w:rPr>
        <w:t>s</w:t>
      </w:r>
      <w:r w:rsidR="00B161A5">
        <w:rPr>
          <w:rFonts w:cs="Segoe UI"/>
          <w:szCs w:val="24"/>
        </w:rPr>
        <w:t xml:space="preserve">tudy </w:t>
      </w:r>
      <w:r w:rsidR="00DA644E">
        <w:rPr>
          <w:rFonts w:cs="Segoe UI"/>
          <w:szCs w:val="24"/>
        </w:rPr>
        <w:t>g</w:t>
      </w:r>
      <w:r w:rsidR="00B161A5">
        <w:rPr>
          <w:rFonts w:cs="Segoe UI"/>
          <w:szCs w:val="24"/>
        </w:rPr>
        <w:t xml:space="preserve">roups and, the </w:t>
      </w:r>
      <w:r w:rsidR="00B735C0">
        <w:rPr>
          <w:rFonts w:cs="Segoe UI"/>
          <w:szCs w:val="24"/>
        </w:rPr>
        <w:t>ITU Academy</w:t>
      </w:r>
      <w:r w:rsidR="00B161A5">
        <w:rPr>
          <w:rFonts w:cs="Segoe UI"/>
          <w:szCs w:val="24"/>
        </w:rPr>
        <w:t xml:space="preserve"> platform in BDT</w:t>
      </w:r>
      <w:r w:rsidR="00B735C0">
        <w:rPr>
          <w:rFonts w:cs="Segoe UI"/>
          <w:szCs w:val="24"/>
        </w:rPr>
        <w:t>.</w:t>
      </w:r>
      <w:r w:rsidR="00611224">
        <w:rPr>
          <w:rFonts w:cs="Segoe UI"/>
          <w:szCs w:val="24"/>
        </w:rPr>
        <w:t xml:space="preserve"> The report</w:t>
      </w:r>
      <w:r w:rsidR="005D459A">
        <w:rPr>
          <w:rFonts w:cs="Segoe UI"/>
          <w:szCs w:val="24"/>
        </w:rPr>
        <w:t xml:space="preserve"> can be found </w:t>
      </w:r>
      <w:hyperlink r:id="rId10" w:history="1">
        <w:r w:rsidR="005D459A" w:rsidRPr="005D459A">
          <w:rPr>
            <w:rStyle w:val="Hyperlink"/>
            <w:rFonts w:cs="Segoe UI"/>
            <w:szCs w:val="24"/>
          </w:rPr>
          <w:t>here</w:t>
        </w:r>
      </w:hyperlink>
      <w:r w:rsidR="005D459A">
        <w:rPr>
          <w:rFonts w:cs="Segoe UI"/>
          <w:szCs w:val="24"/>
        </w:rPr>
        <w:t>.</w:t>
      </w:r>
      <w:r w:rsidR="00611224">
        <w:rPr>
          <w:rFonts w:cs="Segoe UI"/>
          <w:szCs w:val="24"/>
        </w:rPr>
        <w:t xml:space="preserve"> </w:t>
      </w:r>
    </w:p>
    <w:p w14:paraId="352AC86D" w14:textId="77777777" w:rsidR="00611224" w:rsidRDefault="00BD58E4" w:rsidP="00930994">
      <w:pPr>
        <w:spacing w:after="120"/>
        <w:rPr>
          <w:szCs w:val="24"/>
          <w:lang w:val="en-US"/>
        </w:rPr>
      </w:pPr>
      <w:r w:rsidRPr="006D551A">
        <w:rPr>
          <w:rFonts w:cs="Segoe UI"/>
        </w:rPr>
        <w:t>BDT also</w:t>
      </w:r>
      <w:r w:rsidR="00E96A21">
        <w:rPr>
          <w:rFonts w:cs="Segoe UI"/>
        </w:rPr>
        <w:t xml:space="preserve"> held </w:t>
      </w:r>
      <w:r w:rsidR="00611224">
        <w:rPr>
          <w:rFonts w:cs="Segoe UI"/>
        </w:rPr>
        <w:t>bilateral consultations with</w:t>
      </w:r>
      <w:r w:rsidRPr="006D551A">
        <w:rPr>
          <w:rFonts w:cs="Segoe UI"/>
        </w:rPr>
        <w:t xml:space="preserve"> Academia </w:t>
      </w:r>
      <w:r w:rsidR="00F913D4">
        <w:rPr>
          <w:rFonts w:cs="Segoe UI"/>
        </w:rPr>
        <w:t>during ITU events</w:t>
      </w:r>
      <w:r w:rsidR="00611224">
        <w:rPr>
          <w:rFonts w:cs="Segoe UI"/>
        </w:rPr>
        <w:t xml:space="preserve"> and meetings throughout 2019</w:t>
      </w:r>
      <w:r w:rsidR="00DA644E">
        <w:rPr>
          <w:rFonts w:cs="Segoe UI"/>
        </w:rPr>
        <w:t xml:space="preserve"> </w:t>
      </w:r>
      <w:r>
        <w:rPr>
          <w:rFonts w:cs="Segoe UI"/>
        </w:rPr>
        <w:t>to</w:t>
      </w:r>
      <w:r w:rsidR="00722BC8">
        <w:rPr>
          <w:rFonts w:cs="Segoe UI"/>
        </w:rPr>
        <w:t xml:space="preserve"> increase </w:t>
      </w:r>
      <w:r w:rsidRPr="006D551A">
        <w:rPr>
          <w:rFonts w:cs="Segoe UI"/>
        </w:rPr>
        <w:t>academic en</w:t>
      </w:r>
      <w:r w:rsidR="00611224">
        <w:rPr>
          <w:rFonts w:cs="Segoe UI"/>
        </w:rPr>
        <w:t>gagement in the work of ITU-D</w:t>
      </w:r>
      <w:r w:rsidR="00CF6C96">
        <w:rPr>
          <w:rFonts w:cs="Segoe UI"/>
        </w:rPr>
        <w:t>.</w:t>
      </w:r>
      <w:r w:rsidR="00611224" w:rsidRPr="00611224">
        <w:rPr>
          <w:szCs w:val="24"/>
          <w:lang w:val="en-US"/>
        </w:rPr>
        <w:t xml:space="preserve"> </w:t>
      </w:r>
    </w:p>
    <w:p w14:paraId="4557DB8F" w14:textId="77777777" w:rsidR="00BD58E4" w:rsidRPr="0010309D" w:rsidRDefault="00B735C0" w:rsidP="001E2E4D">
      <w:pPr>
        <w:pStyle w:val="PlainText"/>
        <w:keepNext/>
        <w:numPr>
          <w:ilvl w:val="1"/>
          <w:numId w:val="4"/>
        </w:numPr>
        <w:spacing w:before="120" w:after="120"/>
        <w:ind w:left="357" w:hanging="357"/>
        <w:rPr>
          <w:rFonts w:asciiTheme="minorHAnsi" w:hAnsiTheme="minorHAnsi"/>
          <w:b/>
          <w:bCs/>
          <w:sz w:val="24"/>
          <w:szCs w:val="24"/>
        </w:rPr>
      </w:pPr>
      <w:r>
        <w:rPr>
          <w:rFonts w:asciiTheme="minorHAnsi" w:hAnsiTheme="minorHAnsi"/>
          <w:b/>
          <w:bCs/>
          <w:sz w:val="24"/>
          <w:szCs w:val="24"/>
        </w:rPr>
        <w:t>Implementation of Resolution 71</w:t>
      </w:r>
      <w:r w:rsidR="00CF6C96">
        <w:rPr>
          <w:rFonts w:asciiTheme="minorHAnsi" w:hAnsiTheme="minorHAnsi"/>
          <w:b/>
          <w:bCs/>
          <w:sz w:val="24"/>
          <w:szCs w:val="24"/>
        </w:rPr>
        <w:t>(Rev. Buenos Aires, 2017)</w:t>
      </w:r>
    </w:p>
    <w:p w14:paraId="568ECE3F" w14:textId="77777777" w:rsidR="00B161A5" w:rsidRPr="00DF5911" w:rsidRDefault="008F4088" w:rsidP="001E2E4D">
      <w:pPr>
        <w:spacing w:after="120"/>
        <w:rPr>
          <w:szCs w:val="24"/>
        </w:rPr>
      </w:pPr>
      <w:r>
        <w:rPr>
          <w:szCs w:val="24"/>
        </w:rPr>
        <w:t xml:space="preserve">BDT has </w:t>
      </w:r>
      <w:r w:rsidR="0029037A">
        <w:rPr>
          <w:szCs w:val="24"/>
        </w:rPr>
        <w:t xml:space="preserve">carried out </w:t>
      </w:r>
      <w:r>
        <w:rPr>
          <w:szCs w:val="24"/>
        </w:rPr>
        <w:t>a series of activities</w:t>
      </w:r>
      <w:r w:rsidR="00E36FBE">
        <w:rPr>
          <w:szCs w:val="24"/>
        </w:rPr>
        <w:t xml:space="preserve"> </w:t>
      </w:r>
      <w:r>
        <w:rPr>
          <w:szCs w:val="24"/>
        </w:rPr>
        <w:t xml:space="preserve">in </w:t>
      </w:r>
      <w:r w:rsidR="00E36FBE">
        <w:rPr>
          <w:szCs w:val="24"/>
        </w:rPr>
        <w:t>accordance</w:t>
      </w:r>
      <w:r w:rsidR="00B161A5" w:rsidRPr="006D551A">
        <w:rPr>
          <w:szCs w:val="24"/>
        </w:rPr>
        <w:t xml:space="preserve"> </w:t>
      </w:r>
      <w:r w:rsidR="00722BC8">
        <w:rPr>
          <w:szCs w:val="24"/>
        </w:rPr>
        <w:t xml:space="preserve">with </w:t>
      </w:r>
      <w:r w:rsidR="00B161A5" w:rsidRPr="006D551A">
        <w:rPr>
          <w:szCs w:val="24"/>
        </w:rPr>
        <w:t xml:space="preserve">Resolution 71 </w:t>
      </w:r>
      <w:r w:rsidR="00722BC8">
        <w:rPr>
          <w:szCs w:val="24"/>
        </w:rPr>
        <w:t xml:space="preserve">(Rev. Buenos Aires, </w:t>
      </w:r>
      <w:r w:rsidR="00722BC8" w:rsidRPr="00DF5911">
        <w:rPr>
          <w:szCs w:val="24"/>
        </w:rPr>
        <w:t xml:space="preserve">2017) </w:t>
      </w:r>
      <w:r w:rsidR="00B161A5" w:rsidRPr="00DF5911">
        <w:rPr>
          <w:szCs w:val="24"/>
        </w:rPr>
        <w:t>of WTDC-17 on strengthening cooperation between Members States, Sector Members, Associates and Academia of ITU-D with particular focus on the private sector</w:t>
      </w:r>
      <w:r w:rsidRPr="00DF5911">
        <w:rPr>
          <w:szCs w:val="24"/>
        </w:rPr>
        <w:t xml:space="preserve">. </w:t>
      </w:r>
    </w:p>
    <w:p w14:paraId="3F8B23CC" w14:textId="77777777" w:rsidR="00BD58E4" w:rsidRPr="00DF5911" w:rsidRDefault="0029037A" w:rsidP="00684182">
      <w:pPr>
        <w:rPr>
          <w:rFonts w:cstheme="minorHAnsi"/>
          <w:szCs w:val="24"/>
          <w:shd w:val="clear" w:color="auto" w:fill="FFFFFF"/>
        </w:rPr>
      </w:pPr>
      <w:r w:rsidRPr="00DF5911">
        <w:rPr>
          <w:szCs w:val="24"/>
        </w:rPr>
        <w:t xml:space="preserve">In 2018, </w:t>
      </w:r>
      <w:r w:rsidR="00E36FBE" w:rsidRPr="00DF5911">
        <w:rPr>
          <w:szCs w:val="24"/>
        </w:rPr>
        <w:t xml:space="preserve">the Industry Advisory Group for Development Issues (IAGDI) </w:t>
      </w:r>
      <w:r w:rsidR="00E75F6B" w:rsidRPr="00DF5911">
        <w:rPr>
          <w:szCs w:val="24"/>
        </w:rPr>
        <w:t xml:space="preserve">held its first meeting in conjunction with the meeting of the </w:t>
      </w:r>
      <w:r w:rsidR="00E36FBE" w:rsidRPr="00DF5911">
        <w:rPr>
          <w:szCs w:val="24"/>
        </w:rPr>
        <w:t>Private Sector Chief Regulatory Officers (CRO) at the Global Symposium for Regulators (GSR-18)</w:t>
      </w:r>
      <w:r w:rsidR="00BB4A0E" w:rsidRPr="00DF5911">
        <w:rPr>
          <w:szCs w:val="24"/>
        </w:rPr>
        <w:t xml:space="preserve">. </w:t>
      </w:r>
      <w:r w:rsidR="00BB4A0E" w:rsidRPr="00DF5911">
        <w:t xml:space="preserve">The IAGDI meeting </w:t>
      </w:r>
      <w:r w:rsidR="004C0089" w:rsidRPr="00DF5911">
        <w:rPr>
          <w:rFonts w:cstheme="minorHAnsi"/>
          <w:szCs w:val="24"/>
          <w:shd w:val="clear" w:color="auto" w:fill="FFFFFF"/>
        </w:rPr>
        <w:t xml:space="preserve">called for action to facilitate access to </w:t>
      </w:r>
      <w:r w:rsidR="004C0089" w:rsidRPr="00DF5911">
        <w:rPr>
          <w:rFonts w:cstheme="minorHAnsi"/>
          <w:szCs w:val="24"/>
          <w:shd w:val="clear" w:color="auto" w:fill="FFFFFF"/>
        </w:rPr>
        <w:lastRenderedPageBreak/>
        <w:t>connectivity in a sustainable manner by fostering inclusiveness, enabling broad deployment of infrastructure, driving up broadband adoption and creating an environment where innovation can flourish.</w:t>
      </w:r>
      <w:r w:rsidR="00BB4A0E" w:rsidRPr="00DF5911">
        <w:t xml:space="preserve"> As a follow-up to these events,</w:t>
      </w:r>
      <w:r w:rsidR="00B161A5" w:rsidRPr="00DF5911">
        <w:rPr>
          <w:szCs w:val="24"/>
        </w:rPr>
        <w:t xml:space="preserve"> </w:t>
      </w:r>
      <w:r w:rsidR="00B161A5" w:rsidRPr="00DF5911">
        <w:rPr>
          <w:bCs/>
          <w:iCs/>
          <w:szCs w:val="24"/>
        </w:rPr>
        <w:t>CRO</w:t>
      </w:r>
      <w:r w:rsidR="006003C2" w:rsidRPr="00DF5911">
        <w:rPr>
          <w:szCs w:val="24"/>
        </w:rPr>
        <w:t xml:space="preserve"> </w:t>
      </w:r>
      <w:r w:rsidR="00A7284C" w:rsidRPr="00DF5911">
        <w:rPr>
          <w:szCs w:val="24"/>
        </w:rPr>
        <w:t xml:space="preserve">convened </w:t>
      </w:r>
      <w:r w:rsidR="00BB4A0E" w:rsidRPr="00DF5911">
        <w:rPr>
          <w:szCs w:val="24"/>
        </w:rPr>
        <w:t xml:space="preserve">a meeting </w:t>
      </w:r>
      <w:r w:rsidR="00A7284C" w:rsidRPr="00DF5911">
        <w:rPr>
          <w:szCs w:val="24"/>
        </w:rPr>
        <w:t>on 9 July 2019</w:t>
      </w:r>
      <w:r w:rsidR="00BD58E4" w:rsidRPr="00DF5911">
        <w:rPr>
          <w:szCs w:val="24"/>
        </w:rPr>
        <w:t xml:space="preserve"> </w:t>
      </w:r>
      <w:r w:rsidR="004C0089" w:rsidRPr="00DF5911">
        <w:rPr>
          <w:szCs w:val="24"/>
        </w:rPr>
        <w:t xml:space="preserve">at </w:t>
      </w:r>
      <w:r w:rsidR="00BD58E4" w:rsidRPr="00DF5911">
        <w:rPr>
          <w:szCs w:val="24"/>
        </w:rPr>
        <w:t>the Global Sym</w:t>
      </w:r>
      <w:r w:rsidR="00A7284C" w:rsidRPr="00DF5911">
        <w:rPr>
          <w:szCs w:val="24"/>
        </w:rPr>
        <w:t>posium for Regulators (GSR-19</w:t>
      </w:r>
      <w:r w:rsidR="00BD58E4" w:rsidRPr="00DF5911">
        <w:rPr>
          <w:szCs w:val="24"/>
        </w:rPr>
        <w:t xml:space="preserve">). </w:t>
      </w:r>
      <w:r w:rsidR="008F7275" w:rsidRPr="00DF5911">
        <w:rPr>
          <w:szCs w:val="24"/>
        </w:rPr>
        <w:t>O</w:t>
      </w:r>
      <w:r w:rsidR="00BD58E4" w:rsidRPr="00DF5911">
        <w:rPr>
          <w:szCs w:val="24"/>
        </w:rPr>
        <w:t>ver 100 senior industry</w:t>
      </w:r>
      <w:r w:rsidR="00A26A5C" w:rsidRPr="00DF5911">
        <w:rPr>
          <w:szCs w:val="24"/>
        </w:rPr>
        <w:t xml:space="preserve"> representatives</w:t>
      </w:r>
      <w:r w:rsidR="00A45632" w:rsidRPr="00DF5911">
        <w:rPr>
          <w:szCs w:val="24"/>
        </w:rPr>
        <w:t xml:space="preserve"> </w:t>
      </w:r>
      <w:r w:rsidR="008F7275" w:rsidRPr="00DF5911">
        <w:rPr>
          <w:szCs w:val="24"/>
        </w:rPr>
        <w:t>identified best practices to accelerate</w:t>
      </w:r>
      <w:r w:rsidR="00A45632" w:rsidRPr="00DF5911">
        <w:rPr>
          <w:szCs w:val="24"/>
        </w:rPr>
        <w:t xml:space="preserve"> digital connectivity and allow people everywhere to benefit from digital transformation and participate in</w:t>
      </w:r>
      <w:r w:rsidR="00BB4A0E" w:rsidRPr="00DF5911">
        <w:rPr>
          <w:szCs w:val="24"/>
        </w:rPr>
        <w:t xml:space="preserve"> the</w:t>
      </w:r>
      <w:r w:rsidR="00A45632" w:rsidRPr="00DF5911">
        <w:rPr>
          <w:szCs w:val="24"/>
        </w:rPr>
        <w:t xml:space="preserve"> digital economy</w:t>
      </w:r>
      <w:r w:rsidR="0098230A" w:rsidRPr="00DF5911">
        <w:rPr>
          <w:szCs w:val="24"/>
        </w:rPr>
        <w:t xml:space="preserve"> (see </w:t>
      </w:r>
      <w:r w:rsidR="00A26A5C" w:rsidRPr="00DF5911">
        <w:rPr>
          <w:szCs w:val="24"/>
        </w:rPr>
        <w:t>the</w:t>
      </w:r>
      <w:r w:rsidR="004E4745" w:rsidRPr="00DF5911">
        <w:rPr>
          <w:szCs w:val="24"/>
        </w:rPr>
        <w:t xml:space="preserve"> </w:t>
      </w:r>
      <w:hyperlink r:id="rId11" w:history="1">
        <w:r w:rsidR="004E4745" w:rsidRPr="00DF5911">
          <w:rPr>
            <w:rStyle w:val="Hyperlink"/>
            <w:szCs w:val="24"/>
          </w:rPr>
          <w:t>CRO Chairman Report</w:t>
        </w:r>
      </w:hyperlink>
      <w:r w:rsidR="0098230A" w:rsidRPr="00DF5911">
        <w:rPr>
          <w:rStyle w:val="Hyperlink"/>
          <w:szCs w:val="24"/>
        </w:rPr>
        <w:t>)</w:t>
      </w:r>
      <w:r w:rsidR="00A45632" w:rsidRPr="00DF5911">
        <w:rPr>
          <w:szCs w:val="24"/>
        </w:rPr>
        <w:t>.</w:t>
      </w:r>
      <w:r w:rsidR="000443B5" w:rsidRPr="00DF5911">
        <w:rPr>
          <w:szCs w:val="24"/>
        </w:rPr>
        <w:t xml:space="preserve"> </w:t>
      </w:r>
      <w:r w:rsidR="004C0089" w:rsidRPr="00DF5911">
        <w:rPr>
          <w:szCs w:val="24"/>
        </w:rPr>
        <w:t xml:space="preserve"> </w:t>
      </w:r>
    </w:p>
    <w:p w14:paraId="57E92BF0" w14:textId="17DD8E4B" w:rsidR="00A26A5C" w:rsidRDefault="00A26A5C" w:rsidP="001E2E4D">
      <w:pPr>
        <w:spacing w:after="120"/>
        <w:rPr>
          <w:szCs w:val="24"/>
        </w:rPr>
      </w:pPr>
      <w:r w:rsidRPr="00DF5911">
        <w:rPr>
          <w:szCs w:val="24"/>
        </w:rPr>
        <w:t xml:space="preserve">In </w:t>
      </w:r>
      <w:r w:rsidR="00E36FBE" w:rsidRPr="00DF5911">
        <w:rPr>
          <w:szCs w:val="24"/>
        </w:rPr>
        <w:t xml:space="preserve">the future, </w:t>
      </w:r>
      <w:r w:rsidRPr="00DF5911">
        <w:rPr>
          <w:szCs w:val="24"/>
        </w:rPr>
        <w:t>IAGDI and CRO will hold</w:t>
      </w:r>
      <w:r w:rsidR="0098230A" w:rsidRPr="00DF5911">
        <w:rPr>
          <w:szCs w:val="24"/>
        </w:rPr>
        <w:t xml:space="preserve"> </w:t>
      </w:r>
      <w:r w:rsidRPr="00DF5911">
        <w:rPr>
          <w:szCs w:val="24"/>
        </w:rPr>
        <w:t xml:space="preserve">joint meetings at various events such as ITU Telecom World, </w:t>
      </w:r>
      <w:r w:rsidR="0089426F" w:rsidRPr="00DF5911">
        <w:rPr>
          <w:szCs w:val="24"/>
        </w:rPr>
        <w:t xml:space="preserve"> Global</w:t>
      </w:r>
      <w:r w:rsidR="00E36FBE" w:rsidRPr="00DF5911">
        <w:rPr>
          <w:szCs w:val="24"/>
        </w:rPr>
        <w:t xml:space="preserve"> </w:t>
      </w:r>
      <w:r w:rsidRPr="00DF5911">
        <w:rPr>
          <w:szCs w:val="24"/>
        </w:rPr>
        <w:t>S</w:t>
      </w:r>
      <w:r w:rsidR="00E36FBE" w:rsidRPr="00DF5911">
        <w:rPr>
          <w:szCs w:val="24"/>
        </w:rPr>
        <w:t>ymposium</w:t>
      </w:r>
      <w:r w:rsidR="00E36FBE">
        <w:rPr>
          <w:szCs w:val="24"/>
        </w:rPr>
        <w:t xml:space="preserve"> for </w:t>
      </w:r>
      <w:r>
        <w:rPr>
          <w:szCs w:val="24"/>
        </w:rPr>
        <w:t>R</w:t>
      </w:r>
      <w:r w:rsidR="00E36FBE">
        <w:rPr>
          <w:szCs w:val="24"/>
        </w:rPr>
        <w:t>egulators</w:t>
      </w:r>
      <w:r w:rsidR="00F64311">
        <w:rPr>
          <w:szCs w:val="24"/>
        </w:rPr>
        <w:t>, and strategic non-ITU events</w:t>
      </w:r>
      <w:r w:rsidR="0098230A">
        <w:rPr>
          <w:szCs w:val="24"/>
        </w:rPr>
        <w:t xml:space="preserve">. </w:t>
      </w:r>
    </w:p>
    <w:p w14:paraId="2747866F" w14:textId="77777777" w:rsidR="004A50C4" w:rsidRDefault="004A50C4" w:rsidP="001E2E4D">
      <w:pPr>
        <w:pStyle w:val="PlainText"/>
        <w:keepNext/>
        <w:numPr>
          <w:ilvl w:val="1"/>
          <w:numId w:val="4"/>
        </w:numPr>
        <w:spacing w:before="120" w:after="120"/>
        <w:ind w:left="357" w:hanging="357"/>
        <w:rPr>
          <w:rFonts w:asciiTheme="minorHAnsi" w:hAnsiTheme="minorHAnsi"/>
          <w:b/>
          <w:bCs/>
          <w:sz w:val="24"/>
          <w:szCs w:val="24"/>
        </w:rPr>
      </w:pPr>
      <w:r>
        <w:rPr>
          <w:rFonts w:asciiTheme="minorHAnsi" w:hAnsiTheme="minorHAnsi"/>
          <w:b/>
          <w:bCs/>
          <w:sz w:val="24"/>
          <w:szCs w:val="24"/>
        </w:rPr>
        <w:t xml:space="preserve">Consultations with ITU-D </w:t>
      </w:r>
      <w:r w:rsidR="0098230A">
        <w:rPr>
          <w:rFonts w:asciiTheme="minorHAnsi" w:hAnsiTheme="minorHAnsi"/>
          <w:b/>
          <w:bCs/>
          <w:sz w:val="24"/>
          <w:szCs w:val="24"/>
        </w:rPr>
        <w:t>S</w:t>
      </w:r>
      <w:r>
        <w:rPr>
          <w:rFonts w:asciiTheme="minorHAnsi" w:hAnsiTheme="minorHAnsi"/>
          <w:b/>
          <w:bCs/>
          <w:sz w:val="24"/>
          <w:szCs w:val="24"/>
        </w:rPr>
        <w:t xml:space="preserve">ector </w:t>
      </w:r>
      <w:r w:rsidR="0098230A">
        <w:rPr>
          <w:rFonts w:asciiTheme="minorHAnsi" w:hAnsiTheme="minorHAnsi"/>
          <w:b/>
          <w:bCs/>
          <w:sz w:val="24"/>
          <w:szCs w:val="24"/>
        </w:rPr>
        <w:t>M</w:t>
      </w:r>
      <w:r>
        <w:rPr>
          <w:rFonts w:asciiTheme="minorHAnsi" w:hAnsiTheme="minorHAnsi"/>
          <w:b/>
          <w:bCs/>
          <w:sz w:val="24"/>
          <w:szCs w:val="24"/>
        </w:rPr>
        <w:t xml:space="preserve">embers </w:t>
      </w:r>
    </w:p>
    <w:p w14:paraId="7DFD078B" w14:textId="77777777" w:rsidR="004A50C4" w:rsidRDefault="004A50C4" w:rsidP="001E2E4D">
      <w:pPr>
        <w:spacing w:after="120"/>
        <w:rPr>
          <w:szCs w:val="24"/>
        </w:rPr>
      </w:pPr>
      <w:r w:rsidRPr="004A50C4">
        <w:rPr>
          <w:szCs w:val="24"/>
          <w:lang w:val="en-US"/>
        </w:rPr>
        <w:t>In 2019, t</w:t>
      </w:r>
      <w:r w:rsidRPr="004A50C4">
        <w:rPr>
          <w:szCs w:val="24"/>
        </w:rPr>
        <w:t xml:space="preserve">he Director </w:t>
      </w:r>
      <w:r w:rsidR="0098230A">
        <w:rPr>
          <w:szCs w:val="24"/>
        </w:rPr>
        <w:t xml:space="preserve">of </w:t>
      </w:r>
      <w:r w:rsidRPr="004A50C4">
        <w:rPr>
          <w:szCs w:val="24"/>
        </w:rPr>
        <w:t xml:space="preserve">BDT initiated a series of consultations with ITU-D </w:t>
      </w:r>
      <w:r w:rsidR="0098230A">
        <w:rPr>
          <w:szCs w:val="24"/>
        </w:rPr>
        <w:t>m</w:t>
      </w:r>
      <w:r w:rsidRPr="004A50C4">
        <w:rPr>
          <w:szCs w:val="24"/>
        </w:rPr>
        <w:t xml:space="preserve">embership </w:t>
      </w:r>
      <w:r w:rsidR="0098230A">
        <w:rPr>
          <w:szCs w:val="24"/>
        </w:rPr>
        <w:t xml:space="preserve">to </w:t>
      </w:r>
      <w:r w:rsidR="003101B5">
        <w:rPr>
          <w:szCs w:val="24"/>
        </w:rPr>
        <w:t>explor</w:t>
      </w:r>
      <w:r w:rsidR="0098230A">
        <w:rPr>
          <w:szCs w:val="24"/>
        </w:rPr>
        <w:t xml:space="preserve">e </w:t>
      </w:r>
      <w:r w:rsidRPr="004A50C4">
        <w:rPr>
          <w:szCs w:val="24"/>
        </w:rPr>
        <w:t xml:space="preserve">ways </w:t>
      </w:r>
      <w:r w:rsidR="0098230A">
        <w:rPr>
          <w:szCs w:val="24"/>
        </w:rPr>
        <w:t xml:space="preserve"> </w:t>
      </w:r>
      <w:r w:rsidR="005D6E9E">
        <w:rPr>
          <w:szCs w:val="24"/>
        </w:rPr>
        <w:t xml:space="preserve"> of retaining </w:t>
      </w:r>
      <w:r w:rsidR="0098230A">
        <w:rPr>
          <w:szCs w:val="24"/>
        </w:rPr>
        <w:t xml:space="preserve">existing members </w:t>
      </w:r>
      <w:r w:rsidRPr="004A50C4">
        <w:rPr>
          <w:szCs w:val="24"/>
        </w:rPr>
        <w:t xml:space="preserve">and attracting new ones. In particular, a </w:t>
      </w:r>
      <w:r w:rsidRPr="004A50C4">
        <w:rPr>
          <w:b/>
          <w:i/>
          <w:szCs w:val="24"/>
        </w:rPr>
        <w:t>Special Session on ITU-D Membership</w:t>
      </w:r>
      <w:r w:rsidRPr="004A50C4">
        <w:rPr>
          <w:szCs w:val="24"/>
        </w:rPr>
        <w:t xml:space="preserve"> </w:t>
      </w:r>
      <w:r w:rsidR="003101B5">
        <w:rPr>
          <w:szCs w:val="24"/>
        </w:rPr>
        <w:t xml:space="preserve">was organized </w:t>
      </w:r>
      <w:r w:rsidRPr="004A50C4">
        <w:rPr>
          <w:szCs w:val="24"/>
        </w:rPr>
        <w:t xml:space="preserve">during ITU Telecom World 2019 </w:t>
      </w:r>
      <w:r w:rsidR="007A718A">
        <w:rPr>
          <w:szCs w:val="24"/>
        </w:rPr>
        <w:t xml:space="preserve"> to get </w:t>
      </w:r>
      <w:r w:rsidR="003101B5">
        <w:rPr>
          <w:szCs w:val="24"/>
        </w:rPr>
        <w:t>feedback and inputs from current members on their</w:t>
      </w:r>
      <w:r w:rsidR="000443B5">
        <w:rPr>
          <w:szCs w:val="24"/>
        </w:rPr>
        <w:t xml:space="preserve"> </w:t>
      </w:r>
      <w:r w:rsidRPr="004A50C4">
        <w:rPr>
          <w:szCs w:val="24"/>
        </w:rPr>
        <w:t>expectations</w:t>
      </w:r>
      <w:r w:rsidR="003101B5">
        <w:rPr>
          <w:szCs w:val="24"/>
        </w:rPr>
        <w:t xml:space="preserve">, the gap between their expectations and </w:t>
      </w:r>
      <w:r w:rsidR="007A718A">
        <w:rPr>
          <w:szCs w:val="24"/>
        </w:rPr>
        <w:t xml:space="preserve">the </w:t>
      </w:r>
      <w:r w:rsidR="003101B5">
        <w:rPr>
          <w:szCs w:val="24"/>
        </w:rPr>
        <w:t>services they actually receiv</w:t>
      </w:r>
      <w:r w:rsidR="007A718A">
        <w:rPr>
          <w:szCs w:val="24"/>
        </w:rPr>
        <w:t xml:space="preserve">e, </w:t>
      </w:r>
      <w:r w:rsidR="003101B5">
        <w:rPr>
          <w:szCs w:val="24"/>
        </w:rPr>
        <w:t xml:space="preserve">and new proposals of </w:t>
      </w:r>
      <w:r w:rsidR="007A718A">
        <w:rPr>
          <w:szCs w:val="24"/>
        </w:rPr>
        <w:t xml:space="preserve">how to </w:t>
      </w:r>
      <w:r w:rsidR="003101B5">
        <w:rPr>
          <w:szCs w:val="24"/>
        </w:rPr>
        <w:t>add value to their membership.</w:t>
      </w:r>
      <w:r w:rsidRPr="004A50C4">
        <w:rPr>
          <w:szCs w:val="24"/>
        </w:rPr>
        <w:t xml:space="preserve"> </w:t>
      </w:r>
    </w:p>
    <w:p w14:paraId="6F175AAD" w14:textId="77777777" w:rsidR="004A50C4" w:rsidRPr="004A50C4" w:rsidRDefault="004A50C4" w:rsidP="001E2E4D">
      <w:pPr>
        <w:spacing w:after="120"/>
        <w:rPr>
          <w:szCs w:val="24"/>
        </w:rPr>
      </w:pPr>
      <w:r>
        <w:rPr>
          <w:szCs w:val="24"/>
        </w:rPr>
        <w:t>C</w:t>
      </w:r>
      <w:r w:rsidRPr="004A50C4">
        <w:rPr>
          <w:szCs w:val="24"/>
        </w:rPr>
        <w:t>onsultative sessions on ITU-D membership</w:t>
      </w:r>
      <w:r>
        <w:rPr>
          <w:szCs w:val="24"/>
        </w:rPr>
        <w:t xml:space="preserve"> are planned </w:t>
      </w:r>
      <w:r w:rsidR="003101B5">
        <w:rPr>
          <w:szCs w:val="24"/>
        </w:rPr>
        <w:t xml:space="preserve">to take </w:t>
      </w:r>
      <w:r>
        <w:rPr>
          <w:szCs w:val="24"/>
        </w:rPr>
        <w:t>place</w:t>
      </w:r>
      <w:r w:rsidRPr="004A50C4">
        <w:rPr>
          <w:szCs w:val="24"/>
        </w:rPr>
        <w:t xml:space="preserve"> during ITU-D study groups, </w:t>
      </w:r>
      <w:r w:rsidR="003101B5">
        <w:rPr>
          <w:szCs w:val="24"/>
        </w:rPr>
        <w:t xml:space="preserve">in </w:t>
      </w:r>
      <w:r w:rsidRPr="004A50C4">
        <w:rPr>
          <w:szCs w:val="24"/>
        </w:rPr>
        <w:t xml:space="preserve">Geneva, Switzerland, </w:t>
      </w:r>
      <w:r w:rsidR="003101B5">
        <w:rPr>
          <w:szCs w:val="24"/>
        </w:rPr>
        <w:t xml:space="preserve">on </w:t>
      </w:r>
      <w:r w:rsidRPr="004A50C4">
        <w:rPr>
          <w:szCs w:val="24"/>
        </w:rPr>
        <w:t xml:space="preserve">19 February 2020 </w:t>
      </w:r>
      <w:r>
        <w:rPr>
          <w:szCs w:val="24"/>
        </w:rPr>
        <w:t>and on 26 March 2020 during TDAG</w:t>
      </w:r>
      <w:r w:rsidR="003101B5">
        <w:rPr>
          <w:szCs w:val="24"/>
        </w:rPr>
        <w:t>.</w:t>
      </w:r>
      <w:r>
        <w:rPr>
          <w:szCs w:val="24"/>
        </w:rPr>
        <w:t xml:space="preserve"> </w:t>
      </w:r>
    </w:p>
    <w:p w14:paraId="6DFE905D" w14:textId="77777777" w:rsidR="00BD58E4" w:rsidRPr="0010309D" w:rsidRDefault="00BD58E4" w:rsidP="001E2E4D">
      <w:pPr>
        <w:pStyle w:val="PlainText"/>
        <w:numPr>
          <w:ilvl w:val="0"/>
          <w:numId w:val="4"/>
        </w:numPr>
        <w:spacing w:before="120" w:after="120"/>
        <w:ind w:left="357" w:hanging="357"/>
        <w:rPr>
          <w:rFonts w:asciiTheme="minorHAnsi" w:hAnsiTheme="minorHAnsi"/>
          <w:b/>
          <w:bCs/>
          <w:sz w:val="24"/>
          <w:szCs w:val="24"/>
        </w:rPr>
      </w:pPr>
      <w:r w:rsidRPr="0010309D">
        <w:rPr>
          <w:rFonts w:asciiTheme="minorHAnsi" w:hAnsiTheme="minorHAnsi"/>
          <w:b/>
          <w:bCs/>
          <w:sz w:val="24"/>
          <w:szCs w:val="24"/>
        </w:rPr>
        <w:t xml:space="preserve">Way </w:t>
      </w:r>
      <w:r w:rsidR="008F4088">
        <w:rPr>
          <w:rFonts w:asciiTheme="minorHAnsi" w:hAnsiTheme="minorHAnsi"/>
          <w:b/>
          <w:bCs/>
          <w:sz w:val="24"/>
          <w:szCs w:val="24"/>
        </w:rPr>
        <w:t>f</w:t>
      </w:r>
      <w:r w:rsidRPr="0010309D">
        <w:rPr>
          <w:rFonts w:asciiTheme="minorHAnsi" w:hAnsiTheme="minorHAnsi"/>
          <w:b/>
          <w:bCs/>
          <w:sz w:val="24"/>
          <w:szCs w:val="24"/>
        </w:rPr>
        <w:t>orward</w:t>
      </w:r>
    </w:p>
    <w:p w14:paraId="59F520D1" w14:textId="77777777" w:rsidR="00454B18" w:rsidRDefault="00BD58E4" w:rsidP="001E2E4D">
      <w:pPr>
        <w:spacing w:after="120"/>
      </w:pPr>
      <w:r w:rsidRPr="003C07B0">
        <w:t xml:space="preserve">BDT will continue to focus on </w:t>
      </w:r>
      <w:r w:rsidR="00305E57">
        <w:t>new</w:t>
      </w:r>
      <w:r w:rsidRPr="003C07B0">
        <w:t xml:space="preserve"> approaches </w:t>
      </w:r>
      <w:r w:rsidR="007A718A">
        <w:t xml:space="preserve">to </w:t>
      </w:r>
      <w:r w:rsidRPr="003C07B0">
        <w:t>enha</w:t>
      </w:r>
      <w:r w:rsidR="00B320E6">
        <w:t>nce engagement and collaboration</w:t>
      </w:r>
      <w:r w:rsidRPr="003C07B0">
        <w:t xml:space="preserve"> with membership and their networks</w:t>
      </w:r>
      <w:r w:rsidR="00454B18">
        <w:t xml:space="preserve"> in order to: </w:t>
      </w:r>
    </w:p>
    <w:p w14:paraId="2BF8D475" w14:textId="77777777" w:rsidR="00454B18" w:rsidRDefault="00454B18" w:rsidP="001E2E4D">
      <w:pPr>
        <w:pStyle w:val="ListParagraph"/>
        <w:numPr>
          <w:ilvl w:val="0"/>
          <w:numId w:val="7"/>
        </w:numPr>
        <w:spacing w:before="40" w:after="40"/>
        <w:contextualSpacing w:val="0"/>
      </w:pPr>
      <w:r>
        <w:t xml:space="preserve">Increase </w:t>
      </w:r>
      <w:r w:rsidR="007A718A">
        <w:t xml:space="preserve">the </w:t>
      </w:r>
      <w:r>
        <w:t>membership portfolio</w:t>
      </w:r>
      <w:r w:rsidR="007A718A">
        <w:t>,</w:t>
      </w:r>
      <w:r>
        <w:t xml:space="preserve"> while retaining current members in line with a “</w:t>
      </w:r>
      <w:r w:rsidR="007A718A">
        <w:t>f</w:t>
      </w:r>
      <w:r>
        <w:t>it</w:t>
      </w:r>
      <w:r w:rsidR="007A718A">
        <w:t>-</w:t>
      </w:r>
      <w:r>
        <w:t>for</w:t>
      </w:r>
      <w:r w:rsidR="007A718A">
        <w:t>-</w:t>
      </w:r>
      <w:r>
        <w:t xml:space="preserve"> </w:t>
      </w:r>
      <w:r w:rsidR="007A718A">
        <w:t>-p</w:t>
      </w:r>
      <w:r>
        <w:t>urpose” BDT</w:t>
      </w:r>
      <w:r w:rsidR="003101B5">
        <w:t xml:space="preserve"> vision</w:t>
      </w:r>
      <w:r w:rsidR="007A718A">
        <w:t>.</w:t>
      </w:r>
    </w:p>
    <w:p w14:paraId="03FB60E1" w14:textId="77777777" w:rsidR="00454B18" w:rsidRDefault="00454B18" w:rsidP="001E2E4D">
      <w:pPr>
        <w:pStyle w:val="ListParagraph"/>
        <w:numPr>
          <w:ilvl w:val="0"/>
          <w:numId w:val="7"/>
        </w:numPr>
        <w:spacing w:before="40" w:after="40"/>
        <w:contextualSpacing w:val="0"/>
      </w:pPr>
      <w:r>
        <w:t>Increase participation of members in the work of ITU-D activities and events</w:t>
      </w:r>
      <w:r w:rsidR="00BD58E4" w:rsidRPr="003C07B0">
        <w:t xml:space="preserve"> </w:t>
      </w:r>
      <w:r>
        <w:t xml:space="preserve">and optimize their contribution to </w:t>
      </w:r>
      <w:r w:rsidR="003101B5">
        <w:t xml:space="preserve">the </w:t>
      </w:r>
      <w:r w:rsidR="007A718A">
        <w:t>2030 S</w:t>
      </w:r>
      <w:r>
        <w:t xml:space="preserve">ustainable </w:t>
      </w:r>
      <w:r w:rsidR="007A718A">
        <w:t>D</w:t>
      </w:r>
      <w:r>
        <w:t xml:space="preserve">evelopment </w:t>
      </w:r>
      <w:r w:rsidR="007A718A">
        <w:t>A</w:t>
      </w:r>
      <w:r>
        <w:t>genda</w:t>
      </w:r>
      <w:r w:rsidR="007A718A">
        <w:t>.</w:t>
      </w:r>
    </w:p>
    <w:p w14:paraId="5DC03914" w14:textId="77777777" w:rsidR="00454B18" w:rsidRDefault="00454B18" w:rsidP="001E2E4D">
      <w:pPr>
        <w:pStyle w:val="ListParagraph"/>
        <w:numPr>
          <w:ilvl w:val="0"/>
          <w:numId w:val="7"/>
        </w:numPr>
        <w:spacing w:before="40" w:after="40"/>
        <w:contextualSpacing w:val="0"/>
      </w:pPr>
      <w:r>
        <w:t>Enhance partnership</w:t>
      </w:r>
      <w:r w:rsidR="007A718A">
        <w:t>-</w:t>
      </w:r>
      <w:r>
        <w:t>building opportunities with current members with the aim</w:t>
      </w:r>
      <w:r w:rsidR="007A718A">
        <w:t xml:space="preserve"> to</w:t>
      </w:r>
      <w:r>
        <w:t xml:space="preserve"> co-financ</w:t>
      </w:r>
      <w:r w:rsidR="007A718A">
        <w:t xml:space="preserve">e </w:t>
      </w:r>
      <w:r>
        <w:t xml:space="preserve">projects, including </w:t>
      </w:r>
      <w:r w:rsidR="007A718A">
        <w:t>r</w:t>
      </w:r>
      <w:r>
        <w:t xml:space="preserve">egional </w:t>
      </w:r>
      <w:r w:rsidR="007A718A">
        <w:t>i</w:t>
      </w:r>
      <w:r>
        <w:t>nitiatives</w:t>
      </w:r>
      <w:r w:rsidR="005D6E9E">
        <w:t>.</w:t>
      </w:r>
    </w:p>
    <w:p w14:paraId="325AADF3" w14:textId="77777777" w:rsidR="00454B18" w:rsidRDefault="0089426F" w:rsidP="001E2E4D">
      <w:pPr>
        <w:pStyle w:val="ListParagraph"/>
        <w:numPr>
          <w:ilvl w:val="0"/>
          <w:numId w:val="7"/>
        </w:numPr>
        <w:spacing w:before="40" w:after="40"/>
        <w:contextualSpacing w:val="0"/>
      </w:pPr>
      <w:r>
        <w:t>Continuously improve</w:t>
      </w:r>
      <w:r w:rsidR="00454B18">
        <w:t xml:space="preserve"> tools and services to facilitate membership participation. </w:t>
      </w:r>
    </w:p>
    <w:p w14:paraId="5BD01C84" w14:textId="77777777" w:rsidR="00DE42CA" w:rsidRPr="00BD58E4" w:rsidRDefault="00BD58E4" w:rsidP="001E2E4D">
      <w:pPr>
        <w:jc w:val="center"/>
        <w:rPr>
          <w:lang w:val="en-US" w:eastAsia="zh-CN"/>
        </w:rPr>
      </w:pPr>
      <w:r w:rsidRPr="00690B5F">
        <w:rPr>
          <w:szCs w:val="24"/>
          <w:lang w:val="en-US" w:eastAsia="zh-CN"/>
        </w:rPr>
        <w:t>_____________</w:t>
      </w:r>
      <w:r w:rsidRPr="00CF4CB2">
        <w:rPr>
          <w:lang w:val="en-US" w:eastAsia="zh-CN"/>
        </w:rPr>
        <w:t>___</w:t>
      </w:r>
    </w:p>
    <w:sectPr w:rsidR="00DE42CA" w:rsidRPr="00BD58E4" w:rsidSect="00DE42CA">
      <w:headerReference w:type="default" r:id="rId12"/>
      <w:footerReference w:type="even" r:id="rId13"/>
      <w:footerReference w:type="first" r:id="rId14"/>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17A86" w14:textId="77777777" w:rsidR="000A75E4" w:rsidRDefault="000A75E4">
      <w:pPr>
        <w:spacing w:before="0"/>
      </w:pPr>
      <w:r>
        <w:separator/>
      </w:r>
    </w:p>
  </w:endnote>
  <w:endnote w:type="continuationSeparator" w:id="0">
    <w:p w14:paraId="637B83AA" w14:textId="77777777" w:rsidR="000A75E4" w:rsidRDefault="000A75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F708" w14:textId="77777777" w:rsidR="00105902" w:rsidRDefault="00105902">
    <w:pPr>
      <w:framePr w:wrap="around" w:vAnchor="text" w:hAnchor="margin" w:xAlign="right" w:y="1"/>
    </w:pPr>
    <w:r>
      <w:fldChar w:fldCharType="begin"/>
    </w:r>
    <w:r>
      <w:instrText xml:space="preserve">PAGE  </w:instrText>
    </w:r>
    <w:r>
      <w:fldChar w:fldCharType="end"/>
    </w:r>
  </w:p>
  <w:p w14:paraId="7A9AD887" w14:textId="214247FD" w:rsidR="00105902" w:rsidRPr="0041348E" w:rsidRDefault="00105902">
    <w:pPr>
      <w:ind w:right="360"/>
      <w:rPr>
        <w:lang w:val="en-US"/>
      </w:rPr>
    </w:pPr>
    <w:r>
      <w:fldChar w:fldCharType="begin"/>
    </w:r>
    <w:r w:rsidRPr="0041348E">
      <w:rPr>
        <w:lang w:val="en-US"/>
      </w:rPr>
      <w:instrText xml:space="preserve"> FILENAME \p  \* MERGEFORMAT </w:instrText>
    </w:r>
    <w:r>
      <w:fldChar w:fldCharType="separate"/>
    </w:r>
    <w:r w:rsidR="00A0759F">
      <w:rPr>
        <w:noProof/>
        <w:lang w:val="en-US"/>
      </w:rPr>
      <w:t>C:\Users\zavazava\AppData\Local\Microsoft\Windows\INetCache\Content.Outlook\541LB036\011E_v4-clean_Membership_EDITED.docx</w:t>
    </w:r>
    <w:r>
      <w:fldChar w:fldCharType="end"/>
    </w:r>
    <w:r w:rsidRPr="0041348E">
      <w:rPr>
        <w:lang w:val="en-US"/>
      </w:rPr>
      <w:tab/>
    </w:r>
    <w:r>
      <w:fldChar w:fldCharType="begin"/>
    </w:r>
    <w:r>
      <w:instrText xml:space="preserve"> SAVEDATE \@ DD.MM.YY </w:instrText>
    </w:r>
    <w:r>
      <w:fldChar w:fldCharType="separate"/>
    </w:r>
    <w:r w:rsidR="002677A5">
      <w:rPr>
        <w:noProof/>
      </w:rPr>
      <w:t>10.02.20</w:t>
    </w:r>
    <w:r>
      <w:fldChar w:fldCharType="end"/>
    </w:r>
    <w:r w:rsidRPr="0041348E">
      <w:rPr>
        <w:lang w:val="en-US"/>
      </w:rPr>
      <w:tab/>
    </w:r>
    <w:r>
      <w:fldChar w:fldCharType="begin"/>
    </w:r>
    <w:r>
      <w:instrText xml:space="preserve"> PRINTDATE \@ DD.MM.YY </w:instrText>
    </w:r>
    <w:r>
      <w:fldChar w:fldCharType="separate"/>
    </w:r>
    <w:r w:rsidR="00A0759F">
      <w:rPr>
        <w:noProof/>
      </w:rPr>
      <w:t>10.02.20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105902" w:rsidRPr="009359B8" w14:paraId="2C3C5047" w14:textId="77777777" w:rsidTr="00DE42CA">
      <w:tc>
        <w:tcPr>
          <w:tcW w:w="1526" w:type="dxa"/>
          <w:tcBorders>
            <w:top w:val="single" w:sz="4" w:space="0" w:color="000000"/>
          </w:tcBorders>
          <w:shd w:val="clear" w:color="auto" w:fill="auto"/>
        </w:tcPr>
        <w:p w14:paraId="1EF10C80" w14:textId="77777777" w:rsidR="00105902" w:rsidRPr="004D495C" w:rsidRDefault="00105902" w:rsidP="00DE42C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079477E" w14:textId="77777777" w:rsidR="00105902" w:rsidRPr="004D495C" w:rsidRDefault="00105902" w:rsidP="00DE42CA">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7B88111" w14:textId="77777777" w:rsidR="00105902" w:rsidRPr="00103886" w:rsidRDefault="001C2CF0" w:rsidP="001D3AAE">
          <w:pPr>
            <w:pStyle w:val="FirstFooter"/>
            <w:tabs>
              <w:tab w:val="left" w:pos="1201"/>
            </w:tabs>
            <w:rPr>
              <w:sz w:val="18"/>
              <w:szCs w:val="18"/>
              <w:lang w:val="en-US"/>
            </w:rPr>
          </w:pPr>
          <w:r>
            <w:rPr>
              <w:sz w:val="18"/>
              <w:szCs w:val="18"/>
              <w:lang w:val="en-US"/>
            </w:rPr>
            <w:t>Dr Cosmas Zavazava</w:t>
          </w:r>
          <w:r w:rsidR="00105902">
            <w:rPr>
              <w:sz w:val="18"/>
              <w:szCs w:val="18"/>
              <w:lang w:val="en-US"/>
            </w:rPr>
            <w:t>, Chief, Partnership</w:t>
          </w:r>
          <w:r>
            <w:rPr>
              <w:sz w:val="18"/>
              <w:szCs w:val="18"/>
              <w:lang w:val="en-US"/>
            </w:rPr>
            <w:t>s for Digital Development</w:t>
          </w:r>
          <w:r w:rsidR="00105902">
            <w:rPr>
              <w:sz w:val="18"/>
              <w:szCs w:val="18"/>
              <w:lang w:val="en-US"/>
            </w:rPr>
            <w:t xml:space="preserve"> Department</w:t>
          </w:r>
          <w:r>
            <w:rPr>
              <w:sz w:val="18"/>
              <w:szCs w:val="18"/>
              <w:lang w:val="en-US"/>
            </w:rPr>
            <w:t>,</w:t>
          </w:r>
          <w:r w:rsidR="00105902">
            <w:rPr>
              <w:sz w:val="18"/>
              <w:szCs w:val="18"/>
              <w:lang w:val="en-US"/>
            </w:rPr>
            <w:t xml:space="preserve"> </w:t>
          </w:r>
          <w:r w:rsidR="00105902" w:rsidRPr="00547039">
            <w:rPr>
              <w:sz w:val="18"/>
              <w:szCs w:val="18"/>
            </w:rPr>
            <w:t>Telecommunication Development Bureau</w:t>
          </w:r>
        </w:p>
      </w:tc>
    </w:tr>
    <w:tr w:rsidR="00105902" w:rsidRPr="009359B8" w14:paraId="54328946" w14:textId="77777777" w:rsidTr="00DE42CA">
      <w:tc>
        <w:tcPr>
          <w:tcW w:w="1526" w:type="dxa"/>
          <w:shd w:val="clear" w:color="auto" w:fill="auto"/>
        </w:tcPr>
        <w:p w14:paraId="20E08B3D" w14:textId="77777777" w:rsidR="00105902" w:rsidRPr="004D495C" w:rsidRDefault="00105902" w:rsidP="00DE42CA">
          <w:pPr>
            <w:pStyle w:val="FirstFooter"/>
            <w:tabs>
              <w:tab w:val="left" w:pos="1559"/>
              <w:tab w:val="left" w:pos="3828"/>
            </w:tabs>
            <w:rPr>
              <w:sz w:val="20"/>
              <w:lang w:val="en-US"/>
            </w:rPr>
          </w:pPr>
        </w:p>
      </w:tc>
      <w:tc>
        <w:tcPr>
          <w:tcW w:w="2410" w:type="dxa"/>
          <w:shd w:val="clear" w:color="auto" w:fill="auto"/>
        </w:tcPr>
        <w:p w14:paraId="614A55A9" w14:textId="77777777" w:rsidR="00105902" w:rsidRPr="004D495C" w:rsidRDefault="00105902" w:rsidP="00DE42CA">
          <w:pPr>
            <w:pStyle w:val="FirstFooter"/>
            <w:tabs>
              <w:tab w:val="left" w:pos="2302"/>
            </w:tabs>
            <w:rPr>
              <w:sz w:val="18"/>
              <w:szCs w:val="18"/>
              <w:lang w:val="en-US"/>
            </w:rPr>
          </w:pPr>
          <w:r w:rsidRPr="004D495C">
            <w:rPr>
              <w:sz w:val="18"/>
              <w:szCs w:val="18"/>
              <w:lang w:val="en-US"/>
            </w:rPr>
            <w:t>Phone number:</w:t>
          </w:r>
        </w:p>
      </w:tc>
      <w:tc>
        <w:tcPr>
          <w:tcW w:w="5987" w:type="dxa"/>
        </w:tcPr>
        <w:p w14:paraId="7BC51E91" w14:textId="77777777" w:rsidR="00105902" w:rsidRPr="00103886" w:rsidRDefault="00105902" w:rsidP="00DE42CA">
          <w:pPr>
            <w:pStyle w:val="FirstFooter"/>
            <w:tabs>
              <w:tab w:val="left" w:pos="2302"/>
            </w:tabs>
            <w:rPr>
              <w:sz w:val="18"/>
              <w:szCs w:val="18"/>
              <w:lang w:val="en-US"/>
            </w:rPr>
          </w:pPr>
          <w:r>
            <w:rPr>
              <w:sz w:val="18"/>
              <w:szCs w:val="18"/>
              <w:lang w:val="en-US"/>
            </w:rPr>
            <w:t xml:space="preserve">+41 22 730 </w:t>
          </w:r>
          <w:r w:rsidR="001C2CF0">
            <w:rPr>
              <w:sz w:val="18"/>
              <w:szCs w:val="18"/>
              <w:lang w:val="en-US"/>
            </w:rPr>
            <w:t>5447</w:t>
          </w:r>
        </w:p>
      </w:tc>
    </w:tr>
    <w:tr w:rsidR="00105902" w:rsidRPr="009359B8" w14:paraId="391B2C28" w14:textId="77777777" w:rsidTr="00DE42CA">
      <w:tc>
        <w:tcPr>
          <w:tcW w:w="1526" w:type="dxa"/>
          <w:shd w:val="clear" w:color="auto" w:fill="auto"/>
        </w:tcPr>
        <w:p w14:paraId="31C93226" w14:textId="77777777" w:rsidR="00105902" w:rsidRPr="004D495C" w:rsidRDefault="00105902" w:rsidP="00DE42CA">
          <w:pPr>
            <w:pStyle w:val="FirstFooter"/>
            <w:tabs>
              <w:tab w:val="left" w:pos="1559"/>
              <w:tab w:val="left" w:pos="3828"/>
            </w:tabs>
            <w:rPr>
              <w:sz w:val="20"/>
              <w:lang w:val="en-US"/>
            </w:rPr>
          </w:pPr>
        </w:p>
      </w:tc>
      <w:tc>
        <w:tcPr>
          <w:tcW w:w="2410" w:type="dxa"/>
          <w:shd w:val="clear" w:color="auto" w:fill="auto"/>
        </w:tcPr>
        <w:p w14:paraId="0E95AEFA" w14:textId="77777777" w:rsidR="00105902" w:rsidRPr="004D495C" w:rsidRDefault="00105902" w:rsidP="00DE42CA">
          <w:pPr>
            <w:pStyle w:val="FirstFooter"/>
            <w:tabs>
              <w:tab w:val="left" w:pos="2302"/>
            </w:tabs>
            <w:rPr>
              <w:sz w:val="18"/>
              <w:szCs w:val="18"/>
              <w:lang w:val="en-US"/>
            </w:rPr>
          </w:pPr>
          <w:r w:rsidRPr="004D495C">
            <w:rPr>
              <w:sz w:val="18"/>
              <w:szCs w:val="18"/>
              <w:lang w:val="en-US"/>
            </w:rPr>
            <w:t>E-mail:</w:t>
          </w:r>
        </w:p>
      </w:tc>
      <w:tc>
        <w:tcPr>
          <w:tcW w:w="5987" w:type="dxa"/>
        </w:tcPr>
        <w:p w14:paraId="1F667820" w14:textId="77777777" w:rsidR="00105902" w:rsidRPr="00103886" w:rsidRDefault="00982CC1" w:rsidP="00DE42CA">
          <w:pPr>
            <w:pStyle w:val="FirstFooter"/>
            <w:tabs>
              <w:tab w:val="left" w:pos="2302"/>
            </w:tabs>
            <w:rPr>
              <w:sz w:val="18"/>
              <w:szCs w:val="18"/>
              <w:lang w:val="en-US"/>
            </w:rPr>
          </w:pPr>
          <w:hyperlink r:id="rId1" w:history="1"/>
          <w:hyperlink r:id="rId2" w:history="1">
            <w:r w:rsidR="001D3AAE" w:rsidRPr="001468AF">
              <w:rPr>
                <w:rStyle w:val="Hyperlink"/>
                <w:sz w:val="18"/>
                <w:szCs w:val="18"/>
                <w:lang w:val="en-US"/>
              </w:rPr>
              <w:t>zavazava@itu.int</w:t>
            </w:r>
          </w:hyperlink>
          <w:r w:rsidR="001D3AAE">
            <w:rPr>
              <w:sz w:val="18"/>
              <w:szCs w:val="18"/>
              <w:lang w:val="en-US"/>
            </w:rPr>
            <w:t xml:space="preserve"> </w:t>
          </w:r>
        </w:p>
      </w:tc>
    </w:tr>
  </w:tbl>
  <w:p w14:paraId="6279CDC6" w14:textId="77777777" w:rsidR="00105902" w:rsidRPr="00D83BF5" w:rsidRDefault="00982CC1" w:rsidP="00DE42CA">
    <w:pPr>
      <w:jc w:val="center"/>
    </w:pPr>
    <w:hyperlink r:id="rId3" w:history="1">
      <w:r w:rsidR="00105902"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8EF84" w14:textId="77777777" w:rsidR="000A75E4" w:rsidRDefault="000A75E4">
      <w:pPr>
        <w:spacing w:before="0"/>
      </w:pPr>
      <w:r>
        <w:separator/>
      </w:r>
    </w:p>
  </w:footnote>
  <w:footnote w:type="continuationSeparator" w:id="0">
    <w:p w14:paraId="157B38D9" w14:textId="77777777" w:rsidR="000A75E4" w:rsidRDefault="000A75E4">
      <w:pPr>
        <w:spacing w:before="0"/>
      </w:pPr>
      <w:r>
        <w:continuationSeparator/>
      </w:r>
    </w:p>
  </w:footnote>
  <w:footnote w:id="1">
    <w:p w14:paraId="4C8A07B0" w14:textId="77777777" w:rsidR="00041E9F" w:rsidRPr="0026635A" w:rsidRDefault="00041E9F" w:rsidP="00041E9F">
      <w:pPr>
        <w:pStyle w:val="FootnoteText"/>
        <w:rPr>
          <w:lang w:val="en-US"/>
        </w:rPr>
      </w:pPr>
      <w:r>
        <w:rPr>
          <w:rStyle w:val="FootnoteReference"/>
        </w:rPr>
        <w:footnoteRef/>
      </w:r>
      <w:r>
        <w:t xml:space="preserve"> Refer to</w:t>
      </w:r>
      <w:r w:rsidRPr="0026635A">
        <w:t xml:space="preserve"> Res</w:t>
      </w:r>
      <w:r>
        <w:t>olution 169 (Guadalajara, 2010)</w:t>
      </w:r>
      <w:r w:rsidR="008A36BE">
        <w:t xml:space="preserve"> of the</w:t>
      </w:r>
      <w:r w:rsidR="008A36BE">
        <w:rPr>
          <w:szCs w:val="24"/>
          <w:lang w:val="en-US"/>
        </w:rPr>
        <w:t xml:space="preserve"> Plenipotentiary Conference</w:t>
      </w:r>
      <w:r>
        <w:t xml:space="preserve">, which enabled the new category of Academia </w:t>
      </w:r>
      <w:r w:rsidR="008A36BE">
        <w:t xml:space="preserve">to </w:t>
      </w:r>
      <w:r>
        <w:t>participat</w:t>
      </w:r>
      <w:r w:rsidR="008A36BE">
        <w:t xml:space="preserve">e </w:t>
      </w:r>
      <w:r>
        <w:t xml:space="preserve">in the work of ITU. </w:t>
      </w:r>
    </w:p>
  </w:footnote>
  <w:footnote w:id="2">
    <w:p w14:paraId="6655C0BA" w14:textId="77777777" w:rsidR="00E36FBE" w:rsidRPr="0089426F" w:rsidRDefault="00E36FBE">
      <w:pPr>
        <w:pStyle w:val="FootnoteText"/>
        <w:rPr>
          <w:lang w:val="en-US"/>
        </w:rPr>
      </w:pPr>
      <w:r>
        <w:rPr>
          <w:rStyle w:val="FootnoteReference"/>
        </w:rPr>
        <w:footnoteRef/>
      </w:r>
      <w:r>
        <w:t xml:space="preserve"> </w:t>
      </w:r>
      <w:r>
        <w:rPr>
          <w:lang w:val="en-US"/>
        </w:rPr>
        <w:t>Resolution 71</w:t>
      </w:r>
      <w:r w:rsidR="008A36BE">
        <w:rPr>
          <w:lang w:val="en-US"/>
        </w:rPr>
        <w:t xml:space="preserve"> </w:t>
      </w:r>
      <w:r>
        <w:rPr>
          <w:lang w:val="en-US"/>
        </w:rPr>
        <w:t>(Rev. Buenos Aires, 2017, “Strengthening cooperation between Member States, Sector Members, Associates and Academia of the ITU Telecommunication Development Sector and the evolving role of the private sector in the ITU Telecommunication Development Sector</w:t>
      </w:r>
    </w:p>
  </w:footnote>
  <w:footnote w:id="3">
    <w:p w14:paraId="02CF9EF4" w14:textId="77777777" w:rsidR="00B343C1" w:rsidRPr="0026635A" w:rsidRDefault="00B343C1" w:rsidP="00B343C1">
      <w:pPr>
        <w:pStyle w:val="FootnoteText"/>
        <w:rPr>
          <w:lang w:val="en-US"/>
        </w:rPr>
      </w:pPr>
      <w:r>
        <w:rPr>
          <w:rStyle w:val="FootnoteReference"/>
        </w:rPr>
        <w:footnoteRef/>
      </w:r>
      <w:r>
        <w:t xml:space="preserve"> Refer to</w:t>
      </w:r>
      <w:r w:rsidRPr="0026635A">
        <w:t xml:space="preserve"> Res</w:t>
      </w:r>
      <w:r>
        <w:t xml:space="preserve">olution 169 (Guadalajara, 2010), which enabled the new category of Academia </w:t>
      </w:r>
      <w:r w:rsidR="008A36BE">
        <w:t xml:space="preserve">to </w:t>
      </w:r>
      <w:r>
        <w:t>participat</w:t>
      </w:r>
      <w:r w:rsidR="008A36BE">
        <w:t xml:space="preserve">e </w:t>
      </w:r>
      <w:r>
        <w:t xml:space="preserve">in the work of ITU. </w:t>
      </w:r>
    </w:p>
  </w:footnote>
  <w:footnote w:id="4">
    <w:p w14:paraId="7211A205" w14:textId="77777777" w:rsidR="00465AB1" w:rsidRPr="00684182" w:rsidRDefault="00105902" w:rsidP="00465AB1">
      <w:pPr>
        <w:rPr>
          <w:rFonts w:ascii="Calibri" w:hAnsi="Calibri" w:cs="Calibri"/>
          <w:sz w:val="18"/>
          <w:szCs w:val="18"/>
        </w:rPr>
      </w:pPr>
      <w:r w:rsidRPr="00B00959">
        <w:rPr>
          <w:rStyle w:val="FootnoteReference"/>
          <w:sz w:val="20"/>
          <w:szCs w:val="16"/>
        </w:rPr>
        <w:footnoteRef/>
      </w:r>
      <w:r w:rsidR="000443B5">
        <w:rPr>
          <w:sz w:val="20"/>
          <w:szCs w:val="16"/>
        </w:rPr>
        <w:t xml:space="preserve"> </w:t>
      </w:r>
      <w:r w:rsidRPr="00B00959">
        <w:rPr>
          <w:sz w:val="20"/>
          <w:szCs w:val="16"/>
        </w:rPr>
        <w:t xml:space="preserve">Academia participate in the work of </w:t>
      </w:r>
      <w:r w:rsidR="00B83D3C">
        <w:rPr>
          <w:sz w:val="20"/>
          <w:szCs w:val="16"/>
        </w:rPr>
        <w:t>all</w:t>
      </w:r>
      <w:r w:rsidRPr="00B00959">
        <w:rPr>
          <w:sz w:val="20"/>
          <w:szCs w:val="16"/>
        </w:rPr>
        <w:t xml:space="preserve"> three </w:t>
      </w:r>
      <w:r w:rsidR="00630D5B">
        <w:rPr>
          <w:sz w:val="20"/>
          <w:szCs w:val="16"/>
        </w:rPr>
        <w:t xml:space="preserve">ITU </w:t>
      </w:r>
      <w:r w:rsidR="004F4FEC">
        <w:rPr>
          <w:sz w:val="20"/>
          <w:szCs w:val="16"/>
        </w:rPr>
        <w:t>S</w:t>
      </w:r>
      <w:r w:rsidRPr="00B00959">
        <w:rPr>
          <w:sz w:val="20"/>
          <w:szCs w:val="16"/>
        </w:rPr>
        <w:t>ectors</w:t>
      </w:r>
      <w:r w:rsidR="001462FB">
        <w:rPr>
          <w:sz w:val="20"/>
          <w:szCs w:val="16"/>
        </w:rPr>
        <w:t xml:space="preserve">, </w:t>
      </w:r>
      <w:r w:rsidR="001462FB" w:rsidRPr="006360F8">
        <w:rPr>
          <w:rFonts w:ascii="Calibri" w:hAnsi="Calibri" w:cs="Calibri"/>
          <w:sz w:val="18"/>
          <w:szCs w:val="18"/>
        </w:rPr>
        <w:t xml:space="preserve">including their </w:t>
      </w:r>
      <w:r w:rsidR="001462FB" w:rsidRPr="001462FB">
        <w:rPr>
          <w:rFonts w:ascii="Calibri" w:hAnsi="Calibri" w:cs="Calibri"/>
          <w:sz w:val="18"/>
          <w:szCs w:val="18"/>
        </w:rPr>
        <w:t>advisory groups</w:t>
      </w:r>
      <w:r w:rsidR="00BA6D53">
        <w:rPr>
          <w:rFonts w:ascii="Calibri" w:hAnsi="Calibri" w:cs="Calibri"/>
          <w:sz w:val="18"/>
          <w:szCs w:val="18"/>
        </w:rPr>
        <w:t xml:space="preserve">. </w:t>
      </w:r>
      <w:r w:rsidR="001462FB">
        <w:rPr>
          <w:rFonts w:ascii="Calibri" w:hAnsi="Calibri" w:cs="Calibri"/>
          <w:sz w:val="18"/>
          <w:szCs w:val="18"/>
        </w:rPr>
        <w:t xml:space="preserve">Academia also participate </w:t>
      </w:r>
      <w:r w:rsidR="00465AB1" w:rsidRPr="00684182">
        <w:rPr>
          <w:rFonts w:ascii="Calibri" w:hAnsi="Calibri" w:cs="Calibri"/>
          <w:sz w:val="18"/>
          <w:szCs w:val="18"/>
        </w:rPr>
        <w:t>in other global and regional conferences, workshops and activities of the Union, with the exception of plenipotentiary conferences, world radiocommunication conferences, world conferences on international telecommunications and the ITU Council, in conformity with the rules of procedure of the respective Sectors.</w:t>
      </w:r>
    </w:p>
    <w:p w14:paraId="2981A08B" w14:textId="77777777" w:rsidR="00105902" w:rsidRPr="00684182" w:rsidRDefault="00105902" w:rsidP="00B840B3">
      <w:pPr>
        <w:pStyle w:val="Footer"/>
        <w:ind w:left="360"/>
        <w:rPr>
          <w:sz w:val="18"/>
          <w:szCs w:val="18"/>
        </w:rPr>
      </w:pPr>
    </w:p>
    <w:p w14:paraId="6CF8AF50" w14:textId="77777777" w:rsidR="00105902" w:rsidRPr="00B00959" w:rsidRDefault="00105902" w:rsidP="00B840B3">
      <w:pPr>
        <w:pStyle w:val="FootnoteText"/>
      </w:pPr>
    </w:p>
  </w:footnote>
  <w:footnote w:id="5">
    <w:p w14:paraId="1B6A8075" w14:textId="77777777" w:rsidR="00105902" w:rsidRPr="007C6FDD" w:rsidRDefault="00105902" w:rsidP="007C6FDD">
      <w:pPr>
        <w:pStyle w:val="FootnoteText"/>
        <w:rPr>
          <w:lang w:val="en-US"/>
        </w:rPr>
      </w:pPr>
      <w:r>
        <w:rPr>
          <w:rStyle w:val="FootnoteReference"/>
        </w:rPr>
        <w:footnoteRef/>
      </w:r>
      <w:r>
        <w:t xml:space="preserve"> </w:t>
      </w:r>
      <w:r w:rsidRPr="00092337">
        <w:t>RWTH Aachen University (Germany), The University of Dodoma (Tanzania), University of Tehran (Iran</w:t>
      </w:r>
      <w:r w:rsidR="00722BC8">
        <w:t>, Islamic Republic of</w:t>
      </w:r>
      <w:r w:rsidRPr="00092337">
        <w:t>), Tokyo Institute of Technology (Japan), Arab States Research and Education (Jordan), Amirkabir University of Technology (Iran</w:t>
      </w:r>
      <w:r w:rsidR="00722BC8">
        <w:t>, Islamic Republic of</w:t>
      </w:r>
      <w:r w:rsidRPr="00092337">
        <w:t>), Nazarbayev University (Kazakhstan), University of Surrey (United Kingdom), Ta</w:t>
      </w:r>
      <w:r>
        <w:t>rbiat Modares University (Iran</w:t>
      </w:r>
      <w:r w:rsidR="00722BC8">
        <w:t>, Islamic Republic of</w:t>
      </w:r>
      <w:r>
        <w:t xml:space="preserve">), </w:t>
      </w:r>
      <w:r w:rsidRPr="00092337">
        <w:t>Universidad Técnica del Norte (Ecuador), University of California Irvine (</w:t>
      </w:r>
      <w:r w:rsidR="00722BC8">
        <w:t>United States</w:t>
      </w:r>
      <w:r w:rsidRPr="00092337">
        <w:t>), Hamad Bin Khalifa University (Qatar), Institut Scientifique Européan (France), Smart Quantum Communication (Korea, Rep. of), University of Bristol (United Kingdom), Hong Kong Applied Science and Technology (China), Université de Bordeaux (France), Ilmenau University of Technology (Germany), Centre for Development of Telematics (India), Concordia University (Canada), Shinshu University (Japan), Mila-Institut Québécois d’Intelligence (Canada)</w:t>
      </w:r>
      <w:r w:rsidRPr="007C6FDD">
        <w:rPr>
          <w:lang w:val="en-US"/>
        </w:rPr>
        <w:t xml:space="preserve">. </w:t>
      </w:r>
    </w:p>
    <w:p w14:paraId="5FCECDA9" w14:textId="77777777" w:rsidR="00105902" w:rsidRPr="00263754" w:rsidRDefault="0010590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ED7E" w14:textId="402FC0C4" w:rsidR="00105902" w:rsidRPr="00D83BF5" w:rsidRDefault="00105902" w:rsidP="00DE42CA">
    <w:pPr>
      <w:tabs>
        <w:tab w:val="clear" w:pos="1134"/>
        <w:tab w:val="clear" w:pos="1871"/>
        <w:tab w:val="clear" w:pos="2268"/>
        <w:tab w:val="center" w:pos="4820"/>
        <w:tab w:val="right" w:pos="9638"/>
      </w:tabs>
      <w:ind w:right="1"/>
      <w:rPr>
        <w:smallCaps/>
        <w:spacing w:val="24"/>
        <w:sz w:val="22"/>
        <w:szCs w:val="22"/>
        <w:lang w:val="es-ES_tradnl"/>
      </w:rPr>
    </w:pPr>
    <w:r w:rsidRPr="004D495C">
      <w:rPr>
        <w:sz w:val="22"/>
        <w:szCs w:val="22"/>
      </w:rPr>
      <w:tab/>
    </w:r>
    <w:r>
      <w:rPr>
        <w:sz w:val="22"/>
        <w:szCs w:val="22"/>
        <w:lang w:val="es-ES_tradnl"/>
      </w:rPr>
      <w:t>TDAG-</w:t>
    </w:r>
    <w:r w:rsidR="00D12CC2">
      <w:rPr>
        <w:sz w:val="22"/>
        <w:szCs w:val="22"/>
        <w:lang w:val="es-ES_tradnl"/>
      </w:rPr>
      <w:t>20</w:t>
    </w:r>
    <w:r w:rsidRPr="00FF089C">
      <w:rPr>
        <w:sz w:val="22"/>
        <w:szCs w:val="22"/>
        <w:lang w:val="es-ES_tradnl"/>
      </w:rPr>
      <w:t>/</w:t>
    </w:r>
    <w:bookmarkStart w:id="11" w:name="DocNo2"/>
    <w:bookmarkEnd w:id="11"/>
    <w:r w:rsidR="00D12CC2">
      <w:rPr>
        <w:sz w:val="22"/>
        <w:szCs w:val="22"/>
        <w:lang w:val="es-ES_tradnl"/>
      </w:rPr>
      <w:t>11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513B5">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3C3"/>
    <w:multiLevelType w:val="hybridMultilevel"/>
    <w:tmpl w:val="DBF27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B77860"/>
    <w:multiLevelType w:val="multilevel"/>
    <w:tmpl w:val="93F499C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95B5483"/>
    <w:multiLevelType w:val="hybridMultilevel"/>
    <w:tmpl w:val="DCE6F10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CB7926"/>
    <w:multiLevelType w:val="multilevel"/>
    <w:tmpl w:val="DF7C273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B517EF5"/>
    <w:multiLevelType w:val="hybridMultilevel"/>
    <w:tmpl w:val="3AB0EC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930C6"/>
    <w:multiLevelType w:val="multilevel"/>
    <w:tmpl w:val="3A066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E4"/>
    <w:rsid w:val="00001931"/>
    <w:rsid w:val="00004867"/>
    <w:rsid w:val="00015BB0"/>
    <w:rsid w:val="000347DA"/>
    <w:rsid w:val="00041E9F"/>
    <w:rsid w:val="000443B5"/>
    <w:rsid w:val="000562E0"/>
    <w:rsid w:val="00060618"/>
    <w:rsid w:val="000648C2"/>
    <w:rsid w:val="00074382"/>
    <w:rsid w:val="00077300"/>
    <w:rsid w:val="00084D9E"/>
    <w:rsid w:val="00092337"/>
    <w:rsid w:val="00096C36"/>
    <w:rsid w:val="000A75E4"/>
    <w:rsid w:val="0010309D"/>
    <w:rsid w:val="00105902"/>
    <w:rsid w:val="00105A8E"/>
    <w:rsid w:val="00114885"/>
    <w:rsid w:val="001462FB"/>
    <w:rsid w:val="001465B0"/>
    <w:rsid w:val="00152E9E"/>
    <w:rsid w:val="00161C25"/>
    <w:rsid w:val="001763FD"/>
    <w:rsid w:val="00185A5B"/>
    <w:rsid w:val="001B755D"/>
    <w:rsid w:val="001C23FB"/>
    <w:rsid w:val="001C2CF0"/>
    <w:rsid w:val="001D3AAE"/>
    <w:rsid w:val="001D6C63"/>
    <w:rsid w:val="001E2E4D"/>
    <w:rsid w:val="00205C07"/>
    <w:rsid w:val="00212EC1"/>
    <w:rsid w:val="00217158"/>
    <w:rsid w:val="0022435D"/>
    <w:rsid w:val="002336BF"/>
    <w:rsid w:val="002513B5"/>
    <w:rsid w:val="00256AA3"/>
    <w:rsid w:val="00263754"/>
    <w:rsid w:val="002677A5"/>
    <w:rsid w:val="00267A57"/>
    <w:rsid w:val="002738CA"/>
    <w:rsid w:val="00274970"/>
    <w:rsid w:val="00280655"/>
    <w:rsid w:val="00281739"/>
    <w:rsid w:val="0029037A"/>
    <w:rsid w:val="00294431"/>
    <w:rsid w:val="00295186"/>
    <w:rsid w:val="002A703C"/>
    <w:rsid w:val="002D1EC1"/>
    <w:rsid w:val="002D5E37"/>
    <w:rsid w:val="002E26C2"/>
    <w:rsid w:val="002E4944"/>
    <w:rsid w:val="00303FC6"/>
    <w:rsid w:val="00305E57"/>
    <w:rsid w:val="00306307"/>
    <w:rsid w:val="003101B5"/>
    <w:rsid w:val="003215EC"/>
    <w:rsid w:val="003237EC"/>
    <w:rsid w:val="00333579"/>
    <w:rsid w:val="0036008E"/>
    <w:rsid w:val="00361E92"/>
    <w:rsid w:val="0036614E"/>
    <w:rsid w:val="00375275"/>
    <w:rsid w:val="00376ED9"/>
    <w:rsid w:val="00380174"/>
    <w:rsid w:val="003818DE"/>
    <w:rsid w:val="003824C0"/>
    <w:rsid w:val="00390A34"/>
    <w:rsid w:val="003952D7"/>
    <w:rsid w:val="003A0E11"/>
    <w:rsid w:val="003A2AAC"/>
    <w:rsid w:val="003A3A39"/>
    <w:rsid w:val="003A4E73"/>
    <w:rsid w:val="003C07B0"/>
    <w:rsid w:val="003D752F"/>
    <w:rsid w:val="003D7E7A"/>
    <w:rsid w:val="0040554B"/>
    <w:rsid w:val="00412916"/>
    <w:rsid w:val="00424E41"/>
    <w:rsid w:val="004302F8"/>
    <w:rsid w:val="00444B57"/>
    <w:rsid w:val="004529CF"/>
    <w:rsid w:val="00454B18"/>
    <w:rsid w:val="004610EF"/>
    <w:rsid w:val="00465AB1"/>
    <w:rsid w:val="00465ED9"/>
    <w:rsid w:val="00495B2C"/>
    <w:rsid w:val="004A50C4"/>
    <w:rsid w:val="004B0CAE"/>
    <w:rsid w:val="004B495A"/>
    <w:rsid w:val="004B633D"/>
    <w:rsid w:val="004B6D8C"/>
    <w:rsid w:val="004B7DBE"/>
    <w:rsid w:val="004C0089"/>
    <w:rsid w:val="004D2276"/>
    <w:rsid w:val="004D6515"/>
    <w:rsid w:val="004D6975"/>
    <w:rsid w:val="004E4745"/>
    <w:rsid w:val="004F4FEC"/>
    <w:rsid w:val="004F75D9"/>
    <w:rsid w:val="0051042E"/>
    <w:rsid w:val="0051794A"/>
    <w:rsid w:val="00523ED4"/>
    <w:rsid w:val="00524183"/>
    <w:rsid w:val="00533982"/>
    <w:rsid w:val="00541B46"/>
    <w:rsid w:val="00563067"/>
    <w:rsid w:val="00563A42"/>
    <w:rsid w:val="0056589C"/>
    <w:rsid w:val="00575F13"/>
    <w:rsid w:val="005820B6"/>
    <w:rsid w:val="005942C0"/>
    <w:rsid w:val="005D459A"/>
    <w:rsid w:val="005D6E9E"/>
    <w:rsid w:val="005E48A1"/>
    <w:rsid w:val="006003C2"/>
    <w:rsid w:val="006042CA"/>
    <w:rsid w:val="00611224"/>
    <w:rsid w:val="00630D5B"/>
    <w:rsid w:val="006506D9"/>
    <w:rsid w:val="006570AC"/>
    <w:rsid w:val="00684182"/>
    <w:rsid w:val="00696EC8"/>
    <w:rsid w:val="006B3230"/>
    <w:rsid w:val="006B458E"/>
    <w:rsid w:val="006B64CB"/>
    <w:rsid w:val="006D05B5"/>
    <w:rsid w:val="006E0167"/>
    <w:rsid w:val="006E0724"/>
    <w:rsid w:val="006E1980"/>
    <w:rsid w:val="006E537B"/>
    <w:rsid w:val="00715ECD"/>
    <w:rsid w:val="00722BC8"/>
    <w:rsid w:val="00751F59"/>
    <w:rsid w:val="00757D9F"/>
    <w:rsid w:val="00765334"/>
    <w:rsid w:val="007753E8"/>
    <w:rsid w:val="007A718A"/>
    <w:rsid w:val="007C6FDD"/>
    <w:rsid w:val="007D29C2"/>
    <w:rsid w:val="007E0115"/>
    <w:rsid w:val="007E0185"/>
    <w:rsid w:val="007E1A20"/>
    <w:rsid w:val="007E1FA5"/>
    <w:rsid w:val="007E6FA0"/>
    <w:rsid w:val="00807067"/>
    <w:rsid w:val="0080740A"/>
    <w:rsid w:val="00810256"/>
    <w:rsid w:val="0081347A"/>
    <w:rsid w:val="0083705E"/>
    <w:rsid w:val="00857973"/>
    <w:rsid w:val="00865809"/>
    <w:rsid w:val="0089426F"/>
    <w:rsid w:val="00894F79"/>
    <w:rsid w:val="008A36BE"/>
    <w:rsid w:val="008B2490"/>
    <w:rsid w:val="008C1398"/>
    <w:rsid w:val="008C4EF0"/>
    <w:rsid w:val="008D3924"/>
    <w:rsid w:val="008D4939"/>
    <w:rsid w:val="008F4088"/>
    <w:rsid w:val="008F7275"/>
    <w:rsid w:val="0090366E"/>
    <w:rsid w:val="009136F3"/>
    <w:rsid w:val="009164A7"/>
    <w:rsid w:val="00926854"/>
    <w:rsid w:val="00930994"/>
    <w:rsid w:val="00936CA3"/>
    <w:rsid w:val="00963ECF"/>
    <w:rsid w:val="009652F1"/>
    <w:rsid w:val="0098230A"/>
    <w:rsid w:val="00982CC1"/>
    <w:rsid w:val="009917A6"/>
    <w:rsid w:val="00995859"/>
    <w:rsid w:val="009A207D"/>
    <w:rsid w:val="009C0EEE"/>
    <w:rsid w:val="009C6C45"/>
    <w:rsid w:val="009E18E3"/>
    <w:rsid w:val="009F3140"/>
    <w:rsid w:val="009F365E"/>
    <w:rsid w:val="00A01AD1"/>
    <w:rsid w:val="00A0759F"/>
    <w:rsid w:val="00A13BC9"/>
    <w:rsid w:val="00A1458C"/>
    <w:rsid w:val="00A15287"/>
    <w:rsid w:val="00A2436C"/>
    <w:rsid w:val="00A252AE"/>
    <w:rsid w:val="00A26A5C"/>
    <w:rsid w:val="00A33826"/>
    <w:rsid w:val="00A425E9"/>
    <w:rsid w:val="00A45632"/>
    <w:rsid w:val="00A460C7"/>
    <w:rsid w:val="00A52C49"/>
    <w:rsid w:val="00A60239"/>
    <w:rsid w:val="00A625D6"/>
    <w:rsid w:val="00A7013B"/>
    <w:rsid w:val="00A7284C"/>
    <w:rsid w:val="00A96879"/>
    <w:rsid w:val="00AA2F8E"/>
    <w:rsid w:val="00AB61B1"/>
    <w:rsid w:val="00AD3D11"/>
    <w:rsid w:val="00AD56C6"/>
    <w:rsid w:val="00AD5B52"/>
    <w:rsid w:val="00AE1A1D"/>
    <w:rsid w:val="00AE456F"/>
    <w:rsid w:val="00B00959"/>
    <w:rsid w:val="00B01A32"/>
    <w:rsid w:val="00B161A5"/>
    <w:rsid w:val="00B244E4"/>
    <w:rsid w:val="00B24C0A"/>
    <w:rsid w:val="00B320E6"/>
    <w:rsid w:val="00B343C1"/>
    <w:rsid w:val="00B42885"/>
    <w:rsid w:val="00B64FBF"/>
    <w:rsid w:val="00B735C0"/>
    <w:rsid w:val="00B832F3"/>
    <w:rsid w:val="00B83D3C"/>
    <w:rsid w:val="00B840B3"/>
    <w:rsid w:val="00BA6D53"/>
    <w:rsid w:val="00BB4A0E"/>
    <w:rsid w:val="00BD58E4"/>
    <w:rsid w:val="00C105C0"/>
    <w:rsid w:val="00C11BFB"/>
    <w:rsid w:val="00C25506"/>
    <w:rsid w:val="00C30FF4"/>
    <w:rsid w:val="00C43143"/>
    <w:rsid w:val="00C4368E"/>
    <w:rsid w:val="00C442F0"/>
    <w:rsid w:val="00C57502"/>
    <w:rsid w:val="00C667FA"/>
    <w:rsid w:val="00C66D36"/>
    <w:rsid w:val="00C71628"/>
    <w:rsid w:val="00C74B86"/>
    <w:rsid w:val="00C77AC6"/>
    <w:rsid w:val="00CD0246"/>
    <w:rsid w:val="00CD42D5"/>
    <w:rsid w:val="00CF6C96"/>
    <w:rsid w:val="00D032C8"/>
    <w:rsid w:val="00D0463D"/>
    <w:rsid w:val="00D115AF"/>
    <w:rsid w:val="00D1289C"/>
    <w:rsid w:val="00D12CC2"/>
    <w:rsid w:val="00D171CF"/>
    <w:rsid w:val="00D26B61"/>
    <w:rsid w:val="00D30253"/>
    <w:rsid w:val="00D40FFB"/>
    <w:rsid w:val="00D54ED7"/>
    <w:rsid w:val="00D647FE"/>
    <w:rsid w:val="00D91104"/>
    <w:rsid w:val="00D95D44"/>
    <w:rsid w:val="00DA5C18"/>
    <w:rsid w:val="00DA644E"/>
    <w:rsid w:val="00DA6A4D"/>
    <w:rsid w:val="00DC501C"/>
    <w:rsid w:val="00DD64B7"/>
    <w:rsid w:val="00DE1DA0"/>
    <w:rsid w:val="00DE42CA"/>
    <w:rsid w:val="00DF5911"/>
    <w:rsid w:val="00E00E49"/>
    <w:rsid w:val="00E24FCB"/>
    <w:rsid w:val="00E36FBE"/>
    <w:rsid w:val="00E70B0F"/>
    <w:rsid w:val="00E7188C"/>
    <w:rsid w:val="00E75F6B"/>
    <w:rsid w:val="00E934AE"/>
    <w:rsid w:val="00E96A21"/>
    <w:rsid w:val="00ED2010"/>
    <w:rsid w:val="00ED6B5E"/>
    <w:rsid w:val="00ED7B1E"/>
    <w:rsid w:val="00EE4C2F"/>
    <w:rsid w:val="00EF6F62"/>
    <w:rsid w:val="00F26CD6"/>
    <w:rsid w:val="00F31136"/>
    <w:rsid w:val="00F472E0"/>
    <w:rsid w:val="00F64311"/>
    <w:rsid w:val="00F734F5"/>
    <w:rsid w:val="00F75B00"/>
    <w:rsid w:val="00F85EA1"/>
    <w:rsid w:val="00F861B0"/>
    <w:rsid w:val="00F902DB"/>
    <w:rsid w:val="00F913D4"/>
    <w:rsid w:val="00FA0640"/>
    <w:rsid w:val="00FA6FAE"/>
    <w:rsid w:val="00FA7725"/>
    <w:rsid w:val="00FD0DA2"/>
    <w:rsid w:val="00FF08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AC0CC2"/>
  <w15:chartTrackingRefBased/>
  <w15:docId w15:val="{933191AB-E6CB-40C6-B667-546556B6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E4"/>
    <w:pPr>
      <w:tabs>
        <w:tab w:val="left" w:pos="1134"/>
        <w:tab w:val="left" w:pos="1871"/>
        <w:tab w:val="left" w:pos="2268"/>
      </w:tabs>
      <w:overflowPunct w:val="0"/>
      <w:autoSpaceDE w:val="0"/>
      <w:autoSpaceDN w:val="0"/>
      <w:adjustRightInd w:val="0"/>
      <w:spacing w:before="120"/>
      <w:textAlignment w:val="baseline"/>
    </w:pPr>
    <w:rPr>
      <w:rFonts w:eastAsia="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Footer">
    <w:name w:val="FirstFooter"/>
    <w:basedOn w:val="Footer"/>
    <w:rsid w:val="00BD58E4"/>
    <w:pPr>
      <w:tabs>
        <w:tab w:val="clear" w:pos="4680"/>
        <w:tab w:val="clear" w:pos="9360"/>
        <w:tab w:val="left" w:pos="1871"/>
      </w:tabs>
      <w:overflowPunct/>
      <w:autoSpaceDE/>
      <w:autoSpaceDN/>
      <w:adjustRightInd/>
      <w:spacing w:before="40"/>
      <w:textAlignment w:val="auto"/>
    </w:pPr>
    <w:rPr>
      <w:sz w:val="16"/>
    </w:rPr>
  </w:style>
  <w:style w:type="paragraph" w:customStyle="1" w:styleId="Source">
    <w:name w:val="Source"/>
    <w:basedOn w:val="Normal"/>
    <w:next w:val="Normal"/>
    <w:rsid w:val="00BD58E4"/>
    <w:pPr>
      <w:spacing w:before="840"/>
      <w:jc w:val="center"/>
    </w:pPr>
    <w:rPr>
      <w:b/>
      <w:sz w:val="28"/>
    </w:rPr>
  </w:style>
  <w:style w:type="paragraph" w:customStyle="1" w:styleId="Title1">
    <w:name w:val="Title 1"/>
    <w:basedOn w:val="Source"/>
    <w:next w:val="Normal"/>
    <w:rsid w:val="00BD58E4"/>
    <w:pPr>
      <w:spacing w:before="240"/>
    </w:pPr>
    <w:rPr>
      <w:b w:val="0"/>
      <w:caps/>
    </w:rPr>
  </w:style>
  <w:style w:type="paragraph" w:styleId="ListParagraph">
    <w:name w:val="List Paragraph"/>
    <w:aliases w:val="List Paragraph1,Recommendation,List Paragraph11"/>
    <w:basedOn w:val="Normal"/>
    <w:link w:val="ListParagraphChar"/>
    <w:uiPriority w:val="34"/>
    <w:qFormat/>
    <w:rsid w:val="00BD58E4"/>
    <w:pPr>
      <w:ind w:left="720"/>
      <w:contextualSpacing/>
    </w:pPr>
  </w:style>
  <w:style w:type="paragraph" w:customStyle="1" w:styleId="Committee">
    <w:name w:val="Committee"/>
    <w:basedOn w:val="Normal"/>
    <w:qFormat/>
    <w:rsid w:val="00BD58E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BD58E4"/>
    <w:rPr>
      <w:color w:val="0000FF"/>
      <w:u w:val="single"/>
    </w:rPr>
  </w:style>
  <w:style w:type="paragraph" w:customStyle="1" w:styleId="CEONormal">
    <w:name w:val="CEO_Normal"/>
    <w:link w:val="CEONormalChar"/>
    <w:rsid w:val="00BD58E4"/>
    <w:pPr>
      <w:spacing w:before="120" w:after="120"/>
    </w:pPr>
    <w:rPr>
      <w:rFonts w:ascii="Calibri" w:eastAsia="SimSun" w:hAnsi="Calibri" w:cs="Simplified Arabic"/>
      <w:sz w:val="22"/>
      <w:szCs w:val="19"/>
      <w:lang w:val="en-GB"/>
    </w:rPr>
  </w:style>
  <w:style w:type="character" w:customStyle="1" w:styleId="CEONormalChar">
    <w:name w:val="CEO_Normal Char"/>
    <w:basedOn w:val="DefaultParagraphFont"/>
    <w:link w:val="CEONormal"/>
    <w:locked/>
    <w:rsid w:val="00BD58E4"/>
    <w:rPr>
      <w:rFonts w:ascii="Calibri" w:eastAsia="SimSun" w:hAnsi="Calibri" w:cs="Simplified Arabic"/>
      <w:sz w:val="22"/>
      <w:szCs w:val="19"/>
      <w:lang w:val="en-GB"/>
    </w:rPr>
  </w:style>
  <w:style w:type="paragraph" w:styleId="NormalWeb">
    <w:name w:val="Normal (Web)"/>
    <w:basedOn w:val="Normal"/>
    <w:uiPriority w:val="99"/>
    <w:unhideWhenUsed/>
    <w:rsid w:val="00BD58E4"/>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PlainText">
    <w:name w:val="Plain Text"/>
    <w:basedOn w:val="Normal"/>
    <w:link w:val="PlainTextChar"/>
    <w:uiPriority w:val="99"/>
    <w:unhideWhenUsed/>
    <w:rsid w:val="00BD58E4"/>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BD58E4"/>
    <w:rPr>
      <w:rFonts w:ascii="Calibri" w:eastAsiaTheme="minorEastAsia" w:hAnsi="Calibri"/>
      <w:sz w:val="22"/>
      <w:szCs w:val="21"/>
      <w:lang w:eastAsia="zh-CN"/>
    </w:rPr>
  </w:style>
  <w:style w:type="character" w:customStyle="1" w:styleId="ListParagraphChar">
    <w:name w:val="List Paragraph Char"/>
    <w:aliases w:val="List Paragraph1 Char,Recommendation Char,List Paragraph11 Char"/>
    <w:basedOn w:val="DefaultParagraphFont"/>
    <w:link w:val="ListParagraph"/>
    <w:uiPriority w:val="34"/>
    <w:rsid w:val="00BD58E4"/>
    <w:rPr>
      <w:rFonts w:eastAsia="Times New Roman" w:cs="Times New Roman"/>
      <w:szCs w:val="20"/>
      <w:lang w:val="en-GB"/>
    </w:rPr>
  </w:style>
  <w:style w:type="character" w:styleId="Strong">
    <w:name w:val="Strong"/>
    <w:basedOn w:val="DefaultParagraphFont"/>
    <w:uiPriority w:val="22"/>
    <w:qFormat/>
    <w:rsid w:val="00BD58E4"/>
    <w:rPr>
      <w:b/>
      <w:bCs/>
    </w:rPr>
  </w:style>
  <w:style w:type="character" w:customStyle="1" w:styleId="ms-rtefontsize-1">
    <w:name w:val="ms-rtefontsize-1"/>
    <w:basedOn w:val="DefaultParagraphFont"/>
    <w:rsid w:val="00BD58E4"/>
  </w:style>
  <w:style w:type="paragraph" w:styleId="Footer">
    <w:name w:val="footer"/>
    <w:basedOn w:val="Normal"/>
    <w:link w:val="FooterChar"/>
    <w:uiPriority w:val="99"/>
    <w:unhideWhenUsed/>
    <w:rsid w:val="00BD58E4"/>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D58E4"/>
    <w:rPr>
      <w:rFonts w:eastAsia="Times New Roman" w:cs="Times New Roman"/>
      <w:szCs w:val="20"/>
      <w:lang w:val="en-GB"/>
    </w:rPr>
  </w:style>
  <w:style w:type="paragraph" w:styleId="BalloonText">
    <w:name w:val="Balloon Text"/>
    <w:basedOn w:val="Normal"/>
    <w:link w:val="BalloonTextChar"/>
    <w:uiPriority w:val="99"/>
    <w:semiHidden/>
    <w:unhideWhenUsed/>
    <w:rsid w:val="002D5E3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E37"/>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E24FCB"/>
    <w:rPr>
      <w:sz w:val="16"/>
      <w:szCs w:val="16"/>
    </w:rPr>
  </w:style>
  <w:style w:type="paragraph" w:styleId="CommentText">
    <w:name w:val="annotation text"/>
    <w:basedOn w:val="Normal"/>
    <w:link w:val="CommentTextChar"/>
    <w:uiPriority w:val="99"/>
    <w:semiHidden/>
    <w:unhideWhenUsed/>
    <w:rsid w:val="00E24FCB"/>
    <w:rPr>
      <w:sz w:val="20"/>
    </w:rPr>
  </w:style>
  <w:style w:type="character" w:customStyle="1" w:styleId="CommentTextChar">
    <w:name w:val="Comment Text Char"/>
    <w:basedOn w:val="DefaultParagraphFont"/>
    <w:link w:val="CommentText"/>
    <w:uiPriority w:val="99"/>
    <w:semiHidden/>
    <w:rsid w:val="00E24FCB"/>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24FCB"/>
    <w:rPr>
      <w:b/>
      <w:bCs/>
    </w:rPr>
  </w:style>
  <w:style w:type="character" w:customStyle="1" w:styleId="CommentSubjectChar">
    <w:name w:val="Comment Subject Char"/>
    <w:basedOn w:val="CommentTextChar"/>
    <w:link w:val="CommentSubject"/>
    <w:uiPriority w:val="99"/>
    <w:semiHidden/>
    <w:rsid w:val="00E24FCB"/>
    <w:rPr>
      <w:rFonts w:eastAsia="Times New Roman" w:cs="Times New Roman"/>
      <w:b/>
      <w:bCs/>
      <w:sz w:val="20"/>
      <w:szCs w:val="20"/>
      <w:lang w:val="en-GB"/>
    </w:rPr>
  </w:style>
  <w:style w:type="paragraph" w:styleId="Header">
    <w:name w:val="header"/>
    <w:basedOn w:val="Normal"/>
    <w:link w:val="HeaderChar"/>
    <w:uiPriority w:val="99"/>
    <w:unhideWhenUsed/>
    <w:rsid w:val="00AE456F"/>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AE456F"/>
    <w:rPr>
      <w:rFonts w:eastAsia="Times New Roman" w:cs="Times New Roman"/>
      <w:szCs w:val="20"/>
      <w:lang w:val="en-GB"/>
    </w:rPr>
  </w:style>
  <w:style w:type="character" w:styleId="FollowedHyperlink">
    <w:name w:val="FollowedHyperlink"/>
    <w:basedOn w:val="DefaultParagraphFont"/>
    <w:uiPriority w:val="99"/>
    <w:semiHidden/>
    <w:unhideWhenUsed/>
    <w:rsid w:val="00DE1DA0"/>
    <w:rPr>
      <w:color w:val="954F72" w:themeColor="followedHyperlink"/>
      <w:u w:val="single"/>
    </w:rPr>
  </w:style>
  <w:style w:type="paragraph" w:styleId="Revision">
    <w:name w:val="Revision"/>
    <w:hidden/>
    <w:uiPriority w:val="99"/>
    <w:semiHidden/>
    <w:rsid w:val="00E00E49"/>
    <w:rPr>
      <w:rFonts w:eastAsia="Times New Roman" w:cs="Times New Roman"/>
      <w:szCs w:val="20"/>
      <w:lang w:val="en-GB"/>
    </w:rPr>
  </w:style>
  <w:style w:type="paragraph" w:styleId="FootnoteText">
    <w:name w:val="footnote text"/>
    <w:basedOn w:val="Normal"/>
    <w:link w:val="FootnoteTextChar"/>
    <w:uiPriority w:val="99"/>
    <w:unhideWhenUsed/>
    <w:rsid w:val="00B00959"/>
    <w:pPr>
      <w:spacing w:before="0"/>
    </w:pPr>
    <w:rPr>
      <w:sz w:val="20"/>
    </w:rPr>
  </w:style>
  <w:style w:type="character" w:customStyle="1" w:styleId="FootnoteTextChar">
    <w:name w:val="Footnote Text Char"/>
    <w:basedOn w:val="DefaultParagraphFont"/>
    <w:link w:val="FootnoteText"/>
    <w:uiPriority w:val="99"/>
    <w:rsid w:val="00B00959"/>
    <w:rPr>
      <w:rFonts w:eastAsia="Times New Roman" w:cs="Times New Roman"/>
      <w:sz w:val="20"/>
      <w:szCs w:val="20"/>
      <w:lang w:val="en-GB"/>
    </w:rPr>
  </w:style>
  <w:style w:type="character" w:styleId="FootnoteReference">
    <w:name w:val="footnote reference"/>
    <w:basedOn w:val="DefaultParagraphFont"/>
    <w:uiPriority w:val="99"/>
    <w:unhideWhenUsed/>
    <w:rsid w:val="00B00959"/>
    <w:rPr>
      <w:vertAlign w:val="superscript"/>
    </w:rPr>
  </w:style>
  <w:style w:type="character" w:customStyle="1" w:styleId="UnresolvedMention1">
    <w:name w:val="Unresolved Mention1"/>
    <w:basedOn w:val="DefaultParagraphFont"/>
    <w:uiPriority w:val="99"/>
    <w:semiHidden/>
    <w:unhideWhenUsed/>
    <w:rsid w:val="001C2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CRO/Documents/CRO10/CRO2019_chairman_repor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D/Membership/PublishingImages/Outcome%20Brief_Co-Creation%20Workshop%20for%20Academia%20Members%20%28002%29.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zavazava@itu.int" TargetMode="External"/><Relationship Id="rId1" Type="http://schemas.openxmlformats.org/officeDocument/2006/relationships/hyperlink" Target="mailto:"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a:latin typeface="+mn-lt"/>
              </a:rPr>
              <a:t>Graph</a:t>
            </a:r>
            <a:r>
              <a:rPr lang="en-GB" sz="1100" b="0" baseline="0">
                <a:latin typeface="+mn-lt"/>
              </a:rPr>
              <a:t> </a:t>
            </a:r>
            <a:r>
              <a:rPr lang="en-CA" sz="1400" b="0" i="0" u="none" strike="noStrike" baseline="0">
                <a:effectLst/>
              </a:rPr>
              <a:t>–</a:t>
            </a:r>
            <a:r>
              <a:rPr lang="en-GB" sz="1100" b="1" baseline="0">
                <a:latin typeface="+mn-lt"/>
              </a:rPr>
              <a:t> </a:t>
            </a:r>
            <a:r>
              <a:rPr lang="en-GB" sz="1100" b="1">
                <a:latin typeface="+mn-lt"/>
              </a:rPr>
              <a:t>Evolution</a:t>
            </a:r>
            <a:r>
              <a:rPr lang="en-GB" sz="1100" b="1" baseline="0">
                <a:latin typeface="+mn-lt"/>
              </a:rPr>
              <a:t> of ITU-D membership (1994-2019)</a:t>
            </a:r>
            <a:endParaRPr lang="en-GB" sz="1100" b="1">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H"/>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Sheet1!$B$1:$AA$1</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formatCode="mmm\-yy">
                  <c:v>43435</c:v>
                </c:pt>
                <c:pt idx="25" formatCode="mmm\-yy">
                  <c:v>43800</c:v>
                </c:pt>
              </c:numCache>
            </c:numRef>
          </c:cat>
          <c:val>
            <c:numRef>
              <c:f>Sheet1!$B$2:$AA$2</c:f>
              <c:numCache>
                <c:formatCode>General</c:formatCode>
                <c:ptCount val="26"/>
                <c:pt idx="0">
                  <c:v>27</c:v>
                </c:pt>
                <c:pt idx="1">
                  <c:v>81</c:v>
                </c:pt>
                <c:pt idx="2">
                  <c:v>107</c:v>
                </c:pt>
                <c:pt idx="3">
                  <c:v>130</c:v>
                </c:pt>
                <c:pt idx="4">
                  <c:v>143</c:v>
                </c:pt>
                <c:pt idx="5">
                  <c:v>185</c:v>
                </c:pt>
                <c:pt idx="6">
                  <c:v>204</c:v>
                </c:pt>
                <c:pt idx="7">
                  <c:v>243</c:v>
                </c:pt>
                <c:pt idx="8">
                  <c:v>247</c:v>
                </c:pt>
                <c:pt idx="9">
                  <c:v>260</c:v>
                </c:pt>
                <c:pt idx="10">
                  <c:v>282</c:v>
                </c:pt>
                <c:pt idx="11">
                  <c:v>307</c:v>
                </c:pt>
                <c:pt idx="12">
                  <c:v>326</c:v>
                </c:pt>
                <c:pt idx="13">
                  <c:v>320</c:v>
                </c:pt>
                <c:pt idx="14">
                  <c:v>311</c:v>
                </c:pt>
                <c:pt idx="15">
                  <c:v>319</c:v>
                </c:pt>
                <c:pt idx="16">
                  <c:v>316</c:v>
                </c:pt>
                <c:pt idx="17">
                  <c:v>352</c:v>
                </c:pt>
                <c:pt idx="18">
                  <c:v>377</c:v>
                </c:pt>
                <c:pt idx="19">
                  <c:v>412</c:v>
                </c:pt>
                <c:pt idx="20">
                  <c:v>433</c:v>
                </c:pt>
                <c:pt idx="21">
                  <c:v>459</c:v>
                </c:pt>
                <c:pt idx="22">
                  <c:v>475</c:v>
                </c:pt>
                <c:pt idx="23">
                  <c:v>453</c:v>
                </c:pt>
                <c:pt idx="24">
                  <c:v>480</c:v>
                </c:pt>
                <c:pt idx="25">
                  <c:v>487</c:v>
                </c:pt>
              </c:numCache>
            </c:numRef>
          </c:val>
          <c:smooth val="0"/>
          <c:extLst>
            <c:ext xmlns:c16="http://schemas.microsoft.com/office/drawing/2014/chart" uri="{C3380CC4-5D6E-409C-BE32-E72D297353CC}">
              <c16:uniqueId val="{00000000-2549-4EA7-A658-A5E73C78BEAD}"/>
            </c:ext>
          </c:extLst>
        </c:ser>
        <c:dLbls>
          <c:showLegendKey val="0"/>
          <c:showVal val="0"/>
          <c:showCatName val="0"/>
          <c:showSerName val="0"/>
          <c:showPercent val="0"/>
          <c:showBubbleSize val="0"/>
        </c:dLbls>
        <c:smooth val="0"/>
        <c:axId val="518477144"/>
        <c:axId val="292475816"/>
      </c:lineChart>
      <c:catAx>
        <c:axId val="518477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292475816"/>
        <c:crosses val="autoZero"/>
        <c:auto val="1"/>
        <c:lblAlgn val="ctr"/>
        <c:lblOffset val="100"/>
        <c:noMultiLvlLbl val="0"/>
      </c:catAx>
      <c:valAx>
        <c:axId val="292475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518477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48946-5C32-4F21-A186-0C2A043F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donis sadushaj</dc:creator>
  <cp:keywords/>
  <dc:description/>
  <cp:lastModifiedBy>BDT</cp:lastModifiedBy>
  <cp:revision>6</cp:revision>
  <cp:lastPrinted>2020-02-10T08:49:00Z</cp:lastPrinted>
  <dcterms:created xsi:type="dcterms:W3CDTF">2020-02-10T09:17:00Z</dcterms:created>
  <dcterms:modified xsi:type="dcterms:W3CDTF">2020-03-10T12:50:00Z</dcterms:modified>
</cp:coreProperties>
</file>