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14:paraId="76AFA39C" w14:textId="77777777" w:rsidTr="004F109C">
        <w:trPr>
          <w:cantSplit/>
          <w:trHeight w:val="1134"/>
        </w:trPr>
        <w:tc>
          <w:tcPr>
            <w:tcW w:w="6804" w:type="dxa"/>
          </w:tcPr>
          <w:p w14:paraId="037E1344" w14:textId="77777777" w:rsidR="00175C4C" w:rsidRPr="001E252D" w:rsidRDefault="00175C4C" w:rsidP="004F109C">
            <w:pPr>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14:paraId="16B5C497" w14:textId="087D4D9A" w:rsidR="00175C4C" w:rsidRPr="00A67CAE" w:rsidRDefault="00D659A7" w:rsidP="004F109C">
            <w:pPr>
              <w:spacing w:after="48" w:line="240" w:lineRule="atLeast"/>
              <w:ind w:left="34"/>
              <w:rPr>
                <w:b/>
                <w:bCs/>
                <w:szCs w:val="24"/>
                <w:lang w:eastAsia="zh-CN"/>
              </w:rPr>
            </w:pPr>
            <w:r w:rsidRPr="00D659A7">
              <w:rPr>
                <w:rFonts w:hint="eastAsia"/>
                <w:b/>
                <w:bCs/>
                <w:szCs w:val="24"/>
                <w:lang w:val="fr-CH" w:eastAsia="zh-CN"/>
              </w:rPr>
              <w:t>第</w:t>
            </w:r>
            <w:r w:rsidRPr="00D659A7">
              <w:rPr>
                <w:rFonts w:hint="eastAsia"/>
                <w:b/>
                <w:bCs/>
                <w:szCs w:val="24"/>
                <w:lang w:val="fr-CH" w:eastAsia="zh-CN"/>
              </w:rPr>
              <w:t>25</w:t>
            </w:r>
            <w:r w:rsidRPr="00D659A7">
              <w:rPr>
                <w:rFonts w:hint="eastAsia"/>
                <w:b/>
                <w:bCs/>
                <w:szCs w:val="24"/>
                <w:lang w:val="fr-CH" w:eastAsia="zh-CN"/>
              </w:rPr>
              <w:t>次会议，</w:t>
            </w:r>
            <w:r w:rsidRPr="00D659A7">
              <w:rPr>
                <w:rFonts w:hint="eastAsia"/>
                <w:b/>
                <w:bCs/>
                <w:szCs w:val="24"/>
                <w:lang w:val="fr-CH" w:eastAsia="zh-CN"/>
              </w:rPr>
              <w:t>2020</w:t>
            </w:r>
            <w:r w:rsidRPr="00D659A7">
              <w:rPr>
                <w:rFonts w:hint="eastAsia"/>
                <w:b/>
                <w:bCs/>
                <w:szCs w:val="24"/>
                <w:lang w:val="fr-CH" w:eastAsia="zh-CN"/>
              </w:rPr>
              <w:t>年</w:t>
            </w:r>
            <w:r w:rsidRPr="00D659A7">
              <w:rPr>
                <w:rFonts w:hint="eastAsia"/>
                <w:b/>
                <w:bCs/>
                <w:szCs w:val="24"/>
                <w:lang w:val="fr-CH" w:eastAsia="zh-CN"/>
              </w:rPr>
              <w:t>6</w:t>
            </w:r>
            <w:r w:rsidRPr="00D659A7">
              <w:rPr>
                <w:rFonts w:hint="eastAsia"/>
                <w:b/>
                <w:bCs/>
                <w:szCs w:val="24"/>
                <w:lang w:val="fr-CH" w:eastAsia="zh-CN"/>
              </w:rPr>
              <w:t>月</w:t>
            </w:r>
            <w:r w:rsidRPr="00D659A7">
              <w:rPr>
                <w:rFonts w:hint="eastAsia"/>
                <w:b/>
                <w:bCs/>
                <w:szCs w:val="24"/>
                <w:lang w:val="fr-CH" w:eastAsia="zh-CN"/>
              </w:rPr>
              <w:t>2-5</w:t>
            </w:r>
            <w:r w:rsidRPr="00D659A7">
              <w:rPr>
                <w:rFonts w:hint="eastAsia"/>
                <w:b/>
                <w:bCs/>
                <w:szCs w:val="24"/>
                <w:lang w:val="fr-CH" w:eastAsia="zh-CN"/>
              </w:rPr>
              <w:t>日，日内瓦</w:t>
            </w:r>
            <w:bookmarkStart w:id="0" w:name="_GoBack"/>
            <w:bookmarkEnd w:id="0"/>
          </w:p>
        </w:tc>
        <w:tc>
          <w:tcPr>
            <w:tcW w:w="3227" w:type="dxa"/>
          </w:tcPr>
          <w:p w14:paraId="564380C3" w14:textId="77777777" w:rsidR="00175C4C" w:rsidRPr="00D96B4B" w:rsidRDefault="00175C4C" w:rsidP="004F109C">
            <w:pPr>
              <w:spacing w:before="0" w:line="240" w:lineRule="atLeast"/>
              <w:jc w:val="right"/>
              <w:rPr>
                <w:rFonts w:cstheme="minorHAnsi"/>
              </w:rPr>
            </w:pPr>
            <w:bookmarkStart w:id="1" w:name="ditulogo"/>
            <w:bookmarkEnd w:id="1"/>
            <w:r w:rsidRPr="008E52B1">
              <w:rPr>
                <w:noProof/>
                <w:color w:val="3399FF"/>
                <w:lang w:eastAsia="zh-CN"/>
              </w:rPr>
              <w:drawing>
                <wp:inline distT="0" distB="0" distL="0" distR="0" wp14:anchorId="7100A0AD" wp14:editId="4020F89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14:paraId="48FBD6D3" w14:textId="77777777" w:rsidTr="004F109C">
        <w:trPr>
          <w:cantSplit/>
        </w:trPr>
        <w:tc>
          <w:tcPr>
            <w:tcW w:w="6804" w:type="dxa"/>
            <w:tcBorders>
              <w:top w:val="single" w:sz="12" w:space="0" w:color="auto"/>
            </w:tcBorders>
          </w:tcPr>
          <w:p w14:paraId="4B2491A8" w14:textId="77777777" w:rsidR="00175C4C" w:rsidRPr="00D96B4B" w:rsidRDefault="00175C4C" w:rsidP="004F109C">
            <w:pPr>
              <w:spacing w:before="0" w:after="48" w:line="240" w:lineRule="atLeast"/>
              <w:rPr>
                <w:rFonts w:cstheme="minorHAnsi"/>
                <w:b/>
                <w:smallCaps/>
                <w:sz w:val="20"/>
              </w:rPr>
            </w:pPr>
            <w:bookmarkStart w:id="2" w:name="dhead"/>
          </w:p>
        </w:tc>
        <w:tc>
          <w:tcPr>
            <w:tcW w:w="3227" w:type="dxa"/>
            <w:tcBorders>
              <w:top w:val="single" w:sz="12" w:space="0" w:color="auto"/>
            </w:tcBorders>
          </w:tcPr>
          <w:p w14:paraId="54F4A8C8" w14:textId="77777777" w:rsidR="00175C4C" w:rsidRPr="00D96B4B" w:rsidRDefault="00175C4C" w:rsidP="004F109C">
            <w:pPr>
              <w:spacing w:before="0" w:line="240" w:lineRule="atLeast"/>
              <w:rPr>
                <w:rFonts w:cstheme="minorHAnsi"/>
                <w:sz w:val="20"/>
              </w:rPr>
            </w:pPr>
          </w:p>
        </w:tc>
      </w:tr>
      <w:tr w:rsidR="00175C4C" w:rsidRPr="0038489B" w14:paraId="6EDD5E25" w14:textId="77777777" w:rsidTr="004F109C">
        <w:trPr>
          <w:cantSplit/>
          <w:trHeight w:val="23"/>
        </w:trPr>
        <w:tc>
          <w:tcPr>
            <w:tcW w:w="6804" w:type="dxa"/>
            <w:shd w:val="clear" w:color="auto" w:fill="auto"/>
          </w:tcPr>
          <w:p w14:paraId="006D3226" w14:textId="77777777" w:rsidR="00175C4C" w:rsidRPr="00D96B4B" w:rsidRDefault="00175C4C" w:rsidP="00F43E9C">
            <w:pPr>
              <w:pStyle w:val="Committee"/>
              <w:spacing w:before="0"/>
            </w:pPr>
            <w:bookmarkStart w:id="3" w:name="dnum" w:colFirst="1" w:colLast="1"/>
            <w:bookmarkStart w:id="4" w:name="dmeeting" w:colFirst="0" w:colLast="0"/>
            <w:bookmarkEnd w:id="2"/>
          </w:p>
        </w:tc>
        <w:tc>
          <w:tcPr>
            <w:tcW w:w="3227" w:type="dxa"/>
          </w:tcPr>
          <w:p w14:paraId="782998F1" w14:textId="7E0D795B" w:rsidR="00175C4C" w:rsidRPr="00E07105" w:rsidRDefault="00175C4C" w:rsidP="004F109C">
            <w:pPr>
              <w:tabs>
                <w:tab w:val="left" w:pos="851"/>
              </w:tabs>
              <w:spacing w:before="0" w:line="240" w:lineRule="atLeast"/>
              <w:rPr>
                <w:rFonts w:cstheme="minorHAnsi"/>
                <w:szCs w:val="24"/>
                <w:lang w:val="es-ES_tradnl"/>
              </w:rPr>
            </w:pPr>
            <w:r>
              <w:rPr>
                <w:rFonts w:hint="eastAsia"/>
                <w:b/>
                <w:bCs/>
                <w:szCs w:val="24"/>
                <w:lang w:val="es-ES_tradnl" w:eastAsia="zh-CN"/>
              </w:rPr>
              <w:t>文件</w:t>
            </w:r>
            <w:r w:rsidRPr="0084734D">
              <w:rPr>
                <w:b/>
                <w:bCs/>
                <w:szCs w:val="24"/>
                <w:lang w:val="es-ES_tradnl"/>
              </w:rPr>
              <w:t xml:space="preserve"> </w:t>
            </w:r>
            <w:bookmarkStart w:id="5" w:name="DocRef1"/>
            <w:bookmarkEnd w:id="5"/>
            <w:r>
              <w:rPr>
                <w:b/>
                <w:bCs/>
                <w:szCs w:val="24"/>
                <w:lang w:val="es-ES_tradnl"/>
              </w:rPr>
              <w:t>TDAG-</w:t>
            </w:r>
            <w:r w:rsidR="00EF4484">
              <w:rPr>
                <w:b/>
                <w:bCs/>
                <w:szCs w:val="24"/>
                <w:lang w:val="es-ES_tradnl"/>
              </w:rPr>
              <w:t>20</w:t>
            </w:r>
            <w:r w:rsidRPr="00147DA1">
              <w:rPr>
                <w:b/>
                <w:bCs/>
                <w:szCs w:val="24"/>
                <w:lang w:val="es-ES_tradnl"/>
              </w:rPr>
              <w:t>/</w:t>
            </w:r>
            <w:r w:rsidR="00EF4484">
              <w:rPr>
                <w:b/>
                <w:bCs/>
                <w:szCs w:val="24"/>
                <w:lang w:val="es-ES_tradnl"/>
              </w:rPr>
              <w:t>11</w:t>
            </w:r>
            <w:r w:rsidRPr="00147DA1">
              <w:rPr>
                <w:b/>
                <w:bCs/>
                <w:szCs w:val="24"/>
                <w:lang w:val="es-ES_tradnl"/>
              </w:rPr>
              <w:t>-</w:t>
            </w:r>
            <w:r>
              <w:rPr>
                <w:b/>
                <w:bCs/>
                <w:szCs w:val="24"/>
                <w:lang w:val="es-ES_tradnl"/>
              </w:rPr>
              <w:t>C</w:t>
            </w:r>
          </w:p>
        </w:tc>
      </w:tr>
      <w:tr w:rsidR="00175C4C" w:rsidRPr="00C324A8" w14:paraId="5B99C400" w14:textId="77777777" w:rsidTr="004F109C">
        <w:trPr>
          <w:cantSplit/>
          <w:trHeight w:val="23"/>
        </w:trPr>
        <w:tc>
          <w:tcPr>
            <w:tcW w:w="6804" w:type="dxa"/>
            <w:shd w:val="clear" w:color="auto" w:fill="auto"/>
          </w:tcPr>
          <w:p w14:paraId="3D719BEA" w14:textId="77777777" w:rsidR="00175C4C" w:rsidRPr="00E07105" w:rsidRDefault="00175C4C" w:rsidP="004F109C">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27" w:type="dxa"/>
          </w:tcPr>
          <w:p w14:paraId="4A773E31" w14:textId="51F79C91" w:rsidR="00175C4C" w:rsidRPr="00D96B4B" w:rsidRDefault="00175C4C" w:rsidP="004F109C">
            <w:pPr>
              <w:spacing w:before="0" w:line="240" w:lineRule="atLeast"/>
              <w:rPr>
                <w:rFonts w:cstheme="minorHAnsi"/>
                <w:szCs w:val="24"/>
                <w:lang w:eastAsia="zh-CN"/>
              </w:rPr>
            </w:pPr>
            <w:r>
              <w:rPr>
                <w:b/>
                <w:bCs/>
                <w:szCs w:val="24"/>
                <w:lang w:val="fr-FR"/>
              </w:rPr>
              <w:t>20</w:t>
            </w:r>
            <w:r w:rsidR="00EF4484">
              <w:rPr>
                <w:b/>
                <w:bCs/>
                <w:szCs w:val="24"/>
                <w:lang w:val="fr-FR"/>
              </w:rPr>
              <w:t>20</w:t>
            </w:r>
            <w:r>
              <w:rPr>
                <w:rFonts w:hint="eastAsia"/>
                <w:b/>
                <w:bCs/>
                <w:szCs w:val="24"/>
                <w:lang w:val="fr-FR" w:eastAsia="zh-CN"/>
              </w:rPr>
              <w:t>年</w:t>
            </w:r>
            <w:r w:rsidR="00F1049E">
              <w:rPr>
                <w:b/>
                <w:bCs/>
                <w:szCs w:val="24"/>
                <w:lang w:val="fr-FR" w:eastAsia="zh-CN"/>
              </w:rPr>
              <w:t>2</w:t>
            </w:r>
            <w:r>
              <w:rPr>
                <w:b/>
                <w:bCs/>
                <w:szCs w:val="24"/>
                <w:lang w:val="fr-FR" w:eastAsia="zh-CN"/>
              </w:rPr>
              <w:t>月</w:t>
            </w:r>
            <w:r w:rsidR="00EF4484">
              <w:rPr>
                <w:b/>
                <w:bCs/>
                <w:szCs w:val="24"/>
                <w:lang w:val="fr-FR" w:eastAsia="zh-CN"/>
              </w:rPr>
              <w:t>4</w:t>
            </w:r>
            <w:r>
              <w:rPr>
                <w:b/>
                <w:bCs/>
                <w:szCs w:val="24"/>
                <w:lang w:val="fr-FR" w:eastAsia="zh-CN"/>
              </w:rPr>
              <w:t>日</w:t>
            </w:r>
          </w:p>
        </w:tc>
      </w:tr>
      <w:tr w:rsidR="00175C4C" w:rsidRPr="00C324A8" w14:paraId="6401A342" w14:textId="77777777" w:rsidTr="004F109C">
        <w:trPr>
          <w:cantSplit/>
          <w:trHeight w:val="23"/>
        </w:trPr>
        <w:tc>
          <w:tcPr>
            <w:tcW w:w="6804" w:type="dxa"/>
            <w:shd w:val="clear" w:color="auto" w:fill="auto"/>
          </w:tcPr>
          <w:p w14:paraId="35012AEA" w14:textId="77777777" w:rsidR="00175C4C" w:rsidRPr="00D96B4B" w:rsidRDefault="00175C4C" w:rsidP="004F109C">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27" w:type="dxa"/>
          </w:tcPr>
          <w:p w14:paraId="08D8109A" w14:textId="77777777" w:rsidR="00175C4C" w:rsidRPr="00D96B4B" w:rsidRDefault="00175C4C" w:rsidP="004F109C">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14:paraId="2CE88766" w14:textId="77777777" w:rsidTr="004F109C">
        <w:trPr>
          <w:cantSplit/>
          <w:trHeight w:val="23"/>
        </w:trPr>
        <w:tc>
          <w:tcPr>
            <w:tcW w:w="10031" w:type="dxa"/>
            <w:gridSpan w:val="2"/>
            <w:shd w:val="clear" w:color="auto" w:fill="auto"/>
          </w:tcPr>
          <w:p w14:paraId="2DE10779" w14:textId="77777777" w:rsidR="00175C4C" w:rsidRPr="00402DDC" w:rsidRDefault="008D71AF" w:rsidP="00402DDC">
            <w:pPr>
              <w:pStyle w:val="Source"/>
            </w:pPr>
            <w:proofErr w:type="spellStart"/>
            <w:r w:rsidRPr="00926865">
              <w:rPr>
                <w:rFonts w:hint="eastAsia"/>
              </w:rPr>
              <w:t>电</w:t>
            </w:r>
            <w:r w:rsidRPr="00926865">
              <w:t>信发展局主任</w:t>
            </w:r>
            <w:proofErr w:type="spellEnd"/>
          </w:p>
        </w:tc>
      </w:tr>
      <w:tr w:rsidR="00175C4C" w:rsidRPr="00C324A8" w14:paraId="44524E2C" w14:textId="77777777" w:rsidTr="004F109C">
        <w:trPr>
          <w:cantSplit/>
          <w:trHeight w:val="23"/>
        </w:trPr>
        <w:tc>
          <w:tcPr>
            <w:tcW w:w="10031" w:type="dxa"/>
            <w:gridSpan w:val="2"/>
            <w:shd w:val="clear" w:color="auto" w:fill="auto"/>
          </w:tcPr>
          <w:p w14:paraId="6F9F10BE" w14:textId="073FDF68" w:rsidR="00175C4C" w:rsidRPr="00553950" w:rsidRDefault="007B58A6" w:rsidP="00CE6FBB">
            <w:pPr>
              <w:pStyle w:val="Title1"/>
              <w:rPr>
                <w:lang w:eastAsia="zh-CN"/>
              </w:rPr>
            </w:pPr>
            <w:r w:rsidRPr="007B58A6">
              <w:rPr>
                <w:rFonts w:hint="eastAsia"/>
                <w:lang w:eastAsia="zh-CN"/>
              </w:rPr>
              <w:t>电信发展部门</w:t>
            </w:r>
            <w:r w:rsidR="003B2A2A">
              <w:rPr>
                <w:rFonts w:hint="eastAsia"/>
                <w:lang w:eastAsia="zh-CN"/>
              </w:rPr>
              <w:t>的</w:t>
            </w:r>
            <w:r w:rsidR="007E7FEE">
              <w:rPr>
                <w:rFonts w:hint="eastAsia"/>
                <w:lang w:eastAsia="zh-CN"/>
              </w:rPr>
              <w:t>部门</w:t>
            </w:r>
            <w:r w:rsidR="008D71AF" w:rsidRPr="00553950">
              <w:rPr>
                <w:rFonts w:hint="eastAsia"/>
                <w:lang w:eastAsia="zh-CN"/>
              </w:rPr>
              <w:t>成员</w:t>
            </w:r>
            <w:r w:rsidR="00CE6FBB">
              <w:rPr>
                <w:rFonts w:hint="eastAsia"/>
                <w:lang w:eastAsia="zh-CN"/>
              </w:rPr>
              <w:t>、部门准成员和学术成员</w:t>
            </w:r>
          </w:p>
        </w:tc>
      </w:tr>
      <w:tr w:rsidR="00175C4C" w:rsidRPr="00C324A8" w14:paraId="6CF00A11" w14:textId="77777777" w:rsidTr="004F109C">
        <w:trPr>
          <w:cantSplit/>
          <w:trHeight w:val="23"/>
        </w:trPr>
        <w:tc>
          <w:tcPr>
            <w:tcW w:w="10031" w:type="dxa"/>
            <w:gridSpan w:val="2"/>
            <w:tcBorders>
              <w:bottom w:val="single" w:sz="4" w:space="0" w:color="auto"/>
            </w:tcBorders>
            <w:shd w:val="clear" w:color="auto" w:fill="auto"/>
          </w:tcPr>
          <w:p w14:paraId="248DBF49" w14:textId="19F22791" w:rsidR="00175C4C" w:rsidRPr="00B911B2" w:rsidRDefault="00175C4C" w:rsidP="001E7AFC">
            <w:pPr>
              <w:pStyle w:val="Title1"/>
              <w:spacing w:before="120"/>
              <w:jc w:val="left"/>
              <w:rPr>
                <w:caps/>
                <w:szCs w:val="28"/>
                <w:lang w:eastAsia="zh-CN"/>
              </w:rPr>
            </w:pPr>
          </w:p>
        </w:tc>
      </w:tr>
      <w:tr w:rsidR="00175C4C" w:rsidRPr="00C324A8" w14:paraId="35C48F66" w14:textId="77777777" w:rsidTr="004F109C">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4FBF1101" w14:textId="12B89FA0" w:rsidR="00F1049E" w:rsidRPr="00054016" w:rsidRDefault="00F1049E" w:rsidP="00F1049E">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14:paraId="6FFC43AE" w14:textId="2F56A89A" w:rsidR="008D71AF" w:rsidRPr="00054016" w:rsidRDefault="003F6E19" w:rsidP="0003316E">
            <w:pPr>
              <w:overflowPunct/>
              <w:autoSpaceDE/>
              <w:autoSpaceDN/>
              <w:adjustRightInd/>
              <w:ind w:firstLineChars="200" w:firstLine="480"/>
              <w:textAlignment w:val="auto"/>
              <w:rPr>
                <w:b/>
                <w:bCs/>
                <w:lang w:eastAsia="zh-CN"/>
              </w:rPr>
            </w:pPr>
            <w:r>
              <w:rPr>
                <w:rFonts w:ascii="Calibri" w:eastAsia="SimSun" w:hAnsi="Calibri" w:hint="eastAsia"/>
                <w:color w:val="000000" w:themeColor="text1"/>
                <w:szCs w:val="24"/>
                <w:lang w:val="en-US" w:eastAsia="zh-CN"/>
              </w:rPr>
              <w:t>本文件介绍</w:t>
            </w:r>
            <w:r w:rsidR="008D71AF" w:rsidRPr="006C2561">
              <w:rPr>
                <w:rFonts w:ascii="Calibri" w:eastAsia="SimSun" w:hAnsi="Calibri" w:hint="eastAsia"/>
                <w:color w:val="000000" w:themeColor="text1"/>
                <w:szCs w:val="24"/>
                <w:lang w:val="en-US" w:eastAsia="zh-CN"/>
              </w:rPr>
              <w:t>了</w:t>
            </w:r>
            <w:r w:rsidR="008D71AF" w:rsidRPr="006C2561">
              <w:rPr>
                <w:rFonts w:ascii="Calibri" w:eastAsia="SimSun" w:hAnsi="Calibri" w:hint="eastAsia"/>
                <w:color w:val="000000" w:themeColor="text1"/>
                <w:szCs w:val="24"/>
                <w:lang w:val="en-US" w:eastAsia="zh-CN"/>
              </w:rPr>
              <w:t>ITU-D</w:t>
            </w:r>
            <w:r w:rsidR="008D71AF" w:rsidRPr="006C2561">
              <w:rPr>
                <w:rFonts w:ascii="Calibri" w:eastAsia="SimSun" w:hAnsi="Calibri" w:hint="eastAsia"/>
                <w:color w:val="000000" w:themeColor="text1"/>
                <w:szCs w:val="24"/>
                <w:lang w:val="en-US" w:eastAsia="zh-CN"/>
              </w:rPr>
              <w:t>部门成员队伍</w:t>
            </w:r>
            <w:r w:rsidR="0003316E">
              <w:rPr>
                <w:rFonts w:ascii="Calibri" w:eastAsia="SimSun" w:hAnsi="Calibri" w:hint="eastAsia"/>
                <w:color w:val="000000" w:themeColor="text1"/>
                <w:szCs w:val="24"/>
                <w:lang w:val="en-US" w:eastAsia="zh-CN"/>
              </w:rPr>
              <w:t>演变</w:t>
            </w:r>
            <w:r w:rsidR="008D71AF" w:rsidRPr="006C2561">
              <w:rPr>
                <w:rFonts w:ascii="Calibri" w:eastAsia="SimSun" w:hAnsi="Calibri" w:hint="eastAsia"/>
                <w:color w:val="000000" w:themeColor="text1"/>
                <w:szCs w:val="24"/>
                <w:lang w:val="en-US" w:eastAsia="zh-CN"/>
              </w:rPr>
              <w:t>的</w:t>
            </w:r>
            <w:r w:rsidR="00CE6FBB">
              <w:rPr>
                <w:rFonts w:ascii="Calibri" w:eastAsia="SimSun" w:hAnsi="Calibri" w:hint="eastAsia"/>
                <w:color w:val="000000" w:themeColor="text1"/>
                <w:szCs w:val="24"/>
                <w:lang w:val="en-US" w:eastAsia="zh-CN"/>
              </w:rPr>
              <w:t>概况。本文</w:t>
            </w:r>
            <w:r w:rsidR="008D71AF" w:rsidRPr="006C2561">
              <w:rPr>
                <w:rFonts w:ascii="Calibri" w:eastAsia="SimSun" w:hAnsi="Calibri" w:hint="eastAsia"/>
                <w:color w:val="000000" w:themeColor="text1"/>
                <w:szCs w:val="24"/>
                <w:lang w:val="en-US" w:eastAsia="zh-CN"/>
              </w:rPr>
              <w:t>根据</w:t>
            </w:r>
            <w:r w:rsidR="00CE6FBB">
              <w:rPr>
                <w:rFonts w:ascii="Calibri" w:eastAsia="SimSun" w:hAnsi="Calibri" w:hint="eastAsia"/>
                <w:color w:val="000000" w:themeColor="text1"/>
                <w:szCs w:val="24"/>
                <w:lang w:val="en-US" w:eastAsia="zh-CN"/>
              </w:rPr>
              <w:t>2017</w:t>
            </w:r>
            <w:r w:rsidR="00CE6FBB">
              <w:rPr>
                <w:rFonts w:ascii="Calibri" w:eastAsia="SimSun" w:hAnsi="Calibri" w:hint="eastAsia"/>
                <w:color w:val="000000" w:themeColor="text1"/>
                <w:szCs w:val="24"/>
                <w:lang w:val="en-US" w:eastAsia="zh-CN"/>
              </w:rPr>
              <w:t>年世界电信发展大会（</w:t>
            </w:r>
            <w:r w:rsidR="008D71AF" w:rsidRPr="006C2561">
              <w:rPr>
                <w:rFonts w:ascii="Calibri" w:eastAsia="SimSun" w:hAnsi="Calibri" w:hint="eastAsia"/>
                <w:color w:val="000000" w:themeColor="text1"/>
                <w:szCs w:val="24"/>
                <w:lang w:val="en-US" w:eastAsia="zh-CN"/>
              </w:rPr>
              <w:t>WTDC-1</w:t>
            </w:r>
            <w:r w:rsidR="008D71AF">
              <w:rPr>
                <w:rFonts w:ascii="Calibri" w:eastAsia="SimSun" w:hAnsi="Calibri"/>
                <w:color w:val="000000" w:themeColor="text1"/>
                <w:szCs w:val="24"/>
                <w:lang w:val="en-US" w:eastAsia="zh-CN"/>
              </w:rPr>
              <w:t>7</w:t>
            </w:r>
            <w:r w:rsidR="00CE6FBB">
              <w:rPr>
                <w:rFonts w:ascii="Calibri" w:eastAsia="SimSun" w:hAnsi="Calibri"/>
                <w:color w:val="000000" w:themeColor="text1"/>
                <w:szCs w:val="24"/>
                <w:lang w:val="en-US" w:eastAsia="zh-CN"/>
              </w:rPr>
              <w:t>）</w:t>
            </w:r>
            <w:r w:rsidR="0003316E">
              <w:rPr>
                <w:rFonts w:ascii="Calibri" w:eastAsia="SimSun" w:hAnsi="Calibri" w:hint="eastAsia"/>
                <w:color w:val="000000" w:themeColor="text1"/>
                <w:szCs w:val="24"/>
                <w:lang w:val="en-US" w:eastAsia="zh-CN"/>
              </w:rPr>
              <w:t>以及</w:t>
            </w:r>
            <w:r w:rsidR="0003316E">
              <w:rPr>
                <w:rFonts w:ascii="Calibri" w:eastAsia="SimSun" w:hAnsi="Calibri" w:hint="eastAsia"/>
                <w:color w:val="000000" w:themeColor="text1"/>
                <w:szCs w:val="24"/>
                <w:lang w:val="en-US" w:eastAsia="zh-CN"/>
              </w:rPr>
              <w:t>2018</w:t>
            </w:r>
            <w:r w:rsidR="0003316E">
              <w:rPr>
                <w:rFonts w:ascii="Calibri" w:eastAsia="SimSun" w:hAnsi="Calibri" w:hint="eastAsia"/>
                <w:color w:val="000000" w:themeColor="text1"/>
                <w:szCs w:val="24"/>
                <w:lang w:val="en-US" w:eastAsia="zh-CN"/>
              </w:rPr>
              <w:t>年全权代表大会的成果，建议了加强</w:t>
            </w:r>
            <w:r w:rsidR="003B2A2A">
              <w:rPr>
                <w:rFonts w:ascii="Calibri" w:eastAsia="SimSun" w:hAnsi="Calibri" w:hint="eastAsia"/>
                <w:color w:val="000000" w:themeColor="text1"/>
                <w:szCs w:val="24"/>
                <w:lang w:val="en-US" w:eastAsia="zh-CN"/>
              </w:rPr>
              <w:t>成员</w:t>
            </w:r>
            <w:r w:rsidR="0003316E">
              <w:rPr>
                <w:rFonts w:ascii="Calibri" w:eastAsia="SimSun" w:hAnsi="Calibri" w:hint="eastAsia"/>
                <w:color w:val="000000" w:themeColor="text1"/>
                <w:szCs w:val="24"/>
                <w:lang w:val="en-US" w:eastAsia="zh-CN"/>
              </w:rPr>
              <w:t>队伍的</w:t>
            </w:r>
            <w:r w:rsidR="008D71AF" w:rsidRPr="006C2561">
              <w:rPr>
                <w:rFonts w:ascii="Calibri" w:eastAsia="SimSun" w:hAnsi="Calibri" w:hint="eastAsia"/>
                <w:color w:val="000000" w:themeColor="text1"/>
                <w:szCs w:val="24"/>
                <w:lang w:val="en-US" w:eastAsia="zh-CN"/>
              </w:rPr>
              <w:t>行动。</w:t>
            </w:r>
            <w:bookmarkStart w:id="10" w:name="lt_pId022"/>
            <w:r w:rsidR="00D76FC1" w:rsidRPr="006C2561">
              <w:rPr>
                <w:rFonts w:ascii="Calibri" w:eastAsia="SimSun" w:hAnsi="Calibri" w:hint="eastAsia"/>
                <w:color w:val="000000" w:themeColor="text1"/>
                <w:szCs w:val="24"/>
                <w:lang w:val="en-US" w:eastAsia="zh-CN"/>
              </w:rPr>
              <w:t>ITU-D</w:t>
            </w:r>
            <w:r w:rsidR="00D76FC1" w:rsidRPr="006C2561">
              <w:rPr>
                <w:rFonts w:ascii="Calibri" w:eastAsia="SimSun" w:hAnsi="Calibri" w:hint="eastAsia"/>
                <w:color w:val="000000" w:themeColor="text1"/>
                <w:szCs w:val="24"/>
                <w:lang w:val="en-US" w:eastAsia="zh-CN"/>
              </w:rPr>
              <w:t>部门成员队伍包括部门成员、部门准成员和学术成员</w:t>
            </w:r>
            <w:r w:rsidR="00EF4484" w:rsidRPr="00B54732">
              <w:rPr>
                <w:rStyle w:val="FootnoteReference"/>
                <w:szCs w:val="24"/>
              </w:rPr>
              <w:footnoteReference w:id="1"/>
            </w:r>
            <w:bookmarkEnd w:id="10"/>
            <w:r w:rsidR="00CE6FBB" w:rsidRPr="006C2561">
              <w:rPr>
                <w:rFonts w:ascii="Calibri" w:eastAsia="SimSun" w:hAnsi="Calibri" w:hint="eastAsia"/>
                <w:color w:val="000000" w:themeColor="text1"/>
                <w:szCs w:val="24"/>
                <w:lang w:val="en-US" w:eastAsia="zh-CN"/>
              </w:rPr>
              <w:t>。</w:t>
            </w:r>
          </w:p>
          <w:p w14:paraId="3BBD4EC4" w14:textId="77777777" w:rsidR="008D71AF" w:rsidRPr="00054016" w:rsidRDefault="003B2A2A" w:rsidP="008D71AF">
            <w:pPr>
              <w:rPr>
                <w:b/>
                <w:bCs/>
                <w:lang w:eastAsia="zh-CN"/>
              </w:rPr>
            </w:pPr>
            <w:r>
              <w:rPr>
                <w:rFonts w:hint="eastAsia"/>
                <w:b/>
                <w:bCs/>
                <w:lang w:eastAsia="zh-CN"/>
              </w:rPr>
              <w:t>须</w:t>
            </w:r>
            <w:r w:rsidR="008D71AF" w:rsidRPr="00054016">
              <w:rPr>
                <w:b/>
                <w:bCs/>
                <w:lang w:eastAsia="zh-CN"/>
              </w:rPr>
              <w:t>采取</w:t>
            </w:r>
            <w:r w:rsidR="008D71AF">
              <w:rPr>
                <w:rFonts w:hint="eastAsia"/>
                <w:b/>
                <w:bCs/>
                <w:lang w:eastAsia="zh-CN"/>
              </w:rPr>
              <w:t>的</w:t>
            </w:r>
            <w:r w:rsidR="008D71AF" w:rsidRPr="00054016">
              <w:rPr>
                <w:b/>
                <w:bCs/>
                <w:lang w:eastAsia="zh-CN"/>
              </w:rPr>
              <w:t>行动：</w:t>
            </w:r>
          </w:p>
          <w:p w14:paraId="6883860C" w14:textId="5C50D31D" w:rsidR="008D71AF" w:rsidRPr="006C2561" w:rsidRDefault="003F6E19" w:rsidP="008D71AF">
            <w:pPr>
              <w:ind w:firstLineChars="200" w:firstLine="480"/>
              <w:rPr>
                <w:rFonts w:ascii="Calibri" w:eastAsia="SimSun" w:hAnsi="Calibri"/>
                <w:lang w:eastAsia="zh-CN"/>
              </w:rPr>
            </w:pPr>
            <w:r>
              <w:rPr>
                <w:rFonts w:ascii="Calibri" w:eastAsia="SimSun" w:hAnsi="Calibri" w:hint="eastAsia"/>
                <w:color w:val="000000" w:themeColor="text1"/>
                <w:szCs w:val="24"/>
                <w:lang w:val="en-US" w:eastAsia="zh-CN"/>
              </w:rPr>
              <w:t>请电信发展顾问组将本文件</w:t>
            </w:r>
            <w:r w:rsidR="008D71AF" w:rsidRPr="006C2561">
              <w:rPr>
                <w:rFonts w:ascii="Calibri" w:eastAsia="SimSun" w:hAnsi="Calibri" w:hint="eastAsia"/>
                <w:color w:val="000000" w:themeColor="text1"/>
                <w:szCs w:val="24"/>
                <w:lang w:val="en-US" w:eastAsia="zh-CN"/>
              </w:rPr>
              <w:t>记录在案并</w:t>
            </w:r>
            <w:r w:rsidR="008D71AF" w:rsidRPr="006C2561">
              <w:rPr>
                <w:rFonts w:ascii="Calibri" w:eastAsia="SimSun" w:hAnsi="Calibri"/>
                <w:color w:val="000000" w:themeColor="text1"/>
                <w:szCs w:val="24"/>
                <w:lang w:val="en-US" w:eastAsia="zh-CN"/>
              </w:rPr>
              <w:t>酌情提供指导</w:t>
            </w:r>
            <w:r w:rsidR="008D71AF" w:rsidRPr="006C2561">
              <w:rPr>
                <w:rFonts w:ascii="Calibri" w:eastAsia="SimSun" w:hAnsi="Calibri" w:hint="eastAsia"/>
                <w:color w:val="000000" w:themeColor="text1"/>
                <w:szCs w:val="24"/>
                <w:lang w:val="en-US" w:eastAsia="zh-CN"/>
              </w:rPr>
              <w:t>。</w:t>
            </w:r>
          </w:p>
          <w:p w14:paraId="18BA7A31" w14:textId="77777777" w:rsidR="008D71AF" w:rsidRDefault="008D71AF" w:rsidP="008D71AF">
            <w:pPr>
              <w:spacing w:after="120"/>
              <w:rPr>
                <w:b/>
                <w:bCs/>
                <w:lang w:eastAsia="zh-CN"/>
              </w:rPr>
            </w:pPr>
            <w:r w:rsidRPr="00054016">
              <w:rPr>
                <w:rFonts w:hint="eastAsia"/>
                <w:b/>
                <w:bCs/>
                <w:lang w:eastAsia="zh-CN"/>
              </w:rPr>
              <w:t>参考文件</w:t>
            </w:r>
            <w:r w:rsidRPr="00054016">
              <w:rPr>
                <w:b/>
                <w:bCs/>
                <w:lang w:eastAsia="zh-CN"/>
              </w:rPr>
              <w:t>：</w:t>
            </w:r>
          </w:p>
          <w:p w14:paraId="06CB067D" w14:textId="2E184823" w:rsidR="00175C4C" w:rsidRPr="00D9621A" w:rsidRDefault="0003316E" w:rsidP="0003316E">
            <w:pPr>
              <w:spacing w:after="120"/>
              <w:rPr>
                <w:lang w:eastAsia="zh-CN"/>
              </w:rPr>
            </w:pPr>
            <w:r>
              <w:rPr>
                <w:rFonts w:ascii="Calibri" w:eastAsia="SimSun" w:hAnsi="Calibri" w:hint="eastAsia"/>
                <w:color w:val="000000" w:themeColor="text1"/>
                <w:szCs w:val="24"/>
                <w:lang w:val="en-US" w:eastAsia="zh-CN"/>
              </w:rPr>
              <w:t>W</w:t>
            </w:r>
            <w:r>
              <w:rPr>
                <w:rFonts w:ascii="Calibri" w:eastAsia="SimSun" w:hAnsi="Calibri"/>
                <w:color w:val="000000" w:themeColor="text1"/>
                <w:szCs w:val="24"/>
                <w:lang w:val="en-US" w:eastAsia="zh-CN"/>
              </w:rPr>
              <w:t>TDC</w:t>
            </w:r>
            <w:r w:rsidR="008D71AF" w:rsidRPr="006C2561">
              <w:rPr>
                <w:rFonts w:ascii="Calibri" w:eastAsia="SimSun" w:hAnsi="Calibri" w:hint="eastAsia"/>
                <w:color w:val="000000" w:themeColor="text1"/>
                <w:szCs w:val="24"/>
                <w:lang w:val="en-US" w:eastAsia="zh-CN"/>
              </w:rPr>
              <w:t>第</w:t>
            </w:r>
            <w:r w:rsidR="008D71AF" w:rsidRPr="006C2561">
              <w:rPr>
                <w:rFonts w:ascii="Calibri" w:eastAsia="SimSun" w:hAnsi="Calibri"/>
                <w:color w:val="000000" w:themeColor="text1"/>
                <w:szCs w:val="24"/>
                <w:lang w:val="en-US" w:eastAsia="zh-CN"/>
              </w:rPr>
              <w:t>71</w:t>
            </w:r>
            <w:r w:rsidR="008D71AF" w:rsidRPr="006C2561">
              <w:rPr>
                <w:rFonts w:ascii="Calibri" w:eastAsia="SimSun" w:hAnsi="Calibri" w:hint="eastAsia"/>
                <w:color w:val="000000" w:themeColor="text1"/>
                <w:szCs w:val="24"/>
                <w:lang w:val="en-US" w:eastAsia="zh-CN"/>
              </w:rPr>
              <w:t>号决议（</w:t>
            </w:r>
            <w:r w:rsidR="008D71AF" w:rsidRPr="006C2561">
              <w:rPr>
                <w:rFonts w:ascii="Calibri" w:eastAsia="SimSun" w:hAnsi="Calibri"/>
                <w:color w:val="000000" w:themeColor="text1"/>
                <w:szCs w:val="24"/>
                <w:lang w:val="en-US" w:eastAsia="zh-CN"/>
              </w:rPr>
              <w:t>201</w:t>
            </w:r>
            <w:r w:rsidR="008D71AF">
              <w:rPr>
                <w:rFonts w:ascii="Calibri" w:eastAsia="SimSun" w:hAnsi="Calibri"/>
                <w:color w:val="000000" w:themeColor="text1"/>
                <w:szCs w:val="24"/>
                <w:lang w:val="en-US" w:eastAsia="zh-CN"/>
              </w:rPr>
              <w:t>7</w:t>
            </w:r>
            <w:r w:rsidR="008D71AF" w:rsidRPr="006C2561">
              <w:rPr>
                <w:rFonts w:ascii="Calibri" w:eastAsia="SimSun" w:hAnsi="Calibri" w:hint="eastAsia"/>
                <w:color w:val="000000" w:themeColor="text1"/>
                <w:szCs w:val="24"/>
                <w:lang w:val="en-US" w:eastAsia="zh-CN"/>
              </w:rPr>
              <w:t>年，</w:t>
            </w:r>
            <w:r w:rsidR="008D71AF">
              <w:rPr>
                <w:rFonts w:ascii="Calibri" w:eastAsia="SimSun" w:hAnsi="Calibri" w:hint="eastAsia"/>
                <w:color w:val="000000" w:themeColor="text1"/>
                <w:szCs w:val="24"/>
                <w:lang w:val="en-US" w:eastAsia="zh-CN"/>
              </w:rPr>
              <w:t>布宜诺斯艾利斯</w:t>
            </w:r>
            <w:r w:rsidR="008D71AF" w:rsidRPr="006C2561">
              <w:rPr>
                <w:rFonts w:ascii="Calibri" w:eastAsia="SimSun" w:hAnsi="Calibri" w:hint="eastAsia"/>
                <w:color w:val="000000" w:themeColor="text1"/>
                <w:szCs w:val="24"/>
                <w:lang w:val="en-US" w:eastAsia="zh-CN"/>
              </w:rPr>
              <w:t>，修订版）</w:t>
            </w:r>
            <w:r>
              <w:rPr>
                <w:rFonts w:ascii="Calibri" w:eastAsia="SimSun" w:hAnsi="Calibri" w:hint="eastAsia"/>
                <w:color w:val="000000" w:themeColor="text1"/>
                <w:szCs w:val="24"/>
                <w:lang w:val="en-US" w:eastAsia="zh-CN"/>
              </w:rPr>
              <w:t>，全权代表大会第</w:t>
            </w:r>
            <w:r w:rsidR="008D71AF" w:rsidRPr="006C2561">
              <w:rPr>
                <w:rFonts w:ascii="Calibri" w:eastAsia="SimSun" w:hAnsi="Calibri"/>
                <w:color w:val="000000" w:themeColor="text1"/>
                <w:szCs w:val="24"/>
                <w:lang w:val="en-US" w:eastAsia="zh-CN"/>
              </w:rPr>
              <w:t>169</w:t>
            </w:r>
            <w:r w:rsidR="008D71AF" w:rsidRPr="006C2561">
              <w:rPr>
                <w:rFonts w:ascii="Calibri" w:eastAsia="SimSun" w:hAnsi="Calibri" w:hint="eastAsia"/>
                <w:color w:val="000000" w:themeColor="text1"/>
                <w:szCs w:val="24"/>
                <w:lang w:val="en-US" w:eastAsia="zh-CN"/>
              </w:rPr>
              <w:t>号决议（</w:t>
            </w:r>
            <w:r w:rsidR="008D71AF" w:rsidRPr="006C2561">
              <w:rPr>
                <w:rFonts w:ascii="Calibri" w:eastAsia="SimSun" w:hAnsi="Calibri"/>
                <w:color w:val="000000" w:themeColor="text1"/>
                <w:szCs w:val="24"/>
                <w:lang w:val="en-US" w:eastAsia="zh-CN"/>
              </w:rPr>
              <w:t>201</w:t>
            </w:r>
            <w:r w:rsidR="001B2C5E">
              <w:rPr>
                <w:rFonts w:ascii="Calibri" w:eastAsia="SimSun" w:hAnsi="Calibri"/>
                <w:color w:val="000000" w:themeColor="text1"/>
                <w:szCs w:val="24"/>
                <w:lang w:val="en-US" w:eastAsia="zh-CN"/>
              </w:rPr>
              <w:t>8</w:t>
            </w:r>
            <w:r w:rsidR="008D71AF" w:rsidRPr="006C2561">
              <w:rPr>
                <w:rFonts w:ascii="Calibri" w:eastAsia="SimSun" w:hAnsi="Calibri" w:hint="eastAsia"/>
                <w:color w:val="000000" w:themeColor="text1"/>
                <w:szCs w:val="24"/>
                <w:lang w:val="en-US" w:eastAsia="zh-CN"/>
              </w:rPr>
              <w:t>年，</w:t>
            </w:r>
            <w:r w:rsidR="001B2C5E">
              <w:rPr>
                <w:rFonts w:ascii="Calibri" w:eastAsia="SimSun" w:hAnsi="Calibri" w:hint="eastAsia"/>
                <w:color w:val="000000" w:themeColor="text1"/>
                <w:szCs w:val="24"/>
                <w:lang w:val="en-US" w:eastAsia="zh-CN"/>
              </w:rPr>
              <w:t>迪拜</w:t>
            </w:r>
            <w:r w:rsidR="008D71AF" w:rsidRPr="006C2561">
              <w:rPr>
                <w:rFonts w:ascii="Calibri" w:eastAsia="SimSun" w:hAnsi="Calibri" w:hint="eastAsia"/>
                <w:color w:val="000000" w:themeColor="text1"/>
                <w:szCs w:val="24"/>
                <w:lang w:val="en-US" w:eastAsia="zh-CN"/>
              </w:rPr>
              <w:t>，修订版）</w:t>
            </w:r>
            <w:r w:rsidR="001B2C5E">
              <w:rPr>
                <w:rFonts w:ascii="Calibri" w:eastAsia="SimSun" w:hAnsi="Calibri" w:hint="eastAsia"/>
                <w:color w:val="000000" w:themeColor="text1"/>
                <w:szCs w:val="24"/>
                <w:lang w:val="en-US" w:eastAsia="zh-CN"/>
              </w:rPr>
              <w:t>、第</w:t>
            </w:r>
            <w:r>
              <w:rPr>
                <w:rFonts w:ascii="Calibri" w:eastAsia="SimSun" w:hAnsi="Calibri" w:hint="eastAsia"/>
                <w:color w:val="000000" w:themeColor="text1"/>
                <w:szCs w:val="24"/>
                <w:lang w:val="en-US" w:eastAsia="zh-CN"/>
              </w:rPr>
              <w:t>205</w:t>
            </w:r>
            <w:r w:rsidR="001B2C5E">
              <w:rPr>
                <w:rFonts w:ascii="Calibri" w:eastAsia="SimSun" w:hAnsi="Calibri" w:hint="eastAsia"/>
                <w:color w:val="000000" w:themeColor="text1"/>
                <w:szCs w:val="24"/>
                <w:lang w:val="en-US" w:eastAsia="zh-CN"/>
              </w:rPr>
              <w:t>号决议（</w:t>
            </w:r>
            <w:r w:rsidR="001B2C5E">
              <w:rPr>
                <w:rFonts w:ascii="Calibri" w:eastAsia="SimSun" w:hAnsi="Calibri" w:hint="eastAsia"/>
                <w:color w:val="000000" w:themeColor="text1"/>
                <w:szCs w:val="24"/>
                <w:lang w:val="en-US" w:eastAsia="zh-CN"/>
              </w:rPr>
              <w:t>2018</w:t>
            </w:r>
            <w:r w:rsidR="001B2C5E">
              <w:rPr>
                <w:rFonts w:ascii="Calibri" w:eastAsia="SimSun" w:hAnsi="Calibri" w:hint="eastAsia"/>
                <w:color w:val="000000" w:themeColor="text1"/>
                <w:szCs w:val="24"/>
                <w:lang w:val="en-US" w:eastAsia="zh-CN"/>
              </w:rPr>
              <w:t>年，迪拜）和第</w:t>
            </w:r>
            <w:r>
              <w:rPr>
                <w:rFonts w:ascii="Calibri" w:eastAsia="SimSun" w:hAnsi="Calibri" w:hint="eastAsia"/>
                <w:color w:val="000000" w:themeColor="text1"/>
                <w:szCs w:val="24"/>
                <w:lang w:val="en-US" w:eastAsia="zh-CN"/>
              </w:rPr>
              <w:t>209</w:t>
            </w:r>
            <w:r w:rsidR="001B2C5E">
              <w:rPr>
                <w:rFonts w:ascii="Calibri" w:eastAsia="SimSun" w:hAnsi="Calibri" w:hint="eastAsia"/>
                <w:color w:val="000000" w:themeColor="text1"/>
                <w:szCs w:val="24"/>
                <w:lang w:val="en-US" w:eastAsia="zh-CN"/>
              </w:rPr>
              <w:t>号决议（</w:t>
            </w:r>
            <w:r w:rsidR="001B2C5E">
              <w:rPr>
                <w:rFonts w:ascii="Calibri" w:eastAsia="SimSun" w:hAnsi="Calibri" w:hint="eastAsia"/>
                <w:color w:val="000000" w:themeColor="text1"/>
                <w:szCs w:val="24"/>
                <w:lang w:val="en-US" w:eastAsia="zh-CN"/>
              </w:rPr>
              <w:t>2018</w:t>
            </w:r>
            <w:r>
              <w:rPr>
                <w:rFonts w:ascii="Calibri" w:eastAsia="SimSun" w:hAnsi="Calibri" w:hint="eastAsia"/>
                <w:color w:val="000000" w:themeColor="text1"/>
                <w:szCs w:val="24"/>
                <w:lang w:val="en-US" w:eastAsia="zh-CN"/>
              </w:rPr>
              <w:t>年，迪拜</w:t>
            </w:r>
            <w:r w:rsidR="001B2C5E">
              <w:rPr>
                <w:rFonts w:ascii="Calibri" w:eastAsia="SimSun" w:hAnsi="Calibri" w:hint="eastAsia"/>
                <w:color w:val="000000" w:themeColor="text1"/>
                <w:szCs w:val="24"/>
                <w:lang w:val="en-US" w:eastAsia="zh-CN"/>
              </w:rPr>
              <w:t>）</w:t>
            </w:r>
            <w:r w:rsidR="008D71AF" w:rsidRPr="006C2561">
              <w:rPr>
                <w:rFonts w:ascii="Calibri" w:eastAsia="SimSun" w:hAnsi="Calibri" w:hint="eastAsia"/>
                <w:color w:val="000000" w:themeColor="text1"/>
                <w:szCs w:val="24"/>
                <w:lang w:val="en-US" w:eastAsia="zh-CN"/>
              </w:rPr>
              <w:t>。</w:t>
            </w:r>
          </w:p>
        </w:tc>
      </w:tr>
      <w:bookmarkEnd w:id="8"/>
      <w:bookmarkEnd w:id="9"/>
    </w:tbl>
    <w:p w14:paraId="27E1DDC9" w14:textId="77777777" w:rsidR="008D71AF" w:rsidRDefault="008D71AF" w:rsidP="008D71AF">
      <w:pPr>
        <w:overflowPunct/>
        <w:autoSpaceDE/>
        <w:autoSpaceDN/>
        <w:adjustRightInd/>
        <w:spacing w:before="0"/>
        <w:textAlignment w:val="auto"/>
        <w:rPr>
          <w:szCs w:val="24"/>
          <w:lang w:eastAsia="zh-CN"/>
        </w:rPr>
      </w:pPr>
      <w:r>
        <w:rPr>
          <w:szCs w:val="24"/>
          <w:lang w:eastAsia="zh-CN"/>
        </w:rPr>
        <w:br w:type="page"/>
      </w:r>
    </w:p>
    <w:p w14:paraId="1F063F8A" w14:textId="77777777" w:rsidR="008D71AF" w:rsidRPr="00895832" w:rsidRDefault="008D71AF" w:rsidP="00EB1FB3">
      <w:pPr>
        <w:pStyle w:val="Heading1"/>
        <w:rPr>
          <w:sz w:val="28"/>
          <w:szCs w:val="28"/>
          <w:lang w:eastAsia="zh-CN"/>
        </w:rPr>
      </w:pPr>
      <w:r w:rsidRPr="00895832">
        <w:rPr>
          <w:rFonts w:hint="eastAsia"/>
          <w:sz w:val="28"/>
          <w:szCs w:val="28"/>
          <w:lang w:eastAsia="zh-CN"/>
        </w:rPr>
        <w:lastRenderedPageBreak/>
        <w:t>1</w:t>
      </w:r>
      <w:r w:rsidRPr="00895832">
        <w:rPr>
          <w:sz w:val="28"/>
          <w:szCs w:val="28"/>
          <w:lang w:eastAsia="zh-CN"/>
        </w:rPr>
        <w:tab/>
      </w:r>
      <w:r w:rsidRPr="00895832">
        <w:rPr>
          <w:rFonts w:hint="eastAsia"/>
          <w:sz w:val="28"/>
          <w:szCs w:val="28"/>
          <w:lang w:eastAsia="zh-CN"/>
        </w:rPr>
        <w:t>背景</w:t>
      </w:r>
    </w:p>
    <w:p w14:paraId="4DC04A9A" w14:textId="37CD05C3" w:rsidR="008D71AF" w:rsidRPr="00947C96" w:rsidRDefault="008D71AF" w:rsidP="00C64029">
      <w:pPr>
        <w:ind w:firstLineChars="200" w:firstLine="480"/>
        <w:rPr>
          <w:rFonts w:ascii="Calibri" w:eastAsia="SimSun" w:hAnsi="Calibri"/>
          <w:szCs w:val="24"/>
          <w:lang w:val="en-US" w:eastAsia="zh-CN"/>
        </w:rPr>
      </w:pPr>
      <w:r w:rsidRPr="00947C96">
        <w:rPr>
          <w:rFonts w:ascii="Calibri" w:eastAsia="SimSun" w:hAnsi="Calibri"/>
          <w:szCs w:val="24"/>
          <w:lang w:val="en-US" w:eastAsia="zh-CN"/>
        </w:rPr>
        <w:t>2017</w:t>
      </w:r>
      <w:r w:rsidRPr="00947C96">
        <w:rPr>
          <w:rFonts w:ascii="Calibri" w:eastAsia="SimSun" w:hAnsi="Calibri"/>
          <w:szCs w:val="24"/>
          <w:lang w:val="en-US" w:eastAsia="zh-CN"/>
        </w:rPr>
        <w:t>年</w:t>
      </w:r>
      <w:r w:rsidRPr="00947C96">
        <w:rPr>
          <w:rFonts w:ascii="Calibri" w:eastAsia="SimSun" w:hAnsi="Calibri" w:hint="eastAsia"/>
          <w:szCs w:val="24"/>
          <w:lang w:val="en-US" w:eastAsia="zh-CN"/>
        </w:rPr>
        <w:t>世界</w:t>
      </w:r>
      <w:r w:rsidRPr="00947C96">
        <w:rPr>
          <w:rFonts w:ascii="Calibri" w:eastAsia="SimSun" w:hAnsi="Calibri"/>
          <w:szCs w:val="24"/>
          <w:lang w:val="en-US" w:eastAsia="zh-CN"/>
        </w:rPr>
        <w:t>电信</w:t>
      </w:r>
      <w:r w:rsidRPr="00947C96">
        <w:rPr>
          <w:rFonts w:ascii="Calibri" w:eastAsia="SimSun" w:hAnsi="Calibri" w:hint="eastAsia"/>
          <w:szCs w:val="24"/>
          <w:lang w:val="en-US" w:eastAsia="zh-CN"/>
        </w:rPr>
        <w:t>发展</w:t>
      </w:r>
      <w:r w:rsidRPr="00947C96">
        <w:rPr>
          <w:rFonts w:ascii="Calibri" w:eastAsia="SimSun" w:hAnsi="Calibri"/>
          <w:szCs w:val="24"/>
          <w:lang w:val="en-US" w:eastAsia="zh-CN"/>
        </w:rPr>
        <w:t>大会（</w:t>
      </w:r>
      <w:r w:rsidRPr="00947C96">
        <w:rPr>
          <w:rFonts w:ascii="Calibri" w:eastAsia="SimSun" w:hAnsi="Calibri"/>
          <w:szCs w:val="24"/>
          <w:lang w:eastAsia="zh-CN"/>
        </w:rPr>
        <w:t>WTDC-17</w:t>
      </w:r>
      <w:r w:rsidRPr="00947C96">
        <w:rPr>
          <w:rFonts w:ascii="Calibri" w:eastAsia="SimSun" w:hAnsi="Calibri"/>
          <w:szCs w:val="24"/>
          <w:lang w:val="en-US" w:eastAsia="zh-CN"/>
        </w:rPr>
        <w:t>）</w:t>
      </w:r>
      <w:r w:rsidRPr="00947C96">
        <w:rPr>
          <w:rFonts w:ascii="Calibri" w:eastAsia="SimSun" w:hAnsi="Calibri" w:hint="eastAsia"/>
          <w:szCs w:val="24"/>
          <w:lang w:val="en-US" w:eastAsia="zh-CN"/>
        </w:rPr>
        <w:t>修订并</w:t>
      </w:r>
      <w:r w:rsidRPr="00947C96">
        <w:rPr>
          <w:rFonts w:ascii="Calibri" w:eastAsia="SimSun" w:hAnsi="Calibri"/>
          <w:szCs w:val="24"/>
          <w:lang w:val="en-US" w:eastAsia="zh-CN"/>
        </w:rPr>
        <w:t>通过了</w:t>
      </w:r>
      <w:r w:rsidRPr="00947C96">
        <w:rPr>
          <w:rFonts w:ascii="Calibri" w:eastAsia="SimSun" w:hAnsi="Calibri" w:hint="eastAsia"/>
          <w:szCs w:val="24"/>
          <w:lang w:val="en-US" w:eastAsia="zh-CN"/>
        </w:rPr>
        <w:t>第</w:t>
      </w:r>
      <w:r w:rsidRPr="00947C96">
        <w:rPr>
          <w:rFonts w:ascii="Calibri" w:eastAsia="SimSun" w:hAnsi="Calibri" w:hint="eastAsia"/>
          <w:szCs w:val="24"/>
          <w:lang w:val="en-US" w:eastAsia="zh-CN"/>
        </w:rPr>
        <w:t>71</w:t>
      </w:r>
      <w:r w:rsidRPr="00947C96">
        <w:rPr>
          <w:rFonts w:ascii="Calibri" w:eastAsia="SimSun" w:hAnsi="Calibri" w:hint="eastAsia"/>
          <w:szCs w:val="24"/>
          <w:lang w:val="en-US" w:eastAsia="zh-CN"/>
        </w:rPr>
        <w:t>号</w:t>
      </w:r>
      <w:r w:rsidRPr="00947C96">
        <w:rPr>
          <w:rFonts w:ascii="Calibri" w:eastAsia="SimSun" w:hAnsi="Calibri"/>
          <w:szCs w:val="24"/>
          <w:lang w:val="en-US" w:eastAsia="zh-CN"/>
        </w:rPr>
        <w:t>决议</w:t>
      </w:r>
      <w:r w:rsidRPr="00947C96">
        <w:rPr>
          <w:rFonts w:ascii="Calibri" w:eastAsia="SimSun" w:hAnsi="Calibri" w:hint="eastAsia"/>
          <w:color w:val="000000" w:themeColor="text1"/>
          <w:szCs w:val="24"/>
          <w:lang w:val="en-US" w:eastAsia="zh-CN"/>
        </w:rPr>
        <w:t>（</w:t>
      </w:r>
      <w:r w:rsidR="00C64029">
        <w:rPr>
          <w:rFonts w:ascii="Calibri" w:eastAsia="SimSun" w:hAnsi="Calibri" w:hint="eastAsia"/>
          <w:color w:val="000000" w:themeColor="text1"/>
          <w:szCs w:val="24"/>
          <w:lang w:val="en-US" w:eastAsia="zh-CN"/>
        </w:rPr>
        <w:t>2017</w:t>
      </w:r>
      <w:r w:rsidR="00C64029">
        <w:rPr>
          <w:rFonts w:ascii="Calibri" w:eastAsia="SimSun" w:hAnsi="Calibri" w:hint="eastAsia"/>
          <w:color w:val="000000" w:themeColor="text1"/>
          <w:szCs w:val="24"/>
          <w:lang w:val="en-US" w:eastAsia="zh-CN"/>
        </w:rPr>
        <w:t>年，</w:t>
      </w:r>
      <w:r w:rsidR="00C64029" w:rsidRPr="00947C96">
        <w:rPr>
          <w:rFonts w:ascii="Calibri" w:eastAsia="SimSun" w:hAnsi="Calibri" w:hint="eastAsia"/>
          <w:color w:val="000000" w:themeColor="text1"/>
          <w:szCs w:val="24"/>
          <w:lang w:val="en-US" w:eastAsia="zh-CN"/>
        </w:rPr>
        <w:t>布宜诺斯艾利斯，修订版</w:t>
      </w:r>
      <w:r w:rsidR="00EF4484">
        <w:rPr>
          <w:rStyle w:val="FootnoteReference"/>
          <w:szCs w:val="24"/>
        </w:rPr>
        <w:footnoteReference w:id="2"/>
      </w:r>
      <w:r w:rsidRPr="00947C96">
        <w:rPr>
          <w:rFonts w:ascii="Calibri" w:eastAsia="SimSun" w:hAnsi="Calibri" w:hint="eastAsia"/>
          <w:color w:val="000000" w:themeColor="text1"/>
          <w:szCs w:val="24"/>
          <w:lang w:val="en-US" w:eastAsia="zh-CN"/>
        </w:rPr>
        <w:t>）</w:t>
      </w:r>
      <w:r w:rsidRPr="00947C96">
        <w:rPr>
          <w:rFonts w:ascii="Calibri" w:eastAsia="SimSun" w:hAnsi="Calibri"/>
          <w:szCs w:val="24"/>
          <w:lang w:val="en-US" w:eastAsia="zh-CN"/>
        </w:rPr>
        <w:t>，</w:t>
      </w:r>
      <w:r w:rsidRPr="00947C96">
        <w:rPr>
          <w:rFonts w:ascii="Calibri" w:eastAsia="SimSun" w:hAnsi="Calibri" w:hint="eastAsia"/>
          <w:szCs w:val="24"/>
          <w:lang w:val="en-US" w:eastAsia="zh-CN"/>
        </w:rPr>
        <w:t>以便</w:t>
      </w:r>
      <w:r w:rsidR="007D020F">
        <w:rPr>
          <w:rFonts w:ascii="Calibri" w:eastAsia="SimSun" w:hAnsi="Calibri" w:hint="eastAsia"/>
          <w:szCs w:val="24"/>
          <w:lang w:val="en-US" w:eastAsia="zh-CN"/>
        </w:rPr>
        <w:t>促进</w:t>
      </w:r>
      <w:r w:rsidRPr="00947C96">
        <w:rPr>
          <w:rFonts w:ascii="Calibri" w:eastAsia="SimSun" w:hAnsi="Calibri" w:hint="eastAsia"/>
          <w:szCs w:val="24"/>
          <w:lang w:val="en-US" w:eastAsia="zh-CN"/>
        </w:rPr>
        <w:t>现有</w:t>
      </w:r>
      <w:r w:rsidRPr="00947C96">
        <w:rPr>
          <w:rFonts w:ascii="Calibri" w:eastAsia="SimSun" w:hAnsi="Calibri"/>
          <w:szCs w:val="24"/>
          <w:lang w:val="en-US" w:eastAsia="zh-CN"/>
        </w:rPr>
        <w:t>部门成员</w:t>
      </w:r>
      <w:r w:rsidRPr="00947C96">
        <w:rPr>
          <w:rFonts w:ascii="Calibri" w:eastAsia="SimSun" w:hAnsi="Calibri" w:hint="eastAsia"/>
          <w:szCs w:val="24"/>
          <w:lang w:val="en-US" w:eastAsia="zh-CN"/>
        </w:rPr>
        <w:t>、</w:t>
      </w:r>
      <w:r w:rsidRPr="00947C96">
        <w:rPr>
          <w:rFonts w:ascii="Calibri" w:eastAsia="SimSun" w:hAnsi="Calibri"/>
          <w:szCs w:val="24"/>
          <w:lang w:val="en-US" w:eastAsia="zh-CN"/>
        </w:rPr>
        <w:t>部门准成员</w:t>
      </w:r>
      <w:r w:rsidRPr="00947C96">
        <w:rPr>
          <w:rFonts w:ascii="Calibri" w:eastAsia="SimSun" w:hAnsi="Calibri" w:hint="eastAsia"/>
          <w:szCs w:val="24"/>
          <w:lang w:val="en-US" w:eastAsia="zh-CN"/>
        </w:rPr>
        <w:t>和</w:t>
      </w:r>
      <w:r w:rsidRPr="00947C96">
        <w:rPr>
          <w:rFonts w:ascii="Calibri" w:eastAsia="SimSun" w:hAnsi="Calibri"/>
          <w:szCs w:val="24"/>
          <w:lang w:val="en-US" w:eastAsia="zh-CN"/>
        </w:rPr>
        <w:t>学术成员</w:t>
      </w:r>
      <w:r w:rsidR="004D33B2">
        <w:rPr>
          <w:rFonts w:ascii="Calibri" w:eastAsia="SimSun" w:hAnsi="Calibri" w:hint="eastAsia"/>
          <w:szCs w:val="24"/>
          <w:lang w:val="en-US" w:eastAsia="zh-CN"/>
        </w:rPr>
        <w:t>积极</w:t>
      </w:r>
      <w:r w:rsidR="007D020F" w:rsidRPr="007D020F">
        <w:rPr>
          <w:rFonts w:ascii="Calibri" w:eastAsia="SimSun" w:hAnsi="Calibri" w:hint="eastAsia"/>
          <w:szCs w:val="24"/>
          <w:lang w:val="en-US" w:eastAsia="zh-CN"/>
        </w:rPr>
        <w:t>参与</w:t>
      </w:r>
      <w:r w:rsidRPr="00947C96">
        <w:rPr>
          <w:rFonts w:ascii="Calibri" w:eastAsia="SimSun" w:hAnsi="Calibri" w:hint="eastAsia"/>
          <w:szCs w:val="24"/>
          <w:lang w:val="en-US" w:eastAsia="zh-CN"/>
        </w:rPr>
        <w:t>国际</w:t>
      </w:r>
      <w:r w:rsidRPr="00947C96">
        <w:rPr>
          <w:rFonts w:ascii="Calibri" w:eastAsia="SimSun" w:hAnsi="Calibri"/>
          <w:szCs w:val="24"/>
          <w:lang w:val="en-US" w:eastAsia="zh-CN"/>
        </w:rPr>
        <w:t>电联电信发展部</w:t>
      </w:r>
      <w:r w:rsidRPr="00947C96">
        <w:rPr>
          <w:rFonts w:ascii="Calibri" w:eastAsia="SimSun" w:hAnsi="Calibri" w:hint="eastAsia"/>
          <w:szCs w:val="24"/>
          <w:lang w:val="en-US" w:eastAsia="zh-CN"/>
        </w:rPr>
        <w:t>门（</w:t>
      </w:r>
      <w:r w:rsidRPr="00947C96">
        <w:rPr>
          <w:rFonts w:ascii="Calibri" w:eastAsia="SimSun" w:hAnsi="Calibri" w:hint="eastAsia"/>
          <w:szCs w:val="24"/>
          <w:lang w:val="en-US" w:eastAsia="zh-CN"/>
        </w:rPr>
        <w:t>ITU-D</w:t>
      </w:r>
      <w:r w:rsidRPr="00947C96">
        <w:rPr>
          <w:rFonts w:ascii="Calibri" w:eastAsia="SimSun" w:hAnsi="Calibri" w:hint="eastAsia"/>
          <w:szCs w:val="24"/>
          <w:lang w:val="en-US" w:eastAsia="zh-CN"/>
        </w:rPr>
        <w:t>）</w:t>
      </w:r>
      <w:r w:rsidR="004D33B2">
        <w:rPr>
          <w:rFonts w:ascii="Calibri" w:eastAsia="SimSun" w:hAnsi="Calibri" w:hint="eastAsia"/>
          <w:szCs w:val="24"/>
          <w:lang w:val="en-US" w:eastAsia="zh-CN"/>
        </w:rPr>
        <w:t>的</w:t>
      </w:r>
      <w:r w:rsidRPr="00947C96">
        <w:rPr>
          <w:rFonts w:ascii="Calibri" w:eastAsia="SimSun" w:hAnsi="Calibri" w:hint="eastAsia"/>
          <w:szCs w:val="24"/>
          <w:lang w:val="en-US" w:eastAsia="zh-CN"/>
        </w:rPr>
        <w:t>活动</w:t>
      </w:r>
      <w:r w:rsidR="004D33B2">
        <w:rPr>
          <w:rFonts w:ascii="Calibri" w:eastAsia="SimSun" w:hAnsi="Calibri" w:hint="eastAsia"/>
          <w:szCs w:val="24"/>
          <w:lang w:val="en-US" w:eastAsia="zh-CN"/>
        </w:rPr>
        <w:t>，其中</w:t>
      </w:r>
      <w:r w:rsidRPr="00947C96">
        <w:rPr>
          <w:rFonts w:ascii="Calibri" w:eastAsia="SimSun" w:hAnsi="Calibri" w:hint="eastAsia"/>
          <w:szCs w:val="24"/>
          <w:lang w:val="en-US" w:eastAsia="zh-CN"/>
        </w:rPr>
        <w:t>包括参与</w:t>
      </w:r>
      <w:r w:rsidRPr="00947C96">
        <w:rPr>
          <w:rFonts w:ascii="Calibri" w:eastAsia="SimSun" w:hAnsi="Calibri" w:hint="eastAsia"/>
          <w:szCs w:val="24"/>
          <w:lang w:val="en-US" w:eastAsia="zh-CN"/>
        </w:rPr>
        <w:t>ITU-D</w:t>
      </w:r>
      <w:r w:rsidRPr="00947C96">
        <w:rPr>
          <w:rFonts w:ascii="Calibri" w:eastAsia="SimSun" w:hAnsi="Calibri" w:hint="eastAsia"/>
          <w:szCs w:val="24"/>
          <w:lang w:val="en-US" w:eastAsia="zh-CN"/>
        </w:rPr>
        <w:t>研究组的工作并</w:t>
      </w:r>
      <w:r w:rsidR="00F7702B">
        <w:rPr>
          <w:rFonts w:ascii="Calibri" w:eastAsia="SimSun" w:hAnsi="Calibri" w:hint="eastAsia"/>
          <w:szCs w:val="24"/>
          <w:lang w:val="en-US" w:eastAsia="zh-CN"/>
        </w:rPr>
        <w:t>吸引来自</w:t>
      </w:r>
      <w:r w:rsidRPr="00947C96">
        <w:rPr>
          <w:rFonts w:ascii="Calibri" w:eastAsia="SimSun" w:hAnsi="Calibri" w:hint="eastAsia"/>
          <w:szCs w:val="24"/>
          <w:lang w:val="en-US" w:eastAsia="zh-CN"/>
        </w:rPr>
        <w:t>公共、私营部门和学术</w:t>
      </w:r>
      <w:r w:rsidR="00F7702B">
        <w:rPr>
          <w:rFonts w:ascii="Calibri" w:eastAsia="SimSun" w:hAnsi="Calibri" w:hint="eastAsia"/>
          <w:szCs w:val="24"/>
          <w:lang w:val="en-US" w:eastAsia="zh-CN"/>
        </w:rPr>
        <w:t>界的新成员</w:t>
      </w:r>
      <w:r w:rsidRPr="00947C96">
        <w:rPr>
          <w:rFonts w:ascii="Calibri" w:eastAsia="SimSun" w:hAnsi="Calibri" w:hint="eastAsia"/>
          <w:szCs w:val="24"/>
          <w:lang w:val="en-US" w:eastAsia="zh-CN"/>
        </w:rPr>
        <w:t>。</w:t>
      </w:r>
    </w:p>
    <w:p w14:paraId="64FADBFF" w14:textId="66BA2D2C" w:rsidR="008D71AF" w:rsidRPr="001D12A3" w:rsidRDefault="00D76FC1" w:rsidP="001D12A3">
      <w:pPr>
        <w:ind w:firstLineChars="200" w:firstLine="480"/>
        <w:rPr>
          <w:rFonts w:ascii="Calibri" w:eastAsia="SimSun" w:hAnsi="Calibri"/>
          <w:szCs w:val="24"/>
          <w:lang w:val="en-US" w:eastAsia="zh-CN"/>
        </w:rPr>
      </w:pPr>
      <w:r w:rsidRPr="001D12A3">
        <w:rPr>
          <w:rFonts w:ascii="Calibri" w:eastAsia="SimSun" w:hAnsi="Calibri" w:hint="eastAsia"/>
          <w:color w:val="000000" w:themeColor="text1"/>
          <w:szCs w:val="24"/>
          <w:lang w:val="en-US" w:eastAsia="zh-CN"/>
        </w:rPr>
        <w:t>第</w:t>
      </w:r>
      <w:r w:rsidRPr="001D12A3">
        <w:rPr>
          <w:rFonts w:ascii="Calibri" w:eastAsia="SimSun" w:hAnsi="Calibri" w:hint="eastAsia"/>
          <w:color w:val="000000" w:themeColor="text1"/>
          <w:szCs w:val="24"/>
          <w:lang w:val="en-US" w:eastAsia="zh-CN"/>
        </w:rPr>
        <w:t>71</w:t>
      </w:r>
      <w:r w:rsidRPr="001D12A3">
        <w:rPr>
          <w:rFonts w:ascii="Calibri" w:eastAsia="SimSun" w:hAnsi="Calibri" w:hint="eastAsia"/>
          <w:color w:val="000000" w:themeColor="text1"/>
          <w:szCs w:val="24"/>
          <w:lang w:val="en-US" w:eastAsia="zh-CN"/>
        </w:rPr>
        <w:t>号决议（</w:t>
      </w:r>
      <w:r w:rsidRPr="001D12A3">
        <w:rPr>
          <w:rFonts w:ascii="Calibri" w:eastAsia="SimSun" w:hAnsi="Calibri" w:hint="eastAsia"/>
          <w:color w:val="000000" w:themeColor="text1"/>
          <w:szCs w:val="24"/>
          <w:lang w:val="en-US" w:eastAsia="zh-CN"/>
        </w:rPr>
        <w:t>2017</w:t>
      </w:r>
      <w:r w:rsidRPr="001D12A3">
        <w:rPr>
          <w:rFonts w:ascii="Calibri" w:eastAsia="SimSun" w:hAnsi="Calibri" w:hint="eastAsia"/>
          <w:color w:val="000000" w:themeColor="text1"/>
          <w:szCs w:val="24"/>
          <w:lang w:val="en-US" w:eastAsia="zh-CN"/>
        </w:rPr>
        <w:t>年，布宜诺斯艾利斯，修订版）更加关注私营部门在</w:t>
      </w:r>
      <w:r w:rsidRPr="001D12A3">
        <w:rPr>
          <w:rFonts w:ascii="Calibri" w:eastAsia="SimSun" w:hAnsi="Calibri" w:hint="eastAsia"/>
          <w:color w:val="000000" w:themeColor="text1"/>
          <w:szCs w:val="24"/>
          <w:lang w:val="en-US" w:eastAsia="zh-CN"/>
        </w:rPr>
        <w:t>ITU-D</w:t>
      </w:r>
      <w:r w:rsidRPr="001D12A3">
        <w:rPr>
          <w:rFonts w:ascii="Calibri" w:eastAsia="SimSun" w:hAnsi="Calibri" w:hint="eastAsia"/>
          <w:color w:val="000000" w:themeColor="text1"/>
          <w:szCs w:val="24"/>
          <w:lang w:val="en-US" w:eastAsia="zh-CN"/>
        </w:rPr>
        <w:t>中不断发展的作用，并</w:t>
      </w:r>
      <w:r w:rsidR="001D12A3">
        <w:rPr>
          <w:rFonts w:ascii="Calibri" w:eastAsia="SimSun" w:hAnsi="Calibri" w:hint="eastAsia"/>
          <w:color w:val="000000" w:themeColor="text1"/>
          <w:szCs w:val="24"/>
          <w:lang w:val="en-US" w:eastAsia="zh-CN"/>
        </w:rPr>
        <w:t>责成电信发展局（</w:t>
      </w:r>
      <w:r w:rsidRPr="001D12A3">
        <w:rPr>
          <w:rFonts w:ascii="Calibri" w:eastAsia="SimSun" w:hAnsi="Calibri" w:hint="eastAsia"/>
          <w:color w:val="000000" w:themeColor="text1"/>
          <w:szCs w:val="24"/>
          <w:lang w:val="en-US" w:eastAsia="zh-CN"/>
        </w:rPr>
        <w:t>BDT</w:t>
      </w:r>
      <w:r w:rsidR="001D12A3">
        <w:rPr>
          <w:rFonts w:ascii="Calibri" w:eastAsia="SimSun" w:hAnsi="Calibri" w:hint="eastAsia"/>
          <w:color w:val="000000" w:themeColor="text1"/>
          <w:szCs w:val="24"/>
          <w:lang w:val="en-US" w:eastAsia="zh-CN"/>
        </w:rPr>
        <w:t>）</w:t>
      </w:r>
      <w:r w:rsidRPr="001D12A3">
        <w:rPr>
          <w:rFonts w:ascii="Calibri" w:eastAsia="SimSun" w:hAnsi="Calibri" w:hint="eastAsia"/>
          <w:color w:val="000000" w:themeColor="text1"/>
          <w:szCs w:val="24"/>
          <w:lang w:val="en-US" w:eastAsia="zh-CN"/>
        </w:rPr>
        <w:t>继续组织行业高管</w:t>
      </w:r>
      <w:r w:rsidR="001D12A3" w:rsidRPr="001D12A3">
        <w:rPr>
          <w:rFonts w:ascii="Calibri" w:eastAsia="SimSun" w:hAnsi="Calibri" w:hint="eastAsia"/>
          <w:color w:val="000000" w:themeColor="text1"/>
          <w:szCs w:val="24"/>
          <w:lang w:val="en-US" w:eastAsia="zh-CN"/>
        </w:rPr>
        <w:t>高层</w:t>
      </w:r>
      <w:r w:rsidRPr="001D12A3">
        <w:rPr>
          <w:rFonts w:ascii="Calibri" w:eastAsia="SimSun" w:hAnsi="Calibri" w:hint="eastAsia"/>
          <w:color w:val="000000" w:themeColor="text1"/>
          <w:szCs w:val="24"/>
          <w:lang w:val="en-US" w:eastAsia="zh-CN"/>
        </w:rPr>
        <w:t>会议，例如发展问题</w:t>
      </w:r>
      <w:r w:rsidR="001D12A3">
        <w:rPr>
          <w:rFonts w:ascii="Calibri" w:eastAsia="SimSun" w:hAnsi="Calibri" w:hint="eastAsia"/>
          <w:color w:val="000000" w:themeColor="text1"/>
          <w:szCs w:val="24"/>
          <w:lang w:val="en-US" w:eastAsia="zh-CN"/>
        </w:rPr>
        <w:t>行业顾问组</w:t>
      </w:r>
      <w:r w:rsidRPr="001D12A3">
        <w:rPr>
          <w:rFonts w:ascii="Calibri" w:eastAsia="SimSun" w:hAnsi="Calibri" w:hint="eastAsia"/>
          <w:color w:val="000000" w:themeColor="text1"/>
          <w:szCs w:val="24"/>
          <w:lang w:val="en-US" w:eastAsia="zh-CN"/>
        </w:rPr>
        <w:t>（</w:t>
      </w:r>
      <w:r w:rsidRPr="001D12A3">
        <w:rPr>
          <w:rFonts w:ascii="Calibri" w:eastAsia="SimSun" w:hAnsi="Calibri" w:hint="eastAsia"/>
          <w:color w:val="000000" w:themeColor="text1"/>
          <w:szCs w:val="24"/>
          <w:lang w:val="en-US" w:eastAsia="zh-CN"/>
        </w:rPr>
        <w:t>IAGDI</w:t>
      </w:r>
      <w:r w:rsidRPr="001D12A3">
        <w:rPr>
          <w:rFonts w:ascii="Calibri" w:eastAsia="SimSun" w:hAnsi="Calibri" w:hint="eastAsia"/>
          <w:color w:val="000000" w:themeColor="text1"/>
          <w:szCs w:val="24"/>
          <w:lang w:val="en-US" w:eastAsia="zh-CN"/>
        </w:rPr>
        <w:t>）。来自各</w:t>
      </w:r>
      <w:r w:rsidR="001D12A3">
        <w:rPr>
          <w:rFonts w:ascii="Calibri" w:eastAsia="SimSun" w:hAnsi="Calibri" w:hint="eastAsia"/>
          <w:color w:val="000000" w:themeColor="text1"/>
          <w:szCs w:val="24"/>
          <w:lang w:val="en-US" w:eastAsia="zh-CN"/>
        </w:rPr>
        <w:t>个</w:t>
      </w:r>
      <w:r w:rsidRPr="001D12A3">
        <w:rPr>
          <w:rFonts w:ascii="Calibri" w:eastAsia="SimSun" w:hAnsi="Calibri" w:hint="eastAsia"/>
          <w:color w:val="000000" w:themeColor="text1"/>
          <w:szCs w:val="24"/>
          <w:lang w:val="en-US" w:eastAsia="zh-CN"/>
        </w:rPr>
        <w:t>地区的</w:t>
      </w:r>
      <w:r w:rsidR="001D12A3">
        <w:rPr>
          <w:rFonts w:ascii="Calibri" w:eastAsia="SimSun" w:hAnsi="Calibri" w:hint="eastAsia"/>
          <w:color w:val="000000" w:themeColor="text1"/>
          <w:szCs w:val="24"/>
          <w:lang w:val="en-US" w:eastAsia="zh-CN"/>
        </w:rPr>
        <w:t>ITU-</w:t>
      </w:r>
      <w:r w:rsidRPr="001D12A3">
        <w:rPr>
          <w:rFonts w:ascii="Calibri" w:eastAsia="SimSun" w:hAnsi="Calibri" w:hint="eastAsia"/>
          <w:color w:val="000000" w:themeColor="text1"/>
          <w:szCs w:val="24"/>
          <w:lang w:val="en-US" w:eastAsia="zh-CN"/>
        </w:rPr>
        <w:t>D</w:t>
      </w:r>
      <w:r w:rsidR="001D12A3">
        <w:rPr>
          <w:rFonts w:ascii="Calibri" w:eastAsia="SimSun" w:hAnsi="Calibri" w:hint="eastAsia"/>
          <w:color w:val="000000" w:themeColor="text1"/>
          <w:szCs w:val="24"/>
          <w:lang w:val="en-US" w:eastAsia="zh-CN"/>
        </w:rPr>
        <w:t>部门成员</w:t>
      </w:r>
      <w:r w:rsidRPr="001D12A3">
        <w:rPr>
          <w:rFonts w:ascii="Calibri" w:eastAsia="SimSun" w:hAnsi="Calibri" w:hint="eastAsia"/>
          <w:color w:val="000000" w:themeColor="text1"/>
          <w:szCs w:val="24"/>
          <w:lang w:val="en-US" w:eastAsia="zh-CN"/>
        </w:rPr>
        <w:t>代表</w:t>
      </w:r>
      <w:r w:rsidR="001D12A3">
        <w:rPr>
          <w:rFonts w:ascii="Calibri" w:eastAsia="SimSun" w:hAnsi="Calibri" w:hint="eastAsia"/>
          <w:color w:val="000000" w:themeColor="text1"/>
          <w:szCs w:val="24"/>
          <w:lang w:val="en-US" w:eastAsia="zh-CN"/>
        </w:rPr>
        <w:t>了</w:t>
      </w:r>
      <w:r w:rsidR="001D12A3" w:rsidRPr="001D12A3">
        <w:rPr>
          <w:rFonts w:ascii="Calibri" w:eastAsia="SimSun" w:hAnsi="Calibri" w:hint="eastAsia"/>
          <w:color w:val="000000" w:themeColor="text1"/>
          <w:szCs w:val="24"/>
          <w:lang w:val="en-US" w:eastAsia="zh-CN"/>
        </w:rPr>
        <w:t>广泛</w:t>
      </w:r>
      <w:r w:rsidR="001D12A3">
        <w:rPr>
          <w:rFonts w:ascii="Calibri" w:eastAsia="SimSun" w:hAnsi="Calibri" w:hint="eastAsia"/>
          <w:color w:val="000000" w:themeColor="text1"/>
          <w:szCs w:val="24"/>
          <w:lang w:val="en-US" w:eastAsia="zh-CN"/>
        </w:rPr>
        <w:t>的</w:t>
      </w:r>
      <w:r w:rsidR="001D12A3" w:rsidRPr="001D12A3">
        <w:rPr>
          <w:rFonts w:ascii="Calibri" w:eastAsia="SimSun" w:hAnsi="Calibri" w:hint="eastAsia"/>
          <w:color w:val="000000" w:themeColor="text1"/>
          <w:szCs w:val="24"/>
          <w:lang w:val="en-US" w:eastAsia="zh-CN"/>
        </w:rPr>
        <w:t>行业</w:t>
      </w:r>
      <w:r w:rsidR="001D12A3">
        <w:rPr>
          <w:rFonts w:ascii="Calibri" w:eastAsia="SimSun" w:hAnsi="Calibri" w:hint="eastAsia"/>
          <w:color w:val="000000" w:themeColor="text1"/>
          <w:szCs w:val="24"/>
          <w:lang w:val="en-US" w:eastAsia="zh-CN"/>
        </w:rPr>
        <w:t>参加</w:t>
      </w:r>
      <w:r w:rsidRPr="001D12A3">
        <w:rPr>
          <w:rFonts w:ascii="Calibri" w:eastAsia="SimSun" w:hAnsi="Calibri" w:hint="eastAsia"/>
          <w:color w:val="000000" w:themeColor="text1"/>
          <w:szCs w:val="24"/>
          <w:lang w:val="en-US" w:eastAsia="zh-CN"/>
        </w:rPr>
        <w:t>IAGDI</w:t>
      </w:r>
      <w:r w:rsidRPr="001D12A3">
        <w:rPr>
          <w:rFonts w:ascii="Calibri" w:eastAsia="SimSun" w:hAnsi="Calibri" w:hint="eastAsia"/>
          <w:color w:val="000000" w:themeColor="text1"/>
          <w:szCs w:val="24"/>
          <w:lang w:val="en-US" w:eastAsia="zh-CN"/>
        </w:rPr>
        <w:t>会议。该决议还认可</w:t>
      </w:r>
      <w:r w:rsidR="001D12A3">
        <w:rPr>
          <w:rFonts w:ascii="Calibri" w:eastAsia="SimSun" w:hAnsi="Calibri" w:hint="eastAsia"/>
          <w:color w:val="000000" w:themeColor="text1"/>
          <w:szCs w:val="24"/>
          <w:lang w:val="en-US" w:eastAsia="zh-CN"/>
        </w:rPr>
        <w:t>了</w:t>
      </w:r>
      <w:r w:rsidRPr="001D12A3">
        <w:rPr>
          <w:rFonts w:ascii="Calibri" w:eastAsia="SimSun" w:hAnsi="Calibri" w:hint="eastAsia"/>
          <w:color w:val="000000" w:themeColor="text1"/>
          <w:szCs w:val="24"/>
          <w:lang w:val="en-US" w:eastAsia="zh-CN"/>
        </w:rPr>
        <w:t>首席监管官（</w:t>
      </w:r>
      <w:r w:rsidRPr="001D12A3">
        <w:rPr>
          <w:rFonts w:ascii="Calibri" w:eastAsia="SimSun" w:hAnsi="Calibri" w:hint="eastAsia"/>
          <w:color w:val="000000" w:themeColor="text1"/>
          <w:szCs w:val="24"/>
          <w:lang w:val="en-US" w:eastAsia="zh-CN"/>
        </w:rPr>
        <w:t>CRO</w:t>
      </w:r>
      <w:r w:rsidRPr="001D12A3">
        <w:rPr>
          <w:rFonts w:ascii="Calibri" w:eastAsia="SimSun" w:hAnsi="Calibri" w:hint="eastAsia"/>
          <w:color w:val="000000" w:themeColor="text1"/>
          <w:szCs w:val="24"/>
          <w:lang w:val="en-US" w:eastAsia="zh-CN"/>
        </w:rPr>
        <w:t>）的工作。</w:t>
      </w:r>
    </w:p>
    <w:p w14:paraId="06D6AE9D" w14:textId="2A50EE54" w:rsidR="003920DA" w:rsidRPr="00D76FC1" w:rsidRDefault="008D71AF" w:rsidP="005E6E87">
      <w:pPr>
        <w:pStyle w:val="PlainText"/>
        <w:spacing w:before="120"/>
        <w:ind w:firstLineChars="200" w:firstLine="480"/>
        <w:rPr>
          <w:rFonts w:eastAsia="SimSun"/>
          <w:b/>
          <w:bCs/>
          <w:sz w:val="24"/>
          <w:szCs w:val="24"/>
        </w:rPr>
      </w:pPr>
      <w:r w:rsidRPr="005E6E87">
        <w:rPr>
          <w:rFonts w:eastAsia="SimSun" w:hint="eastAsia"/>
          <w:sz w:val="24"/>
          <w:szCs w:val="24"/>
        </w:rPr>
        <w:t>此外</w:t>
      </w:r>
      <w:r w:rsidRPr="00947C96">
        <w:rPr>
          <w:rFonts w:eastAsia="SimSun" w:hint="eastAsia"/>
          <w:sz w:val="24"/>
          <w:szCs w:val="24"/>
        </w:rPr>
        <w:t>，</w:t>
      </w:r>
      <w:r w:rsidR="003920DA">
        <w:rPr>
          <w:rFonts w:eastAsia="SimSun" w:hint="eastAsia"/>
          <w:sz w:val="24"/>
          <w:szCs w:val="24"/>
        </w:rPr>
        <w:t>2018</w:t>
      </w:r>
      <w:r w:rsidRPr="00947C96">
        <w:rPr>
          <w:rFonts w:eastAsia="SimSun" w:hint="eastAsia"/>
          <w:sz w:val="24"/>
          <w:szCs w:val="24"/>
        </w:rPr>
        <w:t>年全权代表大会（</w:t>
      </w:r>
      <w:r w:rsidRPr="00947C96">
        <w:rPr>
          <w:rFonts w:eastAsia="SimSun"/>
          <w:color w:val="000000" w:themeColor="text1"/>
          <w:sz w:val="24"/>
          <w:szCs w:val="24"/>
        </w:rPr>
        <w:t>PP-1</w:t>
      </w:r>
      <w:r w:rsidR="003920DA">
        <w:rPr>
          <w:rFonts w:eastAsia="SimSun" w:hint="eastAsia"/>
          <w:color w:val="000000" w:themeColor="text1"/>
          <w:sz w:val="24"/>
          <w:szCs w:val="24"/>
        </w:rPr>
        <w:t>8</w:t>
      </w:r>
      <w:r w:rsidRPr="00947C96">
        <w:rPr>
          <w:rFonts w:eastAsia="SimSun" w:hint="eastAsia"/>
          <w:sz w:val="24"/>
          <w:szCs w:val="24"/>
        </w:rPr>
        <w:t>）通过了若干与全体成员有关的决议，例如第</w:t>
      </w:r>
      <w:r w:rsidR="003920DA">
        <w:rPr>
          <w:rFonts w:eastAsia="SimSun" w:hint="eastAsia"/>
          <w:sz w:val="24"/>
          <w:szCs w:val="24"/>
        </w:rPr>
        <w:t>209</w:t>
      </w:r>
      <w:r w:rsidRPr="00947C96">
        <w:rPr>
          <w:rFonts w:eastAsia="SimSun" w:hint="eastAsia"/>
          <w:sz w:val="24"/>
          <w:szCs w:val="24"/>
        </w:rPr>
        <w:t>号决议（</w:t>
      </w:r>
      <w:r w:rsidRPr="00947C96">
        <w:rPr>
          <w:rFonts w:eastAsia="SimSun" w:hint="eastAsia"/>
          <w:sz w:val="24"/>
          <w:szCs w:val="24"/>
        </w:rPr>
        <w:t>201</w:t>
      </w:r>
      <w:r w:rsidR="005E6E87">
        <w:rPr>
          <w:rFonts w:eastAsia="SimSun" w:hint="eastAsia"/>
          <w:sz w:val="24"/>
          <w:szCs w:val="24"/>
        </w:rPr>
        <w:t>8</w:t>
      </w:r>
      <w:r w:rsidRPr="00947C96">
        <w:rPr>
          <w:rFonts w:eastAsia="SimSun" w:hint="eastAsia"/>
          <w:sz w:val="24"/>
          <w:szCs w:val="24"/>
        </w:rPr>
        <w:t>年，</w:t>
      </w:r>
      <w:r w:rsidR="003920DA">
        <w:rPr>
          <w:rFonts w:eastAsia="SimSun" w:hint="eastAsia"/>
          <w:sz w:val="24"/>
          <w:szCs w:val="24"/>
        </w:rPr>
        <w:t>迪拜</w:t>
      </w:r>
      <w:r w:rsidRPr="00947C96">
        <w:rPr>
          <w:rFonts w:eastAsia="SimSun"/>
          <w:sz w:val="24"/>
          <w:szCs w:val="24"/>
        </w:rPr>
        <w:t>）</w:t>
      </w:r>
      <w:r w:rsidR="003920DA">
        <w:rPr>
          <w:rFonts w:eastAsia="SimSun" w:hint="eastAsia"/>
          <w:sz w:val="24"/>
          <w:szCs w:val="24"/>
        </w:rPr>
        <w:t>，鼓励中小企业</w:t>
      </w:r>
      <w:r w:rsidR="005E6E87">
        <w:rPr>
          <w:rFonts w:eastAsia="SimSun" w:hint="eastAsia"/>
          <w:sz w:val="24"/>
          <w:szCs w:val="24"/>
        </w:rPr>
        <w:t>（</w:t>
      </w:r>
      <w:r w:rsidR="005E6E87">
        <w:rPr>
          <w:rFonts w:eastAsia="SimSun" w:hint="eastAsia"/>
          <w:sz w:val="24"/>
          <w:szCs w:val="24"/>
        </w:rPr>
        <w:t>S</w:t>
      </w:r>
      <w:r w:rsidR="005E6E87">
        <w:rPr>
          <w:rFonts w:eastAsia="SimSun"/>
          <w:sz w:val="24"/>
          <w:szCs w:val="24"/>
        </w:rPr>
        <w:t>ME</w:t>
      </w:r>
      <w:r w:rsidR="005E6E87">
        <w:rPr>
          <w:rFonts w:eastAsia="SimSun" w:hint="eastAsia"/>
          <w:sz w:val="24"/>
          <w:szCs w:val="24"/>
        </w:rPr>
        <w:t>）</w:t>
      </w:r>
      <w:r w:rsidR="003920DA">
        <w:rPr>
          <w:rFonts w:eastAsia="SimSun" w:hint="eastAsia"/>
          <w:sz w:val="24"/>
          <w:szCs w:val="24"/>
        </w:rPr>
        <w:t>参与国际电联的工作。</w:t>
      </w:r>
    </w:p>
    <w:p w14:paraId="74F582DE" w14:textId="2D64560C" w:rsidR="00645218" w:rsidRPr="00D76FC1" w:rsidRDefault="005E6E87" w:rsidP="005E6E87">
      <w:pPr>
        <w:ind w:firstLineChars="200" w:firstLine="480"/>
        <w:rPr>
          <w:b/>
          <w:bCs/>
          <w:highlight w:val="cyan"/>
          <w:lang w:eastAsia="zh-CN"/>
        </w:rPr>
      </w:pPr>
      <w:r w:rsidRPr="00947C96">
        <w:rPr>
          <w:rFonts w:ascii="Calibri" w:eastAsia="SimSun" w:hAnsi="Calibri"/>
          <w:lang w:val="en-US" w:eastAsia="zh-CN"/>
        </w:rPr>
        <w:t>修订</w:t>
      </w:r>
      <w:r>
        <w:rPr>
          <w:rFonts w:ascii="Calibri" w:eastAsia="SimSun" w:hAnsi="Calibri" w:hint="eastAsia"/>
          <w:lang w:val="en-US" w:eastAsia="zh-CN"/>
        </w:rPr>
        <w:t>后</w:t>
      </w:r>
      <w:r w:rsidR="008D71AF" w:rsidRPr="00947C96">
        <w:rPr>
          <w:rFonts w:ascii="Calibri" w:eastAsia="SimSun" w:hAnsi="Calibri"/>
          <w:lang w:val="en-US" w:eastAsia="zh-CN"/>
        </w:rPr>
        <w:t>的第</w:t>
      </w:r>
      <w:r w:rsidR="008D71AF" w:rsidRPr="00947C96">
        <w:rPr>
          <w:rFonts w:ascii="Calibri" w:eastAsia="SimSun" w:hAnsi="Calibri"/>
          <w:lang w:val="en-US" w:eastAsia="zh-CN"/>
        </w:rPr>
        <w:t>169</w:t>
      </w:r>
      <w:r w:rsidR="008D71AF" w:rsidRPr="00947C96">
        <w:rPr>
          <w:rFonts w:ascii="Calibri" w:eastAsia="SimSun" w:hAnsi="Calibri"/>
          <w:lang w:val="en-US" w:eastAsia="zh-CN"/>
        </w:rPr>
        <w:t>号决议</w:t>
      </w:r>
      <w:r w:rsidRPr="00947C96">
        <w:rPr>
          <w:rFonts w:eastAsia="SimSun" w:hint="eastAsia"/>
          <w:szCs w:val="24"/>
          <w:lang w:eastAsia="zh-CN"/>
        </w:rPr>
        <w:t>（</w:t>
      </w:r>
      <w:r w:rsidRPr="00947C96">
        <w:rPr>
          <w:rFonts w:eastAsia="SimSun" w:hint="eastAsia"/>
          <w:szCs w:val="24"/>
          <w:lang w:eastAsia="zh-CN"/>
        </w:rPr>
        <w:t>201</w:t>
      </w:r>
      <w:r>
        <w:rPr>
          <w:rFonts w:eastAsia="SimSun" w:hint="eastAsia"/>
          <w:szCs w:val="24"/>
          <w:lang w:eastAsia="zh-CN"/>
        </w:rPr>
        <w:t>8</w:t>
      </w:r>
      <w:r w:rsidRPr="00947C96">
        <w:rPr>
          <w:rFonts w:eastAsia="SimSun" w:hint="eastAsia"/>
          <w:szCs w:val="24"/>
          <w:lang w:eastAsia="zh-CN"/>
        </w:rPr>
        <w:t>年，</w:t>
      </w:r>
      <w:r>
        <w:rPr>
          <w:rFonts w:eastAsia="SimSun" w:hint="eastAsia"/>
          <w:szCs w:val="24"/>
          <w:lang w:eastAsia="zh-CN"/>
        </w:rPr>
        <w:t>迪拜，修订版</w:t>
      </w:r>
      <w:r w:rsidRPr="00947C96">
        <w:rPr>
          <w:rFonts w:eastAsia="SimSun"/>
          <w:szCs w:val="24"/>
          <w:lang w:eastAsia="zh-CN"/>
        </w:rPr>
        <w:t>）</w:t>
      </w:r>
      <w:r>
        <w:rPr>
          <w:rFonts w:eastAsia="SimSun" w:hint="eastAsia"/>
          <w:szCs w:val="24"/>
          <w:lang w:eastAsia="zh-CN"/>
        </w:rPr>
        <w:t>，</w:t>
      </w:r>
      <w:r w:rsidR="00645218">
        <w:rPr>
          <w:rFonts w:hint="eastAsia"/>
          <w:lang w:eastAsia="zh-CN"/>
        </w:rPr>
        <w:t>根据各部门确立的议事规则，</w:t>
      </w:r>
      <w:r>
        <w:rPr>
          <w:rFonts w:hint="eastAsia"/>
          <w:lang w:eastAsia="zh-CN"/>
        </w:rPr>
        <w:t>现在允许学术成员派代表</w:t>
      </w:r>
      <w:r w:rsidR="00645218">
        <w:rPr>
          <w:rFonts w:hint="eastAsia"/>
          <w:lang w:eastAsia="zh-CN"/>
        </w:rPr>
        <w:t>担任报告人、副报告人或助理报告人</w:t>
      </w:r>
      <w:r w:rsidR="007E7FEE">
        <w:rPr>
          <w:rFonts w:hint="eastAsia"/>
          <w:lang w:eastAsia="zh-CN"/>
        </w:rPr>
        <w:t>。</w:t>
      </w:r>
      <w:r w:rsidR="003920DA">
        <w:rPr>
          <w:rFonts w:hint="eastAsia"/>
          <w:lang w:eastAsia="zh-CN"/>
        </w:rPr>
        <w:t>鼓励学术成员</w:t>
      </w:r>
      <w:r w:rsidR="00645218">
        <w:rPr>
          <w:rFonts w:hint="eastAsia"/>
          <w:lang w:eastAsia="zh-CN"/>
        </w:rPr>
        <w:t>参与国际电联技术工作的发展。</w:t>
      </w:r>
    </w:p>
    <w:p w14:paraId="09AA6395" w14:textId="0037BF1F" w:rsidR="008D71AF" w:rsidRPr="00D76FC1" w:rsidRDefault="007E7FEE" w:rsidP="00EE7A37">
      <w:pPr>
        <w:ind w:firstLineChars="200" w:firstLine="480"/>
        <w:rPr>
          <w:rFonts w:ascii="Calibri" w:eastAsia="SimSun" w:hAnsi="Calibri"/>
          <w:b/>
          <w:bCs/>
          <w:szCs w:val="24"/>
          <w:lang w:val="en-US" w:eastAsia="zh-CN"/>
        </w:rPr>
      </w:pPr>
      <w:bookmarkStart w:id="12" w:name="_Toc536172439"/>
      <w:bookmarkStart w:id="13" w:name="_Toc536172440"/>
      <w:r w:rsidRPr="00947C96">
        <w:rPr>
          <w:rFonts w:eastAsia="SimSun"/>
          <w:color w:val="000000" w:themeColor="text1"/>
          <w:szCs w:val="24"/>
          <w:lang w:eastAsia="zh-CN"/>
        </w:rPr>
        <w:t>PP-1</w:t>
      </w:r>
      <w:r>
        <w:rPr>
          <w:rFonts w:eastAsia="SimSun" w:hint="eastAsia"/>
          <w:color w:val="000000" w:themeColor="text1"/>
          <w:szCs w:val="24"/>
          <w:lang w:eastAsia="zh-CN"/>
        </w:rPr>
        <w:t>8</w:t>
      </w:r>
      <w:r>
        <w:rPr>
          <w:rFonts w:eastAsia="SimSun" w:hint="eastAsia"/>
          <w:szCs w:val="24"/>
          <w:lang w:eastAsia="zh-CN"/>
        </w:rPr>
        <w:t>还</w:t>
      </w:r>
      <w:r w:rsidRPr="00947C96">
        <w:rPr>
          <w:rFonts w:eastAsia="SimSun" w:hint="eastAsia"/>
          <w:szCs w:val="24"/>
          <w:lang w:eastAsia="zh-CN"/>
        </w:rPr>
        <w:t>通过了</w:t>
      </w:r>
      <w:r w:rsidR="00281C49">
        <w:rPr>
          <w:rFonts w:eastAsia="SimSun" w:hint="eastAsia"/>
          <w:szCs w:val="24"/>
          <w:lang w:eastAsia="zh-CN"/>
        </w:rPr>
        <w:t>关于围绕</w:t>
      </w:r>
      <w:r w:rsidR="00281C49">
        <w:rPr>
          <w:rFonts w:hint="eastAsia"/>
          <w:noProof/>
          <w:lang w:eastAsia="zh-CN"/>
        </w:rPr>
        <w:t>ICT</w:t>
      </w:r>
      <w:r w:rsidR="00281C49">
        <w:rPr>
          <w:rFonts w:hint="eastAsia"/>
          <w:noProof/>
          <w:lang w:eastAsia="zh-CN"/>
        </w:rPr>
        <w:t>进行</w:t>
      </w:r>
      <w:r w:rsidR="00281C49" w:rsidRPr="008D33F8">
        <w:rPr>
          <w:rFonts w:hint="eastAsia"/>
          <w:noProof/>
          <w:lang w:eastAsia="zh-CN"/>
        </w:rPr>
        <w:t>创新</w:t>
      </w:r>
      <w:r w:rsidR="00281C49">
        <w:rPr>
          <w:rFonts w:hint="eastAsia"/>
          <w:noProof/>
          <w:lang w:eastAsia="zh-CN"/>
        </w:rPr>
        <w:t>以支持</w:t>
      </w:r>
      <w:r w:rsidR="00281C49" w:rsidRPr="008D33F8">
        <w:rPr>
          <w:rFonts w:hint="eastAsia"/>
          <w:noProof/>
          <w:lang w:eastAsia="zh-CN"/>
        </w:rPr>
        <w:t>数字经济</w:t>
      </w:r>
      <w:r w:rsidR="00281C49">
        <w:rPr>
          <w:rFonts w:hint="eastAsia"/>
          <w:noProof/>
          <w:lang w:eastAsia="zh-CN"/>
        </w:rPr>
        <w:t>的</w:t>
      </w:r>
      <w:r w:rsidR="003F41C7" w:rsidRPr="00CB178C">
        <w:rPr>
          <w:rStyle w:val="href"/>
          <w:rFonts w:hint="eastAsia"/>
          <w:lang w:eastAsia="zh-CN"/>
        </w:rPr>
        <w:t>第</w:t>
      </w:r>
      <w:r w:rsidR="003F41C7" w:rsidRPr="00CB178C">
        <w:rPr>
          <w:rStyle w:val="href"/>
          <w:rFonts w:hint="eastAsia"/>
          <w:lang w:eastAsia="zh-CN"/>
        </w:rPr>
        <w:t>205</w:t>
      </w:r>
      <w:r w:rsidR="003F41C7" w:rsidRPr="00CB178C">
        <w:rPr>
          <w:rStyle w:val="href"/>
          <w:rFonts w:hint="eastAsia"/>
          <w:lang w:eastAsia="zh-CN"/>
        </w:rPr>
        <w:t>号决议</w:t>
      </w:r>
      <w:r w:rsidR="003F41C7">
        <w:rPr>
          <w:rFonts w:hint="eastAsia"/>
          <w:noProof/>
          <w:lang w:eastAsia="zh-CN"/>
        </w:rPr>
        <w:t>（</w:t>
      </w:r>
      <w:r w:rsidR="003F41C7">
        <w:rPr>
          <w:rFonts w:hint="eastAsia"/>
          <w:noProof/>
          <w:lang w:eastAsia="zh-CN"/>
        </w:rPr>
        <w:t>2018</w:t>
      </w:r>
      <w:r w:rsidR="003F41C7">
        <w:rPr>
          <w:rFonts w:hint="eastAsia"/>
          <w:noProof/>
          <w:lang w:eastAsia="zh-CN"/>
        </w:rPr>
        <w:t>年，迪拜）</w:t>
      </w:r>
      <w:bookmarkEnd w:id="12"/>
      <w:bookmarkEnd w:id="13"/>
      <w:r w:rsidR="003F41C7">
        <w:rPr>
          <w:rFonts w:hint="eastAsia"/>
          <w:noProof/>
          <w:lang w:eastAsia="zh-CN"/>
        </w:rPr>
        <w:t>。决议</w:t>
      </w:r>
      <w:r w:rsidRPr="00B13CB6">
        <w:rPr>
          <w:rFonts w:hint="eastAsia"/>
          <w:szCs w:val="24"/>
          <w:lang w:eastAsia="zh-CN"/>
        </w:rPr>
        <w:t>责成</w:t>
      </w:r>
      <w:r w:rsidR="00281C49">
        <w:rPr>
          <w:rFonts w:hint="eastAsia"/>
          <w:szCs w:val="24"/>
          <w:lang w:eastAsia="zh-CN"/>
        </w:rPr>
        <w:t>国际电联根据要求支持成员国，</w:t>
      </w:r>
      <w:r w:rsidR="00D76FC1" w:rsidRPr="00281C49">
        <w:rPr>
          <w:rFonts w:hint="eastAsia"/>
          <w:noProof/>
          <w:lang w:val="en-US" w:eastAsia="zh-CN"/>
        </w:rPr>
        <w:t>为中小型企业</w:t>
      </w:r>
      <w:r w:rsidR="00281C49">
        <w:rPr>
          <w:rFonts w:hint="eastAsia"/>
          <w:noProof/>
          <w:lang w:val="en-US" w:eastAsia="zh-CN"/>
        </w:rPr>
        <w:t>、</w:t>
      </w:r>
      <w:r w:rsidR="00D76FC1" w:rsidRPr="00281C49">
        <w:rPr>
          <w:rFonts w:hint="eastAsia"/>
          <w:noProof/>
          <w:lang w:val="en-US" w:eastAsia="zh-CN"/>
        </w:rPr>
        <w:t>初创企业</w:t>
      </w:r>
      <w:r w:rsidR="00281C49">
        <w:rPr>
          <w:rFonts w:hint="eastAsia"/>
          <w:noProof/>
          <w:lang w:val="en-US" w:eastAsia="zh-CN"/>
        </w:rPr>
        <w:t>、</w:t>
      </w:r>
      <w:r w:rsidR="00D76FC1" w:rsidRPr="00281C49">
        <w:rPr>
          <w:rFonts w:hint="eastAsia"/>
          <w:noProof/>
          <w:lang w:val="en-US" w:eastAsia="zh-CN"/>
        </w:rPr>
        <w:t>孵化中心和年轻企业家营造有利的环境，以电信</w:t>
      </w:r>
      <w:r w:rsidR="00D76FC1" w:rsidRPr="00281C49">
        <w:rPr>
          <w:rFonts w:hint="eastAsia"/>
          <w:noProof/>
          <w:lang w:val="en-US" w:eastAsia="zh-CN"/>
        </w:rPr>
        <w:t>/ ICT</w:t>
      </w:r>
      <w:r w:rsidR="009B7936">
        <w:rPr>
          <w:rFonts w:hint="eastAsia"/>
          <w:noProof/>
          <w:lang w:val="en-US" w:eastAsia="zh-CN"/>
        </w:rPr>
        <w:t>为中心进行创新。该决议还</w:t>
      </w:r>
      <w:r w:rsidR="009B7936" w:rsidRPr="00B13CB6">
        <w:rPr>
          <w:rFonts w:hint="eastAsia"/>
          <w:szCs w:val="24"/>
          <w:lang w:eastAsia="zh-CN"/>
        </w:rPr>
        <w:t>请各成员国</w:t>
      </w:r>
      <w:r w:rsidR="00EE7A37">
        <w:rPr>
          <w:rFonts w:hint="eastAsia"/>
          <w:szCs w:val="24"/>
          <w:lang w:eastAsia="zh-CN"/>
        </w:rPr>
        <w:t>、</w:t>
      </w:r>
      <w:r w:rsidR="00EE7A37" w:rsidRPr="00281C49">
        <w:rPr>
          <w:rFonts w:hint="eastAsia"/>
          <w:noProof/>
          <w:lang w:val="en-US" w:eastAsia="zh-CN"/>
        </w:rPr>
        <w:t>部门成员和部门准成员鼓励</w:t>
      </w:r>
      <w:r w:rsidR="00EE7A37">
        <w:rPr>
          <w:rFonts w:hint="eastAsia"/>
          <w:noProof/>
          <w:lang w:val="en-US" w:eastAsia="zh-CN"/>
        </w:rPr>
        <w:t>与</w:t>
      </w:r>
      <w:r w:rsidR="00EE7A37" w:rsidRPr="00281C49">
        <w:rPr>
          <w:rFonts w:hint="eastAsia"/>
          <w:noProof/>
          <w:lang w:val="en-US" w:eastAsia="zh-CN"/>
        </w:rPr>
        <w:t>电信</w:t>
      </w:r>
      <w:r w:rsidR="00EE7A37" w:rsidRPr="00281C49">
        <w:rPr>
          <w:rFonts w:hint="eastAsia"/>
          <w:noProof/>
          <w:lang w:val="en-US" w:eastAsia="zh-CN"/>
        </w:rPr>
        <w:t>/ ICT</w:t>
      </w:r>
      <w:r w:rsidR="00EE7A37">
        <w:rPr>
          <w:rFonts w:hint="eastAsia"/>
          <w:noProof/>
          <w:lang w:val="en-US" w:eastAsia="zh-CN"/>
        </w:rPr>
        <w:t>有关的企业家、初创企业、</w:t>
      </w:r>
      <w:r w:rsidR="00EE7A37" w:rsidRPr="00281C49">
        <w:rPr>
          <w:rFonts w:hint="eastAsia"/>
          <w:noProof/>
          <w:lang w:val="en-US" w:eastAsia="zh-CN"/>
        </w:rPr>
        <w:t>孵化和加速中心参加国际电联世界电信展和国际电联的其他相关活动。</w:t>
      </w:r>
    </w:p>
    <w:p w14:paraId="66E367B5" w14:textId="7C5BE111" w:rsidR="008D71AF" w:rsidRPr="00895832" w:rsidRDefault="008D71AF" w:rsidP="00C93548">
      <w:pPr>
        <w:pStyle w:val="Heading1"/>
        <w:rPr>
          <w:sz w:val="28"/>
          <w:szCs w:val="28"/>
          <w:lang w:eastAsia="zh-CN"/>
        </w:rPr>
      </w:pPr>
      <w:r w:rsidRPr="00895832">
        <w:rPr>
          <w:rFonts w:hint="eastAsia"/>
          <w:sz w:val="28"/>
          <w:szCs w:val="28"/>
          <w:lang w:eastAsia="zh-CN"/>
        </w:rPr>
        <w:t>2</w:t>
      </w:r>
      <w:r w:rsidRPr="00895832">
        <w:rPr>
          <w:sz w:val="28"/>
          <w:szCs w:val="28"/>
          <w:lang w:eastAsia="zh-CN"/>
        </w:rPr>
        <w:tab/>
      </w:r>
      <w:r w:rsidR="004B56E7" w:rsidRPr="00895832">
        <w:rPr>
          <w:rFonts w:hint="eastAsia"/>
          <w:sz w:val="28"/>
          <w:szCs w:val="28"/>
          <w:lang w:eastAsia="zh-CN"/>
        </w:rPr>
        <w:t>ITU-D</w:t>
      </w:r>
      <w:r w:rsidR="004B56E7" w:rsidRPr="00895832">
        <w:rPr>
          <w:rFonts w:hint="eastAsia"/>
          <w:sz w:val="28"/>
          <w:szCs w:val="28"/>
          <w:lang w:eastAsia="zh-CN"/>
        </w:rPr>
        <w:t>成员</w:t>
      </w:r>
      <w:r w:rsidR="00C93548" w:rsidRPr="00895832">
        <w:rPr>
          <w:rFonts w:hint="eastAsia"/>
          <w:sz w:val="28"/>
          <w:szCs w:val="28"/>
          <w:lang w:eastAsia="zh-CN"/>
        </w:rPr>
        <w:t>队伍</w:t>
      </w:r>
      <w:r w:rsidR="004B56E7" w:rsidRPr="00895832">
        <w:rPr>
          <w:rFonts w:hint="eastAsia"/>
          <w:sz w:val="28"/>
          <w:szCs w:val="28"/>
          <w:lang w:eastAsia="zh-CN"/>
        </w:rPr>
        <w:t>战略目标</w:t>
      </w:r>
    </w:p>
    <w:p w14:paraId="3D0E65F1" w14:textId="4084B667" w:rsidR="008D71AF" w:rsidRPr="004B56E7" w:rsidRDefault="008D71AF" w:rsidP="00C93548">
      <w:pPr>
        <w:pStyle w:val="CEONormal"/>
        <w:spacing w:after="0"/>
        <w:ind w:firstLineChars="200" w:firstLine="480"/>
        <w:jc w:val="both"/>
        <w:rPr>
          <w:rFonts w:cs="Calibri"/>
          <w:b/>
          <w:bCs/>
          <w:sz w:val="24"/>
          <w:szCs w:val="24"/>
          <w:lang w:eastAsia="zh-CN"/>
        </w:rPr>
      </w:pPr>
      <w:r w:rsidRPr="006C2561">
        <w:rPr>
          <w:rFonts w:cs="Calibri"/>
          <w:sz w:val="24"/>
          <w:szCs w:val="24"/>
          <w:lang w:eastAsia="zh-CN"/>
        </w:rPr>
        <w:t>根据</w:t>
      </w:r>
      <w:r w:rsidRPr="006C2561">
        <w:rPr>
          <w:rFonts w:cs="Calibri"/>
          <w:sz w:val="24"/>
          <w:szCs w:val="24"/>
          <w:lang w:eastAsia="zh-CN"/>
        </w:rPr>
        <w:t>WTDC-1</w:t>
      </w:r>
      <w:r>
        <w:rPr>
          <w:rFonts w:cs="Calibri"/>
          <w:sz w:val="24"/>
          <w:szCs w:val="24"/>
          <w:lang w:eastAsia="zh-CN"/>
        </w:rPr>
        <w:t>7</w:t>
      </w:r>
      <w:r w:rsidRPr="006C2561">
        <w:rPr>
          <w:rFonts w:cs="Calibri"/>
          <w:sz w:val="24"/>
          <w:szCs w:val="24"/>
          <w:lang w:eastAsia="zh-CN"/>
        </w:rPr>
        <w:t>和</w:t>
      </w:r>
      <w:r w:rsidR="00645218">
        <w:rPr>
          <w:rFonts w:cs="Calibri"/>
          <w:sz w:val="24"/>
          <w:szCs w:val="24"/>
          <w:lang w:eastAsia="zh-CN"/>
        </w:rPr>
        <w:t>PP-18</w:t>
      </w:r>
      <w:r w:rsidRPr="006C2561">
        <w:rPr>
          <w:rFonts w:cs="Calibri"/>
          <w:sz w:val="24"/>
          <w:szCs w:val="24"/>
          <w:lang w:eastAsia="zh-CN"/>
        </w:rPr>
        <w:t>的成果，</w:t>
      </w:r>
      <w:r w:rsidRPr="006C2561">
        <w:rPr>
          <w:sz w:val="24"/>
          <w:szCs w:val="24"/>
          <w:lang w:eastAsia="zh-CN"/>
        </w:rPr>
        <w:t>电信发展局通过</w:t>
      </w:r>
      <w:r w:rsidRPr="006C2561">
        <w:rPr>
          <w:rFonts w:cs="Calibri"/>
          <w:sz w:val="24"/>
          <w:szCs w:val="24"/>
          <w:lang w:eastAsia="zh-CN"/>
        </w:rPr>
        <w:t>与总秘书处、另外两个局和区域</w:t>
      </w:r>
      <w:r w:rsidR="00554088">
        <w:rPr>
          <w:rFonts w:cs="Calibri"/>
          <w:sz w:val="24"/>
          <w:szCs w:val="24"/>
          <w:lang w:eastAsia="zh-CN"/>
        </w:rPr>
        <w:br/>
      </w:r>
      <w:r w:rsidRPr="006C2561">
        <w:rPr>
          <w:rFonts w:cs="Calibri"/>
          <w:sz w:val="24"/>
          <w:szCs w:val="24"/>
          <w:lang w:eastAsia="zh-CN"/>
        </w:rPr>
        <w:t>代表处</w:t>
      </w:r>
      <w:r w:rsidRPr="006C2561">
        <w:rPr>
          <w:rFonts w:cs="Calibri" w:hint="eastAsia"/>
          <w:sz w:val="24"/>
          <w:szCs w:val="24"/>
          <w:lang w:eastAsia="zh-CN"/>
        </w:rPr>
        <w:t>/</w:t>
      </w:r>
      <w:r w:rsidRPr="006C2561">
        <w:rPr>
          <w:rFonts w:cs="Calibri"/>
          <w:sz w:val="24"/>
          <w:szCs w:val="24"/>
          <w:lang w:eastAsia="zh-CN"/>
        </w:rPr>
        <w:t>地区办事处密切协调</w:t>
      </w:r>
      <w:r w:rsidRPr="006C2561">
        <w:rPr>
          <w:rFonts w:cs="Calibri" w:hint="eastAsia"/>
          <w:sz w:val="24"/>
          <w:szCs w:val="24"/>
          <w:lang w:eastAsia="zh-CN"/>
        </w:rPr>
        <w:t>和协作</w:t>
      </w:r>
      <w:r w:rsidR="00AE27A9">
        <w:rPr>
          <w:rFonts w:cs="Calibri"/>
          <w:sz w:val="24"/>
          <w:szCs w:val="24"/>
          <w:lang w:eastAsia="zh-CN"/>
        </w:rPr>
        <w:t>，</w:t>
      </w:r>
      <w:r w:rsidR="00D97961">
        <w:rPr>
          <w:rFonts w:cs="Calibri" w:hint="eastAsia"/>
          <w:sz w:val="24"/>
          <w:szCs w:val="24"/>
          <w:lang w:eastAsia="zh-CN"/>
        </w:rPr>
        <w:t>着重于</w:t>
      </w:r>
      <w:r w:rsidRPr="006C2561">
        <w:rPr>
          <w:rFonts w:cs="Calibri"/>
          <w:sz w:val="24"/>
          <w:szCs w:val="24"/>
          <w:lang w:eastAsia="zh-CN"/>
        </w:rPr>
        <w:t>实现</w:t>
      </w:r>
      <w:r w:rsidRPr="006C2561">
        <w:rPr>
          <w:rFonts w:cs="Calibri" w:hint="eastAsia"/>
          <w:sz w:val="24"/>
          <w:szCs w:val="24"/>
          <w:lang w:eastAsia="zh-CN"/>
        </w:rPr>
        <w:t>两</w:t>
      </w:r>
      <w:r w:rsidRPr="006C2561">
        <w:rPr>
          <w:rFonts w:cs="Calibri"/>
          <w:sz w:val="24"/>
          <w:szCs w:val="24"/>
          <w:lang w:eastAsia="zh-CN"/>
        </w:rPr>
        <w:t>个</w:t>
      </w:r>
      <w:r w:rsidRPr="006C2561">
        <w:rPr>
          <w:rFonts w:cs="Calibri" w:hint="eastAsia"/>
          <w:sz w:val="24"/>
          <w:szCs w:val="24"/>
          <w:lang w:eastAsia="zh-CN"/>
        </w:rPr>
        <w:t>首要</w:t>
      </w:r>
      <w:r w:rsidRPr="006C2561">
        <w:rPr>
          <w:rFonts w:cs="Calibri"/>
          <w:sz w:val="24"/>
          <w:szCs w:val="24"/>
          <w:lang w:eastAsia="zh-CN"/>
        </w:rPr>
        <w:t>目标：</w:t>
      </w:r>
    </w:p>
    <w:p w14:paraId="6C69AA8F" w14:textId="5C2F525D" w:rsidR="008D71AF" w:rsidRPr="004B56E7" w:rsidRDefault="00645218" w:rsidP="009A26DC">
      <w:pPr>
        <w:pStyle w:val="enumlev1"/>
        <w:rPr>
          <w:b/>
          <w:bCs/>
          <w:lang w:eastAsia="zh-CN"/>
        </w:rPr>
      </w:pPr>
      <w:bookmarkStart w:id="14" w:name="OLE_LINK9"/>
      <w:bookmarkStart w:id="15" w:name="OLE_LINK10"/>
      <w:r w:rsidRPr="00645218">
        <w:rPr>
          <w:lang w:eastAsia="zh-CN"/>
        </w:rPr>
        <w:t>–</w:t>
      </w:r>
      <w:r w:rsidR="008D71AF" w:rsidRPr="006C2561">
        <w:rPr>
          <w:lang w:eastAsia="zh-CN"/>
        </w:rPr>
        <w:tab/>
      </w:r>
      <w:r w:rsidR="008D71AF">
        <w:rPr>
          <w:rFonts w:hint="eastAsia"/>
          <w:lang w:eastAsia="zh-CN"/>
        </w:rPr>
        <w:t>开展宣传工作，</w:t>
      </w:r>
      <w:r w:rsidR="008D71AF" w:rsidRPr="006C2561">
        <w:rPr>
          <w:rFonts w:hint="eastAsia"/>
          <w:lang w:eastAsia="zh-CN"/>
        </w:rPr>
        <w:t>吸引新实体加入成为部门成员、部门准成员</w:t>
      </w:r>
      <w:r w:rsidR="00AE27A9">
        <w:rPr>
          <w:rFonts w:hint="eastAsia"/>
          <w:lang w:eastAsia="zh-CN"/>
        </w:rPr>
        <w:t>、中小企业成员</w:t>
      </w:r>
      <w:r w:rsidR="008D71AF" w:rsidRPr="006C2561">
        <w:rPr>
          <w:rFonts w:hint="eastAsia"/>
          <w:lang w:eastAsia="zh-CN"/>
        </w:rPr>
        <w:t>和学术成员；</w:t>
      </w:r>
    </w:p>
    <w:p w14:paraId="2CC13240" w14:textId="23E98A14" w:rsidR="008D71AF" w:rsidRPr="004B56E7" w:rsidRDefault="00645218" w:rsidP="009A26DC">
      <w:pPr>
        <w:pStyle w:val="enumlev1"/>
        <w:rPr>
          <w:b/>
          <w:bCs/>
          <w:lang w:eastAsia="zh-CN"/>
        </w:rPr>
      </w:pPr>
      <w:bookmarkStart w:id="16" w:name="OLE_LINK11"/>
      <w:bookmarkStart w:id="17" w:name="OLE_LINK12"/>
      <w:bookmarkEnd w:id="14"/>
      <w:bookmarkEnd w:id="15"/>
      <w:r w:rsidRPr="00645218">
        <w:rPr>
          <w:lang w:eastAsia="zh-CN"/>
        </w:rPr>
        <w:t>–</w:t>
      </w:r>
      <w:r w:rsidR="008D71AF" w:rsidRPr="006C2561">
        <w:rPr>
          <w:lang w:eastAsia="zh-CN"/>
        </w:rPr>
        <w:tab/>
      </w:r>
      <w:r w:rsidR="008D71AF" w:rsidRPr="006C2561">
        <w:rPr>
          <w:rFonts w:hint="eastAsia"/>
          <w:lang w:eastAsia="zh-CN"/>
        </w:rPr>
        <w:t>加强</w:t>
      </w:r>
      <w:r w:rsidR="00AE27A9" w:rsidRPr="00AE27A9">
        <w:rPr>
          <w:rFonts w:hint="eastAsia"/>
          <w:lang w:eastAsia="zh-CN"/>
        </w:rPr>
        <w:t>吸引和留住</w:t>
      </w:r>
      <w:r w:rsidR="008D71AF">
        <w:rPr>
          <w:rFonts w:hint="eastAsia"/>
          <w:lang w:eastAsia="zh-CN"/>
        </w:rPr>
        <w:t>现有</w:t>
      </w:r>
      <w:r w:rsidR="008D71AF" w:rsidRPr="006C2561">
        <w:rPr>
          <w:rFonts w:hint="eastAsia"/>
          <w:lang w:eastAsia="zh-CN"/>
        </w:rPr>
        <w:t>ITU-D</w:t>
      </w:r>
      <w:r w:rsidR="008D71AF" w:rsidRPr="006C2561">
        <w:rPr>
          <w:rFonts w:hint="eastAsia"/>
          <w:lang w:eastAsia="zh-CN"/>
        </w:rPr>
        <w:t>部门成员、部门准成员和学术成员</w:t>
      </w:r>
      <w:r w:rsidR="008D71AF">
        <w:rPr>
          <w:rFonts w:hint="eastAsia"/>
          <w:lang w:eastAsia="zh-CN"/>
        </w:rPr>
        <w:t>的平台</w:t>
      </w:r>
      <w:r w:rsidR="00AE27A9" w:rsidRPr="00AE27A9">
        <w:rPr>
          <w:rFonts w:hint="eastAsia"/>
          <w:lang w:eastAsia="zh-CN"/>
        </w:rPr>
        <w:t>和工具</w:t>
      </w:r>
      <w:r w:rsidR="008D71AF" w:rsidRPr="006C2561">
        <w:rPr>
          <w:rFonts w:hint="eastAsia"/>
          <w:lang w:eastAsia="zh-CN"/>
        </w:rPr>
        <w:t>。</w:t>
      </w:r>
    </w:p>
    <w:p w14:paraId="021FA6F7" w14:textId="5A625ED8" w:rsidR="00024E05" w:rsidRPr="00895832" w:rsidRDefault="00024E05" w:rsidP="00895832">
      <w:pPr>
        <w:pStyle w:val="Heading1"/>
        <w:rPr>
          <w:sz w:val="28"/>
          <w:szCs w:val="28"/>
          <w:lang w:eastAsia="zh-CN"/>
        </w:rPr>
      </w:pPr>
      <w:r w:rsidRPr="00895832">
        <w:rPr>
          <w:sz w:val="28"/>
          <w:szCs w:val="28"/>
          <w:lang w:eastAsia="zh-CN"/>
        </w:rPr>
        <w:t>3</w:t>
      </w:r>
      <w:r w:rsidR="00895832">
        <w:rPr>
          <w:sz w:val="28"/>
          <w:szCs w:val="28"/>
          <w:lang w:eastAsia="zh-CN"/>
        </w:rPr>
        <w:tab/>
      </w:r>
      <w:r w:rsidR="004B56E7" w:rsidRPr="00895832">
        <w:rPr>
          <w:rFonts w:hint="eastAsia"/>
          <w:sz w:val="28"/>
          <w:szCs w:val="28"/>
          <w:lang w:eastAsia="zh-CN"/>
        </w:rPr>
        <w:t>ITU-D</w:t>
      </w:r>
      <w:r w:rsidR="004B56E7" w:rsidRPr="00895832">
        <w:rPr>
          <w:rFonts w:hint="eastAsia"/>
          <w:sz w:val="28"/>
          <w:szCs w:val="28"/>
          <w:lang w:eastAsia="zh-CN"/>
        </w:rPr>
        <w:t>成员</w:t>
      </w:r>
      <w:r w:rsidR="00C93548" w:rsidRPr="00895832">
        <w:rPr>
          <w:rFonts w:hint="eastAsia"/>
          <w:sz w:val="28"/>
          <w:szCs w:val="28"/>
          <w:lang w:eastAsia="zh-CN"/>
        </w:rPr>
        <w:t>队伍</w:t>
      </w:r>
      <w:r w:rsidR="004B56E7" w:rsidRPr="00895832">
        <w:rPr>
          <w:rFonts w:hint="eastAsia"/>
          <w:sz w:val="28"/>
          <w:szCs w:val="28"/>
          <w:lang w:eastAsia="zh-CN"/>
        </w:rPr>
        <w:t>状态</w:t>
      </w:r>
    </w:p>
    <w:p w14:paraId="2A00E464" w14:textId="1C4A7CAA" w:rsidR="00024E05" w:rsidRPr="00895832" w:rsidRDefault="00B70DD6" w:rsidP="004413DE">
      <w:pPr>
        <w:pStyle w:val="enumlev1"/>
        <w:tabs>
          <w:tab w:val="clear" w:pos="794"/>
        </w:tabs>
        <w:ind w:left="0" w:firstLineChars="200" w:firstLine="480"/>
        <w:rPr>
          <w:lang w:eastAsia="zh-CN"/>
        </w:rPr>
      </w:pPr>
      <w:r>
        <w:rPr>
          <w:rFonts w:cs="Calibri" w:hint="eastAsia"/>
          <w:szCs w:val="24"/>
          <w:lang w:eastAsia="zh-CN"/>
        </w:rPr>
        <w:t>下表展示</w:t>
      </w:r>
      <w:r w:rsidRPr="004B56E7">
        <w:rPr>
          <w:rFonts w:cs="Calibri" w:hint="eastAsia"/>
          <w:szCs w:val="24"/>
          <w:lang w:eastAsia="zh-CN"/>
        </w:rPr>
        <w:t>了从</w:t>
      </w:r>
      <w:r w:rsidRPr="004B56E7">
        <w:rPr>
          <w:rFonts w:cs="Calibri" w:hint="eastAsia"/>
          <w:szCs w:val="24"/>
          <w:lang w:eastAsia="zh-CN"/>
        </w:rPr>
        <w:t>2009</w:t>
      </w:r>
      <w:r w:rsidRPr="004B56E7">
        <w:rPr>
          <w:rFonts w:cs="Calibri" w:hint="eastAsia"/>
          <w:szCs w:val="24"/>
          <w:lang w:eastAsia="zh-CN"/>
        </w:rPr>
        <w:t>年到</w:t>
      </w:r>
      <w:r w:rsidRPr="004B56E7">
        <w:rPr>
          <w:rFonts w:cs="Calibri" w:hint="eastAsia"/>
          <w:szCs w:val="24"/>
          <w:lang w:eastAsia="zh-CN"/>
        </w:rPr>
        <w:t>2019</w:t>
      </w:r>
      <w:r w:rsidRPr="004B56E7">
        <w:rPr>
          <w:rFonts w:cs="Calibri" w:hint="eastAsia"/>
          <w:szCs w:val="24"/>
          <w:lang w:eastAsia="zh-CN"/>
        </w:rPr>
        <w:t>年</w:t>
      </w:r>
      <w:r w:rsidRPr="004B56E7">
        <w:rPr>
          <w:rFonts w:cs="Calibri" w:hint="eastAsia"/>
          <w:szCs w:val="24"/>
          <w:lang w:eastAsia="zh-CN"/>
        </w:rPr>
        <w:t>ITU-D</w:t>
      </w:r>
      <w:r w:rsidRPr="004B56E7">
        <w:rPr>
          <w:rFonts w:cs="Calibri" w:hint="eastAsia"/>
          <w:szCs w:val="24"/>
          <w:lang w:eastAsia="zh-CN"/>
        </w:rPr>
        <w:t>成员</w:t>
      </w:r>
      <w:r>
        <w:rPr>
          <w:rFonts w:cs="Calibri" w:hint="eastAsia"/>
          <w:szCs w:val="24"/>
          <w:lang w:eastAsia="zh-CN"/>
        </w:rPr>
        <w:t>队伍</w:t>
      </w:r>
      <w:r w:rsidRPr="004B56E7">
        <w:rPr>
          <w:rFonts w:cs="Calibri" w:hint="eastAsia"/>
          <w:szCs w:val="24"/>
          <w:lang w:eastAsia="zh-CN"/>
        </w:rPr>
        <w:t>（部门成员</w:t>
      </w:r>
      <w:r>
        <w:rPr>
          <w:rFonts w:cs="Calibri" w:hint="eastAsia"/>
          <w:szCs w:val="24"/>
          <w:lang w:eastAsia="zh-CN"/>
        </w:rPr>
        <w:t>、</w:t>
      </w:r>
      <w:r w:rsidRPr="004B56E7">
        <w:rPr>
          <w:rFonts w:cs="Calibri" w:hint="eastAsia"/>
          <w:szCs w:val="24"/>
          <w:lang w:eastAsia="zh-CN"/>
        </w:rPr>
        <w:t>部门准成员和学术成员</w:t>
      </w:r>
      <w:bookmarkEnd w:id="16"/>
      <w:bookmarkEnd w:id="17"/>
      <w:r w:rsidR="00024E05" w:rsidRPr="001E2E4D">
        <w:rPr>
          <w:rStyle w:val="FootnoteReference"/>
          <w:szCs w:val="24"/>
        </w:rPr>
        <w:footnoteReference w:id="3"/>
      </w:r>
      <w:r w:rsidRPr="004B56E7">
        <w:rPr>
          <w:rFonts w:cs="Calibri" w:hint="eastAsia"/>
          <w:szCs w:val="24"/>
          <w:lang w:eastAsia="zh-CN"/>
        </w:rPr>
        <w:t>）的发展情况。</w:t>
      </w:r>
      <w:r w:rsidR="009A26DC" w:rsidRPr="004B56E7">
        <w:rPr>
          <w:rFonts w:cs="Calibri" w:hint="eastAsia"/>
          <w:szCs w:val="24"/>
          <w:lang w:eastAsia="zh-CN"/>
        </w:rPr>
        <w:t>虽然有</w:t>
      </w:r>
      <w:r w:rsidR="009A26DC" w:rsidRPr="004B56E7">
        <w:rPr>
          <w:rFonts w:cs="Calibri" w:hint="eastAsia"/>
          <w:szCs w:val="24"/>
          <w:lang w:eastAsia="zh-CN"/>
        </w:rPr>
        <w:t>13</w:t>
      </w:r>
      <w:r w:rsidR="009A26DC" w:rsidRPr="004B56E7">
        <w:rPr>
          <w:rFonts w:cs="Calibri" w:hint="eastAsia"/>
          <w:szCs w:val="24"/>
          <w:lang w:eastAsia="zh-CN"/>
        </w:rPr>
        <w:t>个新实体在</w:t>
      </w:r>
      <w:r w:rsidR="009A26DC" w:rsidRPr="004B56E7">
        <w:rPr>
          <w:rFonts w:cs="Calibri" w:hint="eastAsia"/>
          <w:szCs w:val="24"/>
          <w:lang w:eastAsia="zh-CN"/>
        </w:rPr>
        <w:t>2019</w:t>
      </w:r>
      <w:r w:rsidR="00976D6D">
        <w:rPr>
          <w:rFonts w:cs="Calibri" w:hint="eastAsia"/>
          <w:szCs w:val="24"/>
          <w:lang w:eastAsia="zh-CN"/>
        </w:rPr>
        <w:t>年加入到</w:t>
      </w:r>
      <w:r w:rsidR="009A26DC" w:rsidRPr="004B56E7">
        <w:rPr>
          <w:rFonts w:cs="Calibri" w:hint="eastAsia"/>
          <w:szCs w:val="24"/>
          <w:lang w:eastAsia="zh-CN"/>
        </w:rPr>
        <w:t>部门成员的行列，其中包括以下第</w:t>
      </w:r>
      <w:r w:rsidR="009A26DC" w:rsidRPr="004B56E7">
        <w:rPr>
          <w:rFonts w:cs="Calibri" w:hint="eastAsia"/>
          <w:szCs w:val="24"/>
          <w:lang w:eastAsia="zh-CN"/>
        </w:rPr>
        <w:t>3.1</w:t>
      </w:r>
      <w:r w:rsidR="00976D6D">
        <w:rPr>
          <w:rFonts w:cs="Calibri" w:hint="eastAsia"/>
          <w:szCs w:val="24"/>
          <w:lang w:eastAsia="zh-CN"/>
        </w:rPr>
        <w:t>节详细列出</w:t>
      </w:r>
      <w:r w:rsidR="009A26DC" w:rsidRPr="004B56E7">
        <w:rPr>
          <w:rFonts w:cs="Calibri" w:hint="eastAsia"/>
          <w:szCs w:val="24"/>
          <w:lang w:eastAsia="zh-CN"/>
        </w:rPr>
        <w:t>的领先</w:t>
      </w:r>
      <w:r w:rsidR="00976D6D">
        <w:rPr>
          <w:rFonts w:cs="Calibri" w:hint="eastAsia"/>
          <w:szCs w:val="24"/>
          <w:lang w:eastAsia="zh-CN"/>
        </w:rPr>
        <w:t>的</w:t>
      </w:r>
      <w:r w:rsidR="009A26DC" w:rsidRPr="004B56E7">
        <w:rPr>
          <w:rFonts w:cs="Calibri" w:hint="eastAsia"/>
          <w:szCs w:val="24"/>
          <w:lang w:eastAsia="zh-CN"/>
        </w:rPr>
        <w:t>ICT</w:t>
      </w:r>
      <w:r w:rsidR="009A26DC" w:rsidRPr="004B56E7">
        <w:rPr>
          <w:rFonts w:cs="Calibri" w:hint="eastAsia"/>
          <w:szCs w:val="24"/>
          <w:lang w:eastAsia="zh-CN"/>
        </w:rPr>
        <w:t>公司，但</w:t>
      </w:r>
      <w:r w:rsidR="00976D6D">
        <w:rPr>
          <w:rFonts w:cs="Calibri" w:hint="eastAsia"/>
          <w:szCs w:val="24"/>
          <w:lang w:eastAsia="zh-CN"/>
        </w:rPr>
        <w:t>值得关注的是</w:t>
      </w:r>
      <w:r w:rsidR="009A26DC" w:rsidRPr="004B56E7">
        <w:rPr>
          <w:rFonts w:cs="Calibri" w:hint="eastAsia"/>
          <w:szCs w:val="24"/>
          <w:lang w:eastAsia="zh-CN"/>
        </w:rPr>
        <w:t>由于行业</w:t>
      </w:r>
      <w:r w:rsidR="00976D6D">
        <w:rPr>
          <w:rFonts w:cs="Calibri" w:hint="eastAsia"/>
          <w:szCs w:val="24"/>
          <w:lang w:eastAsia="zh-CN"/>
        </w:rPr>
        <w:t>内的</w:t>
      </w:r>
      <w:r w:rsidR="009A26DC" w:rsidRPr="004B56E7">
        <w:rPr>
          <w:rFonts w:cs="Calibri" w:hint="eastAsia"/>
          <w:szCs w:val="24"/>
          <w:lang w:eastAsia="zh-CN"/>
        </w:rPr>
        <w:t>合并或财务原因而</w:t>
      </w:r>
      <w:r w:rsidR="00976D6D">
        <w:rPr>
          <w:rFonts w:cs="Calibri" w:hint="eastAsia"/>
          <w:szCs w:val="24"/>
          <w:lang w:eastAsia="zh-CN"/>
        </w:rPr>
        <w:t>导致的部分部门成员的退出</w:t>
      </w:r>
      <w:r w:rsidR="009A26DC" w:rsidRPr="004B56E7">
        <w:rPr>
          <w:rFonts w:cs="Calibri" w:hint="eastAsia"/>
          <w:szCs w:val="24"/>
          <w:lang w:eastAsia="zh-CN"/>
        </w:rPr>
        <w:t>。另一方面，</w:t>
      </w:r>
      <w:r w:rsidR="00976D6D">
        <w:rPr>
          <w:rFonts w:cs="Calibri" w:hint="eastAsia"/>
          <w:szCs w:val="24"/>
          <w:lang w:eastAsia="zh-CN"/>
        </w:rPr>
        <w:t>部门准成员</w:t>
      </w:r>
      <w:r w:rsidR="009A26DC" w:rsidRPr="004B56E7">
        <w:rPr>
          <w:rFonts w:cs="Calibri" w:hint="eastAsia"/>
          <w:szCs w:val="24"/>
          <w:lang w:eastAsia="zh-CN"/>
        </w:rPr>
        <w:t>和</w:t>
      </w:r>
      <w:r w:rsidR="00976D6D">
        <w:rPr>
          <w:rFonts w:cs="Calibri" w:hint="eastAsia"/>
          <w:szCs w:val="24"/>
          <w:lang w:eastAsia="zh-CN"/>
        </w:rPr>
        <w:t>学术成员的数量显示出了</w:t>
      </w:r>
      <w:r w:rsidR="009A26DC" w:rsidRPr="004B56E7">
        <w:rPr>
          <w:rFonts w:cs="Calibri" w:hint="eastAsia"/>
          <w:szCs w:val="24"/>
          <w:lang w:eastAsia="zh-CN"/>
        </w:rPr>
        <w:t>稳定增长</w:t>
      </w:r>
      <w:r w:rsidR="009A26DC">
        <w:rPr>
          <w:rFonts w:cs="Calibri" w:hint="eastAsia"/>
          <w:szCs w:val="24"/>
          <w:lang w:eastAsia="zh-CN"/>
        </w:rPr>
        <w:t>。</w:t>
      </w:r>
    </w:p>
    <w:p w14:paraId="59DF9B4E" w14:textId="12850F02" w:rsidR="008D71AF" w:rsidRDefault="00024E05" w:rsidP="00554088">
      <w:pPr>
        <w:pStyle w:val="Tabletitle"/>
        <w:rPr>
          <w:lang w:eastAsia="zh-CN"/>
        </w:rPr>
      </w:pPr>
      <w:r>
        <w:rPr>
          <w:rFonts w:hint="eastAsia"/>
          <w:lang w:eastAsia="zh-CN"/>
        </w:rPr>
        <w:lastRenderedPageBreak/>
        <w:t>表</w:t>
      </w:r>
      <w:r w:rsidR="00EB1FB3">
        <w:rPr>
          <w:lang w:eastAsia="zh-CN"/>
        </w:rPr>
        <w:t xml:space="preserve"> </w:t>
      </w:r>
      <w:r w:rsidR="00EB1FB3" w:rsidRPr="00EB1FB3">
        <w:rPr>
          <w:lang w:eastAsia="zh-CN"/>
        </w:rPr>
        <w:t>–</w:t>
      </w:r>
      <w:r w:rsidR="00554088">
        <w:rPr>
          <w:lang w:eastAsia="zh-CN"/>
        </w:rPr>
        <w:t xml:space="preserve"> </w:t>
      </w:r>
      <w:r w:rsidR="008432A3">
        <w:rPr>
          <w:rFonts w:hint="eastAsia"/>
          <w:lang w:eastAsia="zh-CN"/>
        </w:rPr>
        <w:t>2009</w:t>
      </w:r>
      <w:r w:rsidR="008432A3" w:rsidRPr="006C2561">
        <w:rPr>
          <w:lang w:eastAsia="zh-CN"/>
        </w:rPr>
        <w:t>年至</w:t>
      </w:r>
      <w:r w:rsidR="008432A3" w:rsidRPr="006C2561">
        <w:rPr>
          <w:lang w:eastAsia="zh-CN"/>
        </w:rPr>
        <w:t>201</w:t>
      </w:r>
      <w:r w:rsidR="008432A3">
        <w:rPr>
          <w:rFonts w:hint="eastAsia"/>
          <w:lang w:eastAsia="zh-CN"/>
        </w:rPr>
        <w:t>9</w:t>
      </w:r>
      <w:r w:rsidR="008432A3" w:rsidRPr="006C2561">
        <w:rPr>
          <w:lang w:eastAsia="zh-CN"/>
        </w:rPr>
        <w:t>年</w:t>
      </w:r>
      <w:r w:rsidR="008D71AF" w:rsidRPr="006C2561">
        <w:rPr>
          <w:lang w:eastAsia="zh-CN"/>
        </w:rPr>
        <w:t>ITU-D</w:t>
      </w:r>
      <w:r w:rsidR="008D71AF" w:rsidRPr="006C2561">
        <w:rPr>
          <w:lang w:eastAsia="zh-CN"/>
        </w:rPr>
        <w:t>成员</w:t>
      </w:r>
      <w:r w:rsidR="00A3727C">
        <w:rPr>
          <w:rFonts w:hint="eastAsia"/>
          <w:lang w:eastAsia="zh-CN"/>
        </w:rPr>
        <w:t>队伍</w:t>
      </w:r>
      <w:r w:rsidR="00554088">
        <w:rPr>
          <w:lang w:eastAsia="zh-CN"/>
        </w:rPr>
        <w:br/>
      </w:r>
      <w:r w:rsidR="008D71AF">
        <w:rPr>
          <w:rFonts w:hint="eastAsia"/>
          <w:lang w:eastAsia="zh-CN"/>
        </w:rPr>
        <w:t>（</w:t>
      </w:r>
      <w:r w:rsidR="008D71AF" w:rsidRPr="006C2561">
        <w:rPr>
          <w:rFonts w:hint="eastAsia"/>
          <w:lang w:eastAsia="zh-CN"/>
        </w:rPr>
        <w:t>部门成员、部门准成员和学术成员</w:t>
      </w:r>
      <w:r w:rsidR="008D71AF" w:rsidRPr="00C1371A">
        <w:rPr>
          <w:rStyle w:val="FootnoteReference"/>
        </w:rPr>
        <w:footnoteReference w:id="4"/>
      </w:r>
      <w:r w:rsidR="008D71AF">
        <w:rPr>
          <w:rFonts w:hint="eastAsia"/>
          <w:lang w:eastAsia="zh-CN"/>
        </w:rPr>
        <w:t>）</w:t>
      </w:r>
      <w:r w:rsidR="008432A3">
        <w:rPr>
          <w:rFonts w:hint="eastAsia"/>
          <w:lang w:eastAsia="zh-CN"/>
        </w:rPr>
        <w:t>的发展</w:t>
      </w:r>
    </w:p>
    <w:tbl>
      <w:tblPr>
        <w:tblW w:w="8955"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tblGrid>
      <w:tr w:rsidR="00024E05" w:rsidRPr="00024E05" w14:paraId="47CDA98A" w14:textId="77777777" w:rsidTr="00024E05">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14:paraId="12300DDB" w14:textId="77777777" w:rsidR="00024E05" w:rsidRPr="00024E05" w:rsidRDefault="00024E05" w:rsidP="00024E05">
            <w:pPr>
              <w:rPr>
                <w:rFonts w:ascii="Calibri" w:eastAsia="Times New Roman" w:hAnsi="Calibri" w:cs="Calibri"/>
                <w:lang w:eastAsia="zh-CN"/>
              </w:rPr>
            </w:pPr>
          </w:p>
        </w:tc>
        <w:tc>
          <w:tcPr>
            <w:tcW w:w="656" w:type="dxa"/>
            <w:tcBorders>
              <w:top w:val="single" w:sz="12" w:space="0" w:color="auto"/>
              <w:left w:val="nil"/>
              <w:bottom w:val="single" w:sz="12" w:space="0" w:color="auto"/>
              <w:right w:val="single" w:sz="8" w:space="0" w:color="auto"/>
            </w:tcBorders>
            <w:shd w:val="clear" w:color="auto" w:fill="9CC2E5"/>
            <w:tcMar>
              <w:top w:w="0" w:type="dxa"/>
              <w:left w:w="108" w:type="dxa"/>
              <w:bottom w:w="0" w:type="dxa"/>
              <w:right w:w="108" w:type="dxa"/>
            </w:tcMar>
            <w:hideMark/>
          </w:tcPr>
          <w:p w14:paraId="589056D6" w14:textId="77777777" w:rsidR="00024E05" w:rsidRPr="00024E05" w:rsidRDefault="00024E05" w:rsidP="00024E0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sz w:val="20"/>
                <w:lang w:eastAsia="zh-CN"/>
              </w:rPr>
            </w:pPr>
            <w:r w:rsidRPr="00024E05">
              <w:rPr>
                <w:rFonts w:ascii="Calibri" w:eastAsia="Times New Roman" w:hAnsi="Calibri" w:cs="Calibri"/>
                <w:b/>
                <w:sz w:val="20"/>
                <w:lang w:eastAsia="zh-CN"/>
              </w:rPr>
              <w:t>2009</w:t>
            </w:r>
          </w:p>
        </w:tc>
        <w:tc>
          <w:tcPr>
            <w:tcW w:w="656" w:type="dxa"/>
            <w:tcBorders>
              <w:top w:val="single" w:sz="12" w:space="0" w:color="auto"/>
              <w:left w:val="nil"/>
              <w:bottom w:val="single" w:sz="12" w:space="0" w:color="auto"/>
              <w:right w:val="single" w:sz="8" w:space="0" w:color="auto"/>
            </w:tcBorders>
            <w:shd w:val="clear" w:color="auto" w:fill="9CC2E5"/>
            <w:tcMar>
              <w:top w:w="0" w:type="dxa"/>
              <w:left w:w="108" w:type="dxa"/>
              <w:bottom w:w="0" w:type="dxa"/>
              <w:right w:w="108" w:type="dxa"/>
            </w:tcMar>
            <w:hideMark/>
          </w:tcPr>
          <w:p w14:paraId="34602623" w14:textId="77777777" w:rsidR="00024E05" w:rsidRPr="00024E05" w:rsidRDefault="00024E05" w:rsidP="00024E0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sz w:val="20"/>
                <w:lang w:eastAsia="zh-CN"/>
              </w:rPr>
            </w:pPr>
            <w:r w:rsidRPr="00024E05">
              <w:rPr>
                <w:rFonts w:ascii="Calibri" w:eastAsia="Times New Roman" w:hAnsi="Calibri" w:cs="Calibri"/>
                <w:b/>
                <w:sz w:val="20"/>
                <w:lang w:eastAsia="zh-CN"/>
              </w:rPr>
              <w:t>2010</w:t>
            </w:r>
          </w:p>
        </w:tc>
        <w:tc>
          <w:tcPr>
            <w:tcW w:w="656" w:type="dxa"/>
            <w:tcBorders>
              <w:top w:val="single" w:sz="12" w:space="0" w:color="auto"/>
              <w:left w:val="nil"/>
              <w:bottom w:val="single" w:sz="12" w:space="0" w:color="auto"/>
              <w:right w:val="single" w:sz="8" w:space="0" w:color="auto"/>
            </w:tcBorders>
            <w:shd w:val="clear" w:color="auto" w:fill="9CC2E5"/>
            <w:tcMar>
              <w:top w:w="0" w:type="dxa"/>
              <w:left w:w="108" w:type="dxa"/>
              <w:bottom w:w="0" w:type="dxa"/>
              <w:right w:w="108" w:type="dxa"/>
            </w:tcMar>
            <w:hideMark/>
          </w:tcPr>
          <w:p w14:paraId="67A3D0BF" w14:textId="77777777" w:rsidR="00024E05" w:rsidRPr="00024E05" w:rsidRDefault="00024E05" w:rsidP="00024E0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sz w:val="20"/>
                <w:lang w:eastAsia="zh-CN"/>
              </w:rPr>
            </w:pPr>
            <w:r w:rsidRPr="00024E05">
              <w:rPr>
                <w:rFonts w:ascii="Calibri" w:eastAsia="Times New Roman" w:hAnsi="Calibri" w:cs="Calibri"/>
                <w:b/>
                <w:sz w:val="20"/>
                <w:lang w:eastAsia="zh-CN"/>
              </w:rPr>
              <w:t>2011</w:t>
            </w:r>
          </w:p>
        </w:tc>
        <w:tc>
          <w:tcPr>
            <w:tcW w:w="656" w:type="dxa"/>
            <w:tcBorders>
              <w:top w:val="single" w:sz="12" w:space="0" w:color="auto"/>
              <w:left w:val="nil"/>
              <w:bottom w:val="single" w:sz="12" w:space="0" w:color="auto"/>
              <w:right w:val="single" w:sz="8" w:space="0" w:color="auto"/>
            </w:tcBorders>
            <w:shd w:val="clear" w:color="auto" w:fill="9CC2E5"/>
            <w:tcMar>
              <w:top w:w="0" w:type="dxa"/>
              <w:left w:w="108" w:type="dxa"/>
              <w:bottom w:w="0" w:type="dxa"/>
              <w:right w:w="108" w:type="dxa"/>
            </w:tcMar>
            <w:hideMark/>
          </w:tcPr>
          <w:p w14:paraId="128C2CE5" w14:textId="77777777" w:rsidR="00024E05" w:rsidRPr="00024E05" w:rsidRDefault="00024E05" w:rsidP="00024E0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sz w:val="20"/>
                <w:lang w:eastAsia="zh-CN"/>
              </w:rPr>
            </w:pPr>
            <w:r w:rsidRPr="00024E05">
              <w:rPr>
                <w:rFonts w:ascii="Calibri" w:eastAsia="Times New Roman" w:hAnsi="Calibri" w:cs="Calibri"/>
                <w:b/>
                <w:sz w:val="20"/>
                <w:lang w:eastAsia="zh-CN"/>
              </w:rPr>
              <w:t>2012</w:t>
            </w:r>
          </w:p>
        </w:tc>
        <w:tc>
          <w:tcPr>
            <w:tcW w:w="656" w:type="dxa"/>
            <w:tcBorders>
              <w:top w:val="single" w:sz="12" w:space="0" w:color="auto"/>
              <w:left w:val="nil"/>
              <w:bottom w:val="single" w:sz="12" w:space="0" w:color="auto"/>
              <w:right w:val="single" w:sz="8" w:space="0" w:color="auto"/>
            </w:tcBorders>
            <w:shd w:val="clear" w:color="auto" w:fill="9CC2E5"/>
            <w:tcMar>
              <w:top w:w="0" w:type="dxa"/>
              <w:left w:w="108" w:type="dxa"/>
              <w:bottom w:w="0" w:type="dxa"/>
              <w:right w:w="108" w:type="dxa"/>
            </w:tcMar>
            <w:hideMark/>
          </w:tcPr>
          <w:p w14:paraId="26A30A2F" w14:textId="77777777" w:rsidR="00024E05" w:rsidRPr="00024E05" w:rsidRDefault="00024E05" w:rsidP="00024E0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sz w:val="20"/>
                <w:lang w:eastAsia="zh-CN"/>
              </w:rPr>
            </w:pPr>
            <w:r w:rsidRPr="00024E05">
              <w:rPr>
                <w:rFonts w:ascii="Calibri" w:eastAsia="Times New Roman" w:hAnsi="Calibri" w:cs="Calibri"/>
                <w:b/>
                <w:sz w:val="20"/>
                <w:lang w:eastAsia="zh-CN"/>
              </w:rPr>
              <w:t>2013</w:t>
            </w:r>
          </w:p>
        </w:tc>
        <w:tc>
          <w:tcPr>
            <w:tcW w:w="656" w:type="dxa"/>
            <w:tcBorders>
              <w:top w:val="single" w:sz="12" w:space="0" w:color="auto"/>
              <w:left w:val="nil"/>
              <w:bottom w:val="single" w:sz="12" w:space="0" w:color="auto"/>
              <w:right w:val="single" w:sz="8" w:space="0" w:color="auto"/>
            </w:tcBorders>
            <w:shd w:val="clear" w:color="auto" w:fill="9CC2E5"/>
            <w:tcMar>
              <w:top w:w="0" w:type="dxa"/>
              <w:left w:w="108" w:type="dxa"/>
              <w:bottom w:w="0" w:type="dxa"/>
              <w:right w:w="108" w:type="dxa"/>
            </w:tcMar>
            <w:hideMark/>
          </w:tcPr>
          <w:p w14:paraId="57CA815E" w14:textId="77777777" w:rsidR="00024E05" w:rsidRPr="00024E05" w:rsidRDefault="00024E05" w:rsidP="00024E0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sz w:val="20"/>
                <w:lang w:eastAsia="zh-CN"/>
              </w:rPr>
            </w:pPr>
            <w:r w:rsidRPr="00024E05">
              <w:rPr>
                <w:rFonts w:ascii="Calibri" w:eastAsia="Times New Roman" w:hAnsi="Calibri" w:cs="Calibri"/>
                <w:b/>
                <w:sz w:val="20"/>
                <w:lang w:eastAsia="zh-CN"/>
              </w:rPr>
              <w:t>2014</w:t>
            </w:r>
          </w:p>
        </w:tc>
        <w:tc>
          <w:tcPr>
            <w:tcW w:w="656" w:type="dxa"/>
            <w:tcBorders>
              <w:top w:val="single" w:sz="12" w:space="0" w:color="auto"/>
              <w:left w:val="nil"/>
              <w:bottom w:val="single" w:sz="12" w:space="0" w:color="auto"/>
              <w:right w:val="single" w:sz="8" w:space="0" w:color="auto"/>
            </w:tcBorders>
            <w:shd w:val="clear" w:color="auto" w:fill="9CC2E5"/>
            <w:tcMar>
              <w:top w:w="0" w:type="dxa"/>
              <w:left w:w="108" w:type="dxa"/>
              <w:bottom w:w="0" w:type="dxa"/>
              <w:right w:w="108" w:type="dxa"/>
            </w:tcMar>
            <w:hideMark/>
          </w:tcPr>
          <w:p w14:paraId="0ED1DA41" w14:textId="77777777" w:rsidR="00024E05" w:rsidRPr="00024E05" w:rsidRDefault="00024E05" w:rsidP="00024E0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sz w:val="20"/>
                <w:lang w:eastAsia="zh-CN"/>
              </w:rPr>
            </w:pPr>
            <w:r w:rsidRPr="00024E05">
              <w:rPr>
                <w:rFonts w:ascii="Calibri" w:eastAsia="Times New Roman" w:hAnsi="Calibri" w:cs="Calibri"/>
                <w:b/>
                <w:sz w:val="20"/>
                <w:lang w:eastAsia="zh-CN"/>
              </w:rPr>
              <w:t>2015</w:t>
            </w:r>
          </w:p>
        </w:tc>
        <w:tc>
          <w:tcPr>
            <w:tcW w:w="656" w:type="dxa"/>
            <w:tcBorders>
              <w:top w:val="single" w:sz="12" w:space="0" w:color="auto"/>
              <w:left w:val="nil"/>
              <w:bottom w:val="single" w:sz="12" w:space="0" w:color="auto"/>
              <w:right w:val="single" w:sz="8" w:space="0" w:color="auto"/>
            </w:tcBorders>
            <w:shd w:val="clear" w:color="auto" w:fill="9CC2E5"/>
            <w:tcMar>
              <w:top w:w="0" w:type="dxa"/>
              <w:left w:w="108" w:type="dxa"/>
              <w:bottom w:w="0" w:type="dxa"/>
              <w:right w:w="108" w:type="dxa"/>
            </w:tcMar>
            <w:hideMark/>
          </w:tcPr>
          <w:p w14:paraId="23AEA0B2" w14:textId="77777777" w:rsidR="00024E05" w:rsidRPr="00024E05" w:rsidRDefault="00024E05" w:rsidP="00024E0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sz w:val="20"/>
                <w:lang w:eastAsia="zh-CN"/>
              </w:rPr>
            </w:pPr>
            <w:r w:rsidRPr="00024E05">
              <w:rPr>
                <w:rFonts w:ascii="Calibri" w:eastAsia="Times New Roman" w:hAnsi="Calibri" w:cs="Calibri"/>
                <w:b/>
                <w:sz w:val="20"/>
                <w:lang w:eastAsia="zh-CN"/>
              </w:rPr>
              <w:t>2016</w:t>
            </w:r>
          </w:p>
        </w:tc>
        <w:tc>
          <w:tcPr>
            <w:tcW w:w="656" w:type="dxa"/>
            <w:tcBorders>
              <w:top w:val="single" w:sz="12" w:space="0" w:color="auto"/>
              <w:left w:val="nil"/>
              <w:bottom w:val="single" w:sz="12" w:space="0" w:color="auto"/>
              <w:right w:val="single" w:sz="12" w:space="0" w:color="auto"/>
            </w:tcBorders>
            <w:shd w:val="clear" w:color="auto" w:fill="9CC2E5"/>
            <w:tcMar>
              <w:top w:w="0" w:type="dxa"/>
              <w:left w:w="108" w:type="dxa"/>
              <w:bottom w:w="0" w:type="dxa"/>
              <w:right w:w="108" w:type="dxa"/>
            </w:tcMar>
            <w:hideMark/>
          </w:tcPr>
          <w:p w14:paraId="7D577F2A" w14:textId="77777777" w:rsidR="00024E05" w:rsidRPr="00024E05" w:rsidRDefault="00024E05" w:rsidP="00024E0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sz w:val="20"/>
                <w:lang w:eastAsia="zh-CN"/>
              </w:rPr>
            </w:pPr>
            <w:r w:rsidRPr="00024E05">
              <w:rPr>
                <w:rFonts w:ascii="Calibri" w:eastAsia="Times New Roman" w:hAnsi="Calibri" w:cs="Calibri"/>
                <w:b/>
                <w:sz w:val="20"/>
                <w:lang w:eastAsia="zh-CN"/>
              </w:rPr>
              <w:t>2017</w:t>
            </w:r>
          </w:p>
        </w:tc>
        <w:tc>
          <w:tcPr>
            <w:tcW w:w="656" w:type="dxa"/>
            <w:tcBorders>
              <w:top w:val="single" w:sz="12" w:space="0" w:color="auto"/>
              <w:left w:val="nil"/>
              <w:bottom w:val="single" w:sz="12" w:space="0" w:color="auto"/>
              <w:right w:val="single" w:sz="12" w:space="0" w:color="auto"/>
            </w:tcBorders>
            <w:shd w:val="clear" w:color="auto" w:fill="9CC2E5"/>
            <w:hideMark/>
          </w:tcPr>
          <w:p w14:paraId="20B6586F" w14:textId="77777777" w:rsidR="00024E05" w:rsidRPr="00024E05" w:rsidRDefault="00024E05" w:rsidP="00024E0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sz w:val="20"/>
                <w:lang w:eastAsia="zh-CN"/>
              </w:rPr>
            </w:pPr>
            <w:r w:rsidRPr="00024E05">
              <w:rPr>
                <w:rFonts w:ascii="Calibri" w:eastAsia="Times New Roman" w:hAnsi="Calibri" w:cs="Calibri"/>
                <w:b/>
                <w:sz w:val="20"/>
                <w:lang w:eastAsia="zh-CN"/>
              </w:rPr>
              <w:t>2018</w:t>
            </w:r>
          </w:p>
        </w:tc>
        <w:tc>
          <w:tcPr>
            <w:tcW w:w="656" w:type="dxa"/>
            <w:tcBorders>
              <w:top w:val="single" w:sz="12" w:space="0" w:color="auto"/>
              <w:left w:val="nil"/>
              <w:bottom w:val="single" w:sz="12" w:space="0" w:color="auto"/>
              <w:right w:val="single" w:sz="12" w:space="0" w:color="auto"/>
            </w:tcBorders>
            <w:shd w:val="clear" w:color="auto" w:fill="9CC2E5"/>
          </w:tcPr>
          <w:p w14:paraId="0E6B5CA4" w14:textId="77777777" w:rsidR="00024E05" w:rsidRPr="00024E05" w:rsidRDefault="00024E05" w:rsidP="00024E0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sz w:val="20"/>
                <w:lang w:eastAsia="zh-CN"/>
              </w:rPr>
            </w:pPr>
            <w:r w:rsidRPr="00024E05">
              <w:rPr>
                <w:rFonts w:ascii="Calibri" w:eastAsia="Times New Roman" w:hAnsi="Calibri" w:cs="Calibri"/>
                <w:b/>
                <w:sz w:val="20"/>
                <w:lang w:eastAsia="zh-CN"/>
              </w:rPr>
              <w:t>2019</w:t>
            </w:r>
          </w:p>
        </w:tc>
      </w:tr>
      <w:tr w:rsidR="00024E05" w:rsidRPr="00024E05" w14:paraId="1BA2F35A" w14:textId="77777777" w:rsidTr="002E44C6">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7EDE22F" w14:textId="72C778E7" w:rsidR="00024E05" w:rsidRPr="00554088"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Times New Roman" w:hAnsi="Calibri" w:cs="Calibri"/>
                <w:b/>
                <w:bCs/>
                <w:sz w:val="20"/>
                <w:lang w:eastAsia="zh-CN"/>
              </w:rPr>
            </w:pPr>
            <w:proofErr w:type="spellStart"/>
            <w:r w:rsidRPr="00554088">
              <w:rPr>
                <w:b/>
                <w:bCs/>
                <w:color w:val="000000"/>
                <w:sz w:val="20"/>
              </w:rPr>
              <w:t>部门成</w:t>
            </w:r>
            <w:r w:rsidRPr="00554088">
              <w:rPr>
                <w:rFonts w:ascii="SimSun" w:eastAsia="SimSun" w:hAnsi="SimSun" w:cs="SimSun" w:hint="eastAsia"/>
                <w:b/>
                <w:bCs/>
                <w:color w:val="000000"/>
                <w:sz w:val="20"/>
              </w:rPr>
              <w:t>员</w:t>
            </w:r>
            <w:proofErr w:type="spellEnd"/>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C0AF0C1"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AC2E120"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311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1434743"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323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D11CFD9"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330</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F5F9112"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346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04D4631"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338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F8A99F1"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340</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340B214"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331</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53FC8919" w14:textId="53D80962"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Times New Roman" w:hAnsi="Calibri" w:cs="Calibri"/>
                <w:sz w:val="20"/>
                <w:lang w:eastAsia="zh-CN"/>
              </w:rPr>
            </w:pPr>
            <w:r w:rsidRPr="00024E05">
              <w:rPr>
                <w:rFonts w:ascii="Calibri" w:eastAsia="Times New Roman" w:hAnsi="Calibri" w:cs="Calibri"/>
                <w:sz w:val="20"/>
                <w:lang w:eastAsia="zh-CN"/>
              </w:rPr>
              <w:t>318</w:t>
            </w:r>
          </w:p>
        </w:tc>
        <w:tc>
          <w:tcPr>
            <w:tcW w:w="656" w:type="dxa"/>
            <w:tcBorders>
              <w:top w:val="nil"/>
              <w:left w:val="nil"/>
              <w:bottom w:val="single" w:sz="8" w:space="0" w:color="auto"/>
              <w:right w:val="single" w:sz="12" w:space="0" w:color="auto"/>
            </w:tcBorders>
            <w:hideMark/>
          </w:tcPr>
          <w:p w14:paraId="1A246A23"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310</w:t>
            </w:r>
          </w:p>
        </w:tc>
        <w:tc>
          <w:tcPr>
            <w:tcW w:w="656" w:type="dxa"/>
            <w:tcBorders>
              <w:top w:val="nil"/>
              <w:left w:val="nil"/>
              <w:bottom w:val="single" w:sz="8" w:space="0" w:color="auto"/>
              <w:right w:val="single" w:sz="12" w:space="0" w:color="auto"/>
            </w:tcBorders>
          </w:tcPr>
          <w:p w14:paraId="02088355"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307</w:t>
            </w:r>
          </w:p>
        </w:tc>
      </w:tr>
      <w:tr w:rsidR="00024E05" w:rsidRPr="00024E05" w14:paraId="7ADE0FDB" w14:textId="77777777" w:rsidTr="002E44C6">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55E8243" w14:textId="74ED8D1D" w:rsidR="00024E05" w:rsidRPr="00554088"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Times New Roman" w:hAnsi="Calibri" w:cs="Calibri"/>
                <w:b/>
                <w:bCs/>
                <w:sz w:val="20"/>
                <w:lang w:eastAsia="zh-CN"/>
              </w:rPr>
            </w:pPr>
            <w:proofErr w:type="spellStart"/>
            <w:r w:rsidRPr="00554088">
              <w:rPr>
                <w:b/>
                <w:bCs/>
                <w:color w:val="000000"/>
                <w:sz w:val="20"/>
              </w:rPr>
              <w:t>部门准成</w:t>
            </w:r>
            <w:r w:rsidRPr="00554088">
              <w:rPr>
                <w:rFonts w:ascii="SimSun" w:eastAsia="SimSun" w:hAnsi="SimSun" w:cs="SimSun" w:hint="eastAsia"/>
                <w:b/>
                <w:bCs/>
                <w:color w:val="000000"/>
                <w:sz w:val="20"/>
              </w:rPr>
              <w:t>员</w:t>
            </w:r>
            <w:proofErr w:type="spellEnd"/>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5B82885"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4F74A8A"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DF349E7"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966FE7B"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F3D8D2D"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75DBEAE"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10</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268F00E"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11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ECE1092"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12</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325E6F75"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12</w:t>
            </w:r>
          </w:p>
        </w:tc>
        <w:tc>
          <w:tcPr>
            <w:tcW w:w="656" w:type="dxa"/>
            <w:tcBorders>
              <w:top w:val="nil"/>
              <w:left w:val="nil"/>
              <w:bottom w:val="single" w:sz="8" w:space="0" w:color="auto"/>
              <w:right w:val="single" w:sz="12" w:space="0" w:color="auto"/>
            </w:tcBorders>
            <w:hideMark/>
          </w:tcPr>
          <w:p w14:paraId="6BE69ABE"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14</w:t>
            </w:r>
          </w:p>
        </w:tc>
        <w:tc>
          <w:tcPr>
            <w:tcW w:w="656" w:type="dxa"/>
            <w:tcBorders>
              <w:top w:val="nil"/>
              <w:left w:val="nil"/>
              <w:bottom w:val="single" w:sz="8" w:space="0" w:color="auto"/>
              <w:right w:val="single" w:sz="12" w:space="0" w:color="auto"/>
            </w:tcBorders>
          </w:tcPr>
          <w:p w14:paraId="08CB508E"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17</w:t>
            </w:r>
          </w:p>
        </w:tc>
      </w:tr>
      <w:tr w:rsidR="00024E05" w:rsidRPr="00024E05" w14:paraId="6E0ED2EE" w14:textId="77777777" w:rsidTr="002E44C6">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4132E35" w14:textId="6692EC70" w:rsidR="00024E05" w:rsidRPr="00554088"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Times New Roman" w:hAnsi="Calibri" w:cs="Calibri"/>
                <w:b/>
                <w:bCs/>
                <w:sz w:val="20"/>
                <w:lang w:eastAsia="zh-CN"/>
              </w:rPr>
            </w:pPr>
            <w:proofErr w:type="spellStart"/>
            <w:r w:rsidRPr="00554088">
              <w:rPr>
                <w:b/>
                <w:bCs/>
                <w:color w:val="000000"/>
                <w:sz w:val="20"/>
              </w:rPr>
              <w:t>学术成</w:t>
            </w:r>
            <w:r w:rsidRPr="00554088">
              <w:rPr>
                <w:rFonts w:ascii="SimSun" w:eastAsia="SimSun" w:hAnsi="SimSun" w:cs="SimSun" w:hint="eastAsia"/>
                <w:b/>
                <w:bCs/>
                <w:color w:val="000000"/>
                <w:sz w:val="20"/>
              </w:rPr>
              <w:t>员</w:t>
            </w:r>
            <w:proofErr w:type="spellEnd"/>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EE08596"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671BFA1"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4D17229"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2154D3C"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640D56E"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048C69C"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2F82CDB"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5DDB3C2"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05461064"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125</w:t>
            </w:r>
          </w:p>
        </w:tc>
        <w:tc>
          <w:tcPr>
            <w:tcW w:w="656" w:type="dxa"/>
            <w:tcBorders>
              <w:top w:val="nil"/>
              <w:left w:val="nil"/>
              <w:bottom w:val="single" w:sz="8" w:space="0" w:color="auto"/>
              <w:right w:val="single" w:sz="12" w:space="0" w:color="auto"/>
            </w:tcBorders>
            <w:hideMark/>
          </w:tcPr>
          <w:p w14:paraId="6BEF89EB"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156</w:t>
            </w:r>
          </w:p>
        </w:tc>
        <w:tc>
          <w:tcPr>
            <w:tcW w:w="656" w:type="dxa"/>
            <w:tcBorders>
              <w:top w:val="nil"/>
              <w:left w:val="nil"/>
              <w:bottom w:val="single" w:sz="8" w:space="0" w:color="auto"/>
              <w:right w:val="single" w:sz="12" w:space="0" w:color="auto"/>
            </w:tcBorders>
          </w:tcPr>
          <w:p w14:paraId="5F8AE20C"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163</w:t>
            </w:r>
          </w:p>
        </w:tc>
      </w:tr>
      <w:tr w:rsidR="00024E05" w:rsidRPr="00024E05" w14:paraId="24CDE1D1" w14:textId="77777777" w:rsidTr="002E44C6">
        <w:trPr>
          <w:jc w:val="center"/>
        </w:trPr>
        <w:tc>
          <w:tcPr>
            <w:tcW w:w="173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9BED5DE" w14:textId="7176C7FA" w:rsidR="00024E05" w:rsidRPr="00554088"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Times New Roman" w:hAnsi="Calibri" w:cs="Calibri"/>
                <w:b/>
                <w:bCs/>
                <w:sz w:val="20"/>
                <w:lang w:eastAsia="zh-CN"/>
              </w:rPr>
            </w:pPr>
            <w:r w:rsidRPr="00554088">
              <w:rPr>
                <w:rFonts w:hint="eastAsia"/>
                <w:b/>
                <w:bCs/>
                <w:sz w:val="20"/>
                <w:lang w:eastAsia="zh-CN"/>
              </w:rPr>
              <w:t>总计</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391F8495"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319</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092E274B"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316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4AA60F95"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354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5FB0AED4"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373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182FE3D8"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400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00448D5F"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434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60F015F4"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460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7587246E" w14:textId="21ECC7A0" w:rsidR="00024E05" w:rsidRPr="00024E05" w:rsidRDefault="00024E05" w:rsidP="0055408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rFonts w:ascii="Calibri" w:eastAsia="Times New Roman" w:hAnsi="Calibri" w:cs="Calibri"/>
                <w:sz w:val="20"/>
                <w:lang w:eastAsia="zh-CN"/>
              </w:rPr>
            </w:pPr>
            <w:r w:rsidRPr="00024E05">
              <w:rPr>
                <w:rFonts w:ascii="Calibri" w:eastAsia="Times New Roman" w:hAnsi="Calibri" w:cs="Calibri"/>
                <w:sz w:val="20"/>
                <w:lang w:eastAsia="zh-CN"/>
              </w:rPr>
              <w:t>450</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14:paraId="5C8D82AD"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455</w:t>
            </w:r>
          </w:p>
        </w:tc>
        <w:tc>
          <w:tcPr>
            <w:tcW w:w="656" w:type="dxa"/>
            <w:tcBorders>
              <w:top w:val="nil"/>
              <w:left w:val="nil"/>
              <w:bottom w:val="single" w:sz="12" w:space="0" w:color="auto"/>
              <w:right w:val="single" w:sz="12" w:space="0" w:color="auto"/>
            </w:tcBorders>
            <w:hideMark/>
          </w:tcPr>
          <w:p w14:paraId="3BDB0449"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480</w:t>
            </w:r>
          </w:p>
        </w:tc>
        <w:tc>
          <w:tcPr>
            <w:tcW w:w="656" w:type="dxa"/>
            <w:tcBorders>
              <w:top w:val="nil"/>
              <w:left w:val="nil"/>
              <w:bottom w:val="single" w:sz="12" w:space="0" w:color="auto"/>
              <w:right w:val="single" w:sz="12" w:space="0" w:color="auto"/>
            </w:tcBorders>
          </w:tcPr>
          <w:p w14:paraId="5C402B66" w14:textId="77777777" w:rsidR="00024E05" w:rsidRPr="00024E05" w:rsidRDefault="00024E05" w:rsidP="00024E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Calibri"/>
                <w:sz w:val="20"/>
                <w:lang w:eastAsia="zh-CN"/>
              </w:rPr>
            </w:pPr>
            <w:r w:rsidRPr="00024E05">
              <w:rPr>
                <w:rFonts w:ascii="Calibri" w:eastAsia="Times New Roman" w:hAnsi="Calibri" w:cs="Calibri"/>
                <w:sz w:val="20"/>
                <w:lang w:eastAsia="zh-CN"/>
              </w:rPr>
              <w:t>487</w:t>
            </w:r>
          </w:p>
        </w:tc>
      </w:tr>
    </w:tbl>
    <w:p w14:paraId="6740083D" w14:textId="159D6FD5" w:rsidR="00024E05" w:rsidRPr="00554088" w:rsidRDefault="008432A3" w:rsidP="00554088">
      <w:pPr>
        <w:ind w:firstLineChars="200" w:firstLine="480"/>
        <w:rPr>
          <w:szCs w:val="24"/>
          <w:lang w:eastAsia="zh-CN"/>
        </w:rPr>
      </w:pPr>
      <w:r w:rsidRPr="00554088">
        <w:rPr>
          <w:rFonts w:hint="eastAsia"/>
          <w:szCs w:val="24"/>
          <w:lang w:eastAsia="zh-CN"/>
        </w:rPr>
        <w:t>下图展</w:t>
      </w:r>
      <w:r w:rsidR="004B56E7" w:rsidRPr="00554088">
        <w:rPr>
          <w:rFonts w:hint="eastAsia"/>
          <w:szCs w:val="24"/>
          <w:lang w:eastAsia="zh-CN"/>
        </w:rPr>
        <w:t>示了从</w:t>
      </w:r>
      <w:r w:rsidR="004B56E7" w:rsidRPr="00554088">
        <w:rPr>
          <w:rFonts w:hint="eastAsia"/>
          <w:szCs w:val="24"/>
          <w:lang w:eastAsia="zh-CN"/>
        </w:rPr>
        <w:t>1994</w:t>
      </w:r>
      <w:r w:rsidR="004B56E7" w:rsidRPr="00554088">
        <w:rPr>
          <w:rFonts w:hint="eastAsia"/>
          <w:szCs w:val="24"/>
          <w:lang w:eastAsia="zh-CN"/>
        </w:rPr>
        <w:t>年到</w:t>
      </w:r>
      <w:r w:rsidR="004B56E7" w:rsidRPr="00554088">
        <w:rPr>
          <w:rFonts w:hint="eastAsia"/>
          <w:szCs w:val="24"/>
          <w:lang w:eastAsia="zh-CN"/>
        </w:rPr>
        <w:t>2019</w:t>
      </w:r>
      <w:r w:rsidR="004B56E7" w:rsidRPr="00554088">
        <w:rPr>
          <w:rFonts w:hint="eastAsia"/>
          <w:szCs w:val="24"/>
          <w:lang w:eastAsia="zh-CN"/>
        </w:rPr>
        <w:t>年</w:t>
      </w:r>
      <w:r w:rsidR="004B56E7" w:rsidRPr="00554088">
        <w:rPr>
          <w:rFonts w:hint="eastAsia"/>
          <w:szCs w:val="24"/>
          <w:lang w:eastAsia="zh-CN"/>
        </w:rPr>
        <w:t>ITU-D</w:t>
      </w:r>
      <w:r w:rsidR="004B56E7" w:rsidRPr="00554088">
        <w:rPr>
          <w:rFonts w:hint="eastAsia"/>
          <w:szCs w:val="24"/>
          <w:lang w:eastAsia="zh-CN"/>
        </w:rPr>
        <w:t>成员</w:t>
      </w:r>
      <w:r w:rsidRPr="00554088">
        <w:rPr>
          <w:rFonts w:hint="eastAsia"/>
          <w:szCs w:val="24"/>
          <w:lang w:eastAsia="zh-CN"/>
        </w:rPr>
        <w:t>队伍</w:t>
      </w:r>
      <w:r w:rsidR="004B56E7" w:rsidRPr="00554088">
        <w:rPr>
          <w:rFonts w:hint="eastAsia"/>
          <w:szCs w:val="24"/>
          <w:lang w:eastAsia="zh-CN"/>
        </w:rPr>
        <w:t>的发展情况，总体而言报告显示稳定</w:t>
      </w:r>
      <w:r w:rsidR="00554088">
        <w:rPr>
          <w:szCs w:val="24"/>
          <w:lang w:eastAsia="zh-CN"/>
        </w:rPr>
        <w:br/>
      </w:r>
      <w:r w:rsidR="004B56E7" w:rsidRPr="00554088">
        <w:rPr>
          <w:rFonts w:hint="eastAsia"/>
          <w:szCs w:val="24"/>
          <w:lang w:eastAsia="zh-CN"/>
        </w:rPr>
        <w:t>增长。</w:t>
      </w:r>
    </w:p>
    <w:p w14:paraId="0A04ABAA" w14:textId="77777777" w:rsidR="00024E05" w:rsidRPr="00024E05" w:rsidRDefault="00024E05" w:rsidP="00024E05">
      <w:pPr>
        <w:shd w:val="clear" w:color="auto" w:fill="FFFFFF"/>
        <w:tabs>
          <w:tab w:val="clear" w:pos="794"/>
          <w:tab w:val="clear" w:pos="1191"/>
          <w:tab w:val="clear" w:pos="1588"/>
          <w:tab w:val="clear" w:pos="1985"/>
        </w:tabs>
        <w:overflowPunct/>
        <w:autoSpaceDE/>
        <w:autoSpaceDN/>
        <w:adjustRightInd/>
        <w:jc w:val="center"/>
        <w:textAlignment w:val="auto"/>
        <w:rPr>
          <w:rFonts w:ascii="Times New Roman" w:eastAsia="Times New Roman" w:hAnsi="Times New Roman"/>
          <w:noProof/>
          <w:szCs w:val="24"/>
          <w:lang w:val="en-US" w:eastAsia="zh-CN"/>
        </w:rPr>
      </w:pPr>
      <w:r w:rsidRPr="00024E05">
        <w:rPr>
          <w:rFonts w:ascii="Times New Roman" w:eastAsia="Times New Roman" w:hAnsi="Times New Roman"/>
          <w:noProof/>
          <w:szCs w:val="24"/>
          <w:lang w:eastAsia="zh-CN"/>
        </w:rPr>
        <w:drawing>
          <wp:inline distT="0" distB="0" distL="0" distR="0" wp14:anchorId="703A5D2A" wp14:editId="0A150E3F">
            <wp:extent cx="5717355" cy="2673350"/>
            <wp:effectExtent l="0" t="0" r="1714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84DF4C" w14:textId="3E9DFCB2" w:rsidR="007B58A6" w:rsidRPr="006925CE" w:rsidRDefault="007B58A6" w:rsidP="006925CE">
      <w:pPr>
        <w:rPr>
          <w:sz w:val="20"/>
          <w:lang w:eastAsia="zh-CN"/>
        </w:rPr>
      </w:pPr>
      <w:r w:rsidRPr="00EB1FB3">
        <w:rPr>
          <w:rFonts w:hint="eastAsia"/>
          <w:sz w:val="20"/>
          <w:lang w:eastAsia="zh-CN"/>
        </w:rPr>
        <w:t>图中</w:t>
      </w:r>
      <w:r w:rsidR="00EB1FB3" w:rsidRPr="00EB1FB3">
        <w:rPr>
          <w:rFonts w:hint="eastAsia"/>
          <w:sz w:val="20"/>
          <w:lang w:eastAsia="zh-CN"/>
        </w:rPr>
        <w:t>文字</w:t>
      </w:r>
      <w:r w:rsidRPr="00EB1FB3">
        <w:rPr>
          <w:rFonts w:hint="eastAsia"/>
          <w:sz w:val="20"/>
          <w:lang w:eastAsia="zh-CN"/>
        </w:rPr>
        <w:t>：</w:t>
      </w:r>
      <w:r w:rsidR="004413DE">
        <w:rPr>
          <w:sz w:val="20"/>
          <w:lang w:eastAsia="zh-CN"/>
        </w:rPr>
        <w:br/>
      </w:r>
      <w:r w:rsidR="006925CE">
        <w:rPr>
          <w:rFonts w:hint="eastAsia"/>
          <w:sz w:val="20"/>
          <w:lang w:eastAsia="zh-CN"/>
        </w:rPr>
        <w:t>G</w:t>
      </w:r>
      <w:r w:rsidR="006925CE">
        <w:rPr>
          <w:sz w:val="20"/>
          <w:lang w:eastAsia="zh-CN"/>
        </w:rPr>
        <w:t>raph</w:t>
      </w:r>
      <w:r w:rsidR="006925CE">
        <w:rPr>
          <w:sz w:val="20"/>
          <w:lang w:eastAsia="zh-CN"/>
        </w:rPr>
        <w:t>：</w:t>
      </w:r>
      <w:r w:rsidR="006925CE">
        <w:rPr>
          <w:rFonts w:hint="eastAsia"/>
          <w:sz w:val="20"/>
          <w:lang w:eastAsia="zh-CN"/>
        </w:rPr>
        <w:t>图</w:t>
      </w:r>
      <w:r w:rsidR="004413DE">
        <w:rPr>
          <w:sz w:val="20"/>
          <w:lang w:eastAsia="zh-CN"/>
        </w:rPr>
        <w:br/>
      </w:r>
      <w:r w:rsidR="006925CE">
        <w:rPr>
          <w:rFonts w:hint="eastAsia"/>
          <w:sz w:val="20"/>
          <w:lang w:eastAsia="zh-CN"/>
        </w:rPr>
        <w:t>E</w:t>
      </w:r>
      <w:r w:rsidR="006925CE">
        <w:rPr>
          <w:sz w:val="20"/>
          <w:lang w:eastAsia="zh-CN"/>
        </w:rPr>
        <w:t xml:space="preserve">volution of ITU-D </w:t>
      </w:r>
      <w:proofErr w:type="spellStart"/>
      <w:r w:rsidR="006925CE">
        <w:rPr>
          <w:sz w:val="20"/>
          <w:lang w:eastAsia="zh-CN"/>
        </w:rPr>
        <w:t>memship</w:t>
      </w:r>
      <w:proofErr w:type="spellEnd"/>
      <w:r w:rsidR="006925CE">
        <w:rPr>
          <w:sz w:val="20"/>
          <w:lang w:eastAsia="zh-CN"/>
        </w:rPr>
        <w:t xml:space="preserve"> (1994-2019)</w:t>
      </w:r>
      <w:r w:rsidR="0067445D">
        <w:rPr>
          <w:sz w:val="20"/>
          <w:lang w:eastAsia="zh-CN"/>
        </w:rPr>
        <w:t>：</w:t>
      </w:r>
      <w:r w:rsidR="006925CE">
        <w:rPr>
          <w:rFonts w:hint="eastAsia"/>
          <w:sz w:val="20"/>
          <w:lang w:eastAsia="zh-CN"/>
        </w:rPr>
        <w:t>I</w:t>
      </w:r>
      <w:r w:rsidR="006925CE">
        <w:rPr>
          <w:sz w:val="20"/>
          <w:lang w:eastAsia="zh-CN"/>
        </w:rPr>
        <w:t>TU-D</w:t>
      </w:r>
      <w:r w:rsidR="006925CE">
        <w:rPr>
          <w:rFonts w:hint="eastAsia"/>
          <w:sz w:val="20"/>
          <w:lang w:eastAsia="zh-CN"/>
        </w:rPr>
        <w:t>成员队伍的发展情况（</w:t>
      </w:r>
      <w:r w:rsidR="006925CE">
        <w:rPr>
          <w:rFonts w:hint="eastAsia"/>
          <w:sz w:val="20"/>
          <w:lang w:eastAsia="zh-CN"/>
        </w:rPr>
        <w:t>1994-2019</w:t>
      </w:r>
      <w:r w:rsidR="006925CE">
        <w:rPr>
          <w:rFonts w:hint="eastAsia"/>
          <w:sz w:val="20"/>
          <w:lang w:eastAsia="zh-CN"/>
        </w:rPr>
        <w:t>）</w:t>
      </w:r>
    </w:p>
    <w:p w14:paraId="1D77459F" w14:textId="49E3931F" w:rsidR="00600AEC" w:rsidRDefault="00600AEC" w:rsidP="00EB1FB3">
      <w:pPr>
        <w:pStyle w:val="Heading2"/>
        <w:rPr>
          <w:lang w:eastAsia="zh-CN"/>
        </w:rPr>
      </w:pPr>
      <w:r>
        <w:rPr>
          <w:rFonts w:hint="eastAsia"/>
          <w:lang w:eastAsia="zh-CN"/>
        </w:rPr>
        <w:t>3.1</w:t>
      </w:r>
      <w:r>
        <w:rPr>
          <w:lang w:eastAsia="zh-CN"/>
        </w:rPr>
        <w:tab/>
      </w:r>
      <w:r w:rsidR="007B58A6">
        <w:rPr>
          <w:rFonts w:hint="eastAsia"/>
          <w:lang w:eastAsia="zh-CN"/>
        </w:rPr>
        <w:t>201</w:t>
      </w:r>
      <w:r w:rsidR="00024E05">
        <w:rPr>
          <w:rFonts w:hint="eastAsia"/>
          <w:lang w:eastAsia="zh-CN"/>
        </w:rPr>
        <w:t>9</w:t>
      </w:r>
      <w:r w:rsidR="007B58A6">
        <w:rPr>
          <w:rFonts w:hint="eastAsia"/>
          <w:lang w:eastAsia="zh-CN"/>
        </w:rPr>
        <w:t>年</w:t>
      </w:r>
      <w:r w:rsidR="008D71AF" w:rsidRPr="006C2561">
        <w:rPr>
          <w:rFonts w:hint="eastAsia"/>
          <w:lang w:eastAsia="zh-CN"/>
        </w:rPr>
        <w:t>部门</w:t>
      </w:r>
      <w:r w:rsidR="008D71AF" w:rsidRPr="006C2561">
        <w:rPr>
          <w:lang w:eastAsia="zh-CN"/>
        </w:rPr>
        <w:t>成员</w:t>
      </w:r>
      <w:r w:rsidR="007B58A6">
        <w:rPr>
          <w:rFonts w:hint="eastAsia"/>
          <w:lang w:eastAsia="zh-CN"/>
        </w:rPr>
        <w:t>和部门准成员</w:t>
      </w:r>
      <w:r w:rsidR="00520649">
        <w:rPr>
          <w:rFonts w:hint="eastAsia"/>
          <w:lang w:eastAsia="zh-CN"/>
        </w:rPr>
        <w:t>的情况</w:t>
      </w:r>
    </w:p>
    <w:p w14:paraId="03B6A488" w14:textId="4E3FEF61" w:rsidR="00BC233D" w:rsidRPr="00246166" w:rsidRDefault="00BC233D" w:rsidP="00246166">
      <w:pPr>
        <w:ind w:firstLineChars="200" w:firstLine="480"/>
        <w:rPr>
          <w:lang w:eastAsia="zh-CN"/>
        </w:rPr>
      </w:pPr>
      <w:r w:rsidRPr="00BC233D">
        <w:rPr>
          <w:rFonts w:hint="eastAsia"/>
          <w:lang w:eastAsia="zh-CN"/>
        </w:rPr>
        <w:t>201</w:t>
      </w:r>
      <w:r w:rsidR="00024E05">
        <w:rPr>
          <w:rFonts w:hint="eastAsia"/>
          <w:lang w:eastAsia="zh-CN"/>
        </w:rPr>
        <w:t>9</w:t>
      </w:r>
      <w:r w:rsidRPr="00BC233D">
        <w:rPr>
          <w:rFonts w:hint="eastAsia"/>
          <w:lang w:eastAsia="zh-CN"/>
        </w:rPr>
        <w:t>年，</w:t>
      </w:r>
      <w:r w:rsidRPr="00BC233D">
        <w:rPr>
          <w:rFonts w:hint="eastAsia"/>
          <w:lang w:eastAsia="zh-CN"/>
        </w:rPr>
        <w:t>ITU-D</w:t>
      </w:r>
      <w:r w:rsidRPr="00BC233D">
        <w:rPr>
          <w:rFonts w:hint="eastAsia"/>
          <w:lang w:eastAsia="zh-CN"/>
        </w:rPr>
        <w:t>吸引了</w:t>
      </w:r>
      <w:r w:rsidR="005274AC" w:rsidRPr="005274AC">
        <w:rPr>
          <w:rFonts w:ascii="STKaiti" w:eastAsia="STKaiti" w:hAnsi="STKaiti" w:hint="eastAsia"/>
          <w:b/>
          <w:bCs/>
          <w:lang w:eastAsia="zh-CN"/>
        </w:rPr>
        <w:t>13</w:t>
      </w:r>
      <w:r w:rsidR="00246166">
        <w:rPr>
          <w:rFonts w:ascii="STKaiti" w:eastAsia="STKaiti" w:hAnsi="STKaiti" w:hint="eastAsia"/>
          <w:b/>
          <w:bCs/>
          <w:lang w:eastAsia="zh-CN"/>
        </w:rPr>
        <w:t>位</w:t>
      </w:r>
      <w:r w:rsidR="00801F5E" w:rsidRPr="005274AC">
        <w:rPr>
          <w:rFonts w:ascii="STKaiti" w:eastAsia="STKaiti" w:hAnsi="STKaiti" w:hint="eastAsia"/>
          <w:b/>
          <w:bCs/>
          <w:lang w:eastAsia="zh-CN"/>
        </w:rPr>
        <w:t>新</w:t>
      </w:r>
      <w:r w:rsidR="005274AC" w:rsidRPr="005274AC">
        <w:rPr>
          <w:rFonts w:ascii="STKaiti" w:eastAsia="STKaiti" w:hAnsi="STKaiti" w:hint="eastAsia"/>
          <w:b/>
          <w:bCs/>
          <w:lang w:eastAsia="zh-CN"/>
        </w:rPr>
        <w:t>的</w:t>
      </w:r>
      <w:r w:rsidRPr="005274AC">
        <w:rPr>
          <w:rFonts w:ascii="STKaiti" w:eastAsia="STKaiti" w:hAnsi="STKaiti" w:hint="eastAsia"/>
          <w:b/>
          <w:bCs/>
          <w:lang w:eastAsia="zh-CN"/>
        </w:rPr>
        <w:t>部门成员</w:t>
      </w:r>
      <w:r>
        <w:rPr>
          <w:rFonts w:hint="eastAsia"/>
          <w:lang w:eastAsia="zh-CN"/>
        </w:rPr>
        <w:t>：</w:t>
      </w:r>
      <w:r w:rsidR="005274AC" w:rsidRPr="005274AC">
        <w:rPr>
          <w:rFonts w:hint="eastAsia"/>
          <w:lang w:eastAsia="zh-CN"/>
        </w:rPr>
        <w:t>AEPF</w:t>
      </w:r>
      <w:r w:rsidR="005274AC">
        <w:rPr>
          <w:rFonts w:hint="eastAsia"/>
          <w:lang w:eastAsia="zh-CN"/>
        </w:rPr>
        <w:t>（乍得）、</w:t>
      </w:r>
      <w:r w:rsidR="005274AC" w:rsidRPr="005274AC">
        <w:rPr>
          <w:rFonts w:hint="eastAsia"/>
          <w:lang w:eastAsia="zh-CN"/>
        </w:rPr>
        <w:t>亚马逊</w:t>
      </w:r>
      <w:r w:rsidR="005274AC">
        <w:rPr>
          <w:rFonts w:hint="eastAsia"/>
          <w:lang w:eastAsia="zh-CN"/>
        </w:rPr>
        <w:t>云计算</w:t>
      </w:r>
      <w:r w:rsidR="005274AC" w:rsidRPr="005274AC">
        <w:rPr>
          <w:rFonts w:hint="eastAsia"/>
          <w:lang w:eastAsia="zh-CN"/>
        </w:rPr>
        <w:t>服务（美国）</w:t>
      </w:r>
      <w:r w:rsidR="004C3B40">
        <w:rPr>
          <w:rFonts w:hint="eastAsia"/>
          <w:lang w:eastAsia="zh-CN"/>
        </w:rPr>
        <w:t>、</w:t>
      </w:r>
      <w:r w:rsidR="005274AC" w:rsidRPr="005274AC">
        <w:rPr>
          <w:rFonts w:hint="eastAsia"/>
          <w:lang w:eastAsia="zh-CN"/>
        </w:rPr>
        <w:t>ANSUT</w:t>
      </w:r>
      <w:r w:rsidR="005274AC" w:rsidRPr="005274AC">
        <w:rPr>
          <w:rFonts w:hint="eastAsia"/>
          <w:lang w:eastAsia="zh-CN"/>
        </w:rPr>
        <w:t>（科特迪瓦）</w:t>
      </w:r>
      <w:r w:rsidR="004C3B40">
        <w:rPr>
          <w:rFonts w:hint="eastAsia"/>
          <w:lang w:eastAsia="zh-CN"/>
        </w:rPr>
        <w:t>、</w:t>
      </w:r>
      <w:r w:rsidR="005274AC" w:rsidRPr="005274AC">
        <w:rPr>
          <w:rFonts w:hint="eastAsia"/>
          <w:lang w:eastAsia="zh-CN"/>
        </w:rPr>
        <w:t>BCSL</w:t>
      </w:r>
      <w:r w:rsidR="004C3B40">
        <w:rPr>
          <w:rFonts w:hint="eastAsia"/>
          <w:lang w:eastAsia="zh-CN"/>
        </w:rPr>
        <w:t>（孟加拉国）、休斯网络系统有限责任公司（美国），互联网</w:t>
      </w:r>
      <w:r w:rsidR="005274AC" w:rsidRPr="005274AC">
        <w:rPr>
          <w:rFonts w:hint="eastAsia"/>
          <w:lang w:eastAsia="zh-CN"/>
        </w:rPr>
        <w:t>名称</w:t>
      </w:r>
      <w:r w:rsidR="004C3B40">
        <w:rPr>
          <w:rFonts w:hint="eastAsia"/>
          <w:lang w:eastAsia="zh-CN"/>
        </w:rPr>
        <w:t>与数字地址分配机构（</w:t>
      </w:r>
      <w:r w:rsidR="005274AC" w:rsidRPr="005274AC">
        <w:rPr>
          <w:rFonts w:hint="eastAsia"/>
          <w:lang w:eastAsia="zh-CN"/>
        </w:rPr>
        <w:t>ICANN</w:t>
      </w:r>
      <w:r w:rsidR="004C3B40">
        <w:rPr>
          <w:rFonts w:hint="eastAsia"/>
          <w:lang w:eastAsia="zh-CN"/>
        </w:rPr>
        <w:t>）</w:t>
      </w:r>
      <w:r w:rsidR="005274AC" w:rsidRPr="005274AC">
        <w:rPr>
          <w:rFonts w:hint="eastAsia"/>
          <w:lang w:eastAsia="zh-CN"/>
        </w:rPr>
        <w:t>（美国）</w:t>
      </w:r>
      <w:r w:rsidR="004C3B40">
        <w:rPr>
          <w:rFonts w:hint="eastAsia"/>
          <w:lang w:eastAsia="zh-CN"/>
        </w:rPr>
        <w:t>、</w:t>
      </w:r>
      <w:r w:rsidR="004C3B40">
        <w:rPr>
          <w:rFonts w:hint="eastAsia"/>
          <w:lang w:eastAsia="zh-CN"/>
        </w:rPr>
        <w:t>Loon</w:t>
      </w:r>
      <w:r w:rsidR="004C3B40">
        <w:rPr>
          <w:rFonts w:hint="eastAsia"/>
          <w:lang w:eastAsia="zh-CN"/>
        </w:rPr>
        <w:t>有限责任公司</w:t>
      </w:r>
      <w:r w:rsidR="004C3B40" w:rsidRPr="004C3B40">
        <w:rPr>
          <w:rFonts w:hint="eastAsia"/>
          <w:lang w:eastAsia="zh-CN"/>
        </w:rPr>
        <w:t>（美国），</w:t>
      </w:r>
      <w:proofErr w:type="spellStart"/>
      <w:r w:rsidR="004C3B40" w:rsidRPr="004C3B40">
        <w:rPr>
          <w:rFonts w:hint="eastAsia"/>
          <w:lang w:eastAsia="zh-CN"/>
        </w:rPr>
        <w:t>Mada</w:t>
      </w:r>
      <w:proofErr w:type="spellEnd"/>
      <w:r w:rsidR="004C3B40" w:rsidRPr="004C3B40">
        <w:rPr>
          <w:rFonts w:hint="eastAsia"/>
          <w:lang w:eastAsia="zh-CN"/>
        </w:rPr>
        <w:t>-</w:t>
      </w:r>
      <w:r w:rsidR="004C3B40">
        <w:rPr>
          <w:rFonts w:hint="eastAsia"/>
          <w:lang w:eastAsia="zh-CN"/>
        </w:rPr>
        <w:t>卡塔尔辅助技术中心（卡塔尔）、</w:t>
      </w:r>
      <w:r w:rsidR="004C3B40" w:rsidRPr="004C3B40">
        <w:rPr>
          <w:rFonts w:hint="eastAsia"/>
          <w:lang w:eastAsia="zh-CN"/>
        </w:rPr>
        <w:t>MTN</w:t>
      </w:r>
      <w:r w:rsidR="004C3B40" w:rsidRPr="004C3B40">
        <w:rPr>
          <w:rFonts w:hint="eastAsia"/>
          <w:lang w:eastAsia="zh-CN"/>
        </w:rPr>
        <w:t>管理服务</w:t>
      </w:r>
      <w:r w:rsidR="00F92B4A" w:rsidRPr="004C3B40">
        <w:rPr>
          <w:rFonts w:hint="eastAsia"/>
          <w:lang w:eastAsia="zh-CN"/>
        </w:rPr>
        <w:t>集团</w:t>
      </w:r>
      <w:r w:rsidR="004C3B40" w:rsidRPr="004C3B40">
        <w:rPr>
          <w:rFonts w:hint="eastAsia"/>
          <w:lang w:eastAsia="zh-CN"/>
        </w:rPr>
        <w:t>（南非），</w:t>
      </w:r>
      <w:r w:rsidR="00F92B4A">
        <w:rPr>
          <w:rFonts w:hint="eastAsia"/>
          <w:lang w:eastAsia="zh-CN"/>
        </w:rPr>
        <w:t>信实</w:t>
      </w:r>
      <w:r w:rsidR="004C3B40" w:rsidRPr="004C3B40">
        <w:rPr>
          <w:rFonts w:hint="eastAsia"/>
          <w:lang w:eastAsia="zh-CN"/>
        </w:rPr>
        <w:t>JIO Infocom</w:t>
      </w:r>
      <w:r w:rsidR="00F92B4A">
        <w:rPr>
          <w:rFonts w:hint="eastAsia"/>
          <w:lang w:eastAsia="zh-CN"/>
        </w:rPr>
        <w:t>公司（印度）、</w:t>
      </w:r>
      <w:r w:rsidR="004C3B40" w:rsidRPr="004C3B40">
        <w:rPr>
          <w:rFonts w:hint="eastAsia"/>
          <w:lang w:eastAsia="zh-CN"/>
        </w:rPr>
        <w:t>共享移动集团（中国）</w:t>
      </w:r>
      <w:r w:rsidR="00F92B4A">
        <w:rPr>
          <w:rFonts w:hint="eastAsia"/>
          <w:lang w:eastAsia="zh-CN"/>
        </w:rPr>
        <w:t>、</w:t>
      </w:r>
      <w:r w:rsidR="00F92B4A" w:rsidRPr="004C3B40">
        <w:rPr>
          <w:rFonts w:hint="eastAsia"/>
          <w:lang w:eastAsia="zh-CN"/>
        </w:rPr>
        <w:t>加纳</w:t>
      </w:r>
      <w:r w:rsidR="00F92B4A">
        <w:rPr>
          <w:rFonts w:hint="eastAsia"/>
          <w:lang w:eastAsia="zh-CN"/>
        </w:rPr>
        <w:t>Subah</w:t>
      </w:r>
      <w:r w:rsidR="00F92B4A">
        <w:rPr>
          <w:rFonts w:hint="eastAsia"/>
          <w:lang w:eastAsia="zh-CN"/>
        </w:rPr>
        <w:t>信息解决方案</w:t>
      </w:r>
      <w:r w:rsidR="004C3B40" w:rsidRPr="004C3B40">
        <w:rPr>
          <w:rFonts w:hint="eastAsia"/>
          <w:lang w:eastAsia="zh-CN"/>
        </w:rPr>
        <w:t>有限公司（加纳）</w:t>
      </w:r>
      <w:r w:rsidR="00F92B4A">
        <w:rPr>
          <w:rFonts w:hint="eastAsia"/>
          <w:lang w:eastAsia="zh-CN"/>
        </w:rPr>
        <w:t>、</w:t>
      </w:r>
      <w:r w:rsidR="004C3B40" w:rsidRPr="004C3B40">
        <w:rPr>
          <w:rFonts w:hint="eastAsia"/>
          <w:lang w:eastAsia="zh-CN"/>
        </w:rPr>
        <w:t xml:space="preserve">U Mobile </w:t>
      </w:r>
      <w:proofErr w:type="spellStart"/>
      <w:r w:rsidR="004C3B40" w:rsidRPr="004C3B40">
        <w:rPr>
          <w:rFonts w:hint="eastAsia"/>
          <w:lang w:eastAsia="zh-CN"/>
        </w:rPr>
        <w:t>Sdn</w:t>
      </w:r>
      <w:proofErr w:type="spellEnd"/>
      <w:r w:rsidR="004C3B40" w:rsidRPr="004C3B40">
        <w:rPr>
          <w:rFonts w:hint="eastAsia"/>
          <w:lang w:eastAsia="zh-CN"/>
        </w:rPr>
        <w:t xml:space="preserve"> </w:t>
      </w:r>
      <w:proofErr w:type="spellStart"/>
      <w:r w:rsidR="004C3B40" w:rsidRPr="004C3B40">
        <w:rPr>
          <w:rFonts w:hint="eastAsia"/>
          <w:lang w:eastAsia="zh-CN"/>
        </w:rPr>
        <w:t>Bhd</w:t>
      </w:r>
      <w:proofErr w:type="spellEnd"/>
      <w:r w:rsidR="00246166">
        <w:rPr>
          <w:rFonts w:hint="eastAsia"/>
          <w:lang w:eastAsia="zh-CN"/>
        </w:rPr>
        <w:t>公司</w:t>
      </w:r>
      <w:r w:rsidR="004C3B40" w:rsidRPr="004C3B40">
        <w:rPr>
          <w:rFonts w:hint="eastAsia"/>
          <w:lang w:eastAsia="zh-CN"/>
        </w:rPr>
        <w:t>（马来西亚）</w:t>
      </w:r>
      <w:r w:rsidR="00246166">
        <w:rPr>
          <w:rFonts w:hint="eastAsia"/>
          <w:lang w:eastAsia="zh-CN"/>
        </w:rPr>
        <w:t>、卫讯公司</w:t>
      </w:r>
      <w:r w:rsidR="004C3B40" w:rsidRPr="004C3B40">
        <w:rPr>
          <w:rFonts w:hint="eastAsia"/>
          <w:lang w:eastAsia="zh-CN"/>
        </w:rPr>
        <w:t>（美国）。</w:t>
      </w:r>
      <w:r w:rsidR="00246166" w:rsidRPr="00BC233D">
        <w:rPr>
          <w:rFonts w:hint="eastAsia"/>
          <w:lang w:eastAsia="zh-CN"/>
        </w:rPr>
        <w:t>ITU-D</w:t>
      </w:r>
      <w:r w:rsidR="00246166">
        <w:rPr>
          <w:rFonts w:hint="eastAsia"/>
          <w:lang w:eastAsia="zh-CN"/>
        </w:rPr>
        <w:t>还</w:t>
      </w:r>
      <w:r w:rsidR="00246166" w:rsidRPr="00BC233D">
        <w:rPr>
          <w:rFonts w:hint="eastAsia"/>
          <w:lang w:eastAsia="zh-CN"/>
        </w:rPr>
        <w:t>吸引了</w:t>
      </w:r>
      <w:r w:rsidR="00246166">
        <w:rPr>
          <w:rFonts w:ascii="STKaiti" w:eastAsia="STKaiti" w:hAnsi="STKaiti" w:hint="eastAsia"/>
          <w:b/>
          <w:bCs/>
          <w:lang w:eastAsia="zh-CN"/>
        </w:rPr>
        <w:t>5位</w:t>
      </w:r>
      <w:r w:rsidR="00246166" w:rsidRPr="005274AC">
        <w:rPr>
          <w:rFonts w:ascii="STKaiti" w:eastAsia="STKaiti" w:hAnsi="STKaiti" w:hint="eastAsia"/>
          <w:b/>
          <w:bCs/>
          <w:lang w:eastAsia="zh-CN"/>
        </w:rPr>
        <w:t>新的部门</w:t>
      </w:r>
      <w:r w:rsidR="00246166">
        <w:rPr>
          <w:rFonts w:ascii="STKaiti" w:eastAsia="STKaiti" w:hAnsi="STKaiti" w:hint="eastAsia"/>
          <w:b/>
          <w:bCs/>
          <w:lang w:eastAsia="zh-CN"/>
        </w:rPr>
        <w:t>准</w:t>
      </w:r>
      <w:r w:rsidR="00246166" w:rsidRPr="005274AC">
        <w:rPr>
          <w:rFonts w:ascii="STKaiti" w:eastAsia="STKaiti" w:hAnsi="STKaiti" w:hint="eastAsia"/>
          <w:b/>
          <w:bCs/>
          <w:lang w:eastAsia="zh-CN"/>
        </w:rPr>
        <w:t>成员</w:t>
      </w:r>
      <w:r>
        <w:rPr>
          <w:rFonts w:hint="eastAsia"/>
          <w:lang w:eastAsia="zh-CN"/>
        </w:rPr>
        <w:t>：</w:t>
      </w:r>
      <w:proofErr w:type="spellStart"/>
      <w:r w:rsidR="00246166" w:rsidRPr="00246166">
        <w:rPr>
          <w:rFonts w:hint="eastAsia"/>
          <w:lang w:eastAsia="zh-CN"/>
        </w:rPr>
        <w:t>Afilias</w:t>
      </w:r>
      <w:proofErr w:type="spellEnd"/>
      <w:r w:rsidR="00246166">
        <w:rPr>
          <w:rFonts w:hint="eastAsia"/>
          <w:lang w:eastAsia="zh-CN"/>
        </w:rPr>
        <w:t>有限公司</w:t>
      </w:r>
      <w:r w:rsidR="00246166" w:rsidRPr="00246166">
        <w:rPr>
          <w:rFonts w:hint="eastAsia"/>
          <w:lang w:eastAsia="zh-CN"/>
        </w:rPr>
        <w:t>（爱尔兰）</w:t>
      </w:r>
      <w:r w:rsidR="00246166">
        <w:rPr>
          <w:rFonts w:hint="eastAsia"/>
          <w:lang w:eastAsia="zh-CN"/>
        </w:rPr>
        <w:t>、</w:t>
      </w:r>
      <w:r w:rsidR="00246166" w:rsidRPr="00246166">
        <w:rPr>
          <w:rFonts w:hint="eastAsia"/>
          <w:lang w:eastAsia="zh-CN"/>
        </w:rPr>
        <w:t xml:space="preserve">CACF-3g </w:t>
      </w:r>
      <w:r w:rsidR="007913C1">
        <w:rPr>
          <w:rFonts w:hint="eastAsia"/>
          <w:lang w:eastAsia="zh-CN"/>
        </w:rPr>
        <w:t>技术公司（巴基斯坦）、</w:t>
      </w:r>
      <w:proofErr w:type="spellStart"/>
      <w:r w:rsidR="00246166" w:rsidRPr="00246166">
        <w:rPr>
          <w:rFonts w:hint="eastAsia"/>
          <w:lang w:eastAsia="zh-CN"/>
        </w:rPr>
        <w:t>Codewise</w:t>
      </w:r>
      <w:proofErr w:type="spellEnd"/>
      <w:r w:rsidR="007913C1">
        <w:rPr>
          <w:rFonts w:hint="eastAsia"/>
          <w:lang w:eastAsia="zh-CN"/>
        </w:rPr>
        <w:t>公司（波兰）、普华永道（瑞士）、</w:t>
      </w:r>
      <w:proofErr w:type="spellStart"/>
      <w:r w:rsidR="00246166" w:rsidRPr="00246166">
        <w:rPr>
          <w:rFonts w:hint="eastAsia"/>
          <w:lang w:eastAsia="zh-CN"/>
        </w:rPr>
        <w:t>Silensec</w:t>
      </w:r>
      <w:proofErr w:type="spellEnd"/>
      <w:r w:rsidR="007913C1">
        <w:rPr>
          <w:rFonts w:hint="eastAsia"/>
          <w:lang w:eastAsia="zh-CN"/>
        </w:rPr>
        <w:t>公司</w:t>
      </w:r>
      <w:r w:rsidR="00246166" w:rsidRPr="00246166">
        <w:rPr>
          <w:rFonts w:hint="eastAsia"/>
          <w:lang w:eastAsia="zh-CN"/>
        </w:rPr>
        <w:t>（肯尼亚）。</w:t>
      </w:r>
    </w:p>
    <w:p w14:paraId="7A35F3D5" w14:textId="4C1ED5BA" w:rsidR="008D71AF" w:rsidRPr="00895832" w:rsidRDefault="00600AEC" w:rsidP="00600AEC">
      <w:pPr>
        <w:pStyle w:val="Heading2"/>
        <w:rPr>
          <w:lang w:eastAsia="zh-CN"/>
        </w:rPr>
      </w:pPr>
      <w:r>
        <w:rPr>
          <w:lang w:eastAsia="zh-CN"/>
        </w:rPr>
        <w:lastRenderedPageBreak/>
        <w:t>3.2</w:t>
      </w:r>
      <w:r>
        <w:rPr>
          <w:lang w:eastAsia="zh-CN"/>
        </w:rPr>
        <w:tab/>
      </w:r>
      <w:r w:rsidR="00520649">
        <w:rPr>
          <w:rFonts w:hint="eastAsia"/>
          <w:lang w:eastAsia="zh-CN"/>
        </w:rPr>
        <w:t>201</w:t>
      </w:r>
      <w:r w:rsidR="00024E05">
        <w:rPr>
          <w:rFonts w:hint="eastAsia"/>
          <w:lang w:eastAsia="zh-CN"/>
        </w:rPr>
        <w:t>9</w:t>
      </w:r>
      <w:r w:rsidR="00520649">
        <w:rPr>
          <w:rFonts w:hint="eastAsia"/>
          <w:lang w:eastAsia="zh-CN"/>
        </w:rPr>
        <w:t>年</w:t>
      </w:r>
      <w:r w:rsidR="008D71AF">
        <w:rPr>
          <w:rFonts w:hint="eastAsia"/>
          <w:lang w:eastAsia="zh-CN"/>
        </w:rPr>
        <w:t>学术成员的</w:t>
      </w:r>
      <w:r w:rsidR="008D71AF" w:rsidRPr="006C2561">
        <w:rPr>
          <w:lang w:eastAsia="zh-CN"/>
        </w:rPr>
        <w:t>情况</w:t>
      </w:r>
    </w:p>
    <w:p w14:paraId="02D83E0D" w14:textId="70E01F56" w:rsidR="00600AEC" w:rsidRDefault="005A4C3D" w:rsidP="00BF7966">
      <w:pPr>
        <w:ind w:firstLineChars="200" w:firstLine="480"/>
        <w:rPr>
          <w:lang w:eastAsia="zh-CN"/>
        </w:rPr>
      </w:pPr>
      <w:r>
        <w:rPr>
          <w:rFonts w:ascii="Calibri" w:eastAsia="SimSun" w:hAnsi="Calibri"/>
          <w:lang w:val="en-US" w:eastAsia="zh-CN"/>
        </w:rPr>
        <w:t>学术成员通过单一会费</w:t>
      </w:r>
      <w:r w:rsidR="00BF7966">
        <w:rPr>
          <w:rFonts w:ascii="Calibri" w:eastAsia="SimSun" w:hAnsi="Calibri"/>
          <w:lang w:val="en-US" w:eastAsia="zh-CN"/>
        </w:rPr>
        <w:t>参</w:t>
      </w:r>
      <w:r w:rsidR="00BF7966">
        <w:rPr>
          <w:rFonts w:ascii="Calibri" w:eastAsia="SimSun" w:hAnsi="Calibri" w:hint="eastAsia"/>
          <w:lang w:val="en-US" w:eastAsia="zh-CN"/>
        </w:rPr>
        <w:t>与国际电联全部三个</w:t>
      </w:r>
      <w:r w:rsidR="00600AEC" w:rsidRPr="00947C96">
        <w:rPr>
          <w:rFonts w:ascii="Calibri" w:eastAsia="SimSun" w:hAnsi="Calibri"/>
          <w:lang w:val="en-US" w:eastAsia="zh-CN"/>
        </w:rPr>
        <w:t>部门</w:t>
      </w:r>
      <w:r>
        <w:rPr>
          <w:rFonts w:ascii="Calibri" w:eastAsia="SimSun" w:hAnsi="Calibri" w:hint="eastAsia"/>
          <w:lang w:val="en-US" w:eastAsia="zh-CN"/>
        </w:rPr>
        <w:t>的</w:t>
      </w:r>
      <w:r w:rsidR="00600AEC" w:rsidRPr="00947C96">
        <w:rPr>
          <w:rFonts w:ascii="Calibri" w:eastAsia="SimSun" w:hAnsi="Calibri"/>
          <w:lang w:val="en-US" w:eastAsia="zh-CN"/>
        </w:rPr>
        <w:t>工作</w:t>
      </w:r>
      <w:r w:rsidR="00BF7966">
        <w:rPr>
          <w:rFonts w:ascii="Calibri" w:eastAsia="SimSun" w:hAnsi="Calibri"/>
          <w:lang w:val="en-US" w:eastAsia="zh-CN"/>
        </w:rPr>
        <w:t>。</w:t>
      </w:r>
      <w:r w:rsidR="00BF7966" w:rsidRPr="00BF7966">
        <w:rPr>
          <w:rFonts w:ascii="Calibri" w:eastAsia="SimSun" w:hAnsi="Calibri" w:hint="eastAsia"/>
          <w:lang w:val="en-US" w:eastAsia="zh-CN"/>
        </w:rPr>
        <w:t>自</w:t>
      </w:r>
      <w:r w:rsidR="00BF7966" w:rsidRPr="00BF7966">
        <w:rPr>
          <w:rFonts w:ascii="Calibri" w:eastAsia="SimSun" w:hAnsi="Calibri" w:hint="eastAsia"/>
          <w:lang w:val="en-US" w:eastAsia="zh-CN"/>
        </w:rPr>
        <w:t>2011</w:t>
      </w:r>
      <w:r w:rsidR="00BF7966" w:rsidRPr="00BF7966">
        <w:rPr>
          <w:rFonts w:ascii="Calibri" w:eastAsia="SimSun" w:hAnsi="Calibri" w:hint="eastAsia"/>
          <w:lang w:val="en-US" w:eastAsia="zh-CN"/>
        </w:rPr>
        <w:t>年以来，已有</w:t>
      </w:r>
      <w:r w:rsidR="00BF7966" w:rsidRPr="00BF7966">
        <w:rPr>
          <w:rFonts w:ascii="Calibri" w:eastAsia="SimSun" w:hAnsi="Calibri" w:hint="eastAsia"/>
          <w:lang w:val="en-US" w:eastAsia="zh-CN"/>
        </w:rPr>
        <w:t>200</w:t>
      </w:r>
      <w:r w:rsidR="00BF7966">
        <w:rPr>
          <w:rFonts w:ascii="Calibri" w:eastAsia="SimSun" w:hAnsi="Calibri" w:hint="eastAsia"/>
          <w:lang w:val="en-US" w:eastAsia="zh-CN"/>
        </w:rPr>
        <w:t>多位学术成员</w:t>
      </w:r>
      <w:r w:rsidR="0067445D">
        <w:rPr>
          <w:rFonts w:ascii="Calibri" w:eastAsia="SimSun" w:hAnsi="Calibri" w:hint="eastAsia"/>
          <w:lang w:val="en-US" w:eastAsia="zh-CN"/>
        </w:rPr>
        <w:t>加入了国际电联。与其他成</w:t>
      </w:r>
      <w:r w:rsidR="00BF7966" w:rsidRPr="00BF7966">
        <w:rPr>
          <w:rFonts w:ascii="Calibri" w:eastAsia="SimSun" w:hAnsi="Calibri" w:hint="eastAsia"/>
          <w:lang w:val="en-US" w:eastAsia="zh-CN"/>
        </w:rPr>
        <w:t>员类别相比，</w:t>
      </w:r>
      <w:r w:rsidR="00BF7966">
        <w:rPr>
          <w:rFonts w:ascii="Calibri" w:eastAsia="SimSun" w:hAnsi="Calibri" w:hint="eastAsia"/>
          <w:lang w:val="en-US" w:eastAsia="zh-CN"/>
        </w:rPr>
        <w:t>这一类别</w:t>
      </w:r>
      <w:r w:rsidR="00BF7966" w:rsidRPr="00BF7966">
        <w:rPr>
          <w:rFonts w:ascii="Calibri" w:eastAsia="SimSun" w:hAnsi="Calibri" w:hint="eastAsia"/>
          <w:lang w:val="en-US" w:eastAsia="zh-CN"/>
        </w:rPr>
        <w:t>的增长率最高。在</w:t>
      </w:r>
      <w:r w:rsidR="00BF7966" w:rsidRPr="00BF7966">
        <w:rPr>
          <w:rFonts w:ascii="Calibri" w:eastAsia="SimSun" w:hAnsi="Calibri" w:hint="eastAsia"/>
          <w:lang w:val="en-US" w:eastAsia="zh-CN"/>
        </w:rPr>
        <w:t>2019</w:t>
      </w:r>
      <w:r w:rsidR="00BF7966" w:rsidRPr="00BF7966">
        <w:rPr>
          <w:rFonts w:ascii="Calibri" w:eastAsia="SimSun" w:hAnsi="Calibri" w:hint="eastAsia"/>
          <w:lang w:val="en-US" w:eastAsia="zh-CN"/>
        </w:rPr>
        <w:t>年，通过与总秘书处的协调努力，</w:t>
      </w:r>
      <w:r w:rsidR="00BF7966">
        <w:rPr>
          <w:rFonts w:ascii="Calibri" w:eastAsia="SimSun" w:hAnsi="Calibri" w:hint="eastAsia"/>
          <w:lang w:val="en-US" w:eastAsia="zh-CN"/>
        </w:rPr>
        <w:t>有</w:t>
      </w:r>
      <w:r w:rsidR="00BF7966" w:rsidRPr="00AE3606">
        <w:rPr>
          <w:rFonts w:ascii="STKaiti" w:eastAsia="STKaiti" w:hAnsi="STKaiti" w:hint="eastAsia"/>
          <w:b/>
          <w:bCs/>
          <w:lang w:val="en-US" w:eastAsia="zh-CN"/>
        </w:rPr>
        <w:t>22位新的学术成员</w:t>
      </w:r>
      <w:r w:rsidR="00BF7966" w:rsidRPr="00AE3606">
        <w:rPr>
          <w:rFonts w:asciiTheme="minorEastAsia" w:hAnsiTheme="minorEastAsia" w:hint="eastAsia"/>
          <w:lang w:val="en-US" w:eastAsia="zh-CN"/>
        </w:rPr>
        <w:t>加入了国际电联的三个部门</w:t>
      </w:r>
      <w:r>
        <w:rPr>
          <w:rFonts w:hint="eastAsia"/>
          <w:lang w:eastAsia="zh-CN"/>
        </w:rPr>
        <w:t>。</w:t>
      </w:r>
      <w:r w:rsidR="003B2A2A">
        <w:rPr>
          <w:rStyle w:val="FootnoteReference"/>
        </w:rPr>
        <w:footnoteReference w:id="5"/>
      </w:r>
    </w:p>
    <w:p w14:paraId="3CD11C04" w14:textId="77777777" w:rsidR="008D71AF" w:rsidRPr="00895832" w:rsidRDefault="008D71AF" w:rsidP="00F745C1">
      <w:pPr>
        <w:pStyle w:val="Heading1"/>
        <w:rPr>
          <w:sz w:val="28"/>
          <w:szCs w:val="28"/>
          <w:lang w:eastAsia="zh-CN"/>
        </w:rPr>
      </w:pPr>
      <w:r w:rsidRPr="00895832">
        <w:rPr>
          <w:rFonts w:hint="eastAsia"/>
          <w:sz w:val="28"/>
          <w:szCs w:val="28"/>
          <w:lang w:eastAsia="zh-CN"/>
        </w:rPr>
        <w:t>4</w:t>
      </w:r>
      <w:r w:rsidRPr="00895832">
        <w:rPr>
          <w:sz w:val="28"/>
          <w:szCs w:val="28"/>
          <w:lang w:eastAsia="zh-CN"/>
        </w:rPr>
        <w:tab/>
      </w:r>
      <w:r w:rsidRPr="00895832">
        <w:rPr>
          <w:rFonts w:hint="eastAsia"/>
          <w:sz w:val="28"/>
          <w:szCs w:val="28"/>
          <w:lang w:eastAsia="zh-CN"/>
        </w:rPr>
        <w:t>主要</w:t>
      </w:r>
      <w:r w:rsidRPr="00895832">
        <w:rPr>
          <w:sz w:val="28"/>
          <w:szCs w:val="28"/>
          <w:lang w:eastAsia="zh-CN"/>
        </w:rPr>
        <w:t>行动</w:t>
      </w:r>
      <w:r w:rsidRPr="00895832">
        <w:rPr>
          <w:rFonts w:hint="eastAsia"/>
          <w:sz w:val="28"/>
          <w:szCs w:val="28"/>
          <w:lang w:eastAsia="zh-CN"/>
        </w:rPr>
        <w:t>和成果</w:t>
      </w:r>
    </w:p>
    <w:p w14:paraId="3D2C8E23" w14:textId="2D81725B" w:rsidR="008D71AF" w:rsidRPr="004B56E7" w:rsidRDefault="00962F6D" w:rsidP="00FB125B">
      <w:pPr>
        <w:ind w:firstLineChars="200" w:firstLine="480"/>
        <w:rPr>
          <w:rFonts w:ascii="Calibri" w:eastAsia="SimSun" w:hAnsi="Calibri"/>
          <w:b/>
          <w:bCs/>
          <w:color w:val="000000" w:themeColor="text1"/>
          <w:szCs w:val="24"/>
          <w:lang w:val="en-US" w:eastAsia="zh-CN"/>
        </w:rPr>
      </w:pPr>
      <w:r>
        <w:rPr>
          <w:rFonts w:ascii="Calibri" w:eastAsia="SimSun" w:hAnsi="Calibri" w:hint="eastAsia"/>
          <w:color w:val="000000" w:themeColor="text1"/>
          <w:szCs w:val="24"/>
          <w:lang w:val="en-US" w:eastAsia="zh-CN"/>
        </w:rPr>
        <w:t>电信发展局落实了</w:t>
      </w:r>
      <w:r w:rsidR="008D71AF" w:rsidRPr="006C2561">
        <w:rPr>
          <w:rFonts w:ascii="Calibri" w:eastAsia="SimSun" w:hAnsi="Calibri" w:hint="eastAsia"/>
          <w:color w:val="000000" w:themeColor="text1"/>
          <w:szCs w:val="24"/>
          <w:lang w:val="en-US" w:eastAsia="zh-CN"/>
        </w:rPr>
        <w:t>一系列战略性行动，</w:t>
      </w:r>
      <w:r w:rsidR="00AE3606">
        <w:rPr>
          <w:rFonts w:ascii="Calibri" w:eastAsia="SimSun" w:hAnsi="Calibri" w:hint="eastAsia"/>
          <w:color w:val="000000" w:themeColor="text1"/>
          <w:szCs w:val="24"/>
          <w:lang w:val="en-US" w:eastAsia="zh-CN"/>
        </w:rPr>
        <w:t>以加强</w:t>
      </w:r>
      <w:r w:rsidR="008D71AF" w:rsidRPr="006C2561">
        <w:rPr>
          <w:rFonts w:ascii="Calibri" w:eastAsia="SimSun" w:hAnsi="Calibri" w:hint="eastAsia"/>
          <w:lang w:eastAsia="zh-CN"/>
        </w:rPr>
        <w:t>ITU-D</w:t>
      </w:r>
      <w:r w:rsidR="008D71AF" w:rsidRPr="006C2561">
        <w:rPr>
          <w:rFonts w:ascii="Calibri" w:eastAsia="SimSun" w:hAnsi="Calibri"/>
          <w:lang w:eastAsia="zh-CN"/>
        </w:rPr>
        <w:t>成员</w:t>
      </w:r>
      <w:r w:rsidR="00AE3606">
        <w:rPr>
          <w:rFonts w:ascii="Calibri" w:eastAsia="SimSun" w:hAnsi="Calibri" w:hint="eastAsia"/>
          <w:lang w:eastAsia="zh-CN"/>
        </w:rPr>
        <w:t>与</w:t>
      </w:r>
      <w:r w:rsidR="00AE3606">
        <w:rPr>
          <w:rFonts w:ascii="Calibri" w:eastAsia="SimSun" w:hAnsi="Calibri" w:hint="eastAsia"/>
          <w:lang w:eastAsia="zh-CN"/>
        </w:rPr>
        <w:t>I</w:t>
      </w:r>
      <w:r w:rsidR="00AE3606">
        <w:rPr>
          <w:rFonts w:ascii="Calibri" w:eastAsia="SimSun" w:hAnsi="Calibri"/>
          <w:lang w:eastAsia="zh-CN"/>
        </w:rPr>
        <w:t>TU-D</w:t>
      </w:r>
      <w:r w:rsidR="00AE3606">
        <w:rPr>
          <w:rFonts w:ascii="Calibri" w:eastAsia="SimSun" w:hAnsi="Calibri" w:hint="eastAsia"/>
          <w:lang w:eastAsia="zh-CN"/>
        </w:rPr>
        <w:t>部门工作的联系</w:t>
      </w:r>
      <w:r w:rsidR="00FB125B">
        <w:rPr>
          <w:rFonts w:ascii="Calibri" w:eastAsia="SimSun" w:hAnsi="Calibri" w:hint="eastAsia"/>
          <w:lang w:eastAsia="zh-CN"/>
        </w:rPr>
        <w:t>以及</w:t>
      </w:r>
      <w:r w:rsidR="008D71AF">
        <w:rPr>
          <w:rFonts w:ascii="Calibri" w:eastAsia="SimSun" w:hAnsi="Calibri" w:hint="eastAsia"/>
          <w:lang w:eastAsia="zh-CN"/>
        </w:rPr>
        <w:t>参与</w:t>
      </w:r>
      <w:r w:rsidR="008D71AF" w:rsidRPr="006C2561">
        <w:rPr>
          <w:rFonts w:ascii="Calibri" w:eastAsia="SimSun" w:hAnsi="Calibri" w:hint="eastAsia"/>
          <w:color w:val="000000" w:themeColor="text1"/>
          <w:szCs w:val="24"/>
          <w:lang w:val="en-US" w:eastAsia="zh-CN"/>
        </w:rPr>
        <w:t>。</w:t>
      </w:r>
    </w:p>
    <w:p w14:paraId="7155A689" w14:textId="38A34B63" w:rsidR="008D71AF" w:rsidRPr="000C0FE7" w:rsidRDefault="008D71AF" w:rsidP="00FB125B">
      <w:pPr>
        <w:pStyle w:val="Heading2"/>
        <w:rPr>
          <w:lang w:eastAsia="zh-CN"/>
        </w:rPr>
      </w:pPr>
      <w:bookmarkStart w:id="19" w:name="lt_pId048"/>
      <w:r w:rsidRPr="000C0FE7">
        <w:rPr>
          <w:lang w:eastAsia="zh-CN"/>
        </w:rPr>
        <w:t>4.1</w:t>
      </w:r>
      <w:r w:rsidRPr="000C0FE7">
        <w:rPr>
          <w:lang w:eastAsia="zh-CN"/>
        </w:rPr>
        <w:tab/>
      </w:r>
      <w:r w:rsidR="0039108C">
        <w:rPr>
          <w:rFonts w:hint="eastAsia"/>
          <w:lang w:eastAsia="zh-CN"/>
        </w:rPr>
        <w:t>加强</w:t>
      </w:r>
      <w:r w:rsidRPr="000C0FE7">
        <w:rPr>
          <w:lang w:eastAsia="zh-CN"/>
        </w:rPr>
        <w:t>ITU-D</w:t>
      </w:r>
      <w:r>
        <w:rPr>
          <w:rFonts w:hint="eastAsia"/>
          <w:lang w:eastAsia="zh-CN"/>
        </w:rPr>
        <w:t>部门成员队伍的工具和服务</w:t>
      </w:r>
      <w:bookmarkEnd w:id="19"/>
    </w:p>
    <w:p w14:paraId="203AB7FE" w14:textId="04A305AE" w:rsidR="00CE5515" w:rsidRPr="0069054E" w:rsidRDefault="00C60CCE" w:rsidP="004413DE">
      <w:pPr>
        <w:spacing w:after="120"/>
        <w:ind w:firstLineChars="200" w:firstLine="480"/>
        <w:rPr>
          <w:szCs w:val="24"/>
          <w:lang w:val="en-US" w:eastAsia="zh-CN"/>
        </w:rPr>
      </w:pPr>
      <w:r>
        <w:rPr>
          <w:rFonts w:hint="eastAsia"/>
          <w:szCs w:val="24"/>
          <w:lang w:eastAsia="zh-CN"/>
        </w:rPr>
        <w:t>电信发展局</w:t>
      </w:r>
      <w:r w:rsidR="0069054E">
        <w:rPr>
          <w:rFonts w:hint="eastAsia"/>
          <w:szCs w:val="24"/>
          <w:lang w:eastAsia="zh-CN"/>
        </w:rPr>
        <w:t>与战略规划和成</w:t>
      </w:r>
      <w:r w:rsidR="004B56E7" w:rsidRPr="0069054E">
        <w:rPr>
          <w:rFonts w:hint="eastAsia"/>
          <w:szCs w:val="24"/>
          <w:lang w:eastAsia="zh-CN"/>
        </w:rPr>
        <w:t>员部（</w:t>
      </w:r>
      <w:r w:rsidR="004B56E7" w:rsidRPr="0069054E">
        <w:rPr>
          <w:rFonts w:hint="eastAsia"/>
          <w:szCs w:val="24"/>
          <w:lang w:eastAsia="zh-CN"/>
        </w:rPr>
        <w:t>SPM</w:t>
      </w:r>
      <w:r w:rsidR="004B56E7" w:rsidRPr="0069054E">
        <w:rPr>
          <w:rFonts w:hint="eastAsia"/>
          <w:szCs w:val="24"/>
          <w:lang w:eastAsia="zh-CN"/>
        </w:rPr>
        <w:t>）密切合作，于</w:t>
      </w:r>
      <w:r w:rsidR="004B56E7" w:rsidRPr="0069054E">
        <w:rPr>
          <w:rFonts w:hint="eastAsia"/>
          <w:szCs w:val="24"/>
          <w:lang w:eastAsia="zh-CN"/>
        </w:rPr>
        <w:t>2019</w:t>
      </w:r>
      <w:r w:rsidR="004B56E7" w:rsidRPr="0069054E">
        <w:rPr>
          <w:rFonts w:hint="eastAsia"/>
          <w:szCs w:val="24"/>
          <w:lang w:eastAsia="zh-CN"/>
        </w:rPr>
        <w:t>年</w:t>
      </w:r>
      <w:r w:rsidR="0069054E">
        <w:rPr>
          <w:rFonts w:hint="eastAsia"/>
          <w:szCs w:val="24"/>
          <w:lang w:eastAsia="zh-CN"/>
        </w:rPr>
        <w:t>第四</w:t>
      </w:r>
      <w:r w:rsidR="004B56E7" w:rsidRPr="0069054E">
        <w:rPr>
          <w:rFonts w:hint="eastAsia"/>
          <w:szCs w:val="24"/>
          <w:lang w:eastAsia="zh-CN"/>
        </w:rPr>
        <w:t>季度</w:t>
      </w:r>
      <w:r w:rsidR="0069054E">
        <w:rPr>
          <w:rFonts w:hint="eastAsia"/>
          <w:szCs w:val="24"/>
          <w:lang w:eastAsia="zh-CN"/>
        </w:rPr>
        <w:t>开始使用领英</w:t>
      </w:r>
      <w:r w:rsidR="004B56E7" w:rsidRPr="0069054E">
        <w:rPr>
          <w:rFonts w:hint="eastAsia"/>
          <w:szCs w:val="24"/>
          <w:lang w:eastAsia="zh-CN"/>
        </w:rPr>
        <w:t>销售导航器，以</w:t>
      </w:r>
      <w:r w:rsidR="009A6118">
        <w:rPr>
          <w:rFonts w:hint="eastAsia"/>
          <w:szCs w:val="24"/>
          <w:lang w:eastAsia="zh-CN"/>
        </w:rPr>
        <w:t>更多地接触</w:t>
      </w:r>
      <w:r w:rsidR="0069054E" w:rsidRPr="0069054E">
        <w:rPr>
          <w:rFonts w:hint="eastAsia"/>
          <w:szCs w:val="24"/>
          <w:lang w:eastAsia="zh-CN"/>
        </w:rPr>
        <w:t>ICT</w:t>
      </w:r>
      <w:r w:rsidR="0069054E" w:rsidRPr="0069054E">
        <w:rPr>
          <w:rFonts w:hint="eastAsia"/>
          <w:szCs w:val="24"/>
          <w:lang w:eastAsia="zh-CN"/>
        </w:rPr>
        <w:t>行业网络</w:t>
      </w:r>
      <w:r w:rsidR="004B56E7" w:rsidRPr="0069054E">
        <w:rPr>
          <w:rFonts w:hint="eastAsia"/>
          <w:szCs w:val="24"/>
          <w:lang w:eastAsia="zh-CN"/>
        </w:rPr>
        <w:t>，以吸引更多的潜在实体</w:t>
      </w:r>
      <w:r w:rsidR="009A6118">
        <w:rPr>
          <w:rFonts w:hint="eastAsia"/>
          <w:szCs w:val="24"/>
          <w:lang w:eastAsia="zh-CN"/>
        </w:rPr>
        <w:t>，从而</w:t>
      </w:r>
      <w:r w:rsidR="004B56E7" w:rsidRPr="0069054E">
        <w:rPr>
          <w:rFonts w:hint="eastAsia"/>
          <w:szCs w:val="24"/>
          <w:lang w:eastAsia="zh-CN"/>
        </w:rPr>
        <w:t>增加</w:t>
      </w:r>
      <w:r w:rsidR="004B56E7" w:rsidRPr="0069054E">
        <w:rPr>
          <w:rFonts w:hint="eastAsia"/>
          <w:szCs w:val="24"/>
          <w:lang w:eastAsia="zh-CN"/>
        </w:rPr>
        <w:t>ITU-D</w:t>
      </w:r>
      <w:r w:rsidR="004B56E7" w:rsidRPr="0069054E">
        <w:rPr>
          <w:rFonts w:hint="eastAsia"/>
          <w:szCs w:val="24"/>
          <w:lang w:eastAsia="zh-CN"/>
        </w:rPr>
        <w:t>成员。</w:t>
      </w:r>
    </w:p>
    <w:p w14:paraId="07B1432C" w14:textId="3E517835" w:rsidR="00CE5515" w:rsidRPr="004B56E7" w:rsidRDefault="004B56E7" w:rsidP="004413DE">
      <w:pPr>
        <w:spacing w:after="120"/>
        <w:ind w:firstLineChars="200" w:firstLine="480"/>
        <w:rPr>
          <w:b/>
          <w:bCs/>
          <w:szCs w:val="24"/>
          <w:lang w:val="en-US" w:eastAsia="zh-CN"/>
        </w:rPr>
      </w:pPr>
      <w:r w:rsidRPr="0069054E">
        <w:rPr>
          <w:rFonts w:hint="eastAsia"/>
          <w:szCs w:val="24"/>
          <w:lang w:val="en-US" w:eastAsia="zh-CN"/>
        </w:rPr>
        <w:t>为了吸引和欢迎</w:t>
      </w:r>
      <w:r w:rsidRPr="0069054E">
        <w:rPr>
          <w:rFonts w:hint="eastAsia"/>
          <w:szCs w:val="24"/>
          <w:lang w:val="en-US" w:eastAsia="zh-CN"/>
        </w:rPr>
        <w:t>ITU-D</w:t>
      </w:r>
      <w:r w:rsidRPr="0069054E">
        <w:rPr>
          <w:rFonts w:hint="eastAsia"/>
          <w:szCs w:val="24"/>
          <w:lang w:val="en-US" w:eastAsia="zh-CN"/>
        </w:rPr>
        <w:t>新成员，设计</w:t>
      </w:r>
      <w:r w:rsidR="009A6118">
        <w:rPr>
          <w:rFonts w:hint="eastAsia"/>
          <w:szCs w:val="24"/>
          <w:lang w:val="en-US" w:eastAsia="zh-CN"/>
        </w:rPr>
        <w:t>并</w:t>
      </w:r>
      <w:r w:rsidRPr="0069054E">
        <w:rPr>
          <w:rFonts w:hint="eastAsia"/>
          <w:szCs w:val="24"/>
          <w:lang w:val="en-US" w:eastAsia="zh-CN"/>
        </w:rPr>
        <w:t>开发</w:t>
      </w:r>
      <w:r w:rsidR="009A6118">
        <w:rPr>
          <w:rFonts w:hint="eastAsia"/>
          <w:szCs w:val="24"/>
          <w:lang w:val="en-US" w:eastAsia="zh-CN"/>
        </w:rPr>
        <w:t>了</w:t>
      </w:r>
      <w:r w:rsidR="008B7AFE">
        <w:rPr>
          <w:rFonts w:hint="eastAsia"/>
          <w:szCs w:val="24"/>
          <w:lang w:val="en-US" w:eastAsia="zh-CN"/>
        </w:rPr>
        <w:t>两套工具</w:t>
      </w:r>
      <w:r w:rsidR="009A6118">
        <w:rPr>
          <w:rFonts w:hint="eastAsia"/>
          <w:szCs w:val="24"/>
          <w:lang w:val="en-US" w:eastAsia="zh-CN"/>
        </w:rPr>
        <w:t>投入使用</w:t>
      </w:r>
      <w:r w:rsidRPr="0069054E">
        <w:rPr>
          <w:rFonts w:hint="eastAsia"/>
          <w:szCs w:val="24"/>
          <w:lang w:val="en-US" w:eastAsia="zh-CN"/>
        </w:rPr>
        <w:t>。</w:t>
      </w:r>
      <w:r w:rsidR="009A6118">
        <w:rPr>
          <w:rFonts w:hint="eastAsia"/>
          <w:szCs w:val="24"/>
          <w:lang w:val="en-US" w:eastAsia="zh-CN"/>
        </w:rPr>
        <w:t>提供给潜在</w:t>
      </w:r>
      <w:r w:rsidRPr="0069054E">
        <w:rPr>
          <w:rFonts w:hint="eastAsia"/>
          <w:szCs w:val="24"/>
          <w:lang w:val="en-US" w:eastAsia="zh-CN"/>
        </w:rPr>
        <w:t>成员的“</w:t>
      </w:r>
      <w:r w:rsidR="009A6118">
        <w:rPr>
          <w:rFonts w:hint="eastAsia"/>
          <w:szCs w:val="24"/>
          <w:lang w:val="en-US" w:eastAsia="zh-CN"/>
        </w:rPr>
        <w:t>信息工具</w:t>
      </w:r>
      <w:r w:rsidRPr="0069054E">
        <w:rPr>
          <w:rFonts w:hint="eastAsia"/>
          <w:szCs w:val="24"/>
          <w:lang w:val="en-US" w:eastAsia="zh-CN"/>
        </w:rPr>
        <w:t>”</w:t>
      </w:r>
      <w:r w:rsidR="009A6118">
        <w:rPr>
          <w:rFonts w:hint="eastAsia"/>
          <w:szCs w:val="24"/>
          <w:lang w:val="en-US" w:eastAsia="zh-CN"/>
        </w:rPr>
        <w:t>注重于推广</w:t>
      </w:r>
      <w:r w:rsidRPr="0069054E">
        <w:rPr>
          <w:rFonts w:hint="eastAsia"/>
          <w:szCs w:val="24"/>
          <w:lang w:val="en-US" w:eastAsia="zh-CN"/>
        </w:rPr>
        <w:t>ITU-D</w:t>
      </w:r>
      <w:r w:rsidRPr="0069054E">
        <w:rPr>
          <w:rFonts w:hint="eastAsia"/>
          <w:szCs w:val="24"/>
          <w:lang w:val="en-US" w:eastAsia="zh-CN"/>
        </w:rPr>
        <w:t>的工作，并为加入</w:t>
      </w:r>
      <w:r w:rsidRPr="0069054E">
        <w:rPr>
          <w:rFonts w:hint="eastAsia"/>
          <w:szCs w:val="24"/>
          <w:lang w:val="en-US" w:eastAsia="zh-CN"/>
        </w:rPr>
        <w:t>ITU-D</w:t>
      </w:r>
      <w:r w:rsidRPr="0069054E">
        <w:rPr>
          <w:rFonts w:hint="eastAsia"/>
          <w:szCs w:val="24"/>
          <w:lang w:val="en-US" w:eastAsia="zh-CN"/>
        </w:rPr>
        <w:t>提供了机遇和利益</w:t>
      </w:r>
      <w:r w:rsidR="008B7AFE">
        <w:rPr>
          <w:rFonts w:hint="eastAsia"/>
          <w:szCs w:val="24"/>
          <w:lang w:val="en-US" w:eastAsia="zh-CN"/>
        </w:rPr>
        <w:t>。第二套工具</w:t>
      </w:r>
      <w:r w:rsidRPr="0069054E">
        <w:rPr>
          <w:rFonts w:hint="eastAsia"/>
          <w:szCs w:val="24"/>
          <w:lang w:val="en-US" w:eastAsia="zh-CN"/>
        </w:rPr>
        <w:t>是“欢迎工具</w:t>
      </w:r>
      <w:r w:rsidR="008B7AFE">
        <w:rPr>
          <w:rFonts w:hint="eastAsia"/>
          <w:szCs w:val="24"/>
          <w:lang w:val="en-US" w:eastAsia="zh-CN"/>
        </w:rPr>
        <w:t>”，其中包括针对新成员的实用信息，使</w:t>
      </w:r>
      <w:r w:rsidRPr="0069054E">
        <w:rPr>
          <w:rFonts w:hint="eastAsia"/>
          <w:szCs w:val="24"/>
          <w:lang w:val="en-US" w:eastAsia="zh-CN"/>
        </w:rPr>
        <w:t>他们可以</w:t>
      </w:r>
      <w:r w:rsidR="008B7AFE">
        <w:rPr>
          <w:rFonts w:hint="eastAsia"/>
          <w:szCs w:val="24"/>
          <w:lang w:val="en-US" w:eastAsia="zh-CN"/>
        </w:rPr>
        <w:t>尽量享受其成</w:t>
      </w:r>
      <w:r w:rsidRPr="0069054E">
        <w:rPr>
          <w:rFonts w:hint="eastAsia"/>
          <w:szCs w:val="24"/>
          <w:lang w:val="en-US" w:eastAsia="zh-CN"/>
        </w:rPr>
        <w:t>员权益。</w:t>
      </w:r>
    </w:p>
    <w:p w14:paraId="366AB5CB" w14:textId="594A3657" w:rsidR="00CE5515" w:rsidRPr="0069054E" w:rsidRDefault="004B56E7" w:rsidP="004413DE">
      <w:pPr>
        <w:shd w:val="clear" w:color="auto" w:fill="FFFFFF"/>
        <w:overflowPunct/>
        <w:autoSpaceDE/>
        <w:autoSpaceDN/>
        <w:adjustRightInd/>
        <w:spacing w:after="120"/>
        <w:ind w:firstLineChars="200" w:firstLine="480"/>
        <w:textAlignment w:val="auto"/>
        <w:rPr>
          <w:rFonts w:cs="Segoe UI"/>
          <w:szCs w:val="24"/>
          <w:lang w:eastAsia="zh-CN"/>
        </w:rPr>
      </w:pPr>
      <w:r w:rsidRPr="0069054E">
        <w:rPr>
          <w:rFonts w:cs="Segoe UI" w:hint="eastAsia"/>
          <w:szCs w:val="24"/>
          <w:lang w:eastAsia="zh-CN"/>
        </w:rPr>
        <w:t>电信发展局于</w:t>
      </w:r>
      <w:r w:rsidRPr="0069054E">
        <w:rPr>
          <w:rFonts w:cs="Segoe UI" w:hint="eastAsia"/>
          <w:szCs w:val="24"/>
          <w:lang w:eastAsia="zh-CN"/>
        </w:rPr>
        <w:t>2019</w:t>
      </w:r>
      <w:r w:rsidRPr="0069054E">
        <w:rPr>
          <w:rFonts w:cs="Segoe UI" w:hint="eastAsia"/>
          <w:szCs w:val="24"/>
          <w:lang w:eastAsia="zh-CN"/>
        </w:rPr>
        <w:t>年</w:t>
      </w:r>
      <w:r w:rsidRPr="0069054E">
        <w:rPr>
          <w:rFonts w:cs="Segoe UI" w:hint="eastAsia"/>
          <w:szCs w:val="24"/>
          <w:lang w:eastAsia="zh-CN"/>
        </w:rPr>
        <w:t>3</w:t>
      </w:r>
      <w:r w:rsidR="00C60CCE">
        <w:rPr>
          <w:rFonts w:cs="Segoe UI" w:hint="eastAsia"/>
          <w:szCs w:val="24"/>
          <w:lang w:eastAsia="zh-CN"/>
        </w:rPr>
        <w:t>月</w:t>
      </w:r>
      <w:r w:rsidRPr="0069054E">
        <w:rPr>
          <w:rFonts w:cs="Segoe UI" w:hint="eastAsia"/>
          <w:szCs w:val="24"/>
          <w:lang w:eastAsia="zh-CN"/>
        </w:rPr>
        <w:t>举办了一次</w:t>
      </w:r>
      <w:r w:rsidR="00283EC3">
        <w:rPr>
          <w:rFonts w:ascii="STKaiti" w:eastAsia="STKaiti" w:hAnsi="STKaiti" w:cs="Segoe UI" w:hint="eastAsia"/>
          <w:b/>
          <w:bCs/>
          <w:szCs w:val="24"/>
          <w:lang w:eastAsia="zh-CN"/>
        </w:rPr>
        <w:t>学术成员共同创新</w:t>
      </w:r>
      <w:r w:rsidRPr="00C60CCE">
        <w:rPr>
          <w:rFonts w:ascii="STKaiti" w:eastAsia="STKaiti" w:hAnsi="STKaiti" w:cs="Segoe UI" w:hint="eastAsia"/>
          <w:b/>
          <w:bCs/>
          <w:szCs w:val="24"/>
          <w:lang w:eastAsia="zh-CN"/>
        </w:rPr>
        <w:t>讲习班</w:t>
      </w:r>
      <w:r w:rsidR="00283EC3">
        <w:rPr>
          <w:rFonts w:cs="Segoe UI" w:hint="eastAsia"/>
          <w:szCs w:val="24"/>
          <w:lang w:eastAsia="zh-CN"/>
        </w:rPr>
        <w:t>，旨在更好地了解国际电联下</w:t>
      </w:r>
      <w:r w:rsidRPr="0069054E">
        <w:rPr>
          <w:rFonts w:cs="Segoe UI" w:hint="eastAsia"/>
          <w:szCs w:val="24"/>
          <w:lang w:eastAsia="zh-CN"/>
        </w:rPr>
        <w:t>属学术和研究实体的需求和期望。</w:t>
      </w:r>
      <w:r w:rsidR="00B34B2C">
        <w:rPr>
          <w:rFonts w:cs="Segoe UI" w:hint="eastAsia"/>
          <w:szCs w:val="24"/>
          <w:lang w:eastAsia="zh-CN"/>
        </w:rPr>
        <w:t>学术成员、</w:t>
      </w:r>
      <w:r w:rsidR="005C2523">
        <w:rPr>
          <w:rFonts w:cs="Segoe UI" w:hint="eastAsia"/>
          <w:szCs w:val="24"/>
          <w:lang w:eastAsia="zh-CN"/>
        </w:rPr>
        <w:t>电信发展局联系</w:t>
      </w:r>
      <w:r w:rsidR="00B34B2C">
        <w:rPr>
          <w:rFonts w:cs="Segoe UI" w:hint="eastAsia"/>
          <w:szCs w:val="24"/>
          <w:lang w:eastAsia="zh-CN"/>
        </w:rPr>
        <w:t>人和其他利益相关方分享了成功</w:t>
      </w:r>
      <w:r w:rsidRPr="0069054E">
        <w:rPr>
          <w:rFonts w:cs="Segoe UI" w:hint="eastAsia"/>
          <w:szCs w:val="24"/>
          <w:lang w:eastAsia="zh-CN"/>
        </w:rPr>
        <w:t>故事，并</w:t>
      </w:r>
      <w:r w:rsidR="00B34B2C">
        <w:rPr>
          <w:rFonts w:cs="Segoe UI" w:hint="eastAsia"/>
          <w:szCs w:val="24"/>
          <w:lang w:eastAsia="zh-CN"/>
        </w:rPr>
        <w:t>对</w:t>
      </w:r>
      <w:r w:rsidRPr="0069054E">
        <w:rPr>
          <w:rFonts w:cs="Segoe UI" w:hint="eastAsia"/>
          <w:szCs w:val="24"/>
          <w:lang w:eastAsia="zh-CN"/>
        </w:rPr>
        <w:t>新的合作领域</w:t>
      </w:r>
      <w:r w:rsidR="00B34B2C" w:rsidRPr="0069054E">
        <w:rPr>
          <w:rFonts w:cs="Segoe UI" w:hint="eastAsia"/>
          <w:szCs w:val="24"/>
          <w:lang w:eastAsia="zh-CN"/>
        </w:rPr>
        <w:t>提出了</w:t>
      </w:r>
      <w:r w:rsidRPr="0069054E">
        <w:rPr>
          <w:rFonts w:cs="Segoe UI" w:hint="eastAsia"/>
          <w:szCs w:val="24"/>
          <w:lang w:eastAsia="zh-CN"/>
        </w:rPr>
        <w:t>建议，</w:t>
      </w:r>
      <w:r w:rsidR="00E62428">
        <w:rPr>
          <w:rFonts w:cs="Segoe UI" w:hint="eastAsia"/>
          <w:szCs w:val="24"/>
          <w:lang w:eastAsia="zh-CN"/>
        </w:rPr>
        <w:t>除此之外，</w:t>
      </w:r>
      <w:r w:rsidR="00B34B2C">
        <w:rPr>
          <w:rFonts w:cs="Segoe UI" w:hint="eastAsia"/>
          <w:szCs w:val="24"/>
          <w:lang w:eastAsia="zh-CN"/>
        </w:rPr>
        <w:t>学术成员</w:t>
      </w:r>
      <w:r w:rsidR="00E62428">
        <w:rPr>
          <w:rFonts w:cs="Segoe UI" w:hint="eastAsia"/>
          <w:szCs w:val="24"/>
          <w:lang w:eastAsia="zh-CN"/>
        </w:rPr>
        <w:t>还向电信发展局的国际电联期刊、</w:t>
      </w:r>
      <w:r w:rsidRPr="0069054E">
        <w:rPr>
          <w:rFonts w:cs="Segoe UI" w:hint="eastAsia"/>
          <w:szCs w:val="24"/>
          <w:lang w:eastAsia="zh-CN"/>
        </w:rPr>
        <w:t>国际电联研究组</w:t>
      </w:r>
      <w:r w:rsidR="00E62428">
        <w:rPr>
          <w:rFonts w:cs="Segoe UI" w:hint="eastAsia"/>
          <w:szCs w:val="24"/>
          <w:lang w:eastAsia="zh-CN"/>
        </w:rPr>
        <w:t>，</w:t>
      </w:r>
      <w:r w:rsidRPr="0069054E">
        <w:rPr>
          <w:rFonts w:cs="Segoe UI" w:hint="eastAsia"/>
          <w:szCs w:val="24"/>
          <w:lang w:eastAsia="zh-CN"/>
        </w:rPr>
        <w:t>以及</w:t>
      </w:r>
      <w:r w:rsidR="00E62428">
        <w:rPr>
          <w:rFonts w:cs="Segoe UI" w:hint="eastAsia"/>
          <w:szCs w:val="24"/>
          <w:lang w:eastAsia="zh-CN"/>
        </w:rPr>
        <w:t>国际电联学院平台提交文稿</w:t>
      </w:r>
      <w:r w:rsidRPr="0069054E">
        <w:rPr>
          <w:rFonts w:cs="Segoe UI" w:hint="eastAsia"/>
          <w:szCs w:val="24"/>
          <w:lang w:eastAsia="zh-CN"/>
        </w:rPr>
        <w:t>。该报告</w:t>
      </w:r>
      <w:r w:rsidR="00E62428">
        <w:rPr>
          <w:rFonts w:cs="Segoe UI" w:hint="eastAsia"/>
          <w:szCs w:val="24"/>
          <w:lang w:eastAsia="zh-CN"/>
        </w:rPr>
        <w:t>请参考</w:t>
      </w:r>
      <w:hyperlink r:id="rId10" w:history="1">
        <w:r w:rsidR="00A7076A">
          <w:rPr>
            <w:rStyle w:val="Hyperlink"/>
            <w:rFonts w:cs="Segoe UI"/>
            <w:szCs w:val="24"/>
            <w:lang w:eastAsia="zh-CN"/>
          </w:rPr>
          <w:t>这里</w:t>
        </w:r>
      </w:hyperlink>
      <w:r w:rsidR="00E62428">
        <w:rPr>
          <w:rFonts w:cs="Segoe UI" w:hint="eastAsia"/>
          <w:szCs w:val="24"/>
          <w:lang w:eastAsia="zh-CN"/>
        </w:rPr>
        <w:t>。</w:t>
      </w:r>
    </w:p>
    <w:p w14:paraId="173A7971" w14:textId="453E4372" w:rsidR="008D71AF" w:rsidRPr="0069054E" w:rsidRDefault="004B56E7" w:rsidP="007874EA">
      <w:pPr>
        <w:ind w:firstLineChars="200" w:firstLine="480"/>
        <w:rPr>
          <w:rFonts w:cs="Segoe UI"/>
          <w:lang w:eastAsia="zh-CN"/>
        </w:rPr>
      </w:pPr>
      <w:r w:rsidRPr="0069054E">
        <w:rPr>
          <w:rFonts w:cs="Segoe UI" w:hint="eastAsia"/>
          <w:lang w:eastAsia="zh-CN"/>
        </w:rPr>
        <w:t>在</w:t>
      </w:r>
      <w:r w:rsidRPr="0069054E">
        <w:rPr>
          <w:rFonts w:cs="Segoe UI" w:hint="eastAsia"/>
          <w:lang w:eastAsia="zh-CN"/>
        </w:rPr>
        <w:t>2019</w:t>
      </w:r>
      <w:r w:rsidRPr="0069054E">
        <w:rPr>
          <w:rFonts w:cs="Segoe UI" w:hint="eastAsia"/>
          <w:lang w:eastAsia="zh-CN"/>
        </w:rPr>
        <w:t>年</w:t>
      </w:r>
      <w:r w:rsidR="004321C2">
        <w:rPr>
          <w:rFonts w:cs="Segoe UI" w:hint="eastAsia"/>
          <w:lang w:eastAsia="zh-CN"/>
        </w:rPr>
        <w:t>的国际电联活动和会议中，电信发展局</w:t>
      </w:r>
      <w:r w:rsidRPr="0069054E">
        <w:rPr>
          <w:rFonts w:cs="Segoe UI" w:hint="eastAsia"/>
          <w:lang w:eastAsia="zh-CN"/>
        </w:rPr>
        <w:t>与</w:t>
      </w:r>
      <w:r w:rsidR="00B34B2C">
        <w:rPr>
          <w:rFonts w:cs="Segoe UI" w:hint="eastAsia"/>
          <w:lang w:eastAsia="zh-CN"/>
        </w:rPr>
        <w:t>学术成员</w:t>
      </w:r>
      <w:r w:rsidR="004321C2">
        <w:rPr>
          <w:rFonts w:cs="Segoe UI" w:hint="eastAsia"/>
          <w:lang w:eastAsia="zh-CN"/>
        </w:rPr>
        <w:t>进行了双向</w:t>
      </w:r>
      <w:r w:rsidRPr="0069054E">
        <w:rPr>
          <w:rFonts w:cs="Segoe UI" w:hint="eastAsia"/>
          <w:lang w:eastAsia="zh-CN"/>
        </w:rPr>
        <w:t>磋商，以增加</w:t>
      </w:r>
      <w:r w:rsidR="00B34B2C">
        <w:rPr>
          <w:rFonts w:cs="Segoe UI" w:hint="eastAsia"/>
          <w:lang w:eastAsia="zh-CN"/>
        </w:rPr>
        <w:t>学术成员</w:t>
      </w:r>
      <w:r w:rsidRPr="0069054E">
        <w:rPr>
          <w:rFonts w:cs="Segoe UI" w:hint="eastAsia"/>
          <w:lang w:eastAsia="zh-CN"/>
        </w:rPr>
        <w:t>对</w:t>
      </w:r>
      <w:r w:rsidRPr="0069054E">
        <w:rPr>
          <w:rFonts w:cs="Segoe UI" w:hint="eastAsia"/>
          <w:lang w:eastAsia="zh-CN"/>
        </w:rPr>
        <w:t>ITU-D</w:t>
      </w:r>
      <w:r w:rsidRPr="0069054E">
        <w:rPr>
          <w:rFonts w:cs="Segoe UI" w:hint="eastAsia"/>
          <w:lang w:eastAsia="zh-CN"/>
        </w:rPr>
        <w:t>工作的参与。</w:t>
      </w:r>
    </w:p>
    <w:p w14:paraId="511C6BF7" w14:textId="65F43E64" w:rsidR="00CE5515" w:rsidRPr="00895832" w:rsidRDefault="00CE5515" w:rsidP="00895832">
      <w:pPr>
        <w:pStyle w:val="Heading2"/>
        <w:rPr>
          <w:lang w:eastAsia="zh-CN"/>
        </w:rPr>
      </w:pPr>
      <w:r w:rsidRPr="00895832">
        <w:rPr>
          <w:rFonts w:hint="eastAsia"/>
          <w:lang w:eastAsia="zh-CN"/>
        </w:rPr>
        <w:t>4.</w:t>
      </w:r>
      <w:r w:rsidRPr="00895832">
        <w:rPr>
          <w:lang w:eastAsia="zh-CN"/>
        </w:rPr>
        <w:t>2</w:t>
      </w:r>
      <w:r w:rsidR="00895832">
        <w:rPr>
          <w:lang w:eastAsia="zh-CN"/>
        </w:rPr>
        <w:tab/>
      </w:r>
      <w:r w:rsidR="004B56E7" w:rsidRPr="00895832">
        <w:rPr>
          <w:rFonts w:hint="eastAsia"/>
          <w:lang w:eastAsia="zh-CN"/>
        </w:rPr>
        <w:t>第</w:t>
      </w:r>
      <w:r w:rsidR="004B56E7" w:rsidRPr="00895832">
        <w:rPr>
          <w:rFonts w:hint="eastAsia"/>
          <w:lang w:eastAsia="zh-CN"/>
        </w:rPr>
        <w:t>71</w:t>
      </w:r>
      <w:r w:rsidR="004B56E7" w:rsidRPr="00895832">
        <w:rPr>
          <w:rFonts w:hint="eastAsia"/>
          <w:lang w:eastAsia="zh-CN"/>
        </w:rPr>
        <w:t>号决议的执行情况（</w:t>
      </w:r>
      <w:r w:rsidR="004B56E7" w:rsidRPr="00895832">
        <w:rPr>
          <w:rFonts w:hint="eastAsia"/>
          <w:lang w:eastAsia="zh-CN"/>
        </w:rPr>
        <w:t>2017</w:t>
      </w:r>
      <w:r w:rsidR="004B56E7" w:rsidRPr="00895832">
        <w:rPr>
          <w:rFonts w:hint="eastAsia"/>
          <w:lang w:eastAsia="zh-CN"/>
        </w:rPr>
        <w:t>年，布宜诺斯艾利斯，修订版）</w:t>
      </w:r>
    </w:p>
    <w:p w14:paraId="6D0C9A72" w14:textId="77777777" w:rsidR="00EC71CA" w:rsidRDefault="00EC71CA" w:rsidP="00EC71CA">
      <w:pPr>
        <w:ind w:firstLineChars="200" w:firstLine="480"/>
        <w:rPr>
          <w:lang w:eastAsia="zh-CN"/>
        </w:rPr>
      </w:pPr>
      <w:r>
        <w:rPr>
          <w:rFonts w:hint="eastAsia"/>
          <w:lang w:eastAsia="zh-CN"/>
        </w:rPr>
        <w:t>依据</w:t>
      </w:r>
      <w:r>
        <w:rPr>
          <w:rFonts w:hint="eastAsia"/>
          <w:lang w:eastAsia="zh-CN"/>
        </w:rPr>
        <w:t>W</w:t>
      </w:r>
      <w:r>
        <w:rPr>
          <w:lang w:eastAsia="zh-CN"/>
        </w:rPr>
        <w:t>TDC-17</w:t>
      </w:r>
      <w:r>
        <w:rPr>
          <w:rFonts w:hint="eastAsia"/>
          <w:lang w:eastAsia="zh-CN"/>
        </w:rPr>
        <w:t>的</w:t>
      </w:r>
      <w:r w:rsidR="00122E83" w:rsidRPr="00122E83">
        <w:rPr>
          <w:rFonts w:cs="Segoe UI" w:hint="eastAsia"/>
          <w:szCs w:val="24"/>
          <w:lang w:eastAsia="zh-CN"/>
        </w:rPr>
        <w:t>第</w:t>
      </w:r>
      <w:r w:rsidR="00122E83" w:rsidRPr="00122E83">
        <w:rPr>
          <w:rFonts w:cs="Segoe UI" w:hint="eastAsia"/>
          <w:szCs w:val="24"/>
          <w:lang w:eastAsia="zh-CN"/>
        </w:rPr>
        <w:t>71</w:t>
      </w:r>
      <w:r w:rsidR="00122E83" w:rsidRPr="00122E83">
        <w:rPr>
          <w:rFonts w:cs="Segoe UI" w:hint="eastAsia"/>
          <w:szCs w:val="24"/>
          <w:lang w:eastAsia="zh-CN"/>
        </w:rPr>
        <w:t>号决议（</w:t>
      </w:r>
      <w:r w:rsidR="00122E83" w:rsidRPr="00122E83">
        <w:rPr>
          <w:rFonts w:cs="Segoe UI" w:hint="eastAsia"/>
          <w:szCs w:val="24"/>
          <w:lang w:eastAsia="zh-CN"/>
        </w:rPr>
        <w:t>2017</w:t>
      </w:r>
      <w:r w:rsidR="00122E83" w:rsidRPr="00122E83">
        <w:rPr>
          <w:rFonts w:cs="Segoe UI" w:hint="eastAsia"/>
          <w:szCs w:val="24"/>
          <w:lang w:eastAsia="zh-CN"/>
        </w:rPr>
        <w:t>年，布宜诺斯艾利斯，修订版）</w:t>
      </w:r>
      <w:r>
        <w:rPr>
          <w:rFonts w:cs="Segoe UI" w:hint="eastAsia"/>
          <w:szCs w:val="24"/>
          <w:lang w:eastAsia="zh-CN"/>
        </w:rPr>
        <w:t>，电信发展局</w:t>
      </w:r>
      <w:r w:rsidR="00122E83" w:rsidRPr="00122E83">
        <w:rPr>
          <w:rFonts w:cs="Segoe UI" w:hint="eastAsia"/>
          <w:szCs w:val="24"/>
          <w:lang w:eastAsia="zh-CN"/>
        </w:rPr>
        <w:t>开展了一系列活动</w:t>
      </w:r>
      <w:r w:rsidR="00122E83">
        <w:rPr>
          <w:rFonts w:cs="Segoe UI" w:hint="eastAsia"/>
          <w:szCs w:val="24"/>
          <w:lang w:eastAsia="zh-CN"/>
        </w:rPr>
        <w:t>，</w:t>
      </w:r>
      <w:r>
        <w:rPr>
          <w:rFonts w:cs="Segoe UI" w:hint="eastAsia"/>
          <w:szCs w:val="24"/>
          <w:lang w:eastAsia="zh-CN"/>
        </w:rPr>
        <w:t>加强</w:t>
      </w:r>
      <w:r w:rsidR="004F109C" w:rsidRPr="004F109C">
        <w:rPr>
          <w:rFonts w:hint="eastAsia"/>
          <w:lang w:eastAsia="zh-CN"/>
        </w:rPr>
        <w:t>成员国</w:t>
      </w:r>
      <w:r>
        <w:rPr>
          <w:rFonts w:hint="eastAsia"/>
          <w:lang w:eastAsia="zh-CN"/>
        </w:rPr>
        <w:t>与</w:t>
      </w:r>
      <w:r>
        <w:rPr>
          <w:rFonts w:hint="eastAsia"/>
          <w:lang w:eastAsia="zh-CN"/>
        </w:rPr>
        <w:t>I</w:t>
      </w:r>
      <w:r>
        <w:rPr>
          <w:lang w:eastAsia="zh-CN"/>
        </w:rPr>
        <w:t>TU-D</w:t>
      </w:r>
      <w:r>
        <w:rPr>
          <w:rFonts w:hint="eastAsia"/>
          <w:lang w:eastAsia="zh-CN"/>
        </w:rPr>
        <w:t>的</w:t>
      </w:r>
      <w:r w:rsidR="004F109C" w:rsidRPr="004F109C">
        <w:rPr>
          <w:rFonts w:hint="eastAsia"/>
          <w:lang w:eastAsia="zh-CN"/>
        </w:rPr>
        <w:t>部门成员、部门</w:t>
      </w:r>
      <w:r w:rsidR="004F109C">
        <w:rPr>
          <w:rFonts w:hint="eastAsia"/>
          <w:lang w:eastAsia="zh-CN"/>
        </w:rPr>
        <w:t>准</w:t>
      </w:r>
      <w:r w:rsidR="004F109C" w:rsidRPr="004F109C">
        <w:rPr>
          <w:rFonts w:hint="eastAsia"/>
          <w:lang w:eastAsia="zh-CN"/>
        </w:rPr>
        <w:t>成员</w:t>
      </w:r>
      <w:r w:rsidR="004F109C">
        <w:rPr>
          <w:rFonts w:hint="eastAsia"/>
          <w:lang w:eastAsia="zh-CN"/>
        </w:rPr>
        <w:t>和学术成员</w:t>
      </w:r>
      <w:r w:rsidR="004F109C" w:rsidRPr="004F109C">
        <w:rPr>
          <w:rFonts w:hint="eastAsia"/>
          <w:lang w:eastAsia="zh-CN"/>
        </w:rPr>
        <w:t>之间</w:t>
      </w:r>
      <w:r>
        <w:rPr>
          <w:rFonts w:hint="eastAsia"/>
          <w:lang w:eastAsia="zh-CN"/>
        </w:rPr>
        <w:t>的</w:t>
      </w:r>
      <w:r w:rsidR="004F109C" w:rsidRPr="004F109C">
        <w:rPr>
          <w:rFonts w:hint="eastAsia"/>
          <w:lang w:eastAsia="zh-CN"/>
        </w:rPr>
        <w:t>合作</w:t>
      </w:r>
      <w:r>
        <w:rPr>
          <w:rFonts w:hint="eastAsia"/>
          <w:lang w:eastAsia="zh-CN"/>
        </w:rPr>
        <w:t>，重点是与私营部门的合作。</w:t>
      </w:r>
    </w:p>
    <w:p w14:paraId="7CDB29CA" w14:textId="2190D4A7" w:rsidR="004F109C" w:rsidRPr="00AF5EF0" w:rsidRDefault="00FC09EA" w:rsidP="0071251F">
      <w:pPr>
        <w:ind w:firstLineChars="200" w:firstLine="480"/>
        <w:rPr>
          <w:lang w:eastAsia="zh-CN"/>
        </w:rPr>
      </w:pPr>
      <w:r w:rsidRPr="00AF5EF0">
        <w:rPr>
          <w:rFonts w:hint="eastAsia"/>
          <w:lang w:eastAsia="zh-CN"/>
        </w:rPr>
        <w:t>2018</w:t>
      </w:r>
      <w:r w:rsidRPr="00AF5EF0">
        <w:rPr>
          <w:rFonts w:hint="eastAsia"/>
          <w:lang w:eastAsia="zh-CN"/>
        </w:rPr>
        <w:t>年，</w:t>
      </w:r>
      <w:r w:rsidR="00843164" w:rsidRPr="004F109C">
        <w:rPr>
          <w:rFonts w:hint="eastAsia"/>
          <w:lang w:eastAsia="zh-CN"/>
        </w:rPr>
        <w:t>在</w:t>
      </w:r>
      <w:r w:rsidR="00843164" w:rsidRPr="00AF5A46">
        <w:rPr>
          <w:rFonts w:hint="eastAsia"/>
          <w:lang w:eastAsia="zh-CN"/>
        </w:rPr>
        <w:t>全球监管机构专题研讨会</w:t>
      </w:r>
      <w:r w:rsidR="00843164">
        <w:rPr>
          <w:rFonts w:hint="eastAsia"/>
          <w:lang w:eastAsia="zh-CN"/>
        </w:rPr>
        <w:t>（</w:t>
      </w:r>
      <w:r w:rsidR="00843164">
        <w:rPr>
          <w:rFonts w:hint="eastAsia"/>
          <w:lang w:eastAsia="zh-CN"/>
        </w:rPr>
        <w:t>GSR-18</w:t>
      </w:r>
      <w:r w:rsidR="00843164">
        <w:rPr>
          <w:rFonts w:hint="eastAsia"/>
          <w:lang w:eastAsia="zh-CN"/>
        </w:rPr>
        <w:t>）期间，</w:t>
      </w:r>
      <w:r w:rsidR="00AF5EF0" w:rsidRPr="00AF5EF0">
        <w:rPr>
          <w:rFonts w:hint="eastAsia"/>
          <w:lang w:eastAsia="zh-CN"/>
        </w:rPr>
        <w:t>发展问题行业顾问组</w:t>
      </w:r>
      <w:r w:rsidRPr="00AF5EF0">
        <w:rPr>
          <w:rFonts w:hint="eastAsia"/>
          <w:lang w:eastAsia="zh-CN"/>
        </w:rPr>
        <w:t>（</w:t>
      </w:r>
      <w:r w:rsidRPr="00AF5EF0">
        <w:rPr>
          <w:rFonts w:hint="eastAsia"/>
          <w:lang w:eastAsia="zh-CN"/>
        </w:rPr>
        <w:t>IAGDI</w:t>
      </w:r>
      <w:r w:rsidRPr="00AF5EF0">
        <w:rPr>
          <w:rFonts w:hint="eastAsia"/>
          <w:lang w:eastAsia="zh-CN"/>
        </w:rPr>
        <w:t>）与</w:t>
      </w:r>
      <w:r w:rsidR="008C5C2E" w:rsidRPr="008C5C2E">
        <w:rPr>
          <w:rFonts w:hint="eastAsia"/>
          <w:lang w:eastAsia="zh-CN"/>
        </w:rPr>
        <w:t>私营部门首席监管官</w:t>
      </w:r>
      <w:r w:rsidRPr="00AF5EF0">
        <w:rPr>
          <w:rFonts w:hint="eastAsia"/>
          <w:lang w:eastAsia="zh-CN"/>
        </w:rPr>
        <w:t>（</w:t>
      </w:r>
      <w:r w:rsidRPr="00AF5EF0">
        <w:rPr>
          <w:rFonts w:hint="eastAsia"/>
          <w:lang w:eastAsia="zh-CN"/>
        </w:rPr>
        <w:t>CRO</w:t>
      </w:r>
      <w:r w:rsidRPr="00AF5EF0">
        <w:rPr>
          <w:rFonts w:hint="eastAsia"/>
          <w:lang w:eastAsia="zh-CN"/>
        </w:rPr>
        <w:t>）</w:t>
      </w:r>
      <w:r w:rsidR="008C5C2E">
        <w:rPr>
          <w:rFonts w:hint="eastAsia"/>
          <w:lang w:eastAsia="zh-CN"/>
        </w:rPr>
        <w:t>联合举办</w:t>
      </w:r>
      <w:r w:rsidRPr="00AF5EF0">
        <w:rPr>
          <w:rFonts w:hint="eastAsia"/>
          <w:lang w:eastAsia="zh-CN"/>
        </w:rPr>
        <w:t>了首次会议。</w:t>
      </w:r>
      <w:r w:rsidRPr="00AF5EF0">
        <w:rPr>
          <w:rFonts w:hint="eastAsia"/>
          <w:lang w:eastAsia="zh-CN"/>
        </w:rPr>
        <w:t>IAGDI</w:t>
      </w:r>
      <w:r w:rsidR="008C5C2E" w:rsidRPr="00016F70">
        <w:rPr>
          <w:rFonts w:ascii="inherit" w:hAnsi="inherit"/>
          <w:color w:val="000000"/>
          <w:lang w:eastAsia="zh-CN"/>
        </w:rPr>
        <w:t>会议呼吁人们采取行动，通过推动包容、支持广泛部署基础设施、强化宽带的采用和</w:t>
      </w:r>
      <w:r w:rsidR="00804622">
        <w:rPr>
          <w:rFonts w:ascii="inherit" w:hAnsi="inherit" w:hint="eastAsia"/>
          <w:color w:val="000000"/>
          <w:lang w:eastAsia="zh-CN"/>
        </w:rPr>
        <w:t>营造</w:t>
      </w:r>
      <w:r w:rsidR="008C5C2E" w:rsidRPr="00016F70">
        <w:rPr>
          <w:rFonts w:ascii="inherit" w:hAnsi="inherit"/>
          <w:color w:val="000000"/>
          <w:lang w:eastAsia="zh-CN"/>
        </w:rPr>
        <w:t>蓬勃创新</w:t>
      </w:r>
      <w:r w:rsidR="00804622">
        <w:rPr>
          <w:rFonts w:ascii="inherit" w:hAnsi="inherit" w:hint="eastAsia"/>
          <w:color w:val="000000"/>
          <w:lang w:eastAsia="zh-CN"/>
        </w:rPr>
        <w:t>的</w:t>
      </w:r>
      <w:r w:rsidR="008C5C2E" w:rsidRPr="00016F70">
        <w:rPr>
          <w:rFonts w:ascii="inherit" w:hAnsi="inherit"/>
          <w:color w:val="000000"/>
          <w:lang w:eastAsia="zh-CN"/>
        </w:rPr>
        <w:t>环境，促进以可持续的形式获得连通性</w:t>
      </w:r>
      <w:r w:rsidRPr="00AF5EF0">
        <w:rPr>
          <w:rFonts w:hint="eastAsia"/>
          <w:lang w:eastAsia="zh-CN"/>
        </w:rPr>
        <w:t>。作为这些活动的后续措施，</w:t>
      </w:r>
      <w:r w:rsidRPr="00AF5EF0">
        <w:rPr>
          <w:rFonts w:hint="eastAsia"/>
          <w:lang w:eastAsia="zh-CN"/>
        </w:rPr>
        <w:t>CRO</w:t>
      </w:r>
      <w:r w:rsidRPr="00AF5EF0">
        <w:rPr>
          <w:rFonts w:hint="eastAsia"/>
          <w:lang w:eastAsia="zh-CN"/>
        </w:rPr>
        <w:t>于</w:t>
      </w:r>
      <w:r w:rsidRPr="00AF5EF0">
        <w:rPr>
          <w:rFonts w:hint="eastAsia"/>
          <w:lang w:eastAsia="zh-CN"/>
        </w:rPr>
        <w:t>2019</w:t>
      </w:r>
      <w:r w:rsidRPr="00AF5EF0">
        <w:rPr>
          <w:rFonts w:hint="eastAsia"/>
          <w:lang w:eastAsia="zh-CN"/>
        </w:rPr>
        <w:t>年</w:t>
      </w:r>
      <w:r w:rsidRPr="00AF5EF0">
        <w:rPr>
          <w:rFonts w:hint="eastAsia"/>
          <w:lang w:eastAsia="zh-CN"/>
        </w:rPr>
        <w:t>7</w:t>
      </w:r>
      <w:r w:rsidRPr="00AF5EF0">
        <w:rPr>
          <w:rFonts w:hint="eastAsia"/>
          <w:lang w:eastAsia="zh-CN"/>
        </w:rPr>
        <w:t>月</w:t>
      </w:r>
      <w:r w:rsidRPr="00AF5EF0">
        <w:rPr>
          <w:rFonts w:hint="eastAsia"/>
          <w:lang w:eastAsia="zh-CN"/>
        </w:rPr>
        <w:t>9</w:t>
      </w:r>
      <w:r w:rsidRPr="00AF5EF0">
        <w:rPr>
          <w:rFonts w:hint="eastAsia"/>
          <w:lang w:eastAsia="zh-CN"/>
        </w:rPr>
        <w:t>日在</w:t>
      </w:r>
      <w:r w:rsidR="00715959" w:rsidRPr="00715959">
        <w:rPr>
          <w:rFonts w:hint="eastAsia"/>
          <w:lang w:eastAsia="zh-CN"/>
        </w:rPr>
        <w:t>全球监管机构专题研讨会</w:t>
      </w:r>
      <w:r w:rsidRPr="00AF5EF0">
        <w:rPr>
          <w:rFonts w:hint="eastAsia"/>
          <w:lang w:eastAsia="zh-CN"/>
        </w:rPr>
        <w:t>（</w:t>
      </w:r>
      <w:r w:rsidRPr="00AF5EF0">
        <w:rPr>
          <w:rFonts w:hint="eastAsia"/>
          <w:lang w:eastAsia="zh-CN"/>
        </w:rPr>
        <w:t>GSR-19</w:t>
      </w:r>
      <w:r w:rsidRPr="00AF5EF0">
        <w:rPr>
          <w:rFonts w:hint="eastAsia"/>
          <w:lang w:eastAsia="zh-CN"/>
        </w:rPr>
        <w:t>）上召开了会议。</w:t>
      </w:r>
      <w:r w:rsidR="009C105C" w:rsidRPr="004F109C">
        <w:rPr>
          <w:rFonts w:hint="eastAsia"/>
          <w:lang w:eastAsia="zh-CN"/>
        </w:rPr>
        <w:t>会议聚集了</w:t>
      </w:r>
      <w:r w:rsidR="009C105C" w:rsidRPr="004F109C">
        <w:rPr>
          <w:rFonts w:hint="eastAsia"/>
          <w:lang w:eastAsia="zh-CN"/>
        </w:rPr>
        <w:t>100</w:t>
      </w:r>
      <w:r w:rsidR="0071251F">
        <w:rPr>
          <w:rFonts w:hint="eastAsia"/>
          <w:lang w:eastAsia="zh-CN"/>
        </w:rPr>
        <w:t>多名</w:t>
      </w:r>
      <w:r w:rsidR="009C105C" w:rsidRPr="004F109C">
        <w:rPr>
          <w:rFonts w:hint="eastAsia"/>
          <w:lang w:eastAsia="zh-CN"/>
        </w:rPr>
        <w:t>行业高管，</w:t>
      </w:r>
      <w:r w:rsidR="0071251F" w:rsidRPr="0071251F">
        <w:rPr>
          <w:rFonts w:hint="eastAsia"/>
          <w:lang w:eastAsia="zh-CN"/>
        </w:rPr>
        <w:t>确定</w:t>
      </w:r>
      <w:r w:rsidR="0071251F">
        <w:rPr>
          <w:rFonts w:hint="eastAsia"/>
          <w:lang w:eastAsia="zh-CN"/>
        </w:rPr>
        <w:t>了加速数字连接的最佳做法，使</w:t>
      </w:r>
      <w:r w:rsidR="0071251F" w:rsidRPr="0071251F">
        <w:rPr>
          <w:rFonts w:hint="eastAsia"/>
          <w:lang w:eastAsia="zh-CN"/>
        </w:rPr>
        <w:t>世界各地的人们从数字转型中受益并参与数字经济</w:t>
      </w:r>
      <w:r w:rsidRPr="00AF5EF0">
        <w:rPr>
          <w:rFonts w:hint="eastAsia"/>
          <w:lang w:eastAsia="zh-CN"/>
        </w:rPr>
        <w:t>（请参阅</w:t>
      </w:r>
      <w:hyperlink r:id="rId11" w:history="1">
        <w:r w:rsidR="0071251F">
          <w:rPr>
            <w:rStyle w:val="Hyperlink"/>
            <w:szCs w:val="24"/>
            <w:lang w:eastAsia="zh-CN"/>
          </w:rPr>
          <w:t>CRO</w:t>
        </w:r>
        <w:r w:rsidR="0071251F">
          <w:rPr>
            <w:rStyle w:val="Hyperlink"/>
            <w:szCs w:val="24"/>
            <w:lang w:eastAsia="zh-CN"/>
          </w:rPr>
          <w:t>主席报告</w:t>
        </w:r>
      </w:hyperlink>
      <w:r w:rsidRPr="00AF5EF0">
        <w:rPr>
          <w:rFonts w:hint="eastAsia"/>
          <w:lang w:eastAsia="zh-CN"/>
        </w:rPr>
        <w:t>）。</w:t>
      </w:r>
    </w:p>
    <w:p w14:paraId="25E2093E" w14:textId="7409452F" w:rsidR="00CE5515" w:rsidRDefault="008741A1" w:rsidP="008741A1">
      <w:pPr>
        <w:ind w:firstLineChars="200" w:firstLine="480"/>
        <w:rPr>
          <w:rFonts w:ascii="Calibri" w:eastAsia="SimSun" w:hAnsi="Calibri"/>
          <w:color w:val="000000" w:themeColor="text1"/>
          <w:szCs w:val="24"/>
          <w:lang w:eastAsia="zh-CN"/>
        </w:rPr>
      </w:pPr>
      <w:bookmarkStart w:id="20" w:name="lt_pId085"/>
      <w:r w:rsidRPr="008741A1">
        <w:rPr>
          <w:rFonts w:ascii="Calibri" w:eastAsia="SimSun" w:hAnsi="Calibri" w:hint="eastAsia"/>
          <w:color w:val="000000" w:themeColor="text1"/>
          <w:szCs w:val="24"/>
          <w:lang w:eastAsia="zh-CN"/>
        </w:rPr>
        <w:t>将来，</w:t>
      </w:r>
      <w:r w:rsidRPr="008741A1">
        <w:rPr>
          <w:rFonts w:ascii="Calibri" w:eastAsia="SimSun" w:hAnsi="Calibri" w:hint="eastAsia"/>
          <w:color w:val="000000" w:themeColor="text1"/>
          <w:szCs w:val="24"/>
          <w:lang w:eastAsia="zh-CN"/>
        </w:rPr>
        <w:t>IAGDI</w:t>
      </w:r>
      <w:r w:rsidRPr="008741A1">
        <w:rPr>
          <w:rFonts w:ascii="Calibri" w:eastAsia="SimSun" w:hAnsi="Calibri" w:hint="eastAsia"/>
          <w:color w:val="000000" w:themeColor="text1"/>
          <w:szCs w:val="24"/>
          <w:lang w:eastAsia="zh-CN"/>
        </w:rPr>
        <w:t>和</w:t>
      </w:r>
      <w:r w:rsidRPr="008741A1">
        <w:rPr>
          <w:rFonts w:ascii="Calibri" w:eastAsia="SimSun" w:hAnsi="Calibri" w:hint="eastAsia"/>
          <w:color w:val="000000" w:themeColor="text1"/>
          <w:szCs w:val="24"/>
          <w:lang w:eastAsia="zh-CN"/>
        </w:rPr>
        <w:t>CRO</w:t>
      </w:r>
      <w:r>
        <w:rPr>
          <w:rFonts w:ascii="Calibri" w:eastAsia="SimSun" w:hAnsi="Calibri" w:hint="eastAsia"/>
          <w:color w:val="000000" w:themeColor="text1"/>
          <w:szCs w:val="24"/>
          <w:lang w:eastAsia="zh-CN"/>
        </w:rPr>
        <w:t>将在各种活动（例如国际电联世界电信展、</w:t>
      </w:r>
      <w:r w:rsidRPr="008741A1">
        <w:rPr>
          <w:rFonts w:ascii="Calibri" w:eastAsia="SimSun" w:hAnsi="Calibri" w:hint="eastAsia"/>
          <w:color w:val="000000" w:themeColor="text1"/>
          <w:szCs w:val="24"/>
          <w:lang w:eastAsia="zh-CN"/>
        </w:rPr>
        <w:t>全球监管机构专题</w:t>
      </w:r>
      <w:r>
        <w:rPr>
          <w:rFonts w:ascii="Calibri" w:eastAsia="SimSun" w:hAnsi="Calibri" w:hint="eastAsia"/>
          <w:color w:val="000000" w:themeColor="text1"/>
          <w:szCs w:val="24"/>
          <w:lang w:eastAsia="zh-CN"/>
        </w:rPr>
        <w:t>研讨</w:t>
      </w:r>
      <w:r w:rsidRPr="008741A1">
        <w:rPr>
          <w:rFonts w:ascii="Calibri" w:eastAsia="SimSun" w:hAnsi="Calibri" w:hint="eastAsia"/>
          <w:color w:val="000000" w:themeColor="text1"/>
          <w:szCs w:val="24"/>
          <w:lang w:eastAsia="zh-CN"/>
        </w:rPr>
        <w:t>会</w:t>
      </w:r>
      <w:r>
        <w:rPr>
          <w:rFonts w:ascii="Calibri" w:eastAsia="SimSun" w:hAnsi="Calibri" w:hint="eastAsia"/>
          <w:color w:val="000000" w:themeColor="text1"/>
          <w:szCs w:val="24"/>
          <w:lang w:eastAsia="zh-CN"/>
        </w:rPr>
        <w:t>和国际电联之外的战略活动</w:t>
      </w:r>
      <w:r w:rsidRPr="008741A1">
        <w:rPr>
          <w:rFonts w:ascii="Calibri" w:eastAsia="SimSun" w:hAnsi="Calibri" w:hint="eastAsia"/>
          <w:color w:val="000000" w:themeColor="text1"/>
          <w:szCs w:val="24"/>
          <w:lang w:eastAsia="zh-CN"/>
        </w:rPr>
        <w:t>）上举行联合会议。</w:t>
      </w:r>
    </w:p>
    <w:p w14:paraId="7CA0FA22" w14:textId="041E0B12" w:rsidR="00CE5515" w:rsidRPr="00895832" w:rsidRDefault="00CE5515" w:rsidP="00895832">
      <w:pPr>
        <w:pStyle w:val="Heading2"/>
        <w:rPr>
          <w:lang w:eastAsia="zh-CN"/>
        </w:rPr>
      </w:pPr>
      <w:r w:rsidRPr="00895832">
        <w:rPr>
          <w:rFonts w:hint="eastAsia"/>
          <w:lang w:eastAsia="zh-CN"/>
        </w:rPr>
        <w:lastRenderedPageBreak/>
        <w:t>4</w:t>
      </w:r>
      <w:r w:rsidRPr="00895832">
        <w:rPr>
          <w:lang w:eastAsia="zh-CN"/>
        </w:rPr>
        <w:t>.3</w:t>
      </w:r>
      <w:r w:rsidRPr="00895832">
        <w:rPr>
          <w:lang w:eastAsia="zh-CN"/>
        </w:rPr>
        <w:tab/>
      </w:r>
      <w:r w:rsidR="008741A1" w:rsidRPr="00895832">
        <w:rPr>
          <w:rFonts w:hint="eastAsia"/>
          <w:lang w:eastAsia="zh-CN"/>
        </w:rPr>
        <w:t>与</w:t>
      </w:r>
      <w:r w:rsidR="008741A1" w:rsidRPr="00895832">
        <w:rPr>
          <w:rFonts w:hint="eastAsia"/>
          <w:lang w:eastAsia="zh-CN"/>
        </w:rPr>
        <w:t>I</w:t>
      </w:r>
      <w:r w:rsidR="008741A1" w:rsidRPr="00895832">
        <w:rPr>
          <w:lang w:eastAsia="zh-CN"/>
        </w:rPr>
        <w:t>TU-D</w:t>
      </w:r>
      <w:r w:rsidR="008741A1" w:rsidRPr="00895832">
        <w:rPr>
          <w:rFonts w:hint="eastAsia"/>
          <w:lang w:eastAsia="zh-CN"/>
        </w:rPr>
        <w:t>部门成员进行磋商</w:t>
      </w:r>
    </w:p>
    <w:p w14:paraId="46A8EEAD" w14:textId="23DCD4D4" w:rsidR="00CE5515" w:rsidRPr="008741A1" w:rsidRDefault="00FC09EA" w:rsidP="004413DE">
      <w:pPr>
        <w:spacing w:after="120"/>
        <w:ind w:firstLineChars="200" w:firstLine="480"/>
        <w:rPr>
          <w:szCs w:val="24"/>
          <w:lang w:eastAsia="zh-CN"/>
        </w:rPr>
      </w:pPr>
      <w:r w:rsidRPr="008741A1">
        <w:rPr>
          <w:rFonts w:hint="eastAsia"/>
          <w:szCs w:val="24"/>
          <w:lang w:eastAsia="zh-CN"/>
        </w:rPr>
        <w:t>2019</w:t>
      </w:r>
      <w:r w:rsidRPr="008741A1">
        <w:rPr>
          <w:rFonts w:hint="eastAsia"/>
          <w:szCs w:val="24"/>
          <w:lang w:eastAsia="zh-CN"/>
        </w:rPr>
        <w:t>年，电信发展局主任与</w:t>
      </w:r>
      <w:r w:rsidRPr="008741A1">
        <w:rPr>
          <w:rFonts w:hint="eastAsia"/>
          <w:szCs w:val="24"/>
          <w:lang w:eastAsia="zh-CN"/>
        </w:rPr>
        <w:t>ITU-D</w:t>
      </w:r>
      <w:r w:rsidR="00B530C6">
        <w:rPr>
          <w:rFonts w:hint="eastAsia"/>
          <w:szCs w:val="24"/>
          <w:lang w:eastAsia="zh-CN"/>
        </w:rPr>
        <w:t>成员进行了一系列磋商，以探讨留住现有成员和吸引新成员的方法</w:t>
      </w:r>
      <w:r w:rsidRPr="008741A1">
        <w:rPr>
          <w:rFonts w:hint="eastAsia"/>
          <w:szCs w:val="24"/>
          <w:lang w:eastAsia="zh-CN"/>
        </w:rPr>
        <w:t>。在</w:t>
      </w:r>
      <w:r w:rsidRPr="008741A1">
        <w:rPr>
          <w:rFonts w:hint="eastAsia"/>
          <w:szCs w:val="24"/>
          <w:lang w:eastAsia="zh-CN"/>
        </w:rPr>
        <w:t>2019</w:t>
      </w:r>
      <w:r w:rsidRPr="00300217">
        <w:rPr>
          <w:rFonts w:asciiTheme="minorEastAsia" w:hAnsiTheme="minorEastAsia" w:hint="eastAsia"/>
          <w:szCs w:val="24"/>
          <w:lang w:eastAsia="zh-CN"/>
        </w:rPr>
        <w:t>年国际电联世界电信展期间</w:t>
      </w:r>
      <w:r w:rsidR="00300217" w:rsidRPr="00300217">
        <w:rPr>
          <w:rFonts w:asciiTheme="minorEastAsia" w:hAnsiTheme="minorEastAsia" w:hint="eastAsia"/>
          <w:szCs w:val="24"/>
          <w:lang w:eastAsia="zh-CN"/>
        </w:rPr>
        <w:t>还</w:t>
      </w:r>
      <w:r w:rsidRPr="00300217">
        <w:rPr>
          <w:rFonts w:asciiTheme="minorEastAsia" w:hAnsiTheme="minorEastAsia" w:hint="eastAsia"/>
          <w:szCs w:val="24"/>
          <w:lang w:eastAsia="zh-CN"/>
        </w:rPr>
        <w:t>组织了一次</w:t>
      </w:r>
      <w:r w:rsidR="00300217" w:rsidRPr="00300217">
        <w:rPr>
          <w:rFonts w:ascii="STKaiti" w:eastAsia="STKaiti" w:hAnsi="STKaiti" w:hint="eastAsia"/>
          <w:b/>
          <w:bCs/>
          <w:szCs w:val="24"/>
          <w:lang w:eastAsia="zh-CN"/>
        </w:rPr>
        <w:t>关于</w:t>
      </w:r>
      <w:r w:rsidRPr="00300217">
        <w:rPr>
          <w:rFonts w:ascii="STKaiti" w:eastAsia="STKaiti" w:hAnsi="STKaiti" w:hint="eastAsia"/>
          <w:b/>
          <w:bCs/>
          <w:szCs w:val="24"/>
          <w:lang w:eastAsia="zh-CN"/>
        </w:rPr>
        <w:t>ITU-D成员</w:t>
      </w:r>
      <w:r w:rsidR="00300217" w:rsidRPr="00300217">
        <w:rPr>
          <w:rFonts w:ascii="STKaiti" w:eastAsia="STKaiti" w:hAnsi="STKaiti" w:hint="eastAsia"/>
          <w:b/>
          <w:bCs/>
          <w:szCs w:val="24"/>
          <w:lang w:eastAsia="zh-CN"/>
        </w:rPr>
        <w:t>队伍</w:t>
      </w:r>
      <w:r w:rsidRPr="00300217">
        <w:rPr>
          <w:rFonts w:ascii="STKaiti" w:eastAsia="STKaiti" w:hAnsi="STKaiti" w:hint="eastAsia"/>
          <w:b/>
          <w:bCs/>
          <w:szCs w:val="24"/>
          <w:lang w:eastAsia="zh-CN"/>
        </w:rPr>
        <w:t>的特别会议</w:t>
      </w:r>
      <w:r w:rsidRPr="008741A1">
        <w:rPr>
          <w:rFonts w:hint="eastAsia"/>
          <w:szCs w:val="24"/>
          <w:lang w:eastAsia="zh-CN"/>
        </w:rPr>
        <w:t>，以听取现任成员</w:t>
      </w:r>
      <w:r w:rsidR="00300217">
        <w:rPr>
          <w:rFonts w:hint="eastAsia"/>
          <w:szCs w:val="24"/>
          <w:lang w:eastAsia="zh-CN"/>
        </w:rPr>
        <w:t>有关期望</w:t>
      </w:r>
      <w:r w:rsidRPr="008741A1">
        <w:rPr>
          <w:rFonts w:hint="eastAsia"/>
          <w:szCs w:val="24"/>
          <w:lang w:eastAsia="zh-CN"/>
        </w:rPr>
        <w:t>的反馈</w:t>
      </w:r>
      <w:r w:rsidR="00300217">
        <w:rPr>
          <w:rFonts w:hint="eastAsia"/>
          <w:szCs w:val="24"/>
          <w:lang w:eastAsia="zh-CN"/>
        </w:rPr>
        <w:t>和意见</w:t>
      </w:r>
      <w:r w:rsidRPr="008741A1">
        <w:rPr>
          <w:rFonts w:hint="eastAsia"/>
          <w:szCs w:val="24"/>
          <w:lang w:eastAsia="zh-CN"/>
        </w:rPr>
        <w:t>，期望与实际获得的服务之间的差距以及如何</w:t>
      </w:r>
      <w:r w:rsidR="00300217">
        <w:rPr>
          <w:rFonts w:hint="eastAsia"/>
          <w:szCs w:val="24"/>
          <w:lang w:eastAsia="zh-CN"/>
        </w:rPr>
        <w:t>使他们的成员资格增加价值的新建议</w:t>
      </w:r>
      <w:r w:rsidRPr="008741A1">
        <w:rPr>
          <w:rFonts w:hint="eastAsia"/>
          <w:szCs w:val="24"/>
          <w:lang w:eastAsia="zh-CN"/>
        </w:rPr>
        <w:t>。</w:t>
      </w:r>
    </w:p>
    <w:p w14:paraId="10799386" w14:textId="654C8748" w:rsidR="00CE5515" w:rsidRDefault="001878D2" w:rsidP="004413DE">
      <w:pPr>
        <w:ind w:firstLineChars="200" w:firstLine="480"/>
        <w:rPr>
          <w:szCs w:val="24"/>
          <w:lang w:eastAsia="zh-CN"/>
        </w:rPr>
      </w:pPr>
      <w:r w:rsidRPr="001878D2">
        <w:rPr>
          <w:rFonts w:hint="eastAsia"/>
          <w:szCs w:val="24"/>
          <w:lang w:eastAsia="zh-CN"/>
        </w:rPr>
        <w:t>计划</w:t>
      </w:r>
      <w:r w:rsidR="002B422D">
        <w:rPr>
          <w:rFonts w:hint="eastAsia"/>
          <w:szCs w:val="24"/>
          <w:lang w:eastAsia="zh-CN"/>
        </w:rPr>
        <w:t>在</w:t>
      </w:r>
      <w:r w:rsidRPr="001878D2">
        <w:rPr>
          <w:rFonts w:hint="eastAsia"/>
          <w:szCs w:val="24"/>
          <w:lang w:eastAsia="zh-CN"/>
        </w:rPr>
        <w:t>2020</w:t>
      </w:r>
      <w:r w:rsidRPr="001878D2">
        <w:rPr>
          <w:rFonts w:hint="eastAsia"/>
          <w:szCs w:val="24"/>
          <w:lang w:eastAsia="zh-CN"/>
        </w:rPr>
        <w:t>年</w:t>
      </w:r>
      <w:r w:rsidRPr="001878D2">
        <w:rPr>
          <w:rFonts w:hint="eastAsia"/>
          <w:szCs w:val="24"/>
          <w:lang w:eastAsia="zh-CN"/>
        </w:rPr>
        <w:t>2</w:t>
      </w:r>
      <w:r w:rsidRPr="001878D2">
        <w:rPr>
          <w:rFonts w:hint="eastAsia"/>
          <w:szCs w:val="24"/>
          <w:lang w:eastAsia="zh-CN"/>
        </w:rPr>
        <w:t>月</w:t>
      </w:r>
      <w:r w:rsidRPr="001878D2">
        <w:rPr>
          <w:rFonts w:hint="eastAsia"/>
          <w:szCs w:val="24"/>
          <w:lang w:eastAsia="zh-CN"/>
        </w:rPr>
        <w:t>19</w:t>
      </w:r>
      <w:r w:rsidRPr="001878D2">
        <w:rPr>
          <w:rFonts w:hint="eastAsia"/>
          <w:szCs w:val="24"/>
          <w:lang w:eastAsia="zh-CN"/>
        </w:rPr>
        <w:t>日</w:t>
      </w:r>
      <w:r w:rsidR="002B422D">
        <w:rPr>
          <w:rFonts w:hint="eastAsia"/>
          <w:szCs w:val="24"/>
          <w:lang w:eastAsia="zh-CN"/>
        </w:rPr>
        <w:t>于</w:t>
      </w:r>
      <w:r w:rsidRPr="001878D2">
        <w:rPr>
          <w:rFonts w:hint="eastAsia"/>
          <w:szCs w:val="24"/>
          <w:lang w:eastAsia="zh-CN"/>
        </w:rPr>
        <w:t>瑞士日内瓦</w:t>
      </w:r>
      <w:r w:rsidR="002B422D" w:rsidRPr="001878D2">
        <w:rPr>
          <w:rFonts w:hint="eastAsia"/>
          <w:szCs w:val="24"/>
          <w:lang w:eastAsia="zh-CN"/>
        </w:rPr>
        <w:t>举行</w:t>
      </w:r>
      <w:r w:rsidR="002B422D">
        <w:rPr>
          <w:rFonts w:hint="eastAsia"/>
          <w:szCs w:val="24"/>
          <w:lang w:eastAsia="zh-CN"/>
        </w:rPr>
        <w:t>的</w:t>
      </w:r>
      <w:r w:rsidR="002B422D" w:rsidRPr="001878D2">
        <w:rPr>
          <w:rFonts w:hint="eastAsia"/>
          <w:szCs w:val="24"/>
          <w:lang w:eastAsia="zh-CN"/>
        </w:rPr>
        <w:t>ITU-D</w:t>
      </w:r>
      <w:r w:rsidR="002B422D">
        <w:rPr>
          <w:rFonts w:hint="eastAsia"/>
          <w:szCs w:val="24"/>
          <w:lang w:eastAsia="zh-CN"/>
        </w:rPr>
        <w:t>研究组</w:t>
      </w:r>
      <w:r w:rsidR="002B422D" w:rsidRPr="001878D2">
        <w:rPr>
          <w:rFonts w:hint="eastAsia"/>
          <w:szCs w:val="24"/>
          <w:lang w:eastAsia="zh-CN"/>
        </w:rPr>
        <w:t>会议</w:t>
      </w:r>
      <w:r w:rsidR="002B422D">
        <w:rPr>
          <w:rFonts w:hint="eastAsia"/>
          <w:szCs w:val="24"/>
          <w:lang w:eastAsia="zh-CN"/>
        </w:rPr>
        <w:t>期间和</w:t>
      </w:r>
      <w:r w:rsidRPr="001878D2">
        <w:rPr>
          <w:rFonts w:hint="eastAsia"/>
          <w:szCs w:val="24"/>
          <w:lang w:eastAsia="zh-CN"/>
        </w:rPr>
        <w:t>2020</w:t>
      </w:r>
      <w:r w:rsidRPr="001878D2">
        <w:rPr>
          <w:rFonts w:hint="eastAsia"/>
          <w:szCs w:val="24"/>
          <w:lang w:eastAsia="zh-CN"/>
        </w:rPr>
        <w:t>年</w:t>
      </w:r>
      <w:r w:rsidRPr="001878D2">
        <w:rPr>
          <w:rFonts w:hint="eastAsia"/>
          <w:szCs w:val="24"/>
          <w:lang w:eastAsia="zh-CN"/>
        </w:rPr>
        <w:t>3</w:t>
      </w:r>
      <w:r w:rsidRPr="001878D2">
        <w:rPr>
          <w:rFonts w:hint="eastAsia"/>
          <w:szCs w:val="24"/>
          <w:lang w:eastAsia="zh-CN"/>
        </w:rPr>
        <w:t>月</w:t>
      </w:r>
      <w:r w:rsidRPr="001878D2">
        <w:rPr>
          <w:rFonts w:hint="eastAsia"/>
          <w:szCs w:val="24"/>
          <w:lang w:eastAsia="zh-CN"/>
        </w:rPr>
        <w:t>26</w:t>
      </w:r>
      <w:r w:rsidRPr="001878D2">
        <w:rPr>
          <w:rFonts w:hint="eastAsia"/>
          <w:szCs w:val="24"/>
          <w:lang w:eastAsia="zh-CN"/>
        </w:rPr>
        <w:t>日</w:t>
      </w:r>
      <w:r w:rsidR="002B422D">
        <w:rPr>
          <w:rFonts w:hint="eastAsia"/>
          <w:szCs w:val="24"/>
          <w:lang w:eastAsia="zh-CN"/>
        </w:rPr>
        <w:t>召开的</w:t>
      </w:r>
      <w:r w:rsidRPr="001878D2">
        <w:rPr>
          <w:rFonts w:hint="eastAsia"/>
          <w:szCs w:val="24"/>
          <w:lang w:eastAsia="zh-CN"/>
        </w:rPr>
        <w:t>TDAG</w:t>
      </w:r>
      <w:r w:rsidR="002B422D">
        <w:rPr>
          <w:rFonts w:hint="eastAsia"/>
          <w:szCs w:val="24"/>
          <w:lang w:eastAsia="zh-CN"/>
        </w:rPr>
        <w:t>会议</w:t>
      </w:r>
      <w:r w:rsidRPr="001878D2">
        <w:rPr>
          <w:rFonts w:hint="eastAsia"/>
          <w:szCs w:val="24"/>
          <w:lang w:eastAsia="zh-CN"/>
        </w:rPr>
        <w:t>期间举行有关</w:t>
      </w:r>
      <w:r w:rsidRPr="001878D2">
        <w:rPr>
          <w:rFonts w:hint="eastAsia"/>
          <w:szCs w:val="24"/>
          <w:lang w:eastAsia="zh-CN"/>
        </w:rPr>
        <w:t>ITU-D</w:t>
      </w:r>
      <w:r w:rsidRPr="001878D2">
        <w:rPr>
          <w:rFonts w:hint="eastAsia"/>
          <w:szCs w:val="24"/>
          <w:lang w:eastAsia="zh-CN"/>
        </w:rPr>
        <w:t>成员</w:t>
      </w:r>
      <w:r w:rsidR="002B422D">
        <w:rPr>
          <w:rFonts w:hint="eastAsia"/>
          <w:szCs w:val="24"/>
          <w:lang w:eastAsia="zh-CN"/>
        </w:rPr>
        <w:t>队伍</w:t>
      </w:r>
      <w:r w:rsidRPr="001878D2">
        <w:rPr>
          <w:rFonts w:hint="eastAsia"/>
          <w:szCs w:val="24"/>
          <w:lang w:eastAsia="zh-CN"/>
        </w:rPr>
        <w:t>的磋商会议。</w:t>
      </w:r>
    </w:p>
    <w:p w14:paraId="6D0AAA35" w14:textId="09498FE5" w:rsidR="00CE5515" w:rsidRPr="00895832" w:rsidRDefault="00CE5515" w:rsidP="00895832">
      <w:pPr>
        <w:pStyle w:val="Heading1"/>
        <w:rPr>
          <w:sz w:val="28"/>
          <w:szCs w:val="28"/>
          <w:lang w:eastAsia="zh-CN"/>
        </w:rPr>
      </w:pPr>
      <w:r w:rsidRPr="00895832">
        <w:rPr>
          <w:sz w:val="28"/>
          <w:szCs w:val="28"/>
          <w:lang w:eastAsia="zh-CN"/>
        </w:rPr>
        <w:t>5</w:t>
      </w:r>
      <w:r w:rsidRPr="00895832">
        <w:rPr>
          <w:sz w:val="28"/>
          <w:szCs w:val="28"/>
          <w:lang w:eastAsia="zh-CN"/>
        </w:rPr>
        <w:tab/>
      </w:r>
      <w:r w:rsidR="002B422D" w:rsidRPr="00895832">
        <w:rPr>
          <w:rFonts w:hint="eastAsia"/>
          <w:sz w:val="28"/>
          <w:szCs w:val="28"/>
          <w:lang w:eastAsia="zh-CN"/>
        </w:rPr>
        <w:t>未来</w:t>
      </w:r>
      <w:r w:rsidR="00FC09EA" w:rsidRPr="00895832">
        <w:rPr>
          <w:rFonts w:hint="eastAsia"/>
          <w:sz w:val="28"/>
          <w:szCs w:val="28"/>
          <w:lang w:eastAsia="zh-CN"/>
        </w:rPr>
        <w:t>的</w:t>
      </w:r>
      <w:r w:rsidR="002B422D" w:rsidRPr="00895832">
        <w:rPr>
          <w:rFonts w:hint="eastAsia"/>
          <w:sz w:val="28"/>
          <w:szCs w:val="28"/>
          <w:lang w:eastAsia="zh-CN"/>
        </w:rPr>
        <w:t>发展</w:t>
      </w:r>
    </w:p>
    <w:bookmarkEnd w:id="20"/>
    <w:p w14:paraId="1BB08A17" w14:textId="4DD5C1B9" w:rsidR="00B17AE4" w:rsidRPr="002B422D" w:rsidRDefault="00FC09EA">
      <w:pPr>
        <w:ind w:firstLineChars="200" w:firstLine="480"/>
        <w:rPr>
          <w:lang w:eastAsia="zh-CN"/>
        </w:rPr>
      </w:pPr>
      <w:r w:rsidRPr="002B422D">
        <w:rPr>
          <w:rFonts w:hint="eastAsia"/>
          <w:lang w:eastAsia="zh-CN"/>
        </w:rPr>
        <w:t>电信发展局将继续专注于新方法，以</w:t>
      </w:r>
      <w:r w:rsidR="002B422D" w:rsidRPr="002B422D">
        <w:rPr>
          <w:rFonts w:hint="eastAsia"/>
          <w:lang w:eastAsia="zh-CN"/>
        </w:rPr>
        <w:t>增强与成</w:t>
      </w:r>
      <w:r w:rsidRPr="002B422D">
        <w:rPr>
          <w:rFonts w:hint="eastAsia"/>
          <w:lang w:eastAsia="zh-CN"/>
        </w:rPr>
        <w:t>员及其网络的</w:t>
      </w:r>
      <w:r w:rsidR="002B422D" w:rsidRPr="002B422D">
        <w:rPr>
          <w:rFonts w:hint="eastAsia"/>
          <w:lang w:eastAsia="zh-CN"/>
        </w:rPr>
        <w:t>互动</w:t>
      </w:r>
      <w:r w:rsidRPr="002B422D">
        <w:rPr>
          <w:rFonts w:hint="eastAsia"/>
          <w:lang w:eastAsia="zh-CN"/>
        </w:rPr>
        <w:t>和协作，以便：</w:t>
      </w:r>
    </w:p>
    <w:p w14:paraId="5A27C765" w14:textId="7F935FDD" w:rsidR="00CE5515" w:rsidRPr="009E10D9" w:rsidRDefault="00895832" w:rsidP="00895832">
      <w:pPr>
        <w:pStyle w:val="enumlev1"/>
        <w:rPr>
          <w:lang w:eastAsia="zh-CN"/>
        </w:rPr>
      </w:pPr>
      <w:r>
        <w:rPr>
          <w:rFonts w:hint="eastAsia"/>
          <w:lang w:eastAsia="zh-CN"/>
        </w:rPr>
        <w:t>a</w:t>
      </w:r>
      <w:r>
        <w:rPr>
          <w:lang w:eastAsia="zh-CN"/>
        </w:rPr>
        <w:t>)</w:t>
      </w:r>
      <w:r>
        <w:rPr>
          <w:lang w:eastAsia="zh-CN"/>
        </w:rPr>
        <w:tab/>
      </w:r>
      <w:r w:rsidR="009E10D9">
        <w:rPr>
          <w:rFonts w:hint="eastAsia"/>
          <w:lang w:eastAsia="zh-CN"/>
        </w:rPr>
        <w:t>丰富成员队伍的</w:t>
      </w:r>
      <w:r w:rsidR="00FC09EA" w:rsidRPr="009E10D9">
        <w:rPr>
          <w:rFonts w:hint="eastAsia"/>
          <w:lang w:eastAsia="zh-CN"/>
        </w:rPr>
        <w:t>组合，留</w:t>
      </w:r>
      <w:r w:rsidR="009E10D9">
        <w:rPr>
          <w:rFonts w:hint="eastAsia"/>
          <w:lang w:eastAsia="zh-CN"/>
        </w:rPr>
        <w:t>住</w:t>
      </w:r>
      <w:r w:rsidR="00FC09EA" w:rsidRPr="009E10D9">
        <w:rPr>
          <w:rFonts w:hint="eastAsia"/>
          <w:lang w:eastAsia="zh-CN"/>
        </w:rPr>
        <w:t>现有成员</w:t>
      </w:r>
      <w:r w:rsidR="009E10D9">
        <w:rPr>
          <w:rFonts w:hint="eastAsia"/>
          <w:lang w:eastAsia="zh-CN"/>
        </w:rPr>
        <w:t>以使电信发展局实现</w:t>
      </w:r>
      <w:r w:rsidRPr="00895832">
        <w:rPr>
          <w:rFonts w:ascii="SimSun" w:eastAsia="SimSun" w:hAnsi="SimSun" w:cs="Calibri"/>
          <w:lang w:eastAsia="zh-CN"/>
        </w:rPr>
        <w:t>“</w:t>
      </w:r>
      <w:r w:rsidR="009E10D9" w:rsidRPr="009E10D9">
        <w:rPr>
          <w:rFonts w:hint="eastAsia"/>
          <w:lang w:eastAsia="zh-CN"/>
        </w:rPr>
        <w:t>胜任其职</w:t>
      </w:r>
      <w:r w:rsidRPr="00895832">
        <w:rPr>
          <w:rFonts w:ascii="SimSun" w:eastAsia="SimSun" w:hAnsi="SimSun" w:cs="Calibri"/>
          <w:lang w:eastAsia="zh-CN"/>
        </w:rPr>
        <w:t>”</w:t>
      </w:r>
      <w:r w:rsidR="00FC09EA" w:rsidRPr="009E10D9">
        <w:rPr>
          <w:rFonts w:hint="eastAsia"/>
          <w:lang w:eastAsia="zh-CN"/>
        </w:rPr>
        <w:t>的愿景。</w:t>
      </w:r>
    </w:p>
    <w:p w14:paraId="43195B03" w14:textId="21D84A1C" w:rsidR="00CE5515" w:rsidRPr="009E10D9" w:rsidRDefault="00895832" w:rsidP="00895832">
      <w:pPr>
        <w:pStyle w:val="enumlev1"/>
        <w:rPr>
          <w:lang w:eastAsia="zh-CN"/>
        </w:rPr>
      </w:pPr>
      <w:r>
        <w:rPr>
          <w:rFonts w:hint="eastAsia"/>
          <w:lang w:eastAsia="zh-CN"/>
        </w:rPr>
        <w:t>b</w:t>
      </w:r>
      <w:r>
        <w:rPr>
          <w:lang w:eastAsia="zh-CN"/>
        </w:rPr>
        <w:t>)</w:t>
      </w:r>
      <w:r>
        <w:rPr>
          <w:lang w:eastAsia="zh-CN"/>
        </w:rPr>
        <w:tab/>
      </w:r>
      <w:r w:rsidR="00FC09EA" w:rsidRPr="009E10D9">
        <w:rPr>
          <w:rFonts w:hint="eastAsia"/>
          <w:lang w:eastAsia="zh-CN"/>
        </w:rPr>
        <w:t>增加成员对</w:t>
      </w:r>
      <w:r w:rsidR="0045198E" w:rsidRPr="001878D2">
        <w:rPr>
          <w:rFonts w:hint="eastAsia"/>
          <w:szCs w:val="24"/>
          <w:lang w:eastAsia="zh-CN"/>
        </w:rPr>
        <w:t>ITU-D</w:t>
      </w:r>
      <w:r w:rsidR="0045198E">
        <w:rPr>
          <w:rFonts w:hint="eastAsia"/>
          <w:lang w:eastAsia="zh-CN"/>
        </w:rPr>
        <w:t>工作</w:t>
      </w:r>
      <w:r w:rsidR="00FC09EA" w:rsidRPr="009E10D9">
        <w:rPr>
          <w:rFonts w:hint="eastAsia"/>
          <w:lang w:eastAsia="zh-CN"/>
        </w:rPr>
        <w:t>和活动的参与，并优化其对《</w:t>
      </w:r>
      <w:r w:rsidR="0045198E" w:rsidRPr="0045198E">
        <w:rPr>
          <w:rFonts w:hint="eastAsia"/>
          <w:lang w:eastAsia="zh-CN"/>
        </w:rPr>
        <w:t>2030</w:t>
      </w:r>
      <w:r w:rsidR="0045198E" w:rsidRPr="0045198E">
        <w:rPr>
          <w:rFonts w:hint="eastAsia"/>
          <w:lang w:eastAsia="zh-CN"/>
        </w:rPr>
        <w:t>年可持续发展议程</w:t>
      </w:r>
      <w:r w:rsidR="00FC09EA" w:rsidRPr="009E10D9">
        <w:rPr>
          <w:rFonts w:hint="eastAsia"/>
          <w:lang w:eastAsia="zh-CN"/>
        </w:rPr>
        <w:t>》的贡献。</w:t>
      </w:r>
    </w:p>
    <w:p w14:paraId="3EC55C74" w14:textId="4592472E" w:rsidR="00CE5515" w:rsidRPr="009E10D9" w:rsidRDefault="00895832" w:rsidP="00895832">
      <w:pPr>
        <w:pStyle w:val="enumlev1"/>
        <w:rPr>
          <w:lang w:eastAsia="zh-CN"/>
        </w:rPr>
      </w:pPr>
      <w:r>
        <w:rPr>
          <w:lang w:eastAsia="zh-CN"/>
        </w:rPr>
        <w:t>c)</w:t>
      </w:r>
      <w:r>
        <w:rPr>
          <w:lang w:eastAsia="zh-CN"/>
        </w:rPr>
        <w:tab/>
      </w:r>
      <w:r w:rsidR="00EB2A66">
        <w:rPr>
          <w:rFonts w:hint="eastAsia"/>
          <w:lang w:eastAsia="zh-CN"/>
        </w:rPr>
        <w:t>加强与现有成员的伙伴关系建设机会，旨在</w:t>
      </w:r>
      <w:r w:rsidR="00FC09EA" w:rsidRPr="009E10D9">
        <w:rPr>
          <w:rFonts w:hint="eastAsia"/>
          <w:lang w:eastAsia="zh-CN"/>
        </w:rPr>
        <w:t>共同资助项目，</w:t>
      </w:r>
      <w:r w:rsidR="00EB2A66">
        <w:rPr>
          <w:rFonts w:hint="eastAsia"/>
          <w:lang w:eastAsia="zh-CN"/>
        </w:rPr>
        <w:t>其中</w:t>
      </w:r>
      <w:r w:rsidR="00FC09EA" w:rsidRPr="009E10D9">
        <w:rPr>
          <w:rFonts w:hint="eastAsia"/>
          <w:lang w:eastAsia="zh-CN"/>
        </w:rPr>
        <w:t>包括区域举措。</w:t>
      </w:r>
    </w:p>
    <w:p w14:paraId="3EEAAB22" w14:textId="5FF0CF75" w:rsidR="00CE5515" w:rsidRPr="009E10D9" w:rsidRDefault="00895832" w:rsidP="00895832">
      <w:pPr>
        <w:pStyle w:val="enumlev1"/>
        <w:rPr>
          <w:lang w:eastAsia="zh-CN"/>
        </w:rPr>
      </w:pPr>
      <w:r>
        <w:rPr>
          <w:rFonts w:hint="eastAsia"/>
          <w:lang w:eastAsia="zh-CN"/>
        </w:rPr>
        <w:t>d</w:t>
      </w:r>
      <w:r>
        <w:rPr>
          <w:lang w:eastAsia="zh-CN"/>
        </w:rPr>
        <w:t>)</w:t>
      </w:r>
      <w:r>
        <w:rPr>
          <w:lang w:eastAsia="zh-CN"/>
        </w:rPr>
        <w:tab/>
      </w:r>
      <w:r w:rsidR="00EB2A66">
        <w:rPr>
          <w:rFonts w:hint="eastAsia"/>
          <w:lang w:eastAsia="zh-CN"/>
        </w:rPr>
        <w:t>不断改进工具和服务以促进成</w:t>
      </w:r>
      <w:r w:rsidR="00FC09EA" w:rsidRPr="009E10D9">
        <w:rPr>
          <w:rFonts w:hint="eastAsia"/>
          <w:lang w:eastAsia="zh-CN"/>
        </w:rPr>
        <w:t>员</w:t>
      </w:r>
      <w:r w:rsidR="00EB2A66">
        <w:rPr>
          <w:rFonts w:hint="eastAsia"/>
          <w:lang w:eastAsia="zh-CN"/>
        </w:rPr>
        <w:t>对工作</w:t>
      </w:r>
      <w:r w:rsidR="00FC09EA" w:rsidRPr="009E10D9">
        <w:rPr>
          <w:rFonts w:hint="eastAsia"/>
          <w:lang w:eastAsia="zh-CN"/>
        </w:rPr>
        <w:t>的参与。</w:t>
      </w:r>
    </w:p>
    <w:p w14:paraId="5EAE55D7" w14:textId="611F2A57" w:rsidR="008D71AF" w:rsidRPr="00B66B65" w:rsidRDefault="008D71AF" w:rsidP="004413DE">
      <w:pPr>
        <w:rPr>
          <w:lang w:val="en-US" w:eastAsia="zh-CN"/>
        </w:rPr>
      </w:pPr>
    </w:p>
    <w:p w14:paraId="61200FDD" w14:textId="77777777" w:rsidR="00674B59" w:rsidRDefault="00674B59" w:rsidP="00674B59">
      <w:pPr>
        <w:rPr>
          <w:lang w:eastAsia="zh-CN"/>
        </w:rPr>
      </w:pPr>
    </w:p>
    <w:p w14:paraId="260D8DAB" w14:textId="77777777" w:rsidR="003C58BF" w:rsidRPr="00175C4C" w:rsidRDefault="008D71AF" w:rsidP="00674B59">
      <w:pPr>
        <w:jc w:val="center"/>
      </w:pPr>
      <w:r>
        <w:t>______________</w:t>
      </w:r>
    </w:p>
    <w:sectPr w:rsidR="003C58BF" w:rsidRPr="00175C4C" w:rsidSect="00CC4B75">
      <w:headerReference w:type="default" r:id="rId12"/>
      <w:footerReference w:type="default" r:id="rId13"/>
      <w:footerReference w:type="first" r:id="rId14"/>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BAAFA" w14:textId="77777777" w:rsidR="004F109C" w:rsidRDefault="004F109C">
      <w:r>
        <w:separator/>
      </w:r>
    </w:p>
  </w:endnote>
  <w:endnote w:type="continuationSeparator" w:id="0">
    <w:p w14:paraId="180B6CBE" w14:textId="77777777" w:rsidR="004F109C" w:rsidRDefault="004F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inherit">
    <w:altName w:val="Cambria"/>
    <w:panose1 w:val="00000000000000000000"/>
    <w:charset w:val="00"/>
    <w:family w:val="roman"/>
    <w:notTrueType/>
    <w:pitch w:val="default"/>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0BDA" w14:textId="5B61655E" w:rsidR="004F109C" w:rsidRPr="00895832" w:rsidRDefault="004F109C" w:rsidP="008D71AF">
    <w:pPr>
      <w:pStyle w:val="Footer"/>
      <w:rPr>
        <w:caps w:val="0"/>
        <w:szCs w:val="16"/>
        <w:lang w:val="fr-CH"/>
      </w:rPr>
    </w:pPr>
    <w:r w:rsidRPr="00F43E9C">
      <w:rPr>
        <w:caps w:val="0"/>
        <w:szCs w:val="16"/>
      </w:rPr>
      <w:fldChar w:fldCharType="begin"/>
    </w:r>
    <w:r w:rsidRPr="00895832">
      <w:rPr>
        <w:caps w:val="0"/>
        <w:szCs w:val="16"/>
        <w:lang w:val="fr-CH"/>
      </w:rPr>
      <w:instrText xml:space="preserve"> FILENAME \p \* MERGEFORMAT </w:instrText>
    </w:r>
    <w:r w:rsidRPr="00F43E9C">
      <w:rPr>
        <w:caps w:val="0"/>
        <w:szCs w:val="16"/>
      </w:rPr>
      <w:fldChar w:fldCharType="separate"/>
    </w:r>
    <w:r w:rsidR="00895832" w:rsidRPr="00895832">
      <w:rPr>
        <w:caps w:val="0"/>
        <w:szCs w:val="16"/>
        <w:lang w:val="fr-CH"/>
      </w:rPr>
      <w:t>P:\CHI\ITU-D\CONF-D\TDAG20\000\011C.docx</w:t>
    </w:r>
    <w:r w:rsidRPr="00F43E9C">
      <w:rPr>
        <w:caps w:val="0"/>
        <w:szCs w:val="16"/>
        <w:lang w:val="en-US"/>
      </w:rPr>
      <w:fldChar w:fldCharType="end"/>
    </w:r>
    <w:r w:rsidRPr="00895832">
      <w:rPr>
        <w:caps w:val="0"/>
        <w:szCs w:val="16"/>
        <w:lang w:val="fr-CH"/>
      </w:rPr>
      <w:t xml:space="preserve"> (4</w:t>
    </w:r>
    <w:r w:rsidR="00EF4484" w:rsidRPr="00895832">
      <w:rPr>
        <w:caps w:val="0"/>
        <w:szCs w:val="16"/>
        <w:lang w:val="fr-CH"/>
      </w:rPr>
      <w:t>65658</w:t>
    </w:r>
    <w:r w:rsidRPr="00895832">
      <w:rPr>
        <w:caps w:val="0"/>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4F109C" w:rsidRPr="00EF4484" w14:paraId="43854C10" w14:textId="77777777" w:rsidTr="008D71AF">
      <w:tc>
        <w:tcPr>
          <w:tcW w:w="1526" w:type="dxa"/>
          <w:tcBorders>
            <w:top w:val="single" w:sz="4" w:space="0" w:color="000000"/>
          </w:tcBorders>
          <w:shd w:val="clear" w:color="auto" w:fill="auto"/>
        </w:tcPr>
        <w:p w14:paraId="147B6EC7" w14:textId="77777777" w:rsidR="004F109C" w:rsidRPr="004D495C" w:rsidRDefault="004F109C" w:rsidP="008D71AF">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5E559159" w14:textId="77777777" w:rsidR="004F109C" w:rsidRPr="00F1049E" w:rsidRDefault="004F109C" w:rsidP="008D71AF">
          <w:pPr>
            <w:pStyle w:val="FirstFooter"/>
            <w:tabs>
              <w:tab w:val="left" w:pos="2302"/>
            </w:tabs>
            <w:ind w:left="2302" w:hanging="2302"/>
            <w:rPr>
              <w:sz w:val="18"/>
              <w:szCs w:val="18"/>
              <w:lang w:val="fr-CH"/>
            </w:rPr>
          </w:pPr>
          <w:r>
            <w:rPr>
              <w:rFonts w:ascii="SimSun" w:eastAsia="SimSun" w:hAnsi="SimSun" w:hint="eastAsia"/>
              <w:sz w:val="18"/>
              <w:szCs w:val="18"/>
              <w:lang w:val="fr-CH" w:eastAsia="zh-CN"/>
            </w:rPr>
            <w:t>组织/实体/姓名：</w:t>
          </w:r>
        </w:p>
      </w:tc>
      <w:tc>
        <w:tcPr>
          <w:tcW w:w="5987" w:type="dxa"/>
          <w:tcBorders>
            <w:top w:val="single" w:sz="4" w:space="0" w:color="000000"/>
          </w:tcBorders>
        </w:tcPr>
        <w:p w14:paraId="13B5E0FF" w14:textId="504F5259" w:rsidR="004F109C" w:rsidRPr="00EF4484" w:rsidRDefault="004F109C" w:rsidP="00F7702B">
          <w:pPr>
            <w:pStyle w:val="FirstFooter"/>
            <w:tabs>
              <w:tab w:val="left" w:pos="1201"/>
            </w:tabs>
            <w:rPr>
              <w:sz w:val="18"/>
              <w:szCs w:val="18"/>
              <w:lang w:val="fr-CH" w:eastAsia="zh-CN"/>
            </w:rPr>
          </w:pPr>
          <w:r>
            <w:rPr>
              <w:rFonts w:hint="eastAsia"/>
              <w:sz w:val="18"/>
              <w:szCs w:val="18"/>
              <w:lang w:val="en-US" w:eastAsia="zh-CN"/>
            </w:rPr>
            <w:t>电信发展局</w:t>
          </w:r>
          <w:r w:rsidR="003F6E19" w:rsidRPr="003F6E19">
            <w:rPr>
              <w:rFonts w:hint="eastAsia"/>
              <w:sz w:val="18"/>
              <w:szCs w:val="18"/>
              <w:lang w:val="en-US" w:eastAsia="zh-CN"/>
            </w:rPr>
            <w:t>数字发展</w:t>
          </w:r>
          <w:r w:rsidR="003F6E19">
            <w:rPr>
              <w:rFonts w:hint="eastAsia"/>
              <w:sz w:val="18"/>
              <w:szCs w:val="18"/>
              <w:lang w:val="en-US" w:eastAsia="zh-CN"/>
            </w:rPr>
            <w:t>伙伴关系部</w:t>
          </w:r>
          <w:r>
            <w:rPr>
              <w:sz w:val="18"/>
              <w:szCs w:val="18"/>
              <w:lang w:val="en-US" w:eastAsia="zh-CN"/>
            </w:rPr>
            <w:t>主任</w:t>
          </w:r>
          <w:proofErr w:type="spellStart"/>
          <w:r w:rsidR="00EF4484" w:rsidRPr="00F7702B">
            <w:rPr>
              <w:sz w:val="18"/>
              <w:szCs w:val="18"/>
              <w:lang w:val="fr-CH" w:eastAsia="zh-CN"/>
            </w:rPr>
            <w:t>Cosmas</w:t>
          </w:r>
          <w:proofErr w:type="spellEnd"/>
          <w:r w:rsidR="00EF4484" w:rsidRPr="00F7702B">
            <w:rPr>
              <w:sz w:val="18"/>
              <w:szCs w:val="18"/>
              <w:lang w:val="fr-CH" w:eastAsia="zh-CN"/>
            </w:rPr>
            <w:t xml:space="preserve"> </w:t>
          </w:r>
          <w:proofErr w:type="spellStart"/>
          <w:r w:rsidR="00EF4484" w:rsidRPr="00F7702B">
            <w:rPr>
              <w:sz w:val="18"/>
              <w:szCs w:val="18"/>
              <w:lang w:val="fr-CH" w:eastAsia="zh-CN"/>
            </w:rPr>
            <w:t>Zavazava</w:t>
          </w:r>
          <w:proofErr w:type="spellEnd"/>
          <w:r w:rsidR="00F7702B">
            <w:rPr>
              <w:rFonts w:hint="eastAsia"/>
              <w:sz w:val="18"/>
              <w:szCs w:val="18"/>
              <w:lang w:val="fr-CH" w:eastAsia="zh-CN"/>
            </w:rPr>
            <w:t>博士</w:t>
          </w:r>
        </w:p>
      </w:tc>
      <w:bookmarkStart w:id="22" w:name="OrgName"/>
      <w:bookmarkEnd w:id="22"/>
    </w:tr>
    <w:tr w:rsidR="004F109C" w:rsidRPr="004D495C" w14:paraId="17703AD7" w14:textId="77777777" w:rsidTr="008D71AF">
      <w:tc>
        <w:tcPr>
          <w:tcW w:w="1526" w:type="dxa"/>
          <w:shd w:val="clear" w:color="auto" w:fill="auto"/>
        </w:tcPr>
        <w:p w14:paraId="6BC3C8D8" w14:textId="77777777" w:rsidR="004F109C" w:rsidRPr="00EF4484" w:rsidRDefault="004F109C" w:rsidP="00645218">
          <w:pPr>
            <w:pStyle w:val="FirstFooter"/>
            <w:tabs>
              <w:tab w:val="left" w:pos="1559"/>
              <w:tab w:val="left" w:pos="3828"/>
            </w:tabs>
            <w:rPr>
              <w:sz w:val="20"/>
              <w:lang w:val="fr-CH" w:eastAsia="zh-CN"/>
            </w:rPr>
          </w:pPr>
        </w:p>
      </w:tc>
      <w:tc>
        <w:tcPr>
          <w:tcW w:w="2410" w:type="dxa"/>
          <w:shd w:val="clear" w:color="auto" w:fill="auto"/>
        </w:tcPr>
        <w:p w14:paraId="50FCE7CD" w14:textId="77777777" w:rsidR="004F109C" w:rsidRPr="004D495C" w:rsidRDefault="004F109C" w:rsidP="00645218">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14:paraId="11557B84" w14:textId="1B1A1872" w:rsidR="004F109C" w:rsidRPr="00103886" w:rsidRDefault="004F109C" w:rsidP="00645218">
          <w:pPr>
            <w:pStyle w:val="FirstFooter"/>
            <w:tabs>
              <w:tab w:val="left" w:pos="2302"/>
            </w:tabs>
            <w:rPr>
              <w:sz w:val="18"/>
              <w:szCs w:val="18"/>
              <w:lang w:val="en-US"/>
            </w:rPr>
          </w:pPr>
          <w:r>
            <w:rPr>
              <w:sz w:val="18"/>
              <w:szCs w:val="18"/>
              <w:lang w:val="en-US"/>
            </w:rPr>
            <w:t>+41 22 730 5</w:t>
          </w:r>
          <w:r w:rsidR="00EF4484">
            <w:rPr>
              <w:sz w:val="18"/>
              <w:szCs w:val="18"/>
              <w:lang w:val="en-US"/>
            </w:rPr>
            <w:t>447</w:t>
          </w:r>
        </w:p>
      </w:tc>
      <w:bookmarkStart w:id="23" w:name="PhoneNo"/>
      <w:bookmarkEnd w:id="23"/>
    </w:tr>
    <w:tr w:rsidR="004F109C" w:rsidRPr="004D495C" w14:paraId="64517250" w14:textId="77777777" w:rsidTr="008D71AF">
      <w:tc>
        <w:tcPr>
          <w:tcW w:w="1526" w:type="dxa"/>
          <w:shd w:val="clear" w:color="auto" w:fill="auto"/>
        </w:tcPr>
        <w:p w14:paraId="478E134F" w14:textId="77777777" w:rsidR="004F109C" w:rsidRPr="004D495C" w:rsidRDefault="004F109C" w:rsidP="00645218">
          <w:pPr>
            <w:pStyle w:val="FirstFooter"/>
            <w:tabs>
              <w:tab w:val="left" w:pos="1559"/>
              <w:tab w:val="left" w:pos="3828"/>
            </w:tabs>
            <w:rPr>
              <w:sz w:val="20"/>
              <w:lang w:val="en-US"/>
            </w:rPr>
          </w:pPr>
        </w:p>
      </w:tc>
      <w:tc>
        <w:tcPr>
          <w:tcW w:w="2410" w:type="dxa"/>
          <w:shd w:val="clear" w:color="auto" w:fill="auto"/>
        </w:tcPr>
        <w:p w14:paraId="3087A94C" w14:textId="77777777" w:rsidR="004F109C" w:rsidRPr="004D495C" w:rsidRDefault="004F109C" w:rsidP="0064521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14:paraId="5F769C27" w14:textId="578E899E" w:rsidR="004F109C" w:rsidRPr="00103886" w:rsidRDefault="00D659A7" w:rsidP="00645218">
          <w:pPr>
            <w:pStyle w:val="FirstFooter"/>
            <w:tabs>
              <w:tab w:val="left" w:pos="2302"/>
            </w:tabs>
            <w:rPr>
              <w:sz w:val="18"/>
              <w:szCs w:val="18"/>
              <w:lang w:val="en-US"/>
            </w:rPr>
          </w:pPr>
          <w:hyperlink r:id="rId1" w:history="1">
            <w:r w:rsidR="00EF4484" w:rsidRPr="00EF4484">
              <w:rPr>
                <w:rFonts w:ascii="Calibri" w:eastAsia="Times New Roman" w:hAnsi="Calibri"/>
                <w:color w:val="0000FF"/>
                <w:sz w:val="18"/>
                <w:szCs w:val="18"/>
                <w:u w:val="single"/>
                <w:lang w:val="en-US"/>
              </w:rPr>
              <w:t>zavazava@itu.int</w:t>
            </w:r>
          </w:hyperlink>
        </w:p>
      </w:tc>
      <w:bookmarkStart w:id="24" w:name="Email"/>
      <w:bookmarkEnd w:id="24"/>
    </w:tr>
  </w:tbl>
  <w:p w14:paraId="239B415A" w14:textId="77777777" w:rsidR="004F109C" w:rsidRPr="00645218" w:rsidRDefault="004F109C" w:rsidP="00175C4C">
    <w:pPr>
      <w:pStyle w:val="Footer"/>
      <w:jc w:val="center"/>
      <w:rPr>
        <w:lang w:val="en-US"/>
      </w:rPr>
    </w:pPr>
  </w:p>
  <w:p w14:paraId="1626EED1" w14:textId="77777777" w:rsidR="004F109C" w:rsidRPr="00E82BF1" w:rsidRDefault="00D659A7" w:rsidP="00175C4C">
    <w:pPr>
      <w:pStyle w:val="Footer"/>
      <w:jc w:val="center"/>
      <w:rPr>
        <w:sz w:val="20"/>
      </w:rPr>
    </w:pPr>
    <w:hyperlink r:id="rId2" w:history="1">
      <w:r w:rsidR="004F109C" w:rsidRPr="00E82BF1">
        <w:rPr>
          <w:rStyle w:val="Hyperlink"/>
          <w:caps w:val="0"/>
          <w:noProof w:val="0"/>
          <w:sz w:val="20"/>
          <w:lang w:val="en-US"/>
        </w:rPr>
        <w:t>TDAG</w:t>
      </w:r>
    </w:hyperlink>
  </w:p>
  <w:p w14:paraId="6EA48896" w14:textId="77777777" w:rsidR="004F109C" w:rsidRPr="00E82BF1" w:rsidRDefault="004F109C" w:rsidP="00175C4C">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6F148" w14:textId="77777777" w:rsidR="004F109C" w:rsidRDefault="004F109C">
      <w:r>
        <w:t>____________________</w:t>
      </w:r>
    </w:p>
  </w:footnote>
  <w:footnote w:type="continuationSeparator" w:id="0">
    <w:p w14:paraId="0597CB32" w14:textId="77777777" w:rsidR="004F109C" w:rsidRDefault="004F109C">
      <w:r>
        <w:continuationSeparator/>
      </w:r>
    </w:p>
  </w:footnote>
  <w:footnote w:id="1">
    <w:p w14:paraId="7258AE08" w14:textId="50184305" w:rsidR="00EF4484" w:rsidRPr="0010235F" w:rsidRDefault="00EF4484" w:rsidP="008432A3">
      <w:pPr>
        <w:pStyle w:val="FootnoteText"/>
        <w:rPr>
          <w:sz w:val="18"/>
          <w:szCs w:val="18"/>
          <w:lang w:val="en-US" w:eastAsia="zh-CN"/>
        </w:rPr>
      </w:pPr>
      <w:r w:rsidRPr="0010235F">
        <w:rPr>
          <w:rStyle w:val="FootnoteReference"/>
          <w:szCs w:val="18"/>
        </w:rPr>
        <w:footnoteRef/>
      </w:r>
      <w:r w:rsidRPr="0010235F">
        <w:rPr>
          <w:sz w:val="18"/>
          <w:szCs w:val="18"/>
          <w:lang w:eastAsia="zh-CN"/>
        </w:rPr>
        <w:t xml:space="preserve"> </w:t>
      </w:r>
      <w:bookmarkStart w:id="11" w:name="lt_pId147"/>
      <w:r w:rsidR="0003316E" w:rsidRPr="0010235F">
        <w:rPr>
          <w:rFonts w:hint="eastAsia"/>
          <w:sz w:val="18"/>
          <w:szCs w:val="18"/>
          <w:lang w:eastAsia="zh-CN"/>
        </w:rPr>
        <w:t>请参考全权代表大会第</w:t>
      </w:r>
      <w:r w:rsidR="0003316E" w:rsidRPr="0010235F">
        <w:rPr>
          <w:rFonts w:hint="eastAsia"/>
          <w:sz w:val="18"/>
          <w:szCs w:val="18"/>
          <w:lang w:eastAsia="zh-CN"/>
        </w:rPr>
        <w:t>1</w:t>
      </w:r>
      <w:r w:rsidRPr="0010235F">
        <w:rPr>
          <w:sz w:val="18"/>
          <w:szCs w:val="18"/>
          <w:lang w:eastAsia="zh-CN"/>
        </w:rPr>
        <w:t>69</w:t>
      </w:r>
      <w:r w:rsidR="0003316E" w:rsidRPr="0010235F">
        <w:rPr>
          <w:rFonts w:hint="eastAsia"/>
          <w:sz w:val="18"/>
          <w:szCs w:val="18"/>
          <w:lang w:eastAsia="zh-CN"/>
        </w:rPr>
        <w:t>号决议（</w:t>
      </w:r>
      <w:r w:rsidR="0003316E" w:rsidRPr="0010235F">
        <w:rPr>
          <w:sz w:val="18"/>
          <w:szCs w:val="18"/>
          <w:lang w:eastAsia="zh-CN"/>
        </w:rPr>
        <w:t>2010</w:t>
      </w:r>
      <w:r w:rsidR="0003316E" w:rsidRPr="0010235F">
        <w:rPr>
          <w:rFonts w:hint="eastAsia"/>
          <w:sz w:val="18"/>
          <w:szCs w:val="18"/>
          <w:lang w:eastAsia="zh-CN"/>
        </w:rPr>
        <w:t>年，瓜达拉哈拉），允许</w:t>
      </w:r>
      <w:r w:rsidR="003F6E19" w:rsidRPr="0010235F">
        <w:rPr>
          <w:rFonts w:hint="eastAsia"/>
          <w:sz w:val="18"/>
          <w:szCs w:val="18"/>
          <w:lang w:eastAsia="zh-CN"/>
        </w:rPr>
        <w:t>新分类的学术成员参</w:t>
      </w:r>
      <w:r w:rsidR="008432A3" w:rsidRPr="0010235F">
        <w:rPr>
          <w:rFonts w:hint="eastAsia"/>
          <w:sz w:val="18"/>
          <w:szCs w:val="18"/>
          <w:lang w:eastAsia="zh-CN"/>
        </w:rPr>
        <w:t>与</w:t>
      </w:r>
      <w:r w:rsidR="003F6E19" w:rsidRPr="0010235F">
        <w:rPr>
          <w:rFonts w:hint="eastAsia"/>
          <w:sz w:val="18"/>
          <w:szCs w:val="18"/>
          <w:lang w:eastAsia="zh-CN"/>
        </w:rPr>
        <w:t>国际电联的工作。</w:t>
      </w:r>
      <w:bookmarkEnd w:id="11"/>
    </w:p>
  </w:footnote>
  <w:footnote w:id="2">
    <w:p w14:paraId="014D40BA" w14:textId="1346FF77" w:rsidR="00EF4484" w:rsidRPr="0010235F" w:rsidRDefault="00EF4484" w:rsidP="00976D6D">
      <w:pPr>
        <w:pStyle w:val="FootnoteText"/>
        <w:rPr>
          <w:sz w:val="18"/>
          <w:szCs w:val="18"/>
          <w:lang w:val="en-US" w:eastAsia="zh-CN"/>
        </w:rPr>
      </w:pPr>
      <w:r w:rsidRPr="0010235F">
        <w:rPr>
          <w:rStyle w:val="FootnoteReference"/>
          <w:szCs w:val="18"/>
        </w:rPr>
        <w:footnoteRef/>
      </w:r>
      <w:r w:rsidRPr="0010235F">
        <w:rPr>
          <w:sz w:val="18"/>
          <w:szCs w:val="18"/>
          <w:lang w:eastAsia="zh-CN"/>
        </w:rPr>
        <w:t xml:space="preserve"> </w:t>
      </w:r>
      <w:r w:rsidR="0065701D" w:rsidRPr="0010235F">
        <w:rPr>
          <w:rFonts w:hint="eastAsia"/>
          <w:sz w:val="18"/>
          <w:szCs w:val="18"/>
          <w:lang w:val="en-US" w:eastAsia="zh-CN"/>
        </w:rPr>
        <w:t>第</w:t>
      </w:r>
      <w:r w:rsidR="0065701D" w:rsidRPr="0010235F">
        <w:rPr>
          <w:rFonts w:hint="eastAsia"/>
          <w:sz w:val="18"/>
          <w:szCs w:val="18"/>
          <w:lang w:val="en-US" w:eastAsia="zh-CN"/>
        </w:rPr>
        <w:t>71</w:t>
      </w:r>
      <w:r w:rsidR="0065701D" w:rsidRPr="0010235F">
        <w:rPr>
          <w:rFonts w:hint="eastAsia"/>
          <w:sz w:val="18"/>
          <w:szCs w:val="18"/>
          <w:lang w:val="en-US" w:eastAsia="zh-CN"/>
        </w:rPr>
        <w:t>号决议（</w:t>
      </w:r>
      <w:r w:rsidR="0065701D" w:rsidRPr="0010235F">
        <w:rPr>
          <w:rFonts w:hint="eastAsia"/>
          <w:sz w:val="18"/>
          <w:szCs w:val="18"/>
          <w:lang w:val="en-US" w:eastAsia="zh-CN"/>
        </w:rPr>
        <w:t>2017</w:t>
      </w:r>
      <w:r w:rsidR="0065701D" w:rsidRPr="0010235F">
        <w:rPr>
          <w:rFonts w:hint="eastAsia"/>
          <w:sz w:val="18"/>
          <w:szCs w:val="18"/>
          <w:lang w:val="en-US" w:eastAsia="zh-CN"/>
        </w:rPr>
        <w:t>年，布宜诺斯艾利斯，修订版），“加强成员国与国际电联电信发展部门部门成员、部门准成员和学术成员之间的合作</w:t>
      </w:r>
      <w:r w:rsidR="00976D6D" w:rsidRPr="0010235F">
        <w:rPr>
          <w:rFonts w:hint="eastAsia"/>
          <w:sz w:val="18"/>
          <w:szCs w:val="18"/>
          <w:lang w:val="en-US" w:eastAsia="zh-CN"/>
        </w:rPr>
        <w:t>以及推进</w:t>
      </w:r>
      <w:r w:rsidR="0065701D" w:rsidRPr="0010235F">
        <w:rPr>
          <w:rFonts w:hint="eastAsia"/>
          <w:sz w:val="18"/>
          <w:szCs w:val="18"/>
          <w:lang w:val="en-US" w:eastAsia="zh-CN"/>
        </w:rPr>
        <w:t>私营部门在国际电联发展部门中</w:t>
      </w:r>
      <w:r w:rsidR="00976D6D" w:rsidRPr="0010235F">
        <w:rPr>
          <w:rFonts w:hint="eastAsia"/>
          <w:sz w:val="18"/>
          <w:szCs w:val="18"/>
          <w:lang w:val="en-US" w:eastAsia="zh-CN"/>
        </w:rPr>
        <w:t>发挥</w:t>
      </w:r>
      <w:r w:rsidR="0065701D" w:rsidRPr="0010235F">
        <w:rPr>
          <w:rFonts w:hint="eastAsia"/>
          <w:sz w:val="18"/>
          <w:szCs w:val="18"/>
          <w:lang w:val="en-US" w:eastAsia="zh-CN"/>
        </w:rPr>
        <w:t>的作用</w:t>
      </w:r>
      <w:r w:rsidR="00976D6D" w:rsidRPr="0010235F">
        <w:rPr>
          <w:rFonts w:hint="eastAsia"/>
          <w:sz w:val="18"/>
          <w:szCs w:val="18"/>
          <w:lang w:val="en-US" w:eastAsia="zh-CN"/>
        </w:rPr>
        <w:t>。”</w:t>
      </w:r>
    </w:p>
  </w:footnote>
  <w:footnote w:id="3">
    <w:p w14:paraId="504C5B39" w14:textId="427AAA81" w:rsidR="00024E05" w:rsidRPr="0010235F" w:rsidRDefault="00024E05" w:rsidP="008432A3">
      <w:pPr>
        <w:pStyle w:val="FootnoteText"/>
        <w:rPr>
          <w:sz w:val="18"/>
          <w:szCs w:val="18"/>
          <w:lang w:val="en-US" w:eastAsia="zh-CN"/>
        </w:rPr>
      </w:pPr>
      <w:r w:rsidRPr="0010235F">
        <w:rPr>
          <w:rStyle w:val="FootnoteReference"/>
          <w:szCs w:val="18"/>
        </w:rPr>
        <w:footnoteRef/>
      </w:r>
      <w:r w:rsidRPr="0010235F">
        <w:rPr>
          <w:sz w:val="18"/>
          <w:szCs w:val="18"/>
          <w:lang w:eastAsia="zh-CN"/>
        </w:rPr>
        <w:t xml:space="preserve"> </w:t>
      </w:r>
      <w:r w:rsidR="008432A3" w:rsidRPr="0010235F">
        <w:rPr>
          <w:rFonts w:hint="eastAsia"/>
          <w:sz w:val="18"/>
          <w:szCs w:val="18"/>
          <w:lang w:eastAsia="zh-CN"/>
        </w:rPr>
        <w:t>请参考第</w:t>
      </w:r>
      <w:r w:rsidR="008432A3" w:rsidRPr="0010235F">
        <w:rPr>
          <w:rFonts w:hint="eastAsia"/>
          <w:sz w:val="18"/>
          <w:szCs w:val="18"/>
          <w:lang w:eastAsia="zh-CN"/>
        </w:rPr>
        <w:t>1</w:t>
      </w:r>
      <w:r w:rsidR="008432A3" w:rsidRPr="0010235F">
        <w:rPr>
          <w:sz w:val="18"/>
          <w:szCs w:val="18"/>
          <w:lang w:eastAsia="zh-CN"/>
        </w:rPr>
        <w:t>69</w:t>
      </w:r>
      <w:r w:rsidR="008432A3" w:rsidRPr="0010235F">
        <w:rPr>
          <w:rFonts w:hint="eastAsia"/>
          <w:sz w:val="18"/>
          <w:szCs w:val="18"/>
          <w:lang w:eastAsia="zh-CN"/>
        </w:rPr>
        <w:t>号决议（</w:t>
      </w:r>
      <w:r w:rsidR="008432A3" w:rsidRPr="0010235F">
        <w:rPr>
          <w:sz w:val="18"/>
          <w:szCs w:val="18"/>
          <w:lang w:eastAsia="zh-CN"/>
        </w:rPr>
        <w:t>2010</w:t>
      </w:r>
      <w:r w:rsidR="008432A3" w:rsidRPr="0010235F">
        <w:rPr>
          <w:rFonts w:hint="eastAsia"/>
          <w:sz w:val="18"/>
          <w:szCs w:val="18"/>
          <w:lang w:eastAsia="zh-CN"/>
        </w:rPr>
        <w:t>年，瓜达拉哈拉），允许新分类的学术成员参与国际电联的工作。</w:t>
      </w:r>
    </w:p>
  </w:footnote>
  <w:footnote w:id="4">
    <w:p w14:paraId="4E2E000A" w14:textId="1AC7F0E2" w:rsidR="004F109C" w:rsidRPr="00EB1FB3" w:rsidRDefault="004F109C" w:rsidP="00BF7966">
      <w:pPr>
        <w:pStyle w:val="FootnoteText"/>
        <w:rPr>
          <w:sz w:val="18"/>
          <w:szCs w:val="18"/>
          <w:lang w:val="en-US" w:eastAsia="zh-CN"/>
        </w:rPr>
      </w:pPr>
      <w:r w:rsidRPr="00C1371A">
        <w:rPr>
          <w:rStyle w:val="FootnoteReference"/>
        </w:rPr>
        <w:footnoteRef/>
      </w:r>
      <w:r w:rsidR="00EB1FB3">
        <w:rPr>
          <w:lang w:eastAsia="zh-CN"/>
        </w:rPr>
        <w:tab/>
      </w:r>
      <w:bookmarkStart w:id="18" w:name="lt_pId093"/>
      <w:r w:rsidRPr="00EB1FB3">
        <w:rPr>
          <w:rFonts w:hint="eastAsia"/>
          <w:sz w:val="18"/>
          <w:szCs w:val="18"/>
          <w:lang w:val="en-US" w:eastAsia="zh-CN"/>
        </w:rPr>
        <w:t>学术成员参与国际电联</w:t>
      </w:r>
      <w:r w:rsidR="007913C1">
        <w:rPr>
          <w:rFonts w:hint="eastAsia"/>
          <w:sz w:val="18"/>
          <w:szCs w:val="18"/>
          <w:lang w:val="en-US" w:eastAsia="zh-CN"/>
        </w:rPr>
        <w:t>全部</w:t>
      </w:r>
      <w:r w:rsidRPr="00EB1FB3">
        <w:rPr>
          <w:rFonts w:hint="eastAsia"/>
          <w:sz w:val="18"/>
          <w:szCs w:val="18"/>
          <w:lang w:val="en-US" w:eastAsia="zh-CN"/>
        </w:rPr>
        <w:t>三个部门</w:t>
      </w:r>
      <w:r w:rsidR="007913C1">
        <w:rPr>
          <w:rFonts w:hint="eastAsia"/>
          <w:sz w:val="18"/>
          <w:szCs w:val="18"/>
          <w:lang w:val="en-US" w:eastAsia="zh-CN"/>
        </w:rPr>
        <w:t>及其顾问组</w:t>
      </w:r>
      <w:r w:rsidRPr="00EB1FB3">
        <w:rPr>
          <w:rFonts w:hint="eastAsia"/>
          <w:sz w:val="18"/>
          <w:szCs w:val="18"/>
          <w:lang w:val="en-US" w:eastAsia="zh-CN"/>
        </w:rPr>
        <w:t>的工作。</w:t>
      </w:r>
      <w:bookmarkEnd w:id="18"/>
      <w:r w:rsidR="00016F70" w:rsidRPr="00016F70">
        <w:rPr>
          <w:rFonts w:ascii="inherit" w:hAnsi="inherit"/>
          <w:color w:val="000000"/>
          <w:sz w:val="20"/>
          <w:lang w:eastAsia="zh-CN"/>
        </w:rPr>
        <w:t>根据各相关部门的议事规则，学术成员参加除全权代表大会、世界无线电通信大会、国际电信世界大会和国际电联理事会以外的国际电联其他全球和区域性大会、讲习班与活动</w:t>
      </w:r>
      <w:r w:rsidR="00BF7966">
        <w:rPr>
          <w:rFonts w:ascii="inherit" w:hAnsi="inherit"/>
          <w:color w:val="000000"/>
          <w:sz w:val="20"/>
          <w:lang w:eastAsia="zh-CN"/>
        </w:rPr>
        <w:t>。</w:t>
      </w:r>
    </w:p>
  </w:footnote>
  <w:footnote w:id="5">
    <w:p w14:paraId="55C46383" w14:textId="7421F0CE" w:rsidR="004F109C" w:rsidRPr="00600AEC" w:rsidRDefault="004F109C" w:rsidP="00C46094">
      <w:pPr>
        <w:pStyle w:val="FootnoteText"/>
        <w:rPr>
          <w:lang w:eastAsia="zh-CN"/>
        </w:rPr>
      </w:pPr>
      <w:r>
        <w:rPr>
          <w:rStyle w:val="FootnoteReference"/>
        </w:rPr>
        <w:footnoteRef/>
      </w:r>
      <w:r w:rsidR="00EB1FB3">
        <w:rPr>
          <w:lang w:eastAsia="zh-CN"/>
        </w:rPr>
        <w:tab/>
      </w:r>
      <w:r w:rsidR="005A28AC">
        <w:rPr>
          <w:rFonts w:hint="eastAsia"/>
          <w:sz w:val="18"/>
          <w:szCs w:val="18"/>
          <w:lang w:val="en-US" w:eastAsia="zh-CN"/>
        </w:rPr>
        <w:t>亚琛工业大学（德国）、多多马大学（坦桑尼亚）、</w:t>
      </w:r>
      <w:r w:rsidR="00764F1D">
        <w:rPr>
          <w:rFonts w:hint="eastAsia"/>
          <w:sz w:val="18"/>
          <w:szCs w:val="18"/>
          <w:lang w:val="en-US" w:eastAsia="zh-CN"/>
        </w:rPr>
        <w:t>德黑兰大学（伊朗伊斯兰共和国）、</w:t>
      </w:r>
      <w:r w:rsidR="005A28AC">
        <w:rPr>
          <w:rFonts w:hint="eastAsia"/>
          <w:sz w:val="18"/>
          <w:szCs w:val="18"/>
          <w:lang w:val="en-US" w:eastAsia="zh-CN"/>
        </w:rPr>
        <w:t>东京理</w:t>
      </w:r>
      <w:r w:rsidR="00764F1D">
        <w:rPr>
          <w:rFonts w:hint="eastAsia"/>
          <w:sz w:val="18"/>
          <w:szCs w:val="18"/>
          <w:lang w:val="en-US" w:eastAsia="zh-CN"/>
        </w:rPr>
        <w:t>科大学（日本）、</w:t>
      </w:r>
      <w:r w:rsidR="005A28AC" w:rsidRPr="005A28AC">
        <w:rPr>
          <w:rFonts w:hint="eastAsia"/>
          <w:sz w:val="18"/>
          <w:szCs w:val="18"/>
          <w:lang w:val="en-US" w:eastAsia="zh-CN"/>
        </w:rPr>
        <w:t>阿拉伯国家研究与教育</w:t>
      </w:r>
      <w:r w:rsidR="00764F1D">
        <w:rPr>
          <w:rFonts w:hint="eastAsia"/>
          <w:sz w:val="18"/>
          <w:szCs w:val="18"/>
          <w:lang w:val="en-US" w:eastAsia="zh-CN"/>
        </w:rPr>
        <w:t>网络（约旦）、</w:t>
      </w:r>
      <w:proofErr w:type="spellStart"/>
      <w:r w:rsidR="00361E81" w:rsidRPr="00361E81">
        <w:rPr>
          <w:sz w:val="18"/>
          <w:szCs w:val="18"/>
          <w:lang w:eastAsia="zh-CN"/>
        </w:rPr>
        <w:t>Amirkabir</w:t>
      </w:r>
      <w:proofErr w:type="spellEnd"/>
      <w:r w:rsidR="00F82CB2">
        <w:rPr>
          <w:rFonts w:hint="eastAsia"/>
          <w:sz w:val="18"/>
          <w:szCs w:val="18"/>
          <w:lang w:val="en-US" w:eastAsia="zh-CN"/>
        </w:rPr>
        <w:t>工业大学（伊朗伊斯兰共和国）、</w:t>
      </w:r>
      <w:r w:rsidR="00361E81" w:rsidRPr="00361E81">
        <w:rPr>
          <w:sz w:val="18"/>
          <w:szCs w:val="18"/>
          <w:lang w:eastAsia="zh-CN"/>
        </w:rPr>
        <w:t>Nazarbayev</w:t>
      </w:r>
      <w:r w:rsidR="005A28AC" w:rsidRPr="005A28AC">
        <w:rPr>
          <w:rFonts w:hint="eastAsia"/>
          <w:sz w:val="18"/>
          <w:szCs w:val="18"/>
          <w:lang w:val="en-US" w:eastAsia="zh-CN"/>
        </w:rPr>
        <w:t>大学（哈萨克斯坦）</w:t>
      </w:r>
      <w:r w:rsidR="00361E81">
        <w:rPr>
          <w:rFonts w:hint="eastAsia"/>
          <w:sz w:val="18"/>
          <w:szCs w:val="18"/>
          <w:lang w:val="en-US" w:eastAsia="zh-CN"/>
        </w:rPr>
        <w:t>、</w:t>
      </w:r>
      <w:r w:rsidR="00AD2D25">
        <w:rPr>
          <w:rFonts w:hint="eastAsia"/>
          <w:sz w:val="18"/>
          <w:szCs w:val="18"/>
          <w:lang w:eastAsia="zh-CN"/>
        </w:rPr>
        <w:t>萨里</w:t>
      </w:r>
      <w:r w:rsidR="005A28AC" w:rsidRPr="005A28AC">
        <w:rPr>
          <w:rFonts w:hint="eastAsia"/>
          <w:sz w:val="18"/>
          <w:szCs w:val="18"/>
          <w:lang w:val="en-US" w:eastAsia="zh-CN"/>
        </w:rPr>
        <w:t>大学（英国）</w:t>
      </w:r>
      <w:r w:rsidR="00AD2D25">
        <w:rPr>
          <w:rFonts w:hint="eastAsia"/>
          <w:sz w:val="18"/>
          <w:szCs w:val="18"/>
          <w:lang w:val="en-US" w:eastAsia="zh-CN"/>
        </w:rPr>
        <w:t>、</w:t>
      </w:r>
      <w:proofErr w:type="spellStart"/>
      <w:r w:rsidR="00AD2D25" w:rsidRPr="00AD2D25">
        <w:rPr>
          <w:sz w:val="18"/>
          <w:szCs w:val="18"/>
          <w:lang w:eastAsia="zh-CN"/>
        </w:rPr>
        <w:t>Tarbiat</w:t>
      </w:r>
      <w:proofErr w:type="spellEnd"/>
      <w:r w:rsidR="00AD2D25" w:rsidRPr="00AD2D25">
        <w:rPr>
          <w:sz w:val="18"/>
          <w:szCs w:val="18"/>
          <w:lang w:eastAsia="zh-CN"/>
        </w:rPr>
        <w:t xml:space="preserve"> </w:t>
      </w:r>
      <w:proofErr w:type="spellStart"/>
      <w:r w:rsidR="00AD2D25" w:rsidRPr="00AD2D25">
        <w:rPr>
          <w:sz w:val="18"/>
          <w:szCs w:val="18"/>
          <w:lang w:eastAsia="zh-CN"/>
        </w:rPr>
        <w:t>Modares</w:t>
      </w:r>
      <w:proofErr w:type="spellEnd"/>
      <w:r w:rsidR="005A28AC" w:rsidRPr="005A28AC">
        <w:rPr>
          <w:rFonts w:hint="eastAsia"/>
          <w:sz w:val="18"/>
          <w:szCs w:val="18"/>
          <w:lang w:val="en-US" w:eastAsia="zh-CN"/>
        </w:rPr>
        <w:t>大学（</w:t>
      </w:r>
      <w:r w:rsidR="00361E81">
        <w:rPr>
          <w:rFonts w:hint="eastAsia"/>
          <w:sz w:val="18"/>
          <w:szCs w:val="18"/>
          <w:lang w:val="en-US" w:eastAsia="zh-CN"/>
        </w:rPr>
        <w:t>伊朗伊斯兰共和国</w:t>
      </w:r>
      <w:r w:rsidR="005A28AC" w:rsidRPr="005A28AC">
        <w:rPr>
          <w:rFonts w:hint="eastAsia"/>
          <w:sz w:val="18"/>
          <w:szCs w:val="18"/>
          <w:lang w:val="en-US" w:eastAsia="zh-CN"/>
        </w:rPr>
        <w:t>）</w:t>
      </w:r>
      <w:r w:rsidR="00AD2D25">
        <w:rPr>
          <w:rFonts w:hint="eastAsia"/>
          <w:sz w:val="18"/>
          <w:szCs w:val="18"/>
          <w:lang w:val="en-US" w:eastAsia="zh-CN"/>
        </w:rPr>
        <w:t>、</w:t>
      </w:r>
      <w:r w:rsidR="00AD2D25" w:rsidRPr="00AD2D25">
        <w:rPr>
          <w:sz w:val="18"/>
          <w:szCs w:val="18"/>
          <w:lang w:val="en-US" w:eastAsia="zh-CN"/>
        </w:rPr>
        <w:t>Técnica del Norte</w:t>
      </w:r>
      <w:r w:rsidR="00AD2D25">
        <w:rPr>
          <w:rFonts w:hint="eastAsia"/>
          <w:sz w:val="18"/>
          <w:szCs w:val="18"/>
          <w:lang w:val="en-US" w:eastAsia="zh-CN"/>
        </w:rPr>
        <w:t>大学（厄瓜多尔）、</w:t>
      </w:r>
      <w:r w:rsidR="005A28AC" w:rsidRPr="005A28AC">
        <w:rPr>
          <w:rFonts w:hint="eastAsia"/>
          <w:sz w:val="18"/>
          <w:szCs w:val="18"/>
          <w:lang w:val="en-US" w:eastAsia="zh-CN"/>
        </w:rPr>
        <w:t>加利福尼亚大学尔湾分校（美国）</w:t>
      </w:r>
      <w:r w:rsidR="00AD2D25">
        <w:rPr>
          <w:rFonts w:hint="eastAsia"/>
          <w:sz w:val="18"/>
          <w:szCs w:val="18"/>
          <w:lang w:val="en-US" w:eastAsia="zh-CN"/>
        </w:rPr>
        <w:t>、</w:t>
      </w:r>
      <w:r w:rsidR="00AD2D25" w:rsidRPr="00AD2D25">
        <w:rPr>
          <w:sz w:val="18"/>
          <w:szCs w:val="18"/>
          <w:lang w:val="en-US" w:eastAsia="zh-CN"/>
        </w:rPr>
        <w:t>Hamad Bin Khalifa</w:t>
      </w:r>
      <w:r w:rsidR="005A28AC" w:rsidRPr="005A28AC">
        <w:rPr>
          <w:rFonts w:hint="eastAsia"/>
          <w:sz w:val="18"/>
          <w:szCs w:val="18"/>
          <w:lang w:val="en-US" w:eastAsia="zh-CN"/>
        </w:rPr>
        <w:t>大学（卡塔尔）</w:t>
      </w:r>
      <w:r w:rsidR="00AD2D25">
        <w:rPr>
          <w:rFonts w:hint="eastAsia"/>
          <w:sz w:val="18"/>
          <w:szCs w:val="18"/>
          <w:lang w:val="en-US" w:eastAsia="zh-CN"/>
        </w:rPr>
        <w:t>、</w:t>
      </w:r>
      <w:r w:rsidR="005A28AC" w:rsidRPr="005A28AC">
        <w:rPr>
          <w:rFonts w:hint="eastAsia"/>
          <w:sz w:val="18"/>
          <w:szCs w:val="18"/>
          <w:lang w:val="en-US" w:eastAsia="zh-CN"/>
        </w:rPr>
        <w:t>欧洲科学研究所（法国）</w:t>
      </w:r>
      <w:r w:rsidR="00AD2D25">
        <w:rPr>
          <w:rFonts w:hint="eastAsia"/>
          <w:sz w:val="18"/>
          <w:szCs w:val="18"/>
          <w:lang w:val="en-US" w:eastAsia="zh-CN"/>
        </w:rPr>
        <w:t>、</w:t>
      </w:r>
      <w:r w:rsidR="005A28AC" w:rsidRPr="005A28AC">
        <w:rPr>
          <w:rFonts w:hint="eastAsia"/>
          <w:sz w:val="18"/>
          <w:szCs w:val="18"/>
          <w:lang w:val="en-US" w:eastAsia="zh-CN"/>
        </w:rPr>
        <w:t>智能量子通信</w:t>
      </w:r>
      <w:r w:rsidR="00AD2D25">
        <w:rPr>
          <w:rFonts w:hint="eastAsia"/>
          <w:sz w:val="18"/>
          <w:szCs w:val="18"/>
          <w:lang w:val="en-US" w:eastAsia="zh-CN"/>
        </w:rPr>
        <w:t>研究中心</w:t>
      </w:r>
      <w:r w:rsidR="005A28AC" w:rsidRPr="005A28AC">
        <w:rPr>
          <w:rFonts w:hint="eastAsia"/>
          <w:sz w:val="18"/>
          <w:szCs w:val="18"/>
          <w:lang w:val="en-US" w:eastAsia="zh-CN"/>
        </w:rPr>
        <w:t>（韩国）</w:t>
      </w:r>
      <w:r w:rsidR="00AD2D25">
        <w:rPr>
          <w:rFonts w:hint="eastAsia"/>
          <w:sz w:val="18"/>
          <w:szCs w:val="18"/>
          <w:lang w:val="en-US" w:eastAsia="zh-CN"/>
        </w:rPr>
        <w:t>、布里斯托大学（英国）、香港应用科技研究院（中国）、</w:t>
      </w:r>
      <w:r w:rsidR="005521B6">
        <w:rPr>
          <w:rFonts w:hint="eastAsia"/>
          <w:sz w:val="18"/>
          <w:szCs w:val="18"/>
          <w:lang w:val="en-US" w:eastAsia="zh-CN"/>
        </w:rPr>
        <w:t>波尔多大学（法国）、</w:t>
      </w:r>
      <w:r w:rsidR="005A28AC" w:rsidRPr="005A28AC">
        <w:rPr>
          <w:rFonts w:hint="eastAsia"/>
          <w:sz w:val="18"/>
          <w:szCs w:val="18"/>
          <w:lang w:val="en-US" w:eastAsia="zh-CN"/>
        </w:rPr>
        <w:t>伊尔</w:t>
      </w:r>
      <w:r w:rsidR="005521B6">
        <w:rPr>
          <w:rFonts w:hint="eastAsia"/>
          <w:sz w:val="18"/>
          <w:szCs w:val="18"/>
          <w:lang w:val="en-US" w:eastAsia="zh-CN"/>
        </w:rPr>
        <w:t>梅</w:t>
      </w:r>
      <w:r w:rsidR="005A28AC" w:rsidRPr="005A28AC">
        <w:rPr>
          <w:rFonts w:hint="eastAsia"/>
          <w:sz w:val="18"/>
          <w:szCs w:val="18"/>
          <w:lang w:val="en-US" w:eastAsia="zh-CN"/>
        </w:rPr>
        <w:t>瑙</w:t>
      </w:r>
      <w:r w:rsidR="005521B6">
        <w:rPr>
          <w:rFonts w:hint="eastAsia"/>
          <w:sz w:val="18"/>
          <w:szCs w:val="18"/>
          <w:lang w:val="en-US" w:eastAsia="zh-CN"/>
        </w:rPr>
        <w:t>工业</w:t>
      </w:r>
      <w:r w:rsidR="005A28AC" w:rsidRPr="005A28AC">
        <w:rPr>
          <w:rFonts w:hint="eastAsia"/>
          <w:sz w:val="18"/>
          <w:szCs w:val="18"/>
          <w:lang w:val="en-US" w:eastAsia="zh-CN"/>
        </w:rPr>
        <w:t>大学</w:t>
      </w:r>
      <w:r w:rsidR="005521B6">
        <w:rPr>
          <w:rFonts w:hint="eastAsia"/>
          <w:sz w:val="18"/>
          <w:szCs w:val="18"/>
          <w:lang w:val="en-US" w:eastAsia="zh-CN"/>
        </w:rPr>
        <w:t>（德国）、</w:t>
      </w:r>
      <w:r w:rsidR="00C46094" w:rsidRPr="005A28AC">
        <w:rPr>
          <w:rFonts w:hint="eastAsia"/>
          <w:sz w:val="18"/>
          <w:szCs w:val="18"/>
          <w:lang w:val="en-US" w:eastAsia="zh-CN"/>
        </w:rPr>
        <w:t>远程信息处理发展中心（印度）</w:t>
      </w:r>
      <w:r w:rsidR="00C46094">
        <w:rPr>
          <w:rFonts w:hint="eastAsia"/>
          <w:sz w:val="18"/>
          <w:szCs w:val="18"/>
          <w:lang w:val="en-US" w:eastAsia="zh-CN"/>
        </w:rPr>
        <w:t>、康考迪亚大学（加拿大）、</w:t>
      </w:r>
      <w:r w:rsidR="005A28AC" w:rsidRPr="005A28AC">
        <w:rPr>
          <w:rFonts w:hint="eastAsia"/>
          <w:sz w:val="18"/>
          <w:szCs w:val="18"/>
          <w:lang w:val="en-US" w:eastAsia="zh-CN"/>
        </w:rPr>
        <w:t>信州大学（日本）</w:t>
      </w:r>
      <w:r w:rsidR="00C46094">
        <w:rPr>
          <w:rFonts w:hint="eastAsia"/>
          <w:sz w:val="18"/>
          <w:szCs w:val="18"/>
          <w:lang w:val="en-US" w:eastAsia="zh-CN"/>
        </w:rPr>
        <w:t>、</w:t>
      </w:r>
      <w:r w:rsidR="00C46094" w:rsidRPr="00C46094">
        <w:rPr>
          <w:sz w:val="18"/>
          <w:szCs w:val="18"/>
          <w:lang w:val="en-US" w:eastAsia="zh-CN"/>
        </w:rPr>
        <w:t>Mila</w:t>
      </w:r>
      <w:r w:rsidR="00C46094">
        <w:rPr>
          <w:rFonts w:hint="eastAsia"/>
          <w:sz w:val="18"/>
          <w:szCs w:val="18"/>
          <w:lang w:val="en-US" w:eastAsia="zh-CN"/>
        </w:rPr>
        <w:t>魁北克信息技术研究</w:t>
      </w:r>
      <w:r w:rsidR="005A28AC" w:rsidRPr="005A28AC">
        <w:rPr>
          <w:rFonts w:hint="eastAsia"/>
          <w:sz w:val="18"/>
          <w:szCs w:val="18"/>
          <w:lang w:val="en-US" w:eastAsia="zh-CN"/>
        </w:rPr>
        <w:t>所（加拿大）。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1448C" w14:textId="7AA6620E" w:rsidR="004F109C" w:rsidRPr="00F43E9C" w:rsidRDefault="004F109C" w:rsidP="00F43E9C">
    <w:pPr>
      <w:tabs>
        <w:tab w:val="clear" w:pos="794"/>
        <w:tab w:val="clear" w:pos="1191"/>
        <w:tab w:val="clear" w:pos="1588"/>
        <w:tab w:val="clear" w:pos="1985"/>
        <w:tab w:val="center" w:pos="4820"/>
        <w:tab w:val="right" w:pos="10206"/>
      </w:tabs>
      <w:ind w:right="1"/>
      <w:rPr>
        <w:rStyle w:val="PageNumber"/>
        <w:rFonts w:ascii="Calibri" w:eastAsia="SimSun" w:hAnsi="Calibri"/>
        <w:smallCaps/>
        <w:spacing w:val="24"/>
        <w:sz w:val="22"/>
        <w:szCs w:val="22"/>
        <w:lang w:val="es-ES_tradnl"/>
      </w:rPr>
    </w:pPr>
    <w:r w:rsidRPr="00F43E9C">
      <w:rPr>
        <w:rFonts w:ascii="Calibri" w:eastAsia="SimSun" w:hAnsi="Calibri"/>
        <w:sz w:val="22"/>
        <w:szCs w:val="22"/>
      </w:rPr>
      <w:tab/>
    </w:r>
    <w:r w:rsidRPr="00F43E9C">
      <w:rPr>
        <w:rFonts w:ascii="Calibri" w:eastAsia="SimSun" w:hAnsi="Calibri"/>
        <w:sz w:val="22"/>
        <w:szCs w:val="22"/>
        <w:lang w:val="es-ES_tradnl"/>
      </w:rPr>
      <w:t>TDAG-</w:t>
    </w:r>
    <w:r w:rsidR="00EF4484">
      <w:rPr>
        <w:rFonts w:ascii="Calibri" w:eastAsia="SimSun" w:hAnsi="Calibri"/>
        <w:sz w:val="22"/>
        <w:szCs w:val="22"/>
        <w:lang w:val="es-ES_tradnl"/>
      </w:rPr>
      <w:t>20</w:t>
    </w:r>
    <w:r w:rsidRPr="00F43E9C">
      <w:rPr>
        <w:rFonts w:ascii="Calibri" w:eastAsia="SimSun" w:hAnsi="Calibri"/>
        <w:sz w:val="22"/>
        <w:szCs w:val="22"/>
        <w:lang w:val="es-ES_tradnl"/>
      </w:rPr>
      <w:t>/</w:t>
    </w:r>
    <w:bookmarkStart w:id="21" w:name="DocNo2"/>
    <w:bookmarkEnd w:id="21"/>
    <w:r w:rsidR="00EF4484">
      <w:rPr>
        <w:rFonts w:ascii="Calibri" w:eastAsia="SimSun" w:hAnsi="Calibri"/>
        <w:sz w:val="22"/>
        <w:szCs w:val="22"/>
        <w:lang w:val="es-ES_tradnl"/>
      </w:rPr>
      <w:t>11</w:t>
    </w:r>
    <w:r w:rsidRPr="00F43E9C">
      <w:rPr>
        <w:rFonts w:ascii="Calibri" w:eastAsia="SimSun" w:hAnsi="Calibri"/>
        <w:sz w:val="22"/>
        <w:szCs w:val="22"/>
        <w:lang w:val="es-ES_tradnl"/>
      </w:rPr>
      <w:t>-C</w:t>
    </w:r>
    <w:r w:rsidRPr="00F43E9C">
      <w:rPr>
        <w:rFonts w:ascii="Calibri" w:eastAsia="SimSun" w:hAnsi="Calibri"/>
        <w:sz w:val="22"/>
        <w:szCs w:val="22"/>
        <w:lang w:val="es-ES_tradnl"/>
      </w:rPr>
      <w:tab/>
    </w:r>
    <w:r w:rsidRPr="00F43E9C">
      <w:rPr>
        <w:rFonts w:ascii="Calibri" w:eastAsia="SimSun" w:hAnsi="Calibri"/>
        <w:sz w:val="22"/>
        <w:szCs w:val="22"/>
      </w:rPr>
      <w:fldChar w:fldCharType="begin"/>
    </w:r>
    <w:r w:rsidRPr="00F43E9C">
      <w:rPr>
        <w:rFonts w:ascii="Calibri" w:eastAsia="SimSun" w:hAnsi="Calibri"/>
        <w:sz w:val="22"/>
        <w:szCs w:val="22"/>
        <w:lang w:val="es-ES_tradnl"/>
      </w:rPr>
      <w:instrText xml:space="preserve"> PAGE </w:instrText>
    </w:r>
    <w:r w:rsidRPr="00F43E9C">
      <w:rPr>
        <w:rFonts w:ascii="Calibri" w:eastAsia="SimSun" w:hAnsi="Calibri"/>
        <w:sz w:val="22"/>
        <w:szCs w:val="22"/>
      </w:rPr>
      <w:fldChar w:fldCharType="separate"/>
    </w:r>
    <w:r w:rsidR="0067445D">
      <w:rPr>
        <w:rFonts w:ascii="Calibri" w:eastAsia="SimSun" w:hAnsi="Calibri"/>
        <w:noProof/>
        <w:sz w:val="22"/>
        <w:szCs w:val="22"/>
        <w:lang w:val="es-ES_tradnl"/>
      </w:rPr>
      <w:t>2</w:t>
    </w:r>
    <w:r w:rsidRPr="00F43E9C">
      <w:rPr>
        <w:rFonts w:ascii="Calibri" w:eastAsia="SimSun" w:hAnsi="Calibr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B252B"/>
    <w:multiLevelType w:val="hybridMultilevel"/>
    <w:tmpl w:val="752C9C4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CB7926"/>
    <w:multiLevelType w:val="multilevel"/>
    <w:tmpl w:val="DF7C2730"/>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EA"/>
    <w:rsid w:val="00002716"/>
    <w:rsid w:val="00005791"/>
    <w:rsid w:val="00016F70"/>
    <w:rsid w:val="00024E05"/>
    <w:rsid w:val="0002520B"/>
    <w:rsid w:val="0003316E"/>
    <w:rsid w:val="00037A9E"/>
    <w:rsid w:val="00037F91"/>
    <w:rsid w:val="000539F1"/>
    <w:rsid w:val="00055A2A"/>
    <w:rsid w:val="000615C1"/>
    <w:rsid w:val="00065B23"/>
    <w:rsid w:val="0009225C"/>
    <w:rsid w:val="000A17C4"/>
    <w:rsid w:val="000A346A"/>
    <w:rsid w:val="000B2352"/>
    <w:rsid w:val="000C44BE"/>
    <w:rsid w:val="000C7B84"/>
    <w:rsid w:val="000D261B"/>
    <w:rsid w:val="000D58A3"/>
    <w:rsid w:val="000E3ED4"/>
    <w:rsid w:val="000F6644"/>
    <w:rsid w:val="00100833"/>
    <w:rsid w:val="0010235F"/>
    <w:rsid w:val="00113EE8"/>
    <w:rsid w:val="0011455A"/>
    <w:rsid w:val="00114A65"/>
    <w:rsid w:val="00122E83"/>
    <w:rsid w:val="00141699"/>
    <w:rsid w:val="00141E80"/>
    <w:rsid w:val="00147000"/>
    <w:rsid w:val="00163091"/>
    <w:rsid w:val="001645CB"/>
    <w:rsid w:val="00166305"/>
    <w:rsid w:val="001703C6"/>
    <w:rsid w:val="00173781"/>
    <w:rsid w:val="00175C4C"/>
    <w:rsid w:val="00175CAE"/>
    <w:rsid w:val="001828DB"/>
    <w:rsid w:val="001850FE"/>
    <w:rsid w:val="00185135"/>
    <w:rsid w:val="001878D2"/>
    <w:rsid w:val="0019037C"/>
    <w:rsid w:val="001905A9"/>
    <w:rsid w:val="00191273"/>
    <w:rsid w:val="001942A7"/>
    <w:rsid w:val="0019587B"/>
    <w:rsid w:val="001A163D"/>
    <w:rsid w:val="001A1E1F"/>
    <w:rsid w:val="001A441E"/>
    <w:rsid w:val="001B2C5E"/>
    <w:rsid w:val="001B357F"/>
    <w:rsid w:val="001C2C64"/>
    <w:rsid w:val="001C3702"/>
    <w:rsid w:val="001C4656"/>
    <w:rsid w:val="001D12A3"/>
    <w:rsid w:val="001E1FE9"/>
    <w:rsid w:val="001E7AFC"/>
    <w:rsid w:val="001F1B3F"/>
    <w:rsid w:val="001F23E6"/>
    <w:rsid w:val="001F4238"/>
    <w:rsid w:val="00200A38"/>
    <w:rsid w:val="00200A46"/>
    <w:rsid w:val="00203A95"/>
    <w:rsid w:val="00211B6F"/>
    <w:rsid w:val="00217CC3"/>
    <w:rsid w:val="00220AB6"/>
    <w:rsid w:val="0022120F"/>
    <w:rsid w:val="0022754A"/>
    <w:rsid w:val="00236560"/>
    <w:rsid w:val="0023662E"/>
    <w:rsid w:val="00245D0F"/>
    <w:rsid w:val="00246166"/>
    <w:rsid w:val="002548C3"/>
    <w:rsid w:val="00257ACD"/>
    <w:rsid w:val="00262908"/>
    <w:rsid w:val="002650F4"/>
    <w:rsid w:val="002715FD"/>
    <w:rsid w:val="00281C49"/>
    <w:rsid w:val="00283EC3"/>
    <w:rsid w:val="00285B33"/>
    <w:rsid w:val="002B422D"/>
    <w:rsid w:val="002C1EC7"/>
    <w:rsid w:val="002C7EA3"/>
    <w:rsid w:val="002D20AE"/>
    <w:rsid w:val="002D6C61"/>
    <w:rsid w:val="002E2104"/>
    <w:rsid w:val="002E4DA2"/>
    <w:rsid w:val="002E6963"/>
    <w:rsid w:val="002F05D8"/>
    <w:rsid w:val="002F2DE0"/>
    <w:rsid w:val="002F5E25"/>
    <w:rsid w:val="00300217"/>
    <w:rsid w:val="0030029B"/>
    <w:rsid w:val="003125C3"/>
    <w:rsid w:val="00312AE6"/>
    <w:rsid w:val="00317D1A"/>
    <w:rsid w:val="003211FF"/>
    <w:rsid w:val="00327247"/>
    <w:rsid w:val="00327A9D"/>
    <w:rsid w:val="0033130E"/>
    <w:rsid w:val="00360B73"/>
    <w:rsid w:val="00361E81"/>
    <w:rsid w:val="0038365A"/>
    <w:rsid w:val="00386A89"/>
    <w:rsid w:val="0039108C"/>
    <w:rsid w:val="003920DA"/>
    <w:rsid w:val="0039648E"/>
    <w:rsid w:val="003A39EA"/>
    <w:rsid w:val="003A5AFE"/>
    <w:rsid w:val="003A5D5F"/>
    <w:rsid w:val="003A7FBB"/>
    <w:rsid w:val="003A7FFE"/>
    <w:rsid w:val="003B0A63"/>
    <w:rsid w:val="003B2A2A"/>
    <w:rsid w:val="003B50E1"/>
    <w:rsid w:val="003C1746"/>
    <w:rsid w:val="003C58BF"/>
    <w:rsid w:val="003D451D"/>
    <w:rsid w:val="003F2DD8"/>
    <w:rsid w:val="003F41C7"/>
    <w:rsid w:val="003F50B2"/>
    <w:rsid w:val="003F6E19"/>
    <w:rsid w:val="00401BFF"/>
    <w:rsid w:val="00402DDC"/>
    <w:rsid w:val="004122C5"/>
    <w:rsid w:val="00413B78"/>
    <w:rsid w:val="00416DDE"/>
    <w:rsid w:val="00425A85"/>
    <w:rsid w:val="004321C2"/>
    <w:rsid w:val="004413DE"/>
    <w:rsid w:val="0044411E"/>
    <w:rsid w:val="0045198E"/>
    <w:rsid w:val="00453435"/>
    <w:rsid w:val="00466398"/>
    <w:rsid w:val="0049128B"/>
    <w:rsid w:val="00493B49"/>
    <w:rsid w:val="00495501"/>
    <w:rsid w:val="004A070A"/>
    <w:rsid w:val="004A320E"/>
    <w:rsid w:val="004A4E9C"/>
    <w:rsid w:val="004B1A3C"/>
    <w:rsid w:val="004B56E7"/>
    <w:rsid w:val="004C3B40"/>
    <w:rsid w:val="004C5C6B"/>
    <w:rsid w:val="004D2CC3"/>
    <w:rsid w:val="004D33B2"/>
    <w:rsid w:val="004D35CB"/>
    <w:rsid w:val="004E20E5"/>
    <w:rsid w:val="004E64EA"/>
    <w:rsid w:val="004E7828"/>
    <w:rsid w:val="004F109C"/>
    <w:rsid w:val="004F46AA"/>
    <w:rsid w:val="004F47B2"/>
    <w:rsid w:val="004F6A70"/>
    <w:rsid w:val="00502ABF"/>
    <w:rsid w:val="00504DB0"/>
    <w:rsid w:val="00520649"/>
    <w:rsid w:val="005274AC"/>
    <w:rsid w:val="005406BE"/>
    <w:rsid w:val="0054420E"/>
    <w:rsid w:val="00544D1B"/>
    <w:rsid w:val="00545DC0"/>
    <w:rsid w:val="00545F6C"/>
    <w:rsid w:val="005521B6"/>
    <w:rsid w:val="00553950"/>
    <w:rsid w:val="00554088"/>
    <w:rsid w:val="00554989"/>
    <w:rsid w:val="0055720C"/>
    <w:rsid w:val="0056423B"/>
    <w:rsid w:val="00573424"/>
    <w:rsid w:val="0057402F"/>
    <w:rsid w:val="005849D6"/>
    <w:rsid w:val="00585367"/>
    <w:rsid w:val="005862E6"/>
    <w:rsid w:val="00592518"/>
    <w:rsid w:val="00592E87"/>
    <w:rsid w:val="00594C4D"/>
    <w:rsid w:val="005A28AC"/>
    <w:rsid w:val="005A33B0"/>
    <w:rsid w:val="005A3E62"/>
    <w:rsid w:val="005A4C3D"/>
    <w:rsid w:val="005B725F"/>
    <w:rsid w:val="005C2523"/>
    <w:rsid w:val="005C2DC2"/>
    <w:rsid w:val="005C304A"/>
    <w:rsid w:val="005C7FA9"/>
    <w:rsid w:val="005D0203"/>
    <w:rsid w:val="005D57C8"/>
    <w:rsid w:val="005D7761"/>
    <w:rsid w:val="005E0278"/>
    <w:rsid w:val="005E3CA0"/>
    <w:rsid w:val="005E3F42"/>
    <w:rsid w:val="005E44B1"/>
    <w:rsid w:val="005E47E4"/>
    <w:rsid w:val="005E67B0"/>
    <w:rsid w:val="005E6E87"/>
    <w:rsid w:val="005E7047"/>
    <w:rsid w:val="005E777F"/>
    <w:rsid w:val="005F1CA7"/>
    <w:rsid w:val="005F43DD"/>
    <w:rsid w:val="005F51A9"/>
    <w:rsid w:val="005F7416"/>
    <w:rsid w:val="00600AEC"/>
    <w:rsid w:val="00600C11"/>
    <w:rsid w:val="00606B89"/>
    <w:rsid w:val="00613F25"/>
    <w:rsid w:val="00625FB8"/>
    <w:rsid w:val="006261BD"/>
    <w:rsid w:val="00636284"/>
    <w:rsid w:val="00645218"/>
    <w:rsid w:val="0064734E"/>
    <w:rsid w:val="00650137"/>
    <w:rsid w:val="006509D7"/>
    <w:rsid w:val="0065521B"/>
    <w:rsid w:val="0065701D"/>
    <w:rsid w:val="00671EF6"/>
    <w:rsid w:val="0067205B"/>
    <w:rsid w:val="00672592"/>
    <w:rsid w:val="0067445D"/>
    <w:rsid w:val="006748F8"/>
    <w:rsid w:val="00674B59"/>
    <w:rsid w:val="00680489"/>
    <w:rsid w:val="0069054E"/>
    <w:rsid w:val="006925CE"/>
    <w:rsid w:val="006926F0"/>
    <w:rsid w:val="006A7710"/>
    <w:rsid w:val="006A7A61"/>
    <w:rsid w:val="006B2FFB"/>
    <w:rsid w:val="006B4F8A"/>
    <w:rsid w:val="006C108A"/>
    <w:rsid w:val="006C10A2"/>
    <w:rsid w:val="006C1F18"/>
    <w:rsid w:val="006D40D5"/>
    <w:rsid w:val="006F009A"/>
    <w:rsid w:val="006F3D93"/>
    <w:rsid w:val="007019B1"/>
    <w:rsid w:val="00703E66"/>
    <w:rsid w:val="0071251F"/>
    <w:rsid w:val="00715959"/>
    <w:rsid w:val="00717FED"/>
    <w:rsid w:val="00721657"/>
    <w:rsid w:val="00727B1A"/>
    <w:rsid w:val="00730E2C"/>
    <w:rsid w:val="00745F13"/>
    <w:rsid w:val="00752258"/>
    <w:rsid w:val="00762880"/>
    <w:rsid w:val="00764F1D"/>
    <w:rsid w:val="00772290"/>
    <w:rsid w:val="00777265"/>
    <w:rsid w:val="007805E7"/>
    <w:rsid w:val="0078222A"/>
    <w:rsid w:val="007874EA"/>
    <w:rsid w:val="00787D48"/>
    <w:rsid w:val="007913C1"/>
    <w:rsid w:val="007A4E50"/>
    <w:rsid w:val="007B17C7"/>
    <w:rsid w:val="007B18A7"/>
    <w:rsid w:val="007B250E"/>
    <w:rsid w:val="007B58A6"/>
    <w:rsid w:val="007C27FC"/>
    <w:rsid w:val="007C51FF"/>
    <w:rsid w:val="007D020F"/>
    <w:rsid w:val="007D50E4"/>
    <w:rsid w:val="007E62D9"/>
    <w:rsid w:val="007E7FEE"/>
    <w:rsid w:val="00801F5E"/>
    <w:rsid w:val="008028CE"/>
    <w:rsid w:val="0080332E"/>
    <w:rsid w:val="00804622"/>
    <w:rsid w:val="00811873"/>
    <w:rsid w:val="008141E0"/>
    <w:rsid w:val="00816EE1"/>
    <w:rsid w:val="00816F88"/>
    <w:rsid w:val="00822323"/>
    <w:rsid w:val="00823118"/>
    <w:rsid w:val="00833024"/>
    <w:rsid w:val="00843164"/>
    <w:rsid w:val="008432A3"/>
    <w:rsid w:val="00844A56"/>
    <w:rsid w:val="008450D4"/>
    <w:rsid w:val="00852081"/>
    <w:rsid w:val="008543C0"/>
    <w:rsid w:val="008717AC"/>
    <w:rsid w:val="008741A1"/>
    <w:rsid w:val="00874DFD"/>
    <w:rsid w:val="00883086"/>
    <w:rsid w:val="008879FD"/>
    <w:rsid w:val="00894C37"/>
    <w:rsid w:val="00895832"/>
    <w:rsid w:val="008A00EA"/>
    <w:rsid w:val="008A3F93"/>
    <w:rsid w:val="008A6236"/>
    <w:rsid w:val="008A6E1C"/>
    <w:rsid w:val="008A72FD"/>
    <w:rsid w:val="008B2EDF"/>
    <w:rsid w:val="008B54CB"/>
    <w:rsid w:val="008B5A3D"/>
    <w:rsid w:val="008B7AFE"/>
    <w:rsid w:val="008C2B02"/>
    <w:rsid w:val="008C4010"/>
    <w:rsid w:val="008C4FDF"/>
    <w:rsid w:val="008C5C2E"/>
    <w:rsid w:val="008C6B1F"/>
    <w:rsid w:val="008D5E4F"/>
    <w:rsid w:val="008D71AF"/>
    <w:rsid w:val="008F14F5"/>
    <w:rsid w:val="008F71C1"/>
    <w:rsid w:val="00902D41"/>
    <w:rsid w:val="00914004"/>
    <w:rsid w:val="00914C6E"/>
    <w:rsid w:val="00915C8E"/>
    <w:rsid w:val="00922EC1"/>
    <w:rsid w:val="009301F1"/>
    <w:rsid w:val="009359B8"/>
    <w:rsid w:val="009431F8"/>
    <w:rsid w:val="00947A35"/>
    <w:rsid w:val="00962F6D"/>
    <w:rsid w:val="00966CB5"/>
    <w:rsid w:val="00975786"/>
    <w:rsid w:val="00976D6D"/>
    <w:rsid w:val="00981CB7"/>
    <w:rsid w:val="00983E1F"/>
    <w:rsid w:val="009911BE"/>
    <w:rsid w:val="00993F46"/>
    <w:rsid w:val="00997358"/>
    <w:rsid w:val="009A26DC"/>
    <w:rsid w:val="009A452B"/>
    <w:rsid w:val="009A6118"/>
    <w:rsid w:val="009B050C"/>
    <w:rsid w:val="009B087F"/>
    <w:rsid w:val="009B7936"/>
    <w:rsid w:val="009C105C"/>
    <w:rsid w:val="009C110B"/>
    <w:rsid w:val="009C5441"/>
    <w:rsid w:val="009D119F"/>
    <w:rsid w:val="009E10D9"/>
    <w:rsid w:val="009F3940"/>
    <w:rsid w:val="009F3EB2"/>
    <w:rsid w:val="009F6EB1"/>
    <w:rsid w:val="00A15749"/>
    <w:rsid w:val="00A20267"/>
    <w:rsid w:val="00A3158C"/>
    <w:rsid w:val="00A33E32"/>
    <w:rsid w:val="00A3727C"/>
    <w:rsid w:val="00A426A0"/>
    <w:rsid w:val="00A447AA"/>
    <w:rsid w:val="00A53E7C"/>
    <w:rsid w:val="00A60087"/>
    <w:rsid w:val="00A67D34"/>
    <w:rsid w:val="00A705E8"/>
    <w:rsid w:val="00A7076A"/>
    <w:rsid w:val="00A9392C"/>
    <w:rsid w:val="00A9462B"/>
    <w:rsid w:val="00A97D59"/>
    <w:rsid w:val="00AA193B"/>
    <w:rsid w:val="00AA3E09"/>
    <w:rsid w:val="00AA4BEF"/>
    <w:rsid w:val="00AB181A"/>
    <w:rsid w:val="00AB4962"/>
    <w:rsid w:val="00AB740F"/>
    <w:rsid w:val="00AC7221"/>
    <w:rsid w:val="00AD0A21"/>
    <w:rsid w:val="00AD2D25"/>
    <w:rsid w:val="00AE27A9"/>
    <w:rsid w:val="00AE3606"/>
    <w:rsid w:val="00AE5961"/>
    <w:rsid w:val="00AF4971"/>
    <w:rsid w:val="00AF5A46"/>
    <w:rsid w:val="00AF5EF0"/>
    <w:rsid w:val="00B01046"/>
    <w:rsid w:val="00B13CB6"/>
    <w:rsid w:val="00B17AE4"/>
    <w:rsid w:val="00B310F9"/>
    <w:rsid w:val="00B34B2C"/>
    <w:rsid w:val="00B37866"/>
    <w:rsid w:val="00B412FB"/>
    <w:rsid w:val="00B4576B"/>
    <w:rsid w:val="00B46350"/>
    <w:rsid w:val="00B530C6"/>
    <w:rsid w:val="00B66B65"/>
    <w:rsid w:val="00B70DD6"/>
    <w:rsid w:val="00B74000"/>
    <w:rsid w:val="00B83D5E"/>
    <w:rsid w:val="00B83DDE"/>
    <w:rsid w:val="00B8460A"/>
    <w:rsid w:val="00B8650D"/>
    <w:rsid w:val="00B879B4"/>
    <w:rsid w:val="00B90F07"/>
    <w:rsid w:val="00B97BB9"/>
    <w:rsid w:val="00BA0009"/>
    <w:rsid w:val="00BA4D75"/>
    <w:rsid w:val="00BB1863"/>
    <w:rsid w:val="00BB25EE"/>
    <w:rsid w:val="00BB363A"/>
    <w:rsid w:val="00BB6E20"/>
    <w:rsid w:val="00BC10A0"/>
    <w:rsid w:val="00BC233D"/>
    <w:rsid w:val="00BC7BA2"/>
    <w:rsid w:val="00BD426B"/>
    <w:rsid w:val="00BD79F0"/>
    <w:rsid w:val="00BE0986"/>
    <w:rsid w:val="00BE2B4D"/>
    <w:rsid w:val="00BF7966"/>
    <w:rsid w:val="00C015F8"/>
    <w:rsid w:val="00C0533A"/>
    <w:rsid w:val="00C07E26"/>
    <w:rsid w:val="00C1011C"/>
    <w:rsid w:val="00C177C5"/>
    <w:rsid w:val="00C4038C"/>
    <w:rsid w:val="00C42BA2"/>
    <w:rsid w:val="00C44066"/>
    <w:rsid w:val="00C44E13"/>
    <w:rsid w:val="00C453F2"/>
    <w:rsid w:val="00C46094"/>
    <w:rsid w:val="00C60A41"/>
    <w:rsid w:val="00C60CCE"/>
    <w:rsid w:val="00C625A8"/>
    <w:rsid w:val="00C62DE8"/>
    <w:rsid w:val="00C62DFB"/>
    <w:rsid w:val="00C64029"/>
    <w:rsid w:val="00C66F4D"/>
    <w:rsid w:val="00C86600"/>
    <w:rsid w:val="00C87BCA"/>
    <w:rsid w:val="00C93548"/>
    <w:rsid w:val="00C94506"/>
    <w:rsid w:val="00C954BC"/>
    <w:rsid w:val="00CA1F0B"/>
    <w:rsid w:val="00CB110F"/>
    <w:rsid w:val="00CB2A2E"/>
    <w:rsid w:val="00CB338A"/>
    <w:rsid w:val="00CB79C5"/>
    <w:rsid w:val="00CC3DFF"/>
    <w:rsid w:val="00CC411F"/>
    <w:rsid w:val="00CC4B75"/>
    <w:rsid w:val="00CC732E"/>
    <w:rsid w:val="00CD7207"/>
    <w:rsid w:val="00CE0DBE"/>
    <w:rsid w:val="00CE5515"/>
    <w:rsid w:val="00CE5E4D"/>
    <w:rsid w:val="00CE6FBB"/>
    <w:rsid w:val="00CF02C4"/>
    <w:rsid w:val="00CF167F"/>
    <w:rsid w:val="00CF27A0"/>
    <w:rsid w:val="00CF72E5"/>
    <w:rsid w:val="00D01F54"/>
    <w:rsid w:val="00D10FC7"/>
    <w:rsid w:val="00D20E99"/>
    <w:rsid w:val="00D21C83"/>
    <w:rsid w:val="00D35BDD"/>
    <w:rsid w:val="00D63006"/>
    <w:rsid w:val="00D659A7"/>
    <w:rsid w:val="00D72301"/>
    <w:rsid w:val="00D76FC1"/>
    <w:rsid w:val="00D91B97"/>
    <w:rsid w:val="00D93ACC"/>
    <w:rsid w:val="00D93C08"/>
    <w:rsid w:val="00D95DAC"/>
    <w:rsid w:val="00D97961"/>
    <w:rsid w:val="00DA5BA2"/>
    <w:rsid w:val="00DB1171"/>
    <w:rsid w:val="00DB1519"/>
    <w:rsid w:val="00DB2840"/>
    <w:rsid w:val="00DD66B4"/>
    <w:rsid w:val="00DE1972"/>
    <w:rsid w:val="00DE27AB"/>
    <w:rsid w:val="00DE39CC"/>
    <w:rsid w:val="00DF2AB3"/>
    <w:rsid w:val="00DF7250"/>
    <w:rsid w:val="00DF7AE9"/>
    <w:rsid w:val="00E00CAA"/>
    <w:rsid w:val="00E014F1"/>
    <w:rsid w:val="00E03EBF"/>
    <w:rsid w:val="00E05209"/>
    <w:rsid w:val="00E14C94"/>
    <w:rsid w:val="00E2258E"/>
    <w:rsid w:val="00E260C2"/>
    <w:rsid w:val="00E32596"/>
    <w:rsid w:val="00E368F7"/>
    <w:rsid w:val="00E36EB8"/>
    <w:rsid w:val="00E37FB8"/>
    <w:rsid w:val="00E40B07"/>
    <w:rsid w:val="00E42326"/>
    <w:rsid w:val="00E43544"/>
    <w:rsid w:val="00E44D89"/>
    <w:rsid w:val="00E477EA"/>
    <w:rsid w:val="00E62428"/>
    <w:rsid w:val="00E63B14"/>
    <w:rsid w:val="00E82BF1"/>
    <w:rsid w:val="00E83810"/>
    <w:rsid w:val="00E86933"/>
    <w:rsid w:val="00E9641C"/>
    <w:rsid w:val="00E97298"/>
    <w:rsid w:val="00E97753"/>
    <w:rsid w:val="00E97E58"/>
    <w:rsid w:val="00EA2BC2"/>
    <w:rsid w:val="00EA7DE7"/>
    <w:rsid w:val="00EB1FB3"/>
    <w:rsid w:val="00EB2A66"/>
    <w:rsid w:val="00EB7A8A"/>
    <w:rsid w:val="00EC71CA"/>
    <w:rsid w:val="00ED6F3E"/>
    <w:rsid w:val="00EE3A64"/>
    <w:rsid w:val="00EE5600"/>
    <w:rsid w:val="00EE7A37"/>
    <w:rsid w:val="00EF01CF"/>
    <w:rsid w:val="00EF4484"/>
    <w:rsid w:val="00F03590"/>
    <w:rsid w:val="00F03622"/>
    <w:rsid w:val="00F077FD"/>
    <w:rsid w:val="00F1049E"/>
    <w:rsid w:val="00F204F3"/>
    <w:rsid w:val="00F238B3"/>
    <w:rsid w:val="00F25586"/>
    <w:rsid w:val="00F2651D"/>
    <w:rsid w:val="00F31498"/>
    <w:rsid w:val="00F32FEF"/>
    <w:rsid w:val="00F36ACC"/>
    <w:rsid w:val="00F42E13"/>
    <w:rsid w:val="00F42F1C"/>
    <w:rsid w:val="00F43B44"/>
    <w:rsid w:val="00F43E9C"/>
    <w:rsid w:val="00F440E5"/>
    <w:rsid w:val="00F448F6"/>
    <w:rsid w:val="00F44D87"/>
    <w:rsid w:val="00F52741"/>
    <w:rsid w:val="00F53D8A"/>
    <w:rsid w:val="00F545EB"/>
    <w:rsid w:val="00F626F7"/>
    <w:rsid w:val="00F745C1"/>
    <w:rsid w:val="00F7702B"/>
    <w:rsid w:val="00F82CB2"/>
    <w:rsid w:val="00F9211C"/>
    <w:rsid w:val="00F92B4A"/>
    <w:rsid w:val="00F93D2E"/>
    <w:rsid w:val="00FA095D"/>
    <w:rsid w:val="00FA0F28"/>
    <w:rsid w:val="00FA1136"/>
    <w:rsid w:val="00FA6C8B"/>
    <w:rsid w:val="00FB125B"/>
    <w:rsid w:val="00FB4139"/>
    <w:rsid w:val="00FB476E"/>
    <w:rsid w:val="00FC09EA"/>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4A26B3A"/>
  <w15:docId w15:val="{BB4628F7-5A9C-4261-86CB-CCDA0696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402DDC"/>
    <w:pPr>
      <w:jc w:val="center"/>
    </w:pPr>
    <w:rPr>
      <w:b/>
      <w:sz w:val="28"/>
    </w:rPr>
  </w:style>
  <w:style w:type="paragraph" w:customStyle="1" w:styleId="Title1">
    <w:name w:val="Title 1"/>
    <w:basedOn w:val="Source"/>
    <w:next w:val="Title2"/>
    <w:rsid w:val="00402DDC"/>
    <w:pPr>
      <w:tabs>
        <w:tab w:val="clear" w:pos="794"/>
        <w:tab w:val="clear" w:pos="1191"/>
        <w:tab w:val="clear" w:pos="1588"/>
        <w:tab w:val="clear" w:pos="1985"/>
        <w:tab w:val="left" w:pos="567"/>
        <w:tab w:val="left" w:pos="1134"/>
        <w:tab w:val="left" w:pos="1701"/>
        <w:tab w:val="left" w:pos="2268"/>
        <w:tab w:val="left" w:pos="2835"/>
      </w:tabs>
      <w:spacing w:before="24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styleId="ListParagraph">
    <w:name w:val="List Paragraph"/>
    <w:aliases w:val="List Paragraph1,List Paragraph11,Recommendation"/>
    <w:basedOn w:val="Normal"/>
    <w:link w:val="ListParagraphChar"/>
    <w:uiPriority w:val="34"/>
    <w:qFormat/>
    <w:rsid w:val="00F1049E"/>
    <w:pPr>
      <w:tabs>
        <w:tab w:val="clear" w:pos="794"/>
        <w:tab w:val="clear" w:pos="1191"/>
        <w:tab w:val="clear" w:pos="1588"/>
        <w:tab w:val="clear" w:pos="1985"/>
        <w:tab w:val="left" w:pos="1134"/>
        <w:tab w:val="left" w:pos="1871"/>
        <w:tab w:val="left" w:pos="2268"/>
      </w:tabs>
      <w:ind w:left="720"/>
      <w:contextualSpacing/>
    </w:pPr>
  </w:style>
  <w:style w:type="character" w:customStyle="1" w:styleId="enumlev1Char">
    <w:name w:val="enumlev1 Char"/>
    <w:basedOn w:val="DefaultParagraphFont"/>
    <w:link w:val="enumlev1"/>
    <w:locked/>
    <w:rsid w:val="00F1049E"/>
    <w:rPr>
      <w:rFonts w:asciiTheme="minorHAnsi" w:hAnsiTheme="minorHAnsi"/>
      <w:sz w:val="24"/>
      <w:lang w:val="en-GB" w:eastAsia="en-US"/>
    </w:rPr>
  </w:style>
  <w:style w:type="character" w:customStyle="1" w:styleId="ListParagraphChar">
    <w:name w:val="List Paragraph Char"/>
    <w:aliases w:val="List Paragraph1 Char,List Paragraph11 Char,Recommendation Char"/>
    <w:basedOn w:val="DefaultParagraphFont"/>
    <w:link w:val="ListParagraph"/>
    <w:uiPriority w:val="34"/>
    <w:locked/>
    <w:rsid w:val="00F1049E"/>
    <w:rPr>
      <w:rFonts w:asciiTheme="minorHAnsi" w:hAnsiTheme="minorHAnsi"/>
      <w:sz w:val="24"/>
      <w:lang w:val="en-GB" w:eastAsia="en-US"/>
    </w:rPr>
  </w:style>
  <w:style w:type="character" w:customStyle="1" w:styleId="SourceChar">
    <w:name w:val="Source Char"/>
    <w:link w:val="Source"/>
    <w:locked/>
    <w:rsid w:val="00402DDC"/>
    <w:rPr>
      <w:rFonts w:asciiTheme="minorHAnsi" w:hAnsiTheme="minorHAnsi"/>
      <w:b/>
      <w:sz w:val="28"/>
      <w:lang w:val="en-GB" w:eastAsia="en-US"/>
    </w:rPr>
  </w:style>
  <w:style w:type="character" w:styleId="FollowedHyperlink">
    <w:name w:val="FollowedHyperlink"/>
    <w:basedOn w:val="DefaultParagraphFont"/>
    <w:semiHidden/>
    <w:unhideWhenUsed/>
    <w:rsid w:val="00DA5BA2"/>
    <w:rPr>
      <w:color w:val="800080" w:themeColor="followedHyperlink"/>
      <w:u w:val="single"/>
    </w:rPr>
  </w:style>
  <w:style w:type="character" w:customStyle="1" w:styleId="FootnoteTextChar">
    <w:name w:val="Footnote Text Char"/>
    <w:basedOn w:val="DefaultParagraphFont"/>
    <w:link w:val="FootnoteText"/>
    <w:uiPriority w:val="99"/>
    <w:rsid w:val="008D71AF"/>
    <w:rPr>
      <w:rFonts w:asciiTheme="minorHAnsi" w:hAnsiTheme="minorHAnsi"/>
      <w:sz w:val="24"/>
      <w:lang w:val="en-GB" w:eastAsia="en-US"/>
    </w:rPr>
  </w:style>
  <w:style w:type="paragraph" w:customStyle="1" w:styleId="Reasons">
    <w:name w:val="Reasons"/>
    <w:basedOn w:val="Normal"/>
    <w:qFormat/>
    <w:rsid w:val="008D71AF"/>
    <w:pPr>
      <w:tabs>
        <w:tab w:val="clear" w:pos="794"/>
        <w:tab w:val="clear" w:pos="1191"/>
        <w:tab w:val="left" w:pos="1134"/>
        <w:tab w:val="left" w:pos="1871"/>
      </w:tabs>
    </w:pPr>
  </w:style>
  <w:style w:type="paragraph" w:styleId="PlainText">
    <w:name w:val="Plain Text"/>
    <w:basedOn w:val="Normal"/>
    <w:link w:val="PlainTextChar"/>
    <w:uiPriority w:val="99"/>
    <w:unhideWhenUsed/>
    <w:rsid w:val="008D71AF"/>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8D71AF"/>
    <w:rPr>
      <w:rFonts w:ascii="Calibri" w:hAnsi="Calibri" w:cstheme="minorBidi"/>
      <w:sz w:val="22"/>
      <w:szCs w:val="21"/>
    </w:rPr>
  </w:style>
  <w:style w:type="paragraph" w:customStyle="1" w:styleId="CEONormal">
    <w:name w:val="CEO_Normal"/>
    <w:link w:val="CEONormalChar"/>
    <w:rsid w:val="008D71AF"/>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D71AF"/>
    <w:rPr>
      <w:rFonts w:ascii="Calibri" w:eastAsia="SimSun" w:hAnsi="Calibri" w:cs="Simplified Arabic"/>
      <w:sz w:val="22"/>
      <w:szCs w:val="19"/>
      <w:lang w:val="en-GB" w:eastAsia="en-US"/>
    </w:rPr>
  </w:style>
  <w:style w:type="paragraph" w:styleId="NormalWeb">
    <w:name w:val="Normal (Web)"/>
    <w:basedOn w:val="Normal"/>
    <w:uiPriority w:val="99"/>
    <w:unhideWhenUsed/>
    <w:rsid w:val="008D71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Strong">
    <w:name w:val="Strong"/>
    <w:basedOn w:val="DefaultParagraphFont"/>
    <w:uiPriority w:val="22"/>
    <w:qFormat/>
    <w:rsid w:val="008D71AF"/>
    <w:rPr>
      <w:b/>
      <w:bCs/>
    </w:rPr>
  </w:style>
  <w:style w:type="character" w:customStyle="1" w:styleId="ms-rtefontsize-1">
    <w:name w:val="ms-rtefontsize-1"/>
    <w:basedOn w:val="DefaultParagraphFont"/>
    <w:rsid w:val="008D71AF"/>
  </w:style>
  <w:style w:type="character" w:customStyle="1" w:styleId="href">
    <w:name w:val="href"/>
    <w:basedOn w:val="DefaultParagraphFont"/>
    <w:qFormat/>
    <w:rsid w:val="00645218"/>
    <w:rPr>
      <w:color w:val="auto"/>
    </w:rPr>
  </w:style>
  <w:style w:type="paragraph" w:styleId="CommentText">
    <w:name w:val="annotation text"/>
    <w:basedOn w:val="Normal"/>
    <w:link w:val="CommentTextChar"/>
    <w:semiHidden/>
    <w:unhideWhenUsed/>
    <w:rsid w:val="00024E05"/>
    <w:rPr>
      <w:sz w:val="20"/>
    </w:rPr>
  </w:style>
  <w:style w:type="character" w:customStyle="1" w:styleId="CommentTextChar">
    <w:name w:val="Comment Text Char"/>
    <w:basedOn w:val="DefaultParagraphFont"/>
    <w:link w:val="CommentText"/>
    <w:semiHidden/>
    <w:rsid w:val="00024E05"/>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024E05"/>
    <w:pPr>
      <w:tabs>
        <w:tab w:val="clear" w:pos="794"/>
        <w:tab w:val="clear" w:pos="1191"/>
        <w:tab w:val="clear" w:pos="1588"/>
        <w:tab w:val="clear" w:pos="1985"/>
        <w:tab w:val="left" w:pos="1134"/>
        <w:tab w:val="left" w:pos="1871"/>
        <w:tab w:val="left" w:pos="2268"/>
      </w:tabs>
    </w:pPr>
    <w:rPr>
      <w:rFonts w:eastAsia="Times New Roman"/>
      <w:b/>
      <w:bCs/>
    </w:rPr>
  </w:style>
  <w:style w:type="character" w:customStyle="1" w:styleId="CommentSubjectChar">
    <w:name w:val="Comment Subject Char"/>
    <w:basedOn w:val="CommentTextChar"/>
    <w:link w:val="CommentSubject"/>
    <w:uiPriority w:val="99"/>
    <w:semiHidden/>
    <w:rsid w:val="00024E05"/>
    <w:rPr>
      <w:rFonts w:asciiTheme="minorHAnsi" w:eastAsia="Times New Roman"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CRO/Documents/CRO10/CRO2019_chairman_repor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D/Membership/PublishingImages/Outcome%20Brief_Co-Creation%20Workshop%20for%20Academia%20Members%20%28002%29.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DAG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a:latin typeface="+mn-lt"/>
              </a:rPr>
              <a:t>Graph</a:t>
            </a:r>
            <a:r>
              <a:rPr lang="en-GB" sz="1100" b="0" baseline="0">
                <a:latin typeface="+mn-lt"/>
              </a:rPr>
              <a:t> </a:t>
            </a:r>
            <a:r>
              <a:rPr lang="en-CA" sz="1400" b="0" i="0" u="none" strike="noStrike" baseline="0">
                <a:effectLst/>
              </a:rPr>
              <a:t>–</a:t>
            </a:r>
            <a:r>
              <a:rPr lang="en-GB" sz="1100" b="1" baseline="0">
                <a:latin typeface="+mn-lt"/>
              </a:rPr>
              <a:t> </a:t>
            </a:r>
            <a:r>
              <a:rPr lang="en-GB" sz="1100" b="1">
                <a:latin typeface="+mn-lt"/>
              </a:rPr>
              <a:t>Evolution</a:t>
            </a:r>
            <a:r>
              <a:rPr lang="en-GB" sz="1100" b="1" baseline="0">
                <a:latin typeface="+mn-lt"/>
              </a:rPr>
              <a:t> of ITU-D membership (1994-2019)</a:t>
            </a:r>
            <a:endParaRPr lang="en-GB" sz="1100" b="1">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H"/>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Sheet1!$B$1:$AA$1</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formatCode="mmm\-yy">
                  <c:v>43435</c:v>
                </c:pt>
                <c:pt idx="25" formatCode="mmm\-yy">
                  <c:v>43800</c:v>
                </c:pt>
              </c:numCache>
            </c:numRef>
          </c:cat>
          <c:val>
            <c:numRef>
              <c:f>Sheet1!$B$2:$AA$2</c:f>
              <c:numCache>
                <c:formatCode>General</c:formatCode>
                <c:ptCount val="26"/>
                <c:pt idx="0">
                  <c:v>27</c:v>
                </c:pt>
                <c:pt idx="1">
                  <c:v>81</c:v>
                </c:pt>
                <c:pt idx="2">
                  <c:v>107</c:v>
                </c:pt>
                <c:pt idx="3">
                  <c:v>130</c:v>
                </c:pt>
                <c:pt idx="4">
                  <c:v>143</c:v>
                </c:pt>
                <c:pt idx="5">
                  <c:v>185</c:v>
                </c:pt>
                <c:pt idx="6">
                  <c:v>204</c:v>
                </c:pt>
                <c:pt idx="7">
                  <c:v>243</c:v>
                </c:pt>
                <c:pt idx="8">
                  <c:v>247</c:v>
                </c:pt>
                <c:pt idx="9">
                  <c:v>260</c:v>
                </c:pt>
                <c:pt idx="10">
                  <c:v>282</c:v>
                </c:pt>
                <c:pt idx="11">
                  <c:v>307</c:v>
                </c:pt>
                <c:pt idx="12">
                  <c:v>326</c:v>
                </c:pt>
                <c:pt idx="13">
                  <c:v>320</c:v>
                </c:pt>
                <c:pt idx="14">
                  <c:v>311</c:v>
                </c:pt>
                <c:pt idx="15">
                  <c:v>319</c:v>
                </c:pt>
                <c:pt idx="16">
                  <c:v>316</c:v>
                </c:pt>
                <c:pt idx="17">
                  <c:v>352</c:v>
                </c:pt>
                <c:pt idx="18">
                  <c:v>377</c:v>
                </c:pt>
                <c:pt idx="19">
                  <c:v>412</c:v>
                </c:pt>
                <c:pt idx="20">
                  <c:v>433</c:v>
                </c:pt>
                <c:pt idx="21">
                  <c:v>459</c:v>
                </c:pt>
                <c:pt idx="22">
                  <c:v>475</c:v>
                </c:pt>
                <c:pt idx="23">
                  <c:v>453</c:v>
                </c:pt>
                <c:pt idx="24">
                  <c:v>480</c:v>
                </c:pt>
                <c:pt idx="25">
                  <c:v>487</c:v>
                </c:pt>
              </c:numCache>
            </c:numRef>
          </c:val>
          <c:smooth val="0"/>
          <c:extLst>
            <c:ext xmlns:c16="http://schemas.microsoft.com/office/drawing/2014/chart" uri="{C3380CC4-5D6E-409C-BE32-E72D297353CC}">
              <c16:uniqueId val="{00000000-5B46-4A20-8F25-7CEA3BC45933}"/>
            </c:ext>
          </c:extLst>
        </c:ser>
        <c:dLbls>
          <c:showLegendKey val="0"/>
          <c:showVal val="0"/>
          <c:showCatName val="0"/>
          <c:showSerName val="0"/>
          <c:showPercent val="0"/>
          <c:showBubbleSize val="0"/>
        </c:dLbls>
        <c:smooth val="0"/>
        <c:axId val="211961048"/>
        <c:axId val="211957912"/>
      </c:lineChart>
      <c:catAx>
        <c:axId val="211961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211957912"/>
        <c:crosses val="autoZero"/>
        <c:auto val="1"/>
        <c:lblAlgn val="ctr"/>
        <c:lblOffset val="100"/>
        <c:noMultiLvlLbl val="0"/>
      </c:catAx>
      <c:valAx>
        <c:axId val="211957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211961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H"/>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B2506-7F7F-4B24-AD5E-7C59DE70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18</TotalTime>
  <Pages>5</Pages>
  <Words>2867</Words>
  <Characters>1059</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Ting</dc:creator>
  <cp:lastModifiedBy>BDT</cp:lastModifiedBy>
  <cp:revision>7</cp:revision>
  <cp:lastPrinted>2020-02-17T14:42:00Z</cp:lastPrinted>
  <dcterms:created xsi:type="dcterms:W3CDTF">2020-02-18T15:42:00Z</dcterms:created>
  <dcterms:modified xsi:type="dcterms:W3CDTF">2020-03-10T12:50:00Z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TWinEqns">
    <vt:bool>true</vt:bool>
  </property>
</Properties>
</file>