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10247"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7251"/>
        <w:gridCol w:w="2996"/>
      </w:tblGrid>
      <w:tr w:rsidR="0021438F" w:rsidRPr="007D1B5A" w14:paraId="6A78D875" w14:textId="77777777" w:rsidTr="006D7E3A">
        <w:trPr>
          <w:cantSplit/>
          <w:trHeight w:val="1134"/>
        </w:trPr>
        <w:tc>
          <w:tcPr>
            <w:tcW w:w="7251" w:type="dxa"/>
          </w:tcPr>
          <w:p w14:paraId="5C0DA33C" w14:textId="77777777" w:rsidR="0021438F" w:rsidRPr="007D1B5A" w:rsidRDefault="0021438F" w:rsidP="00690979">
            <w:pPr>
              <w:tabs>
                <w:tab w:val="left" w:pos="1871"/>
                <w:tab w:val="left" w:pos="2268"/>
              </w:tabs>
              <w:spacing w:before="20" w:after="48"/>
              <w:ind w:left="34"/>
              <w:rPr>
                <w:b/>
                <w:bCs/>
                <w:sz w:val="32"/>
                <w:szCs w:val="32"/>
                <w:lang w:val="fr-FR"/>
              </w:rPr>
            </w:pPr>
            <w:r w:rsidRPr="007D1B5A">
              <w:rPr>
                <w:b/>
                <w:sz w:val="32"/>
                <w:szCs w:val="32"/>
                <w:lang w:val="fr-FR"/>
              </w:rPr>
              <w:t>Groupe</w:t>
            </w:r>
            <w:r w:rsidRPr="007D1B5A">
              <w:rPr>
                <w:b/>
                <w:bCs/>
                <w:sz w:val="32"/>
                <w:szCs w:val="32"/>
                <w:lang w:val="fr-FR"/>
              </w:rPr>
              <w:t xml:space="preserve"> consultatif pour le développement </w:t>
            </w:r>
            <w:r w:rsidRPr="007D1B5A">
              <w:rPr>
                <w:b/>
                <w:bCs/>
                <w:sz w:val="32"/>
                <w:szCs w:val="32"/>
                <w:lang w:val="fr-FR"/>
              </w:rPr>
              <w:br/>
              <w:t>des télécommunications (GCDT)</w:t>
            </w:r>
          </w:p>
          <w:p w14:paraId="123C2844" w14:textId="0117F140" w:rsidR="0021438F" w:rsidRPr="007D1B5A" w:rsidRDefault="00D87E6C" w:rsidP="00690979">
            <w:pPr>
              <w:tabs>
                <w:tab w:val="clear" w:pos="1191"/>
                <w:tab w:val="clear" w:pos="1588"/>
                <w:tab w:val="clear" w:pos="1985"/>
              </w:tabs>
              <w:spacing w:before="100" w:after="120"/>
              <w:ind w:left="34"/>
              <w:rPr>
                <w:rFonts w:ascii="Verdana" w:hAnsi="Verdana"/>
                <w:sz w:val="28"/>
                <w:szCs w:val="28"/>
                <w:lang w:val="fr-FR"/>
              </w:rPr>
            </w:pPr>
            <w:r w:rsidRPr="007D1B5A">
              <w:rPr>
                <w:b/>
                <w:bCs/>
                <w:sz w:val="26"/>
                <w:szCs w:val="26"/>
                <w:lang w:val="fr-FR"/>
              </w:rPr>
              <w:t>2</w:t>
            </w:r>
            <w:r w:rsidR="002577C1" w:rsidRPr="007D1B5A">
              <w:rPr>
                <w:b/>
                <w:bCs/>
                <w:sz w:val="26"/>
                <w:szCs w:val="26"/>
                <w:lang w:val="fr-FR"/>
              </w:rPr>
              <w:t>5</w:t>
            </w:r>
            <w:r w:rsidRPr="007D1B5A">
              <w:rPr>
                <w:b/>
                <w:bCs/>
                <w:sz w:val="26"/>
                <w:szCs w:val="26"/>
                <w:lang w:val="fr-FR"/>
              </w:rPr>
              <w:t xml:space="preserve">ème réunion, Genève, </w:t>
            </w:r>
            <w:r w:rsidR="008207A6">
              <w:rPr>
                <w:b/>
                <w:bCs/>
                <w:sz w:val="26"/>
                <w:szCs w:val="26"/>
                <w:lang w:val="fr-FR"/>
              </w:rPr>
              <w:t>2-5 June</w:t>
            </w:r>
            <w:bookmarkStart w:id="0" w:name="_GoBack"/>
            <w:bookmarkEnd w:id="0"/>
            <w:r w:rsidRPr="007D1B5A">
              <w:rPr>
                <w:b/>
                <w:bCs/>
                <w:sz w:val="26"/>
                <w:szCs w:val="26"/>
                <w:lang w:val="fr-FR"/>
              </w:rPr>
              <w:t xml:space="preserve"> 20</w:t>
            </w:r>
            <w:r w:rsidR="00EB44C7" w:rsidRPr="007D1B5A">
              <w:rPr>
                <w:b/>
                <w:bCs/>
                <w:sz w:val="26"/>
                <w:szCs w:val="26"/>
                <w:lang w:val="fr-FR"/>
              </w:rPr>
              <w:t>20</w:t>
            </w:r>
          </w:p>
        </w:tc>
        <w:tc>
          <w:tcPr>
            <w:tcW w:w="2996" w:type="dxa"/>
          </w:tcPr>
          <w:p w14:paraId="28E168A9" w14:textId="77777777" w:rsidR="0021438F" w:rsidRPr="007D1B5A" w:rsidRDefault="00D87E6C" w:rsidP="00690979">
            <w:pPr>
              <w:spacing w:before="0"/>
              <w:ind w:right="142"/>
              <w:jc w:val="right"/>
              <w:rPr>
                <w:lang w:val="fr-FR"/>
              </w:rPr>
            </w:pPr>
            <w:r w:rsidRPr="007D1B5A">
              <w:rPr>
                <w:noProof/>
                <w:color w:val="3399FF"/>
                <w:lang w:val="fr-FR" w:eastAsia="en-GB"/>
              </w:rPr>
              <w:drawing>
                <wp:inline distT="0" distB="0" distL="0" distR="0" wp14:anchorId="09D5CD35" wp14:editId="6A2E1509">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7D1B5A" w14:paraId="681C97E8" w14:textId="77777777" w:rsidTr="000C61E9">
        <w:trPr>
          <w:cantSplit/>
        </w:trPr>
        <w:tc>
          <w:tcPr>
            <w:tcW w:w="7251" w:type="dxa"/>
            <w:tcBorders>
              <w:top w:val="single" w:sz="12" w:space="0" w:color="auto"/>
            </w:tcBorders>
          </w:tcPr>
          <w:p w14:paraId="39150221" w14:textId="77777777" w:rsidR="00683C32" w:rsidRPr="007D1B5A" w:rsidRDefault="00683C32" w:rsidP="00690979">
            <w:pPr>
              <w:spacing w:before="0"/>
              <w:rPr>
                <w:rFonts w:cs="Arial"/>
                <w:b/>
                <w:bCs/>
                <w:sz w:val="20"/>
                <w:lang w:val="fr-FR"/>
              </w:rPr>
            </w:pPr>
          </w:p>
        </w:tc>
        <w:tc>
          <w:tcPr>
            <w:tcW w:w="2996" w:type="dxa"/>
            <w:tcBorders>
              <w:top w:val="single" w:sz="12" w:space="0" w:color="auto"/>
            </w:tcBorders>
          </w:tcPr>
          <w:p w14:paraId="75FF8EF7" w14:textId="77777777" w:rsidR="00683C32" w:rsidRPr="007D1B5A" w:rsidRDefault="00683C32" w:rsidP="00690979">
            <w:pPr>
              <w:spacing w:before="0"/>
              <w:rPr>
                <w:b/>
                <w:bCs/>
                <w:sz w:val="20"/>
                <w:lang w:val="fr-FR"/>
              </w:rPr>
            </w:pPr>
          </w:p>
        </w:tc>
      </w:tr>
      <w:tr w:rsidR="00683C32" w:rsidRPr="007D1B5A" w14:paraId="71EF7FCA" w14:textId="77777777" w:rsidTr="000C61E9">
        <w:trPr>
          <w:cantSplit/>
        </w:trPr>
        <w:tc>
          <w:tcPr>
            <w:tcW w:w="7251" w:type="dxa"/>
          </w:tcPr>
          <w:p w14:paraId="2BFC9AFD" w14:textId="77777777" w:rsidR="00683C32" w:rsidRPr="007D1B5A" w:rsidRDefault="00683C32" w:rsidP="00690979">
            <w:pPr>
              <w:pStyle w:val="Committee"/>
              <w:spacing w:before="0"/>
              <w:rPr>
                <w:b w:val="0"/>
                <w:szCs w:val="24"/>
                <w:lang w:val="fr-FR"/>
              </w:rPr>
            </w:pPr>
          </w:p>
        </w:tc>
        <w:tc>
          <w:tcPr>
            <w:tcW w:w="2996" w:type="dxa"/>
          </w:tcPr>
          <w:p w14:paraId="14D2B17B" w14:textId="69E87523" w:rsidR="00683C32" w:rsidRPr="007D1B5A" w:rsidRDefault="00323587" w:rsidP="00690979">
            <w:pPr>
              <w:spacing w:before="0"/>
              <w:rPr>
                <w:bCs/>
                <w:szCs w:val="24"/>
                <w:lang w:val="fr-FR"/>
              </w:rPr>
            </w:pPr>
            <w:r w:rsidRPr="007D1B5A">
              <w:rPr>
                <w:b/>
                <w:bCs/>
                <w:szCs w:val="28"/>
                <w:lang w:val="fr-FR"/>
              </w:rPr>
              <w:t xml:space="preserve">Document </w:t>
            </w:r>
            <w:bookmarkStart w:id="1" w:name="DocRef1"/>
            <w:bookmarkEnd w:id="1"/>
            <w:r w:rsidRPr="007D1B5A">
              <w:rPr>
                <w:b/>
                <w:bCs/>
                <w:szCs w:val="28"/>
                <w:lang w:val="fr-FR"/>
              </w:rPr>
              <w:t>TDAG</w:t>
            </w:r>
            <w:r w:rsidR="008F20EB" w:rsidRPr="007D1B5A">
              <w:rPr>
                <w:b/>
                <w:bCs/>
                <w:szCs w:val="28"/>
                <w:lang w:val="fr-FR"/>
              </w:rPr>
              <w:t>-</w:t>
            </w:r>
            <w:r w:rsidR="002577C1" w:rsidRPr="007D1B5A">
              <w:rPr>
                <w:b/>
                <w:bCs/>
                <w:szCs w:val="28"/>
                <w:lang w:val="fr-FR"/>
              </w:rPr>
              <w:t>20</w:t>
            </w:r>
            <w:r w:rsidRPr="007D1B5A">
              <w:rPr>
                <w:b/>
                <w:bCs/>
                <w:szCs w:val="28"/>
                <w:lang w:val="fr-FR"/>
              </w:rPr>
              <w:t>/</w:t>
            </w:r>
            <w:bookmarkStart w:id="2" w:name="DocNo1"/>
            <w:bookmarkEnd w:id="2"/>
            <w:r w:rsidR="003D6726" w:rsidRPr="007D1B5A">
              <w:rPr>
                <w:b/>
                <w:bCs/>
                <w:szCs w:val="28"/>
                <w:lang w:val="fr-FR"/>
              </w:rPr>
              <w:t>10</w:t>
            </w:r>
            <w:r w:rsidRPr="007D1B5A">
              <w:rPr>
                <w:b/>
                <w:bCs/>
                <w:szCs w:val="28"/>
                <w:lang w:val="fr-FR"/>
              </w:rPr>
              <w:t>-F</w:t>
            </w:r>
          </w:p>
        </w:tc>
      </w:tr>
      <w:tr w:rsidR="00683C32" w:rsidRPr="007D1B5A" w14:paraId="05AAFC6B" w14:textId="77777777" w:rsidTr="000C61E9">
        <w:trPr>
          <w:cantSplit/>
        </w:trPr>
        <w:tc>
          <w:tcPr>
            <w:tcW w:w="7251" w:type="dxa"/>
          </w:tcPr>
          <w:p w14:paraId="0C066CDC" w14:textId="77777777" w:rsidR="00683C32" w:rsidRPr="007D1B5A" w:rsidRDefault="00683C32" w:rsidP="00690979">
            <w:pPr>
              <w:spacing w:before="0"/>
              <w:rPr>
                <w:b/>
                <w:bCs/>
                <w:smallCaps/>
                <w:szCs w:val="24"/>
                <w:lang w:val="fr-FR"/>
              </w:rPr>
            </w:pPr>
          </w:p>
        </w:tc>
        <w:tc>
          <w:tcPr>
            <w:tcW w:w="2996" w:type="dxa"/>
          </w:tcPr>
          <w:p w14:paraId="6D8AECCA" w14:textId="11D2B34D" w:rsidR="00683C32" w:rsidRPr="007D1B5A" w:rsidRDefault="003D6726" w:rsidP="00690979">
            <w:pPr>
              <w:spacing w:before="0"/>
              <w:rPr>
                <w:b/>
                <w:szCs w:val="24"/>
                <w:lang w:val="fr-FR"/>
              </w:rPr>
            </w:pPr>
            <w:bookmarkStart w:id="3" w:name="CreationDate"/>
            <w:bookmarkEnd w:id="3"/>
            <w:r w:rsidRPr="007D1B5A">
              <w:rPr>
                <w:b/>
                <w:bCs/>
                <w:szCs w:val="28"/>
                <w:lang w:val="fr-FR"/>
              </w:rPr>
              <w:t>4 février</w:t>
            </w:r>
            <w:r w:rsidR="00323587" w:rsidRPr="007D1B5A">
              <w:rPr>
                <w:b/>
                <w:bCs/>
                <w:szCs w:val="28"/>
                <w:lang w:val="fr-FR"/>
              </w:rPr>
              <w:t xml:space="preserve"> 20</w:t>
            </w:r>
            <w:r w:rsidR="002577C1" w:rsidRPr="007D1B5A">
              <w:rPr>
                <w:b/>
                <w:bCs/>
                <w:szCs w:val="28"/>
                <w:lang w:val="fr-FR"/>
              </w:rPr>
              <w:t>20</w:t>
            </w:r>
          </w:p>
        </w:tc>
      </w:tr>
      <w:tr w:rsidR="00683C32" w:rsidRPr="007D1B5A" w14:paraId="5B5EA952" w14:textId="77777777" w:rsidTr="000C61E9">
        <w:trPr>
          <w:cantSplit/>
        </w:trPr>
        <w:tc>
          <w:tcPr>
            <w:tcW w:w="7251" w:type="dxa"/>
          </w:tcPr>
          <w:p w14:paraId="0BA2523E" w14:textId="77777777" w:rsidR="00683C32" w:rsidRPr="007D1B5A" w:rsidRDefault="00683C32" w:rsidP="00690979">
            <w:pPr>
              <w:spacing w:before="0"/>
              <w:rPr>
                <w:b/>
                <w:bCs/>
                <w:smallCaps/>
                <w:szCs w:val="24"/>
                <w:lang w:val="fr-FR"/>
              </w:rPr>
            </w:pPr>
          </w:p>
        </w:tc>
        <w:tc>
          <w:tcPr>
            <w:tcW w:w="2996" w:type="dxa"/>
          </w:tcPr>
          <w:p w14:paraId="6D39BEEE" w14:textId="2D277E9B" w:rsidR="00514D2F" w:rsidRPr="007D1B5A" w:rsidRDefault="00323587" w:rsidP="00690979">
            <w:pPr>
              <w:spacing w:before="0"/>
              <w:rPr>
                <w:szCs w:val="24"/>
                <w:lang w:val="fr-FR"/>
              </w:rPr>
            </w:pPr>
            <w:r w:rsidRPr="007D1B5A">
              <w:rPr>
                <w:b/>
                <w:szCs w:val="28"/>
                <w:lang w:val="fr-FR"/>
              </w:rPr>
              <w:t>Original:</w:t>
            </w:r>
            <w:bookmarkStart w:id="4" w:name="Original"/>
            <w:bookmarkEnd w:id="4"/>
            <w:r w:rsidR="003D6726" w:rsidRPr="007D1B5A">
              <w:rPr>
                <w:b/>
                <w:szCs w:val="28"/>
                <w:lang w:val="fr-FR"/>
              </w:rPr>
              <w:t xml:space="preserve"> anglais</w:t>
            </w:r>
          </w:p>
        </w:tc>
      </w:tr>
      <w:tr w:rsidR="00A13162" w:rsidRPr="007D1B5A" w14:paraId="657F1AEF" w14:textId="77777777" w:rsidTr="000C61E9">
        <w:trPr>
          <w:cantSplit/>
          <w:trHeight w:val="852"/>
        </w:trPr>
        <w:tc>
          <w:tcPr>
            <w:tcW w:w="10247" w:type="dxa"/>
            <w:gridSpan w:val="2"/>
          </w:tcPr>
          <w:p w14:paraId="5992882D" w14:textId="2BBB6035" w:rsidR="00A13162" w:rsidRPr="007D1B5A" w:rsidRDefault="003D6726" w:rsidP="00690979">
            <w:pPr>
              <w:pStyle w:val="Source"/>
              <w:rPr>
                <w:lang w:val="fr-FR"/>
              </w:rPr>
            </w:pPr>
            <w:bookmarkStart w:id="5" w:name="Source"/>
            <w:bookmarkEnd w:id="5"/>
            <w:r w:rsidRPr="007D1B5A">
              <w:rPr>
                <w:lang w:val="fr-FR"/>
              </w:rPr>
              <w:t>Directrice du Bureau de développement des télécommunications</w:t>
            </w:r>
          </w:p>
        </w:tc>
      </w:tr>
      <w:tr w:rsidR="00AC6F14" w:rsidRPr="007D1B5A" w14:paraId="25B0CD88" w14:textId="77777777" w:rsidTr="000C61E9">
        <w:trPr>
          <w:cantSplit/>
        </w:trPr>
        <w:tc>
          <w:tcPr>
            <w:tcW w:w="10247" w:type="dxa"/>
            <w:gridSpan w:val="2"/>
          </w:tcPr>
          <w:p w14:paraId="583934F0" w14:textId="50B575FF" w:rsidR="00AC6F14" w:rsidRPr="007D1B5A" w:rsidRDefault="003D6726" w:rsidP="00690979">
            <w:pPr>
              <w:pStyle w:val="Title1"/>
              <w:rPr>
                <w:lang w:val="fr-FR"/>
              </w:rPr>
            </w:pPr>
            <w:bookmarkStart w:id="6" w:name="Title"/>
            <w:bookmarkEnd w:id="6"/>
            <w:r w:rsidRPr="007D1B5A">
              <w:rPr>
                <w:lang w:val="fr-FR"/>
              </w:rPr>
              <w:t>PROJETS DE L'UIT-D</w:t>
            </w:r>
          </w:p>
        </w:tc>
      </w:tr>
      <w:tr w:rsidR="00A721F4" w:rsidRPr="007D1B5A" w14:paraId="72631C9D" w14:textId="77777777" w:rsidTr="000C61E9">
        <w:trPr>
          <w:cantSplit/>
        </w:trPr>
        <w:tc>
          <w:tcPr>
            <w:tcW w:w="10247" w:type="dxa"/>
            <w:gridSpan w:val="2"/>
            <w:tcBorders>
              <w:bottom w:val="single" w:sz="4" w:space="0" w:color="auto"/>
            </w:tcBorders>
          </w:tcPr>
          <w:p w14:paraId="0AC994EE" w14:textId="77777777" w:rsidR="00A721F4" w:rsidRPr="007D1B5A" w:rsidRDefault="00A721F4" w:rsidP="00690979">
            <w:pPr>
              <w:rPr>
                <w:lang w:val="fr-FR"/>
              </w:rPr>
            </w:pPr>
          </w:p>
        </w:tc>
      </w:tr>
      <w:tr w:rsidR="00A721F4" w:rsidRPr="007D1B5A" w14:paraId="32985376" w14:textId="77777777" w:rsidTr="000C61E9">
        <w:trPr>
          <w:cantSplit/>
        </w:trPr>
        <w:tc>
          <w:tcPr>
            <w:tcW w:w="10247" w:type="dxa"/>
            <w:gridSpan w:val="2"/>
            <w:tcBorders>
              <w:top w:val="single" w:sz="4" w:space="0" w:color="auto"/>
              <w:left w:val="single" w:sz="4" w:space="0" w:color="auto"/>
              <w:bottom w:val="single" w:sz="4" w:space="0" w:color="auto"/>
              <w:right w:val="single" w:sz="4" w:space="0" w:color="auto"/>
            </w:tcBorders>
          </w:tcPr>
          <w:p w14:paraId="5F4DAF0A" w14:textId="77777777" w:rsidR="00A721F4" w:rsidRPr="007D1B5A" w:rsidRDefault="00156BF6" w:rsidP="00690979">
            <w:pPr>
              <w:rPr>
                <w:b/>
                <w:bCs/>
                <w:szCs w:val="24"/>
                <w:lang w:val="fr-FR"/>
              </w:rPr>
            </w:pPr>
            <w:r w:rsidRPr="007D1B5A">
              <w:rPr>
                <w:b/>
                <w:bCs/>
                <w:szCs w:val="24"/>
                <w:lang w:val="fr-FR"/>
              </w:rPr>
              <w:t>Résumé:</w:t>
            </w:r>
          </w:p>
          <w:p w14:paraId="6DDCC7A2" w14:textId="00CE3769" w:rsidR="003D6726" w:rsidRPr="007D1B5A" w:rsidRDefault="003D6726" w:rsidP="00690979">
            <w:pPr>
              <w:rPr>
                <w:lang w:val="fr-FR"/>
              </w:rPr>
            </w:pPr>
            <w:r w:rsidRPr="007D1B5A">
              <w:rPr>
                <w:lang w:val="fr-FR"/>
              </w:rPr>
              <w:t>L</w:t>
            </w:r>
            <w:r w:rsidR="008E5B40" w:rsidRPr="007D1B5A">
              <w:rPr>
                <w:lang w:val="fr-FR"/>
              </w:rPr>
              <w:t>'</w:t>
            </w:r>
            <w:r w:rsidRPr="007D1B5A">
              <w:rPr>
                <w:lang w:val="fr-FR"/>
              </w:rPr>
              <w:t>Union internationale des télécommunications, conformément à sa Constitution, a une double responsabilité en tant qu'institution spécialisée de l'Organisation des Nations Unies et agent d'exécution. L'une des fonctions essentielles du Secteur du développement des télécommunications de l'UIT (UIT-D) consiste à s'acquitter de cette double responsabilité de l</w:t>
            </w:r>
            <w:r w:rsidR="008E5B40" w:rsidRPr="007D1B5A">
              <w:rPr>
                <w:lang w:val="fr-FR"/>
              </w:rPr>
              <w:t>'</w:t>
            </w:r>
            <w:r w:rsidRPr="007D1B5A">
              <w:rPr>
                <w:lang w:val="fr-FR"/>
              </w:rPr>
              <w:t>Union pour la mise en œuvre de projets dans le cadre du système des Nations Unies pour le développement ou d'autres arrangements de financement, afin de faciliter et d'améliorer le développement des télécommunications en offrant, organisant et coordonnant les activités de coopération et d'assistance techniques.</w:t>
            </w:r>
          </w:p>
          <w:p w14:paraId="42410426" w14:textId="15159758" w:rsidR="00A721F4" w:rsidRPr="007D1B5A" w:rsidRDefault="003D6726" w:rsidP="00690979">
            <w:pPr>
              <w:rPr>
                <w:szCs w:val="24"/>
                <w:lang w:val="fr-FR"/>
              </w:rPr>
            </w:pPr>
            <w:r w:rsidRPr="007D1B5A">
              <w:rPr>
                <w:lang w:val="fr-FR"/>
              </w:rPr>
              <w:t>Le présent document donne un aperçu général des travaux menés par le Bureau de développement des télécommunications en ce qui concerne la conception et la mise en œuvre de projets dans les six régions définies par l'UIT-D, à savoir la région Afrique, la région Amériques, la région des États arabes, la région Asie-Pacifique, la région de la CEI (Communauté des États indépendants) et la région Europe, ainsi qu</w:t>
            </w:r>
            <w:r w:rsidR="008E5B40" w:rsidRPr="007D1B5A">
              <w:rPr>
                <w:lang w:val="fr-FR"/>
              </w:rPr>
              <w:t>'</w:t>
            </w:r>
            <w:r w:rsidRPr="007D1B5A">
              <w:rPr>
                <w:lang w:val="fr-FR"/>
              </w:rPr>
              <w:t>à l'échelle mondiale.</w:t>
            </w:r>
          </w:p>
          <w:p w14:paraId="534906C3" w14:textId="77777777" w:rsidR="00A721F4" w:rsidRPr="007D1B5A" w:rsidRDefault="00156BF6" w:rsidP="00690979">
            <w:pPr>
              <w:rPr>
                <w:b/>
                <w:bCs/>
                <w:szCs w:val="24"/>
                <w:lang w:val="fr-FR"/>
              </w:rPr>
            </w:pPr>
            <w:r w:rsidRPr="007D1B5A">
              <w:rPr>
                <w:b/>
                <w:bCs/>
                <w:szCs w:val="24"/>
                <w:lang w:val="fr-FR"/>
              </w:rPr>
              <w:t>Suite à donner:</w:t>
            </w:r>
          </w:p>
          <w:p w14:paraId="33954254" w14:textId="6A1A0CC6" w:rsidR="00A721F4" w:rsidRPr="007D1B5A" w:rsidRDefault="003D6726" w:rsidP="00690979">
            <w:pPr>
              <w:rPr>
                <w:szCs w:val="24"/>
                <w:lang w:val="fr-FR"/>
              </w:rPr>
            </w:pPr>
            <w:r w:rsidRPr="007D1B5A">
              <w:rPr>
                <w:szCs w:val="24"/>
                <w:lang w:val="fr-FR"/>
              </w:rPr>
              <w:t>Le GCDT est invité à prendre note du présent document et à donner toutes les indications qu'il jugera utiles.</w:t>
            </w:r>
          </w:p>
          <w:p w14:paraId="001E620B" w14:textId="77777777" w:rsidR="00A721F4" w:rsidRPr="007D1B5A" w:rsidRDefault="00156BF6" w:rsidP="00690979">
            <w:pPr>
              <w:rPr>
                <w:b/>
                <w:bCs/>
                <w:szCs w:val="24"/>
                <w:lang w:val="fr-FR"/>
              </w:rPr>
            </w:pPr>
            <w:r w:rsidRPr="007D1B5A">
              <w:rPr>
                <w:b/>
                <w:bCs/>
                <w:szCs w:val="24"/>
                <w:lang w:val="fr-FR"/>
              </w:rPr>
              <w:t>Références:</w:t>
            </w:r>
          </w:p>
          <w:p w14:paraId="28A3E516" w14:textId="25D2771B" w:rsidR="00A721F4" w:rsidRPr="007D1B5A" w:rsidRDefault="003D6726" w:rsidP="00117916">
            <w:pPr>
              <w:spacing w:after="120"/>
              <w:rPr>
                <w:lang w:val="fr-FR"/>
              </w:rPr>
            </w:pPr>
            <w:r w:rsidRPr="007D1B5A">
              <w:rPr>
                <w:lang w:val="fr-FR"/>
              </w:rPr>
              <w:t>Résolutions 17 et 52 (Rév.Buenos Aires, 2017) de la Conférence mondiale de développement des télécommunications (CMDT) et Résolution 157 (Rév. Dubaï, 2018) de la Conférence de plénipotentiaires.</w:t>
            </w:r>
          </w:p>
        </w:tc>
      </w:tr>
    </w:tbl>
    <w:p w14:paraId="587575E9" w14:textId="33DF0C82" w:rsidR="003D6726" w:rsidRPr="00231568" w:rsidRDefault="002577C1" w:rsidP="004B780C">
      <w:pPr>
        <w:pStyle w:val="Heading1"/>
        <w:rPr>
          <w:sz w:val="24"/>
          <w:szCs w:val="24"/>
          <w:lang w:val="fr-FR"/>
        </w:rPr>
      </w:pPr>
      <w:bookmarkStart w:id="7" w:name="Proposal"/>
      <w:bookmarkEnd w:id="7"/>
      <w:r w:rsidRPr="007D1B5A">
        <w:rPr>
          <w:lang w:val="fr-FR"/>
        </w:rPr>
        <w:br w:type="page"/>
      </w:r>
      <w:r w:rsidR="004B780C" w:rsidRPr="00231568">
        <w:rPr>
          <w:sz w:val="24"/>
          <w:szCs w:val="24"/>
          <w:lang w:val="fr-FR"/>
        </w:rPr>
        <w:lastRenderedPageBreak/>
        <w:t>1</w:t>
      </w:r>
      <w:r w:rsidR="004B780C" w:rsidRPr="00231568">
        <w:rPr>
          <w:sz w:val="24"/>
          <w:szCs w:val="24"/>
          <w:lang w:val="fr-FR"/>
        </w:rPr>
        <w:tab/>
      </w:r>
      <w:r w:rsidR="003D6726" w:rsidRPr="00231568">
        <w:rPr>
          <w:sz w:val="24"/>
          <w:szCs w:val="24"/>
          <w:lang w:val="fr-FR"/>
        </w:rPr>
        <w:t>Introduction</w:t>
      </w:r>
    </w:p>
    <w:p w14:paraId="2D395D2A" w14:textId="422604C6" w:rsidR="003D6726" w:rsidRPr="007D1B5A" w:rsidRDefault="003D6726" w:rsidP="005A7A68">
      <w:pPr>
        <w:rPr>
          <w:lang w:val="fr-FR"/>
        </w:rPr>
      </w:pPr>
      <w:r w:rsidRPr="007D1B5A">
        <w:rPr>
          <w:lang w:val="fr-FR"/>
        </w:rPr>
        <w:t>Conformément aux Résolutions 17 et 52 (Rév.Buenos Aires, 2017) de la CMDT et à la Résolution</w:t>
      </w:r>
      <w:r w:rsidR="00117916" w:rsidRPr="007D1B5A">
        <w:rPr>
          <w:lang w:val="fr-FR"/>
        </w:rPr>
        <w:t> </w:t>
      </w:r>
      <w:r w:rsidRPr="007D1B5A">
        <w:rPr>
          <w:lang w:val="fr-FR"/>
        </w:rPr>
        <w:t>157 (Rév. Dubaï, 2018) de la Conférence de plénipotentiaires, le BDT a poursuivi ses efforts en vue de renforcer la fonction d</w:t>
      </w:r>
      <w:r w:rsidR="008E5B40" w:rsidRPr="007D1B5A">
        <w:rPr>
          <w:lang w:val="fr-FR"/>
        </w:rPr>
        <w:t>'</w:t>
      </w:r>
      <w:r w:rsidRPr="007D1B5A">
        <w:rPr>
          <w:lang w:val="fr-FR"/>
        </w:rPr>
        <w:t>exécution de projets du Secteur du développement des télécommunications de l</w:t>
      </w:r>
      <w:r w:rsidR="008E5B40" w:rsidRPr="007D1B5A">
        <w:rPr>
          <w:lang w:val="fr-FR"/>
        </w:rPr>
        <w:t>'</w:t>
      </w:r>
      <w:r w:rsidRPr="007D1B5A">
        <w:rPr>
          <w:lang w:val="fr-FR"/>
        </w:rPr>
        <w:t>UIT et de mettre en œuvre, aux niveaux national, régional, interrégional et mondial, des initiatives approuvées par les régions. Les projets du BDT demeurent fondés sur la demande, centrés sur les personnes et axés sur le développement durable.</w:t>
      </w:r>
    </w:p>
    <w:p w14:paraId="2B7CC572" w14:textId="024C69B4" w:rsidR="004B780C" w:rsidRPr="007D1B5A" w:rsidRDefault="003D6726" w:rsidP="005A7A68">
      <w:pPr>
        <w:rPr>
          <w:lang w:val="fr-FR"/>
        </w:rPr>
      </w:pPr>
      <w:r w:rsidRPr="007D1B5A">
        <w:rPr>
          <w:lang w:val="fr-FR"/>
        </w:rPr>
        <w:t>La priorité continue d</w:t>
      </w:r>
      <w:r w:rsidR="008E5B40" w:rsidRPr="007D1B5A">
        <w:rPr>
          <w:lang w:val="fr-FR"/>
        </w:rPr>
        <w:t>'</w:t>
      </w:r>
      <w:r w:rsidRPr="007D1B5A">
        <w:rPr>
          <w:lang w:val="fr-FR"/>
        </w:rPr>
        <w:t>être donnée aux investissements dans les outils, les méthodes, les lignes directrices, les gabarits, les normes, l</w:t>
      </w:r>
      <w:r w:rsidR="005E072D" w:rsidRPr="007D1B5A">
        <w:rPr>
          <w:lang w:val="fr-FR"/>
        </w:rPr>
        <w:t>e développement</w:t>
      </w:r>
      <w:r w:rsidRPr="007D1B5A">
        <w:rPr>
          <w:lang w:val="fr-FR"/>
        </w:rPr>
        <w:t xml:space="preserve"> de bases de données, les formations liées aux projets et la gestion de projets du BDT. Conformément à la gestion axée sur les résultats et aux principes de transparence, le site web des projets de l</w:t>
      </w:r>
      <w:r w:rsidR="008E5B40" w:rsidRPr="007D1B5A">
        <w:rPr>
          <w:lang w:val="fr-FR"/>
        </w:rPr>
        <w:t>'</w:t>
      </w:r>
      <w:r w:rsidRPr="007D1B5A">
        <w:rPr>
          <w:lang w:val="fr-FR"/>
        </w:rPr>
        <w:t>UIT (</w:t>
      </w:r>
      <w:hyperlink r:id="rId9" w:history="1">
        <w:r w:rsidR="00117916" w:rsidRPr="007D1B5A">
          <w:rPr>
            <w:rStyle w:val="Hyperlink"/>
            <w:lang w:val="fr-FR"/>
          </w:rPr>
          <w:t>www.itu.int/fr/ITU-D/Projects/</w:t>
        </w:r>
      </w:hyperlink>
      <w:r w:rsidRPr="00231568">
        <w:rPr>
          <w:rStyle w:val="Hyperlink"/>
          <w:color w:val="auto"/>
          <w:u w:val="none"/>
          <w:lang w:val="fr-FR"/>
        </w:rPr>
        <w:t xml:space="preserve">) </w:t>
      </w:r>
      <w:r w:rsidRPr="007D1B5A">
        <w:rPr>
          <w:lang w:val="fr-FR"/>
        </w:rPr>
        <w:t>a été amélioré afin de présenter de manière dynamique la situation générale concernant les projets du BDT, à tout moment. De plus, des études de cas concernant des projets, des rapports d</w:t>
      </w:r>
      <w:r w:rsidR="008E5B40" w:rsidRPr="007D1B5A">
        <w:rPr>
          <w:lang w:val="fr-FR"/>
        </w:rPr>
        <w:t>'</w:t>
      </w:r>
      <w:r w:rsidRPr="007D1B5A">
        <w:rPr>
          <w:lang w:val="fr-FR"/>
        </w:rPr>
        <w:t>évaluation après mise en œuvre et des vidéos ont été élaborés pour contribuer à améliorer l</w:t>
      </w:r>
      <w:r w:rsidR="008E5B40" w:rsidRPr="007D1B5A">
        <w:rPr>
          <w:lang w:val="fr-FR"/>
        </w:rPr>
        <w:t>'</w:t>
      </w:r>
      <w:r w:rsidRPr="007D1B5A">
        <w:rPr>
          <w:lang w:val="fr-FR"/>
        </w:rPr>
        <w:t>échange de données d</w:t>
      </w:r>
      <w:r w:rsidR="008E5B40" w:rsidRPr="007D1B5A">
        <w:rPr>
          <w:lang w:val="fr-FR"/>
        </w:rPr>
        <w:t>'</w:t>
      </w:r>
      <w:r w:rsidRPr="007D1B5A">
        <w:rPr>
          <w:lang w:val="fr-FR"/>
        </w:rPr>
        <w:t>expérience et d</w:t>
      </w:r>
      <w:r w:rsidR="008E5B40" w:rsidRPr="007D1B5A">
        <w:rPr>
          <w:lang w:val="fr-FR"/>
        </w:rPr>
        <w:t>'</w:t>
      </w:r>
      <w:r w:rsidRPr="007D1B5A">
        <w:rPr>
          <w:lang w:val="fr-FR"/>
        </w:rPr>
        <w:t xml:space="preserve">enseignements tirés. </w:t>
      </w:r>
    </w:p>
    <w:p w14:paraId="02875CB0" w14:textId="7900780F" w:rsidR="003D6726" w:rsidRPr="00231568" w:rsidRDefault="004B780C" w:rsidP="004B780C">
      <w:pPr>
        <w:pStyle w:val="Heading1"/>
        <w:rPr>
          <w:sz w:val="24"/>
          <w:szCs w:val="24"/>
          <w:lang w:val="fr-FR"/>
        </w:rPr>
      </w:pPr>
      <w:r w:rsidRPr="00231568">
        <w:rPr>
          <w:sz w:val="24"/>
          <w:szCs w:val="24"/>
          <w:lang w:val="fr-FR"/>
        </w:rPr>
        <w:t>2</w:t>
      </w:r>
      <w:r w:rsidRPr="00231568">
        <w:rPr>
          <w:sz w:val="24"/>
          <w:szCs w:val="24"/>
          <w:lang w:val="fr-FR"/>
        </w:rPr>
        <w:tab/>
      </w:r>
      <w:r w:rsidR="003D6726" w:rsidRPr="00231568">
        <w:rPr>
          <w:sz w:val="24"/>
          <w:szCs w:val="24"/>
          <w:lang w:val="fr-FR"/>
        </w:rPr>
        <w:t>Vue d'ensemble de la mise en œuvre des projets</w:t>
      </w:r>
    </w:p>
    <w:p w14:paraId="68D03DEC" w14:textId="77777777" w:rsidR="004B780C" w:rsidRPr="007D1B5A" w:rsidRDefault="003D6726" w:rsidP="005A7A68">
      <w:pPr>
        <w:rPr>
          <w:lang w:val="fr-FR"/>
        </w:rPr>
      </w:pPr>
      <w:r w:rsidRPr="007D1B5A">
        <w:rPr>
          <w:lang w:val="fr-FR"/>
        </w:rPr>
        <w:t xml:space="preserve">Depuis 2007, le BDT a mis en œuvre 256 projets à petite, moyenne ou grande échelle aux niveaux national, régional, interrégional et mondial, dont ont pu bénéficier </w:t>
      </w:r>
      <w:r w:rsidR="005E072D" w:rsidRPr="007D1B5A">
        <w:rPr>
          <w:lang w:val="fr-FR"/>
        </w:rPr>
        <w:t xml:space="preserve">environ </w:t>
      </w:r>
      <w:r w:rsidRPr="007D1B5A">
        <w:rPr>
          <w:lang w:val="fr-FR"/>
        </w:rPr>
        <w:t>150 pays en développement ou pays les moins avancés.</w:t>
      </w:r>
    </w:p>
    <w:p w14:paraId="5314C589" w14:textId="31A13ED2" w:rsidR="003D6726" w:rsidRPr="00231568" w:rsidRDefault="004B780C" w:rsidP="004B780C">
      <w:pPr>
        <w:pStyle w:val="Heading1"/>
        <w:rPr>
          <w:sz w:val="24"/>
          <w:szCs w:val="24"/>
          <w:lang w:val="fr-FR"/>
        </w:rPr>
      </w:pPr>
      <w:r w:rsidRPr="00231568">
        <w:rPr>
          <w:sz w:val="24"/>
          <w:szCs w:val="24"/>
          <w:lang w:val="fr-FR"/>
        </w:rPr>
        <w:t>3</w:t>
      </w:r>
      <w:r w:rsidRPr="00231568">
        <w:rPr>
          <w:sz w:val="24"/>
          <w:szCs w:val="24"/>
          <w:lang w:val="fr-FR"/>
        </w:rPr>
        <w:tab/>
      </w:r>
      <w:r w:rsidR="003D6726" w:rsidRPr="00231568">
        <w:rPr>
          <w:sz w:val="24"/>
          <w:szCs w:val="24"/>
          <w:lang w:val="fr-FR"/>
        </w:rPr>
        <w:t xml:space="preserve">Portefeuille de projets </w:t>
      </w:r>
    </w:p>
    <w:p w14:paraId="6A0D139D" w14:textId="439B4998" w:rsidR="004B780C" w:rsidRPr="007D1B5A" w:rsidRDefault="003D6726" w:rsidP="005A7A68">
      <w:pPr>
        <w:rPr>
          <w:b/>
          <w:lang w:val="fr-FR"/>
        </w:rPr>
      </w:pPr>
      <w:r w:rsidRPr="007D1B5A">
        <w:rPr>
          <w:lang w:val="fr-FR"/>
        </w:rPr>
        <w:t>Au 31 décembre 2019, le portefeuille de projets de l'UIT comprenait 69 projets en cours, estimés à</w:t>
      </w:r>
      <w:r w:rsidR="00231568">
        <w:rPr>
          <w:lang w:val="fr-FR"/>
        </w:rPr>
        <w:t> </w:t>
      </w:r>
      <w:r w:rsidRPr="007D1B5A">
        <w:rPr>
          <w:lang w:val="fr-FR"/>
        </w:rPr>
        <w:t>76 504 000 CHF</w:t>
      </w:r>
      <w:r w:rsidRPr="007D1B5A">
        <w:rPr>
          <w:rStyle w:val="FootnoteReference"/>
          <w:lang w:val="fr-FR"/>
        </w:rPr>
        <w:footnoteReference w:id="1"/>
      </w:r>
      <w:r w:rsidRPr="007D1B5A">
        <w:rPr>
          <w:lang w:val="fr-FR"/>
        </w:rPr>
        <w:t>; 20 nouveaux projets, estimés à environ 11 millions CHF, ont été élaborés et ont fait l</w:t>
      </w:r>
      <w:r w:rsidR="008E5B40" w:rsidRPr="007D1B5A">
        <w:rPr>
          <w:lang w:val="fr-FR"/>
        </w:rPr>
        <w:t>'</w:t>
      </w:r>
      <w:r w:rsidRPr="007D1B5A">
        <w:rPr>
          <w:lang w:val="fr-FR"/>
        </w:rPr>
        <w:t>objet d</w:t>
      </w:r>
      <w:r w:rsidR="008E5B40" w:rsidRPr="007D1B5A">
        <w:rPr>
          <w:lang w:val="fr-FR"/>
        </w:rPr>
        <w:t>'</w:t>
      </w:r>
      <w:r w:rsidRPr="007D1B5A">
        <w:rPr>
          <w:lang w:val="fr-FR"/>
        </w:rPr>
        <w:t>un accord en 2019.</w:t>
      </w:r>
    </w:p>
    <w:p w14:paraId="795B3A75" w14:textId="796B45F4" w:rsidR="003D6726" w:rsidRPr="00231568" w:rsidRDefault="004B780C" w:rsidP="004B780C">
      <w:pPr>
        <w:pStyle w:val="Heading1"/>
        <w:rPr>
          <w:sz w:val="24"/>
          <w:szCs w:val="24"/>
          <w:lang w:val="fr-FR"/>
        </w:rPr>
      </w:pPr>
      <w:r w:rsidRPr="00231568">
        <w:rPr>
          <w:sz w:val="24"/>
          <w:szCs w:val="24"/>
          <w:lang w:val="fr-FR"/>
        </w:rPr>
        <w:t>4</w:t>
      </w:r>
      <w:r w:rsidRPr="00231568">
        <w:rPr>
          <w:sz w:val="24"/>
          <w:szCs w:val="24"/>
          <w:lang w:val="fr-FR"/>
        </w:rPr>
        <w:tab/>
      </w:r>
      <w:r w:rsidR="003D6726" w:rsidRPr="00231568">
        <w:rPr>
          <w:sz w:val="24"/>
          <w:szCs w:val="24"/>
          <w:lang w:val="fr-FR"/>
        </w:rPr>
        <w:t>Projets en cours par région</w:t>
      </w:r>
    </w:p>
    <w:p w14:paraId="3BDE94B6" w14:textId="73BCA1CC" w:rsidR="003D6726" w:rsidRPr="007D1B5A" w:rsidRDefault="003D6726" w:rsidP="00690979">
      <w:pPr>
        <w:spacing w:after="120"/>
        <w:rPr>
          <w:lang w:val="fr-FR"/>
        </w:rPr>
      </w:pPr>
      <w:r w:rsidRPr="007D1B5A">
        <w:rPr>
          <w:lang w:val="fr-FR"/>
        </w:rPr>
        <w:t>À la fin de l</w:t>
      </w:r>
      <w:r w:rsidR="008E5B40" w:rsidRPr="007D1B5A">
        <w:rPr>
          <w:lang w:val="fr-FR"/>
        </w:rPr>
        <w:t>'</w:t>
      </w:r>
      <w:r w:rsidRPr="007D1B5A">
        <w:rPr>
          <w:lang w:val="fr-FR"/>
        </w:rPr>
        <w:t xml:space="preserve">année 2019, les 69 projets en cours étaient répartis comme suit: Afrique (14), Amériques (10), États arabes (14), Asie-Pacifique (8), CEI (2) et Europe (1). Outre les projets régionaux, </w:t>
      </w:r>
      <w:r w:rsidR="005E072D" w:rsidRPr="007D1B5A">
        <w:rPr>
          <w:lang w:val="fr-FR"/>
        </w:rPr>
        <w:t xml:space="preserve">on comptait </w:t>
      </w:r>
      <w:r w:rsidRPr="007D1B5A">
        <w:rPr>
          <w:lang w:val="fr-FR"/>
        </w:rPr>
        <w:t>20 projets mondiaux.</w:t>
      </w:r>
    </w:p>
    <w:p w14:paraId="64FBEDD8" w14:textId="236AD6BA" w:rsidR="003D6726" w:rsidRPr="007D1B5A" w:rsidRDefault="00690979" w:rsidP="00F25AD7">
      <w:pPr>
        <w:spacing w:after="480"/>
        <w:jc w:val="center"/>
        <w:rPr>
          <w:lang w:val="fr-FR"/>
        </w:rPr>
      </w:pPr>
      <w:r w:rsidRPr="007D1B5A">
        <w:rPr>
          <w:noProof/>
          <w:lang w:val="fr-FR" w:eastAsia="zh-CN"/>
        </w:rPr>
        <w:lastRenderedPageBreak/>
        <mc:AlternateContent>
          <mc:Choice Requires="wps">
            <w:drawing>
              <wp:anchor distT="0" distB="0" distL="114300" distR="114300" simplePos="0" relativeHeight="251659264" behindDoc="0" locked="0" layoutInCell="1" allowOverlap="1" wp14:anchorId="54BC68B9" wp14:editId="760CCB94">
                <wp:simplePos x="0" y="0"/>
                <wp:positionH relativeFrom="margin">
                  <wp:posOffset>441960</wp:posOffset>
                </wp:positionH>
                <wp:positionV relativeFrom="paragraph">
                  <wp:posOffset>2938145</wp:posOffset>
                </wp:positionV>
                <wp:extent cx="5429250" cy="3714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429250" cy="371475"/>
                        </a:xfrm>
                        <a:prstGeom prst="rect">
                          <a:avLst/>
                        </a:prstGeom>
                        <a:solidFill>
                          <a:schemeClr val="lt1"/>
                        </a:solidFill>
                        <a:ln w="6350">
                          <a:noFill/>
                        </a:ln>
                      </wps:spPr>
                      <wps:txbx>
                        <w:txbxContent>
                          <w:p w14:paraId="08B8261A" w14:textId="01121C91" w:rsidR="00690979" w:rsidRPr="000545B1" w:rsidRDefault="000545B1" w:rsidP="000545B1">
                            <w:pPr>
                              <w:tabs>
                                <w:tab w:val="clear" w:pos="794"/>
                                <w:tab w:val="clear" w:pos="1191"/>
                                <w:tab w:val="clear" w:pos="1588"/>
                                <w:tab w:val="clear" w:pos="1985"/>
                                <w:tab w:val="center" w:pos="2268"/>
                              </w:tabs>
                              <w:spacing w:before="0"/>
                              <w:rPr>
                                <w:sz w:val="18"/>
                                <w:szCs w:val="18"/>
                              </w:rPr>
                            </w:pP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Afrique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Amériques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États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Asie-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CEI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Europe </w:t>
                            </w:r>
                            <w:r w:rsidRPr="000545B1">
                              <w:rPr>
                                <w:sz w:val="18"/>
                                <w:szCs w:val="18"/>
                              </w:rPr>
                              <w:t xml:space="preserve">     </w:t>
                            </w:r>
                            <w:r>
                              <w:rPr>
                                <w:sz w:val="18"/>
                                <w:szCs w:val="18"/>
                              </w:rPr>
                              <w:t xml:space="preserve">      </w:t>
                            </w:r>
                            <w:r w:rsidR="00CF261B">
                              <w:rPr>
                                <w:sz w:val="18"/>
                                <w:szCs w:val="18"/>
                              </w:rPr>
                              <w:t xml:space="preserve"> </w:t>
                            </w:r>
                            <w:r w:rsidRPr="000545B1">
                              <w:rPr>
                                <w:sz w:val="18"/>
                                <w:szCs w:val="18"/>
                              </w:rPr>
                              <w:t xml:space="preserve">   </w:t>
                            </w:r>
                            <w:r w:rsidR="00690979" w:rsidRPr="000545B1">
                              <w:rPr>
                                <w:sz w:val="18"/>
                                <w:szCs w:val="18"/>
                              </w:rPr>
                              <w:t>Monde</w:t>
                            </w:r>
                          </w:p>
                          <w:p w14:paraId="39E8EF73" w14:textId="4DB44514" w:rsidR="000545B1" w:rsidRDefault="000545B1" w:rsidP="000545B1">
                            <w:pPr>
                              <w:tabs>
                                <w:tab w:val="clear" w:pos="794"/>
                                <w:tab w:val="clear" w:pos="1191"/>
                                <w:tab w:val="clear" w:pos="1588"/>
                                <w:tab w:val="clear" w:pos="1985"/>
                                <w:tab w:val="center" w:pos="2268"/>
                              </w:tabs>
                              <w:spacing w:before="0"/>
                            </w:pPr>
                            <w:r w:rsidRPr="000545B1">
                              <w:rPr>
                                <w:sz w:val="18"/>
                                <w:szCs w:val="18"/>
                              </w:rPr>
                              <w:t xml:space="preserve">                                             </w:t>
                            </w:r>
                            <w:r>
                              <w:rPr>
                                <w:sz w:val="18"/>
                                <w:szCs w:val="18"/>
                              </w:rPr>
                              <w:t xml:space="preserve">                  </w:t>
                            </w:r>
                            <w:r w:rsidRPr="000545B1">
                              <w:rPr>
                                <w:sz w:val="18"/>
                                <w:szCs w:val="18"/>
                              </w:rPr>
                              <w:t xml:space="preserve">   arabes      </w:t>
                            </w:r>
                            <w:r>
                              <w:rPr>
                                <w:sz w:val="18"/>
                                <w:szCs w:val="18"/>
                              </w:rPr>
                              <w:t xml:space="preserve">       </w:t>
                            </w:r>
                            <w:r w:rsidRPr="000545B1">
                              <w:rPr>
                                <w:sz w:val="18"/>
                                <w:szCs w:val="18"/>
                              </w:rPr>
                              <w:t xml:space="preserve">  Pacifique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C68B9" id="_x0000_t202" coordsize="21600,21600" o:spt="202" path="m,l,21600r21600,l21600,xe">
                <v:stroke joinstyle="miter"/>
                <v:path gradientshapeok="t" o:connecttype="rect"/>
              </v:shapetype>
              <v:shape id="Text Box 2" o:spid="_x0000_s1026" type="#_x0000_t202" style="position:absolute;left:0;text-align:left;margin-left:34.8pt;margin-top:231.35pt;width:427.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" fillcolor="white [3201]" stroked="f" strokeweight=".5pt">
                <v:textbox>
                  <w:txbxContent>
                    <w:p w14:paraId="08B8261A" w14:textId="01121C91" w:rsidR="00690979" w:rsidRPr="000545B1" w:rsidRDefault="000545B1" w:rsidP="000545B1">
                      <w:pPr>
                        <w:tabs>
                          <w:tab w:val="clear" w:pos="794"/>
                          <w:tab w:val="clear" w:pos="1191"/>
                          <w:tab w:val="clear" w:pos="1588"/>
                          <w:tab w:val="clear" w:pos="1985"/>
                          <w:tab w:val="center" w:pos="2268"/>
                        </w:tabs>
                        <w:spacing w:before="0"/>
                        <w:rPr>
                          <w:sz w:val="18"/>
                          <w:szCs w:val="18"/>
                        </w:rPr>
                      </w:pP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Afrique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Amériques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États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Asie-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CEI </w:t>
                      </w:r>
                      <w:r w:rsidRPr="000545B1">
                        <w:rPr>
                          <w:sz w:val="18"/>
                          <w:szCs w:val="18"/>
                        </w:rPr>
                        <w:t xml:space="preserve">          </w:t>
                      </w:r>
                      <w:r>
                        <w:rPr>
                          <w:sz w:val="18"/>
                          <w:szCs w:val="18"/>
                        </w:rPr>
                        <w:t xml:space="preserve">       </w:t>
                      </w:r>
                      <w:r w:rsidRPr="000545B1">
                        <w:rPr>
                          <w:sz w:val="18"/>
                          <w:szCs w:val="18"/>
                        </w:rPr>
                        <w:t xml:space="preserve">   </w:t>
                      </w:r>
                      <w:r w:rsidR="00690979" w:rsidRPr="000545B1">
                        <w:rPr>
                          <w:sz w:val="18"/>
                          <w:szCs w:val="18"/>
                        </w:rPr>
                        <w:t xml:space="preserve">Europe </w:t>
                      </w:r>
                      <w:r w:rsidRPr="000545B1">
                        <w:rPr>
                          <w:sz w:val="18"/>
                          <w:szCs w:val="18"/>
                        </w:rPr>
                        <w:t xml:space="preserve">     </w:t>
                      </w:r>
                      <w:r>
                        <w:rPr>
                          <w:sz w:val="18"/>
                          <w:szCs w:val="18"/>
                        </w:rPr>
                        <w:t xml:space="preserve">      </w:t>
                      </w:r>
                      <w:r w:rsidR="00CF261B">
                        <w:rPr>
                          <w:sz w:val="18"/>
                          <w:szCs w:val="18"/>
                        </w:rPr>
                        <w:t xml:space="preserve"> </w:t>
                      </w:r>
                      <w:r w:rsidRPr="000545B1">
                        <w:rPr>
                          <w:sz w:val="18"/>
                          <w:szCs w:val="18"/>
                        </w:rPr>
                        <w:t xml:space="preserve">   </w:t>
                      </w:r>
                      <w:r w:rsidR="00690979" w:rsidRPr="000545B1">
                        <w:rPr>
                          <w:sz w:val="18"/>
                          <w:szCs w:val="18"/>
                        </w:rPr>
                        <w:t>Monde</w:t>
                      </w:r>
                    </w:p>
                    <w:p w14:paraId="39E8EF73" w14:textId="4DB44514" w:rsidR="000545B1" w:rsidRDefault="000545B1" w:rsidP="000545B1">
                      <w:pPr>
                        <w:tabs>
                          <w:tab w:val="clear" w:pos="794"/>
                          <w:tab w:val="clear" w:pos="1191"/>
                          <w:tab w:val="clear" w:pos="1588"/>
                          <w:tab w:val="clear" w:pos="1985"/>
                          <w:tab w:val="center" w:pos="2268"/>
                        </w:tabs>
                        <w:spacing w:before="0"/>
                      </w:pPr>
                      <w:r w:rsidRPr="000545B1">
                        <w:rPr>
                          <w:sz w:val="18"/>
                          <w:szCs w:val="18"/>
                        </w:rPr>
                        <w:t xml:space="preserve">                                             </w:t>
                      </w:r>
                      <w:r>
                        <w:rPr>
                          <w:sz w:val="18"/>
                          <w:szCs w:val="18"/>
                        </w:rPr>
                        <w:t xml:space="preserve">                  </w:t>
                      </w:r>
                      <w:r w:rsidRPr="000545B1">
                        <w:rPr>
                          <w:sz w:val="18"/>
                          <w:szCs w:val="18"/>
                        </w:rPr>
                        <w:t xml:space="preserve">   arabes      </w:t>
                      </w:r>
                      <w:r>
                        <w:rPr>
                          <w:sz w:val="18"/>
                          <w:szCs w:val="18"/>
                        </w:rPr>
                        <w:t xml:space="preserve">       </w:t>
                      </w:r>
                      <w:r w:rsidRPr="000545B1">
                        <w:rPr>
                          <w:sz w:val="18"/>
                          <w:szCs w:val="18"/>
                        </w:rPr>
                        <w:t xml:space="preserve">  Pacifique</w:t>
                      </w:r>
                    </w:p>
                  </w:txbxContent>
                </v:textbox>
                <w10:wrap anchorx="margin"/>
              </v:shape>
            </w:pict>
          </mc:Fallback>
        </mc:AlternateContent>
      </w:r>
      <w:r w:rsidR="003D6726" w:rsidRPr="007D1B5A">
        <w:rPr>
          <w:noProof/>
          <w:lang w:val="fr-FR" w:eastAsia="zh-CN"/>
        </w:rPr>
        <w:t xml:space="preserve"> </w:t>
      </w:r>
      <w:r w:rsidR="003D6726" w:rsidRPr="007D1B5A">
        <w:rPr>
          <w:noProof/>
          <w:lang w:val="fr-FR" w:eastAsia="zh-CN"/>
        </w:rPr>
        <w:drawing>
          <wp:inline distT="0" distB="0" distL="0" distR="0" wp14:anchorId="28E12B3C" wp14:editId="61446686">
            <wp:extent cx="5848350" cy="3152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E06E9B" w14:textId="77777777" w:rsidR="003D6726" w:rsidRPr="007D1B5A" w:rsidRDefault="003D6726" w:rsidP="00690979">
      <w:pPr>
        <w:jc w:val="center"/>
        <w:rPr>
          <w:noProof/>
          <w:lang w:val="fr-FR" w:eastAsia="zh-CN"/>
        </w:rPr>
      </w:pPr>
      <w:r w:rsidRPr="007D1B5A">
        <w:rPr>
          <w:noProof/>
          <w:lang w:val="fr-FR" w:eastAsia="zh-CN"/>
        </w:rPr>
        <w:drawing>
          <wp:inline distT="0" distB="0" distL="0" distR="0" wp14:anchorId="181E18B2" wp14:editId="030058C1">
            <wp:extent cx="5819775" cy="3522345"/>
            <wp:effectExtent l="0" t="0" r="9525"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0002CE" w14:textId="220AD615" w:rsidR="003D6726" w:rsidRPr="00231568" w:rsidRDefault="004B780C" w:rsidP="004B780C">
      <w:pPr>
        <w:pStyle w:val="Heading1"/>
        <w:rPr>
          <w:sz w:val="24"/>
          <w:szCs w:val="24"/>
          <w:lang w:val="fr-FR"/>
        </w:rPr>
      </w:pPr>
      <w:r w:rsidRPr="00231568">
        <w:rPr>
          <w:sz w:val="24"/>
          <w:szCs w:val="24"/>
          <w:lang w:val="fr-FR"/>
        </w:rPr>
        <w:t>5</w:t>
      </w:r>
      <w:r w:rsidRPr="00231568">
        <w:rPr>
          <w:sz w:val="24"/>
          <w:szCs w:val="24"/>
          <w:lang w:val="fr-FR"/>
        </w:rPr>
        <w:tab/>
      </w:r>
      <w:r w:rsidR="003D6726" w:rsidRPr="00231568">
        <w:rPr>
          <w:sz w:val="24"/>
          <w:szCs w:val="24"/>
          <w:lang w:val="fr-FR"/>
        </w:rPr>
        <w:t>Projets en cours par domaine d'activité</w:t>
      </w:r>
    </w:p>
    <w:p w14:paraId="2B787227" w14:textId="35AB23D0" w:rsidR="003D6726" w:rsidRPr="007D1B5A" w:rsidRDefault="003D6726" w:rsidP="005A7A68">
      <w:pPr>
        <w:rPr>
          <w:lang w:val="fr-FR"/>
        </w:rPr>
      </w:pPr>
      <w:r w:rsidRPr="007D1B5A">
        <w:rPr>
          <w:lang w:val="fr-FR"/>
        </w:rPr>
        <w:t>Le graphique ci-dessous indique la répartition des 69 projets en cours en fonction des priorités thématiques. Il montre que la plupart des projets relèvent des priorités thématiques suivantes: Réseaux et infrastructure numérique; Services et applications numériques; et Renforcement des capacités</w:t>
      </w:r>
      <w:r w:rsidRPr="007D1B5A">
        <w:rPr>
          <w:rStyle w:val="FootnoteReference"/>
          <w:lang w:val="fr-FR"/>
        </w:rPr>
        <w:footnoteReference w:id="2"/>
      </w:r>
      <w:r w:rsidR="00231568">
        <w:rPr>
          <w:lang w:val="fr-FR"/>
        </w:rPr>
        <w:t>.</w:t>
      </w:r>
    </w:p>
    <w:p w14:paraId="46C0096D" w14:textId="77777777" w:rsidR="003D6726" w:rsidRPr="007D1B5A" w:rsidRDefault="003D6726" w:rsidP="00117916">
      <w:pPr>
        <w:rPr>
          <w:lang w:val="fr-FR"/>
        </w:rPr>
      </w:pPr>
      <w:r w:rsidRPr="007D1B5A">
        <w:rPr>
          <w:noProof/>
          <w:lang w:val="fr-FR" w:eastAsia="zh-CN"/>
        </w:rPr>
        <w:lastRenderedPageBreak/>
        <w:drawing>
          <wp:inline distT="0" distB="0" distL="0" distR="0" wp14:anchorId="60748930" wp14:editId="71BFDE6F">
            <wp:extent cx="5920740" cy="3259455"/>
            <wp:effectExtent l="0" t="0" r="381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366A78" w14:textId="61406E44" w:rsidR="003D6726" w:rsidRPr="00231568" w:rsidRDefault="004B780C" w:rsidP="004B780C">
      <w:pPr>
        <w:pStyle w:val="Heading1"/>
        <w:rPr>
          <w:sz w:val="24"/>
          <w:szCs w:val="24"/>
          <w:lang w:val="fr-FR"/>
        </w:rPr>
      </w:pPr>
      <w:r w:rsidRPr="00231568">
        <w:rPr>
          <w:sz w:val="24"/>
          <w:szCs w:val="24"/>
          <w:lang w:val="fr-FR"/>
        </w:rPr>
        <w:t>6</w:t>
      </w:r>
      <w:r w:rsidRPr="00231568">
        <w:rPr>
          <w:sz w:val="24"/>
          <w:szCs w:val="24"/>
          <w:lang w:val="fr-FR"/>
        </w:rPr>
        <w:tab/>
      </w:r>
      <w:r w:rsidR="003D6726" w:rsidRPr="00231568">
        <w:rPr>
          <w:sz w:val="24"/>
          <w:szCs w:val="24"/>
          <w:lang w:val="fr-FR"/>
        </w:rPr>
        <w:t>Projets en cours d'élaboration devant faire l'objet d'un accord</w:t>
      </w:r>
    </w:p>
    <w:p w14:paraId="529F6F8F" w14:textId="2EEA53BB" w:rsidR="003D6726" w:rsidRPr="007D1B5A" w:rsidRDefault="003D6726" w:rsidP="00690979">
      <w:pPr>
        <w:spacing w:after="120"/>
        <w:rPr>
          <w:lang w:val="fr-FR"/>
        </w:rPr>
      </w:pPr>
      <w:r w:rsidRPr="007D1B5A">
        <w:rPr>
          <w:lang w:val="fr-FR"/>
        </w:rPr>
        <w:t xml:space="preserve">Plusieurs projets sont en cours d'élaboration et devraient faire l'objet d'un accord au cours du deuxième trimestre </w:t>
      </w:r>
      <w:r w:rsidR="00746BD0" w:rsidRPr="007D1B5A">
        <w:rPr>
          <w:lang w:val="fr-FR"/>
        </w:rPr>
        <w:t xml:space="preserve">de </w:t>
      </w:r>
      <w:r w:rsidRPr="007D1B5A">
        <w:rPr>
          <w:lang w:val="fr-FR"/>
        </w:rPr>
        <w:t>2020. Il s'agit notamment des projets suivants:</w:t>
      </w:r>
    </w:p>
    <w:p w14:paraId="4987A55A" w14:textId="57C57F4E" w:rsidR="003D6726" w:rsidRPr="007D1B5A" w:rsidRDefault="004B780C" w:rsidP="004B780C">
      <w:pPr>
        <w:pStyle w:val="enumlev1"/>
        <w:rPr>
          <w:lang w:val="fr-FR"/>
        </w:rPr>
      </w:pPr>
      <w:r w:rsidRPr="007D1B5A">
        <w:rPr>
          <w:lang w:val="fr-FR"/>
        </w:rPr>
        <w:t>1)</w:t>
      </w:r>
      <w:r w:rsidRPr="007D1B5A">
        <w:rPr>
          <w:lang w:val="fr-FR"/>
        </w:rPr>
        <w:tab/>
      </w:r>
      <w:r w:rsidR="003D6726" w:rsidRPr="007D1B5A">
        <w:rPr>
          <w:lang w:val="fr-FR"/>
        </w:rPr>
        <w:t>Mise à jour du cadre réglementaire dans le domaine des télécommunications en République du Panama.</w:t>
      </w:r>
    </w:p>
    <w:p w14:paraId="73DF56D1" w14:textId="32B2C042" w:rsidR="003D6726" w:rsidRPr="007D1B5A" w:rsidRDefault="004B780C" w:rsidP="004B780C">
      <w:pPr>
        <w:pStyle w:val="enumlev1"/>
        <w:rPr>
          <w:lang w:val="fr-FR"/>
        </w:rPr>
      </w:pPr>
      <w:r w:rsidRPr="007D1B5A">
        <w:rPr>
          <w:lang w:val="fr-FR"/>
        </w:rPr>
        <w:t>2)</w:t>
      </w:r>
      <w:r w:rsidRPr="007D1B5A">
        <w:rPr>
          <w:lang w:val="fr-FR"/>
        </w:rPr>
        <w:tab/>
      </w:r>
      <w:r w:rsidR="003D6726" w:rsidRPr="007D1B5A">
        <w:rPr>
          <w:lang w:val="fr-FR"/>
        </w:rPr>
        <w:t>Avis spécialisés pour l</w:t>
      </w:r>
      <w:r w:rsidR="008E5B40" w:rsidRPr="007D1B5A">
        <w:rPr>
          <w:lang w:val="fr-FR"/>
        </w:rPr>
        <w:t>'</w:t>
      </w:r>
      <w:r w:rsidR="003D6726" w:rsidRPr="007D1B5A">
        <w:rPr>
          <w:lang w:val="fr-FR"/>
        </w:rPr>
        <w:t>évaluation de la valeur économique de la bande des 700 MHz et de la bande des 2,5 GHz pour les services mobiles évolués dans le cadre de leur assignation ou du renouvellement des autorisations en Équateur.</w:t>
      </w:r>
    </w:p>
    <w:p w14:paraId="5A128A0F" w14:textId="57E6347C" w:rsidR="003D6726" w:rsidRPr="007D1B5A" w:rsidRDefault="004B780C" w:rsidP="004B780C">
      <w:pPr>
        <w:pStyle w:val="enumlev1"/>
        <w:rPr>
          <w:lang w:val="fr-FR"/>
        </w:rPr>
      </w:pPr>
      <w:r w:rsidRPr="007D1B5A">
        <w:rPr>
          <w:lang w:val="fr-FR"/>
        </w:rPr>
        <w:t>3)</w:t>
      </w:r>
      <w:r w:rsidRPr="007D1B5A">
        <w:rPr>
          <w:lang w:val="fr-FR"/>
        </w:rPr>
        <w:tab/>
      </w:r>
      <w:r w:rsidR="003D6726" w:rsidRPr="007D1B5A">
        <w:rPr>
          <w:lang w:val="fr-FR"/>
        </w:rPr>
        <w:t>Avis et appui fournis aux administrations pour l</w:t>
      </w:r>
      <w:r w:rsidR="008E5B40" w:rsidRPr="007D1B5A">
        <w:rPr>
          <w:lang w:val="fr-FR"/>
        </w:rPr>
        <w:t>'</w:t>
      </w:r>
      <w:r w:rsidR="003D6726" w:rsidRPr="007D1B5A">
        <w:rPr>
          <w:lang w:val="fr-FR"/>
        </w:rPr>
        <w:t>utilisation des fréquences issues du dividende numérique et la gestion du spectre.</w:t>
      </w:r>
    </w:p>
    <w:p w14:paraId="14473E4A" w14:textId="7790DACA" w:rsidR="003D6726" w:rsidRPr="007D1B5A" w:rsidRDefault="004B780C" w:rsidP="004B780C">
      <w:pPr>
        <w:pStyle w:val="enumlev1"/>
        <w:rPr>
          <w:lang w:val="fr-FR"/>
        </w:rPr>
      </w:pPr>
      <w:r w:rsidRPr="007D1B5A">
        <w:rPr>
          <w:lang w:val="fr-FR"/>
        </w:rPr>
        <w:t>4)</w:t>
      </w:r>
      <w:r w:rsidRPr="007D1B5A">
        <w:rPr>
          <w:lang w:val="fr-FR"/>
        </w:rPr>
        <w:tab/>
      </w:r>
      <w:r w:rsidR="003D6726" w:rsidRPr="007D1B5A">
        <w:rPr>
          <w:lang w:val="fr-FR"/>
        </w:rPr>
        <w:t>Déploiement de l'infrastructure large bande, en particulier dans les zones rurales et délaissées, et renforcement de l'accès large bande à des services et applications.</w:t>
      </w:r>
    </w:p>
    <w:p w14:paraId="0C2D5263" w14:textId="672CDC50" w:rsidR="003D6726" w:rsidRPr="007D1B5A" w:rsidRDefault="004B780C" w:rsidP="004B780C">
      <w:pPr>
        <w:pStyle w:val="enumlev1"/>
        <w:rPr>
          <w:lang w:val="fr-FR"/>
        </w:rPr>
      </w:pPr>
      <w:r w:rsidRPr="007D1B5A">
        <w:rPr>
          <w:lang w:val="fr-FR"/>
        </w:rPr>
        <w:t>5)</w:t>
      </w:r>
      <w:r w:rsidRPr="007D1B5A">
        <w:rPr>
          <w:lang w:val="fr-FR"/>
        </w:rPr>
        <w:tab/>
      </w:r>
      <w:r w:rsidR="003D6726" w:rsidRPr="007D1B5A">
        <w:rPr>
          <w:lang w:val="fr-FR"/>
        </w:rPr>
        <w:t>Analyse comparative des TIC dans la sous-région de l</w:t>
      </w:r>
      <w:r w:rsidR="008E5B40" w:rsidRPr="007D1B5A">
        <w:rPr>
          <w:lang w:val="fr-FR"/>
        </w:rPr>
        <w:t>'</w:t>
      </w:r>
      <w:r w:rsidR="003D6726" w:rsidRPr="007D1B5A">
        <w:rPr>
          <w:lang w:val="fr-FR"/>
        </w:rPr>
        <w:t>Afrique centrale.</w:t>
      </w:r>
    </w:p>
    <w:p w14:paraId="41BE479A" w14:textId="62DC0298" w:rsidR="003D6726" w:rsidRPr="007D1B5A" w:rsidRDefault="004B780C" w:rsidP="004B780C">
      <w:pPr>
        <w:pStyle w:val="enumlev1"/>
        <w:rPr>
          <w:lang w:val="fr-FR"/>
        </w:rPr>
      </w:pPr>
      <w:r w:rsidRPr="007D1B5A">
        <w:rPr>
          <w:lang w:val="fr-FR"/>
        </w:rPr>
        <w:t>6)</w:t>
      </w:r>
      <w:r w:rsidRPr="007D1B5A">
        <w:rPr>
          <w:lang w:val="fr-FR"/>
        </w:rPr>
        <w:tab/>
      </w:r>
      <w:r w:rsidR="003D6726" w:rsidRPr="007D1B5A">
        <w:rPr>
          <w:lang w:val="fr-FR"/>
        </w:rPr>
        <w:t>Promotion d</w:t>
      </w:r>
      <w:r w:rsidR="008E5B40" w:rsidRPr="007D1B5A">
        <w:rPr>
          <w:lang w:val="fr-FR"/>
        </w:rPr>
        <w:t>'</w:t>
      </w:r>
      <w:r w:rsidR="003D6726" w:rsidRPr="007D1B5A">
        <w:rPr>
          <w:lang w:val="fr-FR"/>
        </w:rPr>
        <w:t>emplois décents et amélioration des compétences des jeunes dans l</w:t>
      </w:r>
      <w:r w:rsidR="008E5B40" w:rsidRPr="007D1B5A">
        <w:rPr>
          <w:lang w:val="fr-FR"/>
        </w:rPr>
        <w:t>'</w:t>
      </w:r>
      <w:r w:rsidR="003D6726" w:rsidRPr="007D1B5A">
        <w:rPr>
          <w:lang w:val="fr-FR"/>
        </w:rPr>
        <w:t>économie numérique de l</w:t>
      </w:r>
      <w:r w:rsidR="008E5B40" w:rsidRPr="007D1B5A">
        <w:rPr>
          <w:lang w:val="fr-FR"/>
        </w:rPr>
        <w:t>'</w:t>
      </w:r>
      <w:r w:rsidR="003D6726" w:rsidRPr="007D1B5A">
        <w:rPr>
          <w:lang w:val="fr-FR"/>
        </w:rPr>
        <w:t>Afrique.</w:t>
      </w:r>
    </w:p>
    <w:p w14:paraId="3BCDBC28" w14:textId="1D8D694D" w:rsidR="003D6726" w:rsidRPr="007D1B5A" w:rsidRDefault="004B780C" w:rsidP="004B780C">
      <w:pPr>
        <w:pStyle w:val="enumlev1"/>
        <w:rPr>
          <w:lang w:val="fr-FR"/>
        </w:rPr>
      </w:pPr>
      <w:r w:rsidRPr="007D1B5A">
        <w:rPr>
          <w:lang w:val="fr-FR"/>
        </w:rPr>
        <w:t>7)</w:t>
      </w:r>
      <w:r w:rsidRPr="007D1B5A">
        <w:rPr>
          <w:lang w:val="fr-FR"/>
        </w:rPr>
        <w:tab/>
      </w:r>
      <w:r w:rsidR="003D6726" w:rsidRPr="007D1B5A">
        <w:rPr>
          <w:lang w:val="fr-FR"/>
        </w:rPr>
        <w:t>Détection automatique de la rétinopathie diabétique au Sénégal.</w:t>
      </w:r>
    </w:p>
    <w:p w14:paraId="5EB822DF" w14:textId="50372568" w:rsidR="003D6726" w:rsidRPr="007D1B5A" w:rsidRDefault="004B780C" w:rsidP="004B780C">
      <w:pPr>
        <w:pStyle w:val="enumlev1"/>
        <w:rPr>
          <w:lang w:val="fr-FR"/>
        </w:rPr>
      </w:pPr>
      <w:r w:rsidRPr="007D1B5A">
        <w:rPr>
          <w:lang w:val="fr-FR"/>
        </w:rPr>
        <w:t>8)</w:t>
      </w:r>
      <w:r w:rsidRPr="007D1B5A">
        <w:rPr>
          <w:lang w:val="fr-FR"/>
        </w:rPr>
        <w:tab/>
      </w:r>
      <w:r w:rsidR="003D6726" w:rsidRPr="007D1B5A">
        <w:rPr>
          <w:lang w:val="fr-FR"/>
        </w:rPr>
        <w:t>Appui aux initiatives régionales pour l</w:t>
      </w:r>
      <w:r w:rsidR="008E5B40" w:rsidRPr="007D1B5A">
        <w:rPr>
          <w:lang w:val="fr-FR"/>
        </w:rPr>
        <w:t>'</w:t>
      </w:r>
      <w:r w:rsidR="003D6726" w:rsidRPr="007D1B5A">
        <w:rPr>
          <w:lang w:val="fr-FR"/>
        </w:rPr>
        <w:t>Asie-Pacifique.</w:t>
      </w:r>
    </w:p>
    <w:p w14:paraId="591EA4C5" w14:textId="3B4F0911" w:rsidR="003D6726" w:rsidRPr="007D1B5A" w:rsidRDefault="004B780C" w:rsidP="004B780C">
      <w:pPr>
        <w:pStyle w:val="enumlev1"/>
        <w:rPr>
          <w:lang w:val="fr-FR"/>
        </w:rPr>
      </w:pPr>
      <w:r w:rsidRPr="007D1B5A">
        <w:rPr>
          <w:lang w:val="fr-FR"/>
        </w:rPr>
        <w:t>9)</w:t>
      </w:r>
      <w:r w:rsidRPr="007D1B5A">
        <w:rPr>
          <w:lang w:val="fr-FR"/>
        </w:rPr>
        <w:tab/>
      </w:r>
      <w:r w:rsidR="003D6726" w:rsidRPr="007D1B5A">
        <w:rPr>
          <w:lang w:val="fr-FR"/>
        </w:rPr>
        <w:t>Centre international de recherche, de développement et de test des nouveaux équipements et services et des nouvelles technologies – Phase 2 – région de la CEI.</w:t>
      </w:r>
    </w:p>
    <w:p w14:paraId="07A3F8A7" w14:textId="474DAD3B" w:rsidR="003D6726" w:rsidRPr="007D1B5A" w:rsidRDefault="004B780C" w:rsidP="004B780C">
      <w:pPr>
        <w:pStyle w:val="enumlev1"/>
        <w:rPr>
          <w:lang w:val="fr-FR"/>
        </w:rPr>
      </w:pPr>
      <w:r w:rsidRPr="007D1B5A">
        <w:rPr>
          <w:lang w:val="fr-FR"/>
        </w:rPr>
        <w:t>10)</w:t>
      </w:r>
      <w:r w:rsidRPr="007D1B5A">
        <w:rPr>
          <w:lang w:val="fr-FR"/>
        </w:rPr>
        <w:tab/>
      </w:r>
      <w:r w:rsidR="003D6726" w:rsidRPr="007D1B5A">
        <w:rPr>
          <w:lang w:val="fr-FR"/>
        </w:rPr>
        <w:t>Création d</w:t>
      </w:r>
      <w:r w:rsidR="008E5B40" w:rsidRPr="007D1B5A">
        <w:rPr>
          <w:lang w:val="fr-FR"/>
        </w:rPr>
        <w:t>'</w:t>
      </w:r>
      <w:r w:rsidR="003D6726" w:rsidRPr="007D1B5A">
        <w:rPr>
          <w:lang w:val="fr-FR"/>
        </w:rPr>
        <w:t>un laboratoire d</w:t>
      </w:r>
      <w:r w:rsidR="008E5B40" w:rsidRPr="007D1B5A">
        <w:rPr>
          <w:lang w:val="fr-FR"/>
        </w:rPr>
        <w:t>'</w:t>
      </w:r>
      <w:r w:rsidR="003D6726" w:rsidRPr="007D1B5A">
        <w:rPr>
          <w:lang w:val="fr-FR"/>
        </w:rPr>
        <w:t>intelligence artificielle et de robotique en Ouzbékistan.</w:t>
      </w:r>
    </w:p>
    <w:p w14:paraId="3886E567" w14:textId="13C8FC06" w:rsidR="003D6726" w:rsidRPr="007D1B5A" w:rsidRDefault="004B780C" w:rsidP="004B780C">
      <w:pPr>
        <w:pStyle w:val="enumlev1"/>
        <w:rPr>
          <w:lang w:val="fr-FR"/>
        </w:rPr>
      </w:pPr>
      <w:r w:rsidRPr="007D1B5A">
        <w:rPr>
          <w:lang w:val="fr-FR"/>
        </w:rPr>
        <w:t>11)</w:t>
      </w:r>
      <w:r w:rsidRPr="007D1B5A">
        <w:rPr>
          <w:lang w:val="fr-FR"/>
        </w:rPr>
        <w:tab/>
      </w:r>
      <w:r w:rsidR="003D6726" w:rsidRPr="007D1B5A">
        <w:rPr>
          <w:lang w:val="fr-FR"/>
        </w:rPr>
        <w:t>Cartographie des systèmes en matière de large bande dans le sud-est de l</w:t>
      </w:r>
      <w:r w:rsidR="008E5B40" w:rsidRPr="007D1B5A">
        <w:rPr>
          <w:lang w:val="fr-FR"/>
        </w:rPr>
        <w:t>'</w:t>
      </w:r>
      <w:r w:rsidR="003D6726" w:rsidRPr="007D1B5A">
        <w:rPr>
          <w:lang w:val="fr-FR"/>
        </w:rPr>
        <w:t>Europe.</w:t>
      </w:r>
    </w:p>
    <w:p w14:paraId="2A1B65E1" w14:textId="14C39635" w:rsidR="003D6726" w:rsidRPr="007D1B5A" w:rsidRDefault="004B780C" w:rsidP="004B780C">
      <w:pPr>
        <w:pStyle w:val="enumlev1"/>
        <w:rPr>
          <w:lang w:val="fr-FR"/>
        </w:rPr>
      </w:pPr>
      <w:r w:rsidRPr="007D1B5A">
        <w:rPr>
          <w:lang w:val="fr-FR"/>
        </w:rPr>
        <w:t>12)</w:t>
      </w:r>
      <w:r w:rsidRPr="007D1B5A">
        <w:rPr>
          <w:lang w:val="fr-FR"/>
        </w:rPr>
        <w:tab/>
      </w:r>
      <w:r w:rsidR="003D6726" w:rsidRPr="007D1B5A">
        <w:rPr>
          <w:lang w:val="fr-FR"/>
        </w:rPr>
        <w:t>Protection en ligne des enfants en Asie-Pacifique.</w:t>
      </w:r>
    </w:p>
    <w:p w14:paraId="78202AD2" w14:textId="6566B004" w:rsidR="003D6726" w:rsidRPr="00231568" w:rsidRDefault="004B780C" w:rsidP="004B780C">
      <w:pPr>
        <w:pStyle w:val="enumlev1"/>
        <w:rPr>
          <w:rFonts w:cstheme="minorHAnsi"/>
          <w:szCs w:val="24"/>
          <w:lang w:val="fr-FR"/>
        </w:rPr>
      </w:pPr>
      <w:r w:rsidRPr="00231568">
        <w:rPr>
          <w:rFonts w:cstheme="minorHAnsi"/>
          <w:color w:val="000000"/>
          <w:szCs w:val="24"/>
          <w:lang w:val="fr-FR"/>
        </w:rPr>
        <w:t>13)</w:t>
      </w:r>
      <w:r w:rsidRPr="00231568">
        <w:rPr>
          <w:rFonts w:cstheme="minorHAnsi"/>
          <w:color w:val="000000"/>
          <w:szCs w:val="24"/>
          <w:lang w:val="fr-FR"/>
        </w:rPr>
        <w:tab/>
      </w:r>
      <w:r w:rsidR="003D6726" w:rsidRPr="00231568">
        <w:rPr>
          <w:rFonts w:cstheme="minorHAnsi"/>
          <w:color w:val="000000"/>
          <w:szCs w:val="24"/>
          <w:lang w:val="fr-FR"/>
        </w:rPr>
        <w:t>Renforcer l</w:t>
      </w:r>
      <w:r w:rsidR="008E5B40" w:rsidRPr="00231568">
        <w:rPr>
          <w:rFonts w:cstheme="minorHAnsi"/>
          <w:color w:val="000000"/>
          <w:szCs w:val="24"/>
          <w:lang w:val="fr-FR"/>
        </w:rPr>
        <w:t>'</w:t>
      </w:r>
      <w:r w:rsidR="003D6726" w:rsidRPr="00231568">
        <w:rPr>
          <w:rFonts w:cstheme="minorHAnsi"/>
          <w:color w:val="000000"/>
          <w:szCs w:val="24"/>
          <w:lang w:val="fr-FR"/>
        </w:rPr>
        <w:t>écosystème numérique et les compétences numériques pour autonomiser les femmes sur le plan économique dans les pays les moins avancés.</w:t>
      </w:r>
    </w:p>
    <w:p w14:paraId="0517C270" w14:textId="77777777" w:rsidR="003D6726" w:rsidRPr="007D1B5A" w:rsidRDefault="003D6726" w:rsidP="00690979">
      <w:pPr>
        <w:spacing w:before="0"/>
        <w:jc w:val="center"/>
        <w:rPr>
          <w:lang w:val="fr-FR"/>
        </w:rPr>
      </w:pPr>
      <w:r w:rsidRPr="007D1B5A">
        <w:rPr>
          <w:noProof/>
          <w:lang w:val="fr-FR" w:eastAsia="zh-CN"/>
        </w:rPr>
        <w:lastRenderedPageBreak/>
        <w:drawing>
          <wp:inline distT="0" distB="0" distL="0" distR="0" wp14:anchorId="68C54D05" wp14:editId="4DCAFDB0">
            <wp:extent cx="5219065" cy="3331210"/>
            <wp:effectExtent l="0" t="0" r="635" b="25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51B816" w14:textId="5EAE704F" w:rsidR="003D6726" w:rsidRPr="00231568" w:rsidRDefault="004B780C" w:rsidP="00231568">
      <w:pPr>
        <w:pStyle w:val="Heading1"/>
        <w:spacing w:before="600"/>
        <w:rPr>
          <w:sz w:val="24"/>
          <w:szCs w:val="24"/>
          <w:lang w:val="fr-FR"/>
        </w:rPr>
      </w:pPr>
      <w:r w:rsidRPr="00231568">
        <w:rPr>
          <w:sz w:val="24"/>
          <w:szCs w:val="24"/>
          <w:lang w:val="fr-FR"/>
        </w:rPr>
        <w:t>7</w:t>
      </w:r>
      <w:r w:rsidRPr="00231568">
        <w:rPr>
          <w:sz w:val="24"/>
          <w:szCs w:val="24"/>
          <w:lang w:val="fr-FR"/>
        </w:rPr>
        <w:tab/>
      </w:r>
      <w:r w:rsidR="003D6726" w:rsidRPr="00231568">
        <w:rPr>
          <w:sz w:val="24"/>
          <w:szCs w:val="24"/>
          <w:lang w:val="fr-FR"/>
        </w:rPr>
        <w:t>Sources de financement des projets</w:t>
      </w:r>
    </w:p>
    <w:p w14:paraId="630FEF71" w14:textId="7156B94F" w:rsidR="003D6726" w:rsidRPr="007D1B5A" w:rsidRDefault="003D6726" w:rsidP="004B780C">
      <w:pPr>
        <w:rPr>
          <w:lang w:val="fr-FR"/>
        </w:rPr>
      </w:pPr>
      <w:r w:rsidRPr="007D1B5A">
        <w:rPr>
          <w:lang w:val="fr-FR"/>
        </w:rPr>
        <w:t>Les projets de l'UIT sont financés pour l'essentiel grâce à des ressources extrabudgétaires. Ils bénéficient de sources de financement de quatre sortes: des fonds d'affectation spéciale, le Fonds pour le développement des TIC (FDTIC), des contributions volontaires et le budget ordinaire de l'UIT.</w:t>
      </w:r>
    </w:p>
    <w:p w14:paraId="7561BEE1" w14:textId="19020AF3" w:rsidR="003D6726" w:rsidRPr="007D1B5A" w:rsidRDefault="003D6726" w:rsidP="004B780C">
      <w:pPr>
        <w:rPr>
          <w:lang w:val="fr-FR"/>
        </w:rPr>
      </w:pPr>
      <w:r w:rsidRPr="007D1B5A">
        <w:rPr>
          <w:lang w:val="fr-FR"/>
        </w:rPr>
        <w:t>Comme indiqué dans le budget actuel prévu pour la mise en œuvre des projets au 30</w:t>
      </w:r>
      <w:r w:rsidR="008E5B40" w:rsidRPr="007D1B5A">
        <w:rPr>
          <w:lang w:val="fr-FR"/>
        </w:rPr>
        <w:t> </w:t>
      </w:r>
      <w:r w:rsidRPr="007D1B5A">
        <w:rPr>
          <w:lang w:val="fr-FR"/>
        </w:rPr>
        <w:t>septembre</w:t>
      </w:r>
      <w:r w:rsidR="008E5B40" w:rsidRPr="007D1B5A">
        <w:rPr>
          <w:lang w:val="fr-FR"/>
        </w:rPr>
        <w:t> </w:t>
      </w:r>
      <w:r w:rsidRPr="007D1B5A">
        <w:rPr>
          <w:lang w:val="fr-FR"/>
        </w:rPr>
        <w:t>2019, 87% des financements proviennent de fonds d'affectation spéciale, 9% du Fonds pour le développement des TIC et 4% du Plan opérationnel du BDT.</w:t>
      </w:r>
    </w:p>
    <w:p w14:paraId="41E4AF1B" w14:textId="2599FFE5" w:rsidR="003D6726" w:rsidRPr="007D1B5A" w:rsidRDefault="003D6726" w:rsidP="004B780C">
      <w:pPr>
        <w:rPr>
          <w:lang w:val="fr-FR"/>
        </w:rPr>
      </w:pPr>
      <w:r w:rsidRPr="007D1B5A">
        <w:rPr>
          <w:lang w:val="fr-FR"/>
        </w:rPr>
        <w:t>En principe, les fonds du FDTIC sont octroyés comme capital de démarrage, généralement jusqu'à</w:t>
      </w:r>
      <w:r w:rsidR="00231568">
        <w:rPr>
          <w:lang w:val="fr-FR"/>
        </w:rPr>
        <w:t> </w:t>
      </w:r>
      <w:r w:rsidRPr="007D1B5A">
        <w:rPr>
          <w:lang w:val="fr-FR"/>
        </w:rPr>
        <w:t>25% du coût total d'un projet de développement. Ce capital de démarrage est destiné à attirer des contributions extrabudgétaires en espèces pour les projets de développement via la mobilisation de ressources.</w:t>
      </w:r>
      <w:r w:rsidR="007D1B5A" w:rsidRPr="007D1B5A">
        <w:rPr>
          <w:lang w:val="fr-FR"/>
        </w:rPr>
        <w:t xml:space="preserve"> </w:t>
      </w:r>
      <w:r w:rsidRPr="007D1B5A">
        <w:rPr>
          <w:lang w:val="fr-FR"/>
        </w:rPr>
        <w:t>En ce qui concerne les critères de sélection et d</w:t>
      </w:r>
      <w:r w:rsidR="008E5B40" w:rsidRPr="007D1B5A">
        <w:rPr>
          <w:lang w:val="fr-FR"/>
        </w:rPr>
        <w:t>'</w:t>
      </w:r>
      <w:r w:rsidRPr="007D1B5A">
        <w:rPr>
          <w:lang w:val="fr-FR"/>
        </w:rPr>
        <w:t>éligibilité, le fonds FDTIC donne la priorité aux projets qui bénéficient à un pays au moins parmi les pays les moins avancés (PMA), les petits États insulaires en développement (PEID), les pays en développement sans littoral, les pays dont l'économie est en transition et ceux ayant des besoins spéciaux.</w:t>
      </w:r>
    </w:p>
    <w:p w14:paraId="7D1E71E7" w14:textId="2BA9A69D" w:rsidR="003D6726" w:rsidRDefault="003D6726" w:rsidP="004B780C">
      <w:pPr>
        <w:rPr>
          <w:lang w:val="fr-FR"/>
        </w:rPr>
      </w:pPr>
      <w:r w:rsidRPr="007D1B5A">
        <w:rPr>
          <w:lang w:val="fr-FR"/>
        </w:rPr>
        <w:t>Pour financer les projets relatifs à la mise en œuvre des initiatives régionales approuvées à la</w:t>
      </w:r>
      <w:r w:rsidR="00231568">
        <w:rPr>
          <w:lang w:val="fr-FR"/>
        </w:rPr>
        <w:t> </w:t>
      </w:r>
      <w:r w:rsidRPr="007D1B5A">
        <w:rPr>
          <w:lang w:val="fr-FR"/>
        </w:rPr>
        <w:t xml:space="preserve">CMDT-17, le Conseil de l'UIT a décidé, à sa session de 2018, d'allouer 2 millions CHF pour la période 2018-2019 à partir du plan opérationnel 2017 et d'intégrer au Plan financier pour la période 2020-2023 la somme de 3 millions CHF pour la période 2020-2021. Ces fonds ont été alloués comme capital d'amorçage pour inciter les partenaires potentiel à </w:t>
      </w:r>
      <w:r w:rsidR="00746BD0" w:rsidRPr="007D1B5A">
        <w:rPr>
          <w:lang w:val="fr-FR"/>
        </w:rPr>
        <w:t>contribuer financièrement à</w:t>
      </w:r>
      <w:r w:rsidRPr="007D1B5A">
        <w:rPr>
          <w:lang w:val="fr-FR"/>
        </w:rPr>
        <w:t xml:space="preserve"> la mise en œuvre des initiatives régionales.</w:t>
      </w:r>
    </w:p>
    <w:p w14:paraId="2669A3C9" w14:textId="77777777" w:rsidR="00231568" w:rsidRPr="007D1B5A" w:rsidRDefault="00231568" w:rsidP="004B780C">
      <w:pPr>
        <w:rPr>
          <w:lang w:val="fr-FR"/>
        </w:rPr>
      </w:pPr>
    </w:p>
    <w:p w14:paraId="33B984B2" w14:textId="77777777" w:rsidR="008E5B40" w:rsidRPr="007D1B5A" w:rsidRDefault="008E5B40" w:rsidP="004B780C">
      <w:pPr>
        <w:pStyle w:val="Heading1"/>
        <w:rPr>
          <w:lang w:val="fr-FR"/>
        </w:rPr>
      </w:pPr>
      <w:r w:rsidRPr="007D1B5A">
        <w:rPr>
          <w:lang w:val="fr-FR"/>
        </w:rPr>
        <w:br w:type="page"/>
      </w:r>
    </w:p>
    <w:p w14:paraId="1404959E" w14:textId="6F39399C" w:rsidR="003D6726" w:rsidRPr="00231568" w:rsidRDefault="004B780C" w:rsidP="004B780C">
      <w:pPr>
        <w:pStyle w:val="Heading1"/>
        <w:rPr>
          <w:sz w:val="24"/>
          <w:szCs w:val="24"/>
          <w:lang w:val="fr-FR"/>
        </w:rPr>
      </w:pPr>
      <w:r w:rsidRPr="00231568">
        <w:rPr>
          <w:sz w:val="24"/>
          <w:szCs w:val="24"/>
          <w:lang w:val="fr-FR"/>
        </w:rPr>
        <w:lastRenderedPageBreak/>
        <w:t>8</w:t>
      </w:r>
      <w:r w:rsidRPr="00231568">
        <w:rPr>
          <w:sz w:val="24"/>
          <w:szCs w:val="24"/>
          <w:lang w:val="fr-FR"/>
        </w:rPr>
        <w:tab/>
      </w:r>
      <w:r w:rsidR="003D6726" w:rsidRPr="00231568">
        <w:rPr>
          <w:sz w:val="24"/>
          <w:szCs w:val="24"/>
          <w:lang w:val="fr-FR"/>
        </w:rPr>
        <w:t>Efforts déployés en vue de renforcer la fonction d</w:t>
      </w:r>
      <w:r w:rsidR="008E5B40" w:rsidRPr="00231568">
        <w:rPr>
          <w:sz w:val="24"/>
          <w:szCs w:val="24"/>
          <w:lang w:val="fr-FR"/>
        </w:rPr>
        <w:t>'</w:t>
      </w:r>
      <w:r w:rsidR="003D6726" w:rsidRPr="00231568">
        <w:rPr>
          <w:sz w:val="24"/>
          <w:szCs w:val="24"/>
          <w:lang w:val="fr-FR"/>
        </w:rPr>
        <w:t>exécution de projets</w:t>
      </w:r>
    </w:p>
    <w:p w14:paraId="0EEC9B0E" w14:textId="1D5502EF" w:rsidR="003D6726" w:rsidRPr="007D1B5A" w:rsidRDefault="003D6726" w:rsidP="004B780C">
      <w:pPr>
        <w:rPr>
          <w:bCs/>
          <w:lang w:val="fr-FR"/>
        </w:rPr>
      </w:pPr>
      <w:r w:rsidRPr="007D1B5A">
        <w:rPr>
          <w:lang w:val="fr-FR"/>
        </w:rPr>
        <w:t>Plusieurs initiatives ont été lancées en vue de renforcer le rôle d'agent d'exécution de projets du</w:t>
      </w:r>
      <w:r w:rsidR="00231568">
        <w:rPr>
          <w:lang w:val="fr-FR"/>
        </w:rPr>
        <w:t> </w:t>
      </w:r>
      <w:r w:rsidRPr="007D1B5A">
        <w:rPr>
          <w:lang w:val="fr-FR"/>
        </w:rPr>
        <w:t>BDT, au-delà de l</w:t>
      </w:r>
      <w:r w:rsidR="008E5B40" w:rsidRPr="007D1B5A">
        <w:rPr>
          <w:lang w:val="fr-FR"/>
        </w:rPr>
        <w:t>'</w:t>
      </w:r>
      <w:r w:rsidRPr="007D1B5A">
        <w:rPr>
          <w:lang w:val="fr-FR"/>
        </w:rPr>
        <w:t>élaboration et du perfectionnement des outils, des méthodes, des lignes directrices, des gabarits, des normes et des bases de données nécessaires concernant les projets et leur gestion. Ces initiatives sont les suivantes:</w:t>
      </w:r>
    </w:p>
    <w:p w14:paraId="26051498" w14:textId="39EB9A0C" w:rsidR="003D6726" w:rsidRPr="007D1B5A" w:rsidRDefault="004B780C" w:rsidP="004B780C">
      <w:pPr>
        <w:pStyle w:val="enumlev1"/>
        <w:rPr>
          <w:lang w:val="fr-FR"/>
        </w:rPr>
      </w:pPr>
      <w:r w:rsidRPr="007D1B5A">
        <w:rPr>
          <w:lang w:val="fr-FR"/>
        </w:rPr>
        <w:t>–</w:t>
      </w:r>
      <w:r w:rsidRPr="007D1B5A">
        <w:rPr>
          <w:b/>
          <w:bCs/>
          <w:lang w:val="fr-FR"/>
        </w:rPr>
        <w:tab/>
      </w:r>
      <w:r w:rsidR="003D6726" w:rsidRPr="007D1B5A">
        <w:rPr>
          <w:b/>
          <w:bCs/>
          <w:lang w:val="fr-FR"/>
        </w:rPr>
        <w:t>Évaluations des projets après mise en œuvre</w:t>
      </w:r>
      <w:r w:rsidR="003D6726" w:rsidRPr="00231568">
        <w:rPr>
          <w:lang w:val="fr-FR"/>
        </w:rPr>
        <w:t>:</w:t>
      </w:r>
      <w:r w:rsidR="003D6726" w:rsidRPr="007D1B5A">
        <w:rPr>
          <w:b/>
          <w:bCs/>
          <w:lang w:val="fr-FR"/>
        </w:rPr>
        <w:t xml:space="preserve"> </w:t>
      </w:r>
      <w:r w:rsidR="003D6726" w:rsidRPr="007D1B5A">
        <w:rPr>
          <w:bCs/>
          <w:lang w:val="fr-FR"/>
        </w:rPr>
        <w:t>Le BDT a mené des évaluations après mise en œuvre de plusieurs projets de l'UIT.</w:t>
      </w:r>
      <w:r w:rsidR="003D6726" w:rsidRPr="007D1B5A">
        <w:rPr>
          <w:lang w:val="fr-FR"/>
        </w:rPr>
        <w:t xml:space="preserve"> Ces évaluations ont pour but d'examiner les indicateurs fondamentaux de performance permettant d</w:t>
      </w:r>
      <w:r w:rsidR="008E5B40" w:rsidRPr="007D1B5A">
        <w:rPr>
          <w:lang w:val="fr-FR"/>
        </w:rPr>
        <w:t>'</w:t>
      </w:r>
      <w:r w:rsidR="003D6726" w:rsidRPr="007D1B5A">
        <w:rPr>
          <w:lang w:val="fr-FR"/>
        </w:rPr>
        <w:t xml:space="preserve">évaluer les résultats, l'efficience et l'efficacité de la mise en œuvre des projets, ainsi que l'incidence des résultats obtenus, à partir des principes de la gestion axée sur les résultats. La conclusion de chaque examen est fondée sur une analyse objective des résultats obtenus, ainsi que sur les </w:t>
      </w:r>
      <w:r w:rsidR="00746BD0" w:rsidRPr="007D1B5A">
        <w:rPr>
          <w:lang w:val="fr-FR"/>
        </w:rPr>
        <w:t>enseignements tirés</w:t>
      </w:r>
      <w:r w:rsidR="003D6726" w:rsidRPr="007D1B5A">
        <w:rPr>
          <w:lang w:val="fr-FR"/>
        </w:rPr>
        <w:t xml:space="preserve"> pouvant contribuer à l'amélioration de la conception et de la mise en œuvre des projets futurs de l'UIT. Les résultats sont consignés dans les rapports d'évaluation, dont certains sont publiés sur le </w:t>
      </w:r>
      <w:hyperlink r:id="rId14" w:history="1">
        <w:r w:rsidR="003D6726" w:rsidRPr="007D1B5A">
          <w:rPr>
            <w:rStyle w:val="Hyperlink"/>
            <w:lang w:val="fr-FR"/>
          </w:rPr>
          <w:t>site web des projets du BDT</w:t>
        </w:r>
      </w:hyperlink>
      <w:r w:rsidR="003D6726" w:rsidRPr="001E6339">
        <w:rPr>
          <w:rStyle w:val="Hyperlink"/>
          <w:color w:val="auto"/>
          <w:u w:val="none"/>
          <w:lang w:val="fr-FR"/>
        </w:rPr>
        <w:t>.</w:t>
      </w:r>
    </w:p>
    <w:p w14:paraId="2BF3E103" w14:textId="7C089D81" w:rsidR="003D6726" w:rsidRPr="007D1B5A" w:rsidRDefault="004B780C" w:rsidP="004B780C">
      <w:pPr>
        <w:pStyle w:val="enumlev1"/>
        <w:rPr>
          <w:lang w:val="fr-FR"/>
        </w:rPr>
      </w:pPr>
      <w:r w:rsidRPr="007D1B5A">
        <w:rPr>
          <w:lang w:val="fr-FR"/>
        </w:rPr>
        <w:t>–</w:t>
      </w:r>
      <w:r w:rsidRPr="007D1B5A">
        <w:rPr>
          <w:lang w:val="fr-FR"/>
        </w:rPr>
        <w:tab/>
      </w:r>
      <w:r w:rsidR="003D6726" w:rsidRPr="007D1B5A">
        <w:rPr>
          <w:b/>
          <w:bCs/>
          <w:lang w:val="fr-FR"/>
        </w:rPr>
        <w:t xml:space="preserve">Vidéos </w:t>
      </w:r>
      <w:r w:rsidR="00746BD0" w:rsidRPr="007D1B5A">
        <w:rPr>
          <w:b/>
          <w:bCs/>
          <w:lang w:val="fr-FR"/>
        </w:rPr>
        <w:t>d</w:t>
      </w:r>
      <w:r w:rsidR="003D6726" w:rsidRPr="007D1B5A">
        <w:rPr>
          <w:b/>
          <w:bCs/>
          <w:lang w:val="fr-FR"/>
        </w:rPr>
        <w:t>es projets</w:t>
      </w:r>
      <w:r w:rsidR="003D6726" w:rsidRPr="007D1B5A">
        <w:rPr>
          <w:bCs/>
          <w:lang w:val="fr-FR"/>
        </w:rPr>
        <w:t xml:space="preserve">: </w:t>
      </w:r>
      <w:r w:rsidR="001E6339" w:rsidRPr="007D1B5A">
        <w:rPr>
          <w:bCs/>
          <w:lang w:val="fr-FR"/>
        </w:rPr>
        <w:t>L</w:t>
      </w:r>
      <w:r w:rsidR="003D6726" w:rsidRPr="007D1B5A">
        <w:rPr>
          <w:bCs/>
          <w:lang w:val="fr-FR"/>
        </w:rPr>
        <w:t xml:space="preserve">es vidéos </w:t>
      </w:r>
      <w:r w:rsidR="00746BD0" w:rsidRPr="007D1B5A">
        <w:rPr>
          <w:bCs/>
          <w:lang w:val="fr-FR"/>
        </w:rPr>
        <w:t xml:space="preserve">des </w:t>
      </w:r>
      <w:r w:rsidR="003D6726" w:rsidRPr="007D1B5A">
        <w:rPr>
          <w:bCs/>
          <w:lang w:val="fr-FR"/>
        </w:rPr>
        <w:t xml:space="preserve">projets </w:t>
      </w:r>
      <w:r w:rsidR="00746BD0" w:rsidRPr="007D1B5A">
        <w:rPr>
          <w:bCs/>
          <w:lang w:val="fr-FR"/>
        </w:rPr>
        <w:t xml:space="preserve">jouent un rôle essentiel dans la promotion des </w:t>
      </w:r>
      <w:r w:rsidR="003D6726" w:rsidRPr="007D1B5A">
        <w:rPr>
          <w:bCs/>
          <w:lang w:val="fr-FR"/>
        </w:rPr>
        <w:t>projets de l'UIT.</w:t>
      </w:r>
      <w:r w:rsidR="003D6726" w:rsidRPr="007D1B5A">
        <w:rPr>
          <w:lang w:val="fr-FR"/>
        </w:rPr>
        <w:t xml:space="preserve"> Des séquences vidéo pertinentes ainsi que les interviews des différentes parties prenantes rassemblées dans le cadre des missions d'évaluation après mise en œuvre sont utilisées pour produire de courtes vidéos, qui expliquent la pertinence des projets et présentent les résultats </w:t>
      </w:r>
      <w:r w:rsidR="00746BD0" w:rsidRPr="007D1B5A">
        <w:rPr>
          <w:lang w:val="fr-FR"/>
        </w:rPr>
        <w:t>obtenus</w:t>
      </w:r>
      <w:r w:rsidR="003D6726" w:rsidRPr="007D1B5A">
        <w:rPr>
          <w:lang w:val="fr-FR"/>
        </w:rPr>
        <w:t xml:space="preserve">. Ces vidéos sont également utilisées pour échanger des données d'expérience avec les </w:t>
      </w:r>
      <w:r w:rsidR="00746BD0" w:rsidRPr="007D1B5A">
        <w:rPr>
          <w:lang w:val="fr-FR"/>
        </w:rPr>
        <w:t>m</w:t>
      </w:r>
      <w:r w:rsidR="003D6726" w:rsidRPr="007D1B5A">
        <w:rPr>
          <w:lang w:val="fr-FR"/>
        </w:rPr>
        <w:t xml:space="preserve">embres de l'UIT. Certaines des vidéos des projets peuvent être visionnées sur le </w:t>
      </w:r>
      <w:hyperlink r:id="rId15" w:history="1">
        <w:r w:rsidR="003D6726" w:rsidRPr="007D1B5A">
          <w:rPr>
            <w:rStyle w:val="Hyperlink"/>
            <w:lang w:val="fr-FR"/>
          </w:rPr>
          <w:t>site web des projets du BDT</w:t>
        </w:r>
      </w:hyperlink>
      <w:r w:rsidR="003D6726" w:rsidRPr="001E6339">
        <w:rPr>
          <w:rStyle w:val="Hyperlink"/>
          <w:color w:val="auto"/>
          <w:u w:val="none"/>
          <w:lang w:val="fr-FR"/>
        </w:rPr>
        <w:t>.</w:t>
      </w:r>
    </w:p>
    <w:p w14:paraId="460C091B" w14:textId="2252585C" w:rsidR="003D6726" w:rsidRPr="007D1B5A" w:rsidRDefault="004B780C" w:rsidP="004B780C">
      <w:pPr>
        <w:pStyle w:val="enumlev1"/>
        <w:rPr>
          <w:lang w:val="fr-FR"/>
        </w:rPr>
      </w:pPr>
      <w:r w:rsidRPr="007D1B5A">
        <w:rPr>
          <w:lang w:val="fr-FR"/>
        </w:rPr>
        <w:t>–</w:t>
      </w:r>
      <w:r w:rsidRPr="007D1B5A">
        <w:rPr>
          <w:lang w:val="fr-FR"/>
        </w:rPr>
        <w:tab/>
      </w:r>
      <w:r w:rsidR="003D6726" w:rsidRPr="007D1B5A">
        <w:rPr>
          <w:b/>
          <w:bCs/>
          <w:lang w:val="fr-FR"/>
        </w:rPr>
        <w:t>Études de cas concernant les projets</w:t>
      </w:r>
      <w:r w:rsidR="003D6726" w:rsidRPr="007D1B5A">
        <w:rPr>
          <w:bCs/>
          <w:lang w:val="fr-FR"/>
        </w:rPr>
        <w:t xml:space="preserve">: </w:t>
      </w:r>
      <w:r w:rsidR="001E6339" w:rsidRPr="007D1B5A">
        <w:rPr>
          <w:bCs/>
          <w:lang w:val="fr-FR"/>
        </w:rPr>
        <w:t>L</w:t>
      </w:r>
      <w:r w:rsidR="003D6726" w:rsidRPr="007D1B5A">
        <w:rPr>
          <w:bCs/>
          <w:lang w:val="fr-FR"/>
        </w:rPr>
        <w:t>e BDT a élaboré une série d'études de cas à partir des projets mis en œuvre à l'UIT.</w:t>
      </w:r>
      <w:r w:rsidR="003D6726" w:rsidRPr="007D1B5A">
        <w:rPr>
          <w:lang w:val="fr-FR"/>
        </w:rPr>
        <w:t xml:space="preserve"> Les études de cas sont de brefs documents de synthèse qui présentent des informations essentielles dans un format facile à lire. Chaque étude de cas vise à donner des informations sur les différents projets de l'UIT, </w:t>
      </w:r>
      <w:r w:rsidR="00746BD0" w:rsidRPr="007D1B5A">
        <w:rPr>
          <w:lang w:val="fr-FR"/>
        </w:rPr>
        <w:t>les</w:t>
      </w:r>
      <w:r w:rsidR="003D6726" w:rsidRPr="007D1B5A">
        <w:rPr>
          <w:lang w:val="fr-FR"/>
        </w:rPr>
        <w:t xml:space="preserve"> activités mises en œuvre, </w:t>
      </w:r>
      <w:r w:rsidR="00746BD0" w:rsidRPr="007D1B5A">
        <w:rPr>
          <w:lang w:val="fr-FR"/>
        </w:rPr>
        <w:t xml:space="preserve">les </w:t>
      </w:r>
      <w:r w:rsidR="003D6726" w:rsidRPr="007D1B5A">
        <w:rPr>
          <w:lang w:val="fr-FR"/>
        </w:rPr>
        <w:t xml:space="preserve">résultats obtenus, </w:t>
      </w:r>
      <w:r w:rsidR="00746BD0" w:rsidRPr="007D1B5A">
        <w:rPr>
          <w:lang w:val="fr-FR"/>
        </w:rPr>
        <w:t xml:space="preserve">les </w:t>
      </w:r>
      <w:r w:rsidR="003D6726" w:rsidRPr="007D1B5A">
        <w:rPr>
          <w:lang w:val="fr-FR"/>
        </w:rPr>
        <w:t>enseignements tirés,</w:t>
      </w:r>
      <w:r w:rsidR="00746BD0" w:rsidRPr="007D1B5A">
        <w:rPr>
          <w:lang w:val="fr-FR"/>
        </w:rPr>
        <w:t xml:space="preserve"> les</w:t>
      </w:r>
      <w:r w:rsidR="003D6726" w:rsidRPr="007D1B5A">
        <w:rPr>
          <w:lang w:val="fr-FR"/>
        </w:rPr>
        <w:t xml:space="preserve"> conclusions et </w:t>
      </w:r>
      <w:r w:rsidR="00746BD0" w:rsidRPr="007D1B5A">
        <w:rPr>
          <w:lang w:val="fr-FR"/>
        </w:rPr>
        <w:t xml:space="preserve">les </w:t>
      </w:r>
      <w:r w:rsidR="003D6726" w:rsidRPr="007D1B5A">
        <w:rPr>
          <w:lang w:val="fr-FR"/>
        </w:rPr>
        <w:t xml:space="preserve">recommandations. Les études de cas </w:t>
      </w:r>
      <w:r w:rsidR="00746BD0" w:rsidRPr="007D1B5A">
        <w:rPr>
          <w:lang w:val="fr-FR"/>
        </w:rPr>
        <w:t>relatives</w:t>
      </w:r>
      <w:r w:rsidR="003D6726" w:rsidRPr="007D1B5A">
        <w:rPr>
          <w:lang w:val="fr-FR"/>
        </w:rPr>
        <w:t xml:space="preserve"> </w:t>
      </w:r>
      <w:r w:rsidR="00746BD0" w:rsidRPr="007D1B5A">
        <w:rPr>
          <w:lang w:val="fr-FR"/>
        </w:rPr>
        <w:t>aux</w:t>
      </w:r>
      <w:r w:rsidR="003D6726" w:rsidRPr="007D1B5A">
        <w:rPr>
          <w:lang w:val="fr-FR"/>
        </w:rPr>
        <w:t xml:space="preserve"> projets de l'UIT </w:t>
      </w:r>
      <w:r w:rsidR="00746BD0" w:rsidRPr="007D1B5A">
        <w:rPr>
          <w:lang w:val="fr-FR"/>
        </w:rPr>
        <w:t>offrent aux</w:t>
      </w:r>
      <w:r w:rsidR="003D6726" w:rsidRPr="007D1B5A">
        <w:rPr>
          <w:lang w:val="fr-FR"/>
        </w:rPr>
        <w:t xml:space="preserve"> parties prenantes et </w:t>
      </w:r>
      <w:r w:rsidR="00746BD0" w:rsidRPr="007D1B5A">
        <w:rPr>
          <w:lang w:val="fr-FR"/>
        </w:rPr>
        <w:t>aux</w:t>
      </w:r>
      <w:r w:rsidR="003D6726" w:rsidRPr="007D1B5A">
        <w:rPr>
          <w:lang w:val="fr-FR"/>
        </w:rPr>
        <w:t xml:space="preserve"> membres de l'UIT, </w:t>
      </w:r>
      <w:r w:rsidR="00746BD0" w:rsidRPr="007D1B5A">
        <w:rPr>
          <w:lang w:val="fr-FR"/>
        </w:rPr>
        <w:t xml:space="preserve">une ressource </w:t>
      </w:r>
      <w:r w:rsidR="003D6726" w:rsidRPr="007D1B5A">
        <w:rPr>
          <w:lang w:val="fr-FR"/>
        </w:rPr>
        <w:t>leur permet</w:t>
      </w:r>
      <w:r w:rsidR="00746BD0" w:rsidRPr="007D1B5A">
        <w:rPr>
          <w:lang w:val="fr-FR"/>
        </w:rPr>
        <w:t>tant</w:t>
      </w:r>
      <w:r w:rsidR="003D6726" w:rsidRPr="007D1B5A">
        <w:rPr>
          <w:lang w:val="fr-FR"/>
        </w:rPr>
        <w:t xml:space="preserve"> d'échanger des données d'expérience et leur donne</w:t>
      </w:r>
      <w:r w:rsidR="00746BD0" w:rsidRPr="007D1B5A">
        <w:rPr>
          <w:lang w:val="fr-FR"/>
        </w:rPr>
        <w:t>nt</w:t>
      </w:r>
      <w:r w:rsidR="003D6726" w:rsidRPr="007D1B5A">
        <w:rPr>
          <w:lang w:val="fr-FR"/>
        </w:rPr>
        <w:t xml:space="preserve"> la possibilité de reproduire les bonnes pratiques. Certaines de ces études de cas sont publiées sur le </w:t>
      </w:r>
      <w:hyperlink r:id="rId16" w:history="1">
        <w:r w:rsidR="003D6726" w:rsidRPr="007D1B5A">
          <w:rPr>
            <w:rStyle w:val="Hyperlink"/>
            <w:lang w:val="fr-FR"/>
          </w:rPr>
          <w:t>site web des projets du BDT</w:t>
        </w:r>
      </w:hyperlink>
      <w:r w:rsidR="003D6726" w:rsidRPr="001E6339">
        <w:rPr>
          <w:rStyle w:val="Hyperlink"/>
          <w:color w:val="auto"/>
          <w:u w:val="none"/>
          <w:lang w:val="fr-FR"/>
        </w:rPr>
        <w:t>.</w:t>
      </w:r>
    </w:p>
    <w:p w14:paraId="56C6228E" w14:textId="2523C5BF" w:rsidR="003D6726" w:rsidRPr="007D1B5A" w:rsidRDefault="004B780C" w:rsidP="004B780C">
      <w:pPr>
        <w:pStyle w:val="enumlev1"/>
        <w:rPr>
          <w:lang w:val="fr-FR"/>
        </w:rPr>
      </w:pPr>
      <w:r w:rsidRPr="007D1B5A">
        <w:rPr>
          <w:lang w:val="fr-FR"/>
        </w:rPr>
        <w:t>–</w:t>
      </w:r>
      <w:r w:rsidRPr="007D1B5A">
        <w:rPr>
          <w:lang w:val="fr-FR"/>
        </w:rPr>
        <w:tab/>
      </w:r>
      <w:r w:rsidR="003D6726" w:rsidRPr="007D1B5A">
        <w:rPr>
          <w:b/>
          <w:bCs/>
          <w:lang w:val="fr-FR"/>
        </w:rPr>
        <w:t>Renforcement des capacités du personnel</w:t>
      </w:r>
      <w:r w:rsidR="003D6726" w:rsidRPr="007D1B5A">
        <w:rPr>
          <w:bCs/>
          <w:lang w:val="fr-FR"/>
        </w:rPr>
        <w:t>: Il est évident que le renforcement des capacités en interne doit s'opérer sur une base continue car les pratiques en matière de gestion de projets ne cessent d'évoluer.</w:t>
      </w:r>
      <w:r w:rsidR="003D6726" w:rsidRPr="007D1B5A">
        <w:rPr>
          <w:lang w:val="fr-FR"/>
        </w:rPr>
        <w:t xml:space="preserve"> C'est la raison pour laquelle des formations ont été organisées pour les fonctionnaires du BDT, afin de mettre à niveau leurs compétences. Les fonctionnaires au siège, dans les bureaux régionaux et dans les bureaux de zone étaient concernés. Le BDT a organisé une formation à la gestion de projets du 18 au</w:t>
      </w:r>
      <w:r w:rsidR="00231568">
        <w:rPr>
          <w:lang w:val="fr-FR"/>
        </w:rPr>
        <w:t> </w:t>
      </w:r>
      <w:r w:rsidR="003D6726" w:rsidRPr="007D1B5A">
        <w:rPr>
          <w:lang w:val="fr-FR"/>
        </w:rPr>
        <w:t>22</w:t>
      </w:r>
      <w:r w:rsidR="008E5B40" w:rsidRPr="007D1B5A">
        <w:rPr>
          <w:lang w:val="fr-FR"/>
        </w:rPr>
        <w:t> </w:t>
      </w:r>
      <w:r w:rsidR="003D6726" w:rsidRPr="007D1B5A">
        <w:rPr>
          <w:lang w:val="fr-FR"/>
        </w:rPr>
        <w:t>novembre 2019. Trente-neuf fonctionnaires ont réussi l</w:t>
      </w:r>
      <w:r w:rsidR="008E5B40" w:rsidRPr="007D1B5A">
        <w:rPr>
          <w:lang w:val="fr-FR"/>
        </w:rPr>
        <w:t>'</w:t>
      </w:r>
      <w:r w:rsidR="003D6726" w:rsidRPr="007D1B5A">
        <w:rPr>
          <w:lang w:val="fr-FR"/>
        </w:rPr>
        <w:t>examen et bénéficient désormais d</w:t>
      </w:r>
      <w:r w:rsidR="008E5B40" w:rsidRPr="007D1B5A">
        <w:rPr>
          <w:lang w:val="fr-FR"/>
        </w:rPr>
        <w:t>'</w:t>
      </w:r>
      <w:r w:rsidR="003D6726" w:rsidRPr="007D1B5A">
        <w:rPr>
          <w:lang w:val="fr-FR"/>
        </w:rPr>
        <w:t xml:space="preserve">une certification de niveau 1 en tant que professionnels de la gestion de projets au service du développement (PMD Pro 1). Il est prévu de dispenser une formation et de délivrer une certification dans le domaine de la gestion de projets à davantage de fonctionnaires </w:t>
      </w:r>
      <w:r w:rsidR="00746BD0" w:rsidRPr="007D1B5A">
        <w:rPr>
          <w:lang w:val="fr-FR"/>
        </w:rPr>
        <w:t xml:space="preserve">de l'UIT </w:t>
      </w:r>
      <w:r w:rsidR="003D6726" w:rsidRPr="007D1B5A">
        <w:rPr>
          <w:lang w:val="fr-FR"/>
        </w:rPr>
        <w:t>en 2020.</w:t>
      </w:r>
    </w:p>
    <w:p w14:paraId="452C6893" w14:textId="77777777" w:rsidR="008E5B40" w:rsidRPr="007D1B5A" w:rsidRDefault="008E5B40" w:rsidP="004B780C">
      <w:pPr>
        <w:pStyle w:val="enumlev1"/>
        <w:rPr>
          <w:lang w:val="fr-FR"/>
        </w:rPr>
      </w:pPr>
      <w:r w:rsidRPr="007D1B5A">
        <w:rPr>
          <w:lang w:val="fr-FR"/>
        </w:rPr>
        <w:br w:type="page"/>
      </w:r>
    </w:p>
    <w:p w14:paraId="0A2881F3" w14:textId="1F469320" w:rsidR="003D6726" w:rsidRPr="007D1B5A" w:rsidRDefault="004B780C" w:rsidP="004B780C">
      <w:pPr>
        <w:pStyle w:val="enumlev1"/>
        <w:rPr>
          <w:lang w:val="fr-FR"/>
        </w:rPr>
      </w:pPr>
      <w:r w:rsidRPr="007D1B5A">
        <w:rPr>
          <w:lang w:val="fr-FR"/>
        </w:rPr>
        <w:lastRenderedPageBreak/>
        <w:t>–</w:t>
      </w:r>
      <w:r w:rsidRPr="007D1B5A">
        <w:rPr>
          <w:lang w:val="fr-FR"/>
        </w:rPr>
        <w:tab/>
      </w:r>
      <w:r w:rsidR="003D6726" w:rsidRPr="007D1B5A">
        <w:rPr>
          <w:b/>
          <w:bCs/>
          <w:lang w:val="fr-FR"/>
        </w:rPr>
        <w:t xml:space="preserve">Lignes directrices du BDT </w:t>
      </w:r>
      <w:r w:rsidR="00746BD0" w:rsidRPr="007D1B5A">
        <w:rPr>
          <w:b/>
          <w:bCs/>
          <w:lang w:val="fr-FR"/>
        </w:rPr>
        <w:t>pour la</w:t>
      </w:r>
      <w:r w:rsidR="003D6726" w:rsidRPr="007D1B5A">
        <w:rPr>
          <w:b/>
          <w:bCs/>
          <w:lang w:val="fr-FR"/>
        </w:rPr>
        <w:t xml:space="preserve"> gestion de projets</w:t>
      </w:r>
      <w:r w:rsidR="003D6726" w:rsidRPr="007D1B5A">
        <w:rPr>
          <w:bCs/>
          <w:lang w:val="fr-FR"/>
        </w:rPr>
        <w:t>: Une mise à jour est déjà bien avancée en vue, principalement, d</w:t>
      </w:r>
      <w:r w:rsidR="008E5B40" w:rsidRPr="007D1B5A">
        <w:rPr>
          <w:bCs/>
          <w:lang w:val="fr-FR"/>
        </w:rPr>
        <w:t>'</w:t>
      </w:r>
      <w:r w:rsidR="003D6726" w:rsidRPr="007D1B5A">
        <w:rPr>
          <w:bCs/>
          <w:lang w:val="fr-FR"/>
        </w:rPr>
        <w:t>améliorer les lignes directrices, les gabarits et les outils et d</w:t>
      </w:r>
      <w:r w:rsidR="008E5B40" w:rsidRPr="007D1B5A">
        <w:rPr>
          <w:bCs/>
          <w:lang w:val="fr-FR"/>
        </w:rPr>
        <w:t>'</w:t>
      </w:r>
      <w:r w:rsidR="003D6726" w:rsidRPr="007D1B5A">
        <w:rPr>
          <w:bCs/>
          <w:lang w:val="fr-FR"/>
        </w:rPr>
        <w:t>intégrer des éléments de la certification PMD Pro.</w:t>
      </w:r>
      <w:r w:rsidR="003D6726" w:rsidRPr="007D1B5A">
        <w:rPr>
          <w:lang w:val="fr-FR"/>
        </w:rPr>
        <w:t xml:space="preserve"> Un atelier de lancement a été organisé du 27 au 29 janvier 2020. À cette occasion, une équipe de fonctionnaires de l</w:t>
      </w:r>
      <w:r w:rsidR="008E5B40" w:rsidRPr="007D1B5A">
        <w:rPr>
          <w:lang w:val="fr-FR"/>
        </w:rPr>
        <w:t>'</w:t>
      </w:r>
      <w:r w:rsidR="003D6726" w:rsidRPr="007D1B5A">
        <w:rPr>
          <w:lang w:val="fr-FR"/>
        </w:rPr>
        <w:t>UIT bénéficiant d</w:t>
      </w:r>
      <w:r w:rsidR="008E5B40" w:rsidRPr="007D1B5A">
        <w:rPr>
          <w:lang w:val="fr-FR"/>
        </w:rPr>
        <w:t>'</w:t>
      </w:r>
      <w:r w:rsidR="003D6726" w:rsidRPr="007D1B5A">
        <w:rPr>
          <w:lang w:val="fr-FR"/>
        </w:rPr>
        <w:t>une certification PMD Pro a passé en revue les Lignes directrices du BDT pour la gestion de projet</w:t>
      </w:r>
      <w:r w:rsidR="00746BD0" w:rsidRPr="007D1B5A">
        <w:rPr>
          <w:lang w:val="fr-FR"/>
        </w:rPr>
        <w:t>s</w:t>
      </w:r>
      <w:r w:rsidR="003D6726" w:rsidRPr="007D1B5A">
        <w:rPr>
          <w:lang w:val="fr-FR"/>
        </w:rPr>
        <w:t>.</w:t>
      </w:r>
    </w:p>
    <w:p w14:paraId="4F0DEB04" w14:textId="77777777" w:rsidR="003D6726" w:rsidRPr="007D1B5A" w:rsidRDefault="003D6726" w:rsidP="004B780C">
      <w:pPr>
        <w:pStyle w:val="Headingb"/>
        <w:rPr>
          <w:lang w:val="fr-FR"/>
        </w:rPr>
      </w:pPr>
      <w:r w:rsidRPr="007D1B5A">
        <w:rPr>
          <w:lang w:val="fr-FR"/>
        </w:rPr>
        <w:t>Conclusions</w:t>
      </w:r>
    </w:p>
    <w:p w14:paraId="63FDEAF1" w14:textId="00B32A28" w:rsidR="003D6726" w:rsidRPr="007D1B5A" w:rsidRDefault="004B780C" w:rsidP="004B780C">
      <w:pPr>
        <w:pStyle w:val="enumlev1"/>
        <w:rPr>
          <w:lang w:val="fr-FR"/>
        </w:rPr>
      </w:pPr>
      <w:r w:rsidRPr="007D1B5A">
        <w:rPr>
          <w:lang w:val="fr-FR"/>
        </w:rPr>
        <w:t>1)</w:t>
      </w:r>
      <w:r w:rsidRPr="007D1B5A">
        <w:rPr>
          <w:lang w:val="fr-FR"/>
        </w:rPr>
        <w:tab/>
      </w:r>
      <w:r w:rsidR="003D6726" w:rsidRPr="007D1B5A">
        <w:rPr>
          <w:lang w:val="fr-FR"/>
        </w:rPr>
        <w:t>Le BDT jouit d</w:t>
      </w:r>
      <w:r w:rsidR="008E5B40" w:rsidRPr="007D1B5A">
        <w:rPr>
          <w:lang w:val="fr-FR"/>
        </w:rPr>
        <w:t>'</w:t>
      </w:r>
      <w:r w:rsidR="003D6726" w:rsidRPr="007D1B5A">
        <w:rPr>
          <w:lang w:val="fr-FR"/>
        </w:rPr>
        <w:t>une longue expérience en matière d</w:t>
      </w:r>
      <w:r w:rsidR="008E5B40" w:rsidRPr="007D1B5A">
        <w:rPr>
          <w:lang w:val="fr-FR"/>
        </w:rPr>
        <w:t>'</w:t>
      </w:r>
      <w:r w:rsidR="003D6726" w:rsidRPr="007D1B5A">
        <w:rPr>
          <w:lang w:val="fr-FR"/>
        </w:rPr>
        <w:t>exécution de projets au profit de pays en développement.</w:t>
      </w:r>
      <w:r w:rsidR="007D1B5A" w:rsidRPr="007D1B5A">
        <w:rPr>
          <w:lang w:val="fr-FR"/>
        </w:rPr>
        <w:t xml:space="preserve"> </w:t>
      </w:r>
      <w:r w:rsidR="003D6726" w:rsidRPr="007D1B5A">
        <w:rPr>
          <w:lang w:val="fr-FR"/>
        </w:rPr>
        <w:t>Toutefois, dans la mesure où le secteur des TIC connaît des mutations, le BDT évolue lui-aussi et s</w:t>
      </w:r>
      <w:r w:rsidR="008E5B40" w:rsidRPr="007D1B5A">
        <w:rPr>
          <w:lang w:val="fr-FR"/>
        </w:rPr>
        <w:t>'</w:t>
      </w:r>
      <w:r w:rsidR="003D6726" w:rsidRPr="007D1B5A">
        <w:rPr>
          <w:lang w:val="fr-FR"/>
        </w:rPr>
        <w:t>engage à adapter ses processus, à exploiter de nouvelles possibilités et à résoudre efficacement les problèmes qui se posent en ce qui concerne l</w:t>
      </w:r>
      <w:r w:rsidR="008E5B40" w:rsidRPr="007D1B5A">
        <w:rPr>
          <w:lang w:val="fr-FR"/>
        </w:rPr>
        <w:t>'</w:t>
      </w:r>
      <w:r w:rsidR="003D6726" w:rsidRPr="007D1B5A">
        <w:rPr>
          <w:lang w:val="fr-FR"/>
        </w:rPr>
        <w:t>élaboration, la mise en œuvre, le suivi et l</w:t>
      </w:r>
      <w:r w:rsidR="008E5B40" w:rsidRPr="007D1B5A">
        <w:rPr>
          <w:lang w:val="fr-FR"/>
        </w:rPr>
        <w:t>'</w:t>
      </w:r>
      <w:r w:rsidR="003D6726" w:rsidRPr="007D1B5A">
        <w:rPr>
          <w:lang w:val="fr-FR"/>
        </w:rPr>
        <w:t>évaluation de projets.</w:t>
      </w:r>
    </w:p>
    <w:p w14:paraId="1F2B0E5F" w14:textId="5601135B" w:rsidR="003D6726" w:rsidRPr="007D1B5A" w:rsidRDefault="004B780C" w:rsidP="004B780C">
      <w:pPr>
        <w:pStyle w:val="enumlev1"/>
        <w:rPr>
          <w:lang w:val="fr-FR"/>
        </w:rPr>
      </w:pPr>
      <w:r w:rsidRPr="007D1B5A">
        <w:rPr>
          <w:lang w:val="fr-FR"/>
        </w:rPr>
        <w:t>2)</w:t>
      </w:r>
      <w:r w:rsidRPr="007D1B5A">
        <w:rPr>
          <w:lang w:val="fr-FR"/>
        </w:rPr>
        <w:tab/>
      </w:r>
      <w:r w:rsidR="003D6726" w:rsidRPr="007D1B5A">
        <w:rPr>
          <w:lang w:val="fr-FR"/>
        </w:rPr>
        <w:t>La mise en œuvre des projets a prouvé son efficacité pour répondre aux besoins particuliers des États Membres de l'UIT et constitue un excellent mécanisme pour apporter une contribution utile.</w:t>
      </w:r>
    </w:p>
    <w:p w14:paraId="51D31ECA" w14:textId="26FE3379" w:rsidR="003D6726" w:rsidRPr="007D1B5A" w:rsidRDefault="004B780C" w:rsidP="004B780C">
      <w:pPr>
        <w:pStyle w:val="enumlev1"/>
        <w:rPr>
          <w:lang w:val="fr-FR"/>
        </w:rPr>
      </w:pPr>
      <w:r w:rsidRPr="007D1B5A">
        <w:rPr>
          <w:lang w:val="fr-FR"/>
        </w:rPr>
        <w:t>3)</w:t>
      </w:r>
      <w:r w:rsidRPr="007D1B5A">
        <w:rPr>
          <w:lang w:val="fr-FR"/>
        </w:rPr>
        <w:tab/>
      </w:r>
      <w:r w:rsidR="003D6726" w:rsidRPr="007D1B5A">
        <w:rPr>
          <w:lang w:val="fr-FR"/>
        </w:rPr>
        <w:t>Les projets du BDT constituent également un outil efficace pour mettre en œuvre les initiatives régionales, définies par les États Membres comme étant des domaines prioritaires sur lesquels le BDT doit mettre l</w:t>
      </w:r>
      <w:r w:rsidR="008E5B40" w:rsidRPr="007D1B5A">
        <w:rPr>
          <w:lang w:val="fr-FR"/>
        </w:rPr>
        <w:t>'</w:t>
      </w:r>
      <w:r w:rsidR="003D6726" w:rsidRPr="007D1B5A">
        <w:rPr>
          <w:lang w:val="fr-FR"/>
        </w:rPr>
        <w:t>accent en général, afin de bénéficier à plusieurs pays dans une région.</w:t>
      </w:r>
    </w:p>
    <w:p w14:paraId="2B5101C7" w14:textId="077EDA04" w:rsidR="003D6726" w:rsidRPr="007D1B5A" w:rsidRDefault="004B780C" w:rsidP="004B780C">
      <w:pPr>
        <w:pStyle w:val="enumlev1"/>
        <w:rPr>
          <w:lang w:val="fr-FR"/>
        </w:rPr>
      </w:pPr>
      <w:r w:rsidRPr="007D1B5A">
        <w:rPr>
          <w:lang w:val="fr-FR"/>
        </w:rPr>
        <w:t>4)</w:t>
      </w:r>
      <w:r w:rsidRPr="007D1B5A">
        <w:rPr>
          <w:lang w:val="fr-FR"/>
        </w:rPr>
        <w:tab/>
      </w:r>
      <w:r w:rsidR="003D6726" w:rsidRPr="007D1B5A">
        <w:rPr>
          <w:lang w:val="fr-FR"/>
        </w:rPr>
        <w:t>Le BDT ne cesse d'innover pour donner suite aux perspectives ouvertes par les projets et répondre aux difficultés rencontrées, en améliorant sa fonction d'exécution de projets, les processus et les rapports, dans un souci de responsabilité, d'efficacité et d'efficience au service de la mise en œuvre des projets.</w:t>
      </w:r>
    </w:p>
    <w:p w14:paraId="5DBDF354" w14:textId="647B82D3" w:rsidR="003D6726" w:rsidRPr="007D1B5A" w:rsidRDefault="004B780C" w:rsidP="004B780C">
      <w:pPr>
        <w:pStyle w:val="enumlev1"/>
        <w:rPr>
          <w:lang w:val="fr-FR"/>
        </w:rPr>
      </w:pPr>
      <w:r w:rsidRPr="007D1B5A">
        <w:rPr>
          <w:lang w:val="fr-FR"/>
        </w:rPr>
        <w:t>5)</w:t>
      </w:r>
      <w:r w:rsidRPr="007D1B5A">
        <w:rPr>
          <w:lang w:val="fr-FR"/>
        </w:rPr>
        <w:tab/>
      </w:r>
      <w:r w:rsidR="003D6726" w:rsidRPr="007D1B5A">
        <w:rPr>
          <w:lang w:val="fr-FR"/>
        </w:rPr>
        <w:t>Les évaluations des projets après mise en œuvre revêtent toujours autant d'importance, en particulier pour ce qui est d</w:t>
      </w:r>
      <w:r w:rsidR="008E5B40" w:rsidRPr="007D1B5A">
        <w:rPr>
          <w:lang w:val="fr-FR"/>
        </w:rPr>
        <w:t>'</w:t>
      </w:r>
      <w:r w:rsidR="003D6726" w:rsidRPr="007D1B5A">
        <w:rPr>
          <w:lang w:val="fr-FR"/>
        </w:rPr>
        <w:t>améliorer les échanges d'informations, de données d'expérience et d'enseignements tirés entre les États Membres.</w:t>
      </w:r>
    </w:p>
    <w:p w14:paraId="5B2CB4A8" w14:textId="63EC7F81" w:rsidR="003D6726" w:rsidRPr="007D1B5A" w:rsidRDefault="004B780C" w:rsidP="004B780C">
      <w:pPr>
        <w:pStyle w:val="enumlev1"/>
        <w:rPr>
          <w:lang w:val="fr-FR"/>
        </w:rPr>
      </w:pPr>
      <w:r w:rsidRPr="007D1B5A">
        <w:rPr>
          <w:lang w:val="fr-FR"/>
        </w:rPr>
        <w:t>6)</w:t>
      </w:r>
      <w:r w:rsidRPr="007D1B5A">
        <w:rPr>
          <w:lang w:val="fr-FR"/>
        </w:rPr>
        <w:tab/>
      </w:r>
      <w:r w:rsidR="003D6726" w:rsidRPr="007D1B5A">
        <w:rPr>
          <w:lang w:val="fr-FR"/>
        </w:rPr>
        <w:t>Compte tenu du nombre global de projets actuellement en cours et des ressources limitées, le BDT continuera d'examiner les projets sur une base sélective, la priorité étant donnée aux projets complexes de grande envergure.</w:t>
      </w:r>
    </w:p>
    <w:p w14:paraId="5D1B7462" w14:textId="7DBA8E06" w:rsidR="003D6726" w:rsidRPr="007D1B5A" w:rsidRDefault="004B780C" w:rsidP="004B780C">
      <w:pPr>
        <w:pStyle w:val="enumlev1"/>
        <w:rPr>
          <w:lang w:val="fr-FR"/>
        </w:rPr>
      </w:pPr>
      <w:r w:rsidRPr="007D1B5A">
        <w:rPr>
          <w:lang w:val="fr-FR"/>
        </w:rPr>
        <w:t>7)</w:t>
      </w:r>
      <w:r w:rsidRPr="007D1B5A">
        <w:rPr>
          <w:lang w:val="fr-FR"/>
        </w:rPr>
        <w:tab/>
      </w:r>
      <w:r w:rsidR="003D6726" w:rsidRPr="007D1B5A">
        <w:rPr>
          <w:lang w:val="fr-FR"/>
        </w:rPr>
        <w:t>Plusieurs difficultés, qui découlaient de facteurs comme les conflits politiques et civils, la situation économique de certains des pays bénéficiaires, ou encore l'interruption de l'exécution de projets due à des catastrophes naturelles, continuent d'entraîner des retards dans la mise en œuvre des projets.</w:t>
      </w:r>
    </w:p>
    <w:p w14:paraId="014CCE43" w14:textId="15CD3E69" w:rsidR="003D6726" w:rsidRDefault="003D6726" w:rsidP="005922A5">
      <w:pPr>
        <w:rPr>
          <w:lang w:val="fr-FR"/>
        </w:rPr>
      </w:pPr>
      <w:r w:rsidRPr="007D1B5A">
        <w:rPr>
          <w:lang w:val="fr-FR"/>
        </w:rPr>
        <w:t xml:space="preserve">Pour en savoir plus sur les projets mis en œuvre par l'UIT, veuillez consulter: </w:t>
      </w:r>
      <w:r w:rsidRPr="007D1B5A">
        <w:rPr>
          <w:lang w:val="fr-FR"/>
        </w:rPr>
        <w:br/>
      </w:r>
      <w:hyperlink r:id="rId17" w:history="1">
        <w:r w:rsidRPr="007D1B5A">
          <w:rPr>
            <w:rStyle w:val="Hyperlink"/>
            <w:lang w:val="fr-FR"/>
          </w:rPr>
          <w:t>http://www.itu.int/en/ITU-D/Projects/</w:t>
        </w:r>
      </w:hyperlink>
      <w:r w:rsidR="00231568" w:rsidRPr="007D1B5A">
        <w:rPr>
          <w:lang w:val="fr-FR"/>
        </w:rPr>
        <w:t>.</w:t>
      </w:r>
    </w:p>
    <w:p w14:paraId="358B88E6" w14:textId="77777777" w:rsidR="00231568" w:rsidRPr="00231568" w:rsidRDefault="00231568" w:rsidP="00231568">
      <w:pPr>
        <w:rPr>
          <w:rStyle w:val="Hyperlink"/>
          <w:color w:val="auto"/>
          <w:u w:val="none"/>
          <w:lang w:val="fr-FR"/>
        </w:rPr>
      </w:pPr>
    </w:p>
    <w:p w14:paraId="59BE65CA" w14:textId="77777777" w:rsidR="005922A5" w:rsidRPr="007D1B5A" w:rsidRDefault="005922A5">
      <w:pPr>
        <w:jc w:val="center"/>
        <w:rPr>
          <w:lang w:val="fr-FR"/>
        </w:rPr>
      </w:pPr>
      <w:r w:rsidRPr="007D1B5A">
        <w:rPr>
          <w:lang w:val="fr-FR"/>
        </w:rPr>
        <w:t>______________</w:t>
      </w:r>
    </w:p>
    <w:sectPr w:rsidR="005922A5" w:rsidRPr="007D1B5A" w:rsidSect="00473791">
      <w:headerReference w:type="default" r:id="rId18"/>
      <w:footerReference w:type="default" r:id="rId19"/>
      <w:footerReference w:type="first" r:id="rId20"/>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7DFA" w14:textId="77777777" w:rsidR="003D6726" w:rsidRDefault="003D6726">
      <w:r>
        <w:separator/>
      </w:r>
    </w:p>
  </w:endnote>
  <w:endnote w:type="continuationSeparator" w:id="0">
    <w:p w14:paraId="1850B769" w14:textId="77777777" w:rsidR="003D6726" w:rsidRDefault="003D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7A325" w14:textId="0843E5CD" w:rsidR="00721657" w:rsidRPr="00A525CC" w:rsidRDefault="00721657" w:rsidP="00A525CC">
    <w:pPr>
      <w:pStyle w:val="Footer"/>
      <w:rPr>
        <w:caps w:val="0"/>
        <w:sz w:val="18"/>
        <w:szCs w:val="18"/>
        <w:lang w:val="en-US"/>
      </w:rPr>
    </w:pPr>
    <w:r w:rsidRPr="003125C3">
      <w:rPr>
        <w:caps w:val="0"/>
        <w:sz w:val="18"/>
        <w:szCs w:val="18"/>
      </w:rPr>
      <w:fldChar w:fldCharType="begin"/>
    </w:r>
    <w:r w:rsidRPr="00A525CC">
      <w:rPr>
        <w:caps w:val="0"/>
        <w:sz w:val="18"/>
        <w:szCs w:val="18"/>
        <w:lang w:val="en-US"/>
      </w:rPr>
      <w:instrText xml:space="preserve"> FILENAME \p \* MERGEFORMAT </w:instrText>
    </w:r>
    <w:r w:rsidRPr="003125C3">
      <w:rPr>
        <w:caps w:val="0"/>
        <w:sz w:val="18"/>
        <w:szCs w:val="18"/>
      </w:rPr>
      <w:fldChar w:fldCharType="separate"/>
    </w:r>
    <w:r w:rsidR="0054797E">
      <w:rPr>
        <w:caps w:val="0"/>
        <w:sz w:val="18"/>
        <w:szCs w:val="18"/>
        <w:lang w:val="en-US"/>
      </w:rPr>
      <w:t>P:\FRA\ITU-D\CONF-D\TDAG20\000\010F.docx</w:t>
    </w:r>
    <w:r w:rsidRPr="003125C3">
      <w:rPr>
        <w:caps w:val="0"/>
        <w:sz w:val="18"/>
        <w:szCs w:val="18"/>
        <w:lang w:val="en-US"/>
      </w:rPr>
      <w:fldChar w:fldCharType="end"/>
    </w:r>
    <w:r w:rsidR="0054797E">
      <w:rPr>
        <w:caps w:val="0"/>
        <w:sz w:val="18"/>
        <w:szCs w:val="18"/>
        <w:lang w:val="en-US"/>
      </w:rPr>
      <w:t xml:space="preserve"> (465657)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526"/>
      <w:gridCol w:w="2410"/>
      <w:gridCol w:w="5987"/>
    </w:tblGrid>
    <w:tr w:rsidR="00A454E1" w:rsidRPr="004D495C" w14:paraId="2E062EB2" w14:textId="77777777" w:rsidTr="004E3CF5">
      <w:tc>
        <w:tcPr>
          <w:tcW w:w="1526" w:type="dxa"/>
          <w:tcBorders>
            <w:top w:val="single" w:sz="4" w:space="0" w:color="000000"/>
          </w:tcBorders>
          <w:shd w:val="clear" w:color="auto" w:fill="auto"/>
        </w:tcPr>
        <w:p w14:paraId="0F42B188" w14:textId="77777777" w:rsidR="00A454E1" w:rsidRPr="004D495C" w:rsidRDefault="00A454E1" w:rsidP="00A454E1">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0CA163AF" w14:textId="77777777" w:rsidR="00A454E1" w:rsidRPr="004D495C" w:rsidRDefault="00A454E1" w:rsidP="00A454E1">
          <w:pPr>
            <w:pStyle w:val="FirstFooter"/>
            <w:tabs>
              <w:tab w:val="left" w:pos="2302"/>
            </w:tabs>
            <w:ind w:left="2302" w:hanging="2302"/>
            <w:rPr>
              <w:sz w:val="18"/>
              <w:szCs w:val="18"/>
              <w:lang w:val="en-US"/>
            </w:rPr>
          </w:pPr>
          <w:r>
            <w:rPr>
              <w:sz w:val="18"/>
              <w:szCs w:val="18"/>
              <w:lang w:val="en-US"/>
            </w:rPr>
            <w:t>Nom</w:t>
          </w:r>
          <w:r w:rsidRPr="004D495C">
            <w:rPr>
              <w:sz w:val="18"/>
              <w:szCs w:val="18"/>
              <w:lang w:val="en-US"/>
            </w:rPr>
            <w:t>/Organi</w:t>
          </w:r>
          <w:r>
            <w:rPr>
              <w:sz w:val="18"/>
              <w:szCs w:val="18"/>
              <w:lang w:val="en-US"/>
            </w:rPr>
            <w:t>s</w:t>
          </w:r>
          <w:r w:rsidRPr="004D495C">
            <w:rPr>
              <w:sz w:val="18"/>
              <w:szCs w:val="18"/>
              <w:lang w:val="en-US"/>
            </w:rPr>
            <w:t>ation/Entit</w:t>
          </w:r>
          <w:r>
            <w:rPr>
              <w:sz w:val="18"/>
              <w:szCs w:val="18"/>
              <w:lang w:val="en-US"/>
            </w:rPr>
            <w:t>é</w:t>
          </w:r>
          <w:r w:rsidRPr="004D495C">
            <w:rPr>
              <w:sz w:val="18"/>
              <w:szCs w:val="18"/>
              <w:lang w:val="en-US"/>
            </w:rPr>
            <w:t>:</w:t>
          </w:r>
        </w:p>
      </w:tc>
      <w:tc>
        <w:tcPr>
          <w:tcW w:w="5987" w:type="dxa"/>
          <w:tcBorders>
            <w:top w:val="single" w:sz="4" w:space="0" w:color="000000"/>
          </w:tcBorders>
          <w:shd w:val="clear" w:color="auto" w:fill="auto"/>
        </w:tcPr>
        <w:p w14:paraId="2679E9AC" w14:textId="053D8F39" w:rsidR="00A454E1" w:rsidRPr="003D6726" w:rsidRDefault="003D6726" w:rsidP="003D6726">
          <w:pPr>
            <w:pStyle w:val="FirstFooter"/>
            <w:tabs>
              <w:tab w:val="left" w:pos="912"/>
            </w:tabs>
            <w:rPr>
              <w:sz w:val="18"/>
              <w:szCs w:val="18"/>
              <w:lang w:val="fr-CH"/>
            </w:rPr>
          </w:pPr>
          <w:r w:rsidRPr="003D6726">
            <w:rPr>
              <w:sz w:val="18"/>
              <w:szCs w:val="18"/>
              <w:lang w:val="fr-CH"/>
            </w:rPr>
            <w:t>M. Cosmas Zavazava, Chef a.i. du Département des partenariats pour le développement numérique, Bureau de développement des télécommunications</w:t>
          </w:r>
        </w:p>
      </w:tc>
    </w:tr>
    <w:tr w:rsidR="003D6726" w:rsidRPr="004D495C" w14:paraId="03793B07" w14:textId="77777777" w:rsidTr="004E3CF5">
      <w:tc>
        <w:tcPr>
          <w:tcW w:w="1526" w:type="dxa"/>
          <w:shd w:val="clear" w:color="auto" w:fill="auto"/>
        </w:tcPr>
        <w:p w14:paraId="3E3A39E2" w14:textId="77777777" w:rsidR="003D6726" w:rsidRPr="003D6726" w:rsidRDefault="003D6726" w:rsidP="003D6726">
          <w:pPr>
            <w:pStyle w:val="FirstFooter"/>
            <w:tabs>
              <w:tab w:val="left" w:pos="1559"/>
              <w:tab w:val="left" w:pos="3828"/>
            </w:tabs>
            <w:rPr>
              <w:sz w:val="20"/>
              <w:lang w:val="fr-CH"/>
            </w:rPr>
          </w:pPr>
        </w:p>
      </w:tc>
      <w:tc>
        <w:tcPr>
          <w:tcW w:w="2410" w:type="dxa"/>
          <w:shd w:val="clear" w:color="auto" w:fill="auto"/>
        </w:tcPr>
        <w:p w14:paraId="5ACB570F" w14:textId="77777777" w:rsidR="003D6726" w:rsidRPr="004D495C" w:rsidRDefault="003D6726" w:rsidP="003D6726">
          <w:pPr>
            <w:pStyle w:val="FirstFooter"/>
            <w:tabs>
              <w:tab w:val="left" w:pos="2302"/>
            </w:tabs>
            <w:rPr>
              <w:sz w:val="18"/>
              <w:szCs w:val="18"/>
              <w:lang w:val="en-US"/>
            </w:rPr>
          </w:pPr>
          <w:r>
            <w:rPr>
              <w:sz w:val="18"/>
              <w:szCs w:val="18"/>
              <w:lang w:val="en-US"/>
            </w:rPr>
            <w:t>Numéro de téléphone</w:t>
          </w:r>
          <w:r w:rsidRPr="004D495C">
            <w:rPr>
              <w:sz w:val="18"/>
              <w:szCs w:val="18"/>
              <w:lang w:val="en-US"/>
            </w:rPr>
            <w:t>:</w:t>
          </w:r>
        </w:p>
      </w:tc>
      <w:tc>
        <w:tcPr>
          <w:tcW w:w="5987" w:type="dxa"/>
          <w:shd w:val="clear" w:color="auto" w:fill="auto"/>
        </w:tcPr>
        <w:p w14:paraId="45D7D0FC" w14:textId="2F804F17" w:rsidR="003D6726" w:rsidRPr="00E5653A" w:rsidRDefault="003D6726" w:rsidP="003D6726">
          <w:pPr>
            <w:pStyle w:val="FirstFooter"/>
            <w:tabs>
              <w:tab w:val="left" w:pos="2302"/>
            </w:tabs>
            <w:rPr>
              <w:sz w:val="18"/>
              <w:szCs w:val="18"/>
              <w:lang w:val="en-US"/>
            </w:rPr>
          </w:pPr>
          <w:bookmarkStart w:id="8" w:name="PhoneNo"/>
          <w:bookmarkEnd w:id="8"/>
          <w:r w:rsidRPr="006F6E5C">
            <w:rPr>
              <w:sz w:val="18"/>
              <w:szCs w:val="18"/>
              <w:lang w:val="en-US"/>
            </w:rPr>
            <w:t>+41 22 7305447</w:t>
          </w:r>
        </w:p>
      </w:tc>
    </w:tr>
    <w:tr w:rsidR="003D6726" w:rsidRPr="004D495C" w14:paraId="13BE4EAF" w14:textId="77777777" w:rsidTr="004E3CF5">
      <w:tc>
        <w:tcPr>
          <w:tcW w:w="1526" w:type="dxa"/>
          <w:shd w:val="clear" w:color="auto" w:fill="auto"/>
        </w:tcPr>
        <w:p w14:paraId="5CDA2919" w14:textId="77777777" w:rsidR="003D6726" w:rsidRPr="004D495C" w:rsidRDefault="003D6726" w:rsidP="003D6726">
          <w:pPr>
            <w:pStyle w:val="FirstFooter"/>
            <w:tabs>
              <w:tab w:val="left" w:pos="1559"/>
              <w:tab w:val="left" w:pos="3828"/>
            </w:tabs>
            <w:rPr>
              <w:sz w:val="20"/>
              <w:lang w:val="en-US"/>
            </w:rPr>
          </w:pPr>
        </w:p>
      </w:tc>
      <w:tc>
        <w:tcPr>
          <w:tcW w:w="2410" w:type="dxa"/>
          <w:shd w:val="clear" w:color="auto" w:fill="auto"/>
        </w:tcPr>
        <w:p w14:paraId="38678EB5" w14:textId="77777777" w:rsidR="003D6726" w:rsidRPr="004D495C" w:rsidRDefault="003D6726" w:rsidP="003D6726">
          <w:pPr>
            <w:pStyle w:val="FirstFooter"/>
            <w:tabs>
              <w:tab w:val="left" w:pos="2302"/>
            </w:tabs>
            <w:rPr>
              <w:sz w:val="18"/>
              <w:szCs w:val="18"/>
              <w:lang w:val="en-US"/>
            </w:rPr>
          </w:pPr>
          <w:r>
            <w:rPr>
              <w:sz w:val="18"/>
              <w:szCs w:val="18"/>
              <w:lang w:val="en-US"/>
            </w:rPr>
            <w:t>Courriel:</w:t>
          </w:r>
        </w:p>
      </w:tc>
      <w:bookmarkStart w:id="9" w:name="Email"/>
      <w:bookmarkEnd w:id="9"/>
      <w:tc>
        <w:tcPr>
          <w:tcW w:w="5987" w:type="dxa"/>
          <w:shd w:val="clear" w:color="auto" w:fill="auto"/>
        </w:tcPr>
        <w:p w14:paraId="77DA7B6F" w14:textId="52111611" w:rsidR="003D6726" w:rsidRPr="00E5653A" w:rsidRDefault="003D6726" w:rsidP="003D6726">
          <w:pPr>
            <w:pStyle w:val="FirstFooter"/>
            <w:tabs>
              <w:tab w:val="left" w:pos="2302"/>
            </w:tabs>
            <w:rPr>
              <w:sz w:val="18"/>
              <w:szCs w:val="18"/>
              <w:lang w:val="en-US"/>
            </w:rPr>
          </w:pPr>
          <w:r>
            <w:fldChar w:fldCharType="begin"/>
          </w:r>
          <w:r>
            <w:instrText xml:space="preserve"> HYPERLINK "mailto:cosmas.zavazava@itu.int" </w:instrText>
          </w:r>
          <w:r>
            <w:fldChar w:fldCharType="separate"/>
          </w:r>
          <w:r w:rsidRPr="00E359D8">
            <w:rPr>
              <w:rStyle w:val="Hyperlink"/>
              <w:sz w:val="18"/>
              <w:szCs w:val="18"/>
              <w:lang w:val="en-US"/>
            </w:rPr>
            <w:t>cosmas.zavazava@itu.int</w:t>
          </w:r>
          <w:r>
            <w:rPr>
              <w:rStyle w:val="Hyperlink"/>
              <w:sz w:val="18"/>
              <w:szCs w:val="18"/>
              <w:lang w:val="en-US"/>
            </w:rPr>
            <w:fldChar w:fldCharType="end"/>
          </w:r>
        </w:p>
      </w:tc>
    </w:tr>
  </w:tbl>
  <w:p w14:paraId="70BB62E5" w14:textId="4DC04599" w:rsidR="00721657" w:rsidRPr="008802F9" w:rsidRDefault="008207A6" w:rsidP="005E072D">
    <w:pPr>
      <w:pStyle w:val="Footer"/>
      <w:spacing w:before="120"/>
      <w:jc w:val="center"/>
    </w:pPr>
    <w:hyperlink r:id="rId1" w:history="1">
      <w:r w:rsidR="00851060">
        <w:rPr>
          <w:rStyle w:val="Hyperlink"/>
          <w:caps w:val="0"/>
          <w:noProof w:val="0"/>
          <w:sz w:val="18"/>
          <w:szCs w:val="18"/>
          <w:lang w:val="fr-CH"/>
        </w:rPr>
        <w:t>GCDT</w:t>
      </w:r>
    </w:hyperlink>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9EF9C" w14:textId="77777777" w:rsidR="003D6726" w:rsidRDefault="003D6726">
      <w:r>
        <w:t>____________________</w:t>
      </w:r>
    </w:p>
  </w:footnote>
  <w:footnote w:type="continuationSeparator" w:id="0">
    <w:p w14:paraId="36DA90BC" w14:textId="77777777" w:rsidR="003D6726" w:rsidRDefault="003D6726">
      <w:r>
        <w:continuationSeparator/>
      </w:r>
    </w:p>
  </w:footnote>
  <w:footnote w:id="1">
    <w:p w14:paraId="5782DB2E" w14:textId="28E05B94" w:rsidR="003D6726" w:rsidRPr="00725576" w:rsidRDefault="003D6726" w:rsidP="003D6726">
      <w:pPr>
        <w:pStyle w:val="FootnoteText"/>
        <w:tabs>
          <w:tab w:val="clear" w:pos="255"/>
          <w:tab w:val="left" w:pos="0"/>
        </w:tabs>
        <w:spacing w:before="0"/>
        <w:rPr>
          <w:sz w:val="20"/>
          <w:lang w:val="fr-FR"/>
        </w:rPr>
      </w:pPr>
      <w:r w:rsidRPr="543CEC34">
        <w:rPr>
          <w:rStyle w:val="FootnoteReference"/>
          <w:sz w:val="20"/>
        </w:rPr>
        <w:footnoteRef/>
      </w:r>
      <w:r w:rsidR="00231568">
        <w:rPr>
          <w:sz w:val="20"/>
          <w:lang w:val="fr-FR"/>
        </w:rPr>
        <w:tab/>
      </w:r>
      <w:r w:rsidR="005E072D">
        <w:rPr>
          <w:sz w:val="20"/>
          <w:lang w:val="fr-FR"/>
        </w:rPr>
        <w:t>Aux fins du présent rapport</w:t>
      </w:r>
      <w:r w:rsidRPr="00E359D8">
        <w:rPr>
          <w:sz w:val="20"/>
          <w:lang w:val="fr-FR"/>
        </w:rPr>
        <w:t>, toutes les données financières sont converties en CHF suivant le taux de change comptable de l'UIT valable en décembre 2019.</w:t>
      </w:r>
      <w:r w:rsidRPr="00E81EBF">
        <w:rPr>
          <w:sz w:val="20"/>
          <w:lang w:val="fr-FR"/>
        </w:rPr>
        <w:t xml:space="preserve"> </w:t>
      </w:r>
      <w:r w:rsidR="005E072D">
        <w:rPr>
          <w:sz w:val="20"/>
          <w:lang w:val="fr-FR"/>
        </w:rPr>
        <w:t>En outre, ce chiffre pourrait légèrement changer à</w:t>
      </w:r>
      <w:r w:rsidRPr="00E359D8">
        <w:rPr>
          <w:sz w:val="20"/>
          <w:lang w:val="fr-FR"/>
        </w:rPr>
        <w:t xml:space="preserve"> la clôture des comptes.</w:t>
      </w:r>
    </w:p>
  </w:footnote>
  <w:footnote w:id="2">
    <w:p w14:paraId="521F5471" w14:textId="1B4A1D01" w:rsidR="003D6726" w:rsidRPr="00725576" w:rsidRDefault="003D6726" w:rsidP="003D6726">
      <w:pPr>
        <w:pStyle w:val="FootnoteText"/>
        <w:spacing w:before="0"/>
        <w:rPr>
          <w:sz w:val="20"/>
          <w:lang w:val="fr-FR"/>
        </w:rPr>
      </w:pPr>
      <w:r w:rsidRPr="543CEC34">
        <w:rPr>
          <w:rStyle w:val="FootnoteReference"/>
          <w:sz w:val="20"/>
        </w:rPr>
        <w:footnoteRef/>
      </w:r>
      <w:r w:rsidR="00231568">
        <w:rPr>
          <w:sz w:val="20"/>
          <w:lang w:val="fr-FR"/>
        </w:rPr>
        <w:tab/>
      </w:r>
      <w:r w:rsidRPr="00E359D8">
        <w:rPr>
          <w:sz w:val="20"/>
          <w:lang w:val="fr-FR"/>
        </w:rPr>
        <w:t>Veuillez noter que certains projets concernent plusieurs domaines d'activité.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2DA3E" w14:textId="6DA015F0" w:rsidR="00A525CC" w:rsidRPr="006D271A" w:rsidRDefault="00A525CC" w:rsidP="00D87E6C">
    <w:pPr>
      <w:tabs>
        <w:tab w:val="clear" w:pos="794"/>
        <w:tab w:val="clear" w:pos="1191"/>
        <w:tab w:val="clear" w:pos="1588"/>
        <w:tab w:val="clear" w:pos="1985"/>
        <w:tab w:val="center" w:pos="4820"/>
        <w:tab w:val="right" w:pos="9639"/>
      </w:tabs>
      <w:ind w:right="1"/>
      <w:rPr>
        <w:smallCaps/>
        <w:spacing w:val="24"/>
        <w:sz w:val="22"/>
        <w:szCs w:val="22"/>
        <w:lang w:val="de-CH"/>
      </w:rPr>
    </w:pPr>
    <w:r w:rsidRPr="00972BCD">
      <w:rPr>
        <w:sz w:val="22"/>
        <w:szCs w:val="22"/>
      </w:rPr>
      <w:tab/>
    </w:r>
    <w:r w:rsidRPr="00A54E72">
      <w:rPr>
        <w:sz w:val="22"/>
        <w:szCs w:val="22"/>
        <w:lang w:val="de-CH"/>
      </w:rPr>
      <w:t>TDAG</w:t>
    </w:r>
    <w:r w:rsidR="008F20EB">
      <w:rPr>
        <w:sz w:val="22"/>
        <w:szCs w:val="22"/>
        <w:lang w:val="de-CH"/>
      </w:rPr>
      <w:t>-</w:t>
    </w:r>
    <w:r w:rsidR="002577C1">
      <w:rPr>
        <w:sz w:val="22"/>
        <w:szCs w:val="22"/>
        <w:lang w:val="de-CH"/>
      </w:rPr>
      <w:t>20</w:t>
    </w:r>
    <w:r w:rsidRPr="00A54E72">
      <w:rPr>
        <w:sz w:val="22"/>
        <w:szCs w:val="22"/>
        <w:lang w:val="de-CH"/>
      </w:rPr>
      <w:t>/</w:t>
    </w:r>
    <w:r w:rsidR="004B780C">
      <w:rPr>
        <w:sz w:val="22"/>
        <w:szCs w:val="22"/>
        <w:lang w:val="de-CH"/>
      </w:rPr>
      <w:t>10</w:t>
    </w:r>
    <w:r w:rsidRPr="006D271A">
      <w:rPr>
        <w:sz w:val="22"/>
        <w:szCs w:val="22"/>
        <w:lang w:val="de-CH"/>
      </w:rPr>
      <w:t>-</w:t>
    </w:r>
    <w:r w:rsidR="00B533E9">
      <w:rPr>
        <w:sz w:val="22"/>
        <w:szCs w:val="22"/>
        <w:lang w:val="de-CH"/>
      </w:rPr>
      <w:t>F</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78113B">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B4A54"/>
    <w:multiLevelType w:val="hybridMultilevel"/>
    <w:tmpl w:val="5D82CC84"/>
    <w:lvl w:ilvl="0" w:tplc="93940CB2">
      <w:start w:val="1"/>
      <w:numFmt w:val="decimal"/>
      <w:lvlText w:val="%1."/>
      <w:lvlJc w:val="left"/>
      <w:pPr>
        <w:ind w:left="360" w:hanging="360"/>
      </w:pPr>
      <w:rPr>
        <w:rFonts w:hint="default"/>
      </w:rPr>
    </w:lvl>
    <w:lvl w:ilvl="1" w:tplc="89AE4354">
      <w:start w:val="1"/>
      <w:numFmt w:val="bullet"/>
      <w:lvlText w:val="o"/>
      <w:lvlJc w:val="left"/>
      <w:pPr>
        <w:ind w:left="1080" w:hanging="360"/>
      </w:pPr>
      <w:rPr>
        <w:rFonts w:ascii="Courier New" w:hAnsi="Courier New" w:cs="Courier New" w:hint="default"/>
      </w:rPr>
    </w:lvl>
    <w:lvl w:ilvl="2" w:tplc="48240B10" w:tentative="1">
      <w:start w:val="1"/>
      <w:numFmt w:val="bullet"/>
      <w:lvlText w:val=""/>
      <w:lvlJc w:val="left"/>
      <w:pPr>
        <w:ind w:left="1800" w:hanging="360"/>
      </w:pPr>
      <w:rPr>
        <w:rFonts w:ascii="Wingdings" w:hAnsi="Wingdings" w:hint="default"/>
      </w:rPr>
    </w:lvl>
    <w:lvl w:ilvl="3" w:tplc="B532F2F8" w:tentative="1">
      <w:start w:val="1"/>
      <w:numFmt w:val="bullet"/>
      <w:lvlText w:val=""/>
      <w:lvlJc w:val="left"/>
      <w:pPr>
        <w:ind w:left="2520" w:hanging="360"/>
      </w:pPr>
      <w:rPr>
        <w:rFonts w:ascii="Symbol" w:hAnsi="Symbol" w:hint="default"/>
      </w:rPr>
    </w:lvl>
    <w:lvl w:ilvl="4" w:tplc="C9AC8656" w:tentative="1">
      <w:start w:val="1"/>
      <w:numFmt w:val="bullet"/>
      <w:lvlText w:val="o"/>
      <w:lvlJc w:val="left"/>
      <w:pPr>
        <w:ind w:left="3240" w:hanging="360"/>
      </w:pPr>
      <w:rPr>
        <w:rFonts w:ascii="Courier New" w:hAnsi="Courier New" w:cs="Courier New" w:hint="default"/>
      </w:rPr>
    </w:lvl>
    <w:lvl w:ilvl="5" w:tplc="3580F406" w:tentative="1">
      <w:start w:val="1"/>
      <w:numFmt w:val="bullet"/>
      <w:lvlText w:val=""/>
      <w:lvlJc w:val="left"/>
      <w:pPr>
        <w:ind w:left="3960" w:hanging="360"/>
      </w:pPr>
      <w:rPr>
        <w:rFonts w:ascii="Wingdings" w:hAnsi="Wingdings" w:hint="default"/>
      </w:rPr>
    </w:lvl>
    <w:lvl w:ilvl="6" w:tplc="5516877C" w:tentative="1">
      <w:start w:val="1"/>
      <w:numFmt w:val="bullet"/>
      <w:lvlText w:val=""/>
      <w:lvlJc w:val="left"/>
      <w:pPr>
        <w:ind w:left="4680" w:hanging="360"/>
      </w:pPr>
      <w:rPr>
        <w:rFonts w:ascii="Symbol" w:hAnsi="Symbol" w:hint="default"/>
      </w:rPr>
    </w:lvl>
    <w:lvl w:ilvl="7" w:tplc="2D544954" w:tentative="1">
      <w:start w:val="1"/>
      <w:numFmt w:val="bullet"/>
      <w:lvlText w:val="o"/>
      <w:lvlJc w:val="left"/>
      <w:pPr>
        <w:ind w:left="5400" w:hanging="360"/>
      </w:pPr>
      <w:rPr>
        <w:rFonts w:ascii="Courier New" w:hAnsi="Courier New" w:cs="Courier New" w:hint="default"/>
      </w:rPr>
    </w:lvl>
    <w:lvl w:ilvl="8" w:tplc="7C0445C2" w:tentative="1">
      <w:start w:val="1"/>
      <w:numFmt w:val="bullet"/>
      <w:lvlText w:val=""/>
      <w:lvlJc w:val="left"/>
      <w:pPr>
        <w:ind w:left="6120" w:hanging="360"/>
      </w:pPr>
      <w:rPr>
        <w:rFonts w:ascii="Wingdings" w:hAnsi="Wingdings" w:hint="default"/>
      </w:rPr>
    </w:lvl>
  </w:abstractNum>
  <w:abstractNum w:abstractNumId="1" w15:restartNumberingAfterBreak="0">
    <w:nsid w:val="427658A7"/>
    <w:multiLevelType w:val="hybridMultilevel"/>
    <w:tmpl w:val="A652166A"/>
    <w:lvl w:ilvl="0" w:tplc="B85C43E4">
      <w:start w:val="1"/>
      <w:numFmt w:val="bullet"/>
      <w:lvlText w:val=""/>
      <w:lvlJc w:val="left"/>
      <w:pPr>
        <w:ind w:left="360" w:hanging="360"/>
      </w:pPr>
      <w:rPr>
        <w:rFonts w:ascii="Symbol" w:hAnsi="Symbol" w:hint="default"/>
      </w:rPr>
    </w:lvl>
    <w:lvl w:ilvl="1" w:tplc="FC3876A8" w:tentative="1">
      <w:start w:val="1"/>
      <w:numFmt w:val="bullet"/>
      <w:lvlText w:val="o"/>
      <w:lvlJc w:val="left"/>
      <w:pPr>
        <w:ind w:left="1080" w:hanging="360"/>
      </w:pPr>
      <w:rPr>
        <w:rFonts w:ascii="Courier New" w:hAnsi="Courier New" w:cs="Courier New" w:hint="default"/>
      </w:rPr>
    </w:lvl>
    <w:lvl w:ilvl="2" w:tplc="7B500952" w:tentative="1">
      <w:start w:val="1"/>
      <w:numFmt w:val="bullet"/>
      <w:lvlText w:val=""/>
      <w:lvlJc w:val="left"/>
      <w:pPr>
        <w:ind w:left="1800" w:hanging="360"/>
      </w:pPr>
      <w:rPr>
        <w:rFonts w:ascii="Wingdings" w:hAnsi="Wingdings" w:hint="default"/>
      </w:rPr>
    </w:lvl>
    <w:lvl w:ilvl="3" w:tplc="FE06E99A" w:tentative="1">
      <w:start w:val="1"/>
      <w:numFmt w:val="bullet"/>
      <w:lvlText w:val=""/>
      <w:lvlJc w:val="left"/>
      <w:pPr>
        <w:ind w:left="2520" w:hanging="360"/>
      </w:pPr>
      <w:rPr>
        <w:rFonts w:ascii="Symbol" w:hAnsi="Symbol" w:hint="default"/>
      </w:rPr>
    </w:lvl>
    <w:lvl w:ilvl="4" w:tplc="6AF0E7BE" w:tentative="1">
      <w:start w:val="1"/>
      <w:numFmt w:val="bullet"/>
      <w:lvlText w:val="o"/>
      <w:lvlJc w:val="left"/>
      <w:pPr>
        <w:ind w:left="3240" w:hanging="360"/>
      </w:pPr>
      <w:rPr>
        <w:rFonts w:ascii="Courier New" w:hAnsi="Courier New" w:cs="Courier New" w:hint="default"/>
      </w:rPr>
    </w:lvl>
    <w:lvl w:ilvl="5" w:tplc="0DEC7090" w:tentative="1">
      <w:start w:val="1"/>
      <w:numFmt w:val="bullet"/>
      <w:lvlText w:val=""/>
      <w:lvlJc w:val="left"/>
      <w:pPr>
        <w:ind w:left="3960" w:hanging="360"/>
      </w:pPr>
      <w:rPr>
        <w:rFonts w:ascii="Wingdings" w:hAnsi="Wingdings" w:hint="default"/>
      </w:rPr>
    </w:lvl>
    <w:lvl w:ilvl="6" w:tplc="D8EECC66" w:tentative="1">
      <w:start w:val="1"/>
      <w:numFmt w:val="bullet"/>
      <w:lvlText w:val=""/>
      <w:lvlJc w:val="left"/>
      <w:pPr>
        <w:ind w:left="4680" w:hanging="360"/>
      </w:pPr>
      <w:rPr>
        <w:rFonts w:ascii="Symbol" w:hAnsi="Symbol" w:hint="default"/>
      </w:rPr>
    </w:lvl>
    <w:lvl w:ilvl="7" w:tplc="115AFC4E" w:tentative="1">
      <w:start w:val="1"/>
      <w:numFmt w:val="bullet"/>
      <w:lvlText w:val="o"/>
      <w:lvlJc w:val="left"/>
      <w:pPr>
        <w:ind w:left="5400" w:hanging="360"/>
      </w:pPr>
      <w:rPr>
        <w:rFonts w:ascii="Courier New" w:hAnsi="Courier New" w:cs="Courier New" w:hint="default"/>
      </w:rPr>
    </w:lvl>
    <w:lvl w:ilvl="8" w:tplc="F01E585A" w:tentative="1">
      <w:start w:val="1"/>
      <w:numFmt w:val="bullet"/>
      <w:lvlText w:val=""/>
      <w:lvlJc w:val="left"/>
      <w:pPr>
        <w:ind w:left="6120" w:hanging="360"/>
      </w:pPr>
      <w:rPr>
        <w:rFonts w:ascii="Wingdings" w:hAnsi="Wingdings" w:hint="default"/>
      </w:rPr>
    </w:lvl>
  </w:abstractNum>
  <w:abstractNum w:abstractNumId="2" w15:restartNumberingAfterBreak="0">
    <w:nsid w:val="4BF530A4"/>
    <w:multiLevelType w:val="hybridMultilevel"/>
    <w:tmpl w:val="56EE58CC"/>
    <w:lvl w:ilvl="0" w:tplc="7DAE0E68">
      <w:start w:val="1"/>
      <w:numFmt w:val="decimal"/>
      <w:lvlText w:val="%1."/>
      <w:lvlJc w:val="left"/>
      <w:pPr>
        <w:ind w:left="1636" w:hanging="360"/>
      </w:pPr>
      <w:rPr>
        <w:rFonts w:hint="default"/>
      </w:rPr>
    </w:lvl>
    <w:lvl w:ilvl="1" w:tplc="FEBAACB0" w:tentative="1">
      <w:start w:val="1"/>
      <w:numFmt w:val="lowerLetter"/>
      <w:lvlText w:val="%2."/>
      <w:lvlJc w:val="left"/>
      <w:pPr>
        <w:ind w:left="1440" w:hanging="360"/>
      </w:pPr>
    </w:lvl>
    <w:lvl w:ilvl="2" w:tplc="91D05E9A" w:tentative="1">
      <w:start w:val="1"/>
      <w:numFmt w:val="lowerRoman"/>
      <w:lvlText w:val="%3."/>
      <w:lvlJc w:val="right"/>
      <w:pPr>
        <w:ind w:left="2160" w:hanging="180"/>
      </w:pPr>
    </w:lvl>
    <w:lvl w:ilvl="3" w:tplc="C92047EC" w:tentative="1">
      <w:start w:val="1"/>
      <w:numFmt w:val="decimal"/>
      <w:lvlText w:val="%4."/>
      <w:lvlJc w:val="left"/>
      <w:pPr>
        <w:ind w:left="2880" w:hanging="360"/>
      </w:pPr>
    </w:lvl>
    <w:lvl w:ilvl="4" w:tplc="B308EF92" w:tentative="1">
      <w:start w:val="1"/>
      <w:numFmt w:val="lowerLetter"/>
      <w:lvlText w:val="%5."/>
      <w:lvlJc w:val="left"/>
      <w:pPr>
        <w:ind w:left="3600" w:hanging="360"/>
      </w:pPr>
    </w:lvl>
    <w:lvl w:ilvl="5" w:tplc="45900BBA" w:tentative="1">
      <w:start w:val="1"/>
      <w:numFmt w:val="lowerRoman"/>
      <w:lvlText w:val="%6."/>
      <w:lvlJc w:val="right"/>
      <w:pPr>
        <w:ind w:left="4320" w:hanging="180"/>
      </w:pPr>
    </w:lvl>
    <w:lvl w:ilvl="6" w:tplc="226A98DC" w:tentative="1">
      <w:start w:val="1"/>
      <w:numFmt w:val="decimal"/>
      <w:lvlText w:val="%7."/>
      <w:lvlJc w:val="left"/>
      <w:pPr>
        <w:ind w:left="5040" w:hanging="360"/>
      </w:pPr>
    </w:lvl>
    <w:lvl w:ilvl="7" w:tplc="BA88622C" w:tentative="1">
      <w:start w:val="1"/>
      <w:numFmt w:val="lowerLetter"/>
      <w:lvlText w:val="%8."/>
      <w:lvlJc w:val="left"/>
      <w:pPr>
        <w:ind w:left="5760" w:hanging="360"/>
      </w:pPr>
    </w:lvl>
    <w:lvl w:ilvl="8" w:tplc="D152AE36" w:tentative="1">
      <w:start w:val="1"/>
      <w:numFmt w:val="lowerRoman"/>
      <w:lvlText w:val="%9."/>
      <w:lvlJc w:val="right"/>
      <w:pPr>
        <w:ind w:left="6480" w:hanging="180"/>
      </w:p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6DA5170E"/>
    <w:multiLevelType w:val="hybridMultilevel"/>
    <w:tmpl w:val="8912EAFA"/>
    <w:lvl w:ilvl="0" w:tplc="C5B8BE76">
      <w:start w:val="1"/>
      <w:numFmt w:val="decimal"/>
      <w:lvlText w:val="%1."/>
      <w:lvlJc w:val="left"/>
      <w:pPr>
        <w:ind w:left="720" w:hanging="360"/>
      </w:pPr>
      <w:rPr>
        <w:rFonts w:hint="default"/>
      </w:rPr>
    </w:lvl>
    <w:lvl w:ilvl="1" w:tplc="6E4E162C" w:tentative="1">
      <w:start w:val="1"/>
      <w:numFmt w:val="lowerLetter"/>
      <w:lvlText w:val="%2."/>
      <w:lvlJc w:val="left"/>
      <w:pPr>
        <w:ind w:left="1440" w:hanging="360"/>
      </w:pPr>
    </w:lvl>
    <w:lvl w:ilvl="2" w:tplc="17683EE6" w:tentative="1">
      <w:start w:val="1"/>
      <w:numFmt w:val="lowerRoman"/>
      <w:lvlText w:val="%3."/>
      <w:lvlJc w:val="right"/>
      <w:pPr>
        <w:ind w:left="2160" w:hanging="180"/>
      </w:pPr>
    </w:lvl>
    <w:lvl w:ilvl="3" w:tplc="76EA5638" w:tentative="1">
      <w:start w:val="1"/>
      <w:numFmt w:val="decimal"/>
      <w:lvlText w:val="%4."/>
      <w:lvlJc w:val="left"/>
      <w:pPr>
        <w:ind w:left="2880" w:hanging="360"/>
      </w:pPr>
    </w:lvl>
    <w:lvl w:ilvl="4" w:tplc="3B5CAA72" w:tentative="1">
      <w:start w:val="1"/>
      <w:numFmt w:val="lowerLetter"/>
      <w:lvlText w:val="%5."/>
      <w:lvlJc w:val="left"/>
      <w:pPr>
        <w:ind w:left="3600" w:hanging="360"/>
      </w:pPr>
    </w:lvl>
    <w:lvl w:ilvl="5" w:tplc="5F12C368" w:tentative="1">
      <w:start w:val="1"/>
      <w:numFmt w:val="lowerRoman"/>
      <w:lvlText w:val="%6."/>
      <w:lvlJc w:val="right"/>
      <w:pPr>
        <w:ind w:left="4320" w:hanging="180"/>
      </w:pPr>
    </w:lvl>
    <w:lvl w:ilvl="6" w:tplc="0A526B1E" w:tentative="1">
      <w:start w:val="1"/>
      <w:numFmt w:val="decimal"/>
      <w:lvlText w:val="%7."/>
      <w:lvlJc w:val="left"/>
      <w:pPr>
        <w:ind w:left="5040" w:hanging="360"/>
      </w:pPr>
    </w:lvl>
    <w:lvl w:ilvl="7" w:tplc="DA00DDC8" w:tentative="1">
      <w:start w:val="1"/>
      <w:numFmt w:val="lowerLetter"/>
      <w:lvlText w:val="%8."/>
      <w:lvlJc w:val="left"/>
      <w:pPr>
        <w:ind w:left="5760" w:hanging="360"/>
      </w:pPr>
    </w:lvl>
    <w:lvl w:ilvl="8" w:tplc="BE86B8A0"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26"/>
    <w:rsid w:val="00002716"/>
    <w:rsid w:val="00005791"/>
    <w:rsid w:val="00010827"/>
    <w:rsid w:val="00015089"/>
    <w:rsid w:val="0002520B"/>
    <w:rsid w:val="00037A9E"/>
    <w:rsid w:val="00037F91"/>
    <w:rsid w:val="000539F1"/>
    <w:rsid w:val="000545B1"/>
    <w:rsid w:val="00054747"/>
    <w:rsid w:val="00055A2A"/>
    <w:rsid w:val="000615C1"/>
    <w:rsid w:val="00061675"/>
    <w:rsid w:val="000743AA"/>
    <w:rsid w:val="0009225C"/>
    <w:rsid w:val="000A17C4"/>
    <w:rsid w:val="000A36A4"/>
    <w:rsid w:val="000B1EE1"/>
    <w:rsid w:val="000B2352"/>
    <w:rsid w:val="000C61E9"/>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17916"/>
    <w:rsid w:val="00133061"/>
    <w:rsid w:val="00141699"/>
    <w:rsid w:val="00147000"/>
    <w:rsid w:val="00156BF6"/>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E6339"/>
    <w:rsid w:val="001F23E6"/>
    <w:rsid w:val="001F4238"/>
    <w:rsid w:val="00200A38"/>
    <w:rsid w:val="00200A46"/>
    <w:rsid w:val="00211B6F"/>
    <w:rsid w:val="0021438F"/>
    <w:rsid w:val="00217CC3"/>
    <w:rsid w:val="00220AB6"/>
    <w:rsid w:val="0022120F"/>
    <w:rsid w:val="0022754A"/>
    <w:rsid w:val="00231568"/>
    <w:rsid w:val="00236560"/>
    <w:rsid w:val="0023662E"/>
    <w:rsid w:val="00245D0F"/>
    <w:rsid w:val="002548C3"/>
    <w:rsid w:val="002577C1"/>
    <w:rsid w:val="00257ACD"/>
    <w:rsid w:val="00262908"/>
    <w:rsid w:val="002650F4"/>
    <w:rsid w:val="002715FD"/>
    <w:rsid w:val="002770B1"/>
    <w:rsid w:val="00285B33"/>
    <w:rsid w:val="00287A3C"/>
    <w:rsid w:val="002A2FC6"/>
    <w:rsid w:val="002C1EC7"/>
    <w:rsid w:val="002C4342"/>
    <w:rsid w:val="002C7EA3"/>
    <w:rsid w:val="002D20AE"/>
    <w:rsid w:val="002D6C61"/>
    <w:rsid w:val="002E2104"/>
    <w:rsid w:val="002E2DAC"/>
    <w:rsid w:val="002E6963"/>
    <w:rsid w:val="002E6F8F"/>
    <w:rsid w:val="002F05D8"/>
    <w:rsid w:val="002F0682"/>
    <w:rsid w:val="002F2DE0"/>
    <w:rsid w:val="002F5E25"/>
    <w:rsid w:val="0030353C"/>
    <w:rsid w:val="003125C3"/>
    <w:rsid w:val="00312AE6"/>
    <w:rsid w:val="00317D1A"/>
    <w:rsid w:val="003211FF"/>
    <w:rsid w:val="00323587"/>
    <w:rsid w:val="00327247"/>
    <w:rsid w:val="00327A9D"/>
    <w:rsid w:val="0033130E"/>
    <w:rsid w:val="0033269C"/>
    <w:rsid w:val="0035516C"/>
    <w:rsid w:val="00355A4C"/>
    <w:rsid w:val="003604FB"/>
    <w:rsid w:val="00360B73"/>
    <w:rsid w:val="00380B71"/>
    <w:rsid w:val="0038365A"/>
    <w:rsid w:val="00386A89"/>
    <w:rsid w:val="0039648E"/>
    <w:rsid w:val="003A37E1"/>
    <w:rsid w:val="003A5AFE"/>
    <w:rsid w:val="003A5D5F"/>
    <w:rsid w:val="003A7FFE"/>
    <w:rsid w:val="003B0A63"/>
    <w:rsid w:val="003B50E1"/>
    <w:rsid w:val="003C1746"/>
    <w:rsid w:val="003C2AA9"/>
    <w:rsid w:val="003C58BF"/>
    <w:rsid w:val="003D451D"/>
    <w:rsid w:val="003D6726"/>
    <w:rsid w:val="003F2DD8"/>
    <w:rsid w:val="003F3F2D"/>
    <w:rsid w:val="003F50B2"/>
    <w:rsid w:val="00400CCF"/>
    <w:rsid w:val="00401BFF"/>
    <w:rsid w:val="00404424"/>
    <w:rsid w:val="0041156B"/>
    <w:rsid w:val="004122C5"/>
    <w:rsid w:val="00413B78"/>
    <w:rsid w:val="00416DDE"/>
    <w:rsid w:val="0044411E"/>
    <w:rsid w:val="00453435"/>
    <w:rsid w:val="00453BC0"/>
    <w:rsid w:val="00466398"/>
    <w:rsid w:val="0047306D"/>
    <w:rsid w:val="00473791"/>
    <w:rsid w:val="00476E48"/>
    <w:rsid w:val="00481DE9"/>
    <w:rsid w:val="0049128B"/>
    <w:rsid w:val="00493B49"/>
    <w:rsid w:val="00495501"/>
    <w:rsid w:val="004A070A"/>
    <w:rsid w:val="004A320E"/>
    <w:rsid w:val="004A4E9C"/>
    <w:rsid w:val="004B1A3C"/>
    <w:rsid w:val="004B780C"/>
    <w:rsid w:val="004D2CC3"/>
    <w:rsid w:val="004D35C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4797E"/>
    <w:rsid w:val="0055720C"/>
    <w:rsid w:val="005632DD"/>
    <w:rsid w:val="0056423B"/>
    <w:rsid w:val="00573424"/>
    <w:rsid w:val="0057402F"/>
    <w:rsid w:val="005849D6"/>
    <w:rsid w:val="00585367"/>
    <w:rsid w:val="005871A1"/>
    <w:rsid w:val="0058737E"/>
    <w:rsid w:val="005922A5"/>
    <w:rsid w:val="00592518"/>
    <w:rsid w:val="00592E87"/>
    <w:rsid w:val="00594C4D"/>
    <w:rsid w:val="005A33B0"/>
    <w:rsid w:val="005A7A68"/>
    <w:rsid w:val="005C2DC2"/>
    <w:rsid w:val="005C304A"/>
    <w:rsid w:val="005C3D69"/>
    <w:rsid w:val="005C7C98"/>
    <w:rsid w:val="005D55A4"/>
    <w:rsid w:val="005D57C8"/>
    <w:rsid w:val="005D7761"/>
    <w:rsid w:val="005E0278"/>
    <w:rsid w:val="005E072D"/>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979"/>
    <w:rsid w:val="00690BB2"/>
    <w:rsid w:val="00693D09"/>
    <w:rsid w:val="006A6549"/>
    <w:rsid w:val="006A7710"/>
    <w:rsid w:val="006A7A61"/>
    <w:rsid w:val="006B1E59"/>
    <w:rsid w:val="006B2FFB"/>
    <w:rsid w:val="006C10A2"/>
    <w:rsid w:val="006C1F18"/>
    <w:rsid w:val="006D40D5"/>
    <w:rsid w:val="006E6B2B"/>
    <w:rsid w:val="006F009A"/>
    <w:rsid w:val="006F3D93"/>
    <w:rsid w:val="007019B1"/>
    <w:rsid w:val="00721657"/>
    <w:rsid w:val="007279A8"/>
    <w:rsid w:val="00727B1A"/>
    <w:rsid w:val="00741337"/>
    <w:rsid w:val="00746BD0"/>
    <w:rsid w:val="00752258"/>
    <w:rsid w:val="007529E1"/>
    <w:rsid w:val="00762880"/>
    <w:rsid w:val="00762AD6"/>
    <w:rsid w:val="00762E02"/>
    <w:rsid w:val="00772290"/>
    <w:rsid w:val="00777265"/>
    <w:rsid w:val="007805E7"/>
    <w:rsid w:val="0078113B"/>
    <w:rsid w:val="0078222A"/>
    <w:rsid w:val="00787D48"/>
    <w:rsid w:val="00795294"/>
    <w:rsid w:val="007A4E50"/>
    <w:rsid w:val="007B18A7"/>
    <w:rsid w:val="007B250E"/>
    <w:rsid w:val="007C27FC"/>
    <w:rsid w:val="007C51FF"/>
    <w:rsid w:val="007D1B5A"/>
    <w:rsid w:val="007D50E4"/>
    <w:rsid w:val="007F1CC7"/>
    <w:rsid w:val="008027AC"/>
    <w:rsid w:val="008028CE"/>
    <w:rsid w:val="0080332E"/>
    <w:rsid w:val="008141E0"/>
    <w:rsid w:val="00816EE1"/>
    <w:rsid w:val="00816F88"/>
    <w:rsid w:val="008207A6"/>
    <w:rsid w:val="00822323"/>
    <w:rsid w:val="00827BC6"/>
    <w:rsid w:val="008300AD"/>
    <w:rsid w:val="00833024"/>
    <w:rsid w:val="00836BDB"/>
    <w:rsid w:val="008419B1"/>
    <w:rsid w:val="00844A56"/>
    <w:rsid w:val="00845B11"/>
    <w:rsid w:val="00851060"/>
    <w:rsid w:val="00852081"/>
    <w:rsid w:val="00872B6E"/>
    <w:rsid w:val="00874DFD"/>
    <w:rsid w:val="008802F9"/>
    <w:rsid w:val="00883086"/>
    <w:rsid w:val="008879FD"/>
    <w:rsid w:val="00894C37"/>
    <w:rsid w:val="008A00EA"/>
    <w:rsid w:val="008A3F93"/>
    <w:rsid w:val="008A6236"/>
    <w:rsid w:val="008A6E1C"/>
    <w:rsid w:val="008A72FD"/>
    <w:rsid w:val="008B2EDF"/>
    <w:rsid w:val="008B54CB"/>
    <w:rsid w:val="008B5A3D"/>
    <w:rsid w:val="008C4010"/>
    <w:rsid w:val="008C4FDF"/>
    <w:rsid w:val="008C6B1F"/>
    <w:rsid w:val="008D5E4F"/>
    <w:rsid w:val="008E5B40"/>
    <w:rsid w:val="008F14F5"/>
    <w:rsid w:val="008F20EB"/>
    <w:rsid w:val="008F71C1"/>
    <w:rsid w:val="00902D41"/>
    <w:rsid w:val="00902F49"/>
    <w:rsid w:val="00914004"/>
    <w:rsid w:val="0092088B"/>
    <w:rsid w:val="00922EC1"/>
    <w:rsid w:val="009301F1"/>
    <w:rsid w:val="009307DF"/>
    <w:rsid w:val="009359B8"/>
    <w:rsid w:val="00935FF0"/>
    <w:rsid w:val="009431F8"/>
    <w:rsid w:val="00947A35"/>
    <w:rsid w:val="00962081"/>
    <w:rsid w:val="00966CB5"/>
    <w:rsid w:val="00975786"/>
    <w:rsid w:val="00981CB7"/>
    <w:rsid w:val="00983E1F"/>
    <w:rsid w:val="00984929"/>
    <w:rsid w:val="00993F46"/>
    <w:rsid w:val="00997358"/>
    <w:rsid w:val="009A452B"/>
    <w:rsid w:val="009B050C"/>
    <w:rsid w:val="009B087F"/>
    <w:rsid w:val="009B2AF4"/>
    <w:rsid w:val="009C110B"/>
    <w:rsid w:val="009C5441"/>
    <w:rsid w:val="009D119F"/>
    <w:rsid w:val="009D49A2"/>
    <w:rsid w:val="009E2E4A"/>
    <w:rsid w:val="009F3940"/>
    <w:rsid w:val="009F3EB2"/>
    <w:rsid w:val="009F6EB1"/>
    <w:rsid w:val="00A11D05"/>
    <w:rsid w:val="00A13162"/>
    <w:rsid w:val="00A20267"/>
    <w:rsid w:val="00A3158C"/>
    <w:rsid w:val="00A32DF3"/>
    <w:rsid w:val="00A33E32"/>
    <w:rsid w:val="00A35E20"/>
    <w:rsid w:val="00A36F6D"/>
    <w:rsid w:val="00A454E1"/>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E5961"/>
    <w:rsid w:val="00AF0745"/>
    <w:rsid w:val="00AF4971"/>
    <w:rsid w:val="00AF5276"/>
    <w:rsid w:val="00AF7C86"/>
    <w:rsid w:val="00B01046"/>
    <w:rsid w:val="00B310F9"/>
    <w:rsid w:val="00B37866"/>
    <w:rsid w:val="00B412FB"/>
    <w:rsid w:val="00B4576B"/>
    <w:rsid w:val="00B46350"/>
    <w:rsid w:val="00B46DF3"/>
    <w:rsid w:val="00B533E9"/>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DBE"/>
    <w:rsid w:val="00CE5E4D"/>
    <w:rsid w:val="00CF02C4"/>
    <w:rsid w:val="00CF167F"/>
    <w:rsid w:val="00CF261B"/>
    <w:rsid w:val="00CF72E5"/>
    <w:rsid w:val="00D013EE"/>
    <w:rsid w:val="00D01F54"/>
    <w:rsid w:val="00D040F7"/>
    <w:rsid w:val="00D04A76"/>
    <w:rsid w:val="00D10FC7"/>
    <w:rsid w:val="00D1519F"/>
    <w:rsid w:val="00D20E99"/>
    <w:rsid w:val="00D21C83"/>
    <w:rsid w:val="00D35BDD"/>
    <w:rsid w:val="00D5468D"/>
    <w:rsid w:val="00D63006"/>
    <w:rsid w:val="00D72301"/>
    <w:rsid w:val="00D87E6C"/>
    <w:rsid w:val="00D90E76"/>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5733F"/>
    <w:rsid w:val="00E63B14"/>
    <w:rsid w:val="00E65CA0"/>
    <w:rsid w:val="00E70D9F"/>
    <w:rsid w:val="00E83810"/>
    <w:rsid w:val="00E86933"/>
    <w:rsid w:val="00E9605B"/>
    <w:rsid w:val="00E97298"/>
    <w:rsid w:val="00E97753"/>
    <w:rsid w:val="00EA7DE7"/>
    <w:rsid w:val="00EB44C7"/>
    <w:rsid w:val="00EB7196"/>
    <w:rsid w:val="00EB7A8A"/>
    <w:rsid w:val="00EE3A64"/>
    <w:rsid w:val="00EE50E5"/>
    <w:rsid w:val="00EF01CF"/>
    <w:rsid w:val="00F03590"/>
    <w:rsid w:val="00F03622"/>
    <w:rsid w:val="00F077FD"/>
    <w:rsid w:val="00F204F3"/>
    <w:rsid w:val="00F218AB"/>
    <w:rsid w:val="00F238B3"/>
    <w:rsid w:val="00F24FED"/>
    <w:rsid w:val="00F25586"/>
    <w:rsid w:val="00F25AD7"/>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7C89"/>
    <w:rsid w:val="00FB3E9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61D582"/>
  <w15:docId w15:val="{E112D1AB-5FCA-482D-AA85-DA7D4EA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BF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CH"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NECG) Footnote Reference,Appel note de bas de p,Appel note de bas de p + 11 pt,Appel note de bas de p1,FR,Footnote,Footnote Reference/,Footnote symbol,Italic,Ref,Style 12,Style 124,Style 13,Style 17,Style 3,de nota al pie,fr,o"/>
    <w:basedOn w:val="DefaultParagraphFont"/>
    <w:qFormat/>
    <w:rsid w:val="00F52741"/>
    <w:rPr>
      <w:rFonts w:asciiTheme="minorHAnsi" w:hAnsiTheme="minorHAnsi"/>
      <w:position w:val="6"/>
      <w:sz w:val="18"/>
    </w:rPr>
  </w:style>
  <w:style w:type="paragraph" w:styleId="FootnoteText">
    <w:name w:val="footnote text"/>
    <w:aliases w:val="ACMA Footnote Text,ALTS FOOTNOTE,DNV-,Footnote Text Char Char1,Footnote Text Char Char1 Char1 Char Char,Footnote Text Char1,Footnote Text Char1 Char1 Char1 Char,Footnote Text Char1 Char1 Char1 Char Char Char1,Footnote Text Char4 Char Char"/>
    <w:basedOn w:val="Normal"/>
    <w:link w:val="FootnoteTextChar"/>
    <w:qFormat/>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984929"/>
    <w:pPr>
      <w:spacing w:before="240" w:after="240"/>
      <w:jc w:val="center"/>
    </w:pPr>
    <w:rPr>
      <w:b/>
      <w:sz w:val="28"/>
    </w:rPr>
  </w:style>
  <w:style w:type="paragraph" w:customStyle="1" w:styleId="Title1">
    <w:name w:val="Title 1"/>
    <w:basedOn w:val="Source"/>
    <w:next w:val="Title2"/>
    <w:rsid w:val="00984929"/>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List Paragraph1,List Paragraph11,Recommendation"/>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FB3E99"/>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0B1EE1"/>
    <w:pPr>
      <w:tabs>
        <w:tab w:val="clear" w:pos="794"/>
        <w:tab w:val="clear" w:pos="1191"/>
        <w:tab w:val="left" w:pos="1134"/>
        <w:tab w:val="left" w:pos="1871"/>
      </w:tabs>
    </w:pPr>
  </w:style>
  <w:style w:type="paragraph" w:customStyle="1" w:styleId="Default">
    <w:name w:val="Default"/>
    <w:rsid w:val="00984929"/>
    <w:pPr>
      <w:autoSpaceDE w:val="0"/>
      <w:autoSpaceDN w:val="0"/>
      <w:adjustRightInd w:val="0"/>
    </w:pPr>
    <w:rPr>
      <w:rFonts w:ascii="Calibri" w:hAnsi="Calibri" w:cs="Calibri"/>
      <w:color w:val="000000"/>
      <w:sz w:val="24"/>
      <w:szCs w:val="24"/>
      <w:lang w:val="en-GB"/>
    </w:rPr>
  </w:style>
  <w:style w:type="character" w:styleId="FollowedHyperlink">
    <w:name w:val="FollowedHyperlink"/>
    <w:basedOn w:val="DefaultParagraphFont"/>
    <w:semiHidden/>
    <w:unhideWhenUsed/>
    <w:rsid w:val="003D6726"/>
    <w:rPr>
      <w:color w:val="800080" w:themeColor="followedHyperlink"/>
      <w:u w:val="single"/>
    </w:rPr>
  </w:style>
  <w:style w:type="character" w:customStyle="1" w:styleId="FootnoteTextChar">
    <w:name w:val="Footnote Text Char"/>
    <w:aliases w:val="ACMA Footnote Text Char,ALTS FOOTNOTE Char,DNV- Char,Footnote Text Char Char1 Char,Footnote Text Char Char1 Char1 Char Char Char,Footnote Text Char1 Char,Footnote Text Char1 Char1 Char1 Char Char,Footnote Text Char4 Char Char Char"/>
    <w:basedOn w:val="DefaultParagraphFont"/>
    <w:link w:val="FootnoteText"/>
    <w:qFormat/>
    <w:rsid w:val="003D6726"/>
    <w:rPr>
      <w:rFonts w:asciiTheme="minorHAnsi" w:hAnsiTheme="minorHAnsi"/>
      <w:sz w:val="24"/>
      <w:lang w:val="fr-CH" w:eastAsia="en-US"/>
    </w:rPr>
  </w:style>
  <w:style w:type="character" w:customStyle="1" w:styleId="ListParagraphChar">
    <w:name w:val="List Paragraph Char"/>
    <w:aliases w:val="List Paragraph1 Char,List Paragraph11 Char,Recommendation Char"/>
    <w:basedOn w:val="DefaultParagraphFont"/>
    <w:link w:val="ListParagraph"/>
    <w:uiPriority w:val="34"/>
    <w:rsid w:val="003D6726"/>
    <w:rPr>
      <w:rFonts w:asciiTheme="minorHAnsi" w:hAnsiTheme="minorHAnsi"/>
      <w:sz w:val="24"/>
      <w:lang w:val="fr-CH" w:eastAsia="en-US"/>
    </w:rPr>
  </w:style>
  <w:style w:type="character" w:customStyle="1" w:styleId="Heading2Char">
    <w:name w:val="Heading 2 Char"/>
    <w:link w:val="Heading2"/>
    <w:rsid w:val="003D6726"/>
    <w:rPr>
      <w:rFonts w:asciiTheme="minorHAnsi" w:hAnsiTheme="minorHAnsi"/>
      <w:b/>
      <w:sz w:val="24"/>
      <w:lang w:val="fr-CH" w:eastAsia="en-US"/>
    </w:rPr>
  </w:style>
  <w:style w:type="paragraph" w:styleId="BalloonText">
    <w:name w:val="Balloon Text"/>
    <w:basedOn w:val="Normal"/>
    <w:link w:val="BalloonTextChar"/>
    <w:semiHidden/>
    <w:unhideWhenUsed/>
    <w:rsid w:val="005A7A6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A7A68"/>
    <w:rPr>
      <w:rFonts w:ascii="Segoe UI" w:hAnsi="Segoe UI" w:cs="Segoe UI"/>
      <w:sz w:val="18"/>
      <w:szCs w:val="18"/>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itu.int/fr/ITU-D/Projects/Pages/default.aspx" TargetMode="External"/><Relationship Id="rId2" Type="http://schemas.openxmlformats.org/officeDocument/2006/relationships/numbering" Target="numbering.xml"/><Relationship Id="rId16" Type="http://schemas.openxmlformats.org/officeDocument/2006/relationships/hyperlink" Target="https://www.itu.int/en/ITU-D/Projects/Pages/Case-Studie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itu.int/en/ITU-D/Projects/Pages/Implementation-Reviews.aspx"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fr/ITU-D/Projects/Pages/default.aspx" TargetMode="External"/><Relationship Id="rId14" Type="http://schemas.openxmlformats.org/officeDocument/2006/relationships/hyperlink" Target="https://www.itu.int/en/ITU-D/Projects/Pages/Implementation-Reviews.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s://www.itu.int/fr/ITU-D/Conferences/TDAG/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TDAG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t>Graphique 1: </a:t>
            </a:r>
          </a:p>
          <a:p>
            <a:pPr>
              <a:defRPr/>
            </a:pPr>
            <a:r>
              <a:rPr lang="en-GB" sz="1100"/>
              <a:t>Répartition des projets en cours du BDT au</a:t>
            </a:r>
            <a:r>
              <a:rPr lang="en-GB" sz="1100" baseline="0"/>
              <a:t> 31 décembre 2019</a:t>
            </a:r>
            <a:endParaRPr lang="en-GB"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CH"/>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CH"/>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Sheet1!$A$13:$A$19</c:f>
              <c:strCache>
                <c:ptCount val="7"/>
                <c:pt idx="0">
                  <c:v> AFR </c:v>
                </c:pt>
                <c:pt idx="1">
                  <c:v> AMS </c:v>
                </c:pt>
                <c:pt idx="2">
                  <c:v> ARB </c:v>
                </c:pt>
                <c:pt idx="3">
                  <c:v> ASP </c:v>
                </c:pt>
                <c:pt idx="4">
                  <c:v> CIS </c:v>
                </c:pt>
                <c:pt idx="5">
                  <c:v> EUR </c:v>
                </c:pt>
                <c:pt idx="6">
                  <c:v> GLO </c:v>
                </c:pt>
              </c:strCache>
            </c:strRef>
          </c:cat>
          <c:val>
            <c:numRef>
              <c:f>Sheet1!$B$13:$B$19</c:f>
              <c:numCache>
                <c:formatCode>General</c:formatCode>
                <c:ptCount val="7"/>
                <c:pt idx="0">
                  <c:v>14</c:v>
                </c:pt>
                <c:pt idx="1">
                  <c:v>10</c:v>
                </c:pt>
                <c:pt idx="2">
                  <c:v>14</c:v>
                </c:pt>
                <c:pt idx="3">
                  <c:v>8</c:v>
                </c:pt>
                <c:pt idx="4">
                  <c:v>2</c:v>
                </c:pt>
                <c:pt idx="5">
                  <c:v>1</c:v>
                </c:pt>
                <c:pt idx="6">
                  <c:v>20</c:v>
                </c:pt>
              </c:numCache>
            </c:numRef>
          </c:val>
          <c:extLst>
            <c:ext xmlns:c16="http://schemas.microsoft.com/office/drawing/2014/chart" uri="{C3380CC4-5D6E-409C-BE32-E72D297353CC}">
              <c16:uniqueId val="{00000000-6BCD-41E8-BF77-96CE0BDFBB1E}"/>
            </c:ext>
          </c:extLst>
        </c:ser>
        <c:dLbls>
          <c:dLblPos val="outEnd"/>
          <c:showLegendKey val="0"/>
          <c:showVal val="1"/>
          <c:showCatName val="0"/>
          <c:showSerName val="0"/>
          <c:showPercent val="0"/>
          <c:showBubbleSize val="0"/>
        </c:dLbls>
        <c:gapWidth val="219"/>
        <c:overlap val="-27"/>
        <c:axId val="469605760"/>
        <c:axId val="469601840"/>
      </c:barChart>
      <c:catAx>
        <c:axId val="469605760"/>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469601840"/>
        <c:crosses val="autoZero"/>
        <c:auto val="1"/>
        <c:lblAlgn val="ctr"/>
        <c:lblOffset val="100"/>
        <c:noMultiLvlLbl val="0"/>
      </c:catAx>
      <c:valAx>
        <c:axId val="46960184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469605760"/>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spcBef>
          <a:spcPts val="600"/>
        </a:spcBef>
        <a:spcAft>
          <a:spcPts val="600"/>
        </a:spcAft>
        <a:defRPr/>
      </a:pPr>
      <a:endParaRPr lang="en-CH"/>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100"/>
              <a:t>Graphique</a:t>
            </a:r>
            <a:r>
              <a:rPr lang="tr-TR" sz="1100"/>
              <a:t> 2:</a:t>
            </a:r>
            <a:r>
              <a:rPr lang="fr-FR" sz="1100"/>
              <a:t> Valeur des projets en cours du BDT et reliquats des projets en cours</a:t>
            </a:r>
            <a:r>
              <a:rPr lang="fr-FR" sz="1100" baseline="0"/>
              <a:t> au 31 décembre </a:t>
            </a:r>
            <a:r>
              <a:rPr lang="tr-TR" sz="1100"/>
              <a:t>201</a:t>
            </a:r>
            <a:r>
              <a:rPr lang="en-US" sz="1100"/>
              <a:t>9, par région</a:t>
            </a:r>
          </a:p>
        </c:rich>
      </c:tx>
      <c:layout>
        <c:manualLayout>
          <c:xMode val="edge"/>
          <c:yMode val="edge"/>
          <c:x val="0.15430214246475005"/>
          <c:y val="3.3472803347280332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Valeur des projets en cours du BDT, par région</c:v>
                </c:pt>
              </c:strCache>
            </c:strRef>
          </c:tx>
          <c:invertIfNegative val="0"/>
          <c:dPt>
            <c:idx val="1"/>
            <c:invertIfNegative val="0"/>
            <c:bubble3D val="0"/>
            <c:extLst>
              <c:ext xmlns:c16="http://schemas.microsoft.com/office/drawing/2014/chart" uri="{C3380CC4-5D6E-409C-BE32-E72D297353CC}">
                <c16:uniqueId val="{00000000-08B8-4D6E-B84E-D915FC9A495A}"/>
              </c:ext>
            </c:extLst>
          </c:dPt>
          <c:dPt>
            <c:idx val="2"/>
            <c:invertIfNegative val="0"/>
            <c:bubble3D val="0"/>
            <c:extLst>
              <c:ext xmlns:c16="http://schemas.microsoft.com/office/drawing/2014/chart" uri="{C3380CC4-5D6E-409C-BE32-E72D297353CC}">
                <c16:uniqueId val="{00000001-08B8-4D6E-B84E-D915FC9A495A}"/>
              </c:ext>
            </c:extLst>
          </c:dPt>
          <c:dPt>
            <c:idx val="3"/>
            <c:invertIfNegative val="0"/>
            <c:bubble3D val="0"/>
            <c:extLst>
              <c:ext xmlns:c16="http://schemas.microsoft.com/office/drawing/2014/chart" uri="{C3380CC4-5D6E-409C-BE32-E72D297353CC}">
                <c16:uniqueId val="{00000002-08B8-4D6E-B84E-D915FC9A495A}"/>
              </c:ext>
            </c:extLst>
          </c:dPt>
          <c:dPt>
            <c:idx val="4"/>
            <c:invertIfNegative val="0"/>
            <c:bubble3D val="0"/>
            <c:extLst>
              <c:ext xmlns:c16="http://schemas.microsoft.com/office/drawing/2014/chart" uri="{C3380CC4-5D6E-409C-BE32-E72D297353CC}">
                <c16:uniqueId val="{00000003-08B8-4D6E-B84E-D915FC9A495A}"/>
              </c:ext>
            </c:extLst>
          </c:dPt>
          <c:dPt>
            <c:idx val="5"/>
            <c:invertIfNegative val="0"/>
            <c:bubble3D val="0"/>
            <c:extLst>
              <c:ext xmlns:c16="http://schemas.microsoft.com/office/drawing/2014/chart" uri="{C3380CC4-5D6E-409C-BE32-E72D297353CC}">
                <c16:uniqueId val="{00000004-08B8-4D6E-B84E-D915FC9A495A}"/>
              </c:ext>
            </c:extLst>
          </c:dPt>
          <c:dLbls>
            <c:dLbl>
              <c:idx val="0"/>
              <c:layout>
                <c:manualLayout>
                  <c:x val="1.1469515574055698E-3"/>
                  <c:y val="-0.155379725722494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B8-4D6E-B84E-D915FC9A495A}"/>
                </c:ext>
              </c:extLst>
            </c:dLbl>
            <c:dLbl>
              <c:idx val="1"/>
              <c:layout>
                <c:manualLayout>
                  <c:x val="2.1822149481723948E-3"/>
                  <c:y val="-0.321111361891013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B8-4D6E-B84E-D915FC9A495A}"/>
                </c:ext>
              </c:extLst>
            </c:dLbl>
            <c:dLbl>
              <c:idx val="2"/>
              <c:layout>
                <c:manualLayout>
                  <c:x val="-2.1822149481723948E-3"/>
                  <c:y val="-0.35538994618641845"/>
                </c:manualLayout>
              </c:layout>
              <c:tx>
                <c:rich>
                  <a:bodyPr/>
                  <a:lstStyle/>
                  <a:p>
                    <a:fld id="{5C25DB1A-9A8C-4C0A-8B26-7476AE4F45C5}" type="VALUE">
                      <a:rPr lang="en-US">
                        <a:solidFill>
                          <a:sysClr val="windowText" lastClr="000000"/>
                        </a:solidFill>
                      </a:rPr>
                      <a:pPr/>
                      <a:t>[VALUE]</a:t>
                    </a:fld>
                    <a:endParaRPr lang="en-CH"/>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8B8-4D6E-B84E-D915FC9A495A}"/>
                </c:ext>
              </c:extLst>
            </c:dLbl>
            <c:dLbl>
              <c:idx val="4"/>
              <c:layout>
                <c:manualLayout>
                  <c:x val="9.1859221361650575E-4"/>
                  <c:y val="-0.345595902729573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B8-4D6E-B84E-D915FC9A495A}"/>
                </c:ext>
              </c:extLst>
            </c:dLbl>
            <c:dLbl>
              <c:idx val="6"/>
              <c:layout>
                <c:manualLayout>
                  <c:x val="2.1822149481722348E-3"/>
                  <c:y val="-0.411032990805841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B8-4D6E-B84E-D915FC9A49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CH"/>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Asie-Pacifique</c:v>
                </c:pt>
                <c:pt idx="1">
                  <c:v>Afrique</c:v>
                </c:pt>
                <c:pt idx="2">
                  <c:v>Monde</c:v>
                </c:pt>
                <c:pt idx="3">
                  <c:v>Amériques*</c:v>
                </c:pt>
                <c:pt idx="4">
                  <c:v>États arabes</c:v>
                </c:pt>
                <c:pt idx="5">
                  <c:v>CEI</c:v>
                </c:pt>
                <c:pt idx="6">
                  <c:v>Europe</c:v>
                </c:pt>
              </c:strCache>
            </c:strRef>
          </c:cat>
          <c:val>
            <c:numRef>
              <c:f>Sheet1!$B$2:$B$8</c:f>
              <c:numCache>
                <c:formatCode>[$CHF-1407]\ #,##0</c:formatCode>
                <c:ptCount val="7"/>
                <c:pt idx="0">
                  <c:v>1741325</c:v>
                </c:pt>
                <c:pt idx="1">
                  <c:v>13094798</c:v>
                </c:pt>
                <c:pt idx="2">
                  <c:v>5714359</c:v>
                </c:pt>
                <c:pt idx="3">
                  <c:v>44471825</c:v>
                </c:pt>
                <c:pt idx="4">
                  <c:v>7947077</c:v>
                </c:pt>
                <c:pt idx="5">
                  <c:v>269130</c:v>
                </c:pt>
                <c:pt idx="6">
                  <c:v>3265487</c:v>
                </c:pt>
              </c:numCache>
            </c:numRef>
          </c:val>
          <c:extLst>
            <c:ext xmlns:c16="http://schemas.microsoft.com/office/drawing/2014/chart" uri="{C3380CC4-5D6E-409C-BE32-E72D297353CC}">
              <c16:uniqueId val="{00000007-08B8-4D6E-B84E-D915FC9A495A}"/>
            </c:ext>
          </c:extLst>
        </c:ser>
        <c:ser>
          <c:idx val="1"/>
          <c:order val="1"/>
          <c:tx>
            <c:strRef>
              <c:f>Sheet1!$C$1</c:f>
              <c:strCache>
                <c:ptCount val="1"/>
                <c:pt idx="0">
                  <c:v>Reliquats à utiliser dans la mise en oeuvre</c:v>
                </c:pt>
              </c:strCache>
            </c:strRef>
          </c:tx>
          <c:invertIfNegative val="0"/>
          <c:dLbls>
            <c:dLbl>
              <c:idx val="0"/>
              <c:layout>
                <c:manualLayout>
                  <c:x val="0"/>
                  <c:y val="-6.4899945916711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B8-4D6E-B84E-D915FC9A495A}"/>
                </c:ext>
              </c:extLst>
            </c:dLbl>
            <c:dLbl>
              <c:idx val="1"/>
              <c:layout>
                <c:manualLayout>
                  <c:x val="0"/>
                  <c:y val="-0.15864431224085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B8-4D6E-B84E-D915FC9A495A}"/>
                </c:ext>
              </c:extLst>
            </c:dLbl>
            <c:dLbl>
              <c:idx val="2"/>
              <c:layout>
                <c:manualLayout>
                  <c:x val="-2.1822149481723948E-3"/>
                  <c:y val="-0.100955471425996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8B8-4D6E-B84E-D915FC9A495A}"/>
                </c:ext>
              </c:extLst>
            </c:dLbl>
            <c:dLbl>
              <c:idx val="3"/>
              <c:layout>
                <c:manualLayout>
                  <c:x val="2.1822149481723948E-3"/>
                  <c:y val="-3.2449972958355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B8-4D6E-B84E-D915FC9A495A}"/>
                </c:ext>
              </c:extLst>
            </c:dLbl>
            <c:dLbl>
              <c:idx val="4"/>
              <c:layout>
                <c:manualLayout>
                  <c:x val="2.182214948172475E-3"/>
                  <c:y val="-8.6533261222282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B8-4D6E-B84E-D915FC9A495A}"/>
                </c:ext>
              </c:extLst>
            </c:dLbl>
            <c:dLbl>
              <c:idx val="5"/>
              <c:layout>
                <c:manualLayout>
                  <c:x val="0"/>
                  <c:y val="-5.0477735712998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8B8-4D6E-B84E-D915FC9A495A}"/>
                </c:ext>
              </c:extLst>
            </c:dLbl>
            <c:dLbl>
              <c:idx val="6"/>
              <c:layout>
                <c:manualLayout>
                  <c:x val="2.1822149481723948E-3"/>
                  <c:y val="-5.4083288263926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8B8-4D6E-B84E-D915FC9A495A}"/>
                </c:ext>
              </c:extLst>
            </c:dLbl>
            <c:spPr>
              <a:noFill/>
              <a:ln>
                <a:noFill/>
              </a:ln>
              <a:effectLst/>
            </c:spPr>
            <c:txPr>
              <a:bodyPr wrap="square" lIns="38100" tIns="19050" rIns="38100" bIns="19050" anchor="ctr">
                <a:spAutoFit/>
              </a:bodyPr>
              <a:lstStyle/>
              <a:p>
                <a:pPr>
                  <a:spcBef>
                    <a:spcPts val="600"/>
                  </a:spcBef>
                  <a:spcAft>
                    <a:spcPts val="600"/>
                  </a:spcAft>
                  <a:defRPr sz="900">
                    <a:solidFill>
                      <a:sysClr val="windowText" lastClr="000000"/>
                    </a:solidFill>
                  </a:defRPr>
                </a:pPr>
                <a:endParaRPr lang="en-CH"/>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Sheet1!$A$2:$A$8</c:f>
              <c:strCache>
                <c:ptCount val="7"/>
                <c:pt idx="0">
                  <c:v>Asie-Pacifique</c:v>
                </c:pt>
                <c:pt idx="1">
                  <c:v>Afrique</c:v>
                </c:pt>
                <c:pt idx="2">
                  <c:v>Monde</c:v>
                </c:pt>
                <c:pt idx="3">
                  <c:v>Amériques*</c:v>
                </c:pt>
                <c:pt idx="4">
                  <c:v>États arabes</c:v>
                </c:pt>
                <c:pt idx="5">
                  <c:v>CEI</c:v>
                </c:pt>
                <c:pt idx="6">
                  <c:v>Europe</c:v>
                </c:pt>
              </c:strCache>
            </c:strRef>
          </c:cat>
          <c:val>
            <c:numRef>
              <c:f>Sheet1!$C$2:$C$8</c:f>
              <c:numCache>
                <c:formatCode>[$CHF-1407]\ #,##0</c:formatCode>
                <c:ptCount val="7"/>
                <c:pt idx="0">
                  <c:v>643113</c:v>
                </c:pt>
                <c:pt idx="1">
                  <c:v>7711246</c:v>
                </c:pt>
                <c:pt idx="2">
                  <c:v>3423913</c:v>
                </c:pt>
                <c:pt idx="3">
                  <c:v>11940530</c:v>
                </c:pt>
                <c:pt idx="4">
                  <c:v>2839359</c:v>
                </c:pt>
                <c:pt idx="5">
                  <c:v>30711</c:v>
                </c:pt>
                <c:pt idx="6">
                  <c:v>2068711</c:v>
                </c:pt>
              </c:numCache>
            </c:numRef>
          </c:val>
          <c:extLst>
            <c:ext xmlns:c16="http://schemas.microsoft.com/office/drawing/2014/chart" uri="{C3380CC4-5D6E-409C-BE32-E72D297353CC}">
              <c16:uniqueId val="{0000000F-08B8-4D6E-B84E-D915FC9A495A}"/>
            </c:ext>
          </c:extLst>
        </c:ser>
        <c:dLbls>
          <c:showLegendKey val="0"/>
          <c:showVal val="0"/>
          <c:showCatName val="0"/>
          <c:showSerName val="0"/>
          <c:showPercent val="0"/>
          <c:showBubbleSize val="0"/>
        </c:dLbls>
        <c:gapWidth val="219"/>
        <c:axId val="469606152"/>
        <c:axId val="469602624"/>
      </c:barChart>
      <c:catAx>
        <c:axId val="4696061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469602624"/>
        <c:crosses val="autoZero"/>
        <c:auto val="1"/>
        <c:lblAlgn val="ctr"/>
        <c:lblOffset val="100"/>
        <c:noMultiLvlLbl val="0"/>
      </c:catAx>
      <c:valAx>
        <c:axId val="469602624"/>
        <c:scaling>
          <c:orientation val="minMax"/>
        </c:scaling>
        <c:delete val="0"/>
        <c:axPos val="l"/>
        <c:majorGridlines>
          <c:spPr>
            <a:ln w="9525">
              <a:solidFill>
                <a:schemeClr val="tx1">
                  <a:lumMod val="15000"/>
                  <a:lumOff val="85000"/>
                </a:schemeClr>
              </a:solidFill>
              <a:round/>
            </a:ln>
            <a:effectLst/>
          </c:spPr>
        </c:majorGridlines>
        <c:numFmt formatCode="[$CHF-1407]\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469606152"/>
        <c:crosses val="autoZero"/>
        <c:crossBetween val="between"/>
      </c:valAx>
      <c:spPr>
        <a:noFill/>
        <a:ln>
          <a:noFill/>
        </a:ln>
        <a:effectLst/>
      </c:spPr>
    </c:plotArea>
    <c:legend>
      <c:legendPos val="b"/>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CH"/>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t>Graphique</a:t>
            </a:r>
            <a:r>
              <a:rPr lang="tr-TR" sz="1200" baseline="0"/>
              <a:t> </a:t>
            </a:r>
            <a:r>
              <a:rPr lang="en-US" sz="1200" baseline="0"/>
              <a:t>3</a:t>
            </a:r>
            <a:r>
              <a:rPr lang="tr-TR" sz="1200" baseline="0"/>
              <a:t>: </a:t>
            </a:r>
            <a:r>
              <a:rPr lang="en-US" sz="1200"/>
              <a:t>Projets</a:t>
            </a:r>
            <a:r>
              <a:rPr lang="en-US" sz="1200" baseline="0"/>
              <a:t> par domaine thématique*</a:t>
            </a:r>
            <a:endParaRPr lang="en-US" sz="1200"/>
          </a:p>
        </c:rich>
      </c:tx>
      <c:layout>
        <c:manualLayout>
          <c:xMode val="edge"/>
          <c:yMode val="edge"/>
          <c:x val="0.15966669706827188"/>
          <c:y val="4.2194241973623273E-2"/>
        </c:manualLayout>
      </c:layout>
      <c:overlay val="0"/>
      <c:spPr>
        <a:noFill/>
        <a:ln>
          <a:noFill/>
        </a:ln>
        <a:effectLst/>
      </c:spPr>
    </c:title>
    <c:autoTitleDeleted val="0"/>
    <c:plotArea>
      <c:layout/>
      <c:pieChart>
        <c:varyColors val="1"/>
        <c:ser>
          <c:idx val="0"/>
          <c:order val="0"/>
          <c:tx>
            <c:strRef>
              <c:f>Sheet1!$B$1</c:f>
              <c:strCache>
                <c:ptCount val="1"/>
                <c:pt idx="0">
                  <c:v>Projets par thèmes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EF-4485-9BC9-07ED2F9FFD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EF-4485-9BC9-07ED2F9FFD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EF-4485-9BC9-07ED2F9FFD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EF-4485-9BC9-07ED2F9FFD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6EF-4485-9BC9-07ED2F9FFD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6EF-4485-9BC9-07ED2F9FFD2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6EF-4485-9BC9-07ED2F9FFD2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6EF-4485-9BC9-07ED2F9FFD2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6EF-4485-9BC9-07ED2F9FFD2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6EF-4485-9BC9-07ED2F9FFD2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6EF-4485-9BC9-07ED2F9FFD2C}"/>
              </c:ext>
            </c:extLst>
          </c:dPt>
          <c:dPt>
            <c:idx val="11"/>
            <c:bubble3D val="0"/>
            <c:spPr>
              <a:solidFill>
                <a:schemeClr val="accent3">
                  <a:lumMod val="40000"/>
                  <a:lumOff val="60000"/>
                </a:schemeClr>
              </a:solidFill>
            </c:spPr>
            <c:extLst>
              <c:ext xmlns:c16="http://schemas.microsoft.com/office/drawing/2014/chart" uri="{C3380CC4-5D6E-409C-BE32-E72D297353CC}">
                <c16:uniqueId val="{00000017-F6EF-4485-9BC9-07ED2F9FFD2C}"/>
              </c:ext>
            </c:extLst>
          </c:dPt>
          <c:dLbls>
            <c:dLbl>
              <c:idx val="0"/>
              <c:layout>
                <c:manualLayout>
                  <c:x val="-1.1829264585170097E-2"/>
                  <c:y val="1.5418931766656103E-2"/>
                </c:manualLayout>
              </c:layout>
              <c:tx>
                <c:rich>
                  <a:bodyPr/>
                  <a:lstStyle/>
                  <a:p>
                    <a:r>
                      <a:rPr lang="en-US">
                        <a:solidFill>
                          <a:sysClr val="windowText" lastClr="000000"/>
                        </a:solidFill>
                      </a:rPr>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EF-4485-9BC9-07ED2F9FFD2C}"/>
                </c:ext>
              </c:extLst>
            </c:dLbl>
            <c:dLbl>
              <c:idx val="1"/>
              <c:layout>
                <c:manualLayout>
                  <c:x val="-1.6587453595327611E-3"/>
                  <c:y val="3.6875421532060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EF-4485-9BC9-07ED2F9FFD2C}"/>
                </c:ext>
              </c:extLst>
            </c:dLbl>
            <c:dLbl>
              <c:idx val="2"/>
              <c:layout>
                <c:manualLayout>
                  <c:x val="-6.7918875005489182E-3"/>
                  <c:y val="-1.95400764851792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EF-4485-9BC9-07ED2F9FFD2C}"/>
                </c:ext>
              </c:extLst>
            </c:dLbl>
            <c:dLbl>
              <c:idx val="3"/>
              <c:layout>
                <c:manualLayout>
                  <c:x val="-2.5402230126639574E-3"/>
                  <c:y val="-5.1701161193860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EF-4485-9BC9-07ED2F9FFD2C}"/>
                </c:ext>
              </c:extLst>
            </c:dLbl>
            <c:dLbl>
              <c:idx val="4"/>
              <c:layout>
                <c:manualLayout>
                  <c:x val="-1.6552660647148835E-2"/>
                  <c:y val="-1.8754621616570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EF-4485-9BC9-07ED2F9FFD2C}"/>
                </c:ext>
              </c:extLst>
            </c:dLbl>
            <c:dLbl>
              <c:idx val="5"/>
              <c:layout>
                <c:manualLayout>
                  <c:x val="1.3043302019679973E-2"/>
                  <c:y val="-1.5430714349560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EF-4485-9BC9-07ED2F9FFD2C}"/>
                </c:ext>
              </c:extLst>
            </c:dLbl>
            <c:dLbl>
              <c:idx val="6"/>
              <c:layout>
                <c:manualLayout>
                  <c:x val="2.5892033766049515E-4"/>
                  <c:y val="-1.883547451305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6EF-4485-9BC9-07ED2F9FFD2C}"/>
                </c:ext>
              </c:extLst>
            </c:dLbl>
            <c:dLbl>
              <c:idx val="7"/>
              <c:layout>
                <c:manualLayout>
                  <c:x val="5.3493313335833022E-3"/>
                  <c:y val="1.68893265898746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6EF-4485-9BC9-07ED2F9FFD2C}"/>
                </c:ext>
              </c:extLst>
            </c:dLbl>
            <c:dLbl>
              <c:idx val="8"/>
              <c:layout>
                <c:manualLayout>
                  <c:x val="4.2310589554684043E-3"/>
                  <c:y val="3.87078163217213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6EF-4485-9BC9-07ED2F9FFD2C}"/>
                </c:ext>
              </c:extLst>
            </c:dLbl>
            <c:dLbl>
              <c:idx val="9"/>
              <c:layout>
                <c:manualLayout>
                  <c:x val="-5.8219073967105467E-4"/>
                  <c:y val="-8.99336112397714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6EF-4485-9BC9-07ED2F9FFD2C}"/>
                </c:ext>
              </c:extLst>
            </c:dLbl>
            <c:dLbl>
              <c:idx val="11"/>
              <c:layout>
                <c:manualLayout>
                  <c:x val="2.1368950502808769E-3"/>
                  <c:y val="1.5418931766656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6EF-4485-9BC9-07ED2F9FFD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CH"/>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Sheet1!$A$2:$A$13</c:f>
              <c:strCache>
                <c:ptCount val="12"/>
                <c:pt idx="0">
                  <c:v>Renforcement des capacités</c:v>
                </c:pt>
                <c:pt idx="1">
                  <c:v>Cybersécurité</c:v>
                </c:pt>
                <c:pt idx="2">
                  <c:v>Innovation</c:v>
                </c:pt>
                <c:pt idx="3">
                  <c:v>Envir. réglementaire et commercial</c:v>
                </c:pt>
                <c:pt idx="4">
                  <c:v>Développ. des technologies et des réseaux</c:v>
                </c:pt>
                <c:pt idx="5">
                  <c:v>Inclusion numérique</c:v>
                </c:pt>
                <c:pt idx="6">
                  <c:v>Applications TIC</c:v>
                </c:pt>
                <c:pt idx="7">
                  <c:v>Changements climatiques</c:v>
                </c:pt>
                <c:pt idx="8">
                  <c:v>PMA et PEID</c:v>
                </c:pt>
                <c:pt idx="9">
                  <c:v>Télécommunications d'urgence</c:v>
                </c:pt>
                <c:pt idx="10">
                  <c:v>Statistiques et indicateurs TIC </c:v>
                </c:pt>
                <c:pt idx="11">
                  <c:v>Gestion du spectre et radiodiff. numérique</c:v>
                </c:pt>
              </c:strCache>
            </c:strRef>
          </c:cat>
          <c:val>
            <c:numRef>
              <c:f>Sheet1!$B$2:$B$13</c:f>
              <c:numCache>
                <c:formatCode>General</c:formatCode>
                <c:ptCount val="12"/>
                <c:pt idx="0">
                  <c:v>11</c:v>
                </c:pt>
                <c:pt idx="1">
                  <c:v>10</c:v>
                </c:pt>
                <c:pt idx="2">
                  <c:v>9</c:v>
                </c:pt>
                <c:pt idx="3">
                  <c:v>6</c:v>
                </c:pt>
                <c:pt idx="4">
                  <c:v>9</c:v>
                </c:pt>
                <c:pt idx="5">
                  <c:v>8</c:v>
                </c:pt>
                <c:pt idx="6">
                  <c:v>11</c:v>
                </c:pt>
                <c:pt idx="7">
                  <c:v>3</c:v>
                </c:pt>
                <c:pt idx="8">
                  <c:v>5</c:v>
                </c:pt>
                <c:pt idx="9">
                  <c:v>6</c:v>
                </c:pt>
                <c:pt idx="10">
                  <c:v>1</c:v>
                </c:pt>
                <c:pt idx="11">
                  <c:v>8</c:v>
                </c:pt>
              </c:numCache>
            </c:numRef>
          </c:val>
          <c:extLst>
            <c:ext xmlns:c16="http://schemas.microsoft.com/office/drawing/2014/chart" uri="{C3380CC4-5D6E-409C-BE32-E72D297353CC}">
              <c16:uniqueId val="{00000018-F6EF-4485-9BC9-07ED2F9FFD2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6309278907704117"/>
          <c:y val="5.9274940135697521E-2"/>
          <c:w val="0.33374325605132693"/>
          <c:h val="0.917665291838520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legend>
    <c:plotVisOnly val="1"/>
    <c:dispBlanksAs val="gap"/>
    <c:showDLblsOverMax val="0"/>
  </c:chart>
  <c:spPr>
    <a:solidFill>
      <a:schemeClr val="bg1"/>
    </a:solidFill>
    <a:ln w="12700">
      <a:solidFill>
        <a:schemeClr val="accent1"/>
      </a:solidFill>
      <a:round/>
    </a:ln>
    <a:effectLst/>
  </c:spPr>
  <c:txPr>
    <a:bodyPr/>
    <a:lstStyle/>
    <a:p>
      <a:pPr>
        <a:defRPr/>
      </a:pPr>
      <a:endParaRPr lang="en-CH"/>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solidFill>
                  <a:schemeClr val="bg2">
                    <a:lumMod val="10000"/>
                  </a:schemeClr>
                </a:solidFill>
              </a:rPr>
              <a:t>Graphique</a:t>
            </a:r>
            <a:r>
              <a:rPr lang="tr-TR" sz="1200">
                <a:solidFill>
                  <a:schemeClr val="bg2">
                    <a:lumMod val="10000"/>
                  </a:schemeClr>
                </a:solidFill>
              </a:rPr>
              <a:t> </a:t>
            </a:r>
            <a:r>
              <a:rPr lang="en-US" sz="1200">
                <a:solidFill>
                  <a:schemeClr val="bg2">
                    <a:lumMod val="10000"/>
                  </a:schemeClr>
                </a:solidFill>
              </a:rPr>
              <a:t>4</a:t>
            </a:r>
            <a:r>
              <a:rPr lang="tr-TR" sz="1200">
                <a:solidFill>
                  <a:schemeClr val="bg2">
                    <a:lumMod val="10000"/>
                  </a:schemeClr>
                </a:solidFill>
              </a:rPr>
              <a:t>:</a:t>
            </a:r>
            <a:r>
              <a:rPr lang="tr-TR" sz="1200" baseline="0">
                <a:solidFill>
                  <a:schemeClr val="bg2">
                    <a:lumMod val="10000"/>
                  </a:schemeClr>
                </a:solidFill>
              </a:rPr>
              <a:t> </a:t>
            </a:r>
            <a:r>
              <a:rPr lang="fr-FR" sz="1200" baseline="0">
                <a:solidFill>
                  <a:schemeClr val="bg2">
                    <a:lumMod val="10000"/>
                  </a:schemeClr>
                </a:solidFill>
              </a:rPr>
              <a:t>Nombre de projets en cours d'élaboration devant faire l'objet d'un accord au deuxième trimestre de 2020</a:t>
            </a:r>
            <a:endParaRPr lang="en-US" sz="1200">
              <a:solidFill>
                <a:schemeClr val="bg2">
                  <a:lumMod val="10000"/>
                </a:schemeClr>
              </a:solidFill>
            </a:endParaRPr>
          </a:p>
        </c:rich>
      </c:tx>
      <c:layout>
        <c:manualLayout>
          <c:xMode val="edge"/>
          <c:yMode val="edge"/>
          <c:x val="0.15430214246475005"/>
          <c:y val="3.3472803347280332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Répartition des projets en cours du BDT</c:v>
                </c:pt>
              </c:strCache>
            </c:strRef>
          </c:tx>
          <c:spPr>
            <a:solidFill>
              <a:schemeClr val="accent1"/>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AB38-465B-9AD3-B7A119E44C36}"/>
              </c:ext>
            </c:extLst>
          </c:dPt>
          <c:dPt>
            <c:idx val="2"/>
            <c:invertIfNegative val="0"/>
            <c:bubble3D val="0"/>
            <c:spPr>
              <a:solidFill>
                <a:srgbClr val="00B050"/>
              </a:solidFill>
              <a:ln>
                <a:noFill/>
              </a:ln>
              <a:effectLst/>
            </c:spPr>
            <c:extLst>
              <c:ext xmlns:c16="http://schemas.microsoft.com/office/drawing/2014/chart" uri="{C3380CC4-5D6E-409C-BE32-E72D297353CC}">
                <c16:uniqueId val="{00000003-AB38-465B-9AD3-B7A119E44C36}"/>
              </c:ext>
            </c:extLst>
          </c:dPt>
          <c:dPt>
            <c:idx val="3"/>
            <c:invertIfNegative val="0"/>
            <c:bubble3D val="0"/>
            <c:spPr>
              <a:solidFill>
                <a:srgbClr val="7030A0"/>
              </a:solidFill>
              <a:ln>
                <a:noFill/>
              </a:ln>
              <a:effectLst/>
            </c:spPr>
            <c:extLst>
              <c:ext xmlns:c16="http://schemas.microsoft.com/office/drawing/2014/chart" uri="{C3380CC4-5D6E-409C-BE32-E72D297353CC}">
                <c16:uniqueId val="{00000005-AB38-465B-9AD3-B7A119E44C36}"/>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7-AB38-465B-9AD3-B7A119E44C36}"/>
              </c:ext>
            </c:extLst>
          </c:dPt>
          <c:dPt>
            <c:idx val="5"/>
            <c:invertIfNegative val="0"/>
            <c:bubble3D val="0"/>
            <c:spPr>
              <a:solidFill>
                <a:schemeClr val="accent2">
                  <a:lumMod val="50000"/>
                </a:schemeClr>
              </a:solidFill>
              <a:ln>
                <a:noFill/>
              </a:ln>
              <a:effectLst/>
            </c:spPr>
            <c:extLst>
              <c:ext xmlns:c16="http://schemas.microsoft.com/office/drawing/2014/chart" uri="{C3380CC4-5D6E-409C-BE32-E72D297353CC}">
                <c16:uniqueId val="{00000009-AB38-465B-9AD3-B7A119E44C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CH"/>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Sheet1!$A$2:$A$8</c:f>
              <c:strCache>
                <c:ptCount val="7"/>
                <c:pt idx="0">
                  <c:v>Asie-Pacifique</c:v>
                </c:pt>
                <c:pt idx="1">
                  <c:v>Afrique</c:v>
                </c:pt>
                <c:pt idx="2">
                  <c:v>Monde</c:v>
                </c:pt>
                <c:pt idx="3">
                  <c:v>Amériques</c:v>
                </c:pt>
                <c:pt idx="4">
                  <c:v>États arabes</c:v>
                </c:pt>
                <c:pt idx="5">
                  <c:v>CEI</c:v>
                </c:pt>
                <c:pt idx="6">
                  <c:v>Europe</c:v>
                </c:pt>
              </c:strCache>
            </c:strRef>
          </c:cat>
          <c:val>
            <c:numRef>
              <c:f>Sheet1!$B$2:$B$8</c:f>
              <c:numCache>
                <c:formatCode>General</c:formatCode>
                <c:ptCount val="7"/>
                <c:pt idx="0">
                  <c:v>2</c:v>
                </c:pt>
                <c:pt idx="1">
                  <c:v>3</c:v>
                </c:pt>
                <c:pt idx="2">
                  <c:v>1</c:v>
                </c:pt>
                <c:pt idx="3">
                  <c:v>4</c:v>
                </c:pt>
                <c:pt idx="4">
                  <c:v>0</c:v>
                </c:pt>
                <c:pt idx="5">
                  <c:v>2</c:v>
                </c:pt>
                <c:pt idx="6">
                  <c:v>1</c:v>
                </c:pt>
              </c:numCache>
            </c:numRef>
          </c:val>
          <c:extLst>
            <c:ext xmlns:c16="http://schemas.microsoft.com/office/drawing/2014/chart" uri="{C3380CC4-5D6E-409C-BE32-E72D297353CC}">
              <c16:uniqueId val="{0000000A-AB38-465B-9AD3-B7A119E44C36}"/>
            </c:ext>
          </c:extLst>
        </c:ser>
        <c:dLbls>
          <c:showLegendKey val="0"/>
          <c:showVal val="0"/>
          <c:showCatName val="0"/>
          <c:showSerName val="0"/>
          <c:showPercent val="0"/>
          <c:showBubbleSize val="0"/>
        </c:dLbls>
        <c:gapWidth val="219"/>
        <c:overlap val="-27"/>
        <c:axId val="469602232"/>
        <c:axId val="469606936"/>
      </c:barChart>
      <c:catAx>
        <c:axId val="46960223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469606936"/>
        <c:crosses val="autoZero"/>
        <c:auto val="1"/>
        <c:lblAlgn val="ctr"/>
        <c:lblOffset val="100"/>
        <c:noMultiLvlLbl val="0"/>
      </c:catAx>
      <c:valAx>
        <c:axId val="4696069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46960223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CH"/>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F7DC-C5C1-4693-B94D-7F127E50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PF_TDAG20.dotx</Template>
  <TotalTime>70</TotalTime>
  <Pages>7</Pages>
  <Words>2111</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Chanavat, Emilie</dc:creator>
  <cp:lastModifiedBy>BDT</cp:lastModifiedBy>
  <cp:revision>13</cp:revision>
  <cp:lastPrinted>2014-11-04T09:22:00Z</cp:lastPrinted>
  <dcterms:created xsi:type="dcterms:W3CDTF">2020-02-19T16:57:00Z</dcterms:created>
  <dcterms:modified xsi:type="dcterms:W3CDTF">2020-03-10T12:43:00Z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