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14:paraId="0914AF51" w14:textId="77777777" w:rsidTr="543CEC34">
        <w:trPr>
          <w:cantSplit/>
          <w:trHeight w:val="1134"/>
        </w:trPr>
        <w:tc>
          <w:tcPr>
            <w:tcW w:w="6663" w:type="dxa"/>
          </w:tcPr>
          <w:p w14:paraId="0914AF4E" w14:textId="77777777" w:rsidR="00CE6A95" w:rsidRDefault="00CE6A95" w:rsidP="002A46A9">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914AF4F" w14:textId="739A024C" w:rsidR="00CE6A95" w:rsidRPr="00844A56" w:rsidRDefault="00CE6A95" w:rsidP="00F23656">
            <w:pPr>
              <w:spacing w:before="100" w:after="120"/>
              <w:ind w:left="34"/>
              <w:rPr>
                <w:rFonts w:ascii="Verdana" w:hAnsi="Verdana"/>
                <w:sz w:val="28"/>
                <w:szCs w:val="28"/>
              </w:rPr>
            </w:pPr>
            <w:r>
              <w:rPr>
                <w:b/>
                <w:bCs/>
                <w:sz w:val="26"/>
                <w:szCs w:val="26"/>
              </w:rPr>
              <w:t>2</w:t>
            </w:r>
            <w:r w:rsidR="00F23656">
              <w:rPr>
                <w:b/>
                <w:bCs/>
                <w:sz w:val="26"/>
                <w:szCs w:val="26"/>
              </w:rPr>
              <w:t>5</w:t>
            </w:r>
            <w:r>
              <w:rPr>
                <w:b/>
                <w:bCs/>
                <w:sz w:val="26"/>
                <w:szCs w:val="26"/>
              </w:rPr>
              <w:t>th Meeting, Geneva</w:t>
            </w:r>
            <w:r w:rsidRPr="00270FCD">
              <w:rPr>
                <w:b/>
                <w:bCs/>
                <w:sz w:val="26"/>
                <w:szCs w:val="26"/>
              </w:rPr>
              <w:t xml:space="preserve">, </w:t>
            </w:r>
            <w:r w:rsidR="00F23656" w:rsidRPr="00270FCD">
              <w:rPr>
                <w:b/>
                <w:bCs/>
                <w:sz w:val="26"/>
                <w:szCs w:val="26"/>
              </w:rPr>
              <w:t>2</w:t>
            </w:r>
            <w:r w:rsidR="00455AB1">
              <w:rPr>
                <w:b/>
                <w:bCs/>
                <w:sz w:val="26"/>
                <w:szCs w:val="26"/>
              </w:rPr>
              <w:t>-5 June</w:t>
            </w:r>
            <w:bookmarkStart w:id="0" w:name="_GoBack"/>
            <w:bookmarkEnd w:id="0"/>
            <w:r w:rsidR="00F23656" w:rsidRPr="00270FCD">
              <w:rPr>
                <w:b/>
                <w:bCs/>
                <w:sz w:val="26"/>
                <w:szCs w:val="26"/>
              </w:rPr>
              <w:t>, 2020</w:t>
            </w:r>
          </w:p>
        </w:tc>
        <w:tc>
          <w:tcPr>
            <w:tcW w:w="3225" w:type="dxa"/>
          </w:tcPr>
          <w:p w14:paraId="0914AF50" w14:textId="77777777" w:rsidR="00CE6A95" w:rsidRPr="00683C32" w:rsidRDefault="00CE6A95" w:rsidP="002A46A9">
            <w:pPr>
              <w:spacing w:before="0"/>
              <w:ind w:right="142"/>
              <w:jc w:val="right"/>
            </w:pPr>
            <w:r w:rsidRPr="008E52B1">
              <w:rPr>
                <w:noProof/>
                <w:color w:val="3399FF"/>
                <w:lang w:eastAsia="zh-CN"/>
              </w:rPr>
              <w:drawing>
                <wp:inline distT="0" distB="0" distL="0" distR="0" wp14:anchorId="0914B1DC" wp14:editId="0914B1D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14:paraId="0914AF54" w14:textId="77777777" w:rsidTr="00642F95">
        <w:trPr>
          <w:cantSplit/>
        </w:trPr>
        <w:tc>
          <w:tcPr>
            <w:tcW w:w="6663" w:type="dxa"/>
            <w:tcBorders>
              <w:top w:val="single" w:sz="12" w:space="0" w:color="auto"/>
            </w:tcBorders>
          </w:tcPr>
          <w:p w14:paraId="0914AF52" w14:textId="77777777" w:rsidR="00CE6A95" w:rsidRPr="00997358" w:rsidRDefault="00CE6A95" w:rsidP="002A46A9">
            <w:pPr>
              <w:spacing w:before="0"/>
              <w:rPr>
                <w:rFonts w:cs="Arial"/>
                <w:b/>
                <w:bCs/>
                <w:sz w:val="20"/>
              </w:rPr>
            </w:pPr>
          </w:p>
        </w:tc>
        <w:tc>
          <w:tcPr>
            <w:tcW w:w="3225" w:type="dxa"/>
            <w:tcBorders>
              <w:top w:val="single" w:sz="12" w:space="0" w:color="auto"/>
            </w:tcBorders>
          </w:tcPr>
          <w:p w14:paraId="0914AF53" w14:textId="77777777" w:rsidR="00CE6A95" w:rsidRPr="00997358" w:rsidRDefault="00CE6A95" w:rsidP="002A46A9">
            <w:pPr>
              <w:spacing w:before="0"/>
              <w:rPr>
                <w:b/>
                <w:bCs/>
                <w:sz w:val="20"/>
              </w:rPr>
            </w:pPr>
          </w:p>
        </w:tc>
      </w:tr>
      <w:tr w:rsidR="00CE6A95" w:rsidRPr="00002716" w14:paraId="0914AF57" w14:textId="77777777" w:rsidTr="543CEC34">
        <w:trPr>
          <w:cantSplit/>
        </w:trPr>
        <w:tc>
          <w:tcPr>
            <w:tcW w:w="6663" w:type="dxa"/>
          </w:tcPr>
          <w:p w14:paraId="0914AF55" w14:textId="77777777" w:rsidR="00CE6A95" w:rsidRPr="007F1CC7" w:rsidRDefault="00CE6A95" w:rsidP="002A46A9">
            <w:pPr>
              <w:pStyle w:val="Committee"/>
              <w:framePr w:hSpace="0" w:wrap="auto" w:hAnchor="text" w:yAlign="inline"/>
              <w:rPr>
                <w:b w:val="0"/>
              </w:rPr>
            </w:pPr>
          </w:p>
        </w:tc>
        <w:tc>
          <w:tcPr>
            <w:tcW w:w="3225" w:type="dxa"/>
          </w:tcPr>
          <w:p w14:paraId="0914AF56" w14:textId="347CDFA2" w:rsidR="00CE6A95" w:rsidRPr="00642F95" w:rsidRDefault="00CE6A95" w:rsidP="00642F95">
            <w:pPr>
              <w:spacing w:before="0"/>
              <w:jc w:val="both"/>
              <w:rPr>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F23656">
              <w:rPr>
                <w:b/>
                <w:bCs/>
                <w:lang w:val="en-US"/>
              </w:rPr>
              <w:t>20</w:t>
            </w:r>
            <w:r w:rsidRPr="00270FCD">
              <w:rPr>
                <w:b/>
                <w:bCs/>
                <w:lang w:val="en-US"/>
              </w:rPr>
              <w:t>/</w:t>
            </w:r>
            <w:bookmarkStart w:id="2" w:name="DocNo1"/>
            <w:bookmarkEnd w:id="2"/>
            <w:r w:rsidR="00525367">
              <w:rPr>
                <w:b/>
                <w:bCs/>
                <w:lang w:val="en-US"/>
              </w:rPr>
              <w:t>10</w:t>
            </w:r>
            <w:r w:rsidRPr="00270FCD">
              <w:rPr>
                <w:b/>
                <w:bCs/>
                <w:lang w:val="en-US"/>
              </w:rPr>
              <w:t>-E</w:t>
            </w:r>
          </w:p>
        </w:tc>
      </w:tr>
      <w:tr w:rsidR="00CE6A95" w14:paraId="0914AF5A" w14:textId="77777777" w:rsidTr="543CEC34">
        <w:trPr>
          <w:cantSplit/>
        </w:trPr>
        <w:tc>
          <w:tcPr>
            <w:tcW w:w="6663" w:type="dxa"/>
          </w:tcPr>
          <w:p w14:paraId="0914AF58" w14:textId="77777777" w:rsidR="00CE6A95" w:rsidRPr="007F1CC7" w:rsidRDefault="00CE6A95" w:rsidP="002A46A9">
            <w:pPr>
              <w:spacing w:before="0"/>
              <w:rPr>
                <w:b/>
                <w:bCs/>
                <w:smallCaps/>
                <w:szCs w:val="24"/>
                <w:lang w:val="en-US"/>
              </w:rPr>
            </w:pPr>
          </w:p>
        </w:tc>
        <w:tc>
          <w:tcPr>
            <w:tcW w:w="3225" w:type="dxa"/>
          </w:tcPr>
          <w:p w14:paraId="0914AF59" w14:textId="02A0FD53" w:rsidR="00CE6A95" w:rsidRPr="00642F95" w:rsidRDefault="00525367" w:rsidP="00642F95">
            <w:pPr>
              <w:spacing w:before="0"/>
              <w:rPr>
                <w:b/>
                <w:bCs/>
              </w:rPr>
            </w:pPr>
            <w:bookmarkStart w:id="3" w:name="CreationDate"/>
            <w:bookmarkEnd w:id="3"/>
            <w:r>
              <w:rPr>
                <w:b/>
                <w:bCs/>
              </w:rPr>
              <w:t>4 February</w:t>
            </w:r>
            <w:r w:rsidR="00CE6A95" w:rsidRPr="003567C2">
              <w:rPr>
                <w:b/>
                <w:bCs/>
              </w:rPr>
              <w:t xml:space="preserve"> 20</w:t>
            </w:r>
            <w:r w:rsidR="00F23656" w:rsidRPr="003567C2">
              <w:rPr>
                <w:b/>
                <w:bCs/>
              </w:rPr>
              <w:t>20</w:t>
            </w:r>
          </w:p>
        </w:tc>
      </w:tr>
      <w:tr w:rsidR="00CE6A95" w14:paraId="0914AF5D" w14:textId="77777777" w:rsidTr="543CEC34">
        <w:trPr>
          <w:cantSplit/>
        </w:trPr>
        <w:tc>
          <w:tcPr>
            <w:tcW w:w="6663" w:type="dxa"/>
          </w:tcPr>
          <w:p w14:paraId="0914AF5B" w14:textId="77777777" w:rsidR="00CE6A95" w:rsidRPr="007F1CC7" w:rsidRDefault="00CE6A95" w:rsidP="002A46A9">
            <w:pPr>
              <w:spacing w:before="0"/>
              <w:rPr>
                <w:b/>
                <w:bCs/>
                <w:smallCaps/>
                <w:szCs w:val="24"/>
              </w:rPr>
            </w:pPr>
          </w:p>
        </w:tc>
        <w:tc>
          <w:tcPr>
            <w:tcW w:w="3225" w:type="dxa"/>
          </w:tcPr>
          <w:p w14:paraId="0914AF5C" w14:textId="77777777" w:rsidR="00CE6A95" w:rsidRPr="007F1CC7" w:rsidRDefault="00D60983" w:rsidP="543CEC34">
            <w:pPr>
              <w:spacing w:before="0"/>
              <w:rPr>
                <w:szCs w:val="24"/>
              </w:rPr>
            </w:pPr>
            <w:r w:rsidRPr="003567C2">
              <w:rPr>
                <w:b/>
                <w:bCs/>
                <w:lang w:val="fr-FR"/>
              </w:rPr>
              <w:t xml:space="preserve">Original: </w:t>
            </w:r>
            <w:r w:rsidR="00CE6A95" w:rsidRPr="003567C2">
              <w:rPr>
                <w:b/>
                <w:bCs/>
                <w:lang w:val="fr-FR"/>
              </w:rPr>
              <w:t>English</w:t>
            </w:r>
          </w:p>
        </w:tc>
      </w:tr>
      <w:tr w:rsidR="00CE6A95" w14:paraId="0914AF5F" w14:textId="77777777" w:rsidTr="00642F95">
        <w:trPr>
          <w:cantSplit/>
          <w:trHeight w:val="852"/>
        </w:trPr>
        <w:tc>
          <w:tcPr>
            <w:tcW w:w="9888" w:type="dxa"/>
            <w:gridSpan w:val="2"/>
          </w:tcPr>
          <w:p w14:paraId="0914AF5E" w14:textId="77777777" w:rsidR="00CE6A95" w:rsidRPr="00B62876" w:rsidRDefault="003B307E" w:rsidP="00CE6A95">
            <w:pPr>
              <w:pStyle w:val="Source"/>
              <w:spacing w:before="240" w:after="240"/>
            </w:pPr>
            <w:bookmarkStart w:id="4" w:name="Source"/>
            <w:bookmarkEnd w:id="4"/>
            <w:r w:rsidRPr="003B307E">
              <w:t>Director, Telecommunication Development Bureau</w:t>
            </w:r>
          </w:p>
        </w:tc>
      </w:tr>
      <w:tr w:rsidR="00CE6A95" w:rsidRPr="002E6963" w14:paraId="0914AF61" w14:textId="77777777" w:rsidTr="00642F95">
        <w:trPr>
          <w:cantSplit/>
        </w:trPr>
        <w:tc>
          <w:tcPr>
            <w:tcW w:w="9888" w:type="dxa"/>
            <w:gridSpan w:val="2"/>
            <w:vAlign w:val="center"/>
          </w:tcPr>
          <w:p w14:paraId="0914AF60" w14:textId="77777777" w:rsidR="00CE6A95" w:rsidRPr="00B62876" w:rsidRDefault="00747314" w:rsidP="00645019">
            <w:pPr>
              <w:pStyle w:val="Title1"/>
              <w:spacing w:after="120"/>
            </w:pPr>
            <w:bookmarkStart w:id="5" w:name="Title"/>
            <w:bookmarkEnd w:id="5"/>
            <w:r w:rsidRPr="003567C2">
              <w:t>ITU-D PROJECTS</w:t>
            </w:r>
          </w:p>
        </w:tc>
      </w:tr>
      <w:tr w:rsidR="00CE6A95" w:rsidRPr="002E6963" w14:paraId="0914AF63" w14:textId="77777777" w:rsidTr="00642F95">
        <w:trPr>
          <w:cantSplit/>
        </w:trPr>
        <w:tc>
          <w:tcPr>
            <w:tcW w:w="9888" w:type="dxa"/>
            <w:gridSpan w:val="2"/>
            <w:tcBorders>
              <w:bottom w:val="single" w:sz="4" w:space="0" w:color="auto"/>
            </w:tcBorders>
          </w:tcPr>
          <w:p w14:paraId="0914AF62" w14:textId="77777777" w:rsidR="00CE6A95" w:rsidRPr="00A721F4" w:rsidRDefault="00CE6A95" w:rsidP="002A46A9"/>
        </w:tc>
      </w:tr>
      <w:tr w:rsidR="00CE6A95" w:rsidRPr="002E6963" w14:paraId="0914AF6B" w14:textId="77777777" w:rsidTr="00642F95">
        <w:trPr>
          <w:cantSplit/>
        </w:trPr>
        <w:tc>
          <w:tcPr>
            <w:tcW w:w="9888" w:type="dxa"/>
            <w:gridSpan w:val="2"/>
            <w:tcBorders>
              <w:top w:val="single" w:sz="4" w:space="0" w:color="auto"/>
              <w:left w:val="single" w:sz="4" w:space="0" w:color="auto"/>
              <w:bottom w:val="single" w:sz="4" w:space="0" w:color="auto"/>
              <w:right w:val="single" w:sz="4" w:space="0" w:color="auto"/>
            </w:tcBorders>
          </w:tcPr>
          <w:p w14:paraId="0914AF64" w14:textId="77777777" w:rsidR="00CE6A95" w:rsidRPr="00642F95" w:rsidRDefault="00CE6A95" w:rsidP="00642F95">
            <w:pPr>
              <w:spacing w:before="240"/>
              <w:rPr>
                <w:b/>
                <w:bCs/>
              </w:rPr>
            </w:pPr>
            <w:r w:rsidRPr="003567C2">
              <w:rPr>
                <w:b/>
                <w:bCs/>
              </w:rPr>
              <w:t>Summary:</w:t>
            </w:r>
          </w:p>
          <w:p w14:paraId="0914AF65" w14:textId="703C9970" w:rsidR="00747314" w:rsidRPr="00811389" w:rsidRDefault="002854B5" w:rsidP="00D31366">
            <w:r>
              <w:t xml:space="preserve">The International Telecommunication </w:t>
            </w:r>
            <w:r w:rsidR="00747314" w:rsidRPr="00811389">
              <w:t>Union</w:t>
            </w:r>
            <w:r w:rsidR="001B4791">
              <w:t>,</w:t>
            </w:r>
            <w:r>
              <w:t xml:space="preserve"> per </w:t>
            </w:r>
            <w:r w:rsidR="001B4791">
              <w:t>its</w:t>
            </w:r>
            <w:r>
              <w:t xml:space="preserve"> Constitution has a </w:t>
            </w:r>
            <w:r w:rsidR="00747314" w:rsidRPr="00811389">
              <w:t>dual responsibility</w:t>
            </w:r>
            <w:r w:rsidR="007B4804">
              <w:t xml:space="preserve"> </w:t>
            </w:r>
            <w:r w:rsidR="00747314" w:rsidRPr="00811389">
              <w:t>as a United Nations specialized agency and as an executing agency</w:t>
            </w:r>
            <w:r w:rsidR="001B4791">
              <w:t xml:space="preserve">. The </w:t>
            </w:r>
            <w:r w:rsidR="001B4791" w:rsidRPr="006A62FB">
              <w:t xml:space="preserve">Telecommunication Development Sector </w:t>
            </w:r>
            <w:r w:rsidR="004E6F4B">
              <w:t xml:space="preserve">(ITU-D) </w:t>
            </w:r>
            <w:r w:rsidR="00403D31">
              <w:t xml:space="preserve">in fulfilling the </w:t>
            </w:r>
            <w:r w:rsidR="001B4791" w:rsidRPr="006A62FB">
              <w:t>Union's dual responsibility</w:t>
            </w:r>
            <w:r w:rsidR="00403D31">
              <w:t xml:space="preserve">, </w:t>
            </w:r>
            <w:r w:rsidR="00ED7143">
              <w:t xml:space="preserve">has the key </w:t>
            </w:r>
            <w:r w:rsidR="00403D31">
              <w:t>function</w:t>
            </w:r>
            <w:r w:rsidR="00ED7143">
              <w:t xml:space="preserve"> of</w:t>
            </w:r>
            <w:r w:rsidR="001B4791" w:rsidRPr="006A62FB">
              <w:t xml:space="preserve"> implementing projects under the United Nations development system or other funding arrangements so as to facilitate and enhance telecommunication development </w:t>
            </w:r>
            <w:r w:rsidR="00747314" w:rsidRPr="00811389">
              <w:t>by offering, organizing and coordinating technical cooperation and assistance activities.</w:t>
            </w:r>
          </w:p>
          <w:p w14:paraId="0914AF66" w14:textId="72D80AFE" w:rsidR="00747314" w:rsidRPr="00811389" w:rsidRDefault="00747314" w:rsidP="00403D31">
            <w:r w:rsidRPr="00811389">
              <w:t>This document presents an overview of</w:t>
            </w:r>
            <w:r w:rsidR="005A5D2B">
              <w:t xml:space="preserve"> the work undertaken by</w:t>
            </w:r>
            <w:r w:rsidRPr="00811389">
              <w:t xml:space="preserve"> </w:t>
            </w:r>
            <w:r w:rsidR="005A5D2B">
              <w:t>the Telecommunication Development Bureau</w:t>
            </w:r>
            <w:r w:rsidRPr="00811389">
              <w:t xml:space="preserve"> </w:t>
            </w:r>
            <w:r w:rsidR="005A5D2B">
              <w:t xml:space="preserve">in </w:t>
            </w:r>
            <w:r w:rsidRPr="00811389">
              <w:t>project</w:t>
            </w:r>
            <w:r>
              <w:t xml:space="preserve"> </w:t>
            </w:r>
            <w:r w:rsidR="00403D31">
              <w:t xml:space="preserve">development and </w:t>
            </w:r>
            <w:r>
              <w:t>implementation in</w:t>
            </w:r>
            <w:r w:rsidRPr="00811389">
              <w:t xml:space="preserve"> </w:t>
            </w:r>
            <w:r w:rsidR="00EB52C7">
              <w:t xml:space="preserve">the </w:t>
            </w:r>
            <w:r w:rsidRPr="00811389">
              <w:t xml:space="preserve">six </w:t>
            </w:r>
            <w:r w:rsidR="004E6F4B">
              <w:t xml:space="preserve">ITU-D </w:t>
            </w:r>
            <w:r w:rsidRPr="00811389">
              <w:t>regions</w:t>
            </w:r>
            <w:r w:rsidR="004E6F4B">
              <w:t>:</w:t>
            </w:r>
            <w:r w:rsidRPr="00811389">
              <w:t xml:space="preserve"> Africa, Americas, Arab States, Asia-Pacific, Commonwealth of Independent States (CIS) and Europe</w:t>
            </w:r>
            <w:r>
              <w:t xml:space="preserve">, </w:t>
            </w:r>
            <w:r w:rsidR="004E6F4B">
              <w:t xml:space="preserve">as well as globally. </w:t>
            </w:r>
          </w:p>
          <w:p w14:paraId="0914AF67" w14:textId="77777777" w:rsidR="00747314" w:rsidRPr="00811389" w:rsidRDefault="00747314" w:rsidP="00747314">
            <w:pPr>
              <w:rPr>
                <w:b/>
                <w:bCs/>
              </w:rPr>
            </w:pPr>
            <w:r w:rsidRPr="00811389">
              <w:rPr>
                <w:b/>
                <w:bCs/>
              </w:rPr>
              <w:t>Action required:</w:t>
            </w:r>
          </w:p>
          <w:p w14:paraId="0914AF68" w14:textId="77777777" w:rsidR="00747314" w:rsidRPr="00811389" w:rsidRDefault="00747314" w:rsidP="000A733B">
            <w:pPr>
              <w:rPr>
                <w:b/>
                <w:bCs/>
              </w:rPr>
            </w:pPr>
            <w:r w:rsidRPr="00811389">
              <w:t xml:space="preserve">TDAG is invited to note this </w:t>
            </w:r>
            <w:r w:rsidR="000A733B">
              <w:t>document</w:t>
            </w:r>
            <w:r w:rsidRPr="00811389">
              <w:t xml:space="preserve"> and provide guidance as deemed appropriate.</w:t>
            </w:r>
          </w:p>
          <w:p w14:paraId="0914AF69" w14:textId="77777777" w:rsidR="00747314" w:rsidRPr="00811389" w:rsidRDefault="00747314" w:rsidP="00747314">
            <w:pPr>
              <w:rPr>
                <w:b/>
                <w:bCs/>
              </w:rPr>
            </w:pPr>
            <w:r w:rsidRPr="00811389">
              <w:rPr>
                <w:b/>
                <w:bCs/>
              </w:rPr>
              <w:t>Reference:</w:t>
            </w:r>
          </w:p>
          <w:p w14:paraId="0914AF6A" w14:textId="301F5A50" w:rsidR="00CE6A95" w:rsidRPr="00747314" w:rsidRDefault="00747314" w:rsidP="00ED5274">
            <w:pPr>
              <w:spacing w:after="120"/>
            </w:pPr>
            <w:r w:rsidRPr="00811389">
              <w:t xml:space="preserve">Resolutions 17 and 52 (Rev. </w:t>
            </w:r>
            <w:r>
              <w:t>Buenos Aires</w:t>
            </w:r>
            <w:r w:rsidRPr="00811389">
              <w:t>, 201</w:t>
            </w:r>
            <w:r>
              <w:t>7</w:t>
            </w:r>
            <w:r w:rsidRPr="00811389">
              <w:t>)</w:t>
            </w:r>
            <w:r>
              <w:t xml:space="preserve"> </w:t>
            </w:r>
            <w:r w:rsidR="004E6F4B">
              <w:t xml:space="preserve">of </w:t>
            </w:r>
            <w:r w:rsidR="00ED5274">
              <w:t>the World Telecommunication Development Conference</w:t>
            </w:r>
            <w:r w:rsidR="00ED5274" w:rsidRPr="00811389">
              <w:t xml:space="preserve"> </w:t>
            </w:r>
            <w:r w:rsidR="00ED5274">
              <w:t>(</w:t>
            </w:r>
            <w:r w:rsidR="004E6F4B" w:rsidRPr="00811389">
              <w:t>WTDC</w:t>
            </w:r>
            <w:r w:rsidR="00ED5274">
              <w:t>)</w:t>
            </w:r>
            <w:r w:rsidR="004E6F4B">
              <w:t xml:space="preserve"> </w:t>
            </w:r>
            <w:r>
              <w:t>and</w:t>
            </w:r>
            <w:r w:rsidRPr="00811389">
              <w:t xml:space="preserve"> Resolution 157 (Rev. </w:t>
            </w:r>
            <w:r>
              <w:t>Dubai</w:t>
            </w:r>
            <w:r w:rsidRPr="00811389">
              <w:t>, 201</w:t>
            </w:r>
            <w:r>
              <w:t>8</w:t>
            </w:r>
            <w:r w:rsidRPr="00811389">
              <w:t>)</w:t>
            </w:r>
            <w:r w:rsidR="004E6F4B">
              <w:t xml:space="preserve"> of the Plenipotentiary Conference</w:t>
            </w:r>
            <w:r>
              <w:t>.</w:t>
            </w:r>
          </w:p>
        </w:tc>
      </w:tr>
    </w:tbl>
    <w:p w14:paraId="0914AF6C" w14:textId="77777777" w:rsidR="001E252D" w:rsidRPr="00B62876" w:rsidRDefault="001E252D">
      <w:pPr>
        <w:tabs>
          <w:tab w:val="clear" w:pos="1134"/>
          <w:tab w:val="clear" w:pos="1871"/>
          <w:tab w:val="clear" w:pos="2268"/>
        </w:tabs>
        <w:overflowPunct/>
        <w:autoSpaceDE/>
        <w:autoSpaceDN/>
        <w:adjustRightInd/>
        <w:spacing w:before="0"/>
        <w:textAlignment w:val="auto"/>
        <w:rPr>
          <w:szCs w:val="24"/>
        </w:rPr>
      </w:pPr>
    </w:p>
    <w:p w14:paraId="0914AF6D" w14:textId="77777777"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14:paraId="0914AF6E" w14:textId="77777777" w:rsidR="00747314" w:rsidRPr="00D41F2E" w:rsidRDefault="00747314" w:rsidP="005F706C">
      <w:pPr>
        <w:pStyle w:val="Heading2"/>
        <w:keepLines w:val="0"/>
        <w:numPr>
          <w:ilvl w:val="0"/>
          <w:numId w:val="2"/>
        </w:numPr>
        <w:tabs>
          <w:tab w:val="clear" w:pos="1134"/>
          <w:tab w:val="clear" w:pos="1871"/>
          <w:tab w:val="clear" w:pos="2268"/>
          <w:tab w:val="left" w:pos="1191"/>
          <w:tab w:val="left" w:pos="1588"/>
          <w:tab w:val="left" w:pos="1985"/>
        </w:tabs>
        <w:spacing w:before="120" w:after="120"/>
        <w:ind w:left="357" w:hanging="357"/>
      </w:pPr>
      <w:r>
        <w:lastRenderedPageBreak/>
        <w:t>Introduction</w:t>
      </w:r>
    </w:p>
    <w:p w14:paraId="4266D5F9" w14:textId="0BCCAB6A" w:rsidR="00EB52C7" w:rsidRDefault="00EB52C7" w:rsidP="00A92C0E">
      <w:pPr>
        <w:pStyle w:val="ListParagraph"/>
        <w:spacing w:after="120"/>
        <w:ind w:left="0"/>
        <w:contextualSpacing w:val="0"/>
        <w:rPr>
          <w:lang w:val="en-US"/>
        </w:rPr>
      </w:pPr>
      <w:r>
        <w:t>In accordance with Resolutions 17 and 52</w:t>
      </w:r>
      <w:r w:rsidR="001A0465" w:rsidRPr="00811389">
        <w:t xml:space="preserve"> (Rev. </w:t>
      </w:r>
      <w:r w:rsidR="001A0465">
        <w:t>Buenos Aires</w:t>
      </w:r>
      <w:r w:rsidR="001A0465" w:rsidRPr="00811389">
        <w:t>, 201</w:t>
      </w:r>
      <w:r w:rsidR="001A0465">
        <w:t>7</w:t>
      </w:r>
      <w:r w:rsidR="001A0465" w:rsidRPr="00811389">
        <w:t>)</w:t>
      </w:r>
      <w:r>
        <w:t xml:space="preserve"> </w:t>
      </w:r>
      <w:r w:rsidR="004E6F4B">
        <w:t xml:space="preserve">of the World Telecommunication Development Conference (WTDC) </w:t>
      </w:r>
      <w:r>
        <w:t>and Resolution</w:t>
      </w:r>
      <w:r w:rsidR="001A0465">
        <w:t> </w:t>
      </w:r>
      <w:r>
        <w:t>157</w:t>
      </w:r>
      <w:r w:rsidR="001A0465" w:rsidRPr="00811389">
        <w:t xml:space="preserve"> (Rev. </w:t>
      </w:r>
      <w:r w:rsidR="001A0465">
        <w:t>Dubai</w:t>
      </w:r>
      <w:r w:rsidR="001A0465" w:rsidRPr="00811389">
        <w:t>, 201</w:t>
      </w:r>
      <w:r w:rsidR="001A0465">
        <w:t>8</w:t>
      </w:r>
      <w:r w:rsidR="001A0465" w:rsidRPr="00811389">
        <w:t>)</w:t>
      </w:r>
      <w:r w:rsidR="00ED5274">
        <w:t xml:space="preserve"> of the Plenipotentiary Conference</w:t>
      </w:r>
      <w:r>
        <w:t xml:space="preserve">, BDT continued its efforts in strengthening the project execution function of the ITU Telecommunication Development Sector and in implementing regionally approved </w:t>
      </w:r>
      <w:r w:rsidR="00D676AC">
        <w:t>i</w:t>
      </w:r>
      <w:r>
        <w:t xml:space="preserve">nitiatives at the national, regional, interregional and global levels. </w:t>
      </w:r>
      <w:r>
        <w:rPr>
          <w:lang w:val="en-US"/>
        </w:rPr>
        <w:t xml:space="preserve">BDT projects </w:t>
      </w:r>
      <w:r w:rsidR="00D676E9">
        <w:rPr>
          <w:lang w:val="en-US"/>
        </w:rPr>
        <w:t xml:space="preserve">have </w:t>
      </w:r>
      <w:r w:rsidR="00533288">
        <w:rPr>
          <w:lang w:val="en-US"/>
        </w:rPr>
        <w:t xml:space="preserve">remained demand-driven, people-centred and </w:t>
      </w:r>
      <w:r w:rsidR="00D676AC">
        <w:rPr>
          <w:lang w:val="en-US"/>
        </w:rPr>
        <w:t xml:space="preserve">focused on </w:t>
      </w:r>
      <w:r w:rsidR="00533288">
        <w:rPr>
          <w:lang w:val="en-US"/>
        </w:rPr>
        <w:t>sustainable development</w:t>
      </w:r>
      <w:r w:rsidR="00D676AC">
        <w:rPr>
          <w:lang w:val="en-US"/>
        </w:rPr>
        <w:t xml:space="preserve">. </w:t>
      </w:r>
    </w:p>
    <w:p w14:paraId="28BE7BFE" w14:textId="24D111AA" w:rsidR="00EB52C7" w:rsidRDefault="00533288" w:rsidP="00A92C0E">
      <w:pPr>
        <w:pStyle w:val="ListParagraph"/>
        <w:spacing w:after="120"/>
        <w:ind w:left="0"/>
        <w:contextualSpacing w:val="0"/>
      </w:pPr>
      <w:r>
        <w:t xml:space="preserve">Investment in </w:t>
      </w:r>
      <w:r w:rsidR="00EB52C7">
        <w:t>BDT tools, methodologies, guidelines, templates, standards</w:t>
      </w:r>
      <w:r w:rsidR="00D676AC">
        <w:t>,</w:t>
      </w:r>
      <w:r>
        <w:t xml:space="preserve"> database development</w:t>
      </w:r>
      <w:r w:rsidR="00D676AC">
        <w:t>,</w:t>
      </w:r>
      <w:r w:rsidR="00EB52C7">
        <w:t xml:space="preserve"> </w:t>
      </w:r>
      <w:r w:rsidR="00D676AC">
        <w:t xml:space="preserve">project-related </w:t>
      </w:r>
      <w:r w:rsidR="00EB52C7">
        <w:t>training and project management</w:t>
      </w:r>
      <w:r>
        <w:t xml:space="preserve"> remained a priority.</w:t>
      </w:r>
      <w:r w:rsidR="00EB52C7">
        <w:t xml:space="preserve"> In line with results-based management and the principles of transparency</w:t>
      </w:r>
      <w:r w:rsidR="00985A02">
        <w:t xml:space="preserve">, </w:t>
      </w:r>
      <w:r w:rsidR="007E72F9">
        <w:t xml:space="preserve">the </w:t>
      </w:r>
      <w:r w:rsidR="00985A02">
        <w:t>ITU</w:t>
      </w:r>
      <w:r w:rsidR="00EB52C7">
        <w:t xml:space="preserve"> projects website </w:t>
      </w:r>
      <w:r w:rsidR="00DF6F69">
        <w:t>(</w:t>
      </w:r>
      <w:hyperlink r:id="rId13" w:history="1">
        <w:r w:rsidR="00DF6F69" w:rsidRPr="004D503B">
          <w:rPr>
            <w:rStyle w:val="Hyperlink"/>
          </w:rPr>
          <w:t>www.itu.int/en/ITU-D/Projects/</w:t>
        </w:r>
      </w:hyperlink>
      <w:r w:rsidR="00DF6F69">
        <w:t xml:space="preserve">) </w:t>
      </w:r>
      <w:r w:rsidR="009450D8">
        <w:t xml:space="preserve">has been enhanced to </w:t>
      </w:r>
      <w:r w:rsidR="00EB52C7">
        <w:t>display the overall sta</w:t>
      </w:r>
      <w:r w:rsidR="00DF6F69">
        <w:t xml:space="preserve">tus of BDT projects </w:t>
      </w:r>
      <w:r w:rsidR="00D676AC">
        <w:t xml:space="preserve">dynamically </w:t>
      </w:r>
      <w:r w:rsidR="00DF6F69">
        <w:t xml:space="preserve">at any </w:t>
      </w:r>
      <w:r>
        <w:t xml:space="preserve">given </w:t>
      </w:r>
      <w:r w:rsidR="00DF6F69">
        <w:t>time. In addition, pr</w:t>
      </w:r>
      <w:r w:rsidR="00EB52C7">
        <w:t>oject case studies, post</w:t>
      </w:r>
      <w:r w:rsidR="00D676AC">
        <w:t>-</w:t>
      </w:r>
      <w:r w:rsidR="00EB52C7">
        <w:t xml:space="preserve">implementation assessment reports </w:t>
      </w:r>
      <w:r w:rsidR="009450D8">
        <w:t xml:space="preserve">and videos </w:t>
      </w:r>
      <w:r w:rsidR="00DF6F69">
        <w:t>have been</w:t>
      </w:r>
      <w:r w:rsidR="007E72F9">
        <w:t xml:space="preserve"> produced to </w:t>
      </w:r>
      <w:r w:rsidR="00244DB0">
        <w:t xml:space="preserve">help </w:t>
      </w:r>
      <w:r w:rsidR="007E72F9">
        <w:t xml:space="preserve">increase </w:t>
      </w:r>
      <w:r w:rsidR="00DF6F69">
        <w:t xml:space="preserve">sharing </w:t>
      </w:r>
      <w:r w:rsidR="00985A02">
        <w:t>experiences</w:t>
      </w:r>
      <w:r w:rsidR="00DF6F69">
        <w:t xml:space="preserve"> and lessons learned. </w:t>
      </w:r>
    </w:p>
    <w:p w14:paraId="0914AF74" w14:textId="77777777" w:rsidR="00747314" w:rsidRDefault="00747314" w:rsidP="005F706C">
      <w:pPr>
        <w:pStyle w:val="Heading2"/>
        <w:keepLines w:val="0"/>
        <w:numPr>
          <w:ilvl w:val="0"/>
          <w:numId w:val="2"/>
        </w:numPr>
        <w:tabs>
          <w:tab w:val="clear" w:pos="1134"/>
          <w:tab w:val="clear" w:pos="1871"/>
          <w:tab w:val="clear" w:pos="2268"/>
          <w:tab w:val="left" w:pos="1191"/>
          <w:tab w:val="left" w:pos="1588"/>
          <w:tab w:val="left" w:pos="1985"/>
        </w:tabs>
        <w:spacing w:before="120" w:after="120"/>
        <w:ind w:left="357" w:hanging="357"/>
      </w:pPr>
      <w:r>
        <w:t>Overall project i</w:t>
      </w:r>
      <w:r w:rsidRPr="008F7D7F">
        <w:t xml:space="preserve">mplementation </w:t>
      </w:r>
    </w:p>
    <w:p w14:paraId="5EC0396D" w14:textId="039F65C7" w:rsidR="008022D5" w:rsidRDefault="00747314" w:rsidP="00A33033">
      <w:pPr>
        <w:pStyle w:val="ListParagraph"/>
        <w:spacing w:after="120"/>
        <w:ind w:left="0"/>
        <w:contextualSpacing w:val="0"/>
      </w:pPr>
      <w:r>
        <w:t xml:space="preserve">Since 2007, BDT has implemented a total of </w:t>
      </w:r>
      <w:r w:rsidR="009450D8">
        <w:t xml:space="preserve">256 </w:t>
      </w:r>
      <w:r>
        <w:t>small, medium and large</w:t>
      </w:r>
      <w:r w:rsidR="007E72F9">
        <w:t>-scale</w:t>
      </w:r>
      <w:r>
        <w:t xml:space="preserve"> projects at national, regional, interregional and global levels</w:t>
      </w:r>
      <w:r w:rsidR="008022D5">
        <w:t xml:space="preserve"> </w:t>
      </w:r>
      <w:r w:rsidR="008022D5" w:rsidRPr="000D7975">
        <w:t>benefit</w:t>
      </w:r>
      <w:r w:rsidR="008022D5" w:rsidRPr="00E86598">
        <w:t>ing</w:t>
      </w:r>
      <w:r w:rsidR="008022D5">
        <w:t xml:space="preserve"> around</w:t>
      </w:r>
      <w:r>
        <w:t xml:space="preserve"> 150 developing and least developed countries.</w:t>
      </w:r>
    </w:p>
    <w:p w14:paraId="0914AF76" w14:textId="77777777" w:rsidR="00747314" w:rsidRDefault="00747314" w:rsidP="005F706C">
      <w:pPr>
        <w:pStyle w:val="Heading2"/>
        <w:keepLines w:val="0"/>
        <w:numPr>
          <w:ilvl w:val="0"/>
          <w:numId w:val="2"/>
        </w:numPr>
        <w:tabs>
          <w:tab w:val="clear" w:pos="1134"/>
          <w:tab w:val="clear" w:pos="1871"/>
          <w:tab w:val="clear" w:pos="2268"/>
          <w:tab w:val="left" w:pos="1191"/>
          <w:tab w:val="left" w:pos="1588"/>
          <w:tab w:val="left" w:pos="1985"/>
        </w:tabs>
        <w:spacing w:before="120" w:after="120"/>
        <w:ind w:left="357" w:hanging="357"/>
      </w:pPr>
      <w:r w:rsidRPr="000307D5">
        <w:t xml:space="preserve">Project portfolio </w:t>
      </w:r>
    </w:p>
    <w:p w14:paraId="0914AF77" w14:textId="1A312AD4" w:rsidR="00747314" w:rsidRDefault="00747314" w:rsidP="00A92C0E">
      <w:pPr>
        <w:pStyle w:val="Heading2"/>
        <w:keepNext w:val="0"/>
        <w:keepLines w:val="0"/>
        <w:spacing w:before="120" w:after="120"/>
        <w:ind w:left="0" w:firstLine="0"/>
        <w:rPr>
          <w:b w:val="0"/>
        </w:rPr>
      </w:pPr>
      <w:r w:rsidRPr="003567C2">
        <w:rPr>
          <w:b w:val="0"/>
        </w:rPr>
        <w:t>As of 31 December 201</w:t>
      </w:r>
      <w:r w:rsidR="00D7112C">
        <w:rPr>
          <w:b w:val="0"/>
        </w:rPr>
        <w:t>9</w:t>
      </w:r>
      <w:r w:rsidRPr="003567C2">
        <w:rPr>
          <w:b w:val="0"/>
        </w:rPr>
        <w:t xml:space="preserve">, the ITU project portfolio </w:t>
      </w:r>
      <w:r w:rsidR="00215C12">
        <w:rPr>
          <w:b w:val="0"/>
        </w:rPr>
        <w:t xml:space="preserve">had </w:t>
      </w:r>
      <w:r w:rsidRPr="003567C2">
        <w:rPr>
          <w:b w:val="0"/>
        </w:rPr>
        <w:t>6</w:t>
      </w:r>
      <w:r w:rsidR="00173EB8">
        <w:rPr>
          <w:b w:val="0"/>
        </w:rPr>
        <w:t>9</w:t>
      </w:r>
      <w:r w:rsidRPr="003567C2">
        <w:rPr>
          <w:b w:val="0"/>
        </w:rPr>
        <w:t xml:space="preserve"> ongoing projects, valued at </w:t>
      </w:r>
      <w:r w:rsidR="00244DB0">
        <w:rPr>
          <w:b w:val="0"/>
        </w:rPr>
        <w:br/>
      </w:r>
      <w:r w:rsidR="00F24E17" w:rsidRPr="003567C2">
        <w:rPr>
          <w:b w:val="0"/>
        </w:rPr>
        <w:t>CHF </w:t>
      </w:r>
      <w:r w:rsidR="0039691C">
        <w:rPr>
          <w:b w:val="0"/>
        </w:rPr>
        <w:t>76</w:t>
      </w:r>
      <w:r w:rsidR="00244DB0">
        <w:rPr>
          <w:b w:val="0"/>
        </w:rPr>
        <w:t xml:space="preserve"> </w:t>
      </w:r>
      <w:r w:rsidR="0039691C">
        <w:rPr>
          <w:b w:val="0"/>
        </w:rPr>
        <w:t>504</w:t>
      </w:r>
      <w:r w:rsidR="00244DB0">
        <w:rPr>
          <w:b w:val="0"/>
        </w:rPr>
        <w:t xml:space="preserve"> </w:t>
      </w:r>
      <w:r w:rsidR="0039691C">
        <w:rPr>
          <w:b w:val="0"/>
        </w:rPr>
        <w:t>000</w:t>
      </w:r>
      <w:r w:rsidRPr="003567C2">
        <w:rPr>
          <w:rStyle w:val="FootnoteReference"/>
          <w:b w:val="0"/>
        </w:rPr>
        <w:footnoteReference w:id="2"/>
      </w:r>
      <w:r w:rsidR="00215C12">
        <w:rPr>
          <w:b w:val="0"/>
        </w:rPr>
        <w:t xml:space="preserve">; </w:t>
      </w:r>
      <w:r w:rsidRPr="003567C2">
        <w:rPr>
          <w:b w:val="0"/>
        </w:rPr>
        <w:t xml:space="preserve">with </w:t>
      </w:r>
      <w:r w:rsidR="008022D5">
        <w:rPr>
          <w:b w:val="0"/>
        </w:rPr>
        <w:t>20</w:t>
      </w:r>
      <w:r w:rsidR="00F24E17" w:rsidRPr="003567C2">
        <w:rPr>
          <w:b w:val="0"/>
        </w:rPr>
        <w:t> </w:t>
      </w:r>
      <w:r w:rsidRPr="003567C2">
        <w:rPr>
          <w:b w:val="0"/>
        </w:rPr>
        <w:t>new projects valued around CHF 1</w:t>
      </w:r>
      <w:r w:rsidR="00D7112C">
        <w:rPr>
          <w:b w:val="0"/>
        </w:rPr>
        <w:t>1</w:t>
      </w:r>
      <w:r w:rsidRPr="003567C2">
        <w:rPr>
          <w:b w:val="0"/>
        </w:rPr>
        <w:t xml:space="preserve"> million having been developed and signed in 201</w:t>
      </w:r>
      <w:r w:rsidR="00D7112C">
        <w:rPr>
          <w:b w:val="0"/>
        </w:rPr>
        <w:t>9</w:t>
      </w:r>
      <w:r w:rsidRPr="003567C2">
        <w:rPr>
          <w:b w:val="0"/>
        </w:rPr>
        <w:t>.</w:t>
      </w:r>
    </w:p>
    <w:p w14:paraId="0914AF79" w14:textId="77777777" w:rsidR="00747314" w:rsidRPr="002140BD" w:rsidRDefault="00747314" w:rsidP="005F706C">
      <w:pPr>
        <w:pStyle w:val="ListParagraph"/>
        <w:keepNext/>
        <w:numPr>
          <w:ilvl w:val="0"/>
          <w:numId w:val="2"/>
        </w:numPr>
        <w:tabs>
          <w:tab w:val="clear" w:pos="1134"/>
          <w:tab w:val="clear" w:pos="1871"/>
          <w:tab w:val="clear" w:pos="2268"/>
          <w:tab w:val="left" w:pos="1191"/>
          <w:tab w:val="left" w:pos="1588"/>
          <w:tab w:val="left" w:pos="1985"/>
        </w:tabs>
        <w:spacing w:after="120"/>
        <w:ind w:left="357" w:hanging="357"/>
        <w:contextualSpacing w:val="0"/>
        <w:rPr>
          <w:b/>
          <w:bCs/>
        </w:rPr>
      </w:pPr>
      <w:r w:rsidRPr="002140BD">
        <w:rPr>
          <w:b/>
          <w:bCs/>
        </w:rPr>
        <w:t>Ongoing projects by region</w:t>
      </w:r>
    </w:p>
    <w:p w14:paraId="0914AF7A" w14:textId="4AE0BB2E" w:rsidR="00747314" w:rsidRDefault="00244DB0" w:rsidP="009A6692">
      <w:pPr>
        <w:spacing w:after="120"/>
      </w:pPr>
      <w:r>
        <w:t xml:space="preserve">The </w:t>
      </w:r>
      <w:r w:rsidR="00747314" w:rsidRPr="003F6E72">
        <w:t>6</w:t>
      </w:r>
      <w:r w:rsidR="008022D5">
        <w:t>9</w:t>
      </w:r>
      <w:r w:rsidR="00747314" w:rsidRPr="003F6E72">
        <w:t xml:space="preserve"> ongoing projects</w:t>
      </w:r>
      <w:r w:rsidR="000D0043">
        <w:t xml:space="preserve"> </w:t>
      </w:r>
      <w:r>
        <w:t xml:space="preserve">at year-end 2019 </w:t>
      </w:r>
      <w:r w:rsidR="00661AC1">
        <w:t xml:space="preserve">were distributed as follows: </w:t>
      </w:r>
      <w:r w:rsidR="00353DC2">
        <w:t>Africa (</w:t>
      </w:r>
      <w:r w:rsidR="00677F30">
        <w:t>14</w:t>
      </w:r>
      <w:r w:rsidR="00353DC2">
        <w:t>)</w:t>
      </w:r>
      <w:r w:rsidR="00747314" w:rsidRPr="003F6E72">
        <w:t>,</w:t>
      </w:r>
      <w:r w:rsidR="00353DC2">
        <w:t xml:space="preserve"> </w:t>
      </w:r>
      <w:r w:rsidR="00747314">
        <w:t>Americas</w:t>
      </w:r>
      <w:r w:rsidR="00353DC2">
        <w:t xml:space="preserve"> (</w:t>
      </w:r>
      <w:r w:rsidR="00695055">
        <w:t>10</w:t>
      </w:r>
      <w:r w:rsidR="00353DC2">
        <w:t>), Arab</w:t>
      </w:r>
      <w:r w:rsidR="00747314" w:rsidRPr="003F6E72">
        <w:t xml:space="preserve"> </w:t>
      </w:r>
      <w:r w:rsidR="00695055">
        <w:t xml:space="preserve">States </w:t>
      </w:r>
      <w:r w:rsidR="00353DC2">
        <w:t>(</w:t>
      </w:r>
      <w:r w:rsidR="00695055">
        <w:t>14</w:t>
      </w:r>
      <w:r w:rsidR="00353DC2">
        <w:t>)</w:t>
      </w:r>
      <w:r w:rsidR="00E52BE5">
        <w:t xml:space="preserve">, </w:t>
      </w:r>
      <w:r w:rsidR="008022D5" w:rsidRPr="003F6E72">
        <w:t>Asia-Pacific</w:t>
      </w:r>
      <w:r w:rsidR="00353DC2">
        <w:t xml:space="preserve"> (</w:t>
      </w:r>
      <w:r w:rsidR="00695055">
        <w:t>8</w:t>
      </w:r>
      <w:r w:rsidR="00353DC2">
        <w:t>)</w:t>
      </w:r>
      <w:r w:rsidR="008022D5" w:rsidRPr="003F6E72">
        <w:t xml:space="preserve">, </w:t>
      </w:r>
      <w:r w:rsidR="00E52BE5">
        <w:t xml:space="preserve">CIS </w:t>
      </w:r>
      <w:r w:rsidR="00353DC2">
        <w:t>(</w:t>
      </w:r>
      <w:r w:rsidR="00695055">
        <w:t>2</w:t>
      </w:r>
      <w:r w:rsidR="00353DC2">
        <w:t>)</w:t>
      </w:r>
      <w:r w:rsidR="00747314" w:rsidDel="009F4AEF">
        <w:t xml:space="preserve"> </w:t>
      </w:r>
      <w:r w:rsidR="00747314">
        <w:t xml:space="preserve">and </w:t>
      </w:r>
      <w:r w:rsidR="00353DC2">
        <w:t>Europe (</w:t>
      </w:r>
      <w:r w:rsidR="00695055">
        <w:t>1</w:t>
      </w:r>
      <w:r w:rsidR="00353DC2">
        <w:t>)</w:t>
      </w:r>
      <w:r w:rsidR="00997660">
        <w:t>.</w:t>
      </w:r>
      <w:r w:rsidR="008D6E39">
        <w:t xml:space="preserve"> </w:t>
      </w:r>
      <w:r w:rsidR="00747314" w:rsidRPr="003F6E72">
        <w:t>In addition to the regional</w:t>
      </w:r>
      <w:r w:rsidR="00747314">
        <w:t xml:space="preserve"> projects, there </w:t>
      </w:r>
      <w:r w:rsidR="00661AC1">
        <w:t>were</w:t>
      </w:r>
      <w:r w:rsidR="00747314">
        <w:t xml:space="preserve"> 2</w:t>
      </w:r>
      <w:r w:rsidR="001F3443">
        <w:t>0</w:t>
      </w:r>
      <w:r w:rsidR="00747314">
        <w:t xml:space="preserve"> global </w:t>
      </w:r>
      <w:r w:rsidR="00353DC2">
        <w:t>projects</w:t>
      </w:r>
      <w:r w:rsidR="00747314">
        <w:t>.</w:t>
      </w:r>
      <w:r w:rsidR="00353DC2">
        <w:t xml:space="preserve"> </w:t>
      </w:r>
    </w:p>
    <w:p w14:paraId="40F5F58C" w14:textId="77777777" w:rsidR="005F706C" w:rsidRDefault="00C508A0" w:rsidP="00C508A0">
      <w:pPr>
        <w:jc w:val="center"/>
      </w:pPr>
      <w:r w:rsidRPr="00C508A0">
        <w:rPr>
          <w:noProof/>
          <w:lang w:eastAsia="zh-CN"/>
        </w:rPr>
        <w:lastRenderedPageBreak/>
        <w:t xml:space="preserve"> </w:t>
      </w:r>
      <w:r>
        <w:rPr>
          <w:noProof/>
          <w:lang w:eastAsia="zh-CN"/>
        </w:rPr>
        <w:drawing>
          <wp:inline distT="0" distB="0" distL="0" distR="0" wp14:anchorId="5CB193AA" wp14:editId="3A2F167D">
            <wp:extent cx="5848350" cy="31527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14AF7D" w14:textId="0189A708" w:rsidR="00747314" w:rsidRDefault="0039691C" w:rsidP="00747314">
      <w:pPr>
        <w:jc w:val="center"/>
        <w:rPr>
          <w:noProof/>
          <w:lang w:val="en-US" w:eastAsia="zh-CN"/>
        </w:rPr>
      </w:pPr>
      <w:r>
        <w:rPr>
          <w:noProof/>
          <w:lang w:eastAsia="zh-CN"/>
        </w:rPr>
        <w:drawing>
          <wp:inline distT="0" distB="0" distL="0" distR="0" wp14:anchorId="39B96A33" wp14:editId="10D1AC0C">
            <wp:extent cx="5819775" cy="3522345"/>
            <wp:effectExtent l="0" t="0" r="9525" b="19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14AF7E" w14:textId="77777777" w:rsidR="00747314" w:rsidRPr="000307D5" w:rsidRDefault="00747314" w:rsidP="00E924B2">
      <w:pPr>
        <w:pStyle w:val="Heading2"/>
        <w:keepLines w:val="0"/>
        <w:numPr>
          <w:ilvl w:val="0"/>
          <w:numId w:val="2"/>
        </w:numPr>
        <w:tabs>
          <w:tab w:val="clear" w:pos="1134"/>
          <w:tab w:val="clear" w:pos="1871"/>
          <w:tab w:val="clear" w:pos="2268"/>
          <w:tab w:val="left" w:pos="1191"/>
          <w:tab w:val="left" w:pos="1588"/>
          <w:tab w:val="left" w:pos="1985"/>
        </w:tabs>
        <w:spacing w:before="120" w:after="120"/>
        <w:ind w:left="357" w:hanging="357"/>
      </w:pPr>
      <w:r>
        <w:t>Ongoing projects by areas of action</w:t>
      </w:r>
      <w:r w:rsidRPr="000307D5">
        <w:t xml:space="preserve"> </w:t>
      </w:r>
    </w:p>
    <w:p w14:paraId="0914AF7F" w14:textId="3AC802CE" w:rsidR="00747314" w:rsidRDefault="00747314" w:rsidP="00AD797F">
      <w:pPr>
        <w:pStyle w:val="ListParagraph"/>
        <w:spacing w:after="120"/>
        <w:ind w:left="0"/>
        <w:contextualSpacing w:val="0"/>
        <w:jc w:val="both"/>
      </w:pPr>
      <w:r w:rsidRPr="009A6692">
        <w:t xml:space="preserve">The following is </w:t>
      </w:r>
      <w:r w:rsidR="000E33BE" w:rsidRPr="009A6692">
        <w:t>the</w:t>
      </w:r>
      <w:r w:rsidRPr="009A6692">
        <w:t xml:space="preserve"> distribution </w:t>
      </w:r>
      <w:r w:rsidR="000E33BE" w:rsidRPr="009A6692">
        <w:t xml:space="preserve">of the 69 ongoing projects </w:t>
      </w:r>
      <w:r w:rsidR="00661AC1" w:rsidRPr="009A6692">
        <w:t xml:space="preserve">by thematic </w:t>
      </w:r>
      <w:r w:rsidR="00602A0F" w:rsidRPr="009A6692">
        <w:t xml:space="preserve">priorities </w:t>
      </w:r>
      <w:r w:rsidR="000E33BE" w:rsidRPr="009A6692">
        <w:t>clearly showing that most</w:t>
      </w:r>
      <w:r w:rsidR="00661AC1" w:rsidRPr="009A6692">
        <w:t xml:space="preserve"> </w:t>
      </w:r>
      <w:r w:rsidR="00F329CD" w:rsidRPr="009A6692">
        <w:t xml:space="preserve">of the </w:t>
      </w:r>
      <w:r w:rsidRPr="009A6692">
        <w:t xml:space="preserve">projects fall </w:t>
      </w:r>
      <w:r w:rsidR="00F329CD" w:rsidRPr="009A6692">
        <w:t>under</w:t>
      </w:r>
      <w:r w:rsidRPr="009A6692">
        <w:t xml:space="preserve"> the </w:t>
      </w:r>
      <w:r w:rsidR="00BC520B" w:rsidRPr="009A6692">
        <w:t>Networks and Digital Infrastructure, Digital Services and Applications</w:t>
      </w:r>
      <w:r w:rsidRPr="009A6692">
        <w:t xml:space="preserve">, </w:t>
      </w:r>
      <w:r w:rsidR="00AD797F" w:rsidRPr="009A6692">
        <w:t xml:space="preserve">and </w:t>
      </w:r>
      <w:r w:rsidRPr="009A6692">
        <w:t xml:space="preserve">Capacity </w:t>
      </w:r>
      <w:r w:rsidR="00BC520B" w:rsidRPr="009A6692">
        <w:t xml:space="preserve">Development </w:t>
      </w:r>
      <w:r w:rsidRPr="009A6692">
        <w:t xml:space="preserve">thematic </w:t>
      </w:r>
      <w:r w:rsidR="00602A0F" w:rsidRPr="009A6692">
        <w:t>priorities</w:t>
      </w:r>
      <w:r w:rsidRPr="009A6692">
        <w:t>.</w:t>
      </w:r>
      <w:r w:rsidR="0039691C" w:rsidRPr="009A6692">
        <w:rPr>
          <w:rStyle w:val="FootnoteReference"/>
        </w:rPr>
        <w:t xml:space="preserve"> </w:t>
      </w:r>
      <w:r w:rsidR="0039691C" w:rsidRPr="009A6692">
        <w:rPr>
          <w:rStyle w:val="FootnoteReference"/>
        </w:rPr>
        <w:footnoteReference w:id="3"/>
      </w:r>
    </w:p>
    <w:p w14:paraId="6F762D76" w14:textId="77777777" w:rsidR="00747314" w:rsidRDefault="00747314" w:rsidP="001339C8">
      <w:pPr>
        <w:pStyle w:val="ListParagraph"/>
        <w:spacing w:after="120"/>
        <w:ind w:left="0"/>
        <w:contextualSpacing w:val="0"/>
      </w:pPr>
      <w:r>
        <w:rPr>
          <w:noProof/>
          <w:lang w:eastAsia="zh-CN"/>
        </w:rPr>
        <w:lastRenderedPageBreak/>
        <w:drawing>
          <wp:inline distT="0" distB="0" distL="0" distR="0" wp14:anchorId="23BAEB00" wp14:editId="54D61E77">
            <wp:extent cx="5920740" cy="3259455"/>
            <wp:effectExtent l="0" t="0" r="3810" b="171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14AF81" w14:textId="4FB9502D" w:rsidR="00747314" w:rsidRDefault="00747314" w:rsidP="00747314">
      <w:pPr>
        <w:pStyle w:val="Heading2"/>
        <w:keepLines w:val="0"/>
        <w:numPr>
          <w:ilvl w:val="0"/>
          <w:numId w:val="2"/>
        </w:numPr>
        <w:tabs>
          <w:tab w:val="clear" w:pos="1134"/>
          <w:tab w:val="clear" w:pos="1871"/>
          <w:tab w:val="clear" w:pos="2268"/>
          <w:tab w:val="left" w:pos="1191"/>
          <w:tab w:val="left" w:pos="1588"/>
          <w:tab w:val="left" w:pos="1985"/>
        </w:tabs>
        <w:spacing w:before="120"/>
        <w:ind w:left="357" w:hanging="357"/>
      </w:pPr>
      <w:r>
        <w:t xml:space="preserve">Projects under development </w:t>
      </w:r>
      <w:r w:rsidR="00F329CD">
        <w:t xml:space="preserve">yet </w:t>
      </w:r>
      <w:r>
        <w:t>to be signed</w:t>
      </w:r>
    </w:p>
    <w:p w14:paraId="0914AF82" w14:textId="362F56BB" w:rsidR="00747314" w:rsidRPr="00E15498" w:rsidRDefault="00747314" w:rsidP="00A33033">
      <w:pPr>
        <w:spacing w:after="120"/>
      </w:pPr>
      <w:r w:rsidRPr="00A33033">
        <w:t xml:space="preserve">Several projects have been under development and are expected to be signed </w:t>
      </w:r>
      <w:r w:rsidR="001F3443">
        <w:t>by</w:t>
      </w:r>
      <w:r w:rsidRPr="00A33033">
        <w:t xml:space="preserve"> </w:t>
      </w:r>
      <w:r w:rsidR="001657C8">
        <w:t xml:space="preserve">the second quarter of </w:t>
      </w:r>
      <w:r w:rsidR="009E6F3F" w:rsidRPr="00E3405A">
        <w:t>2020</w:t>
      </w:r>
      <w:r w:rsidR="00985A02" w:rsidRPr="00173EB8">
        <w:t xml:space="preserve">, </w:t>
      </w:r>
      <w:r w:rsidR="00985A02" w:rsidRPr="00E15498">
        <w:t>such</w:t>
      </w:r>
      <w:r w:rsidRPr="00E15498">
        <w:t xml:space="preserve"> as:</w:t>
      </w:r>
    </w:p>
    <w:p w14:paraId="0914AF86" w14:textId="6B65296C" w:rsidR="00747314" w:rsidRPr="00642F95" w:rsidRDefault="00747314" w:rsidP="00A92C0E">
      <w:pPr>
        <w:pStyle w:val="ListParagraph"/>
        <w:numPr>
          <w:ilvl w:val="0"/>
          <w:numId w:val="11"/>
        </w:numPr>
        <w:tabs>
          <w:tab w:val="left" w:pos="567"/>
        </w:tabs>
        <w:spacing w:before="60"/>
        <w:contextualSpacing w:val="0"/>
        <w:rPr>
          <w:lang w:val="en-US"/>
        </w:rPr>
      </w:pPr>
      <w:r w:rsidRPr="00E15498">
        <w:rPr>
          <w:lang w:val="en-US"/>
        </w:rPr>
        <w:t xml:space="preserve">Updating of </w:t>
      </w:r>
      <w:r w:rsidR="001657C8">
        <w:rPr>
          <w:lang w:val="en-US"/>
        </w:rPr>
        <w:t xml:space="preserve">the </w:t>
      </w:r>
      <w:r w:rsidRPr="00E15498">
        <w:rPr>
          <w:lang w:val="en-US"/>
        </w:rPr>
        <w:t xml:space="preserve">regulatory </w:t>
      </w:r>
      <w:r w:rsidR="001A5FD1" w:rsidRPr="00E15498">
        <w:rPr>
          <w:lang w:val="en-US"/>
        </w:rPr>
        <w:t xml:space="preserve">framework </w:t>
      </w:r>
      <w:r w:rsidRPr="00E15498">
        <w:rPr>
          <w:lang w:val="en-US"/>
        </w:rPr>
        <w:t>in the field of telecommunications in the Republic of Panama</w:t>
      </w:r>
      <w:r w:rsidR="009211C0" w:rsidRPr="00642F95">
        <w:rPr>
          <w:lang w:val="en-US"/>
        </w:rPr>
        <w:t>.</w:t>
      </w:r>
    </w:p>
    <w:p w14:paraId="79427B1D" w14:textId="0B35AA68" w:rsidR="009211C0" w:rsidRPr="00642F95" w:rsidRDefault="009211C0" w:rsidP="00A92C0E">
      <w:pPr>
        <w:pStyle w:val="ListParagraph"/>
        <w:numPr>
          <w:ilvl w:val="0"/>
          <w:numId w:val="11"/>
        </w:numPr>
        <w:tabs>
          <w:tab w:val="left" w:pos="567"/>
        </w:tabs>
        <w:spacing w:before="60"/>
        <w:contextualSpacing w:val="0"/>
        <w:rPr>
          <w:lang w:val="en-US"/>
        </w:rPr>
      </w:pPr>
      <w:r w:rsidRPr="00A33033">
        <w:rPr>
          <w:lang w:val="en-US"/>
        </w:rPr>
        <w:t xml:space="preserve">Specialized </w:t>
      </w:r>
      <w:r w:rsidR="001657C8">
        <w:rPr>
          <w:lang w:val="en-US"/>
        </w:rPr>
        <w:t>a</w:t>
      </w:r>
      <w:r w:rsidRPr="00A33033">
        <w:rPr>
          <w:lang w:val="en-US"/>
        </w:rPr>
        <w:t>dvice for the valuation of the 700</w:t>
      </w:r>
      <w:r w:rsidR="001657C8">
        <w:rPr>
          <w:lang w:val="en-US"/>
        </w:rPr>
        <w:t xml:space="preserve"> </w:t>
      </w:r>
      <w:r w:rsidRPr="00A33033">
        <w:rPr>
          <w:lang w:val="en-US"/>
        </w:rPr>
        <w:t>M</w:t>
      </w:r>
      <w:r w:rsidR="001657C8">
        <w:rPr>
          <w:lang w:val="en-US"/>
        </w:rPr>
        <w:t>H</w:t>
      </w:r>
      <w:r w:rsidRPr="00A33033">
        <w:rPr>
          <w:lang w:val="en-US"/>
        </w:rPr>
        <w:t>z and 2.5</w:t>
      </w:r>
      <w:r w:rsidR="001657C8">
        <w:rPr>
          <w:lang w:val="en-US"/>
        </w:rPr>
        <w:t xml:space="preserve"> </w:t>
      </w:r>
      <w:r w:rsidRPr="00A33033">
        <w:rPr>
          <w:lang w:val="en-US"/>
        </w:rPr>
        <w:t>G</w:t>
      </w:r>
      <w:r w:rsidR="001657C8">
        <w:rPr>
          <w:lang w:val="en-US"/>
        </w:rPr>
        <w:t>H</w:t>
      </w:r>
      <w:r w:rsidRPr="00A33033">
        <w:rPr>
          <w:lang w:val="en-US"/>
        </w:rPr>
        <w:t xml:space="preserve">z bands for the </w:t>
      </w:r>
      <w:r w:rsidR="00ED1768">
        <w:rPr>
          <w:lang w:val="en-US"/>
        </w:rPr>
        <w:t>a</w:t>
      </w:r>
      <w:r w:rsidRPr="00A33033">
        <w:rPr>
          <w:lang w:val="en-US"/>
        </w:rPr>
        <w:t xml:space="preserve">dvanced </w:t>
      </w:r>
      <w:r w:rsidR="00ED1768">
        <w:rPr>
          <w:lang w:val="en-US"/>
        </w:rPr>
        <w:t>m</w:t>
      </w:r>
      <w:r w:rsidRPr="00A33033">
        <w:rPr>
          <w:lang w:val="en-US"/>
        </w:rPr>
        <w:t xml:space="preserve">obile </w:t>
      </w:r>
      <w:r w:rsidR="00ED1768">
        <w:rPr>
          <w:lang w:val="en-US"/>
        </w:rPr>
        <w:t>s</w:t>
      </w:r>
      <w:r w:rsidRPr="00A33033">
        <w:rPr>
          <w:lang w:val="en-US"/>
        </w:rPr>
        <w:t xml:space="preserve">ervice in the process of their assignment or renewal of </w:t>
      </w:r>
      <w:r w:rsidRPr="00E86598">
        <w:rPr>
          <w:lang w:val="en-US"/>
        </w:rPr>
        <w:t>qualifying titles</w:t>
      </w:r>
      <w:r w:rsidRPr="00A33033">
        <w:rPr>
          <w:lang w:val="en-US"/>
        </w:rPr>
        <w:t xml:space="preserve"> in Ecuador</w:t>
      </w:r>
      <w:r w:rsidR="007D401D" w:rsidRPr="00A33033">
        <w:rPr>
          <w:lang w:val="en-US"/>
        </w:rPr>
        <w:t>.</w:t>
      </w:r>
    </w:p>
    <w:p w14:paraId="03CB8439" w14:textId="24D7106E" w:rsidR="00670B75" w:rsidRPr="00642F95" w:rsidRDefault="00670B75" w:rsidP="00A92C0E">
      <w:pPr>
        <w:pStyle w:val="ListParagraph"/>
        <w:numPr>
          <w:ilvl w:val="0"/>
          <w:numId w:val="11"/>
        </w:numPr>
        <w:tabs>
          <w:tab w:val="left" w:pos="567"/>
        </w:tabs>
        <w:spacing w:before="60"/>
        <w:contextualSpacing w:val="0"/>
        <w:rPr>
          <w:lang w:val="en-US"/>
        </w:rPr>
      </w:pPr>
      <w:r w:rsidRPr="00642F95">
        <w:rPr>
          <w:lang w:val="en-US"/>
        </w:rPr>
        <w:t xml:space="preserve">Advice and support to </w:t>
      </w:r>
      <w:r w:rsidR="001657C8">
        <w:rPr>
          <w:lang w:val="en-US"/>
        </w:rPr>
        <w:t>a</w:t>
      </w:r>
      <w:r w:rsidRPr="00642F95">
        <w:rPr>
          <w:lang w:val="en-US"/>
        </w:rPr>
        <w:t>dministrations in the use of frequencies of the digital dividend and spectrum management.</w:t>
      </w:r>
    </w:p>
    <w:p w14:paraId="319C23A6" w14:textId="05D025EE" w:rsidR="00670B75" w:rsidRPr="00642F95" w:rsidRDefault="00670B75" w:rsidP="00A92C0E">
      <w:pPr>
        <w:pStyle w:val="ListParagraph"/>
        <w:numPr>
          <w:ilvl w:val="0"/>
          <w:numId w:val="11"/>
        </w:numPr>
        <w:tabs>
          <w:tab w:val="left" w:pos="567"/>
        </w:tabs>
        <w:spacing w:before="60"/>
        <w:contextualSpacing w:val="0"/>
        <w:rPr>
          <w:lang w:val="en-US"/>
        </w:rPr>
      </w:pPr>
      <w:r w:rsidRPr="00642F95">
        <w:rPr>
          <w:lang w:val="en-US"/>
        </w:rPr>
        <w:t>Deployment of broadband infrastructure, especially in rural and neglected areas, and strengthening of broadband access to services and applications</w:t>
      </w:r>
      <w:r w:rsidR="000D0043">
        <w:rPr>
          <w:lang w:val="en-US"/>
        </w:rPr>
        <w:t>.</w:t>
      </w:r>
    </w:p>
    <w:p w14:paraId="40BF8200" w14:textId="699E0BB9" w:rsidR="004E74CD" w:rsidRPr="00642F95" w:rsidRDefault="004E74CD" w:rsidP="00A92C0E">
      <w:pPr>
        <w:pStyle w:val="ListParagraph"/>
        <w:numPr>
          <w:ilvl w:val="0"/>
          <w:numId w:val="11"/>
        </w:numPr>
        <w:tabs>
          <w:tab w:val="left" w:pos="567"/>
        </w:tabs>
        <w:spacing w:before="60"/>
        <w:contextualSpacing w:val="0"/>
        <w:rPr>
          <w:lang w:val="en-US"/>
        </w:rPr>
      </w:pPr>
      <w:r w:rsidRPr="00642F95">
        <w:rPr>
          <w:lang w:val="en-US"/>
        </w:rPr>
        <w:t xml:space="preserve">ICT </w:t>
      </w:r>
      <w:r w:rsidR="001657C8">
        <w:rPr>
          <w:lang w:val="en-US"/>
        </w:rPr>
        <w:t>b</w:t>
      </w:r>
      <w:r w:rsidRPr="00642F95">
        <w:rPr>
          <w:lang w:val="en-US"/>
        </w:rPr>
        <w:t xml:space="preserve">enchmarking in </w:t>
      </w:r>
      <w:r w:rsidR="00F329CD">
        <w:rPr>
          <w:lang w:val="en-US"/>
        </w:rPr>
        <w:t xml:space="preserve">the </w:t>
      </w:r>
      <w:r w:rsidRPr="00642F95">
        <w:rPr>
          <w:lang w:val="en-US"/>
        </w:rPr>
        <w:t>Central Africa</w:t>
      </w:r>
      <w:r w:rsidR="00F329CD">
        <w:rPr>
          <w:lang w:val="en-US"/>
        </w:rPr>
        <w:t>n sub-region</w:t>
      </w:r>
      <w:r w:rsidRPr="00642F95">
        <w:rPr>
          <w:lang w:val="en-US"/>
        </w:rPr>
        <w:t>.</w:t>
      </w:r>
    </w:p>
    <w:p w14:paraId="66EDE043" w14:textId="6628D31B" w:rsidR="004E74CD" w:rsidRPr="00642F95" w:rsidRDefault="004E74CD" w:rsidP="00A92C0E">
      <w:pPr>
        <w:pStyle w:val="ListParagraph"/>
        <w:numPr>
          <w:ilvl w:val="0"/>
          <w:numId w:val="11"/>
        </w:numPr>
        <w:tabs>
          <w:tab w:val="left" w:pos="567"/>
        </w:tabs>
        <w:spacing w:before="60"/>
        <w:contextualSpacing w:val="0"/>
        <w:rPr>
          <w:lang w:val="en-US"/>
        </w:rPr>
      </w:pPr>
      <w:r w:rsidRPr="00642F95">
        <w:rPr>
          <w:lang w:val="en-US"/>
        </w:rPr>
        <w:t>Boosting decent jobs and enhancing skills for youth in Africa’s digital economy.</w:t>
      </w:r>
    </w:p>
    <w:p w14:paraId="7201A5DA" w14:textId="6184499D" w:rsidR="00B1568A" w:rsidRPr="00A33033" w:rsidRDefault="00B1568A" w:rsidP="00A92C0E">
      <w:pPr>
        <w:pStyle w:val="ListParagraph"/>
        <w:numPr>
          <w:ilvl w:val="0"/>
          <w:numId w:val="11"/>
        </w:numPr>
        <w:tabs>
          <w:tab w:val="left" w:pos="567"/>
        </w:tabs>
        <w:spacing w:before="60"/>
        <w:contextualSpacing w:val="0"/>
        <w:rPr>
          <w:lang w:val="en-US"/>
        </w:rPr>
      </w:pPr>
      <w:r w:rsidRPr="00A33033">
        <w:rPr>
          <w:lang w:val="en-US"/>
        </w:rPr>
        <w:t>Automatic detection of diabetic retinopathy in Senegal.</w:t>
      </w:r>
    </w:p>
    <w:p w14:paraId="0914AF8B" w14:textId="5223A1E1" w:rsidR="00747314" w:rsidRPr="00E15498" w:rsidRDefault="00D9634C" w:rsidP="00A92C0E">
      <w:pPr>
        <w:pStyle w:val="ListParagraph"/>
        <w:numPr>
          <w:ilvl w:val="0"/>
          <w:numId w:val="11"/>
        </w:numPr>
        <w:tabs>
          <w:tab w:val="left" w:pos="567"/>
        </w:tabs>
        <w:spacing w:before="60"/>
        <w:contextualSpacing w:val="0"/>
      </w:pPr>
      <w:r w:rsidRPr="00E15498">
        <w:t xml:space="preserve">Supporting Asia-Pacific </w:t>
      </w:r>
      <w:r w:rsidR="001657C8">
        <w:t>r</w:t>
      </w:r>
      <w:r w:rsidRPr="00E15498">
        <w:t xml:space="preserve">egional </w:t>
      </w:r>
      <w:r w:rsidR="001657C8">
        <w:t>i</w:t>
      </w:r>
      <w:r w:rsidR="001657C8" w:rsidRPr="00E15498">
        <w:t>nitiatives</w:t>
      </w:r>
      <w:r w:rsidR="000D0043">
        <w:t>.</w:t>
      </w:r>
    </w:p>
    <w:p w14:paraId="3E042340" w14:textId="0A65505B" w:rsidR="008338E0" w:rsidRPr="00E15498" w:rsidRDefault="008338E0" w:rsidP="00A92C0E">
      <w:pPr>
        <w:pStyle w:val="ListParagraph"/>
        <w:numPr>
          <w:ilvl w:val="0"/>
          <w:numId w:val="11"/>
        </w:numPr>
        <w:tabs>
          <w:tab w:val="left" w:pos="567"/>
        </w:tabs>
        <w:spacing w:before="60"/>
        <w:contextualSpacing w:val="0"/>
      </w:pPr>
      <w:r w:rsidRPr="00E15498">
        <w:t>International Research, Development and Testing Centre</w:t>
      </w:r>
      <w:r w:rsidR="001657C8" w:rsidRPr="00E15498">
        <w:t xml:space="preserve"> (IRDTC)</w:t>
      </w:r>
      <w:r w:rsidR="00ED1768">
        <w:t xml:space="preserve"> </w:t>
      </w:r>
      <w:r w:rsidRPr="00E15498">
        <w:t>for new equipment, technologies and services</w:t>
      </w:r>
      <w:r w:rsidR="00ED1768">
        <w:t>,</w:t>
      </w:r>
      <w:r w:rsidRPr="00E15498">
        <w:t xml:space="preserve"> Phase 2 – CIS</w:t>
      </w:r>
      <w:r w:rsidR="00ED1768">
        <w:t xml:space="preserve"> </w:t>
      </w:r>
      <w:r w:rsidR="001657C8">
        <w:t>r</w:t>
      </w:r>
      <w:r w:rsidRPr="00E15498">
        <w:t>egion</w:t>
      </w:r>
      <w:r w:rsidR="000D0043">
        <w:t>.</w:t>
      </w:r>
    </w:p>
    <w:p w14:paraId="65B6C5D1" w14:textId="6386DCFF" w:rsidR="008338E0" w:rsidRPr="00E15498" w:rsidRDefault="008338E0" w:rsidP="00A92C0E">
      <w:pPr>
        <w:pStyle w:val="ListParagraph"/>
        <w:numPr>
          <w:ilvl w:val="0"/>
          <w:numId w:val="11"/>
        </w:numPr>
        <w:tabs>
          <w:tab w:val="left" w:pos="567"/>
        </w:tabs>
        <w:spacing w:before="60"/>
        <w:contextualSpacing w:val="0"/>
      </w:pPr>
      <w:r w:rsidRPr="00642F95">
        <w:t>Creation of “AI and Robotics Lab” in Uzbekistan</w:t>
      </w:r>
      <w:r w:rsidR="000D0043">
        <w:t>.</w:t>
      </w:r>
    </w:p>
    <w:p w14:paraId="5E854D6F" w14:textId="01A24C7D" w:rsidR="0024473F" w:rsidRPr="00E15498" w:rsidRDefault="0024473F" w:rsidP="00A92C0E">
      <w:pPr>
        <w:pStyle w:val="ListParagraph"/>
        <w:numPr>
          <w:ilvl w:val="0"/>
          <w:numId w:val="11"/>
        </w:numPr>
        <w:tabs>
          <w:tab w:val="left" w:pos="567"/>
        </w:tabs>
        <w:spacing w:before="60"/>
        <w:contextualSpacing w:val="0"/>
      </w:pPr>
      <w:r w:rsidRPr="00E15498">
        <w:t xml:space="preserve">Mapping </w:t>
      </w:r>
      <w:r w:rsidR="00ED1768">
        <w:t>s</w:t>
      </w:r>
      <w:r w:rsidRPr="00E15498">
        <w:t xml:space="preserve">ystems in </w:t>
      </w:r>
      <w:r w:rsidR="00ED1768">
        <w:t>b</w:t>
      </w:r>
      <w:r w:rsidRPr="00E15498">
        <w:t>roadband for South Eastern Europe</w:t>
      </w:r>
      <w:r w:rsidR="000D0043">
        <w:t>.</w:t>
      </w:r>
    </w:p>
    <w:p w14:paraId="3D25EC76" w14:textId="6362B212" w:rsidR="0024473F" w:rsidRDefault="0024473F" w:rsidP="00A92C0E">
      <w:pPr>
        <w:pStyle w:val="ListParagraph"/>
        <w:numPr>
          <w:ilvl w:val="0"/>
          <w:numId w:val="11"/>
        </w:numPr>
        <w:tabs>
          <w:tab w:val="left" w:pos="567"/>
        </w:tabs>
        <w:spacing w:before="60"/>
        <w:contextualSpacing w:val="0"/>
      </w:pPr>
      <w:r w:rsidRPr="00E15498">
        <w:t>Child Online Protection in Asia-Pacific</w:t>
      </w:r>
      <w:r w:rsidR="000D0043">
        <w:t>.</w:t>
      </w:r>
      <w:r w:rsidRPr="00E15498">
        <w:t xml:space="preserve"> </w:t>
      </w:r>
    </w:p>
    <w:p w14:paraId="5B7BC882" w14:textId="48BD690D" w:rsidR="00202CE1" w:rsidRPr="002301D0" w:rsidRDefault="00202CE1" w:rsidP="00A92C0E">
      <w:pPr>
        <w:pStyle w:val="ListParagraph"/>
        <w:numPr>
          <w:ilvl w:val="0"/>
          <w:numId w:val="11"/>
        </w:numPr>
        <w:tabs>
          <w:tab w:val="left" w:pos="567"/>
        </w:tabs>
        <w:spacing w:before="60"/>
        <w:contextualSpacing w:val="0"/>
      </w:pPr>
      <w:r>
        <w:rPr>
          <w:rFonts w:ascii="Trebuchet MS" w:hAnsi="Trebuchet MS"/>
          <w:color w:val="000000"/>
          <w:sz w:val="21"/>
          <w:szCs w:val="21"/>
        </w:rPr>
        <w:t xml:space="preserve">Enhancing the </w:t>
      </w:r>
      <w:r w:rsidR="00ED1768">
        <w:rPr>
          <w:rFonts w:ascii="Trebuchet MS" w:hAnsi="Trebuchet MS"/>
          <w:color w:val="000000"/>
          <w:sz w:val="21"/>
          <w:szCs w:val="21"/>
        </w:rPr>
        <w:t>d</w:t>
      </w:r>
      <w:r>
        <w:rPr>
          <w:rFonts w:ascii="Trebuchet MS" w:hAnsi="Trebuchet MS"/>
          <w:color w:val="000000"/>
          <w:sz w:val="21"/>
          <w:szCs w:val="21"/>
        </w:rPr>
        <w:t xml:space="preserve">igital </w:t>
      </w:r>
      <w:r w:rsidR="00ED1768">
        <w:rPr>
          <w:rFonts w:ascii="Trebuchet MS" w:hAnsi="Trebuchet MS"/>
          <w:color w:val="000000"/>
          <w:sz w:val="21"/>
          <w:szCs w:val="21"/>
        </w:rPr>
        <w:t>e</w:t>
      </w:r>
      <w:r>
        <w:rPr>
          <w:rFonts w:ascii="Trebuchet MS" w:hAnsi="Trebuchet MS"/>
          <w:color w:val="000000"/>
          <w:sz w:val="21"/>
          <w:szCs w:val="21"/>
        </w:rPr>
        <w:t xml:space="preserve">cosystem and </w:t>
      </w:r>
      <w:r w:rsidR="00ED1768">
        <w:rPr>
          <w:rFonts w:ascii="Trebuchet MS" w:hAnsi="Trebuchet MS"/>
          <w:color w:val="000000"/>
          <w:sz w:val="21"/>
          <w:szCs w:val="21"/>
        </w:rPr>
        <w:t>d</w:t>
      </w:r>
      <w:r>
        <w:rPr>
          <w:rFonts w:ascii="Trebuchet MS" w:hAnsi="Trebuchet MS"/>
          <w:color w:val="000000"/>
          <w:sz w:val="21"/>
          <w:szCs w:val="21"/>
        </w:rPr>
        <w:t xml:space="preserve">igital </w:t>
      </w:r>
      <w:r w:rsidR="00ED1768">
        <w:rPr>
          <w:rFonts w:ascii="Trebuchet MS" w:hAnsi="Trebuchet MS"/>
          <w:color w:val="000000"/>
          <w:sz w:val="21"/>
          <w:szCs w:val="21"/>
        </w:rPr>
        <w:t>s</w:t>
      </w:r>
      <w:r>
        <w:rPr>
          <w:rFonts w:ascii="Trebuchet MS" w:hAnsi="Trebuchet MS"/>
          <w:color w:val="000000"/>
          <w:sz w:val="21"/>
          <w:szCs w:val="21"/>
        </w:rPr>
        <w:t>kills for the economic empowerment of women in   LDCs</w:t>
      </w:r>
      <w:r w:rsidR="00F329CD">
        <w:rPr>
          <w:rFonts w:ascii="Trebuchet MS" w:hAnsi="Trebuchet MS"/>
          <w:color w:val="000000"/>
          <w:sz w:val="21"/>
          <w:szCs w:val="21"/>
        </w:rPr>
        <w:t>.</w:t>
      </w:r>
    </w:p>
    <w:p w14:paraId="355B8F4D" w14:textId="77777777" w:rsidR="00747314" w:rsidRDefault="00747314" w:rsidP="004C18AB">
      <w:pPr>
        <w:spacing w:before="0"/>
        <w:jc w:val="center"/>
      </w:pPr>
      <w:r w:rsidRPr="00CD134F">
        <w:rPr>
          <w:noProof/>
          <w:lang w:eastAsia="zh-CN"/>
        </w:rPr>
        <w:lastRenderedPageBreak/>
        <w:drawing>
          <wp:inline distT="0" distB="0" distL="0" distR="0" wp14:anchorId="14954F2C" wp14:editId="3F0B086D">
            <wp:extent cx="5219065" cy="3331210"/>
            <wp:effectExtent l="0" t="0" r="635"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E3BF90" w14:textId="77777777" w:rsidR="008022D5" w:rsidRDefault="008022D5" w:rsidP="004C18AB">
      <w:pPr>
        <w:spacing w:before="0"/>
        <w:jc w:val="center"/>
      </w:pPr>
    </w:p>
    <w:p w14:paraId="0914AF8F" w14:textId="77777777" w:rsidR="00747314" w:rsidRDefault="00747314" w:rsidP="004C18AB">
      <w:pPr>
        <w:pStyle w:val="Heading2"/>
        <w:keepLines w:val="0"/>
        <w:numPr>
          <w:ilvl w:val="0"/>
          <w:numId w:val="2"/>
        </w:numPr>
        <w:tabs>
          <w:tab w:val="clear" w:pos="1134"/>
          <w:tab w:val="clear" w:pos="1871"/>
          <w:tab w:val="clear" w:pos="2268"/>
          <w:tab w:val="left" w:pos="1191"/>
          <w:tab w:val="left" w:pos="1588"/>
          <w:tab w:val="left" w:pos="1985"/>
        </w:tabs>
        <w:spacing w:before="120" w:after="120"/>
        <w:ind w:left="357" w:hanging="357"/>
      </w:pPr>
      <w:r>
        <w:t>Funding sources for projects</w:t>
      </w:r>
    </w:p>
    <w:p w14:paraId="0914AF90" w14:textId="5B3F1808" w:rsidR="00747314" w:rsidRDefault="00747314" w:rsidP="00A0173C">
      <w:pPr>
        <w:spacing w:after="120"/>
      </w:pPr>
      <w:r>
        <w:t xml:space="preserve">ITU </w:t>
      </w:r>
      <w:r w:rsidR="00C111CB">
        <w:t>p</w:t>
      </w:r>
      <w:r>
        <w:t xml:space="preserve">rojects are funded mostly through extra-budgetary resources. Projects have four types of funding sources: Funds in Trust (FIT), ICT Development Fund (ICTDF), </w:t>
      </w:r>
      <w:r w:rsidR="00C111CB">
        <w:t>v</w:t>
      </w:r>
      <w:r>
        <w:t xml:space="preserve">oluntary </w:t>
      </w:r>
      <w:r w:rsidR="00C111CB">
        <w:t>c</w:t>
      </w:r>
      <w:r>
        <w:t>ontributions</w:t>
      </w:r>
      <w:r w:rsidR="00C111CB">
        <w:t>,</w:t>
      </w:r>
      <w:r>
        <w:t xml:space="preserve"> and </w:t>
      </w:r>
      <w:r w:rsidR="00C111CB">
        <w:t xml:space="preserve">the </w:t>
      </w:r>
      <w:r>
        <w:t xml:space="preserve">ITU </w:t>
      </w:r>
      <w:r w:rsidR="00C111CB">
        <w:t>r</w:t>
      </w:r>
      <w:r>
        <w:t xml:space="preserve">egular </w:t>
      </w:r>
      <w:r w:rsidR="00C111CB">
        <w:t>b</w:t>
      </w:r>
      <w:r>
        <w:t>udget.</w:t>
      </w:r>
      <w:r w:rsidR="008D6E39">
        <w:t xml:space="preserve"> </w:t>
      </w:r>
    </w:p>
    <w:p w14:paraId="0914AF91" w14:textId="2DD29243" w:rsidR="00747314" w:rsidRDefault="00747314" w:rsidP="00642F95">
      <w:pPr>
        <w:spacing w:after="120"/>
      </w:pPr>
      <w:r>
        <w:t>Based on the ongoing budget for the implementation of projects as of 3</w:t>
      </w:r>
      <w:r w:rsidR="00642F95">
        <w:t>0</w:t>
      </w:r>
      <w:r>
        <w:t xml:space="preserve"> </w:t>
      </w:r>
      <w:r w:rsidR="00642F95">
        <w:t>September</w:t>
      </w:r>
      <w:r>
        <w:t xml:space="preserve"> </w:t>
      </w:r>
      <w:r w:rsidR="00E112ED">
        <w:t>201</w:t>
      </w:r>
      <w:r w:rsidR="00E112ED" w:rsidRPr="00642F95">
        <w:t>9</w:t>
      </w:r>
      <w:r w:rsidRPr="00642F95">
        <w:t xml:space="preserve">, </w:t>
      </w:r>
      <w:r w:rsidRPr="00C508A0">
        <w:t>8</w:t>
      </w:r>
      <w:r w:rsidR="00642F95" w:rsidRPr="00C508A0">
        <w:t>7</w:t>
      </w:r>
      <w:r w:rsidR="00C111CB">
        <w:t xml:space="preserve"> per cent</w:t>
      </w:r>
      <w:r w:rsidRPr="00C508A0">
        <w:t xml:space="preserve"> corresponds to Funds in Trust, 9</w:t>
      </w:r>
      <w:r w:rsidR="00C111CB">
        <w:t xml:space="preserve"> per cent</w:t>
      </w:r>
      <w:r w:rsidRPr="00C508A0">
        <w:t xml:space="preserve"> to the ICTDF and </w:t>
      </w:r>
      <w:r w:rsidR="00642F95" w:rsidRPr="00C508A0">
        <w:t>4</w:t>
      </w:r>
      <w:r w:rsidR="00C111CB">
        <w:t xml:space="preserve"> per cent</w:t>
      </w:r>
      <w:r w:rsidRPr="00C508A0">
        <w:t xml:space="preserve"> to the BDT </w:t>
      </w:r>
      <w:r w:rsidR="00C111CB">
        <w:t>o</w:t>
      </w:r>
      <w:r w:rsidRPr="00C508A0">
        <w:t xml:space="preserve">perational </w:t>
      </w:r>
      <w:r w:rsidR="00C111CB">
        <w:t>p</w:t>
      </w:r>
      <w:r w:rsidRPr="00C508A0">
        <w:t>lan.</w:t>
      </w:r>
    </w:p>
    <w:p w14:paraId="0914AF92" w14:textId="282EB279" w:rsidR="00747314" w:rsidRDefault="00C111CB" w:rsidP="009A6692">
      <w:pPr>
        <w:spacing w:after="120"/>
      </w:pPr>
      <w:r>
        <w:t>I</w:t>
      </w:r>
      <w:r w:rsidR="00370A55" w:rsidRPr="004662D3">
        <w:t>n principle</w:t>
      </w:r>
      <w:r>
        <w:t>,</w:t>
      </w:r>
      <w:r w:rsidRPr="00C111CB">
        <w:t xml:space="preserve"> </w:t>
      </w:r>
      <w:r>
        <w:t>funds from ICT</w:t>
      </w:r>
      <w:r w:rsidRPr="004662D3">
        <w:t>DF</w:t>
      </w:r>
      <w:r>
        <w:t xml:space="preserve"> are granted as </w:t>
      </w:r>
      <w:r w:rsidR="00370A55" w:rsidRPr="004662D3">
        <w:t xml:space="preserve">seed </w:t>
      </w:r>
      <w:r>
        <w:t xml:space="preserve">money, </w:t>
      </w:r>
      <w:r w:rsidR="00370A55" w:rsidRPr="004662D3">
        <w:t>normally up to 25</w:t>
      </w:r>
      <w:r>
        <w:t xml:space="preserve"> per cent </w:t>
      </w:r>
      <w:r w:rsidR="00370A55" w:rsidRPr="004662D3">
        <w:t>of the total cost of a development project</w:t>
      </w:r>
      <w:r w:rsidR="00EA0636">
        <w:t>.</w:t>
      </w:r>
      <w:r w:rsidR="00F83146">
        <w:t xml:space="preserve"> This</w:t>
      </w:r>
      <w:r w:rsidR="00370A55" w:rsidRPr="004662D3">
        <w:t xml:space="preserve"> seed funding is</w:t>
      </w:r>
      <w:r w:rsidR="005F576C">
        <w:t xml:space="preserve"> intended </w:t>
      </w:r>
      <w:r w:rsidR="00370A55" w:rsidRPr="004662D3">
        <w:t xml:space="preserve">to attract extra-budgetary </w:t>
      </w:r>
      <w:r w:rsidR="00A0173C">
        <w:t>cash contributions for development projects</w:t>
      </w:r>
      <w:r w:rsidR="00370A55" w:rsidRPr="004662D3">
        <w:t xml:space="preserve"> through resource mobilization</w:t>
      </w:r>
      <w:r w:rsidR="00370A55">
        <w:t xml:space="preserve">. </w:t>
      </w:r>
      <w:r w:rsidR="00F83146">
        <w:t xml:space="preserve"> Among the criteria used</w:t>
      </w:r>
      <w:r w:rsidR="00A0173C">
        <w:t xml:space="preserve"> for selection and eligibility</w:t>
      </w:r>
      <w:r w:rsidR="00F83146">
        <w:t xml:space="preserve">, </w:t>
      </w:r>
      <w:r>
        <w:t>ICT</w:t>
      </w:r>
      <w:r w:rsidRPr="004662D3">
        <w:t>DF</w:t>
      </w:r>
      <w:r>
        <w:t xml:space="preserve"> gives some priority </w:t>
      </w:r>
      <w:r w:rsidR="00B3496A">
        <w:t xml:space="preserve">to </w:t>
      </w:r>
      <w:r w:rsidR="00F83146">
        <w:t>projects</w:t>
      </w:r>
      <w:r w:rsidR="00B3496A">
        <w:t>,</w:t>
      </w:r>
      <w:r w:rsidR="00F83146">
        <w:t xml:space="preserve"> where beneficiaries </w:t>
      </w:r>
      <w:r w:rsidR="00A0173C">
        <w:t xml:space="preserve">include one or more least developed countries (LDCs), small island developing </w:t>
      </w:r>
      <w:r>
        <w:t>S</w:t>
      </w:r>
      <w:r w:rsidR="00A0173C">
        <w:t>tates (SIDS), landlocked developing countries, countries with economies in transition and countries in special need.</w:t>
      </w:r>
      <w:r w:rsidR="00F83146">
        <w:t xml:space="preserve"> </w:t>
      </w:r>
      <w:r>
        <w:t xml:space="preserve"> </w:t>
      </w:r>
    </w:p>
    <w:p w14:paraId="0914AF93" w14:textId="11D9AC30" w:rsidR="00747314" w:rsidRDefault="00747314" w:rsidP="00A33033">
      <w:pPr>
        <w:spacing w:after="120"/>
      </w:pPr>
      <w:r>
        <w:t xml:space="preserve">For funding projects </w:t>
      </w:r>
      <w:r w:rsidR="00B3496A">
        <w:t xml:space="preserve">which </w:t>
      </w:r>
      <w:r>
        <w:t xml:space="preserve">implement the WTDC-17 </w:t>
      </w:r>
      <w:r w:rsidR="00B3496A">
        <w:t>r</w:t>
      </w:r>
      <w:r>
        <w:t xml:space="preserve">egional </w:t>
      </w:r>
      <w:r w:rsidR="00B3496A">
        <w:t>i</w:t>
      </w:r>
      <w:r>
        <w:t>nitiatives, ITU Council-18 allocate</w:t>
      </w:r>
      <w:r w:rsidR="00B3496A">
        <w:t>d</w:t>
      </w:r>
      <w:r>
        <w:t xml:space="preserve"> </w:t>
      </w:r>
      <w:r w:rsidR="0014750C">
        <w:t>CHF 2 </w:t>
      </w:r>
      <w:r>
        <w:t xml:space="preserve">million for the period 2018-2019 from the 2017 </w:t>
      </w:r>
      <w:r w:rsidR="00B3496A">
        <w:t>o</w:t>
      </w:r>
      <w:r>
        <w:t xml:space="preserve">perational </w:t>
      </w:r>
      <w:r w:rsidR="00B3496A">
        <w:t>p</w:t>
      </w:r>
      <w:r>
        <w:t>lan and include</w:t>
      </w:r>
      <w:r w:rsidR="00B3496A">
        <w:t>d</w:t>
      </w:r>
      <w:r>
        <w:t xml:space="preserve"> </w:t>
      </w:r>
      <w:r w:rsidR="0014750C">
        <w:t>CHF 3 </w:t>
      </w:r>
      <w:r>
        <w:t>million for 2020-2021 in the Financial Plan 2020-2023. These funds were</w:t>
      </w:r>
      <w:r w:rsidR="00E86598">
        <w:t xml:space="preserve"> </w:t>
      </w:r>
      <w:r>
        <w:t xml:space="preserve">allocated </w:t>
      </w:r>
      <w:r w:rsidR="00B3496A">
        <w:t xml:space="preserve">as seed money to attract funds from potential partners </w:t>
      </w:r>
      <w:r w:rsidR="00985A02">
        <w:t>to support</w:t>
      </w:r>
      <w:r w:rsidR="00BF2596">
        <w:t xml:space="preserve"> implementation </w:t>
      </w:r>
      <w:r w:rsidR="00887500">
        <w:t xml:space="preserve">of </w:t>
      </w:r>
      <w:r w:rsidR="00B3496A">
        <w:t xml:space="preserve">the </w:t>
      </w:r>
      <w:r w:rsidR="00887500">
        <w:t>regional initiatives</w:t>
      </w:r>
      <w:r w:rsidR="00B3496A">
        <w:t>.</w:t>
      </w:r>
      <w:r w:rsidR="00BF2596">
        <w:t xml:space="preserve"> </w:t>
      </w:r>
      <w:r>
        <w:t xml:space="preserve"> </w:t>
      </w:r>
    </w:p>
    <w:p w14:paraId="0914AF94" w14:textId="7F4FE736" w:rsidR="00747314" w:rsidRPr="00642F95" w:rsidRDefault="00747314" w:rsidP="00642F95">
      <w:pPr>
        <w:pStyle w:val="ListParagraph"/>
        <w:numPr>
          <w:ilvl w:val="0"/>
          <w:numId w:val="2"/>
        </w:numPr>
        <w:spacing w:after="120"/>
        <w:ind w:left="426"/>
        <w:contextualSpacing w:val="0"/>
        <w:rPr>
          <w:b/>
          <w:bCs/>
        </w:rPr>
      </w:pPr>
      <w:r w:rsidRPr="003567C2">
        <w:rPr>
          <w:b/>
          <w:bCs/>
        </w:rPr>
        <w:t xml:space="preserve"> </w:t>
      </w:r>
      <w:r w:rsidR="00BF2596">
        <w:rPr>
          <w:b/>
          <w:bCs/>
        </w:rPr>
        <w:t>E</w:t>
      </w:r>
      <w:r w:rsidRPr="003567C2">
        <w:rPr>
          <w:b/>
          <w:bCs/>
        </w:rPr>
        <w:t xml:space="preserve">fforts being made, </w:t>
      </w:r>
      <w:r w:rsidR="00BF2596">
        <w:rPr>
          <w:b/>
          <w:bCs/>
        </w:rPr>
        <w:t>aimed at</w:t>
      </w:r>
      <w:r w:rsidRPr="003567C2">
        <w:rPr>
          <w:b/>
          <w:bCs/>
        </w:rPr>
        <w:t xml:space="preserve"> strengthening  the project execution function</w:t>
      </w:r>
    </w:p>
    <w:p w14:paraId="0914AF95" w14:textId="704E2C60" w:rsidR="00747314" w:rsidRPr="00872705" w:rsidRDefault="00BF2596" w:rsidP="00A33033">
      <w:pPr>
        <w:spacing w:after="120"/>
        <w:rPr>
          <w:bCs/>
        </w:rPr>
      </w:pPr>
      <w:r>
        <w:t xml:space="preserve">There are a number of initiatives that were launched to strengthen the BDT project execution role that go beyond </w:t>
      </w:r>
      <w:r w:rsidR="00747314" w:rsidRPr="003567C2">
        <w:t xml:space="preserve"> developing and refining the necessary tools, methodologies, guidelines, templates, standards, database</w:t>
      </w:r>
      <w:r>
        <w:t>s</w:t>
      </w:r>
      <w:r w:rsidR="00747314" w:rsidRPr="003567C2">
        <w:t xml:space="preserve"> related to projects and project management</w:t>
      </w:r>
      <w:r>
        <w:t>. These include:</w:t>
      </w:r>
    </w:p>
    <w:p w14:paraId="0914AF96" w14:textId="2256588B" w:rsidR="00747314" w:rsidRDefault="00747314" w:rsidP="00A92C0E">
      <w:pPr>
        <w:pStyle w:val="ListParagraph"/>
        <w:numPr>
          <w:ilvl w:val="0"/>
          <w:numId w:val="12"/>
        </w:numPr>
        <w:spacing w:before="40" w:after="40"/>
        <w:contextualSpacing w:val="0"/>
      </w:pPr>
      <w:r w:rsidRPr="003567C2">
        <w:rPr>
          <w:b/>
          <w:bCs/>
        </w:rPr>
        <w:t>Project post</w:t>
      </w:r>
      <w:r w:rsidR="009D1BC0">
        <w:rPr>
          <w:b/>
          <w:bCs/>
        </w:rPr>
        <w:t>-</w:t>
      </w:r>
      <w:r w:rsidRPr="003567C2">
        <w:rPr>
          <w:b/>
          <w:bCs/>
        </w:rPr>
        <w:t>implementation assessments:</w:t>
      </w:r>
      <w:r>
        <w:t xml:space="preserve"> </w:t>
      </w:r>
      <w:r w:rsidRPr="004401A2">
        <w:t xml:space="preserve">BDT </w:t>
      </w:r>
      <w:r>
        <w:t>has</w:t>
      </w:r>
      <w:r w:rsidRPr="004401A2">
        <w:t xml:space="preserve"> conduct</w:t>
      </w:r>
      <w:r>
        <w:t>ed</w:t>
      </w:r>
      <w:r w:rsidRPr="004401A2">
        <w:t xml:space="preserve"> post</w:t>
      </w:r>
      <w:r w:rsidR="009D1BC0">
        <w:t>-</w:t>
      </w:r>
      <w:r w:rsidRPr="004401A2">
        <w:t xml:space="preserve">implementation assessments for several ITU projects. These assessments aim to review the </w:t>
      </w:r>
      <w:r>
        <w:t>key performance indicators</w:t>
      </w:r>
      <w:r w:rsidR="00BF2596">
        <w:t xml:space="preserve"> </w:t>
      </w:r>
      <w:r w:rsidR="00EC5BB4">
        <w:t xml:space="preserve">set </w:t>
      </w:r>
      <w:r w:rsidR="00BF2596">
        <w:t>to assess the achievement of results</w:t>
      </w:r>
      <w:r>
        <w:t>,</w:t>
      </w:r>
      <w:r w:rsidRPr="004401A2">
        <w:t xml:space="preserve"> efficiency and effectiveness </w:t>
      </w:r>
      <w:r w:rsidR="00BF2596">
        <w:t>related to project implementation</w:t>
      </w:r>
      <w:r w:rsidR="00985A02">
        <w:t xml:space="preserve">, </w:t>
      </w:r>
      <w:r w:rsidR="00985A02" w:rsidRPr="004401A2">
        <w:t>as</w:t>
      </w:r>
      <w:r w:rsidRPr="004401A2">
        <w:t xml:space="preserve"> well as the </w:t>
      </w:r>
      <w:r>
        <w:t xml:space="preserve">impact of </w:t>
      </w:r>
      <w:r w:rsidRPr="004401A2">
        <w:t>achieved results</w:t>
      </w:r>
      <w:r>
        <w:t>, centred on result</w:t>
      </w:r>
      <w:r w:rsidR="0014750C">
        <w:t>s</w:t>
      </w:r>
      <w:r>
        <w:t xml:space="preserve">-based </w:t>
      </w:r>
      <w:r>
        <w:lastRenderedPageBreak/>
        <w:t>management principles</w:t>
      </w:r>
      <w:r w:rsidRPr="004401A2">
        <w:t xml:space="preserve">. The outcome of each review is based on an objective analysis </w:t>
      </w:r>
      <w:r>
        <w:t>of</w:t>
      </w:r>
      <w:r w:rsidRPr="004401A2">
        <w:t xml:space="preserve"> the results achieved</w:t>
      </w:r>
      <w:r>
        <w:t xml:space="preserve">, as well </w:t>
      </w:r>
      <w:r w:rsidRPr="004401A2">
        <w:t xml:space="preserve">as </w:t>
      </w:r>
      <w:r>
        <w:t>the drawing of</w:t>
      </w:r>
      <w:r w:rsidRPr="004401A2">
        <w:t xml:space="preserve"> lessons learned that may help improve the design and implementation of future ITU projects. The results are captured in </w:t>
      </w:r>
      <w:r w:rsidR="00E44548">
        <w:t>a</w:t>
      </w:r>
      <w:r w:rsidRPr="004401A2">
        <w:t xml:space="preserve">ssessment </w:t>
      </w:r>
      <w:r w:rsidR="00E44548">
        <w:t>r</w:t>
      </w:r>
      <w:r w:rsidRPr="004401A2">
        <w:t>eports</w:t>
      </w:r>
      <w:r w:rsidR="009D1BC0">
        <w:t>,</w:t>
      </w:r>
      <w:r w:rsidRPr="004401A2">
        <w:t xml:space="preserve"> </w:t>
      </w:r>
      <w:r w:rsidR="00EF4C96">
        <w:t xml:space="preserve">some of </w:t>
      </w:r>
      <w:r w:rsidRPr="004401A2">
        <w:t xml:space="preserve">which </w:t>
      </w:r>
      <w:r w:rsidR="00985A02" w:rsidRPr="004401A2">
        <w:t>are published</w:t>
      </w:r>
      <w:r w:rsidRPr="004401A2">
        <w:t xml:space="preserve"> on </w:t>
      </w:r>
      <w:hyperlink r:id="rId18" w:history="1">
        <w:r w:rsidRPr="004401A2">
          <w:rPr>
            <w:rStyle w:val="Hyperlink"/>
          </w:rPr>
          <w:t>BDT Projects website</w:t>
        </w:r>
      </w:hyperlink>
      <w:r w:rsidRPr="004401A2">
        <w:t>.</w:t>
      </w:r>
      <w:r w:rsidR="008D6E39">
        <w:t xml:space="preserve"> </w:t>
      </w:r>
    </w:p>
    <w:p w14:paraId="0914AF97" w14:textId="2281856E" w:rsidR="00747314" w:rsidRDefault="00747314" w:rsidP="009A6692">
      <w:pPr>
        <w:pStyle w:val="ListParagraph"/>
        <w:numPr>
          <w:ilvl w:val="0"/>
          <w:numId w:val="12"/>
        </w:numPr>
        <w:spacing w:before="40" w:after="40"/>
        <w:contextualSpacing w:val="0"/>
      </w:pPr>
      <w:r w:rsidRPr="003567C2">
        <w:rPr>
          <w:b/>
          <w:bCs/>
        </w:rPr>
        <w:t>Project videos:</w:t>
      </w:r>
      <w:r>
        <w:t xml:space="preserve"> </w:t>
      </w:r>
      <w:r w:rsidRPr="00841621">
        <w:rPr>
          <w:lang w:val="tr-TR"/>
        </w:rPr>
        <w:t>Project videos are instrumental in the promotion of ITU projects. Relevant footage and interviews with the different stakeholders compiled during the post</w:t>
      </w:r>
      <w:r w:rsidR="009D1BC0">
        <w:rPr>
          <w:lang w:val="tr-TR"/>
        </w:rPr>
        <w:t>-</w:t>
      </w:r>
      <w:r w:rsidRPr="00841621">
        <w:rPr>
          <w:lang w:val="tr-TR"/>
        </w:rPr>
        <w:t xml:space="preserve">implementation assessement missions, are used to produce short videos which showcase the project relevance, results and achievements. Such videos </w:t>
      </w:r>
      <w:r>
        <w:rPr>
          <w:lang w:val="tr-TR"/>
        </w:rPr>
        <w:t xml:space="preserve">are </w:t>
      </w:r>
      <w:r w:rsidRPr="00841621">
        <w:rPr>
          <w:lang w:val="tr-TR"/>
        </w:rPr>
        <w:t xml:space="preserve">also </w:t>
      </w:r>
      <w:r>
        <w:rPr>
          <w:lang w:val="tr-TR"/>
        </w:rPr>
        <w:t>used</w:t>
      </w:r>
      <w:r w:rsidRPr="00841621">
        <w:rPr>
          <w:lang w:val="tr-TR"/>
        </w:rPr>
        <w:t xml:space="preserve"> to share</w:t>
      </w:r>
      <w:r w:rsidR="008D6E39">
        <w:rPr>
          <w:lang w:val="tr-TR"/>
        </w:rPr>
        <w:t xml:space="preserve"> </w:t>
      </w:r>
      <w:r w:rsidRPr="00841621">
        <w:rPr>
          <w:lang w:val="tr-TR"/>
        </w:rPr>
        <w:t>experience</w:t>
      </w:r>
      <w:r>
        <w:rPr>
          <w:lang w:val="tr-TR"/>
        </w:rPr>
        <w:t>s</w:t>
      </w:r>
      <w:r w:rsidRPr="00841621">
        <w:rPr>
          <w:lang w:val="tr-TR"/>
        </w:rPr>
        <w:t xml:space="preserve"> </w:t>
      </w:r>
      <w:r>
        <w:rPr>
          <w:lang w:val="tr-TR"/>
        </w:rPr>
        <w:t xml:space="preserve">among the ITU </w:t>
      </w:r>
      <w:r w:rsidR="009D1BC0">
        <w:rPr>
          <w:lang w:val="tr-TR"/>
        </w:rPr>
        <w:t>m</w:t>
      </w:r>
      <w:r>
        <w:rPr>
          <w:lang w:val="tr-TR"/>
        </w:rPr>
        <w:t xml:space="preserve">embership. </w:t>
      </w:r>
      <w:r w:rsidR="00EF4C96">
        <w:rPr>
          <w:lang w:val="tr-TR"/>
        </w:rPr>
        <w:t>Some of the</w:t>
      </w:r>
      <w:r w:rsidRPr="00841621">
        <w:rPr>
          <w:lang w:val="tr-TR"/>
        </w:rPr>
        <w:t xml:space="preserve"> project videos are available on </w:t>
      </w:r>
      <w:hyperlink r:id="rId19" w:history="1">
        <w:r w:rsidRPr="00841621">
          <w:rPr>
            <w:rStyle w:val="Hyperlink"/>
            <w:lang w:val="tr-TR"/>
          </w:rPr>
          <w:t>BDT Projects website</w:t>
        </w:r>
      </w:hyperlink>
      <w:r>
        <w:t>.</w:t>
      </w:r>
    </w:p>
    <w:p w14:paraId="0914AF98" w14:textId="040C929C" w:rsidR="00747314" w:rsidRDefault="00747314" w:rsidP="00A92C0E">
      <w:pPr>
        <w:pStyle w:val="ListParagraph"/>
        <w:numPr>
          <w:ilvl w:val="0"/>
          <w:numId w:val="12"/>
        </w:numPr>
        <w:spacing w:before="40" w:after="40"/>
        <w:contextualSpacing w:val="0"/>
      </w:pPr>
      <w:r w:rsidRPr="003567C2">
        <w:rPr>
          <w:b/>
          <w:bCs/>
        </w:rPr>
        <w:t>Project case studies:</w:t>
      </w:r>
      <w:r>
        <w:t xml:space="preserve"> </w:t>
      </w:r>
      <w:r w:rsidRPr="0035706F">
        <w:t xml:space="preserve">BDT </w:t>
      </w:r>
      <w:r>
        <w:t>has developed</w:t>
      </w:r>
      <w:r w:rsidRPr="0035706F">
        <w:t xml:space="preserve"> a series of case studies based on implemented ITU projects. The case studies are short summary documents that provide essential information in an easy</w:t>
      </w:r>
      <w:r w:rsidR="00DF4657">
        <w:t>-</w:t>
      </w:r>
      <w:r w:rsidRPr="0035706F">
        <w:t>to</w:t>
      </w:r>
      <w:r w:rsidR="00DF4657">
        <w:t>-</w:t>
      </w:r>
      <w:r w:rsidRPr="0035706F">
        <w:t>read format. Each case study aims at sharing information related to different ITU projects</w:t>
      </w:r>
      <w:r w:rsidR="00985A02" w:rsidRPr="0035706F">
        <w:t>, implemented</w:t>
      </w:r>
      <w:r w:rsidRPr="0035706F">
        <w:t xml:space="preserve"> activities, achieved results, lessons learned, conclusions and recommendations. ITU project case studies </w:t>
      </w:r>
      <w:r>
        <w:t xml:space="preserve">are a resource </w:t>
      </w:r>
      <w:r w:rsidRPr="0035706F">
        <w:t xml:space="preserve">for stakeholders and </w:t>
      </w:r>
      <w:r>
        <w:t xml:space="preserve">ITU </w:t>
      </w:r>
      <w:r w:rsidR="00DF4657">
        <w:t>m</w:t>
      </w:r>
      <w:r w:rsidRPr="0035706F">
        <w:t>embers</w:t>
      </w:r>
      <w:r>
        <w:t xml:space="preserve"> </w:t>
      </w:r>
      <w:r w:rsidRPr="0035706F">
        <w:t>to</w:t>
      </w:r>
      <w:r>
        <w:t xml:space="preserve"> share experiences</w:t>
      </w:r>
      <w:r w:rsidRPr="0035706F">
        <w:t xml:space="preserve">, </w:t>
      </w:r>
      <w:r>
        <w:t xml:space="preserve">and give an opportunity for them to </w:t>
      </w:r>
      <w:r w:rsidRPr="0035706F">
        <w:t>replicate good practices. </w:t>
      </w:r>
      <w:r w:rsidR="00EF4C96">
        <w:t xml:space="preserve">Some of these are </w:t>
      </w:r>
      <w:r w:rsidRPr="0035706F">
        <w:t>published on</w:t>
      </w:r>
      <w:r w:rsidR="00DF4657">
        <w:t xml:space="preserve"> the</w:t>
      </w:r>
      <w:r w:rsidRPr="0035706F">
        <w:t xml:space="preserve"> </w:t>
      </w:r>
      <w:hyperlink r:id="rId20" w:history="1">
        <w:r w:rsidRPr="0035706F">
          <w:rPr>
            <w:rStyle w:val="Hyperlink"/>
          </w:rPr>
          <w:t>BDT Projects website</w:t>
        </w:r>
      </w:hyperlink>
      <w:r>
        <w:t>.</w:t>
      </w:r>
    </w:p>
    <w:p w14:paraId="31C508DF" w14:textId="5DE88CA6" w:rsidR="00F13E90" w:rsidRPr="00D52F77" w:rsidRDefault="00EF4C96" w:rsidP="009A6692">
      <w:pPr>
        <w:pStyle w:val="ListParagraph"/>
        <w:numPr>
          <w:ilvl w:val="0"/>
          <w:numId w:val="12"/>
        </w:numPr>
        <w:spacing w:before="40" w:after="40"/>
        <w:contextualSpacing w:val="0"/>
        <w:rPr>
          <w:lang w:val="en-US"/>
        </w:rPr>
      </w:pPr>
      <w:r w:rsidRPr="00270FCD">
        <w:rPr>
          <w:b/>
          <w:bCs/>
          <w:lang w:val="en-US"/>
        </w:rPr>
        <w:t>Capacity building for staff</w:t>
      </w:r>
      <w:r>
        <w:rPr>
          <w:lang w:val="en-US"/>
        </w:rPr>
        <w:t xml:space="preserve">: </w:t>
      </w:r>
      <w:r w:rsidR="00747314" w:rsidRPr="00D52F77">
        <w:rPr>
          <w:lang w:val="en-US"/>
        </w:rPr>
        <w:t xml:space="preserve">It is evident that internal capacity building is needed on a continuous basis as project management practices are evolving all the time. For </w:t>
      </w:r>
      <w:r w:rsidR="009D1BC0">
        <w:rPr>
          <w:lang w:val="en-US"/>
        </w:rPr>
        <w:t>this</w:t>
      </w:r>
      <w:r w:rsidR="00747314" w:rsidRPr="00D52F77">
        <w:rPr>
          <w:lang w:val="en-US"/>
        </w:rPr>
        <w:t xml:space="preserve"> reason, training courses were </w:t>
      </w:r>
      <w:r w:rsidR="009D1BC0">
        <w:rPr>
          <w:lang w:val="en-US"/>
        </w:rPr>
        <w:t xml:space="preserve">conducted </w:t>
      </w:r>
      <w:r w:rsidR="00747314" w:rsidRPr="00D52F77">
        <w:rPr>
          <w:lang w:val="en-US"/>
        </w:rPr>
        <w:t xml:space="preserve">for BDT staff as a way of upgrading skills. This included staff at headquarters and those in the </w:t>
      </w:r>
      <w:r w:rsidR="009D1BC0">
        <w:rPr>
          <w:lang w:val="en-US"/>
        </w:rPr>
        <w:t xml:space="preserve">regional and area offices. </w:t>
      </w:r>
      <w:r w:rsidR="004925C7" w:rsidRPr="00D52F77">
        <w:rPr>
          <w:lang w:val="en-US"/>
        </w:rPr>
        <w:t>BDT held a</w:t>
      </w:r>
      <w:r w:rsidR="00D402E6" w:rsidRPr="00D52F77">
        <w:rPr>
          <w:lang w:val="en-US"/>
        </w:rPr>
        <w:t xml:space="preserve"> training on project management </w:t>
      </w:r>
      <w:r w:rsidR="00407614" w:rsidRPr="00D52F77">
        <w:rPr>
          <w:lang w:val="en-US"/>
        </w:rPr>
        <w:t>from 18</w:t>
      </w:r>
      <w:r w:rsidR="009D1BC0">
        <w:rPr>
          <w:lang w:val="en-US"/>
        </w:rPr>
        <w:t xml:space="preserve"> to </w:t>
      </w:r>
      <w:r w:rsidR="00407614" w:rsidRPr="00D52F77">
        <w:rPr>
          <w:lang w:val="en-US"/>
        </w:rPr>
        <w:t xml:space="preserve">22 November 2019 </w:t>
      </w:r>
      <w:r w:rsidR="00D402E6" w:rsidRPr="00D52F77">
        <w:rPr>
          <w:lang w:val="en-US"/>
        </w:rPr>
        <w:t xml:space="preserve">and </w:t>
      </w:r>
      <w:r w:rsidR="00CD134F" w:rsidRPr="00D52F77">
        <w:rPr>
          <w:lang w:val="en-US"/>
        </w:rPr>
        <w:t>39</w:t>
      </w:r>
      <w:r w:rsidR="00D402E6" w:rsidRPr="00D52F77">
        <w:rPr>
          <w:lang w:val="en-US"/>
        </w:rPr>
        <w:t xml:space="preserve"> staff passed the examination and are now certified as</w:t>
      </w:r>
      <w:r w:rsidR="00CD134F" w:rsidRPr="00D52F77">
        <w:rPr>
          <w:lang w:val="en-US"/>
        </w:rPr>
        <w:t xml:space="preserve"> Project Management for Development Professionals</w:t>
      </w:r>
      <w:r w:rsidR="00985A02">
        <w:rPr>
          <w:lang w:val="en-US"/>
        </w:rPr>
        <w:t xml:space="preserve"> </w:t>
      </w:r>
      <w:r w:rsidR="009D1BC0" w:rsidRPr="00D52F77">
        <w:rPr>
          <w:lang w:val="en-US"/>
        </w:rPr>
        <w:t>–</w:t>
      </w:r>
      <w:r w:rsidR="00CD134F" w:rsidRPr="00D52F77">
        <w:rPr>
          <w:lang w:val="en-US"/>
        </w:rPr>
        <w:t xml:space="preserve"> Level One (PMD Pro 1)</w:t>
      </w:r>
      <w:r>
        <w:rPr>
          <w:lang w:val="en-US"/>
        </w:rPr>
        <w:t>.</w:t>
      </w:r>
      <w:r w:rsidR="00D402E6" w:rsidRPr="00D52F77">
        <w:rPr>
          <w:lang w:val="en-US"/>
        </w:rPr>
        <w:t xml:space="preserve"> It is planned that more ITU staff </w:t>
      </w:r>
      <w:r>
        <w:rPr>
          <w:lang w:val="en-US"/>
        </w:rPr>
        <w:t xml:space="preserve">will </w:t>
      </w:r>
      <w:r w:rsidR="00D402E6" w:rsidRPr="00D52F77">
        <w:rPr>
          <w:lang w:val="en-US"/>
        </w:rPr>
        <w:t>be trained and certified in</w:t>
      </w:r>
      <w:r w:rsidR="00747314" w:rsidRPr="00D52F77">
        <w:rPr>
          <w:lang w:val="en-US"/>
        </w:rPr>
        <w:t xml:space="preserve"> project management </w:t>
      </w:r>
      <w:r w:rsidR="00E3405A" w:rsidRPr="00D52F77">
        <w:rPr>
          <w:lang w:val="en-US"/>
        </w:rPr>
        <w:t>in 2020</w:t>
      </w:r>
      <w:r w:rsidR="00747314" w:rsidRPr="00D52F77">
        <w:rPr>
          <w:lang w:val="en-US"/>
        </w:rPr>
        <w:t>.</w:t>
      </w:r>
    </w:p>
    <w:p w14:paraId="204D369B" w14:textId="6BCECC93" w:rsidR="00BD15FA" w:rsidRPr="00D52F77" w:rsidRDefault="00BD15FA" w:rsidP="00A92C0E">
      <w:pPr>
        <w:pStyle w:val="ListParagraph"/>
        <w:numPr>
          <w:ilvl w:val="0"/>
          <w:numId w:val="12"/>
        </w:numPr>
        <w:spacing w:before="40" w:after="40"/>
        <w:contextualSpacing w:val="0"/>
        <w:rPr>
          <w:lang w:val="en-US"/>
        </w:rPr>
      </w:pPr>
      <w:r w:rsidRPr="00270FCD">
        <w:rPr>
          <w:b/>
          <w:bCs/>
          <w:lang w:val="en-US"/>
        </w:rPr>
        <w:t>BDT Project Management Guidelines</w:t>
      </w:r>
      <w:r w:rsidR="00EF4C96">
        <w:rPr>
          <w:lang w:val="en-US"/>
        </w:rPr>
        <w:t>:</w:t>
      </w:r>
      <w:r w:rsidRPr="00D52F77">
        <w:rPr>
          <w:lang w:val="en-US"/>
        </w:rPr>
        <w:t xml:space="preserve"> </w:t>
      </w:r>
      <w:r w:rsidR="00960705">
        <w:rPr>
          <w:lang w:val="en-US"/>
        </w:rPr>
        <w:t xml:space="preserve">An update is well under way </w:t>
      </w:r>
      <w:r w:rsidR="005F576C">
        <w:rPr>
          <w:lang w:val="en-US"/>
        </w:rPr>
        <w:t>mainly</w:t>
      </w:r>
      <w:r w:rsidR="007357A1">
        <w:rPr>
          <w:lang w:val="en-US"/>
        </w:rPr>
        <w:t xml:space="preserve"> </w:t>
      </w:r>
      <w:r w:rsidR="00407614" w:rsidRPr="00D52F77">
        <w:rPr>
          <w:lang w:val="en-US"/>
        </w:rPr>
        <w:t xml:space="preserve">to improve </w:t>
      </w:r>
      <w:r w:rsidR="00811D6E">
        <w:rPr>
          <w:lang w:val="en-US"/>
        </w:rPr>
        <w:t xml:space="preserve">the </w:t>
      </w:r>
      <w:r w:rsidR="00960705">
        <w:rPr>
          <w:lang w:val="en-US"/>
        </w:rPr>
        <w:t>g</w:t>
      </w:r>
      <w:r w:rsidR="00811D6E" w:rsidRPr="00D52F77">
        <w:rPr>
          <w:lang w:val="en-US"/>
        </w:rPr>
        <w:t>uidelines</w:t>
      </w:r>
      <w:r w:rsidR="00811D6E">
        <w:rPr>
          <w:lang w:val="en-US"/>
        </w:rPr>
        <w:t>,</w:t>
      </w:r>
      <w:r w:rsidR="00960705">
        <w:rPr>
          <w:lang w:val="en-US"/>
        </w:rPr>
        <w:t xml:space="preserve"> </w:t>
      </w:r>
      <w:r w:rsidR="00407614" w:rsidRPr="00D52F77">
        <w:rPr>
          <w:lang w:val="en-US"/>
        </w:rPr>
        <w:t>templates</w:t>
      </w:r>
      <w:r w:rsidR="00811D6E">
        <w:rPr>
          <w:lang w:val="en-US"/>
        </w:rPr>
        <w:t xml:space="preserve"> and tools</w:t>
      </w:r>
      <w:r w:rsidR="00407614" w:rsidRPr="00D52F77">
        <w:rPr>
          <w:lang w:val="en-US"/>
        </w:rPr>
        <w:t xml:space="preserve"> and include elements of PMD Pro. </w:t>
      </w:r>
      <w:r w:rsidR="005F576C">
        <w:rPr>
          <w:lang w:val="en-US"/>
        </w:rPr>
        <w:t xml:space="preserve">A </w:t>
      </w:r>
      <w:r w:rsidR="00253A15" w:rsidRPr="00D52F77">
        <w:rPr>
          <w:lang w:val="en-US"/>
        </w:rPr>
        <w:t xml:space="preserve">kick-off </w:t>
      </w:r>
      <w:r w:rsidR="00D52F77">
        <w:rPr>
          <w:lang w:val="en-US"/>
        </w:rPr>
        <w:t>workshop</w:t>
      </w:r>
      <w:r w:rsidR="007357A1">
        <w:rPr>
          <w:lang w:val="en-US"/>
        </w:rPr>
        <w:t xml:space="preserve"> </w:t>
      </w:r>
      <w:r w:rsidR="00DA3C8F">
        <w:rPr>
          <w:lang w:val="en-US"/>
        </w:rPr>
        <w:t xml:space="preserve">took place </w:t>
      </w:r>
      <w:r w:rsidR="00253A15" w:rsidRPr="00D52F77">
        <w:rPr>
          <w:lang w:val="en-US"/>
        </w:rPr>
        <w:t>from</w:t>
      </w:r>
      <w:r w:rsidR="00407614" w:rsidRPr="00D52F77">
        <w:rPr>
          <w:lang w:val="en-US"/>
        </w:rPr>
        <w:t xml:space="preserve"> 27</w:t>
      </w:r>
      <w:r w:rsidR="007357A1">
        <w:rPr>
          <w:lang w:val="en-US"/>
        </w:rPr>
        <w:t xml:space="preserve"> to</w:t>
      </w:r>
      <w:r w:rsidR="00407614" w:rsidRPr="00D52F77">
        <w:rPr>
          <w:lang w:val="en-US"/>
        </w:rPr>
        <w:t xml:space="preserve"> 29 January 20</w:t>
      </w:r>
      <w:r w:rsidR="00253A15" w:rsidRPr="00D52F77">
        <w:rPr>
          <w:lang w:val="en-US"/>
        </w:rPr>
        <w:t>20</w:t>
      </w:r>
      <w:r w:rsidR="00D52F77">
        <w:rPr>
          <w:lang w:val="en-US"/>
        </w:rPr>
        <w:t>, where</w:t>
      </w:r>
      <w:r w:rsidR="007357A1">
        <w:rPr>
          <w:lang w:val="en-US"/>
        </w:rPr>
        <w:t xml:space="preserve"> </w:t>
      </w:r>
      <w:r w:rsidR="00407614" w:rsidRPr="00D52F77">
        <w:rPr>
          <w:lang w:val="en-US"/>
        </w:rPr>
        <w:t xml:space="preserve">a team of </w:t>
      </w:r>
      <w:r w:rsidR="00253A15" w:rsidRPr="00D52F77">
        <w:rPr>
          <w:lang w:val="en-US"/>
        </w:rPr>
        <w:t xml:space="preserve">PMD </w:t>
      </w:r>
      <w:r w:rsidR="00407614" w:rsidRPr="00D52F77">
        <w:rPr>
          <w:lang w:val="en-US"/>
        </w:rPr>
        <w:t xml:space="preserve">Pro certified ITU staff </w:t>
      </w:r>
      <w:r w:rsidR="00811D6E">
        <w:rPr>
          <w:lang w:val="en-US"/>
        </w:rPr>
        <w:t>review</w:t>
      </w:r>
      <w:r w:rsidR="005F576C">
        <w:rPr>
          <w:lang w:val="en-US"/>
        </w:rPr>
        <w:t>ed</w:t>
      </w:r>
      <w:r w:rsidR="007357A1">
        <w:rPr>
          <w:lang w:val="en-US"/>
        </w:rPr>
        <w:t xml:space="preserve"> the </w:t>
      </w:r>
      <w:r w:rsidR="00407614" w:rsidRPr="00D52F77">
        <w:rPr>
          <w:lang w:val="en-US"/>
        </w:rPr>
        <w:t>BDT Project Management Guidelines</w:t>
      </w:r>
      <w:r w:rsidR="00EF4C96">
        <w:rPr>
          <w:lang w:val="en-US"/>
        </w:rPr>
        <w:t>.</w:t>
      </w:r>
      <w:r w:rsidR="00407614" w:rsidRPr="00D52F77">
        <w:rPr>
          <w:lang w:val="en-US"/>
        </w:rPr>
        <w:t xml:space="preserve"> </w:t>
      </w:r>
    </w:p>
    <w:p w14:paraId="0914AF9E" w14:textId="3A97805B" w:rsidR="00747314" w:rsidRPr="0052639D" w:rsidRDefault="00747314" w:rsidP="004C18AB">
      <w:pPr>
        <w:keepNext/>
        <w:spacing w:after="120"/>
        <w:rPr>
          <w:b/>
          <w:bCs/>
          <w:lang w:val="en-US"/>
        </w:rPr>
      </w:pPr>
      <w:r w:rsidRPr="00D52F77">
        <w:rPr>
          <w:b/>
          <w:bCs/>
          <w:lang w:val="en-US"/>
        </w:rPr>
        <w:t>Conclusion</w:t>
      </w:r>
      <w:r w:rsidR="00EF4C96">
        <w:rPr>
          <w:b/>
          <w:bCs/>
          <w:lang w:val="en-US"/>
        </w:rPr>
        <w:t>s</w:t>
      </w:r>
    </w:p>
    <w:p w14:paraId="0914AF9F" w14:textId="774D3CD9" w:rsidR="00747314" w:rsidRPr="000811AC" w:rsidRDefault="00E3405A" w:rsidP="00A92C0E">
      <w:pPr>
        <w:pStyle w:val="ListParagraph"/>
        <w:numPr>
          <w:ilvl w:val="0"/>
          <w:numId w:val="10"/>
        </w:numPr>
        <w:spacing w:before="40" w:after="40"/>
        <w:contextualSpacing w:val="0"/>
        <w:rPr>
          <w:lang w:val="en-US"/>
        </w:rPr>
      </w:pPr>
      <w:r w:rsidRPr="000811AC">
        <w:rPr>
          <w:lang w:val="en-US"/>
        </w:rPr>
        <w:t xml:space="preserve">BDT has </w:t>
      </w:r>
      <w:r w:rsidR="00EF4C96" w:rsidRPr="000811AC">
        <w:rPr>
          <w:lang w:val="en-US"/>
        </w:rPr>
        <w:t>many</w:t>
      </w:r>
      <w:r w:rsidRPr="000811AC">
        <w:rPr>
          <w:lang w:val="en-US"/>
        </w:rPr>
        <w:t xml:space="preserve"> years</w:t>
      </w:r>
      <w:r w:rsidR="00EF4C96" w:rsidRPr="000811AC">
        <w:rPr>
          <w:lang w:val="en-US"/>
        </w:rPr>
        <w:t xml:space="preserve"> of proven experience</w:t>
      </w:r>
      <w:r w:rsidRPr="000811AC">
        <w:rPr>
          <w:lang w:val="en-US"/>
        </w:rPr>
        <w:t xml:space="preserve"> in project execution</w:t>
      </w:r>
      <w:r w:rsidR="000811AC" w:rsidRPr="000811AC">
        <w:rPr>
          <w:lang w:val="en-US"/>
        </w:rPr>
        <w:t xml:space="preserve"> for the benefit of developing countries.  However, as the ICT </w:t>
      </w:r>
      <w:r w:rsidR="007357A1">
        <w:rPr>
          <w:lang w:val="en-US"/>
        </w:rPr>
        <w:t>s</w:t>
      </w:r>
      <w:r w:rsidR="000811AC" w:rsidRPr="000811AC">
        <w:rPr>
          <w:lang w:val="en-US"/>
        </w:rPr>
        <w:t xml:space="preserve">ector evolves, </w:t>
      </w:r>
      <w:r w:rsidR="007357A1">
        <w:rPr>
          <w:lang w:val="en-US"/>
        </w:rPr>
        <w:t xml:space="preserve">so </w:t>
      </w:r>
      <w:r w:rsidR="00E86598">
        <w:rPr>
          <w:lang w:val="en-US"/>
        </w:rPr>
        <w:t xml:space="preserve">too is </w:t>
      </w:r>
      <w:r w:rsidR="00747314" w:rsidRPr="000811AC">
        <w:rPr>
          <w:lang w:val="en-US"/>
        </w:rPr>
        <w:t>BDT</w:t>
      </w:r>
      <w:r w:rsidR="00E86598">
        <w:rPr>
          <w:lang w:val="en-US"/>
        </w:rPr>
        <w:t xml:space="preserve">, </w:t>
      </w:r>
      <w:r w:rsidR="007357A1">
        <w:rPr>
          <w:lang w:val="en-US"/>
        </w:rPr>
        <w:t>which</w:t>
      </w:r>
      <w:r w:rsidR="00747314" w:rsidRPr="000811AC">
        <w:rPr>
          <w:lang w:val="en-US"/>
        </w:rPr>
        <w:t xml:space="preserve"> </w:t>
      </w:r>
      <w:r w:rsidR="000811AC" w:rsidRPr="000811AC">
        <w:rPr>
          <w:lang w:val="en-US"/>
        </w:rPr>
        <w:t>is committed to adapt</w:t>
      </w:r>
      <w:r w:rsidR="007357A1">
        <w:rPr>
          <w:lang w:val="en-US"/>
        </w:rPr>
        <w:t>ing</w:t>
      </w:r>
      <w:r w:rsidRPr="000811AC">
        <w:rPr>
          <w:lang w:val="en-US"/>
        </w:rPr>
        <w:t xml:space="preserve"> its processes</w:t>
      </w:r>
      <w:r w:rsidR="000811AC" w:rsidRPr="000811AC">
        <w:rPr>
          <w:lang w:val="en-US"/>
        </w:rPr>
        <w:t>,</w:t>
      </w:r>
      <w:r w:rsidRPr="000811AC">
        <w:rPr>
          <w:lang w:val="en-US"/>
        </w:rPr>
        <w:t xml:space="preserve"> </w:t>
      </w:r>
      <w:r w:rsidR="000811AC" w:rsidRPr="000811AC">
        <w:rPr>
          <w:lang w:val="en-US"/>
        </w:rPr>
        <w:t>exploit</w:t>
      </w:r>
      <w:r w:rsidR="007357A1">
        <w:rPr>
          <w:lang w:val="en-US"/>
        </w:rPr>
        <w:t xml:space="preserve">ing new </w:t>
      </w:r>
      <w:r w:rsidR="00747314" w:rsidRPr="000811AC">
        <w:rPr>
          <w:lang w:val="en-US"/>
        </w:rPr>
        <w:t>opportunities</w:t>
      </w:r>
      <w:r w:rsidR="000811AC" w:rsidRPr="000811AC">
        <w:rPr>
          <w:lang w:val="en-US"/>
        </w:rPr>
        <w:t>, and</w:t>
      </w:r>
      <w:r w:rsidR="00747314" w:rsidRPr="000811AC">
        <w:rPr>
          <w:lang w:val="en-US"/>
        </w:rPr>
        <w:t xml:space="preserve"> </w:t>
      </w:r>
      <w:r w:rsidR="000811AC" w:rsidRPr="000811AC">
        <w:rPr>
          <w:lang w:val="en-US"/>
        </w:rPr>
        <w:t xml:space="preserve">effectively </w:t>
      </w:r>
      <w:r w:rsidR="007F7019" w:rsidRPr="000811AC">
        <w:rPr>
          <w:lang w:val="en-US"/>
        </w:rPr>
        <w:t>address</w:t>
      </w:r>
      <w:r w:rsidR="007357A1">
        <w:rPr>
          <w:lang w:val="en-US"/>
        </w:rPr>
        <w:t>ing</w:t>
      </w:r>
      <w:r w:rsidR="007F7019" w:rsidRPr="000811AC">
        <w:rPr>
          <w:lang w:val="en-US"/>
        </w:rPr>
        <w:t xml:space="preserve"> challenges </w:t>
      </w:r>
      <w:r w:rsidR="00747314" w:rsidRPr="000811AC">
        <w:rPr>
          <w:lang w:val="en-US"/>
        </w:rPr>
        <w:t>in project development, implementation, monitoring</w:t>
      </w:r>
      <w:r w:rsidRPr="000811AC">
        <w:rPr>
          <w:lang w:val="en-US"/>
        </w:rPr>
        <w:t xml:space="preserve"> and evaluation</w:t>
      </w:r>
      <w:r w:rsidR="00747314" w:rsidRPr="000811AC">
        <w:rPr>
          <w:lang w:val="en-US"/>
        </w:rPr>
        <w:t xml:space="preserve">. </w:t>
      </w:r>
    </w:p>
    <w:p w14:paraId="0914AFA1" w14:textId="7AAE481D" w:rsidR="00747314" w:rsidRPr="000811AC" w:rsidRDefault="00747314" w:rsidP="00A92C0E">
      <w:pPr>
        <w:pStyle w:val="ListParagraph"/>
        <w:numPr>
          <w:ilvl w:val="0"/>
          <w:numId w:val="10"/>
        </w:numPr>
        <w:spacing w:before="40" w:after="40"/>
        <w:contextualSpacing w:val="0"/>
        <w:rPr>
          <w:lang w:val="en-US"/>
        </w:rPr>
      </w:pPr>
      <w:r w:rsidRPr="000811AC">
        <w:rPr>
          <w:lang w:val="en-US"/>
        </w:rPr>
        <w:t>The implementation of projects has proven to be an efficient way of responding to the specific needs of ITU Member States</w:t>
      </w:r>
      <w:r w:rsidR="00985A02" w:rsidRPr="000811AC">
        <w:rPr>
          <w:lang w:val="en-US"/>
        </w:rPr>
        <w:t>, and</w:t>
      </w:r>
      <w:r w:rsidRPr="000811AC">
        <w:rPr>
          <w:lang w:val="en-US"/>
        </w:rPr>
        <w:t xml:space="preserve"> serves as an excellent mechanism </w:t>
      </w:r>
      <w:r w:rsidR="007F7019" w:rsidRPr="000811AC">
        <w:rPr>
          <w:lang w:val="en-US"/>
        </w:rPr>
        <w:t xml:space="preserve">to deliver with impact. </w:t>
      </w:r>
    </w:p>
    <w:p w14:paraId="0914AFA2" w14:textId="446D35C9" w:rsidR="00747314" w:rsidRPr="000811AC" w:rsidRDefault="00747314" w:rsidP="00A92C0E">
      <w:pPr>
        <w:pStyle w:val="ListParagraph"/>
        <w:numPr>
          <w:ilvl w:val="0"/>
          <w:numId w:val="10"/>
        </w:numPr>
        <w:spacing w:before="40" w:after="40"/>
        <w:contextualSpacing w:val="0"/>
        <w:rPr>
          <w:lang w:val="en-US"/>
        </w:rPr>
      </w:pPr>
      <w:r w:rsidRPr="000811AC">
        <w:rPr>
          <w:lang w:val="en-US"/>
        </w:rPr>
        <w:t xml:space="preserve">BDT projects are also an effective tool </w:t>
      </w:r>
      <w:r w:rsidR="000811AC">
        <w:rPr>
          <w:lang w:val="en-US"/>
        </w:rPr>
        <w:t>for</w:t>
      </w:r>
      <w:r w:rsidRPr="000811AC">
        <w:rPr>
          <w:lang w:val="en-US"/>
        </w:rPr>
        <w:t xml:space="preserve"> implement</w:t>
      </w:r>
      <w:r w:rsidR="000811AC">
        <w:rPr>
          <w:lang w:val="en-US"/>
        </w:rPr>
        <w:t>ing</w:t>
      </w:r>
      <w:r w:rsidRPr="000811AC">
        <w:rPr>
          <w:lang w:val="en-US"/>
        </w:rPr>
        <w:t xml:space="preserve"> the </w:t>
      </w:r>
      <w:r w:rsidR="007357A1">
        <w:rPr>
          <w:lang w:val="en-US"/>
        </w:rPr>
        <w:t>r</w:t>
      </w:r>
      <w:r w:rsidRPr="000811AC">
        <w:rPr>
          <w:lang w:val="en-US"/>
        </w:rPr>
        <w:t xml:space="preserve">egional </w:t>
      </w:r>
      <w:r w:rsidR="007357A1">
        <w:rPr>
          <w:lang w:val="en-US"/>
        </w:rPr>
        <w:t>i</w:t>
      </w:r>
      <w:r w:rsidRPr="000811AC">
        <w:rPr>
          <w:lang w:val="en-US"/>
        </w:rPr>
        <w:t xml:space="preserve">nitiatives, which </w:t>
      </w:r>
      <w:r w:rsidR="000811AC">
        <w:rPr>
          <w:lang w:val="en-US"/>
        </w:rPr>
        <w:t xml:space="preserve">were </w:t>
      </w:r>
      <w:r w:rsidRPr="000811AC">
        <w:rPr>
          <w:lang w:val="en-US"/>
        </w:rPr>
        <w:t xml:space="preserve">defined by Member States </w:t>
      </w:r>
      <w:r w:rsidR="00985A02" w:rsidRPr="000811AC">
        <w:rPr>
          <w:lang w:val="en-US"/>
        </w:rPr>
        <w:t>as priority</w:t>
      </w:r>
      <w:r w:rsidRPr="000811AC">
        <w:rPr>
          <w:lang w:val="en-US"/>
        </w:rPr>
        <w:t xml:space="preserve"> areas </w:t>
      </w:r>
      <w:r w:rsidR="000811AC">
        <w:rPr>
          <w:lang w:val="en-US"/>
        </w:rPr>
        <w:t xml:space="preserve">for </w:t>
      </w:r>
      <w:r w:rsidR="00985A02">
        <w:rPr>
          <w:lang w:val="en-US"/>
        </w:rPr>
        <w:t xml:space="preserve">BDT </w:t>
      </w:r>
      <w:r w:rsidR="00985A02" w:rsidRPr="000811AC">
        <w:rPr>
          <w:lang w:val="en-US"/>
        </w:rPr>
        <w:t>to</w:t>
      </w:r>
      <w:r w:rsidRPr="000811AC">
        <w:rPr>
          <w:lang w:val="en-US"/>
        </w:rPr>
        <w:t xml:space="preserve"> focus on</w:t>
      </w:r>
      <w:r w:rsidR="000811AC">
        <w:rPr>
          <w:lang w:val="en-US"/>
        </w:rPr>
        <w:t xml:space="preserve"> generally for the benefit of more than one country</w:t>
      </w:r>
      <w:r w:rsidRPr="000811AC">
        <w:rPr>
          <w:lang w:val="en-US"/>
        </w:rPr>
        <w:t xml:space="preserve"> in </w:t>
      </w:r>
      <w:r w:rsidR="000811AC">
        <w:rPr>
          <w:lang w:val="en-US"/>
        </w:rPr>
        <w:t>a</w:t>
      </w:r>
      <w:r w:rsidRPr="000811AC">
        <w:rPr>
          <w:lang w:val="en-US"/>
        </w:rPr>
        <w:t xml:space="preserve"> region. </w:t>
      </w:r>
    </w:p>
    <w:p w14:paraId="0914AFA3" w14:textId="38C6AC0A" w:rsidR="00747314" w:rsidRPr="000811AC" w:rsidRDefault="00747314" w:rsidP="00A92C0E">
      <w:pPr>
        <w:pStyle w:val="ListParagraph"/>
        <w:numPr>
          <w:ilvl w:val="0"/>
          <w:numId w:val="10"/>
        </w:numPr>
        <w:spacing w:before="40" w:after="40"/>
        <w:contextualSpacing w:val="0"/>
        <w:rPr>
          <w:lang w:val="en-US"/>
        </w:rPr>
      </w:pPr>
      <w:r w:rsidRPr="000811AC">
        <w:rPr>
          <w:lang w:val="en-US"/>
        </w:rPr>
        <w:t>BDT is continuously innovating in order to respond to opportunities as well as challenges related to projects, by improving its project execution function, processes and reporting, in order to uphold accountability, efficiency and effectiveness in the implementation of projects.</w:t>
      </w:r>
    </w:p>
    <w:p w14:paraId="471432FA" w14:textId="7BD3DA62" w:rsidR="008F62C1" w:rsidRDefault="00EF4C96" w:rsidP="00A92C0E">
      <w:pPr>
        <w:pStyle w:val="ListParagraph"/>
        <w:numPr>
          <w:ilvl w:val="0"/>
          <w:numId w:val="10"/>
        </w:numPr>
        <w:spacing w:before="40" w:after="40"/>
        <w:contextualSpacing w:val="0"/>
        <w:rPr>
          <w:lang w:val="en-US"/>
        </w:rPr>
      </w:pPr>
      <w:r w:rsidRPr="000811AC">
        <w:rPr>
          <w:lang w:val="en-US"/>
        </w:rPr>
        <w:t xml:space="preserve">The execution of post-implementation assessments </w:t>
      </w:r>
      <w:r w:rsidR="000811AC">
        <w:rPr>
          <w:lang w:val="en-US"/>
        </w:rPr>
        <w:t xml:space="preserve">of projects </w:t>
      </w:r>
      <w:r w:rsidRPr="000811AC">
        <w:rPr>
          <w:lang w:val="en-US"/>
        </w:rPr>
        <w:t xml:space="preserve">continues to be an important effort, especially </w:t>
      </w:r>
      <w:r w:rsidR="000811AC">
        <w:rPr>
          <w:lang w:val="en-US"/>
        </w:rPr>
        <w:t xml:space="preserve">for purposes </w:t>
      </w:r>
      <w:r w:rsidR="00985A02">
        <w:rPr>
          <w:lang w:val="en-US"/>
        </w:rPr>
        <w:t xml:space="preserve">of </w:t>
      </w:r>
      <w:r w:rsidR="00985A02" w:rsidRPr="000811AC">
        <w:rPr>
          <w:lang w:val="en-US"/>
        </w:rPr>
        <w:t>increasing</w:t>
      </w:r>
      <w:r w:rsidRPr="000811AC">
        <w:rPr>
          <w:lang w:val="en-US"/>
        </w:rPr>
        <w:t xml:space="preserve"> the sharing of information, experiences</w:t>
      </w:r>
      <w:r w:rsidR="000811AC">
        <w:rPr>
          <w:lang w:val="en-US"/>
        </w:rPr>
        <w:t>,</w:t>
      </w:r>
      <w:r w:rsidRPr="000811AC">
        <w:rPr>
          <w:lang w:val="en-US"/>
        </w:rPr>
        <w:t xml:space="preserve"> and lessons learned </w:t>
      </w:r>
      <w:r w:rsidR="000811AC">
        <w:rPr>
          <w:lang w:val="en-US"/>
        </w:rPr>
        <w:t>a</w:t>
      </w:r>
      <w:r w:rsidR="008F62C1">
        <w:rPr>
          <w:lang w:val="en-US"/>
        </w:rPr>
        <w:t>mong the Member States.</w:t>
      </w:r>
    </w:p>
    <w:p w14:paraId="1BA4BD8D" w14:textId="40C12FDA" w:rsidR="00EF4C96" w:rsidRPr="000811AC" w:rsidRDefault="00EF4C96" w:rsidP="00A92C0E">
      <w:pPr>
        <w:pStyle w:val="ListParagraph"/>
        <w:numPr>
          <w:ilvl w:val="0"/>
          <w:numId w:val="10"/>
        </w:numPr>
        <w:spacing w:before="40" w:after="40"/>
        <w:contextualSpacing w:val="0"/>
        <w:rPr>
          <w:lang w:val="en-US"/>
        </w:rPr>
      </w:pPr>
      <w:r w:rsidRPr="000811AC">
        <w:rPr>
          <w:lang w:val="en-US"/>
        </w:rPr>
        <w:lastRenderedPageBreak/>
        <w:t>Given the overall number of ongoing projects and limited resources, BDT will continue to carry out project reviews on a selective basis</w:t>
      </w:r>
      <w:r w:rsidR="00EC5BB4">
        <w:rPr>
          <w:lang w:val="en-US"/>
        </w:rPr>
        <w:t>,</w:t>
      </w:r>
      <w:r w:rsidRPr="000811AC">
        <w:rPr>
          <w:lang w:val="en-US"/>
        </w:rPr>
        <w:t xml:space="preserve"> where priority will be given to projects </w:t>
      </w:r>
      <w:r w:rsidR="008F62C1">
        <w:rPr>
          <w:lang w:val="en-US"/>
        </w:rPr>
        <w:t xml:space="preserve">that are complex and </w:t>
      </w:r>
      <w:r w:rsidRPr="000811AC">
        <w:rPr>
          <w:lang w:val="en-US"/>
        </w:rPr>
        <w:t xml:space="preserve">with high impact. </w:t>
      </w:r>
    </w:p>
    <w:p w14:paraId="046F3619" w14:textId="4E558E25" w:rsidR="00EF4C96" w:rsidRPr="008F62C1" w:rsidRDefault="00EF4C96" w:rsidP="00A92C0E">
      <w:pPr>
        <w:pStyle w:val="ListParagraph"/>
        <w:numPr>
          <w:ilvl w:val="0"/>
          <w:numId w:val="10"/>
        </w:numPr>
        <w:spacing w:before="40" w:after="40"/>
        <w:contextualSpacing w:val="0"/>
        <w:rPr>
          <w:lang w:val="en-US"/>
        </w:rPr>
      </w:pPr>
      <w:r w:rsidRPr="000811AC">
        <w:rPr>
          <w:lang w:val="en-US"/>
        </w:rPr>
        <w:t>Externalities such as political and civil strife, as well as econo</w:t>
      </w:r>
      <w:r w:rsidRPr="008F62C1">
        <w:rPr>
          <w:lang w:val="en-US"/>
        </w:rPr>
        <w:t xml:space="preserve">mic difficulties in some of the beneficiary countries, as well as the disruption of project implementation resulting from natural disasters, continue to </w:t>
      </w:r>
      <w:r w:rsidR="00985A02" w:rsidRPr="008F62C1">
        <w:rPr>
          <w:lang w:val="en-US"/>
        </w:rPr>
        <w:t xml:space="preserve">be </w:t>
      </w:r>
      <w:r w:rsidR="00985A02">
        <w:rPr>
          <w:lang w:val="en-US"/>
        </w:rPr>
        <w:t>a</w:t>
      </w:r>
      <w:r w:rsidRPr="008F62C1">
        <w:rPr>
          <w:lang w:val="en-US"/>
        </w:rPr>
        <w:t xml:space="preserve"> cause </w:t>
      </w:r>
      <w:r w:rsidR="00985A02">
        <w:rPr>
          <w:lang w:val="en-US"/>
        </w:rPr>
        <w:t xml:space="preserve">for </w:t>
      </w:r>
      <w:r w:rsidR="00985A02" w:rsidRPr="008F62C1">
        <w:rPr>
          <w:lang w:val="en-US"/>
        </w:rPr>
        <w:t>delays</w:t>
      </w:r>
      <w:r w:rsidRPr="008F62C1">
        <w:rPr>
          <w:lang w:val="en-US"/>
        </w:rPr>
        <w:t xml:space="preserve"> in timely project implementation.</w:t>
      </w:r>
    </w:p>
    <w:p w14:paraId="0914AFA4" w14:textId="31F6F9B2" w:rsidR="00747314" w:rsidRPr="009274ED" w:rsidRDefault="00747314" w:rsidP="004C18AB">
      <w:pPr>
        <w:spacing w:after="120"/>
        <w:rPr>
          <w:lang w:val="en-US"/>
        </w:rPr>
      </w:pPr>
      <w:r>
        <w:rPr>
          <w:lang w:val="en-US"/>
        </w:rPr>
        <w:t xml:space="preserve">For more information on projects implemented by ITU, visit: </w:t>
      </w:r>
      <w:r w:rsidR="001339C8">
        <w:rPr>
          <w:lang w:val="en-US"/>
        </w:rPr>
        <w:br/>
      </w:r>
      <w:hyperlink r:id="rId21" w:history="1">
        <w:r w:rsidRPr="00E726EF">
          <w:rPr>
            <w:rStyle w:val="Hyperlink"/>
            <w:lang w:val="en-US"/>
          </w:rPr>
          <w:t>http://www.itu.int/en/ITU-D/Projects/</w:t>
        </w:r>
      </w:hyperlink>
    </w:p>
    <w:p w14:paraId="3D68A548" w14:textId="77777777" w:rsidR="009A6692" w:rsidRDefault="009A6692" w:rsidP="00A92C0E">
      <w:pPr>
        <w:spacing w:after="120"/>
        <w:jc w:val="center"/>
        <w:rPr>
          <w:lang w:val="en-US"/>
        </w:rPr>
      </w:pPr>
    </w:p>
    <w:p w14:paraId="0914B1DB" w14:textId="6AD5F967" w:rsidR="00D83BF5" w:rsidRPr="009A6692" w:rsidRDefault="00525367" w:rsidP="00A92C0E">
      <w:pPr>
        <w:spacing w:after="120"/>
        <w:jc w:val="center"/>
      </w:pPr>
      <w:r>
        <w:rPr>
          <w:lang w:val="en-US"/>
        </w:rPr>
        <w:t>________________</w:t>
      </w:r>
    </w:p>
    <w:sectPr w:rsidR="00D83BF5" w:rsidRPr="009A6692" w:rsidSect="00D7112C">
      <w:headerReference w:type="default" r:id="rId22"/>
      <w:footerReference w:type="even" r:id="rId23"/>
      <w:headerReference w:type="first" r:id="rId24"/>
      <w:footerReference w:type="first" r:id="rId25"/>
      <w:pgSz w:w="11907" w:h="16840" w:code="9"/>
      <w:pgMar w:top="1418" w:right="1134" w:bottom="1418" w:left="1134" w:header="720" w:footer="720" w:gutter="0"/>
      <w:paperSrc w:first="15" w:other="15"/>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DECDDB" w16cex:dateUtc="2020-01-31T15:01:00Z"/>
  <w16cex:commentExtensible w16cex:durableId="21DECE7C" w16cex:dateUtc="2020-01-31T15:04:00Z"/>
  <w16cex:commentExtensible w16cex:durableId="21DECCDB" w16cex:dateUtc="2020-01-31T14: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0ADC6" w14:textId="77777777" w:rsidR="00307ADA" w:rsidRDefault="00307ADA">
      <w:r>
        <w:separator/>
      </w:r>
    </w:p>
    <w:p w14:paraId="22E7400D" w14:textId="77777777" w:rsidR="00307ADA" w:rsidRDefault="00307ADA"/>
    <w:p w14:paraId="1C90F244" w14:textId="77777777" w:rsidR="00307ADA" w:rsidRDefault="00307ADA"/>
  </w:endnote>
  <w:endnote w:type="continuationSeparator" w:id="0">
    <w:p w14:paraId="56E28A50" w14:textId="77777777" w:rsidR="00307ADA" w:rsidRDefault="00307ADA">
      <w:r>
        <w:continuationSeparator/>
      </w:r>
    </w:p>
    <w:p w14:paraId="4BE10364" w14:textId="77777777" w:rsidR="00307ADA" w:rsidRDefault="00307ADA"/>
    <w:p w14:paraId="124BF57D" w14:textId="77777777" w:rsidR="00307ADA" w:rsidRDefault="00307ADA"/>
  </w:endnote>
  <w:endnote w:type="continuationNotice" w:id="1">
    <w:p w14:paraId="5C276C7F" w14:textId="77777777" w:rsidR="00307ADA" w:rsidRDefault="00307ADA">
      <w:pPr>
        <w:spacing w:before="0"/>
      </w:pPr>
    </w:p>
    <w:p w14:paraId="6F7A3BF2" w14:textId="77777777" w:rsidR="00307ADA" w:rsidRDefault="00307ADA"/>
    <w:p w14:paraId="3F5A9DC3" w14:textId="77777777" w:rsidR="00307ADA" w:rsidRDefault="00307ADA" w:rsidP="009A6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B1EB" w14:textId="77777777" w:rsidR="00D31366" w:rsidRDefault="00D31366">
    <w:pPr>
      <w:framePr w:wrap="around" w:vAnchor="text" w:hAnchor="margin" w:xAlign="right" w:y="1"/>
    </w:pPr>
    <w:r>
      <w:fldChar w:fldCharType="begin"/>
    </w:r>
    <w:r>
      <w:instrText xml:space="preserve">PAGE  </w:instrText>
    </w:r>
    <w:r>
      <w:fldChar w:fldCharType="end"/>
    </w:r>
  </w:p>
  <w:p w14:paraId="0914B1EC" w14:textId="35D4AE4B" w:rsidR="00D31366" w:rsidRPr="0041348E" w:rsidRDefault="00D31366">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455AB1">
      <w:rPr>
        <w:noProof/>
      </w:rPr>
      <w:t>10.02.20</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p w14:paraId="44AD0F1F" w14:textId="77777777" w:rsidR="00B776F1" w:rsidRDefault="00B776F1"/>
  <w:p w14:paraId="683B4D15" w14:textId="77777777" w:rsidR="00B776F1" w:rsidRPr="009A6692" w:rsidRDefault="00B776F1" w:rsidP="009A66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418"/>
      <w:gridCol w:w="2518"/>
      <w:gridCol w:w="5987"/>
    </w:tblGrid>
    <w:tr w:rsidR="00D31366" w:rsidRPr="005241FB" w14:paraId="0914B1F1" w14:textId="77777777" w:rsidTr="00642F95">
      <w:tc>
        <w:tcPr>
          <w:tcW w:w="1418" w:type="dxa"/>
          <w:tcBorders>
            <w:top w:val="single" w:sz="4" w:space="0" w:color="000000" w:themeColor="text1"/>
          </w:tcBorders>
          <w:shd w:val="clear" w:color="auto" w:fill="auto"/>
        </w:tcPr>
        <w:p w14:paraId="0914B1EE" w14:textId="77777777" w:rsidR="00D31366" w:rsidRPr="00642F95" w:rsidRDefault="00D31366">
          <w:pPr>
            <w:pStyle w:val="FirstFooter"/>
            <w:tabs>
              <w:tab w:val="left" w:pos="1559"/>
              <w:tab w:val="left" w:pos="3828"/>
            </w:tabs>
            <w:rPr>
              <w:sz w:val="20"/>
              <w:lang w:val="en-US"/>
            </w:rPr>
          </w:pPr>
          <w:r w:rsidRPr="543CEC34">
            <w:rPr>
              <w:sz w:val="20"/>
              <w:lang w:val="en-US"/>
            </w:rPr>
            <w:t>Contact:</w:t>
          </w:r>
        </w:p>
      </w:tc>
      <w:tc>
        <w:tcPr>
          <w:tcW w:w="2518" w:type="dxa"/>
          <w:tcBorders>
            <w:top w:val="single" w:sz="4" w:space="0" w:color="000000" w:themeColor="text1"/>
          </w:tcBorders>
          <w:shd w:val="clear" w:color="auto" w:fill="auto"/>
        </w:tcPr>
        <w:p w14:paraId="0914B1EF" w14:textId="77777777" w:rsidR="00D31366" w:rsidRPr="00642F95" w:rsidRDefault="00D31366">
          <w:pPr>
            <w:pStyle w:val="FirstFooter"/>
            <w:tabs>
              <w:tab w:val="left" w:pos="2302"/>
            </w:tabs>
            <w:ind w:left="2302" w:hanging="2302"/>
            <w:rPr>
              <w:sz w:val="20"/>
              <w:lang w:val="en-US"/>
            </w:rPr>
          </w:pPr>
          <w:r w:rsidRPr="543CEC34">
            <w:rPr>
              <w:sz w:val="20"/>
              <w:lang w:val="en-US"/>
            </w:rPr>
            <w:t>Name/Organization/Entity:</w:t>
          </w:r>
        </w:p>
      </w:tc>
      <w:tc>
        <w:tcPr>
          <w:tcW w:w="5987" w:type="dxa"/>
          <w:tcBorders>
            <w:top w:val="single" w:sz="4" w:space="0" w:color="000000" w:themeColor="text1"/>
          </w:tcBorders>
        </w:tcPr>
        <w:p w14:paraId="0914B1F0" w14:textId="1106071E" w:rsidR="00D31366" w:rsidRPr="008673C5" w:rsidRDefault="005A5D2B">
          <w:pPr>
            <w:pStyle w:val="FirstFooter"/>
            <w:rPr>
              <w:sz w:val="18"/>
              <w:szCs w:val="18"/>
              <w:lang w:val="en-US"/>
            </w:rPr>
          </w:pPr>
          <w:r w:rsidRPr="00270FCD">
            <w:rPr>
              <w:sz w:val="18"/>
              <w:szCs w:val="18"/>
              <w:lang w:val="en-US"/>
            </w:rPr>
            <w:t>D</w:t>
          </w:r>
          <w:r w:rsidR="00D31366" w:rsidRPr="00270FCD">
            <w:rPr>
              <w:sz w:val="18"/>
              <w:szCs w:val="18"/>
              <w:lang w:val="en-US"/>
            </w:rPr>
            <w:t>r Cosmas Zavazava, Chief a.i., Partnerships for Digital Development Department, Telecommunication Development Bureau</w:t>
          </w:r>
        </w:p>
      </w:tc>
    </w:tr>
    <w:tr w:rsidR="00D31366" w:rsidRPr="005241FB" w14:paraId="0914B1F5" w14:textId="77777777" w:rsidTr="543CEC34">
      <w:tc>
        <w:tcPr>
          <w:tcW w:w="1418" w:type="dxa"/>
          <w:shd w:val="clear" w:color="auto" w:fill="auto"/>
        </w:tcPr>
        <w:p w14:paraId="0914B1F2" w14:textId="77777777" w:rsidR="00D31366" w:rsidRPr="005241FB" w:rsidRDefault="00D31366" w:rsidP="003C5007">
          <w:pPr>
            <w:pStyle w:val="FirstFooter"/>
            <w:tabs>
              <w:tab w:val="left" w:pos="1559"/>
              <w:tab w:val="left" w:pos="3828"/>
            </w:tabs>
            <w:rPr>
              <w:sz w:val="20"/>
              <w:lang w:val="en-US"/>
            </w:rPr>
          </w:pPr>
        </w:p>
      </w:tc>
      <w:tc>
        <w:tcPr>
          <w:tcW w:w="2518" w:type="dxa"/>
          <w:shd w:val="clear" w:color="auto" w:fill="auto"/>
        </w:tcPr>
        <w:p w14:paraId="0914B1F3" w14:textId="77777777" w:rsidR="00D31366" w:rsidRPr="00642F95" w:rsidRDefault="00D31366">
          <w:pPr>
            <w:pStyle w:val="FirstFooter"/>
            <w:tabs>
              <w:tab w:val="left" w:pos="2302"/>
            </w:tabs>
            <w:ind w:left="2302" w:hanging="2302"/>
            <w:rPr>
              <w:sz w:val="20"/>
              <w:lang w:val="en-US"/>
            </w:rPr>
          </w:pPr>
          <w:r w:rsidRPr="543CEC34">
            <w:rPr>
              <w:sz w:val="20"/>
              <w:lang w:val="en-US"/>
            </w:rPr>
            <w:t>Tel:</w:t>
          </w:r>
        </w:p>
      </w:tc>
      <w:tc>
        <w:tcPr>
          <w:tcW w:w="5987" w:type="dxa"/>
        </w:tcPr>
        <w:p w14:paraId="0914B1F4" w14:textId="77777777" w:rsidR="00D31366" w:rsidRPr="004D495C" w:rsidRDefault="00D31366" w:rsidP="003C5007">
          <w:pPr>
            <w:pStyle w:val="FirstFooter"/>
            <w:tabs>
              <w:tab w:val="left" w:pos="2302"/>
            </w:tabs>
            <w:rPr>
              <w:sz w:val="18"/>
              <w:szCs w:val="18"/>
              <w:highlight w:val="yellow"/>
              <w:lang w:val="en-US"/>
            </w:rPr>
          </w:pPr>
          <w:r w:rsidRPr="006F6E5C">
            <w:rPr>
              <w:sz w:val="18"/>
              <w:szCs w:val="18"/>
              <w:lang w:val="en-US"/>
            </w:rPr>
            <w:t>+41 22 7305447</w:t>
          </w:r>
        </w:p>
      </w:tc>
    </w:tr>
    <w:tr w:rsidR="00D31366" w:rsidRPr="005241FB" w14:paraId="0914B1F9" w14:textId="77777777" w:rsidTr="00642F95">
      <w:tc>
        <w:tcPr>
          <w:tcW w:w="1418" w:type="dxa"/>
          <w:tcBorders>
            <w:bottom w:val="single" w:sz="4" w:space="0" w:color="auto"/>
          </w:tcBorders>
          <w:shd w:val="clear" w:color="auto" w:fill="auto"/>
        </w:tcPr>
        <w:p w14:paraId="0914B1F6" w14:textId="77777777" w:rsidR="00D31366" w:rsidRPr="00642F95" w:rsidRDefault="00D31366" w:rsidP="003C5007">
          <w:pPr>
            <w:pStyle w:val="FirstFooter"/>
            <w:tabs>
              <w:tab w:val="left" w:pos="1559"/>
              <w:tab w:val="left" w:pos="3828"/>
            </w:tabs>
            <w:rPr>
              <w:sz w:val="20"/>
            </w:rPr>
          </w:pPr>
        </w:p>
      </w:tc>
      <w:tc>
        <w:tcPr>
          <w:tcW w:w="2518" w:type="dxa"/>
          <w:tcBorders>
            <w:bottom w:val="single" w:sz="4" w:space="0" w:color="auto"/>
          </w:tcBorders>
          <w:shd w:val="clear" w:color="auto" w:fill="auto"/>
        </w:tcPr>
        <w:p w14:paraId="0914B1F7" w14:textId="77777777" w:rsidR="00D31366" w:rsidRPr="00642F95" w:rsidRDefault="00D31366">
          <w:pPr>
            <w:pStyle w:val="FirstFooter"/>
            <w:tabs>
              <w:tab w:val="left" w:pos="2302"/>
            </w:tabs>
            <w:rPr>
              <w:sz w:val="20"/>
              <w:lang w:val="en-US"/>
            </w:rPr>
          </w:pPr>
          <w:r w:rsidRPr="543CEC34">
            <w:rPr>
              <w:sz w:val="20"/>
              <w:lang w:val="en-US"/>
            </w:rPr>
            <w:t>E-mail:</w:t>
          </w:r>
        </w:p>
      </w:tc>
      <w:tc>
        <w:tcPr>
          <w:tcW w:w="5987" w:type="dxa"/>
          <w:tcBorders>
            <w:bottom w:val="single" w:sz="4" w:space="0" w:color="auto"/>
          </w:tcBorders>
        </w:tcPr>
        <w:p w14:paraId="0914B1F8" w14:textId="77777777" w:rsidR="00D31366" w:rsidRPr="004D495C" w:rsidRDefault="00455AB1" w:rsidP="003C5007">
          <w:pPr>
            <w:pStyle w:val="FirstFooter"/>
            <w:tabs>
              <w:tab w:val="left" w:pos="2302"/>
            </w:tabs>
            <w:rPr>
              <w:sz w:val="18"/>
              <w:szCs w:val="18"/>
              <w:highlight w:val="yellow"/>
              <w:lang w:val="en-US"/>
            </w:rPr>
          </w:pPr>
          <w:hyperlink r:id="rId1" w:history="1">
            <w:r w:rsidR="00D31366" w:rsidRPr="00C77B30">
              <w:rPr>
                <w:rStyle w:val="Hyperlink"/>
                <w:sz w:val="18"/>
                <w:szCs w:val="18"/>
                <w:lang w:val="en-US"/>
              </w:rPr>
              <w:t>cosmas.zavazava@itu.int</w:t>
            </w:r>
          </w:hyperlink>
        </w:p>
      </w:tc>
    </w:tr>
  </w:tbl>
  <w:p w14:paraId="0914B1FA" w14:textId="7E2D7FEF" w:rsidR="00D31366" w:rsidRPr="00546225" w:rsidRDefault="00455AB1" w:rsidP="00600B35">
    <w:pPr>
      <w:jc w:val="center"/>
    </w:pPr>
    <w:hyperlink r:id="rId2" w:history="1">
      <w:r w:rsidR="00D31366" w:rsidRPr="543CEC34">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9D90F" w14:textId="77777777" w:rsidR="00307ADA" w:rsidRDefault="00307ADA">
      <w:r>
        <w:rPr>
          <w:b/>
        </w:rPr>
        <w:t>_______________</w:t>
      </w:r>
    </w:p>
    <w:p w14:paraId="3AD90478" w14:textId="77777777" w:rsidR="00307ADA" w:rsidRDefault="00307ADA"/>
    <w:p w14:paraId="328D3846" w14:textId="77777777" w:rsidR="00307ADA" w:rsidRDefault="00307ADA"/>
  </w:footnote>
  <w:footnote w:type="continuationSeparator" w:id="0">
    <w:p w14:paraId="25CE6F11" w14:textId="77777777" w:rsidR="00307ADA" w:rsidRDefault="00307ADA">
      <w:r>
        <w:continuationSeparator/>
      </w:r>
    </w:p>
    <w:p w14:paraId="7B87A455" w14:textId="77777777" w:rsidR="00307ADA" w:rsidRDefault="00307ADA"/>
    <w:p w14:paraId="1DB843D2" w14:textId="77777777" w:rsidR="00307ADA" w:rsidRDefault="00307ADA"/>
  </w:footnote>
  <w:footnote w:type="continuationNotice" w:id="1">
    <w:p w14:paraId="686A4074" w14:textId="77777777" w:rsidR="00307ADA" w:rsidRDefault="00307ADA">
      <w:pPr>
        <w:spacing w:before="0"/>
      </w:pPr>
    </w:p>
    <w:p w14:paraId="4F3798E7" w14:textId="77777777" w:rsidR="00307ADA" w:rsidRDefault="00307ADA"/>
    <w:p w14:paraId="22F1ABF0" w14:textId="77777777" w:rsidR="00307ADA" w:rsidRDefault="00307ADA" w:rsidP="009A6692"/>
  </w:footnote>
  <w:footnote w:id="2">
    <w:p w14:paraId="0914B1FB" w14:textId="456BB9AA" w:rsidR="00D31366" w:rsidRPr="00642F95" w:rsidRDefault="00D31366" w:rsidP="00642F95">
      <w:pPr>
        <w:pStyle w:val="FootnoteText"/>
        <w:tabs>
          <w:tab w:val="clear" w:pos="255"/>
          <w:tab w:val="left" w:pos="0"/>
        </w:tabs>
        <w:spacing w:before="0"/>
        <w:rPr>
          <w:sz w:val="20"/>
        </w:rPr>
      </w:pPr>
      <w:r w:rsidRPr="543CEC34">
        <w:rPr>
          <w:rStyle w:val="FootnoteReference"/>
          <w:sz w:val="20"/>
        </w:rPr>
        <w:footnoteRef/>
      </w:r>
      <w:r w:rsidRPr="543CEC34">
        <w:rPr>
          <w:sz w:val="20"/>
        </w:rPr>
        <w:t xml:space="preserve"> For reporting purposes, all financial figures are converted into CHF using ITU’s accounting exchange rate of December 201</w:t>
      </w:r>
      <w:r>
        <w:rPr>
          <w:sz w:val="20"/>
        </w:rPr>
        <w:t>9</w:t>
      </w:r>
      <w:r w:rsidRPr="543CEC34">
        <w:rPr>
          <w:sz w:val="20"/>
        </w:rPr>
        <w:t>.</w:t>
      </w:r>
      <w:r w:rsidR="00533288">
        <w:rPr>
          <w:sz w:val="20"/>
        </w:rPr>
        <w:t xml:space="preserve"> Also, this figure might slightly change when the accounts are closed.</w:t>
      </w:r>
    </w:p>
  </w:footnote>
  <w:footnote w:id="3">
    <w:p w14:paraId="4C2483BE" w14:textId="77777777" w:rsidR="0039691C" w:rsidRPr="00642F95" w:rsidRDefault="0039691C" w:rsidP="0039691C">
      <w:pPr>
        <w:pStyle w:val="FootnoteText"/>
        <w:spacing w:before="0"/>
        <w:rPr>
          <w:sz w:val="20"/>
        </w:rPr>
      </w:pPr>
      <w:r w:rsidRPr="543CEC34">
        <w:rPr>
          <w:rStyle w:val="FootnoteReference"/>
          <w:sz w:val="20"/>
        </w:rPr>
        <w:footnoteRef/>
      </w:r>
      <w:r w:rsidRPr="543CEC34">
        <w:rPr>
          <w:sz w:val="20"/>
        </w:rPr>
        <w:t xml:space="preserve"> Please note that some projects fall under more than one area of 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DE1B1" w14:textId="5C6FDF92" w:rsidR="00B776F1" w:rsidRPr="009A6692" w:rsidRDefault="00D31366" w:rsidP="009A6692">
    <w:pPr>
      <w:tabs>
        <w:tab w:val="clear" w:pos="1134"/>
        <w:tab w:val="clear" w:pos="1871"/>
        <w:tab w:val="clear" w:pos="2268"/>
        <w:tab w:val="center" w:pos="4820"/>
        <w:tab w:val="right" w:pos="10206"/>
      </w:tabs>
      <w:spacing w:after="120"/>
      <w:ind w:right="1"/>
    </w:pPr>
    <w:r w:rsidRPr="004D495C">
      <w:rPr>
        <w:sz w:val="22"/>
        <w:szCs w:val="22"/>
      </w:rPr>
      <w:tab/>
    </w:r>
    <w:r w:rsidRPr="00270FCD">
      <w:rPr>
        <w:sz w:val="22"/>
        <w:szCs w:val="22"/>
        <w:lang w:val="es-ES"/>
      </w:rPr>
      <w:t>TDAG-20/</w:t>
    </w:r>
    <w:r w:rsidR="009A6692">
      <w:rPr>
        <w:sz w:val="22"/>
        <w:szCs w:val="22"/>
        <w:lang w:val="es-ES"/>
      </w:rPr>
      <w:t>10</w:t>
    </w:r>
    <w:r w:rsidRPr="00270FCD">
      <w:rPr>
        <w:sz w:val="22"/>
        <w:szCs w:val="22"/>
        <w:lang w:val="es-ES"/>
      </w:rPr>
      <w:t>-E</w:t>
    </w:r>
    <w:r w:rsidRPr="00FF089C">
      <w:rPr>
        <w:sz w:val="22"/>
        <w:szCs w:val="22"/>
        <w:lang w:val="es-ES_tradnl"/>
      </w:rPr>
      <w:tab/>
    </w:r>
    <w:r w:rsidRPr="00642F95">
      <w:rPr>
        <w:sz w:val="22"/>
        <w:szCs w:val="22"/>
        <w:lang w:val="es-ES"/>
      </w:rPr>
      <w:t xml:space="preserve">Page </w:t>
    </w:r>
    <w:r w:rsidRPr="00642F95">
      <w:rPr>
        <w:noProof/>
        <w:sz w:val="22"/>
        <w:szCs w:val="22"/>
        <w:lang w:val="es-ES"/>
      </w:rPr>
      <w:fldChar w:fldCharType="begin"/>
    </w:r>
    <w:r w:rsidRPr="00FF089C">
      <w:rPr>
        <w:sz w:val="22"/>
        <w:szCs w:val="22"/>
        <w:lang w:val="es-ES_tradnl"/>
      </w:rPr>
      <w:instrText xml:space="preserve"> PAGE </w:instrText>
    </w:r>
    <w:r w:rsidRPr="00642F95">
      <w:rPr>
        <w:sz w:val="22"/>
        <w:szCs w:val="22"/>
      </w:rPr>
      <w:fldChar w:fldCharType="separate"/>
    </w:r>
    <w:r w:rsidR="009A6692">
      <w:rPr>
        <w:noProof/>
        <w:sz w:val="22"/>
        <w:szCs w:val="22"/>
        <w:lang w:val="es-ES_tradnl"/>
      </w:rPr>
      <w:t>5</w:t>
    </w:r>
    <w:r w:rsidRPr="00642F95">
      <w:rPr>
        <w:noProof/>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B1ED" w14:textId="77777777" w:rsidR="00D31366" w:rsidRPr="009B7D33" w:rsidRDefault="00D31366"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0B65"/>
    <w:multiLevelType w:val="hybridMultilevel"/>
    <w:tmpl w:val="B07AB2AE"/>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BB4A54"/>
    <w:multiLevelType w:val="hybridMultilevel"/>
    <w:tmpl w:val="5D82CC84"/>
    <w:lvl w:ilvl="0" w:tplc="08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7B34C8"/>
    <w:multiLevelType w:val="hybridMultilevel"/>
    <w:tmpl w:val="1E1ED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044D96"/>
    <w:multiLevelType w:val="hybridMultilevel"/>
    <w:tmpl w:val="8AE4C5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F530A4"/>
    <w:multiLevelType w:val="hybridMultilevel"/>
    <w:tmpl w:val="56EE58CC"/>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361F8"/>
    <w:multiLevelType w:val="hybridMultilevel"/>
    <w:tmpl w:val="7E9CC6D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2D1160"/>
    <w:multiLevelType w:val="hybridMultilevel"/>
    <w:tmpl w:val="6D0863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170E"/>
    <w:multiLevelType w:val="hybridMultilevel"/>
    <w:tmpl w:val="8912E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17186D"/>
    <w:multiLevelType w:val="hybridMultilevel"/>
    <w:tmpl w:val="6FEC3770"/>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F94F0C"/>
    <w:multiLevelType w:val="hybridMultilevel"/>
    <w:tmpl w:val="A1C0D12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2"/>
  </w:num>
  <w:num w:numId="4">
    <w:abstractNumId w:val="7"/>
  </w:num>
  <w:num w:numId="5">
    <w:abstractNumId w:val="6"/>
  </w:num>
  <w:num w:numId="6">
    <w:abstractNumId w:val="3"/>
  </w:num>
  <w:num w:numId="7">
    <w:abstractNumId w:val="0"/>
  </w:num>
  <w:num w:numId="8">
    <w:abstractNumId w:val="9"/>
  </w:num>
  <w:num w:numId="9">
    <w:abstractNumId w:val="11"/>
  </w:num>
  <w:num w:numId="10">
    <w:abstractNumId w:val="8"/>
  </w:num>
  <w:num w:numId="11">
    <w:abstractNumId w:val="1"/>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895"/>
    <w:rsid w:val="00003CA3"/>
    <w:rsid w:val="000041EA"/>
    <w:rsid w:val="00005455"/>
    <w:rsid w:val="000101BA"/>
    <w:rsid w:val="00010F8B"/>
    <w:rsid w:val="00022A29"/>
    <w:rsid w:val="00027A84"/>
    <w:rsid w:val="00031642"/>
    <w:rsid w:val="000355FD"/>
    <w:rsid w:val="0004156E"/>
    <w:rsid w:val="00051E39"/>
    <w:rsid w:val="00063785"/>
    <w:rsid w:val="00075C63"/>
    <w:rsid w:val="00077239"/>
    <w:rsid w:val="00080905"/>
    <w:rsid w:val="000811AC"/>
    <w:rsid w:val="000822BE"/>
    <w:rsid w:val="00086491"/>
    <w:rsid w:val="00091346"/>
    <w:rsid w:val="00097627"/>
    <w:rsid w:val="000A733B"/>
    <w:rsid w:val="000D0043"/>
    <w:rsid w:val="000D4875"/>
    <w:rsid w:val="000D7975"/>
    <w:rsid w:val="000E33BE"/>
    <w:rsid w:val="000E7F79"/>
    <w:rsid w:val="000F0A05"/>
    <w:rsid w:val="000F73FF"/>
    <w:rsid w:val="00114CF7"/>
    <w:rsid w:val="00123B68"/>
    <w:rsid w:val="00126F2E"/>
    <w:rsid w:val="0013196A"/>
    <w:rsid w:val="00131EC6"/>
    <w:rsid w:val="001339C8"/>
    <w:rsid w:val="00146F6F"/>
    <w:rsid w:val="0014750C"/>
    <w:rsid w:val="00147DA1"/>
    <w:rsid w:val="00152957"/>
    <w:rsid w:val="00162460"/>
    <w:rsid w:val="001657C8"/>
    <w:rsid w:val="00173EB8"/>
    <w:rsid w:val="0018673E"/>
    <w:rsid w:val="00187BD9"/>
    <w:rsid w:val="00190B55"/>
    <w:rsid w:val="00194CFB"/>
    <w:rsid w:val="001A0465"/>
    <w:rsid w:val="001A3C95"/>
    <w:rsid w:val="001A5FD1"/>
    <w:rsid w:val="001B2405"/>
    <w:rsid w:val="001B2ED3"/>
    <w:rsid w:val="001B3BE8"/>
    <w:rsid w:val="001B4791"/>
    <w:rsid w:val="001B55DE"/>
    <w:rsid w:val="001B7EA3"/>
    <w:rsid w:val="001C3B5F"/>
    <w:rsid w:val="001C3D25"/>
    <w:rsid w:val="001C6AD7"/>
    <w:rsid w:val="001D058F"/>
    <w:rsid w:val="001D16F0"/>
    <w:rsid w:val="001D385E"/>
    <w:rsid w:val="001E252D"/>
    <w:rsid w:val="001F3443"/>
    <w:rsid w:val="001F6050"/>
    <w:rsid w:val="002009EA"/>
    <w:rsid w:val="00201B1A"/>
    <w:rsid w:val="00202CA0"/>
    <w:rsid w:val="00202CE1"/>
    <w:rsid w:val="00203BA1"/>
    <w:rsid w:val="002112C3"/>
    <w:rsid w:val="002154A6"/>
    <w:rsid w:val="00215C12"/>
    <w:rsid w:val="002162CD"/>
    <w:rsid w:val="00216853"/>
    <w:rsid w:val="002255B3"/>
    <w:rsid w:val="002309D0"/>
    <w:rsid w:val="00236E8A"/>
    <w:rsid w:val="0024473F"/>
    <w:rsid w:val="00244DB0"/>
    <w:rsid w:val="00251D74"/>
    <w:rsid w:val="00253A15"/>
    <w:rsid w:val="00270FCD"/>
    <w:rsid w:val="00271316"/>
    <w:rsid w:val="002715A7"/>
    <w:rsid w:val="00276A58"/>
    <w:rsid w:val="002854B5"/>
    <w:rsid w:val="002928BD"/>
    <w:rsid w:val="00296313"/>
    <w:rsid w:val="002A46A9"/>
    <w:rsid w:val="002B3C84"/>
    <w:rsid w:val="002B58D1"/>
    <w:rsid w:val="002C33C9"/>
    <w:rsid w:val="002D0297"/>
    <w:rsid w:val="002D58BE"/>
    <w:rsid w:val="002E5F40"/>
    <w:rsid w:val="002F07E3"/>
    <w:rsid w:val="003013EE"/>
    <w:rsid w:val="00307ADA"/>
    <w:rsid w:val="00317161"/>
    <w:rsid w:val="00323945"/>
    <w:rsid w:val="00330DCC"/>
    <w:rsid w:val="00331BD9"/>
    <w:rsid w:val="00335BE6"/>
    <w:rsid w:val="00351729"/>
    <w:rsid w:val="00351E48"/>
    <w:rsid w:val="00353DC2"/>
    <w:rsid w:val="003567C2"/>
    <w:rsid w:val="00370A55"/>
    <w:rsid w:val="00377BD3"/>
    <w:rsid w:val="00382E92"/>
    <w:rsid w:val="00384088"/>
    <w:rsid w:val="0038489B"/>
    <w:rsid w:val="00384E7B"/>
    <w:rsid w:val="0039169B"/>
    <w:rsid w:val="00393FCD"/>
    <w:rsid w:val="00394250"/>
    <w:rsid w:val="0039691C"/>
    <w:rsid w:val="003A0394"/>
    <w:rsid w:val="003A7F8C"/>
    <w:rsid w:val="003B08BF"/>
    <w:rsid w:val="003B307E"/>
    <w:rsid w:val="003B3981"/>
    <w:rsid w:val="003B532E"/>
    <w:rsid w:val="003B6F14"/>
    <w:rsid w:val="003C2B3F"/>
    <w:rsid w:val="003C3560"/>
    <w:rsid w:val="003C5007"/>
    <w:rsid w:val="003D0F8B"/>
    <w:rsid w:val="003D14EF"/>
    <w:rsid w:val="003D636F"/>
    <w:rsid w:val="003D7BD0"/>
    <w:rsid w:val="003E2CE9"/>
    <w:rsid w:val="003E3D25"/>
    <w:rsid w:val="003E4684"/>
    <w:rsid w:val="003F4BE7"/>
    <w:rsid w:val="00403D31"/>
    <w:rsid w:val="00403E2D"/>
    <w:rsid w:val="00407614"/>
    <w:rsid w:val="00411FE5"/>
    <w:rsid w:val="004131D4"/>
    <w:rsid w:val="0041348E"/>
    <w:rsid w:val="00414BCC"/>
    <w:rsid w:val="00417C1E"/>
    <w:rsid w:val="004216C5"/>
    <w:rsid w:val="00427683"/>
    <w:rsid w:val="004349D4"/>
    <w:rsid w:val="00447308"/>
    <w:rsid w:val="00455AB1"/>
    <w:rsid w:val="004662D3"/>
    <w:rsid w:val="00470C61"/>
    <w:rsid w:val="00472285"/>
    <w:rsid w:val="004730A6"/>
    <w:rsid w:val="00475D0C"/>
    <w:rsid w:val="004765FF"/>
    <w:rsid w:val="0048222C"/>
    <w:rsid w:val="00484C37"/>
    <w:rsid w:val="00492075"/>
    <w:rsid w:val="004925C7"/>
    <w:rsid w:val="004969AD"/>
    <w:rsid w:val="004A5870"/>
    <w:rsid w:val="004B13CB"/>
    <w:rsid w:val="004B4FDF"/>
    <w:rsid w:val="004B62AA"/>
    <w:rsid w:val="004B7B43"/>
    <w:rsid w:val="004C18AB"/>
    <w:rsid w:val="004D26CE"/>
    <w:rsid w:val="004D5D5C"/>
    <w:rsid w:val="004E6F4B"/>
    <w:rsid w:val="004E74CD"/>
    <w:rsid w:val="004F2868"/>
    <w:rsid w:val="0050139F"/>
    <w:rsid w:val="005034F3"/>
    <w:rsid w:val="00512A33"/>
    <w:rsid w:val="00521223"/>
    <w:rsid w:val="00522EB1"/>
    <w:rsid w:val="00524DF1"/>
    <w:rsid w:val="00525367"/>
    <w:rsid w:val="00527175"/>
    <w:rsid w:val="00527523"/>
    <w:rsid w:val="005303EE"/>
    <w:rsid w:val="00533288"/>
    <w:rsid w:val="00546225"/>
    <w:rsid w:val="0055140B"/>
    <w:rsid w:val="00554C4F"/>
    <w:rsid w:val="00561D72"/>
    <w:rsid w:val="00563AAD"/>
    <w:rsid w:val="00573456"/>
    <w:rsid w:val="00583CB2"/>
    <w:rsid w:val="005964AB"/>
    <w:rsid w:val="005A0F36"/>
    <w:rsid w:val="005A5D2B"/>
    <w:rsid w:val="005A72C4"/>
    <w:rsid w:val="005B4139"/>
    <w:rsid w:val="005B44F5"/>
    <w:rsid w:val="005C099A"/>
    <w:rsid w:val="005C31A5"/>
    <w:rsid w:val="005C32E6"/>
    <w:rsid w:val="005C4D95"/>
    <w:rsid w:val="005E10C9"/>
    <w:rsid w:val="005E31E4"/>
    <w:rsid w:val="005E61DD"/>
    <w:rsid w:val="005E6321"/>
    <w:rsid w:val="005F012D"/>
    <w:rsid w:val="005F334F"/>
    <w:rsid w:val="005F576C"/>
    <w:rsid w:val="005F706C"/>
    <w:rsid w:val="00600B35"/>
    <w:rsid w:val="006023DF"/>
    <w:rsid w:val="00602A0F"/>
    <w:rsid w:val="006057A7"/>
    <w:rsid w:val="006121D5"/>
    <w:rsid w:val="00617710"/>
    <w:rsid w:val="00630FCF"/>
    <w:rsid w:val="006330DD"/>
    <w:rsid w:val="00635291"/>
    <w:rsid w:val="00636877"/>
    <w:rsid w:val="00642F95"/>
    <w:rsid w:val="0064322F"/>
    <w:rsid w:val="00645019"/>
    <w:rsid w:val="00646C71"/>
    <w:rsid w:val="00657DE0"/>
    <w:rsid w:val="00657FEF"/>
    <w:rsid w:val="00661AC1"/>
    <w:rsid w:val="00670B75"/>
    <w:rsid w:val="0067199F"/>
    <w:rsid w:val="00677048"/>
    <w:rsid w:val="00677F30"/>
    <w:rsid w:val="00682E6E"/>
    <w:rsid w:val="00685313"/>
    <w:rsid w:val="00686BFF"/>
    <w:rsid w:val="00687C59"/>
    <w:rsid w:val="006907AB"/>
    <w:rsid w:val="00695055"/>
    <w:rsid w:val="00697A71"/>
    <w:rsid w:val="006A58D5"/>
    <w:rsid w:val="006A6E9B"/>
    <w:rsid w:val="006A75CD"/>
    <w:rsid w:val="006B4C2E"/>
    <w:rsid w:val="006B7C2A"/>
    <w:rsid w:val="006C23DA"/>
    <w:rsid w:val="006E3D45"/>
    <w:rsid w:val="006F6D0F"/>
    <w:rsid w:val="006F799C"/>
    <w:rsid w:val="00711CF1"/>
    <w:rsid w:val="007149F9"/>
    <w:rsid w:val="00727B93"/>
    <w:rsid w:val="00733A30"/>
    <w:rsid w:val="007357A1"/>
    <w:rsid w:val="00743ABF"/>
    <w:rsid w:val="00745AEE"/>
    <w:rsid w:val="00747314"/>
    <w:rsid w:val="007479EA"/>
    <w:rsid w:val="00750D62"/>
    <w:rsid w:val="00750F10"/>
    <w:rsid w:val="007657B6"/>
    <w:rsid w:val="007742CA"/>
    <w:rsid w:val="00785220"/>
    <w:rsid w:val="00793EDA"/>
    <w:rsid w:val="00795BED"/>
    <w:rsid w:val="00796AF2"/>
    <w:rsid w:val="007A7F08"/>
    <w:rsid w:val="007B4804"/>
    <w:rsid w:val="007B6C47"/>
    <w:rsid w:val="007C5019"/>
    <w:rsid w:val="007D06F0"/>
    <w:rsid w:val="007D401D"/>
    <w:rsid w:val="007D45E3"/>
    <w:rsid w:val="007D5320"/>
    <w:rsid w:val="007E72F9"/>
    <w:rsid w:val="007F4B47"/>
    <w:rsid w:val="007F7019"/>
    <w:rsid w:val="007F735C"/>
    <w:rsid w:val="00800972"/>
    <w:rsid w:val="008022D5"/>
    <w:rsid w:val="00804475"/>
    <w:rsid w:val="00811633"/>
    <w:rsid w:val="00811D6E"/>
    <w:rsid w:val="00821CEF"/>
    <w:rsid w:val="00827836"/>
    <w:rsid w:val="00832828"/>
    <w:rsid w:val="008338E0"/>
    <w:rsid w:val="0083645A"/>
    <w:rsid w:val="00837762"/>
    <w:rsid w:val="00840B0F"/>
    <w:rsid w:val="0085279B"/>
    <w:rsid w:val="0085770E"/>
    <w:rsid w:val="00867878"/>
    <w:rsid w:val="00867FAE"/>
    <w:rsid w:val="008707CE"/>
    <w:rsid w:val="00870CFB"/>
    <w:rsid w:val="008711AE"/>
    <w:rsid w:val="00872FC8"/>
    <w:rsid w:val="0087404B"/>
    <w:rsid w:val="008801D3"/>
    <w:rsid w:val="008845D0"/>
    <w:rsid w:val="00887500"/>
    <w:rsid w:val="00894F8D"/>
    <w:rsid w:val="008A51DA"/>
    <w:rsid w:val="008B43F2"/>
    <w:rsid w:val="008B61EA"/>
    <w:rsid w:val="008B6CFF"/>
    <w:rsid w:val="008C0FBE"/>
    <w:rsid w:val="008C2D57"/>
    <w:rsid w:val="008C4710"/>
    <w:rsid w:val="008D6E39"/>
    <w:rsid w:val="008E7341"/>
    <w:rsid w:val="008E7496"/>
    <w:rsid w:val="008F62C1"/>
    <w:rsid w:val="00901820"/>
    <w:rsid w:val="0090441D"/>
    <w:rsid w:val="00910B26"/>
    <w:rsid w:val="009211C0"/>
    <w:rsid w:val="0092128E"/>
    <w:rsid w:val="009274B4"/>
    <w:rsid w:val="009304C7"/>
    <w:rsid w:val="00934EA2"/>
    <w:rsid w:val="00944A5C"/>
    <w:rsid w:val="009450D8"/>
    <w:rsid w:val="00946211"/>
    <w:rsid w:val="00952A66"/>
    <w:rsid w:val="00960705"/>
    <w:rsid w:val="00973CDF"/>
    <w:rsid w:val="00985A02"/>
    <w:rsid w:val="00992404"/>
    <w:rsid w:val="00997660"/>
    <w:rsid w:val="009A6692"/>
    <w:rsid w:val="009A6E95"/>
    <w:rsid w:val="009B7D33"/>
    <w:rsid w:val="009C2757"/>
    <w:rsid w:val="009C56E5"/>
    <w:rsid w:val="009C7CBC"/>
    <w:rsid w:val="009D1BC0"/>
    <w:rsid w:val="009E5FC8"/>
    <w:rsid w:val="009E687A"/>
    <w:rsid w:val="009E6F3F"/>
    <w:rsid w:val="009F3E5E"/>
    <w:rsid w:val="009F43E9"/>
    <w:rsid w:val="009F4AEF"/>
    <w:rsid w:val="00A0173C"/>
    <w:rsid w:val="00A03C5C"/>
    <w:rsid w:val="00A066F1"/>
    <w:rsid w:val="00A123DD"/>
    <w:rsid w:val="00A141AF"/>
    <w:rsid w:val="00A16D29"/>
    <w:rsid w:val="00A20E5E"/>
    <w:rsid w:val="00A30305"/>
    <w:rsid w:val="00A31D2D"/>
    <w:rsid w:val="00A33033"/>
    <w:rsid w:val="00A4600A"/>
    <w:rsid w:val="00A5022F"/>
    <w:rsid w:val="00A538A6"/>
    <w:rsid w:val="00A54C25"/>
    <w:rsid w:val="00A62C60"/>
    <w:rsid w:val="00A7002E"/>
    <w:rsid w:val="00A710E7"/>
    <w:rsid w:val="00A7372E"/>
    <w:rsid w:val="00A84719"/>
    <w:rsid w:val="00A867A7"/>
    <w:rsid w:val="00A90292"/>
    <w:rsid w:val="00A92C0E"/>
    <w:rsid w:val="00A93B85"/>
    <w:rsid w:val="00AA0B18"/>
    <w:rsid w:val="00AA5FAF"/>
    <w:rsid w:val="00AA666F"/>
    <w:rsid w:val="00AB4927"/>
    <w:rsid w:val="00AC034F"/>
    <w:rsid w:val="00AD6AC4"/>
    <w:rsid w:val="00AD797F"/>
    <w:rsid w:val="00AE0A51"/>
    <w:rsid w:val="00AE1DE0"/>
    <w:rsid w:val="00AE2A83"/>
    <w:rsid w:val="00AE65F5"/>
    <w:rsid w:val="00AF3CD6"/>
    <w:rsid w:val="00AF74E6"/>
    <w:rsid w:val="00B004E5"/>
    <w:rsid w:val="00B05252"/>
    <w:rsid w:val="00B1568A"/>
    <w:rsid w:val="00B15C8A"/>
    <w:rsid w:val="00B15F9D"/>
    <w:rsid w:val="00B241BC"/>
    <w:rsid w:val="00B243AF"/>
    <w:rsid w:val="00B2685B"/>
    <w:rsid w:val="00B3496A"/>
    <w:rsid w:val="00B35205"/>
    <w:rsid w:val="00B43B6E"/>
    <w:rsid w:val="00B53DC1"/>
    <w:rsid w:val="00B62876"/>
    <w:rsid w:val="00B639E9"/>
    <w:rsid w:val="00B7112E"/>
    <w:rsid w:val="00B74DC6"/>
    <w:rsid w:val="00B76479"/>
    <w:rsid w:val="00B776F1"/>
    <w:rsid w:val="00B817CD"/>
    <w:rsid w:val="00B911B2"/>
    <w:rsid w:val="00B94491"/>
    <w:rsid w:val="00B951D0"/>
    <w:rsid w:val="00B95362"/>
    <w:rsid w:val="00B95DA2"/>
    <w:rsid w:val="00BB29C8"/>
    <w:rsid w:val="00BB3A95"/>
    <w:rsid w:val="00BC0382"/>
    <w:rsid w:val="00BC520B"/>
    <w:rsid w:val="00BD0476"/>
    <w:rsid w:val="00BD15FA"/>
    <w:rsid w:val="00BD62C6"/>
    <w:rsid w:val="00BD6F9B"/>
    <w:rsid w:val="00BE1B2D"/>
    <w:rsid w:val="00BF05F3"/>
    <w:rsid w:val="00BF2596"/>
    <w:rsid w:val="00BF2955"/>
    <w:rsid w:val="00BF445B"/>
    <w:rsid w:val="00BF69B7"/>
    <w:rsid w:val="00C0018F"/>
    <w:rsid w:val="00C111CB"/>
    <w:rsid w:val="00C20466"/>
    <w:rsid w:val="00C214ED"/>
    <w:rsid w:val="00C2209E"/>
    <w:rsid w:val="00C234E6"/>
    <w:rsid w:val="00C23CDE"/>
    <w:rsid w:val="00C2738B"/>
    <w:rsid w:val="00C324A8"/>
    <w:rsid w:val="00C43CE2"/>
    <w:rsid w:val="00C44FA8"/>
    <w:rsid w:val="00C4520A"/>
    <w:rsid w:val="00C508A0"/>
    <w:rsid w:val="00C54517"/>
    <w:rsid w:val="00C61EDC"/>
    <w:rsid w:val="00C64192"/>
    <w:rsid w:val="00C64CD8"/>
    <w:rsid w:val="00C71CFA"/>
    <w:rsid w:val="00C72DA3"/>
    <w:rsid w:val="00C7322A"/>
    <w:rsid w:val="00C7606F"/>
    <w:rsid w:val="00C77267"/>
    <w:rsid w:val="00C82D8D"/>
    <w:rsid w:val="00C97C68"/>
    <w:rsid w:val="00CA11E9"/>
    <w:rsid w:val="00CA1A47"/>
    <w:rsid w:val="00CB1214"/>
    <w:rsid w:val="00CC14F8"/>
    <w:rsid w:val="00CC247A"/>
    <w:rsid w:val="00CD134F"/>
    <w:rsid w:val="00CE5A74"/>
    <w:rsid w:val="00CE5E47"/>
    <w:rsid w:val="00CE6A95"/>
    <w:rsid w:val="00CF020F"/>
    <w:rsid w:val="00CF2B5B"/>
    <w:rsid w:val="00CF2C64"/>
    <w:rsid w:val="00D14CE0"/>
    <w:rsid w:val="00D31366"/>
    <w:rsid w:val="00D33E29"/>
    <w:rsid w:val="00D35648"/>
    <w:rsid w:val="00D36333"/>
    <w:rsid w:val="00D402E6"/>
    <w:rsid w:val="00D52F77"/>
    <w:rsid w:val="00D5651D"/>
    <w:rsid w:val="00D57344"/>
    <w:rsid w:val="00D60983"/>
    <w:rsid w:val="00D676AC"/>
    <w:rsid w:val="00D676E9"/>
    <w:rsid w:val="00D7112C"/>
    <w:rsid w:val="00D74898"/>
    <w:rsid w:val="00D801ED"/>
    <w:rsid w:val="00D82A6B"/>
    <w:rsid w:val="00D83BF5"/>
    <w:rsid w:val="00D846CC"/>
    <w:rsid w:val="00D86299"/>
    <w:rsid w:val="00D925C2"/>
    <w:rsid w:val="00D936BC"/>
    <w:rsid w:val="00D95FD2"/>
    <w:rsid w:val="00D9621A"/>
    <w:rsid w:val="00D9634C"/>
    <w:rsid w:val="00D96530"/>
    <w:rsid w:val="00D96B4B"/>
    <w:rsid w:val="00DA2345"/>
    <w:rsid w:val="00DA3C8F"/>
    <w:rsid w:val="00DA453A"/>
    <w:rsid w:val="00DA7078"/>
    <w:rsid w:val="00DB13BA"/>
    <w:rsid w:val="00DC0386"/>
    <w:rsid w:val="00DC47D1"/>
    <w:rsid w:val="00DD08B4"/>
    <w:rsid w:val="00DD44AF"/>
    <w:rsid w:val="00DD48C3"/>
    <w:rsid w:val="00DE2AC3"/>
    <w:rsid w:val="00DE434C"/>
    <w:rsid w:val="00DE46E8"/>
    <w:rsid w:val="00DE5692"/>
    <w:rsid w:val="00DF4657"/>
    <w:rsid w:val="00DF6F69"/>
    <w:rsid w:val="00DF6F8E"/>
    <w:rsid w:val="00E03C94"/>
    <w:rsid w:val="00E07105"/>
    <w:rsid w:val="00E112ED"/>
    <w:rsid w:val="00E15498"/>
    <w:rsid w:val="00E26226"/>
    <w:rsid w:val="00E3405A"/>
    <w:rsid w:val="00E4165C"/>
    <w:rsid w:val="00E443AC"/>
    <w:rsid w:val="00E44548"/>
    <w:rsid w:val="00E45D05"/>
    <w:rsid w:val="00E52BE5"/>
    <w:rsid w:val="00E55816"/>
    <w:rsid w:val="00E55AEF"/>
    <w:rsid w:val="00E71CC6"/>
    <w:rsid w:val="00E86598"/>
    <w:rsid w:val="00E924B2"/>
    <w:rsid w:val="00E976C1"/>
    <w:rsid w:val="00EA0636"/>
    <w:rsid w:val="00EA0AD8"/>
    <w:rsid w:val="00EA12E5"/>
    <w:rsid w:val="00EB52C7"/>
    <w:rsid w:val="00EB79D6"/>
    <w:rsid w:val="00EC5BB4"/>
    <w:rsid w:val="00ED1768"/>
    <w:rsid w:val="00ED5274"/>
    <w:rsid w:val="00ED7143"/>
    <w:rsid w:val="00EE18A3"/>
    <w:rsid w:val="00EF1CD5"/>
    <w:rsid w:val="00EF2C99"/>
    <w:rsid w:val="00EF4C96"/>
    <w:rsid w:val="00EF506B"/>
    <w:rsid w:val="00F02766"/>
    <w:rsid w:val="00F04067"/>
    <w:rsid w:val="00F05BD4"/>
    <w:rsid w:val="00F104EF"/>
    <w:rsid w:val="00F11A98"/>
    <w:rsid w:val="00F13E90"/>
    <w:rsid w:val="00F15D1D"/>
    <w:rsid w:val="00F21A1D"/>
    <w:rsid w:val="00F21F2B"/>
    <w:rsid w:val="00F23656"/>
    <w:rsid w:val="00F24E17"/>
    <w:rsid w:val="00F26A5A"/>
    <w:rsid w:val="00F329CD"/>
    <w:rsid w:val="00F34336"/>
    <w:rsid w:val="00F52C92"/>
    <w:rsid w:val="00F53BDD"/>
    <w:rsid w:val="00F64F19"/>
    <w:rsid w:val="00F65C19"/>
    <w:rsid w:val="00F72754"/>
    <w:rsid w:val="00F82ED8"/>
    <w:rsid w:val="00F83146"/>
    <w:rsid w:val="00F85846"/>
    <w:rsid w:val="00F863B0"/>
    <w:rsid w:val="00F91E4B"/>
    <w:rsid w:val="00FB554D"/>
    <w:rsid w:val="00FB625D"/>
    <w:rsid w:val="00FC0E31"/>
    <w:rsid w:val="00FD2546"/>
    <w:rsid w:val="00FD6774"/>
    <w:rsid w:val="00FD772E"/>
    <w:rsid w:val="00FE0BFA"/>
    <w:rsid w:val="00FE3926"/>
    <w:rsid w:val="00FE78C7"/>
    <w:rsid w:val="00FF1726"/>
    <w:rsid w:val="00FF43AC"/>
    <w:rsid w:val="00FF58AC"/>
    <w:rsid w:val="1703F9C9"/>
    <w:rsid w:val="2839E1E9"/>
    <w:rsid w:val="45D50292"/>
    <w:rsid w:val="4656D114"/>
    <w:rsid w:val="53ADA181"/>
    <w:rsid w:val="543CEC34"/>
    <w:rsid w:val="5A6703F8"/>
    <w:rsid w:val="5AB1EF34"/>
    <w:rsid w:val="6E642C00"/>
    <w:rsid w:val="727F1E2C"/>
    <w:rsid w:val="76EF4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14AF4E"/>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rsid w:val="00AE0A51"/>
    <w:rPr>
      <w:rFonts w:asciiTheme="minorHAnsi" w:hAnsiTheme="minorHAnsi"/>
      <w:b/>
      <w:sz w:val="28"/>
      <w:lang w:val="en-GB" w:eastAsia="en-US"/>
    </w:rPr>
  </w:style>
  <w:style w:type="character" w:customStyle="1" w:styleId="Heading2Char">
    <w:name w:val="Heading 2 Char"/>
    <w:link w:val="Heading2"/>
    <w:rsid w:val="00AE0A51"/>
    <w:rPr>
      <w:rFonts w:asciiTheme="minorHAnsi" w:hAnsiTheme="minorHAnsi"/>
      <w:b/>
      <w:sz w:val="24"/>
      <w:lang w:val="en-GB" w:eastAsia="en-US"/>
    </w:rPr>
  </w:style>
  <w:style w:type="character" w:customStyle="1" w:styleId="Heading3Char">
    <w:name w:val="Heading 3 Char"/>
    <w:link w:val="Heading3"/>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 w:type="character" w:customStyle="1" w:styleId="Heading4Char">
    <w:name w:val="Heading 4 Char"/>
    <w:basedOn w:val="DefaultParagraphFont"/>
    <w:link w:val="Heading4"/>
    <w:rsid w:val="00747314"/>
    <w:rPr>
      <w:rFonts w:asciiTheme="minorHAnsi" w:hAnsiTheme="minorHAnsi"/>
      <w:b/>
      <w:sz w:val="24"/>
      <w:lang w:val="en-GB" w:eastAsia="en-US"/>
    </w:rPr>
  </w:style>
  <w:style w:type="character" w:customStyle="1" w:styleId="Heading5Char">
    <w:name w:val="Heading 5 Char"/>
    <w:basedOn w:val="DefaultParagraphFont"/>
    <w:link w:val="Heading5"/>
    <w:rsid w:val="00747314"/>
    <w:rPr>
      <w:rFonts w:asciiTheme="minorHAnsi" w:hAnsiTheme="minorHAnsi"/>
      <w:b/>
      <w:sz w:val="24"/>
      <w:lang w:val="en-GB" w:eastAsia="en-US"/>
    </w:rPr>
  </w:style>
  <w:style w:type="character" w:customStyle="1" w:styleId="Heading6Char">
    <w:name w:val="Heading 6 Char"/>
    <w:basedOn w:val="DefaultParagraphFont"/>
    <w:link w:val="Heading6"/>
    <w:rsid w:val="00747314"/>
    <w:rPr>
      <w:rFonts w:asciiTheme="minorHAnsi" w:hAnsiTheme="minorHAnsi"/>
      <w:b/>
      <w:sz w:val="24"/>
      <w:lang w:val="en-GB" w:eastAsia="en-US"/>
    </w:rPr>
  </w:style>
  <w:style w:type="character" w:customStyle="1" w:styleId="Heading7Char">
    <w:name w:val="Heading 7 Char"/>
    <w:basedOn w:val="DefaultParagraphFont"/>
    <w:link w:val="Heading7"/>
    <w:rsid w:val="00747314"/>
    <w:rPr>
      <w:rFonts w:asciiTheme="minorHAnsi" w:hAnsiTheme="minorHAnsi"/>
      <w:b/>
      <w:sz w:val="24"/>
      <w:lang w:val="en-GB" w:eastAsia="en-US"/>
    </w:rPr>
  </w:style>
  <w:style w:type="character" w:customStyle="1" w:styleId="Heading8Char">
    <w:name w:val="Heading 8 Char"/>
    <w:basedOn w:val="DefaultParagraphFont"/>
    <w:link w:val="Heading8"/>
    <w:rsid w:val="00747314"/>
    <w:rPr>
      <w:rFonts w:asciiTheme="minorHAnsi" w:hAnsiTheme="minorHAnsi"/>
      <w:b/>
      <w:sz w:val="24"/>
      <w:lang w:val="en-GB" w:eastAsia="en-US"/>
    </w:rPr>
  </w:style>
  <w:style w:type="character" w:customStyle="1" w:styleId="Heading9Char">
    <w:name w:val="Heading 9 Char"/>
    <w:basedOn w:val="DefaultParagraphFont"/>
    <w:link w:val="Heading9"/>
    <w:rsid w:val="00747314"/>
    <w:rPr>
      <w:rFonts w:asciiTheme="minorHAnsi" w:hAnsiTheme="minorHAnsi"/>
      <w:b/>
      <w:sz w:val="24"/>
      <w:lang w:val="en-GB" w:eastAsia="en-US"/>
    </w:rPr>
  </w:style>
  <w:style w:type="paragraph" w:customStyle="1" w:styleId="Table">
    <w:name w:val="Table_#"/>
    <w:basedOn w:val="Normal"/>
    <w:next w:val="Normal"/>
    <w:rsid w:val="00747314"/>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747314"/>
    <w:pPr>
      <w:jc w:val="center"/>
    </w:pPr>
    <w:rPr>
      <w:rFonts w:ascii="Calibri" w:eastAsia="SimHei" w:hAnsi="Calibri" w:cs="Simplified Arabic"/>
      <w:sz w:val="22"/>
      <w:szCs w:val="28"/>
      <w:lang w:val="en-GB" w:eastAsia="en-US"/>
    </w:rPr>
  </w:style>
  <w:style w:type="paragraph" w:customStyle="1" w:styleId="HTMLBody">
    <w:name w:val="HTML Body"/>
    <w:rsid w:val="00747314"/>
    <w:pPr>
      <w:overflowPunct w:val="0"/>
      <w:autoSpaceDE w:val="0"/>
      <w:autoSpaceDN w:val="0"/>
      <w:adjustRightInd w:val="0"/>
      <w:textAlignment w:val="baseline"/>
    </w:pPr>
    <w:rPr>
      <w:rFonts w:ascii="Arial" w:eastAsia="MS Mincho" w:hAnsi="Arial"/>
      <w:lang w:eastAsia="en-US"/>
    </w:rPr>
  </w:style>
  <w:style w:type="paragraph" w:customStyle="1" w:styleId="BDTNormal">
    <w:name w:val="BDT_Normal"/>
    <w:link w:val="BDTNormalChar"/>
    <w:rsid w:val="00747314"/>
    <w:pPr>
      <w:spacing w:before="120" w:after="120"/>
    </w:pPr>
    <w:rPr>
      <w:rFonts w:ascii="Verdana" w:eastAsia="SimSun" w:hAnsi="Verdana"/>
      <w:sz w:val="19"/>
      <w:szCs w:val="19"/>
      <w:lang w:val="en-GB" w:eastAsia="en-US"/>
    </w:rPr>
  </w:style>
  <w:style w:type="character" w:customStyle="1" w:styleId="BDTNormalChar">
    <w:name w:val="BDT_Normal Char"/>
    <w:link w:val="BDTNormal"/>
    <w:rsid w:val="00747314"/>
    <w:rPr>
      <w:rFonts w:ascii="Verdana" w:eastAsia="SimSun" w:hAnsi="Verdana"/>
      <w:sz w:val="19"/>
      <w:szCs w:val="19"/>
      <w:lang w:val="en-GB" w:eastAsia="en-US"/>
    </w:rPr>
  </w:style>
  <w:style w:type="paragraph" w:customStyle="1" w:styleId="BDTcontributionH1">
    <w:name w:val="BDT_contributionH1"/>
    <w:basedOn w:val="Normal"/>
    <w:next w:val="BDTNormal"/>
    <w:rsid w:val="00747314"/>
    <w:pPr>
      <w:keepNext/>
      <w:keepLines/>
      <w:tabs>
        <w:tab w:val="clear" w:pos="1134"/>
        <w:tab w:val="clear" w:pos="1871"/>
        <w:tab w:val="clear" w:pos="2268"/>
      </w:tabs>
      <w:overflowPunct/>
      <w:autoSpaceDE/>
      <w:autoSpaceDN/>
      <w:adjustRightInd/>
      <w:spacing w:before="240" w:after="120"/>
      <w:textAlignment w:val="auto"/>
    </w:pPr>
    <w:rPr>
      <w:rFonts w:ascii="Verdana" w:eastAsia="SimHei" w:hAnsi="Verdana" w:cs="Simplified Arabic"/>
      <w:b/>
      <w:sz w:val="19"/>
      <w:szCs w:val="19"/>
    </w:rPr>
  </w:style>
  <w:style w:type="character" w:styleId="IntenseEmphasis">
    <w:name w:val="Intense Emphasis"/>
    <w:basedOn w:val="DefaultParagraphFont"/>
    <w:uiPriority w:val="21"/>
    <w:qFormat/>
    <w:rsid w:val="00747314"/>
    <w:rPr>
      <w:b/>
      <w:bCs/>
      <w:i/>
      <w:iCs/>
      <w:color w:val="4F81BD" w:themeColor="accent1"/>
    </w:rPr>
  </w:style>
  <w:style w:type="paragraph" w:customStyle="1" w:styleId="Event">
    <w:name w:val="Event"/>
    <w:basedOn w:val="Normal"/>
    <w:qFormat/>
    <w:rsid w:val="00747314"/>
    <w:pPr>
      <w:tabs>
        <w:tab w:val="clear" w:pos="1134"/>
        <w:tab w:val="clear" w:pos="1871"/>
        <w:tab w:val="clear" w:pos="2268"/>
      </w:tabs>
      <w:overflowPunct/>
      <w:autoSpaceDE/>
      <w:autoSpaceDN/>
      <w:adjustRightInd/>
      <w:spacing w:before="0" w:after="80"/>
      <w:textAlignment w:val="auto"/>
    </w:pPr>
    <w:rPr>
      <w:rFonts w:ascii="Calibri" w:eastAsia="Calibri" w:hAnsi="Calibri" w:cs="Arial"/>
      <w:sz w:val="18"/>
      <w:szCs w:val="22"/>
      <w:lang w:val="en-US"/>
    </w:rPr>
  </w:style>
  <w:style w:type="character" w:customStyle="1" w:styleId="tgc">
    <w:name w:val="_tgc"/>
    <w:basedOn w:val="DefaultParagraphFont"/>
    <w:rsid w:val="00747314"/>
  </w:style>
  <w:style w:type="character" w:customStyle="1" w:styleId="UnresolvedMention10">
    <w:name w:val="Unresolved Mention1"/>
    <w:basedOn w:val="DefaultParagraphFont"/>
    <w:uiPriority w:val="99"/>
    <w:semiHidden/>
    <w:unhideWhenUsed/>
    <w:rsid w:val="00307ADA"/>
    <w:rPr>
      <w:color w:val="605E5C"/>
      <w:shd w:val="clear" w:color="auto" w:fill="E1DFDD"/>
    </w:rPr>
  </w:style>
  <w:style w:type="paragraph" w:styleId="EndnoteText">
    <w:name w:val="endnote text"/>
    <w:basedOn w:val="Normal"/>
    <w:link w:val="EndnoteTextChar"/>
    <w:semiHidden/>
    <w:unhideWhenUsed/>
    <w:rsid w:val="00747314"/>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
    <w:name w:val="Endnote Text Char"/>
    <w:basedOn w:val="DefaultParagraphFont"/>
    <w:link w:val="EndnoteText"/>
    <w:semiHidden/>
    <w:rsid w:val="00747314"/>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D/Projects/" TargetMode="External"/><Relationship Id="rId18" Type="http://schemas.openxmlformats.org/officeDocument/2006/relationships/hyperlink" Target="https://www.itu.int/en/ITU-D/Projects/Pages/Implementation-Reviews.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tu.int/en/ITU-D/Projects/Pages/default.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hart" Target="charts/chart4.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www.itu.int/en/ITU-D/Projects/Pages/Case-Studie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zavazava/AppData/Local/Microsoft/Windows/Temporary%20Internet%20Files/Content.Outlook/PF7LKOSK/itu.int/en/ITU-D/Projects/Pages/Video-Gallery.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theme" Target="theme/theme1.xml"/><Relationship Id="rId3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25/default.aspx" TargetMode="External"/><Relationship Id="rId1" Type="http://schemas.openxmlformats.org/officeDocument/2006/relationships/hyperlink" Target="mailto:cosmas.zavazava@itu.i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t>Chart 1: </a:t>
            </a:r>
          </a:p>
          <a:p>
            <a:pPr>
              <a:defRPr/>
            </a:pPr>
            <a:r>
              <a:rPr lang="en-GB" sz="1100"/>
              <a:t>Distribution</a:t>
            </a:r>
            <a:r>
              <a:rPr lang="en-GB" sz="1100" baseline="0"/>
              <a:t> of ongoing BDT projects as of 31 December 2019</a:t>
            </a:r>
            <a:endParaRPr lang="en-GB"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H"/>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Sheet1!$A$13:$A$19</c:f>
              <c:strCache>
                <c:ptCount val="7"/>
                <c:pt idx="0">
                  <c:v> AFR </c:v>
                </c:pt>
                <c:pt idx="1">
                  <c:v> AMS </c:v>
                </c:pt>
                <c:pt idx="2">
                  <c:v> ARB </c:v>
                </c:pt>
                <c:pt idx="3">
                  <c:v> ASP </c:v>
                </c:pt>
                <c:pt idx="4">
                  <c:v> CIS </c:v>
                </c:pt>
                <c:pt idx="5">
                  <c:v> EUR </c:v>
                </c:pt>
                <c:pt idx="6">
                  <c:v> GLO </c:v>
                </c:pt>
              </c:strCache>
            </c:strRef>
          </c:cat>
          <c:val>
            <c:numRef>
              <c:f>Sheet1!$B$13:$B$19</c:f>
              <c:numCache>
                <c:formatCode>General</c:formatCode>
                <c:ptCount val="7"/>
                <c:pt idx="0">
                  <c:v>14</c:v>
                </c:pt>
                <c:pt idx="1">
                  <c:v>10</c:v>
                </c:pt>
                <c:pt idx="2">
                  <c:v>14</c:v>
                </c:pt>
                <c:pt idx="3">
                  <c:v>8</c:v>
                </c:pt>
                <c:pt idx="4">
                  <c:v>2</c:v>
                </c:pt>
                <c:pt idx="5">
                  <c:v>1</c:v>
                </c:pt>
                <c:pt idx="6">
                  <c:v>20</c:v>
                </c:pt>
              </c:numCache>
            </c:numRef>
          </c:val>
          <c:extLst>
            <c:ext xmlns:c16="http://schemas.microsoft.com/office/drawing/2014/chart" uri="{C3380CC4-5D6E-409C-BE32-E72D297353CC}">
              <c16:uniqueId val="{00000000-C347-478F-B3F9-B158F532BF37}"/>
            </c:ext>
          </c:extLst>
        </c:ser>
        <c:dLbls>
          <c:dLblPos val="outEnd"/>
          <c:showLegendKey val="0"/>
          <c:showVal val="1"/>
          <c:showCatName val="0"/>
          <c:showSerName val="0"/>
          <c:showPercent val="0"/>
          <c:showBubbleSize val="0"/>
        </c:dLbls>
        <c:gapWidth val="219"/>
        <c:overlap val="-27"/>
        <c:axId val="469605760"/>
        <c:axId val="469601840"/>
      </c:barChart>
      <c:catAx>
        <c:axId val="4696057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69601840"/>
        <c:crosses val="autoZero"/>
        <c:auto val="1"/>
        <c:lblAlgn val="ctr"/>
        <c:lblOffset val="100"/>
        <c:noMultiLvlLbl val="0"/>
      </c:catAx>
      <c:valAx>
        <c:axId val="469601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6960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spcBef>
          <a:spcPts val="600"/>
        </a:spcBef>
        <a:spcAft>
          <a:spcPts val="600"/>
        </a:spcAft>
        <a:defRPr/>
      </a:pPr>
      <a:endParaRPr lang="en-CH"/>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100"/>
              <a:t>Chart 2: Value </a:t>
            </a:r>
            <a:r>
              <a:rPr lang="en-US" sz="1100"/>
              <a:t>of ongoing</a:t>
            </a:r>
            <a:r>
              <a:rPr lang="en-US" sz="1100" baseline="0">
                <a:solidFill>
                  <a:srgbClr val="FF0000"/>
                </a:solidFill>
              </a:rPr>
              <a:t> </a:t>
            </a:r>
            <a:r>
              <a:rPr lang="en-US" sz="1100"/>
              <a:t>BDT projects</a:t>
            </a:r>
            <a:r>
              <a:rPr lang="tr-TR" sz="1100"/>
              <a:t> and </a:t>
            </a:r>
            <a:r>
              <a:rPr lang="en-US" sz="1100"/>
              <a:t>r</a:t>
            </a:r>
            <a:r>
              <a:rPr lang="tr-TR" sz="1100"/>
              <a:t>emaining</a:t>
            </a:r>
            <a:r>
              <a:rPr lang="tr-TR" sz="1100" baseline="0"/>
              <a:t> </a:t>
            </a:r>
            <a:r>
              <a:rPr lang="en-US" sz="1100" baseline="0"/>
              <a:t>b</a:t>
            </a:r>
            <a:r>
              <a:rPr lang="tr-TR" sz="1100" baseline="0"/>
              <a:t>alances </a:t>
            </a:r>
            <a:r>
              <a:rPr lang="en-US" sz="1100" baseline="0"/>
              <a:t>of ongoing</a:t>
            </a:r>
            <a:r>
              <a:rPr lang="tr-TR" sz="1100" baseline="0"/>
              <a:t> </a:t>
            </a:r>
            <a:r>
              <a:rPr lang="en-US" sz="1100" baseline="0"/>
              <a:t>projects</a:t>
            </a:r>
            <a:r>
              <a:rPr lang="tr-TR" sz="1100" baseline="0"/>
              <a:t> </a:t>
            </a:r>
            <a:r>
              <a:rPr lang="tr-TR" sz="1100"/>
              <a:t>by </a:t>
            </a:r>
            <a:r>
              <a:rPr lang="en-US" sz="1100"/>
              <a:t>r</a:t>
            </a:r>
            <a:r>
              <a:rPr lang="tr-TR" sz="1100"/>
              <a:t>egion as of </a:t>
            </a:r>
            <a:r>
              <a:rPr lang="en-US" sz="1100"/>
              <a:t>31 </a:t>
            </a:r>
            <a:r>
              <a:rPr lang="tr-TR" sz="1100"/>
              <a:t>December 201</a:t>
            </a:r>
            <a:r>
              <a:rPr lang="en-US" sz="1100"/>
              <a:t>9</a:t>
            </a:r>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Value of ongoing BDT projects by region</c:v>
                </c:pt>
              </c:strCache>
            </c:strRef>
          </c:tx>
          <c:invertIfNegative val="0"/>
          <c:dPt>
            <c:idx val="1"/>
            <c:invertIfNegative val="0"/>
            <c:bubble3D val="0"/>
            <c:extLst>
              <c:ext xmlns:c16="http://schemas.microsoft.com/office/drawing/2014/chart" uri="{C3380CC4-5D6E-409C-BE32-E72D297353CC}">
                <c16:uniqueId val="{00000000-0BD8-47E8-AD04-7D8EBBEDB0E3}"/>
              </c:ext>
            </c:extLst>
          </c:dPt>
          <c:dPt>
            <c:idx val="2"/>
            <c:invertIfNegative val="0"/>
            <c:bubble3D val="0"/>
            <c:extLst>
              <c:ext xmlns:c16="http://schemas.microsoft.com/office/drawing/2014/chart" uri="{C3380CC4-5D6E-409C-BE32-E72D297353CC}">
                <c16:uniqueId val="{00000001-0BD8-47E8-AD04-7D8EBBEDB0E3}"/>
              </c:ext>
            </c:extLst>
          </c:dPt>
          <c:dPt>
            <c:idx val="3"/>
            <c:invertIfNegative val="0"/>
            <c:bubble3D val="0"/>
            <c:extLst>
              <c:ext xmlns:c16="http://schemas.microsoft.com/office/drawing/2014/chart" uri="{C3380CC4-5D6E-409C-BE32-E72D297353CC}">
                <c16:uniqueId val="{00000002-0BD8-47E8-AD04-7D8EBBEDB0E3}"/>
              </c:ext>
            </c:extLst>
          </c:dPt>
          <c:dPt>
            <c:idx val="4"/>
            <c:invertIfNegative val="0"/>
            <c:bubble3D val="0"/>
            <c:extLst>
              <c:ext xmlns:c16="http://schemas.microsoft.com/office/drawing/2014/chart" uri="{C3380CC4-5D6E-409C-BE32-E72D297353CC}">
                <c16:uniqueId val="{00000003-0BD8-47E8-AD04-7D8EBBEDB0E3}"/>
              </c:ext>
            </c:extLst>
          </c:dPt>
          <c:dPt>
            <c:idx val="5"/>
            <c:invertIfNegative val="0"/>
            <c:bubble3D val="0"/>
            <c:extLst>
              <c:ext xmlns:c16="http://schemas.microsoft.com/office/drawing/2014/chart" uri="{C3380CC4-5D6E-409C-BE32-E72D297353CC}">
                <c16:uniqueId val="{00000004-0BD8-47E8-AD04-7D8EBBEDB0E3}"/>
              </c:ext>
            </c:extLst>
          </c:dPt>
          <c:dLbls>
            <c:dLbl>
              <c:idx val="0"/>
              <c:layout>
                <c:manualLayout>
                  <c:x val="1.1469515574055698E-3"/>
                  <c:y val="-0.155379725722494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D8-47E8-AD04-7D8EBBEDB0E3}"/>
                </c:ext>
              </c:extLst>
            </c:dLbl>
            <c:dLbl>
              <c:idx val="1"/>
              <c:layout>
                <c:manualLayout>
                  <c:x val="2.1822149481723948E-3"/>
                  <c:y val="-0.321111361891013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D8-47E8-AD04-7D8EBBEDB0E3}"/>
                </c:ext>
              </c:extLst>
            </c:dLbl>
            <c:dLbl>
              <c:idx val="2"/>
              <c:layout>
                <c:manualLayout>
                  <c:x val="-2.1822149481723948E-3"/>
                  <c:y val="-0.35538994618641845"/>
                </c:manualLayout>
              </c:layout>
              <c:tx>
                <c:rich>
                  <a:bodyPr/>
                  <a:lstStyle/>
                  <a:p>
                    <a:fld id="{5C25DB1A-9A8C-4C0A-8B26-7476AE4F45C5}" type="VALUE">
                      <a:rPr lang="en-US">
                        <a:solidFill>
                          <a:sysClr val="windowText" lastClr="000000"/>
                        </a:solidFill>
                      </a:rPr>
                      <a:pPr/>
                      <a:t>[VALUE]</a:t>
                    </a:fld>
                    <a:endParaRPr lang="en-CH"/>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BD8-47E8-AD04-7D8EBBEDB0E3}"/>
                </c:ext>
              </c:extLst>
            </c:dLbl>
            <c:dLbl>
              <c:idx val="4"/>
              <c:layout>
                <c:manualLayout>
                  <c:x val="9.1859221361650575E-4"/>
                  <c:y val="-0.345595902729573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D8-47E8-AD04-7D8EBBEDB0E3}"/>
                </c:ext>
              </c:extLst>
            </c:dLbl>
            <c:dLbl>
              <c:idx val="6"/>
              <c:layout>
                <c:manualLayout>
                  <c:x val="2.1822149481722348E-3"/>
                  <c:y val="-0.411032990805841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D8-47E8-AD04-7D8EBBEDB0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[$CHF-1407]\ #,##0</c:formatCode>
                <c:ptCount val="7"/>
                <c:pt idx="0">
                  <c:v>1741325</c:v>
                </c:pt>
                <c:pt idx="1">
                  <c:v>13094798</c:v>
                </c:pt>
                <c:pt idx="2">
                  <c:v>5714359</c:v>
                </c:pt>
                <c:pt idx="3">
                  <c:v>44471825</c:v>
                </c:pt>
                <c:pt idx="4">
                  <c:v>7947077</c:v>
                </c:pt>
                <c:pt idx="5">
                  <c:v>269130</c:v>
                </c:pt>
                <c:pt idx="6">
                  <c:v>3265487</c:v>
                </c:pt>
              </c:numCache>
            </c:numRef>
          </c:val>
          <c:extLst>
            <c:ext xmlns:c16="http://schemas.microsoft.com/office/drawing/2014/chart" uri="{C3380CC4-5D6E-409C-BE32-E72D297353CC}">
              <c16:uniqueId val="{00000007-0BD8-47E8-AD04-7D8EBBEDB0E3}"/>
            </c:ext>
          </c:extLst>
        </c:ser>
        <c:ser>
          <c:idx val="1"/>
          <c:order val="1"/>
          <c:tx>
            <c:strRef>
              <c:f>Sheet1!$C$1</c:f>
              <c:strCache>
                <c:ptCount val="1"/>
                <c:pt idx="0">
                  <c:v>Remaining Balances to be implemented</c:v>
                </c:pt>
              </c:strCache>
            </c:strRef>
          </c:tx>
          <c:invertIfNegative val="0"/>
          <c:dLbls>
            <c:dLbl>
              <c:idx val="0"/>
              <c:layout>
                <c:manualLayout>
                  <c:x val="0"/>
                  <c:y val="-6.48999459167118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BD8-47E8-AD04-7D8EBBEDB0E3}"/>
                </c:ext>
              </c:extLst>
            </c:dLbl>
            <c:dLbl>
              <c:idx val="1"/>
              <c:layout>
                <c:manualLayout>
                  <c:x val="0"/>
                  <c:y val="-0.15864431224085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BD8-47E8-AD04-7D8EBBEDB0E3}"/>
                </c:ext>
              </c:extLst>
            </c:dLbl>
            <c:dLbl>
              <c:idx val="2"/>
              <c:layout>
                <c:manualLayout>
                  <c:x val="-2.1822149481723948E-3"/>
                  <c:y val="-0.100955471425996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BD8-47E8-AD04-7D8EBBEDB0E3}"/>
                </c:ext>
              </c:extLst>
            </c:dLbl>
            <c:dLbl>
              <c:idx val="3"/>
              <c:layout>
                <c:manualLayout>
                  <c:x val="2.1822149481723948E-3"/>
                  <c:y val="-3.2449972958355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BD8-47E8-AD04-7D8EBBEDB0E3}"/>
                </c:ext>
              </c:extLst>
            </c:dLbl>
            <c:dLbl>
              <c:idx val="4"/>
              <c:layout>
                <c:manualLayout>
                  <c:x val="2.182214948172475E-3"/>
                  <c:y val="-8.6533261222282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BD8-47E8-AD04-7D8EBBEDB0E3}"/>
                </c:ext>
              </c:extLst>
            </c:dLbl>
            <c:dLbl>
              <c:idx val="5"/>
              <c:layout>
                <c:manualLayout>
                  <c:x val="0"/>
                  <c:y val="-5.0477735712998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BD8-47E8-AD04-7D8EBBEDB0E3}"/>
                </c:ext>
              </c:extLst>
            </c:dLbl>
            <c:dLbl>
              <c:idx val="6"/>
              <c:layout>
                <c:manualLayout>
                  <c:x val="2.1822149481723948E-3"/>
                  <c:y val="-5.4083288263926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BD8-47E8-AD04-7D8EBBEDB0E3}"/>
                </c:ext>
              </c:extLst>
            </c:dLbl>
            <c:spPr>
              <a:noFill/>
              <a:ln>
                <a:noFill/>
              </a:ln>
              <a:effectLst/>
            </c:spPr>
            <c:txPr>
              <a:bodyPr wrap="square" lIns="38100" tIns="19050" rIns="38100" bIns="19050" anchor="ctr">
                <a:spAutoFit/>
              </a:bodyPr>
              <a:lstStyle/>
              <a:p>
                <a:pPr>
                  <a:spcBef>
                    <a:spcPts val="600"/>
                  </a:spcBef>
                  <a:spcAft>
                    <a:spcPts val="600"/>
                  </a:spcAft>
                  <a:defRPr sz="900">
                    <a:solidFill>
                      <a:sysClr val="windowText" lastClr="000000"/>
                    </a:solidFill>
                  </a:defRPr>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Sheet1!$C$2:$C$8</c:f>
              <c:numCache>
                <c:formatCode>[$CHF-1407]\ #,##0</c:formatCode>
                <c:ptCount val="7"/>
                <c:pt idx="0">
                  <c:v>643113</c:v>
                </c:pt>
                <c:pt idx="1">
                  <c:v>7711246</c:v>
                </c:pt>
                <c:pt idx="2">
                  <c:v>3423913</c:v>
                </c:pt>
                <c:pt idx="3">
                  <c:v>11940530</c:v>
                </c:pt>
                <c:pt idx="4">
                  <c:v>2839359</c:v>
                </c:pt>
                <c:pt idx="5">
                  <c:v>30711</c:v>
                </c:pt>
                <c:pt idx="6">
                  <c:v>2068711</c:v>
                </c:pt>
              </c:numCache>
            </c:numRef>
          </c:val>
          <c:extLst>
            <c:ext xmlns:c16="http://schemas.microsoft.com/office/drawing/2014/chart" uri="{C3380CC4-5D6E-409C-BE32-E72D297353CC}">
              <c16:uniqueId val="{0000000F-0BD8-47E8-AD04-7D8EBBEDB0E3}"/>
            </c:ext>
          </c:extLst>
        </c:ser>
        <c:dLbls>
          <c:showLegendKey val="0"/>
          <c:showVal val="0"/>
          <c:showCatName val="0"/>
          <c:showSerName val="0"/>
          <c:showPercent val="0"/>
          <c:showBubbleSize val="0"/>
        </c:dLbls>
        <c:gapWidth val="219"/>
        <c:axId val="469606152"/>
        <c:axId val="469602624"/>
      </c:barChart>
      <c:catAx>
        <c:axId val="469606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69602624"/>
        <c:crosses val="autoZero"/>
        <c:auto val="1"/>
        <c:lblAlgn val="ctr"/>
        <c:lblOffset val="100"/>
        <c:noMultiLvlLbl val="0"/>
      </c:catAx>
      <c:valAx>
        <c:axId val="469602624"/>
        <c:scaling>
          <c:orientation val="minMax"/>
        </c:scaling>
        <c:delete val="0"/>
        <c:axPos val="l"/>
        <c:majorGridlines>
          <c:spPr>
            <a:ln w="9525" cap="flat" cmpd="sng" algn="ctr">
              <a:solidFill>
                <a:schemeClr val="tx1">
                  <a:lumMod val="15000"/>
                  <a:lumOff val="85000"/>
                </a:schemeClr>
              </a:solidFill>
              <a:round/>
            </a:ln>
            <a:effectLst/>
          </c:spPr>
        </c:majorGridlines>
        <c:numFmt formatCode="[$CHF-1407]\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69606152"/>
        <c:crosses val="autoZero"/>
        <c:crossBetween val="between"/>
      </c:valAx>
      <c:spPr>
        <a:noFill/>
        <a:ln>
          <a:noFill/>
        </a:ln>
        <a:effectLst/>
      </c:spPr>
    </c:plotArea>
    <c:legend>
      <c:legendPos val="b"/>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H"/>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Chart</a:t>
            </a:r>
            <a:r>
              <a:rPr lang="tr-TR" sz="1200" baseline="0"/>
              <a:t> </a:t>
            </a:r>
            <a:r>
              <a:rPr lang="en-US" sz="1200" baseline="0"/>
              <a:t>3</a:t>
            </a:r>
            <a:r>
              <a:rPr lang="tr-TR" sz="1200" baseline="0"/>
              <a:t>: </a:t>
            </a:r>
            <a:r>
              <a:rPr lang="en-US" sz="1200"/>
              <a:t>Projects by Thematic Areas</a:t>
            </a:r>
            <a:r>
              <a:rPr lang="en-US" sz="1200" baseline="0"/>
              <a:t>*</a:t>
            </a:r>
            <a:endParaRPr lang="en-US" sz="1200"/>
          </a:p>
        </c:rich>
      </c:tx>
      <c:layout>
        <c:manualLayout>
          <c:xMode val="edge"/>
          <c:yMode val="edge"/>
          <c:x val="0.15966669706827188"/>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F4-4EEB-B8E2-4E43766672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F4-4EEB-B8E2-4E437666726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AF4-4EEB-B8E2-4E437666726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AF4-4EEB-B8E2-4E437666726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AF4-4EEB-B8E2-4E437666726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AF4-4EEB-B8E2-4E437666726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AF4-4EEB-B8E2-4E437666726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AF4-4EEB-B8E2-4E437666726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AF4-4EEB-B8E2-4E437666726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AF4-4EEB-B8E2-4E4376667268}"/>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9AF4-4EEB-B8E2-4E4376667268}"/>
              </c:ext>
            </c:extLst>
          </c:dPt>
          <c:dPt>
            <c:idx val="11"/>
            <c:bubble3D val="0"/>
            <c:spPr>
              <a:solidFill>
                <a:schemeClr val="accent3">
                  <a:lumMod val="40000"/>
                  <a:lumOff val="60000"/>
                </a:schemeClr>
              </a:solidFill>
            </c:spPr>
            <c:extLst>
              <c:ext xmlns:c16="http://schemas.microsoft.com/office/drawing/2014/chart" uri="{C3380CC4-5D6E-409C-BE32-E72D297353CC}">
                <c16:uniqueId val="{00000016-9AF4-4EEB-B8E2-4E4376667268}"/>
              </c:ext>
            </c:extLst>
          </c:dPt>
          <c:dLbls>
            <c:dLbl>
              <c:idx val="0"/>
              <c:layout>
                <c:manualLayout>
                  <c:x val="-1.1829264585170097E-2"/>
                  <c:y val="1.5418931766656103E-2"/>
                </c:manualLayout>
              </c:layout>
              <c:tx>
                <c:rich>
                  <a:bodyPr/>
                  <a:lstStyle/>
                  <a:p>
                    <a:r>
                      <a:rPr lang="en-US">
                        <a:solidFill>
                          <a:sysClr val="windowText" lastClr="000000"/>
                        </a:solidFill>
                      </a:rPr>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F4-4EEB-B8E2-4E4376667268}"/>
                </c:ext>
              </c:extLst>
            </c:dLbl>
            <c:dLbl>
              <c:idx val="1"/>
              <c:layout>
                <c:manualLayout>
                  <c:x val="-1.6587453595327611E-3"/>
                  <c:y val="3.6875421532060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F4-4EEB-B8E2-4E4376667268}"/>
                </c:ext>
              </c:extLst>
            </c:dLbl>
            <c:dLbl>
              <c:idx val="2"/>
              <c:layout>
                <c:manualLayout>
                  <c:x val="-6.7918875005489182E-3"/>
                  <c:y val="-1.95400764851792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F4-4EEB-B8E2-4E4376667268}"/>
                </c:ext>
              </c:extLst>
            </c:dLbl>
            <c:dLbl>
              <c:idx val="3"/>
              <c:layout>
                <c:manualLayout>
                  <c:x val="-2.5402230126639574E-3"/>
                  <c:y val="-5.17011611938600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AF4-4EEB-B8E2-4E4376667268}"/>
                </c:ext>
              </c:extLst>
            </c:dLbl>
            <c:dLbl>
              <c:idx val="4"/>
              <c:layout>
                <c:manualLayout>
                  <c:x val="-1.6552660647148835E-2"/>
                  <c:y val="-1.87546216165703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AF4-4EEB-B8E2-4E4376667268}"/>
                </c:ext>
              </c:extLst>
            </c:dLbl>
            <c:dLbl>
              <c:idx val="5"/>
              <c:layout>
                <c:manualLayout>
                  <c:x val="1.3043302019679973E-2"/>
                  <c:y val="-1.5430714349560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AF4-4EEB-B8E2-4E4376667268}"/>
                </c:ext>
              </c:extLst>
            </c:dLbl>
            <c:dLbl>
              <c:idx val="6"/>
              <c:layout>
                <c:manualLayout>
                  <c:x val="2.5892033766049515E-4"/>
                  <c:y val="-1.8835474513054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AF4-4EEB-B8E2-4E4376667268}"/>
                </c:ext>
              </c:extLst>
            </c:dLbl>
            <c:dLbl>
              <c:idx val="7"/>
              <c:layout>
                <c:manualLayout>
                  <c:x val="5.3493313335833022E-3"/>
                  <c:y val="1.68893265898746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AF4-4EEB-B8E2-4E4376667268}"/>
                </c:ext>
              </c:extLst>
            </c:dLbl>
            <c:dLbl>
              <c:idx val="8"/>
              <c:layout>
                <c:manualLayout>
                  <c:x val="4.2310589554684043E-3"/>
                  <c:y val="3.87078163217213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AF4-4EEB-B8E2-4E4376667268}"/>
                </c:ext>
              </c:extLst>
            </c:dLbl>
            <c:dLbl>
              <c:idx val="9"/>
              <c:layout>
                <c:manualLayout>
                  <c:x val="-5.8219073967105467E-4"/>
                  <c:y val="-8.99336112397714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AF4-4EEB-B8E2-4E4376667268}"/>
                </c:ext>
              </c:extLst>
            </c:dLbl>
            <c:dLbl>
              <c:idx val="11"/>
              <c:layout>
                <c:manualLayout>
                  <c:x val="2.1368950502808769E-3"/>
                  <c:y val="1.5418931766656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AF4-4EEB-B8E2-4E43766672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CH"/>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Sheet1!$A$2:$A$13</c:f>
              <c:strCache>
                <c:ptCount val="12"/>
                <c:pt idx="0">
                  <c:v>Capacity Building</c:v>
                </c:pt>
                <c:pt idx="1">
                  <c:v>Cybersecurity</c:v>
                </c:pt>
                <c:pt idx="2">
                  <c:v>Innovation</c:v>
                </c:pt>
                <c:pt idx="3">
                  <c:v>Regulatory and Market Environment</c:v>
                </c:pt>
                <c:pt idx="4">
                  <c:v>Technology and Network development</c:v>
                </c:pt>
                <c:pt idx="5">
                  <c:v>Digital inclusion</c:v>
                </c:pt>
                <c:pt idx="6">
                  <c:v>ICT Applications</c:v>
                </c:pt>
                <c:pt idx="7">
                  <c:v>Climate Change</c:v>
                </c:pt>
                <c:pt idx="8">
                  <c:v>LDCs &amp; SIDs</c:v>
                </c:pt>
                <c:pt idx="9">
                  <c:v>Emergency Telecommunications</c:v>
                </c:pt>
                <c:pt idx="10">
                  <c:v>ICT Statistics &amp; Indicators</c:v>
                </c:pt>
                <c:pt idx="11">
                  <c:v>Spectrum management and digital broadcasting </c:v>
                </c:pt>
              </c:strCache>
            </c:strRef>
          </c:cat>
          <c:val>
            <c:numRef>
              <c:f>Sheet1!$B$2:$B$13</c:f>
              <c:numCache>
                <c:formatCode>General</c:formatCode>
                <c:ptCount val="12"/>
                <c:pt idx="0">
                  <c:v>11</c:v>
                </c:pt>
                <c:pt idx="1">
                  <c:v>10</c:v>
                </c:pt>
                <c:pt idx="2">
                  <c:v>9</c:v>
                </c:pt>
                <c:pt idx="3">
                  <c:v>6</c:v>
                </c:pt>
                <c:pt idx="4">
                  <c:v>9</c:v>
                </c:pt>
                <c:pt idx="5">
                  <c:v>8</c:v>
                </c:pt>
                <c:pt idx="6">
                  <c:v>11</c:v>
                </c:pt>
                <c:pt idx="7">
                  <c:v>3</c:v>
                </c:pt>
                <c:pt idx="8">
                  <c:v>5</c:v>
                </c:pt>
                <c:pt idx="9">
                  <c:v>6</c:v>
                </c:pt>
                <c:pt idx="10">
                  <c:v>1</c:v>
                </c:pt>
                <c:pt idx="11">
                  <c:v>8</c:v>
                </c:pt>
              </c:numCache>
            </c:numRef>
          </c:val>
          <c:extLst>
            <c:ext xmlns:c16="http://schemas.microsoft.com/office/drawing/2014/chart" uri="{C3380CC4-5D6E-409C-BE32-E72D297353CC}">
              <c16:uniqueId val="{00000017-9AF4-4EEB-B8E2-4E437666726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309278907704117"/>
          <c:y val="6.3171302503595733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CH"/>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solidFill>
                  <a:schemeClr val="bg2">
                    <a:lumMod val="10000"/>
                  </a:schemeClr>
                </a:solidFill>
              </a:rPr>
              <a:t>Chart </a:t>
            </a:r>
            <a:r>
              <a:rPr lang="en-US" sz="1200">
                <a:solidFill>
                  <a:schemeClr val="bg2">
                    <a:lumMod val="10000"/>
                  </a:schemeClr>
                </a:solidFill>
              </a:rPr>
              <a:t>4</a:t>
            </a:r>
            <a:r>
              <a:rPr lang="tr-TR" sz="1200">
                <a:solidFill>
                  <a:schemeClr val="bg2">
                    <a:lumMod val="10000"/>
                  </a:schemeClr>
                </a:solidFill>
              </a:rPr>
              <a:t>:</a:t>
            </a:r>
            <a:r>
              <a:rPr lang="tr-TR" sz="1200" baseline="0">
                <a:solidFill>
                  <a:schemeClr val="bg2">
                    <a:lumMod val="10000"/>
                  </a:schemeClr>
                </a:solidFill>
              </a:rPr>
              <a:t> </a:t>
            </a:r>
            <a:r>
              <a:rPr lang="tr-TR" sz="1200">
                <a:solidFill>
                  <a:schemeClr val="bg2">
                    <a:lumMod val="10000"/>
                  </a:schemeClr>
                </a:solidFill>
              </a:rPr>
              <a:t>Number</a:t>
            </a:r>
            <a:r>
              <a:rPr lang="en-US" sz="1200">
                <a:solidFill>
                  <a:schemeClr val="bg2">
                    <a:lumMod val="10000"/>
                  </a:schemeClr>
                </a:solidFill>
              </a:rPr>
              <a:t> of </a:t>
            </a:r>
            <a:r>
              <a:rPr lang="tr-TR" sz="1200">
                <a:solidFill>
                  <a:schemeClr val="bg2">
                    <a:lumMod val="10000"/>
                  </a:schemeClr>
                </a:solidFill>
              </a:rPr>
              <a:t>projects under development </a:t>
            </a:r>
            <a:r>
              <a:rPr lang="en-US" sz="1200">
                <a:solidFill>
                  <a:schemeClr val="bg2">
                    <a:lumMod val="10000"/>
                  </a:schemeClr>
                </a:solidFill>
              </a:rPr>
              <a:t>and to be signed</a:t>
            </a:r>
          </a:p>
          <a:p>
            <a:pPr>
              <a:defRPr sz="1400" b="0" i="0" u="none" strike="noStrike" kern="1200" spc="0" baseline="0">
                <a:solidFill>
                  <a:schemeClr val="tx1">
                    <a:lumMod val="65000"/>
                    <a:lumOff val="35000"/>
                  </a:schemeClr>
                </a:solidFill>
                <a:latin typeface="+mn-lt"/>
                <a:ea typeface="+mn-ea"/>
                <a:cs typeface="+mn-cs"/>
              </a:defRPr>
            </a:pPr>
            <a:r>
              <a:rPr lang="tr-TR" sz="1200">
                <a:solidFill>
                  <a:schemeClr val="bg2">
                    <a:lumMod val="10000"/>
                  </a:schemeClr>
                </a:solidFill>
              </a:rPr>
              <a:t> </a:t>
            </a:r>
            <a:r>
              <a:rPr lang="en-US" sz="1200">
                <a:solidFill>
                  <a:schemeClr val="bg2">
                    <a:lumMod val="10000"/>
                  </a:schemeClr>
                </a:solidFill>
              </a:rPr>
              <a:t>in Q2</a:t>
            </a:r>
            <a:r>
              <a:rPr lang="en-US" sz="1200" baseline="0">
                <a:solidFill>
                  <a:schemeClr val="bg2">
                    <a:lumMod val="10000"/>
                  </a:schemeClr>
                </a:solidFill>
              </a:rPr>
              <a:t> </a:t>
            </a:r>
            <a:r>
              <a:rPr lang="tr-TR" sz="1200">
                <a:solidFill>
                  <a:schemeClr val="bg2">
                    <a:lumMod val="10000"/>
                  </a:schemeClr>
                </a:solidFill>
              </a:rPr>
              <a:t>20</a:t>
            </a:r>
            <a:r>
              <a:rPr lang="en-US" sz="1200">
                <a:solidFill>
                  <a:schemeClr val="bg2">
                    <a:lumMod val="10000"/>
                  </a:schemeClr>
                </a:solidFill>
              </a:rPr>
              <a:t>20</a:t>
            </a:r>
            <a:r>
              <a:rPr lang="tr-TR" sz="1200">
                <a:solidFill>
                  <a:schemeClr val="bg2">
                    <a:lumMod val="10000"/>
                  </a:schemeClr>
                </a:solidFill>
              </a:rPr>
              <a:t> </a:t>
            </a:r>
            <a:endParaRPr lang="en-US" sz="1200">
              <a:solidFill>
                <a:schemeClr val="bg2">
                  <a:lumMod val="10000"/>
                </a:schemeClr>
              </a:solidFill>
            </a:endParaRPr>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92E6-4E66-99AA-0D4E945197D6}"/>
              </c:ext>
            </c:extLst>
          </c:dPt>
          <c:dPt>
            <c:idx val="2"/>
            <c:invertIfNegative val="0"/>
            <c:bubble3D val="0"/>
            <c:spPr>
              <a:solidFill>
                <a:srgbClr val="00B050"/>
              </a:solidFill>
              <a:ln>
                <a:noFill/>
              </a:ln>
              <a:effectLst/>
            </c:spPr>
            <c:extLst>
              <c:ext xmlns:c16="http://schemas.microsoft.com/office/drawing/2014/chart" uri="{C3380CC4-5D6E-409C-BE32-E72D297353CC}">
                <c16:uniqueId val="{00000003-92E6-4E66-99AA-0D4E945197D6}"/>
              </c:ext>
            </c:extLst>
          </c:dPt>
          <c:dPt>
            <c:idx val="3"/>
            <c:invertIfNegative val="0"/>
            <c:bubble3D val="0"/>
            <c:spPr>
              <a:solidFill>
                <a:srgbClr val="7030A0"/>
              </a:solidFill>
              <a:ln>
                <a:noFill/>
              </a:ln>
              <a:effectLst/>
            </c:spPr>
            <c:extLst>
              <c:ext xmlns:c16="http://schemas.microsoft.com/office/drawing/2014/chart" uri="{C3380CC4-5D6E-409C-BE32-E72D297353CC}">
                <c16:uniqueId val="{00000005-92E6-4E66-99AA-0D4E945197D6}"/>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7-92E6-4E66-99AA-0D4E945197D6}"/>
              </c:ext>
            </c:extLst>
          </c:dPt>
          <c:dPt>
            <c:idx val="5"/>
            <c:invertIfNegative val="0"/>
            <c:bubble3D val="0"/>
            <c:spPr>
              <a:solidFill>
                <a:schemeClr val="accent2">
                  <a:lumMod val="50000"/>
                </a:schemeClr>
              </a:solidFill>
              <a:ln>
                <a:noFill/>
              </a:ln>
              <a:effectLst/>
            </c:spPr>
            <c:extLst>
              <c:ext xmlns:c16="http://schemas.microsoft.com/office/drawing/2014/chart" uri="{C3380CC4-5D6E-409C-BE32-E72D297353CC}">
                <c16:uniqueId val="{00000009-92E6-4E66-99AA-0D4E945197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General</c:formatCode>
                <c:ptCount val="7"/>
                <c:pt idx="0">
                  <c:v>2</c:v>
                </c:pt>
                <c:pt idx="1">
                  <c:v>3</c:v>
                </c:pt>
                <c:pt idx="2">
                  <c:v>1</c:v>
                </c:pt>
                <c:pt idx="3">
                  <c:v>4</c:v>
                </c:pt>
                <c:pt idx="4">
                  <c:v>0</c:v>
                </c:pt>
                <c:pt idx="5">
                  <c:v>2</c:v>
                </c:pt>
                <c:pt idx="6">
                  <c:v>1</c:v>
                </c:pt>
              </c:numCache>
            </c:numRef>
          </c:val>
          <c:extLst>
            <c:ext xmlns:c16="http://schemas.microsoft.com/office/drawing/2014/chart" uri="{C3380CC4-5D6E-409C-BE32-E72D297353CC}">
              <c16:uniqueId val="{0000000A-92E6-4E66-99AA-0D4E945197D6}"/>
            </c:ext>
          </c:extLst>
        </c:ser>
        <c:dLbls>
          <c:showLegendKey val="0"/>
          <c:showVal val="0"/>
          <c:showCatName val="0"/>
          <c:showSerName val="0"/>
          <c:showPercent val="0"/>
          <c:showBubbleSize val="0"/>
        </c:dLbls>
        <c:gapWidth val="219"/>
        <c:overlap val="-27"/>
        <c:axId val="469602232"/>
        <c:axId val="469606936"/>
      </c:barChart>
      <c:catAx>
        <c:axId val="469602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69606936"/>
        <c:crosses val="autoZero"/>
        <c:auto val="1"/>
        <c:lblAlgn val="ctr"/>
        <c:lblOffset val="100"/>
        <c:noMultiLvlLbl val="0"/>
      </c:catAx>
      <c:valAx>
        <c:axId val="469606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crossAx val="469602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H"/>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FDCB33711000439A31C76832679C61" ma:contentTypeVersion="9" ma:contentTypeDescription="Create a new document." ma:contentTypeScope="" ma:versionID="2eec3e03ab9b2a4ec185af8d4d9f8b33">
  <xsd:schema xmlns:xsd="http://www.w3.org/2001/XMLSchema" xmlns:xs="http://www.w3.org/2001/XMLSchema" xmlns:p="http://schemas.microsoft.com/office/2006/metadata/properties" xmlns:ns2="10bb021d-947f-43a0-81ba-2a21b0d60df9" xmlns:ns3="b2d63141-8658-4a05-bf8b-b68f43f2c15a" targetNamespace="http://schemas.microsoft.com/office/2006/metadata/properties" ma:root="true" ma:fieldsID="917b92ee92038a28228a9ae201ce24a2" ns2:_="" ns3:_="">
    <xsd:import namespace="10bb021d-947f-43a0-81ba-2a21b0d60df9"/>
    <xsd:import namespace="b2d63141-8658-4a05-bf8b-b68f43f2c15a"/>
    <xsd:element name="properties">
      <xsd:complexType>
        <xsd:sequence>
          <xsd:element name="documentManagement">
            <xsd:complexType>
              <xsd:all>
                <xsd:element ref="ns2:_dlc_DocId" minOccurs="0"/>
                <xsd:element ref="ns2:_dlc_DocIdUrl" minOccurs="0"/>
                <xsd:element ref="ns2:_dlc_DocIdPersistId" minOccurs="0"/>
                <xsd:element ref="ns3:Document_x0020_No_x002e_"/>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d63141-8658-4a05-bf8b-b68f43f2c15a" elementFormDefault="qualified">
    <xsd:import namespace="http://schemas.microsoft.com/office/2006/documentManagement/types"/>
    <xsd:import namespace="http://schemas.microsoft.com/office/infopath/2007/PartnerControls"/>
    <xsd:element name="Document_x0020_No_x002e_" ma:index="11" ma:displayName="Document No." ma:list="{e3c2e1f5-a5ed-45e8-95f9-3a185a6f108c}" ma:internalName="Document_x0020_No_x002e_" ma:showField="Doc_x0020_No">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No_x002e_ xmlns="b2d63141-8658-4a05-bf8b-b68f43f2c15a">33</Document_x0020_No_x002e_>
    <_dlc_DocId xmlns="10bb021d-947f-43a0-81ba-2a21b0d60df9">XMDQHHHA4CRK-1548652305-21</_dlc_DocId>
    <_dlc_DocIdUrl xmlns="10bb021d-947f-43a0-81ba-2a21b0d60df9">
      <Url>https://intranet.itu.int/sites/ITU-D/tdag/_layouts/15/DocIdRedir.aspx?ID=XMDQHHHA4CRK-1548652305-21</Url>
      <Description>XMDQHHHA4CRK-1548652305-21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E4E30F9F-89E2-4E3B-BCFA-32445D7B8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2d63141-8658-4a05-bf8b-b68f43f2c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infopath/2007/PartnerControls"/>
    <ds:schemaRef ds:uri="http://purl.org/dc/elements/1.1/"/>
    <ds:schemaRef ds:uri="http://schemas.microsoft.com/office/2006/metadata/properties"/>
    <ds:schemaRef ds:uri="b2d63141-8658-4a05-bf8b-b68f43f2c15a"/>
    <ds:schemaRef ds:uri="http://purl.org/dc/terms/"/>
    <ds:schemaRef ds:uri="http://schemas.openxmlformats.org/package/2006/metadata/core-properties"/>
    <ds:schemaRef ds:uri="10bb021d-947f-43a0-81ba-2a21b0d60df9"/>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B1250F9-B6D6-4504-AD39-CBF5EF295017}">
  <ds:schemaRefs>
    <ds:schemaRef ds:uri="http://schemas.microsoft.com/sharepoint/events"/>
  </ds:schemaRefs>
</ds:datastoreItem>
</file>

<file path=customXml/itemProps5.xml><?xml version="1.0" encoding="utf-8"?>
<ds:datastoreItem xmlns:ds="http://schemas.openxmlformats.org/officeDocument/2006/customXml" ds:itemID="{6CAA87DD-7C96-47D9-B9D9-8A735FB4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1628</Words>
  <Characters>9892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Projects</vt:lpstr>
    </vt:vector>
  </TitlesOfParts>
  <Manager>General Secretariat - Pool</Manager>
  <Company/>
  <LinksUpToDate>false</LinksUpToDate>
  <CharactersWithSpaces>11498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Projects</dc:title>
  <dc:subject/>
  <dc:creator>Manias, Michel</dc:creator>
  <cp:keywords/>
  <dc:description/>
  <cp:lastModifiedBy>BDT</cp:lastModifiedBy>
  <cp:revision>4</cp:revision>
  <cp:lastPrinted>2011-08-24T07:41:00Z</cp:lastPrinted>
  <dcterms:created xsi:type="dcterms:W3CDTF">2020-02-10T07:55:00Z</dcterms:created>
  <dcterms:modified xsi:type="dcterms:W3CDTF">2020-03-10T12:43:00Z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0x01010034FDCB33711000439A31C76832679C61</vt:lpwstr>
  </property>
  <property fmtid="{D5CDD505-2E9C-101B-9397-08002B2CF9AE}" pid="10" name="_dlc_DocIdItemGuid">
    <vt:lpwstr>57cb26fb-6f57-4fac-9779-8d82863a79e1</vt:lpwstr>
  </property>
</Properties>
</file>