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783A69" w:rsidRPr="00783A69" w14:paraId="677EE071" w14:textId="77777777" w:rsidTr="00F03E94">
        <w:trPr>
          <w:cantSplit/>
          <w:trHeight w:val="1310"/>
        </w:trPr>
        <w:tc>
          <w:tcPr>
            <w:tcW w:w="6531" w:type="dxa"/>
          </w:tcPr>
          <w:p w14:paraId="4D99597F" w14:textId="77777777" w:rsidR="00783A69" w:rsidRPr="00783A69" w:rsidRDefault="00783A69" w:rsidP="00030897">
            <w:pPr>
              <w:spacing w:before="240"/>
              <w:rPr>
                <w:b/>
                <w:bCs/>
                <w:sz w:val="32"/>
                <w:szCs w:val="32"/>
                <w:rtl/>
                <w:lang w:bidi="ar-SY"/>
              </w:rPr>
            </w:pPr>
            <w:r w:rsidRPr="00783A69">
              <w:rPr>
                <w:rFonts w:hint="cs"/>
                <w:b/>
                <w:bCs/>
                <w:sz w:val="32"/>
                <w:szCs w:val="32"/>
                <w:rtl/>
                <w:lang w:bidi="ar-EG"/>
              </w:rPr>
              <w:t xml:space="preserve">الفريق الاستشاري لتنمية الاتصالات </w:t>
            </w:r>
            <w:r w:rsidRPr="00783A69">
              <w:rPr>
                <w:b/>
                <w:bCs/>
                <w:sz w:val="32"/>
                <w:szCs w:val="32"/>
                <w:lang w:bidi="ar-EG"/>
              </w:rPr>
              <w:t>(TDAG)</w:t>
            </w:r>
          </w:p>
          <w:p w14:paraId="0F0B34BB" w14:textId="51322DA1" w:rsidR="00783A69" w:rsidRPr="00783A69" w:rsidRDefault="00B7153F" w:rsidP="00030897">
            <w:pPr>
              <w:rPr>
                <w:b/>
                <w:bCs/>
                <w:sz w:val="28"/>
                <w:szCs w:val="28"/>
                <w:rtl/>
                <w:lang w:bidi="ar-SY"/>
              </w:rPr>
            </w:pPr>
            <w:proofErr w:type="spellStart"/>
            <w:r w:rsidRPr="00B7153F">
              <w:rPr>
                <w:b/>
                <w:bCs/>
                <w:sz w:val="26"/>
                <w:szCs w:val="26"/>
                <w:lang w:bidi="ar-EG"/>
              </w:rPr>
              <w:t>الاجتماع</w:t>
            </w:r>
            <w:proofErr w:type="spellEnd"/>
            <w:r w:rsidRPr="00B7153F">
              <w:rPr>
                <w:b/>
                <w:bCs/>
                <w:sz w:val="26"/>
                <w:szCs w:val="26"/>
                <w:lang w:bidi="ar-EG"/>
              </w:rPr>
              <w:t xml:space="preserve"> </w:t>
            </w:r>
            <w:proofErr w:type="spellStart"/>
            <w:r w:rsidRPr="00B7153F">
              <w:rPr>
                <w:b/>
                <w:bCs/>
                <w:sz w:val="26"/>
                <w:szCs w:val="26"/>
                <w:lang w:bidi="ar-EG"/>
              </w:rPr>
              <w:t>الخامس</w:t>
            </w:r>
            <w:proofErr w:type="spellEnd"/>
            <w:r w:rsidRPr="00B7153F">
              <w:rPr>
                <w:b/>
                <w:bCs/>
                <w:sz w:val="26"/>
                <w:szCs w:val="26"/>
                <w:lang w:bidi="ar-EG"/>
              </w:rPr>
              <w:t xml:space="preserve"> </w:t>
            </w:r>
            <w:proofErr w:type="spellStart"/>
            <w:r w:rsidRPr="00B7153F">
              <w:rPr>
                <w:b/>
                <w:bCs/>
                <w:sz w:val="26"/>
                <w:szCs w:val="26"/>
                <w:lang w:bidi="ar-EG"/>
              </w:rPr>
              <w:t>والعشرون</w:t>
            </w:r>
            <w:proofErr w:type="spellEnd"/>
            <w:r w:rsidRPr="00B7153F">
              <w:rPr>
                <w:b/>
                <w:bCs/>
                <w:sz w:val="26"/>
                <w:szCs w:val="26"/>
                <w:lang w:bidi="ar-EG"/>
              </w:rPr>
              <w:t xml:space="preserve"> ، </w:t>
            </w:r>
            <w:proofErr w:type="spellStart"/>
            <w:r w:rsidRPr="00B7153F">
              <w:rPr>
                <w:b/>
                <w:bCs/>
                <w:sz w:val="26"/>
                <w:szCs w:val="26"/>
                <w:lang w:bidi="ar-EG"/>
              </w:rPr>
              <w:t>جنيف</w:t>
            </w:r>
            <w:proofErr w:type="spellEnd"/>
            <w:r w:rsidRPr="00B7153F">
              <w:rPr>
                <w:b/>
                <w:bCs/>
                <w:sz w:val="26"/>
                <w:szCs w:val="26"/>
                <w:lang w:bidi="ar-EG"/>
              </w:rPr>
              <w:t xml:space="preserve">، 2-5 </w:t>
            </w:r>
            <w:proofErr w:type="spellStart"/>
            <w:r w:rsidRPr="00B7153F">
              <w:rPr>
                <w:b/>
                <w:bCs/>
                <w:sz w:val="26"/>
                <w:szCs w:val="26"/>
                <w:lang w:bidi="ar-EG"/>
              </w:rPr>
              <w:t>يونيو</w:t>
            </w:r>
            <w:proofErr w:type="spellEnd"/>
            <w:r w:rsidRPr="00B7153F">
              <w:rPr>
                <w:b/>
                <w:bCs/>
                <w:sz w:val="26"/>
                <w:szCs w:val="26"/>
                <w:lang w:bidi="ar-EG"/>
              </w:rPr>
              <w:t xml:space="preserve"> 2020</w:t>
            </w:r>
            <w:bookmarkStart w:id="0" w:name="_GoBack"/>
            <w:bookmarkEnd w:id="0"/>
          </w:p>
        </w:tc>
        <w:tc>
          <w:tcPr>
            <w:tcW w:w="3108" w:type="dxa"/>
          </w:tcPr>
          <w:p w14:paraId="3BF2AA5F" w14:textId="77777777" w:rsidR="00783A69" w:rsidRPr="00783A69" w:rsidRDefault="00783A69" w:rsidP="00030897">
            <w:pPr>
              <w:jc w:val="right"/>
              <w:rPr>
                <w:lang w:val="en-GB" w:bidi="ar-EG"/>
              </w:rPr>
            </w:pPr>
            <w:bookmarkStart w:id="1" w:name="ditulogo"/>
            <w:bookmarkEnd w:id="1"/>
            <w:r w:rsidRPr="008E52B1">
              <w:rPr>
                <w:noProof/>
                <w:color w:val="3399FF"/>
                <w:lang w:eastAsia="en-GB"/>
              </w:rPr>
              <w:drawing>
                <wp:inline distT="0" distB="0" distL="0" distR="0" wp14:anchorId="149FD506" wp14:editId="52BBFDBA">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783A69" w:rsidRPr="00783A69" w14:paraId="630D9B41" w14:textId="77777777" w:rsidTr="00F03E94">
        <w:trPr>
          <w:cantSplit/>
        </w:trPr>
        <w:tc>
          <w:tcPr>
            <w:tcW w:w="6531" w:type="dxa"/>
            <w:tcBorders>
              <w:top w:val="single" w:sz="12" w:space="0" w:color="auto"/>
            </w:tcBorders>
          </w:tcPr>
          <w:p w14:paraId="09753867" w14:textId="77777777" w:rsidR="00783A69" w:rsidRPr="00783A69" w:rsidRDefault="00783A69" w:rsidP="00030897">
            <w:pPr>
              <w:rPr>
                <w:b/>
                <w:bCs/>
                <w:lang w:bidi="ar-EG"/>
              </w:rPr>
            </w:pPr>
          </w:p>
        </w:tc>
        <w:tc>
          <w:tcPr>
            <w:tcW w:w="3108" w:type="dxa"/>
            <w:tcBorders>
              <w:top w:val="single" w:sz="12" w:space="0" w:color="auto"/>
            </w:tcBorders>
          </w:tcPr>
          <w:p w14:paraId="710189BA" w14:textId="77777777" w:rsidR="00783A69" w:rsidRPr="00783A69" w:rsidRDefault="00783A69" w:rsidP="00030897">
            <w:pPr>
              <w:rPr>
                <w:b/>
                <w:bCs/>
                <w:lang w:bidi="ar-EG"/>
              </w:rPr>
            </w:pPr>
          </w:p>
        </w:tc>
      </w:tr>
      <w:tr w:rsidR="00783A69" w:rsidRPr="00783A69" w14:paraId="628259B7" w14:textId="77777777" w:rsidTr="00F03E94">
        <w:trPr>
          <w:cantSplit/>
        </w:trPr>
        <w:tc>
          <w:tcPr>
            <w:tcW w:w="6531" w:type="dxa"/>
          </w:tcPr>
          <w:p w14:paraId="1C0A0207" w14:textId="77777777" w:rsidR="00783A69" w:rsidRPr="00783A69" w:rsidRDefault="00783A69" w:rsidP="00030897">
            <w:pPr>
              <w:rPr>
                <w:b/>
                <w:bCs/>
                <w:rtl/>
                <w:lang w:bidi="ar-EG"/>
              </w:rPr>
            </w:pPr>
          </w:p>
        </w:tc>
        <w:tc>
          <w:tcPr>
            <w:tcW w:w="3108" w:type="dxa"/>
          </w:tcPr>
          <w:p w14:paraId="46FC9238" w14:textId="2A587389" w:rsidR="00783A69" w:rsidRPr="00783A69" w:rsidRDefault="00783A69" w:rsidP="00030897">
            <w:pPr>
              <w:rPr>
                <w:b/>
                <w:bCs/>
                <w:rtl/>
                <w:lang w:bidi="ar-SY"/>
              </w:rPr>
            </w:pPr>
            <w:r w:rsidRPr="00783A69">
              <w:rPr>
                <w:rFonts w:hint="cs"/>
                <w:b/>
                <w:bCs/>
                <w:rtl/>
                <w:lang w:bidi="ar-EG"/>
              </w:rPr>
              <w:t xml:space="preserve">الوثيقة </w:t>
            </w:r>
            <w:r w:rsidRPr="00783A69">
              <w:rPr>
                <w:b/>
                <w:bCs/>
                <w:lang w:bidi="ar-EG"/>
              </w:rPr>
              <w:t>TDAG-</w:t>
            </w:r>
            <w:r>
              <w:rPr>
                <w:b/>
                <w:bCs/>
                <w:lang w:bidi="ar-EG"/>
              </w:rPr>
              <w:t>20</w:t>
            </w:r>
            <w:r w:rsidRPr="00783A69">
              <w:rPr>
                <w:b/>
                <w:bCs/>
                <w:lang w:bidi="ar-EG"/>
              </w:rPr>
              <w:t>/</w:t>
            </w:r>
            <w:r w:rsidR="00AE639B">
              <w:rPr>
                <w:b/>
                <w:bCs/>
                <w:lang w:bidi="ar-EG"/>
              </w:rPr>
              <w:t>1</w:t>
            </w:r>
            <w:r w:rsidR="00F72FBF">
              <w:rPr>
                <w:b/>
                <w:bCs/>
                <w:lang w:bidi="ar-EG"/>
              </w:rPr>
              <w:t>0</w:t>
            </w:r>
            <w:r w:rsidRPr="00783A69">
              <w:rPr>
                <w:b/>
                <w:bCs/>
                <w:lang w:bidi="ar-EG"/>
              </w:rPr>
              <w:t>-A</w:t>
            </w:r>
          </w:p>
        </w:tc>
      </w:tr>
      <w:tr w:rsidR="00783A69" w:rsidRPr="00783A69" w14:paraId="419BABF7" w14:textId="77777777" w:rsidTr="00F03E94">
        <w:trPr>
          <w:cantSplit/>
        </w:trPr>
        <w:tc>
          <w:tcPr>
            <w:tcW w:w="6531" w:type="dxa"/>
          </w:tcPr>
          <w:p w14:paraId="3DB8A67C" w14:textId="77777777" w:rsidR="00783A69" w:rsidRPr="00783A69" w:rsidRDefault="00783A69" w:rsidP="00030897">
            <w:pPr>
              <w:rPr>
                <w:b/>
                <w:bCs/>
                <w:lang w:bidi="ar-EG"/>
              </w:rPr>
            </w:pPr>
          </w:p>
        </w:tc>
        <w:tc>
          <w:tcPr>
            <w:tcW w:w="3108" w:type="dxa"/>
          </w:tcPr>
          <w:p w14:paraId="6FD7B730" w14:textId="5124A585" w:rsidR="00783A69" w:rsidRPr="00783A69" w:rsidRDefault="00AE639B" w:rsidP="00030897">
            <w:pPr>
              <w:rPr>
                <w:b/>
                <w:bCs/>
                <w:rtl/>
                <w:lang w:bidi="ar-SY"/>
              </w:rPr>
            </w:pPr>
            <w:r>
              <w:rPr>
                <w:b/>
                <w:bCs/>
                <w:lang w:bidi="ar-EG"/>
              </w:rPr>
              <w:t>4</w:t>
            </w:r>
            <w:r w:rsidR="00783A69" w:rsidRPr="00783A69">
              <w:rPr>
                <w:rFonts w:hint="cs"/>
                <w:b/>
                <w:bCs/>
                <w:rtl/>
                <w:lang w:bidi="ar-EG"/>
              </w:rPr>
              <w:t xml:space="preserve"> </w:t>
            </w:r>
            <w:r w:rsidR="00743FA3">
              <w:rPr>
                <w:rFonts w:hint="cs"/>
                <w:b/>
                <w:bCs/>
                <w:rtl/>
                <w:lang w:bidi="ar-EG"/>
              </w:rPr>
              <w:t>فبراير</w:t>
            </w:r>
            <w:r w:rsidR="00783A69" w:rsidRPr="00783A69">
              <w:rPr>
                <w:rFonts w:hint="cs"/>
                <w:b/>
                <w:bCs/>
                <w:rtl/>
                <w:lang w:bidi="ar-EG"/>
              </w:rPr>
              <w:t xml:space="preserve"> </w:t>
            </w:r>
            <w:r w:rsidR="00783A69">
              <w:rPr>
                <w:b/>
                <w:bCs/>
                <w:lang w:bidi="ar-EG"/>
              </w:rPr>
              <w:t>2020</w:t>
            </w:r>
          </w:p>
        </w:tc>
      </w:tr>
      <w:tr w:rsidR="00783A69" w:rsidRPr="00783A69" w14:paraId="7721BCC2" w14:textId="77777777" w:rsidTr="00F03E94">
        <w:trPr>
          <w:cantSplit/>
        </w:trPr>
        <w:tc>
          <w:tcPr>
            <w:tcW w:w="6531" w:type="dxa"/>
          </w:tcPr>
          <w:p w14:paraId="0C210291" w14:textId="77777777" w:rsidR="00783A69" w:rsidRPr="00783A69" w:rsidRDefault="00783A69" w:rsidP="00030897">
            <w:pPr>
              <w:rPr>
                <w:b/>
                <w:bCs/>
                <w:lang w:bidi="ar-EG"/>
              </w:rPr>
            </w:pPr>
          </w:p>
        </w:tc>
        <w:tc>
          <w:tcPr>
            <w:tcW w:w="3108" w:type="dxa"/>
          </w:tcPr>
          <w:p w14:paraId="696C345D" w14:textId="430D6D24" w:rsidR="00783A69" w:rsidRPr="00783A69" w:rsidRDefault="00783A69" w:rsidP="00030897">
            <w:pPr>
              <w:rPr>
                <w:b/>
                <w:bCs/>
                <w:rtl/>
                <w:lang w:bidi="ar-EG"/>
              </w:rPr>
            </w:pPr>
            <w:r w:rsidRPr="00783A69">
              <w:rPr>
                <w:rFonts w:hint="cs"/>
                <w:b/>
                <w:bCs/>
                <w:rtl/>
                <w:lang w:bidi="ar-EG"/>
              </w:rPr>
              <w:t xml:space="preserve">الأصل: </w:t>
            </w:r>
            <w:r w:rsidR="00A52887">
              <w:rPr>
                <w:rFonts w:hint="cs"/>
                <w:b/>
                <w:bCs/>
                <w:rtl/>
                <w:lang w:bidi="ar-EG"/>
              </w:rPr>
              <w:t>بالإنكليزية</w:t>
            </w:r>
          </w:p>
        </w:tc>
      </w:tr>
      <w:tr w:rsidR="00783A69" w:rsidRPr="00783A69" w14:paraId="6A648D69" w14:textId="77777777" w:rsidTr="00F03E94">
        <w:trPr>
          <w:cantSplit/>
        </w:trPr>
        <w:tc>
          <w:tcPr>
            <w:tcW w:w="9639" w:type="dxa"/>
            <w:gridSpan w:val="2"/>
          </w:tcPr>
          <w:p w14:paraId="64534AAC" w14:textId="2A408A9D" w:rsidR="00783A69" w:rsidRPr="00783A69" w:rsidRDefault="00AF74EB" w:rsidP="00030897">
            <w:pPr>
              <w:pStyle w:val="Source"/>
              <w:rPr>
                <w:lang w:bidi="ar-EG"/>
              </w:rPr>
            </w:pPr>
            <w:r w:rsidRPr="00AF74EB">
              <w:rPr>
                <w:sz w:val="28"/>
                <w:szCs w:val="28"/>
                <w:rtl/>
              </w:rPr>
              <w:t>مدير مكتب تنمية الاتصالات</w:t>
            </w:r>
          </w:p>
        </w:tc>
      </w:tr>
      <w:tr w:rsidR="00783A69" w:rsidRPr="00783A69" w14:paraId="2E985EDD" w14:textId="77777777" w:rsidTr="00F03E94">
        <w:trPr>
          <w:cantSplit/>
        </w:trPr>
        <w:tc>
          <w:tcPr>
            <w:tcW w:w="9639" w:type="dxa"/>
            <w:gridSpan w:val="2"/>
          </w:tcPr>
          <w:p w14:paraId="2E91E8AF" w14:textId="2EB2FB12" w:rsidR="00783A69" w:rsidRPr="00783A69" w:rsidRDefault="00F72FBF" w:rsidP="00030897">
            <w:pPr>
              <w:pStyle w:val="Title1"/>
              <w:rPr>
                <w:lang w:bidi="ar-EG"/>
              </w:rPr>
            </w:pPr>
            <w:r w:rsidRPr="00F72FBF">
              <w:rPr>
                <w:rtl/>
              </w:rPr>
              <w:t>مشاريع قطاع تنمية الاتصالات</w:t>
            </w:r>
          </w:p>
        </w:tc>
      </w:tr>
      <w:tr w:rsidR="00783A69" w:rsidRPr="00783A69" w14:paraId="7DAE9C11" w14:textId="77777777" w:rsidTr="00882A17">
        <w:trPr>
          <w:cantSplit/>
        </w:trPr>
        <w:tc>
          <w:tcPr>
            <w:tcW w:w="9639" w:type="dxa"/>
            <w:gridSpan w:val="2"/>
            <w:tcBorders>
              <w:bottom w:val="single" w:sz="6" w:space="0" w:color="auto"/>
            </w:tcBorders>
          </w:tcPr>
          <w:p w14:paraId="267BFD3C" w14:textId="77777777" w:rsidR="00783A69" w:rsidRPr="00783A69" w:rsidRDefault="00783A69" w:rsidP="00030897">
            <w:pPr>
              <w:rPr>
                <w:rtl/>
              </w:rPr>
            </w:pPr>
          </w:p>
        </w:tc>
      </w:tr>
      <w:tr w:rsidR="00783A69" w:rsidRPr="00783A69" w14:paraId="6C6C74E0" w14:textId="77777777" w:rsidTr="00882A17">
        <w:trPr>
          <w:cantSplit/>
        </w:trPr>
        <w:tc>
          <w:tcPr>
            <w:tcW w:w="9639" w:type="dxa"/>
            <w:gridSpan w:val="2"/>
            <w:tcBorders>
              <w:top w:val="single" w:sz="6" w:space="0" w:color="auto"/>
              <w:left w:val="single" w:sz="6" w:space="0" w:color="auto"/>
              <w:bottom w:val="single" w:sz="6" w:space="0" w:color="auto"/>
              <w:right w:val="single" w:sz="6" w:space="0" w:color="auto"/>
            </w:tcBorders>
          </w:tcPr>
          <w:p w14:paraId="2EA63E00" w14:textId="77777777" w:rsidR="00783A69" w:rsidRPr="00783A69" w:rsidRDefault="00783A69" w:rsidP="00030897">
            <w:pPr>
              <w:rPr>
                <w:b/>
                <w:bCs/>
                <w:rtl/>
                <w:lang w:bidi="ar-SY"/>
              </w:rPr>
            </w:pPr>
            <w:r w:rsidRPr="00783A69">
              <w:rPr>
                <w:rFonts w:hint="cs"/>
                <w:b/>
                <w:bCs/>
                <w:rtl/>
                <w:lang w:bidi="ar-SY"/>
              </w:rPr>
              <w:t>ملخص</w:t>
            </w:r>
            <w:r w:rsidR="005874F2">
              <w:rPr>
                <w:rFonts w:hint="cs"/>
                <w:b/>
                <w:bCs/>
                <w:rtl/>
                <w:lang w:bidi="ar-SY"/>
              </w:rPr>
              <w:t>:</w:t>
            </w:r>
          </w:p>
          <w:p w14:paraId="50680E50" w14:textId="71C29E3B" w:rsidR="00A52887" w:rsidRDefault="001E2E2D" w:rsidP="00030897">
            <w:pPr>
              <w:rPr>
                <w:rtl/>
                <w:lang w:bidi="ar-EG"/>
              </w:rPr>
            </w:pPr>
            <w:r w:rsidRPr="001E2E2D">
              <w:rPr>
                <w:rtl/>
              </w:rPr>
              <w:t xml:space="preserve">يتحمل الاتحاد الدولي للاتصالات، بموجب دستوره، مسؤولية مزدوجة بصفته وكالة </w:t>
            </w:r>
            <w:r w:rsidRPr="001E2E2D">
              <w:rPr>
                <w:rFonts w:hint="cs"/>
                <w:rtl/>
                <w:lang w:bidi="ar-EG"/>
              </w:rPr>
              <w:t>متخصصة</w:t>
            </w:r>
            <w:r w:rsidRPr="001E2E2D">
              <w:rPr>
                <w:rtl/>
                <w:lang w:bidi="ar-EG"/>
              </w:rPr>
              <w:t xml:space="preserve"> </w:t>
            </w:r>
            <w:r w:rsidRPr="001E2E2D">
              <w:rPr>
                <w:rFonts w:hint="cs"/>
                <w:rtl/>
                <w:lang w:bidi="ar-EG"/>
              </w:rPr>
              <w:t>من</w:t>
            </w:r>
            <w:r w:rsidRPr="001E2E2D">
              <w:rPr>
                <w:rtl/>
                <w:lang w:bidi="ar-EG"/>
              </w:rPr>
              <w:t xml:space="preserve"> </w:t>
            </w:r>
            <w:r w:rsidRPr="001E2E2D">
              <w:rPr>
                <w:rFonts w:hint="cs"/>
                <w:rtl/>
                <w:lang w:bidi="ar-EG"/>
              </w:rPr>
              <w:t>وكالات</w:t>
            </w:r>
            <w:r w:rsidRPr="001E2E2D">
              <w:rPr>
                <w:rtl/>
                <w:lang w:bidi="ar-EG"/>
              </w:rPr>
              <w:t xml:space="preserve"> </w:t>
            </w:r>
            <w:r w:rsidRPr="001E2E2D">
              <w:rPr>
                <w:rFonts w:hint="cs"/>
                <w:rtl/>
                <w:lang w:bidi="ar-EG"/>
              </w:rPr>
              <w:t>الأمم</w:t>
            </w:r>
            <w:r w:rsidRPr="001E2E2D">
              <w:rPr>
                <w:rtl/>
                <w:lang w:bidi="ar-EG"/>
              </w:rPr>
              <w:t xml:space="preserve"> </w:t>
            </w:r>
            <w:r w:rsidRPr="001E2E2D">
              <w:rPr>
                <w:rFonts w:hint="cs"/>
                <w:rtl/>
                <w:lang w:bidi="ar-EG"/>
              </w:rPr>
              <w:t>المتحدة</w:t>
            </w:r>
            <w:r w:rsidRPr="001E2E2D">
              <w:rPr>
                <w:rtl/>
                <w:lang w:bidi="ar-EG"/>
              </w:rPr>
              <w:t xml:space="preserve"> </w:t>
            </w:r>
            <w:r w:rsidRPr="001E2E2D">
              <w:rPr>
                <w:rtl/>
              </w:rPr>
              <w:t>ووكالة منفذة.</w:t>
            </w:r>
            <w:r w:rsidRPr="001E2E2D">
              <w:rPr>
                <w:rFonts w:hint="cs"/>
                <w:spacing w:val="-2"/>
                <w:rtl/>
              </w:rPr>
              <w:t xml:space="preserve"> </w:t>
            </w:r>
            <w:r w:rsidRPr="001E2E2D">
              <w:rPr>
                <w:rFonts w:hint="cs"/>
                <w:rtl/>
              </w:rPr>
              <w:t>وإذ يضطلع</w:t>
            </w:r>
            <w:r w:rsidRPr="001E2E2D">
              <w:rPr>
                <w:rtl/>
              </w:rPr>
              <w:t xml:space="preserve"> قطاع تنمية الاتصالات (</w:t>
            </w:r>
            <w:r w:rsidRPr="001E2E2D">
              <w:t>ITU-D</w:t>
            </w:r>
            <w:r w:rsidRPr="001E2E2D">
              <w:rPr>
                <w:rtl/>
              </w:rPr>
              <w:t>)</w:t>
            </w:r>
            <w:r w:rsidRPr="001E2E2D">
              <w:rPr>
                <w:rFonts w:hint="cs"/>
                <w:rtl/>
              </w:rPr>
              <w:t xml:space="preserve"> </w:t>
            </w:r>
            <w:r w:rsidRPr="001E2E2D">
              <w:rPr>
                <w:rtl/>
              </w:rPr>
              <w:t xml:space="preserve">بالمسؤولية المزدوجة للاتحاد، </w:t>
            </w:r>
            <w:r w:rsidRPr="001E2E2D">
              <w:rPr>
                <w:rFonts w:hint="cs"/>
                <w:rtl/>
              </w:rPr>
              <w:t>فهو يتولى</w:t>
            </w:r>
            <w:r w:rsidRPr="001E2E2D">
              <w:rPr>
                <w:rtl/>
              </w:rPr>
              <w:t xml:space="preserve"> الوظيفة الرئيسية</w:t>
            </w:r>
            <w:r>
              <w:rPr>
                <w:rFonts w:hint="cs"/>
                <w:rtl/>
              </w:rPr>
              <w:t xml:space="preserve"> المتمثلة </w:t>
            </w:r>
            <w:r w:rsidR="00B14A17" w:rsidRPr="00B14A17">
              <w:rPr>
                <w:rFonts w:hint="cs"/>
                <w:rtl/>
                <w:lang w:bidi="ar-EG"/>
              </w:rPr>
              <w:t>بتنفيذ</w:t>
            </w:r>
            <w:r w:rsidR="00B14A17" w:rsidRPr="00B14A17">
              <w:rPr>
                <w:rtl/>
                <w:lang w:bidi="ar-EG"/>
              </w:rPr>
              <w:t xml:space="preserve"> </w:t>
            </w:r>
            <w:r w:rsidR="00B14A17" w:rsidRPr="00B14A17">
              <w:rPr>
                <w:rFonts w:hint="cs"/>
                <w:rtl/>
                <w:lang w:bidi="ar-EG"/>
              </w:rPr>
              <w:t>المشاريع</w:t>
            </w:r>
            <w:r w:rsidR="00B14A17" w:rsidRPr="00B14A17">
              <w:rPr>
                <w:rtl/>
                <w:lang w:bidi="ar-EG"/>
              </w:rPr>
              <w:t xml:space="preserve"> في </w:t>
            </w:r>
            <w:r w:rsidR="00B14A17" w:rsidRPr="00B14A17">
              <w:rPr>
                <w:rFonts w:hint="cs"/>
                <w:rtl/>
                <w:lang w:bidi="ar-EG"/>
              </w:rPr>
              <w:t>إطار</w:t>
            </w:r>
            <w:r w:rsidR="00B14A17" w:rsidRPr="00B14A17">
              <w:rPr>
                <w:rtl/>
                <w:lang w:bidi="ar-EG"/>
              </w:rPr>
              <w:t xml:space="preserve"> </w:t>
            </w:r>
            <w:r w:rsidR="00B14A17" w:rsidRPr="00B14A17">
              <w:rPr>
                <w:rFonts w:hint="cs"/>
                <w:rtl/>
                <w:lang w:bidi="ar-EG"/>
              </w:rPr>
              <w:t>جهاز</w:t>
            </w:r>
            <w:r w:rsidR="00B14A17" w:rsidRPr="00B14A17">
              <w:rPr>
                <w:rtl/>
                <w:lang w:bidi="ar-EG"/>
              </w:rPr>
              <w:t xml:space="preserve"> </w:t>
            </w:r>
            <w:r w:rsidR="00B14A17" w:rsidRPr="00B14A17">
              <w:rPr>
                <w:rFonts w:hint="cs"/>
                <w:rtl/>
                <w:lang w:bidi="ar-EG"/>
              </w:rPr>
              <w:t>الأمم</w:t>
            </w:r>
            <w:r w:rsidR="00B14A17" w:rsidRPr="00B14A17">
              <w:rPr>
                <w:rtl/>
                <w:lang w:bidi="ar-EG"/>
              </w:rPr>
              <w:t xml:space="preserve"> </w:t>
            </w:r>
            <w:r w:rsidR="00B14A17" w:rsidRPr="00B14A17">
              <w:rPr>
                <w:rFonts w:hint="cs"/>
                <w:rtl/>
                <w:lang w:bidi="ar-EG"/>
              </w:rPr>
              <w:t>المتحدة</w:t>
            </w:r>
            <w:r w:rsidR="00B14A17" w:rsidRPr="00B14A17">
              <w:rPr>
                <w:rtl/>
                <w:lang w:bidi="ar-EG"/>
              </w:rPr>
              <w:t xml:space="preserve"> </w:t>
            </w:r>
            <w:r w:rsidR="00B14A17" w:rsidRPr="00B14A17">
              <w:rPr>
                <w:rFonts w:hint="cs"/>
                <w:rtl/>
                <w:lang w:bidi="ar-EG"/>
              </w:rPr>
              <w:t>الإنمائي،</w:t>
            </w:r>
            <w:r w:rsidR="00B14A17" w:rsidRPr="00B14A17">
              <w:rPr>
                <w:rtl/>
                <w:lang w:bidi="ar-EG"/>
              </w:rPr>
              <w:t xml:space="preserve"> </w:t>
            </w:r>
            <w:r w:rsidR="00B14A17" w:rsidRPr="00B14A17">
              <w:rPr>
                <w:rFonts w:hint="cs"/>
                <w:rtl/>
                <w:lang w:bidi="ar-EG"/>
              </w:rPr>
              <w:t>أو</w:t>
            </w:r>
            <w:r w:rsidR="00B14A17" w:rsidRPr="00B14A17">
              <w:rPr>
                <w:rtl/>
                <w:lang w:bidi="ar-EG"/>
              </w:rPr>
              <w:t xml:space="preserve"> </w:t>
            </w:r>
            <w:r w:rsidR="00B14A17" w:rsidRPr="00B14A17">
              <w:rPr>
                <w:rFonts w:hint="cs"/>
                <w:rtl/>
                <w:lang w:bidi="ar-EG"/>
              </w:rPr>
              <w:t>بموجب</w:t>
            </w:r>
            <w:r w:rsidR="00B14A17" w:rsidRPr="00B14A17">
              <w:rPr>
                <w:rtl/>
                <w:lang w:bidi="ar-EG"/>
              </w:rPr>
              <w:t xml:space="preserve"> </w:t>
            </w:r>
            <w:r w:rsidR="00B14A17" w:rsidRPr="00B14A17">
              <w:rPr>
                <w:rFonts w:hint="cs"/>
                <w:rtl/>
                <w:lang w:bidi="ar-EG"/>
              </w:rPr>
              <w:t>ترتيبات</w:t>
            </w:r>
            <w:r w:rsidR="00B14A17" w:rsidRPr="00B14A17">
              <w:rPr>
                <w:rtl/>
                <w:lang w:bidi="ar-EG"/>
              </w:rPr>
              <w:t xml:space="preserve"> </w:t>
            </w:r>
            <w:r w:rsidR="00B14A17" w:rsidRPr="00B14A17">
              <w:rPr>
                <w:rFonts w:hint="cs"/>
                <w:rtl/>
                <w:lang w:bidi="ar-EG"/>
              </w:rPr>
              <w:t>تمويل</w:t>
            </w:r>
            <w:r w:rsidR="00B14A17" w:rsidRPr="00B14A17">
              <w:rPr>
                <w:rtl/>
                <w:lang w:bidi="ar-EG"/>
              </w:rPr>
              <w:t xml:space="preserve"> </w:t>
            </w:r>
            <w:r w:rsidR="00B14A17" w:rsidRPr="00B14A17">
              <w:rPr>
                <w:rFonts w:hint="cs"/>
                <w:rtl/>
                <w:lang w:bidi="ar-EG"/>
              </w:rPr>
              <w:t>أخرى،</w:t>
            </w:r>
            <w:r w:rsidR="00B14A17" w:rsidRPr="00B14A17">
              <w:rPr>
                <w:rtl/>
                <w:lang w:bidi="ar-EG"/>
              </w:rPr>
              <w:t xml:space="preserve"> </w:t>
            </w:r>
            <w:r w:rsidR="00B14A17" w:rsidRPr="00B14A17">
              <w:rPr>
                <w:rFonts w:hint="cs"/>
                <w:rtl/>
                <w:lang w:bidi="ar-EG"/>
              </w:rPr>
              <w:t>وذلك</w:t>
            </w:r>
            <w:r w:rsidR="00B14A17" w:rsidRPr="00B14A17">
              <w:rPr>
                <w:rtl/>
                <w:lang w:bidi="ar-EG"/>
              </w:rPr>
              <w:t xml:space="preserve"> </w:t>
            </w:r>
            <w:r w:rsidR="00B14A17" w:rsidRPr="00B14A17">
              <w:rPr>
                <w:rFonts w:hint="cs"/>
                <w:rtl/>
                <w:lang w:bidi="ar-EG"/>
              </w:rPr>
              <w:t>لتسهيل</w:t>
            </w:r>
            <w:r w:rsidR="00B14A17" w:rsidRPr="00B14A17">
              <w:rPr>
                <w:rtl/>
                <w:lang w:bidi="ar-EG"/>
              </w:rPr>
              <w:t xml:space="preserve"> </w:t>
            </w:r>
            <w:r w:rsidR="00B14A17" w:rsidRPr="00B14A17">
              <w:rPr>
                <w:rFonts w:hint="cs"/>
                <w:rtl/>
                <w:lang w:bidi="ar-EG"/>
              </w:rPr>
              <w:t>وتعزيز تنمية</w:t>
            </w:r>
            <w:r w:rsidR="00B14A17" w:rsidRPr="00B14A17">
              <w:rPr>
                <w:rtl/>
                <w:lang w:bidi="ar-EG"/>
              </w:rPr>
              <w:t xml:space="preserve"> </w:t>
            </w:r>
            <w:r w:rsidR="00B14A17" w:rsidRPr="00B14A17">
              <w:rPr>
                <w:rFonts w:hint="cs"/>
                <w:rtl/>
                <w:lang w:bidi="ar-EG"/>
              </w:rPr>
              <w:t>الاتصالات،</w:t>
            </w:r>
            <w:r w:rsidR="00B14A17" w:rsidRPr="00B14A17">
              <w:rPr>
                <w:rtl/>
                <w:lang w:bidi="ar-EG"/>
              </w:rPr>
              <w:t xml:space="preserve"> </w:t>
            </w:r>
            <w:r w:rsidR="00B14A17" w:rsidRPr="00B14A17">
              <w:rPr>
                <w:rFonts w:hint="cs"/>
                <w:rtl/>
                <w:lang w:bidi="ar-EG"/>
              </w:rPr>
              <w:t>بما</w:t>
            </w:r>
            <w:r w:rsidR="00B14A17" w:rsidRPr="00B14A17">
              <w:rPr>
                <w:rtl/>
                <w:lang w:bidi="ar-EG"/>
              </w:rPr>
              <w:t xml:space="preserve"> </w:t>
            </w:r>
            <w:r w:rsidR="00B14A17" w:rsidRPr="00B14A17">
              <w:rPr>
                <w:rFonts w:hint="cs"/>
                <w:rtl/>
                <w:lang w:bidi="ar-EG"/>
              </w:rPr>
              <w:t>يقدمه</w:t>
            </w:r>
            <w:r w:rsidR="00B14A17" w:rsidRPr="00B14A17">
              <w:rPr>
                <w:rtl/>
                <w:lang w:bidi="ar-EG"/>
              </w:rPr>
              <w:t xml:space="preserve"> </w:t>
            </w:r>
            <w:r w:rsidR="00B14A17" w:rsidRPr="00B14A17">
              <w:rPr>
                <w:rFonts w:hint="cs"/>
                <w:rtl/>
                <w:lang w:bidi="ar-EG"/>
              </w:rPr>
              <w:t>وينظمه</w:t>
            </w:r>
            <w:r w:rsidR="00B14A17" w:rsidRPr="00B14A17">
              <w:rPr>
                <w:rtl/>
                <w:lang w:bidi="ar-EG"/>
              </w:rPr>
              <w:t xml:space="preserve"> </w:t>
            </w:r>
            <w:r w:rsidR="00B14A17" w:rsidRPr="00B14A17">
              <w:rPr>
                <w:rFonts w:hint="cs"/>
                <w:rtl/>
                <w:lang w:bidi="ar-EG"/>
              </w:rPr>
              <w:t>وينسقه</w:t>
            </w:r>
            <w:r w:rsidR="00B14A17" w:rsidRPr="00B14A17">
              <w:rPr>
                <w:rtl/>
                <w:lang w:bidi="ar-EG"/>
              </w:rPr>
              <w:t xml:space="preserve"> </w:t>
            </w:r>
            <w:r w:rsidR="00B14A17" w:rsidRPr="00B14A17">
              <w:rPr>
                <w:rFonts w:hint="cs"/>
                <w:rtl/>
                <w:lang w:bidi="ar-EG"/>
              </w:rPr>
              <w:t>من</w:t>
            </w:r>
            <w:r w:rsidR="00B14A17" w:rsidRPr="00B14A17">
              <w:rPr>
                <w:rtl/>
                <w:lang w:bidi="ar-EG"/>
              </w:rPr>
              <w:t xml:space="preserve"> </w:t>
            </w:r>
            <w:r w:rsidR="00B14A17" w:rsidRPr="00B14A17">
              <w:rPr>
                <w:rFonts w:hint="cs"/>
                <w:rtl/>
                <w:lang w:bidi="ar-EG"/>
              </w:rPr>
              <w:t>أنشطة</w:t>
            </w:r>
            <w:r w:rsidR="00B14A17" w:rsidRPr="00B14A17">
              <w:rPr>
                <w:rtl/>
                <w:lang w:bidi="ar-EG"/>
              </w:rPr>
              <w:t xml:space="preserve"> </w:t>
            </w:r>
            <w:r w:rsidR="00B14A17" w:rsidRPr="00B14A17">
              <w:rPr>
                <w:rFonts w:hint="cs"/>
                <w:rtl/>
                <w:lang w:bidi="ar-EG"/>
              </w:rPr>
              <w:t>التعاون</w:t>
            </w:r>
            <w:r w:rsidR="00B14A17" w:rsidRPr="00B14A17">
              <w:rPr>
                <w:rtl/>
                <w:lang w:bidi="ar-EG"/>
              </w:rPr>
              <w:t xml:space="preserve"> </w:t>
            </w:r>
            <w:r w:rsidR="00B14A17" w:rsidRPr="00B14A17">
              <w:rPr>
                <w:rFonts w:hint="cs"/>
                <w:rtl/>
                <w:lang w:bidi="ar-EG"/>
              </w:rPr>
              <w:t>التقني</w:t>
            </w:r>
            <w:r w:rsidR="00B14A17" w:rsidRPr="00B14A17">
              <w:rPr>
                <w:rtl/>
                <w:lang w:bidi="ar-EG"/>
              </w:rPr>
              <w:t xml:space="preserve"> </w:t>
            </w:r>
            <w:r w:rsidR="00B14A17" w:rsidRPr="00B14A17">
              <w:rPr>
                <w:rFonts w:hint="cs"/>
                <w:rtl/>
                <w:lang w:bidi="ar-EG"/>
              </w:rPr>
              <w:t>وأنشطة</w:t>
            </w:r>
            <w:r w:rsidR="00B14A17" w:rsidRPr="00B14A17">
              <w:rPr>
                <w:rtl/>
                <w:lang w:bidi="ar-EG"/>
              </w:rPr>
              <w:t xml:space="preserve"> </w:t>
            </w:r>
            <w:r w:rsidR="00B14A17" w:rsidRPr="00B14A17">
              <w:rPr>
                <w:rFonts w:hint="cs"/>
                <w:rtl/>
                <w:lang w:bidi="ar-EG"/>
              </w:rPr>
              <w:t>المساعدة</w:t>
            </w:r>
            <w:r w:rsidR="00B14A17" w:rsidRPr="00B14A17">
              <w:rPr>
                <w:rtl/>
                <w:lang w:bidi="ar-EG"/>
              </w:rPr>
              <w:t xml:space="preserve"> </w:t>
            </w:r>
            <w:r w:rsidR="00B14A17" w:rsidRPr="00B14A17">
              <w:rPr>
                <w:rFonts w:hint="cs"/>
                <w:rtl/>
                <w:lang w:bidi="ar-EG"/>
              </w:rPr>
              <w:t>التقنية</w:t>
            </w:r>
            <w:r w:rsidR="00B14A17">
              <w:rPr>
                <w:rFonts w:hint="cs"/>
                <w:rtl/>
                <w:lang w:bidi="ar-EG"/>
              </w:rPr>
              <w:t>.</w:t>
            </w:r>
          </w:p>
          <w:p w14:paraId="50E94446" w14:textId="3E553CAA" w:rsidR="00B14A17" w:rsidRDefault="00B14A17" w:rsidP="00030897">
            <w:pPr>
              <w:rPr>
                <w:rtl/>
              </w:rPr>
            </w:pPr>
            <w:r w:rsidRPr="00B14A17">
              <w:rPr>
                <w:rtl/>
              </w:rPr>
              <w:t>تقدم هذه الوثيقة لمحة عامة عن</w:t>
            </w:r>
            <w:r w:rsidR="001E2E2D" w:rsidRPr="001E2E2D">
              <w:rPr>
                <w:rFonts w:hint="cs"/>
                <w:rtl/>
              </w:rPr>
              <w:t xml:space="preserve"> العمل</w:t>
            </w:r>
            <w:r w:rsidR="001E2E2D">
              <w:rPr>
                <w:rFonts w:hint="cs"/>
                <w:rtl/>
              </w:rPr>
              <w:t xml:space="preserve"> الذي اضطلع به مكتب</w:t>
            </w:r>
            <w:r w:rsidR="001E2E2D" w:rsidRPr="001E2E2D">
              <w:rPr>
                <w:rtl/>
              </w:rPr>
              <w:t xml:space="preserve"> تنمية الاتصالات</w:t>
            </w:r>
            <w:r w:rsidR="001E2E2D">
              <w:rPr>
                <w:rFonts w:hint="cs"/>
                <w:rtl/>
              </w:rPr>
              <w:t xml:space="preserve"> في إعداد</w:t>
            </w:r>
            <w:r w:rsidRPr="00B14A17">
              <w:rPr>
                <w:rtl/>
              </w:rPr>
              <w:t xml:space="preserve"> </w:t>
            </w:r>
            <w:r w:rsidR="001E2E2D">
              <w:rPr>
                <w:rFonts w:hint="cs"/>
                <w:rtl/>
              </w:rPr>
              <w:t>ال</w:t>
            </w:r>
            <w:r w:rsidRPr="00B14A17">
              <w:rPr>
                <w:rtl/>
              </w:rPr>
              <w:t xml:space="preserve">مشاريع </w:t>
            </w:r>
            <w:r w:rsidR="001E2E2D">
              <w:rPr>
                <w:rFonts w:hint="cs"/>
                <w:rtl/>
              </w:rPr>
              <w:t>وتنفيذها</w:t>
            </w:r>
            <w:r w:rsidRPr="00B14A17">
              <w:rPr>
                <w:rtl/>
              </w:rPr>
              <w:t xml:space="preserve"> في المناطق الست لقطاع تنمية الاتصالات في الاتحاد، </w:t>
            </w:r>
            <w:r w:rsidRPr="00B14A17">
              <w:rPr>
                <w:rFonts w:hint="cs"/>
                <w:rtl/>
              </w:rPr>
              <w:t>وهي</w:t>
            </w:r>
            <w:r w:rsidRPr="00B14A17">
              <w:rPr>
                <w:rtl/>
              </w:rPr>
              <w:t xml:space="preserve"> منطقة </w:t>
            </w:r>
            <w:r w:rsidR="00622680">
              <w:rPr>
                <w:rtl/>
              </w:rPr>
              <w:t>إفريقي</w:t>
            </w:r>
            <w:r w:rsidRPr="00B14A17">
              <w:rPr>
                <w:rtl/>
              </w:rPr>
              <w:t xml:space="preserve">ا، ومنطقة </w:t>
            </w:r>
            <w:proofErr w:type="spellStart"/>
            <w:r w:rsidRPr="00B14A17">
              <w:rPr>
                <w:rtl/>
              </w:rPr>
              <w:t>الأمريكتين</w:t>
            </w:r>
            <w:proofErr w:type="spellEnd"/>
            <w:r w:rsidRPr="00B14A17">
              <w:rPr>
                <w:rtl/>
              </w:rPr>
              <w:t>، ومنطقة الدول العربية، ومنطقة آسيا والمحيط الهادئ، ومنطقة كومنولث الدول المستقلة </w:t>
            </w:r>
            <w:r w:rsidRPr="00B14A17">
              <w:rPr>
                <w:lang w:bidi="ar-SY"/>
              </w:rPr>
              <w:t>(CIS)</w:t>
            </w:r>
            <w:r w:rsidRPr="00B14A17">
              <w:rPr>
                <w:rtl/>
              </w:rPr>
              <w:t>، ومنطقة أوروبا</w:t>
            </w:r>
            <w:r w:rsidRPr="00B14A17">
              <w:rPr>
                <w:rFonts w:hint="cs"/>
                <w:rtl/>
              </w:rPr>
              <w:t>، وكذلك على الصعيد العالمي.</w:t>
            </w:r>
          </w:p>
          <w:p w14:paraId="71FC3393" w14:textId="77777777" w:rsidR="00783A69" w:rsidRPr="00783A69" w:rsidRDefault="00783A69" w:rsidP="00030897">
            <w:pPr>
              <w:rPr>
                <w:b/>
                <w:bCs/>
                <w:rtl/>
                <w:lang w:bidi="ar-SY"/>
              </w:rPr>
            </w:pPr>
            <w:r w:rsidRPr="00783A69">
              <w:rPr>
                <w:rFonts w:hint="cs"/>
                <w:b/>
                <w:bCs/>
                <w:rtl/>
                <w:lang w:bidi="ar-SY"/>
              </w:rPr>
              <w:t>الإجراء المطلوب</w:t>
            </w:r>
            <w:r w:rsidR="005874F2">
              <w:rPr>
                <w:rFonts w:hint="cs"/>
                <w:b/>
                <w:bCs/>
                <w:rtl/>
                <w:lang w:bidi="ar-SY"/>
              </w:rPr>
              <w:t>:</w:t>
            </w:r>
          </w:p>
          <w:p w14:paraId="48410076" w14:textId="77777777" w:rsidR="00B14A17" w:rsidRPr="00CB30F8" w:rsidRDefault="00B14A17" w:rsidP="00030897">
            <w:pPr>
              <w:tabs>
                <w:tab w:val="left" w:pos="418"/>
              </w:tabs>
              <w:rPr>
                <w:rtl/>
                <w:lang w:bidi="ar-EG"/>
              </w:rPr>
            </w:pPr>
            <w:r>
              <w:rPr>
                <w:rtl/>
              </w:rPr>
              <w:t>يُدعى الفريق الاستشاري لتنمية الاتصالات إلى الإحاطة علماً بهذ</w:t>
            </w:r>
            <w:r>
              <w:rPr>
                <w:rFonts w:hint="cs"/>
                <w:rtl/>
              </w:rPr>
              <w:t>ه</w:t>
            </w:r>
            <w:r>
              <w:rPr>
                <w:rtl/>
              </w:rPr>
              <w:t xml:space="preserve"> </w:t>
            </w:r>
            <w:r>
              <w:rPr>
                <w:rFonts w:hint="cs"/>
                <w:rtl/>
              </w:rPr>
              <w:t xml:space="preserve">الوثيقة </w:t>
            </w:r>
            <w:r>
              <w:rPr>
                <w:rtl/>
              </w:rPr>
              <w:t>وتقديم التوجيهات التي يراها مناسبة.</w:t>
            </w:r>
          </w:p>
          <w:p w14:paraId="630F160B" w14:textId="77777777" w:rsidR="00783A69" w:rsidRPr="00783A69" w:rsidRDefault="00783A69" w:rsidP="00030897">
            <w:pPr>
              <w:rPr>
                <w:b/>
                <w:bCs/>
                <w:rtl/>
                <w:lang w:bidi="ar-SY"/>
              </w:rPr>
            </w:pPr>
            <w:r w:rsidRPr="00783A69">
              <w:rPr>
                <w:rFonts w:hint="cs"/>
                <w:b/>
                <w:bCs/>
                <w:rtl/>
                <w:lang w:bidi="ar-SY"/>
              </w:rPr>
              <w:t>المراجع</w:t>
            </w:r>
            <w:r w:rsidR="005874F2">
              <w:rPr>
                <w:rFonts w:hint="cs"/>
                <w:b/>
                <w:bCs/>
                <w:rtl/>
                <w:lang w:bidi="ar-SY"/>
              </w:rPr>
              <w:t>:</w:t>
            </w:r>
          </w:p>
          <w:p w14:paraId="54CD8B79" w14:textId="74443CBB" w:rsidR="00B14A17" w:rsidRPr="00783A69" w:rsidRDefault="001E2E2D" w:rsidP="003A55CC">
            <w:pPr>
              <w:spacing w:after="120"/>
              <w:rPr>
                <w:rtl/>
              </w:rPr>
            </w:pPr>
            <w:r w:rsidRPr="001E2E2D">
              <w:rPr>
                <w:rtl/>
              </w:rPr>
              <w:t>القرار 17 و</w:t>
            </w:r>
            <w:r w:rsidRPr="001E2E2D">
              <w:rPr>
                <w:rFonts w:hint="cs"/>
                <w:rtl/>
              </w:rPr>
              <w:t xml:space="preserve">القرار </w:t>
            </w:r>
            <w:r w:rsidRPr="001E2E2D">
              <w:rPr>
                <w:rtl/>
              </w:rPr>
              <w:t>52 (المراجع في بوينس آيرس، 2017) للمؤتمر العالمي لتنمية الاتصالات (</w:t>
            </w:r>
            <w:r w:rsidRPr="001E2E2D">
              <w:t>WTDC</w:t>
            </w:r>
            <w:r w:rsidRPr="001E2E2D">
              <w:rPr>
                <w:rtl/>
              </w:rPr>
              <w:t>) والقرار 157 (المراجع في دبي، 2018) لمؤتمر المندوبين المفوضين.</w:t>
            </w:r>
          </w:p>
        </w:tc>
      </w:tr>
    </w:tbl>
    <w:p w14:paraId="0CB65E7E" w14:textId="77777777" w:rsidR="00E6074B" w:rsidRDefault="00E6074B">
      <w:pPr>
        <w:tabs>
          <w:tab w:val="clear" w:pos="794"/>
        </w:tabs>
        <w:bidi w:val="0"/>
        <w:spacing w:before="0" w:after="160" w:line="259" w:lineRule="auto"/>
        <w:jc w:val="left"/>
        <w:rPr>
          <w:rFonts w:eastAsiaTheme="majorEastAsia"/>
          <w:b/>
          <w:bCs/>
          <w:sz w:val="26"/>
          <w:szCs w:val="26"/>
        </w:rPr>
      </w:pPr>
      <w:r>
        <w:br w:type="page"/>
      </w:r>
    </w:p>
    <w:p w14:paraId="7AEA1F29" w14:textId="7B587CBD" w:rsidR="00D30494" w:rsidRDefault="00D5536E" w:rsidP="00030897">
      <w:pPr>
        <w:pStyle w:val="Heading1"/>
        <w:rPr>
          <w:rtl/>
        </w:rPr>
      </w:pPr>
      <w:r>
        <w:lastRenderedPageBreak/>
        <w:t>1</w:t>
      </w:r>
      <w:r>
        <w:rPr>
          <w:rtl/>
          <w:lang w:bidi="ar-EG"/>
        </w:rPr>
        <w:tab/>
      </w:r>
      <w:r w:rsidR="00B14A17">
        <w:rPr>
          <w:rFonts w:hint="cs"/>
          <w:rtl/>
        </w:rPr>
        <w:t>مقدمة</w:t>
      </w:r>
    </w:p>
    <w:p w14:paraId="2D00160E" w14:textId="4EB025E1" w:rsidR="00AE639B" w:rsidRDefault="00B035CE" w:rsidP="00030897">
      <w:pPr>
        <w:rPr>
          <w:spacing w:val="-2"/>
          <w:rtl/>
        </w:rPr>
      </w:pPr>
      <w:r w:rsidRPr="00B035CE">
        <w:rPr>
          <w:rFonts w:hint="cs"/>
          <w:spacing w:val="-2"/>
          <w:rtl/>
        </w:rPr>
        <w:t>عملاً</w:t>
      </w:r>
      <w:r w:rsidRPr="00B035CE">
        <w:rPr>
          <w:spacing w:val="-2"/>
          <w:rtl/>
        </w:rPr>
        <w:t xml:space="preserve"> </w:t>
      </w:r>
      <w:r w:rsidRPr="00B035CE">
        <w:rPr>
          <w:rFonts w:hint="cs"/>
          <w:spacing w:val="-2"/>
          <w:rtl/>
        </w:rPr>
        <w:t>ب</w:t>
      </w:r>
      <w:r w:rsidRPr="00B035CE">
        <w:rPr>
          <w:spacing w:val="-2"/>
          <w:rtl/>
        </w:rPr>
        <w:t>القرار 17 و</w:t>
      </w:r>
      <w:r w:rsidRPr="00B035CE">
        <w:rPr>
          <w:rFonts w:hint="cs"/>
          <w:spacing w:val="-2"/>
          <w:rtl/>
        </w:rPr>
        <w:t xml:space="preserve">القرار </w:t>
      </w:r>
      <w:r w:rsidRPr="00B035CE">
        <w:rPr>
          <w:spacing w:val="-2"/>
          <w:rtl/>
        </w:rPr>
        <w:t>52 (المراجع في بوينس آيرس، 2017) للمؤتمر العالمي لتنمية الاتصالات (</w:t>
      </w:r>
      <w:r w:rsidRPr="00B035CE">
        <w:rPr>
          <w:spacing w:val="-2"/>
        </w:rPr>
        <w:t>WTDC</w:t>
      </w:r>
      <w:r w:rsidRPr="00B035CE">
        <w:rPr>
          <w:spacing w:val="-2"/>
          <w:rtl/>
        </w:rPr>
        <w:t>) والقرار 157 (المراجع في دبي، 2018) لمؤتمر المندوبين المفوضين، واصل مكتب تنمية الاتصالات جهوده في تعزيز وظيفة تنفيذ المش</w:t>
      </w:r>
      <w:r w:rsidRPr="00B035CE">
        <w:rPr>
          <w:rFonts w:hint="cs"/>
          <w:spacing w:val="-2"/>
          <w:rtl/>
        </w:rPr>
        <w:t>ا</w:t>
      </w:r>
      <w:r w:rsidRPr="00B035CE">
        <w:rPr>
          <w:spacing w:val="-2"/>
          <w:rtl/>
        </w:rPr>
        <w:t>ر</w:t>
      </w:r>
      <w:r w:rsidRPr="00B035CE">
        <w:rPr>
          <w:rFonts w:hint="cs"/>
          <w:spacing w:val="-2"/>
          <w:rtl/>
        </w:rPr>
        <w:t>ي</w:t>
      </w:r>
      <w:r w:rsidRPr="00B035CE">
        <w:rPr>
          <w:spacing w:val="-2"/>
          <w:rtl/>
        </w:rPr>
        <w:t xml:space="preserve">ع في قطاع تنمية الاتصالات في الاتحاد وفي تنفيذ المبادرات المعتمدة إقليمياً على المستويات الوطنية والإقليمية </w:t>
      </w:r>
      <w:proofErr w:type="spellStart"/>
      <w:r w:rsidRPr="00B035CE">
        <w:rPr>
          <w:spacing w:val="-2"/>
          <w:rtl/>
        </w:rPr>
        <w:t>والأقاليمية</w:t>
      </w:r>
      <w:proofErr w:type="spellEnd"/>
      <w:r w:rsidRPr="00B035CE">
        <w:rPr>
          <w:spacing w:val="-2"/>
          <w:rtl/>
        </w:rPr>
        <w:t xml:space="preserve"> والعالمية.</w:t>
      </w:r>
      <w:r w:rsidRPr="00B035CE">
        <w:rPr>
          <w:rFonts w:hint="cs"/>
          <w:spacing w:val="-2"/>
          <w:rtl/>
        </w:rPr>
        <w:t xml:space="preserve"> و</w:t>
      </w:r>
      <w:r w:rsidRPr="00B035CE">
        <w:rPr>
          <w:spacing w:val="-2"/>
          <w:rtl/>
        </w:rPr>
        <w:t xml:space="preserve">ظلت مشاريع تنمية الاتصالات مدفوعة بالطلب </w:t>
      </w:r>
      <w:r w:rsidRPr="00B035CE">
        <w:rPr>
          <w:rFonts w:hint="cs"/>
          <w:spacing w:val="-2"/>
          <w:rtl/>
        </w:rPr>
        <w:t>ومتمحورة حول</w:t>
      </w:r>
      <w:r w:rsidRPr="00B035CE">
        <w:rPr>
          <w:spacing w:val="-2"/>
          <w:rtl/>
        </w:rPr>
        <w:t xml:space="preserve"> الناس و</w:t>
      </w:r>
      <w:r w:rsidRPr="00B035CE">
        <w:rPr>
          <w:rFonts w:hint="cs"/>
          <w:spacing w:val="-2"/>
          <w:rtl/>
        </w:rPr>
        <w:t>م</w:t>
      </w:r>
      <w:r w:rsidRPr="00B035CE">
        <w:rPr>
          <w:spacing w:val="-2"/>
          <w:rtl/>
        </w:rPr>
        <w:t>ركز</w:t>
      </w:r>
      <w:r w:rsidRPr="00B035CE">
        <w:rPr>
          <w:rFonts w:hint="cs"/>
          <w:spacing w:val="-2"/>
          <w:rtl/>
        </w:rPr>
        <w:t>ة</w:t>
      </w:r>
      <w:r w:rsidRPr="00B035CE">
        <w:rPr>
          <w:spacing w:val="-2"/>
          <w:rtl/>
        </w:rPr>
        <w:t xml:space="preserve"> على التنمية المستدامة.</w:t>
      </w:r>
    </w:p>
    <w:p w14:paraId="3571E250" w14:textId="68492BE2" w:rsidR="00B14A17" w:rsidRPr="001E2E2D" w:rsidRDefault="00B035CE" w:rsidP="00030897">
      <w:pPr>
        <w:rPr>
          <w:spacing w:val="-2"/>
          <w:rtl/>
          <w:lang w:val="en-GB"/>
        </w:rPr>
      </w:pPr>
      <w:r w:rsidRPr="00B035CE">
        <w:rPr>
          <w:rFonts w:hint="cs"/>
          <w:spacing w:val="-2"/>
          <w:rtl/>
          <w:lang w:val="en-GB"/>
        </w:rPr>
        <w:t>و</w:t>
      </w:r>
      <w:r w:rsidRPr="00B035CE">
        <w:rPr>
          <w:spacing w:val="-2"/>
          <w:rtl/>
          <w:lang w:val="en-GB"/>
        </w:rPr>
        <w:t>ظل</w:t>
      </w:r>
      <w:r w:rsidRPr="00B035CE">
        <w:rPr>
          <w:rFonts w:hint="cs"/>
          <w:spacing w:val="-2"/>
          <w:rtl/>
          <w:lang w:val="en-GB"/>
        </w:rPr>
        <w:t>ت</w:t>
      </w:r>
      <w:r w:rsidRPr="00B035CE">
        <w:rPr>
          <w:spacing w:val="-2"/>
          <w:rtl/>
          <w:lang w:val="en-GB"/>
        </w:rPr>
        <w:t xml:space="preserve"> </w:t>
      </w:r>
      <w:r w:rsidRPr="00B035CE">
        <w:rPr>
          <w:rFonts w:hint="cs"/>
          <w:spacing w:val="-2"/>
          <w:rtl/>
          <w:lang w:val="en-GB"/>
        </w:rPr>
        <w:t>ال</w:t>
      </w:r>
      <w:r w:rsidRPr="00B035CE">
        <w:rPr>
          <w:spacing w:val="-2"/>
          <w:rtl/>
          <w:lang w:val="en-GB"/>
        </w:rPr>
        <w:t>أولوية</w:t>
      </w:r>
      <w:r w:rsidRPr="00B035CE">
        <w:rPr>
          <w:rFonts w:hint="cs"/>
          <w:spacing w:val="-2"/>
          <w:rtl/>
          <w:lang w:val="en-GB"/>
        </w:rPr>
        <w:t xml:space="preserve"> تولى</w:t>
      </w:r>
      <w:r w:rsidRPr="00B035CE">
        <w:rPr>
          <w:spacing w:val="-2"/>
          <w:rtl/>
          <w:lang w:val="en-GB"/>
        </w:rPr>
        <w:t xml:space="preserve"> </w:t>
      </w:r>
      <w:r w:rsidRPr="00B035CE">
        <w:rPr>
          <w:rFonts w:hint="cs"/>
          <w:spacing w:val="-2"/>
          <w:rtl/>
          <w:lang w:val="en-GB"/>
        </w:rPr>
        <w:t>ل</w:t>
      </w:r>
      <w:r w:rsidRPr="00B035CE">
        <w:rPr>
          <w:spacing w:val="-2"/>
          <w:rtl/>
          <w:lang w:val="en-GB"/>
        </w:rPr>
        <w:t xml:space="preserve">لاستثمار في أدوات مكتب تنمية الاتصالات ومنهجياته ومبادئه التوجيهية </w:t>
      </w:r>
      <w:r w:rsidR="00AB2C0E">
        <w:rPr>
          <w:rFonts w:hint="cs"/>
          <w:spacing w:val="-2"/>
          <w:rtl/>
          <w:lang w:val="en-GB"/>
        </w:rPr>
        <w:t>وأطره النموذجية</w:t>
      </w:r>
      <w:r w:rsidRPr="00B035CE">
        <w:rPr>
          <w:spacing w:val="-2"/>
          <w:rtl/>
          <w:lang w:val="en-GB"/>
        </w:rPr>
        <w:t xml:space="preserve"> ومعاييره</w:t>
      </w:r>
      <w:r w:rsidRPr="00B035CE">
        <w:rPr>
          <w:rFonts w:hint="cs"/>
          <w:spacing w:val="-2"/>
          <w:rtl/>
          <w:lang w:val="en-GB"/>
        </w:rPr>
        <w:t>،</w:t>
      </w:r>
      <w:r w:rsidRPr="00B035CE">
        <w:rPr>
          <w:spacing w:val="-2"/>
          <w:rtl/>
          <w:lang w:val="en-GB"/>
        </w:rPr>
        <w:t xml:space="preserve"> و</w:t>
      </w:r>
      <w:r w:rsidRPr="00B035CE">
        <w:rPr>
          <w:rFonts w:hint="cs"/>
          <w:spacing w:val="-2"/>
          <w:rtl/>
          <w:lang w:val="en-GB"/>
        </w:rPr>
        <w:t xml:space="preserve">في </w:t>
      </w:r>
      <w:r w:rsidRPr="00B035CE">
        <w:rPr>
          <w:spacing w:val="-2"/>
          <w:rtl/>
          <w:lang w:val="en-GB"/>
        </w:rPr>
        <w:t>تطوير</w:t>
      </w:r>
      <w:r w:rsidRPr="00B035CE">
        <w:rPr>
          <w:rFonts w:hint="cs"/>
          <w:spacing w:val="-2"/>
          <w:rtl/>
          <w:lang w:val="en-GB"/>
        </w:rPr>
        <w:t xml:space="preserve"> </w:t>
      </w:r>
      <w:r w:rsidRPr="00B035CE">
        <w:rPr>
          <w:spacing w:val="-2"/>
          <w:rtl/>
          <w:lang w:val="en-GB"/>
        </w:rPr>
        <w:t>قاعدة البيانات والتدريب المتعلق بالمشاريع وإدارة المشاريع</w:t>
      </w:r>
      <w:r>
        <w:rPr>
          <w:rFonts w:hint="cs"/>
          <w:spacing w:val="-2"/>
          <w:rtl/>
          <w:lang w:val="en-GB"/>
        </w:rPr>
        <w:t xml:space="preserve">. </w:t>
      </w:r>
      <w:r w:rsidR="003C0A90" w:rsidRPr="003C0A90">
        <w:rPr>
          <w:rFonts w:hint="cs"/>
          <w:spacing w:val="-2"/>
          <w:rtl/>
          <w:lang w:val="en-GB"/>
        </w:rPr>
        <w:t>و</w:t>
      </w:r>
      <w:r w:rsidR="003C0A90" w:rsidRPr="003C0A90">
        <w:rPr>
          <w:spacing w:val="-2"/>
          <w:rtl/>
          <w:lang w:val="en-GB"/>
        </w:rPr>
        <w:t>تم</w:t>
      </w:r>
      <w:r w:rsidR="003C0A90" w:rsidRPr="003C0A90">
        <w:rPr>
          <w:rFonts w:hint="cs"/>
          <w:spacing w:val="-2"/>
          <w:rtl/>
          <w:lang w:val="en-GB"/>
        </w:rPr>
        <w:t>ا</w:t>
      </w:r>
      <w:r w:rsidR="003C0A90" w:rsidRPr="003C0A90">
        <w:rPr>
          <w:spacing w:val="-2"/>
          <w:rtl/>
          <w:lang w:val="en-GB"/>
        </w:rPr>
        <w:t>شيا</w:t>
      </w:r>
      <w:r w:rsidR="003C0A90" w:rsidRPr="003C0A90">
        <w:rPr>
          <w:rFonts w:hint="cs"/>
          <w:spacing w:val="-2"/>
          <w:rtl/>
          <w:lang w:val="en-GB"/>
        </w:rPr>
        <w:t>ً</w:t>
      </w:r>
      <w:r w:rsidR="003C0A90" w:rsidRPr="003C0A90">
        <w:rPr>
          <w:spacing w:val="-2"/>
          <w:rtl/>
          <w:lang w:val="en-GB"/>
        </w:rPr>
        <w:t xml:space="preserve"> مع الإدارة القائمة على النتائج ومبادئ الشفافية، </w:t>
      </w:r>
      <w:r w:rsidR="003C0A90" w:rsidRPr="003C0A90">
        <w:rPr>
          <w:rFonts w:hint="cs"/>
          <w:spacing w:val="-2"/>
          <w:rtl/>
          <w:lang w:val="en-GB"/>
        </w:rPr>
        <w:t>حُسِّن</w:t>
      </w:r>
      <w:r w:rsidR="003C0A90" w:rsidRPr="003C0A90">
        <w:rPr>
          <w:spacing w:val="-2"/>
          <w:rtl/>
          <w:lang w:val="en-GB"/>
        </w:rPr>
        <w:t xml:space="preserve"> </w:t>
      </w:r>
      <w:r w:rsidR="003C0A90" w:rsidRPr="003C0A90">
        <w:rPr>
          <w:rFonts w:hint="cs"/>
          <w:spacing w:val="-2"/>
          <w:rtl/>
          <w:lang w:val="en-GB"/>
        </w:rPr>
        <w:t>ال</w:t>
      </w:r>
      <w:r w:rsidR="003C0A90" w:rsidRPr="003C0A90">
        <w:rPr>
          <w:spacing w:val="-2"/>
          <w:rtl/>
          <w:lang w:val="en-GB"/>
        </w:rPr>
        <w:t xml:space="preserve">موقع </w:t>
      </w:r>
      <w:r w:rsidR="003C0A90" w:rsidRPr="003C0A90">
        <w:rPr>
          <w:rFonts w:hint="cs"/>
          <w:spacing w:val="-2"/>
          <w:rtl/>
          <w:lang w:val="en-GB"/>
        </w:rPr>
        <w:t>الإلكتروني</w:t>
      </w:r>
      <w:r w:rsidR="003C0A90" w:rsidRPr="003C0A90">
        <w:rPr>
          <w:spacing w:val="-2"/>
          <w:rtl/>
          <w:lang w:val="en-GB"/>
        </w:rPr>
        <w:t xml:space="preserve"> </w:t>
      </w:r>
      <w:r w:rsidR="003C0A90" w:rsidRPr="003C0A90">
        <w:rPr>
          <w:rFonts w:hint="cs"/>
          <w:spacing w:val="-2"/>
          <w:rtl/>
          <w:lang w:val="en-GB"/>
        </w:rPr>
        <w:t>ل</w:t>
      </w:r>
      <w:r w:rsidR="003C0A90" w:rsidRPr="003C0A90">
        <w:rPr>
          <w:spacing w:val="-2"/>
          <w:rtl/>
          <w:lang w:val="en-GB"/>
        </w:rPr>
        <w:t>مشاريع الاتحاد (</w:t>
      </w:r>
      <w:hyperlink r:id="rId9" w:history="1">
        <w:r w:rsidR="003C0A90" w:rsidRPr="001E2E2D">
          <w:rPr>
            <w:rStyle w:val="Hyperlink"/>
            <w:spacing w:val="-2"/>
            <w:lang w:val="en-GB"/>
          </w:rPr>
          <w:t>www.itu.int/en/ITU-D/Projects/</w:t>
        </w:r>
      </w:hyperlink>
      <w:r w:rsidR="003C0A90" w:rsidRPr="003C0A90">
        <w:rPr>
          <w:spacing w:val="-2"/>
          <w:rtl/>
          <w:lang w:val="en-GB"/>
        </w:rPr>
        <w:t xml:space="preserve">) </w:t>
      </w:r>
      <w:r w:rsidR="003C0A90" w:rsidRPr="003C0A90">
        <w:rPr>
          <w:rFonts w:hint="cs"/>
          <w:spacing w:val="-2"/>
          <w:rtl/>
          <w:lang w:val="en-GB"/>
        </w:rPr>
        <w:t xml:space="preserve">كي يقدم عرضاً </w:t>
      </w:r>
      <w:proofErr w:type="spellStart"/>
      <w:r w:rsidR="003C0A90" w:rsidRPr="003C0A90">
        <w:rPr>
          <w:rFonts w:hint="cs"/>
          <w:spacing w:val="-2"/>
          <w:rtl/>
          <w:lang w:val="en-GB"/>
        </w:rPr>
        <w:t>دينامياً</w:t>
      </w:r>
      <w:proofErr w:type="spellEnd"/>
      <w:r w:rsidR="003C0A90" w:rsidRPr="003C0A90">
        <w:rPr>
          <w:spacing w:val="-2"/>
          <w:rtl/>
          <w:lang w:val="en-GB"/>
        </w:rPr>
        <w:t xml:space="preserve"> </w:t>
      </w:r>
      <w:r w:rsidR="003C0A90" w:rsidRPr="003C0A90">
        <w:rPr>
          <w:rFonts w:hint="cs"/>
          <w:spacing w:val="-2"/>
          <w:rtl/>
          <w:lang w:val="en-GB"/>
        </w:rPr>
        <w:t>ل</w:t>
      </w:r>
      <w:r w:rsidR="003C0A90" w:rsidRPr="003C0A90">
        <w:rPr>
          <w:spacing w:val="-2"/>
          <w:rtl/>
          <w:lang w:val="en-GB"/>
        </w:rPr>
        <w:t>لحالة الكلية لمشاريع مكتب تنمية الاتصالات في أي وقت معين. بالإضافة إلى ذلك،</w:t>
      </w:r>
      <w:r w:rsidR="003C0A90" w:rsidRPr="003C0A90">
        <w:rPr>
          <w:rFonts w:hint="cs"/>
          <w:spacing w:val="-2"/>
          <w:rtl/>
        </w:rPr>
        <w:t xml:space="preserve"> </w:t>
      </w:r>
      <w:r w:rsidR="003C0A90" w:rsidRPr="003C0A90">
        <w:rPr>
          <w:rFonts w:hint="cs"/>
          <w:spacing w:val="-2"/>
          <w:rtl/>
          <w:lang w:val="en-GB"/>
        </w:rPr>
        <w:t>أُعدت</w:t>
      </w:r>
      <w:r w:rsidR="003C0A90" w:rsidRPr="003C0A90">
        <w:rPr>
          <w:spacing w:val="-2"/>
          <w:rtl/>
          <w:lang w:val="en-GB"/>
        </w:rPr>
        <w:t xml:space="preserve"> دراسات حالة للمش</w:t>
      </w:r>
      <w:r w:rsidR="003C0A90" w:rsidRPr="003C0A90">
        <w:rPr>
          <w:rFonts w:hint="cs"/>
          <w:spacing w:val="-2"/>
          <w:rtl/>
          <w:lang w:val="en-GB"/>
        </w:rPr>
        <w:t>ا</w:t>
      </w:r>
      <w:r w:rsidR="003C0A90" w:rsidRPr="003C0A90">
        <w:rPr>
          <w:spacing w:val="-2"/>
          <w:rtl/>
          <w:lang w:val="en-GB"/>
        </w:rPr>
        <w:t>ر</w:t>
      </w:r>
      <w:r w:rsidR="003C0A90" w:rsidRPr="003C0A90">
        <w:rPr>
          <w:rFonts w:hint="cs"/>
          <w:spacing w:val="-2"/>
          <w:rtl/>
          <w:lang w:val="en-GB"/>
        </w:rPr>
        <w:t>ي</w:t>
      </w:r>
      <w:r w:rsidR="003C0A90" w:rsidRPr="003C0A90">
        <w:rPr>
          <w:spacing w:val="-2"/>
          <w:rtl/>
          <w:lang w:val="en-GB"/>
        </w:rPr>
        <w:t xml:space="preserve">ع وتقارير تقييم ما بعد التنفيذ </w:t>
      </w:r>
      <w:r w:rsidR="003C0A90" w:rsidRPr="003C0A90">
        <w:rPr>
          <w:rFonts w:hint="cs"/>
          <w:spacing w:val="-2"/>
          <w:rtl/>
          <w:lang w:val="en-GB"/>
        </w:rPr>
        <w:t>وتسجيلات</w:t>
      </w:r>
      <w:r w:rsidR="003C0A90" w:rsidRPr="003C0A90">
        <w:rPr>
          <w:spacing w:val="-2"/>
          <w:rtl/>
          <w:lang w:val="en-GB"/>
        </w:rPr>
        <w:t xml:space="preserve"> فيديو للمساعدة في زيادة تبادل الخبرات والدروس المستفادة.</w:t>
      </w:r>
    </w:p>
    <w:p w14:paraId="3E34ECE0" w14:textId="77777777" w:rsidR="00B14A17" w:rsidRDefault="00B14A17" w:rsidP="00030897">
      <w:pPr>
        <w:pStyle w:val="Heading1"/>
        <w:rPr>
          <w:rtl/>
        </w:rPr>
      </w:pPr>
      <w:r>
        <w:t>2</w:t>
      </w:r>
      <w:r>
        <w:rPr>
          <w:rtl/>
        </w:rPr>
        <w:tab/>
        <w:t>التنفيذ الشامل للمشاريع</w:t>
      </w:r>
    </w:p>
    <w:p w14:paraId="1E933758" w14:textId="609B9174" w:rsidR="00AE639B" w:rsidRPr="008D364F" w:rsidRDefault="00B14A17" w:rsidP="00030897">
      <w:pPr>
        <w:rPr>
          <w:rtl/>
          <w:lang w:bidi="ar-EG"/>
        </w:rPr>
      </w:pPr>
      <w:r>
        <w:rPr>
          <w:rtl/>
          <w:lang w:bidi="ar-EG"/>
        </w:rPr>
        <w:t xml:space="preserve">قام مكتب تنمية الاتصالات منذ </w:t>
      </w:r>
      <w:r>
        <w:rPr>
          <w:lang w:bidi="ar-EG"/>
        </w:rPr>
        <w:t>2007</w:t>
      </w:r>
      <w:r>
        <w:rPr>
          <w:rtl/>
          <w:lang w:bidi="ar-EG"/>
        </w:rPr>
        <w:t xml:space="preserve"> </w:t>
      </w:r>
      <w:r>
        <w:rPr>
          <w:rFonts w:hint="cs"/>
          <w:rtl/>
          <w:lang w:bidi="ar-EG"/>
        </w:rPr>
        <w:t xml:space="preserve">بتنفيذ ما مجموعه </w:t>
      </w:r>
      <w:r w:rsidR="008A4777">
        <w:rPr>
          <w:rFonts w:hint="cs"/>
          <w:rtl/>
          <w:lang w:bidi="ar-EG"/>
        </w:rPr>
        <w:t>256</w:t>
      </w:r>
      <w:r>
        <w:rPr>
          <w:rtl/>
          <w:lang w:bidi="ar-EG"/>
        </w:rPr>
        <w:t xml:space="preserve"> مشروعاً من المشاريع الصغيرة والمتوسطة والكبيرة على المستويات الوطنية والإقليمية </w:t>
      </w:r>
      <w:proofErr w:type="spellStart"/>
      <w:r>
        <w:rPr>
          <w:rtl/>
          <w:lang w:bidi="ar-EG"/>
        </w:rPr>
        <w:t>والأقاليمية</w:t>
      </w:r>
      <w:proofErr w:type="spellEnd"/>
      <w:r>
        <w:rPr>
          <w:rtl/>
          <w:lang w:bidi="ar-EG"/>
        </w:rPr>
        <w:t xml:space="preserve"> والعالمية. واستفاد</w:t>
      </w:r>
      <w:r w:rsidR="003C0A90">
        <w:rPr>
          <w:rFonts w:hint="cs"/>
          <w:rtl/>
          <w:lang w:bidi="ar-EG"/>
        </w:rPr>
        <w:t xml:space="preserve"> منها</w:t>
      </w:r>
      <w:r>
        <w:rPr>
          <w:rtl/>
          <w:lang w:bidi="ar-EG"/>
        </w:rPr>
        <w:t xml:space="preserve"> </w:t>
      </w:r>
      <w:r w:rsidRPr="006D3454">
        <w:rPr>
          <w:rFonts w:hint="cs"/>
          <w:rtl/>
          <w:lang w:bidi="ar-EG"/>
        </w:rPr>
        <w:t xml:space="preserve">ما مجموعه </w:t>
      </w:r>
      <w:r w:rsidRPr="006D3454">
        <w:rPr>
          <w:lang w:val="fr-CH" w:bidi="ar-EG"/>
        </w:rPr>
        <w:t>150</w:t>
      </w:r>
      <w:r w:rsidRPr="006D3454">
        <w:rPr>
          <w:rtl/>
          <w:lang w:bidi="ar-EG"/>
        </w:rPr>
        <w:t xml:space="preserve"> بلداً</w:t>
      </w:r>
      <w:r>
        <w:rPr>
          <w:rtl/>
          <w:lang w:bidi="ar-EG"/>
        </w:rPr>
        <w:t xml:space="preserve"> من البلدان النامية وأقل البلدان نمواً.</w:t>
      </w:r>
    </w:p>
    <w:p w14:paraId="28E6D0EB" w14:textId="77777777" w:rsidR="00B14A17" w:rsidRDefault="00B14A17" w:rsidP="00030897">
      <w:pPr>
        <w:pStyle w:val="Heading1"/>
        <w:rPr>
          <w:rtl/>
          <w:lang w:bidi="ar-EG"/>
        </w:rPr>
      </w:pPr>
      <w:r>
        <w:t>3</w:t>
      </w:r>
      <w:r>
        <w:rPr>
          <w:rtl/>
        </w:rPr>
        <w:tab/>
        <w:t>حافظة المشاريع</w:t>
      </w:r>
    </w:p>
    <w:p w14:paraId="7DF812B8" w14:textId="14E8D7E6" w:rsidR="00B14A17" w:rsidRDefault="00B14A17" w:rsidP="00030897">
      <w:pPr>
        <w:rPr>
          <w:rtl/>
          <w:lang w:bidi="ar-EG"/>
        </w:rPr>
      </w:pPr>
      <w:r>
        <w:rPr>
          <w:rFonts w:hint="cs"/>
          <w:rtl/>
          <w:lang w:bidi="ar-EG"/>
        </w:rPr>
        <w:t>في</w:t>
      </w:r>
      <w:r w:rsidRPr="00363AA2">
        <w:rPr>
          <w:rFonts w:hint="cs"/>
          <w:rtl/>
          <w:lang w:bidi="ar-EG"/>
        </w:rPr>
        <w:t xml:space="preserve"> </w:t>
      </w:r>
      <w:r w:rsidRPr="00363AA2">
        <w:rPr>
          <w:lang w:val="fr-CH" w:bidi="ar-EG"/>
        </w:rPr>
        <w:t>31</w:t>
      </w:r>
      <w:r w:rsidRPr="00363AA2">
        <w:rPr>
          <w:rFonts w:hint="cs"/>
          <w:rtl/>
          <w:lang w:bidi="ar-EG"/>
        </w:rPr>
        <w:t xml:space="preserve"> ديسمبر </w:t>
      </w:r>
      <w:r w:rsidRPr="00363AA2">
        <w:rPr>
          <w:lang w:val="fr-CH" w:bidi="ar-EG"/>
        </w:rPr>
        <w:t>201</w:t>
      </w:r>
      <w:r w:rsidR="008A4777">
        <w:rPr>
          <w:lang w:val="fr-CH" w:bidi="ar-EG"/>
        </w:rPr>
        <w:t>9</w:t>
      </w:r>
      <w:r w:rsidRPr="00363AA2">
        <w:rPr>
          <w:rFonts w:hint="cs"/>
          <w:rtl/>
          <w:lang w:bidi="ar-EG"/>
        </w:rPr>
        <w:t xml:space="preserve">، كان هناك </w:t>
      </w:r>
      <w:r w:rsidR="008A4777">
        <w:rPr>
          <w:lang w:bidi="ar-EG"/>
        </w:rPr>
        <w:t>69</w:t>
      </w:r>
      <w:r>
        <w:rPr>
          <w:rtl/>
          <w:lang w:bidi="ar-EG"/>
        </w:rPr>
        <w:t xml:space="preserve"> مشروعاً جارياً في حافظة </w:t>
      </w:r>
      <w:r w:rsidRPr="00363AA2">
        <w:rPr>
          <w:rtl/>
          <w:lang w:bidi="ar-EG"/>
        </w:rPr>
        <w:t>مشاريع</w:t>
      </w:r>
      <w:r>
        <w:rPr>
          <w:rFonts w:hint="cs"/>
          <w:rtl/>
          <w:lang w:bidi="ar-EG"/>
        </w:rPr>
        <w:t xml:space="preserve"> الاتحاد</w:t>
      </w:r>
      <w:r w:rsidRPr="00363AA2">
        <w:rPr>
          <w:rtl/>
          <w:lang w:bidi="ar-EG"/>
        </w:rPr>
        <w:t xml:space="preserve">، </w:t>
      </w:r>
      <w:r w:rsidRPr="00BD3FFD">
        <w:rPr>
          <w:rFonts w:hint="cs"/>
          <w:rtl/>
          <w:lang w:bidi="ar-EG"/>
        </w:rPr>
        <w:t xml:space="preserve">بقيمة تبلغ </w:t>
      </w:r>
      <w:r>
        <w:rPr>
          <w:lang w:bidi="ar-EG"/>
        </w:rPr>
        <w:t>76</w:t>
      </w:r>
      <w:r w:rsidRPr="00BD3FFD">
        <w:rPr>
          <w:lang w:bidi="ar-EG"/>
        </w:rPr>
        <w:t> </w:t>
      </w:r>
      <w:r>
        <w:rPr>
          <w:lang w:bidi="ar-EG"/>
        </w:rPr>
        <w:t>504</w:t>
      </w:r>
      <w:r w:rsidRPr="00BD3FFD">
        <w:rPr>
          <w:lang w:bidi="ar-EG"/>
        </w:rPr>
        <w:t> </w:t>
      </w:r>
      <w:r>
        <w:rPr>
          <w:lang w:bidi="ar-EG"/>
        </w:rPr>
        <w:t>000</w:t>
      </w:r>
      <w:r w:rsidRPr="00E6074B">
        <w:rPr>
          <w:spacing w:val="-80"/>
          <w:rtl/>
          <w:lang w:bidi="ar-EG"/>
        </w:rPr>
        <w:t> </w:t>
      </w:r>
      <w:r w:rsidR="00E6074B">
        <w:rPr>
          <w:rStyle w:val="FootnoteReference"/>
          <w:lang w:bidi="ar-EG"/>
        </w:rPr>
        <w:footnoteReference w:id="1"/>
      </w:r>
      <w:r w:rsidR="00E6074B">
        <w:rPr>
          <w:rFonts w:hint="cs"/>
          <w:rtl/>
          <w:lang w:bidi="ar-EG"/>
        </w:rPr>
        <w:t xml:space="preserve"> </w:t>
      </w:r>
      <w:r w:rsidRPr="00BD3FFD">
        <w:rPr>
          <w:rtl/>
          <w:lang w:bidi="ar-EG"/>
        </w:rPr>
        <w:t>فرنك سويسري.</w:t>
      </w:r>
      <w:r w:rsidRPr="00BD3FFD">
        <w:rPr>
          <w:rFonts w:hint="cs"/>
          <w:rtl/>
          <w:lang w:bidi="ar-EG"/>
        </w:rPr>
        <w:t xml:space="preserve"> ويوجد </w:t>
      </w:r>
      <w:r w:rsidRPr="00BD3FFD">
        <w:rPr>
          <w:lang w:val="fr-CH" w:bidi="ar-EG"/>
        </w:rPr>
        <w:t>20</w:t>
      </w:r>
      <w:r w:rsidRPr="00BD3FFD">
        <w:rPr>
          <w:rFonts w:hint="cs"/>
          <w:rtl/>
          <w:lang w:bidi="ar-EG"/>
        </w:rPr>
        <w:t xml:space="preserve"> مشروعاً جديداً</w:t>
      </w:r>
      <w:r w:rsidRPr="00BD3FFD">
        <w:rPr>
          <w:rtl/>
          <w:lang w:bidi="ar-EG"/>
        </w:rPr>
        <w:t xml:space="preserve"> </w:t>
      </w:r>
      <w:r w:rsidRPr="00BD3FFD">
        <w:rPr>
          <w:rFonts w:hint="cs"/>
          <w:rtl/>
          <w:lang w:bidi="ar-EG"/>
        </w:rPr>
        <w:t xml:space="preserve">تم تطويرها بقيمة تبلغ </w:t>
      </w:r>
      <w:r w:rsidR="000540D7">
        <w:rPr>
          <w:lang w:val="fr-CH" w:bidi="ar-EG"/>
        </w:rPr>
        <w:t>11</w:t>
      </w:r>
      <w:r w:rsidRPr="00BD3FFD">
        <w:rPr>
          <w:rFonts w:hint="cs"/>
          <w:rtl/>
          <w:lang w:bidi="ar-EG"/>
        </w:rPr>
        <w:t xml:space="preserve"> مليون فرنك سويسري تقريبياً وتم التوقيع بشأنها في عام </w:t>
      </w:r>
      <w:r w:rsidRPr="00BD3FFD">
        <w:rPr>
          <w:lang w:val="fr-CH" w:bidi="ar-EG"/>
        </w:rPr>
        <w:t>201</w:t>
      </w:r>
      <w:r w:rsidR="000540D7">
        <w:rPr>
          <w:lang w:val="fr-CH" w:bidi="ar-EG"/>
        </w:rPr>
        <w:t>9</w:t>
      </w:r>
      <w:r w:rsidRPr="00BD3FFD">
        <w:rPr>
          <w:rFonts w:hint="cs"/>
          <w:rtl/>
          <w:lang w:val="fr-CH" w:bidi="ar-EG"/>
        </w:rPr>
        <w:t>.</w:t>
      </w:r>
    </w:p>
    <w:p w14:paraId="5CEBE492" w14:textId="77777777" w:rsidR="000540D7" w:rsidRDefault="000540D7" w:rsidP="00030897">
      <w:pPr>
        <w:pStyle w:val="Heading1"/>
        <w:rPr>
          <w:rtl/>
        </w:rPr>
      </w:pPr>
      <w:r>
        <w:t>4</w:t>
      </w:r>
      <w:r>
        <w:rPr>
          <w:rtl/>
        </w:rPr>
        <w:tab/>
        <w:t>المشاريع الجارية بحسب المناطق</w:t>
      </w:r>
    </w:p>
    <w:p w14:paraId="3655A265" w14:textId="4A71C410" w:rsidR="000540D7" w:rsidRDefault="000169A6" w:rsidP="00E6074B">
      <w:pPr>
        <w:spacing w:after="120"/>
      </w:pPr>
      <w:r w:rsidRPr="000169A6">
        <w:rPr>
          <w:rFonts w:hint="cs"/>
          <w:rtl/>
        </w:rPr>
        <w:t xml:space="preserve">جرى </w:t>
      </w:r>
      <w:r w:rsidRPr="003C0A90">
        <w:rPr>
          <w:rtl/>
        </w:rPr>
        <w:t>توزيع 69 مشروعاً جار</w:t>
      </w:r>
      <w:r w:rsidRPr="000169A6">
        <w:rPr>
          <w:rFonts w:hint="cs"/>
          <w:rtl/>
        </w:rPr>
        <w:t>ي</w:t>
      </w:r>
      <w:r w:rsidRPr="003C0A90">
        <w:rPr>
          <w:rtl/>
        </w:rPr>
        <w:t xml:space="preserve">اً في نهاية عام 2019 على النحو التالي: </w:t>
      </w:r>
      <w:r w:rsidR="00622680">
        <w:rPr>
          <w:rtl/>
        </w:rPr>
        <w:t>إفريقي</w:t>
      </w:r>
      <w:r w:rsidRPr="003C0A90">
        <w:rPr>
          <w:rtl/>
        </w:rPr>
        <w:t xml:space="preserve">ا (14) </w:t>
      </w:r>
      <w:proofErr w:type="spellStart"/>
      <w:r w:rsidRPr="003C0A90">
        <w:rPr>
          <w:rtl/>
        </w:rPr>
        <w:t>والأمريكتان</w:t>
      </w:r>
      <w:proofErr w:type="spellEnd"/>
      <w:r w:rsidRPr="003C0A90">
        <w:rPr>
          <w:rtl/>
        </w:rPr>
        <w:t xml:space="preserve"> (10) والدول العربية (14) وآسيا والمحيط الهادئ (8) وكومنولث الدول المستقلة (2) وأوروبا (1).</w:t>
      </w:r>
      <w:r>
        <w:rPr>
          <w:rFonts w:hint="cs"/>
          <w:rtl/>
        </w:rPr>
        <w:t xml:space="preserve"> </w:t>
      </w:r>
      <w:r w:rsidR="000540D7" w:rsidRPr="000540D7">
        <w:rPr>
          <w:rtl/>
          <w:lang w:bidi="ar-EG"/>
        </w:rPr>
        <w:t>وإضافةً إلى المشاريع الإقليمية</w:t>
      </w:r>
      <w:r w:rsidR="000540D7" w:rsidRPr="000540D7">
        <w:rPr>
          <w:rFonts w:hint="cs"/>
          <w:rtl/>
          <w:lang w:bidi="ar-EG"/>
        </w:rPr>
        <w:t>،</w:t>
      </w:r>
      <w:r w:rsidR="000540D7" w:rsidRPr="000540D7">
        <w:rPr>
          <w:rtl/>
          <w:lang w:bidi="ar-EG"/>
        </w:rPr>
        <w:t xml:space="preserve"> هناك </w:t>
      </w:r>
      <w:r w:rsidR="000540D7" w:rsidRPr="000540D7">
        <w:t>2</w:t>
      </w:r>
      <w:r w:rsidR="006273F9">
        <w:t>0</w:t>
      </w:r>
      <w:r w:rsidR="000540D7" w:rsidRPr="000540D7">
        <w:rPr>
          <w:rtl/>
          <w:lang w:bidi="ar-EG"/>
        </w:rPr>
        <w:t xml:space="preserve"> مشروعاً عالمياً.</w:t>
      </w:r>
    </w:p>
    <w:p w14:paraId="0E43C23B" w14:textId="206490AF" w:rsidR="000540D7" w:rsidRDefault="000540D7" w:rsidP="00030897">
      <w:pPr>
        <w:jc w:val="center"/>
        <w:rPr>
          <w:noProof/>
          <w:rtl/>
        </w:rPr>
      </w:pPr>
      <w:r w:rsidRPr="00C508A0">
        <w:rPr>
          <w:noProof/>
        </w:rPr>
        <w:t xml:space="preserve"> </w:t>
      </w:r>
      <w:r w:rsidR="000169A6">
        <w:rPr>
          <w:noProof/>
        </w:rPr>
        <w:drawing>
          <wp:inline distT="0" distB="0" distL="0" distR="0" wp14:anchorId="4D0F563A" wp14:editId="2F6D8137">
            <wp:extent cx="5848350" cy="31527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D700624" w14:textId="77777777" w:rsidR="000169A6" w:rsidRDefault="000169A6" w:rsidP="00030897">
      <w:pPr>
        <w:jc w:val="left"/>
      </w:pPr>
    </w:p>
    <w:p w14:paraId="587F01C3" w14:textId="77777777" w:rsidR="000540D7" w:rsidRDefault="000540D7" w:rsidP="00030897">
      <w:pPr>
        <w:jc w:val="center"/>
        <w:rPr>
          <w:noProof/>
        </w:rPr>
      </w:pPr>
      <w:r>
        <w:rPr>
          <w:noProof/>
        </w:rPr>
        <w:lastRenderedPageBreak/>
        <w:drawing>
          <wp:inline distT="0" distB="0" distL="0" distR="0" wp14:anchorId="4E3DBA6C" wp14:editId="6E71D96D">
            <wp:extent cx="5819775" cy="3522345"/>
            <wp:effectExtent l="0" t="0" r="9525" b="190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D7499AC" w14:textId="77777777" w:rsidR="000540D7" w:rsidRDefault="000540D7" w:rsidP="00030897">
      <w:pPr>
        <w:pStyle w:val="Heading1"/>
        <w:rPr>
          <w:rtl/>
          <w:lang w:bidi="ar-EG"/>
        </w:rPr>
      </w:pPr>
      <w:r>
        <w:t>5</w:t>
      </w:r>
      <w:r>
        <w:rPr>
          <w:rtl/>
        </w:rPr>
        <w:tab/>
        <w:t>المشاريع الجارية بحسب مجال العمل</w:t>
      </w:r>
    </w:p>
    <w:p w14:paraId="26F6C6D8" w14:textId="269546AC" w:rsidR="000540D7" w:rsidRDefault="00761E8F" w:rsidP="00030897">
      <w:pPr>
        <w:spacing w:after="240"/>
        <w:rPr>
          <w:rtl/>
        </w:rPr>
      </w:pPr>
      <w:r w:rsidRPr="003C0A90">
        <w:rPr>
          <w:rtl/>
        </w:rPr>
        <w:t xml:space="preserve">فيما يلي توزيع 69 مشروعاً </w:t>
      </w:r>
      <w:r w:rsidRPr="00761E8F">
        <w:rPr>
          <w:rFonts w:hint="cs"/>
          <w:rtl/>
        </w:rPr>
        <w:t>جارياً</w:t>
      </w:r>
      <w:r w:rsidRPr="003C0A90">
        <w:rPr>
          <w:rtl/>
        </w:rPr>
        <w:t xml:space="preserve"> حسب أولويات المواضيع</w:t>
      </w:r>
      <w:r w:rsidRPr="00761E8F">
        <w:rPr>
          <w:rFonts w:hint="cs"/>
          <w:rtl/>
        </w:rPr>
        <w:t>،</w:t>
      </w:r>
      <w:r w:rsidRPr="003C0A90">
        <w:rPr>
          <w:rtl/>
        </w:rPr>
        <w:t xml:space="preserve"> </w:t>
      </w:r>
      <w:r w:rsidRPr="00761E8F">
        <w:rPr>
          <w:rFonts w:hint="cs"/>
          <w:rtl/>
        </w:rPr>
        <w:t>وهو</w:t>
      </w:r>
      <w:r w:rsidRPr="003C0A90">
        <w:rPr>
          <w:rtl/>
        </w:rPr>
        <w:t xml:space="preserve"> </w:t>
      </w:r>
      <w:r w:rsidRPr="00761E8F">
        <w:rPr>
          <w:rFonts w:hint="cs"/>
          <w:rtl/>
        </w:rPr>
        <w:t>ي</w:t>
      </w:r>
      <w:r w:rsidRPr="003C0A90">
        <w:rPr>
          <w:rtl/>
        </w:rPr>
        <w:t xml:space="preserve">بين بوضوح أن معظم المشاريع </w:t>
      </w:r>
      <w:r w:rsidRPr="00761E8F">
        <w:rPr>
          <w:rFonts w:hint="cs"/>
          <w:rtl/>
        </w:rPr>
        <w:t>ي</w:t>
      </w:r>
      <w:r w:rsidRPr="003C0A90">
        <w:rPr>
          <w:rtl/>
        </w:rPr>
        <w:t xml:space="preserve">ندرج </w:t>
      </w:r>
      <w:r w:rsidRPr="00761E8F">
        <w:rPr>
          <w:rFonts w:hint="cs"/>
          <w:rtl/>
        </w:rPr>
        <w:t>في إطار</w:t>
      </w:r>
      <w:r w:rsidRPr="003C0A90">
        <w:rPr>
          <w:rtl/>
        </w:rPr>
        <w:t xml:space="preserve"> أولويات مواضيع</w:t>
      </w:r>
      <w:r w:rsidRPr="00761E8F">
        <w:rPr>
          <w:rtl/>
        </w:rPr>
        <w:t xml:space="preserve"> </w:t>
      </w:r>
      <w:r w:rsidRPr="00761E8F">
        <w:rPr>
          <w:rFonts w:hint="cs"/>
          <w:rtl/>
        </w:rPr>
        <w:t>ا</w:t>
      </w:r>
      <w:r w:rsidRPr="003C0A90">
        <w:rPr>
          <w:rtl/>
        </w:rPr>
        <w:t>لشبكات والبنية التحتية الرقمية</w:t>
      </w:r>
      <w:r w:rsidRPr="00761E8F">
        <w:rPr>
          <w:rFonts w:hint="cs"/>
          <w:rtl/>
        </w:rPr>
        <w:t>،</w:t>
      </w:r>
      <w:r w:rsidRPr="003C0A90">
        <w:rPr>
          <w:rtl/>
        </w:rPr>
        <w:t xml:space="preserve"> والخدمات والتطبيقات</w:t>
      </w:r>
      <w:r w:rsidRPr="00761E8F">
        <w:rPr>
          <w:rtl/>
        </w:rPr>
        <w:t xml:space="preserve"> </w:t>
      </w:r>
      <w:r w:rsidRPr="003C0A90">
        <w:rPr>
          <w:rtl/>
        </w:rPr>
        <w:t>الرقمية</w:t>
      </w:r>
      <w:r w:rsidRPr="00761E8F">
        <w:rPr>
          <w:rFonts w:hint="cs"/>
          <w:rtl/>
        </w:rPr>
        <w:t>،</w:t>
      </w:r>
      <w:r w:rsidRPr="003C0A90">
        <w:rPr>
          <w:rtl/>
        </w:rPr>
        <w:t xml:space="preserve"> وتنمية القدرات</w:t>
      </w:r>
      <w:r w:rsidR="008A4777">
        <w:rPr>
          <w:rFonts w:hint="cs"/>
          <w:rtl/>
        </w:rPr>
        <w:t>.</w:t>
      </w:r>
      <w:r w:rsidR="008A4777">
        <w:rPr>
          <w:rStyle w:val="FootnoteReference"/>
          <w:rtl/>
        </w:rPr>
        <w:footnoteReference w:id="2"/>
      </w:r>
    </w:p>
    <w:p w14:paraId="3069D188" w14:textId="669816DC" w:rsidR="000540D7" w:rsidRDefault="000540D7" w:rsidP="00E6074B">
      <w:pPr>
        <w:jc w:val="center"/>
        <w:rPr>
          <w:rtl/>
        </w:rPr>
      </w:pPr>
      <w:r>
        <w:rPr>
          <w:noProof/>
        </w:rPr>
        <w:drawing>
          <wp:inline distT="0" distB="0" distL="0" distR="0" wp14:anchorId="73B1E88F" wp14:editId="3C01325E">
            <wp:extent cx="5920740" cy="3259455"/>
            <wp:effectExtent l="0" t="0" r="3810" b="1714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626D40F" w14:textId="426C1169" w:rsidR="000540D7" w:rsidRDefault="000540D7" w:rsidP="00030897">
      <w:pPr>
        <w:pStyle w:val="Heading1"/>
        <w:rPr>
          <w:rtl/>
        </w:rPr>
      </w:pPr>
      <w:r>
        <w:lastRenderedPageBreak/>
        <w:t>6</w:t>
      </w:r>
      <w:r>
        <w:tab/>
      </w:r>
      <w:r>
        <w:rPr>
          <w:rFonts w:hint="cs"/>
          <w:rtl/>
        </w:rPr>
        <w:t xml:space="preserve">المشاريع قيد التطوير </w:t>
      </w:r>
      <w:r w:rsidR="004226F6">
        <w:rPr>
          <w:rFonts w:hint="cs"/>
          <w:rtl/>
        </w:rPr>
        <w:t>و</w:t>
      </w:r>
      <w:r>
        <w:rPr>
          <w:rFonts w:hint="cs"/>
          <w:rtl/>
        </w:rPr>
        <w:t xml:space="preserve">المقرّر </w:t>
      </w:r>
      <w:r w:rsidR="004226F6" w:rsidRPr="004226F6">
        <w:rPr>
          <w:rFonts w:hint="cs"/>
          <w:rtl/>
          <w:lang w:bidi="ar-EG"/>
        </w:rPr>
        <w:t>التوقيع عليها</w:t>
      </w:r>
    </w:p>
    <w:p w14:paraId="030DC4D5" w14:textId="1F6B483E" w:rsidR="000540D7" w:rsidRDefault="000540D7" w:rsidP="00030897">
      <w:pPr>
        <w:keepNext/>
        <w:rPr>
          <w:rtl/>
          <w:lang w:bidi="ar-EG"/>
        </w:rPr>
      </w:pPr>
      <w:r>
        <w:rPr>
          <w:rFonts w:hint="cs"/>
          <w:rtl/>
          <w:lang w:bidi="ar-EG"/>
        </w:rPr>
        <w:t>كان</w:t>
      </w:r>
      <w:r w:rsidR="009C60BB">
        <w:rPr>
          <w:rFonts w:hint="cs"/>
          <w:rtl/>
          <w:lang w:bidi="ar-EG"/>
        </w:rPr>
        <w:t>ت</w:t>
      </w:r>
      <w:r>
        <w:rPr>
          <w:rFonts w:hint="cs"/>
          <w:rtl/>
          <w:lang w:bidi="ar-EG"/>
        </w:rPr>
        <w:t xml:space="preserve"> هناك </w:t>
      </w:r>
      <w:r w:rsidR="009C60BB">
        <w:rPr>
          <w:rFonts w:hint="cs"/>
          <w:rtl/>
          <w:lang w:bidi="ar-EG"/>
        </w:rPr>
        <w:t xml:space="preserve">بضعة </w:t>
      </w:r>
      <w:r>
        <w:rPr>
          <w:rFonts w:hint="cs"/>
          <w:rtl/>
          <w:lang w:bidi="ar-EG"/>
        </w:rPr>
        <w:t xml:space="preserve">مشاريع قيد التطوير </w:t>
      </w:r>
      <w:r w:rsidR="00150F82">
        <w:rPr>
          <w:rFonts w:hint="cs"/>
          <w:rtl/>
          <w:lang w:bidi="ar-EG"/>
        </w:rPr>
        <w:t>ويُ</w:t>
      </w:r>
      <w:r>
        <w:rPr>
          <w:rFonts w:hint="cs"/>
          <w:rtl/>
          <w:lang w:bidi="ar-EG"/>
        </w:rPr>
        <w:t xml:space="preserve">توقع </w:t>
      </w:r>
      <w:r w:rsidR="00150F82">
        <w:rPr>
          <w:rFonts w:hint="cs"/>
          <w:rtl/>
          <w:lang w:bidi="ar-EG"/>
        </w:rPr>
        <w:t xml:space="preserve">التوقيع عليها </w:t>
      </w:r>
      <w:r>
        <w:rPr>
          <w:rFonts w:hint="cs"/>
          <w:rtl/>
          <w:lang w:bidi="ar-EG"/>
        </w:rPr>
        <w:t xml:space="preserve">في </w:t>
      </w:r>
      <w:r w:rsidR="006923F9">
        <w:rPr>
          <w:rFonts w:hint="cs"/>
          <w:rtl/>
          <w:lang w:bidi="ar-EG"/>
        </w:rPr>
        <w:t>الربع</w:t>
      </w:r>
      <w:r>
        <w:rPr>
          <w:rFonts w:hint="cs"/>
          <w:rtl/>
          <w:lang w:bidi="ar-EG"/>
        </w:rPr>
        <w:t xml:space="preserve"> </w:t>
      </w:r>
      <w:r w:rsidR="00150F82">
        <w:rPr>
          <w:rFonts w:hint="cs"/>
          <w:rtl/>
          <w:lang w:bidi="ar-EG"/>
        </w:rPr>
        <w:t>الثاني</w:t>
      </w:r>
      <w:r>
        <w:rPr>
          <w:rFonts w:hint="cs"/>
          <w:rtl/>
          <w:lang w:bidi="ar-EG"/>
        </w:rPr>
        <w:t xml:space="preserve"> من عام </w:t>
      </w:r>
      <w:r w:rsidR="00150F82">
        <w:rPr>
          <w:rFonts w:hint="cs"/>
          <w:rtl/>
          <w:lang w:val="fr-CH" w:bidi="ar-EG"/>
        </w:rPr>
        <w:t>2020</w:t>
      </w:r>
      <w:r>
        <w:rPr>
          <w:rFonts w:hint="cs"/>
          <w:rtl/>
          <w:lang w:bidi="ar-EG"/>
        </w:rPr>
        <w:t>، من قبيل:</w:t>
      </w:r>
    </w:p>
    <w:p w14:paraId="6705ABB7" w14:textId="79A87F46" w:rsidR="000540D7" w:rsidRDefault="000540D7" w:rsidP="00030897">
      <w:pPr>
        <w:pStyle w:val="enumlev1"/>
        <w:rPr>
          <w:rtl/>
          <w:lang w:bidi="ar-EG"/>
        </w:rPr>
      </w:pPr>
      <w:r>
        <w:t>1</w:t>
      </w:r>
      <w:r>
        <w:rPr>
          <w:rtl/>
        </w:rPr>
        <w:tab/>
      </w:r>
      <w:r>
        <w:rPr>
          <w:rFonts w:hint="cs"/>
          <w:rtl/>
        </w:rPr>
        <w:t>تحديث الإطار التنظيمي في مجال الاتصالات في جمهورية بنما</w:t>
      </w:r>
      <w:r>
        <w:rPr>
          <w:rFonts w:hint="cs"/>
          <w:rtl/>
          <w:lang w:bidi="ar-EG"/>
        </w:rPr>
        <w:t>.</w:t>
      </w:r>
    </w:p>
    <w:p w14:paraId="5F9978A7" w14:textId="4B825312" w:rsidR="000540D7" w:rsidRDefault="000540D7" w:rsidP="00030897">
      <w:pPr>
        <w:pStyle w:val="enumlev1"/>
        <w:rPr>
          <w:rtl/>
        </w:rPr>
      </w:pPr>
      <w:r>
        <w:t>2</w:t>
      </w:r>
      <w:r>
        <w:rPr>
          <w:rtl/>
        </w:rPr>
        <w:tab/>
      </w:r>
      <w:r w:rsidR="00150F82" w:rsidRPr="003C0A90">
        <w:rPr>
          <w:rtl/>
          <w:lang w:bidi="ar-SA"/>
        </w:rPr>
        <w:t xml:space="preserve">مشورة متخصصة لتقييم نطاقي 700 </w:t>
      </w:r>
      <w:r w:rsidR="00150F82" w:rsidRPr="003C0A90">
        <w:t>MHz</w:t>
      </w:r>
      <w:r w:rsidR="00150F82" w:rsidRPr="003C0A90">
        <w:rPr>
          <w:rtl/>
          <w:lang w:bidi="ar-SA"/>
        </w:rPr>
        <w:t xml:space="preserve"> و</w:t>
      </w:r>
      <w:r w:rsidR="00150F82" w:rsidRPr="003C0A90">
        <w:t>GHz</w:t>
      </w:r>
      <w:r w:rsidR="00030897">
        <w:t xml:space="preserve"> 2,5</w:t>
      </w:r>
      <w:r w:rsidR="00150F82" w:rsidRPr="003C0A90">
        <w:rPr>
          <w:rtl/>
          <w:lang w:bidi="ar-SA"/>
        </w:rPr>
        <w:t xml:space="preserve"> للخدمة المتنقلة المتقدمة في عملية تخصيصهما أو تجديد </w:t>
      </w:r>
      <w:r w:rsidR="00150F82" w:rsidRPr="00150F82">
        <w:rPr>
          <w:rFonts w:hint="cs"/>
          <w:rtl/>
          <w:lang w:bidi="ar-SA"/>
        </w:rPr>
        <w:t>الحقوق</w:t>
      </w:r>
      <w:r w:rsidR="00150F82" w:rsidRPr="003C0A90">
        <w:rPr>
          <w:rtl/>
          <w:lang w:bidi="ar-SA"/>
        </w:rPr>
        <w:t xml:space="preserve"> المؤهلة</w:t>
      </w:r>
      <w:r w:rsidR="00150F82" w:rsidRPr="00150F82">
        <w:rPr>
          <w:rFonts w:hint="cs"/>
          <w:rtl/>
          <w:lang w:bidi="ar-SA"/>
        </w:rPr>
        <w:t xml:space="preserve"> باستخدامهما</w:t>
      </w:r>
      <w:r w:rsidR="00150F82" w:rsidRPr="003C0A90">
        <w:rPr>
          <w:rtl/>
          <w:lang w:bidi="ar-SA"/>
        </w:rPr>
        <w:t xml:space="preserve"> في الإكوادور.</w:t>
      </w:r>
    </w:p>
    <w:p w14:paraId="1DB67690" w14:textId="4056C4FD" w:rsidR="000540D7" w:rsidRDefault="000540D7" w:rsidP="00030897">
      <w:pPr>
        <w:pStyle w:val="enumlev1"/>
        <w:rPr>
          <w:rtl/>
        </w:rPr>
      </w:pPr>
      <w:r>
        <w:t>3</w:t>
      </w:r>
      <w:r>
        <w:rPr>
          <w:rtl/>
        </w:rPr>
        <w:tab/>
      </w:r>
      <w:r w:rsidR="00150F82" w:rsidRPr="003C0A90">
        <w:rPr>
          <w:rtl/>
          <w:lang w:bidi="ar-SA"/>
        </w:rPr>
        <w:t xml:space="preserve">تقديم المشورة والدعم للإدارات في استخدام ترددات </w:t>
      </w:r>
      <w:r w:rsidR="00150F82" w:rsidRPr="00150F82">
        <w:rPr>
          <w:rFonts w:hint="cs"/>
          <w:rtl/>
          <w:lang w:bidi="ar-SA"/>
        </w:rPr>
        <w:t>الفائض</w:t>
      </w:r>
      <w:r w:rsidR="00150F82" w:rsidRPr="003C0A90">
        <w:rPr>
          <w:rtl/>
          <w:lang w:bidi="ar-SA"/>
        </w:rPr>
        <w:t xml:space="preserve"> الرقمي وإدارة الطيف.</w:t>
      </w:r>
    </w:p>
    <w:p w14:paraId="7BEF2842" w14:textId="7C1D572C" w:rsidR="000540D7" w:rsidRDefault="000540D7" w:rsidP="00030897">
      <w:pPr>
        <w:pStyle w:val="enumlev1"/>
        <w:rPr>
          <w:rtl/>
        </w:rPr>
      </w:pPr>
      <w:r>
        <w:t>4</w:t>
      </w:r>
      <w:r>
        <w:rPr>
          <w:rtl/>
        </w:rPr>
        <w:tab/>
      </w:r>
      <w:r w:rsidR="00530E15" w:rsidRPr="00530E15">
        <w:rPr>
          <w:rtl/>
          <w:lang w:bidi="ar-EG"/>
        </w:rPr>
        <w:t>نشر البنية التحتية للنطاق العريض، ولا سيما في المناطق الريفية والمناطق المهملة، وتعزيز</w:t>
      </w:r>
      <w:r w:rsidR="00530E15" w:rsidRPr="00530E15">
        <w:rPr>
          <w:rFonts w:hint="cs"/>
          <w:rtl/>
          <w:lang w:bidi="ar-EG"/>
        </w:rPr>
        <w:t> </w:t>
      </w:r>
      <w:r w:rsidR="00530E15" w:rsidRPr="00530E15">
        <w:rPr>
          <w:rtl/>
          <w:lang w:bidi="ar-EG"/>
        </w:rPr>
        <w:t>النفاذ العريض النطاق إلى الخدمات والتطبيقات</w:t>
      </w:r>
      <w:r w:rsidR="00D240C8">
        <w:rPr>
          <w:rFonts w:hint="cs"/>
          <w:rtl/>
          <w:lang w:bidi="ar-EG"/>
        </w:rPr>
        <w:t>.</w:t>
      </w:r>
    </w:p>
    <w:p w14:paraId="20E863CA" w14:textId="7497FEF0" w:rsidR="000540D7" w:rsidRDefault="000540D7" w:rsidP="00030897">
      <w:pPr>
        <w:pStyle w:val="enumlev1"/>
        <w:rPr>
          <w:rtl/>
        </w:rPr>
      </w:pPr>
      <w:r>
        <w:t>5</w:t>
      </w:r>
      <w:r>
        <w:rPr>
          <w:rtl/>
        </w:rPr>
        <w:tab/>
      </w:r>
      <w:r w:rsidR="00D240C8" w:rsidRPr="00D240C8">
        <w:rPr>
          <w:rFonts w:hint="cs"/>
          <w:rtl/>
          <w:lang w:bidi="ar-SA"/>
        </w:rPr>
        <w:t>ال</w:t>
      </w:r>
      <w:r w:rsidR="00D240C8" w:rsidRPr="003C0A90">
        <w:rPr>
          <w:rtl/>
          <w:lang w:bidi="ar-SA"/>
        </w:rPr>
        <w:t xml:space="preserve">قياس </w:t>
      </w:r>
      <w:r w:rsidR="00D240C8" w:rsidRPr="00D240C8">
        <w:rPr>
          <w:rFonts w:hint="cs"/>
          <w:rtl/>
          <w:lang w:bidi="ar-SA"/>
        </w:rPr>
        <w:t>المقارن ل</w:t>
      </w:r>
      <w:r w:rsidR="00D240C8" w:rsidRPr="003C0A90">
        <w:rPr>
          <w:rtl/>
          <w:lang w:bidi="ar-SA"/>
        </w:rPr>
        <w:t xml:space="preserve">تكنولوجيا المعلومات والاتصالات في منطقة وسط </w:t>
      </w:r>
      <w:r w:rsidR="00622680">
        <w:rPr>
          <w:rtl/>
          <w:lang w:bidi="ar-SA"/>
        </w:rPr>
        <w:t>إفريقي</w:t>
      </w:r>
      <w:r w:rsidR="00D240C8" w:rsidRPr="003C0A90">
        <w:rPr>
          <w:rtl/>
          <w:lang w:bidi="ar-SA"/>
        </w:rPr>
        <w:t>ا الفرعية.</w:t>
      </w:r>
    </w:p>
    <w:p w14:paraId="0E4900F2" w14:textId="04D3726C" w:rsidR="000540D7" w:rsidRDefault="000540D7" w:rsidP="00030897">
      <w:pPr>
        <w:pStyle w:val="enumlev1"/>
        <w:rPr>
          <w:rtl/>
        </w:rPr>
      </w:pPr>
      <w:r>
        <w:t>6</w:t>
      </w:r>
      <w:r>
        <w:rPr>
          <w:rtl/>
        </w:rPr>
        <w:tab/>
      </w:r>
      <w:r w:rsidR="00D240C8" w:rsidRPr="003C0A90">
        <w:rPr>
          <w:rtl/>
          <w:lang w:bidi="ar-SA"/>
        </w:rPr>
        <w:t>زيادة فرص العمل اللائق وتعزيز مهارات الشباب في الاقتصاد الرقمي ل</w:t>
      </w:r>
      <w:r w:rsidR="00622680">
        <w:rPr>
          <w:rtl/>
          <w:lang w:bidi="ar-SA"/>
        </w:rPr>
        <w:t>إفريقي</w:t>
      </w:r>
      <w:r w:rsidR="00D240C8" w:rsidRPr="003C0A90">
        <w:rPr>
          <w:rtl/>
          <w:lang w:bidi="ar-SA"/>
        </w:rPr>
        <w:t>ا.</w:t>
      </w:r>
    </w:p>
    <w:p w14:paraId="21B5FF1C" w14:textId="649FF2D9" w:rsidR="000540D7" w:rsidRDefault="000540D7" w:rsidP="00030897">
      <w:pPr>
        <w:pStyle w:val="enumlev1"/>
        <w:rPr>
          <w:rtl/>
        </w:rPr>
      </w:pPr>
      <w:r>
        <w:t>7</w:t>
      </w:r>
      <w:r>
        <w:rPr>
          <w:rtl/>
        </w:rPr>
        <w:tab/>
      </w:r>
      <w:r w:rsidR="00D240C8" w:rsidRPr="003C0A90">
        <w:rPr>
          <w:rtl/>
          <w:lang w:bidi="ar-SA"/>
        </w:rPr>
        <w:t xml:space="preserve">الكشف التلقائي عن اعتلال الشبكية </w:t>
      </w:r>
      <w:r w:rsidR="006923F9">
        <w:rPr>
          <w:rFonts w:hint="cs"/>
          <w:rtl/>
          <w:lang w:bidi="ar-SA"/>
        </w:rPr>
        <w:t xml:space="preserve">الناجم عن داء </w:t>
      </w:r>
      <w:r w:rsidR="00D240C8" w:rsidRPr="003C0A90">
        <w:rPr>
          <w:rtl/>
          <w:lang w:bidi="ar-SA"/>
        </w:rPr>
        <w:t>السكري في السنغال.</w:t>
      </w:r>
    </w:p>
    <w:p w14:paraId="5E089BAE" w14:textId="36CBE697" w:rsidR="000540D7" w:rsidRDefault="000540D7" w:rsidP="00030897">
      <w:pPr>
        <w:pStyle w:val="enumlev1"/>
        <w:rPr>
          <w:rtl/>
        </w:rPr>
      </w:pPr>
      <w:r w:rsidRPr="00D229FE">
        <w:t>8</w:t>
      </w:r>
      <w:r w:rsidRPr="00D229FE">
        <w:rPr>
          <w:rtl/>
        </w:rPr>
        <w:tab/>
      </w:r>
      <w:r w:rsidR="006923F9" w:rsidRPr="003C0A90">
        <w:rPr>
          <w:rtl/>
          <w:lang w:bidi="ar-SA"/>
        </w:rPr>
        <w:t>دعم المبادرات الإقليمية لآسيا والمحيط الهادئ.</w:t>
      </w:r>
    </w:p>
    <w:p w14:paraId="0CDC891A" w14:textId="2D101F62" w:rsidR="000540D7" w:rsidRDefault="000540D7" w:rsidP="00030897">
      <w:pPr>
        <w:pStyle w:val="enumlev1"/>
        <w:jc w:val="left"/>
        <w:rPr>
          <w:rtl/>
        </w:rPr>
      </w:pPr>
      <w:r>
        <w:t>9</w:t>
      </w:r>
      <w:r w:rsidRPr="00D229FE">
        <w:rPr>
          <w:rtl/>
        </w:rPr>
        <w:tab/>
      </w:r>
      <w:r w:rsidR="00530E15" w:rsidRPr="00530E15">
        <w:rPr>
          <w:rFonts w:hint="cs"/>
          <w:rtl/>
          <w:lang w:bidi="ar-EG"/>
        </w:rPr>
        <w:t xml:space="preserve">المركز الدولي لبحث وتطوير واختبار المعدات والتكنولوجيات والخدمات الجديدة </w:t>
      </w:r>
      <w:r w:rsidR="00530E15" w:rsidRPr="00530E15">
        <w:rPr>
          <w:lang w:val="es-ES"/>
        </w:rPr>
        <w:t>(IRDTC)</w:t>
      </w:r>
      <w:r w:rsidR="006923F9">
        <w:rPr>
          <w:rFonts w:hint="cs"/>
          <w:rtl/>
          <w:lang w:val="es-ES"/>
        </w:rPr>
        <w:t>،</w:t>
      </w:r>
      <w:r w:rsidR="00530E15" w:rsidRPr="00530E15">
        <w:rPr>
          <w:rFonts w:hint="cs"/>
          <w:rtl/>
          <w:lang w:bidi="ar-EG"/>
        </w:rPr>
        <w:t xml:space="preserve"> المرحلة </w:t>
      </w:r>
      <w:r w:rsidR="006923F9">
        <w:rPr>
          <w:rFonts w:hint="cs"/>
          <w:rtl/>
          <w:lang w:val="es-ES"/>
        </w:rPr>
        <w:t xml:space="preserve">2 </w:t>
      </w:r>
      <w:r w:rsidR="006923F9">
        <w:rPr>
          <w:rtl/>
          <w:lang w:val="es-ES"/>
        </w:rPr>
        <w:t>–</w:t>
      </w:r>
      <w:r w:rsidR="006923F9">
        <w:rPr>
          <w:rFonts w:hint="cs"/>
          <w:rtl/>
          <w:lang w:val="es-ES"/>
        </w:rPr>
        <w:t xml:space="preserve"> في </w:t>
      </w:r>
      <w:r w:rsidR="006923F9" w:rsidRPr="006923F9">
        <w:rPr>
          <w:rtl/>
          <w:lang w:val="es-ES" w:bidi="ar-SA"/>
        </w:rPr>
        <w:t>منطقة كومنولث الدول المستقلة </w:t>
      </w:r>
      <w:r w:rsidR="006923F9" w:rsidRPr="006923F9">
        <w:t>(CIS)</w:t>
      </w:r>
      <w:r w:rsidR="006923F9" w:rsidRPr="006923F9">
        <w:rPr>
          <w:rtl/>
          <w:lang w:val="es-ES" w:bidi="ar-SA"/>
        </w:rPr>
        <w:t>،</w:t>
      </w:r>
    </w:p>
    <w:p w14:paraId="03845DA0" w14:textId="18C6A15E" w:rsidR="000540D7" w:rsidRDefault="000540D7" w:rsidP="00030897">
      <w:pPr>
        <w:pStyle w:val="enumlev1"/>
        <w:rPr>
          <w:rtl/>
        </w:rPr>
      </w:pPr>
      <w:r>
        <w:t>10</w:t>
      </w:r>
      <w:r w:rsidRPr="00D229FE">
        <w:rPr>
          <w:rtl/>
        </w:rPr>
        <w:tab/>
      </w:r>
      <w:r w:rsidR="006923F9" w:rsidRPr="003C0A90">
        <w:rPr>
          <w:rtl/>
          <w:lang w:bidi="ar-SA"/>
        </w:rPr>
        <w:t>إنشاء "مختبر الذكاء الاصطناعي والروبوتات" في أوزبكستان.</w:t>
      </w:r>
    </w:p>
    <w:p w14:paraId="080878ED" w14:textId="650BECB7" w:rsidR="000540D7" w:rsidRDefault="000540D7" w:rsidP="00030897">
      <w:pPr>
        <w:pStyle w:val="enumlev1"/>
        <w:rPr>
          <w:rtl/>
        </w:rPr>
      </w:pPr>
      <w:r>
        <w:t>11</w:t>
      </w:r>
      <w:r w:rsidRPr="00D229FE">
        <w:rPr>
          <w:rtl/>
        </w:rPr>
        <w:tab/>
      </w:r>
      <w:r w:rsidR="006923F9" w:rsidRPr="006923F9">
        <w:rPr>
          <w:rFonts w:hint="cs"/>
          <w:rtl/>
          <w:lang w:bidi="ar-SA"/>
        </w:rPr>
        <w:t>أ</w:t>
      </w:r>
      <w:r w:rsidR="006923F9" w:rsidRPr="003C0A90">
        <w:rPr>
          <w:rtl/>
          <w:lang w:bidi="ar-SA"/>
        </w:rPr>
        <w:t>نظم</w:t>
      </w:r>
      <w:r w:rsidR="006923F9" w:rsidRPr="006923F9">
        <w:rPr>
          <w:rFonts w:hint="cs"/>
          <w:rtl/>
          <w:lang w:bidi="ar-SA"/>
        </w:rPr>
        <w:t>ة</w:t>
      </w:r>
      <w:r w:rsidR="006923F9" w:rsidRPr="003C0A90">
        <w:rPr>
          <w:rtl/>
          <w:lang w:bidi="ar-SA"/>
        </w:rPr>
        <w:t xml:space="preserve"> رسم الخرائط في النطاق العريض لجنوب شرق أوروبا.</w:t>
      </w:r>
    </w:p>
    <w:p w14:paraId="2D2AF1F3" w14:textId="6538D4A1" w:rsidR="000540D7" w:rsidRDefault="000540D7" w:rsidP="00030897">
      <w:pPr>
        <w:pStyle w:val="enumlev1"/>
        <w:rPr>
          <w:rtl/>
          <w:lang w:bidi="ar-EG"/>
        </w:rPr>
      </w:pPr>
      <w:r>
        <w:t>12</w:t>
      </w:r>
      <w:r>
        <w:tab/>
      </w:r>
      <w:r w:rsidR="006923F9" w:rsidRPr="003C0A90">
        <w:rPr>
          <w:rtl/>
          <w:lang w:bidi="ar-SA"/>
        </w:rPr>
        <w:t>حماية الطفل على</w:t>
      </w:r>
      <w:r w:rsidR="006923F9" w:rsidRPr="006923F9">
        <w:rPr>
          <w:rFonts w:hint="cs"/>
          <w:rtl/>
          <w:lang w:bidi="ar-SA"/>
        </w:rPr>
        <w:t xml:space="preserve"> شبكة</w:t>
      </w:r>
      <w:r w:rsidR="006923F9" w:rsidRPr="003C0A90">
        <w:rPr>
          <w:rtl/>
          <w:lang w:bidi="ar-SA"/>
        </w:rPr>
        <w:t xml:space="preserve"> الإنترنت في آسيا والمحيط الهادئ.</w:t>
      </w:r>
    </w:p>
    <w:p w14:paraId="43745770" w14:textId="3C667409" w:rsidR="000540D7" w:rsidRDefault="000540D7" w:rsidP="00E6074B">
      <w:pPr>
        <w:pStyle w:val="enumlev1"/>
        <w:spacing w:after="240"/>
        <w:rPr>
          <w:rtl/>
          <w:lang w:bidi="ar-SA"/>
        </w:rPr>
      </w:pPr>
      <w:r>
        <w:t>13</w:t>
      </w:r>
      <w:r>
        <w:tab/>
      </w:r>
      <w:r w:rsidR="006923F9" w:rsidRPr="003C0A90">
        <w:rPr>
          <w:rtl/>
          <w:lang w:bidi="ar-SA"/>
        </w:rPr>
        <w:t>تعزيز النظام ال</w:t>
      </w:r>
      <w:r w:rsidR="006923F9" w:rsidRPr="006923F9">
        <w:rPr>
          <w:rtl/>
          <w:lang w:bidi="ar-SA"/>
        </w:rPr>
        <w:t>بيئي</w:t>
      </w:r>
      <w:r w:rsidR="006923F9" w:rsidRPr="003C0A90">
        <w:rPr>
          <w:rtl/>
          <w:lang w:bidi="ar-SA"/>
        </w:rPr>
        <w:t xml:space="preserve"> الرقمي والمهارات الرقمية من أجل التمكين الاقتصادي للمرأة في أقل البلدان نمواً.</w:t>
      </w:r>
    </w:p>
    <w:p w14:paraId="417E61D3" w14:textId="45679C25" w:rsidR="00E6074B" w:rsidRDefault="00E6074B" w:rsidP="00E6074B">
      <w:pPr>
        <w:pStyle w:val="enumlev1"/>
        <w:jc w:val="center"/>
        <w:rPr>
          <w:rtl/>
        </w:rPr>
      </w:pPr>
      <w:r w:rsidRPr="00CD134F">
        <w:rPr>
          <w:noProof/>
        </w:rPr>
        <w:drawing>
          <wp:inline distT="0" distB="0" distL="0" distR="0" wp14:anchorId="32DDFE53" wp14:editId="097B8689">
            <wp:extent cx="5219065" cy="3331210"/>
            <wp:effectExtent l="0" t="0" r="635" b="254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B7C18A3" w14:textId="21C8F9CA" w:rsidR="00030897" w:rsidRDefault="00030897" w:rsidP="00030897">
      <w:pPr>
        <w:tabs>
          <w:tab w:val="clear" w:pos="794"/>
        </w:tabs>
        <w:spacing w:before="0" w:after="160" w:line="259" w:lineRule="auto"/>
        <w:jc w:val="left"/>
        <w:rPr>
          <w:rtl/>
          <w:lang w:bidi="ar-SY"/>
        </w:rPr>
      </w:pPr>
      <w:r>
        <w:rPr>
          <w:rtl/>
        </w:rPr>
        <w:br w:type="page"/>
      </w:r>
    </w:p>
    <w:p w14:paraId="0B493922" w14:textId="126A5556" w:rsidR="000540D7" w:rsidRDefault="000540D7" w:rsidP="00030897">
      <w:pPr>
        <w:pStyle w:val="Heading1"/>
        <w:rPr>
          <w:rtl/>
        </w:rPr>
      </w:pPr>
      <w:r>
        <w:lastRenderedPageBreak/>
        <w:t>7</w:t>
      </w:r>
      <w:r>
        <w:rPr>
          <w:rtl/>
        </w:rPr>
        <w:tab/>
        <w:t>مصادر تمويل المشاريع</w:t>
      </w:r>
    </w:p>
    <w:p w14:paraId="22E44966" w14:textId="77777777" w:rsidR="00E4461C" w:rsidRDefault="00E4461C" w:rsidP="00030897">
      <w:pPr>
        <w:rPr>
          <w:rtl/>
          <w:lang w:bidi="ar-EG"/>
        </w:rPr>
      </w:pPr>
      <w:r>
        <w:rPr>
          <w:rtl/>
          <w:lang w:bidi="ar-EG"/>
        </w:rPr>
        <w:t xml:space="preserve">تُموّل مشاريع الاتحاد في معظمها من موارد من خارج الميزانية. وللمشاريع أربعة أنواع من مصادر التمويل: الصناديق </w:t>
      </w:r>
      <w:proofErr w:type="spellStart"/>
      <w:r>
        <w:rPr>
          <w:rtl/>
          <w:lang w:bidi="ar-EG"/>
        </w:rPr>
        <w:t>الاستئمانية</w:t>
      </w:r>
      <w:proofErr w:type="spellEnd"/>
      <w:r>
        <w:rPr>
          <w:rtl/>
          <w:lang w:bidi="ar-EG"/>
        </w:rPr>
        <w:t> </w:t>
      </w:r>
      <w:r>
        <w:rPr>
          <w:lang w:bidi="ar-EG"/>
        </w:rPr>
        <w:t>(FIT)</w:t>
      </w:r>
      <w:r>
        <w:rPr>
          <w:rtl/>
          <w:lang w:bidi="ar-EG"/>
        </w:rPr>
        <w:t xml:space="preserve"> وصندوق تنمية تكنولوجيا المعلومات والاتصالات </w:t>
      </w:r>
      <w:r>
        <w:rPr>
          <w:lang w:bidi="ar-EG"/>
        </w:rPr>
        <w:t>(ICTDF)</w:t>
      </w:r>
      <w:r>
        <w:rPr>
          <w:rtl/>
          <w:lang w:bidi="ar-EG"/>
        </w:rPr>
        <w:t xml:space="preserve"> والمساهمات الطوعية </w:t>
      </w:r>
      <w:r w:rsidRPr="00C22453">
        <w:rPr>
          <w:rtl/>
          <w:lang w:bidi="ar-EG"/>
        </w:rPr>
        <w:t>والميزانية العادية</w:t>
      </w:r>
      <w:r>
        <w:rPr>
          <w:rFonts w:hint="cs"/>
          <w:rtl/>
          <w:lang w:bidi="ar-EG"/>
        </w:rPr>
        <w:t xml:space="preserve"> للاتحاد</w:t>
      </w:r>
      <w:r>
        <w:rPr>
          <w:rtl/>
          <w:lang w:bidi="ar-EG"/>
        </w:rPr>
        <w:t>. ومعظم المشاريع لديها ما لا يقل عن مصدرَيْن من مصادر التمويل.</w:t>
      </w:r>
    </w:p>
    <w:p w14:paraId="2AE08C2C" w14:textId="39092A7B" w:rsidR="00E4461C" w:rsidRPr="00723910" w:rsidRDefault="00E4461C" w:rsidP="00030897">
      <w:pPr>
        <w:rPr>
          <w:rtl/>
          <w:lang w:bidi="ar-EG"/>
        </w:rPr>
      </w:pPr>
      <w:r w:rsidRPr="00D8349B">
        <w:rPr>
          <w:rtl/>
          <w:lang w:bidi="ar-EG"/>
        </w:rPr>
        <w:t xml:space="preserve">واستناداً إلى الميزانية الجارية </w:t>
      </w:r>
      <w:r w:rsidRPr="00D8349B">
        <w:rPr>
          <w:rFonts w:hint="cs"/>
          <w:rtl/>
          <w:lang w:bidi="ar-EG"/>
        </w:rPr>
        <w:t xml:space="preserve">في </w:t>
      </w:r>
      <w:r w:rsidRPr="00D8349B">
        <w:rPr>
          <w:lang w:val="fr-CH" w:bidi="ar-EG"/>
        </w:rPr>
        <w:t>3</w:t>
      </w:r>
      <w:r>
        <w:rPr>
          <w:lang w:val="fr-CH" w:bidi="ar-EG"/>
        </w:rPr>
        <w:t>0</w:t>
      </w:r>
      <w:r w:rsidRPr="00D8349B">
        <w:rPr>
          <w:rFonts w:hint="cs"/>
          <w:rtl/>
          <w:lang w:bidi="ar-EG"/>
        </w:rPr>
        <w:t xml:space="preserve"> </w:t>
      </w:r>
      <w:r>
        <w:rPr>
          <w:rFonts w:hint="cs"/>
          <w:rtl/>
          <w:lang w:bidi="ar-EG"/>
        </w:rPr>
        <w:t>سبتمبر</w:t>
      </w:r>
      <w:r w:rsidRPr="00D8349B">
        <w:rPr>
          <w:rFonts w:hint="cs"/>
          <w:rtl/>
          <w:lang w:bidi="ar-EG"/>
        </w:rPr>
        <w:t xml:space="preserve"> </w:t>
      </w:r>
      <w:r w:rsidRPr="00D8349B">
        <w:rPr>
          <w:lang w:val="fr-CH" w:bidi="ar-EG"/>
        </w:rPr>
        <w:t>201</w:t>
      </w:r>
      <w:r>
        <w:rPr>
          <w:lang w:val="fr-CH" w:bidi="ar-EG"/>
        </w:rPr>
        <w:t>9</w:t>
      </w:r>
      <w:r w:rsidRPr="00D8349B">
        <w:rPr>
          <w:rtl/>
          <w:lang w:bidi="ar-EG"/>
        </w:rPr>
        <w:t xml:space="preserve">، تقابل نسبة </w:t>
      </w:r>
      <w:r w:rsidRPr="00D8349B">
        <w:rPr>
          <w:lang w:bidi="ar-EG"/>
        </w:rPr>
        <w:t>%8</w:t>
      </w:r>
      <w:r>
        <w:rPr>
          <w:lang w:bidi="ar-EG"/>
        </w:rPr>
        <w:t>7</w:t>
      </w:r>
      <w:r w:rsidRPr="00D8349B">
        <w:rPr>
          <w:rtl/>
          <w:lang w:bidi="ar-EG"/>
        </w:rPr>
        <w:t xml:space="preserve"> الصناديق </w:t>
      </w:r>
      <w:proofErr w:type="spellStart"/>
      <w:r w:rsidRPr="00D8349B">
        <w:rPr>
          <w:rtl/>
          <w:lang w:bidi="ar-EG"/>
        </w:rPr>
        <w:t>الاستئمانية</w:t>
      </w:r>
      <w:proofErr w:type="spellEnd"/>
      <w:r w:rsidRPr="00D8349B">
        <w:rPr>
          <w:rtl/>
          <w:lang w:bidi="ar-EG"/>
        </w:rPr>
        <w:t xml:space="preserve"> و</w:t>
      </w:r>
      <w:r w:rsidRPr="00D8349B">
        <w:rPr>
          <w:lang w:bidi="ar-EG"/>
        </w:rPr>
        <w:t>%9</w:t>
      </w:r>
      <w:r w:rsidRPr="00D8349B">
        <w:rPr>
          <w:rtl/>
          <w:lang w:bidi="ar-EG"/>
        </w:rPr>
        <w:t xml:space="preserve"> صندوق تنمية تكنولوجيا المعلومات والاتصالات و</w:t>
      </w:r>
      <w:r w:rsidRPr="00D8349B">
        <w:rPr>
          <w:lang w:bidi="ar-EG"/>
        </w:rPr>
        <w:t>%</w:t>
      </w:r>
      <w:r w:rsidR="00B40059">
        <w:rPr>
          <w:lang w:bidi="ar-EG"/>
        </w:rPr>
        <w:t>4</w:t>
      </w:r>
      <w:r w:rsidRPr="00D8349B">
        <w:rPr>
          <w:rtl/>
          <w:lang w:bidi="ar-EG"/>
        </w:rPr>
        <w:t xml:space="preserve"> الخطة التشغيلية لمكتب تنمية الاتصالات.</w:t>
      </w:r>
      <w:r w:rsidRPr="00723910">
        <w:rPr>
          <w:rFonts w:hint="cs"/>
          <w:rtl/>
          <w:lang w:bidi="ar-EG"/>
        </w:rPr>
        <w:t xml:space="preserve"> </w:t>
      </w:r>
    </w:p>
    <w:p w14:paraId="35C80983" w14:textId="1E7E8112" w:rsidR="00167324" w:rsidRPr="004226F6" w:rsidRDefault="004226F6" w:rsidP="00030897">
      <w:pPr>
        <w:rPr>
          <w:lang w:val="en-GB" w:bidi="ar-EG"/>
        </w:rPr>
      </w:pPr>
      <w:r w:rsidRPr="004226F6">
        <w:rPr>
          <w:rFonts w:hint="cs"/>
          <w:rtl/>
          <w:lang w:val="en-GB"/>
        </w:rPr>
        <w:t>و</w:t>
      </w:r>
      <w:r w:rsidRPr="003C0A90">
        <w:rPr>
          <w:rtl/>
          <w:lang w:val="en-GB"/>
        </w:rPr>
        <w:t xml:space="preserve">من حيث المبدأ، تُمنح الأموال من </w:t>
      </w:r>
      <w:r w:rsidRPr="004226F6">
        <w:rPr>
          <w:rtl/>
          <w:lang w:val="en-GB" w:bidi="ar-EG"/>
        </w:rPr>
        <w:t xml:space="preserve">صندوق تنمية تكنولوجيا المعلومات والاتصالات </w:t>
      </w:r>
      <w:r w:rsidRPr="004226F6">
        <w:rPr>
          <w:lang w:bidi="ar-EG"/>
        </w:rPr>
        <w:t>(ICTDF)</w:t>
      </w:r>
      <w:r w:rsidRPr="004226F6">
        <w:rPr>
          <w:rtl/>
          <w:lang w:val="en-GB" w:bidi="ar-EG"/>
        </w:rPr>
        <w:t xml:space="preserve"> </w:t>
      </w:r>
      <w:r w:rsidRPr="004226F6">
        <w:rPr>
          <w:rFonts w:hint="cs"/>
          <w:rtl/>
          <w:lang w:val="en-GB"/>
        </w:rPr>
        <w:t>كرأسمال</w:t>
      </w:r>
      <w:r w:rsidRPr="003C0A90">
        <w:rPr>
          <w:rtl/>
          <w:lang w:val="en-GB"/>
        </w:rPr>
        <w:t xml:space="preserve"> أولي، وعادة ما تصل إلى 25 في المائة من التكلفة الإجمالية لمشروع التنمية.</w:t>
      </w:r>
      <w:r w:rsidRPr="004226F6">
        <w:rPr>
          <w:rtl/>
        </w:rPr>
        <w:t xml:space="preserve"> </w:t>
      </w:r>
      <w:r>
        <w:rPr>
          <w:rFonts w:hint="cs"/>
          <w:rtl/>
        </w:rPr>
        <w:t>و</w:t>
      </w:r>
      <w:r w:rsidRPr="003C0A90">
        <w:rPr>
          <w:rtl/>
          <w:lang w:val="en-GB"/>
        </w:rPr>
        <w:t xml:space="preserve">يهدف هذا </w:t>
      </w:r>
      <w:r w:rsidRPr="004226F6">
        <w:rPr>
          <w:rFonts w:hint="cs"/>
          <w:rtl/>
          <w:lang w:val="en-GB"/>
        </w:rPr>
        <w:t>الرأسمال</w:t>
      </w:r>
      <w:r w:rsidRPr="003C0A90">
        <w:rPr>
          <w:rtl/>
          <w:lang w:val="en-GB"/>
        </w:rPr>
        <w:t xml:space="preserve"> </w:t>
      </w:r>
      <w:r w:rsidRPr="004226F6">
        <w:rPr>
          <w:rFonts w:hint="cs"/>
          <w:rtl/>
          <w:lang w:val="en-GB"/>
        </w:rPr>
        <w:t>ال</w:t>
      </w:r>
      <w:r w:rsidRPr="003C0A90">
        <w:rPr>
          <w:rtl/>
          <w:lang w:val="en-GB"/>
        </w:rPr>
        <w:t>أولي</w:t>
      </w:r>
      <w:r w:rsidRPr="004226F6">
        <w:rPr>
          <w:rtl/>
          <w:lang w:val="en-GB"/>
        </w:rPr>
        <w:t xml:space="preserve"> </w:t>
      </w:r>
      <w:r w:rsidRPr="003C0A90">
        <w:rPr>
          <w:rtl/>
          <w:lang w:val="en-GB"/>
        </w:rPr>
        <w:t>إلى جذب مساهمات نقدية من خارج الميزانية لمشاريع التنمية من خلال تعبئة الموارد.</w:t>
      </w:r>
      <w:r w:rsidR="00085905" w:rsidRPr="00085905">
        <w:rPr>
          <w:rtl/>
        </w:rPr>
        <w:t xml:space="preserve"> </w:t>
      </w:r>
      <w:r w:rsidR="00085905">
        <w:rPr>
          <w:rFonts w:hint="cs"/>
          <w:rtl/>
        </w:rPr>
        <w:t>و</w:t>
      </w:r>
      <w:r w:rsidR="00085905" w:rsidRPr="003C0A90">
        <w:rPr>
          <w:rtl/>
          <w:lang w:val="en-GB"/>
        </w:rPr>
        <w:t xml:space="preserve">من بين المعايير المستخدمة للاختيار والأهلية، يولي </w:t>
      </w:r>
      <w:r w:rsidR="00085905" w:rsidRPr="00085905">
        <w:rPr>
          <w:rtl/>
          <w:lang w:val="en-GB" w:bidi="ar-EG"/>
        </w:rPr>
        <w:t xml:space="preserve">صندوق تنمية تكنولوجيا المعلومات والاتصالات </w:t>
      </w:r>
      <w:r w:rsidR="00085905" w:rsidRPr="003C0A90">
        <w:rPr>
          <w:rtl/>
          <w:lang w:val="en-GB"/>
        </w:rPr>
        <w:t xml:space="preserve">بعض الأولوية لمشاريع، </w:t>
      </w:r>
      <w:r w:rsidR="00085905" w:rsidRPr="00085905">
        <w:rPr>
          <w:rFonts w:hint="cs"/>
          <w:rtl/>
          <w:lang w:val="en-GB"/>
        </w:rPr>
        <w:t>يكون من بين</w:t>
      </w:r>
      <w:r w:rsidR="00085905" w:rsidRPr="003C0A90">
        <w:rPr>
          <w:rtl/>
          <w:lang w:val="en-GB"/>
        </w:rPr>
        <w:t xml:space="preserve"> المستفيدون</w:t>
      </w:r>
      <w:r w:rsidR="00085905" w:rsidRPr="00085905">
        <w:rPr>
          <w:rFonts w:hint="cs"/>
          <w:rtl/>
          <w:lang w:val="en-GB"/>
        </w:rPr>
        <w:t xml:space="preserve"> منها</w:t>
      </w:r>
      <w:r w:rsidR="00085905" w:rsidRPr="003C0A90">
        <w:rPr>
          <w:rtl/>
          <w:lang w:val="en-GB"/>
        </w:rPr>
        <w:t xml:space="preserve"> بلد واحد أو أكثر من أقل البلدان نمواً، والدول الجزرية الصغيرة النامية، والبلدان النامية </w:t>
      </w:r>
      <w:r w:rsidR="00085905" w:rsidRPr="00085905">
        <w:rPr>
          <w:rFonts w:hint="cs"/>
          <w:rtl/>
          <w:lang w:val="en-GB"/>
        </w:rPr>
        <w:t>المطوقة باليابسة</w:t>
      </w:r>
      <w:r w:rsidR="00085905" w:rsidRPr="003C0A90">
        <w:rPr>
          <w:rtl/>
          <w:lang w:val="en-GB"/>
        </w:rPr>
        <w:t xml:space="preserve">، والبلدان التي تمر اقتصاداتها بمرحلة انتقالية، والبلدان ذات </w:t>
      </w:r>
      <w:r w:rsidR="00085905" w:rsidRPr="00085905">
        <w:rPr>
          <w:rFonts w:hint="cs"/>
          <w:rtl/>
          <w:lang w:val="en-GB"/>
        </w:rPr>
        <w:t>الاحتياجات</w:t>
      </w:r>
      <w:r w:rsidR="00085905" w:rsidRPr="003C0A90">
        <w:rPr>
          <w:rtl/>
          <w:lang w:val="en-GB"/>
        </w:rPr>
        <w:t xml:space="preserve"> الخاص</w:t>
      </w:r>
      <w:r w:rsidR="00085905" w:rsidRPr="00085905">
        <w:rPr>
          <w:rFonts w:hint="cs"/>
          <w:rtl/>
          <w:lang w:val="en-GB"/>
        </w:rPr>
        <w:t>ة.</w:t>
      </w:r>
    </w:p>
    <w:p w14:paraId="0AFE5B66" w14:textId="4BE63C02" w:rsidR="00E4461C" w:rsidRPr="00365F43" w:rsidRDefault="00E4461C" w:rsidP="00030897">
      <w:pPr>
        <w:rPr>
          <w:rtl/>
          <w:lang w:bidi="ar-EG"/>
        </w:rPr>
      </w:pPr>
      <w:r>
        <w:rPr>
          <w:rFonts w:hint="cs"/>
          <w:rtl/>
          <w:lang w:bidi="ar-EG"/>
        </w:rPr>
        <w:t xml:space="preserve">وفي إطار تمويل المشاريع </w:t>
      </w:r>
      <w:r w:rsidR="00085905">
        <w:rPr>
          <w:rFonts w:hint="cs"/>
          <w:rtl/>
          <w:lang w:bidi="ar-EG"/>
        </w:rPr>
        <w:t>التي</w:t>
      </w:r>
      <w:r>
        <w:rPr>
          <w:rFonts w:hint="cs"/>
          <w:rtl/>
          <w:lang w:bidi="ar-EG"/>
        </w:rPr>
        <w:t xml:space="preserve"> تنفذ المبادرات الإقليمية للمؤتمر العالمي لتنمية الاتصالات لعام </w:t>
      </w:r>
      <w:r>
        <w:rPr>
          <w:lang w:val="fr-CH" w:bidi="ar-EG"/>
        </w:rPr>
        <w:t>2017</w:t>
      </w:r>
      <w:r>
        <w:rPr>
          <w:rFonts w:hint="cs"/>
          <w:rtl/>
          <w:lang w:val="fr-CH" w:bidi="ar-EG"/>
        </w:rPr>
        <w:t>،</w:t>
      </w:r>
      <w:r>
        <w:rPr>
          <w:rFonts w:hint="cs"/>
          <w:rtl/>
          <w:lang w:bidi="ar-EG"/>
        </w:rPr>
        <w:t xml:space="preserve"> قرّر المجلس الاتحاد في</w:t>
      </w:r>
      <w:r>
        <w:rPr>
          <w:rFonts w:hint="eastAsia"/>
          <w:rtl/>
          <w:lang w:bidi="ar-EG"/>
        </w:rPr>
        <w:t> </w:t>
      </w:r>
      <w:r>
        <w:rPr>
          <w:rFonts w:hint="cs"/>
          <w:rtl/>
          <w:lang w:bidi="ar-EG"/>
        </w:rPr>
        <w:t>دورته لعام</w:t>
      </w:r>
      <w:r>
        <w:rPr>
          <w:rFonts w:hint="eastAsia"/>
          <w:rtl/>
          <w:lang w:bidi="ar-EG"/>
        </w:rPr>
        <w:t> </w:t>
      </w:r>
      <w:r>
        <w:rPr>
          <w:lang w:val="fr-CH" w:bidi="ar-EG"/>
        </w:rPr>
        <w:t>2018</w:t>
      </w:r>
      <w:r>
        <w:rPr>
          <w:rFonts w:hint="cs"/>
          <w:rtl/>
          <w:lang w:bidi="ar-EG"/>
        </w:rPr>
        <w:t xml:space="preserve"> أن يخصص مليوني </w:t>
      </w:r>
      <w:r>
        <w:rPr>
          <w:lang w:bidi="ar-EG"/>
        </w:rPr>
        <w:t>(2)</w:t>
      </w:r>
      <w:r>
        <w:rPr>
          <w:rFonts w:hint="cs"/>
          <w:rtl/>
          <w:lang w:bidi="ar-EG"/>
        </w:rPr>
        <w:t xml:space="preserve"> فرنك</w:t>
      </w:r>
      <w:r>
        <w:rPr>
          <w:rFonts w:hint="eastAsia"/>
          <w:rtl/>
          <w:lang w:bidi="ar-EG"/>
        </w:rPr>
        <w:t> </w:t>
      </w:r>
      <w:r>
        <w:rPr>
          <w:rFonts w:hint="cs"/>
          <w:rtl/>
          <w:lang w:bidi="ar-EG"/>
        </w:rPr>
        <w:t xml:space="preserve">سويسري للفترة </w:t>
      </w:r>
      <w:r>
        <w:rPr>
          <w:lang w:val="fr-CH" w:bidi="ar-EG"/>
        </w:rPr>
        <w:t>2019-2018</w:t>
      </w:r>
      <w:r>
        <w:rPr>
          <w:rFonts w:hint="cs"/>
          <w:rtl/>
          <w:lang w:bidi="ar-EG"/>
        </w:rPr>
        <w:t xml:space="preserve"> من الخطة التشغيلية لعام </w:t>
      </w:r>
      <w:r>
        <w:rPr>
          <w:lang w:val="fr-CH" w:bidi="ar-EG"/>
        </w:rPr>
        <w:t>2017</w:t>
      </w:r>
      <w:r>
        <w:rPr>
          <w:rFonts w:hint="cs"/>
          <w:rtl/>
          <w:lang w:bidi="ar-EG"/>
        </w:rPr>
        <w:t xml:space="preserve"> وإضافة </w:t>
      </w:r>
      <w:r>
        <w:rPr>
          <w:lang w:val="fr-CH" w:bidi="ar-EG"/>
        </w:rPr>
        <w:t>3</w:t>
      </w:r>
      <w:r>
        <w:rPr>
          <w:rFonts w:hint="eastAsia"/>
          <w:rtl/>
          <w:lang w:bidi="ar-EG"/>
        </w:rPr>
        <w:t> </w:t>
      </w:r>
      <w:r>
        <w:rPr>
          <w:rFonts w:hint="cs"/>
          <w:rtl/>
          <w:lang w:bidi="ar-EG"/>
        </w:rPr>
        <w:t>ملايين فرنك</w:t>
      </w:r>
      <w:r>
        <w:rPr>
          <w:rFonts w:hint="eastAsia"/>
          <w:rtl/>
          <w:lang w:bidi="ar-EG"/>
        </w:rPr>
        <w:t> </w:t>
      </w:r>
      <w:r>
        <w:rPr>
          <w:rFonts w:hint="cs"/>
          <w:rtl/>
          <w:lang w:bidi="ar-EG"/>
        </w:rPr>
        <w:t xml:space="preserve">سويسري للفترة </w:t>
      </w:r>
      <w:r>
        <w:rPr>
          <w:lang w:val="fr-CH" w:bidi="ar-EG"/>
        </w:rPr>
        <w:t>2021-2020</w:t>
      </w:r>
      <w:r>
        <w:rPr>
          <w:rFonts w:hint="cs"/>
          <w:rtl/>
          <w:lang w:bidi="ar-EG"/>
        </w:rPr>
        <w:t xml:space="preserve"> في الخطة المالية للفترة </w:t>
      </w:r>
      <w:r>
        <w:rPr>
          <w:lang w:val="fr-CH" w:bidi="ar-EG"/>
        </w:rPr>
        <w:t>2023-2020</w:t>
      </w:r>
      <w:r>
        <w:rPr>
          <w:rFonts w:hint="cs"/>
          <w:rtl/>
          <w:lang w:bidi="ar-EG"/>
        </w:rPr>
        <w:t xml:space="preserve">. وتم تخصيص هذه المبالغ </w:t>
      </w:r>
      <w:r w:rsidR="00085905" w:rsidRPr="00085905">
        <w:rPr>
          <w:rFonts w:hint="cs"/>
          <w:rtl/>
        </w:rPr>
        <w:t>كرأسمال</w:t>
      </w:r>
      <w:r w:rsidR="00085905" w:rsidRPr="003C0A90">
        <w:rPr>
          <w:rtl/>
        </w:rPr>
        <w:t xml:space="preserve"> </w:t>
      </w:r>
      <w:r>
        <w:rPr>
          <w:rFonts w:hint="cs"/>
          <w:rtl/>
          <w:lang w:bidi="ar-EG"/>
        </w:rPr>
        <w:t>أولي يستعمل لجذب التمويل من الشركاء</w:t>
      </w:r>
      <w:r w:rsidR="00085905">
        <w:rPr>
          <w:rFonts w:hint="cs"/>
          <w:rtl/>
          <w:lang w:bidi="ar-EG"/>
        </w:rPr>
        <w:t xml:space="preserve"> المحتملين</w:t>
      </w:r>
      <w:r>
        <w:rPr>
          <w:rFonts w:hint="cs"/>
          <w:rtl/>
          <w:lang w:bidi="ar-EG"/>
        </w:rPr>
        <w:t xml:space="preserve"> </w:t>
      </w:r>
      <w:r w:rsidR="00805FFA">
        <w:rPr>
          <w:rFonts w:hint="cs"/>
          <w:rtl/>
          <w:lang w:bidi="ar-EG"/>
        </w:rPr>
        <w:t>لدعم</w:t>
      </w:r>
      <w:r>
        <w:rPr>
          <w:rFonts w:hint="cs"/>
          <w:rtl/>
          <w:lang w:bidi="ar-EG"/>
        </w:rPr>
        <w:t xml:space="preserve"> تنفيذ المبادرات الإقليمية.</w:t>
      </w:r>
    </w:p>
    <w:p w14:paraId="1D5BC49F" w14:textId="2A5A08D2" w:rsidR="00E4461C" w:rsidRDefault="00E4461C" w:rsidP="00030897">
      <w:pPr>
        <w:pStyle w:val="Heading1"/>
        <w:rPr>
          <w:rtl/>
        </w:rPr>
      </w:pPr>
      <w:r>
        <w:t>8</w:t>
      </w:r>
      <w:r>
        <w:tab/>
      </w:r>
      <w:r>
        <w:rPr>
          <w:rFonts w:hint="cs"/>
          <w:rtl/>
        </w:rPr>
        <w:t>الجهود التي تُبذل ب</w:t>
      </w:r>
      <w:r w:rsidR="00805FFA">
        <w:rPr>
          <w:rFonts w:hint="cs"/>
          <w:rtl/>
        </w:rPr>
        <w:t xml:space="preserve">هدف </w:t>
      </w:r>
      <w:r>
        <w:rPr>
          <w:rFonts w:hint="cs"/>
          <w:rtl/>
        </w:rPr>
        <w:t xml:space="preserve">تعزيز </w:t>
      </w:r>
      <w:r>
        <w:rPr>
          <w:rtl/>
        </w:rPr>
        <w:t>وظيفة تنفيذ المشاريع</w:t>
      </w:r>
    </w:p>
    <w:p w14:paraId="6492D1A4" w14:textId="57CACAFE" w:rsidR="00E4461C" w:rsidRDefault="00805FFA" w:rsidP="00030897">
      <w:pPr>
        <w:rPr>
          <w:rtl/>
          <w:lang w:bidi="ar-EG"/>
        </w:rPr>
      </w:pPr>
      <w:r w:rsidRPr="00EA4575">
        <w:rPr>
          <w:rtl/>
        </w:rPr>
        <w:t xml:space="preserve">هناك عدد من المبادرات التي </w:t>
      </w:r>
      <w:r>
        <w:rPr>
          <w:rFonts w:hint="cs"/>
          <w:rtl/>
        </w:rPr>
        <w:t xml:space="preserve">أُطلقت </w:t>
      </w:r>
      <w:r>
        <w:rPr>
          <w:rFonts w:hint="cs"/>
          <w:rtl/>
          <w:lang w:bidi="ar-EG"/>
        </w:rPr>
        <w:t>ل</w:t>
      </w:r>
      <w:r w:rsidR="00E4461C">
        <w:rPr>
          <w:rFonts w:hint="cs"/>
          <w:rtl/>
          <w:lang w:bidi="ar-EG"/>
        </w:rPr>
        <w:t>تعزيز دور</w:t>
      </w:r>
      <w:r w:rsidRPr="00805FFA">
        <w:rPr>
          <w:rFonts w:hint="cs"/>
          <w:rtl/>
          <w:lang w:bidi="ar-EG"/>
        </w:rPr>
        <w:t xml:space="preserve"> مكتب تنمية الاتصالات</w:t>
      </w:r>
      <w:r w:rsidR="00E4461C">
        <w:rPr>
          <w:rFonts w:hint="cs"/>
          <w:rtl/>
          <w:lang w:bidi="ar-EG"/>
        </w:rPr>
        <w:t xml:space="preserve"> في تنفيذ المشاريع، </w:t>
      </w:r>
      <w:r>
        <w:rPr>
          <w:rFonts w:hint="cs"/>
          <w:rtl/>
          <w:lang w:bidi="ar-EG"/>
        </w:rPr>
        <w:t>ويتجاوز مداها</w:t>
      </w:r>
      <w:r w:rsidR="00E4461C">
        <w:rPr>
          <w:rFonts w:hint="cs"/>
          <w:rtl/>
          <w:lang w:bidi="ar-EG"/>
        </w:rPr>
        <w:t xml:space="preserve"> تطوير وتحسين ما يلزم من أدوات ومنهجيات ومبادئ توجيهية ونماذج ومعايير وقواعد بيانات فيما يتعلق بالمشاريع وإدارتها، </w:t>
      </w:r>
      <w:r>
        <w:rPr>
          <w:rFonts w:hint="cs"/>
          <w:rtl/>
          <w:lang w:bidi="ar-EG"/>
        </w:rPr>
        <w:t>وهي تشمل ما يلي</w:t>
      </w:r>
      <w:r w:rsidR="00E4461C">
        <w:rPr>
          <w:rFonts w:hint="cs"/>
          <w:rtl/>
          <w:lang w:bidi="ar-EG"/>
        </w:rPr>
        <w:t>:</w:t>
      </w:r>
    </w:p>
    <w:p w14:paraId="6F815E29" w14:textId="13822561" w:rsidR="00E4461C" w:rsidRDefault="00E4461C" w:rsidP="00030897">
      <w:pPr>
        <w:pStyle w:val="enumlev1"/>
        <w:rPr>
          <w:rtl/>
        </w:rPr>
      </w:pPr>
      <w:r>
        <w:rPr>
          <w:rFonts w:hint="cs"/>
          <w:rtl/>
        </w:rPr>
        <w:t>-</w:t>
      </w:r>
      <w:r>
        <w:rPr>
          <w:rtl/>
        </w:rPr>
        <w:tab/>
      </w:r>
      <w:r w:rsidRPr="00831EEA">
        <w:rPr>
          <w:rFonts w:hint="cs"/>
          <w:b/>
          <w:bCs/>
          <w:rtl/>
        </w:rPr>
        <w:t>التقييمات لمرحلة ما بعد تنفيذ المشروع:</w:t>
      </w:r>
      <w:r>
        <w:rPr>
          <w:rFonts w:hint="cs"/>
          <w:rtl/>
        </w:rPr>
        <w:t xml:space="preserve"> أجرى مكتب تنمية الاتصالات تقييمات ما بعد التنفيذ للعديد من مشاريع الاتحاد المنفذة. وتهدف هذه التقييمات إلى استعراض مجموعة مؤشرات الأداء الرئيسية </w:t>
      </w:r>
      <w:r w:rsidR="00805FFA">
        <w:rPr>
          <w:rFonts w:hint="cs"/>
          <w:rtl/>
        </w:rPr>
        <w:t xml:space="preserve">لتقييم منجزات ونتائج </w:t>
      </w:r>
      <w:r>
        <w:rPr>
          <w:rFonts w:hint="cs"/>
          <w:rtl/>
        </w:rPr>
        <w:t>وكفاءة تنفيذ المشاريع وفعاليته وأثر النتائج المحققة، بالتركيز على مبادئ الإدارة القائمة على النتائج. وتستند نتيجة كل استعراض إلى تحليل موضوعي للنتائج المحققة، إضافة إلى استخلاص الدروس المستفادة التي يمكن أن تساعد في</w:t>
      </w:r>
      <w:r>
        <w:rPr>
          <w:rFonts w:hint="eastAsia"/>
          <w:rtl/>
        </w:rPr>
        <w:t> </w:t>
      </w:r>
      <w:r>
        <w:rPr>
          <w:rFonts w:hint="cs"/>
          <w:rtl/>
        </w:rPr>
        <w:t>تحسين تصميم ال</w:t>
      </w:r>
      <w:r w:rsidR="00B035CE">
        <w:rPr>
          <w:rFonts w:hint="cs"/>
          <w:rtl/>
        </w:rPr>
        <w:t>مشاريع</w:t>
      </w:r>
      <w:r>
        <w:rPr>
          <w:rFonts w:hint="cs"/>
          <w:rtl/>
        </w:rPr>
        <w:t xml:space="preserve"> المستقبلية للاتحاد وتنفيذها. وترد النتائج في تقارير التقييم التي ن</w:t>
      </w:r>
      <w:r w:rsidR="00805FFA">
        <w:rPr>
          <w:rFonts w:hint="cs"/>
          <w:rtl/>
        </w:rPr>
        <w:t>ُ</w:t>
      </w:r>
      <w:r>
        <w:rPr>
          <w:rFonts w:hint="cs"/>
          <w:rtl/>
        </w:rPr>
        <w:t xml:space="preserve">شر </w:t>
      </w:r>
      <w:r w:rsidR="00805FFA">
        <w:rPr>
          <w:rFonts w:hint="cs"/>
          <w:rtl/>
        </w:rPr>
        <w:t>بعضها</w:t>
      </w:r>
      <w:r>
        <w:rPr>
          <w:rFonts w:hint="cs"/>
          <w:rtl/>
        </w:rPr>
        <w:t xml:space="preserve"> في </w:t>
      </w:r>
      <w:hyperlink r:id="rId14" w:history="1">
        <w:r w:rsidRPr="0064606C">
          <w:rPr>
            <w:rStyle w:val="Hyperlink"/>
            <w:rFonts w:hint="cs"/>
            <w:rtl/>
            <w:lang w:bidi="ar-EG"/>
          </w:rPr>
          <w:t>الموقع الإلكتروني لمشاريع مكتب تنمية الاتصالات</w:t>
        </w:r>
      </w:hyperlink>
      <w:r>
        <w:rPr>
          <w:rFonts w:hint="cs"/>
          <w:rtl/>
        </w:rPr>
        <w:t>.</w:t>
      </w:r>
    </w:p>
    <w:p w14:paraId="51064613" w14:textId="0ED6FC34" w:rsidR="00E4461C" w:rsidRDefault="00E4461C" w:rsidP="00030897">
      <w:pPr>
        <w:pStyle w:val="enumlev1"/>
        <w:rPr>
          <w:rtl/>
        </w:rPr>
      </w:pPr>
      <w:r>
        <w:rPr>
          <w:rFonts w:hint="cs"/>
          <w:rtl/>
        </w:rPr>
        <w:t>-</w:t>
      </w:r>
      <w:r>
        <w:rPr>
          <w:rtl/>
        </w:rPr>
        <w:tab/>
      </w:r>
      <w:r>
        <w:rPr>
          <w:rFonts w:hint="cs"/>
          <w:b/>
          <w:bCs/>
          <w:rtl/>
        </w:rPr>
        <w:t>التسجيلات</w:t>
      </w:r>
      <w:r w:rsidRPr="007E28A9">
        <w:rPr>
          <w:rFonts w:hint="cs"/>
          <w:b/>
          <w:bCs/>
          <w:rtl/>
        </w:rPr>
        <w:t xml:space="preserve"> </w:t>
      </w:r>
      <w:proofErr w:type="spellStart"/>
      <w:r>
        <w:rPr>
          <w:rFonts w:hint="cs"/>
          <w:b/>
          <w:bCs/>
          <w:rtl/>
        </w:rPr>
        <w:t>ال</w:t>
      </w:r>
      <w:r w:rsidRPr="007E28A9">
        <w:rPr>
          <w:rFonts w:hint="cs"/>
          <w:b/>
          <w:bCs/>
          <w:rtl/>
        </w:rPr>
        <w:t>فيديو</w:t>
      </w:r>
      <w:r>
        <w:rPr>
          <w:rFonts w:hint="cs"/>
          <w:b/>
          <w:bCs/>
          <w:rtl/>
        </w:rPr>
        <w:t>ية</w:t>
      </w:r>
      <w:proofErr w:type="spellEnd"/>
      <w:r w:rsidRPr="007E28A9">
        <w:rPr>
          <w:rFonts w:hint="cs"/>
          <w:b/>
          <w:bCs/>
          <w:rtl/>
        </w:rPr>
        <w:t xml:space="preserve"> </w:t>
      </w:r>
      <w:r>
        <w:rPr>
          <w:rFonts w:hint="cs"/>
          <w:b/>
          <w:bCs/>
          <w:rtl/>
        </w:rPr>
        <w:t>للمشاريع</w:t>
      </w:r>
      <w:r w:rsidRPr="007E28A9">
        <w:rPr>
          <w:rFonts w:hint="cs"/>
          <w:b/>
          <w:bCs/>
          <w:rtl/>
        </w:rPr>
        <w:t>:</w:t>
      </w:r>
      <w:r>
        <w:rPr>
          <w:rFonts w:hint="cs"/>
          <w:rtl/>
        </w:rPr>
        <w:t xml:space="preserve"> تُعد التسجيلات </w:t>
      </w:r>
      <w:proofErr w:type="spellStart"/>
      <w:r>
        <w:rPr>
          <w:rFonts w:hint="cs"/>
          <w:rtl/>
        </w:rPr>
        <w:t>الفيديوية</w:t>
      </w:r>
      <w:proofErr w:type="spellEnd"/>
      <w:r>
        <w:rPr>
          <w:rFonts w:hint="cs"/>
          <w:rtl/>
        </w:rPr>
        <w:t xml:space="preserve"> للمشاريع أساسية للترويج لمشاريع الاتحاد. ويتم تجميع المقاطع والمقابلات ذات الصلة التي تُجرى مع مختلف أصحاب المصلحة خلال مهام التقييم لما</w:t>
      </w:r>
      <w:r>
        <w:rPr>
          <w:rFonts w:hint="eastAsia"/>
          <w:rtl/>
        </w:rPr>
        <w:t> </w:t>
      </w:r>
      <w:r>
        <w:rPr>
          <w:rFonts w:hint="cs"/>
          <w:rtl/>
        </w:rPr>
        <w:t>بعد تنفيذ المشروع وتستخدم في</w:t>
      </w:r>
      <w:r>
        <w:rPr>
          <w:rFonts w:hint="eastAsia"/>
          <w:rtl/>
        </w:rPr>
        <w:t> </w:t>
      </w:r>
      <w:r>
        <w:rPr>
          <w:rFonts w:hint="cs"/>
          <w:rtl/>
        </w:rPr>
        <w:t xml:space="preserve">إنتاج تسجيلات </w:t>
      </w:r>
      <w:proofErr w:type="spellStart"/>
      <w:r>
        <w:rPr>
          <w:rFonts w:hint="cs"/>
          <w:rtl/>
        </w:rPr>
        <w:t>فيديوية</w:t>
      </w:r>
      <w:proofErr w:type="spellEnd"/>
      <w:r>
        <w:rPr>
          <w:rFonts w:hint="cs"/>
          <w:rtl/>
        </w:rPr>
        <w:t xml:space="preserve"> قصيرة تعرض أهمية المشروع ونتائجه وإنجازاته. وتستعمل هذه التسجيلات </w:t>
      </w:r>
      <w:proofErr w:type="spellStart"/>
      <w:r>
        <w:rPr>
          <w:rFonts w:hint="cs"/>
          <w:rtl/>
        </w:rPr>
        <w:t>الفيديوية</w:t>
      </w:r>
      <w:proofErr w:type="spellEnd"/>
      <w:r>
        <w:rPr>
          <w:rFonts w:hint="cs"/>
          <w:rtl/>
        </w:rPr>
        <w:t xml:space="preserve"> أيضاً في تبادل الخبرات بين أعضاء الاتحاد. ويمكن الاطلاع على</w:t>
      </w:r>
      <w:r w:rsidR="00805FFA">
        <w:rPr>
          <w:rFonts w:hint="cs"/>
          <w:rtl/>
        </w:rPr>
        <w:t xml:space="preserve"> بعض</w:t>
      </w:r>
      <w:r>
        <w:rPr>
          <w:rFonts w:hint="cs"/>
          <w:rtl/>
        </w:rPr>
        <w:t xml:space="preserve"> التسجيلات </w:t>
      </w:r>
      <w:proofErr w:type="spellStart"/>
      <w:r>
        <w:rPr>
          <w:rFonts w:hint="cs"/>
          <w:rtl/>
        </w:rPr>
        <w:t>الفيديوية</w:t>
      </w:r>
      <w:proofErr w:type="spellEnd"/>
      <w:r>
        <w:rPr>
          <w:rFonts w:hint="cs"/>
          <w:rtl/>
        </w:rPr>
        <w:t xml:space="preserve"> للمشاريع في </w:t>
      </w:r>
      <w:hyperlink r:id="rId15" w:history="1">
        <w:r w:rsidRPr="0064606C">
          <w:rPr>
            <w:rStyle w:val="Hyperlink"/>
            <w:rFonts w:hint="cs"/>
            <w:rtl/>
            <w:lang w:bidi="ar-EG"/>
          </w:rPr>
          <w:t>الموقع الإلكتروني لمشاريع مكتب تنمية الاتصالات</w:t>
        </w:r>
      </w:hyperlink>
      <w:r>
        <w:rPr>
          <w:rFonts w:hint="cs"/>
          <w:rtl/>
        </w:rPr>
        <w:t>.</w:t>
      </w:r>
    </w:p>
    <w:p w14:paraId="78BB386A" w14:textId="0B293534" w:rsidR="00E4461C" w:rsidRDefault="00E4461C" w:rsidP="00030897">
      <w:pPr>
        <w:pStyle w:val="enumlev1"/>
        <w:rPr>
          <w:rtl/>
        </w:rPr>
      </w:pPr>
      <w:r>
        <w:rPr>
          <w:rFonts w:hint="cs"/>
          <w:rtl/>
        </w:rPr>
        <w:t>-</w:t>
      </w:r>
      <w:r>
        <w:rPr>
          <w:rtl/>
        </w:rPr>
        <w:tab/>
      </w:r>
      <w:r w:rsidRPr="007E28A9">
        <w:rPr>
          <w:rFonts w:hint="cs"/>
          <w:b/>
          <w:bCs/>
          <w:rtl/>
        </w:rPr>
        <w:t xml:space="preserve">دراسات </w:t>
      </w:r>
      <w:r>
        <w:rPr>
          <w:rFonts w:hint="cs"/>
          <w:b/>
          <w:bCs/>
          <w:rtl/>
        </w:rPr>
        <w:t>ال</w:t>
      </w:r>
      <w:r w:rsidRPr="007E28A9">
        <w:rPr>
          <w:rFonts w:hint="cs"/>
          <w:b/>
          <w:bCs/>
          <w:rtl/>
        </w:rPr>
        <w:t xml:space="preserve">حالة </w:t>
      </w:r>
      <w:r>
        <w:rPr>
          <w:rFonts w:hint="cs"/>
          <w:b/>
          <w:bCs/>
          <w:rtl/>
        </w:rPr>
        <w:t>للمشاريع</w:t>
      </w:r>
      <w:r w:rsidRPr="007E28A9">
        <w:rPr>
          <w:rFonts w:hint="cs"/>
          <w:b/>
          <w:bCs/>
          <w:rtl/>
        </w:rPr>
        <w:t>:</w:t>
      </w:r>
      <w:r>
        <w:rPr>
          <w:rFonts w:hint="cs"/>
          <w:rtl/>
        </w:rPr>
        <w:t xml:space="preserve"> أعد مكتب تنمية الاتصالات سلسة من دراسات الحالة القائمة على مشاريع الاتحاد المنفذة. ودراسات الحالة هي وثائق تحتوي على موجز قصير وتقدّم المعلومات الضرورية بصيغة عرض سهلة القراءة. وتهدف كل دراسة حالة إلى تبادل المعلومات المتعلقة بمختلف مشاريع الاتحاد وأنشطتها المنفذة والنتائج المحققة والدروس المستفادة والاستنتاجات والتوصيات. ودراسات الحالة لمشاريع الاتحاد هي مورد لأصحاب المصلحة وأعضاء الاتحاد من أجل تبادل الخبرات، حيث توفّر لهم الفرصة لتكرار الممارسات الجيدة. وتُنشر </w:t>
      </w:r>
      <w:r w:rsidR="00CC3657">
        <w:rPr>
          <w:rFonts w:hint="cs"/>
          <w:rtl/>
        </w:rPr>
        <w:t xml:space="preserve">بعض </w:t>
      </w:r>
      <w:r>
        <w:rPr>
          <w:rFonts w:hint="cs"/>
          <w:rtl/>
        </w:rPr>
        <w:t xml:space="preserve">دراسات الحالة للمشاريع في </w:t>
      </w:r>
      <w:hyperlink r:id="rId16" w:history="1">
        <w:r w:rsidRPr="0064606C">
          <w:rPr>
            <w:rStyle w:val="Hyperlink"/>
            <w:rFonts w:hint="cs"/>
            <w:rtl/>
            <w:lang w:bidi="ar-EG"/>
          </w:rPr>
          <w:t>الموقع الإلكتروني لمشاريع مكتب تنمية الاتصالات</w:t>
        </w:r>
      </w:hyperlink>
      <w:r>
        <w:rPr>
          <w:rFonts w:hint="cs"/>
          <w:rtl/>
        </w:rPr>
        <w:t>.</w:t>
      </w:r>
    </w:p>
    <w:p w14:paraId="5ABAED1A" w14:textId="58DBFB5B" w:rsidR="00E4461C" w:rsidRDefault="00E4461C" w:rsidP="00030897">
      <w:pPr>
        <w:pStyle w:val="enumlev1"/>
        <w:rPr>
          <w:rtl/>
          <w:lang w:bidi="ar-EG"/>
        </w:rPr>
      </w:pPr>
      <w:r>
        <w:rPr>
          <w:rFonts w:hint="cs"/>
          <w:rtl/>
        </w:rPr>
        <w:t>-</w:t>
      </w:r>
      <w:r>
        <w:tab/>
      </w:r>
      <w:r w:rsidR="00CC3657" w:rsidRPr="0002244E">
        <w:rPr>
          <w:b/>
          <w:bCs/>
          <w:rtl/>
          <w:lang w:bidi="ar-SA"/>
        </w:rPr>
        <w:t>بناء القدرات للموظفين</w:t>
      </w:r>
      <w:r w:rsidR="00CC3657" w:rsidRPr="0002244E">
        <w:rPr>
          <w:rFonts w:hint="cs"/>
          <w:b/>
          <w:bCs/>
          <w:rtl/>
          <w:lang w:bidi="ar-SA"/>
        </w:rPr>
        <w:t>:</w:t>
      </w:r>
      <w:r w:rsidR="00CC3657" w:rsidRPr="00CC3657">
        <w:rPr>
          <w:rFonts w:hint="cs"/>
          <w:rtl/>
          <w:lang w:bidi="ar-SA"/>
        </w:rPr>
        <w:t xml:space="preserve"> </w:t>
      </w:r>
      <w:r w:rsidRPr="00B770F2">
        <w:rPr>
          <w:rFonts w:hint="cs"/>
          <w:rtl/>
        </w:rPr>
        <w:t xml:space="preserve">من الواضح </w:t>
      </w:r>
      <w:r w:rsidRPr="00B770F2">
        <w:rPr>
          <w:rtl/>
        </w:rPr>
        <w:t xml:space="preserve">أن هناك حاجة إلى بناء القدرات الداخلية على أساس مستمر نظراً إلى تطور ممارسات إدارة المشاريع طيلة الوقت. ولهذا السبب، جرت دورات تدريبية لموظفي مكتب تنمية الاتصالات كوسيلة لرفع مستوى المهارات. وشمل ذلك موظفين في المقر </w:t>
      </w:r>
      <w:r w:rsidR="00CC3657">
        <w:rPr>
          <w:rFonts w:hint="cs"/>
          <w:rtl/>
        </w:rPr>
        <w:t>ومن هم في</w:t>
      </w:r>
      <w:r w:rsidR="00CC3657" w:rsidRPr="00CC3657">
        <w:rPr>
          <w:rtl/>
        </w:rPr>
        <w:t xml:space="preserve"> المكاتب الإقليمية ومكاتب المناطق</w:t>
      </w:r>
      <w:r w:rsidRPr="00B770F2">
        <w:rPr>
          <w:rtl/>
        </w:rPr>
        <w:t>.</w:t>
      </w:r>
      <w:r w:rsidRPr="00B770F2">
        <w:rPr>
          <w:rFonts w:hint="cs"/>
          <w:rtl/>
        </w:rPr>
        <w:t xml:space="preserve"> </w:t>
      </w:r>
      <w:r w:rsidR="00CC3657" w:rsidRPr="00CC3657">
        <w:rPr>
          <w:rFonts w:hint="cs"/>
          <w:rtl/>
          <w:lang w:bidi="ar-SA"/>
        </w:rPr>
        <w:t>وأقام</w:t>
      </w:r>
      <w:r w:rsidR="00CC3657" w:rsidRPr="00EA4575">
        <w:rPr>
          <w:rtl/>
          <w:lang w:bidi="ar-SA"/>
        </w:rPr>
        <w:t xml:space="preserve"> مكتب تنمية الاتصالات تدريباً على إدارة المش</w:t>
      </w:r>
      <w:r w:rsidR="00CC3657" w:rsidRPr="00CC3657">
        <w:rPr>
          <w:rFonts w:hint="cs"/>
          <w:rtl/>
          <w:lang w:bidi="ar-SA"/>
        </w:rPr>
        <w:t>ا</w:t>
      </w:r>
      <w:r w:rsidR="00CC3657" w:rsidRPr="00EA4575">
        <w:rPr>
          <w:rtl/>
          <w:lang w:bidi="ar-SA"/>
        </w:rPr>
        <w:t>ر</w:t>
      </w:r>
      <w:r w:rsidR="00CC3657" w:rsidRPr="00CC3657">
        <w:rPr>
          <w:rFonts w:hint="cs"/>
          <w:rtl/>
          <w:lang w:bidi="ar-SA"/>
        </w:rPr>
        <w:t>ي</w:t>
      </w:r>
      <w:r w:rsidR="00CC3657" w:rsidRPr="00EA4575">
        <w:rPr>
          <w:rtl/>
          <w:lang w:bidi="ar-SA"/>
        </w:rPr>
        <w:t>ع في الفترة من 18 إلى 22 نوفمبر 2019، واجتاز 39 موظفاً الاختبار وأصبحوا حاصلين الآن على شهادة</w:t>
      </w:r>
      <w:r w:rsidR="00CC3657" w:rsidRPr="00CC3657">
        <w:rPr>
          <w:rFonts w:hint="cs"/>
          <w:rtl/>
          <w:lang w:bidi="ar-SA"/>
        </w:rPr>
        <w:t xml:space="preserve"> محترفي</w:t>
      </w:r>
      <w:r w:rsidR="00CC3657" w:rsidRPr="00EA4575">
        <w:rPr>
          <w:rtl/>
          <w:lang w:bidi="ar-SA"/>
        </w:rPr>
        <w:t xml:space="preserve"> إدارة مشاريع </w:t>
      </w:r>
      <w:r w:rsidR="00CC3657" w:rsidRPr="00CC3657">
        <w:rPr>
          <w:rFonts w:hint="cs"/>
          <w:rtl/>
          <w:lang w:bidi="ar-SA"/>
        </w:rPr>
        <w:t>التنمية</w:t>
      </w:r>
      <w:r w:rsidR="00CC3657" w:rsidRPr="00EA4575">
        <w:rPr>
          <w:rtl/>
          <w:lang w:bidi="ar-SA"/>
        </w:rPr>
        <w:t xml:space="preserve"> - المستوى الأول (</w:t>
      </w:r>
      <w:r w:rsidR="00CC3657" w:rsidRPr="00EA4575">
        <w:t>PMD Pro 1</w:t>
      </w:r>
      <w:r w:rsidR="00CC3657" w:rsidRPr="00EA4575">
        <w:rPr>
          <w:rtl/>
          <w:lang w:bidi="ar-SA"/>
        </w:rPr>
        <w:t>).</w:t>
      </w:r>
      <w:r w:rsidR="00CC3657" w:rsidRPr="00CC3657">
        <w:rPr>
          <w:rFonts w:ascii="Times New Roman" w:eastAsiaTheme="minorHAnsi" w:hAnsi="Times New Roman" w:cs="Traditional Arabic" w:hint="cs"/>
          <w:szCs w:val="30"/>
          <w:rtl/>
          <w:lang w:eastAsia="en-US" w:bidi="ar-SA"/>
        </w:rPr>
        <w:t xml:space="preserve"> </w:t>
      </w:r>
      <w:r w:rsidR="00CC3657" w:rsidRPr="00CC3657">
        <w:rPr>
          <w:rFonts w:hint="cs"/>
          <w:rtl/>
          <w:lang w:bidi="ar-SA"/>
        </w:rPr>
        <w:t>و</w:t>
      </w:r>
      <w:r w:rsidR="00CC3657" w:rsidRPr="00EA4575">
        <w:rPr>
          <w:rtl/>
          <w:lang w:bidi="ar-SA"/>
        </w:rPr>
        <w:t>من المخطط تدريب المزيد من موظفي الاتحاد واعتمادهم في إدارة المش</w:t>
      </w:r>
      <w:r w:rsidR="00CC3657" w:rsidRPr="00CC3657">
        <w:rPr>
          <w:rFonts w:hint="cs"/>
          <w:rtl/>
          <w:lang w:bidi="ar-SA"/>
        </w:rPr>
        <w:t>ا</w:t>
      </w:r>
      <w:r w:rsidR="00CC3657" w:rsidRPr="00EA4575">
        <w:rPr>
          <w:rtl/>
          <w:lang w:bidi="ar-SA"/>
        </w:rPr>
        <w:t>ر</w:t>
      </w:r>
      <w:r w:rsidR="00CC3657" w:rsidRPr="00CC3657">
        <w:rPr>
          <w:rFonts w:hint="cs"/>
          <w:rtl/>
          <w:lang w:bidi="ar-SA"/>
        </w:rPr>
        <w:t>ي</w:t>
      </w:r>
      <w:r w:rsidR="00CC3657" w:rsidRPr="00EA4575">
        <w:rPr>
          <w:rtl/>
          <w:lang w:bidi="ar-SA"/>
        </w:rPr>
        <w:t>ع في عام 2020.</w:t>
      </w:r>
    </w:p>
    <w:p w14:paraId="341CD474" w14:textId="01EA0AAE" w:rsidR="00E4461C" w:rsidRDefault="00E4461C" w:rsidP="00030897">
      <w:pPr>
        <w:pStyle w:val="enumlev1"/>
        <w:rPr>
          <w:rtl/>
          <w:lang w:bidi="ar-EG"/>
        </w:rPr>
      </w:pPr>
      <w:r>
        <w:rPr>
          <w:rFonts w:hint="cs"/>
          <w:rtl/>
          <w:lang w:bidi="ar-EG"/>
        </w:rPr>
        <w:lastRenderedPageBreak/>
        <w:t>-</w:t>
      </w:r>
      <w:r>
        <w:rPr>
          <w:rtl/>
          <w:lang w:bidi="ar-EG"/>
        </w:rPr>
        <w:tab/>
      </w:r>
      <w:r w:rsidR="00AB2C0E" w:rsidRPr="0002244E">
        <w:rPr>
          <w:rFonts w:hint="cs"/>
          <w:b/>
          <w:bCs/>
          <w:rtl/>
          <w:lang w:bidi="ar-SA"/>
        </w:rPr>
        <w:t>المبادئ التوجيهية</w:t>
      </w:r>
      <w:r w:rsidR="00AB2C0E" w:rsidRPr="0002244E">
        <w:rPr>
          <w:b/>
          <w:bCs/>
          <w:rtl/>
          <w:lang w:bidi="ar-SA"/>
        </w:rPr>
        <w:t xml:space="preserve"> </w:t>
      </w:r>
      <w:r w:rsidR="00AB2C0E" w:rsidRPr="0002244E">
        <w:rPr>
          <w:rFonts w:hint="cs"/>
          <w:b/>
          <w:bCs/>
          <w:rtl/>
          <w:lang w:bidi="ar-SA"/>
        </w:rPr>
        <w:t>ل</w:t>
      </w:r>
      <w:r w:rsidR="00AB2C0E" w:rsidRPr="0002244E">
        <w:rPr>
          <w:b/>
          <w:bCs/>
          <w:rtl/>
          <w:lang w:bidi="ar-SA"/>
        </w:rPr>
        <w:t>إدارة مشاريع مكتب تنمية الاتصالات:</w:t>
      </w:r>
      <w:r w:rsidR="00AB2C0E" w:rsidRPr="00AB2C0E">
        <w:rPr>
          <w:rFonts w:hint="cs"/>
          <w:rtl/>
          <w:lang w:bidi="ar-SA"/>
        </w:rPr>
        <w:t xml:space="preserve"> يجري </w:t>
      </w:r>
      <w:r w:rsidR="00AB2C0E" w:rsidRPr="00EA4575">
        <w:rPr>
          <w:rtl/>
          <w:lang w:bidi="ar-SA"/>
        </w:rPr>
        <w:t xml:space="preserve">تحديث </w:t>
      </w:r>
      <w:r w:rsidR="00AB2C0E" w:rsidRPr="00AB2C0E">
        <w:rPr>
          <w:rFonts w:hint="cs"/>
          <w:rtl/>
          <w:lang w:bidi="ar-SA"/>
        </w:rPr>
        <w:t>على قدم وساق وذلك</w:t>
      </w:r>
      <w:r w:rsidR="00AB2C0E" w:rsidRPr="00EA4575">
        <w:rPr>
          <w:rtl/>
          <w:lang w:bidi="ar-SA"/>
        </w:rPr>
        <w:t xml:space="preserve"> </w:t>
      </w:r>
      <w:r w:rsidR="00AB2C0E" w:rsidRPr="00AB2C0E">
        <w:rPr>
          <w:rFonts w:hint="cs"/>
          <w:rtl/>
          <w:lang w:bidi="ar-SA"/>
        </w:rPr>
        <w:t>بصورة</w:t>
      </w:r>
      <w:r w:rsidR="00AB2C0E" w:rsidRPr="00EA4575">
        <w:rPr>
          <w:rtl/>
          <w:lang w:bidi="ar-SA"/>
        </w:rPr>
        <w:t xml:space="preserve"> رئيسي</w:t>
      </w:r>
      <w:r w:rsidR="00AB2C0E" w:rsidRPr="00AB2C0E">
        <w:rPr>
          <w:rFonts w:hint="cs"/>
          <w:rtl/>
          <w:lang w:bidi="ar-SA"/>
        </w:rPr>
        <w:t>ة</w:t>
      </w:r>
      <w:r w:rsidR="00AB2C0E" w:rsidRPr="00EA4575">
        <w:rPr>
          <w:rtl/>
          <w:lang w:bidi="ar-SA"/>
        </w:rPr>
        <w:t xml:space="preserve"> لتحسين </w:t>
      </w:r>
      <w:r w:rsidR="00AB2C0E" w:rsidRPr="00AB2C0E">
        <w:rPr>
          <w:rFonts w:hint="cs"/>
          <w:rtl/>
          <w:lang w:bidi="ar-SA"/>
        </w:rPr>
        <w:t>المبادئ التوجيهية</w:t>
      </w:r>
      <w:r w:rsidR="00AB2C0E" w:rsidRPr="00EA4575">
        <w:rPr>
          <w:rtl/>
          <w:lang w:bidi="ar-SA"/>
        </w:rPr>
        <w:t xml:space="preserve"> </w:t>
      </w:r>
      <w:r w:rsidR="00AB2C0E" w:rsidRPr="00AB2C0E">
        <w:rPr>
          <w:rFonts w:hint="cs"/>
          <w:rtl/>
          <w:lang w:bidi="ar-SA"/>
        </w:rPr>
        <w:t>والأطر النموذجية</w:t>
      </w:r>
      <w:r w:rsidR="00AB2C0E" w:rsidRPr="00AB2C0E">
        <w:rPr>
          <w:rtl/>
          <w:lang w:bidi="ar-SA"/>
        </w:rPr>
        <w:t xml:space="preserve"> </w:t>
      </w:r>
      <w:r w:rsidR="00AB2C0E" w:rsidRPr="00EA4575">
        <w:rPr>
          <w:rtl/>
          <w:lang w:bidi="ar-SA"/>
        </w:rPr>
        <w:t>والأدوات و</w:t>
      </w:r>
      <w:r w:rsidR="00AB2C0E" w:rsidRPr="00AB2C0E">
        <w:rPr>
          <w:rFonts w:hint="cs"/>
          <w:rtl/>
          <w:lang w:bidi="ar-SA"/>
        </w:rPr>
        <w:t>هو ي</w:t>
      </w:r>
      <w:r w:rsidR="00AB2C0E" w:rsidRPr="00EA4575">
        <w:rPr>
          <w:rtl/>
          <w:lang w:bidi="ar-SA"/>
        </w:rPr>
        <w:t xml:space="preserve">تضمن عناصر </w:t>
      </w:r>
      <w:r w:rsidR="00AB2C0E" w:rsidRPr="00EA4575">
        <w:rPr>
          <w:lang w:bidi="ar-SA"/>
        </w:rPr>
        <w:t>PMD Pro</w:t>
      </w:r>
      <w:r w:rsidR="00AB2C0E" w:rsidRPr="00EA4575">
        <w:rPr>
          <w:rtl/>
          <w:lang w:bidi="ar-SA"/>
        </w:rPr>
        <w:t>.</w:t>
      </w:r>
      <w:r w:rsidR="009223C0" w:rsidRPr="009223C0">
        <w:rPr>
          <w:rFonts w:hint="cs"/>
          <w:rtl/>
          <w:lang w:bidi="ar-EG"/>
        </w:rPr>
        <w:t xml:space="preserve"> وقد أقيمت</w:t>
      </w:r>
      <w:r w:rsidR="009223C0" w:rsidRPr="00EA4575">
        <w:rPr>
          <w:rtl/>
          <w:lang w:bidi="ar-SA"/>
        </w:rPr>
        <w:t xml:space="preserve"> ورشة عمل </w:t>
      </w:r>
      <w:r w:rsidR="009223C0" w:rsidRPr="009223C0">
        <w:rPr>
          <w:rFonts w:hint="cs"/>
          <w:rtl/>
          <w:lang w:bidi="ar-SA"/>
        </w:rPr>
        <w:t xml:space="preserve">استهلالية </w:t>
      </w:r>
      <w:r w:rsidR="009223C0" w:rsidRPr="00EA4575">
        <w:rPr>
          <w:rtl/>
          <w:lang w:bidi="ar-SA"/>
        </w:rPr>
        <w:t xml:space="preserve">في الفترة من 27 إلى 29 يناير 2020، حيث قام فريق من موظفي الاتحاد المعتمدين لدى </w:t>
      </w:r>
      <w:r w:rsidR="009223C0" w:rsidRPr="00EA4575">
        <w:rPr>
          <w:lang w:bidi="ar-SA"/>
        </w:rPr>
        <w:t>PMD Pro</w:t>
      </w:r>
      <w:r w:rsidR="009223C0" w:rsidRPr="00EA4575">
        <w:rPr>
          <w:rtl/>
          <w:lang w:bidi="ar-SA"/>
        </w:rPr>
        <w:t xml:space="preserve"> </w:t>
      </w:r>
      <w:r w:rsidR="009223C0" w:rsidRPr="009223C0">
        <w:rPr>
          <w:rFonts w:hint="cs"/>
          <w:rtl/>
          <w:lang w:bidi="ar-SA"/>
        </w:rPr>
        <w:t>باستعراض</w:t>
      </w:r>
      <w:r w:rsidR="009223C0">
        <w:rPr>
          <w:rFonts w:hint="cs"/>
          <w:rtl/>
          <w:lang w:bidi="ar-SA"/>
        </w:rPr>
        <w:t xml:space="preserve"> </w:t>
      </w:r>
      <w:r w:rsidR="009223C0" w:rsidRPr="009223C0">
        <w:rPr>
          <w:rFonts w:hint="cs"/>
          <w:rtl/>
          <w:lang w:bidi="ar-SA"/>
        </w:rPr>
        <w:t>المبادئ التوجيهية</w:t>
      </w:r>
      <w:r w:rsidR="009223C0" w:rsidRPr="00EA4575">
        <w:rPr>
          <w:rtl/>
          <w:lang w:bidi="ar-SA"/>
        </w:rPr>
        <w:t xml:space="preserve"> </w:t>
      </w:r>
      <w:r w:rsidR="009223C0" w:rsidRPr="009223C0">
        <w:rPr>
          <w:rFonts w:hint="cs"/>
          <w:rtl/>
          <w:lang w:bidi="ar-SA"/>
        </w:rPr>
        <w:t>ل</w:t>
      </w:r>
      <w:r w:rsidR="009223C0" w:rsidRPr="00EA4575">
        <w:rPr>
          <w:rtl/>
          <w:lang w:bidi="ar-SA"/>
        </w:rPr>
        <w:t>إدارة مشاريع مكتب تنمية الاتصالات</w:t>
      </w:r>
      <w:r w:rsidR="009223C0">
        <w:rPr>
          <w:rFonts w:hint="cs"/>
          <w:rtl/>
          <w:lang w:bidi="ar-SA"/>
        </w:rPr>
        <w:t>.</w:t>
      </w:r>
    </w:p>
    <w:p w14:paraId="66487A58" w14:textId="62040B26" w:rsidR="00E4461C" w:rsidRDefault="009223C0" w:rsidP="00030897">
      <w:pPr>
        <w:pStyle w:val="Headingb"/>
        <w:rPr>
          <w:rtl/>
        </w:rPr>
      </w:pPr>
      <w:r>
        <w:rPr>
          <w:rFonts w:hint="cs"/>
          <w:rtl/>
        </w:rPr>
        <w:t>استنتاجات</w:t>
      </w:r>
    </w:p>
    <w:p w14:paraId="2C40B436" w14:textId="1C916730" w:rsidR="00E4461C" w:rsidRPr="00E6074B" w:rsidRDefault="00E4461C" w:rsidP="00E6074B">
      <w:pPr>
        <w:pStyle w:val="enumlev1"/>
        <w:rPr>
          <w:rtl/>
        </w:rPr>
      </w:pPr>
      <w:r>
        <w:t>1</w:t>
      </w:r>
      <w:r>
        <w:rPr>
          <w:rtl/>
        </w:rPr>
        <w:tab/>
      </w:r>
      <w:r w:rsidR="009223C0" w:rsidRPr="00E6074B">
        <w:rPr>
          <w:rFonts w:hint="cs"/>
          <w:rtl/>
        </w:rPr>
        <w:t>يمتلك</w:t>
      </w:r>
      <w:r w:rsidR="009223C0" w:rsidRPr="00E6074B">
        <w:rPr>
          <w:rtl/>
        </w:rPr>
        <w:t xml:space="preserve"> مكتب تنمية الاتصالات خبرة طويلة في مجال تنفيذ المشاريع </w:t>
      </w:r>
      <w:r w:rsidR="009223C0" w:rsidRPr="00E6074B">
        <w:rPr>
          <w:rFonts w:hint="cs"/>
          <w:rtl/>
        </w:rPr>
        <w:t>لمنفعة</w:t>
      </w:r>
      <w:r w:rsidR="009223C0" w:rsidRPr="00E6074B">
        <w:rPr>
          <w:rtl/>
        </w:rPr>
        <w:t xml:space="preserve"> البلدان النامية. </w:t>
      </w:r>
      <w:r w:rsidR="009223C0" w:rsidRPr="00E6074B">
        <w:rPr>
          <w:rFonts w:hint="cs"/>
          <w:rtl/>
        </w:rPr>
        <w:t>ولكن</w:t>
      </w:r>
      <w:r w:rsidR="009223C0" w:rsidRPr="00E6074B">
        <w:rPr>
          <w:rtl/>
        </w:rPr>
        <w:t xml:space="preserve"> ومع تطور قطاع تكنولوجيا المعلومات والاتصالات، يتطور مكتب تنمية الاتصالات، وهو ملتزم بتكييف عملياته، </w:t>
      </w:r>
      <w:r w:rsidR="009223C0" w:rsidRPr="00E6074B">
        <w:rPr>
          <w:rFonts w:hint="cs"/>
          <w:rtl/>
        </w:rPr>
        <w:t>واغتنام</w:t>
      </w:r>
      <w:r w:rsidR="009223C0" w:rsidRPr="00E6074B">
        <w:rPr>
          <w:rtl/>
        </w:rPr>
        <w:t xml:space="preserve"> الفرص الجديدة، والتصدي بفعالية للتحديات التي تواجه تطوير المشاريع وتنفيذها </w:t>
      </w:r>
      <w:r w:rsidR="009223C0" w:rsidRPr="00E6074B">
        <w:rPr>
          <w:rFonts w:hint="cs"/>
          <w:rtl/>
        </w:rPr>
        <w:t>ومراقبتها</w:t>
      </w:r>
      <w:r w:rsidR="009223C0" w:rsidRPr="00E6074B">
        <w:rPr>
          <w:rtl/>
        </w:rPr>
        <w:t xml:space="preserve"> وتقييمها</w:t>
      </w:r>
      <w:r w:rsidR="009223C0" w:rsidRPr="00E6074B">
        <w:rPr>
          <w:rFonts w:hint="cs"/>
          <w:rtl/>
        </w:rPr>
        <w:t>.</w:t>
      </w:r>
    </w:p>
    <w:p w14:paraId="494E4B6A" w14:textId="15402A70" w:rsidR="00E4461C" w:rsidRPr="00E6074B" w:rsidRDefault="00E4461C" w:rsidP="00E6074B">
      <w:pPr>
        <w:pStyle w:val="enumlev1"/>
        <w:rPr>
          <w:rtl/>
        </w:rPr>
      </w:pPr>
      <w:r w:rsidRPr="00E6074B">
        <w:t>2</w:t>
      </w:r>
      <w:r w:rsidRPr="00E6074B">
        <w:tab/>
      </w:r>
      <w:r w:rsidRPr="00E6074B">
        <w:rPr>
          <w:rtl/>
        </w:rPr>
        <w:t>وقد أثبت تنفيذ المشاريع عن كونه وسيلة فعّالة للاستجابة للاحتياجات المحددة للدول الأعضاء في الاتحاد</w:t>
      </w:r>
      <w:r w:rsidRPr="00E6074B">
        <w:rPr>
          <w:rFonts w:hint="cs"/>
          <w:rtl/>
        </w:rPr>
        <w:t xml:space="preserve">، </w:t>
      </w:r>
      <w:r w:rsidRPr="00E6074B">
        <w:rPr>
          <w:rtl/>
        </w:rPr>
        <w:t xml:space="preserve">وهو بمثابة آلية ممتازة </w:t>
      </w:r>
      <w:r w:rsidR="009223C0" w:rsidRPr="00E6074B">
        <w:rPr>
          <w:rFonts w:hint="cs"/>
          <w:rtl/>
        </w:rPr>
        <w:t>للإنجاز بأثر ملموس</w:t>
      </w:r>
      <w:r w:rsidRPr="00E6074B">
        <w:rPr>
          <w:rtl/>
        </w:rPr>
        <w:t>.</w:t>
      </w:r>
    </w:p>
    <w:p w14:paraId="5BB00C81" w14:textId="357C9527" w:rsidR="00E4461C" w:rsidRPr="00E6074B" w:rsidRDefault="00E4461C" w:rsidP="00E6074B">
      <w:pPr>
        <w:pStyle w:val="enumlev1"/>
      </w:pPr>
      <w:r w:rsidRPr="00E6074B">
        <w:t>3</w:t>
      </w:r>
      <w:r w:rsidRPr="00E6074B">
        <w:tab/>
      </w:r>
      <w:r w:rsidRPr="00FC610B">
        <w:rPr>
          <w:spacing w:val="4"/>
          <w:rtl/>
        </w:rPr>
        <w:t xml:space="preserve">وإن مشاريع مكتب تنمية الاتصالات </w:t>
      </w:r>
      <w:r w:rsidRPr="00FC610B">
        <w:rPr>
          <w:rFonts w:hint="cs"/>
          <w:spacing w:val="4"/>
          <w:rtl/>
        </w:rPr>
        <w:t xml:space="preserve">هي أيضاً أداة فعالة لتنفيذ </w:t>
      </w:r>
      <w:r w:rsidRPr="00FC610B">
        <w:rPr>
          <w:spacing w:val="4"/>
          <w:rtl/>
        </w:rPr>
        <w:t>المبادرات الإقليمية</w:t>
      </w:r>
      <w:r w:rsidRPr="00FC610B">
        <w:rPr>
          <w:rFonts w:hint="cs"/>
          <w:spacing w:val="4"/>
          <w:rtl/>
        </w:rPr>
        <w:t xml:space="preserve">، التي حددتها الدول الأعضاء كمجالات ذات أولوية يتعين </w:t>
      </w:r>
      <w:r w:rsidR="009223C0" w:rsidRPr="00FC610B">
        <w:rPr>
          <w:rFonts w:hint="cs"/>
          <w:spacing w:val="4"/>
          <w:rtl/>
        </w:rPr>
        <w:t>على</w:t>
      </w:r>
      <w:r w:rsidR="009223C0" w:rsidRPr="00FC610B">
        <w:rPr>
          <w:spacing w:val="4"/>
          <w:rtl/>
        </w:rPr>
        <w:t xml:space="preserve"> مكتب تنمية الاتصالات</w:t>
      </w:r>
      <w:r w:rsidR="009223C0" w:rsidRPr="00FC610B">
        <w:rPr>
          <w:rFonts w:hint="cs"/>
          <w:spacing w:val="4"/>
          <w:rtl/>
        </w:rPr>
        <w:t xml:space="preserve"> </w:t>
      </w:r>
      <w:r w:rsidRPr="00FC610B">
        <w:rPr>
          <w:rFonts w:hint="cs"/>
          <w:spacing w:val="4"/>
          <w:rtl/>
        </w:rPr>
        <w:t xml:space="preserve">التركيز عليها </w:t>
      </w:r>
      <w:r w:rsidR="009808D1" w:rsidRPr="00FC610B">
        <w:rPr>
          <w:rFonts w:hint="cs"/>
          <w:spacing w:val="4"/>
          <w:rtl/>
        </w:rPr>
        <w:t>بوجه</w:t>
      </w:r>
      <w:r w:rsidR="00FC610B" w:rsidRPr="00FC610B">
        <w:rPr>
          <w:rFonts w:hint="cs"/>
          <w:spacing w:val="4"/>
          <w:rtl/>
        </w:rPr>
        <w:t>ٍ</w:t>
      </w:r>
      <w:r w:rsidR="009808D1" w:rsidRPr="00FC610B">
        <w:rPr>
          <w:rFonts w:hint="cs"/>
          <w:spacing w:val="4"/>
          <w:rtl/>
        </w:rPr>
        <w:t xml:space="preserve"> عام</w:t>
      </w:r>
      <w:r w:rsidRPr="00FC610B">
        <w:rPr>
          <w:rFonts w:hint="cs"/>
          <w:spacing w:val="4"/>
          <w:rtl/>
        </w:rPr>
        <w:t xml:space="preserve">، </w:t>
      </w:r>
      <w:r w:rsidR="009808D1" w:rsidRPr="00FC610B">
        <w:rPr>
          <w:rFonts w:hint="cs"/>
          <w:spacing w:val="4"/>
          <w:rtl/>
        </w:rPr>
        <w:t>بغية</w:t>
      </w:r>
      <w:r w:rsidRPr="00FC610B">
        <w:rPr>
          <w:rFonts w:hint="cs"/>
          <w:spacing w:val="4"/>
          <w:rtl/>
        </w:rPr>
        <w:t xml:space="preserve"> إفادة </w:t>
      </w:r>
      <w:r w:rsidR="009808D1" w:rsidRPr="00FC610B">
        <w:rPr>
          <w:rFonts w:hint="cs"/>
          <w:spacing w:val="4"/>
          <w:rtl/>
        </w:rPr>
        <w:t>أكثر من بلد واحد</w:t>
      </w:r>
      <w:r w:rsidRPr="00FC610B">
        <w:rPr>
          <w:rFonts w:hint="cs"/>
          <w:spacing w:val="4"/>
          <w:rtl/>
        </w:rPr>
        <w:t xml:space="preserve"> في منطقة</w:t>
      </w:r>
      <w:r w:rsidR="009808D1" w:rsidRPr="00FC610B">
        <w:rPr>
          <w:rFonts w:hint="cs"/>
          <w:spacing w:val="4"/>
          <w:rtl/>
        </w:rPr>
        <w:t xml:space="preserve"> ما</w:t>
      </w:r>
      <w:r w:rsidRPr="00FC610B">
        <w:rPr>
          <w:rFonts w:hint="cs"/>
          <w:spacing w:val="4"/>
          <w:rtl/>
        </w:rPr>
        <w:t>.</w:t>
      </w:r>
    </w:p>
    <w:p w14:paraId="0BDC9964" w14:textId="7704278C" w:rsidR="00E4461C" w:rsidRPr="00E6074B" w:rsidRDefault="00E4461C" w:rsidP="00E6074B">
      <w:pPr>
        <w:pStyle w:val="enumlev1"/>
      </w:pPr>
      <w:r w:rsidRPr="00E6074B">
        <w:t>4</w:t>
      </w:r>
      <w:r w:rsidRPr="00E6074B">
        <w:tab/>
      </w:r>
      <w:r w:rsidRPr="00E6074B">
        <w:rPr>
          <w:rtl/>
        </w:rPr>
        <w:t>ويقوم مكتب تنمية الاتصالات بالتجديد على نحو مستمر للاستجابة ل</w:t>
      </w:r>
      <w:r w:rsidRPr="00E6074B">
        <w:rPr>
          <w:rFonts w:hint="cs"/>
          <w:rtl/>
        </w:rPr>
        <w:t>لفرص والتحديات المتعلقة بالمشاريع، وذلك عن طريق تحسين وظيفته فيما</w:t>
      </w:r>
      <w:r w:rsidRPr="00E6074B">
        <w:rPr>
          <w:rFonts w:hint="eastAsia"/>
          <w:rtl/>
        </w:rPr>
        <w:t> </w:t>
      </w:r>
      <w:r w:rsidRPr="00E6074B">
        <w:rPr>
          <w:rFonts w:hint="cs"/>
          <w:rtl/>
        </w:rPr>
        <w:t>يخص تنفيذ المشاريع وعملياته والتبليغ بشأنه</w:t>
      </w:r>
      <w:r w:rsidRPr="00E6074B">
        <w:rPr>
          <w:rtl/>
        </w:rPr>
        <w:t xml:space="preserve"> </w:t>
      </w:r>
      <w:r w:rsidRPr="00E6074B">
        <w:rPr>
          <w:rFonts w:hint="cs"/>
          <w:rtl/>
        </w:rPr>
        <w:t>من أجل ال</w:t>
      </w:r>
      <w:r w:rsidRPr="00E6074B">
        <w:rPr>
          <w:rtl/>
        </w:rPr>
        <w:t>تمسك</w:t>
      </w:r>
      <w:r w:rsidRPr="00E6074B">
        <w:rPr>
          <w:rFonts w:hint="cs"/>
          <w:rtl/>
        </w:rPr>
        <w:t xml:space="preserve"> </w:t>
      </w:r>
      <w:r w:rsidRPr="00E6074B">
        <w:rPr>
          <w:rtl/>
        </w:rPr>
        <w:t>بالمساءلة</w:t>
      </w:r>
      <w:r w:rsidRPr="00E6074B">
        <w:rPr>
          <w:rFonts w:hint="cs"/>
          <w:rtl/>
        </w:rPr>
        <w:t xml:space="preserve"> والكفاءة والفعالية في تنفيذ المشاريع.</w:t>
      </w:r>
    </w:p>
    <w:p w14:paraId="756E1739" w14:textId="17AE1177" w:rsidR="006273F9" w:rsidRPr="00E6074B" w:rsidRDefault="006273F9" w:rsidP="00E6074B">
      <w:pPr>
        <w:pStyle w:val="enumlev1"/>
        <w:rPr>
          <w:rtl/>
        </w:rPr>
      </w:pPr>
      <w:r w:rsidRPr="00E6074B">
        <w:t>5</w:t>
      </w:r>
      <w:r w:rsidRPr="00E6074B">
        <w:tab/>
      </w:r>
      <w:r w:rsidRPr="00E6074B">
        <w:rPr>
          <w:rFonts w:hint="cs"/>
          <w:rtl/>
        </w:rPr>
        <w:t xml:space="preserve">لا يزال </w:t>
      </w:r>
      <w:r w:rsidRPr="00E6074B">
        <w:rPr>
          <w:rtl/>
        </w:rPr>
        <w:t xml:space="preserve">إجراء </w:t>
      </w:r>
      <w:r w:rsidRPr="00E6074B">
        <w:rPr>
          <w:rFonts w:hint="cs"/>
          <w:rtl/>
        </w:rPr>
        <w:t>تقييمات ما </w:t>
      </w:r>
      <w:r w:rsidRPr="00E6074B">
        <w:rPr>
          <w:rtl/>
        </w:rPr>
        <w:t xml:space="preserve">بعد </w:t>
      </w:r>
      <w:r w:rsidRPr="00E6074B">
        <w:rPr>
          <w:rFonts w:hint="cs"/>
          <w:rtl/>
        </w:rPr>
        <w:t>ال</w:t>
      </w:r>
      <w:r w:rsidRPr="00E6074B">
        <w:rPr>
          <w:rtl/>
        </w:rPr>
        <w:t xml:space="preserve">تنفيذ </w:t>
      </w:r>
      <w:r w:rsidRPr="00E6074B">
        <w:rPr>
          <w:rFonts w:hint="cs"/>
          <w:rtl/>
        </w:rPr>
        <w:t>لل</w:t>
      </w:r>
      <w:r w:rsidRPr="00E6074B">
        <w:rPr>
          <w:rtl/>
        </w:rPr>
        <w:t>مشاريع</w:t>
      </w:r>
      <w:r w:rsidRPr="00E6074B">
        <w:rPr>
          <w:rFonts w:hint="cs"/>
          <w:rtl/>
        </w:rPr>
        <w:t xml:space="preserve"> جهداً مهماً، ولا</w:t>
      </w:r>
      <w:r w:rsidRPr="00E6074B">
        <w:rPr>
          <w:rFonts w:hint="eastAsia"/>
          <w:rtl/>
        </w:rPr>
        <w:t> </w:t>
      </w:r>
      <w:r w:rsidRPr="00E6074B">
        <w:rPr>
          <w:rFonts w:hint="cs"/>
          <w:rtl/>
        </w:rPr>
        <w:t>سيما من أجل زيادة تبادل المعلومات والخبرات والدروس المستفادة من المشاريع المنفذة</w:t>
      </w:r>
      <w:r w:rsidR="009808D1" w:rsidRPr="00E6074B">
        <w:rPr>
          <w:rFonts w:hint="cs"/>
          <w:rtl/>
        </w:rPr>
        <w:t xml:space="preserve"> بين الدول الأعضاء</w:t>
      </w:r>
      <w:r w:rsidRPr="00E6074B">
        <w:rPr>
          <w:rtl/>
        </w:rPr>
        <w:t>.</w:t>
      </w:r>
    </w:p>
    <w:p w14:paraId="2ED8993F" w14:textId="6093C02B" w:rsidR="006273F9" w:rsidRPr="00E6074B" w:rsidRDefault="006273F9" w:rsidP="00E6074B">
      <w:pPr>
        <w:pStyle w:val="enumlev1"/>
      </w:pPr>
      <w:r w:rsidRPr="00E6074B">
        <w:t>6</w:t>
      </w:r>
      <w:r w:rsidRPr="00E6074B">
        <w:tab/>
      </w:r>
      <w:r w:rsidRPr="00E6074B">
        <w:rPr>
          <w:rtl/>
        </w:rPr>
        <w:t xml:space="preserve">ونظراً إلى العدد الإجمالي للمشاريع الجارية والموارد المحدودة، سيواصل المكتب الاضطلاع بعمليات </w:t>
      </w:r>
      <w:r w:rsidRPr="00E6074B">
        <w:rPr>
          <w:rFonts w:hint="cs"/>
          <w:rtl/>
        </w:rPr>
        <w:t>استعراض ا</w:t>
      </w:r>
      <w:r w:rsidRPr="00E6074B">
        <w:rPr>
          <w:rtl/>
        </w:rPr>
        <w:t xml:space="preserve">لمشاريع على أساس انتقائي حيث ستُمنح الأولوية للمشاريع </w:t>
      </w:r>
      <w:r w:rsidR="009808D1" w:rsidRPr="00E6074B">
        <w:rPr>
          <w:rFonts w:hint="cs"/>
          <w:rtl/>
        </w:rPr>
        <w:t xml:space="preserve">المعقدة </w:t>
      </w:r>
      <w:r w:rsidRPr="00E6074B">
        <w:rPr>
          <w:rtl/>
        </w:rPr>
        <w:t>ذات التأثير الكبير.</w:t>
      </w:r>
    </w:p>
    <w:p w14:paraId="643ECEB1" w14:textId="0B62BAB9" w:rsidR="006273F9" w:rsidRPr="00E6074B" w:rsidRDefault="006273F9" w:rsidP="00E6074B">
      <w:pPr>
        <w:pStyle w:val="enumlev1"/>
        <w:rPr>
          <w:rtl/>
        </w:rPr>
      </w:pPr>
      <w:r w:rsidRPr="00E6074B">
        <w:t>7</w:t>
      </w:r>
      <w:r w:rsidRPr="00E6074B">
        <w:tab/>
      </w:r>
      <w:r w:rsidRPr="00E6074B">
        <w:rPr>
          <w:rtl/>
        </w:rPr>
        <w:t xml:space="preserve">ولا زالت </w:t>
      </w:r>
      <w:r w:rsidRPr="00E6074B">
        <w:rPr>
          <w:rFonts w:hint="cs"/>
          <w:rtl/>
        </w:rPr>
        <w:t>ال</w:t>
      </w:r>
      <w:r w:rsidRPr="00E6074B">
        <w:rPr>
          <w:rtl/>
        </w:rPr>
        <w:t xml:space="preserve">عوامل </w:t>
      </w:r>
      <w:r w:rsidRPr="00E6074B">
        <w:rPr>
          <w:rFonts w:hint="cs"/>
          <w:rtl/>
        </w:rPr>
        <w:t>ال</w:t>
      </w:r>
      <w:r w:rsidRPr="00E6074B">
        <w:rPr>
          <w:rtl/>
        </w:rPr>
        <w:t xml:space="preserve">خارجية من قبيل الاضطرابات السياسية والمدنية </w:t>
      </w:r>
      <w:r w:rsidRPr="00E6074B">
        <w:rPr>
          <w:rFonts w:hint="cs"/>
          <w:rtl/>
        </w:rPr>
        <w:t xml:space="preserve">والصعوبات الاقتصادية </w:t>
      </w:r>
      <w:r w:rsidRPr="00E6074B">
        <w:rPr>
          <w:rtl/>
        </w:rPr>
        <w:t>في بعض البلدان المستفيدة و</w:t>
      </w:r>
      <w:r w:rsidRPr="00E6074B">
        <w:rPr>
          <w:rFonts w:hint="cs"/>
          <w:rtl/>
        </w:rPr>
        <w:t xml:space="preserve">استمرار </w:t>
      </w:r>
      <w:r w:rsidRPr="00E6074B">
        <w:rPr>
          <w:rtl/>
        </w:rPr>
        <w:t xml:space="preserve">تعطّل تنفيذ المشاريع بسبب الكوارث الطبيعية </w:t>
      </w:r>
      <w:r w:rsidRPr="00E6074B">
        <w:rPr>
          <w:rFonts w:hint="cs"/>
          <w:rtl/>
        </w:rPr>
        <w:t xml:space="preserve">هي السبب في حدوث تأخيرات في </w:t>
      </w:r>
      <w:r w:rsidRPr="00E6074B">
        <w:rPr>
          <w:rtl/>
        </w:rPr>
        <w:t>تنفيذ</w:t>
      </w:r>
      <w:r w:rsidRPr="00E6074B">
        <w:rPr>
          <w:rFonts w:hint="cs"/>
          <w:rtl/>
        </w:rPr>
        <w:t xml:space="preserve"> المشاريع في وقتها</w:t>
      </w:r>
      <w:r w:rsidRPr="00E6074B">
        <w:rPr>
          <w:rtl/>
        </w:rPr>
        <w:t>.</w:t>
      </w:r>
    </w:p>
    <w:p w14:paraId="28F553B7" w14:textId="07F12317" w:rsidR="00E4461C" w:rsidRDefault="00E4461C" w:rsidP="00030897">
      <w:pPr>
        <w:rPr>
          <w:rtl/>
        </w:rPr>
      </w:pPr>
      <w:r>
        <w:rPr>
          <w:rtl/>
          <w:lang w:bidi="ar-EG"/>
        </w:rPr>
        <w:t>وللحصول على مزيد من المعلومات بشأن المشاريع التي ينفذها الاتحاد، يرجى زيارة الموقع التالي:</w:t>
      </w:r>
      <w:r>
        <w:rPr>
          <w:rtl/>
          <w:lang w:bidi="ar-EG"/>
        </w:rPr>
        <w:tab/>
      </w:r>
      <w:r>
        <w:rPr>
          <w:rtl/>
          <w:lang w:bidi="ar-EG"/>
        </w:rPr>
        <w:br/>
      </w:r>
      <w:hyperlink r:id="rId17" w:history="1">
        <w:bookmarkStart w:id="2" w:name="lt_pId100"/>
        <w:r w:rsidR="006273F9" w:rsidRPr="00E726EF">
          <w:rPr>
            <w:rStyle w:val="Hyperlink"/>
          </w:rPr>
          <w:t>http://www.itu.int/en/ITU-D/Projects/</w:t>
        </w:r>
        <w:bookmarkEnd w:id="2"/>
      </w:hyperlink>
      <w:r>
        <w:rPr>
          <w:rtl/>
        </w:rPr>
        <w:t>.</w:t>
      </w:r>
    </w:p>
    <w:p w14:paraId="0482450E" w14:textId="75588AA6" w:rsidR="00882A17" w:rsidRPr="00FC610B" w:rsidRDefault="00DB1D53" w:rsidP="00030897">
      <w:pPr>
        <w:spacing w:before="600"/>
        <w:jc w:val="center"/>
        <w:rPr>
          <w:rFonts w:ascii="Traditional Arabic" w:hAnsi="Traditional Arabic" w:cs="Traditional Arabic"/>
          <w:sz w:val="30"/>
          <w:szCs w:val="30"/>
          <w:rtl/>
          <w:lang w:bidi="ar-EG"/>
        </w:rPr>
      </w:pPr>
      <w:r w:rsidRPr="00FC610B">
        <w:rPr>
          <w:rFonts w:ascii="Traditional Arabic" w:hAnsi="Traditional Arabic" w:cs="Traditional Arabic"/>
          <w:sz w:val="30"/>
          <w:szCs w:val="30"/>
          <w:rtl/>
          <w:lang w:bidi="ar-EG"/>
        </w:rPr>
        <w:t>___________</w:t>
      </w:r>
    </w:p>
    <w:sectPr w:rsidR="00882A17" w:rsidRPr="00FC610B" w:rsidSect="006C3242">
      <w:headerReference w:type="default" r:id="rId18"/>
      <w:footerReference w:type="default" r:id="rId19"/>
      <w:footerReference w:type="first" r:id="rId2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06168" w14:textId="77777777" w:rsidR="00683E53" w:rsidRDefault="00683E53" w:rsidP="006C3242">
      <w:pPr>
        <w:spacing w:before="0" w:line="240" w:lineRule="auto"/>
      </w:pPr>
      <w:r>
        <w:separator/>
      </w:r>
    </w:p>
  </w:endnote>
  <w:endnote w:type="continuationSeparator" w:id="0">
    <w:p w14:paraId="06A330F5" w14:textId="77777777" w:rsidR="00683E53" w:rsidRDefault="00683E5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30FA4" w14:textId="4BE5FC75"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030897">
      <w:rPr>
        <w:noProof/>
        <w:sz w:val="16"/>
        <w:szCs w:val="16"/>
        <w:lang w:val="fr-FR"/>
      </w:rPr>
      <w:t>P:\ARA\ITU-D\CONF-D\TDAG20\000\010A.docx</w:t>
    </w:r>
    <w:r w:rsidRPr="0026373E">
      <w:rPr>
        <w:sz w:val="16"/>
        <w:szCs w:val="16"/>
      </w:rPr>
      <w:fldChar w:fldCharType="end"/>
    </w:r>
    <w:r w:rsidRPr="0026373E">
      <w:rPr>
        <w:sz w:val="16"/>
        <w:szCs w:val="16"/>
      </w:rPr>
      <w:t xml:space="preserve">  </w:t>
    </w:r>
    <w:r w:rsidRPr="0026373E">
      <w:rPr>
        <w:sz w:val="16"/>
        <w:szCs w:val="16"/>
        <w:lang w:val="fr-FR"/>
      </w:rPr>
      <w:t xml:space="preserve"> (</w:t>
    </w:r>
    <w:r w:rsidR="00F72FBF">
      <w:rPr>
        <w:sz w:val="16"/>
        <w:szCs w:val="16"/>
        <w:lang w:val="fr-FR"/>
      </w:rPr>
      <w:t>465657</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50C9C188" w14:textId="77777777" w:rsidTr="00F03E94">
      <w:tc>
        <w:tcPr>
          <w:tcW w:w="991" w:type="dxa"/>
          <w:tcBorders>
            <w:top w:val="single" w:sz="4" w:space="0" w:color="auto"/>
            <w:left w:val="nil"/>
            <w:bottom w:val="nil"/>
            <w:right w:val="nil"/>
          </w:tcBorders>
          <w:shd w:val="clear" w:color="auto" w:fill="FFFFFF" w:themeFill="background1"/>
          <w:hideMark/>
        </w:tcPr>
        <w:p w14:paraId="11FDF2FD"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565F928D"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2B860DBC" w14:textId="5CA2A235" w:rsidR="00882A17" w:rsidRPr="006364F3" w:rsidRDefault="006364F3" w:rsidP="00847778">
          <w:pPr>
            <w:spacing w:before="60" w:after="40" w:line="260" w:lineRule="exact"/>
            <w:rPr>
              <w:position w:val="2"/>
              <w:sz w:val="18"/>
              <w:szCs w:val="18"/>
              <w:lang w:val="fr-FR" w:bidi="ar-EG"/>
            </w:rPr>
          </w:pPr>
          <w:r w:rsidRPr="006364F3">
            <w:rPr>
              <w:position w:val="2"/>
              <w:sz w:val="18"/>
              <w:szCs w:val="18"/>
              <w:rtl/>
              <w:lang w:val="fr-FR" w:bidi="ar-EG"/>
            </w:rPr>
            <w:t xml:space="preserve">السيد </w:t>
          </w:r>
          <w:proofErr w:type="spellStart"/>
          <w:r w:rsidRPr="006364F3">
            <w:rPr>
              <w:position w:val="2"/>
              <w:sz w:val="18"/>
              <w:szCs w:val="18"/>
              <w:rtl/>
              <w:lang w:val="fr-FR" w:bidi="ar-EG"/>
            </w:rPr>
            <w:t>كوسماس</w:t>
          </w:r>
          <w:proofErr w:type="spellEnd"/>
          <w:r w:rsidRPr="006364F3">
            <w:rPr>
              <w:position w:val="2"/>
              <w:sz w:val="18"/>
              <w:szCs w:val="18"/>
              <w:rtl/>
              <w:lang w:val="fr-FR" w:bidi="ar-EG"/>
            </w:rPr>
            <w:t xml:space="preserve"> </w:t>
          </w:r>
          <w:proofErr w:type="spellStart"/>
          <w:r w:rsidRPr="006364F3">
            <w:rPr>
              <w:position w:val="2"/>
              <w:sz w:val="18"/>
              <w:szCs w:val="18"/>
              <w:rtl/>
              <w:lang w:val="fr-FR" w:bidi="ar-EG"/>
            </w:rPr>
            <w:t>زافازافا</w:t>
          </w:r>
          <w:proofErr w:type="spellEnd"/>
          <w:r w:rsidRPr="006364F3">
            <w:rPr>
              <w:position w:val="2"/>
              <w:sz w:val="18"/>
              <w:szCs w:val="18"/>
              <w:rtl/>
              <w:lang w:val="fr-FR" w:bidi="ar-EG"/>
            </w:rPr>
            <w:t>، </w:t>
          </w:r>
          <w:r w:rsidR="001D0111">
            <w:rPr>
              <w:rFonts w:hint="cs"/>
              <w:position w:val="2"/>
              <w:sz w:val="18"/>
              <w:szCs w:val="18"/>
              <w:rtl/>
              <w:lang w:val="fr-FR" w:bidi="ar-EG"/>
            </w:rPr>
            <w:t xml:space="preserve">رئيس </w:t>
          </w:r>
          <w:r>
            <w:rPr>
              <w:rFonts w:hint="cs"/>
              <w:position w:val="2"/>
              <w:sz w:val="18"/>
              <w:szCs w:val="18"/>
              <w:rtl/>
              <w:lang w:val="fr-FR" w:bidi="ar-EG"/>
            </w:rPr>
            <w:t>دائرة الشر</w:t>
          </w:r>
          <w:r w:rsidR="001D0111">
            <w:rPr>
              <w:rFonts w:hint="cs"/>
              <w:position w:val="2"/>
              <w:sz w:val="18"/>
              <w:szCs w:val="18"/>
              <w:rtl/>
              <w:lang w:val="fr-FR" w:bidi="ar-EG"/>
            </w:rPr>
            <w:t>ا</w:t>
          </w:r>
          <w:r>
            <w:rPr>
              <w:rFonts w:hint="cs"/>
              <w:position w:val="2"/>
              <w:sz w:val="18"/>
              <w:szCs w:val="18"/>
              <w:rtl/>
              <w:lang w:val="fr-FR" w:bidi="ar-EG"/>
            </w:rPr>
            <w:t>كات من أجل التنمية الرقمية، مكتب تنمية الاتصالات</w:t>
          </w:r>
        </w:p>
      </w:tc>
    </w:tr>
    <w:tr w:rsidR="00882A17" w:rsidRPr="005874F2" w14:paraId="52EB5B14" w14:textId="77777777" w:rsidTr="00F03E94">
      <w:tc>
        <w:tcPr>
          <w:tcW w:w="991" w:type="dxa"/>
        </w:tcPr>
        <w:p w14:paraId="67126F3F"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4942B2DB"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1ED455C6" w14:textId="3B9D51CE" w:rsidR="00882A17" w:rsidRPr="005874F2" w:rsidRDefault="00B14A17" w:rsidP="00B14A17">
          <w:pPr>
            <w:spacing w:before="60" w:after="40" w:line="260" w:lineRule="exact"/>
            <w:rPr>
              <w:position w:val="2"/>
              <w:sz w:val="18"/>
              <w:szCs w:val="18"/>
              <w:lang w:val="en-GB"/>
            </w:rPr>
          </w:pPr>
          <w:r w:rsidRPr="00B14A17">
            <w:rPr>
              <w:position w:val="2"/>
              <w:sz w:val="18"/>
              <w:szCs w:val="18"/>
            </w:rPr>
            <w:t>+41 22 7305447</w:t>
          </w:r>
        </w:p>
      </w:tc>
    </w:tr>
    <w:tr w:rsidR="00882A17" w:rsidRPr="005874F2" w14:paraId="31F93AF8" w14:textId="77777777" w:rsidTr="00F03E94">
      <w:tc>
        <w:tcPr>
          <w:tcW w:w="991" w:type="dxa"/>
        </w:tcPr>
        <w:p w14:paraId="2A11F96A"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0E9A279C"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4AEE45D1" w14:textId="79844B14" w:rsidR="00882A17" w:rsidRPr="005874F2" w:rsidRDefault="00B7153F" w:rsidP="00882A17">
          <w:pPr>
            <w:spacing w:before="60" w:after="40" w:line="260" w:lineRule="exact"/>
            <w:rPr>
              <w:position w:val="2"/>
              <w:sz w:val="18"/>
              <w:szCs w:val="18"/>
              <w:rtl/>
              <w:lang w:val="fr-FR" w:bidi="ar-EG"/>
            </w:rPr>
          </w:pPr>
          <w:hyperlink r:id="rId1" w:history="1">
            <w:r w:rsidR="00B14A17" w:rsidRPr="00283DA5">
              <w:rPr>
                <w:rStyle w:val="Hyperlink"/>
                <w:sz w:val="18"/>
                <w:szCs w:val="18"/>
              </w:rPr>
              <w:t>cosmas.zavazava@itu.int</w:t>
            </w:r>
          </w:hyperlink>
        </w:p>
      </w:tc>
    </w:tr>
  </w:tbl>
  <w:p w14:paraId="4157FFFB" w14:textId="77777777" w:rsidR="0006468A" w:rsidRPr="003971E3" w:rsidRDefault="00B7153F" w:rsidP="003971E3">
    <w:pPr>
      <w:pStyle w:val="Footer"/>
      <w:tabs>
        <w:tab w:val="clear" w:pos="4153"/>
        <w:tab w:val="clear" w:pos="8306"/>
        <w:tab w:val="center" w:pos="5103"/>
        <w:tab w:val="right" w:pos="9639"/>
      </w:tabs>
      <w:spacing w:before="120"/>
      <w:jc w:val="center"/>
      <w:rPr>
        <w:sz w:val="18"/>
        <w:szCs w:val="18"/>
        <w:lang w:val="fr-FR"/>
      </w:rPr>
    </w:pPr>
    <w:hyperlink r:id="rId2" w:history="1">
      <w:r w:rsidR="003971E3"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9C222" w14:textId="77777777" w:rsidR="00683E53" w:rsidRDefault="00683E53" w:rsidP="006C3242">
      <w:pPr>
        <w:spacing w:before="0" w:line="240" w:lineRule="auto"/>
      </w:pPr>
      <w:r>
        <w:separator/>
      </w:r>
    </w:p>
  </w:footnote>
  <w:footnote w:type="continuationSeparator" w:id="0">
    <w:p w14:paraId="636A1085" w14:textId="77777777" w:rsidR="00683E53" w:rsidRDefault="00683E53" w:rsidP="006C3242">
      <w:pPr>
        <w:spacing w:before="0" w:line="240" w:lineRule="auto"/>
      </w:pPr>
      <w:r>
        <w:continuationSeparator/>
      </w:r>
    </w:p>
  </w:footnote>
  <w:footnote w:id="1">
    <w:p w14:paraId="43AF40C9" w14:textId="77777777" w:rsidR="00E6074B" w:rsidRPr="006364F3" w:rsidRDefault="00E6074B" w:rsidP="007444F9">
      <w:pPr>
        <w:pStyle w:val="FootnoteText"/>
        <w:tabs>
          <w:tab w:val="clear" w:pos="794"/>
          <w:tab w:val="left" w:pos="425"/>
        </w:tabs>
        <w:rPr>
          <w:rtl/>
        </w:rPr>
      </w:pPr>
      <w:r w:rsidRPr="006364F3">
        <w:rPr>
          <w:rStyle w:val="FootnoteReference"/>
        </w:rPr>
        <w:footnoteRef/>
      </w:r>
      <w:r w:rsidRPr="006364F3">
        <w:tab/>
      </w:r>
      <w:r w:rsidRPr="006364F3">
        <w:rPr>
          <w:rFonts w:hint="cs"/>
          <w:rtl/>
        </w:rPr>
        <w:t xml:space="preserve">لأغراض التبليغ، تحول كل الأرقام المالية إلى الفرنك السويسري باستعمال أسعار الصرف المحاسبية في الاتحاد في ديسمبر </w:t>
      </w:r>
      <w:r w:rsidRPr="006364F3">
        <w:t>2019</w:t>
      </w:r>
      <w:r w:rsidRPr="006364F3">
        <w:rPr>
          <w:rFonts w:hint="cs"/>
          <w:rtl/>
        </w:rPr>
        <w:t>. و</w:t>
      </w:r>
      <w:r w:rsidRPr="006364F3">
        <w:rPr>
          <w:rtl/>
        </w:rPr>
        <w:t>قد يتغير هذا الرقم قليلاً عند إغلاق الحسابات.</w:t>
      </w:r>
    </w:p>
  </w:footnote>
  <w:footnote w:id="2">
    <w:p w14:paraId="059FF139" w14:textId="6BBDEF1A" w:rsidR="008A4777" w:rsidRPr="006364F3" w:rsidRDefault="008A4777" w:rsidP="007444F9">
      <w:pPr>
        <w:pStyle w:val="FootnoteText"/>
        <w:tabs>
          <w:tab w:val="clear" w:pos="794"/>
          <w:tab w:val="left" w:pos="425"/>
        </w:tabs>
      </w:pPr>
      <w:r w:rsidRPr="00030897">
        <w:rPr>
          <w:rStyle w:val="FootnoteReference"/>
        </w:rPr>
        <w:footnoteRef/>
      </w:r>
      <w:r w:rsidRPr="006364F3">
        <w:rPr>
          <w:rtl/>
        </w:rPr>
        <w:tab/>
      </w:r>
      <w:r w:rsidR="00761E8F" w:rsidRPr="006364F3">
        <w:rPr>
          <w:rFonts w:hint="cs"/>
          <w:rtl/>
        </w:rPr>
        <w:t>ت</w:t>
      </w:r>
      <w:r w:rsidRPr="006364F3">
        <w:rPr>
          <w:rtl/>
        </w:rPr>
        <w:t>ُرجى ملاحظة أن بعض المشاريع تندرج في أكثر من مجال عمل واحد.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tl/>
      </w:rPr>
      <w:id w:val="-1375531529"/>
      <w:docPartObj>
        <w:docPartGallery w:val="Page Numbers (Top of Page)"/>
        <w:docPartUnique/>
      </w:docPartObj>
    </w:sdtPr>
    <w:sdtEndPr>
      <w:rPr>
        <w:rFonts w:cs="Calibri"/>
        <w:noProof/>
        <w:sz w:val="18"/>
        <w:szCs w:val="18"/>
      </w:rPr>
    </w:sdtEndPr>
    <w:sdtContent>
      <w:p w14:paraId="6DA3D311" w14:textId="7E872B5C"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Pr>
            <w:sz w:val="20"/>
            <w:szCs w:val="20"/>
            <w:lang w:val="es-ES_tradnl"/>
          </w:rPr>
          <w:t>TDAG-20</w:t>
        </w:r>
        <w:r w:rsidRPr="00FC3D2F">
          <w:rPr>
            <w:sz w:val="20"/>
            <w:szCs w:val="20"/>
            <w:lang w:val="es-ES_tradnl"/>
          </w:rPr>
          <w:t>/</w:t>
        </w:r>
        <w:bookmarkStart w:id="3" w:name="DocNo2"/>
        <w:bookmarkEnd w:id="3"/>
        <w:r w:rsidR="00AE639B">
          <w:rPr>
            <w:sz w:val="20"/>
            <w:szCs w:val="20"/>
            <w:lang w:val="es-ES_tradnl"/>
          </w:rPr>
          <w:t>1</w:t>
        </w:r>
        <w:r w:rsidR="00F72FBF">
          <w:rPr>
            <w:sz w:val="20"/>
            <w:szCs w:val="20"/>
            <w:lang w:val="es-ES_tradnl"/>
          </w:rPr>
          <w:t>0</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D4F"/>
    <w:rsid w:val="000169A6"/>
    <w:rsid w:val="0002244E"/>
    <w:rsid w:val="00030897"/>
    <w:rsid w:val="000540D7"/>
    <w:rsid w:val="0006468A"/>
    <w:rsid w:val="00085905"/>
    <w:rsid w:val="00090456"/>
    <w:rsid w:val="00090574"/>
    <w:rsid w:val="000C1C0E"/>
    <w:rsid w:val="000C548A"/>
    <w:rsid w:val="00150F82"/>
    <w:rsid w:val="001562FD"/>
    <w:rsid w:val="00167324"/>
    <w:rsid w:val="001805BB"/>
    <w:rsid w:val="001C0169"/>
    <w:rsid w:val="001D0111"/>
    <w:rsid w:val="001D1D50"/>
    <w:rsid w:val="001D6745"/>
    <w:rsid w:val="001E2E2D"/>
    <w:rsid w:val="001E446E"/>
    <w:rsid w:val="002154EE"/>
    <w:rsid w:val="002276D2"/>
    <w:rsid w:val="0023283D"/>
    <w:rsid w:val="0026373E"/>
    <w:rsid w:val="00271C43"/>
    <w:rsid w:val="00281611"/>
    <w:rsid w:val="00290728"/>
    <w:rsid w:val="002978F4"/>
    <w:rsid w:val="002B028D"/>
    <w:rsid w:val="002E6541"/>
    <w:rsid w:val="00334924"/>
    <w:rsid w:val="003409BC"/>
    <w:rsid w:val="00357185"/>
    <w:rsid w:val="00383829"/>
    <w:rsid w:val="00386729"/>
    <w:rsid w:val="003971E3"/>
    <w:rsid w:val="003A55CC"/>
    <w:rsid w:val="003C0A90"/>
    <w:rsid w:val="003F4B29"/>
    <w:rsid w:val="004226F6"/>
    <w:rsid w:val="00422719"/>
    <w:rsid w:val="0042686F"/>
    <w:rsid w:val="004317D8"/>
    <w:rsid w:val="00434183"/>
    <w:rsid w:val="00443869"/>
    <w:rsid w:val="00447F32"/>
    <w:rsid w:val="004B5BB6"/>
    <w:rsid w:val="004E11DC"/>
    <w:rsid w:val="00512295"/>
    <w:rsid w:val="00525DDD"/>
    <w:rsid w:val="00530E15"/>
    <w:rsid w:val="005409AC"/>
    <w:rsid w:val="0055516A"/>
    <w:rsid w:val="00576564"/>
    <w:rsid w:val="0058491B"/>
    <w:rsid w:val="005874F2"/>
    <w:rsid w:val="00592EA5"/>
    <w:rsid w:val="005A3170"/>
    <w:rsid w:val="005F54B0"/>
    <w:rsid w:val="00622680"/>
    <w:rsid w:val="006226DD"/>
    <w:rsid w:val="006273F9"/>
    <w:rsid w:val="006364F3"/>
    <w:rsid w:val="00677396"/>
    <w:rsid w:val="00683E53"/>
    <w:rsid w:val="0069200F"/>
    <w:rsid w:val="006923F9"/>
    <w:rsid w:val="006A65CB"/>
    <w:rsid w:val="006C3242"/>
    <w:rsid w:val="006C7CC0"/>
    <w:rsid w:val="006F63F7"/>
    <w:rsid w:val="007025C7"/>
    <w:rsid w:val="00706D7A"/>
    <w:rsid w:val="00722F0D"/>
    <w:rsid w:val="00743FA3"/>
    <w:rsid w:val="0074420E"/>
    <w:rsid w:val="007444F9"/>
    <w:rsid w:val="00761E8F"/>
    <w:rsid w:val="00783A69"/>
    <w:rsid w:val="00783E26"/>
    <w:rsid w:val="007A0A47"/>
    <w:rsid w:val="007C3BC7"/>
    <w:rsid w:val="007C3BCD"/>
    <w:rsid w:val="007D4ACF"/>
    <w:rsid w:val="007F0787"/>
    <w:rsid w:val="007F19B0"/>
    <w:rsid w:val="008010EC"/>
    <w:rsid w:val="00805FFA"/>
    <w:rsid w:val="00810B7B"/>
    <w:rsid w:val="0082358A"/>
    <w:rsid w:val="008235CD"/>
    <w:rsid w:val="008247DE"/>
    <w:rsid w:val="00840B10"/>
    <w:rsid w:val="00847778"/>
    <w:rsid w:val="008513CB"/>
    <w:rsid w:val="00882A17"/>
    <w:rsid w:val="008A4777"/>
    <w:rsid w:val="008A7F84"/>
    <w:rsid w:val="0091702E"/>
    <w:rsid w:val="009223C0"/>
    <w:rsid w:val="00923B0C"/>
    <w:rsid w:val="0094021C"/>
    <w:rsid w:val="00946D4F"/>
    <w:rsid w:val="00952F86"/>
    <w:rsid w:val="009808D1"/>
    <w:rsid w:val="00982B28"/>
    <w:rsid w:val="009C60BB"/>
    <w:rsid w:val="009D313F"/>
    <w:rsid w:val="00A1660D"/>
    <w:rsid w:val="00A47A5A"/>
    <w:rsid w:val="00A52887"/>
    <w:rsid w:val="00A6683B"/>
    <w:rsid w:val="00A91C4D"/>
    <w:rsid w:val="00A97F94"/>
    <w:rsid w:val="00AA2332"/>
    <w:rsid w:val="00AA7EA2"/>
    <w:rsid w:val="00AB2C0E"/>
    <w:rsid w:val="00AE639B"/>
    <w:rsid w:val="00AF74EB"/>
    <w:rsid w:val="00B03099"/>
    <w:rsid w:val="00B035CE"/>
    <w:rsid w:val="00B05BC8"/>
    <w:rsid w:val="00B14A17"/>
    <w:rsid w:val="00B203B4"/>
    <w:rsid w:val="00B40059"/>
    <w:rsid w:val="00B50807"/>
    <w:rsid w:val="00B64B47"/>
    <w:rsid w:val="00B7153F"/>
    <w:rsid w:val="00BA2978"/>
    <w:rsid w:val="00BC3498"/>
    <w:rsid w:val="00BC4009"/>
    <w:rsid w:val="00BC5B73"/>
    <w:rsid w:val="00C002DE"/>
    <w:rsid w:val="00C53BF8"/>
    <w:rsid w:val="00C66157"/>
    <w:rsid w:val="00C674FE"/>
    <w:rsid w:val="00C67501"/>
    <w:rsid w:val="00C75633"/>
    <w:rsid w:val="00C95998"/>
    <w:rsid w:val="00CC3657"/>
    <w:rsid w:val="00CE2EE1"/>
    <w:rsid w:val="00CE3349"/>
    <w:rsid w:val="00CE36E5"/>
    <w:rsid w:val="00CF27F5"/>
    <w:rsid w:val="00CF3FFD"/>
    <w:rsid w:val="00D10CCF"/>
    <w:rsid w:val="00D14548"/>
    <w:rsid w:val="00D240C8"/>
    <w:rsid w:val="00D30494"/>
    <w:rsid w:val="00D5536E"/>
    <w:rsid w:val="00D77D0F"/>
    <w:rsid w:val="00D90CCF"/>
    <w:rsid w:val="00D91604"/>
    <w:rsid w:val="00D97BD3"/>
    <w:rsid w:val="00DA1CF0"/>
    <w:rsid w:val="00DB1407"/>
    <w:rsid w:val="00DB1D53"/>
    <w:rsid w:val="00DC1E02"/>
    <w:rsid w:val="00DC24B4"/>
    <w:rsid w:val="00DC5FB0"/>
    <w:rsid w:val="00DF16DC"/>
    <w:rsid w:val="00E4461C"/>
    <w:rsid w:val="00E45211"/>
    <w:rsid w:val="00E473C5"/>
    <w:rsid w:val="00E6074B"/>
    <w:rsid w:val="00E6256B"/>
    <w:rsid w:val="00E92863"/>
    <w:rsid w:val="00EB796D"/>
    <w:rsid w:val="00F058DC"/>
    <w:rsid w:val="00F05B7C"/>
    <w:rsid w:val="00F24FC4"/>
    <w:rsid w:val="00F2676C"/>
    <w:rsid w:val="00F44127"/>
    <w:rsid w:val="00F72FBF"/>
    <w:rsid w:val="00F84366"/>
    <w:rsid w:val="00F85089"/>
    <w:rsid w:val="00F974C5"/>
    <w:rsid w:val="00FA6F46"/>
    <w:rsid w:val="00FC4B24"/>
    <w:rsid w:val="00FC610B"/>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5AE0C7"/>
  <w15:chartTrackingRefBased/>
  <w15:docId w15:val="{08C16B57-B070-4457-80AF-DCE2FF39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364F3"/>
    <w:pPr>
      <w:spacing w:before="60" w:line="168" w:lineRule="auto"/>
    </w:pPr>
    <w:rPr>
      <w:sz w:val="18"/>
      <w:szCs w:val="18"/>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364F3"/>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A52887"/>
    <w:rPr>
      <w:color w:val="605E5C"/>
      <w:shd w:val="clear" w:color="auto" w:fill="E1DFDD"/>
    </w:rPr>
  </w:style>
  <w:style w:type="paragraph" w:customStyle="1" w:styleId="enumlev10">
    <w:name w:val="enumlev1"/>
    <w:basedOn w:val="Normal"/>
    <w:next w:val="Normal"/>
    <w:link w:val="enumlev1Char"/>
    <w:qFormat/>
    <w:rsid w:val="00AE639B"/>
    <w:pPr>
      <w:tabs>
        <w:tab w:val="clear" w:pos="794"/>
        <w:tab w:val="left" w:pos="1134"/>
      </w:tabs>
      <w:spacing w:before="80"/>
      <w:ind w:left="1134" w:hanging="1134"/>
    </w:pPr>
    <w:rPr>
      <w:rFonts w:ascii="Calibri" w:eastAsia="Times New Roman" w:hAnsi="Calibri" w:cs="Traditional Arabic"/>
      <w:szCs w:val="30"/>
      <w:lang w:eastAsia="en-US"/>
    </w:rPr>
  </w:style>
  <w:style w:type="character" w:customStyle="1" w:styleId="enumlev1Char">
    <w:name w:val="enumlev1 Char"/>
    <w:basedOn w:val="DefaultParagraphFont"/>
    <w:link w:val="enumlev10"/>
    <w:rsid w:val="00AE639B"/>
    <w:rPr>
      <w:rFonts w:ascii="Calibri" w:eastAsia="Times New Roman" w:hAnsi="Calibri" w:cs="Traditional Arabic"/>
      <w:szCs w:val="30"/>
      <w:lang w:eastAsia="en-US"/>
    </w:rPr>
  </w:style>
  <w:style w:type="character" w:customStyle="1" w:styleId="href">
    <w:name w:val="href"/>
    <w:basedOn w:val="DefaultParagraphFont"/>
    <w:qFormat/>
    <w:rsid w:val="00AE639B"/>
  </w:style>
  <w:style w:type="paragraph" w:styleId="NormalWeb">
    <w:name w:val="Normal (Web)"/>
    <w:basedOn w:val="Normal"/>
    <w:uiPriority w:val="99"/>
    <w:unhideWhenUsed/>
    <w:rsid w:val="00AE639B"/>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Headingb0">
    <w:name w:val="Heading_b"/>
    <w:basedOn w:val="Heading2"/>
    <w:rsid w:val="00E4461C"/>
    <w:pPr>
      <w:tabs>
        <w:tab w:val="clear" w:pos="794"/>
        <w:tab w:val="left" w:pos="1134"/>
      </w:tabs>
      <w:spacing w:before="180"/>
      <w:ind w:left="0" w:firstLine="0"/>
    </w:pPr>
    <w:rPr>
      <w:rFonts w:ascii="Calibri" w:eastAsia="Times New Roman" w:hAnsi="Calibri" w:cs="Traditional Arabic"/>
      <w:kern w:val="14"/>
      <w:szCs w:val="3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www.itu.int/en/ITU-D/Projects/Pages/default.aspx" TargetMode="External"/><Relationship Id="rId2" Type="http://schemas.openxmlformats.org/officeDocument/2006/relationships/numbering" Target="numbering.xml"/><Relationship Id="rId16" Type="http://schemas.openxmlformats.org/officeDocument/2006/relationships/hyperlink" Target="https://www.itu.int/en/ITU-D/Projects/Pages/Case-Studies.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file:///C:\Users\zavazava\AppData\Local\Microsoft\Windows\Temporary%20Internet%20Files\Content.Outlook\PF7LKOSK\itu.int\en\ITU-D\Projects\Pages\Video-Gallery.aspx" TargetMode="Externa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en/ITU-D/Projects/" TargetMode="External"/><Relationship Id="rId14" Type="http://schemas.openxmlformats.org/officeDocument/2006/relationships/hyperlink" Target="https://www.itu.int/en/ITU-D/Projects/Pages/Implementation-Reviews.asp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cosmas.zavazava@itu.in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1">
              <a:defRPr sz="1400" b="0" i="0" u="none" strike="noStrike" kern="1200" spc="0" baseline="0">
                <a:solidFill>
                  <a:schemeClr val="tx1">
                    <a:lumMod val="65000"/>
                    <a:lumOff val="35000"/>
                  </a:schemeClr>
                </a:solidFill>
                <a:latin typeface="+mn-lt"/>
                <a:ea typeface="+mn-ea"/>
                <a:cs typeface="+mn-cs"/>
              </a:defRPr>
            </a:pPr>
            <a:r>
              <a:rPr lang="ar-EG" sz="1100" b="0" i="0" u="none" strike="noStrike" baseline="0">
                <a:effectLst/>
                <a:latin typeface="Dubai" panose="020B0503030403030204" pitchFamily="34" charset="-78"/>
                <a:cs typeface="Dubai" panose="020B0503030403030204" pitchFamily="34" charset="-78"/>
              </a:rPr>
              <a:t>الرسم البياني 1:</a:t>
            </a:r>
            <a:br>
              <a:rPr lang="ar-EG" sz="1100" b="0" i="0" u="none" strike="noStrike" baseline="0">
                <a:effectLst/>
                <a:latin typeface="Dubai" panose="020B0503030403030204" pitchFamily="34" charset="-78"/>
                <a:cs typeface="Dubai" panose="020B0503030403030204" pitchFamily="34" charset="-78"/>
              </a:rPr>
            </a:br>
            <a:r>
              <a:rPr lang="ar-SA" sz="1100" b="0" i="0" u="none" strike="noStrike" baseline="0">
                <a:effectLst/>
                <a:latin typeface="Dubai" panose="020B0503030403030204" pitchFamily="34" charset="-78"/>
                <a:cs typeface="Dubai" panose="020B0503030403030204" pitchFamily="34" charset="-78"/>
              </a:rPr>
              <a:t>توزع مشاريع مكتب تنمية الاتصالات في 31 ديسمبر 2019</a:t>
            </a:r>
            <a:endParaRPr lang="en-GB" sz="1100">
              <a:latin typeface="Dubai" panose="020B0503030403030204" pitchFamily="34" charset="-78"/>
              <a:cs typeface="Dubai" panose="020B0503030403030204" pitchFamily="34" charset="-78"/>
            </a:endParaRPr>
          </a:p>
        </c:rich>
      </c:tx>
      <c:overlay val="0"/>
      <c:spPr>
        <a:noFill/>
        <a:ln>
          <a:noFill/>
        </a:ln>
        <a:effectLst/>
      </c:spPr>
      <c:txPr>
        <a:bodyPr rot="0" spcFirstLastPara="1" vertOverflow="ellipsis" vert="horz" wrap="square" anchor="ctr" anchorCtr="1"/>
        <a:lstStyle/>
        <a:p>
          <a:pPr rtl="1">
            <a:defRPr sz="1400" b="0" i="0" u="none" strike="noStrike" kern="1200" spc="0" baseline="0">
              <a:solidFill>
                <a:schemeClr val="tx1">
                  <a:lumMod val="65000"/>
                  <a:lumOff val="35000"/>
                </a:schemeClr>
              </a:solidFill>
              <a:latin typeface="+mn-lt"/>
              <a:ea typeface="+mn-ea"/>
              <a:cs typeface="+mn-cs"/>
            </a:defRPr>
          </a:pPr>
          <a:endParaRPr lang="en-CH"/>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CH"/>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Sheet1!$A$13:$A$19</c:f>
              <c:strCache>
                <c:ptCount val="7"/>
                <c:pt idx="0">
                  <c:v> AFR </c:v>
                </c:pt>
                <c:pt idx="1">
                  <c:v> AMS </c:v>
                </c:pt>
                <c:pt idx="2">
                  <c:v> ARB </c:v>
                </c:pt>
                <c:pt idx="3">
                  <c:v> ASP </c:v>
                </c:pt>
                <c:pt idx="4">
                  <c:v> CIS </c:v>
                </c:pt>
                <c:pt idx="5">
                  <c:v> EUR </c:v>
                </c:pt>
                <c:pt idx="6">
                  <c:v> GLO </c:v>
                </c:pt>
              </c:strCache>
            </c:strRef>
          </c:cat>
          <c:val>
            <c:numRef>
              <c:f>Sheet1!$B$13:$B$19</c:f>
              <c:numCache>
                <c:formatCode>General</c:formatCode>
                <c:ptCount val="7"/>
                <c:pt idx="0">
                  <c:v>14</c:v>
                </c:pt>
                <c:pt idx="1">
                  <c:v>10</c:v>
                </c:pt>
                <c:pt idx="2">
                  <c:v>14</c:v>
                </c:pt>
                <c:pt idx="3">
                  <c:v>8</c:v>
                </c:pt>
                <c:pt idx="4">
                  <c:v>2</c:v>
                </c:pt>
                <c:pt idx="5">
                  <c:v>1</c:v>
                </c:pt>
                <c:pt idx="6">
                  <c:v>20</c:v>
                </c:pt>
              </c:numCache>
            </c:numRef>
          </c:val>
          <c:extLst>
            <c:ext xmlns:c16="http://schemas.microsoft.com/office/drawing/2014/chart" uri="{C3380CC4-5D6E-409C-BE32-E72D297353CC}">
              <c16:uniqueId val="{00000000-19A3-4C2B-A127-CA9EFBCC6426}"/>
            </c:ext>
          </c:extLst>
        </c:ser>
        <c:dLbls>
          <c:dLblPos val="outEnd"/>
          <c:showLegendKey val="0"/>
          <c:showVal val="1"/>
          <c:showCatName val="0"/>
          <c:showSerName val="0"/>
          <c:showPercent val="0"/>
          <c:showBubbleSize val="0"/>
        </c:dLbls>
        <c:gapWidth val="219"/>
        <c:overlap val="-27"/>
        <c:axId val="469605760"/>
        <c:axId val="469601840"/>
      </c:barChart>
      <c:catAx>
        <c:axId val="469605760"/>
        <c:scaling>
          <c:orientation val="minMax"/>
        </c:scaling>
        <c:delete val="0"/>
        <c:axPos val="b"/>
        <c:numFmt formatCode="General" sourceLinked="1"/>
        <c:majorTickMark val="out"/>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H"/>
          </a:p>
        </c:txPr>
        <c:crossAx val="469601840"/>
        <c:crosses val="autoZero"/>
        <c:auto val="1"/>
        <c:lblAlgn val="ctr"/>
        <c:lblOffset val="100"/>
        <c:noMultiLvlLbl val="0"/>
      </c:catAx>
      <c:valAx>
        <c:axId val="469601840"/>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H"/>
          </a:p>
        </c:txPr>
        <c:crossAx val="469605760"/>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spcBef>
          <a:spcPts val="600"/>
        </a:spcBef>
        <a:spcAft>
          <a:spcPts val="600"/>
        </a:spcAft>
        <a:defRPr/>
      </a:pPr>
      <a:endParaRPr lang="en-CH"/>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rtl="1">
              <a:defRPr sz="1100"/>
            </a:pPr>
            <a:r>
              <a:rPr lang="ar-EG" sz="1100" b="0"/>
              <a:t>الرسم البياني 2:</a:t>
            </a:r>
            <a:br>
              <a:rPr lang="ar-EG" sz="1100" b="0"/>
            </a:br>
            <a:r>
              <a:rPr lang="ar-EG" sz="1100" b="0"/>
              <a:t>قيمة</a:t>
            </a:r>
            <a:r>
              <a:rPr lang="ar-SA" sz="1100" b="0"/>
              <a:t> المشاريع الجارية لمكتب تنمية الاتصالات بحسب المناطق في 31 ديسمبر 2019</a:t>
            </a:r>
            <a:endParaRPr lang="en-US" sz="1100" b="0"/>
          </a:p>
        </c:rich>
      </c:tx>
      <c:layout>
        <c:manualLayout>
          <c:xMode val="edge"/>
          <c:yMode val="edge"/>
          <c:x val="0.15430218522193728"/>
          <c:y val="1.0228980977161517E-3"/>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قيمة المشاريع الجارية لمكتب تنمية الاتصالات بحسب المناطق</c:v>
                </c:pt>
              </c:strCache>
            </c:strRef>
          </c:tx>
          <c:invertIfNegative val="0"/>
          <c:dPt>
            <c:idx val="1"/>
            <c:invertIfNegative val="0"/>
            <c:bubble3D val="0"/>
            <c:extLst>
              <c:ext xmlns:c16="http://schemas.microsoft.com/office/drawing/2014/chart" uri="{C3380CC4-5D6E-409C-BE32-E72D297353CC}">
                <c16:uniqueId val="{00000000-2B20-45B9-BA22-1A2D0F168152}"/>
              </c:ext>
            </c:extLst>
          </c:dPt>
          <c:dPt>
            <c:idx val="2"/>
            <c:invertIfNegative val="0"/>
            <c:bubble3D val="0"/>
            <c:extLst>
              <c:ext xmlns:c16="http://schemas.microsoft.com/office/drawing/2014/chart" uri="{C3380CC4-5D6E-409C-BE32-E72D297353CC}">
                <c16:uniqueId val="{00000001-2B20-45B9-BA22-1A2D0F168152}"/>
              </c:ext>
            </c:extLst>
          </c:dPt>
          <c:dPt>
            <c:idx val="3"/>
            <c:invertIfNegative val="0"/>
            <c:bubble3D val="0"/>
            <c:extLst>
              <c:ext xmlns:c16="http://schemas.microsoft.com/office/drawing/2014/chart" uri="{C3380CC4-5D6E-409C-BE32-E72D297353CC}">
                <c16:uniqueId val="{00000002-2B20-45B9-BA22-1A2D0F168152}"/>
              </c:ext>
            </c:extLst>
          </c:dPt>
          <c:dPt>
            <c:idx val="4"/>
            <c:invertIfNegative val="0"/>
            <c:bubble3D val="0"/>
            <c:extLst>
              <c:ext xmlns:c16="http://schemas.microsoft.com/office/drawing/2014/chart" uri="{C3380CC4-5D6E-409C-BE32-E72D297353CC}">
                <c16:uniqueId val="{00000003-2B20-45B9-BA22-1A2D0F168152}"/>
              </c:ext>
            </c:extLst>
          </c:dPt>
          <c:dPt>
            <c:idx val="5"/>
            <c:invertIfNegative val="0"/>
            <c:bubble3D val="0"/>
            <c:extLst>
              <c:ext xmlns:c16="http://schemas.microsoft.com/office/drawing/2014/chart" uri="{C3380CC4-5D6E-409C-BE32-E72D297353CC}">
                <c16:uniqueId val="{00000004-2B20-45B9-BA22-1A2D0F168152}"/>
              </c:ext>
            </c:extLst>
          </c:dPt>
          <c:dLbls>
            <c:dLbl>
              <c:idx val="0"/>
              <c:layout>
                <c:manualLayout>
                  <c:x val="1.1469515574055698E-3"/>
                  <c:y val="-0.1553797257224945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B20-45B9-BA22-1A2D0F168152}"/>
                </c:ext>
              </c:extLst>
            </c:dLbl>
            <c:dLbl>
              <c:idx val="1"/>
              <c:layout>
                <c:manualLayout>
                  <c:x val="2.1822149481723948E-3"/>
                  <c:y val="-0.3211113618910130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B20-45B9-BA22-1A2D0F168152}"/>
                </c:ext>
              </c:extLst>
            </c:dLbl>
            <c:dLbl>
              <c:idx val="2"/>
              <c:layout>
                <c:manualLayout>
                  <c:x val="-2.1822149481723948E-3"/>
                  <c:y val="-0.35538994618641845"/>
                </c:manualLayout>
              </c:layout>
              <c:tx>
                <c:rich>
                  <a:bodyPr/>
                  <a:lstStyle/>
                  <a:p>
                    <a:fld id="{5C25DB1A-9A8C-4C0A-8B26-7476AE4F45C5}" type="VALUE">
                      <a:rPr lang="en-US">
                        <a:solidFill>
                          <a:sysClr val="windowText" lastClr="000000"/>
                        </a:solidFill>
                      </a:rPr>
                      <a:pPr/>
                      <a:t>[VALUE]</a:t>
                    </a:fld>
                    <a:endParaRPr lang="en-CH"/>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B20-45B9-BA22-1A2D0F168152}"/>
                </c:ext>
              </c:extLst>
            </c:dLbl>
            <c:dLbl>
              <c:idx val="4"/>
              <c:layout>
                <c:manualLayout>
                  <c:x val="9.1859221361650575E-4"/>
                  <c:y val="-0.3455959027295736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B20-45B9-BA22-1A2D0F168152}"/>
                </c:ext>
              </c:extLst>
            </c:dLbl>
            <c:dLbl>
              <c:idx val="6"/>
              <c:layout>
                <c:manualLayout>
                  <c:x val="2.1822149481722348E-3"/>
                  <c:y val="-0.4110329908058410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B20-45B9-BA22-1A2D0F168152}"/>
                </c:ext>
              </c:extLst>
            </c:dLbl>
            <c:spPr>
              <a:noFill/>
              <a:ln>
                <a:noFill/>
              </a:ln>
              <a:effectLst/>
            </c:spPr>
            <c:txPr>
              <a:bodyPr rot="0" vert="horz"/>
              <a:lstStyle/>
              <a:p>
                <a:pPr>
                  <a:defRPr sz="900" baseline="0"/>
                </a:pPr>
                <a:endParaRPr lang="en-CH"/>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Sheet1!$A$2:$A$8</c:f>
              <c:strCache>
                <c:ptCount val="7"/>
                <c:pt idx="0">
                  <c:v>آسيا والمحيط الهادئ</c:v>
                </c:pt>
                <c:pt idx="1">
                  <c:v>إفريقيا</c:v>
                </c:pt>
                <c:pt idx="2">
                  <c:v>العالم</c:v>
                </c:pt>
                <c:pt idx="3">
                  <c:v>الأمريكتان*</c:v>
                </c:pt>
                <c:pt idx="4">
                  <c:v>الدول العربية</c:v>
                </c:pt>
                <c:pt idx="5">
                  <c:v>كومنولث الدول المستقلة</c:v>
                </c:pt>
                <c:pt idx="6">
                  <c:v>أوروبا</c:v>
                </c:pt>
              </c:strCache>
            </c:strRef>
          </c:cat>
          <c:val>
            <c:numRef>
              <c:f>Sheet1!$B$2:$B$8</c:f>
              <c:numCache>
                <c:formatCode>[$CHF-1407]\ #,##0</c:formatCode>
                <c:ptCount val="7"/>
                <c:pt idx="0">
                  <c:v>1741325</c:v>
                </c:pt>
                <c:pt idx="1">
                  <c:v>13094798</c:v>
                </c:pt>
                <c:pt idx="2">
                  <c:v>5714359</c:v>
                </c:pt>
                <c:pt idx="3">
                  <c:v>44471825</c:v>
                </c:pt>
                <c:pt idx="4">
                  <c:v>7947077</c:v>
                </c:pt>
                <c:pt idx="5">
                  <c:v>269130</c:v>
                </c:pt>
                <c:pt idx="6">
                  <c:v>3265487</c:v>
                </c:pt>
              </c:numCache>
            </c:numRef>
          </c:val>
          <c:extLst>
            <c:ext xmlns:c16="http://schemas.microsoft.com/office/drawing/2014/chart" uri="{C3380CC4-5D6E-409C-BE32-E72D297353CC}">
              <c16:uniqueId val="{00000007-2B20-45B9-BA22-1A2D0F168152}"/>
            </c:ext>
          </c:extLst>
        </c:ser>
        <c:ser>
          <c:idx val="1"/>
          <c:order val="1"/>
          <c:tx>
            <c:strRef>
              <c:f>Sheet1!$C$1</c:f>
              <c:strCache>
                <c:ptCount val="1"/>
                <c:pt idx="0">
                  <c:v>الأرصدة المتبقية للتنفيذ</c:v>
                </c:pt>
              </c:strCache>
            </c:strRef>
          </c:tx>
          <c:invertIfNegative val="0"/>
          <c:dLbls>
            <c:dLbl>
              <c:idx val="0"/>
              <c:layout>
                <c:manualLayout>
                  <c:x val="0"/>
                  <c:y val="-6.48999459167118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B20-45B9-BA22-1A2D0F168152}"/>
                </c:ext>
              </c:extLst>
            </c:dLbl>
            <c:dLbl>
              <c:idx val="1"/>
              <c:layout>
                <c:manualLayout>
                  <c:x val="0"/>
                  <c:y val="-0.158644312240850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B20-45B9-BA22-1A2D0F168152}"/>
                </c:ext>
              </c:extLst>
            </c:dLbl>
            <c:dLbl>
              <c:idx val="2"/>
              <c:layout>
                <c:manualLayout>
                  <c:x val="-2.1822149481723948E-3"/>
                  <c:y val="-0.100955471425996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B20-45B9-BA22-1A2D0F168152}"/>
                </c:ext>
              </c:extLst>
            </c:dLbl>
            <c:dLbl>
              <c:idx val="3"/>
              <c:layout>
                <c:manualLayout>
                  <c:x val="2.1822149481723948E-3"/>
                  <c:y val="-3.24499729583558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B20-45B9-BA22-1A2D0F168152}"/>
                </c:ext>
              </c:extLst>
            </c:dLbl>
            <c:dLbl>
              <c:idx val="4"/>
              <c:layout>
                <c:manualLayout>
                  <c:x val="2.182214948172475E-3"/>
                  <c:y val="-8.65332612222824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B20-45B9-BA22-1A2D0F168152}"/>
                </c:ext>
              </c:extLst>
            </c:dLbl>
            <c:dLbl>
              <c:idx val="5"/>
              <c:layout>
                <c:manualLayout>
                  <c:x val="0"/>
                  <c:y val="-5.04777357129980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B20-45B9-BA22-1A2D0F168152}"/>
                </c:ext>
              </c:extLst>
            </c:dLbl>
            <c:dLbl>
              <c:idx val="6"/>
              <c:layout>
                <c:manualLayout>
                  <c:x val="2.1822149481723948E-3"/>
                  <c:y val="-5.40832882639264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B20-45B9-BA22-1A2D0F168152}"/>
                </c:ext>
              </c:extLst>
            </c:dLbl>
            <c:spPr>
              <a:noFill/>
              <a:ln>
                <a:noFill/>
              </a:ln>
              <a:effectLst/>
            </c:spPr>
            <c:txPr>
              <a:bodyPr/>
              <a:lstStyle/>
              <a:p>
                <a:pPr>
                  <a:defRPr sz="900" baseline="0"/>
                </a:pPr>
                <a:endParaRPr lang="en-CH"/>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Sheet1!$A$2:$A$8</c:f>
              <c:strCache>
                <c:ptCount val="7"/>
                <c:pt idx="0">
                  <c:v>آسيا والمحيط الهادئ</c:v>
                </c:pt>
                <c:pt idx="1">
                  <c:v>إفريقيا</c:v>
                </c:pt>
                <c:pt idx="2">
                  <c:v>العالم</c:v>
                </c:pt>
                <c:pt idx="3">
                  <c:v>الأمريكتان*</c:v>
                </c:pt>
                <c:pt idx="4">
                  <c:v>الدول العربية</c:v>
                </c:pt>
                <c:pt idx="5">
                  <c:v>كومنولث الدول المستقلة</c:v>
                </c:pt>
                <c:pt idx="6">
                  <c:v>أوروبا</c:v>
                </c:pt>
              </c:strCache>
            </c:strRef>
          </c:cat>
          <c:val>
            <c:numRef>
              <c:f>Sheet1!$C$2:$C$8</c:f>
              <c:numCache>
                <c:formatCode>[$CHF-1407]\ #,##0</c:formatCode>
                <c:ptCount val="7"/>
                <c:pt idx="0">
                  <c:v>643113</c:v>
                </c:pt>
                <c:pt idx="1">
                  <c:v>7711246</c:v>
                </c:pt>
                <c:pt idx="2">
                  <c:v>3423913</c:v>
                </c:pt>
                <c:pt idx="3">
                  <c:v>11940530</c:v>
                </c:pt>
                <c:pt idx="4">
                  <c:v>2839359</c:v>
                </c:pt>
                <c:pt idx="5">
                  <c:v>30711</c:v>
                </c:pt>
                <c:pt idx="6">
                  <c:v>2068711</c:v>
                </c:pt>
              </c:numCache>
            </c:numRef>
          </c:val>
          <c:extLst>
            <c:ext xmlns:c16="http://schemas.microsoft.com/office/drawing/2014/chart" uri="{C3380CC4-5D6E-409C-BE32-E72D297353CC}">
              <c16:uniqueId val="{0000000F-2B20-45B9-BA22-1A2D0F168152}"/>
            </c:ext>
          </c:extLst>
        </c:ser>
        <c:dLbls>
          <c:showLegendKey val="0"/>
          <c:showVal val="0"/>
          <c:showCatName val="0"/>
          <c:showSerName val="0"/>
          <c:showPercent val="0"/>
          <c:showBubbleSize val="0"/>
        </c:dLbls>
        <c:gapWidth val="219"/>
        <c:axId val="469606152"/>
        <c:axId val="469602624"/>
      </c:barChart>
      <c:catAx>
        <c:axId val="469606152"/>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vert="horz"/>
          <a:lstStyle/>
          <a:p>
            <a:pPr>
              <a:lnSpc>
                <a:spcPts val="1200"/>
              </a:lnSpc>
              <a:defRPr sz="800" baseline="0"/>
            </a:pPr>
            <a:endParaRPr lang="en-CH"/>
          </a:p>
        </c:txPr>
        <c:crossAx val="469602624"/>
        <c:crosses val="autoZero"/>
        <c:auto val="1"/>
        <c:lblAlgn val="ctr"/>
        <c:lblOffset val="100"/>
        <c:noMultiLvlLbl val="0"/>
      </c:catAx>
      <c:valAx>
        <c:axId val="469602624"/>
        <c:scaling>
          <c:orientation val="minMax"/>
        </c:scaling>
        <c:delete val="0"/>
        <c:axPos val="l"/>
        <c:majorGridlines>
          <c:spPr>
            <a:ln w="9525">
              <a:solidFill>
                <a:schemeClr val="tx1">
                  <a:lumMod val="15000"/>
                  <a:lumOff val="85000"/>
                </a:schemeClr>
              </a:solidFill>
              <a:round/>
            </a:ln>
            <a:effectLst/>
          </c:spPr>
        </c:majorGridlines>
        <c:numFmt formatCode="[$CHF-1407]\ #,##0" sourceLinked="1"/>
        <c:majorTickMark val="none"/>
        <c:minorTickMark val="none"/>
        <c:tickLblPos val="nextTo"/>
        <c:spPr>
          <a:noFill/>
          <a:ln>
            <a:noFill/>
          </a:ln>
          <a:effectLst/>
        </c:spPr>
        <c:txPr>
          <a:bodyPr rot="-60000000" vert="horz"/>
          <a:lstStyle/>
          <a:p>
            <a:pPr>
              <a:defRPr sz="900" baseline="0"/>
            </a:pPr>
            <a:endParaRPr lang="en-CH"/>
          </a:p>
        </c:txPr>
        <c:crossAx val="469606152"/>
        <c:crosses val="autoZero"/>
        <c:crossBetween val="between"/>
      </c:valAx>
      <c:spPr>
        <a:noFill/>
        <a:ln>
          <a:noFill/>
        </a:ln>
        <a:effectLst/>
      </c:spPr>
    </c:plotArea>
    <c:legend>
      <c:legendPos val="b"/>
      <c:overlay val="0"/>
      <c:txPr>
        <a:bodyPr/>
        <a:lstStyle/>
        <a:p>
          <a:pPr>
            <a:defRPr sz="900" baseline="0"/>
          </a:pPr>
          <a:endParaRPr lang="en-CH"/>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baseline="0">
          <a:latin typeface="Dubai" panose="020B0503030403030204" pitchFamily="34" charset="-78"/>
          <a:cs typeface="Dubai" panose="020B0503030403030204" pitchFamily="34" charset="-78"/>
        </a:defRPr>
      </a:pPr>
      <a:endParaRPr lang="en-CH"/>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1">
              <a:defRPr sz="1400" b="0" i="0" u="none" strike="noStrike" kern="1200" spc="0" baseline="0">
                <a:solidFill>
                  <a:schemeClr val="tx1">
                    <a:lumMod val="65000"/>
                    <a:lumOff val="35000"/>
                  </a:schemeClr>
                </a:solidFill>
                <a:latin typeface="+mn-lt"/>
                <a:ea typeface="+mn-ea"/>
                <a:cs typeface="+mn-cs"/>
              </a:defRPr>
            </a:pPr>
            <a:r>
              <a:rPr lang="ar-EG" sz="1000" b="0" i="0" u="none" strike="noStrike" baseline="0">
                <a:effectLst/>
                <a:latin typeface="Dubai" panose="020B0503030403030204" pitchFamily="34" charset="-78"/>
                <a:cs typeface="Dubai" panose="020B0503030403030204" pitchFamily="34" charset="-78"/>
              </a:rPr>
              <a:t>الرسم البياني </a:t>
            </a:r>
            <a:r>
              <a:rPr lang="en-US" sz="1000" b="0" i="0" u="none" strike="noStrike" baseline="0">
                <a:effectLst/>
                <a:latin typeface="Dubai" panose="020B0503030403030204" pitchFamily="34" charset="-78"/>
                <a:cs typeface="Dubai" panose="020B0503030403030204" pitchFamily="34" charset="-78"/>
              </a:rPr>
              <a:t>3</a:t>
            </a:r>
            <a:r>
              <a:rPr lang="ar-EG" sz="1000" b="0" i="0" u="none" strike="noStrike" baseline="0">
                <a:effectLst/>
                <a:latin typeface="Dubai" panose="020B0503030403030204" pitchFamily="34" charset="-78"/>
                <a:cs typeface="Dubai" panose="020B0503030403030204" pitchFamily="34" charset="-78"/>
              </a:rPr>
              <a:t>: </a:t>
            </a:r>
            <a:r>
              <a:rPr lang="ar-SA" sz="1000" b="0" i="0" u="none" strike="noStrike" baseline="0">
                <a:effectLst/>
                <a:latin typeface="Dubai" panose="020B0503030403030204" pitchFamily="34" charset="-78"/>
                <a:cs typeface="Dubai" panose="020B0503030403030204" pitchFamily="34" charset="-78"/>
              </a:rPr>
              <a:t>المشاريع حسب </a:t>
            </a:r>
            <a:r>
              <a:rPr lang="ar-EG" sz="1000" b="0" i="0" u="none" strike="noStrike" baseline="0">
                <a:effectLst/>
                <a:latin typeface="Dubai" panose="020B0503030403030204" pitchFamily="34" charset="-78"/>
                <a:cs typeface="Dubai" panose="020B0503030403030204" pitchFamily="34" charset="-78"/>
              </a:rPr>
              <a:t>مجالات</a:t>
            </a:r>
            <a:r>
              <a:rPr lang="ar-SA" sz="1000" b="0" i="0" u="none" strike="noStrike" baseline="0">
                <a:effectLst/>
                <a:latin typeface="Dubai" panose="020B0503030403030204" pitchFamily="34" charset="-78"/>
                <a:cs typeface="Dubai" panose="020B0503030403030204" pitchFamily="34" charset="-78"/>
              </a:rPr>
              <a:t> المواضيع</a:t>
            </a:r>
            <a:r>
              <a:rPr lang="en-US" sz="1000" b="0" i="0" u="none" strike="noStrike" baseline="0">
                <a:effectLst/>
                <a:latin typeface="Dubai" panose="020B0503030403030204" pitchFamily="34" charset="-78"/>
                <a:cs typeface="Dubai" panose="020B0503030403030204" pitchFamily="34" charset="-78"/>
              </a:rPr>
              <a:t>*</a:t>
            </a:r>
            <a:endParaRPr lang="en-US" sz="1000" b="0" baseline="0">
              <a:latin typeface="Dubai" panose="020B0503030403030204" pitchFamily="34" charset="-78"/>
              <a:cs typeface="Dubai" panose="020B0503030403030204" pitchFamily="34" charset="-78"/>
            </a:endParaRPr>
          </a:p>
        </c:rich>
      </c:tx>
      <c:layout>
        <c:manualLayout>
          <c:xMode val="edge"/>
          <c:yMode val="edge"/>
          <c:x val="0.15966669706827188"/>
          <c:y val="4.2194241973623273E-2"/>
        </c:manualLayout>
      </c:layout>
      <c:overlay val="0"/>
      <c:spPr>
        <a:noFill/>
        <a:ln>
          <a:noFill/>
        </a:ln>
        <a:effectLst/>
      </c:spPr>
    </c:title>
    <c:autoTitleDeleted val="0"/>
    <c:plotArea>
      <c:layout/>
      <c:pieChart>
        <c:varyColors val="1"/>
        <c:ser>
          <c:idx val="0"/>
          <c:order val="0"/>
          <c:tx>
            <c:strRef>
              <c:f>Sheet1!$B$1</c:f>
              <c:strCache>
                <c:ptCount val="1"/>
                <c:pt idx="0">
                  <c:v>الرسم البياني 3: المشاريع حسب مجالات المواضيع</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6DF-49F1-8C72-1E8033C0224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6DF-49F1-8C72-1E8033C0224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6DF-49F1-8C72-1E8033C0224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6DF-49F1-8C72-1E8033C0224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6DF-49F1-8C72-1E8033C0224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6DF-49F1-8C72-1E8033C0224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D6DF-49F1-8C72-1E8033C0224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D6DF-49F1-8C72-1E8033C02244}"/>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D6DF-49F1-8C72-1E8033C02244}"/>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D6DF-49F1-8C72-1E8033C02244}"/>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D6DF-49F1-8C72-1E8033C02244}"/>
              </c:ext>
            </c:extLst>
          </c:dPt>
          <c:dPt>
            <c:idx val="11"/>
            <c:bubble3D val="0"/>
            <c:spPr>
              <a:solidFill>
                <a:schemeClr val="accent3">
                  <a:lumMod val="40000"/>
                  <a:lumOff val="60000"/>
                </a:schemeClr>
              </a:solidFill>
            </c:spPr>
            <c:extLst>
              <c:ext xmlns:c16="http://schemas.microsoft.com/office/drawing/2014/chart" uri="{C3380CC4-5D6E-409C-BE32-E72D297353CC}">
                <c16:uniqueId val="{00000017-D6DF-49F1-8C72-1E8033C02244}"/>
              </c:ext>
            </c:extLst>
          </c:dPt>
          <c:dLbls>
            <c:dLbl>
              <c:idx val="0"/>
              <c:layout>
                <c:manualLayout>
                  <c:x val="-1.1829264585170097E-2"/>
                  <c:y val="1.5418931766656103E-2"/>
                </c:manualLayout>
              </c:layout>
              <c:tx>
                <c:rich>
                  <a:bodyPr/>
                  <a:lstStyle/>
                  <a:p>
                    <a:r>
                      <a:rPr lang="en-US">
                        <a:solidFill>
                          <a:sysClr val="windowText" lastClr="000000"/>
                        </a:solidFill>
                      </a:rPr>
                      <a:t>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6DF-49F1-8C72-1E8033C02244}"/>
                </c:ext>
              </c:extLst>
            </c:dLbl>
            <c:dLbl>
              <c:idx val="1"/>
              <c:layout>
                <c:manualLayout>
                  <c:x val="-1.6587453595327611E-3"/>
                  <c:y val="3.68754215320608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6DF-49F1-8C72-1E8033C02244}"/>
                </c:ext>
              </c:extLst>
            </c:dLbl>
            <c:dLbl>
              <c:idx val="2"/>
              <c:layout>
                <c:manualLayout>
                  <c:x val="-6.7918875005489182E-3"/>
                  <c:y val="-1.954007648517927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6DF-49F1-8C72-1E8033C02244}"/>
                </c:ext>
              </c:extLst>
            </c:dLbl>
            <c:dLbl>
              <c:idx val="3"/>
              <c:layout>
                <c:manualLayout>
                  <c:x val="-2.5402230126639574E-3"/>
                  <c:y val="-5.17011611938600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6DF-49F1-8C72-1E8033C02244}"/>
                </c:ext>
              </c:extLst>
            </c:dLbl>
            <c:dLbl>
              <c:idx val="4"/>
              <c:layout>
                <c:manualLayout>
                  <c:x val="-1.6552660647148835E-2"/>
                  <c:y val="-1.87546216165703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6DF-49F1-8C72-1E8033C02244}"/>
                </c:ext>
              </c:extLst>
            </c:dLbl>
            <c:dLbl>
              <c:idx val="5"/>
              <c:layout>
                <c:manualLayout>
                  <c:x val="1.3043302019679973E-2"/>
                  <c:y val="-1.54307143495607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6DF-49F1-8C72-1E8033C02244}"/>
                </c:ext>
              </c:extLst>
            </c:dLbl>
            <c:dLbl>
              <c:idx val="6"/>
              <c:layout>
                <c:manualLayout>
                  <c:x val="2.5892033766049515E-4"/>
                  <c:y val="-1.88354745130542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6DF-49F1-8C72-1E8033C02244}"/>
                </c:ext>
              </c:extLst>
            </c:dLbl>
            <c:dLbl>
              <c:idx val="7"/>
              <c:layout>
                <c:manualLayout>
                  <c:x val="5.3493313335833022E-3"/>
                  <c:y val="1.68893265898746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6DF-49F1-8C72-1E8033C02244}"/>
                </c:ext>
              </c:extLst>
            </c:dLbl>
            <c:dLbl>
              <c:idx val="8"/>
              <c:layout>
                <c:manualLayout>
                  <c:x val="4.2310589554684043E-3"/>
                  <c:y val="3.870781632172139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6DF-49F1-8C72-1E8033C02244}"/>
                </c:ext>
              </c:extLst>
            </c:dLbl>
            <c:dLbl>
              <c:idx val="9"/>
              <c:layout>
                <c:manualLayout>
                  <c:x val="-5.8219073967105467E-4"/>
                  <c:y val="-8.993361123977149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6DF-49F1-8C72-1E8033C02244}"/>
                </c:ext>
              </c:extLst>
            </c:dLbl>
            <c:dLbl>
              <c:idx val="11"/>
              <c:layout>
                <c:manualLayout>
                  <c:x val="2.1368950502808769E-3"/>
                  <c:y val="1.54189317666561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D6DF-49F1-8C72-1E8033C0224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CH"/>
              </a:p>
            </c:txPr>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Sheet1!$A$2:$A$13</c:f>
              <c:strCache>
                <c:ptCount val="12"/>
                <c:pt idx="0">
                  <c:v>بناء القدرات</c:v>
                </c:pt>
                <c:pt idx="1">
                  <c:v>الأمن السيبراني</c:v>
                </c:pt>
                <c:pt idx="2">
                  <c:v>الابتكار</c:v>
                </c:pt>
                <c:pt idx="3">
                  <c:v>البيئة التنظيمية وبيئة السوق</c:v>
                </c:pt>
                <c:pt idx="4">
                  <c:v>تطور التكنولوجيا والشبكات</c:v>
                </c:pt>
                <c:pt idx="5">
                  <c:v>الشمول الرقمي</c:v>
                </c:pt>
                <c:pt idx="6">
                  <c:v>تطبيقات تكنولوجيا المعلومات والاتصالات</c:v>
                </c:pt>
                <c:pt idx="7">
                  <c:v>تغير المناخ</c:v>
                </c:pt>
                <c:pt idx="8">
                  <c:v>أقل البلدان نمواً والدول الجزرية الصغيرة النامية</c:v>
                </c:pt>
                <c:pt idx="9">
                  <c:v>الاتصالات في حالات الطوارئ</c:v>
                </c:pt>
                <c:pt idx="10">
                  <c:v>إحصاءات ومؤشرات تكنولوجيا المعلومات والاتصالات</c:v>
                </c:pt>
                <c:pt idx="11">
                  <c:v>إدارة الطيف والإذاعة الرقمية</c:v>
                </c:pt>
              </c:strCache>
            </c:strRef>
          </c:cat>
          <c:val>
            <c:numRef>
              <c:f>Sheet1!$B$2:$B$13</c:f>
              <c:numCache>
                <c:formatCode>General</c:formatCode>
                <c:ptCount val="12"/>
                <c:pt idx="0">
                  <c:v>11</c:v>
                </c:pt>
                <c:pt idx="1">
                  <c:v>10</c:v>
                </c:pt>
                <c:pt idx="2">
                  <c:v>9</c:v>
                </c:pt>
                <c:pt idx="3">
                  <c:v>6</c:v>
                </c:pt>
                <c:pt idx="4">
                  <c:v>9</c:v>
                </c:pt>
                <c:pt idx="5">
                  <c:v>8</c:v>
                </c:pt>
                <c:pt idx="6">
                  <c:v>11</c:v>
                </c:pt>
                <c:pt idx="7">
                  <c:v>3</c:v>
                </c:pt>
                <c:pt idx="8">
                  <c:v>5</c:v>
                </c:pt>
                <c:pt idx="9">
                  <c:v>6</c:v>
                </c:pt>
                <c:pt idx="10">
                  <c:v>1</c:v>
                </c:pt>
                <c:pt idx="11">
                  <c:v>8</c:v>
                </c:pt>
              </c:numCache>
            </c:numRef>
          </c:val>
          <c:extLst>
            <c:ext xmlns:c16="http://schemas.microsoft.com/office/drawing/2014/chart" uri="{C3380CC4-5D6E-409C-BE32-E72D297353CC}">
              <c16:uniqueId val="{00000018-D6DF-49F1-8C72-1E8033C02244}"/>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6309278907704117"/>
          <c:y val="6.3171302503595733E-2"/>
          <c:w val="0.33374325605132693"/>
          <c:h val="0.9176652918385201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CH"/>
        </a:p>
      </c:txPr>
    </c:legend>
    <c:plotVisOnly val="1"/>
    <c:dispBlanksAs val="gap"/>
    <c:showDLblsOverMax val="0"/>
  </c:chart>
  <c:spPr>
    <a:solidFill>
      <a:schemeClr val="bg1"/>
    </a:solidFill>
    <a:ln w="12700">
      <a:solidFill>
        <a:schemeClr val="accent1"/>
      </a:solidFill>
      <a:round/>
    </a:ln>
    <a:effectLst/>
  </c:spPr>
  <c:txPr>
    <a:bodyPr/>
    <a:lstStyle/>
    <a:p>
      <a:pPr>
        <a:defRPr/>
      </a:pPr>
      <a:endParaRPr lang="en-CH"/>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rtl="1">
              <a:defRPr/>
            </a:pPr>
            <a:r>
              <a:rPr lang="ar-EG" b="0"/>
              <a:t>الرسم البياني </a:t>
            </a:r>
            <a:r>
              <a:rPr lang="ar-SA" b="0"/>
              <a:t>4</a:t>
            </a:r>
            <a:r>
              <a:rPr lang="ar-EG" b="0"/>
              <a:t>:</a:t>
            </a:r>
            <a:r>
              <a:rPr lang="ar-SA" b="0"/>
              <a:t> عدد المشاريع قيد التطوير والمقرّر توقيعها</a:t>
            </a:r>
            <a:br>
              <a:rPr lang="ar-EG" b="0"/>
            </a:br>
            <a:r>
              <a:rPr lang="ar-EG" b="0"/>
              <a:t>في الربع الثاني من عام 2020</a:t>
            </a:r>
            <a:endParaRPr lang="en-US" b="0"/>
          </a:p>
        </c:rich>
      </c:tx>
      <c:layout>
        <c:manualLayout>
          <c:xMode val="edge"/>
          <c:yMode val="edge"/>
          <c:x val="0.24677082964094144"/>
          <c:y val="3.3472822187733585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Distribution of Ongoing BDT Projects</c:v>
                </c:pt>
              </c:strCache>
            </c:strRef>
          </c:tx>
          <c:spPr>
            <a:solidFill>
              <a:schemeClr val="accent1"/>
            </a:solidFill>
            <a:ln>
              <a:noFill/>
            </a:ln>
            <a:effectLst/>
          </c:spPr>
          <c:invertIfNegative val="0"/>
          <c:dPt>
            <c:idx val="1"/>
            <c:invertIfNegative val="0"/>
            <c:bubble3D val="0"/>
            <c:spPr>
              <a:solidFill>
                <a:srgbClr val="C00000"/>
              </a:solidFill>
              <a:ln>
                <a:noFill/>
              </a:ln>
              <a:effectLst/>
            </c:spPr>
            <c:extLst>
              <c:ext xmlns:c16="http://schemas.microsoft.com/office/drawing/2014/chart" uri="{C3380CC4-5D6E-409C-BE32-E72D297353CC}">
                <c16:uniqueId val="{00000001-96B2-4329-A692-7AC7888B2811}"/>
              </c:ext>
            </c:extLst>
          </c:dPt>
          <c:dPt>
            <c:idx val="2"/>
            <c:invertIfNegative val="0"/>
            <c:bubble3D val="0"/>
            <c:spPr>
              <a:solidFill>
                <a:srgbClr val="00B050"/>
              </a:solidFill>
              <a:ln>
                <a:noFill/>
              </a:ln>
              <a:effectLst/>
            </c:spPr>
            <c:extLst>
              <c:ext xmlns:c16="http://schemas.microsoft.com/office/drawing/2014/chart" uri="{C3380CC4-5D6E-409C-BE32-E72D297353CC}">
                <c16:uniqueId val="{00000003-96B2-4329-A692-7AC7888B2811}"/>
              </c:ext>
            </c:extLst>
          </c:dPt>
          <c:dPt>
            <c:idx val="3"/>
            <c:invertIfNegative val="0"/>
            <c:bubble3D val="0"/>
            <c:spPr>
              <a:solidFill>
                <a:srgbClr val="7030A0"/>
              </a:solidFill>
              <a:ln>
                <a:noFill/>
              </a:ln>
              <a:effectLst/>
            </c:spPr>
            <c:extLst>
              <c:ext xmlns:c16="http://schemas.microsoft.com/office/drawing/2014/chart" uri="{C3380CC4-5D6E-409C-BE32-E72D297353CC}">
                <c16:uniqueId val="{00000005-96B2-4329-A692-7AC7888B2811}"/>
              </c:ext>
            </c:extLst>
          </c:dPt>
          <c:dPt>
            <c:idx val="4"/>
            <c:invertIfNegative val="0"/>
            <c:bubble3D val="0"/>
            <c:spPr>
              <a:solidFill>
                <a:schemeClr val="accent2"/>
              </a:solidFill>
              <a:ln>
                <a:noFill/>
              </a:ln>
              <a:effectLst/>
            </c:spPr>
            <c:extLst>
              <c:ext xmlns:c16="http://schemas.microsoft.com/office/drawing/2014/chart" uri="{C3380CC4-5D6E-409C-BE32-E72D297353CC}">
                <c16:uniqueId val="{00000007-96B2-4329-A692-7AC7888B2811}"/>
              </c:ext>
            </c:extLst>
          </c:dPt>
          <c:dPt>
            <c:idx val="5"/>
            <c:invertIfNegative val="0"/>
            <c:bubble3D val="0"/>
            <c:spPr>
              <a:solidFill>
                <a:schemeClr val="accent2">
                  <a:lumMod val="50000"/>
                </a:schemeClr>
              </a:solidFill>
              <a:ln>
                <a:noFill/>
              </a:ln>
              <a:effectLst/>
            </c:spPr>
            <c:extLst>
              <c:ext xmlns:c16="http://schemas.microsoft.com/office/drawing/2014/chart" uri="{C3380CC4-5D6E-409C-BE32-E72D297353CC}">
                <c16:uniqueId val="{00000009-96B2-4329-A692-7AC7888B2811}"/>
              </c:ext>
            </c:extLst>
          </c:dPt>
          <c:dLbls>
            <c:spPr>
              <a:noFill/>
              <a:ln>
                <a:noFill/>
              </a:ln>
              <a:effectLst/>
            </c:spPr>
            <c:txPr>
              <a:bodyPr rot="0" vert="horz"/>
              <a:lstStyle/>
              <a:p>
                <a:pPr>
                  <a:defRPr/>
                </a:pPr>
                <a:endParaRPr lang="en-CH"/>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Sheet1!$A$2:$A$8</c:f>
              <c:strCache>
                <c:ptCount val="7"/>
                <c:pt idx="0">
                  <c:v>آسيا والمحيط الهادئ</c:v>
                </c:pt>
                <c:pt idx="1">
                  <c:v>إفريقيا</c:v>
                </c:pt>
                <c:pt idx="2">
                  <c:v>العالم</c:v>
                </c:pt>
                <c:pt idx="3">
                  <c:v>الأمريكتان</c:v>
                </c:pt>
                <c:pt idx="4">
                  <c:v>الدول العربية</c:v>
                </c:pt>
                <c:pt idx="5">
                  <c:v>كومنولث الدول المستقلة</c:v>
                </c:pt>
                <c:pt idx="6">
                  <c:v>أوروبا</c:v>
                </c:pt>
              </c:strCache>
            </c:strRef>
          </c:cat>
          <c:val>
            <c:numRef>
              <c:f>Sheet1!$B$2:$B$8</c:f>
              <c:numCache>
                <c:formatCode>General</c:formatCode>
                <c:ptCount val="7"/>
                <c:pt idx="0">
                  <c:v>2</c:v>
                </c:pt>
                <c:pt idx="1">
                  <c:v>3</c:v>
                </c:pt>
                <c:pt idx="2">
                  <c:v>1</c:v>
                </c:pt>
                <c:pt idx="3">
                  <c:v>4</c:v>
                </c:pt>
                <c:pt idx="4">
                  <c:v>0</c:v>
                </c:pt>
                <c:pt idx="5">
                  <c:v>2</c:v>
                </c:pt>
                <c:pt idx="6">
                  <c:v>1</c:v>
                </c:pt>
              </c:numCache>
            </c:numRef>
          </c:val>
          <c:extLst>
            <c:ext xmlns:c16="http://schemas.microsoft.com/office/drawing/2014/chart" uri="{C3380CC4-5D6E-409C-BE32-E72D297353CC}">
              <c16:uniqueId val="{0000000A-96B2-4329-A692-7AC7888B2811}"/>
            </c:ext>
          </c:extLst>
        </c:ser>
        <c:dLbls>
          <c:showLegendKey val="0"/>
          <c:showVal val="0"/>
          <c:showCatName val="0"/>
          <c:showSerName val="0"/>
          <c:showPercent val="0"/>
          <c:showBubbleSize val="0"/>
        </c:dLbls>
        <c:gapWidth val="219"/>
        <c:overlap val="-27"/>
        <c:axId val="469602232"/>
        <c:axId val="469606936"/>
      </c:barChart>
      <c:catAx>
        <c:axId val="469602232"/>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vert="horz"/>
          <a:lstStyle/>
          <a:p>
            <a:pPr>
              <a:lnSpc>
                <a:spcPts val="1200"/>
              </a:lnSpc>
              <a:defRPr/>
            </a:pPr>
            <a:endParaRPr lang="en-CH"/>
          </a:p>
        </c:txPr>
        <c:crossAx val="469606936"/>
        <c:crosses val="autoZero"/>
        <c:auto val="1"/>
        <c:lblAlgn val="ctr"/>
        <c:lblOffset val="100"/>
        <c:noMultiLvlLbl val="0"/>
      </c:catAx>
      <c:valAx>
        <c:axId val="469606936"/>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en-CH"/>
          </a:p>
        </c:txPr>
        <c:crossAx val="469602232"/>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sz="800">
          <a:latin typeface="Dubai" panose="020B0503030403030204" pitchFamily="34" charset="-78"/>
          <a:cs typeface="Dubai" panose="020B0503030403030204" pitchFamily="34" charset="-78"/>
        </a:defRPr>
      </a:pPr>
      <a:endParaRPr lang="en-CH"/>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8B320-56B1-4191-B5E9-BB4FDE5AC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6</Pages>
  <Words>1621</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Mohammad Haitham</dc:creator>
  <cp:keywords/>
  <dc:description/>
  <cp:lastModifiedBy>BDT</cp:lastModifiedBy>
  <cp:revision>18</cp:revision>
  <dcterms:created xsi:type="dcterms:W3CDTF">2020-02-18T15:43:00Z</dcterms:created>
  <dcterms:modified xsi:type="dcterms:W3CDTF">2020-03-10T12:42:00Z</dcterms:modified>
</cp:coreProperties>
</file>