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088"/>
        <w:gridCol w:w="2800"/>
        <w:gridCol w:w="35"/>
      </w:tblGrid>
      <w:tr w:rsidR="00D20099" w:rsidRPr="004A34BD" w14:paraId="4469BC55" w14:textId="77777777" w:rsidTr="00D20099">
        <w:trPr>
          <w:cantSplit/>
          <w:trHeight w:val="1134"/>
        </w:trPr>
        <w:tc>
          <w:tcPr>
            <w:tcW w:w="7088" w:type="dxa"/>
          </w:tcPr>
          <w:p w14:paraId="4A2844A2" w14:textId="77777777" w:rsidR="00D20099" w:rsidRPr="004A34BD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</w:rPr>
            </w:pPr>
            <w:r w:rsidRPr="004A34BD">
              <w:rPr>
                <w:b/>
                <w:bCs/>
                <w:sz w:val="32"/>
                <w:szCs w:val="32"/>
              </w:rPr>
              <w:t>Telecommunication Development</w:t>
            </w:r>
            <w:r w:rsidRPr="004A34BD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05DDD66B" w14:textId="5F090153" w:rsidR="00D20099" w:rsidRPr="004A34BD" w:rsidRDefault="007E6660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</w:rPr>
            </w:pPr>
            <w:r w:rsidRPr="004A34BD"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AC538C">
              <w:rPr>
                <w:b/>
                <w:bCs/>
                <w:sz w:val="26"/>
                <w:szCs w:val="26"/>
              </w:rPr>
              <w:t>2-5 June</w:t>
            </w:r>
            <w:bookmarkStart w:id="0" w:name="_GoBack"/>
            <w:bookmarkEnd w:id="0"/>
            <w:r w:rsidRPr="004A34BD"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2835" w:type="dxa"/>
            <w:gridSpan w:val="2"/>
          </w:tcPr>
          <w:p w14:paraId="2A777900" w14:textId="77777777" w:rsidR="00D20099" w:rsidRPr="004A34BD" w:rsidRDefault="002A7DEE" w:rsidP="00255A4F">
            <w:pPr>
              <w:spacing w:before="0"/>
              <w:jc w:val="right"/>
            </w:pPr>
            <w:r w:rsidRPr="004A34BD">
              <w:rPr>
                <w:noProof/>
                <w:lang w:eastAsia="zh-CN"/>
              </w:rPr>
              <w:drawing>
                <wp:inline distT="0" distB="0" distL="0" distR="0" wp14:anchorId="27AFC7C0" wp14:editId="1D8EDDC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A34BD" w14:paraId="3669DBB8" w14:textId="77777777" w:rsidTr="00CA1912">
        <w:trPr>
          <w:gridAfter w:val="1"/>
          <w:wAfter w:w="35" w:type="dxa"/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14:paraId="276ADFB9" w14:textId="77777777" w:rsidR="00683C32" w:rsidRPr="004A34BD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00" w:type="dxa"/>
            <w:tcBorders>
              <w:top w:val="single" w:sz="12" w:space="0" w:color="auto"/>
            </w:tcBorders>
          </w:tcPr>
          <w:p w14:paraId="4A1583B0" w14:textId="2F8945E3" w:rsidR="00683C32" w:rsidRPr="004A34BD" w:rsidRDefault="00E81D35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  <w:r w:rsidRPr="00E81D35">
              <w:rPr>
                <w:b/>
                <w:bCs/>
                <w:szCs w:val="24"/>
              </w:rPr>
              <w:t>Revision 1 to</w:t>
            </w:r>
            <w:r w:rsidR="009F150C">
              <w:rPr>
                <w:b/>
                <w:bCs/>
                <w:szCs w:val="24"/>
              </w:rPr>
              <w:t>:</w:t>
            </w:r>
          </w:p>
        </w:tc>
      </w:tr>
      <w:tr w:rsidR="00683C32" w:rsidRPr="004A34BD" w14:paraId="5AE48517" w14:textId="77777777" w:rsidTr="00CA1912">
        <w:trPr>
          <w:gridAfter w:val="1"/>
          <w:wAfter w:w="35" w:type="dxa"/>
          <w:cantSplit/>
        </w:trPr>
        <w:tc>
          <w:tcPr>
            <w:tcW w:w="7088" w:type="dxa"/>
          </w:tcPr>
          <w:p w14:paraId="161EE116" w14:textId="77777777" w:rsidR="00683C32" w:rsidRPr="004A34BD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2800" w:type="dxa"/>
          </w:tcPr>
          <w:p w14:paraId="39ADC828" w14:textId="77777777" w:rsidR="00683C32" w:rsidRPr="004A34BD" w:rsidRDefault="007E6660" w:rsidP="00BE1EC7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r w:rsidRPr="004A34BD">
              <w:rPr>
                <w:b/>
                <w:bCs/>
                <w:lang w:val="en-US"/>
              </w:rPr>
              <w:t>Document</w:t>
            </w:r>
            <w:bookmarkStart w:id="1" w:name="DocRef1"/>
            <w:bookmarkStart w:id="2" w:name="DocNo1"/>
            <w:bookmarkEnd w:id="1"/>
            <w:bookmarkEnd w:id="2"/>
            <w:r w:rsidRPr="004A34BD">
              <w:rPr>
                <w:b/>
                <w:bCs/>
                <w:lang w:val="en-US"/>
              </w:rPr>
              <w:t xml:space="preserve"> TDAG-20/</w:t>
            </w:r>
            <w:r w:rsidR="00BE1EC7" w:rsidRPr="004A34BD">
              <w:rPr>
                <w:b/>
                <w:bCs/>
                <w:lang w:val="en-US"/>
              </w:rPr>
              <w:t>9</w:t>
            </w:r>
            <w:r w:rsidRPr="004A34BD">
              <w:rPr>
                <w:b/>
                <w:bCs/>
                <w:lang w:val="en-US"/>
              </w:rPr>
              <w:t>-E</w:t>
            </w:r>
          </w:p>
        </w:tc>
      </w:tr>
      <w:tr w:rsidR="00683C32" w:rsidRPr="004A34BD" w14:paraId="3302B23B" w14:textId="77777777" w:rsidTr="00CA1912">
        <w:trPr>
          <w:gridAfter w:val="1"/>
          <w:wAfter w:w="35" w:type="dxa"/>
          <w:cantSplit/>
        </w:trPr>
        <w:tc>
          <w:tcPr>
            <w:tcW w:w="7088" w:type="dxa"/>
          </w:tcPr>
          <w:p w14:paraId="0BD2A60A" w14:textId="77777777" w:rsidR="00683C32" w:rsidRPr="004A34BD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2800" w:type="dxa"/>
          </w:tcPr>
          <w:p w14:paraId="2B388994" w14:textId="518FD447" w:rsidR="00683C32" w:rsidRPr="004A34BD" w:rsidRDefault="001D152A" w:rsidP="00D20099">
            <w:pPr>
              <w:spacing w:before="0"/>
              <w:ind w:left="34" w:right="-142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szCs w:val="24"/>
              </w:rPr>
              <w:t>28</w:t>
            </w:r>
            <w:r w:rsidR="00BE1EC7" w:rsidRPr="004A34BD">
              <w:rPr>
                <w:b/>
                <w:szCs w:val="24"/>
              </w:rPr>
              <w:t xml:space="preserve"> </w:t>
            </w:r>
            <w:r w:rsidR="00C96228" w:rsidRPr="004A34BD">
              <w:rPr>
                <w:b/>
                <w:szCs w:val="24"/>
              </w:rPr>
              <w:t>February 2020</w:t>
            </w:r>
          </w:p>
        </w:tc>
      </w:tr>
      <w:tr w:rsidR="00683C32" w:rsidRPr="004A34BD" w14:paraId="63E70B40" w14:textId="77777777" w:rsidTr="00CA1912">
        <w:trPr>
          <w:gridAfter w:val="1"/>
          <w:wAfter w:w="35" w:type="dxa"/>
          <w:cantSplit/>
        </w:trPr>
        <w:tc>
          <w:tcPr>
            <w:tcW w:w="7088" w:type="dxa"/>
          </w:tcPr>
          <w:p w14:paraId="097C5582" w14:textId="77777777" w:rsidR="00683C32" w:rsidRPr="004A34BD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2800" w:type="dxa"/>
          </w:tcPr>
          <w:p w14:paraId="01E90810" w14:textId="77777777" w:rsidR="00514D2F" w:rsidRPr="004A34BD" w:rsidRDefault="0096201B" w:rsidP="00D20099">
            <w:pPr>
              <w:spacing w:before="0"/>
              <w:ind w:left="34" w:right="-142"/>
              <w:rPr>
                <w:szCs w:val="24"/>
              </w:rPr>
            </w:pPr>
            <w:r w:rsidRPr="004A34BD">
              <w:rPr>
                <w:b/>
              </w:rPr>
              <w:t>Original:</w:t>
            </w:r>
            <w:r w:rsidR="00A73DCA" w:rsidRPr="004A34BD">
              <w:rPr>
                <w:b/>
              </w:rPr>
              <w:t xml:space="preserve"> </w:t>
            </w:r>
            <w:bookmarkStart w:id="4" w:name="Original"/>
            <w:bookmarkEnd w:id="4"/>
            <w:r w:rsidR="00C96228" w:rsidRPr="004A34BD">
              <w:rPr>
                <w:b/>
              </w:rPr>
              <w:t>English</w:t>
            </w:r>
          </w:p>
        </w:tc>
      </w:tr>
      <w:tr w:rsidR="00A13162" w:rsidRPr="004A34BD" w14:paraId="04F34C71" w14:textId="77777777" w:rsidTr="00D20099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</w:tcPr>
          <w:p w14:paraId="31A7945C" w14:textId="77777777" w:rsidR="00A13162" w:rsidRPr="004A34BD" w:rsidRDefault="00BE1EC7" w:rsidP="007E6660">
            <w:pPr>
              <w:pStyle w:val="Source"/>
              <w:spacing w:before="240" w:after="240"/>
              <w:ind w:left="29" w:right="-144"/>
            </w:pPr>
            <w:bookmarkStart w:id="5" w:name="Source"/>
            <w:bookmarkEnd w:id="5"/>
            <w:r w:rsidRPr="004A34BD">
              <w:t>Director, Telecommunication Development Bureau</w:t>
            </w:r>
          </w:p>
        </w:tc>
      </w:tr>
      <w:tr w:rsidR="00AC6F14" w:rsidRPr="004A34BD" w14:paraId="0FB202A0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04C83550" w14:textId="77777777" w:rsidR="00AC6F14" w:rsidRPr="004A34BD" w:rsidRDefault="00814338" w:rsidP="00A31E28">
            <w:pPr>
              <w:pStyle w:val="Title1"/>
              <w:spacing w:before="120" w:after="120"/>
              <w:ind w:left="29" w:right="-144"/>
              <w:rPr>
                <w:rFonts w:cs="Times New Roman"/>
                <w:bCs/>
                <w:caps/>
              </w:rPr>
            </w:pPr>
            <w:bookmarkStart w:id="6" w:name="Title"/>
            <w:bookmarkEnd w:id="6"/>
            <w:r w:rsidRPr="004A34BD">
              <w:rPr>
                <w:rFonts w:cs="Times New Roman"/>
                <w:bCs/>
                <w:caps/>
              </w:rPr>
              <w:t xml:space="preserve">Expert Group on the International Telecommunication </w:t>
            </w:r>
            <w:r w:rsidRPr="004A34BD">
              <w:rPr>
                <w:rFonts w:cs="Times New Roman"/>
                <w:bCs/>
                <w:caps/>
              </w:rPr>
              <w:br/>
              <w:t>Regulations (EG-ITRs)</w:t>
            </w:r>
            <w:r w:rsidR="00B507A5" w:rsidRPr="004A34BD">
              <w:rPr>
                <w:rFonts w:cs="Times New Roman"/>
                <w:bCs/>
                <w:caps/>
              </w:rPr>
              <w:t>:</w:t>
            </w:r>
            <w:r w:rsidRPr="004A34BD">
              <w:rPr>
                <w:rFonts w:cs="Times New Roman"/>
                <w:bCs/>
                <w:caps/>
              </w:rPr>
              <w:t xml:space="preserve"> Progress report to TDAG</w:t>
            </w:r>
          </w:p>
        </w:tc>
      </w:tr>
      <w:tr w:rsidR="00A721F4" w:rsidRPr="004A34BD" w14:paraId="268A634C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B1B6F52" w14:textId="77777777" w:rsidR="00A721F4" w:rsidRPr="004A34BD" w:rsidRDefault="00A721F4" w:rsidP="00D20099">
            <w:pPr>
              <w:ind w:left="34" w:right="-142"/>
            </w:pPr>
          </w:p>
        </w:tc>
      </w:tr>
      <w:tr w:rsidR="00A721F4" w:rsidRPr="004A34BD" w14:paraId="319B5174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187" w14:textId="77777777" w:rsidR="00A721F4" w:rsidRPr="004A34BD" w:rsidRDefault="00A721F4" w:rsidP="00874D2D">
            <w:pPr>
              <w:rPr>
                <w:b/>
                <w:bCs/>
                <w:szCs w:val="24"/>
              </w:rPr>
            </w:pPr>
            <w:r w:rsidRPr="004A34BD">
              <w:rPr>
                <w:b/>
                <w:bCs/>
                <w:szCs w:val="24"/>
              </w:rPr>
              <w:t>Summary:</w:t>
            </w:r>
          </w:p>
          <w:p w14:paraId="5648D67E" w14:textId="7A218B28" w:rsidR="00814338" w:rsidRPr="004A34BD" w:rsidRDefault="00C244C1" w:rsidP="00874D2D">
            <w:pPr>
              <w:rPr>
                <w:bCs/>
                <w:szCs w:val="24"/>
              </w:rPr>
            </w:pPr>
            <w:r w:rsidRPr="004A34BD">
              <w:rPr>
                <w:szCs w:val="24"/>
              </w:rPr>
              <w:t xml:space="preserve">This </w:t>
            </w:r>
            <w:r w:rsidR="00173373" w:rsidRPr="004A34BD">
              <w:rPr>
                <w:szCs w:val="24"/>
              </w:rPr>
              <w:t xml:space="preserve">progress </w:t>
            </w:r>
            <w:r w:rsidRPr="004A34BD">
              <w:rPr>
                <w:szCs w:val="24"/>
              </w:rPr>
              <w:t>report presents the work of the Expert Group on the International Telecommunication Regulations (EG-ITRs)</w:t>
            </w:r>
            <w:r w:rsidRPr="004A34BD">
              <w:rPr>
                <w:rStyle w:val="FootnoteReference"/>
                <w:szCs w:val="24"/>
              </w:rPr>
              <w:footnoteReference w:id="1"/>
            </w:r>
            <w:r w:rsidRPr="004A34BD">
              <w:rPr>
                <w:szCs w:val="24"/>
              </w:rPr>
              <w:t>,</w:t>
            </w:r>
            <w:r w:rsidR="001C5E26" w:rsidRPr="004A34BD">
              <w:rPr>
                <w:szCs w:val="24"/>
              </w:rPr>
              <w:t xml:space="preserve"> highlighting</w:t>
            </w:r>
            <w:r w:rsidRPr="004A34BD">
              <w:rPr>
                <w:szCs w:val="24"/>
              </w:rPr>
              <w:t xml:space="preserve"> the main outputs from </w:t>
            </w:r>
            <w:r w:rsidR="000601CE" w:rsidRPr="004A34BD">
              <w:rPr>
                <w:szCs w:val="24"/>
              </w:rPr>
              <w:t>its</w:t>
            </w:r>
            <w:r w:rsidRPr="004A34BD">
              <w:rPr>
                <w:szCs w:val="24"/>
              </w:rPr>
              <w:t xml:space="preserve"> two meetings organized so far.</w:t>
            </w:r>
          </w:p>
          <w:p w14:paraId="4359806E" w14:textId="77777777" w:rsidR="00A721F4" w:rsidRPr="004A34BD" w:rsidRDefault="00A721F4" w:rsidP="00874D2D">
            <w:pPr>
              <w:rPr>
                <w:b/>
                <w:bCs/>
              </w:rPr>
            </w:pPr>
            <w:bookmarkStart w:id="7" w:name="Abstract"/>
            <w:bookmarkEnd w:id="7"/>
            <w:r w:rsidRPr="004A34BD">
              <w:rPr>
                <w:b/>
                <w:bCs/>
              </w:rPr>
              <w:t>Action required:</w:t>
            </w:r>
          </w:p>
          <w:p w14:paraId="5BA0E1F0" w14:textId="3D1B6424" w:rsidR="00814338" w:rsidRPr="004A34BD" w:rsidRDefault="00C244C1" w:rsidP="00C244C1">
            <w:pPr>
              <w:rPr>
                <w:bCs/>
                <w:szCs w:val="24"/>
              </w:rPr>
            </w:pPr>
            <w:r w:rsidRPr="004A34BD">
              <w:rPr>
                <w:bCs/>
                <w:szCs w:val="24"/>
              </w:rPr>
              <w:t xml:space="preserve">TDAG is invited to note this document and provide </w:t>
            </w:r>
            <w:r w:rsidR="00B507A5" w:rsidRPr="004A34BD">
              <w:rPr>
                <w:bCs/>
                <w:szCs w:val="24"/>
              </w:rPr>
              <w:t xml:space="preserve">guidance </w:t>
            </w:r>
            <w:r w:rsidRPr="004A34BD">
              <w:rPr>
                <w:bCs/>
                <w:szCs w:val="24"/>
              </w:rPr>
              <w:t>as deemed appropriate in order to contribute to the work of EG-ITRs.</w:t>
            </w:r>
          </w:p>
          <w:p w14:paraId="46089632" w14:textId="77777777" w:rsidR="00F55215" w:rsidRPr="004A34BD" w:rsidRDefault="00F55215" w:rsidP="00874D2D">
            <w:pPr>
              <w:rPr>
                <w:b/>
              </w:rPr>
            </w:pPr>
            <w:bookmarkStart w:id="8" w:name="ActionRequired"/>
            <w:bookmarkEnd w:id="8"/>
            <w:r w:rsidRPr="004A34BD">
              <w:rPr>
                <w:b/>
              </w:rPr>
              <w:t>References:</w:t>
            </w:r>
          </w:p>
          <w:p w14:paraId="5276C61E" w14:textId="09A19611" w:rsidR="00A721F4" w:rsidRPr="004A34BD" w:rsidRDefault="00C244C1" w:rsidP="004B14BE">
            <w:pPr>
              <w:spacing w:after="120"/>
              <w:ind w:left="29" w:right="-144"/>
            </w:pPr>
            <w:bookmarkStart w:id="9" w:name="References"/>
            <w:bookmarkEnd w:id="9"/>
            <w:r w:rsidRPr="004A34BD">
              <w:t>Rev</w:t>
            </w:r>
            <w:r w:rsidR="00AF1BCB" w:rsidRPr="004A34BD">
              <w:t>ision</w:t>
            </w:r>
            <w:r w:rsidRPr="004A34BD">
              <w:t xml:space="preserve"> 2 to Doc</w:t>
            </w:r>
            <w:r w:rsidR="00AF1BCB" w:rsidRPr="004A34BD">
              <w:t>ument</w:t>
            </w:r>
            <w:r w:rsidRPr="004A34BD">
              <w:t xml:space="preserve"> EG-ITRs-1/DL/3-E, </w:t>
            </w:r>
            <w:r w:rsidRPr="004A34BD">
              <w:rPr>
                <w:bCs/>
                <w:szCs w:val="24"/>
              </w:rPr>
              <w:t>Res</w:t>
            </w:r>
            <w:r w:rsidR="00AF1BCB" w:rsidRPr="004A34BD">
              <w:rPr>
                <w:bCs/>
                <w:szCs w:val="24"/>
              </w:rPr>
              <w:t>olution</w:t>
            </w:r>
            <w:r w:rsidRPr="004A34BD">
              <w:rPr>
                <w:bCs/>
                <w:szCs w:val="24"/>
              </w:rPr>
              <w:t xml:space="preserve"> 146 (Rev. Dubai, 2018) of the Plenipotentiary Conference, Resolution 1379 (</w:t>
            </w:r>
            <w:r w:rsidR="004B14BE" w:rsidRPr="004A34BD">
              <w:rPr>
                <w:bCs/>
                <w:szCs w:val="24"/>
              </w:rPr>
              <w:t>M</w:t>
            </w:r>
            <w:r w:rsidRPr="004A34BD">
              <w:rPr>
                <w:bCs/>
                <w:szCs w:val="24"/>
              </w:rPr>
              <w:t>odified 2019)</w:t>
            </w:r>
            <w:r w:rsidR="00AF1BCB" w:rsidRPr="004A34BD">
              <w:rPr>
                <w:bCs/>
                <w:szCs w:val="24"/>
              </w:rPr>
              <w:t xml:space="preserve"> of the ITU Council</w:t>
            </w:r>
            <w:r w:rsidRPr="004A34BD">
              <w:rPr>
                <w:bCs/>
                <w:szCs w:val="24"/>
              </w:rPr>
              <w:t>.</w:t>
            </w:r>
          </w:p>
        </w:tc>
      </w:tr>
    </w:tbl>
    <w:p w14:paraId="2E909FD7" w14:textId="77777777" w:rsidR="00BE1EC7" w:rsidRPr="004A34BD" w:rsidRDefault="00BE1EC7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  <w:rPr>
          <w:b/>
          <w:bCs/>
        </w:rPr>
      </w:pPr>
      <w:bookmarkStart w:id="10" w:name="Proposal"/>
      <w:bookmarkEnd w:id="10"/>
    </w:p>
    <w:p w14:paraId="7D50C6A1" w14:textId="77777777" w:rsidR="00BE1EC7" w:rsidRPr="004A34BD" w:rsidRDefault="00BE1E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A34BD">
        <w:rPr>
          <w:b/>
          <w:bCs/>
        </w:rPr>
        <w:br w:type="page"/>
      </w:r>
    </w:p>
    <w:p w14:paraId="1EE1124A" w14:textId="77777777" w:rsidR="00271180" w:rsidRPr="004A34BD" w:rsidRDefault="00271180" w:rsidP="00271180">
      <w:pPr>
        <w:jc w:val="center"/>
        <w:rPr>
          <w:b/>
          <w:bCs/>
          <w:szCs w:val="28"/>
        </w:rPr>
      </w:pPr>
      <w:r w:rsidRPr="004A34BD">
        <w:rPr>
          <w:b/>
          <w:bCs/>
          <w:szCs w:val="28"/>
        </w:rPr>
        <w:lastRenderedPageBreak/>
        <w:t xml:space="preserve">Expert Group on the International Telecommunication Regulations (EG-ITRs) </w:t>
      </w:r>
      <w:r w:rsidR="00663960" w:rsidRPr="004A34BD">
        <w:rPr>
          <w:b/>
          <w:bCs/>
          <w:szCs w:val="28"/>
        </w:rPr>
        <w:br/>
      </w:r>
      <w:r w:rsidRPr="004A34BD">
        <w:rPr>
          <w:b/>
          <w:bCs/>
          <w:szCs w:val="28"/>
        </w:rPr>
        <w:t>Progress report to TDAG</w:t>
      </w:r>
    </w:p>
    <w:p w14:paraId="3B8767D7" w14:textId="77777777" w:rsidR="00271180" w:rsidRPr="004A34BD" w:rsidRDefault="00271180" w:rsidP="00271180">
      <w:pPr>
        <w:spacing w:after="120"/>
        <w:rPr>
          <w:szCs w:val="24"/>
        </w:rPr>
      </w:pPr>
    </w:p>
    <w:p w14:paraId="54A77D78" w14:textId="77777777" w:rsidR="0066090A" w:rsidRPr="004A34BD" w:rsidRDefault="0066090A" w:rsidP="00FD2A58">
      <w:pPr>
        <w:pStyle w:val="ListParagraph"/>
        <w:keepNext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szCs w:val="24"/>
        </w:rPr>
      </w:pPr>
      <w:r w:rsidRPr="004A34BD">
        <w:rPr>
          <w:b/>
          <w:bCs/>
          <w:szCs w:val="24"/>
        </w:rPr>
        <w:t>Background</w:t>
      </w:r>
    </w:p>
    <w:p w14:paraId="388540AE" w14:textId="77777777" w:rsidR="005A4C41" w:rsidRPr="004A34BD" w:rsidRDefault="0066090A" w:rsidP="00E40F79">
      <w:r w:rsidRPr="004A34BD">
        <w:rPr>
          <w:bdr w:val="none" w:sz="0" w:space="0" w:color="auto" w:frame="1"/>
          <w:lang w:eastAsia="en-GB"/>
        </w:rPr>
        <w:t xml:space="preserve">Resolution 146 (Rev. Dubai, 2018) of the Plenipotentiary Conference, on the periodic review and revision of the International Telecommunication Regulations, instructed </w:t>
      </w:r>
      <w:r w:rsidRPr="004A34BD">
        <w:t>the Secretary-General to reconvene an EG-ITR, open to the ITU Member States and Sector Members, with terms of reference and working methods established by the ITU Council, to review those regulations.</w:t>
      </w:r>
    </w:p>
    <w:p w14:paraId="6B0F361D" w14:textId="103EE5BC" w:rsidR="0066090A" w:rsidRPr="004A34BD" w:rsidRDefault="0066090A" w:rsidP="00E40F79">
      <w:pPr>
        <w:outlineLvl w:val="1"/>
        <w:rPr>
          <w:b/>
          <w:bCs/>
          <w:szCs w:val="24"/>
        </w:rPr>
      </w:pPr>
      <w:r w:rsidRPr="004A34BD">
        <w:t xml:space="preserve">At its session in June 2019, the Council reviewed and modified its Resolution 1379, on </w:t>
      </w:r>
      <w:r w:rsidRPr="004A34BD">
        <w:rPr>
          <w:szCs w:val="24"/>
        </w:rPr>
        <w:t>Expert Group on the International Telecommunication Regulations</w:t>
      </w:r>
      <w:r w:rsidRPr="004A34BD">
        <w:rPr>
          <w:spacing w:val="2"/>
          <w:szCs w:val="24"/>
        </w:rPr>
        <w:t>,</w:t>
      </w:r>
      <w:r w:rsidRPr="004A34BD">
        <w:t xml:space="preserve"> and approved the terms of reference for </w:t>
      </w:r>
      <w:r w:rsidR="005A4C41" w:rsidRPr="004A34BD">
        <w:t>the</w:t>
      </w:r>
      <w:r w:rsidRPr="004A34BD">
        <w:t xml:space="preserve"> </w:t>
      </w:r>
      <w:r w:rsidR="00724283" w:rsidRPr="004A34BD">
        <w:t>g</w:t>
      </w:r>
      <w:r w:rsidRPr="004A34BD">
        <w:t>roup</w:t>
      </w:r>
      <w:r w:rsidR="001901C0" w:rsidRPr="004A34BD">
        <w:t xml:space="preserve">, which are available at the following link: </w:t>
      </w:r>
      <w:hyperlink r:id="rId9" w:history="1">
        <w:r w:rsidR="001901C0" w:rsidRPr="004A34BD">
          <w:rPr>
            <w:rStyle w:val="Hyperlink"/>
          </w:rPr>
          <w:t>https://www.itu.int/en/council/Pages/eg-itrs.aspx</w:t>
        </w:r>
      </w:hyperlink>
      <w:r w:rsidR="00FD2A58" w:rsidRPr="004A34BD">
        <w:t>.</w:t>
      </w:r>
    </w:p>
    <w:p w14:paraId="419BEDBF" w14:textId="788402E3" w:rsidR="00271180" w:rsidRPr="004A34BD" w:rsidRDefault="00271180" w:rsidP="00FD2A58">
      <w:pPr>
        <w:pStyle w:val="ListParagraph"/>
        <w:keepNext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szCs w:val="24"/>
        </w:rPr>
      </w:pPr>
      <w:r w:rsidRPr="004A34BD">
        <w:rPr>
          <w:b/>
          <w:bCs/>
          <w:szCs w:val="24"/>
        </w:rPr>
        <w:t xml:space="preserve">Outputs from the </w:t>
      </w:r>
      <w:r w:rsidR="00850A1C" w:rsidRPr="004A34BD">
        <w:rPr>
          <w:b/>
          <w:bCs/>
          <w:szCs w:val="24"/>
        </w:rPr>
        <w:t>f</w:t>
      </w:r>
      <w:r w:rsidRPr="004A34BD">
        <w:rPr>
          <w:b/>
          <w:bCs/>
          <w:szCs w:val="24"/>
        </w:rPr>
        <w:t xml:space="preserve">irst meeting </w:t>
      </w:r>
      <w:r w:rsidR="00850A1C" w:rsidRPr="004A34BD">
        <w:rPr>
          <w:b/>
          <w:bCs/>
          <w:szCs w:val="24"/>
        </w:rPr>
        <w:t xml:space="preserve">of </w:t>
      </w:r>
      <w:r w:rsidR="00E14732" w:rsidRPr="004A34BD">
        <w:rPr>
          <w:b/>
          <w:bCs/>
          <w:szCs w:val="24"/>
        </w:rPr>
        <w:t xml:space="preserve">the Expert Group on the </w:t>
      </w:r>
      <w:r w:rsidRPr="004A34BD">
        <w:rPr>
          <w:b/>
          <w:bCs/>
          <w:szCs w:val="24"/>
        </w:rPr>
        <w:t>ITR</w:t>
      </w:r>
      <w:r w:rsidR="00850A1C" w:rsidRPr="004A34BD">
        <w:rPr>
          <w:b/>
          <w:bCs/>
          <w:szCs w:val="24"/>
        </w:rPr>
        <w:t>s</w:t>
      </w:r>
      <w:r w:rsidRPr="004A34BD">
        <w:rPr>
          <w:b/>
          <w:bCs/>
          <w:szCs w:val="24"/>
        </w:rPr>
        <w:t xml:space="preserve"> (16-17 September 2019)</w:t>
      </w:r>
    </w:p>
    <w:p w14:paraId="15FC91EE" w14:textId="3BFBF045" w:rsidR="00724283" w:rsidRPr="004A34BD" w:rsidRDefault="00271180" w:rsidP="0066090A">
      <w:pPr>
        <w:snapToGrid w:val="0"/>
        <w:spacing w:after="120"/>
        <w:rPr>
          <w:bCs/>
          <w:szCs w:val="24"/>
        </w:rPr>
      </w:pPr>
      <w:r w:rsidRPr="004A34BD">
        <w:rPr>
          <w:bCs/>
          <w:szCs w:val="24"/>
        </w:rPr>
        <w:t>During the first meeting</w:t>
      </w:r>
      <w:r w:rsidR="00C244C1" w:rsidRPr="004A34BD">
        <w:rPr>
          <w:bCs/>
          <w:szCs w:val="24"/>
        </w:rPr>
        <w:t xml:space="preserve"> of the </w:t>
      </w:r>
      <w:r w:rsidR="004B14BE" w:rsidRPr="004A34BD">
        <w:rPr>
          <w:bCs/>
          <w:szCs w:val="24"/>
        </w:rPr>
        <w:t xml:space="preserve">Expert </w:t>
      </w:r>
      <w:r w:rsidR="00C244C1" w:rsidRPr="004A34BD">
        <w:rPr>
          <w:bCs/>
          <w:szCs w:val="24"/>
        </w:rPr>
        <w:t>Group</w:t>
      </w:r>
      <w:r w:rsidR="004B14BE" w:rsidRPr="004A34BD">
        <w:rPr>
          <w:bCs/>
          <w:szCs w:val="24"/>
        </w:rPr>
        <w:t xml:space="preserve"> on the ITRs</w:t>
      </w:r>
      <w:r w:rsidRPr="004A34BD">
        <w:rPr>
          <w:bCs/>
          <w:szCs w:val="24"/>
        </w:rPr>
        <w:t xml:space="preserve">, </w:t>
      </w:r>
      <w:r w:rsidR="0066090A" w:rsidRPr="004A34BD">
        <w:rPr>
          <w:bCs/>
          <w:szCs w:val="24"/>
        </w:rPr>
        <w:t>which took place from 16 to 17 September 2019,</w:t>
      </w:r>
      <w:r w:rsidR="00724283" w:rsidRPr="004A34BD">
        <w:rPr>
          <w:bCs/>
          <w:szCs w:val="24"/>
        </w:rPr>
        <w:t xml:space="preserve"> the </w:t>
      </w:r>
      <w:r w:rsidR="00A14D88" w:rsidRPr="004A34BD">
        <w:rPr>
          <w:bCs/>
          <w:szCs w:val="24"/>
        </w:rPr>
        <w:t xml:space="preserve">main </w:t>
      </w:r>
      <w:r w:rsidRPr="004A34BD">
        <w:rPr>
          <w:bCs/>
          <w:szCs w:val="24"/>
        </w:rPr>
        <w:t xml:space="preserve">focus </w:t>
      </w:r>
      <w:r w:rsidR="00A14D88" w:rsidRPr="004A34BD">
        <w:rPr>
          <w:bCs/>
          <w:szCs w:val="24"/>
        </w:rPr>
        <w:t xml:space="preserve">was on </w:t>
      </w:r>
      <w:r w:rsidR="00F47DF8" w:rsidRPr="004A34BD">
        <w:rPr>
          <w:bCs/>
          <w:szCs w:val="24"/>
        </w:rPr>
        <w:t xml:space="preserve">its </w:t>
      </w:r>
      <w:r w:rsidR="0066090A" w:rsidRPr="004A34BD">
        <w:rPr>
          <w:bCs/>
          <w:szCs w:val="24"/>
        </w:rPr>
        <w:t>w</w:t>
      </w:r>
      <w:r w:rsidRPr="004A34BD">
        <w:rPr>
          <w:bCs/>
          <w:szCs w:val="24"/>
        </w:rPr>
        <w:t xml:space="preserve">orking </w:t>
      </w:r>
      <w:r w:rsidR="0066090A" w:rsidRPr="004A34BD">
        <w:rPr>
          <w:bCs/>
          <w:szCs w:val="24"/>
        </w:rPr>
        <w:t>m</w:t>
      </w:r>
      <w:r w:rsidRPr="004A34BD">
        <w:rPr>
          <w:bCs/>
          <w:szCs w:val="24"/>
        </w:rPr>
        <w:t xml:space="preserve">ethods and </w:t>
      </w:r>
      <w:r w:rsidR="0066090A" w:rsidRPr="004A34BD">
        <w:rPr>
          <w:bCs/>
          <w:szCs w:val="24"/>
        </w:rPr>
        <w:t>t</w:t>
      </w:r>
      <w:r w:rsidRPr="004A34BD">
        <w:rPr>
          <w:bCs/>
          <w:szCs w:val="24"/>
        </w:rPr>
        <w:t xml:space="preserve">erms of </w:t>
      </w:r>
      <w:r w:rsidR="0066090A" w:rsidRPr="004A34BD">
        <w:rPr>
          <w:bCs/>
          <w:szCs w:val="24"/>
        </w:rPr>
        <w:t>r</w:t>
      </w:r>
      <w:r w:rsidRPr="004A34BD">
        <w:rPr>
          <w:bCs/>
          <w:szCs w:val="24"/>
        </w:rPr>
        <w:t xml:space="preserve">eference </w:t>
      </w:r>
      <w:r w:rsidR="0066090A" w:rsidRPr="004A34BD">
        <w:rPr>
          <w:bCs/>
          <w:szCs w:val="24"/>
        </w:rPr>
        <w:t xml:space="preserve">developed </w:t>
      </w:r>
      <w:r w:rsidR="00724283" w:rsidRPr="004A34BD">
        <w:rPr>
          <w:bCs/>
          <w:szCs w:val="24"/>
        </w:rPr>
        <w:t xml:space="preserve">on the basis of </w:t>
      </w:r>
      <w:r w:rsidRPr="004A34BD">
        <w:rPr>
          <w:bCs/>
          <w:szCs w:val="24"/>
        </w:rPr>
        <w:t>Res</w:t>
      </w:r>
      <w:r w:rsidR="0066090A" w:rsidRPr="004A34BD">
        <w:rPr>
          <w:bCs/>
          <w:szCs w:val="24"/>
        </w:rPr>
        <w:t xml:space="preserve">olution </w:t>
      </w:r>
      <w:r w:rsidRPr="004A34BD">
        <w:rPr>
          <w:bCs/>
          <w:szCs w:val="24"/>
        </w:rPr>
        <w:t xml:space="preserve"> 146 (Rev. Dubai, 2018) and Council Res</w:t>
      </w:r>
      <w:r w:rsidR="0066090A" w:rsidRPr="004A34BD">
        <w:rPr>
          <w:bCs/>
          <w:szCs w:val="24"/>
        </w:rPr>
        <w:t>olution</w:t>
      </w:r>
      <w:r w:rsidRPr="004A34BD">
        <w:rPr>
          <w:bCs/>
          <w:szCs w:val="24"/>
        </w:rPr>
        <w:t> 1379 (Mod</w:t>
      </w:r>
      <w:r w:rsidR="0066090A" w:rsidRPr="004A34BD">
        <w:rPr>
          <w:bCs/>
          <w:szCs w:val="24"/>
        </w:rPr>
        <w:t>ified</w:t>
      </w:r>
      <w:r w:rsidRPr="004A34BD">
        <w:rPr>
          <w:bCs/>
          <w:szCs w:val="24"/>
        </w:rPr>
        <w:t xml:space="preserve"> 2019)</w:t>
      </w:r>
      <w:r w:rsidR="001434DE" w:rsidRPr="004A34BD">
        <w:rPr>
          <w:bCs/>
          <w:szCs w:val="24"/>
        </w:rPr>
        <w:t>, as outlined above</w:t>
      </w:r>
      <w:r w:rsidRPr="004A34BD">
        <w:rPr>
          <w:bCs/>
          <w:szCs w:val="24"/>
        </w:rPr>
        <w:t xml:space="preserve">. </w:t>
      </w:r>
      <w:r w:rsidR="000044AD" w:rsidRPr="004A34BD">
        <w:rPr>
          <w:bCs/>
          <w:szCs w:val="24"/>
        </w:rPr>
        <w:t>T</w:t>
      </w:r>
      <w:r w:rsidR="00A955A7" w:rsidRPr="004A34BD">
        <w:rPr>
          <w:rFonts w:cstheme="minorHAnsi"/>
          <w:bCs/>
          <w:szCs w:val="24"/>
        </w:rPr>
        <w:t xml:space="preserve">he chairman </w:t>
      </w:r>
      <w:r w:rsidR="0062542E" w:rsidRPr="004A34BD">
        <w:rPr>
          <w:rFonts w:cstheme="minorHAnsi"/>
          <w:bCs/>
          <w:szCs w:val="24"/>
        </w:rPr>
        <w:t>also gave</w:t>
      </w:r>
      <w:r w:rsidR="000044AD" w:rsidRPr="004A34BD">
        <w:rPr>
          <w:rFonts w:cstheme="minorHAnsi"/>
          <w:bCs/>
          <w:szCs w:val="24"/>
        </w:rPr>
        <w:t xml:space="preserve"> </w:t>
      </w:r>
      <w:r w:rsidR="0062542E" w:rsidRPr="004A34BD">
        <w:rPr>
          <w:bCs/>
          <w:szCs w:val="24"/>
        </w:rPr>
        <w:t xml:space="preserve">a </w:t>
      </w:r>
      <w:r w:rsidRPr="004A34BD">
        <w:rPr>
          <w:bCs/>
          <w:szCs w:val="24"/>
        </w:rPr>
        <w:t>presentation on</w:t>
      </w:r>
      <w:r w:rsidR="0062542E" w:rsidRPr="004A34BD">
        <w:rPr>
          <w:bCs/>
          <w:szCs w:val="24"/>
        </w:rPr>
        <w:t xml:space="preserve"> </w:t>
      </w:r>
      <w:hyperlink r:id="rId10" w:history="1">
        <w:r w:rsidR="0062542E" w:rsidRPr="004A34BD">
          <w:rPr>
            <w:rStyle w:val="Hyperlink"/>
            <w:bCs/>
            <w:szCs w:val="24"/>
          </w:rPr>
          <w:t>w</w:t>
        </w:r>
        <w:r w:rsidRPr="004A34BD">
          <w:rPr>
            <w:rStyle w:val="Hyperlink"/>
            <w:bCs/>
            <w:szCs w:val="24"/>
          </w:rPr>
          <w:t xml:space="preserve">orking methods </w:t>
        </w:r>
        <w:r w:rsidR="0062542E" w:rsidRPr="004A34BD">
          <w:rPr>
            <w:rStyle w:val="Hyperlink"/>
            <w:bCs/>
            <w:szCs w:val="24"/>
          </w:rPr>
          <w:t>and</w:t>
        </w:r>
        <w:r w:rsidRPr="004A34BD">
          <w:rPr>
            <w:rStyle w:val="Hyperlink"/>
            <w:bCs/>
            <w:szCs w:val="24"/>
          </w:rPr>
          <w:t xml:space="preserve"> terms of reference</w:t>
        </w:r>
      </w:hyperlink>
      <w:r w:rsidR="0062542E" w:rsidRPr="004A34BD">
        <w:rPr>
          <w:rStyle w:val="Hyperlink"/>
          <w:bCs/>
          <w:szCs w:val="24"/>
        </w:rPr>
        <w:t xml:space="preserve"> of the group, based on these resolutions. </w:t>
      </w:r>
      <w:r w:rsidR="004B14BE" w:rsidRPr="004A34BD">
        <w:rPr>
          <w:bCs/>
          <w:szCs w:val="24"/>
        </w:rPr>
        <w:t xml:space="preserve"> </w:t>
      </w:r>
    </w:p>
    <w:p w14:paraId="134486DA" w14:textId="4A119274" w:rsidR="00271180" w:rsidRPr="004A34BD" w:rsidRDefault="001967A8" w:rsidP="004B14BE">
      <w:pPr>
        <w:spacing w:after="120"/>
        <w:jc w:val="both"/>
        <w:rPr>
          <w:bCs/>
          <w:szCs w:val="24"/>
        </w:rPr>
      </w:pPr>
      <w:r w:rsidRPr="004A34BD">
        <w:rPr>
          <w:bCs/>
          <w:szCs w:val="24"/>
        </w:rPr>
        <w:t xml:space="preserve">The </w:t>
      </w:r>
      <w:r w:rsidR="001434DE" w:rsidRPr="004A34BD">
        <w:rPr>
          <w:bCs/>
          <w:szCs w:val="24"/>
        </w:rPr>
        <w:t xml:space="preserve">group </w:t>
      </w:r>
      <w:r w:rsidRPr="004A34BD">
        <w:rPr>
          <w:bCs/>
          <w:szCs w:val="24"/>
        </w:rPr>
        <w:t xml:space="preserve">discussed </w:t>
      </w:r>
      <w:r w:rsidR="00271180" w:rsidRPr="004A34BD">
        <w:rPr>
          <w:bCs/>
          <w:szCs w:val="24"/>
        </w:rPr>
        <w:t xml:space="preserve">all </w:t>
      </w:r>
      <w:r w:rsidRPr="004A34BD">
        <w:rPr>
          <w:bCs/>
          <w:szCs w:val="24"/>
        </w:rPr>
        <w:t xml:space="preserve">the </w:t>
      </w:r>
      <w:r w:rsidR="00271180" w:rsidRPr="004A34BD">
        <w:rPr>
          <w:bCs/>
          <w:szCs w:val="24"/>
        </w:rPr>
        <w:t>contributions received</w:t>
      </w:r>
      <w:r w:rsidR="001434DE" w:rsidRPr="004A34BD">
        <w:rPr>
          <w:bCs/>
          <w:szCs w:val="24"/>
        </w:rPr>
        <w:t xml:space="preserve"> for the meeting, and </w:t>
      </w:r>
      <w:r w:rsidR="00271180" w:rsidRPr="004A34BD">
        <w:rPr>
          <w:bCs/>
          <w:szCs w:val="24"/>
        </w:rPr>
        <w:t xml:space="preserve">decided </w:t>
      </w:r>
      <w:r w:rsidR="001434DE" w:rsidRPr="004A34BD">
        <w:rPr>
          <w:bCs/>
          <w:szCs w:val="24"/>
        </w:rPr>
        <w:t>that in addition to</w:t>
      </w:r>
      <w:r w:rsidR="001434DE" w:rsidRPr="004A34BD">
        <w:rPr>
          <w:rFonts w:cstheme="minorHAnsi"/>
          <w:szCs w:val="24"/>
        </w:rPr>
        <w:t xml:space="preserve"> its terms </w:t>
      </w:r>
      <w:r w:rsidR="00271180" w:rsidRPr="004A34BD">
        <w:rPr>
          <w:rFonts w:cstheme="minorHAnsi"/>
          <w:szCs w:val="24"/>
        </w:rPr>
        <w:t xml:space="preserve">of </w:t>
      </w:r>
      <w:r w:rsidR="001434DE" w:rsidRPr="004A34BD">
        <w:rPr>
          <w:rFonts w:cstheme="minorHAnsi"/>
          <w:szCs w:val="24"/>
        </w:rPr>
        <w:t>r</w:t>
      </w:r>
      <w:r w:rsidR="00271180" w:rsidRPr="004A34BD">
        <w:rPr>
          <w:rFonts w:cstheme="minorHAnsi"/>
          <w:szCs w:val="24"/>
        </w:rPr>
        <w:t>eference</w:t>
      </w:r>
      <w:r w:rsidR="001434DE" w:rsidRPr="004A34BD">
        <w:rPr>
          <w:rFonts w:cstheme="minorHAnsi"/>
          <w:szCs w:val="24"/>
        </w:rPr>
        <w:t>,</w:t>
      </w:r>
      <w:r w:rsidR="00271180" w:rsidRPr="004A34BD">
        <w:rPr>
          <w:rFonts w:cstheme="minorHAnsi"/>
          <w:szCs w:val="24"/>
        </w:rPr>
        <w:t xml:space="preserve"> the generic template proposed by Ghana below</w:t>
      </w:r>
      <w:r w:rsidR="005B7DE9" w:rsidRPr="004A34BD">
        <w:rPr>
          <w:rFonts w:cstheme="minorHAnsi"/>
          <w:szCs w:val="24"/>
        </w:rPr>
        <w:t xml:space="preserve"> (now known as “Examination Table”)</w:t>
      </w:r>
      <w:r w:rsidR="00F13705" w:rsidRPr="004A34BD">
        <w:rPr>
          <w:rFonts w:cstheme="minorHAnsi"/>
          <w:szCs w:val="24"/>
        </w:rPr>
        <w:t xml:space="preserve"> </w:t>
      </w:r>
      <w:r w:rsidR="007B1917" w:rsidRPr="004A34BD">
        <w:rPr>
          <w:rFonts w:cstheme="minorHAnsi"/>
          <w:szCs w:val="24"/>
        </w:rPr>
        <w:t xml:space="preserve">would </w:t>
      </w:r>
      <w:r w:rsidR="007179B1" w:rsidRPr="004A34BD">
        <w:rPr>
          <w:rFonts w:cstheme="minorHAnsi"/>
          <w:szCs w:val="24"/>
        </w:rPr>
        <w:t xml:space="preserve">also </w:t>
      </w:r>
      <w:r w:rsidR="007B1917" w:rsidRPr="004A34BD">
        <w:rPr>
          <w:rFonts w:cstheme="minorHAnsi"/>
          <w:szCs w:val="24"/>
        </w:rPr>
        <w:t xml:space="preserve">be used </w:t>
      </w:r>
      <w:r w:rsidR="00271180" w:rsidRPr="004A34BD">
        <w:rPr>
          <w:rFonts w:cstheme="minorHAnsi"/>
          <w:szCs w:val="24"/>
        </w:rPr>
        <w:t>to collate</w:t>
      </w:r>
      <w:r w:rsidR="00F47DF8" w:rsidRPr="004A34BD">
        <w:rPr>
          <w:rFonts w:cstheme="minorHAnsi"/>
          <w:szCs w:val="24"/>
        </w:rPr>
        <w:t xml:space="preserve"> </w:t>
      </w:r>
      <w:r w:rsidR="00271180" w:rsidRPr="004A34BD">
        <w:rPr>
          <w:rFonts w:cstheme="minorHAnsi"/>
          <w:szCs w:val="24"/>
        </w:rPr>
        <w:t xml:space="preserve">the views of the </w:t>
      </w:r>
      <w:r w:rsidR="008646C2" w:rsidRPr="004A34BD">
        <w:rPr>
          <w:rFonts w:cstheme="minorHAnsi"/>
          <w:szCs w:val="24"/>
        </w:rPr>
        <w:t>g</w:t>
      </w:r>
      <w:r w:rsidR="00271180" w:rsidRPr="004A34BD">
        <w:rPr>
          <w:rFonts w:cstheme="minorHAnsi"/>
          <w:szCs w:val="24"/>
        </w:rPr>
        <w:t>roup on the provision</w:t>
      </w:r>
      <w:r w:rsidR="00C1230B" w:rsidRPr="004A34BD">
        <w:rPr>
          <w:rFonts w:cstheme="minorHAnsi"/>
          <w:szCs w:val="24"/>
        </w:rPr>
        <w:t>-</w:t>
      </w:r>
      <w:r w:rsidR="00271180" w:rsidRPr="004A34BD">
        <w:rPr>
          <w:rFonts w:cstheme="minorHAnsi"/>
          <w:szCs w:val="24"/>
        </w:rPr>
        <w:t>by</w:t>
      </w:r>
      <w:r w:rsidR="00C1230B" w:rsidRPr="004A34BD">
        <w:rPr>
          <w:rFonts w:cstheme="minorHAnsi"/>
          <w:szCs w:val="24"/>
        </w:rPr>
        <w:t>-</w:t>
      </w:r>
      <w:r w:rsidR="00271180" w:rsidRPr="004A34BD">
        <w:rPr>
          <w:rFonts w:cstheme="minorHAnsi"/>
          <w:szCs w:val="24"/>
        </w:rPr>
        <w:t xml:space="preserve">provision review of </w:t>
      </w:r>
      <w:r w:rsidR="00C1230B" w:rsidRPr="004A34BD">
        <w:rPr>
          <w:rFonts w:cstheme="minorHAnsi"/>
          <w:szCs w:val="24"/>
        </w:rPr>
        <w:t xml:space="preserve">the </w:t>
      </w:r>
      <w:r w:rsidR="00271180" w:rsidRPr="004A34BD">
        <w:rPr>
          <w:rFonts w:cstheme="minorHAnsi"/>
          <w:szCs w:val="24"/>
        </w:rPr>
        <w:t xml:space="preserve">ITRs.  </w:t>
      </w:r>
    </w:p>
    <w:tbl>
      <w:tblPr>
        <w:tblStyle w:val="TableGrid"/>
        <w:tblW w:w="10224" w:type="dxa"/>
        <w:tblInd w:w="-23" w:type="dxa"/>
        <w:tblLook w:val="04A0" w:firstRow="1" w:lastRow="0" w:firstColumn="1" w:lastColumn="0" w:noHBand="0" w:noVBand="1"/>
      </w:tblPr>
      <w:tblGrid>
        <w:gridCol w:w="868"/>
        <w:gridCol w:w="1131"/>
        <w:gridCol w:w="1543"/>
        <w:gridCol w:w="2517"/>
        <w:gridCol w:w="2381"/>
        <w:gridCol w:w="1784"/>
      </w:tblGrid>
      <w:tr w:rsidR="00271180" w:rsidRPr="004A34BD" w14:paraId="366B9980" w14:textId="77777777" w:rsidTr="00E40F79">
        <w:tc>
          <w:tcPr>
            <w:tcW w:w="868" w:type="dxa"/>
            <w:vAlign w:val="center"/>
          </w:tcPr>
          <w:p w14:paraId="46F625EC" w14:textId="77777777" w:rsidR="00271180" w:rsidRPr="004A34BD" w:rsidRDefault="00271180" w:rsidP="0027118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4A34BD">
              <w:rPr>
                <w:sz w:val="22"/>
                <w:szCs w:val="24"/>
              </w:rPr>
              <w:t>2012 Article</w:t>
            </w:r>
          </w:p>
        </w:tc>
        <w:tc>
          <w:tcPr>
            <w:tcW w:w="1131" w:type="dxa"/>
            <w:vAlign w:val="center"/>
          </w:tcPr>
          <w:p w14:paraId="6C19A892" w14:textId="77777777" w:rsidR="00271180" w:rsidRPr="004A34BD" w:rsidRDefault="00271180" w:rsidP="0027118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4A34BD">
              <w:rPr>
                <w:sz w:val="22"/>
                <w:szCs w:val="24"/>
              </w:rPr>
              <w:t>Sub article and provision</w:t>
            </w:r>
          </w:p>
        </w:tc>
        <w:tc>
          <w:tcPr>
            <w:tcW w:w="1543" w:type="dxa"/>
            <w:vAlign w:val="center"/>
          </w:tcPr>
          <w:p w14:paraId="2F64E113" w14:textId="77777777" w:rsidR="00271180" w:rsidRPr="004A34BD" w:rsidRDefault="00271180" w:rsidP="0027118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4A34BD">
              <w:rPr>
                <w:sz w:val="22"/>
                <w:szCs w:val="24"/>
              </w:rPr>
              <w:t>Related 1988 sub article and provision</w:t>
            </w:r>
          </w:p>
        </w:tc>
        <w:tc>
          <w:tcPr>
            <w:tcW w:w="2517" w:type="dxa"/>
            <w:vAlign w:val="center"/>
          </w:tcPr>
          <w:p w14:paraId="4C1B6F71" w14:textId="77777777" w:rsidR="00271180" w:rsidRPr="004A34BD" w:rsidRDefault="00271180" w:rsidP="0027118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4A34BD">
              <w:rPr>
                <w:sz w:val="22"/>
                <w:szCs w:val="24"/>
              </w:rPr>
              <w:t>Applicability in fostering provision and development of networks and services</w:t>
            </w:r>
          </w:p>
        </w:tc>
        <w:tc>
          <w:tcPr>
            <w:tcW w:w="2381" w:type="dxa"/>
            <w:vAlign w:val="center"/>
          </w:tcPr>
          <w:p w14:paraId="538F1E36" w14:textId="1F2C404A" w:rsidR="00271180" w:rsidRPr="004A34BD" w:rsidRDefault="00271180" w:rsidP="00E14732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4A34BD">
              <w:rPr>
                <w:sz w:val="22"/>
                <w:szCs w:val="24"/>
              </w:rPr>
              <w:t>Flexibility to accommodate new trends and emerg</w:t>
            </w:r>
            <w:r w:rsidR="00E14732" w:rsidRPr="004A34BD">
              <w:rPr>
                <w:sz w:val="22"/>
                <w:szCs w:val="24"/>
              </w:rPr>
              <w:t xml:space="preserve">ing </w:t>
            </w:r>
            <w:r w:rsidRPr="004A34BD">
              <w:rPr>
                <w:sz w:val="22"/>
                <w:szCs w:val="24"/>
              </w:rPr>
              <w:t>issues</w:t>
            </w:r>
          </w:p>
        </w:tc>
        <w:tc>
          <w:tcPr>
            <w:tcW w:w="1784" w:type="dxa"/>
            <w:vAlign w:val="center"/>
          </w:tcPr>
          <w:p w14:paraId="3486E77E" w14:textId="7FAB09AE" w:rsidR="00271180" w:rsidRPr="004A34BD" w:rsidRDefault="00271180" w:rsidP="0027118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A34BD">
              <w:rPr>
                <w:sz w:val="22"/>
                <w:szCs w:val="22"/>
              </w:rPr>
              <w:t xml:space="preserve">Summary </w:t>
            </w:r>
            <w:r w:rsidR="00F13705" w:rsidRPr="004A34BD">
              <w:rPr>
                <w:sz w:val="22"/>
                <w:szCs w:val="22"/>
              </w:rPr>
              <w:t>o</w:t>
            </w:r>
            <w:r w:rsidRPr="004A34BD">
              <w:rPr>
                <w:sz w:val="22"/>
                <w:szCs w:val="22"/>
              </w:rPr>
              <w:t>utcome</w:t>
            </w:r>
          </w:p>
        </w:tc>
      </w:tr>
    </w:tbl>
    <w:p w14:paraId="58EC9D56" w14:textId="02EC5D5A" w:rsidR="00271180" w:rsidRPr="004A34BD" w:rsidRDefault="00271180" w:rsidP="00903E80">
      <w:pPr>
        <w:snapToGrid w:val="0"/>
        <w:spacing w:after="120"/>
        <w:rPr>
          <w:szCs w:val="24"/>
        </w:rPr>
      </w:pPr>
      <w:r w:rsidRPr="004A34BD">
        <w:rPr>
          <w:b/>
          <w:szCs w:val="24"/>
        </w:rPr>
        <w:t>Note to the Directors of the Bureau</w:t>
      </w:r>
      <w:r w:rsidR="00F13705" w:rsidRPr="004A34BD">
        <w:rPr>
          <w:b/>
          <w:szCs w:val="24"/>
        </w:rPr>
        <w:t>x</w:t>
      </w:r>
      <w:r w:rsidR="004B14BE" w:rsidRPr="004A34BD">
        <w:rPr>
          <w:b/>
          <w:szCs w:val="24"/>
        </w:rPr>
        <w:t xml:space="preserve"> to</w:t>
      </w:r>
      <w:r w:rsidRPr="004A34BD">
        <w:rPr>
          <w:b/>
          <w:szCs w:val="24"/>
        </w:rPr>
        <w:t xml:space="preserve"> </w:t>
      </w:r>
      <w:r w:rsidR="004B14BE" w:rsidRPr="004A34BD">
        <w:rPr>
          <w:b/>
          <w:szCs w:val="24"/>
        </w:rPr>
        <w:t>seek</w:t>
      </w:r>
      <w:r w:rsidR="00565C1C" w:rsidRPr="004A34BD">
        <w:rPr>
          <w:b/>
          <w:szCs w:val="24"/>
        </w:rPr>
        <w:t xml:space="preserve"> </w:t>
      </w:r>
      <w:r w:rsidRPr="004A34BD">
        <w:rPr>
          <w:b/>
          <w:szCs w:val="24"/>
        </w:rPr>
        <w:t xml:space="preserve">views from their </w:t>
      </w:r>
      <w:r w:rsidR="00F13705" w:rsidRPr="004A34BD">
        <w:rPr>
          <w:b/>
          <w:szCs w:val="24"/>
        </w:rPr>
        <w:t>S</w:t>
      </w:r>
      <w:r w:rsidRPr="004A34BD">
        <w:rPr>
          <w:b/>
          <w:szCs w:val="24"/>
        </w:rPr>
        <w:t>ector</w:t>
      </w:r>
      <w:r w:rsidR="004B14BE" w:rsidRPr="004A34BD">
        <w:rPr>
          <w:b/>
          <w:szCs w:val="24"/>
        </w:rPr>
        <w:t xml:space="preserve"> advisory groups</w:t>
      </w:r>
      <w:r w:rsidRPr="004A34BD">
        <w:rPr>
          <w:b/>
          <w:szCs w:val="24"/>
        </w:rPr>
        <w:t>:</w:t>
      </w:r>
      <w:r w:rsidR="00565C1C" w:rsidRPr="004A34BD">
        <w:rPr>
          <w:szCs w:val="24"/>
        </w:rPr>
        <w:t xml:space="preserve">  </w:t>
      </w:r>
      <w:r w:rsidR="00903E80" w:rsidRPr="004A34BD">
        <w:rPr>
          <w:szCs w:val="24"/>
        </w:rPr>
        <w:t xml:space="preserve">Based on the group’s guidance, a </w:t>
      </w:r>
      <w:r w:rsidRPr="004A34BD">
        <w:rPr>
          <w:szCs w:val="24"/>
        </w:rPr>
        <w:t xml:space="preserve">note </w:t>
      </w:r>
      <w:r w:rsidR="00903E80" w:rsidRPr="004A34BD">
        <w:rPr>
          <w:szCs w:val="24"/>
        </w:rPr>
        <w:t xml:space="preserve">was sent </w:t>
      </w:r>
      <w:r w:rsidRPr="004A34BD">
        <w:rPr>
          <w:szCs w:val="24"/>
        </w:rPr>
        <w:t xml:space="preserve">from the EG-ITR </w:t>
      </w:r>
      <w:r w:rsidR="00F13705" w:rsidRPr="004A34BD">
        <w:rPr>
          <w:szCs w:val="24"/>
        </w:rPr>
        <w:t>c</w:t>
      </w:r>
      <w:r w:rsidRPr="004A34BD">
        <w:rPr>
          <w:szCs w:val="24"/>
        </w:rPr>
        <w:t xml:space="preserve">hairman inviting the </w:t>
      </w:r>
      <w:r w:rsidRPr="004A34BD">
        <w:rPr>
          <w:i/>
          <w:iCs/>
          <w:szCs w:val="24"/>
        </w:rPr>
        <w:t>Directors of the Bureaux</w:t>
      </w:r>
      <w:r w:rsidRPr="004A34BD">
        <w:rPr>
          <w:szCs w:val="24"/>
        </w:rPr>
        <w:t xml:space="preserve"> to seek advice from the</w:t>
      </w:r>
      <w:r w:rsidR="00565C1C" w:rsidRPr="004A34BD">
        <w:rPr>
          <w:szCs w:val="24"/>
        </w:rPr>
        <w:t>ir respective</w:t>
      </w:r>
      <w:r w:rsidR="000763A2">
        <w:rPr>
          <w:szCs w:val="24"/>
        </w:rPr>
        <w:t xml:space="preserve"> </w:t>
      </w:r>
      <w:r w:rsidR="00565C1C" w:rsidRPr="004A34BD">
        <w:rPr>
          <w:szCs w:val="24"/>
        </w:rPr>
        <w:t xml:space="preserve">Sector </w:t>
      </w:r>
      <w:r w:rsidRPr="004A34BD">
        <w:rPr>
          <w:szCs w:val="24"/>
        </w:rPr>
        <w:t>advisory group</w:t>
      </w:r>
      <w:r w:rsidR="00565C1C" w:rsidRPr="004A34BD">
        <w:rPr>
          <w:szCs w:val="24"/>
        </w:rPr>
        <w:t>s</w:t>
      </w:r>
      <w:r w:rsidRPr="004A34BD">
        <w:rPr>
          <w:szCs w:val="24"/>
        </w:rPr>
        <w:t xml:space="preserve"> to contribute to the work of the EG-ITR was </w:t>
      </w:r>
      <w:r w:rsidRPr="000763A2">
        <w:rPr>
          <w:szCs w:val="24"/>
        </w:rPr>
        <w:t xml:space="preserve">adopted, </w:t>
      </w:r>
      <w:r w:rsidR="00903E80" w:rsidRPr="000763A2">
        <w:rPr>
          <w:szCs w:val="24"/>
        </w:rPr>
        <w:t xml:space="preserve">in accordance with </w:t>
      </w:r>
      <w:r w:rsidRPr="000763A2">
        <w:rPr>
          <w:szCs w:val="24"/>
        </w:rPr>
        <w:t>Res</w:t>
      </w:r>
      <w:r w:rsidR="00523E66" w:rsidRPr="000763A2">
        <w:rPr>
          <w:szCs w:val="24"/>
        </w:rPr>
        <w:t>olution</w:t>
      </w:r>
      <w:r w:rsidRPr="000763A2">
        <w:rPr>
          <w:szCs w:val="24"/>
        </w:rPr>
        <w:t>1379 (</w:t>
      </w:r>
      <w:r w:rsidR="00724283" w:rsidRPr="000763A2">
        <w:rPr>
          <w:szCs w:val="24"/>
        </w:rPr>
        <w:t>Modified</w:t>
      </w:r>
      <w:r w:rsidRPr="000763A2">
        <w:rPr>
          <w:szCs w:val="24"/>
        </w:rPr>
        <w:t xml:space="preserve"> 2019) an</w:t>
      </w:r>
      <w:r w:rsidR="00523E66" w:rsidRPr="000763A2">
        <w:rPr>
          <w:szCs w:val="24"/>
        </w:rPr>
        <w:t>d</w:t>
      </w:r>
      <w:r w:rsidRPr="000763A2">
        <w:rPr>
          <w:szCs w:val="24"/>
        </w:rPr>
        <w:t xml:space="preserve"> Res</w:t>
      </w:r>
      <w:r w:rsidR="00523E66" w:rsidRPr="000763A2">
        <w:rPr>
          <w:szCs w:val="24"/>
        </w:rPr>
        <w:t xml:space="preserve">olution </w:t>
      </w:r>
      <w:r w:rsidRPr="000763A2">
        <w:rPr>
          <w:szCs w:val="24"/>
        </w:rPr>
        <w:t>146</w:t>
      </w:r>
      <w:r w:rsidR="00523E66" w:rsidRPr="000763A2">
        <w:rPr>
          <w:szCs w:val="24"/>
        </w:rPr>
        <w:t xml:space="preserve"> </w:t>
      </w:r>
      <w:r w:rsidR="00523E66" w:rsidRPr="000763A2">
        <w:rPr>
          <w:bCs/>
          <w:szCs w:val="24"/>
        </w:rPr>
        <w:t>(Rev. Dubai, 2018)</w:t>
      </w:r>
      <w:r w:rsidRPr="000763A2">
        <w:rPr>
          <w:szCs w:val="24"/>
        </w:rPr>
        <w:t>.</w:t>
      </w:r>
      <w:r w:rsidRPr="004A34BD">
        <w:rPr>
          <w:szCs w:val="24"/>
        </w:rPr>
        <w:t xml:space="preserve"> </w:t>
      </w:r>
    </w:p>
    <w:p w14:paraId="262C6165" w14:textId="11498E48" w:rsidR="004A34BD" w:rsidRPr="004A34BD" w:rsidRDefault="00271180">
      <w:pPr>
        <w:snapToGrid w:val="0"/>
        <w:spacing w:after="120"/>
        <w:rPr>
          <w:rFonts w:cstheme="minorHAnsi"/>
          <w:bCs/>
          <w:szCs w:val="24"/>
        </w:rPr>
      </w:pPr>
      <w:r w:rsidRPr="004A34BD">
        <w:rPr>
          <w:szCs w:val="24"/>
          <w:u w:val="single"/>
        </w:rPr>
        <w:t>Work plan of EG-ITR</w:t>
      </w:r>
      <w:r w:rsidRPr="004A34BD">
        <w:rPr>
          <w:szCs w:val="24"/>
        </w:rPr>
        <w:t xml:space="preserve">:  A final </w:t>
      </w:r>
      <w:r w:rsidR="008B4919" w:rsidRPr="004A34BD">
        <w:rPr>
          <w:szCs w:val="24"/>
        </w:rPr>
        <w:t>work p</w:t>
      </w:r>
      <w:r w:rsidRPr="004A34BD">
        <w:rPr>
          <w:szCs w:val="24"/>
        </w:rPr>
        <w:t>lan was adopted (</w:t>
      </w:r>
      <w:r w:rsidR="008B4919" w:rsidRPr="004A34BD">
        <w:rPr>
          <w:szCs w:val="24"/>
        </w:rPr>
        <w:t>A</w:t>
      </w:r>
      <w:r w:rsidRPr="004A34BD">
        <w:rPr>
          <w:szCs w:val="24"/>
        </w:rPr>
        <w:t>nnex 1), as a living document</w:t>
      </w:r>
      <w:r w:rsidR="00903E80" w:rsidRPr="004A34BD">
        <w:rPr>
          <w:szCs w:val="24"/>
        </w:rPr>
        <w:t xml:space="preserve">, which </w:t>
      </w:r>
      <w:r w:rsidR="00903E80" w:rsidRPr="004A34BD">
        <w:rPr>
          <w:rFonts w:cstheme="minorHAnsi"/>
          <w:bCs/>
          <w:szCs w:val="24"/>
        </w:rPr>
        <w:t>will act as a guide for members for future meetings of the Group</w:t>
      </w:r>
      <w:r w:rsidR="004A34BD" w:rsidRPr="004A34BD">
        <w:rPr>
          <w:rFonts w:cstheme="minorHAnsi"/>
          <w:bCs/>
          <w:szCs w:val="24"/>
        </w:rPr>
        <w:t>. The Group remains contribution-driven and all matters discussed in individual meetings can be revisited as necessary in subsequent meetings with the understanding that the last couple of meetings of the EG-ITRs will review the work done by the Group and make overall observations based on the previous meetings.</w:t>
      </w:r>
    </w:p>
    <w:p w14:paraId="7C17828B" w14:textId="77777777" w:rsidR="00271180" w:rsidRPr="004A34BD" w:rsidRDefault="00271180" w:rsidP="00FD2A58">
      <w:pPr>
        <w:pStyle w:val="ListParagraph"/>
        <w:keepNext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szCs w:val="24"/>
        </w:rPr>
      </w:pPr>
      <w:r w:rsidRPr="004A34BD">
        <w:rPr>
          <w:b/>
          <w:bCs/>
          <w:szCs w:val="24"/>
        </w:rPr>
        <w:t xml:space="preserve">Outputs from the Second meeting </w:t>
      </w:r>
      <w:r w:rsidR="008B4919" w:rsidRPr="004A34BD">
        <w:rPr>
          <w:b/>
          <w:bCs/>
          <w:szCs w:val="24"/>
        </w:rPr>
        <w:t xml:space="preserve">of </w:t>
      </w:r>
      <w:r w:rsidRPr="004A34BD">
        <w:rPr>
          <w:b/>
          <w:bCs/>
          <w:szCs w:val="24"/>
        </w:rPr>
        <w:t>EG-ITR (12-13 February 2020)</w:t>
      </w:r>
    </w:p>
    <w:p w14:paraId="2CF815E5" w14:textId="59EC07B4" w:rsidR="00271180" w:rsidRPr="004A34BD" w:rsidRDefault="00271180" w:rsidP="000763A2">
      <w:pPr>
        <w:keepNext/>
        <w:spacing w:after="120"/>
        <w:rPr>
          <w:szCs w:val="24"/>
        </w:rPr>
      </w:pPr>
      <w:r w:rsidRPr="004A34BD">
        <w:rPr>
          <w:szCs w:val="24"/>
        </w:rPr>
        <w:t xml:space="preserve">Based on the </w:t>
      </w:r>
      <w:r w:rsidR="00D355D4" w:rsidRPr="004A34BD">
        <w:rPr>
          <w:szCs w:val="24"/>
        </w:rPr>
        <w:t>w</w:t>
      </w:r>
      <w:r w:rsidRPr="004A34BD">
        <w:rPr>
          <w:szCs w:val="24"/>
        </w:rPr>
        <w:t xml:space="preserve">ork </w:t>
      </w:r>
      <w:r w:rsidR="00D355D4" w:rsidRPr="004A34BD">
        <w:rPr>
          <w:szCs w:val="24"/>
        </w:rPr>
        <w:t>p</w:t>
      </w:r>
      <w:r w:rsidRPr="004A34BD">
        <w:rPr>
          <w:szCs w:val="24"/>
        </w:rPr>
        <w:t xml:space="preserve">lan and the </w:t>
      </w:r>
      <w:r w:rsidR="00565C1C" w:rsidRPr="004A34BD">
        <w:rPr>
          <w:szCs w:val="24"/>
        </w:rPr>
        <w:t>“</w:t>
      </w:r>
      <w:r w:rsidRPr="004A34BD">
        <w:rPr>
          <w:szCs w:val="24"/>
        </w:rPr>
        <w:t>Examination Table</w:t>
      </w:r>
      <w:r w:rsidR="00565C1C" w:rsidRPr="004A34BD">
        <w:rPr>
          <w:szCs w:val="24"/>
        </w:rPr>
        <w:t>”</w:t>
      </w:r>
      <w:r w:rsidRPr="004A34BD">
        <w:rPr>
          <w:szCs w:val="24"/>
        </w:rPr>
        <w:t xml:space="preserve"> approved during the first meeting, members focused on the provision</w:t>
      </w:r>
      <w:r w:rsidR="008B4919" w:rsidRPr="004A34BD">
        <w:rPr>
          <w:szCs w:val="24"/>
        </w:rPr>
        <w:t>-</w:t>
      </w:r>
      <w:r w:rsidRPr="004A34BD">
        <w:rPr>
          <w:szCs w:val="24"/>
        </w:rPr>
        <w:t>by</w:t>
      </w:r>
      <w:r w:rsidR="008B4919" w:rsidRPr="004A34BD">
        <w:rPr>
          <w:szCs w:val="24"/>
        </w:rPr>
        <w:t>-</w:t>
      </w:r>
      <w:r w:rsidRPr="004A34BD">
        <w:rPr>
          <w:szCs w:val="24"/>
        </w:rPr>
        <w:t xml:space="preserve">provision analysis for the following articles (44 provisions), reflecting </w:t>
      </w:r>
      <w:r w:rsidRPr="004A34BD">
        <w:rPr>
          <w:szCs w:val="24"/>
        </w:rPr>
        <w:lastRenderedPageBreak/>
        <w:t xml:space="preserve">the different views </w:t>
      </w:r>
      <w:r w:rsidR="001528B7" w:rsidRPr="004A34BD">
        <w:rPr>
          <w:szCs w:val="24"/>
        </w:rPr>
        <w:t xml:space="preserve">expressed in </w:t>
      </w:r>
      <w:r w:rsidRPr="004A34BD">
        <w:rPr>
          <w:szCs w:val="24"/>
        </w:rPr>
        <w:t xml:space="preserve">the written contributions </w:t>
      </w:r>
      <w:r w:rsidR="00D355D4" w:rsidRPr="004A34BD">
        <w:rPr>
          <w:szCs w:val="24"/>
        </w:rPr>
        <w:t xml:space="preserve"> and in </w:t>
      </w:r>
      <w:r w:rsidRPr="004A34BD">
        <w:rPr>
          <w:szCs w:val="24"/>
        </w:rPr>
        <w:t>the discussions during the meeting:</w:t>
      </w:r>
    </w:p>
    <w:p w14:paraId="446CAE5C" w14:textId="508D5954" w:rsidR="00271180" w:rsidRPr="004A34BD" w:rsidRDefault="00271180" w:rsidP="000763A2">
      <w:pPr>
        <w:pStyle w:val="ListParagraph"/>
        <w:keepNext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szCs w:val="24"/>
        </w:rPr>
      </w:pPr>
      <w:r w:rsidRPr="004A34BD">
        <w:rPr>
          <w:szCs w:val="24"/>
        </w:rPr>
        <w:t xml:space="preserve">Preamble (to be revised by the EG-ITR </w:t>
      </w:r>
      <w:r w:rsidR="001528B7" w:rsidRPr="004A34BD">
        <w:rPr>
          <w:szCs w:val="24"/>
        </w:rPr>
        <w:t>v</w:t>
      </w:r>
      <w:r w:rsidRPr="004A34BD">
        <w:rPr>
          <w:szCs w:val="24"/>
        </w:rPr>
        <w:t>ice-</w:t>
      </w:r>
      <w:r w:rsidR="001528B7" w:rsidRPr="004A34BD">
        <w:rPr>
          <w:szCs w:val="24"/>
        </w:rPr>
        <w:t>c</w:t>
      </w:r>
      <w:r w:rsidRPr="004A34BD">
        <w:rPr>
          <w:szCs w:val="24"/>
        </w:rPr>
        <w:t>hair</w:t>
      </w:r>
      <w:r w:rsidR="001528B7" w:rsidRPr="004A34BD">
        <w:rPr>
          <w:szCs w:val="24"/>
        </w:rPr>
        <w:t>men</w:t>
      </w:r>
      <w:r w:rsidRPr="004A34BD">
        <w:rPr>
          <w:szCs w:val="24"/>
        </w:rPr>
        <w:t>)</w:t>
      </w:r>
    </w:p>
    <w:p w14:paraId="1869D3CB" w14:textId="77777777" w:rsidR="00271180" w:rsidRPr="004A34BD" w:rsidRDefault="00271180" w:rsidP="0031214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szCs w:val="24"/>
        </w:rPr>
      </w:pPr>
      <w:r w:rsidRPr="004A34BD">
        <w:rPr>
          <w:szCs w:val="24"/>
        </w:rPr>
        <w:t xml:space="preserve">ARTICLE 1 Purpose and scope of the Regulations </w:t>
      </w:r>
    </w:p>
    <w:p w14:paraId="2EEEDA74" w14:textId="77777777" w:rsidR="00271180" w:rsidRPr="004A34BD" w:rsidRDefault="00271180" w:rsidP="0031214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szCs w:val="24"/>
        </w:rPr>
      </w:pPr>
      <w:r w:rsidRPr="004A34BD">
        <w:rPr>
          <w:szCs w:val="24"/>
        </w:rPr>
        <w:t>ARTICLE 2 Definitions</w:t>
      </w:r>
    </w:p>
    <w:p w14:paraId="1C3F6777" w14:textId="77777777" w:rsidR="00271180" w:rsidRPr="004A34BD" w:rsidRDefault="00271180" w:rsidP="0031214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szCs w:val="24"/>
        </w:rPr>
      </w:pPr>
      <w:r w:rsidRPr="004A34BD">
        <w:rPr>
          <w:szCs w:val="24"/>
        </w:rPr>
        <w:t>ARTICLE 3 International network</w:t>
      </w:r>
    </w:p>
    <w:p w14:paraId="4770F31B" w14:textId="77777777" w:rsidR="00271180" w:rsidRPr="004A34BD" w:rsidRDefault="00271180" w:rsidP="0031214A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szCs w:val="24"/>
        </w:rPr>
      </w:pPr>
      <w:r w:rsidRPr="004A34BD">
        <w:rPr>
          <w:szCs w:val="24"/>
        </w:rPr>
        <w:t>ARTICLE 4 International telecommunication services</w:t>
      </w:r>
      <w:r w:rsidR="00565C1C" w:rsidRPr="004A34BD">
        <w:rPr>
          <w:szCs w:val="24"/>
        </w:rPr>
        <w:t>.</w:t>
      </w:r>
    </w:p>
    <w:p w14:paraId="532B3976" w14:textId="59A8C667" w:rsidR="00271180" w:rsidRPr="004A34BD" w:rsidRDefault="00271180" w:rsidP="00271180">
      <w:pPr>
        <w:spacing w:after="120"/>
        <w:rPr>
          <w:szCs w:val="24"/>
        </w:rPr>
      </w:pPr>
      <w:r w:rsidRPr="004A34BD">
        <w:rPr>
          <w:szCs w:val="24"/>
        </w:rPr>
        <w:t xml:space="preserve">The Examination Table reflects the discussions of the </w:t>
      </w:r>
      <w:r w:rsidR="00E44028" w:rsidRPr="004A34BD">
        <w:rPr>
          <w:szCs w:val="24"/>
        </w:rPr>
        <w:t>g</w:t>
      </w:r>
      <w:r w:rsidRPr="004A34BD">
        <w:rPr>
          <w:szCs w:val="24"/>
        </w:rPr>
        <w:t xml:space="preserve">roup on the: </w:t>
      </w:r>
    </w:p>
    <w:p w14:paraId="3C4837DD" w14:textId="3AD043EC" w:rsidR="00271180" w:rsidRPr="004A34BD" w:rsidRDefault="00271180" w:rsidP="00271180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rPr>
          <w:szCs w:val="24"/>
        </w:rPr>
      </w:pPr>
      <w:r w:rsidRPr="004A34BD">
        <w:rPr>
          <w:szCs w:val="24"/>
        </w:rPr>
        <w:t>Applicability in fostering provision and development of networks and services</w:t>
      </w:r>
      <w:r w:rsidR="00D355D4" w:rsidRPr="004A34BD">
        <w:rPr>
          <w:szCs w:val="24"/>
        </w:rPr>
        <w:t>.</w:t>
      </w:r>
      <w:r w:rsidRPr="004A34BD">
        <w:rPr>
          <w:szCs w:val="24"/>
        </w:rPr>
        <w:t xml:space="preserve"> </w:t>
      </w:r>
    </w:p>
    <w:p w14:paraId="3993E484" w14:textId="0CD59138" w:rsidR="00271180" w:rsidRPr="004A34BD" w:rsidRDefault="00271180" w:rsidP="00271180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rPr>
          <w:szCs w:val="24"/>
        </w:rPr>
      </w:pPr>
      <w:r w:rsidRPr="004A34BD">
        <w:rPr>
          <w:szCs w:val="24"/>
        </w:rPr>
        <w:t>Flexibility to accommodate new trends and emerg</w:t>
      </w:r>
      <w:r w:rsidR="00E44028" w:rsidRPr="004A34BD">
        <w:rPr>
          <w:szCs w:val="24"/>
        </w:rPr>
        <w:t xml:space="preserve">ing </w:t>
      </w:r>
      <w:r w:rsidRPr="004A34BD">
        <w:rPr>
          <w:szCs w:val="24"/>
        </w:rPr>
        <w:t>issues of the ITRs</w:t>
      </w:r>
      <w:r w:rsidR="007179B1" w:rsidRPr="004A34BD">
        <w:rPr>
          <w:szCs w:val="24"/>
        </w:rPr>
        <w:t xml:space="preserve">. </w:t>
      </w:r>
    </w:p>
    <w:p w14:paraId="79B25D83" w14:textId="77777777" w:rsidR="00271180" w:rsidRPr="004A34BD" w:rsidRDefault="00271180" w:rsidP="00271180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rPr>
          <w:szCs w:val="24"/>
        </w:rPr>
      </w:pPr>
      <w:r w:rsidRPr="004A34BD">
        <w:rPr>
          <w:szCs w:val="24"/>
        </w:rPr>
        <w:t>Summary outcome of the discussions, based on (1) and (2) above.</w:t>
      </w:r>
    </w:p>
    <w:p w14:paraId="4ABA6852" w14:textId="06A1FA32" w:rsidR="00271180" w:rsidRPr="004A34BD" w:rsidRDefault="00271180">
      <w:pPr>
        <w:spacing w:after="120"/>
        <w:rPr>
          <w:szCs w:val="24"/>
        </w:rPr>
      </w:pPr>
      <w:r w:rsidRPr="004A34BD">
        <w:rPr>
          <w:szCs w:val="24"/>
        </w:rPr>
        <w:t xml:space="preserve">The </w:t>
      </w:r>
      <w:r w:rsidR="004A34BD" w:rsidRPr="000763A2">
        <w:rPr>
          <w:szCs w:val="24"/>
        </w:rPr>
        <w:t xml:space="preserve">current version of the </w:t>
      </w:r>
      <w:r w:rsidRPr="004A34BD">
        <w:rPr>
          <w:szCs w:val="24"/>
        </w:rPr>
        <w:t xml:space="preserve">Examination Table is available in document </w:t>
      </w:r>
      <w:hyperlink r:id="rId11" w:history="1">
        <w:r w:rsidR="00114585" w:rsidRPr="004A34BD">
          <w:rPr>
            <w:rStyle w:val="Hyperlink"/>
            <w:szCs w:val="24"/>
          </w:rPr>
          <w:t>EG-ITRs-2/DL/2</w:t>
        </w:r>
      </w:hyperlink>
      <w:r w:rsidRPr="004A34BD">
        <w:rPr>
          <w:szCs w:val="24"/>
        </w:rPr>
        <w:t>.</w:t>
      </w:r>
    </w:p>
    <w:p w14:paraId="07023FCD" w14:textId="5EE4A08F" w:rsidR="004A34BD" w:rsidRPr="000763A2" w:rsidRDefault="004A34BD">
      <w:pPr>
        <w:spacing w:after="120"/>
        <w:rPr>
          <w:szCs w:val="24"/>
        </w:rPr>
      </w:pPr>
      <w:r w:rsidRPr="000763A2">
        <w:rPr>
          <w:szCs w:val="24"/>
        </w:rPr>
        <w:t xml:space="preserve">The meeting report is currently under preparation. The meeting agreed that the columns </w:t>
      </w:r>
      <w:r w:rsidRPr="004A34BD">
        <w:rPr>
          <w:szCs w:val="24"/>
        </w:rPr>
        <w:t xml:space="preserve">‘Applicability in fostering provision and development of networks and services’ and ‘Flexibility to accommodate new trends and emerging issues’ would be completed by correspondence through the process agreed in document  </w:t>
      </w:r>
      <w:hyperlink r:id="rId12" w:history="1">
        <w:r w:rsidRPr="000763A2">
          <w:rPr>
            <w:rStyle w:val="Hyperlink"/>
            <w:szCs w:val="24"/>
          </w:rPr>
          <w:t>EG-ITRs-2/DL/3</w:t>
        </w:r>
      </w:hyperlink>
      <w:r w:rsidRPr="000763A2">
        <w:rPr>
          <w:rStyle w:val="Hyperlink"/>
          <w:szCs w:val="24"/>
        </w:rPr>
        <w:t>.</w:t>
      </w:r>
    </w:p>
    <w:p w14:paraId="6C40E3D5" w14:textId="159EA9FF" w:rsidR="00271180" w:rsidRPr="004A34BD" w:rsidRDefault="00271180" w:rsidP="00271180">
      <w:pPr>
        <w:spacing w:after="120"/>
        <w:rPr>
          <w:szCs w:val="24"/>
        </w:rPr>
      </w:pPr>
    </w:p>
    <w:p w14:paraId="10715E9D" w14:textId="77777777" w:rsidR="00271180" w:rsidRPr="004A34BD" w:rsidRDefault="00271180" w:rsidP="00271180"/>
    <w:p w14:paraId="684766CE" w14:textId="77777777" w:rsidR="00271180" w:rsidRPr="004A34BD" w:rsidRDefault="00271180" w:rsidP="00271180">
      <w:r w:rsidRPr="004A34BD">
        <w:br w:type="page"/>
      </w:r>
    </w:p>
    <w:p w14:paraId="163FC867" w14:textId="77777777" w:rsidR="00C244C1" w:rsidRPr="004A34BD" w:rsidRDefault="00271180" w:rsidP="00E40F79">
      <w:pPr>
        <w:keepNext/>
        <w:snapToGrid w:val="0"/>
        <w:spacing w:before="0" w:after="120"/>
        <w:jc w:val="center"/>
        <w:rPr>
          <w:b/>
        </w:rPr>
      </w:pPr>
      <w:r w:rsidRPr="004A34BD">
        <w:rPr>
          <w:b/>
        </w:rPr>
        <w:lastRenderedPageBreak/>
        <w:t>Annex 1</w:t>
      </w:r>
    </w:p>
    <w:p w14:paraId="27F7C98C" w14:textId="7E935CF1" w:rsidR="00271180" w:rsidRPr="004A34BD" w:rsidRDefault="00271180" w:rsidP="00C244C1">
      <w:pPr>
        <w:keepNext/>
        <w:snapToGrid w:val="0"/>
        <w:spacing w:after="120"/>
        <w:jc w:val="center"/>
        <w:rPr>
          <w:b/>
        </w:rPr>
      </w:pPr>
      <w:r w:rsidRPr="004A34BD">
        <w:rPr>
          <w:b/>
        </w:rPr>
        <w:t>EG</w:t>
      </w:r>
      <w:r w:rsidR="005B7DE9" w:rsidRPr="004A34BD">
        <w:rPr>
          <w:b/>
        </w:rPr>
        <w:t>-ITR</w:t>
      </w:r>
      <w:r w:rsidRPr="004A34BD">
        <w:rPr>
          <w:b/>
        </w:rPr>
        <w:t xml:space="preserve"> </w:t>
      </w:r>
      <w:r w:rsidR="005B7DE9" w:rsidRPr="004A34BD">
        <w:rPr>
          <w:b/>
        </w:rPr>
        <w:t>w</w:t>
      </w:r>
      <w:r w:rsidRPr="004A34BD">
        <w:rPr>
          <w:b/>
        </w:rPr>
        <w:t xml:space="preserve">ork plan 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271180" w:rsidRPr="004A34BD" w14:paraId="6FE8766C" w14:textId="77777777" w:rsidTr="00FC29D2">
        <w:trPr>
          <w:cantSplit/>
          <w:trHeight w:val="138"/>
        </w:trPr>
        <w:tc>
          <w:tcPr>
            <w:tcW w:w="6469" w:type="dxa"/>
          </w:tcPr>
          <w:p w14:paraId="67FBC730" w14:textId="77777777" w:rsidR="00271180" w:rsidRPr="004A34BD" w:rsidRDefault="00271180" w:rsidP="00FC29D2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411579A5" w14:textId="77777777" w:rsidR="00271180" w:rsidRPr="004A34BD" w:rsidRDefault="00271180" w:rsidP="00FC29D2">
            <w:pPr>
              <w:rPr>
                <w:b/>
                <w:bCs/>
              </w:rPr>
            </w:pPr>
            <w:r w:rsidRPr="004A34BD">
              <w:rPr>
                <w:b/>
                <w:bCs/>
              </w:rPr>
              <w:t>Rev</w:t>
            </w:r>
            <w:r w:rsidR="005B7DE9" w:rsidRPr="004A34BD">
              <w:rPr>
                <w:b/>
                <w:bCs/>
              </w:rPr>
              <w:t>ision</w:t>
            </w:r>
            <w:r w:rsidRPr="004A34BD">
              <w:rPr>
                <w:b/>
                <w:bCs/>
              </w:rPr>
              <w:t xml:space="preserve"> 2 to Doc</w:t>
            </w:r>
            <w:r w:rsidR="00565C1C" w:rsidRPr="004A34BD">
              <w:rPr>
                <w:b/>
                <w:bCs/>
              </w:rPr>
              <w:t>ument</w:t>
            </w:r>
            <w:r w:rsidRPr="004A34BD">
              <w:rPr>
                <w:b/>
                <w:bCs/>
              </w:rPr>
              <w:t xml:space="preserve"> EG-ITRs-1/DL/3-E</w:t>
            </w:r>
            <w:r w:rsidRPr="004A34BD">
              <w:rPr>
                <w:b/>
                <w:bCs/>
              </w:rPr>
              <w:br/>
            </w:r>
            <w:r w:rsidRPr="004A34BD">
              <w:rPr>
                <w:b/>
              </w:rPr>
              <w:t xml:space="preserve">17 September 2019 </w:t>
            </w:r>
            <w:r w:rsidRPr="004A34BD">
              <w:rPr>
                <w:b/>
              </w:rPr>
              <w:br/>
              <w:t>English only</w:t>
            </w:r>
          </w:p>
        </w:tc>
      </w:tr>
    </w:tbl>
    <w:p w14:paraId="4413F203" w14:textId="76618481" w:rsidR="00271180" w:rsidRPr="004A34BD" w:rsidRDefault="00271180" w:rsidP="00FD2A58">
      <w:pPr>
        <w:keepNext/>
        <w:spacing w:before="0" w:after="120"/>
        <w:jc w:val="center"/>
        <w:rPr>
          <w:b/>
          <w:sz w:val="28"/>
          <w:szCs w:val="28"/>
        </w:rPr>
      </w:pPr>
      <w:r w:rsidRPr="004A34BD">
        <w:rPr>
          <w:b/>
          <w:sz w:val="28"/>
          <w:szCs w:val="28"/>
        </w:rPr>
        <w:t xml:space="preserve">Work </w:t>
      </w:r>
      <w:r w:rsidR="005B7DE9" w:rsidRPr="004A34BD">
        <w:rPr>
          <w:b/>
          <w:sz w:val="28"/>
          <w:szCs w:val="28"/>
        </w:rPr>
        <w:t>p</w:t>
      </w:r>
      <w:r w:rsidRPr="004A34BD">
        <w:rPr>
          <w:b/>
          <w:sz w:val="28"/>
          <w:szCs w:val="28"/>
        </w:rPr>
        <w:t>lan</w:t>
      </w: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1559"/>
        <w:gridCol w:w="2264"/>
        <w:gridCol w:w="3973"/>
        <w:gridCol w:w="2273"/>
      </w:tblGrid>
      <w:tr w:rsidR="00271180" w:rsidRPr="004A34BD" w14:paraId="3457D54E" w14:textId="77777777" w:rsidTr="00FC29D2">
        <w:trPr>
          <w:trHeight w:val="355"/>
          <w:jc w:val="center"/>
        </w:trPr>
        <w:tc>
          <w:tcPr>
            <w:tcW w:w="1559" w:type="dxa"/>
            <w:shd w:val="clear" w:color="auto" w:fill="EEECE1" w:themeFill="background2"/>
          </w:tcPr>
          <w:p w14:paraId="4C3842C4" w14:textId="77777777" w:rsidR="00271180" w:rsidRPr="004A34BD" w:rsidRDefault="00271180" w:rsidP="00FC29D2">
            <w:pPr>
              <w:jc w:val="center"/>
              <w:rPr>
                <w:b/>
                <w:bCs/>
                <w:sz w:val="20"/>
              </w:rPr>
            </w:pPr>
            <w:r w:rsidRPr="004A34BD">
              <w:rPr>
                <w:b/>
                <w:bCs/>
                <w:sz w:val="20"/>
              </w:rPr>
              <w:t>Meeting</w:t>
            </w:r>
          </w:p>
        </w:tc>
        <w:tc>
          <w:tcPr>
            <w:tcW w:w="2264" w:type="dxa"/>
            <w:shd w:val="clear" w:color="auto" w:fill="EEECE1" w:themeFill="background2"/>
          </w:tcPr>
          <w:p w14:paraId="256645B4" w14:textId="77777777" w:rsidR="00271180" w:rsidRPr="004A34BD" w:rsidRDefault="00271180" w:rsidP="00FC29D2">
            <w:pPr>
              <w:jc w:val="center"/>
              <w:rPr>
                <w:b/>
                <w:bCs/>
                <w:sz w:val="20"/>
              </w:rPr>
            </w:pPr>
            <w:r w:rsidRPr="004A34BD">
              <w:rPr>
                <w:b/>
                <w:bCs/>
                <w:sz w:val="20"/>
              </w:rPr>
              <w:t>Primary Actions</w:t>
            </w:r>
          </w:p>
        </w:tc>
        <w:tc>
          <w:tcPr>
            <w:tcW w:w="3973" w:type="dxa"/>
            <w:shd w:val="clear" w:color="auto" w:fill="EEECE1" w:themeFill="background2"/>
          </w:tcPr>
          <w:p w14:paraId="5F8CBE77" w14:textId="77777777" w:rsidR="00271180" w:rsidRPr="004A34BD" w:rsidRDefault="00271180" w:rsidP="00FC29D2">
            <w:pPr>
              <w:jc w:val="center"/>
              <w:rPr>
                <w:b/>
                <w:bCs/>
                <w:sz w:val="20"/>
              </w:rPr>
            </w:pPr>
            <w:r w:rsidRPr="004A34BD">
              <w:rPr>
                <w:b/>
                <w:bCs/>
                <w:sz w:val="20"/>
              </w:rPr>
              <w:t>Provisions</w:t>
            </w:r>
          </w:p>
        </w:tc>
        <w:tc>
          <w:tcPr>
            <w:tcW w:w="2273" w:type="dxa"/>
            <w:shd w:val="clear" w:color="auto" w:fill="EEECE1" w:themeFill="background2"/>
          </w:tcPr>
          <w:p w14:paraId="3573BE49" w14:textId="77777777" w:rsidR="00271180" w:rsidRPr="004A34BD" w:rsidRDefault="00271180" w:rsidP="00FC29D2">
            <w:pPr>
              <w:jc w:val="center"/>
              <w:rPr>
                <w:b/>
                <w:bCs/>
                <w:sz w:val="20"/>
              </w:rPr>
            </w:pPr>
            <w:r w:rsidRPr="004A34BD">
              <w:rPr>
                <w:b/>
                <w:bCs/>
                <w:sz w:val="20"/>
              </w:rPr>
              <w:t>Expectations</w:t>
            </w:r>
          </w:p>
        </w:tc>
      </w:tr>
      <w:tr w:rsidR="00271180" w:rsidRPr="004A34BD" w14:paraId="3EC1D77D" w14:textId="77777777" w:rsidTr="00FC29D2">
        <w:trPr>
          <w:jc w:val="center"/>
        </w:trPr>
        <w:tc>
          <w:tcPr>
            <w:tcW w:w="1559" w:type="dxa"/>
          </w:tcPr>
          <w:p w14:paraId="289EE28F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2</w:t>
            </w:r>
            <w:r w:rsidRPr="004A34BD">
              <w:rPr>
                <w:sz w:val="20"/>
                <w:vertAlign w:val="superscript"/>
              </w:rPr>
              <w:t>nd</w:t>
            </w:r>
            <w:r w:rsidRPr="004A34BD">
              <w:rPr>
                <w:sz w:val="20"/>
              </w:rPr>
              <w:t xml:space="preserve"> Meeting </w:t>
            </w:r>
            <w:r w:rsidRPr="004A34BD">
              <w:rPr>
                <w:sz w:val="20"/>
              </w:rPr>
              <w:br/>
              <w:t>(12-13 February 2020)</w:t>
            </w:r>
          </w:p>
        </w:tc>
        <w:tc>
          <w:tcPr>
            <w:tcW w:w="2264" w:type="dxa"/>
            <w:vMerge w:val="restart"/>
          </w:tcPr>
          <w:p w14:paraId="72665DE4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Provision-by-provision examination of the ITRs</w:t>
            </w:r>
          </w:p>
        </w:tc>
        <w:tc>
          <w:tcPr>
            <w:tcW w:w="3973" w:type="dxa"/>
          </w:tcPr>
          <w:p w14:paraId="5C2CDAC7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Preamble</w:t>
            </w:r>
          </w:p>
          <w:p w14:paraId="3FD1F450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 Purpose and scope of the Regulations</w:t>
            </w:r>
          </w:p>
          <w:p w14:paraId="749669BD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2 Definitions</w:t>
            </w:r>
          </w:p>
          <w:p w14:paraId="49637F35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3 International network</w:t>
            </w:r>
          </w:p>
          <w:p w14:paraId="0913DE5D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4 International telecommunication services</w:t>
            </w:r>
          </w:p>
        </w:tc>
        <w:tc>
          <w:tcPr>
            <w:tcW w:w="2273" w:type="dxa"/>
          </w:tcPr>
          <w:p w14:paraId="5A463B8C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Draft results of the provision-by-provision examination using the Examination Table</w:t>
            </w:r>
            <w:r w:rsidRPr="004A34BD">
              <w:rPr>
                <w:rStyle w:val="FootnoteReference"/>
                <w:sz w:val="14"/>
                <w:szCs w:val="14"/>
              </w:rPr>
              <w:footnoteReference w:id="2"/>
            </w:r>
            <w:r w:rsidRPr="004A34BD" w:rsidDel="001E3BD2">
              <w:rPr>
                <w:sz w:val="14"/>
                <w:szCs w:val="14"/>
              </w:rPr>
              <w:t xml:space="preserve"> </w:t>
            </w:r>
          </w:p>
          <w:p w14:paraId="536758AD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 xml:space="preserve">Progress report to </w:t>
            </w:r>
            <w:r w:rsidR="00B54795" w:rsidRPr="004A34BD">
              <w:rPr>
                <w:sz w:val="20"/>
              </w:rPr>
              <w:t xml:space="preserve">the </w:t>
            </w:r>
            <w:r w:rsidRPr="004A34BD">
              <w:rPr>
                <w:sz w:val="20"/>
              </w:rPr>
              <w:t>Council</w:t>
            </w:r>
          </w:p>
        </w:tc>
      </w:tr>
      <w:tr w:rsidR="00271180" w:rsidRPr="004A34BD" w14:paraId="671894E1" w14:textId="77777777" w:rsidTr="00FC29D2">
        <w:trPr>
          <w:jc w:val="center"/>
        </w:trPr>
        <w:tc>
          <w:tcPr>
            <w:tcW w:w="1559" w:type="dxa"/>
          </w:tcPr>
          <w:p w14:paraId="2D74ACCE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3</w:t>
            </w:r>
            <w:r w:rsidRPr="004A34BD">
              <w:rPr>
                <w:sz w:val="20"/>
                <w:vertAlign w:val="superscript"/>
              </w:rPr>
              <w:t>rd</w:t>
            </w:r>
            <w:r w:rsidRPr="004A34BD">
              <w:rPr>
                <w:sz w:val="20"/>
              </w:rPr>
              <w:t xml:space="preserve"> meeting (September 2020)</w:t>
            </w:r>
          </w:p>
        </w:tc>
        <w:tc>
          <w:tcPr>
            <w:tcW w:w="2264" w:type="dxa"/>
            <w:vMerge/>
          </w:tcPr>
          <w:p w14:paraId="70161EDE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</w:p>
        </w:tc>
        <w:tc>
          <w:tcPr>
            <w:tcW w:w="3973" w:type="dxa"/>
          </w:tcPr>
          <w:p w14:paraId="1BAB2828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ARTICLE 5 Safety of life and priority of telecommunications</w:t>
            </w:r>
          </w:p>
          <w:p w14:paraId="1030439A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6 Security and robustness of networks</w:t>
            </w:r>
          </w:p>
          <w:p w14:paraId="269E1FD9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7 Unsolicited bulk electronic communications</w:t>
            </w:r>
          </w:p>
          <w:p w14:paraId="1B388474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8 Charging and accounting</w:t>
            </w:r>
          </w:p>
          <w:p w14:paraId="623E0797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APPENDIX 1 General provisions concerning accounting</w:t>
            </w:r>
          </w:p>
        </w:tc>
        <w:tc>
          <w:tcPr>
            <w:tcW w:w="2273" w:type="dxa"/>
          </w:tcPr>
          <w:p w14:paraId="00B62791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 xml:space="preserve">Draft results of the provision-by-provision  examination using the Examination Table </w:t>
            </w:r>
          </w:p>
        </w:tc>
      </w:tr>
      <w:tr w:rsidR="00271180" w:rsidRPr="004A34BD" w14:paraId="372026F2" w14:textId="77777777" w:rsidTr="00FC29D2">
        <w:trPr>
          <w:jc w:val="center"/>
        </w:trPr>
        <w:tc>
          <w:tcPr>
            <w:tcW w:w="1559" w:type="dxa"/>
          </w:tcPr>
          <w:p w14:paraId="35146637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4</w:t>
            </w:r>
            <w:r w:rsidRPr="004A34BD">
              <w:rPr>
                <w:sz w:val="20"/>
                <w:vertAlign w:val="superscript"/>
              </w:rPr>
              <w:t>th</w:t>
            </w:r>
            <w:r w:rsidRPr="004A34BD">
              <w:rPr>
                <w:sz w:val="20"/>
              </w:rPr>
              <w:t xml:space="preserve"> Meeting </w:t>
            </w:r>
            <w:r w:rsidRPr="004A34BD">
              <w:rPr>
                <w:sz w:val="20"/>
              </w:rPr>
              <w:br/>
              <w:t>(February 2021)</w:t>
            </w:r>
          </w:p>
        </w:tc>
        <w:tc>
          <w:tcPr>
            <w:tcW w:w="2264" w:type="dxa"/>
            <w:vMerge/>
          </w:tcPr>
          <w:p w14:paraId="6AA20F30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</w:p>
        </w:tc>
        <w:tc>
          <w:tcPr>
            <w:tcW w:w="3973" w:type="dxa"/>
          </w:tcPr>
          <w:p w14:paraId="662DA204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ARTICLE 9 Suspension of services</w:t>
            </w:r>
          </w:p>
          <w:p w14:paraId="7FAD5DC6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10 Dissemination of information</w:t>
            </w:r>
          </w:p>
          <w:p w14:paraId="38F36B78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11 Energy efficiency/e-waste</w:t>
            </w:r>
          </w:p>
          <w:p w14:paraId="6D6E9BDB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12 Accessibility</w:t>
            </w:r>
          </w:p>
          <w:p w14:paraId="475E026A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13 Special arrangements</w:t>
            </w:r>
          </w:p>
          <w:p w14:paraId="7C8F7F09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ARTICLE 14 Final provisions</w:t>
            </w:r>
          </w:p>
          <w:p w14:paraId="28097701" w14:textId="77777777" w:rsidR="00271180" w:rsidRPr="004A34BD" w:rsidRDefault="00271180" w:rsidP="00E40F79">
            <w:pPr>
              <w:spacing w:before="40" w:after="40"/>
              <w:rPr>
                <w:sz w:val="20"/>
              </w:rPr>
            </w:pPr>
            <w:r w:rsidRPr="004A34BD">
              <w:rPr>
                <w:sz w:val="20"/>
              </w:rPr>
              <w:t>APPENDIX 2 Additional provisions relating to maritime telecommunications</w:t>
            </w:r>
          </w:p>
        </w:tc>
        <w:tc>
          <w:tcPr>
            <w:tcW w:w="2273" w:type="dxa"/>
          </w:tcPr>
          <w:p w14:paraId="0E272939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Draft results of the provision-by-provision  examination using the Examination Table</w:t>
            </w:r>
          </w:p>
          <w:p w14:paraId="0F652A9B" w14:textId="77777777" w:rsidR="00271180" w:rsidRPr="004A34BD" w:rsidRDefault="00271180" w:rsidP="00876863">
            <w:pPr>
              <w:spacing w:before="80" w:after="80"/>
              <w:rPr>
                <w:b/>
                <w:sz w:val="20"/>
              </w:rPr>
            </w:pPr>
            <w:r w:rsidRPr="004A34BD">
              <w:rPr>
                <w:sz w:val="20"/>
              </w:rPr>
              <w:t>Progress report to</w:t>
            </w:r>
            <w:r w:rsidR="00E44028" w:rsidRPr="004A34BD">
              <w:rPr>
                <w:sz w:val="20"/>
              </w:rPr>
              <w:t xml:space="preserve"> the</w:t>
            </w:r>
            <w:r w:rsidRPr="004A34BD">
              <w:rPr>
                <w:sz w:val="20"/>
              </w:rPr>
              <w:t xml:space="preserve"> Council</w:t>
            </w:r>
          </w:p>
        </w:tc>
      </w:tr>
      <w:tr w:rsidR="00271180" w:rsidRPr="004A34BD" w14:paraId="2DBAF721" w14:textId="77777777" w:rsidTr="00FC29D2">
        <w:trPr>
          <w:jc w:val="center"/>
        </w:trPr>
        <w:tc>
          <w:tcPr>
            <w:tcW w:w="1559" w:type="dxa"/>
          </w:tcPr>
          <w:p w14:paraId="6782D2F3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5</w:t>
            </w:r>
            <w:r w:rsidRPr="004A34BD">
              <w:rPr>
                <w:sz w:val="20"/>
                <w:vertAlign w:val="superscript"/>
              </w:rPr>
              <w:t>th</w:t>
            </w:r>
            <w:r w:rsidRPr="004A34BD">
              <w:rPr>
                <w:sz w:val="20"/>
              </w:rPr>
              <w:t xml:space="preserve"> Meeting (September 2021)</w:t>
            </w:r>
          </w:p>
        </w:tc>
        <w:tc>
          <w:tcPr>
            <w:tcW w:w="2264" w:type="dxa"/>
          </w:tcPr>
          <w:p w14:paraId="20E3A798" w14:textId="16254BEA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 xml:space="preserve">Overall </w:t>
            </w:r>
            <w:r w:rsidR="00E44028" w:rsidRPr="004A34BD">
              <w:rPr>
                <w:sz w:val="20"/>
              </w:rPr>
              <w:t>o</w:t>
            </w:r>
            <w:r w:rsidRPr="004A34BD">
              <w:rPr>
                <w:sz w:val="20"/>
              </w:rPr>
              <w:t>bservations based on the provision-by-provision examination</w:t>
            </w:r>
          </w:p>
        </w:tc>
        <w:tc>
          <w:tcPr>
            <w:tcW w:w="3973" w:type="dxa"/>
          </w:tcPr>
          <w:p w14:paraId="58A13A99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</w:p>
        </w:tc>
        <w:tc>
          <w:tcPr>
            <w:tcW w:w="2273" w:type="dxa"/>
          </w:tcPr>
          <w:p w14:paraId="3C51EB41" w14:textId="20F4ABB5" w:rsidR="00271180" w:rsidRPr="004A34BD" w:rsidRDefault="00271180" w:rsidP="00565C1C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 xml:space="preserve">First </w:t>
            </w:r>
            <w:r w:rsidR="00565C1C" w:rsidRPr="004A34BD">
              <w:rPr>
                <w:sz w:val="20"/>
              </w:rPr>
              <w:t>d</w:t>
            </w:r>
            <w:r w:rsidRPr="004A34BD">
              <w:rPr>
                <w:sz w:val="20"/>
              </w:rPr>
              <w:t>raft of the Final Report to Council 2022</w:t>
            </w:r>
          </w:p>
        </w:tc>
      </w:tr>
      <w:tr w:rsidR="00271180" w:rsidRPr="004A34BD" w14:paraId="5F6C7C7C" w14:textId="77777777" w:rsidTr="00FC29D2">
        <w:trPr>
          <w:jc w:val="center"/>
        </w:trPr>
        <w:tc>
          <w:tcPr>
            <w:tcW w:w="1559" w:type="dxa"/>
          </w:tcPr>
          <w:p w14:paraId="78A770A5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6</w:t>
            </w:r>
            <w:r w:rsidRPr="004A34BD">
              <w:rPr>
                <w:sz w:val="20"/>
                <w:vertAlign w:val="superscript"/>
              </w:rPr>
              <w:t>th</w:t>
            </w:r>
            <w:r w:rsidRPr="004A34BD">
              <w:rPr>
                <w:sz w:val="20"/>
              </w:rPr>
              <w:t xml:space="preserve"> Meeting (just prior to Council 2022)</w:t>
            </w:r>
          </w:p>
        </w:tc>
        <w:tc>
          <w:tcPr>
            <w:tcW w:w="2264" w:type="dxa"/>
          </w:tcPr>
          <w:p w14:paraId="4A996AF8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Finalize the Final Report to Council 2022</w:t>
            </w:r>
          </w:p>
        </w:tc>
        <w:tc>
          <w:tcPr>
            <w:tcW w:w="3973" w:type="dxa"/>
          </w:tcPr>
          <w:p w14:paraId="7AA97DD6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</w:p>
        </w:tc>
        <w:tc>
          <w:tcPr>
            <w:tcW w:w="2273" w:type="dxa"/>
          </w:tcPr>
          <w:p w14:paraId="534D8176" w14:textId="77777777" w:rsidR="00271180" w:rsidRPr="004A34BD" w:rsidRDefault="00271180" w:rsidP="00876863">
            <w:pPr>
              <w:spacing w:before="80" w:after="80"/>
              <w:rPr>
                <w:sz w:val="20"/>
              </w:rPr>
            </w:pPr>
            <w:r w:rsidRPr="004A34BD">
              <w:rPr>
                <w:sz w:val="20"/>
              </w:rPr>
              <w:t>Final Report to Council 2022</w:t>
            </w:r>
          </w:p>
        </w:tc>
      </w:tr>
    </w:tbl>
    <w:p w14:paraId="5FF07B1C" w14:textId="77777777" w:rsidR="002770B1" w:rsidRDefault="003C58BF" w:rsidP="004E4D4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34" w:right="-142"/>
        <w:jc w:val="center"/>
      </w:pPr>
      <w:r w:rsidRPr="004A34BD">
        <w:t>_____________</w:t>
      </w:r>
      <w:r w:rsidR="004122C5" w:rsidRPr="004A34BD">
        <w:t>_</w:t>
      </w:r>
      <w:r w:rsidR="00922EC1" w:rsidRPr="004A34BD">
        <w:t>_</w:t>
      </w:r>
    </w:p>
    <w:sectPr w:rsidR="002770B1" w:rsidSect="00D200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FA2C" w14:textId="77777777" w:rsidR="00EF1D69" w:rsidRDefault="00EF1D69">
      <w:r>
        <w:separator/>
      </w:r>
    </w:p>
  </w:endnote>
  <w:endnote w:type="continuationSeparator" w:id="0">
    <w:p w14:paraId="7CFE0880" w14:textId="77777777" w:rsidR="00EF1D69" w:rsidRDefault="00EF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B0F1" w14:textId="77777777" w:rsidR="00E81D35" w:rsidRDefault="00E8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892E" w14:textId="77777777" w:rsidR="00E81D35" w:rsidRDefault="00E81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E1EC7" w:rsidRPr="004D495C" w14:paraId="6463E46E" w14:textId="77777777" w:rsidTr="00FC29D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0E06EEC" w14:textId="77777777" w:rsidR="00BE1EC7" w:rsidRPr="004D495C" w:rsidRDefault="00BE1EC7" w:rsidP="00BE1EC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D0C2ED9" w14:textId="77777777" w:rsidR="00BE1EC7" w:rsidRPr="004D495C" w:rsidRDefault="00BE1EC7" w:rsidP="00BE1EC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76E0FE0" w14:textId="77777777" w:rsidR="00BE1EC7" w:rsidRPr="00AF7A97" w:rsidRDefault="00BE1EC7" w:rsidP="00BE1E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Ms Doreen Bogdan-Martin-Garcia, Director, Telecommunication Development Bureau</w:t>
          </w:r>
        </w:p>
      </w:tc>
      <w:bookmarkStart w:id="11" w:name="OrgName"/>
      <w:bookmarkEnd w:id="11"/>
    </w:tr>
    <w:tr w:rsidR="00BE1EC7" w:rsidRPr="004D495C" w14:paraId="74CAAE3A" w14:textId="77777777" w:rsidTr="00FC29D2">
      <w:tc>
        <w:tcPr>
          <w:tcW w:w="1526" w:type="dxa"/>
          <w:shd w:val="clear" w:color="auto" w:fill="auto"/>
        </w:tcPr>
        <w:p w14:paraId="673F4AEB" w14:textId="77777777" w:rsidR="00BE1EC7" w:rsidRPr="004D495C" w:rsidRDefault="00BE1EC7" w:rsidP="00BE1E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229F5FD" w14:textId="77777777" w:rsidR="00BE1EC7" w:rsidRPr="004D495C" w:rsidRDefault="00BE1EC7" w:rsidP="00BE1E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ECE8B82" w14:textId="77777777" w:rsidR="00BE1EC7" w:rsidRPr="00AF7A97" w:rsidRDefault="00BE1EC7" w:rsidP="00BE1E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BE1EC7" w:rsidRPr="004D495C" w14:paraId="19199C7C" w14:textId="77777777" w:rsidTr="00FC29D2">
      <w:tc>
        <w:tcPr>
          <w:tcW w:w="1526" w:type="dxa"/>
          <w:shd w:val="clear" w:color="auto" w:fill="auto"/>
        </w:tcPr>
        <w:p w14:paraId="1E8ADA2A" w14:textId="77777777" w:rsidR="00BE1EC7" w:rsidRPr="004D495C" w:rsidRDefault="00BE1EC7" w:rsidP="00BE1E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FE030BC" w14:textId="77777777" w:rsidR="00BE1EC7" w:rsidRPr="004D495C" w:rsidRDefault="00BE1EC7" w:rsidP="00BE1E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6BA6DF7" w14:textId="77777777" w:rsidR="00BE1EC7" w:rsidRPr="00AF7A97" w:rsidRDefault="00AC538C" w:rsidP="00BE1E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E1EC7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BE1EC7">
            <w:rPr>
              <w:sz w:val="18"/>
              <w:szCs w:val="18"/>
              <w:lang w:val="en-US"/>
            </w:rPr>
            <w:t xml:space="preserve"> </w:t>
          </w:r>
        </w:p>
      </w:tc>
      <w:bookmarkStart w:id="13" w:name="Email"/>
      <w:bookmarkEnd w:id="13"/>
    </w:tr>
  </w:tbl>
  <w:p w14:paraId="06950F47" w14:textId="77777777" w:rsidR="0006061C" w:rsidRPr="00D83BF5" w:rsidRDefault="00AC538C" w:rsidP="0006061C">
    <w:pPr>
      <w:jc w:val="center"/>
    </w:pPr>
    <w:hyperlink r:id="rId2" w:history="1">
      <w:r w:rsidR="0006061C" w:rsidRPr="001E252D">
        <w:rPr>
          <w:rStyle w:val="Hyperlink"/>
          <w:sz w:val="20"/>
        </w:rPr>
        <w:t>TDAG</w:t>
      </w:r>
    </w:hyperlink>
  </w:p>
  <w:p w14:paraId="1F77BC2F" w14:textId="77777777" w:rsidR="00721657" w:rsidRPr="0006061C" w:rsidRDefault="00721657" w:rsidP="00060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0BAD" w14:textId="77777777" w:rsidR="00EF1D69" w:rsidRDefault="00EF1D69">
      <w:r>
        <w:t>____________________</w:t>
      </w:r>
    </w:p>
  </w:footnote>
  <w:footnote w:type="continuationSeparator" w:id="0">
    <w:p w14:paraId="4DAFDEBB" w14:textId="77777777" w:rsidR="00EF1D69" w:rsidRDefault="00EF1D69">
      <w:r>
        <w:continuationSeparator/>
      </w:r>
    </w:p>
  </w:footnote>
  <w:footnote w:id="1">
    <w:p w14:paraId="105E30D5" w14:textId="77777777" w:rsidR="00C244C1" w:rsidRPr="00F351E2" w:rsidRDefault="00C244C1" w:rsidP="00C244C1">
      <w:pPr>
        <w:pStyle w:val="FootnoteText"/>
        <w:rPr>
          <w:sz w:val="20"/>
        </w:rPr>
      </w:pPr>
      <w:r w:rsidRPr="00F4250A">
        <w:rPr>
          <w:rStyle w:val="FootnoteReference"/>
          <w:sz w:val="14"/>
        </w:rPr>
        <w:footnoteRef/>
      </w:r>
      <w:r w:rsidRPr="00F351E2">
        <w:rPr>
          <w:sz w:val="20"/>
        </w:rPr>
        <w:t xml:space="preserve"> </w:t>
      </w:r>
      <w:r>
        <w:rPr>
          <w:sz w:val="20"/>
        </w:rPr>
        <w:tab/>
      </w:r>
      <w:r w:rsidRPr="00F351E2">
        <w:rPr>
          <w:sz w:val="20"/>
        </w:rPr>
        <w:t xml:space="preserve">The Expert Group on ITRs website is available at: </w:t>
      </w:r>
      <w:hyperlink r:id="rId1" w:history="1">
        <w:r w:rsidRPr="00F351E2">
          <w:rPr>
            <w:rStyle w:val="Hyperlink"/>
            <w:sz w:val="20"/>
          </w:rPr>
          <w:t>https://www.itu.int/en/council/Pages/eg-itrs.aspx</w:t>
        </w:r>
      </w:hyperlink>
      <w:r w:rsidRPr="00F351E2">
        <w:rPr>
          <w:sz w:val="20"/>
        </w:rPr>
        <w:t>.</w:t>
      </w:r>
    </w:p>
  </w:footnote>
  <w:footnote w:id="2">
    <w:p w14:paraId="08840AAA" w14:textId="7FE8BB6C" w:rsidR="00271180" w:rsidRPr="00F351E2" w:rsidRDefault="00271180" w:rsidP="00271180">
      <w:pPr>
        <w:pStyle w:val="FootnoteText"/>
        <w:rPr>
          <w:sz w:val="20"/>
        </w:rPr>
      </w:pPr>
      <w:r w:rsidRPr="00F351E2">
        <w:rPr>
          <w:rStyle w:val="FootnoteReference"/>
          <w:sz w:val="20"/>
        </w:rPr>
        <w:footnoteRef/>
      </w:r>
      <w:r w:rsidRPr="00F351E2">
        <w:rPr>
          <w:sz w:val="20"/>
        </w:rPr>
        <w:t xml:space="preserve"> </w:t>
      </w:r>
      <w:r w:rsidR="00F351E2">
        <w:rPr>
          <w:sz w:val="20"/>
        </w:rPr>
        <w:tab/>
      </w:r>
      <w:r w:rsidRPr="00F351E2">
        <w:rPr>
          <w:i/>
          <w:sz w:val="20"/>
        </w:rPr>
        <w:t xml:space="preserve">Note: Identification of new trends in telecommunications/ICT and emerging issues in international telecommunications/ICT environment will be covered under column 5 of the agreed </w:t>
      </w:r>
      <w:r w:rsidRPr="00F351E2">
        <w:rPr>
          <w:sz w:val="20"/>
        </w:rPr>
        <w:t>Examination Table</w:t>
      </w:r>
      <w:r w:rsidRPr="00F351E2">
        <w:rPr>
          <w:i/>
          <w:sz w:val="20"/>
        </w:rPr>
        <w:t xml:space="preserve"> (Flexibility to accommodate </w:t>
      </w:r>
      <w:r w:rsidR="00A14D88">
        <w:rPr>
          <w:i/>
          <w:sz w:val="20"/>
        </w:rPr>
        <w:t>n</w:t>
      </w:r>
      <w:r w:rsidRPr="00F351E2">
        <w:rPr>
          <w:i/>
          <w:sz w:val="20"/>
        </w:rPr>
        <w:t xml:space="preserve">ew trends and </w:t>
      </w:r>
      <w:r w:rsidR="00A14D88" w:rsidRPr="00E40F79">
        <w:rPr>
          <w:i/>
          <w:sz w:val="20"/>
        </w:rPr>
        <w:t>e</w:t>
      </w:r>
      <w:r w:rsidRPr="00565C1C">
        <w:rPr>
          <w:i/>
          <w:sz w:val="20"/>
        </w:rPr>
        <w:t>merg</w:t>
      </w:r>
      <w:r w:rsidR="00A31E28" w:rsidRPr="00E40F79">
        <w:rPr>
          <w:i/>
          <w:sz w:val="20"/>
        </w:rPr>
        <w:t>ing</w:t>
      </w:r>
      <w:r w:rsidRPr="00565C1C">
        <w:rPr>
          <w:i/>
          <w:sz w:val="20"/>
        </w:rPr>
        <w:t xml:space="preserve"> issues</w:t>
      </w:r>
      <w:r w:rsidRPr="00F351E2">
        <w:rPr>
          <w:i/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36CE" w14:textId="77777777" w:rsidR="00E81D35" w:rsidRDefault="00E81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F31D" w14:textId="09C285BB" w:rsidR="00721657" w:rsidRPr="004B715D" w:rsidRDefault="004B715D" w:rsidP="004B715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 w:rsidR="00BE1EC7">
      <w:rPr>
        <w:sz w:val="22"/>
        <w:szCs w:val="22"/>
        <w:lang w:val="de-CH"/>
      </w:rPr>
      <w:t>9</w:t>
    </w:r>
    <w:r w:rsidR="00E81D35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A34BD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A2EA" w14:textId="77777777" w:rsidR="00E81D35" w:rsidRDefault="00E81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04F"/>
    <w:multiLevelType w:val="hybridMultilevel"/>
    <w:tmpl w:val="D38C3EB4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BD41CD6"/>
    <w:multiLevelType w:val="hybridMultilevel"/>
    <w:tmpl w:val="FD8C864A"/>
    <w:lvl w:ilvl="0" w:tplc="20105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B50D85"/>
    <w:multiLevelType w:val="hybridMultilevel"/>
    <w:tmpl w:val="13D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D3E40"/>
    <w:multiLevelType w:val="hybridMultilevel"/>
    <w:tmpl w:val="CDEC83FA"/>
    <w:lvl w:ilvl="0" w:tplc="88B6287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28"/>
    <w:rsid w:val="00002716"/>
    <w:rsid w:val="000044AD"/>
    <w:rsid w:val="00005791"/>
    <w:rsid w:val="00010827"/>
    <w:rsid w:val="00015089"/>
    <w:rsid w:val="0002520B"/>
    <w:rsid w:val="00037A9E"/>
    <w:rsid w:val="00037F91"/>
    <w:rsid w:val="000539F1"/>
    <w:rsid w:val="00054747"/>
    <w:rsid w:val="0005521D"/>
    <w:rsid w:val="00055A2A"/>
    <w:rsid w:val="000601CE"/>
    <w:rsid w:val="0006061C"/>
    <w:rsid w:val="000615C1"/>
    <w:rsid w:val="00061675"/>
    <w:rsid w:val="00073308"/>
    <w:rsid w:val="000743AA"/>
    <w:rsid w:val="000763A2"/>
    <w:rsid w:val="0009225C"/>
    <w:rsid w:val="000A17C4"/>
    <w:rsid w:val="000A36A4"/>
    <w:rsid w:val="000B2352"/>
    <w:rsid w:val="000C594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585"/>
    <w:rsid w:val="00114A65"/>
    <w:rsid w:val="00133061"/>
    <w:rsid w:val="00141699"/>
    <w:rsid w:val="001434DE"/>
    <w:rsid w:val="00147000"/>
    <w:rsid w:val="001528B7"/>
    <w:rsid w:val="00163091"/>
    <w:rsid w:val="001645CB"/>
    <w:rsid w:val="001647C3"/>
    <w:rsid w:val="00166305"/>
    <w:rsid w:val="00167545"/>
    <w:rsid w:val="001703C6"/>
    <w:rsid w:val="00173373"/>
    <w:rsid w:val="00173781"/>
    <w:rsid w:val="00175ADF"/>
    <w:rsid w:val="00175CAE"/>
    <w:rsid w:val="001828DB"/>
    <w:rsid w:val="001850FE"/>
    <w:rsid w:val="00185135"/>
    <w:rsid w:val="001901C0"/>
    <w:rsid w:val="0019037C"/>
    <w:rsid w:val="001905A9"/>
    <w:rsid w:val="00191273"/>
    <w:rsid w:val="001942A7"/>
    <w:rsid w:val="0019587B"/>
    <w:rsid w:val="001967A8"/>
    <w:rsid w:val="001A163D"/>
    <w:rsid w:val="001A441E"/>
    <w:rsid w:val="001A6733"/>
    <w:rsid w:val="001B357F"/>
    <w:rsid w:val="001C3444"/>
    <w:rsid w:val="001C3702"/>
    <w:rsid w:val="001C4656"/>
    <w:rsid w:val="001C46BC"/>
    <w:rsid w:val="001C5E26"/>
    <w:rsid w:val="001D152A"/>
    <w:rsid w:val="001E3ADF"/>
    <w:rsid w:val="001F23E6"/>
    <w:rsid w:val="001F4238"/>
    <w:rsid w:val="00200A38"/>
    <w:rsid w:val="00200A46"/>
    <w:rsid w:val="00211B6F"/>
    <w:rsid w:val="0021780A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180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14A"/>
    <w:rsid w:val="003125C3"/>
    <w:rsid w:val="00312AE6"/>
    <w:rsid w:val="00317D1A"/>
    <w:rsid w:val="003211FF"/>
    <w:rsid w:val="00327247"/>
    <w:rsid w:val="00327A9D"/>
    <w:rsid w:val="0033130E"/>
    <w:rsid w:val="0033269C"/>
    <w:rsid w:val="00345A87"/>
    <w:rsid w:val="0035516C"/>
    <w:rsid w:val="00355A4C"/>
    <w:rsid w:val="003604FB"/>
    <w:rsid w:val="00360B73"/>
    <w:rsid w:val="00364057"/>
    <w:rsid w:val="003708C3"/>
    <w:rsid w:val="00380B71"/>
    <w:rsid w:val="0038365A"/>
    <w:rsid w:val="00386A89"/>
    <w:rsid w:val="0039648E"/>
    <w:rsid w:val="003A5AFE"/>
    <w:rsid w:val="003A5D5F"/>
    <w:rsid w:val="003A7FFE"/>
    <w:rsid w:val="003B0286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86B1B"/>
    <w:rsid w:val="0049128B"/>
    <w:rsid w:val="004933BE"/>
    <w:rsid w:val="00493B49"/>
    <w:rsid w:val="00495501"/>
    <w:rsid w:val="004A070A"/>
    <w:rsid w:val="004A320E"/>
    <w:rsid w:val="004A34BD"/>
    <w:rsid w:val="004A4E9C"/>
    <w:rsid w:val="004B14BE"/>
    <w:rsid w:val="004B1A3C"/>
    <w:rsid w:val="004B715D"/>
    <w:rsid w:val="004D2CC3"/>
    <w:rsid w:val="004D35CB"/>
    <w:rsid w:val="004D663D"/>
    <w:rsid w:val="004E20E5"/>
    <w:rsid w:val="004E4D4C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3E66"/>
    <w:rsid w:val="0054420E"/>
    <w:rsid w:val="00544D1B"/>
    <w:rsid w:val="00545DC0"/>
    <w:rsid w:val="00545F6C"/>
    <w:rsid w:val="005477D9"/>
    <w:rsid w:val="0055720C"/>
    <w:rsid w:val="005632DD"/>
    <w:rsid w:val="0056423B"/>
    <w:rsid w:val="00565C1C"/>
    <w:rsid w:val="00570AE8"/>
    <w:rsid w:val="00571EE6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A4C41"/>
    <w:rsid w:val="005B43C9"/>
    <w:rsid w:val="005B7DE9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42E"/>
    <w:rsid w:val="00625FB8"/>
    <w:rsid w:val="006261BD"/>
    <w:rsid w:val="00635EDB"/>
    <w:rsid w:val="0064734E"/>
    <w:rsid w:val="00650137"/>
    <w:rsid w:val="006509D7"/>
    <w:rsid w:val="00651CE8"/>
    <w:rsid w:val="0065521B"/>
    <w:rsid w:val="0066090A"/>
    <w:rsid w:val="00663960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179B1"/>
    <w:rsid w:val="00717FC8"/>
    <w:rsid w:val="00721657"/>
    <w:rsid w:val="00724283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229A"/>
    <w:rsid w:val="00777265"/>
    <w:rsid w:val="007805E7"/>
    <w:rsid w:val="0078222A"/>
    <w:rsid w:val="00787D48"/>
    <w:rsid w:val="00795294"/>
    <w:rsid w:val="007A4E50"/>
    <w:rsid w:val="007A5F1F"/>
    <w:rsid w:val="007B18A7"/>
    <w:rsid w:val="007B1917"/>
    <w:rsid w:val="007B250E"/>
    <w:rsid w:val="007C27FC"/>
    <w:rsid w:val="007C33AA"/>
    <w:rsid w:val="007C51FF"/>
    <w:rsid w:val="007C67FC"/>
    <w:rsid w:val="007D41B3"/>
    <w:rsid w:val="007D50E4"/>
    <w:rsid w:val="007E2DC5"/>
    <w:rsid w:val="007E6660"/>
    <w:rsid w:val="007F1CC7"/>
    <w:rsid w:val="007F2AE6"/>
    <w:rsid w:val="008027AC"/>
    <w:rsid w:val="008028CE"/>
    <w:rsid w:val="0080332E"/>
    <w:rsid w:val="008141E0"/>
    <w:rsid w:val="00814338"/>
    <w:rsid w:val="00816EE1"/>
    <w:rsid w:val="00816F88"/>
    <w:rsid w:val="00822323"/>
    <w:rsid w:val="00827BC6"/>
    <w:rsid w:val="008300AD"/>
    <w:rsid w:val="00830237"/>
    <w:rsid w:val="00833024"/>
    <w:rsid w:val="008419B1"/>
    <w:rsid w:val="00844A56"/>
    <w:rsid w:val="00845A18"/>
    <w:rsid w:val="00845B11"/>
    <w:rsid w:val="00850A1C"/>
    <w:rsid w:val="00852081"/>
    <w:rsid w:val="008646C2"/>
    <w:rsid w:val="00870872"/>
    <w:rsid w:val="00872B6E"/>
    <w:rsid w:val="00874D2D"/>
    <w:rsid w:val="00874DFD"/>
    <w:rsid w:val="00876863"/>
    <w:rsid w:val="008802F9"/>
    <w:rsid w:val="00883086"/>
    <w:rsid w:val="008879FD"/>
    <w:rsid w:val="00893108"/>
    <w:rsid w:val="00894C37"/>
    <w:rsid w:val="008A00EA"/>
    <w:rsid w:val="008A3F93"/>
    <w:rsid w:val="008A6236"/>
    <w:rsid w:val="008A6E1C"/>
    <w:rsid w:val="008A72FD"/>
    <w:rsid w:val="008B2EDF"/>
    <w:rsid w:val="008B4919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3E80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2ED5"/>
    <w:rsid w:val="009A452B"/>
    <w:rsid w:val="009B050C"/>
    <w:rsid w:val="009B087F"/>
    <w:rsid w:val="009B2AF4"/>
    <w:rsid w:val="009C110B"/>
    <w:rsid w:val="009C5441"/>
    <w:rsid w:val="009D119F"/>
    <w:rsid w:val="009D49A2"/>
    <w:rsid w:val="009F150C"/>
    <w:rsid w:val="009F3940"/>
    <w:rsid w:val="009F3EB2"/>
    <w:rsid w:val="009F6EB1"/>
    <w:rsid w:val="00A11D05"/>
    <w:rsid w:val="00A13162"/>
    <w:rsid w:val="00A14D88"/>
    <w:rsid w:val="00A20267"/>
    <w:rsid w:val="00A3158C"/>
    <w:rsid w:val="00A31E28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55A7"/>
    <w:rsid w:val="00A97D59"/>
    <w:rsid w:val="00AA3E09"/>
    <w:rsid w:val="00AA4BEF"/>
    <w:rsid w:val="00AB1659"/>
    <w:rsid w:val="00AB4962"/>
    <w:rsid w:val="00AB734E"/>
    <w:rsid w:val="00AB740F"/>
    <w:rsid w:val="00AC538C"/>
    <w:rsid w:val="00AC6F14"/>
    <w:rsid w:val="00AC7221"/>
    <w:rsid w:val="00AE5961"/>
    <w:rsid w:val="00AF0745"/>
    <w:rsid w:val="00AF1BCB"/>
    <w:rsid w:val="00AF4971"/>
    <w:rsid w:val="00AF5276"/>
    <w:rsid w:val="00AF5510"/>
    <w:rsid w:val="00AF7C86"/>
    <w:rsid w:val="00B01046"/>
    <w:rsid w:val="00B15F49"/>
    <w:rsid w:val="00B310F9"/>
    <w:rsid w:val="00B37866"/>
    <w:rsid w:val="00B412FB"/>
    <w:rsid w:val="00B41EFD"/>
    <w:rsid w:val="00B4576B"/>
    <w:rsid w:val="00B46350"/>
    <w:rsid w:val="00B46DF3"/>
    <w:rsid w:val="00B507A5"/>
    <w:rsid w:val="00B54795"/>
    <w:rsid w:val="00B656E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1EC7"/>
    <w:rsid w:val="00BE2B4D"/>
    <w:rsid w:val="00C015F8"/>
    <w:rsid w:val="00C07E26"/>
    <w:rsid w:val="00C1011C"/>
    <w:rsid w:val="00C1230B"/>
    <w:rsid w:val="00C12F94"/>
    <w:rsid w:val="00C177C5"/>
    <w:rsid w:val="00C244C1"/>
    <w:rsid w:val="00C33DB1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7CE"/>
    <w:rsid w:val="00C848EF"/>
    <w:rsid w:val="00C86600"/>
    <w:rsid w:val="00C87BCA"/>
    <w:rsid w:val="00C87EED"/>
    <w:rsid w:val="00C94506"/>
    <w:rsid w:val="00C954BC"/>
    <w:rsid w:val="00C96228"/>
    <w:rsid w:val="00CA1912"/>
    <w:rsid w:val="00CA1F0B"/>
    <w:rsid w:val="00CB110F"/>
    <w:rsid w:val="00CB216A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099"/>
    <w:rsid w:val="00D20E99"/>
    <w:rsid w:val="00D21C83"/>
    <w:rsid w:val="00D355D4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5A82"/>
    <w:rsid w:val="00DF7250"/>
    <w:rsid w:val="00E00CAA"/>
    <w:rsid w:val="00E03EBF"/>
    <w:rsid w:val="00E05209"/>
    <w:rsid w:val="00E11BCF"/>
    <w:rsid w:val="00E14732"/>
    <w:rsid w:val="00E2258E"/>
    <w:rsid w:val="00E260C2"/>
    <w:rsid w:val="00E32596"/>
    <w:rsid w:val="00E350D3"/>
    <w:rsid w:val="00E368F7"/>
    <w:rsid w:val="00E36EB8"/>
    <w:rsid w:val="00E37FB8"/>
    <w:rsid w:val="00E40B07"/>
    <w:rsid w:val="00E40CF2"/>
    <w:rsid w:val="00E40F79"/>
    <w:rsid w:val="00E42326"/>
    <w:rsid w:val="00E43544"/>
    <w:rsid w:val="00E44028"/>
    <w:rsid w:val="00E44D89"/>
    <w:rsid w:val="00E477EA"/>
    <w:rsid w:val="00E55807"/>
    <w:rsid w:val="00E63B14"/>
    <w:rsid w:val="00E65CA0"/>
    <w:rsid w:val="00E70D9F"/>
    <w:rsid w:val="00E81D35"/>
    <w:rsid w:val="00E83810"/>
    <w:rsid w:val="00E86933"/>
    <w:rsid w:val="00E95567"/>
    <w:rsid w:val="00E9605B"/>
    <w:rsid w:val="00E97298"/>
    <w:rsid w:val="00E97753"/>
    <w:rsid w:val="00EA7DE7"/>
    <w:rsid w:val="00EB7A8A"/>
    <w:rsid w:val="00EC454C"/>
    <w:rsid w:val="00EE3A64"/>
    <w:rsid w:val="00EE50E5"/>
    <w:rsid w:val="00EF01CF"/>
    <w:rsid w:val="00EF1D69"/>
    <w:rsid w:val="00F03590"/>
    <w:rsid w:val="00F03622"/>
    <w:rsid w:val="00F077FD"/>
    <w:rsid w:val="00F124FF"/>
    <w:rsid w:val="00F13705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1E2"/>
    <w:rsid w:val="00F41B1C"/>
    <w:rsid w:val="00F4250A"/>
    <w:rsid w:val="00F42E13"/>
    <w:rsid w:val="00F42F1C"/>
    <w:rsid w:val="00F43B44"/>
    <w:rsid w:val="00F440E5"/>
    <w:rsid w:val="00F448F6"/>
    <w:rsid w:val="00F47DF8"/>
    <w:rsid w:val="00F52741"/>
    <w:rsid w:val="00F53D8A"/>
    <w:rsid w:val="00F55215"/>
    <w:rsid w:val="00F626F7"/>
    <w:rsid w:val="00F736F9"/>
    <w:rsid w:val="00F73833"/>
    <w:rsid w:val="00F76B3A"/>
    <w:rsid w:val="00F9211C"/>
    <w:rsid w:val="00FA095D"/>
    <w:rsid w:val="00FA6C8B"/>
    <w:rsid w:val="00FA6CDA"/>
    <w:rsid w:val="00FA7C89"/>
    <w:rsid w:val="00FB4139"/>
    <w:rsid w:val="00FB476E"/>
    <w:rsid w:val="00FC0D90"/>
    <w:rsid w:val="00FC5F59"/>
    <w:rsid w:val="00FC7D8C"/>
    <w:rsid w:val="00FD2A58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2C1285"/>
  <w15:docId w15:val="{1B1E49C2-D2CC-41E8-B56F-6A251B46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552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215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271180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777CE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724283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17337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2-200212-DL-0003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200212-DL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EGITR1-190916-DL-000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0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4B8C-3AA2-4A38-9675-5645B1A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</cp:lastModifiedBy>
  <cp:revision>8</cp:revision>
  <cp:lastPrinted>2020-02-18T19:33:00Z</cp:lastPrinted>
  <dcterms:created xsi:type="dcterms:W3CDTF">2020-02-25T09:54:00Z</dcterms:created>
  <dcterms:modified xsi:type="dcterms:W3CDTF">2020-03-10T12:37:00Z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