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4E7A35" w14:paraId="7BE450E0" w14:textId="77777777" w:rsidTr="00E62572">
        <w:trPr>
          <w:trHeight w:val="1134"/>
        </w:trPr>
        <w:tc>
          <w:tcPr>
            <w:tcW w:w="6662" w:type="dxa"/>
          </w:tcPr>
          <w:p w14:paraId="0C2D2E0D" w14:textId="77777777" w:rsidR="004713B8" w:rsidRPr="004E7A35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4E7A35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14:paraId="3C4C6D5C" w14:textId="6BA56E5D" w:rsidR="004713B8" w:rsidRPr="004E7A35" w:rsidRDefault="00D5273F" w:rsidP="00CD1F3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D5273F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25-е собрание, Женева, 2-5 июня 2020</w:t>
            </w: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14:paraId="5B0C2495" w14:textId="77777777" w:rsidR="004713B8" w:rsidRPr="004E7A35" w:rsidRDefault="00B24169" w:rsidP="00B24169">
            <w:pPr>
              <w:widowControl w:val="0"/>
              <w:spacing w:before="40"/>
              <w:jc w:val="right"/>
            </w:pPr>
            <w:r w:rsidRPr="004E7A35">
              <w:rPr>
                <w:noProof/>
                <w:color w:val="3399FF"/>
                <w:lang w:eastAsia="en-GB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4E7A35" w14:paraId="24E97DAB" w14:textId="77777777" w:rsidTr="00CD34AE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4E7A35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984C0E8" w14:textId="77777777" w:rsidR="00CD34AE" w:rsidRPr="004E7A35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4E7A35" w14:paraId="3C6678D8" w14:textId="77777777" w:rsidTr="00CD34AE">
        <w:trPr>
          <w:trHeight w:val="300"/>
        </w:trPr>
        <w:tc>
          <w:tcPr>
            <w:tcW w:w="6662" w:type="dxa"/>
          </w:tcPr>
          <w:p w14:paraId="2C86D1F4" w14:textId="77777777" w:rsidR="00CD34AE" w:rsidRPr="004E7A35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B314665" w14:textId="218C7BA0" w:rsidR="00CD34AE" w:rsidRPr="004E7A35" w:rsidRDefault="003E6E87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4E7A35">
              <w:rPr>
                <w:rFonts w:cstheme="minorHAnsi"/>
                <w:b/>
                <w:bCs/>
              </w:rPr>
              <w:t xml:space="preserve">Документ </w:t>
            </w:r>
            <w:bookmarkStart w:id="1" w:name="DocRef1"/>
            <w:bookmarkEnd w:id="1"/>
            <w:r w:rsidRPr="004E7A35">
              <w:rPr>
                <w:rFonts w:cstheme="minorHAnsi"/>
                <w:b/>
                <w:bCs/>
              </w:rPr>
              <w:t>TDAG</w:t>
            </w:r>
            <w:r w:rsidR="0040328D" w:rsidRPr="004E7A35">
              <w:rPr>
                <w:rFonts w:cstheme="minorHAnsi"/>
                <w:b/>
                <w:bCs/>
              </w:rPr>
              <w:t>-</w:t>
            </w:r>
            <w:r w:rsidR="002502FE" w:rsidRPr="004E7A35">
              <w:rPr>
                <w:rFonts w:cstheme="minorHAnsi"/>
                <w:b/>
                <w:bCs/>
              </w:rPr>
              <w:t>20</w:t>
            </w:r>
            <w:r w:rsidRPr="004E7A35">
              <w:rPr>
                <w:rFonts w:cstheme="minorHAnsi"/>
                <w:b/>
                <w:bCs/>
              </w:rPr>
              <w:t>/</w:t>
            </w:r>
            <w:bookmarkStart w:id="2" w:name="DocNo1"/>
            <w:bookmarkEnd w:id="2"/>
            <w:r w:rsidR="00920C3A" w:rsidRPr="004E7A35">
              <w:rPr>
                <w:rFonts w:cstheme="minorHAnsi"/>
                <w:b/>
                <w:bCs/>
              </w:rPr>
              <w:t>9</w:t>
            </w:r>
            <w:r w:rsidRPr="004E7A35">
              <w:rPr>
                <w:rFonts w:cstheme="minorHAnsi"/>
                <w:b/>
                <w:bCs/>
              </w:rPr>
              <w:t>-R</w:t>
            </w:r>
          </w:p>
        </w:tc>
      </w:tr>
      <w:tr w:rsidR="00CD34AE" w:rsidRPr="004E7A35" w14:paraId="2B6F66FD" w14:textId="77777777" w:rsidTr="00CD34AE">
        <w:trPr>
          <w:trHeight w:val="300"/>
        </w:trPr>
        <w:tc>
          <w:tcPr>
            <w:tcW w:w="6662" w:type="dxa"/>
          </w:tcPr>
          <w:p w14:paraId="4236BC61" w14:textId="77777777" w:rsidR="00CD34AE" w:rsidRPr="004E7A35" w:rsidRDefault="00CD34AE" w:rsidP="00CD34AE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261" w:type="dxa"/>
          </w:tcPr>
          <w:p w14:paraId="48E59AC6" w14:textId="16331C82" w:rsidR="00CD34AE" w:rsidRPr="004E7A35" w:rsidRDefault="00920C3A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3" w:name="CreationDate"/>
            <w:bookmarkEnd w:id="3"/>
            <w:r w:rsidRPr="004E7A35">
              <w:rPr>
                <w:b/>
                <w:bCs/>
              </w:rPr>
              <w:t>13 февраля</w:t>
            </w:r>
            <w:r w:rsidR="00A73D91" w:rsidRPr="004E7A35">
              <w:rPr>
                <w:b/>
                <w:bCs/>
              </w:rPr>
              <w:t xml:space="preserve"> 20</w:t>
            </w:r>
            <w:r w:rsidR="002502FE" w:rsidRPr="004E7A35">
              <w:rPr>
                <w:b/>
                <w:bCs/>
              </w:rPr>
              <w:t>20</w:t>
            </w:r>
            <w:r w:rsidR="00A73D91" w:rsidRPr="004E7A35">
              <w:rPr>
                <w:b/>
                <w:bCs/>
              </w:rPr>
              <w:t xml:space="preserve"> года</w:t>
            </w:r>
          </w:p>
        </w:tc>
      </w:tr>
      <w:tr w:rsidR="00CD34AE" w:rsidRPr="004E7A35" w14:paraId="55854D1A" w14:textId="77777777" w:rsidTr="00CD34AE">
        <w:trPr>
          <w:trHeight w:val="300"/>
        </w:trPr>
        <w:tc>
          <w:tcPr>
            <w:tcW w:w="6662" w:type="dxa"/>
          </w:tcPr>
          <w:p w14:paraId="6BCEAF34" w14:textId="77777777" w:rsidR="00CD34AE" w:rsidRPr="004E7A35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324600A" w14:textId="0CAFB3B8" w:rsidR="00CD34AE" w:rsidRPr="004E7A35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4E7A35">
              <w:rPr>
                <w:rFonts w:cstheme="minorHAnsi"/>
                <w:b/>
                <w:bCs/>
              </w:rPr>
              <w:t>Оригинал:</w:t>
            </w:r>
            <w:bookmarkStart w:id="4" w:name="Original"/>
            <w:bookmarkEnd w:id="4"/>
            <w:r w:rsidR="00A73D91" w:rsidRPr="004E7A35">
              <w:rPr>
                <w:rFonts w:cstheme="minorHAnsi"/>
                <w:b/>
                <w:bCs/>
              </w:rPr>
              <w:t xml:space="preserve"> </w:t>
            </w:r>
            <w:r w:rsidR="00920C3A" w:rsidRPr="004E7A35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4E7A35" w14:paraId="71374119" w14:textId="77777777" w:rsidTr="00CD34AE">
        <w:trPr>
          <w:trHeight w:val="850"/>
        </w:trPr>
        <w:tc>
          <w:tcPr>
            <w:tcW w:w="9923" w:type="dxa"/>
            <w:gridSpan w:val="2"/>
          </w:tcPr>
          <w:p w14:paraId="75EBC6D1" w14:textId="4C305E7D" w:rsidR="00CD34AE" w:rsidRPr="004E7A35" w:rsidRDefault="00F254D8" w:rsidP="00F254D8">
            <w:pPr>
              <w:pStyle w:val="Source"/>
              <w:framePr w:hSpace="0" w:wrap="auto" w:vAnchor="margin" w:hAnchor="text" w:yAlign="inline"/>
            </w:pPr>
            <w:bookmarkStart w:id="5" w:name="Source"/>
            <w:bookmarkEnd w:id="5"/>
            <w:r w:rsidRPr="004E7A35">
              <w:t>Директор Бюро развития электросвязи</w:t>
            </w:r>
          </w:p>
        </w:tc>
      </w:tr>
      <w:tr w:rsidR="00CD34AE" w:rsidRPr="004E7A35" w14:paraId="1BC0A471" w14:textId="77777777" w:rsidTr="00270876">
        <w:tc>
          <w:tcPr>
            <w:tcW w:w="9923" w:type="dxa"/>
            <w:gridSpan w:val="2"/>
          </w:tcPr>
          <w:p w14:paraId="6FC961FA" w14:textId="2E2F2C0A" w:rsidR="00CD34AE" w:rsidRPr="004E7A35" w:rsidRDefault="00F254D8" w:rsidP="00F254D8">
            <w:pPr>
              <w:pStyle w:val="Title1"/>
            </w:pPr>
            <w:bookmarkStart w:id="6" w:name="Title"/>
            <w:bookmarkEnd w:id="6"/>
            <w:r w:rsidRPr="004E7A35">
              <w:rPr>
                <w:bCs/>
              </w:rPr>
              <w:t>ГРУППа ЭКСПЕРТОВ ПО РЕГЛАМЕНТУ МЕЖДУНАРОДНОЙ ЭЛЕКТРОСВЯЗИ (ГЭ-РМЭ):</w:t>
            </w:r>
            <w:r w:rsidR="00CF5E33" w:rsidRPr="004E7A35">
              <w:rPr>
                <w:rFonts w:ascii="inherit" w:hAnsi="inherit"/>
                <w:color w:val="000000"/>
                <w:shd w:val="clear" w:color="auto" w:fill="FFFFFF"/>
              </w:rPr>
              <w:t xml:space="preserve"> </w:t>
            </w:r>
            <w:r w:rsidR="00CF5E33" w:rsidRPr="004E7A35">
              <w:rPr>
                <w:bCs/>
              </w:rPr>
              <w:t>отчет о ходе работы для КГРЭ</w:t>
            </w:r>
          </w:p>
        </w:tc>
      </w:tr>
      <w:tr w:rsidR="00CD34AE" w:rsidRPr="004E7A35" w14:paraId="3A512A33" w14:textId="77777777" w:rsidTr="00CD34A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87136D3" w14:textId="77777777" w:rsidR="00CD34AE" w:rsidRPr="004E7A35" w:rsidRDefault="00CD34AE" w:rsidP="00CD34AE"/>
        </w:tc>
      </w:tr>
      <w:tr w:rsidR="00CD34AE" w:rsidRPr="004E7A35" w14:paraId="32A28E85" w14:textId="77777777" w:rsidTr="00CD34AE">
        <w:trPr>
          <w:trHeight w:val="7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F6E" w14:textId="77777777" w:rsidR="00CD34AE" w:rsidRPr="004E7A35" w:rsidRDefault="00CD34AE" w:rsidP="00F254D8">
            <w:pPr>
              <w:pStyle w:val="Headingb"/>
            </w:pPr>
            <w:r w:rsidRPr="004E7A35">
              <w:t>Резюме</w:t>
            </w:r>
          </w:p>
          <w:p w14:paraId="0573050D" w14:textId="175C1C4D" w:rsidR="00CD34AE" w:rsidRPr="004E7A35" w:rsidRDefault="008D680B" w:rsidP="00CD34AE">
            <w:r w:rsidRPr="004E7A35">
              <w:t xml:space="preserve">В настоящем отчете о ходе работы представлена </w:t>
            </w:r>
            <w:r w:rsidR="00C25CA1" w:rsidRPr="004E7A35">
              <w:t xml:space="preserve">информация о </w:t>
            </w:r>
            <w:r w:rsidRPr="004E7A35">
              <w:t>работ</w:t>
            </w:r>
            <w:r w:rsidR="00C25CA1" w:rsidRPr="004E7A35">
              <w:t>е</w:t>
            </w:r>
            <w:r w:rsidR="00F254D8" w:rsidRPr="004E7A35">
              <w:t xml:space="preserve"> </w:t>
            </w:r>
            <w:r w:rsidRPr="004E7A35">
              <w:t>Группы экспертов по Регламенту международной электросвязи (ГЭ-РМЭ</w:t>
            </w:r>
            <w:r w:rsidR="00F254D8" w:rsidRPr="004E7A35">
              <w:t>)</w:t>
            </w:r>
            <w:r w:rsidR="00920C3A" w:rsidRPr="00E6326A">
              <w:rPr>
                <w:rStyle w:val="FootnoteReference"/>
              </w:rPr>
              <w:footnoteReference w:id="1"/>
            </w:r>
            <w:r w:rsidR="00F254D8" w:rsidRPr="004E7A35">
              <w:t xml:space="preserve"> </w:t>
            </w:r>
            <w:r w:rsidRPr="004E7A35">
              <w:t xml:space="preserve">и отмечены основные результаты двух </w:t>
            </w:r>
            <w:r w:rsidR="00FF264D" w:rsidRPr="004E7A35">
              <w:t xml:space="preserve">уже </w:t>
            </w:r>
            <w:r w:rsidRPr="004E7A35">
              <w:t>состоявшихся собраний.</w:t>
            </w:r>
          </w:p>
          <w:p w14:paraId="28958164" w14:textId="77777777" w:rsidR="00CD34AE" w:rsidRPr="004E7A35" w:rsidRDefault="00CD34AE" w:rsidP="00F254D8">
            <w:pPr>
              <w:pStyle w:val="Headingb"/>
            </w:pPr>
            <w:r w:rsidRPr="004E7A35">
              <w:t>Необходимые действия</w:t>
            </w:r>
          </w:p>
          <w:p w14:paraId="0A919F9D" w14:textId="01C1CC48" w:rsidR="00CD34AE" w:rsidRPr="004E7A35" w:rsidRDefault="00CF5E33" w:rsidP="00CD34AE">
            <w:r w:rsidRPr="004E7A35">
              <w:t>КГРЭ предлагается принять настоящий документ к сведению и по мере необходимости предоставить руководящие указания для содействия работе ГЭ-РМЭ</w:t>
            </w:r>
            <w:r w:rsidR="00F254D8" w:rsidRPr="004E7A35">
              <w:t>.</w:t>
            </w:r>
          </w:p>
          <w:p w14:paraId="0FA50C0D" w14:textId="77777777" w:rsidR="00CD34AE" w:rsidRPr="004E7A35" w:rsidRDefault="00CD34AE" w:rsidP="00F254D8">
            <w:pPr>
              <w:pStyle w:val="Headingb"/>
            </w:pPr>
            <w:r w:rsidRPr="004E7A35">
              <w:t>Справочные материалы</w:t>
            </w:r>
          </w:p>
          <w:p w14:paraId="49CC032C" w14:textId="2D30E844" w:rsidR="00CD34AE" w:rsidRPr="004E7A35" w:rsidRDefault="00F254D8" w:rsidP="00F254D8">
            <w:pPr>
              <w:spacing w:after="120"/>
            </w:pPr>
            <w:r w:rsidRPr="004E7A35">
              <w:t>Пересмотр 2 Документ</w:t>
            </w:r>
            <w:r w:rsidR="00C25CA1" w:rsidRPr="004E7A35">
              <w:t>а</w:t>
            </w:r>
            <w:r w:rsidRPr="004E7A35">
              <w:t xml:space="preserve"> EG-ITRs-1/DL/3, Резолюция 146 (Пересм. Дубай, 2018 г.) Полномочной конференции, Резолюция 1379 (</w:t>
            </w:r>
            <w:r w:rsidR="009C7215" w:rsidRPr="004E7A35">
              <w:t>Измененная</w:t>
            </w:r>
            <w:r w:rsidRPr="004E7A35">
              <w:t>, 2019 г.) Совета МСЭ</w:t>
            </w:r>
          </w:p>
        </w:tc>
      </w:tr>
    </w:tbl>
    <w:p w14:paraId="70A8C075" w14:textId="77777777" w:rsidR="002931FA" w:rsidRPr="004E7A35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4E7A35">
        <w:br w:type="page"/>
      </w:r>
    </w:p>
    <w:p w14:paraId="14EC43C4" w14:textId="128CAFDD" w:rsidR="0040328D" w:rsidRPr="004E7A35" w:rsidRDefault="00920C3A" w:rsidP="00920C3A">
      <w:pPr>
        <w:pStyle w:val="Annextitle"/>
      </w:pPr>
      <w:r w:rsidRPr="004E7A35">
        <w:lastRenderedPageBreak/>
        <w:t>Группа экспертов по Регламенту международной электросвязи (ГЭ-РМЭ)</w:t>
      </w:r>
      <w:r w:rsidR="00C25CA1" w:rsidRPr="004E7A35">
        <w:br/>
        <w:t>Отчет о ходе работы для КГРЭ</w:t>
      </w:r>
    </w:p>
    <w:p w14:paraId="5B775BB4" w14:textId="533BB74F" w:rsidR="00920C3A" w:rsidRPr="004E7A35" w:rsidRDefault="00920C3A" w:rsidP="00920C3A">
      <w:pPr>
        <w:pStyle w:val="Heading1"/>
      </w:pPr>
      <w:r w:rsidRPr="004E7A35">
        <w:t>1</w:t>
      </w:r>
      <w:r w:rsidRPr="004E7A35">
        <w:tab/>
        <w:t>Базовая информация</w:t>
      </w:r>
    </w:p>
    <w:p w14:paraId="5AA0F992" w14:textId="73306E85" w:rsidR="00920C3A" w:rsidRPr="004E7A35" w:rsidRDefault="00920C3A" w:rsidP="00920C3A">
      <w:r w:rsidRPr="004E7A35">
        <w:t>В Резолюции 146 (Пересм. Дубай, 2018 г.) Полномочной конференции</w:t>
      </w:r>
      <w:r w:rsidR="00D763DB" w:rsidRPr="004E7A35">
        <w:t xml:space="preserve">, посвященной вопросам регулярного рассмотрения и пересмотра Регламента международной электросвязи, </w:t>
      </w:r>
      <w:r w:rsidRPr="004E7A35">
        <w:t>Генеральному секретарю поручается созвать Группу экспертов по Регламенту международной электросвязи (ГЭ</w:t>
      </w:r>
      <w:r w:rsidRPr="004E7A35">
        <w:noBreakHyphen/>
        <w:t xml:space="preserve">РМЭ), открытую для Государств-Членов и Членов Секторов МСЭ, с кругом ведения и методами работы, которые устанавливает Совет МСЭ, с целью рассмотрения этого Регламента. </w:t>
      </w:r>
    </w:p>
    <w:p w14:paraId="36267EB6" w14:textId="591D7EA5" w:rsidR="00920C3A" w:rsidRPr="004E7A35" w:rsidRDefault="00C25CA1" w:rsidP="00920C3A">
      <w:pPr>
        <w:outlineLvl w:val="1"/>
        <w:rPr>
          <w:b/>
          <w:bCs/>
          <w:szCs w:val="24"/>
        </w:rPr>
      </w:pPr>
      <w:r w:rsidRPr="004E7A35">
        <w:t xml:space="preserve">Совет на </w:t>
      </w:r>
      <w:r w:rsidR="00D763DB" w:rsidRPr="004E7A35">
        <w:t>своей сессии в июне 2019 года</w:t>
      </w:r>
      <w:r w:rsidR="00920C3A" w:rsidRPr="004E7A35">
        <w:t xml:space="preserve"> </w:t>
      </w:r>
      <w:r w:rsidR="00D763DB" w:rsidRPr="004E7A35">
        <w:t>пересмотрел</w:t>
      </w:r>
      <w:r w:rsidR="00920C3A" w:rsidRPr="004E7A35">
        <w:t xml:space="preserve"> </w:t>
      </w:r>
      <w:r w:rsidR="00D763DB" w:rsidRPr="004E7A35">
        <w:t>свою Резолюцию</w:t>
      </w:r>
      <w:r w:rsidR="00920C3A" w:rsidRPr="004E7A35">
        <w:t xml:space="preserve"> 1379</w:t>
      </w:r>
      <w:r w:rsidR="00D763DB" w:rsidRPr="004E7A35">
        <w:t xml:space="preserve"> о Группе экспертов по Регламенту международной электросвязи и внес в нее изменения</w:t>
      </w:r>
      <w:r w:rsidR="00920C3A" w:rsidRPr="004E7A35">
        <w:t xml:space="preserve">, </w:t>
      </w:r>
      <w:r w:rsidR="00D763DB" w:rsidRPr="004E7A35">
        <w:t>а также утвердил круг ведения группы</w:t>
      </w:r>
      <w:r w:rsidRPr="004E7A35">
        <w:t xml:space="preserve">, который размещен </w:t>
      </w:r>
      <w:r w:rsidR="00D763DB" w:rsidRPr="004E7A35">
        <w:t>по следующей ссылке</w:t>
      </w:r>
      <w:r w:rsidR="00920C3A" w:rsidRPr="004E7A35">
        <w:t xml:space="preserve">: </w:t>
      </w:r>
      <w:hyperlink r:id="rId9" w:history="1">
        <w:r w:rsidR="00920C3A" w:rsidRPr="004E7A35">
          <w:rPr>
            <w:rStyle w:val="Hyperlink"/>
          </w:rPr>
          <w:t>https://www.itu.int/en/council/Pages/eg-itrs.aspx</w:t>
        </w:r>
      </w:hyperlink>
      <w:r w:rsidR="00920C3A" w:rsidRPr="004E7A35">
        <w:t>.</w:t>
      </w:r>
    </w:p>
    <w:p w14:paraId="7DD7CC7A" w14:textId="0D0ABE05" w:rsidR="00920C3A" w:rsidRPr="004E7A35" w:rsidRDefault="00920C3A" w:rsidP="00920C3A">
      <w:pPr>
        <w:pStyle w:val="Heading1"/>
      </w:pPr>
      <w:r w:rsidRPr="004E7A35">
        <w:t>2</w:t>
      </w:r>
      <w:r w:rsidRPr="004E7A35">
        <w:tab/>
      </w:r>
      <w:r w:rsidR="00EE138E" w:rsidRPr="004E7A35">
        <w:t xml:space="preserve">Итоги первого собрания Группы экспертов по РМЭ </w:t>
      </w:r>
      <w:r w:rsidRPr="004E7A35">
        <w:t>(16−17 сентября 2019 г.)</w:t>
      </w:r>
    </w:p>
    <w:p w14:paraId="5ACC65A5" w14:textId="52523B24" w:rsidR="00920C3A" w:rsidRPr="004E7A35" w:rsidRDefault="00EE138E" w:rsidP="00920C3A">
      <w:pPr>
        <w:snapToGrid w:val="0"/>
        <w:spacing w:after="120"/>
      </w:pPr>
      <w:r w:rsidRPr="004E7A35">
        <w:rPr>
          <w:bCs/>
          <w:szCs w:val="24"/>
        </w:rPr>
        <w:t xml:space="preserve">В ходе </w:t>
      </w:r>
      <w:r w:rsidRPr="004E7A35">
        <w:t>первого собрания Группы экспертов по РМЭ</w:t>
      </w:r>
      <w:r w:rsidR="00920C3A" w:rsidRPr="004E7A35">
        <w:t>,</w:t>
      </w:r>
      <w:r w:rsidRPr="004E7A35">
        <w:t xml:space="preserve"> которое состоялось </w:t>
      </w:r>
      <w:r w:rsidR="00920C3A" w:rsidRPr="004E7A35">
        <w:t>16</w:t>
      </w:r>
      <w:r w:rsidR="00B543F7" w:rsidRPr="00E6326A">
        <w:t>−</w:t>
      </w:r>
      <w:r w:rsidR="00920C3A" w:rsidRPr="004E7A35">
        <w:t xml:space="preserve">17 </w:t>
      </w:r>
      <w:r w:rsidRPr="004E7A35">
        <w:t>сентября</w:t>
      </w:r>
      <w:r w:rsidR="00920C3A" w:rsidRPr="004E7A35">
        <w:t xml:space="preserve"> 2019</w:t>
      </w:r>
      <w:r w:rsidRPr="004E7A35">
        <w:t xml:space="preserve"> года</w:t>
      </w:r>
      <w:r w:rsidR="00920C3A" w:rsidRPr="004E7A35">
        <w:t xml:space="preserve">, </w:t>
      </w:r>
      <w:r w:rsidRPr="004E7A35">
        <w:t>основное внимание уделялось таким вопросам</w:t>
      </w:r>
      <w:r w:rsidR="00C25CA1" w:rsidRPr="004E7A35">
        <w:t>,</w:t>
      </w:r>
      <w:r w:rsidRPr="004E7A35">
        <w:t xml:space="preserve"> как методы работы и</w:t>
      </w:r>
      <w:r w:rsidR="00920C3A" w:rsidRPr="004E7A35">
        <w:t xml:space="preserve"> </w:t>
      </w:r>
      <w:r w:rsidRPr="004E7A35">
        <w:t>круг ведения, разработанны</w:t>
      </w:r>
      <w:r w:rsidR="00C25CA1" w:rsidRPr="004E7A35">
        <w:t>е</w:t>
      </w:r>
      <w:r w:rsidRPr="004E7A35">
        <w:t xml:space="preserve"> на основе Резолюции</w:t>
      </w:r>
      <w:r w:rsidR="00920C3A" w:rsidRPr="004E7A35">
        <w:t xml:space="preserve"> 146 (</w:t>
      </w:r>
      <w:r w:rsidRPr="004E7A35">
        <w:t>Пересм. Дубай, 2018 г.</w:t>
      </w:r>
      <w:r w:rsidR="00920C3A" w:rsidRPr="004E7A35">
        <w:t xml:space="preserve">) </w:t>
      </w:r>
      <w:r w:rsidRPr="004E7A35">
        <w:t>и</w:t>
      </w:r>
      <w:r w:rsidR="00920C3A" w:rsidRPr="004E7A35">
        <w:t xml:space="preserve"> </w:t>
      </w:r>
      <w:r w:rsidRPr="004E7A35">
        <w:t xml:space="preserve">Резолюции 1379 </w:t>
      </w:r>
      <w:r w:rsidR="00920C3A" w:rsidRPr="004E7A35">
        <w:t>(</w:t>
      </w:r>
      <w:r w:rsidR="00C25CA1" w:rsidRPr="004E7A35">
        <w:t>Измененн</w:t>
      </w:r>
      <w:r w:rsidR="009C7215" w:rsidRPr="004E7A35">
        <w:t>ой</w:t>
      </w:r>
      <w:r w:rsidRPr="004E7A35">
        <w:t>, 2019 г.</w:t>
      </w:r>
      <w:r w:rsidR="00920C3A" w:rsidRPr="004E7A35">
        <w:t xml:space="preserve">) </w:t>
      </w:r>
      <w:r w:rsidR="00C25CA1" w:rsidRPr="004E7A35">
        <w:t xml:space="preserve">Совета, </w:t>
      </w:r>
      <w:r w:rsidRPr="004E7A35">
        <w:t>как указано выше</w:t>
      </w:r>
      <w:r w:rsidR="00920C3A" w:rsidRPr="004E7A35">
        <w:t xml:space="preserve">. </w:t>
      </w:r>
      <w:r w:rsidRPr="004E7A35">
        <w:t xml:space="preserve">Председатель </w:t>
      </w:r>
      <w:r w:rsidR="000746E6" w:rsidRPr="004E7A35">
        <w:t xml:space="preserve">также </w:t>
      </w:r>
      <w:r w:rsidR="00C25CA1" w:rsidRPr="004E7A35">
        <w:t>представил информацию</w:t>
      </w:r>
      <w:r w:rsidR="000746E6" w:rsidRPr="004E7A35">
        <w:rPr>
          <w:bCs/>
          <w:szCs w:val="24"/>
        </w:rPr>
        <w:t xml:space="preserve"> о</w:t>
      </w:r>
      <w:r w:rsidR="00920C3A" w:rsidRPr="004E7A35">
        <w:rPr>
          <w:bCs/>
          <w:szCs w:val="24"/>
        </w:rPr>
        <w:t xml:space="preserve"> </w:t>
      </w:r>
      <w:hyperlink r:id="rId10" w:history="1">
        <w:r w:rsidR="00B543F7">
          <w:rPr>
            <w:rStyle w:val="Hyperlink"/>
            <w:bCs/>
            <w:szCs w:val="24"/>
          </w:rPr>
          <w:t>методах работы и круге ведения группы, основанных на этих резолюциях</w:t>
        </w:r>
      </w:hyperlink>
      <w:r w:rsidR="00920C3A" w:rsidRPr="004E7A35">
        <w:t xml:space="preserve">. </w:t>
      </w:r>
    </w:p>
    <w:p w14:paraId="6E64588F" w14:textId="6D7E342B" w:rsidR="00920C3A" w:rsidRPr="004E7A35" w:rsidRDefault="000746E6" w:rsidP="00920C3A">
      <w:pPr>
        <w:spacing w:after="240"/>
        <w:jc w:val="both"/>
        <w:rPr>
          <w:bCs/>
          <w:szCs w:val="24"/>
        </w:rPr>
      </w:pPr>
      <w:r w:rsidRPr="004E7A35">
        <w:rPr>
          <w:bCs/>
          <w:szCs w:val="24"/>
        </w:rPr>
        <w:t xml:space="preserve">Группа обсудила все представленные собранию вклады и приняла решение, что в дополнение к кругу ведения также будет использоваться представленный ниже </w:t>
      </w:r>
      <w:r w:rsidR="00C66A84" w:rsidRPr="004E7A35">
        <w:rPr>
          <w:bCs/>
          <w:szCs w:val="24"/>
        </w:rPr>
        <w:t xml:space="preserve">предложенный Ганой </w:t>
      </w:r>
      <w:r w:rsidRPr="004E7A35">
        <w:rPr>
          <w:bCs/>
          <w:szCs w:val="24"/>
        </w:rPr>
        <w:t xml:space="preserve">общий шаблон </w:t>
      </w:r>
      <w:r w:rsidR="00920C3A" w:rsidRPr="004E7A35">
        <w:rPr>
          <w:bCs/>
          <w:szCs w:val="24"/>
        </w:rPr>
        <w:t>(</w:t>
      </w:r>
      <w:r w:rsidRPr="004E7A35">
        <w:rPr>
          <w:bCs/>
          <w:szCs w:val="24"/>
        </w:rPr>
        <w:t>называемый "Таблица для рассмотрения"</w:t>
      </w:r>
      <w:r w:rsidR="00920C3A" w:rsidRPr="004E7A35">
        <w:rPr>
          <w:bCs/>
          <w:szCs w:val="24"/>
        </w:rPr>
        <w:t xml:space="preserve">) </w:t>
      </w:r>
      <w:r w:rsidRPr="004E7A35">
        <w:rPr>
          <w:bCs/>
          <w:szCs w:val="24"/>
        </w:rPr>
        <w:t>для сведения воедино мнений членов группы</w:t>
      </w:r>
      <w:r w:rsidR="00920C3A" w:rsidRPr="004E7A35">
        <w:rPr>
          <w:bCs/>
          <w:szCs w:val="24"/>
        </w:rPr>
        <w:t xml:space="preserve"> </w:t>
      </w:r>
      <w:r w:rsidR="00C66A84" w:rsidRPr="004E7A35">
        <w:rPr>
          <w:bCs/>
          <w:szCs w:val="24"/>
        </w:rPr>
        <w:t xml:space="preserve">в рамках </w:t>
      </w:r>
      <w:r w:rsidR="00633B53" w:rsidRPr="004E7A35">
        <w:rPr>
          <w:bCs/>
          <w:szCs w:val="24"/>
        </w:rPr>
        <w:t xml:space="preserve">постатейного </w:t>
      </w:r>
      <w:r w:rsidR="00C66A84" w:rsidRPr="004E7A35">
        <w:rPr>
          <w:bCs/>
          <w:szCs w:val="24"/>
        </w:rPr>
        <w:t>рассмотрения РМЭ.</w:t>
      </w:r>
    </w:p>
    <w:tbl>
      <w:tblPr>
        <w:tblStyle w:val="TableGrid"/>
        <w:tblW w:w="9654" w:type="dxa"/>
        <w:tblLook w:val="04A0" w:firstRow="1" w:lastRow="0" w:firstColumn="1" w:lastColumn="0" w:noHBand="0" w:noVBand="1"/>
      </w:tblPr>
      <w:tblGrid>
        <w:gridCol w:w="984"/>
        <w:gridCol w:w="1413"/>
        <w:gridCol w:w="1743"/>
        <w:gridCol w:w="2067"/>
        <w:gridCol w:w="1868"/>
        <w:gridCol w:w="1579"/>
      </w:tblGrid>
      <w:tr w:rsidR="00A42D0E" w:rsidRPr="004E7A35" w14:paraId="44F303BB" w14:textId="77777777" w:rsidTr="00A42D0E">
        <w:tc>
          <w:tcPr>
            <w:tcW w:w="984" w:type="dxa"/>
          </w:tcPr>
          <w:p w14:paraId="1AA65C30" w14:textId="544CB6BA" w:rsidR="00A42D0E" w:rsidRPr="004E7A35" w:rsidRDefault="00A42D0E" w:rsidP="00A42D0E">
            <w:pPr>
              <w:pStyle w:val="Tabletext"/>
              <w:jc w:val="center"/>
            </w:pPr>
            <w:r w:rsidRPr="004E7A35">
              <w:t>Статья 2012 г.</w:t>
            </w:r>
          </w:p>
        </w:tc>
        <w:tc>
          <w:tcPr>
            <w:tcW w:w="1413" w:type="dxa"/>
          </w:tcPr>
          <w:p w14:paraId="7B2B6930" w14:textId="23F90629" w:rsidR="00A42D0E" w:rsidRPr="004E7A35" w:rsidRDefault="00A42D0E" w:rsidP="00A42D0E">
            <w:pPr>
              <w:pStyle w:val="Tabletext"/>
              <w:jc w:val="center"/>
            </w:pPr>
            <w:r w:rsidRPr="004E7A35">
              <w:t>Подпункт и положение</w:t>
            </w:r>
          </w:p>
        </w:tc>
        <w:tc>
          <w:tcPr>
            <w:tcW w:w="1743" w:type="dxa"/>
          </w:tcPr>
          <w:p w14:paraId="4B6F48C7" w14:textId="500ADA9C" w:rsidR="00A42D0E" w:rsidRPr="004E7A35" w:rsidRDefault="00A42D0E" w:rsidP="00A42D0E">
            <w:pPr>
              <w:pStyle w:val="Tabletext"/>
              <w:jc w:val="center"/>
            </w:pPr>
            <w:r w:rsidRPr="004E7A35">
              <w:t xml:space="preserve">Соответствующий подпункт </w:t>
            </w:r>
            <w:r w:rsidRPr="004E7A35">
              <w:br/>
              <w:t>и положение 1988 г.</w:t>
            </w:r>
          </w:p>
        </w:tc>
        <w:tc>
          <w:tcPr>
            <w:tcW w:w="2067" w:type="dxa"/>
          </w:tcPr>
          <w:p w14:paraId="0747DB54" w14:textId="0C28690A" w:rsidR="00A42D0E" w:rsidRPr="004E7A35" w:rsidRDefault="00A42D0E" w:rsidP="00A42D0E">
            <w:pPr>
              <w:pStyle w:val="Tabletext"/>
              <w:jc w:val="center"/>
            </w:pPr>
            <w:r w:rsidRPr="004E7A35">
              <w:t xml:space="preserve">Применимость </w:t>
            </w:r>
            <w:r w:rsidRPr="004E7A35">
              <w:br/>
              <w:t xml:space="preserve">для содействия предоставлению </w:t>
            </w:r>
            <w:r w:rsidRPr="004E7A35">
              <w:br/>
              <w:t>и развитию сетей</w:t>
            </w:r>
            <w:r w:rsidRPr="004E7A35">
              <w:br/>
              <w:t>и услуг</w:t>
            </w:r>
          </w:p>
        </w:tc>
        <w:tc>
          <w:tcPr>
            <w:tcW w:w="1868" w:type="dxa"/>
          </w:tcPr>
          <w:p w14:paraId="6AB5E19B" w14:textId="53D543BC" w:rsidR="00A42D0E" w:rsidRPr="004E7A35" w:rsidRDefault="00A42D0E" w:rsidP="00A42D0E">
            <w:pPr>
              <w:pStyle w:val="Tabletext"/>
              <w:jc w:val="center"/>
            </w:pPr>
            <w:r w:rsidRPr="004E7A35">
              <w:t xml:space="preserve">Гибкость для учета новых тенденций </w:t>
            </w:r>
            <w:r w:rsidRPr="004E7A35">
              <w:br/>
              <w:t>и возникающих вопросов</w:t>
            </w:r>
          </w:p>
        </w:tc>
        <w:tc>
          <w:tcPr>
            <w:tcW w:w="1579" w:type="dxa"/>
            <w:vAlign w:val="center"/>
          </w:tcPr>
          <w:p w14:paraId="5E9CEB12" w14:textId="097C36A1" w:rsidR="00A42D0E" w:rsidRPr="004E7A35" w:rsidRDefault="000746E6" w:rsidP="000746E6">
            <w:pPr>
              <w:pStyle w:val="Tabletext"/>
              <w:jc w:val="center"/>
              <w:rPr>
                <w:szCs w:val="22"/>
              </w:rPr>
            </w:pPr>
            <w:r w:rsidRPr="004E7A35">
              <w:t>Краткое описание результата</w:t>
            </w:r>
          </w:p>
        </w:tc>
      </w:tr>
    </w:tbl>
    <w:p w14:paraId="39E2EFE1" w14:textId="6CD3AD89" w:rsidR="00920C3A" w:rsidRPr="004E7A35" w:rsidRDefault="00633B53" w:rsidP="00CA1D3C">
      <w:pPr>
        <w:snapToGrid w:val="0"/>
        <w:spacing w:before="240"/>
        <w:rPr>
          <w:szCs w:val="24"/>
        </w:rPr>
      </w:pPr>
      <w:r w:rsidRPr="004E7A35">
        <w:rPr>
          <w:b/>
          <w:bCs/>
          <w:szCs w:val="24"/>
        </w:rPr>
        <w:t xml:space="preserve">Записка в адрес Директоров </w:t>
      </w:r>
      <w:r w:rsidR="009C7215" w:rsidRPr="004E7A35">
        <w:rPr>
          <w:b/>
          <w:bCs/>
          <w:szCs w:val="24"/>
        </w:rPr>
        <w:t xml:space="preserve">Бюро </w:t>
      </w:r>
      <w:r w:rsidRPr="004E7A35">
        <w:rPr>
          <w:b/>
          <w:bCs/>
          <w:szCs w:val="24"/>
        </w:rPr>
        <w:t xml:space="preserve">с предложением </w:t>
      </w:r>
      <w:r w:rsidR="00F05A1B" w:rsidRPr="004E7A35">
        <w:rPr>
          <w:b/>
          <w:bCs/>
          <w:szCs w:val="24"/>
        </w:rPr>
        <w:t>запросить мнения</w:t>
      </w:r>
      <w:r w:rsidR="00F05A1B" w:rsidRPr="004E7A35">
        <w:rPr>
          <w:szCs w:val="24"/>
        </w:rPr>
        <w:t xml:space="preserve"> </w:t>
      </w:r>
      <w:r w:rsidRPr="004E7A35">
        <w:rPr>
          <w:b/>
          <w:bCs/>
          <w:szCs w:val="24"/>
        </w:rPr>
        <w:t>консультативных групп Секторов</w:t>
      </w:r>
      <w:r w:rsidR="00920C3A" w:rsidRPr="004E7A35">
        <w:rPr>
          <w:szCs w:val="24"/>
        </w:rPr>
        <w:t xml:space="preserve">: </w:t>
      </w:r>
      <w:r w:rsidR="00F05A1B" w:rsidRPr="004E7A35">
        <w:rPr>
          <w:szCs w:val="24"/>
        </w:rPr>
        <w:t>руководствуясь Резолюцией 1379 (</w:t>
      </w:r>
      <w:r w:rsidR="009C7215" w:rsidRPr="004E7A35">
        <w:rPr>
          <w:szCs w:val="24"/>
        </w:rPr>
        <w:t>Измененной</w:t>
      </w:r>
      <w:r w:rsidR="00F05A1B" w:rsidRPr="004E7A35">
        <w:rPr>
          <w:szCs w:val="24"/>
        </w:rPr>
        <w:t>, 2019 г.) и в соответствии с Резолюцией 146 (Пересм. Дубай, 2018 г.) при</w:t>
      </w:r>
      <w:r w:rsidR="009C7215" w:rsidRPr="004E7A35">
        <w:rPr>
          <w:szCs w:val="24"/>
        </w:rPr>
        <w:t>н</w:t>
      </w:r>
      <w:r w:rsidR="00F05A1B" w:rsidRPr="004E7A35">
        <w:rPr>
          <w:szCs w:val="24"/>
        </w:rPr>
        <w:t xml:space="preserve">ята </w:t>
      </w:r>
      <w:r w:rsidR="009C7215" w:rsidRPr="004E7A35">
        <w:rPr>
          <w:szCs w:val="24"/>
        </w:rPr>
        <w:t xml:space="preserve">записка </w:t>
      </w:r>
      <w:r w:rsidRPr="004E7A35">
        <w:rPr>
          <w:szCs w:val="24"/>
        </w:rPr>
        <w:t xml:space="preserve">Председателя </w:t>
      </w:r>
      <w:r w:rsidR="00F05A1B" w:rsidRPr="004E7A35">
        <w:rPr>
          <w:szCs w:val="24"/>
        </w:rPr>
        <w:t xml:space="preserve">ГЭ-РМЭ с предложением Директорам Бюро </w:t>
      </w:r>
      <w:r w:rsidR="00FF264D" w:rsidRPr="004E7A35">
        <w:rPr>
          <w:szCs w:val="24"/>
        </w:rPr>
        <w:t xml:space="preserve">просить </w:t>
      </w:r>
      <w:r w:rsidR="00F05A1B" w:rsidRPr="004E7A35">
        <w:rPr>
          <w:szCs w:val="24"/>
        </w:rPr>
        <w:t>свои соответствующи</w:t>
      </w:r>
      <w:r w:rsidR="00FF264D" w:rsidRPr="004E7A35">
        <w:rPr>
          <w:szCs w:val="24"/>
        </w:rPr>
        <w:t>е</w:t>
      </w:r>
      <w:r w:rsidR="00F05A1B" w:rsidRPr="004E7A35">
        <w:rPr>
          <w:szCs w:val="24"/>
        </w:rPr>
        <w:t xml:space="preserve"> консультативны</w:t>
      </w:r>
      <w:r w:rsidR="00FF264D" w:rsidRPr="004E7A35">
        <w:rPr>
          <w:szCs w:val="24"/>
        </w:rPr>
        <w:t>е</w:t>
      </w:r>
      <w:r w:rsidR="00F05A1B" w:rsidRPr="004E7A35">
        <w:rPr>
          <w:szCs w:val="24"/>
        </w:rPr>
        <w:t xml:space="preserve"> групп</w:t>
      </w:r>
      <w:r w:rsidR="00FF264D" w:rsidRPr="004E7A35">
        <w:rPr>
          <w:szCs w:val="24"/>
        </w:rPr>
        <w:t>ы</w:t>
      </w:r>
      <w:r w:rsidR="00F05A1B" w:rsidRPr="004E7A35">
        <w:rPr>
          <w:szCs w:val="24"/>
        </w:rPr>
        <w:t xml:space="preserve"> Секторов </w:t>
      </w:r>
      <w:r w:rsidR="00FF264D" w:rsidRPr="004E7A35">
        <w:rPr>
          <w:szCs w:val="24"/>
        </w:rPr>
        <w:t xml:space="preserve">представить рекомендации </w:t>
      </w:r>
      <w:r w:rsidR="00F05A1B" w:rsidRPr="004E7A35">
        <w:rPr>
          <w:szCs w:val="24"/>
        </w:rPr>
        <w:t>и внести вклад в работу ГЭ-РМЭ</w:t>
      </w:r>
      <w:r w:rsidR="00920C3A" w:rsidRPr="004E7A35">
        <w:rPr>
          <w:szCs w:val="24"/>
        </w:rPr>
        <w:t xml:space="preserve">. </w:t>
      </w:r>
    </w:p>
    <w:p w14:paraId="52196780" w14:textId="611FFCB4" w:rsidR="00920C3A" w:rsidRPr="004E7A35" w:rsidRDefault="00F05A1B" w:rsidP="00CA1D3C">
      <w:pPr>
        <w:snapToGrid w:val="0"/>
        <w:rPr>
          <w:szCs w:val="24"/>
        </w:rPr>
      </w:pPr>
      <w:r w:rsidRPr="004E7A35">
        <w:rPr>
          <w:b/>
          <w:szCs w:val="24"/>
        </w:rPr>
        <w:t xml:space="preserve">Осуждение вопроса о том, следует ли </w:t>
      </w:r>
      <w:r w:rsidR="00574612" w:rsidRPr="004E7A35">
        <w:rPr>
          <w:b/>
          <w:szCs w:val="24"/>
        </w:rPr>
        <w:t>использовать</w:t>
      </w:r>
      <w:r w:rsidRPr="004E7A35">
        <w:rPr>
          <w:b/>
          <w:szCs w:val="24"/>
        </w:rPr>
        <w:t xml:space="preserve"> вопросник для сбора мнений</w:t>
      </w:r>
      <w:r w:rsidR="00920C3A" w:rsidRPr="00E6326A">
        <w:rPr>
          <w:bCs/>
          <w:szCs w:val="24"/>
        </w:rPr>
        <w:t xml:space="preserve">: </w:t>
      </w:r>
      <w:r w:rsidR="009C7215" w:rsidRPr="004E7A35">
        <w:rPr>
          <w:rFonts w:cstheme="minorHAnsi"/>
          <w:bCs/>
          <w:szCs w:val="24"/>
        </w:rPr>
        <w:t xml:space="preserve">одно </w:t>
      </w:r>
      <w:r w:rsidR="00574612" w:rsidRPr="004E7A35">
        <w:rPr>
          <w:rFonts w:cstheme="minorHAnsi"/>
          <w:bCs/>
          <w:szCs w:val="24"/>
        </w:rPr>
        <w:t xml:space="preserve">из предложений для Государств-Членов и Членов Секторов касалось </w:t>
      </w:r>
      <w:r w:rsidR="009C7215" w:rsidRPr="004E7A35">
        <w:rPr>
          <w:rFonts w:cstheme="minorHAnsi"/>
          <w:bCs/>
          <w:szCs w:val="24"/>
        </w:rPr>
        <w:t>распространения</w:t>
      </w:r>
      <w:r w:rsidR="00574612" w:rsidRPr="004E7A35">
        <w:rPr>
          <w:rFonts w:cstheme="minorHAnsi"/>
          <w:bCs/>
          <w:szCs w:val="24"/>
        </w:rPr>
        <w:t xml:space="preserve"> общего вопросника для сбора мнений от заинтересованных сторон</w:t>
      </w:r>
      <w:r w:rsidR="00920C3A" w:rsidRPr="004E7A35">
        <w:rPr>
          <w:rFonts w:cstheme="minorHAnsi"/>
          <w:bCs/>
          <w:szCs w:val="24"/>
        </w:rPr>
        <w:t xml:space="preserve">. </w:t>
      </w:r>
      <w:r w:rsidR="00574612" w:rsidRPr="004E7A35">
        <w:rPr>
          <w:rFonts w:cstheme="minorHAnsi"/>
          <w:bCs/>
          <w:szCs w:val="24"/>
        </w:rPr>
        <w:t xml:space="preserve">В этом отношении в своем отчете о собрании группа приняла к сведению заявление заместителя Председателя от </w:t>
      </w:r>
      <w:r w:rsidR="009C7215" w:rsidRPr="004E7A35">
        <w:rPr>
          <w:rFonts w:cstheme="minorHAnsi"/>
          <w:bCs/>
          <w:szCs w:val="24"/>
        </w:rPr>
        <w:t xml:space="preserve">региона </w:t>
      </w:r>
      <w:r w:rsidR="00574612" w:rsidRPr="004E7A35">
        <w:rPr>
          <w:rFonts w:cstheme="minorHAnsi"/>
          <w:bCs/>
          <w:szCs w:val="24"/>
        </w:rPr>
        <w:t>Северной и Южной Америки</w:t>
      </w:r>
      <w:r w:rsidR="00920C3A" w:rsidRPr="004E7A35">
        <w:rPr>
          <w:rFonts w:cstheme="minorHAnsi"/>
          <w:bCs/>
          <w:szCs w:val="24"/>
        </w:rPr>
        <w:t xml:space="preserve">. </w:t>
      </w:r>
      <w:r w:rsidR="00574612" w:rsidRPr="004E7A35">
        <w:rPr>
          <w:rFonts w:cstheme="minorHAnsi"/>
          <w:bCs/>
          <w:szCs w:val="24"/>
        </w:rPr>
        <w:t>В</w:t>
      </w:r>
      <w:r w:rsidR="009C7215" w:rsidRPr="004E7A35">
        <w:rPr>
          <w:rFonts w:cstheme="minorHAnsi"/>
          <w:bCs/>
          <w:szCs w:val="24"/>
        </w:rPr>
        <w:t> </w:t>
      </w:r>
      <w:r w:rsidR="00574612" w:rsidRPr="004E7A35">
        <w:rPr>
          <w:rFonts w:cstheme="minorHAnsi"/>
          <w:bCs/>
          <w:szCs w:val="24"/>
        </w:rPr>
        <w:t>соответствии с этим заявлением</w:t>
      </w:r>
      <w:r w:rsidR="00920C3A" w:rsidRPr="004E7A35">
        <w:rPr>
          <w:rFonts w:cstheme="minorHAnsi"/>
          <w:bCs/>
          <w:szCs w:val="24"/>
        </w:rPr>
        <w:t xml:space="preserve">, </w:t>
      </w:r>
      <w:r w:rsidR="00A67F21" w:rsidRPr="004E7A35">
        <w:rPr>
          <w:rFonts w:cstheme="minorHAnsi"/>
          <w:bCs/>
          <w:szCs w:val="24"/>
        </w:rPr>
        <w:t>в качестве внутренней практики, администрации стран, входящих в</w:t>
      </w:r>
      <w:r w:rsidR="00043A22" w:rsidRPr="004E7A35">
        <w:rPr>
          <w:rFonts w:cstheme="minorHAnsi"/>
          <w:bCs/>
          <w:szCs w:val="24"/>
        </w:rPr>
        <w:t xml:space="preserve"> Межамериканскую комиссию по электросвязи</w:t>
      </w:r>
      <w:r w:rsidR="00A67F21" w:rsidRPr="004E7A35">
        <w:rPr>
          <w:rFonts w:cstheme="minorHAnsi"/>
          <w:bCs/>
          <w:szCs w:val="24"/>
        </w:rPr>
        <w:t xml:space="preserve"> </w:t>
      </w:r>
      <w:r w:rsidR="00043A22" w:rsidRPr="004E7A35">
        <w:rPr>
          <w:rFonts w:cstheme="minorHAnsi"/>
          <w:bCs/>
          <w:szCs w:val="24"/>
        </w:rPr>
        <w:t>(</w:t>
      </w:r>
      <w:r w:rsidR="00A67F21" w:rsidRPr="004E7A35">
        <w:rPr>
          <w:rFonts w:cstheme="minorHAnsi"/>
          <w:bCs/>
          <w:szCs w:val="24"/>
        </w:rPr>
        <w:t>СИТЕЛ</w:t>
      </w:r>
      <w:r w:rsidR="00043A22" w:rsidRPr="004E7A35">
        <w:rPr>
          <w:rFonts w:cstheme="minorHAnsi"/>
          <w:bCs/>
          <w:szCs w:val="24"/>
        </w:rPr>
        <w:t>)</w:t>
      </w:r>
      <w:r w:rsidR="00A67F21" w:rsidRPr="004E7A35">
        <w:rPr>
          <w:rFonts w:cstheme="minorHAnsi"/>
          <w:bCs/>
          <w:szCs w:val="24"/>
        </w:rPr>
        <w:t>, будут использовать и распространять следующие вопросы среди своих государств-членов и ассоциированных членов, в число которы</w:t>
      </w:r>
      <w:r w:rsidR="00FF264D" w:rsidRPr="004E7A35">
        <w:rPr>
          <w:rFonts w:cstheme="minorHAnsi"/>
          <w:bCs/>
          <w:szCs w:val="24"/>
        </w:rPr>
        <w:t>х</w:t>
      </w:r>
      <w:r w:rsidR="00A67F21" w:rsidRPr="004E7A35">
        <w:rPr>
          <w:rFonts w:cstheme="minorHAnsi"/>
          <w:bCs/>
          <w:szCs w:val="24"/>
        </w:rPr>
        <w:t xml:space="preserve"> входят частный сектор, гражданское общество, академические организации и техническое сообщество интернета</w:t>
      </w:r>
      <w:r w:rsidR="00920C3A" w:rsidRPr="004E7A35">
        <w:rPr>
          <w:szCs w:val="24"/>
        </w:rPr>
        <w:t xml:space="preserve">. </w:t>
      </w:r>
      <w:r w:rsidR="00574612" w:rsidRPr="004E7A35">
        <w:rPr>
          <w:szCs w:val="24"/>
        </w:rPr>
        <w:t xml:space="preserve">Другие </w:t>
      </w:r>
      <w:r w:rsidR="009C7215" w:rsidRPr="004E7A35">
        <w:rPr>
          <w:szCs w:val="24"/>
        </w:rPr>
        <w:t xml:space="preserve">члены </w:t>
      </w:r>
      <w:r w:rsidR="00574612" w:rsidRPr="004E7A35">
        <w:rPr>
          <w:szCs w:val="24"/>
        </w:rPr>
        <w:t>также могут самостоятельно использовать вопросник для своих официальных консультаций либо неофициальных</w:t>
      </w:r>
      <w:r w:rsidR="00E9418A" w:rsidRPr="004E7A35">
        <w:rPr>
          <w:szCs w:val="24"/>
        </w:rPr>
        <w:t xml:space="preserve"> опросов</w:t>
      </w:r>
      <w:r w:rsidR="00920C3A" w:rsidRPr="004E7A35">
        <w:rPr>
          <w:szCs w:val="24"/>
        </w:rPr>
        <w:t>.</w:t>
      </w:r>
    </w:p>
    <w:p w14:paraId="33A46E65" w14:textId="3A0F1FDF" w:rsidR="00920C3A" w:rsidRPr="004E7A35" w:rsidRDefault="00E9418A" w:rsidP="00CA1D3C">
      <w:pPr>
        <w:snapToGrid w:val="0"/>
        <w:rPr>
          <w:szCs w:val="24"/>
        </w:rPr>
      </w:pPr>
      <w:r w:rsidRPr="004E7A35">
        <w:rPr>
          <w:szCs w:val="24"/>
          <w:u w:val="single"/>
        </w:rPr>
        <w:lastRenderedPageBreak/>
        <w:t>План работы ГЭ-РМЭ</w:t>
      </w:r>
      <w:r w:rsidR="00920C3A" w:rsidRPr="004E7A35">
        <w:rPr>
          <w:szCs w:val="24"/>
        </w:rPr>
        <w:t xml:space="preserve">: </w:t>
      </w:r>
      <w:r w:rsidRPr="004E7A35">
        <w:rPr>
          <w:szCs w:val="24"/>
        </w:rPr>
        <w:t>окончательный вариант плана работы был принят</w:t>
      </w:r>
      <w:r w:rsidR="00920C3A" w:rsidRPr="004E7A35">
        <w:rPr>
          <w:szCs w:val="24"/>
        </w:rPr>
        <w:t xml:space="preserve"> (</w:t>
      </w:r>
      <w:r w:rsidRPr="004E7A35">
        <w:rPr>
          <w:szCs w:val="24"/>
        </w:rPr>
        <w:t>Приложение</w:t>
      </w:r>
      <w:r w:rsidR="00920C3A" w:rsidRPr="004E7A35">
        <w:rPr>
          <w:szCs w:val="24"/>
        </w:rPr>
        <w:t xml:space="preserve"> 1) </w:t>
      </w:r>
      <w:r w:rsidR="009C7215" w:rsidRPr="004E7A35">
        <w:rPr>
          <w:szCs w:val="24"/>
        </w:rPr>
        <w:t xml:space="preserve">в </w:t>
      </w:r>
      <w:r w:rsidRPr="004E7A35">
        <w:rPr>
          <w:szCs w:val="24"/>
        </w:rPr>
        <w:t>ка</w:t>
      </w:r>
      <w:r w:rsidR="009C7215" w:rsidRPr="004E7A35">
        <w:rPr>
          <w:szCs w:val="24"/>
        </w:rPr>
        <w:t>честве</w:t>
      </w:r>
      <w:r w:rsidRPr="004E7A35">
        <w:rPr>
          <w:szCs w:val="24"/>
        </w:rPr>
        <w:t xml:space="preserve"> "живо</w:t>
      </w:r>
      <w:r w:rsidR="009C7215" w:rsidRPr="004E7A35">
        <w:rPr>
          <w:szCs w:val="24"/>
        </w:rPr>
        <w:t>го</w:t>
      </w:r>
      <w:r w:rsidRPr="004E7A35">
        <w:rPr>
          <w:szCs w:val="24"/>
        </w:rPr>
        <w:t>" документ</w:t>
      </w:r>
      <w:r w:rsidR="009C7215" w:rsidRPr="004E7A35">
        <w:rPr>
          <w:szCs w:val="24"/>
        </w:rPr>
        <w:t>а</w:t>
      </w:r>
      <w:r w:rsidR="00920C3A" w:rsidRPr="004E7A35">
        <w:rPr>
          <w:szCs w:val="24"/>
        </w:rPr>
        <w:t xml:space="preserve">. </w:t>
      </w:r>
      <w:r w:rsidRPr="004E7A35">
        <w:rPr>
          <w:szCs w:val="24"/>
        </w:rPr>
        <w:t xml:space="preserve">Данные, внесенные в </w:t>
      </w:r>
      <w:r w:rsidR="00920C3A" w:rsidRPr="004E7A35">
        <w:rPr>
          <w:szCs w:val="24"/>
        </w:rPr>
        <w:t>"</w:t>
      </w:r>
      <w:r w:rsidRPr="004E7A35">
        <w:rPr>
          <w:szCs w:val="24"/>
        </w:rPr>
        <w:t>Таблицу для рассмотрения</w:t>
      </w:r>
      <w:r w:rsidR="00920C3A" w:rsidRPr="004E7A35">
        <w:rPr>
          <w:szCs w:val="24"/>
        </w:rPr>
        <w:t xml:space="preserve">" </w:t>
      </w:r>
      <w:r w:rsidRPr="004E7A35">
        <w:rPr>
          <w:szCs w:val="24"/>
        </w:rPr>
        <w:t>в ходе собрания группы, будут уточнены и подтверждены на 5-м собрании ГЭ-РМЭ</w:t>
      </w:r>
      <w:r w:rsidR="00920C3A" w:rsidRPr="004E7A35">
        <w:rPr>
          <w:szCs w:val="24"/>
        </w:rPr>
        <w:t xml:space="preserve">. </w:t>
      </w:r>
    </w:p>
    <w:p w14:paraId="462BEAD0" w14:textId="42D6FDE9" w:rsidR="00920C3A" w:rsidRPr="004E7A35" w:rsidRDefault="00920C3A" w:rsidP="00920C3A">
      <w:pPr>
        <w:pStyle w:val="Heading1"/>
      </w:pPr>
      <w:r w:rsidRPr="004E7A35">
        <w:t>3</w:t>
      </w:r>
      <w:r w:rsidRPr="004E7A35">
        <w:tab/>
      </w:r>
      <w:r w:rsidR="00E9418A" w:rsidRPr="004E7A35">
        <w:t>Итоги второго собрания</w:t>
      </w:r>
      <w:r w:rsidRPr="004E7A35">
        <w:t xml:space="preserve"> </w:t>
      </w:r>
      <w:r w:rsidR="00E9418A" w:rsidRPr="004E7A35">
        <w:rPr>
          <w:szCs w:val="24"/>
        </w:rPr>
        <w:t>ГЭ-РМЭ</w:t>
      </w:r>
      <w:r w:rsidR="00E9418A" w:rsidRPr="004E7A35">
        <w:t xml:space="preserve"> </w:t>
      </w:r>
      <w:r w:rsidRPr="004E7A35">
        <w:t>(12</w:t>
      </w:r>
      <w:r w:rsidR="00CA1D3C" w:rsidRPr="004E7A35">
        <w:t>−</w:t>
      </w:r>
      <w:r w:rsidRPr="004E7A35">
        <w:t>13</w:t>
      </w:r>
      <w:r w:rsidR="00CA1D3C" w:rsidRPr="004E7A35">
        <w:t> февраля</w:t>
      </w:r>
      <w:r w:rsidRPr="004E7A35">
        <w:t xml:space="preserve"> 2020</w:t>
      </w:r>
      <w:r w:rsidR="00CA1D3C" w:rsidRPr="004E7A35">
        <w:t> г.</w:t>
      </w:r>
      <w:r w:rsidRPr="004E7A35">
        <w:t>)</w:t>
      </w:r>
    </w:p>
    <w:p w14:paraId="1DDC0A67" w14:textId="5CC6F433" w:rsidR="00920C3A" w:rsidRPr="004E7A35" w:rsidRDefault="00A82BCD" w:rsidP="00CA1D3C">
      <w:pPr>
        <w:rPr>
          <w:szCs w:val="24"/>
        </w:rPr>
      </w:pPr>
      <w:r w:rsidRPr="004E7A35">
        <w:rPr>
          <w:szCs w:val="24"/>
        </w:rPr>
        <w:t xml:space="preserve">Основываясь на плане работы и </w:t>
      </w:r>
      <w:r w:rsidR="00920C3A" w:rsidRPr="004E7A35">
        <w:rPr>
          <w:szCs w:val="24"/>
        </w:rPr>
        <w:t>"</w:t>
      </w:r>
      <w:r w:rsidRPr="004E7A35">
        <w:rPr>
          <w:szCs w:val="24"/>
        </w:rPr>
        <w:t>Таблице для рассмотрения</w:t>
      </w:r>
      <w:r w:rsidR="00920C3A" w:rsidRPr="004E7A35">
        <w:rPr>
          <w:szCs w:val="24"/>
        </w:rPr>
        <w:t>"</w:t>
      </w:r>
      <w:r w:rsidR="009C7215" w:rsidRPr="004E7A35">
        <w:rPr>
          <w:szCs w:val="24"/>
        </w:rPr>
        <w:t>,</w:t>
      </w:r>
      <w:r w:rsidR="00920C3A" w:rsidRPr="004E7A35">
        <w:rPr>
          <w:szCs w:val="24"/>
        </w:rPr>
        <w:t xml:space="preserve"> </w:t>
      </w:r>
      <w:r w:rsidRPr="004E7A35">
        <w:rPr>
          <w:szCs w:val="24"/>
        </w:rPr>
        <w:t xml:space="preserve">утвержденной на первом собрании, члены сосредоточились на постатейном </w:t>
      </w:r>
      <w:r w:rsidR="009C7215" w:rsidRPr="004E7A35">
        <w:rPr>
          <w:szCs w:val="24"/>
        </w:rPr>
        <w:t xml:space="preserve">анализе </w:t>
      </w:r>
      <w:r w:rsidRPr="004E7A35">
        <w:rPr>
          <w:szCs w:val="24"/>
        </w:rPr>
        <w:t>следующих статей</w:t>
      </w:r>
      <w:r w:rsidR="00920C3A" w:rsidRPr="004E7A35">
        <w:rPr>
          <w:szCs w:val="24"/>
        </w:rPr>
        <w:t xml:space="preserve"> (44 </w:t>
      </w:r>
      <w:r w:rsidRPr="004E7A35">
        <w:rPr>
          <w:szCs w:val="24"/>
        </w:rPr>
        <w:t>положения</w:t>
      </w:r>
      <w:r w:rsidR="00920C3A" w:rsidRPr="004E7A35">
        <w:rPr>
          <w:szCs w:val="24"/>
        </w:rPr>
        <w:t xml:space="preserve">) </w:t>
      </w:r>
      <w:r w:rsidRPr="004E7A35">
        <w:rPr>
          <w:szCs w:val="24"/>
        </w:rPr>
        <w:t>с учетом различных мнений, выраженных в письменных вкладах и в ходе обсуждения на собрании</w:t>
      </w:r>
      <w:r w:rsidR="00920C3A" w:rsidRPr="004E7A35">
        <w:rPr>
          <w:szCs w:val="24"/>
        </w:rPr>
        <w:t>:</w:t>
      </w:r>
    </w:p>
    <w:p w14:paraId="1D87C6EB" w14:textId="0D81DE66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Преамбула</w:t>
      </w:r>
      <w:r w:rsidRPr="004E7A35">
        <w:t xml:space="preserve"> (</w:t>
      </w:r>
      <w:r w:rsidR="00A82BCD" w:rsidRPr="004E7A35">
        <w:t>подлежит пересмотру заместителями Председател</w:t>
      </w:r>
      <w:r w:rsidR="009C7215" w:rsidRPr="004E7A35">
        <w:t>я</w:t>
      </w:r>
      <w:r w:rsidRPr="004E7A35">
        <w:t xml:space="preserve"> </w:t>
      </w:r>
      <w:r w:rsidR="00A82BCD" w:rsidRPr="004E7A35">
        <w:rPr>
          <w:szCs w:val="24"/>
        </w:rPr>
        <w:t>ГЭ-РМЭ</w:t>
      </w:r>
      <w:r w:rsidRPr="004E7A35">
        <w:t>)</w:t>
      </w:r>
    </w:p>
    <w:p w14:paraId="7CE6F35E" w14:textId="132BAF87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СТАТЬЯ</w:t>
      </w:r>
      <w:r w:rsidRPr="004E7A35">
        <w:t xml:space="preserve"> 1 </w:t>
      </w:r>
      <w:r w:rsidR="00043A22" w:rsidRPr="004E7A35">
        <w:t>Цель и область применения Регламента</w:t>
      </w:r>
    </w:p>
    <w:p w14:paraId="431360B9" w14:textId="1CECE7CD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СТАТЬЯ</w:t>
      </w:r>
      <w:r w:rsidRPr="004E7A35">
        <w:t xml:space="preserve"> 2 </w:t>
      </w:r>
      <w:r w:rsidR="00043A22" w:rsidRPr="004E7A35">
        <w:t>Определения</w:t>
      </w:r>
    </w:p>
    <w:p w14:paraId="5972718C" w14:textId="77A39B64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СТАТЬЯ</w:t>
      </w:r>
      <w:r w:rsidRPr="004E7A35">
        <w:t xml:space="preserve"> 3 </w:t>
      </w:r>
      <w:r w:rsidR="00043A22" w:rsidRPr="004E7A35">
        <w:t>Международная сеть</w:t>
      </w:r>
    </w:p>
    <w:p w14:paraId="167AE79F" w14:textId="76365961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СТАТЬЯ</w:t>
      </w:r>
      <w:r w:rsidRPr="004E7A35">
        <w:t xml:space="preserve"> 4 </w:t>
      </w:r>
      <w:r w:rsidR="00043A22" w:rsidRPr="004E7A35">
        <w:t>Услуги международной электросвязи</w:t>
      </w:r>
      <w:r w:rsidRPr="004E7A35">
        <w:t>.</w:t>
      </w:r>
    </w:p>
    <w:p w14:paraId="0414777D" w14:textId="45490D2B" w:rsidR="00920C3A" w:rsidRPr="004E7A35" w:rsidRDefault="00A82BCD" w:rsidP="00CA1D3C">
      <w:pPr>
        <w:rPr>
          <w:szCs w:val="24"/>
        </w:rPr>
      </w:pPr>
      <w:r w:rsidRPr="004E7A35">
        <w:rPr>
          <w:szCs w:val="24"/>
        </w:rPr>
        <w:t xml:space="preserve">Таблица для рассмотрения отражает результаты обсуждения в группе следующих </w:t>
      </w:r>
      <w:r w:rsidR="00B44FC2" w:rsidRPr="004E7A35">
        <w:rPr>
          <w:szCs w:val="24"/>
        </w:rPr>
        <w:t>аспектов</w:t>
      </w:r>
      <w:r w:rsidR="00920C3A" w:rsidRPr="004E7A35">
        <w:rPr>
          <w:szCs w:val="24"/>
        </w:rPr>
        <w:t xml:space="preserve">: </w:t>
      </w:r>
    </w:p>
    <w:p w14:paraId="203896C8" w14:textId="1E3DA4DD" w:rsidR="00920C3A" w:rsidRPr="004E7A35" w:rsidRDefault="00920C3A" w:rsidP="00B44FC2">
      <w:pPr>
        <w:rPr>
          <w:szCs w:val="24"/>
        </w:rPr>
      </w:pPr>
      <w:r w:rsidRPr="004E7A35">
        <w:t>1)</w:t>
      </w:r>
      <w:r w:rsidRPr="004E7A35">
        <w:tab/>
      </w:r>
      <w:r w:rsidR="00A82BCD" w:rsidRPr="004E7A35">
        <w:rPr>
          <w:szCs w:val="24"/>
        </w:rPr>
        <w:t>Применимость для содействия предоставлению и развитию сетей и услуг</w:t>
      </w:r>
      <w:r w:rsidRPr="004E7A35">
        <w:rPr>
          <w:szCs w:val="24"/>
        </w:rPr>
        <w:t xml:space="preserve">. </w:t>
      </w:r>
    </w:p>
    <w:p w14:paraId="35FD3C1E" w14:textId="77139D71" w:rsidR="00920C3A" w:rsidRPr="004E7A35" w:rsidRDefault="00920C3A" w:rsidP="00B44FC2">
      <w:pPr>
        <w:rPr>
          <w:szCs w:val="24"/>
        </w:rPr>
      </w:pPr>
      <w:r w:rsidRPr="004E7A35">
        <w:rPr>
          <w:szCs w:val="24"/>
        </w:rPr>
        <w:t>2)</w:t>
      </w:r>
      <w:r w:rsidRPr="004E7A35">
        <w:rPr>
          <w:szCs w:val="24"/>
        </w:rPr>
        <w:tab/>
      </w:r>
      <w:r w:rsidR="00B44FC2" w:rsidRPr="004E7A35">
        <w:rPr>
          <w:szCs w:val="24"/>
        </w:rPr>
        <w:t>Гибкость положений РМЭ в плане учета новых тенденций и возникающих проблем</w:t>
      </w:r>
      <w:r w:rsidRPr="004E7A35">
        <w:rPr>
          <w:szCs w:val="24"/>
        </w:rPr>
        <w:t xml:space="preserve">. </w:t>
      </w:r>
    </w:p>
    <w:p w14:paraId="4EF80CFC" w14:textId="608EB43D" w:rsidR="00920C3A" w:rsidRPr="004E7A35" w:rsidRDefault="00920C3A" w:rsidP="00B44FC2">
      <w:r w:rsidRPr="004E7A35">
        <w:rPr>
          <w:szCs w:val="24"/>
        </w:rPr>
        <w:t>3)</w:t>
      </w:r>
      <w:r w:rsidRPr="004E7A35">
        <w:rPr>
          <w:szCs w:val="24"/>
        </w:rPr>
        <w:tab/>
      </w:r>
      <w:r w:rsidR="00B44FC2" w:rsidRPr="004E7A35">
        <w:rPr>
          <w:szCs w:val="24"/>
        </w:rPr>
        <w:t>Краткое изложение итогов обсуждений</w:t>
      </w:r>
      <w:r w:rsidRPr="004E7A35">
        <w:rPr>
          <w:szCs w:val="24"/>
        </w:rPr>
        <w:t xml:space="preserve">, </w:t>
      </w:r>
      <w:r w:rsidR="00B44FC2" w:rsidRPr="004E7A35">
        <w:rPr>
          <w:szCs w:val="24"/>
        </w:rPr>
        <w:t>на основе пунктов</w:t>
      </w:r>
      <w:r w:rsidR="00B44FC2" w:rsidRPr="004E7A35">
        <w:t xml:space="preserve"> </w:t>
      </w:r>
      <w:r w:rsidRPr="004E7A35">
        <w:t xml:space="preserve">1) </w:t>
      </w:r>
      <w:r w:rsidR="00B44FC2" w:rsidRPr="004E7A35">
        <w:t>и</w:t>
      </w:r>
      <w:r w:rsidRPr="004E7A35">
        <w:t xml:space="preserve"> 2)</w:t>
      </w:r>
      <w:r w:rsidR="00B44FC2" w:rsidRPr="004E7A35">
        <w:t>,</w:t>
      </w:r>
      <w:r w:rsidRPr="004E7A35">
        <w:t xml:space="preserve"> </w:t>
      </w:r>
      <w:r w:rsidR="00B44FC2" w:rsidRPr="004E7A35">
        <w:t>выше</w:t>
      </w:r>
      <w:r w:rsidRPr="004E7A35">
        <w:t>.</w:t>
      </w:r>
    </w:p>
    <w:p w14:paraId="1D170155" w14:textId="28FABB17" w:rsidR="00920C3A" w:rsidRPr="004E7A35" w:rsidRDefault="00B44FC2" w:rsidP="00CA1D3C">
      <w:pPr>
        <w:rPr>
          <w:szCs w:val="24"/>
        </w:rPr>
      </w:pPr>
      <w:r w:rsidRPr="004E7A35">
        <w:rPr>
          <w:szCs w:val="24"/>
        </w:rPr>
        <w:t>Обновленная Таблица для рассмотрения представлена в Документе</w:t>
      </w:r>
      <w:r w:rsidR="00043A22" w:rsidRPr="004E7A35">
        <w:rPr>
          <w:szCs w:val="24"/>
        </w:rPr>
        <w:t xml:space="preserve"> </w:t>
      </w:r>
      <w:hyperlink r:id="rId11" w:history="1">
        <w:r w:rsidR="00920C3A" w:rsidRPr="004E7A35">
          <w:rPr>
            <w:rStyle w:val="Hyperlink"/>
            <w:szCs w:val="24"/>
          </w:rPr>
          <w:t>EG-ITRs-2/DL/2</w:t>
        </w:r>
      </w:hyperlink>
      <w:r w:rsidR="00920C3A" w:rsidRPr="004E7A35">
        <w:rPr>
          <w:szCs w:val="24"/>
        </w:rPr>
        <w:t>.</w:t>
      </w:r>
    </w:p>
    <w:p w14:paraId="169ACEEE" w14:textId="02298CB4" w:rsidR="00920C3A" w:rsidRPr="004E7A35" w:rsidRDefault="00B44FC2" w:rsidP="00CA1D3C">
      <w:pPr>
        <w:rPr>
          <w:szCs w:val="24"/>
        </w:rPr>
      </w:pPr>
      <w:r w:rsidRPr="004E7A35">
        <w:rPr>
          <w:szCs w:val="24"/>
        </w:rPr>
        <w:t xml:space="preserve">В отчете </w:t>
      </w:r>
      <w:r w:rsidR="00FF264D" w:rsidRPr="004E7A35">
        <w:rPr>
          <w:szCs w:val="24"/>
        </w:rPr>
        <w:t xml:space="preserve">о </w:t>
      </w:r>
      <w:r w:rsidRPr="004E7A35">
        <w:rPr>
          <w:szCs w:val="24"/>
        </w:rPr>
        <w:t>собрани</w:t>
      </w:r>
      <w:r w:rsidR="00FF264D" w:rsidRPr="004E7A35">
        <w:rPr>
          <w:szCs w:val="24"/>
        </w:rPr>
        <w:t>и</w:t>
      </w:r>
      <w:r w:rsidRPr="004E7A35">
        <w:rPr>
          <w:szCs w:val="24"/>
        </w:rPr>
        <w:t xml:space="preserve"> также кратко излагаются мнения, отражающие более широкий взгляд на РМЭ</w:t>
      </w:r>
      <w:r w:rsidR="00920C3A" w:rsidRPr="004E7A35">
        <w:rPr>
          <w:szCs w:val="24"/>
        </w:rPr>
        <w:t xml:space="preserve">. </w:t>
      </w:r>
      <w:r w:rsidRPr="004E7A35">
        <w:rPr>
          <w:szCs w:val="24"/>
        </w:rPr>
        <w:t>Кроме того, отчет Председателя Совету будет отражать итоги обоих собраний</w:t>
      </w:r>
      <w:r w:rsidR="00FF264D" w:rsidRPr="004E7A35">
        <w:rPr>
          <w:szCs w:val="24"/>
        </w:rPr>
        <w:t>,</w:t>
      </w:r>
      <w:r w:rsidRPr="004E7A35">
        <w:rPr>
          <w:szCs w:val="24"/>
        </w:rPr>
        <w:t xml:space="preserve"> как указано в</w:t>
      </w:r>
      <w:r w:rsidR="00920C3A" w:rsidRPr="004E7A35">
        <w:rPr>
          <w:szCs w:val="24"/>
        </w:rPr>
        <w:t xml:space="preserve"> </w:t>
      </w:r>
      <w:r w:rsidRPr="004E7A35">
        <w:rPr>
          <w:szCs w:val="24"/>
        </w:rPr>
        <w:t>отдельных отчетах о собраниях</w:t>
      </w:r>
      <w:r w:rsidR="00920C3A" w:rsidRPr="004E7A35">
        <w:rPr>
          <w:szCs w:val="24"/>
        </w:rPr>
        <w:t xml:space="preserve">. </w:t>
      </w:r>
    </w:p>
    <w:p w14:paraId="1BA8ABF8" w14:textId="4C014B04" w:rsidR="00920C3A" w:rsidRPr="004E7A35" w:rsidRDefault="00920C3A" w:rsidP="00CA1D3C">
      <w:pPr>
        <w:tabs>
          <w:tab w:val="clear" w:pos="794"/>
          <w:tab w:val="clear" w:pos="1191"/>
          <w:tab w:val="clear" w:pos="1588"/>
          <w:tab w:val="clear" w:pos="1985"/>
        </w:tabs>
      </w:pPr>
      <w:r w:rsidRPr="004E7A35">
        <w:br w:type="page"/>
      </w:r>
    </w:p>
    <w:p w14:paraId="0CD3EDBB" w14:textId="67911FFA" w:rsidR="00920C3A" w:rsidRPr="004E7A35" w:rsidRDefault="009E067B" w:rsidP="009E067B">
      <w:pPr>
        <w:pStyle w:val="AnnexNo"/>
      </w:pPr>
      <w:r w:rsidRPr="004E7A35">
        <w:lastRenderedPageBreak/>
        <w:t>ПРИЛОЖЕНИЕ</w:t>
      </w:r>
      <w:r w:rsidR="00920C3A" w:rsidRPr="004E7A35">
        <w:t xml:space="preserve"> 1</w:t>
      </w:r>
    </w:p>
    <w:p w14:paraId="3953C91E" w14:textId="4BF8C777" w:rsidR="00920C3A" w:rsidRPr="004E7A35" w:rsidRDefault="00D70448" w:rsidP="009E067B">
      <w:pPr>
        <w:pStyle w:val="Annextitle"/>
      </w:pPr>
      <w:r w:rsidRPr="004E7A35">
        <w:t>План работы ГЭ-РМЭ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920C3A" w:rsidRPr="004E7A35" w14:paraId="30C68682" w14:textId="77777777" w:rsidTr="00D70448">
        <w:trPr>
          <w:cantSplit/>
          <w:trHeight w:val="138"/>
        </w:trPr>
        <w:tc>
          <w:tcPr>
            <w:tcW w:w="6521" w:type="dxa"/>
          </w:tcPr>
          <w:p w14:paraId="5E5767DA" w14:textId="77777777" w:rsidR="00920C3A" w:rsidRPr="004E7A35" w:rsidRDefault="00920C3A" w:rsidP="00BF3E6A">
            <w:pPr>
              <w:rPr>
                <w:b/>
                <w:bCs/>
                <w:szCs w:val="24"/>
              </w:rPr>
            </w:pPr>
          </w:p>
        </w:tc>
        <w:tc>
          <w:tcPr>
            <w:tcW w:w="3118" w:type="dxa"/>
          </w:tcPr>
          <w:p w14:paraId="5A37FBDF" w14:textId="66045231" w:rsidR="00920C3A" w:rsidRPr="004E7A35" w:rsidRDefault="009E067B" w:rsidP="00BF3E6A">
            <w:pPr>
              <w:rPr>
                <w:b/>
                <w:bCs/>
              </w:rPr>
            </w:pPr>
            <w:r w:rsidRPr="004E7A35">
              <w:rPr>
                <w:b/>
                <w:bCs/>
              </w:rPr>
              <w:t>Пересмотр</w:t>
            </w:r>
            <w:r w:rsidR="00920C3A" w:rsidRPr="004E7A35">
              <w:rPr>
                <w:b/>
                <w:bCs/>
              </w:rPr>
              <w:t xml:space="preserve"> 2 </w:t>
            </w:r>
            <w:r w:rsidRPr="004E7A35">
              <w:rPr>
                <w:b/>
                <w:bCs/>
              </w:rPr>
              <w:br/>
              <w:t>Документ</w:t>
            </w:r>
            <w:r w:rsidR="009C7215" w:rsidRPr="004E7A35">
              <w:rPr>
                <w:b/>
                <w:bCs/>
              </w:rPr>
              <w:t>а</w:t>
            </w:r>
            <w:r w:rsidR="00920C3A" w:rsidRPr="004E7A35">
              <w:rPr>
                <w:b/>
                <w:bCs/>
              </w:rPr>
              <w:t xml:space="preserve"> EG-ITRs-1/DL/3</w:t>
            </w:r>
            <w:r w:rsidR="00920C3A" w:rsidRPr="004E7A35">
              <w:rPr>
                <w:b/>
                <w:bCs/>
              </w:rPr>
              <w:br/>
            </w:r>
            <w:r w:rsidR="00920C3A" w:rsidRPr="004E7A35">
              <w:rPr>
                <w:b/>
              </w:rPr>
              <w:t xml:space="preserve">17 </w:t>
            </w:r>
            <w:r w:rsidRPr="004E7A35">
              <w:rPr>
                <w:b/>
              </w:rPr>
              <w:t>сентября</w:t>
            </w:r>
            <w:r w:rsidR="00920C3A" w:rsidRPr="004E7A35">
              <w:rPr>
                <w:b/>
              </w:rPr>
              <w:t xml:space="preserve"> 2019 </w:t>
            </w:r>
            <w:r w:rsidRPr="004E7A35">
              <w:rPr>
                <w:b/>
              </w:rPr>
              <w:t>года</w:t>
            </w:r>
            <w:r w:rsidR="00920C3A" w:rsidRPr="004E7A35">
              <w:rPr>
                <w:b/>
              </w:rPr>
              <w:br/>
            </w:r>
            <w:r w:rsidR="009C7215" w:rsidRPr="004E7A35">
              <w:rPr>
                <w:b/>
              </w:rPr>
              <w:t>Только на английском языке</w:t>
            </w:r>
          </w:p>
        </w:tc>
      </w:tr>
    </w:tbl>
    <w:p w14:paraId="2A0AE7FD" w14:textId="77777777" w:rsidR="00A65FBB" w:rsidRPr="004E7A35" w:rsidRDefault="00A65FBB" w:rsidP="00A65FBB">
      <w:pPr>
        <w:pStyle w:val="Annextitle"/>
      </w:pPr>
      <w:r w:rsidRPr="004E7A35">
        <w:t>План работы</w:t>
      </w: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3261"/>
        <w:gridCol w:w="2415"/>
      </w:tblGrid>
      <w:tr w:rsidR="00A65FBB" w:rsidRPr="004E7A35" w14:paraId="36659DD3" w14:textId="77777777" w:rsidTr="00A65FBB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28E60" w14:textId="77777777" w:rsidR="00A65FBB" w:rsidRPr="004E7A35" w:rsidRDefault="00A65FBB" w:rsidP="00BF3E6A">
            <w:pPr>
              <w:pStyle w:val="Tablehead"/>
            </w:pPr>
            <w:r w:rsidRPr="004E7A35">
              <w:t>Собрание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CD054A" w14:textId="77777777" w:rsidR="00A65FBB" w:rsidRPr="004E7A35" w:rsidRDefault="00A65FBB" w:rsidP="00BF3E6A">
            <w:pPr>
              <w:pStyle w:val="Tablehead"/>
            </w:pPr>
            <w:r w:rsidRPr="004E7A35">
              <w:t>Основные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50D102" w14:textId="77777777" w:rsidR="00A65FBB" w:rsidRPr="004E7A35" w:rsidRDefault="00A65FBB" w:rsidP="00BF3E6A">
            <w:pPr>
              <w:pStyle w:val="Tablehead"/>
            </w:pPr>
            <w:r w:rsidRPr="004E7A35">
              <w:t>Положения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6F0D7F" w14:textId="77777777" w:rsidR="00A65FBB" w:rsidRPr="004E7A35" w:rsidRDefault="00A65FBB" w:rsidP="00BF3E6A">
            <w:pPr>
              <w:pStyle w:val="Tablehead"/>
            </w:pPr>
            <w:r w:rsidRPr="004E7A35">
              <w:t>Ожидания</w:t>
            </w:r>
          </w:p>
        </w:tc>
      </w:tr>
      <w:tr w:rsidR="00A65FBB" w:rsidRPr="004E7A35" w14:paraId="17250C01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7593" w14:textId="0262D054" w:rsidR="00A65FBB" w:rsidRPr="004E7A35" w:rsidRDefault="00A65FBB" w:rsidP="00BF3E6A">
            <w:pPr>
              <w:pStyle w:val="Tabletext"/>
            </w:pPr>
            <w:r w:rsidRPr="004E7A35">
              <w:t xml:space="preserve">Второе собрание </w:t>
            </w:r>
            <w:r w:rsidRPr="004E7A35">
              <w:br/>
              <w:t>(12−13 февраля 2020 г.)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8501" w14:textId="77777777" w:rsidR="00A65FBB" w:rsidRPr="004E7A35" w:rsidRDefault="00A65FBB" w:rsidP="00BF3E6A">
            <w:pPr>
              <w:pStyle w:val="Tabletext"/>
            </w:pPr>
            <w:r w:rsidRPr="004E7A35">
              <w:t>Постатейное рассмотрение РМЭ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7A44" w14:textId="77777777" w:rsidR="00A65FBB" w:rsidRPr="004E7A35" w:rsidRDefault="00A65FBB" w:rsidP="00BF3E6A">
            <w:pPr>
              <w:pStyle w:val="Tabletext"/>
            </w:pPr>
            <w:r w:rsidRPr="004E7A35">
              <w:t>Преамбула</w:t>
            </w:r>
          </w:p>
          <w:p w14:paraId="32C542C5" w14:textId="77777777" w:rsidR="00A65FBB" w:rsidRPr="004E7A35" w:rsidRDefault="00A65FBB" w:rsidP="00BF3E6A">
            <w:pPr>
              <w:pStyle w:val="Tabletext"/>
            </w:pPr>
            <w:r w:rsidRPr="004E7A35">
              <w:t>СТАТЬЯ 1 Цель и область применения Регламента</w:t>
            </w:r>
          </w:p>
          <w:p w14:paraId="549F3EA8" w14:textId="77777777" w:rsidR="00A65FBB" w:rsidRPr="004E7A35" w:rsidRDefault="00A65FBB" w:rsidP="00BF3E6A">
            <w:pPr>
              <w:pStyle w:val="Tabletext"/>
            </w:pPr>
            <w:r w:rsidRPr="004E7A35">
              <w:t>СТАТЬЯ Определения</w:t>
            </w:r>
          </w:p>
          <w:p w14:paraId="7C338A9E" w14:textId="77777777" w:rsidR="00A65FBB" w:rsidRPr="004E7A35" w:rsidRDefault="00A65FBB" w:rsidP="00BF3E6A">
            <w:pPr>
              <w:pStyle w:val="Tabletext"/>
            </w:pPr>
            <w:r w:rsidRPr="004E7A35">
              <w:t>СТАТЬЯ 3 Международная сеть</w:t>
            </w:r>
          </w:p>
          <w:p w14:paraId="6059DC90" w14:textId="77777777" w:rsidR="00A65FBB" w:rsidRPr="004E7A35" w:rsidRDefault="00A65FBB" w:rsidP="00BF3E6A">
            <w:pPr>
              <w:pStyle w:val="Tabletext"/>
            </w:pPr>
            <w:r w:rsidRPr="004E7A35">
              <w:t>СТАТЬЯ 4 Услуги международной электросвязи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23E" w14:textId="77777777" w:rsidR="00A65FBB" w:rsidRPr="004E7A35" w:rsidRDefault="00A65FBB" w:rsidP="00BF3E6A">
            <w:pPr>
              <w:pStyle w:val="Tabletext"/>
            </w:pPr>
            <w:r w:rsidRPr="004E7A35">
              <w:t>Проект результатов постатейного рассмотрения с использованием Таблицы для рассмотрения</w:t>
            </w:r>
            <w:r w:rsidRPr="004E7A35">
              <w:rPr>
                <w:rStyle w:val="FootnoteReference"/>
              </w:rPr>
              <w:footnoteReference w:id="2"/>
            </w:r>
            <w:r w:rsidRPr="004E7A35">
              <w:t xml:space="preserve"> </w:t>
            </w:r>
          </w:p>
          <w:p w14:paraId="3618CDE0" w14:textId="77777777" w:rsidR="00A65FBB" w:rsidRPr="004E7A35" w:rsidRDefault="00A65FBB" w:rsidP="00BF3E6A">
            <w:pPr>
              <w:pStyle w:val="Tabletext"/>
            </w:pPr>
          </w:p>
          <w:p w14:paraId="709ECCD5" w14:textId="77777777" w:rsidR="00A65FBB" w:rsidRPr="004E7A35" w:rsidRDefault="00A65FBB" w:rsidP="00BF3E6A">
            <w:pPr>
              <w:pStyle w:val="Tabletext"/>
            </w:pPr>
            <w:r w:rsidRPr="004E7A35">
              <w:t>Отчет Совету о ходе работы</w:t>
            </w:r>
          </w:p>
        </w:tc>
      </w:tr>
      <w:tr w:rsidR="00A65FBB" w:rsidRPr="004E7A35" w14:paraId="6EDEA859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4953" w14:textId="77777777" w:rsidR="00A65FBB" w:rsidRPr="004E7A35" w:rsidRDefault="00A65FBB" w:rsidP="00BF3E6A">
            <w:pPr>
              <w:pStyle w:val="Tabletext"/>
            </w:pPr>
            <w:r w:rsidRPr="004E7A35">
              <w:t>Третье собрание (сентябрь 2020 г.)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A927" w14:textId="77777777" w:rsidR="00A65FBB" w:rsidRPr="004E7A35" w:rsidRDefault="00A65FBB" w:rsidP="00BF3E6A">
            <w:pPr>
              <w:pStyle w:val="Tabletex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1943" w14:textId="77777777" w:rsidR="00A65FBB" w:rsidRPr="004E7A35" w:rsidRDefault="00A65FBB" w:rsidP="00BF3E6A">
            <w:pPr>
              <w:pStyle w:val="Tabletext"/>
            </w:pPr>
            <w:r w:rsidRPr="004E7A35">
              <w:t>СТАТЬЯ 5 Безопасность человеческой жизни и приоритеты электросвязи</w:t>
            </w:r>
          </w:p>
          <w:p w14:paraId="2E66CC86" w14:textId="77777777" w:rsidR="00A65FBB" w:rsidRPr="004E7A35" w:rsidRDefault="00A65FBB" w:rsidP="00BF3E6A">
            <w:pPr>
              <w:pStyle w:val="Tabletext"/>
            </w:pPr>
            <w:r w:rsidRPr="004E7A35">
              <w:t>СТАТЬЯ 6 Безопасность и устойчивость сетей</w:t>
            </w:r>
          </w:p>
          <w:p w14:paraId="38C0F876" w14:textId="77777777" w:rsidR="00A65FBB" w:rsidRPr="004E7A35" w:rsidRDefault="00A65FBB" w:rsidP="00BF3E6A">
            <w:pPr>
              <w:pStyle w:val="Tabletext"/>
            </w:pPr>
            <w:r w:rsidRPr="004E7A35">
              <w:t>СТАТЬЯ 7 Незапрашиваемые массовые электронные сообщения</w:t>
            </w:r>
          </w:p>
          <w:p w14:paraId="5E08A127" w14:textId="77777777" w:rsidR="00A65FBB" w:rsidRPr="004E7A35" w:rsidRDefault="00A65FBB" w:rsidP="00BF3E6A">
            <w:pPr>
              <w:pStyle w:val="Tabletext"/>
            </w:pPr>
            <w:r w:rsidRPr="004E7A35">
              <w:t>СТАТЬЯ Тарификация и расчеты</w:t>
            </w:r>
          </w:p>
          <w:p w14:paraId="0C1B50A7" w14:textId="77777777" w:rsidR="00A65FBB" w:rsidRPr="004E7A35" w:rsidRDefault="00A65FBB" w:rsidP="00BF3E6A">
            <w:pPr>
              <w:pStyle w:val="Tabletext"/>
            </w:pPr>
            <w:r w:rsidRPr="004E7A35">
              <w:t>ДОПОЛНЕНИЕ 1 Общие положения, касающиеся расчетов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756" w14:textId="77777777" w:rsidR="00A65FBB" w:rsidRPr="004E7A35" w:rsidRDefault="00A65FBB" w:rsidP="00BF3E6A">
            <w:pPr>
              <w:pStyle w:val="Tabletext"/>
            </w:pPr>
            <w:r w:rsidRPr="004E7A35">
              <w:t>Проект результатов постатейного рассмотрения с использованием Таблицы для рассмотрения</w:t>
            </w:r>
          </w:p>
        </w:tc>
      </w:tr>
      <w:tr w:rsidR="00A65FBB" w:rsidRPr="004E7A35" w14:paraId="16D67EDA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61AE" w14:textId="77777777" w:rsidR="00A65FBB" w:rsidRPr="004E7A35" w:rsidRDefault="00A65FBB" w:rsidP="00BF3E6A">
            <w:pPr>
              <w:pStyle w:val="Tabletext"/>
            </w:pPr>
            <w:r w:rsidRPr="004E7A35">
              <w:t xml:space="preserve">Четвертое собрание </w:t>
            </w:r>
            <w:r w:rsidRPr="004E7A35">
              <w:br/>
              <w:t>(февраль 2021 г.)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A16" w14:textId="77777777" w:rsidR="00A65FBB" w:rsidRPr="004E7A35" w:rsidRDefault="00A65FBB" w:rsidP="00BF3E6A">
            <w:pPr>
              <w:pStyle w:val="Tabletex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2ACA" w14:textId="77777777" w:rsidR="00A65FBB" w:rsidRPr="004E7A35" w:rsidRDefault="00A65FBB" w:rsidP="00BF3E6A">
            <w:pPr>
              <w:pStyle w:val="Tabletext"/>
            </w:pPr>
            <w:r w:rsidRPr="004E7A35">
              <w:t>СТАТЬЯ 9 Временное прекращение оказания услуг</w:t>
            </w:r>
          </w:p>
          <w:p w14:paraId="42648E8E" w14:textId="77777777" w:rsidR="00A65FBB" w:rsidRPr="004E7A35" w:rsidRDefault="00A65FBB" w:rsidP="00BF3E6A">
            <w:pPr>
              <w:pStyle w:val="Tabletext"/>
            </w:pPr>
            <w:r w:rsidRPr="004E7A35">
              <w:t>СТАТЬЯ 10 Распространение информации</w:t>
            </w:r>
          </w:p>
          <w:p w14:paraId="26BDAB23" w14:textId="77777777" w:rsidR="00A65FBB" w:rsidRPr="004E7A35" w:rsidRDefault="00A65FBB" w:rsidP="00BF3E6A">
            <w:pPr>
              <w:pStyle w:val="Tabletext"/>
            </w:pPr>
            <w:r w:rsidRPr="004E7A35">
              <w:t>СТАТЬЯ 11 Энергоэффективность/</w:t>
            </w:r>
            <w:r w:rsidRPr="004E7A35">
              <w:br/>
              <w:t>электронные отходы</w:t>
            </w:r>
          </w:p>
          <w:p w14:paraId="555B377A" w14:textId="77777777" w:rsidR="00A65FBB" w:rsidRPr="004E7A35" w:rsidRDefault="00A65FBB" w:rsidP="00BF3E6A">
            <w:pPr>
              <w:pStyle w:val="Tabletext"/>
            </w:pPr>
            <w:r w:rsidRPr="004E7A35">
              <w:t>СТАТЬЯ 12 Доступность</w:t>
            </w:r>
          </w:p>
          <w:p w14:paraId="276C3464" w14:textId="77777777" w:rsidR="00A65FBB" w:rsidRPr="004E7A35" w:rsidRDefault="00A65FBB" w:rsidP="00BF3E6A">
            <w:pPr>
              <w:pStyle w:val="Tabletext"/>
            </w:pPr>
            <w:r w:rsidRPr="004E7A35">
              <w:t>СТАТЬЯ 13 Специальные соглашения</w:t>
            </w:r>
          </w:p>
          <w:p w14:paraId="7D229779" w14:textId="77777777" w:rsidR="00A65FBB" w:rsidRPr="004E7A35" w:rsidRDefault="00A65FBB" w:rsidP="00BF3E6A">
            <w:pPr>
              <w:pStyle w:val="Tabletext"/>
            </w:pPr>
            <w:r w:rsidRPr="004E7A35">
              <w:t>СТАТЬЯ 14 Заключительные положения</w:t>
            </w:r>
          </w:p>
          <w:p w14:paraId="3319F12C" w14:textId="77777777" w:rsidR="00A65FBB" w:rsidRPr="004E7A35" w:rsidRDefault="00A65FBB" w:rsidP="00BF3E6A">
            <w:pPr>
              <w:pStyle w:val="Tabletext"/>
            </w:pPr>
            <w:r w:rsidRPr="004E7A35">
              <w:t>ДОПОЛНЕНИЕ 2 Дополнительные положения, относящиеся к морской электросвязи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F456" w14:textId="77777777" w:rsidR="00A65FBB" w:rsidRPr="004E7A35" w:rsidRDefault="00A65FBB" w:rsidP="00BF3E6A">
            <w:pPr>
              <w:pStyle w:val="Tabletext"/>
            </w:pPr>
            <w:r w:rsidRPr="004E7A35">
              <w:t>Проект результатов постатейного рассмотрения с использованием Таблицы для рассмотрения</w:t>
            </w:r>
          </w:p>
          <w:p w14:paraId="67BB486D" w14:textId="77777777" w:rsidR="00A65FBB" w:rsidRPr="004E7A35" w:rsidRDefault="00A65FBB" w:rsidP="00BF3E6A">
            <w:pPr>
              <w:pStyle w:val="Tabletext"/>
              <w:rPr>
                <w:b/>
              </w:rPr>
            </w:pPr>
            <w:r w:rsidRPr="004E7A35">
              <w:t>Отчет Совету о ходе работы</w:t>
            </w:r>
          </w:p>
        </w:tc>
      </w:tr>
      <w:tr w:rsidR="00A65FBB" w:rsidRPr="004E7A35" w14:paraId="0A3EA07C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3156" w14:textId="77777777" w:rsidR="00A65FBB" w:rsidRPr="004E7A35" w:rsidRDefault="00A65FBB" w:rsidP="00BF3E6A">
            <w:pPr>
              <w:pStyle w:val="Tabletext"/>
            </w:pPr>
            <w:r w:rsidRPr="004E7A35">
              <w:lastRenderedPageBreak/>
              <w:t>Пятое собрание (сентябрь 2021 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764E" w14:textId="77777777" w:rsidR="00A65FBB" w:rsidRPr="004E7A35" w:rsidRDefault="00A65FBB" w:rsidP="00BF3E6A">
            <w:pPr>
              <w:pStyle w:val="Tabletext"/>
            </w:pPr>
            <w:r w:rsidRPr="004E7A35">
              <w:t>Общие заключения на основании постатейного рассмотрения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B71" w14:textId="77777777" w:rsidR="00A65FBB" w:rsidRPr="004E7A35" w:rsidRDefault="00A65FBB" w:rsidP="00BF3E6A">
            <w:pPr>
              <w:pStyle w:val="Tabletex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453A" w14:textId="0BBACFBC" w:rsidR="00A65FBB" w:rsidRPr="00E6326A" w:rsidRDefault="00A65FBB" w:rsidP="00BF3E6A">
            <w:pPr>
              <w:pStyle w:val="Tabletext"/>
            </w:pPr>
            <w:r w:rsidRPr="004E7A35">
              <w:t>Первый проект Заключительного отчета Совету 2022 г</w:t>
            </w:r>
            <w:r w:rsidR="00E6326A" w:rsidRPr="00E6326A">
              <w:t>.</w:t>
            </w:r>
          </w:p>
        </w:tc>
      </w:tr>
      <w:tr w:rsidR="00A65FBB" w:rsidRPr="004E7A35" w14:paraId="358D5901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636E" w14:textId="77777777" w:rsidR="00A65FBB" w:rsidRPr="004E7A35" w:rsidRDefault="00A65FBB" w:rsidP="00BF3E6A">
            <w:pPr>
              <w:pStyle w:val="Tabletext"/>
            </w:pPr>
            <w:r w:rsidRPr="004E7A35">
              <w:t>Шестое собрание (перед Советом 2022 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725" w14:textId="77777777" w:rsidR="00A65FBB" w:rsidRPr="004E7A35" w:rsidRDefault="00A65FBB" w:rsidP="00BF3E6A">
            <w:pPr>
              <w:pStyle w:val="Tabletext"/>
            </w:pPr>
            <w:r w:rsidRPr="004E7A35">
              <w:t>Доработка заключительного отчета Совету 2022 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B85" w14:textId="77777777" w:rsidR="00A65FBB" w:rsidRPr="004E7A35" w:rsidRDefault="00A65FBB" w:rsidP="00BF3E6A">
            <w:pPr>
              <w:pStyle w:val="Tabletex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A86F" w14:textId="77777777" w:rsidR="00A65FBB" w:rsidRPr="004E7A35" w:rsidRDefault="00A65FBB" w:rsidP="00BF3E6A">
            <w:pPr>
              <w:pStyle w:val="Tabletext"/>
            </w:pPr>
            <w:r w:rsidRPr="004E7A35">
              <w:t>Заключительный отчет Совету 2022 г.</w:t>
            </w:r>
          </w:p>
        </w:tc>
      </w:tr>
    </w:tbl>
    <w:p w14:paraId="28F008B2" w14:textId="77777777" w:rsidR="009E067B" w:rsidRPr="004E7A35" w:rsidRDefault="009E067B" w:rsidP="009E067B">
      <w:pPr>
        <w:spacing w:before="720"/>
        <w:jc w:val="center"/>
      </w:pPr>
      <w:r w:rsidRPr="004E7A35">
        <w:t>______________</w:t>
      </w:r>
    </w:p>
    <w:sectPr w:rsidR="009E067B" w:rsidRPr="004E7A35" w:rsidSect="002502FE">
      <w:headerReference w:type="default" r:id="rId12"/>
      <w:footerReference w:type="default" r:id="rId13"/>
      <w:footerReference w:type="first" r:id="rId14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EDB7" w14:textId="77777777" w:rsidR="002502FE" w:rsidRDefault="002502FE" w:rsidP="00E54FD2">
      <w:pPr>
        <w:spacing w:before="0"/>
      </w:pPr>
      <w:r>
        <w:separator/>
      </w:r>
    </w:p>
  </w:endnote>
  <w:endnote w:type="continuationSeparator" w:id="0">
    <w:p w14:paraId="23ABFFF1" w14:textId="77777777" w:rsidR="002502FE" w:rsidRDefault="002502F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4121" w14:textId="2F2E9899" w:rsidR="00D923CD" w:rsidRPr="009F1782" w:rsidRDefault="00D70448" w:rsidP="00AA42F8">
    <w:pPr>
      <w:pStyle w:val="Footer"/>
      <w:rPr>
        <w:lang w:val="en-GB"/>
      </w:rPr>
    </w:pPr>
    <w:r>
      <w:fldChar w:fldCharType="begin"/>
    </w:r>
    <w:r w:rsidRPr="009F1782">
      <w:rPr>
        <w:lang w:val="en-GB"/>
      </w:rPr>
      <w:instrText xml:space="preserve"> FILENAME \p  \* MERGEFORMAT </w:instrText>
    </w:r>
    <w:r>
      <w:fldChar w:fldCharType="separate"/>
    </w:r>
    <w:r w:rsidR="004E7A35">
      <w:rPr>
        <w:lang w:val="en-GB"/>
      </w:rPr>
      <w:t>P:\RUS\ITU-D\CONF-D\TDAG20\000\009R.docx</w:t>
    </w:r>
    <w:r>
      <w:fldChar w:fldCharType="end"/>
    </w:r>
    <w:r w:rsidR="00AA42F8" w:rsidRPr="009F1782">
      <w:rPr>
        <w:lang w:val="en-GB"/>
      </w:rPr>
      <w:t xml:space="preserve"> (</w:t>
    </w:r>
    <w:r w:rsidR="00F254D8" w:rsidRPr="009F1782">
      <w:rPr>
        <w:lang w:val="en-GB"/>
      </w:rPr>
      <w:t>465656</w:t>
    </w:r>
    <w:r w:rsidR="00AA42F8" w:rsidRPr="009F1782">
      <w:rPr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BD2C91" w:rsidRPr="001E338A" w14:paraId="5545AE68" w14:textId="77777777" w:rsidTr="004E3CF5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2965A32C" w14:textId="77777777" w:rsidR="00BD2C91" w:rsidRPr="00F254D8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F254D8">
            <w:rPr>
              <w:sz w:val="18"/>
              <w:szCs w:val="18"/>
            </w:rPr>
            <w:t>Координатор</w:t>
          </w:r>
          <w:r w:rsidRPr="00F254D8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B31950B" w14:textId="77777777" w:rsidR="00BD2C91" w:rsidRPr="00F254D8" w:rsidRDefault="00BD2C91" w:rsidP="001530FB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782F9A77" w14:textId="72E17C4B" w:rsidR="00BD2C91" w:rsidRPr="001E338A" w:rsidRDefault="004E7A35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1E338A">
            <w:rPr>
              <w:sz w:val="18"/>
              <w:szCs w:val="18"/>
            </w:rPr>
            <w:t>г</w:t>
          </w:r>
          <w:r w:rsidR="001E338A" w:rsidRPr="001E338A">
            <w:rPr>
              <w:sz w:val="18"/>
              <w:szCs w:val="18"/>
            </w:rPr>
            <w:t xml:space="preserve">-жа Дорин Богдан-Мартин-Гарсия </w:t>
          </w:r>
          <w:r w:rsidR="00F254D8" w:rsidRPr="001E338A">
            <w:rPr>
              <w:sz w:val="18"/>
              <w:szCs w:val="18"/>
            </w:rPr>
            <w:t>(</w:t>
          </w:r>
          <w:r w:rsidR="00F254D8" w:rsidRPr="00F254D8">
            <w:rPr>
              <w:sz w:val="18"/>
              <w:szCs w:val="18"/>
              <w:lang w:val="en-US"/>
            </w:rPr>
            <w:t>Ms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  <w:lang w:val="en-US"/>
            </w:rPr>
            <w:t>Doreen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  <w:lang w:val="en-US"/>
            </w:rPr>
            <w:t>Bogdan</w:t>
          </w:r>
          <w:r w:rsidR="00F254D8" w:rsidRPr="001E338A">
            <w:rPr>
              <w:sz w:val="18"/>
              <w:szCs w:val="18"/>
            </w:rPr>
            <w:t>-</w:t>
          </w:r>
          <w:r w:rsidR="00F254D8" w:rsidRPr="00F254D8">
            <w:rPr>
              <w:sz w:val="18"/>
              <w:szCs w:val="18"/>
              <w:lang w:val="en-US"/>
            </w:rPr>
            <w:t>Martin</w:t>
          </w:r>
          <w:r w:rsidR="00F254D8" w:rsidRPr="001E338A">
            <w:rPr>
              <w:sz w:val="18"/>
              <w:szCs w:val="18"/>
            </w:rPr>
            <w:t>-</w:t>
          </w:r>
          <w:r w:rsidR="00F254D8" w:rsidRPr="00F254D8">
            <w:rPr>
              <w:sz w:val="18"/>
              <w:szCs w:val="18"/>
              <w:lang w:val="en-US"/>
            </w:rPr>
            <w:t>Garcia</w:t>
          </w:r>
          <w:r w:rsidR="00F254D8" w:rsidRPr="001E338A">
            <w:rPr>
              <w:sz w:val="18"/>
              <w:szCs w:val="18"/>
            </w:rPr>
            <w:t xml:space="preserve">), </w:t>
          </w:r>
          <w:r w:rsidR="00F254D8" w:rsidRPr="00F254D8">
            <w:rPr>
              <w:sz w:val="18"/>
              <w:szCs w:val="18"/>
            </w:rPr>
            <w:t>Директор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Бюро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развития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электросвязи</w:t>
          </w:r>
        </w:p>
      </w:tc>
    </w:tr>
    <w:tr w:rsidR="00F254D8" w:rsidRPr="004D495C" w14:paraId="3C5D1C47" w14:textId="77777777" w:rsidTr="004E3CF5">
      <w:tc>
        <w:tcPr>
          <w:tcW w:w="1418" w:type="dxa"/>
          <w:shd w:val="clear" w:color="auto" w:fill="auto"/>
        </w:tcPr>
        <w:p w14:paraId="6D40AA43" w14:textId="77777777" w:rsidR="00F254D8" w:rsidRPr="001E338A" w:rsidRDefault="00F254D8" w:rsidP="00F254D8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14:paraId="64D0CE6A" w14:textId="77777777" w:rsidR="00F254D8" w:rsidRPr="00F254D8" w:rsidRDefault="00F254D8" w:rsidP="00F254D8">
          <w:pPr>
            <w:pStyle w:val="FirstFooter"/>
            <w:spacing w:before="40"/>
            <w:rPr>
              <w:sz w:val="18"/>
              <w:szCs w:val="18"/>
            </w:rPr>
          </w:pPr>
          <w:r w:rsidRPr="00F254D8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398B9EEF" w14:textId="63C38E4B" w:rsidR="00F254D8" w:rsidRPr="00F254D8" w:rsidRDefault="00F254D8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  <w:lang w:val="en-US"/>
            </w:rPr>
            <w:t>+41 22 730 5533</w:t>
          </w:r>
        </w:p>
      </w:tc>
    </w:tr>
    <w:tr w:rsidR="00F254D8" w:rsidRPr="004D495C" w14:paraId="37A5B5C2" w14:textId="77777777" w:rsidTr="004E3CF5">
      <w:tc>
        <w:tcPr>
          <w:tcW w:w="1418" w:type="dxa"/>
          <w:shd w:val="clear" w:color="auto" w:fill="auto"/>
        </w:tcPr>
        <w:p w14:paraId="5B12A762" w14:textId="77777777" w:rsidR="00F254D8" w:rsidRPr="00F254D8" w:rsidRDefault="00F254D8" w:rsidP="00F254D8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75AC4166" w14:textId="77777777" w:rsidR="00F254D8" w:rsidRPr="00F254D8" w:rsidRDefault="00F254D8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</w:rPr>
            <w:t>Эл. почта</w:t>
          </w:r>
          <w:r w:rsidRPr="00F254D8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14:paraId="6C55EE59" w14:textId="6036CBF4" w:rsidR="00F254D8" w:rsidRPr="00F254D8" w:rsidRDefault="00D5273F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F254D8" w:rsidRPr="00F254D8">
              <w:rPr>
                <w:rStyle w:val="Hyperlink"/>
                <w:sz w:val="18"/>
                <w:szCs w:val="18"/>
                <w:lang w:val="en-US"/>
              </w:rPr>
              <w:t>bdtdir@itu.int</w:t>
            </w:r>
          </w:hyperlink>
          <w:r w:rsidR="00F254D8" w:rsidRPr="00F254D8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6B3A9CD4" w14:textId="77777777" w:rsidR="00BD2C91" w:rsidRPr="002502FE" w:rsidRDefault="00BD2C91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sz w:val="16"/>
        <w:szCs w:val="16"/>
      </w:rPr>
    </w:pPr>
  </w:p>
  <w:p w14:paraId="429F6A8D" w14:textId="77777777" w:rsidR="00B52E6E" w:rsidRPr="006E4AB3" w:rsidRDefault="00D5273F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2" w:history="1">
      <w:r w:rsidR="004143D5">
        <w:rPr>
          <w:color w:val="0000FF"/>
          <w:sz w:val="18"/>
          <w:szCs w:val="18"/>
          <w:u w:val="single"/>
        </w:rPr>
        <w:t>КГРЭ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EAB5" w14:textId="77777777" w:rsidR="002502FE" w:rsidRDefault="002502FE" w:rsidP="00E54FD2">
      <w:pPr>
        <w:spacing w:before="0"/>
      </w:pPr>
      <w:r>
        <w:separator/>
      </w:r>
    </w:p>
  </w:footnote>
  <w:footnote w:type="continuationSeparator" w:id="0">
    <w:p w14:paraId="174FEE49" w14:textId="77777777" w:rsidR="002502FE" w:rsidRDefault="002502FE" w:rsidP="00E54FD2">
      <w:pPr>
        <w:spacing w:before="0"/>
      </w:pPr>
      <w:r>
        <w:continuationSeparator/>
      </w:r>
    </w:p>
  </w:footnote>
  <w:footnote w:id="1">
    <w:p w14:paraId="3A339F56" w14:textId="578B15F5" w:rsidR="00920C3A" w:rsidRPr="001E338A" w:rsidRDefault="00920C3A" w:rsidP="009E067B">
      <w:pPr>
        <w:pStyle w:val="FootnoteText"/>
        <w:spacing w:after="240"/>
      </w:pPr>
      <w:r w:rsidRPr="00920C3A">
        <w:rPr>
          <w:rStyle w:val="FootnoteReference"/>
        </w:rPr>
        <w:footnoteRef/>
      </w:r>
      <w:r w:rsidRPr="001E338A">
        <w:rPr>
          <w:rStyle w:val="FootnoteReference"/>
        </w:rPr>
        <w:t xml:space="preserve"> </w:t>
      </w:r>
      <w:r w:rsidRPr="001E338A">
        <w:tab/>
      </w:r>
      <w:r w:rsidR="00C25CA1" w:rsidRPr="001E338A">
        <w:rPr>
          <w:szCs w:val="20"/>
        </w:rPr>
        <w:t xml:space="preserve">Веб-сайт </w:t>
      </w:r>
      <w:r w:rsidR="001E338A" w:rsidRPr="001E338A">
        <w:rPr>
          <w:szCs w:val="20"/>
        </w:rPr>
        <w:t>Групп</w:t>
      </w:r>
      <w:r w:rsidR="00C25CA1">
        <w:rPr>
          <w:szCs w:val="20"/>
        </w:rPr>
        <w:t>ы</w:t>
      </w:r>
      <w:r w:rsidR="001E338A" w:rsidRPr="001E338A">
        <w:rPr>
          <w:szCs w:val="20"/>
        </w:rPr>
        <w:t xml:space="preserve"> экспертов по РМЭ</w:t>
      </w:r>
      <w:r w:rsidRPr="001E338A">
        <w:t xml:space="preserve">: </w:t>
      </w:r>
      <w:hyperlink r:id="rId1" w:history="1">
        <w:r w:rsidRPr="009F1782">
          <w:rPr>
            <w:rStyle w:val="Hyperlink"/>
            <w:lang w:val="en-GB"/>
          </w:rPr>
          <w:t>https</w:t>
        </w:r>
        <w:r w:rsidRPr="001E338A">
          <w:rPr>
            <w:rStyle w:val="Hyperlink"/>
          </w:rPr>
          <w:t>://</w:t>
        </w:r>
        <w:r w:rsidRPr="009F1782">
          <w:rPr>
            <w:rStyle w:val="Hyperlink"/>
            <w:lang w:val="en-GB"/>
          </w:rPr>
          <w:t>www</w:t>
        </w:r>
        <w:r w:rsidRPr="001E338A">
          <w:rPr>
            <w:rStyle w:val="Hyperlink"/>
          </w:rPr>
          <w:t>.</w:t>
        </w:r>
        <w:r w:rsidRPr="009F1782">
          <w:rPr>
            <w:rStyle w:val="Hyperlink"/>
            <w:lang w:val="en-GB"/>
          </w:rPr>
          <w:t>itu</w:t>
        </w:r>
        <w:r w:rsidRPr="001E338A">
          <w:rPr>
            <w:rStyle w:val="Hyperlink"/>
          </w:rPr>
          <w:t>.</w:t>
        </w:r>
        <w:r w:rsidRPr="009F1782">
          <w:rPr>
            <w:rStyle w:val="Hyperlink"/>
            <w:lang w:val="en-GB"/>
          </w:rPr>
          <w:t>int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en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council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Pages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eg</w:t>
        </w:r>
        <w:r w:rsidRPr="001E338A">
          <w:rPr>
            <w:rStyle w:val="Hyperlink"/>
          </w:rPr>
          <w:t>-</w:t>
        </w:r>
        <w:r w:rsidRPr="009F1782">
          <w:rPr>
            <w:rStyle w:val="Hyperlink"/>
            <w:lang w:val="en-GB"/>
          </w:rPr>
          <w:t>itrs</w:t>
        </w:r>
        <w:r w:rsidRPr="001E338A">
          <w:rPr>
            <w:rStyle w:val="Hyperlink"/>
          </w:rPr>
          <w:t>.</w:t>
        </w:r>
        <w:r w:rsidRPr="009F1782">
          <w:rPr>
            <w:rStyle w:val="Hyperlink"/>
            <w:lang w:val="en-GB"/>
          </w:rPr>
          <w:t>aspx</w:t>
        </w:r>
      </w:hyperlink>
      <w:r w:rsidRPr="001E338A">
        <w:t>.</w:t>
      </w:r>
    </w:p>
  </w:footnote>
  <w:footnote w:id="2">
    <w:p w14:paraId="0A9C5B6D" w14:textId="7069E31A" w:rsidR="00A65FBB" w:rsidRPr="00A20668" w:rsidRDefault="00A65FBB" w:rsidP="00A65FBB">
      <w:pPr>
        <w:pStyle w:val="FootnoteText"/>
      </w:pPr>
      <w:r w:rsidRPr="00B87C68">
        <w:rPr>
          <w:rStyle w:val="FootnoteReference"/>
        </w:rPr>
        <w:footnoteRef/>
      </w:r>
      <w:r w:rsidRPr="00A20668">
        <w:tab/>
      </w:r>
      <w:r>
        <w:t>Примечание</w:t>
      </w:r>
      <w:r w:rsidRPr="00A20668">
        <w:t xml:space="preserve">. – </w:t>
      </w:r>
      <w:r>
        <w:t>Определение</w:t>
      </w:r>
      <w:r w:rsidRPr="00A20668">
        <w:t xml:space="preserve"> </w:t>
      </w:r>
      <w:r>
        <w:t>новых</w:t>
      </w:r>
      <w:r w:rsidRPr="00A20668">
        <w:t xml:space="preserve"> </w:t>
      </w:r>
      <w:r>
        <w:t>тенденций</w:t>
      </w:r>
      <w:r w:rsidRPr="00A20668">
        <w:t xml:space="preserve"> </w:t>
      </w:r>
      <w:r>
        <w:t>в</w:t>
      </w:r>
      <w:r w:rsidRPr="00A20668">
        <w:t xml:space="preserve"> </w:t>
      </w:r>
      <w:r>
        <w:t>среде</w:t>
      </w:r>
      <w:r w:rsidRPr="00A20668">
        <w:t xml:space="preserve"> </w:t>
      </w:r>
      <w:r>
        <w:t>электросвязи</w:t>
      </w:r>
      <w:r w:rsidRPr="00A20668">
        <w:t>/</w:t>
      </w:r>
      <w:r>
        <w:t>ИКТ</w:t>
      </w:r>
      <w:r w:rsidRPr="00A20668">
        <w:t xml:space="preserve"> </w:t>
      </w:r>
      <w:r>
        <w:t>и</w:t>
      </w:r>
      <w:r w:rsidRPr="00A20668">
        <w:t xml:space="preserve"> </w:t>
      </w:r>
      <w:r>
        <w:t>возникающих</w:t>
      </w:r>
      <w:r w:rsidRPr="00A20668">
        <w:t xml:space="preserve"> </w:t>
      </w:r>
      <w:r>
        <w:t>вопросов</w:t>
      </w:r>
      <w:r w:rsidRPr="00A20668">
        <w:t xml:space="preserve"> </w:t>
      </w:r>
      <w:r>
        <w:t>в</w:t>
      </w:r>
      <w:r w:rsidRPr="00A20668">
        <w:t xml:space="preserve"> </w:t>
      </w:r>
      <w:r>
        <w:t>среде</w:t>
      </w:r>
      <w:r w:rsidRPr="00A20668">
        <w:t xml:space="preserve"> </w:t>
      </w:r>
      <w:r>
        <w:t>международной</w:t>
      </w:r>
      <w:r w:rsidRPr="00A20668">
        <w:t xml:space="preserve"> </w:t>
      </w:r>
      <w:r>
        <w:t>электросвязи</w:t>
      </w:r>
      <w:r w:rsidRPr="00A20668">
        <w:t>/</w:t>
      </w:r>
      <w:r>
        <w:t>ИКТ</w:t>
      </w:r>
      <w:r w:rsidRPr="00A20668">
        <w:t xml:space="preserve"> </w:t>
      </w:r>
      <w:r>
        <w:t xml:space="preserve">будет охвачено в столбце 5 согласованной Таблицы для рассмотрения </w:t>
      </w:r>
      <w:r w:rsidRPr="00A20668">
        <w:t>(</w:t>
      </w:r>
      <w:r>
        <w:t>Гибкость</w:t>
      </w:r>
      <w:r w:rsidRPr="009D276D">
        <w:t xml:space="preserve"> </w:t>
      </w:r>
      <w:r>
        <w:t>для</w:t>
      </w:r>
      <w:r w:rsidRPr="009D276D">
        <w:t xml:space="preserve"> </w:t>
      </w:r>
      <w:r>
        <w:t>учета</w:t>
      </w:r>
      <w:r w:rsidRPr="009D276D">
        <w:t xml:space="preserve"> </w:t>
      </w:r>
      <w:r>
        <w:t>новых</w:t>
      </w:r>
      <w:r w:rsidRPr="009D276D">
        <w:t xml:space="preserve"> </w:t>
      </w:r>
      <w:r>
        <w:t>тенденций</w:t>
      </w:r>
      <w:r w:rsidRPr="009D276D">
        <w:t xml:space="preserve"> </w:t>
      </w:r>
      <w:r>
        <w:t>и</w:t>
      </w:r>
      <w:r w:rsidRPr="009D276D">
        <w:t xml:space="preserve"> </w:t>
      </w:r>
      <w:r>
        <w:t>возникающих</w:t>
      </w:r>
      <w:r w:rsidRPr="009D276D">
        <w:t xml:space="preserve"> </w:t>
      </w:r>
      <w:r>
        <w:t>вопросов</w:t>
      </w:r>
      <w:r w:rsidRPr="00A20668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BA53" w14:textId="261FBBA2" w:rsidR="003A294B" w:rsidRPr="00701E31" w:rsidRDefault="003A294B" w:rsidP="00B2416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2236F8">
      <w:t>TDAG</w:t>
    </w:r>
    <w:r w:rsidR="0040328D" w:rsidRPr="0040328D">
      <w:t>-</w:t>
    </w:r>
    <w:r w:rsidR="002931FA">
      <w:rPr>
        <w:lang w:val="en-US"/>
      </w:rPr>
      <w:t>20</w:t>
    </w:r>
    <w:r w:rsidRPr="00701E31">
      <w:t>/</w:t>
    </w:r>
    <w:r w:rsidR="00F254D8">
      <w:t>9</w:t>
    </w:r>
    <w:r w:rsidRPr="00701E31">
      <w:t>-</w:t>
    </w:r>
    <w:r w:rsidRPr="00D923CD">
      <w:t>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5773D4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404F"/>
    <w:multiLevelType w:val="hybridMultilevel"/>
    <w:tmpl w:val="D38C3EB4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D41CD6"/>
    <w:multiLevelType w:val="hybridMultilevel"/>
    <w:tmpl w:val="FD8C864A"/>
    <w:lvl w:ilvl="0" w:tplc="20105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B50D85"/>
    <w:multiLevelType w:val="hybridMultilevel"/>
    <w:tmpl w:val="13DC5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FE"/>
    <w:rsid w:val="00043A22"/>
    <w:rsid w:val="000746E6"/>
    <w:rsid w:val="00107E03"/>
    <w:rsid w:val="00111662"/>
    <w:rsid w:val="00134D3C"/>
    <w:rsid w:val="001530FB"/>
    <w:rsid w:val="00191479"/>
    <w:rsid w:val="001C6DD3"/>
    <w:rsid w:val="001E338A"/>
    <w:rsid w:val="001E3E78"/>
    <w:rsid w:val="00202D0A"/>
    <w:rsid w:val="002236F8"/>
    <w:rsid w:val="002502FE"/>
    <w:rsid w:val="00257C2C"/>
    <w:rsid w:val="00270876"/>
    <w:rsid w:val="002717CC"/>
    <w:rsid w:val="002931FA"/>
    <w:rsid w:val="00316454"/>
    <w:rsid w:val="00366978"/>
    <w:rsid w:val="003A294B"/>
    <w:rsid w:val="003C6E83"/>
    <w:rsid w:val="003E6E87"/>
    <w:rsid w:val="0040328D"/>
    <w:rsid w:val="004143D5"/>
    <w:rsid w:val="00422053"/>
    <w:rsid w:val="004713B8"/>
    <w:rsid w:val="00492670"/>
    <w:rsid w:val="004E4490"/>
    <w:rsid w:val="004E7A35"/>
    <w:rsid w:val="00574612"/>
    <w:rsid w:val="005773D4"/>
    <w:rsid w:val="00633B53"/>
    <w:rsid w:val="00655923"/>
    <w:rsid w:val="00694764"/>
    <w:rsid w:val="00701E31"/>
    <w:rsid w:val="007E6B3A"/>
    <w:rsid w:val="008112E9"/>
    <w:rsid w:val="00875722"/>
    <w:rsid w:val="008C576E"/>
    <w:rsid w:val="008D680B"/>
    <w:rsid w:val="00916B10"/>
    <w:rsid w:val="00920C3A"/>
    <w:rsid w:val="009C5B8E"/>
    <w:rsid w:val="009C7215"/>
    <w:rsid w:val="009E067B"/>
    <w:rsid w:val="009F1782"/>
    <w:rsid w:val="00A30897"/>
    <w:rsid w:val="00A42D0E"/>
    <w:rsid w:val="00A44602"/>
    <w:rsid w:val="00A64F9D"/>
    <w:rsid w:val="00A65FBB"/>
    <w:rsid w:val="00A67F21"/>
    <w:rsid w:val="00A73D91"/>
    <w:rsid w:val="00A82BCD"/>
    <w:rsid w:val="00AA42F8"/>
    <w:rsid w:val="00AC2E0E"/>
    <w:rsid w:val="00AC6023"/>
    <w:rsid w:val="00AE0BB7"/>
    <w:rsid w:val="00AE1BA7"/>
    <w:rsid w:val="00B222FE"/>
    <w:rsid w:val="00B24169"/>
    <w:rsid w:val="00B44FC2"/>
    <w:rsid w:val="00B52E6E"/>
    <w:rsid w:val="00B543F7"/>
    <w:rsid w:val="00B726C0"/>
    <w:rsid w:val="00B75868"/>
    <w:rsid w:val="00BD2C91"/>
    <w:rsid w:val="00BD7A1A"/>
    <w:rsid w:val="00C25CA1"/>
    <w:rsid w:val="00C62E82"/>
    <w:rsid w:val="00C66A84"/>
    <w:rsid w:val="00C71A6F"/>
    <w:rsid w:val="00C84CCD"/>
    <w:rsid w:val="00CA1D3C"/>
    <w:rsid w:val="00CD1F3E"/>
    <w:rsid w:val="00CD34AE"/>
    <w:rsid w:val="00CE37A1"/>
    <w:rsid w:val="00CE5E7B"/>
    <w:rsid w:val="00CF5E33"/>
    <w:rsid w:val="00D16175"/>
    <w:rsid w:val="00D5273F"/>
    <w:rsid w:val="00D70448"/>
    <w:rsid w:val="00D712FE"/>
    <w:rsid w:val="00D763DB"/>
    <w:rsid w:val="00D923CD"/>
    <w:rsid w:val="00D93FCC"/>
    <w:rsid w:val="00DA4610"/>
    <w:rsid w:val="00DD19E1"/>
    <w:rsid w:val="00DD5D8C"/>
    <w:rsid w:val="00E06A7D"/>
    <w:rsid w:val="00E30170"/>
    <w:rsid w:val="00E54FD2"/>
    <w:rsid w:val="00E6326A"/>
    <w:rsid w:val="00E82D31"/>
    <w:rsid w:val="00E9418A"/>
    <w:rsid w:val="00EB41AE"/>
    <w:rsid w:val="00EE138E"/>
    <w:rsid w:val="00EE153D"/>
    <w:rsid w:val="00F05A1B"/>
    <w:rsid w:val="00F254D8"/>
    <w:rsid w:val="00F72A94"/>
    <w:rsid w:val="00F746B3"/>
    <w:rsid w:val="00F961B7"/>
    <w:rsid w:val="00FA2BC3"/>
    <w:rsid w:val="00FC1008"/>
    <w:rsid w:val="00FC5ABC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920C3A"/>
    <w:pPr>
      <w:spacing w:before="80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qFormat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6326A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326A"/>
    <w:rPr>
      <w:rFonts w:ascii="Calibri" w:eastAsia="Times New Roman" w:hAnsi="Calibri" w:cs="Times New Roman"/>
      <w:sz w:val="20"/>
      <w:lang w:val="ru-RU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254D8"/>
    <w:pPr>
      <w:framePr w:hSpace="180" w:wrap="around" w:vAnchor="page" w:hAnchor="margin" w:y="790"/>
      <w:spacing w:before="48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3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paragraph" w:styleId="ListParagraph">
    <w:name w:val="List Paragraph"/>
    <w:basedOn w:val="Normal"/>
    <w:uiPriority w:val="34"/>
    <w:qFormat/>
    <w:rsid w:val="00920C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hAnsiTheme="minorHAnsi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33"/>
    <w:rPr>
      <w:rFonts w:ascii="Segoe UI" w:eastAsia="Times New Roman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0-EGITR2-200212-DL-0002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19-EGITR1-190916-DL-0004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Pages/eg-itrs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bdtdir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council/Pages/eg-itr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DB38-B49D-4771-9F96-95ABB3B9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27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BDT</cp:lastModifiedBy>
  <cp:revision>7</cp:revision>
  <cp:lastPrinted>2020-02-26T15:42:00Z</cp:lastPrinted>
  <dcterms:created xsi:type="dcterms:W3CDTF">2020-02-26T20:40:00Z</dcterms:created>
  <dcterms:modified xsi:type="dcterms:W3CDTF">2020-03-10T12:36:00Z</dcterms:modified>
</cp:coreProperties>
</file>