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14:paraId="464DFCF9" w14:textId="77777777" w:rsidTr="009E4DA0">
        <w:trPr>
          <w:cantSplit/>
          <w:trHeight w:val="1134"/>
        </w:trPr>
        <w:tc>
          <w:tcPr>
            <w:tcW w:w="6663" w:type="dxa"/>
          </w:tcPr>
          <w:p w14:paraId="1C7C58B0" w14:textId="77777777" w:rsidR="00294D3E" w:rsidRDefault="00294D3E" w:rsidP="00294D3E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Telecommunication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9630604" w14:textId="4AE6EA2B" w:rsidR="00821996" w:rsidRPr="00844A56" w:rsidRDefault="00294D3E" w:rsidP="00294D3E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25th Meeting, Geneva, </w:t>
            </w:r>
            <w:r w:rsidR="00FF5DEC">
              <w:rPr>
                <w:b/>
                <w:bCs/>
                <w:sz w:val="26"/>
                <w:szCs w:val="26"/>
              </w:rPr>
              <w:t>2-5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FF5DEC">
              <w:rPr>
                <w:b/>
                <w:bCs/>
                <w:sz w:val="26"/>
                <w:szCs w:val="26"/>
              </w:rPr>
              <w:t xml:space="preserve">June 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3225" w:type="dxa"/>
          </w:tcPr>
          <w:p w14:paraId="16EABC7E" w14:textId="77777777"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3DD3D1A4" wp14:editId="021E668F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79B88CDF" w14:textId="77777777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38EEB61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38CBB3AC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3AB2A084" w14:textId="77777777" w:rsidTr="00107E85">
        <w:trPr>
          <w:cantSplit/>
        </w:trPr>
        <w:tc>
          <w:tcPr>
            <w:tcW w:w="6663" w:type="dxa"/>
          </w:tcPr>
          <w:p w14:paraId="38013A7A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222D30B7" w14:textId="77777777" w:rsidR="00683C32" w:rsidRPr="007F1CC7" w:rsidRDefault="0096201B" w:rsidP="00614875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1" w:name="DocRef1"/>
            <w:bookmarkEnd w:id="1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20</w:t>
            </w:r>
            <w:r w:rsidRPr="00A54E72">
              <w:rPr>
                <w:b/>
                <w:bCs/>
                <w:lang w:val="en-US"/>
              </w:rPr>
              <w:t>/</w:t>
            </w:r>
            <w:bookmarkStart w:id="2" w:name="DocNo1"/>
            <w:bookmarkEnd w:id="2"/>
            <w:r w:rsidR="00614875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294D3E" w14:paraId="77F1B058" w14:textId="77777777" w:rsidTr="00107E85">
        <w:trPr>
          <w:cantSplit/>
        </w:trPr>
        <w:tc>
          <w:tcPr>
            <w:tcW w:w="6663" w:type="dxa"/>
          </w:tcPr>
          <w:p w14:paraId="71C4BF18" w14:textId="77777777" w:rsidR="00294D3E" w:rsidRPr="007F1CC7" w:rsidRDefault="00294D3E" w:rsidP="00294D3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14:paraId="23E3DF13" w14:textId="77777777" w:rsidR="00294D3E" w:rsidRPr="00C14AAD" w:rsidRDefault="00926E1A" w:rsidP="00294D3E">
            <w:pPr>
              <w:spacing w:before="0" w:line="240" w:lineRule="atLeast"/>
              <w:rPr>
                <w:b/>
                <w:bCs/>
                <w:szCs w:val="24"/>
                <w:lang w:val="fr-FR"/>
              </w:rPr>
            </w:pPr>
            <w:bookmarkStart w:id="3" w:name="CreationDate"/>
            <w:bookmarkEnd w:id="3"/>
            <w:r>
              <w:rPr>
                <w:b/>
                <w:bCs/>
                <w:szCs w:val="28"/>
              </w:rPr>
              <w:t>6</w:t>
            </w:r>
            <w:r w:rsidR="00294D3E">
              <w:rPr>
                <w:b/>
                <w:bCs/>
                <w:szCs w:val="28"/>
              </w:rPr>
              <w:t xml:space="preserve"> February 2020</w:t>
            </w:r>
          </w:p>
        </w:tc>
      </w:tr>
      <w:tr w:rsidR="00294D3E" w14:paraId="4A0B6974" w14:textId="77777777" w:rsidTr="00107E85">
        <w:trPr>
          <w:cantSplit/>
        </w:trPr>
        <w:tc>
          <w:tcPr>
            <w:tcW w:w="6663" w:type="dxa"/>
          </w:tcPr>
          <w:p w14:paraId="0E071503" w14:textId="77777777" w:rsidR="00294D3E" w:rsidRPr="007F1CC7" w:rsidRDefault="00294D3E" w:rsidP="00294D3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40BDBD13" w14:textId="77777777" w:rsidR="00294D3E" w:rsidRPr="00D96B4B" w:rsidRDefault="00294D3E" w:rsidP="00294D3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Original: </w:t>
            </w:r>
            <w:r w:rsidRPr="00B62876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A13162" w14:paraId="58928D0B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32D96208" w14:textId="77777777" w:rsidR="00A13162" w:rsidRPr="0030353C" w:rsidRDefault="0049443D" w:rsidP="0030353C">
            <w:pPr>
              <w:pStyle w:val="Source"/>
            </w:pPr>
            <w:bookmarkStart w:id="4" w:name="Source"/>
            <w:bookmarkEnd w:id="4"/>
            <w:r>
              <w:t>Director, Telecommunication Development Bureau</w:t>
            </w:r>
          </w:p>
        </w:tc>
      </w:tr>
      <w:tr w:rsidR="00AC6F14" w:rsidRPr="002E6963" w14:paraId="093D9B58" w14:textId="77777777" w:rsidTr="00107E85">
        <w:trPr>
          <w:cantSplit/>
        </w:trPr>
        <w:tc>
          <w:tcPr>
            <w:tcW w:w="9888" w:type="dxa"/>
            <w:gridSpan w:val="2"/>
          </w:tcPr>
          <w:p w14:paraId="0939CB6C" w14:textId="77777777" w:rsidR="00AC6F14" w:rsidRPr="0049443D" w:rsidRDefault="0049443D" w:rsidP="0049443D">
            <w:pPr>
              <w:pStyle w:val="Title1"/>
              <w:rPr>
                <w:rFonts w:cs="Times New Roman"/>
                <w:bCs/>
                <w:caps/>
              </w:rPr>
            </w:pPr>
            <w:bookmarkStart w:id="5" w:name="Title"/>
            <w:bookmarkEnd w:id="5"/>
            <w:r w:rsidRPr="0049443D">
              <w:rPr>
                <w:rFonts w:cs="Times New Roman"/>
                <w:bCs/>
                <w:caps/>
              </w:rPr>
              <w:t>Preparations for WTDC-21</w:t>
            </w:r>
          </w:p>
        </w:tc>
      </w:tr>
      <w:tr w:rsidR="00A721F4" w:rsidRPr="002E6963" w14:paraId="2F04BA1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1B7D3FC9" w14:textId="77777777" w:rsidR="00A721F4" w:rsidRPr="00A721F4" w:rsidRDefault="00A721F4" w:rsidP="0030353C"/>
        </w:tc>
      </w:tr>
      <w:tr w:rsidR="00A721F4" w:rsidRPr="002E6963" w14:paraId="22917623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2EB" w14:textId="77777777" w:rsidR="00A721F4" w:rsidRPr="00D9621A" w:rsidRDefault="00A721F4" w:rsidP="00935FF0">
            <w:pPr>
              <w:spacing w:before="24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660E0BEB" w14:textId="77777777" w:rsidR="00A721F4" w:rsidRPr="00D9621A" w:rsidRDefault="0049443D" w:rsidP="00A721F4">
            <w:pPr>
              <w:rPr>
                <w:szCs w:val="24"/>
              </w:rPr>
            </w:pPr>
            <w:r>
              <w:rPr>
                <w:szCs w:val="24"/>
              </w:rPr>
              <w:t>This document covers the preparations so far for the organization of the World Telecommunication Development Conference 2021 (WTDC-21) that is scheduled to take place in Addis Ababa, Ethiopia, from 8 to 19 November 2021.</w:t>
            </w:r>
          </w:p>
          <w:p w14:paraId="43EC1B73" w14:textId="77777777" w:rsidR="00A721F4" w:rsidRPr="00D9621A" w:rsidRDefault="00A721F4" w:rsidP="00A721F4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53E5E5E4" w14:textId="77777777" w:rsidR="00A721F4" w:rsidRPr="00D9621A" w:rsidRDefault="00EB7A86" w:rsidP="00EB7A86">
            <w:pPr>
              <w:rPr>
                <w:szCs w:val="24"/>
              </w:rPr>
            </w:pPr>
            <w:r w:rsidRPr="00EB7A86">
              <w:rPr>
                <w:szCs w:val="24"/>
              </w:rPr>
              <w:t>TDAG is invited to note this document and provide guidance as deemed appropriate.</w:t>
            </w:r>
          </w:p>
          <w:p w14:paraId="35B130DF" w14:textId="77777777" w:rsidR="00A721F4" w:rsidRPr="00D9621A" w:rsidRDefault="00A721F4" w:rsidP="00A721F4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69ACBB11" w14:textId="77777777" w:rsidR="00A721F4" w:rsidRPr="00D9621A" w:rsidRDefault="00FF5DEC" w:rsidP="00DC0484">
            <w:pPr>
              <w:spacing w:after="120"/>
            </w:pPr>
            <w:hyperlink r:id="rId9" w:history="1">
              <w:r w:rsidR="00926E1A" w:rsidRPr="002162A7">
                <w:rPr>
                  <w:rStyle w:val="Hyperlink"/>
                  <w:color w:val="auto"/>
                  <w:u w:val="none"/>
                </w:rPr>
                <w:t>No. 141 of the ITU Constitution</w:t>
              </w:r>
            </w:hyperlink>
            <w:r w:rsidR="00926E1A" w:rsidRPr="002162A7">
              <w:t xml:space="preserve">, </w:t>
            </w:r>
            <w:hyperlink r:id="rId10" w:history="1">
              <w:r w:rsidR="00926E1A" w:rsidRPr="002162A7">
                <w:rPr>
                  <w:rStyle w:val="Hyperlink"/>
                  <w:color w:val="auto"/>
                  <w:u w:val="none"/>
                </w:rPr>
                <w:t>Nos. 42, 213 of the ITU Convention, Chapter I of the General Rules of Conferences, Assemblies and Meetings of the Union,</w:t>
              </w:r>
            </w:hyperlink>
            <w:r w:rsidR="00926E1A" w:rsidRPr="002162A7">
              <w:t xml:space="preserve"> </w:t>
            </w:r>
            <w:hyperlink r:id="rId11" w:history="1">
              <w:r w:rsidR="00926E1A" w:rsidRPr="009D2355">
                <w:rPr>
                  <w:rStyle w:val="Hyperlink"/>
                  <w:color w:val="auto"/>
                  <w:u w:val="none"/>
                </w:rPr>
                <w:t>PP Resolutions 77</w:t>
              </w:r>
              <w:r w:rsidR="009D2355" w:rsidRPr="009D2355">
                <w:rPr>
                  <w:rStyle w:val="Hyperlink"/>
                  <w:color w:val="auto"/>
                  <w:u w:val="none"/>
                </w:rPr>
                <w:t xml:space="preserve"> (Rev. Dubai, 201</w:t>
              </w:r>
              <w:r w:rsidR="00DC0484">
                <w:rPr>
                  <w:rStyle w:val="Hyperlink"/>
                  <w:color w:val="auto"/>
                  <w:u w:val="none"/>
                </w:rPr>
                <w:t>8</w:t>
              </w:r>
              <w:r w:rsidR="009D2355" w:rsidRPr="009D2355">
                <w:rPr>
                  <w:rStyle w:val="Hyperlink"/>
                  <w:color w:val="auto"/>
                  <w:u w:val="none"/>
                </w:rPr>
                <w:t>)</w:t>
              </w:r>
              <w:r w:rsidR="00926E1A" w:rsidRPr="009D2355">
                <w:rPr>
                  <w:rStyle w:val="Hyperlink"/>
                  <w:color w:val="auto"/>
                  <w:u w:val="none"/>
                </w:rPr>
                <w:t xml:space="preserve">, </w:t>
              </w:r>
              <w:r w:rsidR="00985F7C">
                <w:rPr>
                  <w:rStyle w:val="Hyperlink"/>
                  <w:color w:val="auto"/>
                  <w:u w:val="none"/>
                </w:rPr>
                <w:br/>
              </w:r>
              <w:r w:rsidR="00926E1A" w:rsidRPr="009D2355">
                <w:rPr>
                  <w:rStyle w:val="Hyperlink"/>
                  <w:color w:val="auto"/>
                  <w:u w:val="none"/>
                </w:rPr>
                <w:t>1</w:t>
              </w:r>
              <w:r w:rsidR="00926E1A" w:rsidRPr="002162A7">
                <w:rPr>
                  <w:rStyle w:val="Hyperlink"/>
                  <w:color w:val="auto"/>
                  <w:u w:val="none"/>
                </w:rPr>
                <w:t>11</w:t>
              </w:r>
              <w:r w:rsidR="009D2355">
                <w:rPr>
                  <w:rStyle w:val="Hyperlink"/>
                  <w:color w:val="auto"/>
                  <w:u w:val="none"/>
                </w:rPr>
                <w:t xml:space="preserve"> (Rev. Busan, 2014)</w:t>
              </w:r>
              <w:r w:rsidR="00926E1A" w:rsidRPr="002162A7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="00926E1A" w:rsidRPr="002162A7">
              <w:t xml:space="preserve"> and </w:t>
            </w:r>
            <w:hyperlink r:id="rId12" w:history="1">
              <w:r w:rsidR="00926E1A" w:rsidRPr="002162A7">
                <w:rPr>
                  <w:rStyle w:val="Hyperlink"/>
                  <w:color w:val="auto"/>
                  <w:u w:val="none"/>
                </w:rPr>
                <w:t>WTDC Resolution 31 (</w:t>
              </w:r>
              <w:r w:rsidR="00D678B9" w:rsidRPr="00D678B9">
                <w:rPr>
                  <w:szCs w:val="24"/>
                </w:rPr>
                <w:t>Rev. Buenos Aires, 2017</w:t>
              </w:r>
              <w:r w:rsidR="00D678B9" w:rsidRPr="004812B7">
                <w:rPr>
                  <w:szCs w:val="24"/>
                </w:rPr>
                <w:t>)</w:t>
              </w:r>
            </w:hyperlink>
            <w:r w:rsidR="00926E1A">
              <w:rPr>
                <w:rStyle w:val="Hyperlink"/>
                <w:color w:val="auto"/>
                <w:u w:val="none"/>
              </w:rPr>
              <w:t>.</w:t>
            </w:r>
          </w:p>
        </w:tc>
      </w:tr>
    </w:tbl>
    <w:p w14:paraId="416DD2F7" w14:textId="77777777" w:rsidR="00926E1A" w:rsidRPr="00BB1C1B" w:rsidRDefault="00926E1A" w:rsidP="00926E1A">
      <w:pPr>
        <w:pStyle w:val="Heading1"/>
        <w:keepLines w:val="0"/>
        <w:numPr>
          <w:ilvl w:val="0"/>
          <w:numId w:val="4"/>
        </w:numPr>
        <w:tabs>
          <w:tab w:val="clear" w:pos="794"/>
          <w:tab w:val="left" w:pos="851"/>
        </w:tabs>
        <w:snapToGrid w:val="0"/>
        <w:spacing w:before="240" w:after="120"/>
        <w:ind w:left="851" w:hanging="851"/>
        <w:rPr>
          <w:sz w:val="24"/>
          <w:szCs w:val="24"/>
        </w:rPr>
      </w:pPr>
      <w:r w:rsidRPr="00BB1C1B">
        <w:rPr>
          <w:sz w:val="24"/>
          <w:szCs w:val="24"/>
        </w:rPr>
        <w:t>Background</w:t>
      </w:r>
    </w:p>
    <w:p w14:paraId="2D4314B0" w14:textId="77777777" w:rsidR="00926E1A" w:rsidRPr="004812B7" w:rsidRDefault="00926E1A" w:rsidP="00926E1A">
      <w:pPr>
        <w:pStyle w:val="CEOMainDocParagraph"/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0" w:firstLine="0"/>
        <w:rPr>
          <w:sz w:val="24"/>
          <w:szCs w:val="24"/>
        </w:rPr>
      </w:pPr>
      <w:r w:rsidRPr="004812B7">
        <w:rPr>
          <w:sz w:val="24"/>
          <w:szCs w:val="24"/>
        </w:rPr>
        <w:t>No. 141 of the ITU Constitution stipulates that there shall be a World Telecommunication Development Conference (WTDC) between two Plenipotentiary Conferences.</w:t>
      </w:r>
    </w:p>
    <w:p w14:paraId="017D7E4E" w14:textId="77777777" w:rsidR="00926E1A" w:rsidRPr="004812B7" w:rsidRDefault="00926E1A" w:rsidP="00E407D1">
      <w:pPr>
        <w:pStyle w:val="CEOMainDocParagraph"/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0" w:firstLine="0"/>
        <w:rPr>
          <w:sz w:val="24"/>
          <w:szCs w:val="24"/>
        </w:rPr>
      </w:pPr>
      <w:r w:rsidRPr="004812B7">
        <w:rPr>
          <w:sz w:val="24"/>
          <w:szCs w:val="24"/>
        </w:rPr>
        <w:t xml:space="preserve">Resolution 77 (Rev. </w:t>
      </w:r>
      <w:r w:rsidR="00E407D1">
        <w:rPr>
          <w:sz w:val="24"/>
          <w:szCs w:val="24"/>
        </w:rPr>
        <w:t>Dubai, 201</w:t>
      </w:r>
      <w:r w:rsidR="00DC0484">
        <w:rPr>
          <w:sz w:val="24"/>
          <w:szCs w:val="24"/>
        </w:rPr>
        <w:t>8</w:t>
      </w:r>
      <w:r w:rsidRPr="004812B7">
        <w:rPr>
          <w:sz w:val="24"/>
          <w:szCs w:val="24"/>
        </w:rPr>
        <w:t xml:space="preserve">) resolves to hold the WTDC in </w:t>
      </w:r>
      <w:r w:rsidR="00E407D1">
        <w:rPr>
          <w:sz w:val="24"/>
          <w:szCs w:val="24"/>
        </w:rPr>
        <w:t>the last quarter of 2021</w:t>
      </w:r>
      <w:r w:rsidRPr="004812B7">
        <w:rPr>
          <w:sz w:val="24"/>
          <w:szCs w:val="24"/>
        </w:rPr>
        <w:t xml:space="preserve">. </w:t>
      </w:r>
    </w:p>
    <w:p w14:paraId="46632C0F" w14:textId="77777777" w:rsidR="00926E1A" w:rsidRPr="004812B7" w:rsidRDefault="00926E1A" w:rsidP="00D678B9">
      <w:pPr>
        <w:pStyle w:val="CEOMainDocParagraph"/>
        <w:numPr>
          <w:ilvl w:val="1"/>
          <w:numId w:val="3"/>
        </w:numPr>
        <w:tabs>
          <w:tab w:val="left" w:pos="851"/>
        </w:tabs>
        <w:snapToGrid w:val="0"/>
        <w:spacing w:after="0" w:line="240" w:lineRule="auto"/>
        <w:ind w:left="0" w:firstLine="0"/>
        <w:rPr>
          <w:iCs/>
          <w:snapToGrid w:val="0"/>
          <w:sz w:val="24"/>
          <w:szCs w:val="24"/>
          <w:lang w:eastAsia="fr-FR"/>
        </w:rPr>
      </w:pPr>
      <w:r>
        <w:rPr>
          <w:sz w:val="24"/>
          <w:szCs w:val="24"/>
        </w:rPr>
        <w:t xml:space="preserve">WTDC </w:t>
      </w:r>
      <w:r w:rsidRPr="004812B7">
        <w:rPr>
          <w:sz w:val="24"/>
          <w:szCs w:val="24"/>
        </w:rPr>
        <w:t xml:space="preserve">Resolution </w:t>
      </w:r>
      <w:r w:rsidRPr="00D678B9">
        <w:rPr>
          <w:sz w:val="24"/>
          <w:szCs w:val="24"/>
        </w:rPr>
        <w:t xml:space="preserve">31 (Rev. </w:t>
      </w:r>
      <w:r w:rsidR="00D678B9" w:rsidRPr="00D678B9">
        <w:rPr>
          <w:sz w:val="24"/>
          <w:szCs w:val="24"/>
        </w:rPr>
        <w:t>Buenos Aires, 2017</w:t>
      </w:r>
      <w:r w:rsidRPr="004812B7">
        <w:rPr>
          <w:sz w:val="24"/>
          <w:szCs w:val="24"/>
        </w:rPr>
        <w:t>)</w:t>
      </w:r>
      <w:r w:rsidRPr="004812B7">
        <w:rPr>
          <w:iCs/>
          <w:snapToGrid w:val="0"/>
          <w:sz w:val="24"/>
          <w:szCs w:val="24"/>
          <w:lang w:eastAsia="fr-FR"/>
        </w:rPr>
        <w:t xml:space="preserve"> expresses the firm conviction</w:t>
      </w:r>
      <w:r w:rsidRPr="004812B7">
        <w:rPr>
          <w:i/>
          <w:snapToGrid w:val="0"/>
          <w:sz w:val="24"/>
          <w:szCs w:val="24"/>
          <w:lang w:eastAsia="fr-FR"/>
        </w:rPr>
        <w:t xml:space="preserve"> </w:t>
      </w:r>
      <w:r w:rsidRPr="004812B7">
        <w:rPr>
          <w:snapToGrid w:val="0"/>
          <w:sz w:val="24"/>
          <w:szCs w:val="24"/>
          <w:lang w:eastAsia="fr-FR"/>
        </w:rPr>
        <w:t>that the coordination of preparations at regional level for the six regions of the ITU Telecommunication Development Sector (ITU-D) are of great benefit to Member States.</w:t>
      </w:r>
    </w:p>
    <w:p w14:paraId="659E1E5B" w14:textId="77777777" w:rsidR="00926E1A" w:rsidRPr="004812B7" w:rsidRDefault="00926E1A" w:rsidP="00443A2C">
      <w:pPr>
        <w:pStyle w:val="Heading1"/>
        <w:keepLines w:val="0"/>
        <w:numPr>
          <w:ilvl w:val="0"/>
          <w:numId w:val="4"/>
        </w:numPr>
        <w:tabs>
          <w:tab w:val="clear" w:pos="794"/>
          <w:tab w:val="left" w:pos="851"/>
        </w:tabs>
        <w:snapToGrid w:val="0"/>
        <w:spacing w:before="120" w:after="120"/>
        <w:ind w:left="851" w:hanging="851"/>
        <w:rPr>
          <w:sz w:val="24"/>
          <w:szCs w:val="24"/>
        </w:rPr>
      </w:pPr>
      <w:bookmarkStart w:id="6" w:name="OLE_LINK5"/>
      <w:bookmarkStart w:id="7" w:name="OLE_LINK6"/>
      <w:r w:rsidRPr="004812B7">
        <w:rPr>
          <w:sz w:val="24"/>
          <w:szCs w:val="24"/>
        </w:rPr>
        <w:t xml:space="preserve">Place, duration, dates, </w:t>
      </w:r>
      <w:r w:rsidR="00E407D1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venue </w:t>
      </w:r>
      <w:r w:rsidRPr="004812B7">
        <w:rPr>
          <w:sz w:val="24"/>
          <w:szCs w:val="24"/>
        </w:rPr>
        <w:t>for WTDC-</w:t>
      </w:r>
      <w:r w:rsidR="00E407D1">
        <w:rPr>
          <w:sz w:val="24"/>
          <w:szCs w:val="24"/>
        </w:rPr>
        <w:t>21</w:t>
      </w:r>
    </w:p>
    <w:p w14:paraId="7DFF655E" w14:textId="77777777" w:rsidR="00926E1A" w:rsidRPr="00A457F7" w:rsidRDefault="00926E1A" w:rsidP="009D2355">
      <w:pPr>
        <w:pStyle w:val="CEOMainDocParagraph"/>
        <w:numPr>
          <w:ilvl w:val="1"/>
          <w:numId w:val="2"/>
        </w:numPr>
        <w:tabs>
          <w:tab w:val="clear" w:pos="937"/>
          <w:tab w:val="left" w:pos="851"/>
        </w:tabs>
        <w:snapToGrid w:val="0"/>
        <w:ind w:left="0" w:firstLine="0"/>
        <w:rPr>
          <w:sz w:val="24"/>
          <w:szCs w:val="24"/>
        </w:rPr>
      </w:pPr>
      <w:r w:rsidRPr="00A457F7">
        <w:rPr>
          <w:sz w:val="24"/>
          <w:szCs w:val="24"/>
        </w:rPr>
        <w:t>At its 201</w:t>
      </w:r>
      <w:r w:rsidR="009D2355">
        <w:rPr>
          <w:sz w:val="24"/>
          <w:szCs w:val="24"/>
        </w:rPr>
        <w:t>9</w:t>
      </w:r>
      <w:r w:rsidRPr="00A457F7">
        <w:rPr>
          <w:sz w:val="24"/>
          <w:szCs w:val="24"/>
        </w:rPr>
        <w:t xml:space="preserve"> session, the ITU Council noted with appreciation the official invitation from the Government of </w:t>
      </w:r>
      <w:r w:rsidR="009D2355">
        <w:rPr>
          <w:sz w:val="24"/>
          <w:szCs w:val="24"/>
        </w:rPr>
        <w:t>Ethiopia</w:t>
      </w:r>
      <w:r w:rsidRPr="00A457F7">
        <w:rPr>
          <w:sz w:val="24"/>
          <w:szCs w:val="24"/>
        </w:rPr>
        <w:t xml:space="preserve"> to host WTDC</w:t>
      </w:r>
      <w:r w:rsidRPr="00A457F7">
        <w:rPr>
          <w:sz w:val="24"/>
          <w:szCs w:val="24"/>
        </w:rPr>
        <w:noBreakHyphen/>
      </w:r>
      <w:r w:rsidR="00E50CD6">
        <w:rPr>
          <w:sz w:val="24"/>
          <w:szCs w:val="24"/>
        </w:rPr>
        <w:t>21</w:t>
      </w:r>
      <w:r w:rsidRPr="00A457F7">
        <w:rPr>
          <w:sz w:val="24"/>
          <w:szCs w:val="24"/>
        </w:rPr>
        <w:t xml:space="preserve"> in </w:t>
      </w:r>
      <w:r w:rsidR="009D2355">
        <w:rPr>
          <w:sz w:val="24"/>
          <w:szCs w:val="24"/>
        </w:rPr>
        <w:t>Addis Ababa</w:t>
      </w:r>
      <w:r w:rsidRPr="00A457F7">
        <w:rPr>
          <w:sz w:val="24"/>
          <w:szCs w:val="24"/>
        </w:rPr>
        <w:t xml:space="preserve"> from </w:t>
      </w:r>
      <w:r w:rsidR="009D2355">
        <w:rPr>
          <w:sz w:val="24"/>
          <w:szCs w:val="24"/>
        </w:rPr>
        <w:t>8</w:t>
      </w:r>
      <w:r w:rsidRPr="00A457F7">
        <w:rPr>
          <w:sz w:val="24"/>
          <w:szCs w:val="24"/>
        </w:rPr>
        <w:t xml:space="preserve"> to </w:t>
      </w:r>
      <w:r w:rsidR="009D2355">
        <w:rPr>
          <w:sz w:val="24"/>
          <w:szCs w:val="24"/>
        </w:rPr>
        <w:t>19</w:t>
      </w:r>
      <w:r w:rsidRPr="00A457F7">
        <w:rPr>
          <w:sz w:val="24"/>
          <w:szCs w:val="24"/>
        </w:rPr>
        <w:t xml:space="preserve"> </w:t>
      </w:r>
      <w:r w:rsidR="009D2355">
        <w:rPr>
          <w:sz w:val="24"/>
          <w:szCs w:val="24"/>
        </w:rPr>
        <w:t xml:space="preserve">November 2021 </w:t>
      </w:r>
      <w:r w:rsidRPr="00A457F7">
        <w:rPr>
          <w:sz w:val="24"/>
          <w:szCs w:val="24"/>
        </w:rPr>
        <w:t>and approved the precise place and exact dates.</w:t>
      </w:r>
    </w:p>
    <w:p w14:paraId="49E0BEF5" w14:textId="77777777" w:rsidR="00926E1A" w:rsidRPr="00A457F7" w:rsidRDefault="00926E1A" w:rsidP="00D60671">
      <w:pPr>
        <w:pStyle w:val="CEOMainDocParagraph"/>
        <w:numPr>
          <w:ilvl w:val="1"/>
          <w:numId w:val="2"/>
        </w:numPr>
        <w:tabs>
          <w:tab w:val="clear" w:pos="937"/>
          <w:tab w:val="left" w:pos="851"/>
        </w:tabs>
        <w:snapToGrid w:val="0"/>
        <w:ind w:left="0" w:firstLine="0"/>
        <w:rPr>
          <w:sz w:val="24"/>
          <w:szCs w:val="24"/>
        </w:rPr>
      </w:pPr>
      <w:r w:rsidRPr="00A457F7">
        <w:rPr>
          <w:sz w:val="24"/>
          <w:szCs w:val="24"/>
          <w:lang w:val="en"/>
        </w:rPr>
        <w:t xml:space="preserve">By </w:t>
      </w:r>
      <w:hyperlink r:id="rId13" w:history="1">
        <w:r w:rsidRPr="00D60671">
          <w:rPr>
            <w:rStyle w:val="Hyperlink"/>
            <w:sz w:val="24"/>
            <w:szCs w:val="24"/>
            <w:lang w:val="en"/>
          </w:rPr>
          <w:t>Circular Letter No. 1</w:t>
        </w:r>
        <w:r w:rsidR="009D2355" w:rsidRPr="00D60671">
          <w:rPr>
            <w:rStyle w:val="Hyperlink"/>
            <w:sz w:val="24"/>
            <w:szCs w:val="24"/>
            <w:lang w:val="en"/>
          </w:rPr>
          <w:t>9</w:t>
        </w:r>
        <w:r w:rsidRPr="00D60671">
          <w:rPr>
            <w:rStyle w:val="Hyperlink"/>
            <w:sz w:val="24"/>
            <w:szCs w:val="24"/>
            <w:lang w:val="en"/>
          </w:rPr>
          <w:t>/</w:t>
        </w:r>
        <w:r w:rsidR="00D60671" w:rsidRPr="00D60671">
          <w:rPr>
            <w:rStyle w:val="Hyperlink"/>
            <w:sz w:val="24"/>
            <w:szCs w:val="24"/>
            <w:lang w:val="en"/>
          </w:rPr>
          <w:t>33</w:t>
        </w:r>
      </w:hyperlink>
      <w:r w:rsidR="009D2355">
        <w:rPr>
          <w:rStyle w:val="Hyperlink"/>
          <w:color w:val="auto"/>
          <w:sz w:val="24"/>
          <w:szCs w:val="24"/>
          <w:u w:val="none"/>
          <w:lang w:val="en"/>
        </w:rPr>
        <w:t xml:space="preserve"> </w:t>
      </w:r>
      <w:r w:rsidRPr="00A457F7">
        <w:rPr>
          <w:sz w:val="24"/>
          <w:szCs w:val="24"/>
          <w:lang w:val="en"/>
        </w:rPr>
        <w:t xml:space="preserve">of </w:t>
      </w:r>
      <w:r w:rsidR="00D60671" w:rsidRPr="00D60671">
        <w:rPr>
          <w:sz w:val="24"/>
          <w:szCs w:val="24"/>
          <w:lang w:val="en"/>
        </w:rPr>
        <w:t xml:space="preserve">22 July </w:t>
      </w:r>
      <w:r w:rsidR="009D2355" w:rsidRPr="00D60671">
        <w:rPr>
          <w:sz w:val="24"/>
          <w:szCs w:val="24"/>
          <w:lang w:val="en"/>
        </w:rPr>
        <w:t>2019</w:t>
      </w:r>
      <w:r w:rsidRPr="00A457F7">
        <w:rPr>
          <w:sz w:val="24"/>
          <w:szCs w:val="24"/>
          <w:lang w:val="en"/>
        </w:rPr>
        <w:t>, ITU Member States were invited to confirm, in writing, their agreement with the precise place</w:t>
      </w:r>
      <w:r w:rsidR="009D2355">
        <w:rPr>
          <w:sz w:val="24"/>
          <w:szCs w:val="24"/>
          <w:lang w:val="en"/>
        </w:rPr>
        <w:t xml:space="preserve"> and</w:t>
      </w:r>
      <w:r w:rsidRPr="00A457F7">
        <w:rPr>
          <w:sz w:val="24"/>
          <w:szCs w:val="24"/>
          <w:lang w:val="en"/>
        </w:rPr>
        <w:t xml:space="preserve"> exact dates of WTDC-</w:t>
      </w:r>
      <w:r w:rsidR="009D2355">
        <w:rPr>
          <w:sz w:val="24"/>
          <w:szCs w:val="24"/>
          <w:lang w:val="en"/>
        </w:rPr>
        <w:t>21</w:t>
      </w:r>
      <w:r w:rsidRPr="00A457F7">
        <w:rPr>
          <w:sz w:val="24"/>
          <w:szCs w:val="24"/>
          <w:lang w:val="en"/>
        </w:rPr>
        <w:t xml:space="preserve"> </w:t>
      </w:r>
      <w:r w:rsidRPr="00A457F7">
        <w:rPr>
          <w:rFonts w:cs="Arial"/>
          <w:sz w:val="24"/>
          <w:szCs w:val="24"/>
        </w:rPr>
        <w:t xml:space="preserve">by </w:t>
      </w:r>
      <w:r w:rsidR="00D60671">
        <w:rPr>
          <w:rFonts w:cs="Calibri"/>
          <w:sz w:val="24"/>
          <w:szCs w:val="24"/>
        </w:rPr>
        <w:t>30 September 2019</w:t>
      </w:r>
      <w:r w:rsidRPr="00A457F7">
        <w:rPr>
          <w:rFonts w:cs="Calibri"/>
          <w:sz w:val="24"/>
          <w:szCs w:val="24"/>
        </w:rPr>
        <w:t xml:space="preserve">. </w:t>
      </w:r>
    </w:p>
    <w:p w14:paraId="4E0AA7ED" w14:textId="77777777" w:rsidR="00926E1A" w:rsidRPr="009D2355" w:rsidRDefault="00926E1A" w:rsidP="00D60671">
      <w:pPr>
        <w:pStyle w:val="CEOMainDocParagraph"/>
        <w:numPr>
          <w:ilvl w:val="1"/>
          <w:numId w:val="2"/>
        </w:numPr>
        <w:tabs>
          <w:tab w:val="clear" w:pos="937"/>
          <w:tab w:val="left" w:pos="851"/>
        </w:tabs>
        <w:snapToGrid w:val="0"/>
        <w:ind w:left="0" w:firstLine="0"/>
        <w:rPr>
          <w:sz w:val="24"/>
          <w:szCs w:val="24"/>
        </w:rPr>
      </w:pPr>
      <w:r w:rsidRPr="00A457F7">
        <w:rPr>
          <w:rFonts w:cstheme="minorHAnsi"/>
          <w:sz w:val="24"/>
          <w:szCs w:val="24"/>
        </w:rPr>
        <w:lastRenderedPageBreak/>
        <w:t xml:space="preserve">By </w:t>
      </w:r>
      <w:hyperlink r:id="rId14" w:history="1">
        <w:r w:rsidR="009D2355" w:rsidRPr="00D60671">
          <w:rPr>
            <w:rStyle w:val="Hyperlink"/>
            <w:sz w:val="24"/>
            <w:szCs w:val="24"/>
            <w:lang w:val="en"/>
          </w:rPr>
          <w:t>Circular Letter No. 19/</w:t>
        </w:r>
        <w:r w:rsidR="00D60671" w:rsidRPr="00D60671">
          <w:rPr>
            <w:rStyle w:val="Hyperlink"/>
            <w:sz w:val="24"/>
            <w:szCs w:val="24"/>
            <w:lang w:val="en"/>
          </w:rPr>
          <w:t>45</w:t>
        </w:r>
      </w:hyperlink>
      <w:r w:rsidR="009D2355">
        <w:rPr>
          <w:rStyle w:val="Hyperlink"/>
          <w:color w:val="auto"/>
          <w:sz w:val="24"/>
          <w:szCs w:val="24"/>
          <w:u w:val="none"/>
          <w:lang w:val="en"/>
        </w:rPr>
        <w:t xml:space="preserve"> </w:t>
      </w:r>
      <w:r w:rsidR="009D2355" w:rsidRPr="00A457F7">
        <w:rPr>
          <w:sz w:val="24"/>
          <w:szCs w:val="24"/>
          <w:lang w:val="en"/>
        </w:rPr>
        <w:t>of</w:t>
      </w:r>
      <w:r w:rsidR="00D60671">
        <w:rPr>
          <w:sz w:val="24"/>
          <w:szCs w:val="24"/>
          <w:lang w:val="en"/>
        </w:rPr>
        <w:t xml:space="preserve"> 3 October 2019</w:t>
      </w:r>
      <w:r w:rsidRPr="00A457F7">
        <w:rPr>
          <w:rFonts w:cstheme="minorHAnsi"/>
          <w:sz w:val="24"/>
          <w:szCs w:val="24"/>
        </w:rPr>
        <w:t>,</w:t>
      </w:r>
      <w:r w:rsidRPr="00A457F7">
        <w:rPr>
          <w:rFonts w:cs="Calibri"/>
          <w:sz w:val="24"/>
          <w:szCs w:val="24"/>
        </w:rPr>
        <w:t xml:space="preserve"> ITU Member States were informed that the consultation carried out as outlined above had received the agreement of the required majority of ITU Member States, in accordance with Nos.</w:t>
      </w:r>
      <w:r>
        <w:rPr>
          <w:rFonts w:cs="Calibri"/>
          <w:sz w:val="24"/>
          <w:szCs w:val="24"/>
        </w:rPr>
        <w:t xml:space="preserve"> </w:t>
      </w:r>
      <w:r w:rsidRPr="00A457F7">
        <w:rPr>
          <w:rFonts w:cs="Calibri"/>
          <w:sz w:val="24"/>
          <w:szCs w:val="24"/>
        </w:rPr>
        <w:t xml:space="preserve">42 and 213 of the ITU Convention. </w:t>
      </w:r>
    </w:p>
    <w:p w14:paraId="09D910A8" w14:textId="77777777" w:rsidR="009D2355" w:rsidRPr="00A457F7" w:rsidRDefault="009D2355" w:rsidP="009D2355">
      <w:pPr>
        <w:pStyle w:val="CEOMainDocParagraph"/>
        <w:numPr>
          <w:ilvl w:val="1"/>
          <w:numId w:val="2"/>
        </w:numPr>
        <w:tabs>
          <w:tab w:val="clear" w:pos="937"/>
          <w:tab w:val="left" w:pos="851"/>
        </w:tabs>
        <w:snapToGrid w:val="0"/>
        <w:ind w:left="0" w:firstLine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It is envisaged that a Youth Summit will be held on 6 and 7 November 2021, just prior to WTDC-21, also </w:t>
      </w:r>
      <w:r w:rsidR="006278C7">
        <w:rPr>
          <w:rFonts w:cs="Calibri"/>
          <w:sz w:val="24"/>
          <w:szCs w:val="24"/>
        </w:rPr>
        <w:t>in Addis Ababa.</w:t>
      </w:r>
    </w:p>
    <w:p w14:paraId="6760C389" w14:textId="77777777" w:rsidR="009D2355" w:rsidRPr="006278C7" w:rsidRDefault="009D2355" w:rsidP="006278C7">
      <w:pPr>
        <w:numPr>
          <w:ilvl w:val="1"/>
          <w:numId w:val="2"/>
        </w:numPr>
        <w:tabs>
          <w:tab w:val="clear" w:pos="794"/>
          <w:tab w:val="clear" w:pos="937"/>
          <w:tab w:val="clear" w:pos="1191"/>
          <w:tab w:val="clear" w:pos="1588"/>
          <w:tab w:val="clear" w:pos="1985"/>
        </w:tabs>
        <w:snapToGrid w:val="0"/>
        <w:spacing w:after="120"/>
        <w:ind w:left="0" w:firstLine="0"/>
        <w:jc w:val="both"/>
        <w:rPr>
          <w:rFonts w:eastAsia="SimSun"/>
          <w:szCs w:val="24"/>
          <w:lang w:val="en-US"/>
        </w:rPr>
      </w:pPr>
      <w:r>
        <w:rPr>
          <w:rFonts w:eastAsia="SimSun" w:cstheme="minorHAnsi"/>
          <w:bCs/>
          <w:szCs w:val="24"/>
          <w:lang w:val="en-US"/>
        </w:rPr>
        <w:t xml:space="preserve">A first site visit took place from 30 September to 3 October 2019 by an ITU team to visit potential venues to hold the </w:t>
      </w:r>
      <w:r w:rsidR="006278C7">
        <w:rPr>
          <w:rFonts w:eastAsia="SimSun" w:cstheme="minorHAnsi"/>
          <w:bCs/>
          <w:szCs w:val="24"/>
          <w:lang w:val="en-US"/>
        </w:rPr>
        <w:t>events, and to visit the potential hotels where participants and ITU staff will be staying.</w:t>
      </w:r>
    </w:p>
    <w:p w14:paraId="063A5C0E" w14:textId="77777777" w:rsidR="006278C7" w:rsidRPr="009D2355" w:rsidRDefault="006278C7" w:rsidP="006278C7">
      <w:pPr>
        <w:numPr>
          <w:ilvl w:val="1"/>
          <w:numId w:val="2"/>
        </w:numPr>
        <w:tabs>
          <w:tab w:val="clear" w:pos="794"/>
          <w:tab w:val="clear" w:pos="937"/>
          <w:tab w:val="clear" w:pos="1191"/>
          <w:tab w:val="clear" w:pos="1588"/>
          <w:tab w:val="clear" w:pos="1985"/>
        </w:tabs>
        <w:snapToGrid w:val="0"/>
        <w:spacing w:after="120"/>
        <w:ind w:left="0" w:firstLine="0"/>
        <w:jc w:val="both"/>
        <w:rPr>
          <w:rFonts w:eastAsia="SimSun"/>
          <w:szCs w:val="24"/>
          <w:lang w:val="en-US"/>
        </w:rPr>
      </w:pPr>
      <w:r>
        <w:t>Negotiations between Ethiopia and ITU relating to the holding, organizing and financing of WTDC-21 and of the Youth Summit are now under way.</w:t>
      </w:r>
      <w:r>
        <w:rPr>
          <w:rFonts w:eastAsia="SimSun" w:cstheme="minorHAnsi"/>
          <w:bCs/>
          <w:szCs w:val="24"/>
          <w:lang w:val="en-US"/>
        </w:rPr>
        <w:t xml:space="preserve"> </w:t>
      </w:r>
    </w:p>
    <w:p w14:paraId="07EA2D2D" w14:textId="77777777" w:rsidR="00821996" w:rsidRDefault="003C58BF" w:rsidP="000B1C0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8" w:name="Proposal"/>
      <w:bookmarkEnd w:id="6"/>
      <w:bookmarkEnd w:id="7"/>
      <w:bookmarkEnd w:id="8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9157" w14:textId="77777777" w:rsidR="00614875" w:rsidRDefault="00614875">
      <w:r>
        <w:separator/>
      </w:r>
    </w:p>
  </w:endnote>
  <w:endnote w:type="continuationSeparator" w:id="0">
    <w:p w14:paraId="2FA25102" w14:textId="77777777" w:rsidR="00614875" w:rsidRDefault="0061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6D513C7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4F0BAA6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23546C9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0E9725D" w14:textId="77777777" w:rsidR="0059420B" w:rsidRPr="00AF7A97" w:rsidRDefault="00EB7A8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 xml:space="preserve">Ms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9" w:name="OrgName"/>
      <w:bookmarkEnd w:id="9"/>
    </w:tr>
    <w:tr w:rsidR="0059420B" w:rsidRPr="004D495C" w14:paraId="1F234881" w14:textId="77777777" w:rsidTr="004E3CF5">
      <w:tc>
        <w:tcPr>
          <w:tcW w:w="1526" w:type="dxa"/>
          <w:shd w:val="clear" w:color="auto" w:fill="auto"/>
        </w:tcPr>
        <w:p w14:paraId="1764A9C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BD169F8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B178C" w14:textId="77777777" w:rsidR="0059420B" w:rsidRPr="00AF7A97" w:rsidRDefault="00EB7A8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10" w:name="PhoneNo"/>
      <w:bookmarkEnd w:id="10"/>
    </w:tr>
    <w:tr w:rsidR="0059420B" w:rsidRPr="004D495C" w14:paraId="64AE5C73" w14:textId="77777777" w:rsidTr="004E3CF5">
      <w:tc>
        <w:tcPr>
          <w:tcW w:w="1526" w:type="dxa"/>
          <w:shd w:val="clear" w:color="auto" w:fill="auto"/>
        </w:tcPr>
        <w:p w14:paraId="27A12D0B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D49D0F7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3E288FE" w14:textId="77777777" w:rsidR="0059420B" w:rsidRPr="00926E1A" w:rsidRDefault="00FF5DEC" w:rsidP="00926E1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926E1A" w:rsidRPr="00A216FF">
              <w:rPr>
                <w:rStyle w:val="Hyperlink"/>
                <w:sz w:val="18"/>
                <w:szCs w:val="18"/>
              </w:rPr>
              <w:t>bdtdir@itu.int</w:t>
            </w:r>
          </w:hyperlink>
          <w:r w:rsidR="00926E1A">
            <w:rPr>
              <w:rStyle w:val="Hyperlink"/>
              <w:color w:val="auto"/>
              <w:sz w:val="18"/>
              <w:szCs w:val="18"/>
              <w:u w:val="none"/>
            </w:rPr>
            <w:t xml:space="preserve"> </w:t>
          </w:r>
        </w:p>
      </w:tc>
      <w:bookmarkStart w:id="11" w:name="Email"/>
      <w:bookmarkEnd w:id="11"/>
    </w:tr>
  </w:tbl>
  <w:p w14:paraId="101DA25D" w14:textId="77777777" w:rsidR="00EB7A86" w:rsidRDefault="00EB7A86" w:rsidP="00B80157">
    <w:pPr>
      <w:pStyle w:val="Footer"/>
      <w:jc w:val="center"/>
      <w:rPr>
        <w:lang w:val="en-GB"/>
      </w:rPr>
    </w:pPr>
  </w:p>
  <w:p w14:paraId="5BEA838E" w14:textId="77777777" w:rsidR="00721657" w:rsidRPr="0059420B" w:rsidRDefault="00FF5DEC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13797" w14:textId="77777777" w:rsidR="00614875" w:rsidRDefault="00614875">
      <w:r>
        <w:t>____________________</w:t>
      </w:r>
    </w:p>
  </w:footnote>
  <w:footnote w:type="continuationSeparator" w:id="0">
    <w:p w14:paraId="37E46F8B" w14:textId="77777777" w:rsidR="00614875" w:rsidRDefault="0061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D75C" w14:textId="77777777" w:rsidR="00A525CC" w:rsidRPr="006D271A" w:rsidRDefault="00A525CC" w:rsidP="00EB7A8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="00EB7A86">
      <w:rPr>
        <w:sz w:val="22"/>
        <w:szCs w:val="22"/>
        <w:lang w:val="de-CH"/>
      </w:rPr>
      <w:t>8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94FF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A9806D7"/>
    <w:multiLevelType w:val="multilevel"/>
    <w:tmpl w:val="24C05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75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B1C0B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4073"/>
    <w:rsid w:val="001F23E6"/>
    <w:rsid w:val="001F4238"/>
    <w:rsid w:val="00200A38"/>
    <w:rsid w:val="00200A46"/>
    <w:rsid w:val="00211B6F"/>
    <w:rsid w:val="00217CC3"/>
    <w:rsid w:val="00220AB6"/>
    <w:rsid w:val="0022120F"/>
    <w:rsid w:val="00225CCD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4D3E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3A2C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443D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4875"/>
    <w:rsid w:val="00623F30"/>
    <w:rsid w:val="00625FB8"/>
    <w:rsid w:val="006261BD"/>
    <w:rsid w:val="006278C7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26E1A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85F7C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2355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0671"/>
    <w:rsid w:val="00D63006"/>
    <w:rsid w:val="00D678B9"/>
    <w:rsid w:val="00D72301"/>
    <w:rsid w:val="00D911DE"/>
    <w:rsid w:val="00D91B97"/>
    <w:rsid w:val="00D93ACC"/>
    <w:rsid w:val="00D93C08"/>
    <w:rsid w:val="00D95DAC"/>
    <w:rsid w:val="00DA0B53"/>
    <w:rsid w:val="00DA60D7"/>
    <w:rsid w:val="00DB1171"/>
    <w:rsid w:val="00DB1519"/>
    <w:rsid w:val="00DB2840"/>
    <w:rsid w:val="00DC0484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7D1"/>
    <w:rsid w:val="00E40B07"/>
    <w:rsid w:val="00E42326"/>
    <w:rsid w:val="00E43544"/>
    <w:rsid w:val="00E44D89"/>
    <w:rsid w:val="00E477EA"/>
    <w:rsid w:val="00E50CD6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6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4FFD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DEC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D13265"/>
  <w15:docId w15:val="{F085757D-7911-4F93-8C7D-1709DA4E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CEOMainDocParagraph">
    <w:name w:val="CEO_MainDoc_Paragraph"/>
    <w:basedOn w:val="Normal"/>
    <w:qFormat/>
    <w:rsid w:val="00926E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SG-CIR-003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TIES_Protected/WTDC14/WTDC14-FinalReport-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pub/S-CONF-PLEN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s://www.itu.int/md/S19-SG-CIR-0045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\AppData\Roaming\Microsoft\Templates\PE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1E05-68FE-41BA-907D-A20FFC83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PE_TDAG20.dotx</Template>
  <TotalTime>3</TotalTime>
  <Pages>2</Pages>
  <Words>417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BDT-mcb</dc:creator>
  <cp:lastModifiedBy>BDT</cp:lastModifiedBy>
  <cp:revision>7</cp:revision>
  <cp:lastPrinted>2014-11-04T09:22:00Z</cp:lastPrinted>
  <dcterms:created xsi:type="dcterms:W3CDTF">2020-02-10T10:28:00Z</dcterms:created>
  <dcterms:modified xsi:type="dcterms:W3CDTF">2020-03-10T12:30:00Z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