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drawings/drawing1.xml" ContentType="application/vnd.openxmlformats-officedocument.drawingml.chartshap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753"/>
        <w:tblW w:w="988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6663"/>
        <w:gridCol w:w="3225"/>
      </w:tblGrid>
      <w:tr w:rsidR="00D372A5" w:rsidRPr="004E7861" w14:paraId="4FDC04A6" w14:textId="77777777" w:rsidTr="00D92762">
        <w:trPr>
          <w:cantSplit/>
          <w:trHeight w:val="1134"/>
        </w:trPr>
        <w:tc>
          <w:tcPr>
            <w:tcW w:w="6663" w:type="dxa"/>
            <w:tcBorders>
              <w:bottom w:val="single" w:sz="12" w:space="0" w:color="auto"/>
            </w:tcBorders>
          </w:tcPr>
          <w:p w14:paraId="33BC8DDF" w14:textId="77777777" w:rsidR="00D372A5" w:rsidRDefault="00D372A5" w:rsidP="00BC7208">
            <w:pPr>
              <w:rPr>
                <w:b/>
                <w:bCs/>
                <w:sz w:val="32"/>
                <w:szCs w:val="32"/>
                <w:lang w:val="es-ES_tradnl"/>
              </w:rPr>
            </w:pPr>
            <w:r w:rsidRPr="00F12690">
              <w:rPr>
                <w:rFonts w:cstheme="minorHAnsi"/>
                <w:b/>
                <w:bCs/>
                <w:sz w:val="32"/>
                <w:szCs w:val="32"/>
                <w:lang w:val="es-ES_tradnl"/>
              </w:rPr>
              <w:t>Grupo Asesor de Desarrollo de las Telecomunicaciones (GADT</w:t>
            </w:r>
            <w:r w:rsidRPr="00F12690">
              <w:rPr>
                <w:b/>
                <w:bCs/>
                <w:sz w:val="32"/>
                <w:szCs w:val="32"/>
                <w:lang w:val="es-ES_tradnl"/>
              </w:rPr>
              <w:t>)</w:t>
            </w:r>
          </w:p>
          <w:p w14:paraId="639B6413" w14:textId="03808433" w:rsidR="00D372A5" w:rsidRPr="00560C51" w:rsidRDefault="004E7861" w:rsidP="00AA076A">
            <w:pPr>
              <w:spacing w:before="100" w:after="120"/>
              <w:rPr>
                <w:rFonts w:ascii="Verdana" w:hAnsi="Verdana"/>
                <w:sz w:val="28"/>
                <w:szCs w:val="28"/>
                <w:lang w:val="es-ES_tradnl"/>
              </w:rPr>
            </w:pPr>
            <w:r w:rsidRPr="00656B29">
              <w:rPr>
                <w:b/>
                <w:bCs/>
                <w:sz w:val="26"/>
                <w:szCs w:val="26"/>
                <w:lang w:val="es-ES_tradnl"/>
              </w:rPr>
              <w:t>2</w:t>
            </w:r>
            <w:r w:rsidR="00507382">
              <w:rPr>
                <w:b/>
                <w:bCs/>
                <w:sz w:val="26"/>
                <w:szCs w:val="26"/>
                <w:lang w:val="es-ES_tradnl"/>
              </w:rPr>
              <w:t>5</w:t>
            </w:r>
            <w:r w:rsidRPr="00656B29">
              <w:rPr>
                <w:b/>
                <w:bCs/>
                <w:sz w:val="26"/>
                <w:szCs w:val="26"/>
                <w:lang w:val="es-ES_tradnl"/>
              </w:rPr>
              <w:t xml:space="preserve">ª reunión, Ginebra, </w:t>
            </w:r>
            <w:r w:rsidR="00D44AC9">
              <w:rPr>
                <w:b/>
                <w:bCs/>
                <w:sz w:val="26"/>
                <w:szCs w:val="26"/>
                <w:lang w:val="es-ES_tradnl"/>
              </w:rPr>
              <w:t>2-5</w:t>
            </w:r>
            <w:bookmarkStart w:id="0" w:name="_GoBack"/>
            <w:bookmarkEnd w:id="0"/>
            <w:r>
              <w:rPr>
                <w:b/>
                <w:bCs/>
                <w:sz w:val="26"/>
                <w:szCs w:val="26"/>
                <w:lang w:val="es-ES_tradnl"/>
              </w:rPr>
              <w:t xml:space="preserve"> de </w:t>
            </w:r>
            <w:r w:rsidR="00D44AC9">
              <w:rPr>
                <w:b/>
                <w:bCs/>
                <w:sz w:val="26"/>
                <w:szCs w:val="26"/>
                <w:lang w:val="es-ES_tradnl"/>
              </w:rPr>
              <w:t>junio</w:t>
            </w:r>
            <w:r>
              <w:rPr>
                <w:b/>
                <w:bCs/>
                <w:sz w:val="26"/>
                <w:szCs w:val="26"/>
                <w:lang w:val="es-ES_tradnl"/>
              </w:rPr>
              <w:t xml:space="preserve"> de 20</w:t>
            </w:r>
            <w:r w:rsidR="00507382">
              <w:rPr>
                <w:b/>
                <w:bCs/>
                <w:sz w:val="26"/>
                <w:szCs w:val="26"/>
                <w:lang w:val="es-ES_tradnl"/>
              </w:rPr>
              <w:t>20</w:t>
            </w:r>
          </w:p>
        </w:tc>
        <w:tc>
          <w:tcPr>
            <w:tcW w:w="3225" w:type="dxa"/>
            <w:tcBorders>
              <w:bottom w:val="single" w:sz="12" w:space="0" w:color="auto"/>
            </w:tcBorders>
          </w:tcPr>
          <w:p w14:paraId="5B5B125B" w14:textId="77777777" w:rsidR="00D372A5" w:rsidRPr="00560C51" w:rsidRDefault="004E7861" w:rsidP="004E7861">
            <w:pPr>
              <w:spacing w:before="40" w:after="80"/>
              <w:ind w:right="142"/>
              <w:jc w:val="right"/>
              <w:rPr>
                <w:lang w:val="es-ES_tradnl"/>
              </w:rPr>
            </w:pPr>
            <w:r w:rsidRPr="008E52B1">
              <w:rPr>
                <w:noProof/>
                <w:color w:val="3399FF"/>
                <w:lang w:val="en-GB" w:eastAsia="en-GB"/>
              </w:rPr>
              <w:drawing>
                <wp:inline distT="0" distB="0" distL="0" distR="0" wp14:anchorId="760EA489" wp14:editId="2ACB1AD9">
                  <wp:extent cx="838200" cy="838200"/>
                  <wp:effectExtent l="0" t="0" r="0" b="0"/>
                  <wp:docPr id="1" name="Picture 1" descr="C:\Users\comas\AppData\Local\Temp\Rar$DRa0.735\jpg\ITU official logo_blue_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omas\AppData\Local\Temp\Rar$DRa0.735\jpg\ITU official logo_blue_RG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7893" w:rsidRPr="004E7861" w14:paraId="5F7DA802" w14:textId="77777777" w:rsidTr="004B7893">
        <w:trPr>
          <w:cantSplit/>
        </w:trPr>
        <w:tc>
          <w:tcPr>
            <w:tcW w:w="6663" w:type="dxa"/>
            <w:tcBorders>
              <w:top w:val="single" w:sz="12" w:space="0" w:color="auto"/>
            </w:tcBorders>
          </w:tcPr>
          <w:p w14:paraId="46AB3B1B" w14:textId="77777777" w:rsidR="004B7893" w:rsidRPr="00560C51" w:rsidRDefault="004B7893" w:rsidP="004B7893">
            <w:pPr>
              <w:spacing w:before="0"/>
              <w:rPr>
                <w:rFonts w:cs="Arial"/>
                <w:b/>
                <w:bCs/>
                <w:sz w:val="20"/>
                <w:lang w:val="es-ES_tradnl"/>
              </w:rPr>
            </w:pPr>
          </w:p>
        </w:tc>
        <w:tc>
          <w:tcPr>
            <w:tcW w:w="3225" w:type="dxa"/>
            <w:tcBorders>
              <w:top w:val="single" w:sz="12" w:space="0" w:color="auto"/>
            </w:tcBorders>
          </w:tcPr>
          <w:p w14:paraId="32075CBE" w14:textId="77777777" w:rsidR="004B7893" w:rsidRPr="00560C51" w:rsidRDefault="004B7893" w:rsidP="004B7893">
            <w:pPr>
              <w:spacing w:before="0"/>
              <w:rPr>
                <w:b/>
                <w:bCs/>
                <w:sz w:val="20"/>
                <w:lang w:val="es-ES_tradnl"/>
              </w:rPr>
            </w:pPr>
          </w:p>
        </w:tc>
      </w:tr>
      <w:tr w:rsidR="004B7893" w:rsidRPr="00560C51" w14:paraId="2EFA1013" w14:textId="77777777" w:rsidTr="004B7893">
        <w:trPr>
          <w:cantSplit/>
        </w:trPr>
        <w:tc>
          <w:tcPr>
            <w:tcW w:w="6663" w:type="dxa"/>
          </w:tcPr>
          <w:p w14:paraId="72A33D66" w14:textId="77777777" w:rsidR="004B7893" w:rsidRPr="00560C51" w:rsidRDefault="004B7893" w:rsidP="004B7893">
            <w:pPr>
              <w:pStyle w:val="Committee"/>
              <w:spacing w:before="0"/>
              <w:rPr>
                <w:b w:val="0"/>
                <w:lang w:val="es-ES_tradnl"/>
              </w:rPr>
            </w:pPr>
          </w:p>
        </w:tc>
        <w:tc>
          <w:tcPr>
            <w:tcW w:w="3225" w:type="dxa"/>
          </w:tcPr>
          <w:p w14:paraId="7B7768BD" w14:textId="7156E000" w:rsidR="004B7893" w:rsidRPr="00560C51" w:rsidRDefault="005637B9" w:rsidP="00AA076A">
            <w:pPr>
              <w:spacing w:before="0"/>
              <w:rPr>
                <w:bCs/>
                <w:lang w:val="es-ES_tradnl"/>
              </w:rPr>
            </w:pPr>
            <w:r w:rsidRPr="00560C51">
              <w:rPr>
                <w:b/>
                <w:bCs/>
                <w:lang w:val="es-ES_tradnl"/>
              </w:rPr>
              <w:t xml:space="preserve">Documento </w:t>
            </w:r>
            <w:bookmarkStart w:id="1" w:name="DocRef1"/>
            <w:bookmarkEnd w:id="1"/>
            <w:r>
              <w:rPr>
                <w:b/>
                <w:bCs/>
                <w:lang w:val="es-ES_tradnl"/>
              </w:rPr>
              <w:t>TDAG</w:t>
            </w:r>
            <w:r w:rsidR="00602B27">
              <w:rPr>
                <w:b/>
                <w:bCs/>
                <w:lang w:val="es-ES_tradnl"/>
              </w:rPr>
              <w:t>-</w:t>
            </w:r>
            <w:r w:rsidR="00AA076A">
              <w:rPr>
                <w:b/>
                <w:bCs/>
                <w:lang w:val="es-ES_tradnl"/>
              </w:rPr>
              <w:t>20</w:t>
            </w:r>
            <w:r w:rsidRPr="00560C51">
              <w:rPr>
                <w:b/>
                <w:bCs/>
                <w:lang w:val="es-ES_tradnl"/>
              </w:rPr>
              <w:t>/</w:t>
            </w:r>
            <w:bookmarkStart w:id="2" w:name="DocNo1"/>
            <w:bookmarkEnd w:id="2"/>
            <w:r w:rsidR="00507382">
              <w:rPr>
                <w:b/>
                <w:bCs/>
                <w:lang w:val="es-ES_tradnl"/>
              </w:rPr>
              <w:t>7</w:t>
            </w:r>
            <w:r>
              <w:rPr>
                <w:b/>
                <w:bCs/>
                <w:lang w:val="es-ES_tradnl"/>
              </w:rPr>
              <w:t>-S</w:t>
            </w:r>
          </w:p>
        </w:tc>
      </w:tr>
      <w:tr w:rsidR="004B7893" w:rsidRPr="00560C51" w14:paraId="398CB69C" w14:textId="77777777" w:rsidTr="004B7893">
        <w:trPr>
          <w:cantSplit/>
        </w:trPr>
        <w:tc>
          <w:tcPr>
            <w:tcW w:w="6663" w:type="dxa"/>
          </w:tcPr>
          <w:p w14:paraId="4A4774A8" w14:textId="77777777" w:rsidR="004B7893" w:rsidRPr="00560C51" w:rsidRDefault="004B7893" w:rsidP="004B7893">
            <w:pPr>
              <w:spacing w:before="0"/>
              <w:rPr>
                <w:b/>
                <w:bCs/>
                <w:smallCaps/>
                <w:lang w:val="es-ES_tradnl"/>
              </w:rPr>
            </w:pPr>
          </w:p>
        </w:tc>
        <w:tc>
          <w:tcPr>
            <w:tcW w:w="3225" w:type="dxa"/>
          </w:tcPr>
          <w:p w14:paraId="32531D02" w14:textId="2A960956" w:rsidR="004B7893" w:rsidRPr="00360762" w:rsidRDefault="00507382" w:rsidP="00AA076A">
            <w:pPr>
              <w:spacing w:before="0"/>
              <w:rPr>
                <w:b/>
                <w:lang w:val="es-ES_tradnl"/>
              </w:rPr>
            </w:pPr>
            <w:bookmarkStart w:id="3" w:name="CreationDate"/>
            <w:bookmarkEnd w:id="3"/>
            <w:r w:rsidRPr="00507382">
              <w:rPr>
                <w:b/>
                <w:bCs/>
                <w:szCs w:val="28"/>
              </w:rPr>
              <w:t>4 de febrero de 2020</w:t>
            </w:r>
          </w:p>
        </w:tc>
      </w:tr>
      <w:tr w:rsidR="004B7893" w:rsidRPr="00560C51" w14:paraId="159E647F" w14:textId="77777777" w:rsidTr="004B7893">
        <w:trPr>
          <w:cantSplit/>
        </w:trPr>
        <w:tc>
          <w:tcPr>
            <w:tcW w:w="6663" w:type="dxa"/>
          </w:tcPr>
          <w:p w14:paraId="66465330" w14:textId="77777777" w:rsidR="004B7893" w:rsidRPr="00560C51" w:rsidRDefault="004B7893" w:rsidP="004B7893">
            <w:pPr>
              <w:spacing w:before="0"/>
              <w:rPr>
                <w:b/>
                <w:bCs/>
                <w:smallCaps/>
                <w:lang w:val="es-ES_tradnl"/>
              </w:rPr>
            </w:pPr>
          </w:p>
        </w:tc>
        <w:tc>
          <w:tcPr>
            <w:tcW w:w="3225" w:type="dxa"/>
          </w:tcPr>
          <w:p w14:paraId="32F25472" w14:textId="2F09FB44" w:rsidR="004B7893" w:rsidRPr="007F1CC7" w:rsidRDefault="00507382" w:rsidP="004B7893">
            <w:pPr>
              <w:spacing w:before="0"/>
              <w:rPr>
                <w:szCs w:val="24"/>
              </w:rPr>
            </w:pPr>
            <w:r w:rsidRPr="00507382">
              <w:rPr>
                <w:b/>
                <w:lang w:val="es-ES_tradnl"/>
              </w:rPr>
              <w:t>Original: inglés</w:t>
            </w:r>
          </w:p>
        </w:tc>
      </w:tr>
      <w:tr w:rsidR="004B7893" w:rsidRPr="00507382" w14:paraId="30A38B73" w14:textId="77777777" w:rsidTr="004B7893">
        <w:trPr>
          <w:cantSplit/>
          <w:trHeight w:val="852"/>
        </w:trPr>
        <w:tc>
          <w:tcPr>
            <w:tcW w:w="9888" w:type="dxa"/>
            <w:gridSpan w:val="2"/>
          </w:tcPr>
          <w:p w14:paraId="78820FC2" w14:textId="261C7895" w:rsidR="004B7893" w:rsidRPr="00507382" w:rsidRDefault="00507382" w:rsidP="004B7893">
            <w:pPr>
              <w:pStyle w:val="Source"/>
              <w:rPr>
                <w:szCs w:val="28"/>
                <w:lang w:val="es-ES"/>
              </w:rPr>
            </w:pPr>
            <w:bookmarkStart w:id="4" w:name="Source"/>
            <w:bookmarkEnd w:id="4"/>
            <w:r w:rsidRPr="00507382">
              <w:rPr>
                <w:lang w:val="es-ES"/>
              </w:rPr>
              <w:t>Directora de la Oficina de Desarrollo de las Telecomunicaciones</w:t>
            </w:r>
          </w:p>
        </w:tc>
      </w:tr>
      <w:tr w:rsidR="004B7893" w:rsidRPr="00507382" w14:paraId="0DE9D213" w14:textId="77777777" w:rsidTr="004B7893">
        <w:trPr>
          <w:cantSplit/>
        </w:trPr>
        <w:tc>
          <w:tcPr>
            <w:tcW w:w="9888" w:type="dxa"/>
            <w:gridSpan w:val="2"/>
          </w:tcPr>
          <w:p w14:paraId="0D298BEE" w14:textId="316ADDF9" w:rsidR="004B7893" w:rsidRPr="00507382" w:rsidRDefault="00507382" w:rsidP="004B7893">
            <w:pPr>
              <w:pStyle w:val="Title1"/>
              <w:rPr>
                <w:bCs/>
                <w:szCs w:val="28"/>
                <w:lang w:val="es-ES"/>
              </w:rPr>
            </w:pPr>
            <w:bookmarkStart w:id="5" w:name="Title"/>
            <w:bookmarkEnd w:id="5"/>
            <w:r w:rsidRPr="00507382">
              <w:rPr>
                <w:lang w:val="es-ES"/>
              </w:rPr>
              <w:t>ASOCIACIONES Y MOVILIZACIÓN DE RECURSOS EN EL UIT-D</w:t>
            </w:r>
          </w:p>
        </w:tc>
      </w:tr>
      <w:tr w:rsidR="004B7893" w:rsidRPr="00507382" w14:paraId="7BBE3B29" w14:textId="77777777" w:rsidTr="004B7893">
        <w:trPr>
          <w:cantSplit/>
        </w:trPr>
        <w:tc>
          <w:tcPr>
            <w:tcW w:w="9888" w:type="dxa"/>
            <w:gridSpan w:val="2"/>
            <w:tcBorders>
              <w:bottom w:val="single" w:sz="4" w:space="0" w:color="auto"/>
            </w:tcBorders>
          </w:tcPr>
          <w:p w14:paraId="5E2CE79C" w14:textId="77777777" w:rsidR="004B7893" w:rsidRPr="00507382" w:rsidRDefault="004B7893" w:rsidP="00BC7208">
            <w:pPr>
              <w:rPr>
                <w:lang w:val="es-ES"/>
              </w:rPr>
            </w:pPr>
          </w:p>
        </w:tc>
      </w:tr>
      <w:tr w:rsidR="004B7893" w:rsidRPr="00507382" w14:paraId="6FB527D5" w14:textId="77777777" w:rsidTr="004B7893">
        <w:trPr>
          <w:cantSplit/>
          <w:trHeight w:val="703"/>
        </w:trPr>
        <w:tc>
          <w:tcPr>
            <w:tcW w:w="9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09EE3" w14:textId="77777777" w:rsidR="004B7893" w:rsidRPr="00507382" w:rsidRDefault="004B7893" w:rsidP="004B7893">
            <w:pPr>
              <w:spacing w:before="240"/>
              <w:rPr>
                <w:b/>
                <w:bCs/>
                <w:lang w:val="es-ES"/>
              </w:rPr>
            </w:pPr>
            <w:r w:rsidRPr="00507382">
              <w:rPr>
                <w:b/>
                <w:bCs/>
                <w:lang w:val="es-ES"/>
              </w:rPr>
              <w:t>Resumen:</w:t>
            </w:r>
          </w:p>
          <w:p w14:paraId="690C4234" w14:textId="3AB9A3F0" w:rsidR="004B7893" w:rsidRPr="00507382" w:rsidRDefault="00507382" w:rsidP="004B7893">
            <w:pPr>
              <w:rPr>
                <w:lang w:val="es-ES"/>
              </w:rPr>
            </w:pPr>
            <w:r w:rsidRPr="00507382">
              <w:rPr>
                <w:lang w:val="es-ES"/>
              </w:rPr>
              <w:t>La importancia que revisten las asociaciones y la movilización de recursos se puso de relieve en la Conferencia Mundial de Desarrollo de las Telecomunicaciones de 2017 (CMDT-17). En este documento se da cuenta de las asociaciones y actividades de movilización de recursos emprendidas en 2019.</w:t>
            </w:r>
          </w:p>
          <w:p w14:paraId="1654B9A2" w14:textId="4B2E5C17" w:rsidR="004B7893" w:rsidRPr="00507382" w:rsidRDefault="004B7893" w:rsidP="004B7893">
            <w:pPr>
              <w:rPr>
                <w:b/>
                <w:bCs/>
                <w:lang w:val="es-ES"/>
              </w:rPr>
            </w:pPr>
            <w:r w:rsidRPr="00507382">
              <w:rPr>
                <w:b/>
                <w:bCs/>
                <w:lang w:val="es-ES"/>
              </w:rPr>
              <w:t>Acción solicitada:</w:t>
            </w:r>
          </w:p>
          <w:p w14:paraId="4B622F2D" w14:textId="32EA7401" w:rsidR="004B7893" w:rsidRPr="00507382" w:rsidRDefault="00507382" w:rsidP="004B7893">
            <w:pPr>
              <w:rPr>
                <w:lang w:val="es-ES"/>
              </w:rPr>
            </w:pPr>
            <w:r w:rsidRPr="00507382">
              <w:rPr>
                <w:lang w:val="es-ES"/>
              </w:rPr>
              <w:t>Se invita al GADT a tomar nota del presente documento y a formular los comentarios que estime convenientes.</w:t>
            </w:r>
          </w:p>
          <w:p w14:paraId="10B8BB73" w14:textId="77777777" w:rsidR="004B7893" w:rsidRPr="00507382" w:rsidRDefault="004B7893" w:rsidP="004B7893">
            <w:pPr>
              <w:rPr>
                <w:b/>
                <w:bCs/>
                <w:lang w:val="es-ES"/>
              </w:rPr>
            </w:pPr>
            <w:r w:rsidRPr="00507382">
              <w:rPr>
                <w:b/>
                <w:bCs/>
                <w:lang w:val="es-ES"/>
              </w:rPr>
              <w:t>Referencias:</w:t>
            </w:r>
          </w:p>
          <w:p w14:paraId="0A349D41" w14:textId="77777777" w:rsidR="00507382" w:rsidRPr="00507382" w:rsidRDefault="00507382" w:rsidP="00507382">
            <w:pPr>
              <w:rPr>
                <w:lang w:val="es-ES"/>
              </w:rPr>
            </w:pPr>
            <w:r w:rsidRPr="00507382">
              <w:rPr>
                <w:lang w:val="es-ES"/>
              </w:rPr>
              <w:t>Meta 5 de la UIT</w:t>
            </w:r>
          </w:p>
          <w:p w14:paraId="1F81875B" w14:textId="0523D851" w:rsidR="00507382" w:rsidRPr="00507382" w:rsidRDefault="00507382" w:rsidP="00507382">
            <w:pPr>
              <w:rPr>
                <w:lang w:val="es-ES"/>
              </w:rPr>
            </w:pPr>
            <w:r w:rsidRPr="00507382">
              <w:rPr>
                <w:lang w:val="es-ES"/>
              </w:rPr>
              <w:t xml:space="preserve">Plan de Acción de Buenos Aires, Sección 4.5 del </w:t>
            </w:r>
            <w:r w:rsidR="0043381D" w:rsidRPr="00507382">
              <w:rPr>
                <w:lang w:val="es-ES"/>
              </w:rPr>
              <w:t xml:space="preserve">Informe </w:t>
            </w:r>
            <w:r w:rsidR="00CF3DF6">
              <w:rPr>
                <w:lang w:val="es-ES"/>
              </w:rPr>
              <w:t>f</w:t>
            </w:r>
            <w:r w:rsidRPr="00507382">
              <w:rPr>
                <w:lang w:val="es-ES"/>
              </w:rPr>
              <w:t>inal de la CMDT-17</w:t>
            </w:r>
          </w:p>
          <w:p w14:paraId="19FBE60C" w14:textId="6514C094" w:rsidR="004B7893" w:rsidRPr="00507382" w:rsidRDefault="00D44AC9" w:rsidP="00507382">
            <w:pPr>
              <w:spacing w:after="120"/>
              <w:rPr>
                <w:lang w:val="es-ES"/>
              </w:rPr>
            </w:pPr>
            <w:hyperlink r:id="rId9" w:history="1">
              <w:r w:rsidR="00507382" w:rsidRPr="00CF3DF6">
                <w:rPr>
                  <w:lang w:val="es-ES"/>
                </w:rPr>
                <w:t>Resoluciones 17 (Rev. Buenos Aires, 2017)</w:t>
              </w:r>
            </w:hyperlink>
            <w:r w:rsidR="00507382" w:rsidRPr="00507382">
              <w:rPr>
                <w:lang w:val="es-ES"/>
              </w:rPr>
              <w:t xml:space="preserve"> y 71 (Rev. Buenos Aires, 2017) de la CMDT</w:t>
            </w:r>
          </w:p>
        </w:tc>
      </w:tr>
    </w:tbl>
    <w:p w14:paraId="43AE8F1C" w14:textId="77777777" w:rsidR="00AA076A" w:rsidRDefault="00AA076A" w:rsidP="00507382">
      <w:pPr>
        <w:rPr>
          <w:lang w:val="es-ES_tradnl"/>
        </w:rPr>
      </w:pPr>
      <w:r>
        <w:rPr>
          <w:lang w:val="es-ES_tradnl"/>
        </w:rPr>
        <w:br w:type="page"/>
      </w:r>
    </w:p>
    <w:p w14:paraId="4701C0A8" w14:textId="1EB05B9B" w:rsidR="00507382" w:rsidRPr="00507382" w:rsidRDefault="00BC2AA5" w:rsidP="00BC2AA5">
      <w:pPr>
        <w:pStyle w:val="Heading1"/>
        <w:rPr>
          <w:lang w:val="en-US"/>
        </w:rPr>
      </w:pPr>
      <w:r>
        <w:rPr>
          <w:lang w:val="en-US"/>
        </w:rPr>
        <w:lastRenderedPageBreak/>
        <w:t>1</w:t>
      </w:r>
      <w:r>
        <w:rPr>
          <w:lang w:val="en-US"/>
        </w:rPr>
        <w:tab/>
      </w:r>
      <w:r w:rsidR="00507382" w:rsidRPr="00507382">
        <w:rPr>
          <w:lang w:val="en-US"/>
        </w:rPr>
        <w:t>Antecedentes</w:t>
      </w:r>
    </w:p>
    <w:p w14:paraId="2948C6A6" w14:textId="2E605D28" w:rsidR="00507382" w:rsidRPr="00507382" w:rsidRDefault="00507382" w:rsidP="00507382">
      <w:pPr>
        <w:rPr>
          <w:lang w:val="es-ES"/>
        </w:rPr>
      </w:pPr>
      <w:r w:rsidRPr="00507382">
        <w:rPr>
          <w:lang w:val="es-ES"/>
        </w:rPr>
        <w:t>La importancia que revisten las asociaciones y la movilización de recursos se puso de relieve en la Conferencia Mundial de Desarrollo de las Telecomunicaciones de 2017 (CMDT-17).</w:t>
      </w:r>
    </w:p>
    <w:p w14:paraId="67F98B12" w14:textId="1488DF38" w:rsidR="00507382" w:rsidRPr="00507382" w:rsidRDefault="00507382" w:rsidP="00507382">
      <w:pPr>
        <w:rPr>
          <w:lang w:val="es-ES"/>
        </w:rPr>
      </w:pPr>
      <w:r w:rsidRPr="00507382">
        <w:rPr>
          <w:lang w:val="es-ES"/>
        </w:rPr>
        <w:t>De conformidad con el Plan de Acción de Buenos Aires, la BDT sigue forjando asociaciones con un amplio abanico de interesados, incluidos otros organismos de las naciones Unidas, y trata de movilizar recursos de organismos de financiación, instituciones financieras internacionales, Estados Miembros de la UIT y Miembros del Sector UIT-D, así como de otros socios pertinentes a fin de implementar los programas e iniciativas regionales adoptad</w:t>
      </w:r>
      <w:r w:rsidR="00601CDB">
        <w:rPr>
          <w:lang w:val="es-ES"/>
        </w:rPr>
        <w:t>o</w:t>
      </w:r>
      <w:r w:rsidRPr="00507382">
        <w:rPr>
          <w:lang w:val="es-ES"/>
        </w:rPr>
        <w:t>s por la CMDT-17.</w:t>
      </w:r>
    </w:p>
    <w:p w14:paraId="6B59174A" w14:textId="0A097076" w:rsidR="00507382" w:rsidRPr="00507382" w:rsidRDefault="00507382" w:rsidP="00507382">
      <w:pPr>
        <w:rPr>
          <w:lang w:val="es-ES"/>
        </w:rPr>
      </w:pPr>
      <w:r w:rsidRPr="00507382">
        <w:rPr>
          <w:lang w:val="es-ES"/>
        </w:rPr>
        <w:t xml:space="preserve">En la Resolución 17 (Rev. Buenos Aires, 2017) de la CMDT se encarga a la BDT que siga concertando activamente asociaciones con los Estados Miembros, Miembros del Sector UIT-D, instituciones financieras y organizaciones internacionales a fin de patrocinar la ejecución de </w:t>
      </w:r>
      <w:r w:rsidR="00CF3DF6">
        <w:rPr>
          <w:lang w:val="es-ES"/>
        </w:rPr>
        <w:t>i</w:t>
      </w:r>
      <w:r w:rsidRPr="00507382">
        <w:rPr>
          <w:lang w:val="es-ES"/>
        </w:rPr>
        <w:t xml:space="preserve">niciativas </w:t>
      </w:r>
      <w:r w:rsidR="00CF3DF6">
        <w:rPr>
          <w:lang w:val="es-ES"/>
        </w:rPr>
        <w:t>r</w:t>
      </w:r>
      <w:r w:rsidRPr="00507382">
        <w:rPr>
          <w:lang w:val="es-ES"/>
        </w:rPr>
        <w:t xml:space="preserve">egionales. Esta misma Resolución exhorta a las organizaciones/organismos internacionales de financiación, a proveedores de equipos y a operadores/proveedores de servicios a contribuir, de forma plena o parcial, a financiar las </w:t>
      </w:r>
      <w:r w:rsidR="00CF3DF6">
        <w:rPr>
          <w:lang w:val="es-ES"/>
        </w:rPr>
        <w:t>i</w:t>
      </w:r>
      <w:r w:rsidRPr="00507382">
        <w:rPr>
          <w:lang w:val="es-ES"/>
        </w:rPr>
        <w:t xml:space="preserve">niciativas </w:t>
      </w:r>
      <w:r w:rsidR="00CF3DF6">
        <w:rPr>
          <w:lang w:val="es-ES"/>
        </w:rPr>
        <w:t>r</w:t>
      </w:r>
      <w:r w:rsidRPr="00507382">
        <w:rPr>
          <w:lang w:val="es-ES"/>
        </w:rPr>
        <w:t>egionales adoptadas.</w:t>
      </w:r>
    </w:p>
    <w:p w14:paraId="53DF6559" w14:textId="22C3C028" w:rsidR="00507382" w:rsidRPr="00507382" w:rsidRDefault="00BC2AA5" w:rsidP="00BC2AA5">
      <w:pPr>
        <w:pStyle w:val="Heading1"/>
        <w:rPr>
          <w:lang w:val="es-ES"/>
        </w:rPr>
      </w:pPr>
      <w:r w:rsidRPr="00BC2AA5">
        <w:rPr>
          <w:lang w:val="es-ES"/>
        </w:rPr>
        <w:t>2</w:t>
      </w:r>
      <w:r w:rsidRPr="00BC2AA5">
        <w:rPr>
          <w:lang w:val="es-ES"/>
        </w:rPr>
        <w:tab/>
      </w:r>
      <w:r w:rsidR="00507382" w:rsidRPr="00507382">
        <w:rPr>
          <w:lang w:val="es-ES"/>
        </w:rPr>
        <w:t xml:space="preserve">Objetivo estratégico del UIT-D: </w:t>
      </w:r>
      <w:r w:rsidR="00601CDB">
        <w:rPr>
          <w:lang w:val="es-ES"/>
        </w:rPr>
        <w:t>a</w:t>
      </w:r>
      <w:r w:rsidR="00507382" w:rsidRPr="00507382">
        <w:rPr>
          <w:lang w:val="es-ES"/>
        </w:rPr>
        <w:t>sociaciones y movilización de recursos</w:t>
      </w:r>
    </w:p>
    <w:p w14:paraId="3C3FDDBA" w14:textId="4F8D324E" w:rsidR="00507382" w:rsidRPr="00507382" w:rsidRDefault="00507382" w:rsidP="00507382">
      <w:pPr>
        <w:rPr>
          <w:lang w:val="es-ES"/>
        </w:rPr>
      </w:pPr>
      <w:r w:rsidRPr="00507382">
        <w:rPr>
          <w:lang w:val="es-ES"/>
        </w:rPr>
        <w:t xml:space="preserve">El objetivo en este contexto es facilitar, desarrollar y reforzar la colaboración con el mayor número posible de socios de países desarrollados y en desarrollo, el sector privado, los bancos de desarrollo, etc. a fin de aumentar la movilización de recursos para la ejecución de programas e </w:t>
      </w:r>
      <w:r w:rsidR="00601CDB">
        <w:rPr>
          <w:lang w:val="es-ES"/>
        </w:rPr>
        <w:t>i</w:t>
      </w:r>
      <w:r w:rsidRPr="00507382">
        <w:rPr>
          <w:lang w:val="es-ES"/>
        </w:rPr>
        <w:t xml:space="preserve">niciativas </w:t>
      </w:r>
      <w:r w:rsidR="00601CDB">
        <w:rPr>
          <w:lang w:val="es-ES"/>
        </w:rPr>
        <w:t>r</w:t>
      </w:r>
      <w:r w:rsidRPr="00507382">
        <w:rPr>
          <w:lang w:val="es-ES"/>
        </w:rPr>
        <w:t>egionales para el desarrollo sostenible.</w:t>
      </w:r>
    </w:p>
    <w:p w14:paraId="7929EC9A" w14:textId="13359F66" w:rsidR="00507382" w:rsidRPr="00507382" w:rsidRDefault="00BC2AA5" w:rsidP="00BC2AA5">
      <w:pPr>
        <w:pStyle w:val="Heading1"/>
        <w:rPr>
          <w:lang w:val="es-ES"/>
        </w:rPr>
      </w:pPr>
      <w:r>
        <w:rPr>
          <w:lang w:val="es-ES"/>
        </w:rPr>
        <w:t>3</w:t>
      </w:r>
      <w:r>
        <w:rPr>
          <w:lang w:val="es-ES"/>
        </w:rPr>
        <w:tab/>
      </w:r>
      <w:r w:rsidR="00507382" w:rsidRPr="00507382">
        <w:rPr>
          <w:lang w:val="es-ES"/>
        </w:rPr>
        <w:t>Asociaciones y resultados de la movilización de recursos</w:t>
      </w:r>
    </w:p>
    <w:p w14:paraId="5866CD73" w14:textId="20BCAD6A" w:rsidR="00507382" w:rsidRPr="00507382" w:rsidRDefault="00507382" w:rsidP="00507382">
      <w:pPr>
        <w:rPr>
          <w:lang w:val="es-ES"/>
        </w:rPr>
      </w:pPr>
      <w:r w:rsidRPr="00507382">
        <w:rPr>
          <w:lang w:val="es-ES"/>
        </w:rPr>
        <w:t xml:space="preserve">La información sobre los acuerdos de asociación (con y sin contribución financiera) concluidos entre la BDT y los socios puede encontrarse en el </w:t>
      </w:r>
      <w:hyperlink r:id="rId10" w:history="1">
        <w:r w:rsidRPr="00507382">
          <w:rPr>
            <w:rStyle w:val="Hyperlink"/>
            <w:b/>
            <w:bCs/>
            <w:lang w:val="es-ES"/>
          </w:rPr>
          <w:t>Documento INF/2</w:t>
        </w:r>
      </w:hyperlink>
      <w:r w:rsidRPr="00507382">
        <w:rPr>
          <w:lang w:val="es-ES"/>
        </w:rPr>
        <w:t>.</w:t>
      </w:r>
    </w:p>
    <w:p w14:paraId="7AE49834" w14:textId="77777777" w:rsidR="00507382" w:rsidRPr="00507382" w:rsidRDefault="00507382" w:rsidP="00507382">
      <w:pPr>
        <w:rPr>
          <w:lang w:val="es-ES"/>
        </w:rPr>
      </w:pPr>
      <w:r w:rsidRPr="00507382">
        <w:rPr>
          <w:lang w:val="es-ES"/>
        </w:rPr>
        <w:t>En 2019 la BDT movilizó recursos financieros por un valor cercano a 15,2 millones USD a través de asociaciones concluidas con socios financieros. Estos recursos se utilizan para financiar la ejecución de actividades y proyectos a nivel nacional, regional y mundial.</w:t>
      </w:r>
    </w:p>
    <w:p w14:paraId="2EB00485" w14:textId="6D5BCB9F" w:rsidR="00507382" w:rsidRPr="00507382" w:rsidRDefault="00507382" w:rsidP="00507382">
      <w:pPr>
        <w:rPr>
          <w:lang w:val="es-ES"/>
        </w:rPr>
      </w:pPr>
      <w:r w:rsidRPr="00507382">
        <w:rPr>
          <w:lang w:val="es-ES"/>
        </w:rPr>
        <w:t>En el siguiente gráfico se muestra la composición de los acuerdos de cofinanciación concluidos entre la BDT y sus socios.</w:t>
      </w:r>
    </w:p>
    <w:p w14:paraId="66774E61" w14:textId="0F0EA9FB" w:rsidR="00507382" w:rsidRPr="00507382" w:rsidRDefault="00AE0F47" w:rsidP="00AE0F47">
      <w:pPr>
        <w:jc w:val="center"/>
        <w:rPr>
          <w:lang w:val="en-US"/>
        </w:rPr>
      </w:pPr>
      <w:r w:rsidRPr="00E40F6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9BC2FF" wp14:editId="515963F0">
                <wp:simplePos x="0" y="0"/>
                <wp:positionH relativeFrom="column">
                  <wp:posOffset>3482975</wp:posOffset>
                </wp:positionH>
                <wp:positionV relativeFrom="paragraph">
                  <wp:posOffset>349089</wp:posOffset>
                </wp:positionV>
                <wp:extent cx="1528550" cy="395785"/>
                <wp:effectExtent l="0" t="0" r="0" b="444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8550" cy="395785"/>
                        </a:xfrm>
                        <a:prstGeom prst="rect">
                          <a:avLst/>
                        </a:prstGeom>
                        <a:solidFill>
                          <a:srgbClr val="ECECEC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5D9E68F" w14:textId="40B5B292" w:rsidR="00AE0F47" w:rsidRPr="004E7206" w:rsidRDefault="00AE0F47" w:rsidP="00AE0F47">
                            <w:pPr>
                              <w:spacing w:before="0" w:after="120"/>
                              <w:rPr>
                                <w:b/>
                                <w:bCs/>
                                <w:color w:val="262626" w:themeColor="text1" w:themeTint="D9"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4E7206">
                              <w:rPr>
                                <w:b/>
                                <w:bCs/>
                                <w:color w:val="262626" w:themeColor="text1" w:themeTint="D9"/>
                                <w:sz w:val="18"/>
                                <w:szCs w:val="18"/>
                                <w:lang w:val="es-ES"/>
                              </w:rPr>
                              <w:t>Parte de la UIT</w:t>
                            </w:r>
                          </w:p>
                          <w:p w14:paraId="036EBC18" w14:textId="70CDEADC" w:rsidR="00AE0F47" w:rsidRPr="004E7206" w:rsidRDefault="00AE0F47" w:rsidP="00AE0F47">
                            <w:pPr>
                              <w:spacing w:before="20"/>
                              <w:rPr>
                                <w:b/>
                                <w:bCs/>
                                <w:color w:val="262626" w:themeColor="text1" w:themeTint="D9"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4E7206">
                              <w:rPr>
                                <w:b/>
                                <w:bCs/>
                                <w:color w:val="262626" w:themeColor="text1" w:themeTint="D9"/>
                                <w:sz w:val="18"/>
                                <w:szCs w:val="18"/>
                                <w:lang w:val="es-ES"/>
                              </w:rPr>
                              <w:t>Parte de los socios financieros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9BC2F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74.25pt;margin-top:27.5pt;width:120.35pt;height:31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" fillcolor="#ececec" stroked="f" strokeweight=".5pt">
                <v:textbox inset="0,0,0,0">
                  <w:txbxContent>
                    <w:p w14:paraId="35D9E68F" w14:textId="40B5B292" w:rsidR="00AE0F47" w:rsidRPr="004E7206" w:rsidRDefault="00AE0F47" w:rsidP="00AE0F47">
                      <w:pPr>
                        <w:spacing w:before="0" w:after="120"/>
                        <w:rPr>
                          <w:b/>
                          <w:bCs/>
                          <w:color w:val="262626" w:themeColor="text1" w:themeTint="D9"/>
                          <w:sz w:val="18"/>
                          <w:szCs w:val="18"/>
                          <w:lang w:val="es-ES"/>
                        </w:rPr>
                      </w:pPr>
                      <w:r w:rsidRPr="004E7206">
                        <w:rPr>
                          <w:b/>
                          <w:bCs/>
                          <w:color w:val="262626" w:themeColor="text1" w:themeTint="D9"/>
                          <w:sz w:val="18"/>
                          <w:szCs w:val="18"/>
                          <w:lang w:val="es-ES"/>
                        </w:rPr>
                        <w:t>Parte de la UIT</w:t>
                      </w:r>
                    </w:p>
                    <w:p w14:paraId="036EBC18" w14:textId="70CDEADC" w:rsidR="00AE0F47" w:rsidRPr="004E7206" w:rsidRDefault="00AE0F47" w:rsidP="00AE0F47">
                      <w:pPr>
                        <w:spacing w:before="20"/>
                        <w:rPr>
                          <w:b/>
                          <w:bCs/>
                          <w:color w:val="262626" w:themeColor="text1" w:themeTint="D9"/>
                          <w:sz w:val="18"/>
                          <w:szCs w:val="18"/>
                          <w:lang w:val="es-ES"/>
                        </w:rPr>
                      </w:pPr>
                      <w:r w:rsidRPr="004E7206">
                        <w:rPr>
                          <w:b/>
                          <w:bCs/>
                          <w:color w:val="262626" w:themeColor="text1" w:themeTint="D9"/>
                          <w:sz w:val="18"/>
                          <w:szCs w:val="18"/>
                          <w:lang w:val="es-ES"/>
                        </w:rPr>
                        <w:t>Parte de los socios financieros</w:t>
                      </w:r>
                    </w:p>
                  </w:txbxContent>
                </v:textbox>
              </v:shape>
            </w:pict>
          </mc:Fallback>
        </mc:AlternateContent>
      </w:r>
      <w:r w:rsidR="00507382" w:rsidRPr="00507382">
        <w:rPr>
          <w:noProof/>
          <w:lang w:val="en-GB"/>
        </w:rPr>
        <w:drawing>
          <wp:inline distT="0" distB="0" distL="0" distR="0" wp14:anchorId="146A2240" wp14:editId="044C5B92">
            <wp:extent cx="4057650" cy="2533650"/>
            <wp:effectExtent l="0" t="0" r="0" b="0"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6BA82C5F" w14:textId="0A0FE6A3" w:rsidR="00507382" w:rsidRPr="00507382" w:rsidRDefault="00507382" w:rsidP="00AE0F47">
      <w:pPr>
        <w:keepNext/>
        <w:keepLines/>
        <w:rPr>
          <w:lang w:val="es-ES"/>
        </w:rPr>
      </w:pPr>
      <w:r w:rsidRPr="00507382">
        <w:rPr>
          <w:lang w:val="es-ES"/>
        </w:rPr>
        <w:lastRenderedPageBreak/>
        <w:t>En 2019 los tres principales socios financieros fueron:</w:t>
      </w:r>
    </w:p>
    <w:p w14:paraId="2DBB1E44" w14:textId="33E1A107" w:rsidR="00507382" w:rsidRPr="00507382" w:rsidRDefault="00BC2AA5" w:rsidP="00BC2AA5">
      <w:pPr>
        <w:pStyle w:val="enumlev1"/>
        <w:rPr>
          <w:lang w:val="es-ES"/>
        </w:rPr>
      </w:pPr>
      <w:r w:rsidRPr="00BC2AA5">
        <w:rPr>
          <w:lang w:val="es-ES"/>
        </w:rPr>
        <w:t>–</w:t>
      </w:r>
      <w:r>
        <w:rPr>
          <w:lang w:val="es-ES"/>
        </w:rPr>
        <w:tab/>
      </w:r>
      <w:r w:rsidR="00507382" w:rsidRPr="00507382">
        <w:rPr>
          <w:lang w:val="es-ES"/>
        </w:rPr>
        <w:t>la Agencia Nacional de Telecomunicaciones de Brasil (ANATEL), cuya contribución financiera ascendió a 7 millones USD</w:t>
      </w:r>
      <w:r>
        <w:rPr>
          <w:lang w:val="es-ES"/>
        </w:rPr>
        <w:t>;</w:t>
      </w:r>
    </w:p>
    <w:p w14:paraId="7E84E3F3" w14:textId="421BB5C7" w:rsidR="00507382" w:rsidRPr="00507382" w:rsidRDefault="00BC2AA5" w:rsidP="00BC2AA5">
      <w:pPr>
        <w:pStyle w:val="enumlev1"/>
        <w:rPr>
          <w:lang w:val="es-ES"/>
        </w:rPr>
      </w:pPr>
      <w:r w:rsidRPr="00BC2AA5">
        <w:rPr>
          <w:lang w:val="es-ES"/>
        </w:rPr>
        <w:t>–</w:t>
      </w:r>
      <w:r>
        <w:rPr>
          <w:lang w:val="es-ES"/>
        </w:rPr>
        <w:tab/>
        <w:t>l</w:t>
      </w:r>
      <w:r w:rsidR="00507382" w:rsidRPr="00507382">
        <w:rPr>
          <w:lang w:val="es-ES"/>
        </w:rPr>
        <w:t>a Comisión Europea (CE), cuya contribución financiera ascendió a 2,5 millones EUR</w:t>
      </w:r>
      <w:r>
        <w:rPr>
          <w:lang w:val="es-ES"/>
        </w:rPr>
        <w:t>;</w:t>
      </w:r>
    </w:p>
    <w:p w14:paraId="4B29EBE5" w14:textId="5408B369" w:rsidR="00507382" w:rsidRPr="00507382" w:rsidRDefault="00BC2AA5" w:rsidP="00BC2AA5">
      <w:pPr>
        <w:pStyle w:val="enumlev1"/>
        <w:rPr>
          <w:lang w:val="es-ES"/>
        </w:rPr>
      </w:pPr>
      <w:r w:rsidRPr="00BC2AA5">
        <w:rPr>
          <w:lang w:val="es-ES"/>
        </w:rPr>
        <w:t>–</w:t>
      </w:r>
      <w:r>
        <w:rPr>
          <w:lang w:val="es-ES"/>
        </w:rPr>
        <w:tab/>
        <w:t>e</w:t>
      </w:r>
      <w:r w:rsidR="00507382" w:rsidRPr="00507382">
        <w:rPr>
          <w:lang w:val="es-ES"/>
        </w:rPr>
        <w:t>l Programa Badir de Incubadoras Tecnológicas, Arabia Saudita, cuya contribución financiera ascendió a 1,2 millones USD.</w:t>
      </w:r>
    </w:p>
    <w:p w14:paraId="224B8B88" w14:textId="77777777" w:rsidR="00507382" w:rsidRPr="00507382" w:rsidRDefault="00507382" w:rsidP="00507382">
      <w:pPr>
        <w:rPr>
          <w:lang w:val="es-ES"/>
        </w:rPr>
      </w:pPr>
      <w:r w:rsidRPr="00507382">
        <w:rPr>
          <w:lang w:val="es-ES"/>
        </w:rPr>
        <w:t>Estas asociaciones son buenos ejemplos de los esfuerzos y el trabajo que está realizando la BDT por cultivar la relación con los socios actuales a fin de que esta sea duradera.</w:t>
      </w:r>
    </w:p>
    <w:p w14:paraId="4734A3FE" w14:textId="4F7BE7D9" w:rsidR="00507382" w:rsidRPr="00507382" w:rsidRDefault="00507382" w:rsidP="00507382">
      <w:pPr>
        <w:rPr>
          <w:lang w:val="es-ES"/>
        </w:rPr>
      </w:pPr>
      <w:r w:rsidRPr="00507382">
        <w:rPr>
          <w:lang w:val="es-ES"/>
        </w:rPr>
        <w:t>En el siguiente gráfico se muestra la naturaleza y diversidad de los socios financieros de la BDT en</w:t>
      </w:r>
      <w:r w:rsidR="00BC2AA5">
        <w:rPr>
          <w:lang w:val="es-ES"/>
        </w:rPr>
        <w:t> </w:t>
      </w:r>
      <w:r w:rsidRPr="00507382">
        <w:rPr>
          <w:lang w:val="es-ES"/>
        </w:rPr>
        <w:t>2019.</w:t>
      </w:r>
    </w:p>
    <w:p w14:paraId="49841AF8" w14:textId="77777777" w:rsidR="00507382" w:rsidRPr="00507382" w:rsidRDefault="00507382" w:rsidP="00926573">
      <w:pPr>
        <w:jc w:val="center"/>
        <w:rPr>
          <w:lang w:val="en-US"/>
        </w:rPr>
      </w:pPr>
      <w:r w:rsidRPr="00507382">
        <w:rPr>
          <w:noProof/>
          <w:lang w:val="en-GB"/>
        </w:rPr>
        <w:drawing>
          <wp:inline distT="0" distB="0" distL="0" distR="0" wp14:anchorId="03F3CAFE" wp14:editId="4B1BA825">
            <wp:extent cx="4572000" cy="2743200"/>
            <wp:effectExtent l="0" t="0" r="0" b="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3CF7F902" w14:textId="3E62C537" w:rsidR="00507382" w:rsidRPr="00507382" w:rsidRDefault="00507382" w:rsidP="00BC2AA5">
      <w:pPr>
        <w:pStyle w:val="Normalaftertitle"/>
        <w:rPr>
          <w:lang w:val="es-ES"/>
        </w:rPr>
      </w:pPr>
      <w:r w:rsidRPr="00507382">
        <w:rPr>
          <w:lang w:val="es-ES"/>
        </w:rPr>
        <w:t>Como puede verse, los principales socios financieros de la BDT en 2019 fueron los Estados Miembros de la UIT (57%), que también son los donantes tradicionales de la BDT. Este porcentaje se ha reducido con respecto a años anteriores, lo que da idea de la creciente diversidad de</w:t>
      </w:r>
      <w:r w:rsidR="009D7153">
        <w:rPr>
          <w:lang w:val="es-ES"/>
        </w:rPr>
        <w:t xml:space="preserve"> </w:t>
      </w:r>
      <w:r w:rsidRPr="00507382">
        <w:rPr>
          <w:lang w:val="es-ES"/>
        </w:rPr>
        <w:t xml:space="preserve">las fuentes de financiación. De acuerdo con la información del gráfico, está claro que la BDT debe redoblar esfuerzos por atraer a socios financieros no tradicionales (organismos </w:t>
      </w:r>
      <w:r w:rsidR="007E2943">
        <w:rPr>
          <w:lang w:val="es-ES"/>
        </w:rPr>
        <w:t>b</w:t>
      </w:r>
      <w:r w:rsidRPr="00507382">
        <w:rPr>
          <w:lang w:val="es-ES"/>
        </w:rPr>
        <w:t>ilaterales, bancos de desarrollo, fundaciones y fondos de responsabilidad social corporativos del sector privado).</w:t>
      </w:r>
    </w:p>
    <w:p w14:paraId="10189127" w14:textId="1B75A13B" w:rsidR="00507382" w:rsidRPr="00507382" w:rsidRDefault="00507382" w:rsidP="00507382">
      <w:pPr>
        <w:rPr>
          <w:lang w:val="es-ES"/>
        </w:rPr>
      </w:pPr>
      <w:r w:rsidRPr="00507382">
        <w:rPr>
          <w:lang w:val="es-ES"/>
        </w:rPr>
        <w:t xml:space="preserve">En 2019 la BDT aumentó la colaboración con otros organismos de las Naciones Unidas para, conjuntamente, movilizar recursos y concluir asociaciones. Un resultado notable fue la asociación concluida con la Organización para la Alimentación y la Agricultura (FAO), la Organización Internacional del Trabajo (OIT), el Fondo de las Naciones Unidas para el Desarrollo de la Capitalización (FNUDC) y el Programa de las Naciones Unidas para el Desarrollo (PNUD). Esta asociación dio como resultado un acuerdo con la Comisión Europea para la financiación del proyecto </w:t>
      </w:r>
      <w:r w:rsidR="007E2943">
        <w:rPr>
          <w:lang w:val="es-ES"/>
        </w:rPr>
        <w:t>"</w:t>
      </w:r>
      <w:r w:rsidRPr="00507382">
        <w:rPr>
          <w:lang w:val="es-ES"/>
        </w:rPr>
        <w:t>Apoyo a la creación empresarial, la inversión y el comercio rurales en Pap</w:t>
      </w:r>
      <w:r w:rsidR="007E2943">
        <w:rPr>
          <w:lang w:val="es-ES"/>
        </w:rPr>
        <w:t>u</w:t>
      </w:r>
      <w:r w:rsidRPr="00507382">
        <w:rPr>
          <w:lang w:val="es-ES"/>
        </w:rPr>
        <w:t>a Nueva Guinea</w:t>
      </w:r>
      <w:r w:rsidR="007E2943">
        <w:rPr>
          <w:lang w:val="es-ES"/>
        </w:rPr>
        <w:t>"</w:t>
      </w:r>
      <w:r w:rsidRPr="00507382">
        <w:rPr>
          <w:lang w:val="es-ES"/>
        </w:rPr>
        <w:t xml:space="preserve"> con un presupuesto total de 81,3 millones EUR (de los cuales 2,5 millones EUR para la</w:t>
      </w:r>
      <w:r w:rsidR="007E2943">
        <w:rPr>
          <w:lang w:val="es-ES"/>
        </w:rPr>
        <w:t> </w:t>
      </w:r>
      <w:r w:rsidRPr="00507382">
        <w:rPr>
          <w:lang w:val="es-ES"/>
        </w:rPr>
        <w:t>BDT).</w:t>
      </w:r>
    </w:p>
    <w:p w14:paraId="19854D54" w14:textId="77777777" w:rsidR="00507382" w:rsidRPr="00507382" w:rsidRDefault="00507382" w:rsidP="00507382">
      <w:pPr>
        <w:rPr>
          <w:lang w:val="es-ES"/>
        </w:rPr>
      </w:pPr>
      <w:r w:rsidRPr="00507382">
        <w:rPr>
          <w:lang w:val="es-ES"/>
        </w:rPr>
        <w:t>La conclusión de asociaciones no tradicionales con organismos de las Naciones Unidas hermanos permite a la BDT elevar su perfil y experiencia en otros sectores (ecosistema).</w:t>
      </w:r>
    </w:p>
    <w:p w14:paraId="29F43FEC" w14:textId="1103BA5C" w:rsidR="00507382" w:rsidRPr="00507382" w:rsidRDefault="00BC2AA5" w:rsidP="00BC2AA5">
      <w:pPr>
        <w:pStyle w:val="Heading1"/>
        <w:rPr>
          <w:lang w:val="en-US"/>
        </w:rPr>
      </w:pPr>
      <w:r>
        <w:rPr>
          <w:lang w:val="en-US"/>
        </w:rPr>
        <w:lastRenderedPageBreak/>
        <w:t>4</w:t>
      </w:r>
      <w:r>
        <w:rPr>
          <w:lang w:val="en-US"/>
        </w:rPr>
        <w:tab/>
      </w:r>
      <w:r w:rsidR="00507382" w:rsidRPr="00507382">
        <w:rPr>
          <w:lang w:val="en-US"/>
        </w:rPr>
        <w:t>Actividades futuras</w:t>
      </w:r>
    </w:p>
    <w:p w14:paraId="1A450140" w14:textId="250694D0" w:rsidR="00507382" w:rsidRPr="00507382" w:rsidRDefault="00507382" w:rsidP="00507382">
      <w:pPr>
        <w:rPr>
          <w:lang w:val="es-ES"/>
        </w:rPr>
      </w:pPr>
      <w:r w:rsidRPr="00507382">
        <w:rPr>
          <w:lang w:val="es-ES"/>
        </w:rPr>
        <w:t xml:space="preserve">Para reforzar la movilización de recursos y la creación de asociaciones en la BDT se ha contratado a una empresa de consultoría para elaborar un plan y una estrategia de movilización de recursos robusta y con miras de futuro. Esta estrategia y el correspondiente plan de acción tendrán en cuenta la evolución del sector de desarrollo y de los socios/donantes, así como las lecciones extraídas de los esfuerzos de movilización de recursos de la BDT pasados y actuales. También se ha contratado a un </w:t>
      </w:r>
      <w:r w:rsidR="00F613D8">
        <w:rPr>
          <w:lang w:val="es-ES"/>
        </w:rPr>
        <w:t>a</w:t>
      </w:r>
      <w:r w:rsidRPr="00507382">
        <w:rPr>
          <w:lang w:val="es-ES"/>
        </w:rPr>
        <w:t>sesor principal en movilización de recursos e implicación de interesados como apoyo a los constantes esfuerzos de la BDT por crear asociaciones y movilizar recursos. En el marco de la capacitación del personal, se ha previsto impartir este año una formación en movilización de recursos.</w:t>
      </w:r>
    </w:p>
    <w:p w14:paraId="644DB6C9" w14:textId="4D2E415C" w:rsidR="00507382" w:rsidRPr="00507382" w:rsidRDefault="00507382" w:rsidP="00507382">
      <w:pPr>
        <w:rPr>
          <w:lang w:val="es-ES"/>
        </w:rPr>
      </w:pPr>
      <w:r w:rsidRPr="00507382">
        <w:rPr>
          <w:lang w:val="es-ES"/>
        </w:rPr>
        <w:t xml:space="preserve">Habida cuenta de todo lo anterior, la BDT seguirá cultivando su relación con los socios actuales, identificando e implicando a nuevos socios con el objetivo de atraer recursos para financiar proyectos a gran escala en aplicación de los programas e </w:t>
      </w:r>
      <w:r w:rsidR="00F613D8">
        <w:rPr>
          <w:lang w:val="es-ES"/>
        </w:rPr>
        <w:t>i</w:t>
      </w:r>
      <w:r w:rsidRPr="00507382">
        <w:rPr>
          <w:lang w:val="es-ES"/>
        </w:rPr>
        <w:t xml:space="preserve">niciativas </w:t>
      </w:r>
      <w:r w:rsidR="00F613D8">
        <w:rPr>
          <w:lang w:val="es-ES"/>
        </w:rPr>
        <w:t>r</w:t>
      </w:r>
      <w:r w:rsidRPr="00507382">
        <w:rPr>
          <w:lang w:val="es-ES"/>
        </w:rPr>
        <w:t>egionales de la CMDT-17 a escala mundial, regional y nacional.</w:t>
      </w:r>
    </w:p>
    <w:p w14:paraId="7EA0FB2F" w14:textId="77777777" w:rsidR="00507382" w:rsidRPr="007E2943" w:rsidRDefault="00507382" w:rsidP="007E2943">
      <w:pPr>
        <w:rPr>
          <w:lang w:val="es-ES"/>
        </w:rPr>
      </w:pPr>
    </w:p>
    <w:p w14:paraId="00D12407" w14:textId="77777777" w:rsidR="00507382" w:rsidRDefault="00507382">
      <w:pPr>
        <w:jc w:val="center"/>
      </w:pPr>
      <w:r>
        <w:t>______________</w:t>
      </w:r>
    </w:p>
    <w:sectPr w:rsidR="00507382" w:rsidSect="004B7893">
      <w:headerReference w:type="default" r:id="rId13"/>
      <w:footerReference w:type="default" r:id="rId14"/>
      <w:footerReference w:type="first" r:id="rId15"/>
      <w:pgSz w:w="11906" w:h="16838" w:code="9"/>
      <w:pgMar w:top="1418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88D13F" w14:textId="77777777" w:rsidR="00507382" w:rsidRDefault="00507382" w:rsidP="0088106F">
      <w:r>
        <w:separator/>
      </w:r>
    </w:p>
  </w:endnote>
  <w:endnote w:type="continuationSeparator" w:id="0">
    <w:p w14:paraId="2A80FD0E" w14:textId="77777777" w:rsidR="00507382" w:rsidRDefault="00507382" w:rsidP="00881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71D7ED" w14:textId="3523373B" w:rsidR="0088106F" w:rsidRPr="009A6FC4" w:rsidRDefault="00D44AC9" w:rsidP="00856388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CF3DF6">
      <w:t>P:\ESP\ITU-D\CONF-D\TDAG20\000\007S.docx</w:t>
    </w:r>
    <w:r>
      <w:fldChar w:fldCharType="end"/>
    </w:r>
    <w:r w:rsidR="00856388">
      <w:t xml:space="preserve"> (465654)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23" w:type="dxa"/>
      <w:tblLayout w:type="fixed"/>
      <w:tblLook w:val="04A0" w:firstRow="1" w:lastRow="0" w:firstColumn="1" w:lastColumn="0" w:noHBand="0" w:noVBand="1"/>
    </w:tblPr>
    <w:tblGrid>
      <w:gridCol w:w="1134"/>
      <w:gridCol w:w="2552"/>
      <w:gridCol w:w="6237"/>
    </w:tblGrid>
    <w:tr w:rsidR="009D1BD4" w:rsidRPr="00856388" w14:paraId="3C1F4B3A" w14:textId="77777777" w:rsidTr="004E3CF5">
      <w:tc>
        <w:tcPr>
          <w:tcW w:w="1134" w:type="dxa"/>
          <w:tcBorders>
            <w:top w:val="single" w:sz="4" w:space="0" w:color="000000"/>
          </w:tcBorders>
          <w:shd w:val="clear" w:color="auto" w:fill="auto"/>
        </w:tcPr>
        <w:p w14:paraId="2B3503EB" w14:textId="77777777" w:rsidR="009D1BD4" w:rsidRPr="004D495C" w:rsidRDefault="009D1BD4" w:rsidP="009D1BD4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 w:rsidRPr="004D495C">
            <w:rPr>
              <w:sz w:val="18"/>
              <w:szCs w:val="18"/>
              <w:lang w:val="en-US"/>
            </w:rPr>
            <w:t>Contact</w:t>
          </w:r>
          <w:r>
            <w:rPr>
              <w:sz w:val="18"/>
              <w:szCs w:val="18"/>
              <w:lang w:val="en-US"/>
            </w:rPr>
            <w:t>o</w:t>
          </w:r>
          <w:r w:rsidRPr="004D495C">
            <w:rPr>
              <w:sz w:val="18"/>
              <w:szCs w:val="18"/>
              <w:lang w:val="en-US"/>
            </w:rPr>
            <w:t>:</w:t>
          </w:r>
        </w:p>
      </w:tc>
      <w:tc>
        <w:tcPr>
          <w:tcW w:w="2552" w:type="dxa"/>
          <w:tcBorders>
            <w:top w:val="single" w:sz="4" w:space="0" w:color="000000"/>
          </w:tcBorders>
          <w:shd w:val="clear" w:color="auto" w:fill="auto"/>
        </w:tcPr>
        <w:p w14:paraId="2BE42AFC" w14:textId="77777777" w:rsidR="009D1BD4" w:rsidRPr="004D495C" w:rsidRDefault="009D1BD4" w:rsidP="009D1BD4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N</w:t>
          </w:r>
          <w:r>
            <w:rPr>
              <w:sz w:val="18"/>
              <w:szCs w:val="18"/>
              <w:lang w:val="en-US"/>
            </w:rPr>
            <w:t>ombr</w:t>
          </w:r>
          <w:r w:rsidRPr="004D495C">
            <w:rPr>
              <w:sz w:val="18"/>
              <w:szCs w:val="18"/>
              <w:lang w:val="en-US"/>
            </w:rPr>
            <w:t>e/Organiza</w:t>
          </w:r>
          <w:r>
            <w:rPr>
              <w:sz w:val="18"/>
              <w:szCs w:val="18"/>
              <w:lang w:val="en-US"/>
            </w:rPr>
            <w:t>ción/Entidad</w:t>
          </w:r>
          <w:r w:rsidRPr="004D495C">
            <w:rPr>
              <w:sz w:val="18"/>
              <w:szCs w:val="18"/>
              <w:lang w:val="en-US"/>
            </w:rPr>
            <w:t>:</w:t>
          </w:r>
        </w:p>
      </w:tc>
      <w:tc>
        <w:tcPr>
          <w:tcW w:w="6237" w:type="dxa"/>
          <w:tcBorders>
            <w:top w:val="single" w:sz="4" w:space="0" w:color="000000"/>
          </w:tcBorders>
          <w:shd w:val="clear" w:color="auto" w:fill="auto"/>
        </w:tcPr>
        <w:p w14:paraId="6B51CC80" w14:textId="21EA98BD" w:rsidR="009D1BD4" w:rsidRPr="00856388" w:rsidRDefault="00856388" w:rsidP="00CF3DF6">
          <w:pPr>
            <w:pStyle w:val="FirstFooter"/>
            <w:tabs>
              <w:tab w:val="left" w:pos="2302"/>
            </w:tabs>
            <w:rPr>
              <w:sz w:val="18"/>
              <w:szCs w:val="18"/>
              <w:lang w:val="es-ES"/>
            </w:rPr>
          </w:pPr>
          <w:bookmarkStart w:id="6" w:name="OrgName"/>
          <w:bookmarkEnd w:id="6"/>
          <w:r w:rsidRPr="00856388">
            <w:rPr>
              <w:sz w:val="18"/>
              <w:szCs w:val="18"/>
              <w:lang w:val="es-ES"/>
            </w:rPr>
            <w:t>Dr. Cosmas Zavazava, Jefe del Departamento de Asociaciones para el Desarrollo Digital</w:t>
          </w:r>
          <w:r w:rsidR="00CF3DF6">
            <w:rPr>
              <w:sz w:val="18"/>
              <w:szCs w:val="18"/>
              <w:lang w:val="es-ES"/>
            </w:rPr>
            <w:t xml:space="preserve">, </w:t>
          </w:r>
          <w:r w:rsidRPr="00856388">
            <w:rPr>
              <w:sz w:val="18"/>
              <w:szCs w:val="18"/>
              <w:lang w:val="es-ES"/>
            </w:rPr>
            <w:t>Oficina de Desarrollo de las Telecomunicaciones</w:t>
          </w:r>
        </w:p>
      </w:tc>
    </w:tr>
    <w:tr w:rsidR="009D1BD4" w:rsidRPr="004D495C" w14:paraId="126D3BA4" w14:textId="77777777" w:rsidTr="004E3CF5">
      <w:tc>
        <w:tcPr>
          <w:tcW w:w="1134" w:type="dxa"/>
          <w:shd w:val="clear" w:color="auto" w:fill="auto"/>
        </w:tcPr>
        <w:p w14:paraId="1795CC4F" w14:textId="77777777" w:rsidR="009D1BD4" w:rsidRPr="00856388" w:rsidRDefault="009D1BD4" w:rsidP="009D1BD4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s-ES"/>
            </w:rPr>
          </w:pPr>
        </w:p>
      </w:tc>
      <w:tc>
        <w:tcPr>
          <w:tcW w:w="2552" w:type="dxa"/>
          <w:shd w:val="clear" w:color="auto" w:fill="auto"/>
        </w:tcPr>
        <w:p w14:paraId="68CBBD2D" w14:textId="77777777" w:rsidR="009D1BD4" w:rsidRPr="004D495C" w:rsidRDefault="009D1BD4" w:rsidP="009D1BD4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US"/>
            </w:rPr>
            <w:t>Teléfono</w:t>
          </w:r>
          <w:r w:rsidRPr="004D495C">
            <w:rPr>
              <w:sz w:val="18"/>
              <w:szCs w:val="18"/>
              <w:lang w:val="en-US"/>
            </w:rPr>
            <w:t>:</w:t>
          </w:r>
        </w:p>
      </w:tc>
      <w:tc>
        <w:tcPr>
          <w:tcW w:w="6237" w:type="dxa"/>
          <w:shd w:val="clear" w:color="auto" w:fill="auto"/>
        </w:tcPr>
        <w:p w14:paraId="6B255650" w14:textId="3CBB0322" w:rsidR="009D1BD4" w:rsidRPr="00050E06" w:rsidRDefault="00856388" w:rsidP="009D1BD4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bookmarkStart w:id="7" w:name="PhoneNo"/>
          <w:bookmarkEnd w:id="7"/>
          <w:r w:rsidRPr="00856388">
            <w:rPr>
              <w:sz w:val="18"/>
              <w:szCs w:val="18"/>
              <w:lang w:val="en-US"/>
            </w:rPr>
            <w:t>+41 22 730 5447</w:t>
          </w:r>
        </w:p>
      </w:tc>
    </w:tr>
    <w:tr w:rsidR="009D1BD4" w:rsidRPr="004D495C" w14:paraId="29FE420F" w14:textId="77777777" w:rsidTr="004E3CF5">
      <w:tc>
        <w:tcPr>
          <w:tcW w:w="1134" w:type="dxa"/>
          <w:shd w:val="clear" w:color="auto" w:fill="auto"/>
        </w:tcPr>
        <w:p w14:paraId="0395D0BB" w14:textId="77777777" w:rsidR="009D1BD4" w:rsidRPr="004D495C" w:rsidRDefault="009D1BD4" w:rsidP="009D1BD4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552" w:type="dxa"/>
          <w:shd w:val="clear" w:color="auto" w:fill="auto"/>
        </w:tcPr>
        <w:p w14:paraId="25755AB8" w14:textId="77777777" w:rsidR="009D1BD4" w:rsidRPr="004D495C" w:rsidRDefault="009D1BD4" w:rsidP="009D1BD4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US"/>
            </w:rPr>
            <w:t>Correo-e</w:t>
          </w:r>
          <w:r w:rsidRPr="004D495C">
            <w:rPr>
              <w:sz w:val="18"/>
              <w:szCs w:val="18"/>
              <w:lang w:val="en-US"/>
            </w:rPr>
            <w:t>:</w:t>
          </w:r>
        </w:p>
      </w:tc>
      <w:bookmarkStart w:id="8" w:name="Email"/>
      <w:bookmarkEnd w:id="8"/>
      <w:tc>
        <w:tcPr>
          <w:tcW w:w="6237" w:type="dxa"/>
          <w:shd w:val="clear" w:color="auto" w:fill="auto"/>
        </w:tcPr>
        <w:p w14:paraId="222614F2" w14:textId="7A507119" w:rsidR="009D1BD4" w:rsidRPr="00050E06" w:rsidRDefault="00856388" w:rsidP="009D1BD4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US"/>
            </w:rPr>
            <w:fldChar w:fldCharType="begin"/>
          </w:r>
          <w:r>
            <w:rPr>
              <w:sz w:val="18"/>
              <w:szCs w:val="18"/>
              <w:lang w:val="en-US"/>
            </w:rPr>
            <w:instrText xml:space="preserve"> HYPERLINK "mailto:</w:instrText>
          </w:r>
          <w:r w:rsidRPr="00856388">
            <w:rPr>
              <w:sz w:val="18"/>
              <w:szCs w:val="18"/>
              <w:lang w:val="en-US"/>
            </w:rPr>
            <w:instrText>cosmas.zavazava@itu.int</w:instrText>
          </w:r>
          <w:r>
            <w:rPr>
              <w:sz w:val="18"/>
              <w:szCs w:val="18"/>
              <w:lang w:val="en-US"/>
            </w:rPr>
            <w:instrText xml:space="preserve">" </w:instrText>
          </w:r>
          <w:r>
            <w:rPr>
              <w:sz w:val="18"/>
              <w:szCs w:val="18"/>
              <w:lang w:val="en-US"/>
            </w:rPr>
            <w:fldChar w:fldCharType="separate"/>
          </w:r>
          <w:r w:rsidRPr="0068386E">
            <w:rPr>
              <w:rStyle w:val="Hyperlink"/>
              <w:sz w:val="18"/>
              <w:szCs w:val="18"/>
              <w:lang w:val="en-US"/>
            </w:rPr>
            <w:t>cosmas.zavazava@itu.int</w:t>
          </w:r>
          <w:r>
            <w:rPr>
              <w:sz w:val="18"/>
              <w:szCs w:val="18"/>
              <w:lang w:val="en-US"/>
            </w:rPr>
            <w:fldChar w:fldCharType="end"/>
          </w:r>
        </w:p>
      </w:tc>
    </w:tr>
  </w:tbl>
  <w:p w14:paraId="1A60D2A9" w14:textId="77777777" w:rsidR="006E4AB3" w:rsidRPr="006E4AB3" w:rsidRDefault="00D44AC9" w:rsidP="00856388"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jc w:val="center"/>
      <w:rPr>
        <w:rFonts w:ascii="Calibri" w:hAnsi="Calibri"/>
        <w:caps/>
        <w:noProof/>
        <w:sz w:val="16"/>
      </w:rPr>
    </w:pPr>
    <w:hyperlink r:id="rId1" w:history="1">
      <w:r w:rsidR="00225D2E">
        <w:rPr>
          <w:rFonts w:ascii="Calibri" w:hAnsi="Calibri"/>
          <w:color w:val="0000FF"/>
          <w:sz w:val="18"/>
          <w:szCs w:val="18"/>
          <w:u w:val="single"/>
        </w:rPr>
        <w:t>GADT</w:t>
      </w:r>
    </w:hyperlink>
    <w:hyperlink r:id="rId2" w:history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9B2405" w14:textId="77777777" w:rsidR="00507382" w:rsidRDefault="00507382" w:rsidP="0088106F">
      <w:r>
        <w:separator/>
      </w:r>
    </w:p>
  </w:footnote>
  <w:footnote w:type="continuationSeparator" w:id="0">
    <w:p w14:paraId="389AB573" w14:textId="77777777" w:rsidR="00507382" w:rsidRDefault="00507382" w:rsidP="008810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0C3395" w14:textId="3553AA16" w:rsidR="009A6FC4" w:rsidRPr="00507382" w:rsidRDefault="009A6FC4" w:rsidP="00507382">
    <w:pPr>
      <w:tabs>
        <w:tab w:val="clear" w:pos="794"/>
        <w:tab w:val="clear" w:pos="1191"/>
        <w:tab w:val="clear" w:pos="1588"/>
        <w:tab w:val="clear" w:pos="1985"/>
        <w:tab w:val="center" w:pos="4536"/>
        <w:tab w:val="right" w:pos="9639"/>
      </w:tabs>
      <w:ind w:right="1"/>
      <w:rPr>
        <w:smallCaps/>
        <w:spacing w:val="24"/>
        <w:sz w:val="22"/>
        <w:szCs w:val="22"/>
        <w:lang w:val="en-US"/>
      </w:rPr>
    </w:pPr>
    <w:r w:rsidRPr="00972BCD">
      <w:rPr>
        <w:sz w:val="22"/>
        <w:szCs w:val="22"/>
      </w:rPr>
      <w:tab/>
    </w:r>
    <w:r w:rsidRPr="003D4CFB">
      <w:rPr>
        <w:sz w:val="22"/>
        <w:szCs w:val="22"/>
        <w:lang w:val="en-US"/>
      </w:rPr>
      <w:t>TDAG</w:t>
    </w:r>
    <w:r w:rsidR="00602B27">
      <w:rPr>
        <w:sz w:val="22"/>
        <w:szCs w:val="22"/>
        <w:lang w:val="en-US"/>
      </w:rPr>
      <w:t>-</w:t>
    </w:r>
    <w:r w:rsidR="00AA076A">
      <w:rPr>
        <w:sz w:val="22"/>
        <w:szCs w:val="22"/>
        <w:lang w:val="en-US"/>
      </w:rPr>
      <w:t>20</w:t>
    </w:r>
    <w:r w:rsidRPr="003D4CFB">
      <w:rPr>
        <w:sz w:val="22"/>
        <w:szCs w:val="22"/>
        <w:lang w:val="en-US"/>
      </w:rPr>
      <w:t>/</w:t>
    </w:r>
    <w:r w:rsidR="00507382">
      <w:rPr>
        <w:sz w:val="22"/>
        <w:szCs w:val="22"/>
        <w:lang w:val="en-US"/>
      </w:rPr>
      <w:t>7</w:t>
    </w:r>
    <w:r w:rsidRPr="003D4CFB">
      <w:rPr>
        <w:sz w:val="22"/>
        <w:szCs w:val="22"/>
        <w:lang w:val="en-US"/>
      </w:rPr>
      <w:t>-S</w:t>
    </w:r>
    <w:r w:rsidRPr="009A6FC4">
      <w:rPr>
        <w:sz w:val="22"/>
        <w:szCs w:val="22"/>
        <w:lang w:val="en-US"/>
      </w:rPr>
      <w:tab/>
    </w:r>
    <w:r w:rsidRPr="00877904">
      <w:rPr>
        <w:rStyle w:val="PageNumber"/>
        <w:sz w:val="22"/>
        <w:szCs w:val="22"/>
        <w:lang w:val="es-ES_tradnl"/>
      </w:rPr>
      <w:t>Página</w:t>
    </w:r>
    <w:r w:rsidRPr="009A6FC4">
      <w:rPr>
        <w:sz w:val="22"/>
        <w:szCs w:val="22"/>
        <w:lang w:val="en-US"/>
      </w:rPr>
      <w:t xml:space="preserve"> </w:t>
    </w:r>
    <w:r w:rsidRPr="00972BCD">
      <w:rPr>
        <w:sz w:val="22"/>
        <w:szCs w:val="22"/>
      </w:rPr>
      <w:fldChar w:fldCharType="begin"/>
    </w:r>
    <w:r w:rsidRPr="009A6FC4">
      <w:rPr>
        <w:sz w:val="22"/>
        <w:szCs w:val="22"/>
        <w:lang w:val="en-US"/>
      </w:rPr>
      <w:instrText xml:space="preserve"> PAGE </w:instrText>
    </w:r>
    <w:r w:rsidRPr="00972BCD">
      <w:rPr>
        <w:sz w:val="22"/>
        <w:szCs w:val="22"/>
      </w:rPr>
      <w:fldChar w:fldCharType="separate"/>
    </w:r>
    <w:r w:rsidR="0086435F">
      <w:rPr>
        <w:noProof/>
        <w:sz w:val="22"/>
        <w:szCs w:val="22"/>
        <w:lang w:val="en-US"/>
      </w:rPr>
      <w:t>2</w:t>
    </w:r>
    <w:r w:rsidRPr="00972BCD">
      <w:rPr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F001DC"/>
    <w:multiLevelType w:val="hybridMultilevel"/>
    <w:tmpl w:val="DA2C749E"/>
    <w:lvl w:ilvl="0" w:tplc="AA341FB6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672AF5"/>
    <w:multiLevelType w:val="multilevel"/>
    <w:tmpl w:val="4E322B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lang w:val="en-GB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71C0318B"/>
    <w:multiLevelType w:val="hybridMultilevel"/>
    <w:tmpl w:val="A378D7DA"/>
    <w:lvl w:ilvl="0" w:tplc="B80E9A4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D7714B9"/>
    <w:multiLevelType w:val="hybridMultilevel"/>
    <w:tmpl w:val="84589624"/>
    <w:lvl w:ilvl="0" w:tplc="AB12639A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382"/>
    <w:rsid w:val="000135AE"/>
    <w:rsid w:val="00033D49"/>
    <w:rsid w:val="000725A1"/>
    <w:rsid w:val="000C0AA7"/>
    <w:rsid w:val="000E7A0A"/>
    <w:rsid w:val="00194CB2"/>
    <w:rsid w:val="00213302"/>
    <w:rsid w:val="00221C14"/>
    <w:rsid w:val="00225D2E"/>
    <w:rsid w:val="00241CB9"/>
    <w:rsid w:val="002A7FAB"/>
    <w:rsid w:val="002D4BE6"/>
    <w:rsid w:val="002D6772"/>
    <w:rsid w:val="00302736"/>
    <w:rsid w:val="0033649F"/>
    <w:rsid w:val="00360762"/>
    <w:rsid w:val="00390391"/>
    <w:rsid w:val="003D4CFB"/>
    <w:rsid w:val="0043381D"/>
    <w:rsid w:val="00482632"/>
    <w:rsid w:val="00485B05"/>
    <w:rsid w:val="004B7893"/>
    <w:rsid w:val="004E7206"/>
    <w:rsid w:val="004E7861"/>
    <w:rsid w:val="00507382"/>
    <w:rsid w:val="00535C50"/>
    <w:rsid w:val="005557A3"/>
    <w:rsid w:val="005637B9"/>
    <w:rsid w:val="005643DC"/>
    <w:rsid w:val="00601CDB"/>
    <w:rsid w:val="00602B27"/>
    <w:rsid w:val="006339E7"/>
    <w:rsid w:val="00635A62"/>
    <w:rsid w:val="006E4AB3"/>
    <w:rsid w:val="006F39EB"/>
    <w:rsid w:val="007C3061"/>
    <w:rsid w:val="007E2943"/>
    <w:rsid w:val="007E471D"/>
    <w:rsid w:val="00835A77"/>
    <w:rsid w:val="00856388"/>
    <w:rsid w:val="0086435F"/>
    <w:rsid w:val="0088106F"/>
    <w:rsid w:val="008B7227"/>
    <w:rsid w:val="008C1852"/>
    <w:rsid w:val="008D789A"/>
    <w:rsid w:val="00917B12"/>
    <w:rsid w:val="00926573"/>
    <w:rsid w:val="009752D2"/>
    <w:rsid w:val="00991B13"/>
    <w:rsid w:val="009952F6"/>
    <w:rsid w:val="009A6FC4"/>
    <w:rsid w:val="009D1BD4"/>
    <w:rsid w:val="009D7153"/>
    <w:rsid w:val="00A33516"/>
    <w:rsid w:val="00A87DD9"/>
    <w:rsid w:val="00AA076A"/>
    <w:rsid w:val="00AE0F47"/>
    <w:rsid w:val="00AE1BA7"/>
    <w:rsid w:val="00AF563E"/>
    <w:rsid w:val="00B9299D"/>
    <w:rsid w:val="00BC2AA5"/>
    <w:rsid w:val="00BC7208"/>
    <w:rsid w:val="00CF3DF6"/>
    <w:rsid w:val="00D16175"/>
    <w:rsid w:val="00D372A5"/>
    <w:rsid w:val="00D44AC9"/>
    <w:rsid w:val="00E17138"/>
    <w:rsid w:val="00E204A0"/>
    <w:rsid w:val="00E3519F"/>
    <w:rsid w:val="00E51C72"/>
    <w:rsid w:val="00E827C2"/>
    <w:rsid w:val="00EB6D19"/>
    <w:rsid w:val="00ED2681"/>
    <w:rsid w:val="00F01E28"/>
    <w:rsid w:val="00F12690"/>
    <w:rsid w:val="00F613D8"/>
    <w:rsid w:val="00FA67A2"/>
    <w:rsid w:val="00FD3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B12E2D6"/>
  <w15:docId w15:val="{9FBD7C40-7306-41A4-BC1F-D396A9B59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330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eastAsia="Times New Roman" w:cs="Times New Roman"/>
      <w:sz w:val="24"/>
      <w:szCs w:val="2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F39EB"/>
    <w:pPr>
      <w:keepNext/>
      <w:keepLines/>
      <w:spacing w:before="2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6F39E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qFormat/>
    <w:rsid w:val="006F39EB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qFormat/>
    <w:rsid w:val="006F39EB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6F39EB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6F39EB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6F39EB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6F39EB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6F39E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F39EB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6F39EB"/>
    <w:rPr>
      <w:rFonts w:eastAsia="Times New Roman" w:cs="Times New Roman"/>
      <w:sz w:val="18"/>
      <w:szCs w:val="20"/>
      <w:lang w:eastAsia="en-US"/>
    </w:rPr>
  </w:style>
  <w:style w:type="paragraph" w:styleId="Footer">
    <w:name w:val="footer"/>
    <w:basedOn w:val="Normal"/>
    <w:link w:val="FooterChar"/>
    <w:rsid w:val="006F39EB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6F39EB"/>
    <w:rPr>
      <w:rFonts w:eastAsia="Times New Roman" w:cs="Times New Roman"/>
      <w:caps/>
      <w:noProof/>
      <w:sz w:val="16"/>
      <w:szCs w:val="20"/>
      <w:lang w:eastAsia="en-US"/>
    </w:rPr>
  </w:style>
  <w:style w:type="character" w:styleId="Hyperlink">
    <w:name w:val="Hyperlink"/>
    <w:basedOn w:val="DefaultParagraphFont"/>
    <w:uiPriority w:val="99"/>
    <w:unhideWhenUsed/>
    <w:rsid w:val="0088106F"/>
    <w:rPr>
      <w:color w:val="0000FF" w:themeColor="hyperlink"/>
      <w:u w:val="single"/>
    </w:rPr>
  </w:style>
  <w:style w:type="paragraph" w:customStyle="1" w:styleId="FirstFooter">
    <w:name w:val="FirstFooter"/>
    <w:basedOn w:val="Footer"/>
    <w:rsid w:val="006F39E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table" w:styleId="TableGrid">
    <w:name w:val="Table Grid"/>
    <w:basedOn w:val="TableNormal"/>
    <w:rsid w:val="006F39EB"/>
    <w:pPr>
      <w:spacing w:after="0" w:line="240" w:lineRule="auto"/>
    </w:pPr>
    <w:rPr>
      <w:rFonts w:ascii="CG Times" w:eastAsia="Times New Roman" w:hAnsi="CG Times" w:cs="Times New Roman"/>
      <w:sz w:val="20"/>
      <w:szCs w:val="20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nnexNo">
    <w:name w:val="Annex_No"/>
    <w:basedOn w:val="Normal"/>
    <w:next w:val="Normal"/>
    <w:rsid w:val="006F39E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6F39EB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6F39EB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6F39EB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6F39EB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6F39EB"/>
  </w:style>
  <w:style w:type="paragraph" w:customStyle="1" w:styleId="Appendixref">
    <w:name w:val="Appendix_ref"/>
    <w:basedOn w:val="Annexref"/>
    <w:next w:val="Annextitle"/>
    <w:rsid w:val="006F39EB"/>
  </w:style>
  <w:style w:type="paragraph" w:customStyle="1" w:styleId="Appendixtitle">
    <w:name w:val="Appendix_title"/>
    <w:basedOn w:val="Annextitle"/>
    <w:next w:val="Normal"/>
    <w:rsid w:val="006F39EB"/>
  </w:style>
  <w:style w:type="character" w:customStyle="1" w:styleId="Artdef">
    <w:name w:val="Art_def"/>
    <w:basedOn w:val="DefaultParagraphFont"/>
    <w:rsid w:val="006F39EB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"/>
    <w:rsid w:val="006F39E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6F39EB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6F39EB"/>
    <w:rPr>
      <w:rFonts w:asciiTheme="minorHAnsi" w:hAnsiTheme="minorHAnsi"/>
    </w:rPr>
  </w:style>
  <w:style w:type="paragraph" w:customStyle="1" w:styleId="Arttitle">
    <w:name w:val="Art_title"/>
    <w:basedOn w:val="Normal"/>
    <w:next w:val="Normal"/>
    <w:rsid w:val="006F39EB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6F39E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6F39EB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Normal"/>
    <w:rsid w:val="006F39EB"/>
    <w:rPr>
      <w:b/>
    </w:rPr>
  </w:style>
  <w:style w:type="paragraph" w:customStyle="1" w:styleId="Chaptitle">
    <w:name w:val="Chap_title"/>
    <w:basedOn w:val="Arttitle"/>
    <w:next w:val="Normal"/>
    <w:rsid w:val="006F39EB"/>
  </w:style>
  <w:style w:type="paragraph" w:customStyle="1" w:styleId="Committee">
    <w:name w:val="Committee"/>
    <w:basedOn w:val="Normal"/>
    <w:qFormat/>
    <w:rsid w:val="006F39EB"/>
    <w:rPr>
      <w:rFonts w:cs="Times New Roman Bold"/>
      <w:b/>
      <w:caps/>
    </w:rPr>
  </w:style>
  <w:style w:type="paragraph" w:customStyle="1" w:styleId="ddate">
    <w:name w:val="ddate"/>
    <w:basedOn w:val="Normal"/>
    <w:rsid w:val="006F39EB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6F39EB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6F39EB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6F39EB"/>
    <w:rPr>
      <w:vertAlign w:val="superscript"/>
    </w:rPr>
  </w:style>
  <w:style w:type="paragraph" w:customStyle="1" w:styleId="enumlev1">
    <w:name w:val="enumlev1"/>
    <w:basedOn w:val="Normal"/>
    <w:rsid w:val="006F39EB"/>
    <w:pPr>
      <w:spacing w:before="80"/>
      <w:ind w:left="794" w:hanging="794"/>
    </w:pPr>
  </w:style>
  <w:style w:type="paragraph" w:customStyle="1" w:styleId="enumlev2">
    <w:name w:val="enumlev2"/>
    <w:basedOn w:val="enumlev1"/>
    <w:rsid w:val="006F39EB"/>
    <w:pPr>
      <w:ind w:left="1191" w:hanging="397"/>
    </w:pPr>
  </w:style>
  <w:style w:type="paragraph" w:customStyle="1" w:styleId="enumlev3">
    <w:name w:val="enumlev3"/>
    <w:basedOn w:val="enumlev2"/>
    <w:rsid w:val="006F39EB"/>
    <w:pPr>
      <w:ind w:left="1588"/>
    </w:pPr>
  </w:style>
  <w:style w:type="paragraph" w:customStyle="1" w:styleId="Equation">
    <w:name w:val="Equation"/>
    <w:basedOn w:val="Normal"/>
    <w:rsid w:val="006F39E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6F39EB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  <w:rPr>
      <w:lang w:val="en-GB"/>
    </w:rPr>
  </w:style>
  <w:style w:type="paragraph" w:customStyle="1" w:styleId="Figurelegend">
    <w:name w:val="Figure_legend"/>
    <w:basedOn w:val="Normal"/>
    <w:rsid w:val="006F39E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6F39EB"/>
    <w:pPr>
      <w:keepNext/>
      <w:keepLines/>
      <w:spacing w:before="480" w:after="120"/>
      <w:jc w:val="center"/>
    </w:pPr>
    <w:rPr>
      <w:caps/>
      <w:lang w:val="en-GB"/>
    </w:rPr>
  </w:style>
  <w:style w:type="paragraph" w:customStyle="1" w:styleId="Tabletitle">
    <w:name w:val="Table_title"/>
    <w:basedOn w:val="Normal"/>
    <w:next w:val="Normal"/>
    <w:rsid w:val="006F39EB"/>
    <w:pPr>
      <w:keepNext/>
      <w:keepLines/>
      <w:spacing w:before="0" w:after="120"/>
      <w:jc w:val="center"/>
    </w:pPr>
    <w:rPr>
      <w:b/>
      <w:lang w:val="en-GB"/>
    </w:rPr>
  </w:style>
  <w:style w:type="paragraph" w:customStyle="1" w:styleId="Figuretitle">
    <w:name w:val="Figure_title"/>
    <w:basedOn w:val="Tabletitle"/>
    <w:next w:val="Normal"/>
    <w:rsid w:val="006F39EB"/>
    <w:pPr>
      <w:keepNext w:val="0"/>
      <w:spacing w:after="480"/>
    </w:pPr>
  </w:style>
  <w:style w:type="paragraph" w:customStyle="1" w:styleId="Figurewithouttitle">
    <w:name w:val="Figure_without_title"/>
    <w:basedOn w:val="FigureNo"/>
    <w:next w:val="Normal"/>
    <w:rsid w:val="006F39EB"/>
    <w:pPr>
      <w:keepNext w:val="0"/>
    </w:pPr>
  </w:style>
  <w:style w:type="character" w:styleId="FootnoteReference">
    <w:name w:val="footnote reference"/>
    <w:basedOn w:val="DefaultParagraphFont"/>
    <w:rsid w:val="006F39EB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link w:val="FootnoteTextChar"/>
    <w:rsid w:val="006F39EB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rsid w:val="006F39EB"/>
    <w:rPr>
      <w:rFonts w:eastAsia="Times New Roman" w:cs="Times New Roman"/>
      <w:sz w:val="24"/>
      <w:szCs w:val="20"/>
      <w:lang w:eastAsia="en-US"/>
    </w:rPr>
  </w:style>
  <w:style w:type="character" w:customStyle="1" w:styleId="Heading1Char">
    <w:name w:val="Heading 1 Char"/>
    <w:basedOn w:val="DefaultParagraphFont"/>
    <w:link w:val="Heading1"/>
    <w:rsid w:val="006F39EB"/>
    <w:rPr>
      <w:rFonts w:eastAsia="Times New Roman" w:cs="Times New Roman"/>
      <w:b/>
      <w:sz w:val="28"/>
      <w:szCs w:val="20"/>
      <w:lang w:eastAsia="en-US"/>
    </w:rPr>
  </w:style>
  <w:style w:type="character" w:customStyle="1" w:styleId="Heading2Char">
    <w:name w:val="Heading 2 Char"/>
    <w:basedOn w:val="DefaultParagraphFont"/>
    <w:link w:val="Heading2"/>
    <w:rsid w:val="006F39EB"/>
    <w:rPr>
      <w:rFonts w:eastAsia="Times New Roman" w:cs="Times New Roman"/>
      <w:b/>
      <w:sz w:val="24"/>
      <w:szCs w:val="20"/>
      <w:lang w:eastAsia="en-US"/>
    </w:rPr>
  </w:style>
  <w:style w:type="character" w:customStyle="1" w:styleId="Heading3Char">
    <w:name w:val="Heading 3 Char"/>
    <w:basedOn w:val="DefaultParagraphFont"/>
    <w:link w:val="Heading3"/>
    <w:rsid w:val="006F39EB"/>
    <w:rPr>
      <w:rFonts w:eastAsia="Times New Roman" w:cs="Times New Roman"/>
      <w:b/>
      <w:sz w:val="24"/>
      <w:szCs w:val="20"/>
      <w:lang w:eastAsia="en-US"/>
    </w:rPr>
  </w:style>
  <w:style w:type="character" w:customStyle="1" w:styleId="Heading4Char">
    <w:name w:val="Heading 4 Char"/>
    <w:basedOn w:val="DefaultParagraphFont"/>
    <w:link w:val="Heading4"/>
    <w:rsid w:val="006F39EB"/>
    <w:rPr>
      <w:rFonts w:eastAsia="Times New Roman" w:cs="Times New Roman"/>
      <w:b/>
      <w:sz w:val="24"/>
      <w:szCs w:val="20"/>
      <w:lang w:eastAsia="en-US"/>
    </w:rPr>
  </w:style>
  <w:style w:type="character" w:customStyle="1" w:styleId="Heading5Char">
    <w:name w:val="Heading 5 Char"/>
    <w:basedOn w:val="DefaultParagraphFont"/>
    <w:link w:val="Heading5"/>
    <w:rsid w:val="006F39EB"/>
    <w:rPr>
      <w:rFonts w:eastAsia="Times New Roman" w:cs="Times New Roman"/>
      <w:b/>
      <w:sz w:val="24"/>
      <w:szCs w:val="20"/>
      <w:lang w:eastAsia="en-US"/>
    </w:rPr>
  </w:style>
  <w:style w:type="character" w:customStyle="1" w:styleId="Heading6Char">
    <w:name w:val="Heading 6 Char"/>
    <w:basedOn w:val="DefaultParagraphFont"/>
    <w:link w:val="Heading6"/>
    <w:rsid w:val="006F39EB"/>
    <w:rPr>
      <w:rFonts w:eastAsia="Times New Roman" w:cs="Times New Roman"/>
      <w:b/>
      <w:sz w:val="24"/>
      <w:szCs w:val="20"/>
      <w:lang w:eastAsia="en-US"/>
    </w:rPr>
  </w:style>
  <w:style w:type="character" w:customStyle="1" w:styleId="Heading7Char">
    <w:name w:val="Heading 7 Char"/>
    <w:basedOn w:val="DefaultParagraphFont"/>
    <w:link w:val="Heading7"/>
    <w:rsid w:val="006F39EB"/>
    <w:rPr>
      <w:rFonts w:eastAsia="Times New Roman" w:cs="Times New Roman"/>
      <w:b/>
      <w:sz w:val="24"/>
      <w:szCs w:val="20"/>
      <w:lang w:eastAsia="en-US"/>
    </w:rPr>
  </w:style>
  <w:style w:type="character" w:customStyle="1" w:styleId="Heading8Char">
    <w:name w:val="Heading 8 Char"/>
    <w:basedOn w:val="DefaultParagraphFont"/>
    <w:link w:val="Heading8"/>
    <w:rsid w:val="006F39EB"/>
    <w:rPr>
      <w:rFonts w:eastAsia="Times New Roman" w:cs="Times New Roman"/>
      <w:b/>
      <w:sz w:val="24"/>
      <w:szCs w:val="20"/>
      <w:lang w:eastAsia="en-US"/>
    </w:rPr>
  </w:style>
  <w:style w:type="character" w:customStyle="1" w:styleId="Heading9Char">
    <w:name w:val="Heading 9 Char"/>
    <w:basedOn w:val="DefaultParagraphFont"/>
    <w:link w:val="Heading9"/>
    <w:rsid w:val="006F39EB"/>
    <w:rPr>
      <w:rFonts w:eastAsia="Times New Roman" w:cs="Times New Roman"/>
      <w:b/>
      <w:sz w:val="24"/>
      <w:szCs w:val="20"/>
      <w:lang w:eastAsia="en-US"/>
    </w:rPr>
  </w:style>
  <w:style w:type="paragraph" w:customStyle="1" w:styleId="Headingb">
    <w:name w:val="Heading_b"/>
    <w:basedOn w:val="Normal"/>
    <w:next w:val="Normal"/>
    <w:rsid w:val="006F39EB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6F39EB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6F39EB"/>
  </w:style>
  <w:style w:type="paragraph" w:styleId="Index2">
    <w:name w:val="index 2"/>
    <w:basedOn w:val="Normal"/>
    <w:next w:val="Normal"/>
    <w:semiHidden/>
    <w:rsid w:val="006F39EB"/>
    <w:pPr>
      <w:ind w:left="283"/>
    </w:pPr>
  </w:style>
  <w:style w:type="paragraph" w:styleId="Index3">
    <w:name w:val="index 3"/>
    <w:basedOn w:val="Normal"/>
    <w:next w:val="Normal"/>
    <w:semiHidden/>
    <w:rsid w:val="006F39EB"/>
    <w:pPr>
      <w:ind w:left="566"/>
    </w:pPr>
  </w:style>
  <w:style w:type="paragraph" w:styleId="Index4">
    <w:name w:val="index 4"/>
    <w:basedOn w:val="Normal"/>
    <w:next w:val="Normal"/>
    <w:semiHidden/>
    <w:rsid w:val="006F39EB"/>
    <w:pPr>
      <w:ind w:left="849"/>
    </w:pPr>
  </w:style>
  <w:style w:type="paragraph" w:styleId="Index5">
    <w:name w:val="index 5"/>
    <w:basedOn w:val="Normal"/>
    <w:next w:val="Normal"/>
    <w:semiHidden/>
    <w:rsid w:val="006F39EB"/>
    <w:pPr>
      <w:ind w:left="1132"/>
    </w:pPr>
  </w:style>
  <w:style w:type="paragraph" w:styleId="Index6">
    <w:name w:val="index 6"/>
    <w:basedOn w:val="Normal"/>
    <w:next w:val="Normal"/>
    <w:semiHidden/>
    <w:rsid w:val="006F39EB"/>
    <w:pPr>
      <w:ind w:left="1415"/>
    </w:pPr>
  </w:style>
  <w:style w:type="paragraph" w:styleId="Index7">
    <w:name w:val="index 7"/>
    <w:basedOn w:val="Normal"/>
    <w:next w:val="Normal"/>
    <w:semiHidden/>
    <w:rsid w:val="006F39EB"/>
    <w:pPr>
      <w:ind w:left="1698"/>
    </w:pPr>
  </w:style>
  <w:style w:type="paragraph" w:styleId="IndexHeading">
    <w:name w:val="index heading"/>
    <w:basedOn w:val="Normal"/>
    <w:next w:val="Index1"/>
    <w:semiHidden/>
    <w:rsid w:val="006F39EB"/>
  </w:style>
  <w:style w:type="character" w:styleId="LineNumber">
    <w:name w:val="line number"/>
    <w:rsid w:val="006F39EB"/>
    <w:rPr>
      <w:rFonts w:asciiTheme="minorHAnsi" w:hAnsiTheme="minorHAnsi"/>
    </w:rPr>
  </w:style>
  <w:style w:type="paragraph" w:customStyle="1" w:styleId="Normalaftertitle">
    <w:name w:val="Normal after title"/>
    <w:basedOn w:val="Normal"/>
    <w:next w:val="Normal"/>
    <w:rsid w:val="00E51C72"/>
    <w:pPr>
      <w:spacing w:before="280"/>
    </w:pPr>
  </w:style>
  <w:style w:type="paragraph" w:styleId="NormalIndent">
    <w:name w:val="Normal Indent"/>
    <w:basedOn w:val="Normal"/>
    <w:rsid w:val="006F39EB"/>
    <w:pPr>
      <w:ind w:left="794"/>
    </w:pPr>
  </w:style>
  <w:style w:type="paragraph" w:customStyle="1" w:styleId="Note">
    <w:name w:val="Note"/>
    <w:basedOn w:val="Normal"/>
    <w:rsid w:val="006F39EB"/>
    <w:pPr>
      <w:spacing w:before="80"/>
    </w:pPr>
  </w:style>
  <w:style w:type="character" w:styleId="PageNumber">
    <w:name w:val="page number"/>
    <w:basedOn w:val="DefaultParagraphFont"/>
    <w:rsid w:val="006F39EB"/>
    <w:rPr>
      <w:rFonts w:asciiTheme="minorHAnsi" w:hAnsiTheme="minorHAnsi"/>
    </w:rPr>
  </w:style>
  <w:style w:type="paragraph" w:customStyle="1" w:styleId="PartNo">
    <w:name w:val="Part_No"/>
    <w:basedOn w:val="AnnexNo"/>
    <w:next w:val="Normal"/>
    <w:rsid w:val="006F39EB"/>
  </w:style>
  <w:style w:type="paragraph" w:customStyle="1" w:styleId="Partref">
    <w:name w:val="Part_ref"/>
    <w:basedOn w:val="Annexref"/>
    <w:next w:val="Normal"/>
    <w:rsid w:val="006F39EB"/>
  </w:style>
  <w:style w:type="paragraph" w:customStyle="1" w:styleId="Parttitle">
    <w:name w:val="Part_title"/>
    <w:basedOn w:val="Annextitle"/>
    <w:next w:val="Normalaftertitle"/>
    <w:rsid w:val="006F39EB"/>
  </w:style>
  <w:style w:type="paragraph" w:customStyle="1" w:styleId="RecNo">
    <w:name w:val="Rec_No"/>
    <w:basedOn w:val="Normal"/>
    <w:next w:val="Normal"/>
    <w:rsid w:val="006F39E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6F39EB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Normal"/>
    <w:rsid w:val="006F39EB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6F39E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F39EB"/>
  </w:style>
  <w:style w:type="paragraph" w:customStyle="1" w:styleId="QuestionNo">
    <w:name w:val="Question_No"/>
    <w:basedOn w:val="RecNo"/>
    <w:next w:val="Normal"/>
    <w:rsid w:val="006F39EB"/>
  </w:style>
  <w:style w:type="paragraph" w:customStyle="1" w:styleId="Questionref">
    <w:name w:val="Question_ref"/>
    <w:basedOn w:val="Normal"/>
    <w:next w:val="Questiondate"/>
    <w:rsid w:val="006F39EB"/>
  </w:style>
  <w:style w:type="paragraph" w:customStyle="1" w:styleId="Questiontitle">
    <w:name w:val="Question_title"/>
    <w:basedOn w:val="Rectitle"/>
    <w:next w:val="Questionref"/>
    <w:rsid w:val="006F39EB"/>
  </w:style>
  <w:style w:type="character" w:customStyle="1" w:styleId="Recdef">
    <w:name w:val="Rec_def"/>
    <w:basedOn w:val="DefaultParagraphFont"/>
    <w:rsid w:val="006F39EB"/>
    <w:rPr>
      <w:rFonts w:asciiTheme="minorHAnsi" w:hAnsiTheme="minorHAnsi"/>
      <w:b/>
    </w:rPr>
  </w:style>
  <w:style w:type="paragraph" w:customStyle="1" w:styleId="Reftext">
    <w:name w:val="Ref_text"/>
    <w:basedOn w:val="Normal"/>
    <w:rsid w:val="006F39EB"/>
    <w:pPr>
      <w:ind w:left="794" w:hanging="794"/>
    </w:pPr>
  </w:style>
  <w:style w:type="paragraph" w:customStyle="1" w:styleId="Reftitle">
    <w:name w:val="Ref_title"/>
    <w:basedOn w:val="Normal"/>
    <w:next w:val="Reftext"/>
    <w:rsid w:val="006F39E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6F39EB"/>
  </w:style>
  <w:style w:type="paragraph" w:customStyle="1" w:styleId="RepNo">
    <w:name w:val="Rep_No"/>
    <w:basedOn w:val="RecNo"/>
    <w:next w:val="Normal"/>
    <w:rsid w:val="006F39EB"/>
  </w:style>
  <w:style w:type="paragraph" w:customStyle="1" w:styleId="Repref">
    <w:name w:val="Rep_ref"/>
    <w:basedOn w:val="Recref"/>
    <w:next w:val="Repdate"/>
    <w:rsid w:val="006F39EB"/>
  </w:style>
  <w:style w:type="paragraph" w:customStyle="1" w:styleId="Reptitle">
    <w:name w:val="Rep_title"/>
    <w:basedOn w:val="Rectitle"/>
    <w:next w:val="Repref"/>
    <w:rsid w:val="006F39EB"/>
  </w:style>
  <w:style w:type="paragraph" w:customStyle="1" w:styleId="Resdate">
    <w:name w:val="Res_date"/>
    <w:basedOn w:val="Recdate"/>
    <w:next w:val="Normalaftertitle"/>
    <w:rsid w:val="006F39EB"/>
  </w:style>
  <w:style w:type="character" w:customStyle="1" w:styleId="Resdef">
    <w:name w:val="Res_def"/>
    <w:basedOn w:val="DefaultParagraphFont"/>
    <w:rsid w:val="006F39EB"/>
    <w:rPr>
      <w:rFonts w:asciiTheme="minorHAnsi" w:hAnsiTheme="minorHAnsi"/>
      <w:b/>
    </w:rPr>
  </w:style>
  <w:style w:type="paragraph" w:customStyle="1" w:styleId="ResNo">
    <w:name w:val="Res_No"/>
    <w:basedOn w:val="RecNo"/>
    <w:next w:val="Normal"/>
    <w:rsid w:val="006F39EB"/>
  </w:style>
  <w:style w:type="paragraph" w:customStyle="1" w:styleId="Resref">
    <w:name w:val="Res_ref"/>
    <w:basedOn w:val="Recref"/>
    <w:next w:val="Resdate"/>
    <w:rsid w:val="006F39EB"/>
  </w:style>
  <w:style w:type="paragraph" w:customStyle="1" w:styleId="Restitle">
    <w:name w:val="Res_title"/>
    <w:basedOn w:val="Rectitle"/>
    <w:next w:val="Resref"/>
    <w:rsid w:val="006F39EB"/>
  </w:style>
  <w:style w:type="paragraph" w:customStyle="1" w:styleId="SectionNo">
    <w:name w:val="Section_No"/>
    <w:basedOn w:val="AnnexNo"/>
    <w:next w:val="Normal"/>
    <w:rsid w:val="006F39EB"/>
  </w:style>
  <w:style w:type="paragraph" w:customStyle="1" w:styleId="Sectiontitle">
    <w:name w:val="Section_title"/>
    <w:basedOn w:val="Annextitle"/>
    <w:next w:val="Normalaftertitle"/>
    <w:rsid w:val="006F39EB"/>
  </w:style>
  <w:style w:type="paragraph" w:customStyle="1" w:styleId="Source">
    <w:name w:val="Source"/>
    <w:basedOn w:val="Normal"/>
    <w:next w:val="Normalaftertitle"/>
    <w:rsid w:val="00991B13"/>
    <w:pPr>
      <w:spacing w:before="240" w:after="24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6F39E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/>
    </w:rPr>
  </w:style>
  <w:style w:type="character" w:customStyle="1" w:styleId="Tablefreq">
    <w:name w:val="Table_freq"/>
    <w:basedOn w:val="DefaultParagraphFont"/>
    <w:rsid w:val="006F39EB"/>
    <w:rPr>
      <w:rFonts w:asciiTheme="minorHAnsi" w:hAnsiTheme="minorHAnsi"/>
      <w:b/>
      <w:color w:val="auto"/>
    </w:rPr>
  </w:style>
  <w:style w:type="paragraph" w:customStyle="1" w:styleId="Tabletext">
    <w:name w:val="Table_text"/>
    <w:basedOn w:val="Normal"/>
    <w:rsid w:val="006F39E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head">
    <w:name w:val="Table_head"/>
    <w:basedOn w:val="Tabletext"/>
    <w:next w:val="Tabletext"/>
    <w:rsid w:val="006F39EB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6F39EB"/>
    <w:pPr>
      <w:spacing w:before="120"/>
    </w:pPr>
  </w:style>
  <w:style w:type="paragraph" w:customStyle="1" w:styleId="TableNo">
    <w:name w:val="Table_No"/>
    <w:basedOn w:val="Normal"/>
    <w:next w:val="Tabletitle"/>
    <w:rsid w:val="006F39EB"/>
    <w:pPr>
      <w:keepNext/>
      <w:spacing w:before="560" w:after="120"/>
      <w:jc w:val="center"/>
    </w:pPr>
    <w:rPr>
      <w:caps/>
      <w:lang w:val="en-GB"/>
    </w:rPr>
  </w:style>
  <w:style w:type="paragraph" w:customStyle="1" w:styleId="Tableref">
    <w:name w:val="Table_ref"/>
    <w:basedOn w:val="Normal"/>
    <w:next w:val="Tabletitle"/>
    <w:rsid w:val="006F39EB"/>
    <w:pPr>
      <w:keepNext/>
      <w:spacing w:before="0" w:after="120"/>
      <w:jc w:val="center"/>
    </w:pPr>
    <w:rPr>
      <w:lang w:val="en-GB"/>
    </w:rPr>
  </w:style>
  <w:style w:type="paragraph" w:customStyle="1" w:styleId="Title1">
    <w:name w:val="Title 1"/>
    <w:basedOn w:val="Source"/>
    <w:next w:val="Normal"/>
    <w:rsid w:val="00991B13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20" w:after="120"/>
    </w:pPr>
    <w:rPr>
      <w:b w:val="0"/>
      <w:caps/>
    </w:rPr>
  </w:style>
  <w:style w:type="paragraph" w:customStyle="1" w:styleId="Title2">
    <w:name w:val="Title 2"/>
    <w:basedOn w:val="Title1"/>
    <w:next w:val="Normal"/>
    <w:rsid w:val="006F39EB"/>
  </w:style>
  <w:style w:type="paragraph" w:customStyle="1" w:styleId="Title3">
    <w:name w:val="Title 3"/>
    <w:basedOn w:val="Title2"/>
    <w:next w:val="Normal"/>
    <w:rsid w:val="006F39EB"/>
    <w:rPr>
      <w:caps w:val="0"/>
    </w:rPr>
  </w:style>
  <w:style w:type="paragraph" w:customStyle="1" w:styleId="Title4">
    <w:name w:val="Title 4"/>
    <w:basedOn w:val="Title3"/>
    <w:next w:val="Heading1"/>
    <w:rsid w:val="006F39EB"/>
    <w:rPr>
      <w:b/>
    </w:rPr>
  </w:style>
  <w:style w:type="paragraph" w:customStyle="1" w:styleId="toc0">
    <w:name w:val="toc 0"/>
    <w:basedOn w:val="Normal"/>
    <w:next w:val="TOC1"/>
    <w:rsid w:val="006F39EB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TOC1">
    <w:name w:val="toc 1"/>
    <w:basedOn w:val="Normal"/>
    <w:rsid w:val="006F39EB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  <w:rPr>
      <w:lang w:val="en-GB"/>
    </w:rPr>
  </w:style>
  <w:style w:type="paragraph" w:styleId="TOC2">
    <w:name w:val="toc 2"/>
    <w:basedOn w:val="TOC1"/>
    <w:rsid w:val="006F39EB"/>
    <w:pPr>
      <w:spacing w:before="120"/>
    </w:pPr>
  </w:style>
  <w:style w:type="paragraph" w:styleId="TOC3">
    <w:name w:val="toc 3"/>
    <w:basedOn w:val="TOC2"/>
    <w:rsid w:val="006F39EB"/>
  </w:style>
  <w:style w:type="paragraph" w:styleId="TOC4">
    <w:name w:val="toc 4"/>
    <w:basedOn w:val="TOC3"/>
    <w:semiHidden/>
    <w:rsid w:val="006F39EB"/>
  </w:style>
  <w:style w:type="paragraph" w:styleId="TOC5">
    <w:name w:val="toc 5"/>
    <w:basedOn w:val="TOC4"/>
    <w:semiHidden/>
    <w:rsid w:val="006F39EB"/>
  </w:style>
  <w:style w:type="paragraph" w:styleId="TOC6">
    <w:name w:val="toc 6"/>
    <w:basedOn w:val="TOC4"/>
    <w:semiHidden/>
    <w:rsid w:val="006F39EB"/>
  </w:style>
  <w:style w:type="paragraph" w:styleId="TOC7">
    <w:name w:val="toc 7"/>
    <w:basedOn w:val="TOC4"/>
    <w:semiHidden/>
    <w:rsid w:val="006F39EB"/>
  </w:style>
  <w:style w:type="paragraph" w:styleId="TOC8">
    <w:name w:val="toc 8"/>
    <w:basedOn w:val="TOC4"/>
    <w:semiHidden/>
    <w:rsid w:val="006F39EB"/>
  </w:style>
  <w:style w:type="paragraph" w:styleId="TOC9">
    <w:name w:val="toc 9"/>
    <w:basedOn w:val="TOC3"/>
    <w:semiHidden/>
    <w:rsid w:val="006F39EB"/>
  </w:style>
  <w:style w:type="paragraph" w:customStyle="1" w:styleId="Reasons">
    <w:name w:val="Reasons"/>
    <w:basedOn w:val="Normal"/>
    <w:qFormat/>
    <w:rsid w:val="006E4AB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/>
      <w:lang w:val="en-US"/>
    </w:rPr>
  </w:style>
  <w:style w:type="paragraph" w:customStyle="1" w:styleId="Volumetitle">
    <w:name w:val="Volume_title"/>
    <w:basedOn w:val="Normal"/>
    <w:qFormat/>
    <w:rsid w:val="005557A3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center"/>
    </w:pPr>
    <w:rPr>
      <w:rFonts w:ascii="Times New Roman" w:hAnsi="Times New Roman"/>
      <w:b/>
      <w:bCs/>
      <w:sz w:val="28"/>
      <w:szCs w:val="28"/>
      <w:lang w:val="en-GB"/>
    </w:rPr>
  </w:style>
  <w:style w:type="paragraph" w:customStyle="1" w:styleId="Proposal">
    <w:name w:val="Proposal"/>
    <w:basedOn w:val="Normal"/>
    <w:next w:val="Normal"/>
    <w:rsid w:val="006339E7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50738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C2AA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itu.int/md/D18-TDAG25-INF-0002/e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md/D14-WTDC17-C-0115/es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ITU-D/Conferences/TDAG/Pages/default.aspx" TargetMode="External"/><Relationship Id="rId1" Type="http://schemas.openxmlformats.org/officeDocument/2006/relationships/hyperlink" Target="http://www.itu.int/ITU-D/TDAG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rnandf\AppData\Roaming\Microsoft\Templates\POOL%20S%20-%20ITU\PS_TDAG20.dotx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guyots\Desktop\TDAG\2020\TDAG%20AnalyseCharts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guyots\Desktop\TDAG\2020\TDAG%20AnalyseCharts.xlsx" TargetMode="Externa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chartUserShapes" Target="../drawings/drawing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200"/>
              <a:t>Asociaciones con </a:t>
            </a:r>
          </a:p>
          <a:p>
            <a:pPr>
              <a:defRPr sz="1200"/>
            </a:pPr>
            <a:r>
              <a:rPr lang="en-US" sz="1200"/>
              <a:t>contribución financiera</a:t>
            </a:r>
          </a:p>
          <a:p>
            <a:pPr>
              <a:defRPr sz="1200"/>
            </a:pPr>
            <a:r>
              <a:rPr lang="en-US" sz="1200"/>
              <a:t> 2019 </a:t>
            </a:r>
          </a:p>
        </c:rich>
      </c:tx>
      <c:layout>
        <c:manualLayout>
          <c:xMode val="edge"/>
          <c:yMode val="edge"/>
          <c:x val="3.0367213272652842E-2"/>
          <c:y val="2.045869266341706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CH"/>
        </a:p>
      </c:txPr>
    </c:title>
    <c:autoTitleDeleted val="0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22418237857882442"/>
          <c:y val="0.30215806357538644"/>
          <c:w val="0.56648418103142517"/>
          <c:h val="0.65362379702537188"/>
        </c:manualLayout>
      </c:layout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7585-4B65-B67E-A476571AB80E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7585-4B65-B67E-A476571AB80E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3,6%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7585-4B65-B67E-A476571AB80E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96,4%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7585-4B65-B67E-A476571AB80E}"/>
                </c:ext>
              </c:extLst>
            </c:dLbl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CH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Sheet1!$A$40:$A$41</c:f>
              <c:strCache>
                <c:ptCount val="2"/>
                <c:pt idx="0">
                  <c:v>ITU component</c:v>
                </c:pt>
                <c:pt idx="1">
                  <c:v>Financial partners component</c:v>
                </c:pt>
              </c:strCache>
            </c:strRef>
          </c:cat>
          <c:val>
            <c:numRef>
              <c:f>Sheet1!$B$40:$B$41</c:f>
              <c:numCache>
                <c:formatCode>0.0%</c:formatCode>
                <c:ptCount val="2"/>
                <c:pt idx="0">
                  <c:v>3.5768120926309266E-2</c:v>
                </c:pt>
                <c:pt idx="1">
                  <c:v>0.96423187907369079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7585-4B65-B67E-A476571AB80E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5511269233547641"/>
          <c:y val="9.5766362538016084E-2"/>
          <c:w val="0.42689951600086679"/>
          <c:h val="0.17857267841519814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CH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n-CH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200"/>
              <a:t>Composición de los socios financieros de la BDT</a:t>
            </a:r>
            <a:r>
              <a:rPr lang="en-US" sz="1200" baseline="0"/>
              <a:t> </a:t>
            </a:r>
            <a:r>
              <a:rPr lang="es-ES" sz="1200" b="1" i="0" u="none" strike="noStrike" baseline="0">
                <a:effectLst/>
              </a:rPr>
              <a:t>–</a:t>
            </a:r>
            <a:r>
              <a:rPr lang="en-US" sz="1200" baseline="0"/>
              <a:t> 2019</a:t>
            </a:r>
            <a:endParaRPr lang="en-US" sz="1200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CH"/>
        </a:p>
      </c:txPr>
    </c:title>
    <c:autoTitleDeleted val="0"/>
    <c:plotArea>
      <c:layout>
        <c:manualLayout>
          <c:layoutTarget val="inner"/>
          <c:xMode val="edge"/>
          <c:yMode val="edge"/>
          <c:x val="0.14878696412948381"/>
          <c:y val="0.14662875473899098"/>
          <c:w val="0.44807327209098863"/>
          <c:h val="0.7467887868183144"/>
        </c:manualLayout>
      </c:layout>
      <c:doughnutChart>
        <c:varyColors val="1"/>
        <c:ser>
          <c:idx val="0"/>
          <c:order val="0"/>
          <c:explosion val="17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04D4-4357-A0C2-DC19E903AF55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04D4-4357-A0C2-DC19E903AF55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04D4-4357-A0C2-DC19E903AF55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04D4-4357-A0C2-DC19E903AF55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9-04D4-4357-A0C2-DC19E903AF55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B-04D4-4357-A0C2-DC19E903AF55}"/>
              </c:ext>
            </c:extLst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CH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Sheet2!$A$31:$A$36</c:f>
              <c:strCache>
                <c:ptCount val="6"/>
                <c:pt idx="0">
                  <c:v>Member States</c:v>
                </c:pt>
                <c:pt idx="1">
                  <c:v>UN &amp; International Organizations</c:v>
                </c:pt>
                <c:pt idx="2">
                  <c:v>Multilateral &amp; Regional Organizations</c:v>
                </c:pt>
                <c:pt idx="3">
                  <c:v>Private Sector</c:v>
                </c:pt>
                <c:pt idx="4">
                  <c:v>Academia</c:v>
                </c:pt>
                <c:pt idx="5">
                  <c:v>NGOs</c:v>
                </c:pt>
              </c:strCache>
            </c:strRef>
          </c:cat>
          <c:val>
            <c:numRef>
              <c:f>Sheet2!$B$31:$B$36</c:f>
              <c:numCache>
                <c:formatCode>General</c:formatCode>
                <c:ptCount val="6"/>
                <c:pt idx="0">
                  <c:v>12</c:v>
                </c:pt>
                <c:pt idx="1">
                  <c:v>3</c:v>
                </c:pt>
                <c:pt idx="2">
                  <c:v>2</c:v>
                </c:pt>
                <c:pt idx="3">
                  <c:v>2</c:v>
                </c:pt>
                <c:pt idx="4">
                  <c:v>1</c:v>
                </c:pt>
                <c:pt idx="5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04D4-4357-A0C2-DC19E903AF55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  <c:holeSize val="50"/>
      </c:doughnut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CH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n-CH"/>
    </a:p>
  </c:txPr>
  <c:externalData r:id="rId3">
    <c:autoUpdate val="0"/>
  </c:externalData>
  <c:userShapes r:id="rId4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0.73731</cdr:x>
      <cdr:y>0.18166</cdr:y>
    </cdr:from>
    <cdr:to>
      <cdr:x>0.98507</cdr:x>
      <cdr:y>0.94279</cdr:y>
    </cdr:to>
    <cdr:sp macro="" textlink="">
      <cdr:nvSpPr>
        <cdr:cNvPr id="2" name="Text Box 3"/>
        <cdr:cNvSpPr txBox="1"/>
      </cdr:nvSpPr>
      <cdr:spPr>
        <a:xfrm xmlns:a="http://schemas.openxmlformats.org/drawingml/2006/main">
          <a:off x="3370998" y="498323"/>
          <a:ext cx="1132764" cy="2087928"/>
        </a:xfrm>
        <a:prstGeom xmlns:a="http://schemas.openxmlformats.org/drawingml/2006/main" prst="rect">
          <a:avLst/>
        </a:prstGeom>
        <a:solidFill xmlns:a="http://schemas.openxmlformats.org/drawingml/2006/main">
          <a:srgbClr val="EDEDED"/>
        </a:solidFill>
        <a:ln xmlns:a="http://schemas.openxmlformats.org/drawingml/2006/main" w="6350">
          <a:noFill/>
        </a:ln>
      </cdr:spPr>
      <cdr:txBody>
        <a:bodyPr xmlns:a="http://schemas.openxmlformats.org/drawingml/2006/main" rot="0" spcFirstLastPara="0" vert="horz" wrap="square" lIns="0" tIns="0" rIns="0" bIns="0" numCol="1" spcCol="0" rtlCol="0" fromWordArt="0" anchor="t" anchorCtr="0" forceAA="0" compatLnSpc="1">
          <a:prstTxWarp prst="textNoShape">
            <a:avLst/>
          </a:prstTxWarp>
          <a:noAutofit/>
        </a:bodyPr>
        <a:lstStyle xmlns:a="http://schemas.openxmlformats.org/drawingml/2006/main"/>
        <a:p xmlns:a="http://schemas.openxmlformats.org/drawingml/2006/main">
          <a:pPr hangingPunct="0">
            <a:spcBef>
              <a:spcPts val="600"/>
            </a:spcBef>
            <a:spcAft>
              <a:spcPts val="0"/>
            </a:spcAft>
            <a:tabLst>
              <a:tab pos="504190" algn="l"/>
              <a:tab pos="756285" algn="l"/>
              <a:tab pos="1008380" algn="l"/>
              <a:tab pos="1260475" algn="l"/>
            </a:tabLst>
          </a:pPr>
          <a:r>
            <a:rPr lang="es-ES" sz="800" b="0" spc="-20" baseline="0">
              <a:solidFill>
                <a:srgbClr val="262626"/>
              </a:solidFill>
              <a:effectLst/>
              <a:latin typeface="Calibri" panose="020F0502020204030204" pitchFamily="34" charset="0"/>
              <a:ea typeface="Times New Roman" panose="02020603050405020304" pitchFamily="18" charset="0"/>
              <a:cs typeface="Times New Roman" panose="02020603050405020304" pitchFamily="18" charset="0"/>
            </a:rPr>
            <a:t>Estados Miembros</a:t>
          </a:r>
        </a:p>
        <a:p xmlns:a="http://schemas.openxmlformats.org/drawingml/2006/main">
          <a:pPr hangingPunct="0">
            <a:spcBef>
              <a:spcPts val="0"/>
            </a:spcBef>
            <a:spcAft>
              <a:spcPts val="0"/>
            </a:spcAft>
            <a:tabLst>
              <a:tab pos="504190" algn="l"/>
              <a:tab pos="756285" algn="l"/>
              <a:tab pos="1008380" algn="l"/>
              <a:tab pos="1260475" algn="l"/>
            </a:tabLst>
          </a:pPr>
          <a:endParaRPr lang="es-ES" sz="800" b="0" spc="-20" baseline="0">
            <a:solidFill>
              <a:srgbClr val="262626"/>
            </a:solidFill>
            <a:effectLst/>
            <a:latin typeface="Calibri" panose="020F0502020204030204" pitchFamily="34" charset="0"/>
            <a:ea typeface="Times New Roman" panose="02020603050405020304" pitchFamily="18" charset="0"/>
            <a:cs typeface="Times New Roman" panose="02020603050405020304" pitchFamily="18" charset="0"/>
          </a:endParaRPr>
        </a:p>
        <a:p xmlns:a="http://schemas.openxmlformats.org/drawingml/2006/main">
          <a:pPr hangingPunct="0">
            <a:spcBef>
              <a:spcPts val="900"/>
            </a:spcBef>
            <a:spcAft>
              <a:spcPts val="0"/>
            </a:spcAft>
            <a:tabLst>
              <a:tab pos="504190" algn="l"/>
              <a:tab pos="756285" algn="l"/>
              <a:tab pos="1008380" algn="l"/>
              <a:tab pos="1260475" algn="l"/>
            </a:tabLst>
          </a:pPr>
          <a:r>
            <a:rPr lang="es-ES" sz="800" b="0" spc="-20" baseline="0">
              <a:solidFill>
                <a:srgbClr val="262626"/>
              </a:solidFill>
              <a:effectLst/>
              <a:latin typeface="Calibri" panose="020F0502020204030204" pitchFamily="34" charset="0"/>
              <a:ea typeface="Times New Roman" panose="02020603050405020304" pitchFamily="18" charset="0"/>
              <a:cs typeface="Times New Roman" panose="02020603050405020304" pitchFamily="18" charset="0"/>
            </a:rPr>
            <a:t>NN.UU. y organizaciones internacionales</a:t>
          </a:r>
        </a:p>
        <a:p xmlns:a="http://schemas.openxmlformats.org/drawingml/2006/main">
          <a:pPr hangingPunct="0">
            <a:spcBef>
              <a:spcPts val="700"/>
            </a:spcBef>
            <a:spcAft>
              <a:spcPts val="0"/>
            </a:spcAft>
            <a:tabLst>
              <a:tab pos="504190" algn="l"/>
              <a:tab pos="756285" algn="l"/>
              <a:tab pos="1008380" algn="l"/>
              <a:tab pos="1260475" algn="l"/>
            </a:tabLst>
          </a:pPr>
          <a:r>
            <a:rPr lang="es-ES" sz="800" b="0">
              <a:solidFill>
                <a:srgbClr val="262626"/>
              </a:solidFill>
              <a:effectLst/>
              <a:latin typeface="Calibri" panose="020F0502020204030204" pitchFamily="34" charset="0"/>
              <a:ea typeface="Times New Roman" panose="02020603050405020304" pitchFamily="18" charset="0"/>
              <a:cs typeface="Times New Roman" panose="02020603050405020304" pitchFamily="18" charset="0"/>
            </a:rPr>
            <a:t>Organizaciones multilaterales y regionales</a:t>
          </a:r>
        </a:p>
        <a:p xmlns:a="http://schemas.openxmlformats.org/drawingml/2006/main">
          <a:pPr hangingPunct="0">
            <a:spcBef>
              <a:spcPts val="900"/>
            </a:spcBef>
            <a:spcAft>
              <a:spcPts val="0"/>
            </a:spcAft>
            <a:tabLst>
              <a:tab pos="504190" algn="l"/>
              <a:tab pos="756285" algn="l"/>
              <a:tab pos="1008380" algn="l"/>
              <a:tab pos="1260475" algn="l"/>
            </a:tabLst>
          </a:pPr>
          <a:r>
            <a:rPr lang="es-ES" sz="800" b="0">
              <a:solidFill>
                <a:srgbClr val="262626"/>
              </a:solidFill>
              <a:effectLst/>
              <a:latin typeface="Calibri" panose="020F0502020204030204" pitchFamily="34" charset="0"/>
              <a:ea typeface="Times New Roman" panose="02020603050405020304" pitchFamily="18" charset="0"/>
              <a:cs typeface="Times New Roman" panose="02020603050405020304" pitchFamily="18" charset="0"/>
            </a:rPr>
            <a:t>Sector privado</a:t>
          </a:r>
        </a:p>
        <a:p xmlns:a="http://schemas.openxmlformats.org/drawingml/2006/main">
          <a:pPr hangingPunct="0">
            <a:spcBef>
              <a:spcPts val="600"/>
            </a:spcBef>
            <a:spcAft>
              <a:spcPts val="0"/>
            </a:spcAft>
            <a:tabLst>
              <a:tab pos="504190" algn="l"/>
              <a:tab pos="756285" algn="l"/>
              <a:tab pos="1008380" algn="l"/>
              <a:tab pos="1260475" algn="l"/>
            </a:tabLst>
          </a:pPr>
          <a:endParaRPr lang="es-ES" sz="800" b="0">
            <a:solidFill>
              <a:srgbClr val="E6E6E6"/>
            </a:solidFill>
            <a:effectLst/>
            <a:latin typeface="Calibri" panose="020F0502020204030204" pitchFamily="34" charset="0"/>
            <a:ea typeface="Times New Roman" panose="02020603050405020304" pitchFamily="18" charset="0"/>
            <a:cs typeface="Times New Roman" panose="02020603050405020304" pitchFamily="18" charset="0"/>
          </a:endParaRPr>
        </a:p>
        <a:p xmlns:a="http://schemas.openxmlformats.org/drawingml/2006/main">
          <a:pPr hangingPunct="0">
            <a:spcBef>
              <a:spcPts val="200"/>
            </a:spcBef>
            <a:spcAft>
              <a:spcPts val="0"/>
            </a:spcAft>
            <a:tabLst>
              <a:tab pos="504190" algn="l"/>
              <a:tab pos="756285" algn="l"/>
              <a:tab pos="1008380" algn="l"/>
              <a:tab pos="1260475" algn="l"/>
            </a:tabLst>
          </a:pPr>
          <a:r>
            <a:rPr lang="es-ES" sz="800" b="0">
              <a:solidFill>
                <a:srgbClr val="262626"/>
              </a:solidFill>
              <a:effectLst/>
              <a:latin typeface="Calibri" panose="020F0502020204030204" pitchFamily="34" charset="0"/>
              <a:ea typeface="Times New Roman" panose="02020603050405020304" pitchFamily="18" charset="0"/>
              <a:cs typeface="Times New Roman" panose="02020603050405020304" pitchFamily="18" charset="0"/>
            </a:rPr>
            <a:t>Instituciones Académicas</a:t>
          </a:r>
        </a:p>
        <a:p xmlns:a="http://schemas.openxmlformats.org/drawingml/2006/main">
          <a:pPr hangingPunct="0">
            <a:spcBef>
              <a:spcPts val="600"/>
            </a:spcBef>
            <a:spcAft>
              <a:spcPts val="0"/>
            </a:spcAft>
            <a:tabLst>
              <a:tab pos="504190" algn="l"/>
              <a:tab pos="756285" algn="l"/>
              <a:tab pos="1008380" algn="l"/>
              <a:tab pos="1260475" algn="l"/>
            </a:tabLst>
          </a:pPr>
          <a:endParaRPr lang="es-ES" sz="800" b="0">
            <a:solidFill>
              <a:srgbClr val="262626"/>
            </a:solidFill>
            <a:effectLst/>
            <a:latin typeface="Calibri" panose="020F0502020204030204" pitchFamily="34" charset="0"/>
            <a:ea typeface="Times New Roman" panose="02020603050405020304" pitchFamily="18" charset="0"/>
            <a:cs typeface="Times New Roman" panose="02020603050405020304" pitchFamily="18" charset="0"/>
          </a:endParaRPr>
        </a:p>
        <a:p xmlns:a="http://schemas.openxmlformats.org/drawingml/2006/main">
          <a:pPr hangingPunct="0">
            <a:spcBef>
              <a:spcPts val="200"/>
            </a:spcBef>
            <a:spcAft>
              <a:spcPts val="0"/>
            </a:spcAft>
            <a:tabLst>
              <a:tab pos="504190" algn="l"/>
              <a:tab pos="756285" algn="l"/>
              <a:tab pos="1008380" algn="l"/>
              <a:tab pos="1260475" algn="l"/>
            </a:tabLst>
          </a:pPr>
          <a:r>
            <a:rPr lang="es-ES" sz="800" b="0">
              <a:solidFill>
                <a:srgbClr val="262626"/>
              </a:solidFill>
              <a:effectLst/>
              <a:latin typeface="Calibri" panose="020F0502020204030204" pitchFamily="34" charset="0"/>
              <a:ea typeface="Times New Roman" panose="02020603050405020304" pitchFamily="18" charset="0"/>
              <a:cs typeface="Times New Roman" panose="02020603050405020304" pitchFamily="18" charset="0"/>
            </a:rPr>
            <a:t>ONG</a:t>
          </a:r>
        </a:p>
        <a:p xmlns:a="http://schemas.openxmlformats.org/drawingml/2006/main">
          <a:pPr hangingPunct="0">
            <a:spcBef>
              <a:spcPts val="600"/>
            </a:spcBef>
            <a:spcAft>
              <a:spcPts val="600"/>
            </a:spcAft>
            <a:tabLst>
              <a:tab pos="504190" algn="l"/>
              <a:tab pos="756285" algn="l"/>
              <a:tab pos="1008380" algn="l"/>
              <a:tab pos="1260475" algn="l"/>
            </a:tabLst>
          </a:pPr>
          <a:endParaRPr lang="en-US" sz="900" b="0">
            <a:effectLst/>
            <a:latin typeface="Calibri" panose="020F0502020204030204" pitchFamily="34" charset="0"/>
            <a:ea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0943A8-DC8C-4B12-850E-468A2906B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PS_TDAG20.dotx</Template>
  <TotalTime>112</TotalTime>
  <Pages>4</Pages>
  <Words>981</Words>
  <Characters>5597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TDAG17</vt:lpstr>
    </vt:vector>
  </TitlesOfParts>
  <Company>International Telecommunication Union (ITU)</Company>
  <LinksUpToDate>false</LinksUpToDate>
  <CharactersWithSpaces>6565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TDAG17</dc:title>
  <dc:subject/>
  <dc:creator>Spanish83</dc:creator>
  <cp:keywords/>
  <dc:description/>
  <cp:lastModifiedBy>BDT</cp:lastModifiedBy>
  <cp:revision>12</cp:revision>
  <cp:lastPrinted>2020-02-24T10:07:00Z</cp:lastPrinted>
  <dcterms:created xsi:type="dcterms:W3CDTF">2020-02-24T08:32:00Z</dcterms:created>
  <dcterms:modified xsi:type="dcterms:W3CDTF">2020-03-10T10:45:00Z</dcterms:modified>
</cp:coreProperties>
</file>