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E40F6D" w14:paraId="7C7F493B" w14:textId="77777777" w:rsidTr="006D7E3A">
        <w:trPr>
          <w:cantSplit/>
          <w:trHeight w:val="1134"/>
        </w:trPr>
        <w:tc>
          <w:tcPr>
            <w:tcW w:w="7251" w:type="dxa"/>
          </w:tcPr>
          <w:p w14:paraId="15B2A765" w14:textId="77777777" w:rsidR="0021438F" w:rsidRPr="00E40F6D" w:rsidRDefault="0021438F" w:rsidP="00323334">
            <w:pPr>
              <w:tabs>
                <w:tab w:val="left" w:pos="1871"/>
                <w:tab w:val="left" w:pos="2268"/>
              </w:tabs>
              <w:spacing w:before="20" w:after="48"/>
              <w:ind w:left="34"/>
              <w:rPr>
                <w:b/>
                <w:bCs/>
                <w:sz w:val="32"/>
                <w:szCs w:val="32"/>
                <w:lang w:val="fr-FR"/>
              </w:rPr>
            </w:pPr>
            <w:r w:rsidRPr="00E40F6D">
              <w:rPr>
                <w:b/>
                <w:sz w:val="32"/>
                <w:szCs w:val="32"/>
                <w:lang w:val="fr-FR"/>
              </w:rPr>
              <w:t>Groupe</w:t>
            </w:r>
            <w:r w:rsidRPr="00E40F6D">
              <w:rPr>
                <w:b/>
                <w:bCs/>
                <w:sz w:val="32"/>
                <w:szCs w:val="32"/>
                <w:lang w:val="fr-FR"/>
              </w:rPr>
              <w:t xml:space="preserve"> consultatif pour le développement </w:t>
            </w:r>
            <w:r w:rsidRPr="00E40F6D">
              <w:rPr>
                <w:b/>
                <w:bCs/>
                <w:sz w:val="32"/>
                <w:szCs w:val="32"/>
                <w:lang w:val="fr-FR"/>
              </w:rPr>
              <w:br/>
              <w:t>des télécommunications (GCDT)</w:t>
            </w:r>
          </w:p>
          <w:p w14:paraId="01CC879D" w14:textId="076D1102" w:rsidR="0021438F" w:rsidRPr="00E40F6D" w:rsidRDefault="00D87E6C" w:rsidP="00323334">
            <w:pPr>
              <w:tabs>
                <w:tab w:val="clear" w:pos="1191"/>
                <w:tab w:val="clear" w:pos="1588"/>
                <w:tab w:val="clear" w:pos="1985"/>
              </w:tabs>
              <w:spacing w:before="100" w:after="120"/>
              <w:ind w:left="34"/>
              <w:rPr>
                <w:rFonts w:ascii="Verdana" w:hAnsi="Verdana"/>
                <w:sz w:val="28"/>
                <w:szCs w:val="28"/>
                <w:lang w:val="fr-FR"/>
              </w:rPr>
            </w:pPr>
            <w:r w:rsidRPr="00E40F6D">
              <w:rPr>
                <w:b/>
                <w:bCs/>
                <w:sz w:val="26"/>
                <w:szCs w:val="26"/>
                <w:lang w:val="fr-FR"/>
              </w:rPr>
              <w:t>2</w:t>
            </w:r>
            <w:r w:rsidR="002577C1" w:rsidRPr="00E40F6D">
              <w:rPr>
                <w:b/>
                <w:bCs/>
                <w:sz w:val="26"/>
                <w:szCs w:val="26"/>
                <w:lang w:val="fr-FR"/>
              </w:rPr>
              <w:t>5</w:t>
            </w:r>
            <w:r w:rsidRPr="00E40F6D">
              <w:rPr>
                <w:b/>
                <w:bCs/>
                <w:sz w:val="26"/>
                <w:szCs w:val="26"/>
                <w:lang w:val="fr-FR"/>
              </w:rPr>
              <w:t xml:space="preserve">ème réunion, Genève, </w:t>
            </w:r>
            <w:r w:rsidR="00C816A4">
              <w:rPr>
                <w:b/>
                <w:bCs/>
                <w:sz w:val="26"/>
                <w:szCs w:val="26"/>
                <w:lang w:val="fr-FR"/>
              </w:rPr>
              <w:t>2-5 juin</w:t>
            </w:r>
            <w:bookmarkStart w:id="0" w:name="_GoBack"/>
            <w:bookmarkEnd w:id="0"/>
            <w:r w:rsidRPr="00E40F6D">
              <w:rPr>
                <w:b/>
                <w:bCs/>
                <w:sz w:val="26"/>
                <w:szCs w:val="26"/>
                <w:lang w:val="fr-FR"/>
              </w:rPr>
              <w:t xml:space="preserve"> 20</w:t>
            </w:r>
            <w:r w:rsidR="00903B86" w:rsidRPr="00E40F6D">
              <w:rPr>
                <w:b/>
                <w:bCs/>
                <w:sz w:val="26"/>
                <w:szCs w:val="26"/>
                <w:lang w:val="fr-FR"/>
              </w:rPr>
              <w:t>20</w:t>
            </w:r>
          </w:p>
        </w:tc>
        <w:tc>
          <w:tcPr>
            <w:tcW w:w="2996" w:type="dxa"/>
          </w:tcPr>
          <w:p w14:paraId="1E7B552C" w14:textId="77777777" w:rsidR="0021438F" w:rsidRPr="00E40F6D" w:rsidRDefault="00D87E6C" w:rsidP="00323334">
            <w:pPr>
              <w:spacing w:before="0"/>
              <w:ind w:right="142"/>
              <w:jc w:val="right"/>
              <w:rPr>
                <w:lang w:val="fr-FR"/>
              </w:rPr>
            </w:pPr>
            <w:r w:rsidRPr="00E40F6D">
              <w:rPr>
                <w:noProof/>
                <w:color w:val="3399FF"/>
                <w:lang w:val="fr-FR" w:eastAsia="en-GB"/>
              </w:rPr>
              <w:drawing>
                <wp:inline distT="0" distB="0" distL="0" distR="0" wp14:anchorId="604241EA" wp14:editId="68E7938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E40F6D" w14:paraId="7D937411" w14:textId="77777777" w:rsidTr="000C61E9">
        <w:trPr>
          <w:cantSplit/>
        </w:trPr>
        <w:tc>
          <w:tcPr>
            <w:tcW w:w="7251" w:type="dxa"/>
            <w:tcBorders>
              <w:top w:val="single" w:sz="12" w:space="0" w:color="auto"/>
            </w:tcBorders>
          </w:tcPr>
          <w:p w14:paraId="3A2961E2" w14:textId="77777777" w:rsidR="00683C32" w:rsidRPr="00E40F6D" w:rsidRDefault="00683C32" w:rsidP="00323334">
            <w:pPr>
              <w:spacing w:before="0"/>
              <w:rPr>
                <w:rFonts w:cs="Arial"/>
                <w:b/>
                <w:bCs/>
                <w:sz w:val="20"/>
                <w:lang w:val="fr-FR"/>
              </w:rPr>
            </w:pPr>
          </w:p>
        </w:tc>
        <w:tc>
          <w:tcPr>
            <w:tcW w:w="2996" w:type="dxa"/>
            <w:tcBorders>
              <w:top w:val="single" w:sz="12" w:space="0" w:color="auto"/>
            </w:tcBorders>
          </w:tcPr>
          <w:p w14:paraId="609CE1E8" w14:textId="77777777" w:rsidR="00683C32" w:rsidRPr="00E40F6D" w:rsidRDefault="00683C32" w:rsidP="00323334">
            <w:pPr>
              <w:spacing w:before="0"/>
              <w:rPr>
                <w:b/>
                <w:bCs/>
                <w:sz w:val="20"/>
                <w:lang w:val="fr-FR"/>
              </w:rPr>
            </w:pPr>
          </w:p>
        </w:tc>
      </w:tr>
      <w:tr w:rsidR="00683C32" w:rsidRPr="00E40F6D" w14:paraId="42126E99" w14:textId="77777777" w:rsidTr="000C61E9">
        <w:trPr>
          <w:cantSplit/>
        </w:trPr>
        <w:tc>
          <w:tcPr>
            <w:tcW w:w="7251" w:type="dxa"/>
          </w:tcPr>
          <w:p w14:paraId="1CD8BADF" w14:textId="77777777" w:rsidR="00683C32" w:rsidRPr="00E40F6D" w:rsidRDefault="00683C32" w:rsidP="00323334">
            <w:pPr>
              <w:pStyle w:val="Committee"/>
              <w:spacing w:before="0"/>
              <w:rPr>
                <w:b w:val="0"/>
                <w:szCs w:val="24"/>
                <w:lang w:val="fr-FR"/>
              </w:rPr>
            </w:pPr>
          </w:p>
        </w:tc>
        <w:tc>
          <w:tcPr>
            <w:tcW w:w="2996" w:type="dxa"/>
          </w:tcPr>
          <w:p w14:paraId="4185B8E1" w14:textId="7607A591" w:rsidR="00683C32" w:rsidRPr="00E40F6D" w:rsidRDefault="00323587" w:rsidP="00323334">
            <w:pPr>
              <w:spacing w:before="0"/>
              <w:rPr>
                <w:bCs/>
                <w:szCs w:val="24"/>
                <w:lang w:val="fr-FR"/>
              </w:rPr>
            </w:pPr>
            <w:r w:rsidRPr="00E40F6D">
              <w:rPr>
                <w:b/>
                <w:bCs/>
                <w:szCs w:val="28"/>
                <w:lang w:val="fr-FR"/>
              </w:rPr>
              <w:t xml:space="preserve">Document </w:t>
            </w:r>
            <w:bookmarkStart w:id="1" w:name="DocRef1"/>
            <w:bookmarkEnd w:id="1"/>
            <w:r w:rsidRPr="00E40F6D">
              <w:rPr>
                <w:b/>
                <w:bCs/>
                <w:szCs w:val="28"/>
                <w:lang w:val="fr-FR"/>
              </w:rPr>
              <w:t>TDAG</w:t>
            </w:r>
            <w:r w:rsidR="008F20EB" w:rsidRPr="00E40F6D">
              <w:rPr>
                <w:b/>
                <w:bCs/>
                <w:szCs w:val="28"/>
                <w:lang w:val="fr-FR"/>
              </w:rPr>
              <w:t>-</w:t>
            </w:r>
            <w:r w:rsidR="002577C1" w:rsidRPr="00E40F6D">
              <w:rPr>
                <w:b/>
                <w:bCs/>
                <w:szCs w:val="28"/>
                <w:lang w:val="fr-FR"/>
              </w:rPr>
              <w:t>20</w:t>
            </w:r>
            <w:r w:rsidRPr="00E40F6D">
              <w:rPr>
                <w:b/>
                <w:bCs/>
                <w:szCs w:val="28"/>
                <w:lang w:val="fr-FR"/>
              </w:rPr>
              <w:t>/</w:t>
            </w:r>
            <w:bookmarkStart w:id="2" w:name="DocNo1"/>
            <w:bookmarkEnd w:id="2"/>
            <w:r w:rsidR="008B2BFF" w:rsidRPr="00E40F6D">
              <w:rPr>
                <w:b/>
                <w:bCs/>
                <w:szCs w:val="28"/>
                <w:lang w:val="fr-FR"/>
              </w:rPr>
              <w:t>7</w:t>
            </w:r>
            <w:r w:rsidRPr="00E40F6D">
              <w:rPr>
                <w:b/>
                <w:bCs/>
                <w:szCs w:val="28"/>
                <w:lang w:val="fr-FR"/>
              </w:rPr>
              <w:t>-F</w:t>
            </w:r>
          </w:p>
        </w:tc>
      </w:tr>
      <w:tr w:rsidR="00683C32" w:rsidRPr="00E40F6D" w14:paraId="54F9E913" w14:textId="77777777" w:rsidTr="000C61E9">
        <w:trPr>
          <w:cantSplit/>
        </w:trPr>
        <w:tc>
          <w:tcPr>
            <w:tcW w:w="7251" w:type="dxa"/>
          </w:tcPr>
          <w:p w14:paraId="5829BBC5" w14:textId="77777777" w:rsidR="00683C32" w:rsidRPr="00E40F6D" w:rsidRDefault="00683C32" w:rsidP="00323334">
            <w:pPr>
              <w:spacing w:before="0"/>
              <w:rPr>
                <w:b/>
                <w:bCs/>
                <w:smallCaps/>
                <w:szCs w:val="24"/>
                <w:lang w:val="fr-FR"/>
              </w:rPr>
            </w:pPr>
          </w:p>
        </w:tc>
        <w:tc>
          <w:tcPr>
            <w:tcW w:w="2996" w:type="dxa"/>
          </w:tcPr>
          <w:p w14:paraId="54156CC0" w14:textId="35280A5A" w:rsidR="00683C32" w:rsidRPr="00E40F6D" w:rsidRDefault="008B2BFF" w:rsidP="00323334">
            <w:pPr>
              <w:spacing w:before="0"/>
              <w:rPr>
                <w:b/>
                <w:szCs w:val="24"/>
                <w:lang w:val="fr-FR"/>
              </w:rPr>
            </w:pPr>
            <w:bookmarkStart w:id="3" w:name="CreationDate"/>
            <w:bookmarkEnd w:id="3"/>
            <w:r w:rsidRPr="00E40F6D">
              <w:rPr>
                <w:b/>
                <w:bCs/>
                <w:szCs w:val="28"/>
                <w:lang w:val="fr-FR"/>
              </w:rPr>
              <w:t>4 février</w:t>
            </w:r>
            <w:r w:rsidR="00323587" w:rsidRPr="00E40F6D">
              <w:rPr>
                <w:b/>
                <w:bCs/>
                <w:szCs w:val="28"/>
                <w:lang w:val="fr-FR"/>
              </w:rPr>
              <w:t xml:space="preserve"> 20</w:t>
            </w:r>
            <w:r w:rsidR="002577C1" w:rsidRPr="00E40F6D">
              <w:rPr>
                <w:b/>
                <w:bCs/>
                <w:szCs w:val="28"/>
                <w:lang w:val="fr-FR"/>
              </w:rPr>
              <w:t>20</w:t>
            </w:r>
          </w:p>
        </w:tc>
      </w:tr>
      <w:tr w:rsidR="00683C32" w:rsidRPr="00E40F6D" w14:paraId="15B9E20D" w14:textId="77777777" w:rsidTr="000C61E9">
        <w:trPr>
          <w:cantSplit/>
        </w:trPr>
        <w:tc>
          <w:tcPr>
            <w:tcW w:w="7251" w:type="dxa"/>
          </w:tcPr>
          <w:p w14:paraId="126F6A40" w14:textId="77777777" w:rsidR="00683C32" w:rsidRPr="00E40F6D" w:rsidRDefault="00683C32" w:rsidP="00323334">
            <w:pPr>
              <w:spacing w:before="0"/>
              <w:rPr>
                <w:b/>
                <w:bCs/>
                <w:smallCaps/>
                <w:szCs w:val="24"/>
                <w:lang w:val="fr-FR"/>
              </w:rPr>
            </w:pPr>
          </w:p>
        </w:tc>
        <w:tc>
          <w:tcPr>
            <w:tcW w:w="2996" w:type="dxa"/>
          </w:tcPr>
          <w:p w14:paraId="574BE5C0" w14:textId="5CAD54B5" w:rsidR="00514D2F" w:rsidRPr="00E40F6D" w:rsidRDefault="00323587" w:rsidP="00323334">
            <w:pPr>
              <w:spacing w:before="0"/>
              <w:rPr>
                <w:szCs w:val="24"/>
                <w:lang w:val="fr-FR"/>
              </w:rPr>
            </w:pPr>
            <w:r w:rsidRPr="00E40F6D">
              <w:rPr>
                <w:b/>
                <w:szCs w:val="28"/>
                <w:lang w:val="fr-FR"/>
              </w:rPr>
              <w:t>Original:</w:t>
            </w:r>
            <w:bookmarkStart w:id="4" w:name="Original"/>
            <w:bookmarkEnd w:id="4"/>
            <w:r w:rsidR="002E6AA3" w:rsidRPr="00E40F6D">
              <w:rPr>
                <w:b/>
                <w:szCs w:val="28"/>
                <w:lang w:val="fr-FR"/>
              </w:rPr>
              <w:t xml:space="preserve"> anglais</w:t>
            </w:r>
          </w:p>
        </w:tc>
      </w:tr>
      <w:tr w:rsidR="00A13162" w:rsidRPr="00E40F6D" w14:paraId="05782EF6" w14:textId="77777777" w:rsidTr="000C61E9">
        <w:trPr>
          <w:cantSplit/>
          <w:trHeight w:val="852"/>
        </w:trPr>
        <w:tc>
          <w:tcPr>
            <w:tcW w:w="10247" w:type="dxa"/>
            <w:gridSpan w:val="2"/>
          </w:tcPr>
          <w:p w14:paraId="1721C466" w14:textId="2C47B4F3" w:rsidR="00A13162" w:rsidRPr="00E40F6D" w:rsidRDefault="008B2BFF" w:rsidP="00323334">
            <w:pPr>
              <w:pStyle w:val="Source"/>
              <w:rPr>
                <w:lang w:val="fr-FR"/>
              </w:rPr>
            </w:pPr>
            <w:bookmarkStart w:id="5" w:name="Source"/>
            <w:bookmarkEnd w:id="5"/>
            <w:r w:rsidRPr="00E40F6D">
              <w:rPr>
                <w:lang w:val="fr-FR"/>
              </w:rPr>
              <w:t>Directrice du Bureau de développement des télécommunications</w:t>
            </w:r>
          </w:p>
        </w:tc>
      </w:tr>
      <w:tr w:rsidR="00AC6F14" w:rsidRPr="00E40F6D" w14:paraId="2EB85FF4" w14:textId="77777777" w:rsidTr="000C61E9">
        <w:trPr>
          <w:cantSplit/>
        </w:trPr>
        <w:tc>
          <w:tcPr>
            <w:tcW w:w="10247" w:type="dxa"/>
            <w:gridSpan w:val="2"/>
          </w:tcPr>
          <w:p w14:paraId="6EAE45CB" w14:textId="7C7246CA" w:rsidR="00AC6F14" w:rsidRPr="00E40F6D" w:rsidRDefault="008B2BFF" w:rsidP="00323334">
            <w:pPr>
              <w:pStyle w:val="Title1"/>
              <w:rPr>
                <w:lang w:val="fr-FR"/>
              </w:rPr>
            </w:pPr>
            <w:bookmarkStart w:id="6" w:name="Title"/>
            <w:bookmarkEnd w:id="6"/>
            <w:r w:rsidRPr="00E40F6D">
              <w:rPr>
                <w:lang w:val="fr-FR"/>
              </w:rPr>
              <w:t>PARTENARIATS ET MOBILISATION DES RESSOURCES À L'UIT-D</w:t>
            </w:r>
          </w:p>
        </w:tc>
      </w:tr>
      <w:tr w:rsidR="00A721F4" w:rsidRPr="00E40F6D" w14:paraId="7CC8FAFA" w14:textId="77777777" w:rsidTr="000C61E9">
        <w:trPr>
          <w:cantSplit/>
        </w:trPr>
        <w:tc>
          <w:tcPr>
            <w:tcW w:w="10247" w:type="dxa"/>
            <w:gridSpan w:val="2"/>
            <w:tcBorders>
              <w:bottom w:val="single" w:sz="4" w:space="0" w:color="auto"/>
            </w:tcBorders>
          </w:tcPr>
          <w:p w14:paraId="7245D9FF" w14:textId="77777777" w:rsidR="00A721F4" w:rsidRPr="00E40F6D" w:rsidRDefault="00A721F4" w:rsidP="00323334">
            <w:pPr>
              <w:rPr>
                <w:lang w:val="fr-FR"/>
              </w:rPr>
            </w:pPr>
          </w:p>
        </w:tc>
      </w:tr>
      <w:tr w:rsidR="00A721F4" w:rsidRPr="00E40F6D" w14:paraId="415E468F"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45514607" w14:textId="77777777" w:rsidR="00A721F4" w:rsidRPr="00E40F6D" w:rsidRDefault="00156BF6" w:rsidP="00323334">
            <w:pPr>
              <w:rPr>
                <w:b/>
                <w:bCs/>
                <w:szCs w:val="24"/>
                <w:lang w:val="fr-FR"/>
              </w:rPr>
            </w:pPr>
            <w:r w:rsidRPr="00E40F6D">
              <w:rPr>
                <w:b/>
                <w:bCs/>
                <w:szCs w:val="24"/>
                <w:lang w:val="fr-FR"/>
              </w:rPr>
              <w:t>Résumé:</w:t>
            </w:r>
          </w:p>
          <w:p w14:paraId="59F84219" w14:textId="55EBAFB0" w:rsidR="00A721F4" w:rsidRPr="00E40F6D" w:rsidRDefault="008B2BFF" w:rsidP="00323334">
            <w:pPr>
              <w:rPr>
                <w:szCs w:val="24"/>
                <w:lang w:val="fr-FR"/>
              </w:rPr>
            </w:pPr>
            <w:r w:rsidRPr="00E40F6D">
              <w:rPr>
                <w:szCs w:val="24"/>
                <w:lang w:val="fr-FR"/>
              </w:rPr>
              <w:t>L'importance des partenariats et de la mobilisation des ressources a été soulignée par la Conférence mondiale de développement des télécommunications de 2017 (CMDT</w:t>
            </w:r>
            <w:r w:rsidR="00523C1F" w:rsidRPr="00E40F6D">
              <w:rPr>
                <w:szCs w:val="24"/>
                <w:lang w:val="fr-FR"/>
              </w:rPr>
              <w:t>-</w:t>
            </w:r>
            <w:r w:rsidRPr="00E40F6D">
              <w:rPr>
                <w:szCs w:val="24"/>
                <w:lang w:val="fr-FR"/>
              </w:rPr>
              <w:t>17). Le présent document rend compte des activités relatives aux partenariats et à la mobilisation des ressources menées en 2019.</w:t>
            </w:r>
          </w:p>
          <w:p w14:paraId="240CA4D5" w14:textId="77777777" w:rsidR="00A721F4" w:rsidRPr="00E40F6D" w:rsidRDefault="00156BF6" w:rsidP="00323334">
            <w:pPr>
              <w:rPr>
                <w:b/>
                <w:bCs/>
                <w:szCs w:val="24"/>
                <w:lang w:val="fr-FR"/>
              </w:rPr>
            </w:pPr>
            <w:r w:rsidRPr="00E40F6D">
              <w:rPr>
                <w:b/>
                <w:bCs/>
                <w:szCs w:val="24"/>
                <w:lang w:val="fr-FR"/>
              </w:rPr>
              <w:t>Suite à donner:</w:t>
            </w:r>
          </w:p>
          <w:p w14:paraId="141C3A80" w14:textId="07F17CC3" w:rsidR="00A721F4" w:rsidRPr="00E40F6D" w:rsidRDefault="008B2BFF" w:rsidP="00323334">
            <w:pPr>
              <w:rPr>
                <w:szCs w:val="24"/>
                <w:lang w:val="fr-FR"/>
              </w:rPr>
            </w:pPr>
            <w:r w:rsidRPr="00E40F6D">
              <w:rPr>
                <w:szCs w:val="24"/>
                <w:lang w:val="fr-FR"/>
              </w:rPr>
              <w:t>Le GCDT est invité à prendre note du présent document et à fournir les indications qu'il jugera utiles.</w:t>
            </w:r>
          </w:p>
          <w:p w14:paraId="19FD000B" w14:textId="77777777" w:rsidR="00A721F4" w:rsidRPr="00E40F6D" w:rsidRDefault="00156BF6" w:rsidP="00323334">
            <w:pPr>
              <w:rPr>
                <w:b/>
                <w:bCs/>
                <w:szCs w:val="24"/>
                <w:lang w:val="fr-FR"/>
              </w:rPr>
            </w:pPr>
            <w:r w:rsidRPr="00E40F6D">
              <w:rPr>
                <w:b/>
                <w:bCs/>
                <w:szCs w:val="24"/>
                <w:lang w:val="fr-FR"/>
              </w:rPr>
              <w:t>Références:</w:t>
            </w:r>
          </w:p>
          <w:p w14:paraId="06EA5185" w14:textId="0FAF1DA7" w:rsidR="00A721F4" w:rsidRPr="00E40F6D" w:rsidRDefault="008B2BFF" w:rsidP="00323334">
            <w:pPr>
              <w:rPr>
                <w:lang w:val="fr-FR"/>
              </w:rPr>
            </w:pPr>
            <w:r w:rsidRPr="00E40F6D">
              <w:rPr>
                <w:lang w:val="fr-FR"/>
              </w:rPr>
              <w:t>But 5 de l'UIT</w:t>
            </w:r>
            <w:r w:rsidR="00E40F6D" w:rsidRPr="00E40F6D">
              <w:rPr>
                <w:lang w:val="fr-FR"/>
              </w:rPr>
              <w:t>.</w:t>
            </w:r>
          </w:p>
          <w:p w14:paraId="3ED46CC3" w14:textId="4C115580" w:rsidR="008B2BFF" w:rsidRPr="00E40F6D" w:rsidRDefault="008B2BFF" w:rsidP="00323334">
            <w:pPr>
              <w:rPr>
                <w:lang w:val="fr-FR"/>
              </w:rPr>
            </w:pPr>
            <w:r w:rsidRPr="00E40F6D">
              <w:rPr>
                <w:lang w:val="fr-FR"/>
              </w:rPr>
              <w:t>Plan d'action de Buenos Aires, section 4.5 du Rapport final de la CMDT-17</w:t>
            </w:r>
            <w:r w:rsidR="00E40F6D" w:rsidRPr="00E40F6D">
              <w:rPr>
                <w:lang w:val="fr-FR"/>
              </w:rPr>
              <w:t>.</w:t>
            </w:r>
          </w:p>
          <w:p w14:paraId="19F75AAC" w14:textId="07F2857D" w:rsidR="008B2BFF" w:rsidRPr="00E40F6D" w:rsidRDefault="008B2BFF" w:rsidP="00323334">
            <w:pPr>
              <w:spacing w:after="120"/>
              <w:rPr>
                <w:lang w:val="fr-FR"/>
              </w:rPr>
            </w:pPr>
            <w:r w:rsidRPr="00E40F6D">
              <w:rPr>
                <w:lang w:val="fr-FR"/>
              </w:rPr>
              <w:t>Résolutions 17 (Rév.Buenos Aires, 2017) et 71 (Rév.Buenos Aires, 2017) de la CMDT</w:t>
            </w:r>
            <w:r w:rsidR="00E40F6D" w:rsidRPr="00E40F6D">
              <w:rPr>
                <w:lang w:val="fr-FR"/>
              </w:rPr>
              <w:t>.</w:t>
            </w:r>
          </w:p>
        </w:tc>
      </w:tr>
    </w:tbl>
    <w:p w14:paraId="1E51AA1B" w14:textId="77777777" w:rsidR="002577C1" w:rsidRPr="00E40F6D" w:rsidRDefault="002577C1" w:rsidP="00323334">
      <w:pPr>
        <w:tabs>
          <w:tab w:val="clear" w:pos="794"/>
          <w:tab w:val="clear" w:pos="1191"/>
          <w:tab w:val="clear" w:pos="1588"/>
          <w:tab w:val="clear" w:pos="1985"/>
        </w:tabs>
        <w:overflowPunct/>
        <w:autoSpaceDE/>
        <w:autoSpaceDN/>
        <w:adjustRightInd/>
        <w:spacing w:before="0"/>
        <w:textAlignment w:val="auto"/>
        <w:rPr>
          <w:lang w:val="fr-FR"/>
        </w:rPr>
      </w:pPr>
      <w:bookmarkStart w:id="7" w:name="Proposal"/>
      <w:bookmarkEnd w:id="7"/>
      <w:r w:rsidRPr="00E40F6D">
        <w:rPr>
          <w:lang w:val="fr-FR"/>
        </w:rPr>
        <w:br w:type="page"/>
      </w:r>
    </w:p>
    <w:p w14:paraId="3DF77E4A" w14:textId="564D0FDB" w:rsidR="00D040F7" w:rsidRPr="00F82A0A" w:rsidRDefault="00D21FD1" w:rsidP="00323334">
      <w:pPr>
        <w:pStyle w:val="Heading1"/>
        <w:rPr>
          <w:sz w:val="24"/>
          <w:szCs w:val="24"/>
          <w:lang w:val="fr-FR"/>
        </w:rPr>
      </w:pPr>
      <w:r w:rsidRPr="00F82A0A">
        <w:rPr>
          <w:sz w:val="24"/>
          <w:szCs w:val="24"/>
          <w:lang w:val="fr-FR"/>
        </w:rPr>
        <w:lastRenderedPageBreak/>
        <w:t>1</w:t>
      </w:r>
      <w:r w:rsidRPr="00F82A0A">
        <w:rPr>
          <w:sz w:val="24"/>
          <w:szCs w:val="24"/>
          <w:lang w:val="fr-FR"/>
        </w:rPr>
        <w:tab/>
        <w:t>Rappel</w:t>
      </w:r>
    </w:p>
    <w:p w14:paraId="7760E231" w14:textId="7BACB934" w:rsidR="00D21FD1" w:rsidRPr="00E40F6D" w:rsidRDefault="00D21FD1" w:rsidP="00323334">
      <w:pPr>
        <w:rPr>
          <w:lang w:val="fr-FR"/>
        </w:rPr>
      </w:pPr>
      <w:r w:rsidRPr="00E40F6D">
        <w:rPr>
          <w:lang w:val="fr-FR"/>
        </w:rPr>
        <w:t>La Conférence mondiale de développement des télécommunications de 2017 (CMDT-17) a mis en lumière l'importance des partenariats et de la mobilisation des ressources.</w:t>
      </w:r>
    </w:p>
    <w:p w14:paraId="2C49F142" w14:textId="19D13EEB" w:rsidR="00D21FD1" w:rsidRPr="00E40F6D" w:rsidRDefault="00D21FD1" w:rsidP="00323334">
      <w:pPr>
        <w:rPr>
          <w:lang w:val="fr-FR"/>
        </w:rPr>
      </w:pPr>
      <w:r w:rsidRPr="00E40F6D">
        <w:rPr>
          <w:lang w:val="fr-FR"/>
        </w:rPr>
        <w:t xml:space="preserve">Conformément au Plan d'action de Buenos Aires, le BDT continue de nouer des partenariats avec un grand nombre de parties prenantes, notamment avec d'autres institutions des Nations Unies, et s'efforce de mobiliser des ressources auprès d'organismes de financement, d'institutions internationales de financement, des États Membres de l'UIT, des Membres du Secteur de l'UIT-D et des autres partenaires concernés pour mettre en </w:t>
      </w:r>
      <w:r w:rsidR="00523C1F" w:rsidRPr="00E40F6D">
        <w:rPr>
          <w:lang w:val="fr-FR"/>
        </w:rPr>
        <w:t>œuvre</w:t>
      </w:r>
      <w:r w:rsidRPr="00E40F6D">
        <w:rPr>
          <w:lang w:val="fr-FR"/>
        </w:rPr>
        <w:t xml:space="preserve"> les programmes et les initiatives régionales adoptés par la CMDT-17.</w:t>
      </w:r>
    </w:p>
    <w:p w14:paraId="1260E6B9" w14:textId="7DF0B79F" w:rsidR="00D21FD1" w:rsidRPr="00E40F6D" w:rsidRDefault="00D21FD1" w:rsidP="00323334">
      <w:pPr>
        <w:rPr>
          <w:lang w:val="fr-FR"/>
        </w:rPr>
      </w:pPr>
      <w:r w:rsidRPr="00E40F6D">
        <w:rPr>
          <w:lang w:val="fr-FR"/>
        </w:rPr>
        <w:t xml:space="preserve">Aux termes de la Résolution 17 (Rév.Buenos Aires, 2017), le </w:t>
      </w:r>
      <w:r w:rsidR="00523C1F" w:rsidRPr="00E40F6D">
        <w:rPr>
          <w:lang w:val="fr-FR"/>
        </w:rPr>
        <w:t xml:space="preserve">BDT </w:t>
      </w:r>
      <w:r w:rsidRPr="00E40F6D">
        <w:rPr>
          <w:lang w:val="fr-FR"/>
        </w:rPr>
        <w:t xml:space="preserve">doit continuer de conclure activement des partenariats avec des États Membres, des Membres du Secteur de l'UIT D et des institutions de financement, ainsi qu'avec des organisations internationales, afin de financer les activités de mise en </w:t>
      </w:r>
      <w:r w:rsidR="00523C1F" w:rsidRPr="00E40F6D">
        <w:rPr>
          <w:lang w:val="fr-FR"/>
        </w:rPr>
        <w:t>œuvre</w:t>
      </w:r>
      <w:r w:rsidRPr="00E40F6D">
        <w:rPr>
          <w:lang w:val="fr-FR"/>
        </w:rPr>
        <w:t xml:space="preserve"> de</w:t>
      </w:r>
      <w:r w:rsidR="00523C1F" w:rsidRPr="00E40F6D">
        <w:rPr>
          <w:lang w:val="fr-FR"/>
        </w:rPr>
        <w:t xml:space="preserve">s </w:t>
      </w:r>
      <w:r w:rsidRPr="00E40F6D">
        <w:rPr>
          <w:lang w:val="fr-FR"/>
        </w:rPr>
        <w:t>initiatives</w:t>
      </w:r>
      <w:r w:rsidR="00523C1F" w:rsidRPr="00E40F6D">
        <w:rPr>
          <w:lang w:val="fr-FR"/>
        </w:rPr>
        <w:t xml:space="preserve"> régionales</w:t>
      </w:r>
      <w:r w:rsidRPr="00E40F6D">
        <w:rPr>
          <w:lang w:val="fr-FR"/>
        </w:rPr>
        <w:t>. Toujours aux termes de cette Résolution, il est demandé aux organisations ou organismes internationaux de financement, aux équipementiers ainsi qu'aux opérateurs/fournisseurs de services, de contribuer, en partie ou en totalité, au financement de ces initiatives approuvées au niveau régional.</w:t>
      </w:r>
    </w:p>
    <w:p w14:paraId="2787FC6B" w14:textId="7DF7AFFF" w:rsidR="004B5D4F" w:rsidRPr="00F82A0A" w:rsidRDefault="004B5D4F" w:rsidP="00323334">
      <w:pPr>
        <w:pStyle w:val="Heading1"/>
        <w:rPr>
          <w:sz w:val="24"/>
          <w:szCs w:val="24"/>
          <w:lang w:val="fr-FR"/>
        </w:rPr>
      </w:pPr>
      <w:r w:rsidRPr="00F82A0A">
        <w:rPr>
          <w:sz w:val="24"/>
          <w:szCs w:val="24"/>
          <w:lang w:val="fr-FR"/>
        </w:rPr>
        <w:t>2</w:t>
      </w:r>
      <w:r w:rsidRPr="00F82A0A">
        <w:rPr>
          <w:sz w:val="24"/>
          <w:szCs w:val="24"/>
          <w:lang w:val="fr-FR"/>
        </w:rPr>
        <w:tab/>
        <w:t>Objectif stratégique des partenariats et de la mobilisation des ressources à l'UIT-D</w:t>
      </w:r>
    </w:p>
    <w:p w14:paraId="46694D6B" w14:textId="28F2ED24" w:rsidR="004B5D4F" w:rsidRPr="00E40F6D" w:rsidRDefault="004B5D4F" w:rsidP="00323334">
      <w:pPr>
        <w:rPr>
          <w:lang w:val="fr-FR"/>
        </w:rPr>
      </w:pPr>
      <w:r w:rsidRPr="00E40F6D">
        <w:rPr>
          <w:lang w:val="fr-FR"/>
        </w:rPr>
        <w:t xml:space="preserve">Dans ce contexte, l'objectif est de faciliter, de développer et de renforcer la collaboration avec le plus large éventail possible de partenaires des pays développés comme des pays en développement, du secteur privé, des banques de développement et d'autres partenaires afin de mobiliser davantage de ressources pour mettre en </w:t>
      </w:r>
      <w:r w:rsidR="00523C1F" w:rsidRPr="00E40F6D">
        <w:rPr>
          <w:lang w:val="fr-FR"/>
        </w:rPr>
        <w:t>œuvre</w:t>
      </w:r>
      <w:r w:rsidRPr="00E40F6D">
        <w:rPr>
          <w:lang w:val="fr-FR"/>
        </w:rPr>
        <w:t xml:space="preserve"> les programmes et les initiatives régionales en vue de parvenir au développement durable.</w:t>
      </w:r>
    </w:p>
    <w:p w14:paraId="6391731D" w14:textId="4CAA5470" w:rsidR="004B5D4F" w:rsidRPr="00F82A0A" w:rsidRDefault="004B5D4F" w:rsidP="00323334">
      <w:pPr>
        <w:pStyle w:val="Heading1"/>
        <w:rPr>
          <w:sz w:val="24"/>
          <w:szCs w:val="24"/>
          <w:lang w:val="fr-FR"/>
        </w:rPr>
      </w:pPr>
      <w:r w:rsidRPr="00F82A0A">
        <w:rPr>
          <w:sz w:val="24"/>
          <w:szCs w:val="24"/>
          <w:lang w:val="fr-FR"/>
        </w:rPr>
        <w:t>3</w:t>
      </w:r>
      <w:r w:rsidRPr="00F82A0A">
        <w:rPr>
          <w:sz w:val="24"/>
          <w:szCs w:val="24"/>
          <w:lang w:val="fr-FR"/>
        </w:rPr>
        <w:tab/>
        <w:t>Partenariats et résultats des activités de mobilisation des ressources</w:t>
      </w:r>
    </w:p>
    <w:p w14:paraId="0E5F33E7" w14:textId="00979E7E" w:rsidR="004B5D4F" w:rsidRPr="00E40F6D" w:rsidRDefault="006041E6" w:rsidP="00323334">
      <w:pPr>
        <w:rPr>
          <w:lang w:val="fr-FR"/>
        </w:rPr>
      </w:pPr>
      <w:r w:rsidRPr="00E40F6D">
        <w:rPr>
          <w:lang w:val="fr-FR"/>
        </w:rPr>
        <w:t>On trouver</w:t>
      </w:r>
      <w:r w:rsidR="00523C1F" w:rsidRPr="00E40F6D">
        <w:rPr>
          <w:lang w:val="fr-FR"/>
        </w:rPr>
        <w:t>a</w:t>
      </w:r>
      <w:r w:rsidRPr="00E40F6D">
        <w:rPr>
          <w:lang w:val="fr-FR"/>
        </w:rPr>
        <w:t xml:space="preserve"> dans le </w:t>
      </w:r>
      <w:hyperlink r:id="rId9" w:history="1">
        <w:r w:rsidRPr="00E40F6D">
          <w:rPr>
            <w:rStyle w:val="Hyperlink"/>
            <w:lang w:val="fr-FR"/>
          </w:rPr>
          <w:t>Document INF/2</w:t>
        </w:r>
      </w:hyperlink>
      <w:r w:rsidRPr="00E40F6D">
        <w:rPr>
          <w:lang w:val="fr-FR"/>
        </w:rPr>
        <w:t xml:space="preserve"> des informations sur les accords de partenariat (avec ou sans contribution financière) conclus entre le BDT et </w:t>
      </w:r>
      <w:r w:rsidR="00523C1F" w:rsidRPr="00E40F6D">
        <w:rPr>
          <w:lang w:val="fr-FR"/>
        </w:rPr>
        <w:t>s</w:t>
      </w:r>
      <w:r w:rsidRPr="00E40F6D">
        <w:rPr>
          <w:lang w:val="fr-FR"/>
        </w:rPr>
        <w:t>es partenaires.</w:t>
      </w:r>
    </w:p>
    <w:p w14:paraId="17444724" w14:textId="1DA5166E" w:rsidR="006041E6" w:rsidRPr="00E40F6D" w:rsidRDefault="006041E6" w:rsidP="00323334">
      <w:pPr>
        <w:rPr>
          <w:lang w:val="fr-FR"/>
        </w:rPr>
      </w:pPr>
      <w:r w:rsidRPr="00E40F6D">
        <w:rPr>
          <w:lang w:val="fr-FR"/>
        </w:rPr>
        <w:t xml:space="preserve">En 2019, le BDT a mobilisé des ressources financières représentant au total quelque 15,2 millions USD dans le cadre de partenariats conclus avec des partenaires de financement. Ces ressources sont actuellement utilisées pour financer la mise en </w:t>
      </w:r>
      <w:r w:rsidR="00523C1F" w:rsidRPr="00E40F6D">
        <w:rPr>
          <w:lang w:val="fr-FR"/>
        </w:rPr>
        <w:t>œuvre</w:t>
      </w:r>
      <w:r w:rsidRPr="00E40F6D">
        <w:rPr>
          <w:lang w:val="fr-FR"/>
        </w:rPr>
        <w:t xml:space="preserve"> d'activités et de projets aux niveaux national, régional et mondial. </w:t>
      </w:r>
    </w:p>
    <w:p w14:paraId="6AB3ECE0" w14:textId="16C1448D" w:rsidR="006041E6" w:rsidRPr="00E40F6D" w:rsidRDefault="006041E6" w:rsidP="00323334">
      <w:pPr>
        <w:rPr>
          <w:lang w:val="fr-FR"/>
        </w:rPr>
      </w:pPr>
      <w:r w:rsidRPr="00E40F6D">
        <w:rPr>
          <w:lang w:val="fr-FR"/>
        </w:rPr>
        <w:t>Le diagramme ci-dessous montre la composition des accords de cofinancement conclus entre le</w:t>
      </w:r>
      <w:r w:rsidR="008654C1">
        <w:rPr>
          <w:lang w:val="fr-FR"/>
        </w:rPr>
        <w:t> </w:t>
      </w:r>
      <w:r w:rsidRPr="00E40F6D">
        <w:rPr>
          <w:lang w:val="fr-FR"/>
        </w:rPr>
        <w:t>BDT et ses partenaires.</w:t>
      </w:r>
    </w:p>
    <w:p w14:paraId="6F09FF80" w14:textId="014C6E8F" w:rsidR="006041E6" w:rsidRPr="00E40F6D" w:rsidRDefault="00274714" w:rsidP="00323334">
      <w:pPr>
        <w:jc w:val="center"/>
        <w:rPr>
          <w:lang w:val="fr-FR"/>
        </w:rPr>
      </w:pPr>
      <w:r w:rsidRPr="00E40F6D">
        <w:rPr>
          <w:noProof/>
          <w:lang w:val="fr-FR" w:eastAsia="en-GB"/>
        </w:rPr>
        <w:lastRenderedPageBreak/>
        <mc:AlternateContent>
          <mc:Choice Requires="wps">
            <w:drawing>
              <wp:anchor distT="0" distB="0" distL="114300" distR="114300" simplePos="0" relativeHeight="251659264" behindDoc="0" locked="0" layoutInCell="1" allowOverlap="1" wp14:anchorId="6C3A1207" wp14:editId="2E1D750A">
                <wp:simplePos x="0" y="0"/>
                <wp:positionH relativeFrom="column">
                  <wp:posOffset>3469489</wp:posOffset>
                </wp:positionH>
                <wp:positionV relativeFrom="paragraph">
                  <wp:posOffset>256227</wp:posOffset>
                </wp:positionV>
                <wp:extent cx="1600200"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600200" cy="504825"/>
                        </a:xfrm>
                        <a:prstGeom prst="rect">
                          <a:avLst/>
                        </a:prstGeom>
                        <a:solidFill>
                          <a:schemeClr val="bg1">
                            <a:lumMod val="85000"/>
                          </a:schemeClr>
                        </a:solidFill>
                        <a:ln w="6350">
                          <a:noFill/>
                        </a:ln>
                      </wps:spPr>
                      <wps:txbx>
                        <w:txbxContent>
                          <w:p w14:paraId="306D6A48" w14:textId="693D4685" w:rsidR="00274714" w:rsidRDefault="00274714" w:rsidP="008654C1">
                            <w:pPr>
                              <w:spacing w:before="40" w:after="120"/>
                              <w:rPr>
                                <w:sz w:val="18"/>
                                <w:szCs w:val="18"/>
                              </w:rPr>
                            </w:pPr>
                            <w:r w:rsidRPr="00274714">
                              <w:rPr>
                                <w:sz w:val="18"/>
                                <w:szCs w:val="18"/>
                              </w:rPr>
                              <w:t>Part de l'UIT</w:t>
                            </w:r>
                          </w:p>
                          <w:p w14:paraId="6EC74DD5" w14:textId="54538B00" w:rsidR="00274714" w:rsidRPr="00274714" w:rsidRDefault="00274714" w:rsidP="008654C1">
                            <w:pPr>
                              <w:spacing w:before="20"/>
                              <w:rPr>
                                <w:sz w:val="18"/>
                                <w:szCs w:val="18"/>
                              </w:rPr>
                            </w:pPr>
                            <w:r>
                              <w:rPr>
                                <w:sz w:val="18"/>
                                <w:szCs w:val="18"/>
                              </w:rPr>
                              <w:t>Part des partenaires de financement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A1207" id="_x0000_t202" coordsize="21600,21600" o:spt="202" path="m,l,21600r21600,l21600,xe">
                <v:stroke joinstyle="miter"/>
                <v:path gradientshapeok="t" o:connecttype="rect"/>
              </v:shapetype>
              <v:shape id="Text Box 3" o:spid="_x0000_s1026" type="#_x0000_t202" style="position:absolute;left:0;text-align:left;margin-left:273.2pt;margin-top:20.2pt;width:126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" fillcolor="#d8d8d8 [2732]" stroked="f" strokeweight=".5pt">
                <v:textbox inset="0,0,0,0">
                  <w:txbxContent>
                    <w:p w14:paraId="306D6A48" w14:textId="693D4685" w:rsidR="00274714" w:rsidRDefault="00274714" w:rsidP="008654C1">
                      <w:pPr>
                        <w:spacing w:before="40" w:after="120"/>
                        <w:rPr>
                          <w:sz w:val="18"/>
                          <w:szCs w:val="18"/>
                        </w:rPr>
                      </w:pPr>
                      <w:r w:rsidRPr="00274714">
                        <w:rPr>
                          <w:sz w:val="18"/>
                          <w:szCs w:val="18"/>
                        </w:rPr>
                        <w:t>Part de l'UIT</w:t>
                      </w:r>
                    </w:p>
                    <w:p w14:paraId="6EC74DD5" w14:textId="54538B00" w:rsidR="00274714" w:rsidRPr="00274714" w:rsidRDefault="00274714" w:rsidP="008654C1">
                      <w:pPr>
                        <w:spacing w:before="20"/>
                        <w:rPr>
                          <w:sz w:val="18"/>
                          <w:szCs w:val="18"/>
                        </w:rPr>
                      </w:pPr>
                      <w:r>
                        <w:rPr>
                          <w:sz w:val="18"/>
                          <w:szCs w:val="18"/>
                        </w:rPr>
                        <w:t>Part des partenaires de financement</w:t>
                      </w:r>
                    </w:p>
                  </w:txbxContent>
                </v:textbox>
              </v:shape>
            </w:pict>
          </mc:Fallback>
        </mc:AlternateContent>
      </w:r>
      <w:r w:rsidR="00097521" w:rsidRPr="00E40F6D">
        <w:rPr>
          <w:noProof/>
          <w:lang w:val="fr-FR" w:eastAsia="en-GB"/>
        </w:rPr>
        <w:drawing>
          <wp:inline distT="0" distB="0" distL="0" distR="0" wp14:anchorId="6B28E4EE" wp14:editId="7B9D033E">
            <wp:extent cx="4057650" cy="25336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2D85D2" w14:textId="33A79CE0" w:rsidR="00097521" w:rsidRPr="00E40F6D" w:rsidRDefault="00097521" w:rsidP="007111DC">
      <w:pPr>
        <w:spacing w:before="360"/>
        <w:rPr>
          <w:lang w:val="fr-FR"/>
        </w:rPr>
      </w:pPr>
      <w:r w:rsidRPr="00E40F6D">
        <w:rPr>
          <w:lang w:val="fr-FR"/>
        </w:rPr>
        <w:t>En 2019, les trois principaux partenaires de financement étaient:</w:t>
      </w:r>
    </w:p>
    <w:p w14:paraId="68543533" w14:textId="798E30C1" w:rsidR="00097521" w:rsidRPr="00E40F6D" w:rsidRDefault="008654C1" w:rsidP="00E675BD">
      <w:pPr>
        <w:pStyle w:val="enumlev1"/>
        <w:rPr>
          <w:lang w:val="fr-FR"/>
        </w:rPr>
      </w:pPr>
      <w:r w:rsidRPr="008654C1">
        <w:rPr>
          <w:lang w:val="fr-FR"/>
        </w:rPr>
        <w:t>–</w:t>
      </w:r>
      <w:r w:rsidR="00097521" w:rsidRPr="00E40F6D">
        <w:rPr>
          <w:lang w:val="fr-FR"/>
        </w:rPr>
        <w:tab/>
      </w:r>
      <w:r w:rsidR="0060692E" w:rsidRPr="00E40F6D">
        <w:rPr>
          <w:lang w:val="fr-FR"/>
        </w:rPr>
        <w:t>l'</w:t>
      </w:r>
      <w:r w:rsidR="00097521" w:rsidRPr="00E40F6D">
        <w:rPr>
          <w:lang w:val="fr-FR"/>
        </w:rPr>
        <w:t>Agence nationale brésilienne des télécommunications (ANATEL), avec une contribution financière s'élevant à 7 millions USD</w:t>
      </w:r>
      <w:r w:rsidR="0060692E" w:rsidRPr="00E40F6D">
        <w:rPr>
          <w:lang w:val="fr-FR"/>
        </w:rPr>
        <w:t>;</w:t>
      </w:r>
    </w:p>
    <w:p w14:paraId="64126450" w14:textId="6ACE93FF" w:rsidR="0060692E" w:rsidRPr="00E40F6D" w:rsidRDefault="008654C1" w:rsidP="00E675BD">
      <w:pPr>
        <w:pStyle w:val="enumlev1"/>
        <w:rPr>
          <w:lang w:val="fr-FR"/>
        </w:rPr>
      </w:pPr>
      <w:r w:rsidRPr="008654C1">
        <w:rPr>
          <w:lang w:val="fr-FR"/>
        </w:rPr>
        <w:t>–</w:t>
      </w:r>
      <w:r w:rsidR="0060692E" w:rsidRPr="00E40F6D">
        <w:rPr>
          <w:lang w:val="fr-FR"/>
        </w:rPr>
        <w:tab/>
        <w:t>la Commission européenne, avec une contribution financière s'élevant à 2,5 millions EUR;</w:t>
      </w:r>
    </w:p>
    <w:p w14:paraId="6D52011D" w14:textId="2219B7B7" w:rsidR="0060692E" w:rsidRPr="00E40F6D" w:rsidRDefault="008654C1" w:rsidP="00E675BD">
      <w:pPr>
        <w:pStyle w:val="enumlev1"/>
        <w:rPr>
          <w:lang w:val="fr-FR"/>
        </w:rPr>
      </w:pPr>
      <w:r w:rsidRPr="008654C1">
        <w:rPr>
          <w:lang w:val="fr-FR"/>
        </w:rPr>
        <w:t>–</w:t>
      </w:r>
      <w:r w:rsidR="0060692E" w:rsidRPr="00E40F6D">
        <w:rPr>
          <w:lang w:val="fr-FR"/>
        </w:rPr>
        <w:tab/>
        <w:t>le programme Badir de pépinière d'entreprises technologiques (Arabie saoudite) avec une contribution financière s'élevant à 1,2 million USD.</w:t>
      </w:r>
    </w:p>
    <w:p w14:paraId="405E7990" w14:textId="7F4536AC" w:rsidR="0060692E" w:rsidRPr="00E40F6D" w:rsidRDefault="00EE441B" w:rsidP="00323334">
      <w:pPr>
        <w:rPr>
          <w:lang w:val="fr-FR"/>
        </w:rPr>
      </w:pPr>
      <w:r w:rsidRPr="00E40F6D">
        <w:rPr>
          <w:lang w:val="fr-FR"/>
        </w:rPr>
        <w:t>Ces partenariats sont d'excellents exemples des efforts déployés et du travail mené par le BDT pour renforcer les relations avec les partenaires existants, tout en instaurant une relation durable avec eux.</w:t>
      </w:r>
    </w:p>
    <w:p w14:paraId="1D4F6DE8" w14:textId="00ED5D97" w:rsidR="00EE441B" w:rsidRPr="00E40F6D" w:rsidRDefault="00EE441B" w:rsidP="00F82A0A">
      <w:pPr>
        <w:spacing w:after="240"/>
        <w:rPr>
          <w:lang w:val="fr-FR"/>
        </w:rPr>
      </w:pPr>
      <w:r w:rsidRPr="00E40F6D">
        <w:rPr>
          <w:lang w:val="fr-FR"/>
        </w:rPr>
        <w:t>Le diagramme ci-dessous montre la nature et la diversité des partenaires de financement du BDT en 2019.</w:t>
      </w:r>
    </w:p>
    <w:p w14:paraId="2D2C25F3" w14:textId="24CD8B6F" w:rsidR="00EE441B" w:rsidRPr="00E40F6D" w:rsidRDefault="00EC0822" w:rsidP="00323334">
      <w:pPr>
        <w:jc w:val="center"/>
        <w:rPr>
          <w:color w:val="FFFFFF" w:themeColor="background1"/>
          <w:lang w:val="fr-FR"/>
          <w14:textFill>
            <w14:gradFill>
              <w14:gsLst>
                <w14:gs w14:pos="0">
                  <w14:schemeClr w14:val="bg1">
                    <w14:lumMod w14:val="85000"/>
                  </w14:schemeClr>
                </w14:gs>
                <w14:gs w14:pos="100000">
                  <w14:schemeClr w14:val="bg1">
                    <w14:lumMod w14:val="85000"/>
                  </w14:schemeClr>
                </w14:gs>
                <w14:gs w14:pos="100000">
                  <w14:schemeClr w14:val="accent1">
                    <w14:lumMod w14:val="45000"/>
                    <w14:lumOff w14:val="55000"/>
                  </w14:schemeClr>
                </w14:gs>
                <w14:gs w14:pos="100000">
                  <w14:schemeClr w14:val="accent1">
                    <w14:lumMod w14:val="30000"/>
                    <w14:lumOff w14:val="70000"/>
                  </w14:schemeClr>
                </w14:gs>
              </w14:gsLst>
              <w14:lin w14:ang="0" w14:scaled="0"/>
            </w14:gradFill>
          </w14:textFill>
        </w:rPr>
      </w:pPr>
      <w:r w:rsidRPr="00E40F6D">
        <w:rPr>
          <w:noProof/>
          <w:lang w:val="fr-FR" w:eastAsia="en-GB"/>
        </w:rPr>
        <mc:AlternateContent>
          <mc:Choice Requires="wps">
            <w:drawing>
              <wp:anchor distT="0" distB="0" distL="114300" distR="114300" simplePos="0" relativeHeight="251660288" behindDoc="0" locked="0" layoutInCell="1" allowOverlap="1" wp14:anchorId="7C6AF311" wp14:editId="2D6B9AF7">
                <wp:simplePos x="0" y="0"/>
                <wp:positionH relativeFrom="column">
                  <wp:posOffset>4163060</wp:posOffset>
                </wp:positionH>
                <wp:positionV relativeFrom="paragraph">
                  <wp:posOffset>455466</wp:posOffset>
                </wp:positionV>
                <wp:extent cx="1162050" cy="21431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162050" cy="2143125"/>
                        </a:xfrm>
                        <a:prstGeom prst="rect">
                          <a:avLst/>
                        </a:prstGeom>
                        <a:solidFill>
                          <a:schemeClr val="bg1">
                            <a:lumMod val="85000"/>
                          </a:schemeClr>
                        </a:solidFill>
                        <a:ln w="6350">
                          <a:noFill/>
                        </a:ln>
                      </wps:spPr>
                      <wps:txbx>
                        <w:txbxContent>
                          <w:p w14:paraId="6FEEDD43" w14:textId="564A9A1F" w:rsidR="00EC0822" w:rsidRPr="00F82A0A" w:rsidRDefault="00EC0822" w:rsidP="00F82A0A">
                            <w:pPr>
                              <w:spacing w:before="60"/>
                              <w:rPr>
                                <w:sz w:val="16"/>
                                <w:szCs w:val="16"/>
                              </w:rPr>
                            </w:pPr>
                            <w:r w:rsidRPr="00F82A0A">
                              <w:rPr>
                                <w:sz w:val="16"/>
                                <w:szCs w:val="16"/>
                              </w:rPr>
                              <w:t>États Membres</w:t>
                            </w:r>
                          </w:p>
                          <w:p w14:paraId="070781F7" w14:textId="1A145527" w:rsidR="00EC0822" w:rsidRPr="00F82A0A" w:rsidRDefault="00EC0822" w:rsidP="00F82A0A">
                            <w:pPr>
                              <w:spacing w:before="360"/>
                              <w:rPr>
                                <w:sz w:val="16"/>
                                <w:szCs w:val="16"/>
                              </w:rPr>
                            </w:pPr>
                            <w:r w:rsidRPr="00F82A0A">
                              <w:rPr>
                                <w:sz w:val="16"/>
                                <w:szCs w:val="16"/>
                              </w:rPr>
                              <w:t>ONU et organisations internationales</w:t>
                            </w:r>
                          </w:p>
                          <w:p w14:paraId="1913872C" w14:textId="5ECB42EF" w:rsidR="00EC0822" w:rsidRPr="00F82A0A" w:rsidRDefault="00EC0822" w:rsidP="00F82A0A">
                            <w:pPr>
                              <w:spacing w:before="160"/>
                              <w:rPr>
                                <w:sz w:val="16"/>
                                <w:szCs w:val="16"/>
                              </w:rPr>
                            </w:pPr>
                            <w:r w:rsidRPr="00F82A0A">
                              <w:rPr>
                                <w:sz w:val="16"/>
                                <w:szCs w:val="16"/>
                              </w:rPr>
                              <w:t>Organisations multilatérales &amp; régionales</w:t>
                            </w:r>
                          </w:p>
                          <w:p w14:paraId="36D3B78C" w14:textId="6D3F844B" w:rsidR="00EC0822" w:rsidRPr="00F82A0A" w:rsidRDefault="00EC0822" w:rsidP="00F82A0A">
                            <w:pPr>
                              <w:spacing w:before="180"/>
                              <w:rPr>
                                <w:sz w:val="16"/>
                                <w:szCs w:val="16"/>
                              </w:rPr>
                            </w:pPr>
                            <w:r w:rsidRPr="00F82A0A">
                              <w:rPr>
                                <w:sz w:val="16"/>
                                <w:szCs w:val="16"/>
                              </w:rPr>
                              <w:t>Secteur privé</w:t>
                            </w:r>
                          </w:p>
                          <w:p w14:paraId="38C32B28" w14:textId="54C4F539" w:rsidR="00EC0822" w:rsidRPr="00F82A0A" w:rsidRDefault="00EC0822" w:rsidP="00F82A0A">
                            <w:pPr>
                              <w:spacing w:before="360"/>
                              <w:rPr>
                                <w:sz w:val="16"/>
                                <w:szCs w:val="16"/>
                              </w:rPr>
                            </w:pPr>
                            <w:r w:rsidRPr="00F82A0A">
                              <w:rPr>
                                <w:sz w:val="16"/>
                                <w:szCs w:val="16"/>
                              </w:rPr>
                              <w:t>Établissements universitaires</w:t>
                            </w:r>
                          </w:p>
                          <w:p w14:paraId="23006D57" w14:textId="6DE92C6B" w:rsidR="00EC0822" w:rsidRPr="00F82A0A" w:rsidRDefault="00EC0822" w:rsidP="00F82A0A">
                            <w:pPr>
                              <w:spacing w:before="160"/>
                              <w:rPr>
                                <w:sz w:val="16"/>
                                <w:szCs w:val="16"/>
                              </w:rPr>
                            </w:pPr>
                            <w:r w:rsidRPr="00F82A0A">
                              <w:rPr>
                                <w:sz w:val="16"/>
                                <w:szCs w:val="16"/>
                              </w:rPr>
                              <w:t>ONG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AF311" id="Text Box 4" o:spid="_x0000_s1027" type="#_x0000_t202" style="position:absolute;left:0;text-align:left;margin-left:327.8pt;margin-top:35.85pt;width:91.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" fillcolor="#d8d8d8 [2732]" stroked="f" strokeweight=".5pt">
                <v:textbox inset="0,0,0,0">
                  <w:txbxContent>
                    <w:p w14:paraId="6FEEDD43" w14:textId="564A9A1F" w:rsidR="00EC0822" w:rsidRPr="00F82A0A" w:rsidRDefault="00EC0822" w:rsidP="00F82A0A">
                      <w:pPr>
                        <w:spacing w:before="60"/>
                        <w:rPr>
                          <w:sz w:val="16"/>
                          <w:szCs w:val="16"/>
                        </w:rPr>
                      </w:pPr>
                      <w:r w:rsidRPr="00F82A0A">
                        <w:rPr>
                          <w:sz w:val="16"/>
                          <w:szCs w:val="16"/>
                        </w:rPr>
                        <w:t>États Membres</w:t>
                      </w:r>
                    </w:p>
                    <w:p w14:paraId="070781F7" w14:textId="1A145527" w:rsidR="00EC0822" w:rsidRPr="00F82A0A" w:rsidRDefault="00EC0822" w:rsidP="00F82A0A">
                      <w:pPr>
                        <w:spacing w:before="360"/>
                        <w:rPr>
                          <w:sz w:val="16"/>
                          <w:szCs w:val="16"/>
                        </w:rPr>
                      </w:pPr>
                      <w:r w:rsidRPr="00F82A0A">
                        <w:rPr>
                          <w:sz w:val="16"/>
                          <w:szCs w:val="16"/>
                        </w:rPr>
                        <w:t>ONU et organisations internationales</w:t>
                      </w:r>
                    </w:p>
                    <w:p w14:paraId="1913872C" w14:textId="5ECB42EF" w:rsidR="00EC0822" w:rsidRPr="00F82A0A" w:rsidRDefault="00EC0822" w:rsidP="00F82A0A">
                      <w:pPr>
                        <w:spacing w:before="160"/>
                        <w:rPr>
                          <w:sz w:val="16"/>
                          <w:szCs w:val="16"/>
                        </w:rPr>
                      </w:pPr>
                      <w:r w:rsidRPr="00F82A0A">
                        <w:rPr>
                          <w:sz w:val="16"/>
                          <w:szCs w:val="16"/>
                        </w:rPr>
                        <w:t>Organisations multilatérales &amp; régionales</w:t>
                      </w:r>
                    </w:p>
                    <w:p w14:paraId="36D3B78C" w14:textId="6D3F844B" w:rsidR="00EC0822" w:rsidRPr="00F82A0A" w:rsidRDefault="00EC0822" w:rsidP="00F82A0A">
                      <w:pPr>
                        <w:spacing w:before="180"/>
                        <w:rPr>
                          <w:sz w:val="16"/>
                          <w:szCs w:val="16"/>
                        </w:rPr>
                      </w:pPr>
                      <w:r w:rsidRPr="00F82A0A">
                        <w:rPr>
                          <w:sz w:val="16"/>
                          <w:szCs w:val="16"/>
                        </w:rPr>
                        <w:t>Secteur privé</w:t>
                      </w:r>
                    </w:p>
                    <w:p w14:paraId="38C32B28" w14:textId="54C4F539" w:rsidR="00EC0822" w:rsidRPr="00F82A0A" w:rsidRDefault="00EC0822" w:rsidP="00F82A0A">
                      <w:pPr>
                        <w:spacing w:before="360"/>
                        <w:rPr>
                          <w:sz w:val="16"/>
                          <w:szCs w:val="16"/>
                        </w:rPr>
                      </w:pPr>
                      <w:r w:rsidRPr="00F82A0A">
                        <w:rPr>
                          <w:sz w:val="16"/>
                          <w:szCs w:val="16"/>
                        </w:rPr>
                        <w:t>Établissements universitaires</w:t>
                      </w:r>
                    </w:p>
                    <w:p w14:paraId="23006D57" w14:textId="6DE92C6B" w:rsidR="00EC0822" w:rsidRPr="00F82A0A" w:rsidRDefault="00EC0822" w:rsidP="00F82A0A">
                      <w:pPr>
                        <w:spacing w:before="160"/>
                        <w:rPr>
                          <w:sz w:val="16"/>
                          <w:szCs w:val="16"/>
                        </w:rPr>
                      </w:pPr>
                      <w:r w:rsidRPr="00F82A0A">
                        <w:rPr>
                          <w:sz w:val="16"/>
                          <w:szCs w:val="16"/>
                        </w:rPr>
                        <w:t>ONG</w:t>
                      </w:r>
                    </w:p>
                  </w:txbxContent>
                </v:textbox>
              </v:shape>
            </w:pict>
          </mc:Fallback>
        </mc:AlternateContent>
      </w:r>
      <w:r w:rsidR="000327BE" w:rsidRPr="00E40F6D">
        <w:rPr>
          <w:noProof/>
          <w:lang w:val="fr-FR" w:eastAsia="en-GB"/>
        </w:rPr>
        <w:drawing>
          <wp:inline distT="0" distB="0" distL="0" distR="0" wp14:anchorId="51FB5D0E" wp14:editId="0B30E26B">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C40531" w14:textId="77777777" w:rsidR="00F82A0A" w:rsidRDefault="00F82A0A" w:rsidP="00E40F6D">
      <w:pPr>
        <w:spacing w:before="240"/>
        <w:rPr>
          <w:lang w:val="fr-FR"/>
        </w:rPr>
      </w:pPr>
      <w:r>
        <w:rPr>
          <w:lang w:val="fr-FR"/>
        </w:rPr>
        <w:br w:type="page"/>
      </w:r>
    </w:p>
    <w:p w14:paraId="34089C3D" w14:textId="1EB969B6" w:rsidR="0047044F" w:rsidRPr="00E40F6D" w:rsidRDefault="00526961" w:rsidP="00E40F6D">
      <w:pPr>
        <w:spacing w:before="240"/>
        <w:rPr>
          <w:lang w:val="fr-FR"/>
        </w:rPr>
      </w:pPr>
      <w:r w:rsidRPr="00E40F6D">
        <w:rPr>
          <w:lang w:val="fr-FR"/>
        </w:rPr>
        <w:lastRenderedPageBreak/>
        <w:t xml:space="preserve">Comme on le voit sur ce diagramme, les États Membres de l'UIT (avec 57%) ont été </w:t>
      </w:r>
      <w:r w:rsidR="00523C1F" w:rsidRPr="00E40F6D">
        <w:rPr>
          <w:lang w:val="fr-FR"/>
        </w:rPr>
        <w:t xml:space="preserve">en 2019 </w:t>
      </w:r>
      <w:r w:rsidRPr="00E40F6D">
        <w:rPr>
          <w:lang w:val="fr-FR"/>
        </w:rPr>
        <w:t>les principaux partenaires de financement du BDT</w:t>
      </w:r>
      <w:r w:rsidR="00523C1F" w:rsidRPr="00E40F6D">
        <w:rPr>
          <w:lang w:val="fr-FR"/>
        </w:rPr>
        <w:t>, dont ils sont</w:t>
      </w:r>
      <w:r w:rsidR="001853BA" w:rsidRPr="00E40F6D">
        <w:rPr>
          <w:lang w:val="fr-FR"/>
        </w:rPr>
        <w:t xml:space="preserve"> </w:t>
      </w:r>
      <w:r w:rsidR="00523C1F" w:rsidRPr="00E40F6D">
        <w:rPr>
          <w:lang w:val="fr-FR"/>
        </w:rPr>
        <w:t>également</w:t>
      </w:r>
      <w:r w:rsidR="001853BA" w:rsidRPr="00E40F6D">
        <w:rPr>
          <w:lang w:val="fr-FR"/>
        </w:rPr>
        <w:t xml:space="preserve"> les bailleurs de fonds traditionnels. Leur part a baissé par rapport aux années précédentes, ce qui </w:t>
      </w:r>
      <w:r w:rsidR="00523C1F" w:rsidRPr="00E40F6D">
        <w:rPr>
          <w:lang w:val="fr-FR"/>
        </w:rPr>
        <w:t xml:space="preserve">indique </w:t>
      </w:r>
      <w:r w:rsidR="001853BA" w:rsidRPr="00E40F6D">
        <w:rPr>
          <w:lang w:val="fr-FR"/>
        </w:rPr>
        <w:t xml:space="preserve">une plus grande diversité des sources de financement. Comme le montre également le diagramme, </w:t>
      </w:r>
      <w:r w:rsidR="0047044F" w:rsidRPr="00E40F6D">
        <w:rPr>
          <w:lang w:val="fr-FR"/>
        </w:rPr>
        <w:t xml:space="preserve">le BDT doit </w:t>
      </w:r>
      <w:r w:rsidR="00523C1F" w:rsidRPr="00E40F6D">
        <w:rPr>
          <w:lang w:val="fr-FR"/>
        </w:rPr>
        <w:t xml:space="preserve">à l'évidence </w:t>
      </w:r>
      <w:r w:rsidR="0047044F" w:rsidRPr="00E40F6D">
        <w:rPr>
          <w:lang w:val="fr-FR"/>
        </w:rPr>
        <w:t>redoubler d'effort</w:t>
      </w:r>
      <w:r w:rsidR="00523C1F" w:rsidRPr="00E40F6D">
        <w:rPr>
          <w:lang w:val="fr-FR"/>
        </w:rPr>
        <w:t>s</w:t>
      </w:r>
      <w:r w:rsidR="0047044F" w:rsidRPr="00E40F6D">
        <w:rPr>
          <w:lang w:val="fr-FR"/>
        </w:rPr>
        <w:t xml:space="preserve"> concernant ses activités de promotion et de mobilisation afin d'attirer un plus grand nombre de partenaires de financement non traditionnels (comme les </w:t>
      </w:r>
      <w:r w:rsidR="00523C1F" w:rsidRPr="00E40F6D">
        <w:rPr>
          <w:lang w:val="fr-FR"/>
        </w:rPr>
        <w:t>organismes</w:t>
      </w:r>
      <w:r w:rsidR="0047044F" w:rsidRPr="00E40F6D">
        <w:rPr>
          <w:lang w:val="fr-FR"/>
        </w:rPr>
        <w:t xml:space="preserve"> bilatéra</w:t>
      </w:r>
      <w:r w:rsidR="00523C1F" w:rsidRPr="00E40F6D">
        <w:rPr>
          <w:lang w:val="fr-FR"/>
        </w:rPr>
        <w:t>ux</w:t>
      </w:r>
      <w:r w:rsidR="0047044F" w:rsidRPr="00E40F6D">
        <w:rPr>
          <w:lang w:val="fr-FR"/>
        </w:rPr>
        <w:t xml:space="preserve">, les banques de développement, les fondations et les </w:t>
      </w:r>
      <w:r w:rsidR="00523C1F" w:rsidRPr="00E40F6D">
        <w:rPr>
          <w:lang w:val="fr-FR"/>
        </w:rPr>
        <w:t>fonds RSE</w:t>
      </w:r>
      <w:r w:rsidR="0047044F" w:rsidRPr="00E40F6D">
        <w:rPr>
          <w:lang w:val="fr-FR"/>
        </w:rPr>
        <w:t xml:space="preserve"> </w:t>
      </w:r>
      <w:r w:rsidR="00523C1F" w:rsidRPr="00E40F6D">
        <w:rPr>
          <w:lang w:val="fr-FR"/>
        </w:rPr>
        <w:t>(</w:t>
      </w:r>
      <w:r w:rsidR="0047044F" w:rsidRPr="00E40F6D">
        <w:rPr>
          <w:lang w:val="fr-FR"/>
        </w:rPr>
        <w:t>responsabilité sociale de l'entreprise)</w:t>
      </w:r>
      <w:r w:rsidR="00523C1F" w:rsidRPr="00E40F6D">
        <w:rPr>
          <w:lang w:val="fr-FR"/>
        </w:rPr>
        <w:t xml:space="preserve"> du secteur privé</w:t>
      </w:r>
      <w:r w:rsidR="002E6AA3" w:rsidRPr="00E40F6D">
        <w:rPr>
          <w:lang w:val="fr-FR"/>
        </w:rPr>
        <w:t>)</w:t>
      </w:r>
      <w:r w:rsidR="0047044F" w:rsidRPr="00E40F6D">
        <w:rPr>
          <w:lang w:val="fr-FR"/>
        </w:rPr>
        <w:t>.</w:t>
      </w:r>
    </w:p>
    <w:p w14:paraId="4F4D0949" w14:textId="5310586C" w:rsidR="000327BE" w:rsidRPr="00E40F6D" w:rsidRDefault="0047044F" w:rsidP="00323334">
      <w:pPr>
        <w:rPr>
          <w:lang w:val="fr-FR"/>
        </w:rPr>
      </w:pPr>
      <w:r w:rsidRPr="00E40F6D">
        <w:rPr>
          <w:lang w:val="fr-FR"/>
        </w:rPr>
        <w:t>En 2019, le BDT a réussi à renforcer la collaboration avec les autres institutions des Nations Unies</w:t>
      </w:r>
      <w:r w:rsidR="00523C1F" w:rsidRPr="00E40F6D">
        <w:rPr>
          <w:lang w:val="fr-FR"/>
        </w:rPr>
        <w:t>,</w:t>
      </w:r>
      <w:r w:rsidRPr="00E40F6D">
        <w:rPr>
          <w:lang w:val="fr-FR"/>
        </w:rPr>
        <w:t xml:space="preserve"> qui a abouti à des activités conjointes de mobilisation des ressources</w:t>
      </w:r>
      <w:r w:rsidR="00523C1F" w:rsidRPr="00E40F6D">
        <w:rPr>
          <w:lang w:val="fr-FR"/>
        </w:rPr>
        <w:t xml:space="preserve"> </w:t>
      </w:r>
      <w:r w:rsidR="008654C1">
        <w:rPr>
          <w:lang w:val="fr-FR"/>
        </w:rPr>
        <w:t xml:space="preserve">et </w:t>
      </w:r>
      <w:r w:rsidR="00523C1F" w:rsidRPr="00E40F6D">
        <w:rPr>
          <w:lang w:val="fr-FR"/>
        </w:rPr>
        <w:t>de partenariat</w:t>
      </w:r>
      <w:r w:rsidRPr="00E40F6D">
        <w:rPr>
          <w:lang w:val="fr-FR"/>
        </w:rPr>
        <w:t xml:space="preserve">. L'un des résultats notables est la conclusion d'un partenariat avec </w:t>
      </w:r>
      <w:r w:rsidR="009337CF" w:rsidRPr="00E40F6D">
        <w:rPr>
          <w:lang w:val="fr-FR"/>
        </w:rPr>
        <w:t>l'Organisation pour l'alimentation et l'agriculture (FAO), l'Organisation internationale du travail (OIT), l</w:t>
      </w:r>
      <w:r w:rsidR="00E40F6D" w:rsidRPr="00E40F6D">
        <w:rPr>
          <w:lang w:val="fr-FR"/>
        </w:rPr>
        <w:t>'</w:t>
      </w:r>
      <w:r w:rsidR="009337CF" w:rsidRPr="00E40F6D">
        <w:rPr>
          <w:lang w:val="fr-FR"/>
        </w:rPr>
        <w:t>Agence d</w:t>
      </w:r>
      <w:r w:rsidR="00E40F6D" w:rsidRPr="00E40F6D">
        <w:rPr>
          <w:lang w:val="fr-FR"/>
        </w:rPr>
        <w:t>'</w:t>
      </w:r>
      <w:r w:rsidR="009337CF" w:rsidRPr="00E40F6D">
        <w:rPr>
          <w:lang w:val="fr-FR"/>
        </w:rPr>
        <w:t>investissement des Nations Unies (UNCDF) et le Programme des Nations Unies pour le développement (PNUD). Ce partenariat a débouché sur la conclusion d'un accord avec la Commission européenne afin de financer le projet "Appui à l'entrepreneuriat, à l'investissement et au commerce en zone rurale en Papouasie-Nouvelle-Guinée" pour un budget total de 81,3 millions EUR (dont 2,5 millions</w:t>
      </w:r>
      <w:r w:rsidR="005E4E45" w:rsidRPr="00E40F6D">
        <w:rPr>
          <w:lang w:val="fr-FR"/>
        </w:rPr>
        <w:t xml:space="preserve"> pour le</w:t>
      </w:r>
      <w:r w:rsidR="008654C1">
        <w:rPr>
          <w:lang w:val="fr-FR"/>
        </w:rPr>
        <w:t> </w:t>
      </w:r>
      <w:r w:rsidR="005E4E45" w:rsidRPr="00E40F6D">
        <w:rPr>
          <w:lang w:val="fr-FR"/>
        </w:rPr>
        <w:t>BDT).</w:t>
      </w:r>
    </w:p>
    <w:p w14:paraId="25233855" w14:textId="6FE1B33E" w:rsidR="005E4E45" w:rsidRPr="00E40F6D" w:rsidRDefault="005E4E45" w:rsidP="00323334">
      <w:pPr>
        <w:rPr>
          <w:lang w:val="fr-FR"/>
        </w:rPr>
      </w:pPr>
      <w:r w:rsidRPr="00E40F6D">
        <w:rPr>
          <w:lang w:val="fr-FR"/>
        </w:rPr>
        <w:t xml:space="preserve">La conclusion de partenariats non traditionnels avec d'autres institutions des Nations Unies permet au BDT </w:t>
      </w:r>
      <w:r w:rsidR="00523C1F" w:rsidRPr="00E40F6D">
        <w:rPr>
          <w:lang w:val="fr-FR"/>
        </w:rPr>
        <w:t>de se faire connaître</w:t>
      </w:r>
      <w:r w:rsidRPr="00E40F6D">
        <w:rPr>
          <w:lang w:val="fr-FR"/>
        </w:rPr>
        <w:t xml:space="preserve"> et de renforcer ses compétences techniques dans d'autres secteurs (écosystème).</w:t>
      </w:r>
    </w:p>
    <w:p w14:paraId="7A29D14F" w14:textId="7A9B0AC4" w:rsidR="005E4E45" w:rsidRPr="00F82A0A" w:rsidRDefault="005E4E45" w:rsidP="00E40F6D">
      <w:pPr>
        <w:pStyle w:val="Heading1"/>
        <w:rPr>
          <w:sz w:val="24"/>
          <w:szCs w:val="24"/>
          <w:lang w:val="fr-FR"/>
        </w:rPr>
      </w:pPr>
      <w:r w:rsidRPr="00F82A0A">
        <w:rPr>
          <w:sz w:val="24"/>
          <w:szCs w:val="24"/>
          <w:lang w:val="fr-FR"/>
        </w:rPr>
        <w:t>4</w:t>
      </w:r>
      <w:r w:rsidRPr="00F82A0A">
        <w:rPr>
          <w:sz w:val="24"/>
          <w:szCs w:val="24"/>
          <w:lang w:val="fr-FR"/>
        </w:rPr>
        <w:tab/>
      </w:r>
      <w:r w:rsidR="002B47A5" w:rsidRPr="00F82A0A">
        <w:rPr>
          <w:sz w:val="24"/>
          <w:szCs w:val="24"/>
          <w:lang w:val="fr-FR"/>
        </w:rPr>
        <w:t>Perspectives d'avenir</w:t>
      </w:r>
    </w:p>
    <w:p w14:paraId="05C7267E" w14:textId="21E10D1A" w:rsidR="002B47A5" w:rsidRPr="00E40F6D" w:rsidRDefault="002B47A5" w:rsidP="00323334">
      <w:pPr>
        <w:rPr>
          <w:lang w:val="fr-FR"/>
        </w:rPr>
      </w:pPr>
      <w:r w:rsidRPr="00E40F6D">
        <w:rPr>
          <w:lang w:val="fr-FR"/>
        </w:rPr>
        <w:t xml:space="preserve">En vue de renforcer la mobilisation des ressources et la conclusion de partenariats, le BDT procède actuellement au recrutement d'un cabinet de conseil afin d'élaborer une stratégie </w:t>
      </w:r>
      <w:r w:rsidR="000A7CEF" w:rsidRPr="00E40F6D">
        <w:rPr>
          <w:lang w:val="fr-FR"/>
        </w:rPr>
        <w:t xml:space="preserve">de </w:t>
      </w:r>
      <w:r w:rsidRPr="00E40F6D">
        <w:rPr>
          <w:lang w:val="fr-FR"/>
        </w:rPr>
        <w:t>mobilisation des ressources solide et tourné</w:t>
      </w:r>
      <w:r w:rsidR="002E6AA3" w:rsidRPr="00E40F6D">
        <w:rPr>
          <w:lang w:val="fr-FR"/>
        </w:rPr>
        <w:t>e</w:t>
      </w:r>
      <w:r w:rsidRPr="00E40F6D">
        <w:rPr>
          <w:lang w:val="fr-FR"/>
        </w:rPr>
        <w:t xml:space="preserve"> vers l'avenir</w:t>
      </w:r>
      <w:r w:rsidR="002E6AA3" w:rsidRPr="00E40F6D">
        <w:rPr>
          <w:lang w:val="fr-FR"/>
        </w:rPr>
        <w:t xml:space="preserve"> et un plan correspondant</w:t>
      </w:r>
      <w:r w:rsidRPr="00E40F6D">
        <w:rPr>
          <w:lang w:val="fr-FR"/>
        </w:rPr>
        <w:t xml:space="preserve">. Cette stratégie et le plan d'action associé tiendront compte de </w:t>
      </w:r>
      <w:r w:rsidR="002E6AA3" w:rsidRPr="00E40F6D">
        <w:rPr>
          <w:lang w:val="fr-FR"/>
        </w:rPr>
        <w:t>l'évolution constante</w:t>
      </w:r>
      <w:r w:rsidRPr="00E40F6D">
        <w:rPr>
          <w:lang w:val="fr-FR"/>
        </w:rPr>
        <w:t xml:space="preserve"> du secteur du développement</w:t>
      </w:r>
      <w:r w:rsidR="002E6AA3" w:rsidRPr="00E40F6D">
        <w:rPr>
          <w:lang w:val="fr-FR"/>
        </w:rPr>
        <w:t xml:space="preserve"> et </w:t>
      </w:r>
      <w:r w:rsidRPr="00E40F6D">
        <w:rPr>
          <w:lang w:val="fr-FR"/>
        </w:rPr>
        <w:t>des partenaires/bailleurs de fonds</w:t>
      </w:r>
      <w:r w:rsidR="002E6AA3" w:rsidRPr="00E40F6D">
        <w:rPr>
          <w:lang w:val="fr-FR"/>
        </w:rPr>
        <w:t>,</w:t>
      </w:r>
      <w:r w:rsidRPr="00E40F6D">
        <w:rPr>
          <w:lang w:val="fr-FR"/>
        </w:rPr>
        <w:t xml:space="preserve"> tout en tirant les enseignements des activités de mobilisation des ressources menées actuellement et par le passé par le BDT. Un conseiller principal pour la mobilisation des ressources et la participation des parties prenantes</w:t>
      </w:r>
      <w:r w:rsidR="009A0E36" w:rsidRPr="00E40F6D">
        <w:rPr>
          <w:lang w:val="fr-FR"/>
        </w:rPr>
        <w:t xml:space="preserve"> est également en cours de recrutement</w:t>
      </w:r>
      <w:r w:rsidR="002E6AA3" w:rsidRPr="00E40F6D">
        <w:rPr>
          <w:lang w:val="fr-FR"/>
        </w:rPr>
        <w:t>,</w:t>
      </w:r>
      <w:r w:rsidR="009A0E36" w:rsidRPr="00E40F6D">
        <w:rPr>
          <w:lang w:val="fr-FR"/>
        </w:rPr>
        <w:t xml:space="preserve"> en vue d'appuyer l'action menée en permanence par le BDT pour instaurer des partenariats et mobiliser des ressources. Dans le cadre des activités de renforcement des capacités à l'intention des fonctionnaires, une formation dans le domaine de la mobilisation des ressources </w:t>
      </w:r>
      <w:r w:rsidR="002E6AA3" w:rsidRPr="00E40F6D">
        <w:rPr>
          <w:lang w:val="fr-FR"/>
        </w:rPr>
        <w:t>aura lieu plus tard cette</w:t>
      </w:r>
      <w:r w:rsidR="009A0E36" w:rsidRPr="00E40F6D">
        <w:rPr>
          <w:lang w:val="fr-FR"/>
        </w:rPr>
        <w:t xml:space="preserve"> année.</w:t>
      </w:r>
    </w:p>
    <w:p w14:paraId="5A52F3FD" w14:textId="28F8F7D1" w:rsidR="009A0E36" w:rsidRDefault="009A0E36" w:rsidP="00323334">
      <w:pPr>
        <w:rPr>
          <w:lang w:val="fr-FR"/>
        </w:rPr>
      </w:pPr>
      <w:r w:rsidRPr="00E40F6D">
        <w:rPr>
          <w:lang w:val="fr-FR"/>
        </w:rPr>
        <w:t xml:space="preserve">Compte tenu de ce qui précède, le BDT continuera d'entretenir </w:t>
      </w:r>
      <w:r w:rsidR="002E6AA3" w:rsidRPr="00E40F6D">
        <w:rPr>
          <w:lang w:val="fr-FR"/>
        </w:rPr>
        <w:t>s</w:t>
      </w:r>
      <w:r w:rsidRPr="00E40F6D">
        <w:rPr>
          <w:lang w:val="fr-FR"/>
        </w:rPr>
        <w:t xml:space="preserve">es relations avec les partenaires existants, de trouver et d'associer de nouveaux partenaires en vue de trouver des ressources pour financer des projets à grande échelle destinés à appuyer la mise en </w:t>
      </w:r>
      <w:r w:rsidR="002E6AA3" w:rsidRPr="00E40F6D">
        <w:rPr>
          <w:lang w:val="fr-FR"/>
        </w:rPr>
        <w:t>œuvre</w:t>
      </w:r>
      <w:r w:rsidRPr="00E40F6D">
        <w:rPr>
          <w:lang w:val="fr-FR"/>
        </w:rPr>
        <w:t xml:space="preserve"> efficace</w:t>
      </w:r>
      <w:r w:rsidR="002E6AA3" w:rsidRPr="00E40F6D">
        <w:rPr>
          <w:lang w:val="fr-FR"/>
        </w:rPr>
        <w:t>,</w:t>
      </w:r>
      <w:r w:rsidRPr="00E40F6D">
        <w:rPr>
          <w:lang w:val="fr-FR"/>
        </w:rPr>
        <w:t xml:space="preserve"> aux niveaux national, régional et mondial</w:t>
      </w:r>
      <w:r w:rsidR="002E6AA3" w:rsidRPr="00E40F6D">
        <w:rPr>
          <w:lang w:val="fr-FR"/>
        </w:rPr>
        <w:t>,</w:t>
      </w:r>
      <w:r w:rsidRPr="00E40F6D">
        <w:rPr>
          <w:lang w:val="fr-FR"/>
        </w:rPr>
        <w:t xml:space="preserve"> des programmes et des initiatives régionales adoptés à la CMDT-17.</w:t>
      </w:r>
    </w:p>
    <w:p w14:paraId="7247D514" w14:textId="77777777" w:rsidR="008654C1" w:rsidRPr="00E40F6D" w:rsidRDefault="008654C1" w:rsidP="00323334">
      <w:pPr>
        <w:rPr>
          <w:lang w:val="fr-FR"/>
        </w:rPr>
      </w:pPr>
    </w:p>
    <w:p w14:paraId="5AB4A45D" w14:textId="77777777" w:rsidR="002770B1" w:rsidRPr="00E40F6D" w:rsidRDefault="003C58BF" w:rsidP="00323334">
      <w:pPr>
        <w:tabs>
          <w:tab w:val="clear" w:pos="794"/>
          <w:tab w:val="clear" w:pos="1191"/>
          <w:tab w:val="clear" w:pos="1588"/>
          <w:tab w:val="clear" w:pos="1985"/>
        </w:tabs>
        <w:spacing w:after="120"/>
        <w:jc w:val="center"/>
        <w:rPr>
          <w:lang w:val="fr-FR"/>
        </w:rPr>
      </w:pPr>
      <w:r w:rsidRPr="00E40F6D">
        <w:rPr>
          <w:lang w:val="fr-FR"/>
        </w:rPr>
        <w:t>_____________</w:t>
      </w:r>
      <w:r w:rsidR="004122C5" w:rsidRPr="00E40F6D">
        <w:rPr>
          <w:lang w:val="fr-FR"/>
        </w:rPr>
        <w:t>_</w:t>
      </w:r>
      <w:r w:rsidR="00922EC1" w:rsidRPr="00E40F6D">
        <w:rPr>
          <w:lang w:val="fr-FR"/>
        </w:rPr>
        <w:t>_</w:t>
      </w:r>
    </w:p>
    <w:sectPr w:rsidR="002770B1" w:rsidRPr="00E40F6D"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6DA62" w14:textId="77777777" w:rsidR="0078113B" w:rsidRDefault="0078113B">
      <w:r>
        <w:separator/>
      </w:r>
    </w:p>
  </w:endnote>
  <w:endnote w:type="continuationSeparator" w:id="0">
    <w:p w14:paraId="412E131A" w14:textId="77777777" w:rsidR="0078113B" w:rsidRDefault="0078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E0ACC" w14:textId="423B4CF2" w:rsidR="00721657" w:rsidRPr="008654C1" w:rsidRDefault="00721657" w:rsidP="00A525CC">
    <w:pPr>
      <w:pStyle w:val="Footer"/>
      <w:rPr>
        <w:caps w:val="0"/>
        <w:szCs w:val="16"/>
        <w:lang w:val="en-US"/>
      </w:rPr>
    </w:pPr>
    <w:r w:rsidRPr="008654C1">
      <w:rPr>
        <w:caps w:val="0"/>
        <w:szCs w:val="16"/>
      </w:rPr>
      <w:fldChar w:fldCharType="begin"/>
    </w:r>
    <w:r w:rsidRPr="008654C1">
      <w:rPr>
        <w:caps w:val="0"/>
        <w:szCs w:val="16"/>
        <w:lang w:val="en-US"/>
      </w:rPr>
      <w:instrText xml:space="preserve"> FILENAME \p \* MERGEFORMAT </w:instrText>
    </w:r>
    <w:r w:rsidRPr="008654C1">
      <w:rPr>
        <w:caps w:val="0"/>
        <w:szCs w:val="16"/>
      </w:rPr>
      <w:fldChar w:fldCharType="separate"/>
    </w:r>
    <w:r w:rsidR="00323334" w:rsidRPr="008654C1">
      <w:rPr>
        <w:caps w:val="0"/>
        <w:szCs w:val="16"/>
        <w:lang w:val="en-US"/>
      </w:rPr>
      <w:t>P:\FRA\ITU-D\CONF-D\TDAG20\000\007F.docx</w:t>
    </w:r>
    <w:r w:rsidRPr="008654C1">
      <w:rPr>
        <w:caps w:val="0"/>
        <w:szCs w:val="16"/>
        <w:lang w:val="en-US"/>
      </w:rPr>
      <w:fldChar w:fldCharType="end"/>
    </w:r>
    <w:r w:rsidR="00323334" w:rsidRPr="008654C1">
      <w:rPr>
        <w:caps w:val="0"/>
        <w:szCs w:val="16"/>
        <w:lang w:val="en-US"/>
      </w:rPr>
      <w:t xml:space="preserve"> (465654)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A454E1" w:rsidRPr="003C066B" w14:paraId="1EEDE73F" w14:textId="77777777" w:rsidTr="004E3CF5">
      <w:tc>
        <w:tcPr>
          <w:tcW w:w="1526" w:type="dxa"/>
          <w:tcBorders>
            <w:top w:val="single" w:sz="4" w:space="0" w:color="000000"/>
          </w:tcBorders>
          <w:shd w:val="clear" w:color="auto" w:fill="auto"/>
        </w:tcPr>
        <w:p w14:paraId="1DFD4180" w14:textId="77777777" w:rsidR="00A454E1" w:rsidRPr="003C066B" w:rsidRDefault="00A454E1" w:rsidP="00A454E1">
          <w:pPr>
            <w:pStyle w:val="FirstFooter"/>
            <w:tabs>
              <w:tab w:val="left" w:pos="1559"/>
              <w:tab w:val="left" w:pos="3828"/>
            </w:tabs>
            <w:rPr>
              <w:sz w:val="18"/>
              <w:szCs w:val="18"/>
              <w:lang w:val="fr-CH"/>
            </w:rPr>
          </w:pPr>
          <w:r w:rsidRPr="003C066B">
            <w:rPr>
              <w:sz w:val="18"/>
              <w:szCs w:val="18"/>
              <w:lang w:val="fr-CH"/>
            </w:rPr>
            <w:t>Contact:</w:t>
          </w:r>
        </w:p>
      </w:tc>
      <w:tc>
        <w:tcPr>
          <w:tcW w:w="2410" w:type="dxa"/>
          <w:tcBorders>
            <w:top w:val="single" w:sz="4" w:space="0" w:color="000000"/>
          </w:tcBorders>
          <w:shd w:val="clear" w:color="auto" w:fill="auto"/>
        </w:tcPr>
        <w:p w14:paraId="17C68725" w14:textId="77777777" w:rsidR="00A454E1" w:rsidRPr="003C066B" w:rsidRDefault="00A454E1" w:rsidP="00A454E1">
          <w:pPr>
            <w:pStyle w:val="FirstFooter"/>
            <w:tabs>
              <w:tab w:val="left" w:pos="2302"/>
            </w:tabs>
            <w:ind w:left="2302" w:hanging="2302"/>
            <w:rPr>
              <w:sz w:val="18"/>
              <w:szCs w:val="18"/>
              <w:lang w:val="fr-CH"/>
            </w:rPr>
          </w:pPr>
          <w:r w:rsidRPr="003C066B">
            <w:rPr>
              <w:sz w:val="18"/>
              <w:szCs w:val="18"/>
              <w:lang w:val="fr-CH"/>
            </w:rPr>
            <w:t>Nom/Organisation/Entité:</w:t>
          </w:r>
        </w:p>
      </w:tc>
      <w:tc>
        <w:tcPr>
          <w:tcW w:w="5987" w:type="dxa"/>
          <w:tcBorders>
            <w:top w:val="single" w:sz="4" w:space="0" w:color="000000"/>
          </w:tcBorders>
          <w:shd w:val="clear" w:color="auto" w:fill="auto"/>
        </w:tcPr>
        <w:p w14:paraId="363B6066" w14:textId="322765BE" w:rsidR="00A454E1" w:rsidRPr="003C066B" w:rsidRDefault="003C066B" w:rsidP="003C066B">
          <w:pPr>
            <w:pStyle w:val="FirstFooter"/>
            <w:tabs>
              <w:tab w:val="left" w:pos="2302"/>
            </w:tabs>
            <w:rPr>
              <w:sz w:val="18"/>
              <w:szCs w:val="18"/>
              <w:lang w:val="fr-CH"/>
            </w:rPr>
          </w:pPr>
          <w:bookmarkStart w:id="8" w:name="OrgName"/>
          <w:bookmarkEnd w:id="8"/>
          <w:r w:rsidRPr="003C066B">
            <w:rPr>
              <w:sz w:val="18"/>
              <w:szCs w:val="18"/>
              <w:lang w:val="fr-CH"/>
            </w:rPr>
            <w:t>M. Cosmas Zavazava, Chef du Département des partenariats pour le développement numérique</w:t>
          </w:r>
          <w:r w:rsidR="00864AB5">
            <w:rPr>
              <w:sz w:val="18"/>
              <w:szCs w:val="18"/>
              <w:lang w:val="fr-CH"/>
            </w:rPr>
            <w:br/>
            <w:t>Bureau de développement des télécommunications</w:t>
          </w:r>
        </w:p>
      </w:tc>
    </w:tr>
    <w:tr w:rsidR="00864AB5" w:rsidRPr="003C066B" w14:paraId="5D185F7E" w14:textId="77777777" w:rsidTr="004E3CF5">
      <w:tc>
        <w:tcPr>
          <w:tcW w:w="1526" w:type="dxa"/>
          <w:shd w:val="clear" w:color="auto" w:fill="auto"/>
        </w:tcPr>
        <w:p w14:paraId="27CD2C96" w14:textId="77777777" w:rsidR="00864AB5" w:rsidRPr="003C066B" w:rsidRDefault="00864AB5" w:rsidP="00864AB5">
          <w:pPr>
            <w:pStyle w:val="FirstFooter"/>
            <w:tabs>
              <w:tab w:val="left" w:pos="1559"/>
              <w:tab w:val="left" w:pos="3828"/>
            </w:tabs>
            <w:rPr>
              <w:sz w:val="20"/>
              <w:lang w:val="fr-CH"/>
            </w:rPr>
          </w:pPr>
        </w:p>
      </w:tc>
      <w:tc>
        <w:tcPr>
          <w:tcW w:w="2410" w:type="dxa"/>
          <w:shd w:val="clear" w:color="auto" w:fill="auto"/>
        </w:tcPr>
        <w:p w14:paraId="05344206" w14:textId="77777777" w:rsidR="00864AB5" w:rsidRPr="003C066B" w:rsidRDefault="00864AB5" w:rsidP="00864AB5">
          <w:pPr>
            <w:pStyle w:val="FirstFooter"/>
            <w:tabs>
              <w:tab w:val="left" w:pos="2302"/>
            </w:tabs>
            <w:rPr>
              <w:sz w:val="18"/>
              <w:szCs w:val="18"/>
              <w:lang w:val="fr-CH"/>
            </w:rPr>
          </w:pPr>
          <w:r w:rsidRPr="003C066B">
            <w:rPr>
              <w:sz w:val="18"/>
              <w:szCs w:val="18"/>
              <w:lang w:val="fr-CH"/>
            </w:rPr>
            <w:t>Numéro de téléphone:</w:t>
          </w:r>
        </w:p>
      </w:tc>
      <w:tc>
        <w:tcPr>
          <w:tcW w:w="5987" w:type="dxa"/>
          <w:shd w:val="clear" w:color="auto" w:fill="auto"/>
        </w:tcPr>
        <w:p w14:paraId="40D59741" w14:textId="7FE2F6EB" w:rsidR="00864AB5" w:rsidRPr="003C066B" w:rsidRDefault="00864AB5" w:rsidP="00864AB5">
          <w:pPr>
            <w:pStyle w:val="FirstFooter"/>
            <w:tabs>
              <w:tab w:val="left" w:pos="2302"/>
            </w:tabs>
            <w:rPr>
              <w:sz w:val="18"/>
              <w:szCs w:val="18"/>
              <w:lang w:val="fr-CH"/>
            </w:rPr>
          </w:pPr>
          <w:bookmarkStart w:id="9" w:name="PhoneNo"/>
          <w:bookmarkEnd w:id="9"/>
          <w:r>
            <w:rPr>
              <w:sz w:val="18"/>
              <w:szCs w:val="18"/>
              <w:lang w:val="en-US"/>
            </w:rPr>
            <w:t>+41 22 730 5447</w:t>
          </w:r>
        </w:p>
      </w:tc>
    </w:tr>
    <w:tr w:rsidR="00864AB5" w:rsidRPr="003C066B" w14:paraId="52E1930B" w14:textId="77777777" w:rsidTr="004E3CF5">
      <w:tc>
        <w:tcPr>
          <w:tcW w:w="1526" w:type="dxa"/>
          <w:shd w:val="clear" w:color="auto" w:fill="auto"/>
        </w:tcPr>
        <w:p w14:paraId="0B145E89" w14:textId="77777777" w:rsidR="00864AB5" w:rsidRPr="003C066B" w:rsidRDefault="00864AB5" w:rsidP="00864AB5">
          <w:pPr>
            <w:pStyle w:val="FirstFooter"/>
            <w:tabs>
              <w:tab w:val="left" w:pos="1559"/>
              <w:tab w:val="left" w:pos="3828"/>
            </w:tabs>
            <w:rPr>
              <w:sz w:val="20"/>
              <w:lang w:val="fr-CH"/>
            </w:rPr>
          </w:pPr>
        </w:p>
      </w:tc>
      <w:tc>
        <w:tcPr>
          <w:tcW w:w="2410" w:type="dxa"/>
          <w:shd w:val="clear" w:color="auto" w:fill="auto"/>
        </w:tcPr>
        <w:p w14:paraId="277B679E" w14:textId="77777777" w:rsidR="00864AB5" w:rsidRPr="003C066B" w:rsidRDefault="00864AB5" w:rsidP="00864AB5">
          <w:pPr>
            <w:pStyle w:val="FirstFooter"/>
            <w:tabs>
              <w:tab w:val="left" w:pos="2302"/>
            </w:tabs>
            <w:rPr>
              <w:sz w:val="18"/>
              <w:szCs w:val="18"/>
              <w:lang w:val="fr-CH"/>
            </w:rPr>
          </w:pPr>
          <w:r w:rsidRPr="003C066B">
            <w:rPr>
              <w:sz w:val="18"/>
              <w:szCs w:val="18"/>
              <w:lang w:val="fr-CH"/>
            </w:rPr>
            <w:t>Courriel:</w:t>
          </w:r>
        </w:p>
      </w:tc>
      <w:bookmarkStart w:id="10" w:name="Email"/>
      <w:bookmarkEnd w:id="10"/>
      <w:tc>
        <w:tcPr>
          <w:tcW w:w="5987" w:type="dxa"/>
          <w:shd w:val="clear" w:color="auto" w:fill="auto"/>
        </w:tcPr>
        <w:p w14:paraId="4442D491" w14:textId="01B6AAD5" w:rsidR="00864AB5" w:rsidRPr="003C066B" w:rsidRDefault="00F82A0A" w:rsidP="00864AB5">
          <w:pPr>
            <w:pStyle w:val="FirstFooter"/>
            <w:tabs>
              <w:tab w:val="left" w:pos="2302"/>
            </w:tabs>
            <w:rPr>
              <w:sz w:val="18"/>
              <w:szCs w:val="18"/>
              <w:lang w:val="fr-CH"/>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F82A0A">
            <w:rPr>
              <w:rStyle w:val="Hyperlink"/>
              <w:sz w:val="18"/>
              <w:szCs w:val="18"/>
              <w:lang w:val="en-US"/>
            </w:rPr>
            <w:t>cosmas.zavazava@itu.int</w:t>
          </w:r>
          <w:r>
            <w:rPr>
              <w:rStyle w:val="Hyperlink"/>
              <w:sz w:val="18"/>
              <w:szCs w:val="18"/>
              <w:lang w:val="en-US"/>
            </w:rPr>
            <w:fldChar w:fldCharType="end"/>
          </w:r>
        </w:p>
      </w:tc>
    </w:tr>
  </w:tbl>
  <w:p w14:paraId="62F68E7F" w14:textId="7E3FFE77" w:rsidR="00721657" w:rsidRPr="003C066B" w:rsidRDefault="00C816A4" w:rsidP="008654C1">
    <w:pPr>
      <w:pStyle w:val="Footer"/>
      <w:spacing w:before="120"/>
      <w:jc w:val="center"/>
      <w:rPr>
        <w:lang w:val="fr-CH"/>
      </w:rPr>
    </w:pPr>
    <w:hyperlink r:id="rId1" w:history="1">
      <w:r w:rsidR="00851060" w:rsidRPr="003C066B">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3CD55" w14:textId="77777777" w:rsidR="0078113B" w:rsidRDefault="0078113B">
      <w:r>
        <w:t>____________________</w:t>
      </w:r>
    </w:p>
  </w:footnote>
  <w:footnote w:type="continuationSeparator" w:id="0">
    <w:p w14:paraId="6B304A78" w14:textId="77777777" w:rsidR="0078113B" w:rsidRDefault="0078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F15CF" w14:textId="4F4416F3" w:rsidR="00721657" w:rsidRPr="00A525CC" w:rsidRDefault="00A525CC" w:rsidP="008654C1">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8F20EB">
      <w:rPr>
        <w:sz w:val="22"/>
        <w:szCs w:val="22"/>
        <w:lang w:val="de-CH"/>
      </w:rPr>
      <w:t>-</w:t>
    </w:r>
    <w:r w:rsidR="002577C1">
      <w:rPr>
        <w:sz w:val="22"/>
        <w:szCs w:val="22"/>
        <w:lang w:val="de-CH"/>
      </w:rPr>
      <w:t>20</w:t>
    </w:r>
    <w:r w:rsidRPr="00A54E72">
      <w:rPr>
        <w:sz w:val="22"/>
        <w:szCs w:val="22"/>
        <w:lang w:val="de-CH"/>
      </w:rPr>
      <w:t>/</w:t>
    </w:r>
    <w:r w:rsidR="00864AB5">
      <w:rPr>
        <w:sz w:val="22"/>
        <w:szCs w:val="22"/>
        <w:lang w:val="de-CH"/>
      </w:rPr>
      <w:t>7</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8113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3B"/>
    <w:rsid w:val="00002716"/>
    <w:rsid w:val="00005791"/>
    <w:rsid w:val="00010827"/>
    <w:rsid w:val="00015089"/>
    <w:rsid w:val="0002520B"/>
    <w:rsid w:val="000327BE"/>
    <w:rsid w:val="00037A9E"/>
    <w:rsid w:val="00037F91"/>
    <w:rsid w:val="000539F1"/>
    <w:rsid w:val="00054747"/>
    <w:rsid w:val="00055A2A"/>
    <w:rsid w:val="000615C1"/>
    <w:rsid w:val="00061675"/>
    <w:rsid w:val="000743AA"/>
    <w:rsid w:val="0009225C"/>
    <w:rsid w:val="00097521"/>
    <w:rsid w:val="000A17C4"/>
    <w:rsid w:val="000A36A4"/>
    <w:rsid w:val="000A7CEF"/>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853BA"/>
    <w:rsid w:val="0019037C"/>
    <w:rsid w:val="001905A9"/>
    <w:rsid w:val="00191273"/>
    <w:rsid w:val="001942A7"/>
    <w:rsid w:val="0019587B"/>
    <w:rsid w:val="001A163D"/>
    <w:rsid w:val="001A441E"/>
    <w:rsid w:val="001A6733"/>
    <w:rsid w:val="001B357F"/>
    <w:rsid w:val="001C3444"/>
    <w:rsid w:val="001C3702"/>
    <w:rsid w:val="001C4656"/>
    <w:rsid w:val="001C46BC"/>
    <w:rsid w:val="001F05FB"/>
    <w:rsid w:val="001F23E6"/>
    <w:rsid w:val="001F4238"/>
    <w:rsid w:val="00200A38"/>
    <w:rsid w:val="00200A46"/>
    <w:rsid w:val="00211B6F"/>
    <w:rsid w:val="002120CC"/>
    <w:rsid w:val="0021438F"/>
    <w:rsid w:val="00217CC3"/>
    <w:rsid w:val="00220AB6"/>
    <w:rsid w:val="0022120F"/>
    <w:rsid w:val="0022754A"/>
    <w:rsid w:val="00236560"/>
    <w:rsid w:val="0023662E"/>
    <w:rsid w:val="00245D0F"/>
    <w:rsid w:val="002548C3"/>
    <w:rsid w:val="002577C1"/>
    <w:rsid w:val="00257ACD"/>
    <w:rsid w:val="00262908"/>
    <w:rsid w:val="002650F4"/>
    <w:rsid w:val="002715FD"/>
    <w:rsid w:val="00274714"/>
    <w:rsid w:val="002770B1"/>
    <w:rsid w:val="00285B33"/>
    <w:rsid w:val="00287A3C"/>
    <w:rsid w:val="002A2FC6"/>
    <w:rsid w:val="002B47A5"/>
    <w:rsid w:val="002C1EC7"/>
    <w:rsid w:val="002C4342"/>
    <w:rsid w:val="002C7EA3"/>
    <w:rsid w:val="002D20AE"/>
    <w:rsid w:val="002D6C61"/>
    <w:rsid w:val="002E2104"/>
    <w:rsid w:val="002E2DAC"/>
    <w:rsid w:val="002E6963"/>
    <w:rsid w:val="002E6AA3"/>
    <w:rsid w:val="002E6F8F"/>
    <w:rsid w:val="002F05D8"/>
    <w:rsid w:val="002F0682"/>
    <w:rsid w:val="002F2DE0"/>
    <w:rsid w:val="002F5E25"/>
    <w:rsid w:val="0030353C"/>
    <w:rsid w:val="003125C3"/>
    <w:rsid w:val="00312AE6"/>
    <w:rsid w:val="00317D1A"/>
    <w:rsid w:val="003211FF"/>
    <w:rsid w:val="00323334"/>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066B"/>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044F"/>
    <w:rsid w:val="0047306D"/>
    <w:rsid w:val="00473791"/>
    <w:rsid w:val="00476E48"/>
    <w:rsid w:val="00481DE9"/>
    <w:rsid w:val="0049128B"/>
    <w:rsid w:val="00493B49"/>
    <w:rsid w:val="00495501"/>
    <w:rsid w:val="004A070A"/>
    <w:rsid w:val="004A320E"/>
    <w:rsid w:val="004A4E9C"/>
    <w:rsid w:val="004B1A3C"/>
    <w:rsid w:val="004B5D4F"/>
    <w:rsid w:val="004D2CC3"/>
    <w:rsid w:val="004D35CB"/>
    <w:rsid w:val="004E20E5"/>
    <w:rsid w:val="004E64EA"/>
    <w:rsid w:val="004E7828"/>
    <w:rsid w:val="004F46AA"/>
    <w:rsid w:val="004F6A70"/>
    <w:rsid w:val="00500AD7"/>
    <w:rsid w:val="00502ABF"/>
    <w:rsid w:val="00504DB0"/>
    <w:rsid w:val="00507C35"/>
    <w:rsid w:val="00510735"/>
    <w:rsid w:val="00514D2F"/>
    <w:rsid w:val="00523C1F"/>
    <w:rsid w:val="00526961"/>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4E45"/>
    <w:rsid w:val="005E67B0"/>
    <w:rsid w:val="005E7047"/>
    <w:rsid w:val="005E777F"/>
    <w:rsid w:val="005F1CA7"/>
    <w:rsid w:val="005F43DD"/>
    <w:rsid w:val="005F51A9"/>
    <w:rsid w:val="005F6BE1"/>
    <w:rsid w:val="005F7416"/>
    <w:rsid w:val="00600C11"/>
    <w:rsid w:val="006041E6"/>
    <w:rsid w:val="0060692E"/>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111DC"/>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64AB5"/>
    <w:rsid w:val="008654C1"/>
    <w:rsid w:val="00872B6E"/>
    <w:rsid w:val="00874DFD"/>
    <w:rsid w:val="008802F9"/>
    <w:rsid w:val="00883086"/>
    <w:rsid w:val="008879FD"/>
    <w:rsid w:val="00894C37"/>
    <w:rsid w:val="008A00EA"/>
    <w:rsid w:val="008A3F93"/>
    <w:rsid w:val="008A6236"/>
    <w:rsid w:val="008A6E1C"/>
    <w:rsid w:val="008A72FD"/>
    <w:rsid w:val="008B2BFF"/>
    <w:rsid w:val="008B2EDF"/>
    <w:rsid w:val="008B54CB"/>
    <w:rsid w:val="008B5A3D"/>
    <w:rsid w:val="008C4010"/>
    <w:rsid w:val="008C4FDF"/>
    <w:rsid w:val="008C6B1F"/>
    <w:rsid w:val="008D5E4F"/>
    <w:rsid w:val="008F14F5"/>
    <w:rsid w:val="008F20EB"/>
    <w:rsid w:val="008F71C1"/>
    <w:rsid w:val="00902D41"/>
    <w:rsid w:val="00902F49"/>
    <w:rsid w:val="00903B86"/>
    <w:rsid w:val="00914004"/>
    <w:rsid w:val="0092088B"/>
    <w:rsid w:val="00922EC1"/>
    <w:rsid w:val="009301F1"/>
    <w:rsid w:val="009307DF"/>
    <w:rsid w:val="009337CF"/>
    <w:rsid w:val="009359B8"/>
    <w:rsid w:val="00935FF0"/>
    <w:rsid w:val="009431F8"/>
    <w:rsid w:val="00947A35"/>
    <w:rsid w:val="00962081"/>
    <w:rsid w:val="00966CB5"/>
    <w:rsid w:val="00975786"/>
    <w:rsid w:val="00981CB7"/>
    <w:rsid w:val="00983E1F"/>
    <w:rsid w:val="00984929"/>
    <w:rsid w:val="00993F46"/>
    <w:rsid w:val="00997358"/>
    <w:rsid w:val="009A0E36"/>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7B3D"/>
    <w:rsid w:val="00AE5961"/>
    <w:rsid w:val="00AF0745"/>
    <w:rsid w:val="00AF4971"/>
    <w:rsid w:val="00AF5276"/>
    <w:rsid w:val="00AF7C86"/>
    <w:rsid w:val="00B01046"/>
    <w:rsid w:val="00B10510"/>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6A4"/>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21FD1"/>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0F6D"/>
    <w:rsid w:val="00E42326"/>
    <w:rsid w:val="00E43544"/>
    <w:rsid w:val="00E44D89"/>
    <w:rsid w:val="00E477EA"/>
    <w:rsid w:val="00E55807"/>
    <w:rsid w:val="00E5733F"/>
    <w:rsid w:val="00E63B14"/>
    <w:rsid w:val="00E65CA0"/>
    <w:rsid w:val="00E675BD"/>
    <w:rsid w:val="00E70D9F"/>
    <w:rsid w:val="00E83810"/>
    <w:rsid w:val="00E86933"/>
    <w:rsid w:val="00E879F1"/>
    <w:rsid w:val="00E9605B"/>
    <w:rsid w:val="00E97298"/>
    <w:rsid w:val="00E97753"/>
    <w:rsid w:val="00EA7DE7"/>
    <w:rsid w:val="00EB7196"/>
    <w:rsid w:val="00EB7A8A"/>
    <w:rsid w:val="00EC0822"/>
    <w:rsid w:val="00EE3A64"/>
    <w:rsid w:val="00EE441B"/>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2A0A"/>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6F61DC"/>
  <w15:docId w15:val="{E463089E-6BA7-4F5E-AF2E-F470D23C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6041E6"/>
    <w:rPr>
      <w:color w:val="605E5C"/>
      <w:shd w:val="clear" w:color="auto" w:fill="E1DFDD"/>
    </w:rPr>
  </w:style>
  <w:style w:type="character" w:styleId="FollowedHyperlink">
    <w:name w:val="FollowedHyperlink"/>
    <w:basedOn w:val="DefaultParagraphFont"/>
    <w:semiHidden/>
    <w:unhideWhenUsed/>
    <w:rsid w:val="00323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itu.int/md/D18-TDAG25-INF-000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yots\Desktop\TDAG\2020\TDAG%20AnalyseChar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yots\Desktop\TDAG\2020\TDAG%20Analyse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100"/>
              <a:t>Partenariats prévoyant une</a:t>
            </a:r>
            <a:br>
              <a:rPr lang="en-US" sz="1100"/>
            </a:br>
            <a:r>
              <a:rPr lang="en-US" sz="1100"/>
              <a:t> contribution financière</a:t>
            </a:r>
          </a:p>
          <a:p>
            <a:pPr>
              <a:defRPr sz="1200"/>
            </a:pPr>
            <a:r>
              <a:rPr lang="en-US" sz="1100"/>
              <a:t> 2019 </a:t>
            </a:r>
          </a:p>
        </c:rich>
      </c:tx>
      <c:layout>
        <c:manualLayout>
          <c:xMode val="edge"/>
          <c:yMode val="edge"/>
          <c:x val="4.6948356807511735E-2"/>
          <c:y val="3.549622086712845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CH"/>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418237857882442"/>
          <c:y val="0.30215806357538644"/>
          <c:w val="0.56648418103142517"/>
          <c:h val="0.65362379702537188"/>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2E6-460E-8268-8E9B26D4B0B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2E6-460E-8268-8E9B26D4B0BC}"/>
              </c:ext>
            </c:extLst>
          </c:dPt>
          <c:dLbls>
            <c:dLbl>
              <c:idx val="0"/>
              <c:tx>
                <c:rich>
                  <a:bodyPr/>
                  <a:lstStyle/>
                  <a:p>
                    <a:r>
                      <a:rPr lang="en-US"/>
                      <a:t>3,6%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E6-460E-8268-8E9B26D4B0BC}"/>
                </c:ext>
              </c:extLst>
            </c:dLbl>
            <c:dLbl>
              <c:idx val="1"/>
              <c:tx>
                <c:rich>
                  <a:bodyPr/>
                  <a:lstStyle/>
                  <a:p>
                    <a:r>
                      <a:rPr lang="en-US"/>
                      <a:t>96,4%</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E6-460E-8268-8E9B26D4B0B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CH"/>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Sheet1!$A$40:$A$41</c:f>
              <c:strCache>
                <c:ptCount val="2"/>
                <c:pt idx="0">
                  <c:v>ITU component</c:v>
                </c:pt>
                <c:pt idx="1">
                  <c:v>Financial partners component</c:v>
                </c:pt>
              </c:strCache>
            </c:strRef>
          </c:cat>
          <c:val>
            <c:numRef>
              <c:f>Sheet1!$B$40:$B$41</c:f>
              <c:numCache>
                <c:formatCode>0.0%</c:formatCode>
                <c:ptCount val="2"/>
                <c:pt idx="0">
                  <c:v>3.5768120926309266E-2</c:v>
                </c:pt>
                <c:pt idx="1">
                  <c:v>0.96423187907369079</c:v>
                </c:pt>
              </c:numCache>
            </c:numRef>
          </c:val>
          <c:extLst>
            <c:ext xmlns:c16="http://schemas.microsoft.com/office/drawing/2014/chart" uri="{C3380CC4-5D6E-409C-BE32-E72D297353CC}">
              <c16:uniqueId val="{00000004-42E6-460E-8268-8E9B26D4B0BC}"/>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511269233547641"/>
          <c:y val="9.5766362538016084E-2"/>
          <c:w val="0.42689951600086679"/>
          <c:h val="0.1785726784151981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CH"/>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CH"/>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n-US" sz="1200"/>
              <a:t>Partenaires de financement du BDT </a:t>
            </a:r>
            <a:r>
              <a:rPr lang="en-US" sz="1200" baseline="0"/>
              <a:t>– 2019</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CH"/>
        </a:p>
      </c:txPr>
    </c:title>
    <c:autoTitleDeleted val="0"/>
    <c:plotArea>
      <c:layout>
        <c:manualLayout>
          <c:layoutTarget val="inner"/>
          <c:xMode val="edge"/>
          <c:yMode val="edge"/>
          <c:x val="0.14878696412948381"/>
          <c:y val="0.14662875473899098"/>
          <c:w val="0.44807327209098863"/>
          <c:h val="0.7467887868183144"/>
        </c:manualLayout>
      </c:layout>
      <c:doughnutChart>
        <c:varyColors val="1"/>
        <c:ser>
          <c:idx val="0"/>
          <c:order val="0"/>
          <c:explosion val="17"/>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822-497B-82A6-3D8F64343AC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822-497B-82A6-3D8F64343AC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822-497B-82A6-3D8F64343AC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822-497B-82A6-3D8F64343AC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822-497B-82A6-3D8F64343AC8}"/>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822-497B-82A6-3D8F64343AC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CH"/>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Sheet2!$A$31:$A$36</c:f>
              <c:strCache>
                <c:ptCount val="6"/>
                <c:pt idx="0">
                  <c:v>Member States</c:v>
                </c:pt>
                <c:pt idx="1">
                  <c:v>UN &amp; International Organizations</c:v>
                </c:pt>
                <c:pt idx="2">
                  <c:v>Multilateral &amp; Regional Organizations</c:v>
                </c:pt>
                <c:pt idx="3">
                  <c:v>Private Sector</c:v>
                </c:pt>
                <c:pt idx="4">
                  <c:v>Academia</c:v>
                </c:pt>
                <c:pt idx="5">
                  <c:v>NGOs</c:v>
                </c:pt>
              </c:strCache>
            </c:strRef>
          </c:cat>
          <c:val>
            <c:numRef>
              <c:f>Sheet2!$B$31:$B$36</c:f>
              <c:numCache>
                <c:formatCode>General</c:formatCode>
                <c:ptCount val="6"/>
                <c:pt idx="0">
                  <c:v>12</c:v>
                </c:pt>
                <c:pt idx="1">
                  <c:v>3</c:v>
                </c:pt>
                <c:pt idx="2">
                  <c:v>2</c:v>
                </c:pt>
                <c:pt idx="3">
                  <c:v>2</c:v>
                </c:pt>
                <c:pt idx="4">
                  <c:v>1</c:v>
                </c:pt>
                <c:pt idx="5">
                  <c:v>1</c:v>
                </c:pt>
              </c:numCache>
            </c:numRef>
          </c:val>
          <c:extLst>
            <c:ext xmlns:c16="http://schemas.microsoft.com/office/drawing/2014/chart" uri="{C3380CC4-5D6E-409C-BE32-E72D297353CC}">
              <c16:uniqueId val="{0000000C-0822-497B-82A6-3D8F64343AC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0675809273840773"/>
          <c:y val="0.16932524059492562"/>
          <c:w val="0.27935301837270343"/>
          <c:h val="0.770839895013123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CH"/>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CH"/>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EC9C-0010-4334-A126-536D5CAA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1057</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Delmas, Nathalie</dc:creator>
  <cp:lastModifiedBy>BDT</cp:lastModifiedBy>
  <cp:revision>13</cp:revision>
  <cp:lastPrinted>2014-11-04T09:22:00Z</cp:lastPrinted>
  <dcterms:created xsi:type="dcterms:W3CDTF">2020-02-12T13:35:00Z</dcterms:created>
  <dcterms:modified xsi:type="dcterms:W3CDTF">2020-03-10T10:44:00Z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