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EF07B" w14:textId="77777777" w:rsidR="004A00FF" w:rsidRDefault="004A00FF"/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0953B8" w14:paraId="088F8E38" w14:textId="77777777" w:rsidTr="000953B8">
        <w:trPr>
          <w:cantSplit/>
          <w:trHeight w:val="1134"/>
        </w:trPr>
        <w:tc>
          <w:tcPr>
            <w:tcW w:w="6804" w:type="dxa"/>
          </w:tcPr>
          <w:p w14:paraId="2E794849" w14:textId="10A780E9" w:rsidR="004A00B5" w:rsidRPr="004A00FF" w:rsidRDefault="004A00FF" w:rsidP="004A00B5">
            <w:pPr>
              <w:ind w:left="34"/>
              <w:rPr>
                <w:rFonts w:ascii="Calibri" w:hAnsi="Calibri" w:cs="Calibri"/>
                <w:b/>
                <w:bCs/>
                <w:sz w:val="32"/>
                <w:szCs w:val="32"/>
                <w:lang w:eastAsia="zh-CN"/>
              </w:rPr>
            </w:pPr>
            <w:r w:rsidRPr="004A00FF">
              <w:rPr>
                <w:rFonts w:ascii="Calibri" w:hAnsi="Calibri" w:cs="Calibri" w:hint="eastAsia"/>
                <w:b/>
                <w:bCs/>
                <w:sz w:val="32"/>
                <w:szCs w:val="22"/>
                <w:lang w:eastAsia="zh-CN"/>
              </w:rPr>
              <w:t>电信发展顾问组（</w:t>
            </w:r>
            <w:r w:rsidRPr="004A00FF">
              <w:rPr>
                <w:rFonts w:ascii="Calibri" w:hAnsi="Calibri" w:cs="Calibri"/>
                <w:b/>
                <w:bCs/>
                <w:sz w:val="32"/>
                <w:szCs w:val="22"/>
                <w:lang w:eastAsia="zh-CN"/>
              </w:rPr>
              <w:t>TDAG</w:t>
            </w:r>
            <w:r w:rsidRPr="004A00FF">
              <w:rPr>
                <w:rFonts w:ascii="Calibri" w:hAnsi="Calibri" w:cs="Calibri" w:hint="eastAsia"/>
                <w:b/>
                <w:bCs/>
                <w:sz w:val="32"/>
                <w:szCs w:val="22"/>
                <w:lang w:eastAsia="zh-CN"/>
              </w:rPr>
              <w:t>）</w:t>
            </w:r>
          </w:p>
          <w:p w14:paraId="4B748DA5" w14:textId="30D41860" w:rsidR="004A00FF" w:rsidRPr="00421F93" w:rsidRDefault="00421472" w:rsidP="004A00B5">
            <w:pPr>
              <w:spacing w:after="48" w:line="240" w:lineRule="atLeast"/>
              <w:ind w:left="34"/>
              <w:rPr>
                <w:b/>
                <w:bCs/>
                <w:sz w:val="28"/>
                <w:szCs w:val="28"/>
                <w:lang w:eastAsia="zh-CN"/>
              </w:rPr>
            </w:pPr>
            <w:r w:rsidRPr="00421472">
              <w:rPr>
                <w:rFonts w:ascii="Calibri" w:hAnsi="Calibri" w:cs="Calibri" w:hint="eastAsia"/>
                <w:b/>
                <w:bCs/>
                <w:szCs w:val="24"/>
                <w:lang w:val="fr-CH" w:eastAsia="zh-CN"/>
              </w:rPr>
              <w:t>第</w:t>
            </w:r>
            <w:r w:rsidRPr="00421472">
              <w:rPr>
                <w:rFonts w:ascii="Calibri" w:hAnsi="Calibri" w:cs="Calibri" w:hint="eastAsia"/>
                <w:b/>
                <w:bCs/>
                <w:szCs w:val="24"/>
                <w:lang w:val="fr-CH" w:eastAsia="zh-CN"/>
              </w:rPr>
              <w:t>25</w:t>
            </w:r>
            <w:r w:rsidRPr="00421472">
              <w:rPr>
                <w:rFonts w:ascii="Calibri" w:hAnsi="Calibri" w:cs="Calibri" w:hint="eastAsia"/>
                <w:b/>
                <w:bCs/>
                <w:szCs w:val="24"/>
                <w:lang w:val="fr-CH" w:eastAsia="zh-CN"/>
              </w:rPr>
              <w:t>次会议，</w:t>
            </w:r>
            <w:r w:rsidRPr="00421472">
              <w:rPr>
                <w:rFonts w:ascii="Calibri" w:hAnsi="Calibri" w:cs="Calibri" w:hint="eastAsia"/>
                <w:b/>
                <w:bCs/>
                <w:szCs w:val="24"/>
                <w:lang w:val="fr-CH" w:eastAsia="zh-CN"/>
              </w:rPr>
              <w:t>2020</w:t>
            </w:r>
            <w:r w:rsidRPr="00421472">
              <w:rPr>
                <w:rFonts w:ascii="Calibri" w:hAnsi="Calibri" w:cs="Calibri" w:hint="eastAsia"/>
                <w:b/>
                <w:bCs/>
                <w:szCs w:val="24"/>
                <w:lang w:val="fr-CH" w:eastAsia="zh-CN"/>
              </w:rPr>
              <w:t>年</w:t>
            </w:r>
            <w:r w:rsidRPr="00421472">
              <w:rPr>
                <w:rFonts w:ascii="Calibri" w:hAnsi="Calibri" w:cs="Calibri" w:hint="eastAsia"/>
                <w:b/>
                <w:bCs/>
                <w:szCs w:val="24"/>
                <w:lang w:val="fr-CH" w:eastAsia="zh-CN"/>
              </w:rPr>
              <w:t>6</w:t>
            </w:r>
            <w:r w:rsidRPr="00421472">
              <w:rPr>
                <w:rFonts w:ascii="Calibri" w:hAnsi="Calibri" w:cs="Calibri" w:hint="eastAsia"/>
                <w:b/>
                <w:bCs/>
                <w:szCs w:val="24"/>
                <w:lang w:val="fr-CH" w:eastAsia="zh-CN"/>
              </w:rPr>
              <w:t>月</w:t>
            </w:r>
            <w:r w:rsidRPr="00421472">
              <w:rPr>
                <w:rFonts w:ascii="Calibri" w:hAnsi="Calibri" w:cs="Calibri" w:hint="eastAsia"/>
                <w:b/>
                <w:bCs/>
                <w:szCs w:val="24"/>
                <w:lang w:val="fr-CH" w:eastAsia="zh-CN"/>
              </w:rPr>
              <w:t>2-5</w:t>
            </w:r>
            <w:r w:rsidRPr="00421472">
              <w:rPr>
                <w:rFonts w:ascii="Calibri" w:hAnsi="Calibri" w:cs="Calibri" w:hint="eastAsia"/>
                <w:b/>
                <w:bCs/>
                <w:szCs w:val="24"/>
                <w:lang w:val="fr-CH" w:eastAsia="zh-CN"/>
              </w:rPr>
              <w:t>日，日内瓦</w:t>
            </w:r>
            <w:bookmarkStart w:id="0" w:name="_GoBack"/>
            <w:bookmarkEnd w:id="0"/>
          </w:p>
        </w:tc>
        <w:tc>
          <w:tcPr>
            <w:tcW w:w="3227" w:type="dxa"/>
          </w:tcPr>
          <w:p w14:paraId="516AC836" w14:textId="77777777" w:rsidR="000953B8" w:rsidRPr="00D96B4B" w:rsidRDefault="000953B8" w:rsidP="000953B8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1" w:name="ditulogo"/>
            <w:bookmarkEnd w:id="1"/>
            <w:r w:rsidRPr="008E52B1">
              <w:rPr>
                <w:noProof/>
                <w:color w:val="3399FF"/>
                <w:lang w:eastAsia="zh-CN"/>
              </w:rPr>
              <w:drawing>
                <wp:inline distT="0" distB="0" distL="0" distR="0" wp14:anchorId="0C29D50E" wp14:editId="3BDF410B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CD6" w:rsidRPr="00C324A8" w14:paraId="3996A479" w14:textId="77777777" w:rsidTr="000953B8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064FC294" w14:textId="77777777" w:rsidR="00306CD6" w:rsidRPr="00D96B4B" w:rsidRDefault="00306CD6" w:rsidP="00306CD6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2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3CE85F23" w14:textId="77777777" w:rsidR="00306CD6" w:rsidRPr="00303F1F" w:rsidRDefault="00306CD6" w:rsidP="00306CD6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</w:tr>
      <w:tr w:rsidR="00306CD6" w:rsidRPr="0038489B" w14:paraId="06287D82" w14:textId="77777777" w:rsidTr="000953B8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633078DE" w14:textId="77777777" w:rsidR="00306CD6" w:rsidRPr="00D96B4B" w:rsidRDefault="00306CD6" w:rsidP="00306CD6">
            <w:pPr>
              <w:pStyle w:val="Committee"/>
              <w:spacing w:before="0"/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227" w:type="dxa"/>
          </w:tcPr>
          <w:p w14:paraId="5599BE5B" w14:textId="48B8D890" w:rsidR="00306CD6" w:rsidRPr="00303F1F" w:rsidRDefault="004A00FF" w:rsidP="004A00B5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1D2542">
              <w:rPr>
                <w:rFonts w:hint="eastAsia"/>
                <w:b/>
                <w:bCs/>
                <w:szCs w:val="24"/>
                <w:lang w:val="es-ES_tradnl" w:eastAsia="zh-CN"/>
              </w:rPr>
              <w:t>文件</w:t>
            </w:r>
            <w:r w:rsidR="00306CD6" w:rsidRPr="00A54E72">
              <w:rPr>
                <w:b/>
                <w:bCs/>
                <w:lang w:val="en-US"/>
              </w:rPr>
              <w:t xml:space="preserve"> </w:t>
            </w:r>
            <w:bookmarkStart w:id="5" w:name="DocRef1"/>
            <w:bookmarkEnd w:id="5"/>
            <w:r w:rsidR="00306CD6" w:rsidRPr="00B53310">
              <w:rPr>
                <w:b/>
                <w:bCs/>
                <w:lang w:val="en-US"/>
              </w:rPr>
              <w:t>TDAG</w:t>
            </w:r>
            <w:r w:rsidR="004A00B5">
              <w:rPr>
                <w:b/>
                <w:bCs/>
                <w:lang w:val="en-US"/>
              </w:rPr>
              <w:t>-20/</w:t>
            </w:r>
            <w:r w:rsidR="008E3E1B" w:rsidRPr="00B53310">
              <w:rPr>
                <w:b/>
                <w:bCs/>
                <w:lang w:val="en-US"/>
              </w:rPr>
              <w:t>7</w:t>
            </w:r>
            <w:r w:rsidR="00306CD6" w:rsidRPr="00B53310">
              <w:rPr>
                <w:b/>
                <w:bCs/>
                <w:lang w:val="en-US"/>
              </w:rPr>
              <w:t>-</w:t>
            </w:r>
            <w:r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306CD6" w:rsidRPr="00C324A8" w14:paraId="5956EB7E" w14:textId="77777777" w:rsidTr="000953B8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5A638C89" w14:textId="77777777" w:rsidR="00306CD6" w:rsidRPr="00E07105" w:rsidRDefault="00306CD6" w:rsidP="00306CD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6" w:name="ddate" w:colFirst="1" w:colLast="1"/>
            <w:bookmarkStart w:id="7" w:name="dblank" w:colFirst="0" w:colLast="0"/>
            <w:bookmarkEnd w:id="3"/>
            <w:bookmarkEnd w:id="4"/>
          </w:p>
        </w:tc>
        <w:tc>
          <w:tcPr>
            <w:tcW w:w="3227" w:type="dxa"/>
          </w:tcPr>
          <w:p w14:paraId="38135955" w14:textId="0AAE143A" w:rsidR="00306CD6" w:rsidRPr="004A00FF" w:rsidRDefault="00E64705" w:rsidP="002614DD">
            <w:pPr>
              <w:spacing w:before="0" w:line="240" w:lineRule="atLeast"/>
              <w:rPr>
                <w:rFonts w:eastAsiaTheme="minorEastAsia"/>
                <w:b/>
                <w:bCs/>
                <w:szCs w:val="24"/>
                <w:lang w:val="fr-FR" w:eastAsia="zh-CN"/>
              </w:rPr>
            </w:pPr>
            <w:r>
              <w:rPr>
                <w:b/>
                <w:bCs/>
                <w:szCs w:val="28"/>
              </w:rPr>
              <w:t>2020</w:t>
            </w:r>
            <w:r w:rsidR="004A00FF">
              <w:rPr>
                <w:rFonts w:eastAsiaTheme="minorEastAsia" w:hint="eastAsia"/>
                <w:b/>
                <w:bCs/>
                <w:szCs w:val="28"/>
                <w:lang w:eastAsia="zh-CN"/>
              </w:rPr>
              <w:t>年</w:t>
            </w:r>
            <w:r w:rsidR="004A00FF">
              <w:rPr>
                <w:rFonts w:eastAsiaTheme="minorEastAsia" w:hint="eastAsia"/>
                <w:b/>
                <w:bCs/>
                <w:szCs w:val="28"/>
                <w:lang w:eastAsia="zh-CN"/>
              </w:rPr>
              <w:t>2</w:t>
            </w:r>
            <w:r w:rsidR="004A00FF">
              <w:rPr>
                <w:rFonts w:eastAsiaTheme="minorEastAsia" w:hint="eastAsia"/>
                <w:b/>
                <w:bCs/>
                <w:szCs w:val="28"/>
                <w:lang w:eastAsia="zh-CN"/>
              </w:rPr>
              <w:t>月</w:t>
            </w:r>
            <w:r w:rsidR="004A00FF">
              <w:rPr>
                <w:rFonts w:eastAsiaTheme="minorEastAsia" w:hint="eastAsia"/>
                <w:b/>
                <w:bCs/>
                <w:szCs w:val="28"/>
                <w:lang w:eastAsia="zh-CN"/>
              </w:rPr>
              <w:t>4</w:t>
            </w:r>
            <w:r w:rsidR="004A00FF">
              <w:rPr>
                <w:rFonts w:eastAsiaTheme="minorEastAsia" w:hint="eastAsia"/>
                <w:b/>
                <w:bCs/>
                <w:szCs w:val="28"/>
                <w:lang w:eastAsia="zh-CN"/>
              </w:rPr>
              <w:t>日</w:t>
            </w:r>
          </w:p>
        </w:tc>
      </w:tr>
      <w:bookmarkEnd w:id="6"/>
      <w:bookmarkEnd w:id="7"/>
      <w:tr w:rsidR="00306CD6" w:rsidRPr="00C324A8" w14:paraId="5BCAA5BC" w14:textId="77777777" w:rsidTr="000953B8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769523E7" w14:textId="77777777" w:rsidR="00306CD6" w:rsidRPr="00D96B4B" w:rsidRDefault="00306CD6" w:rsidP="00306CD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27" w:type="dxa"/>
          </w:tcPr>
          <w:p w14:paraId="528F3AAB" w14:textId="137A41FF" w:rsidR="00306CD6" w:rsidRPr="00D96B4B" w:rsidRDefault="004A00FF" w:rsidP="00306CD6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1D2542">
              <w:rPr>
                <w:rFonts w:hint="eastAsia"/>
                <w:b/>
                <w:bCs/>
                <w:szCs w:val="24"/>
                <w:lang w:val="fr-FR" w:eastAsia="zh-CN"/>
              </w:rPr>
              <w:t>原文</w:t>
            </w:r>
            <w:r w:rsidRPr="001D2542">
              <w:rPr>
                <w:b/>
                <w:bCs/>
                <w:szCs w:val="24"/>
                <w:lang w:val="fr-FR" w:eastAsia="zh-CN"/>
              </w:rPr>
              <w:t>：</w:t>
            </w:r>
            <w:r w:rsidRPr="001D2542">
              <w:rPr>
                <w:rFonts w:hint="eastAsia"/>
                <w:b/>
                <w:bCs/>
                <w:szCs w:val="24"/>
                <w:lang w:val="fr-FR" w:eastAsia="zh-CN"/>
              </w:rPr>
              <w:t>英文</w:t>
            </w:r>
          </w:p>
        </w:tc>
      </w:tr>
      <w:tr w:rsidR="00291AA3" w:rsidRPr="00C324A8" w14:paraId="5A595969" w14:textId="77777777" w:rsidTr="000953B8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845018E" w14:textId="4B43597E" w:rsidR="00291AA3" w:rsidRPr="00D83BF5" w:rsidRDefault="004A00FF" w:rsidP="000953B8">
            <w:pPr>
              <w:pStyle w:val="Source"/>
              <w:spacing w:before="240" w:after="240"/>
              <w:jc w:val="center"/>
            </w:pPr>
            <w:bookmarkStart w:id="8" w:name="dbluepink" w:colFirst="0" w:colLast="0"/>
            <w:bookmarkStart w:id="9" w:name="dorlang" w:colFirst="1" w:colLast="1"/>
            <w:r w:rsidRPr="00DE4507">
              <w:rPr>
                <w:rFonts w:hint="eastAsia"/>
                <w:sz w:val="28"/>
                <w:szCs w:val="28"/>
                <w:lang w:eastAsia="zh-CN"/>
              </w:rPr>
              <w:t>电</w:t>
            </w:r>
            <w:r w:rsidRPr="00DE4507">
              <w:rPr>
                <w:sz w:val="28"/>
                <w:szCs w:val="28"/>
                <w:lang w:eastAsia="zh-CN"/>
              </w:rPr>
              <w:t>信发展局主任</w:t>
            </w:r>
          </w:p>
        </w:tc>
      </w:tr>
      <w:tr w:rsidR="00291AA3" w:rsidRPr="00C324A8" w14:paraId="00E1F379" w14:textId="77777777" w:rsidTr="000953B8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1AAC60DB" w14:textId="16A2D9AA" w:rsidR="00291AA3" w:rsidRDefault="004A00FF" w:rsidP="000953B8">
            <w:pPr>
              <w:pStyle w:val="Title1"/>
              <w:spacing w:before="120" w:after="120"/>
              <w:jc w:val="center"/>
              <w:rPr>
                <w:b w:val="0"/>
                <w:bCs/>
                <w:sz w:val="28"/>
                <w:szCs w:val="28"/>
                <w:lang w:eastAsia="zh-CN"/>
              </w:rPr>
            </w:pPr>
            <w:r w:rsidRPr="00F82898">
              <w:rPr>
                <w:b w:val="0"/>
                <w:bCs/>
                <w:sz w:val="28"/>
                <w:szCs w:val="28"/>
                <w:lang w:eastAsia="zh-CN"/>
              </w:rPr>
              <w:t>ITU-D</w:t>
            </w: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的伙伴关系</w:t>
            </w:r>
            <w:r w:rsidRPr="00F82898"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和资源筹措</w:t>
            </w:r>
          </w:p>
          <w:p w14:paraId="30C7ED28" w14:textId="77777777" w:rsidR="004A00FF" w:rsidRPr="004A00FF" w:rsidRDefault="004A00FF" w:rsidP="004A00FF">
            <w:pPr>
              <w:pStyle w:val="Title2"/>
              <w:rPr>
                <w:lang w:eastAsia="zh-CN"/>
              </w:rPr>
            </w:pPr>
          </w:p>
        </w:tc>
      </w:tr>
      <w:tr w:rsidR="00291AA3" w:rsidRPr="00C324A8" w14:paraId="5702C867" w14:textId="77777777" w:rsidTr="000953B8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46178F" w14:textId="77777777" w:rsidR="00291AA3" w:rsidRPr="00B911B2" w:rsidRDefault="00291AA3" w:rsidP="000953B8">
            <w:pPr>
              <w:pStyle w:val="Title1"/>
              <w:spacing w:before="120" w:after="120"/>
              <w:rPr>
                <w:caps/>
                <w:szCs w:val="28"/>
                <w:lang w:eastAsia="zh-CN"/>
              </w:rPr>
            </w:pPr>
          </w:p>
        </w:tc>
      </w:tr>
      <w:tr w:rsidR="00291AA3" w:rsidRPr="00C324A8" w14:paraId="5C7FDAA0" w14:textId="77777777" w:rsidTr="000953B8">
        <w:trPr>
          <w:cantSplit/>
          <w:trHeight w:val="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FBC0" w14:textId="54EEE13D" w:rsidR="00291AA3" w:rsidRPr="008A3933" w:rsidRDefault="004A00FF" w:rsidP="000953B8">
            <w:pPr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概</w:t>
            </w:r>
            <w:r w:rsidRPr="00054016">
              <w:rPr>
                <w:rFonts w:hint="eastAsia"/>
                <w:b/>
                <w:bCs/>
                <w:lang w:eastAsia="zh-CN"/>
              </w:rPr>
              <w:t>要</w:t>
            </w:r>
            <w:r w:rsidRPr="005B29F3">
              <w:rPr>
                <w:b/>
                <w:bCs/>
                <w:lang w:eastAsia="zh-CN"/>
              </w:rPr>
              <w:t>：</w:t>
            </w:r>
          </w:p>
          <w:p w14:paraId="3F9CB08B" w14:textId="1749113F" w:rsidR="00291AA3" w:rsidRPr="007F1A2A" w:rsidRDefault="004A00FF" w:rsidP="00B85A96">
            <w:pPr>
              <w:ind w:firstLineChars="200" w:firstLine="480"/>
              <w:rPr>
                <w:szCs w:val="24"/>
                <w:lang w:eastAsia="zh-CN"/>
              </w:rPr>
            </w:pPr>
            <w:r w:rsidRPr="00F82898">
              <w:rPr>
                <w:szCs w:val="24"/>
                <w:lang w:eastAsia="zh-CN"/>
              </w:rPr>
              <w:t>2017</w:t>
            </w:r>
            <w:r w:rsidRPr="00F82898">
              <w:rPr>
                <w:rFonts w:hint="eastAsia"/>
                <w:szCs w:val="24"/>
                <w:lang w:eastAsia="zh-CN"/>
              </w:rPr>
              <w:t>年世界电信发展大会（</w:t>
            </w:r>
            <w:r w:rsidRPr="00F82898">
              <w:rPr>
                <w:szCs w:val="24"/>
                <w:lang w:eastAsia="zh-CN"/>
              </w:rPr>
              <w:t>WTDC-17</w:t>
            </w:r>
            <w:r w:rsidRPr="00F82898">
              <w:rPr>
                <w:rFonts w:hint="eastAsia"/>
                <w:szCs w:val="24"/>
                <w:lang w:eastAsia="zh-CN"/>
              </w:rPr>
              <w:t>）强调了伙伴关系和资源筹措的重要性。本文件</w:t>
            </w:r>
            <w:r w:rsidR="00B75AD0">
              <w:rPr>
                <w:rFonts w:hint="eastAsia"/>
                <w:szCs w:val="24"/>
                <w:lang w:eastAsia="zh-CN"/>
              </w:rPr>
              <w:t>报告了</w:t>
            </w:r>
            <w:r w:rsidR="00B75AD0">
              <w:rPr>
                <w:rFonts w:hint="eastAsia"/>
                <w:szCs w:val="24"/>
                <w:lang w:eastAsia="zh-CN"/>
              </w:rPr>
              <w:t>2</w:t>
            </w:r>
            <w:r w:rsidR="00B75AD0">
              <w:rPr>
                <w:szCs w:val="24"/>
                <w:lang w:eastAsia="zh-CN"/>
              </w:rPr>
              <w:t>019</w:t>
            </w:r>
            <w:r w:rsidR="00B75AD0">
              <w:rPr>
                <w:rFonts w:hint="eastAsia"/>
                <w:szCs w:val="24"/>
                <w:lang w:eastAsia="zh-CN"/>
              </w:rPr>
              <w:t>年</w:t>
            </w:r>
            <w:r w:rsidR="00037A45">
              <w:rPr>
                <w:rFonts w:hint="eastAsia"/>
                <w:szCs w:val="24"/>
                <w:lang w:eastAsia="zh-CN"/>
              </w:rPr>
              <w:t>开展</w:t>
            </w:r>
            <w:r w:rsidR="00C12AF8">
              <w:rPr>
                <w:rFonts w:hint="eastAsia"/>
                <w:szCs w:val="24"/>
                <w:lang w:eastAsia="zh-CN"/>
              </w:rPr>
              <w:t>的</w:t>
            </w:r>
            <w:r w:rsidRPr="00F82898">
              <w:rPr>
                <w:rFonts w:hint="eastAsia"/>
                <w:szCs w:val="24"/>
                <w:lang w:eastAsia="zh-CN"/>
              </w:rPr>
              <w:t>伙伴关系和资源筹措</w:t>
            </w:r>
            <w:r w:rsidR="00037A45">
              <w:rPr>
                <w:rFonts w:hint="eastAsia"/>
                <w:szCs w:val="24"/>
                <w:lang w:eastAsia="zh-CN"/>
              </w:rPr>
              <w:t>活动</w:t>
            </w:r>
            <w:r w:rsidRPr="00F82898">
              <w:rPr>
                <w:rFonts w:hint="eastAsia"/>
                <w:szCs w:val="24"/>
                <w:lang w:eastAsia="zh-CN"/>
              </w:rPr>
              <w:t>。</w:t>
            </w:r>
          </w:p>
          <w:p w14:paraId="792D9C62" w14:textId="524C85AB" w:rsidR="00291AA3" w:rsidRPr="00D9621A" w:rsidRDefault="004A00FF" w:rsidP="000953B8">
            <w:pPr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需</w:t>
            </w:r>
            <w:r w:rsidRPr="00054016">
              <w:rPr>
                <w:b/>
                <w:bCs/>
                <w:lang w:eastAsia="zh-CN"/>
              </w:rPr>
              <w:t>采取</w:t>
            </w:r>
            <w:r>
              <w:rPr>
                <w:rFonts w:hint="eastAsia"/>
                <w:b/>
                <w:bCs/>
                <w:lang w:eastAsia="zh-CN"/>
              </w:rPr>
              <w:t>的</w:t>
            </w:r>
            <w:r w:rsidRPr="00054016">
              <w:rPr>
                <w:b/>
                <w:bCs/>
                <w:lang w:eastAsia="zh-CN"/>
              </w:rPr>
              <w:t>行动</w:t>
            </w:r>
            <w:r w:rsidRPr="005B29F3">
              <w:rPr>
                <w:b/>
                <w:bCs/>
                <w:lang w:eastAsia="zh-CN"/>
              </w:rPr>
              <w:t>：</w:t>
            </w:r>
          </w:p>
          <w:p w14:paraId="65D55E46" w14:textId="4DFC4881" w:rsidR="00291AA3" w:rsidRPr="007F1A2A" w:rsidRDefault="004A00FF" w:rsidP="00B85A96">
            <w:pPr>
              <w:ind w:firstLineChars="200" w:firstLine="480"/>
              <w:rPr>
                <w:szCs w:val="24"/>
                <w:lang w:eastAsia="zh-CN"/>
              </w:rPr>
            </w:pPr>
            <w:r w:rsidRPr="00F82898">
              <w:rPr>
                <w:rFonts w:hint="eastAsia"/>
                <w:szCs w:val="24"/>
                <w:lang w:eastAsia="zh-CN"/>
              </w:rPr>
              <w:t>请电信发展顾问组（</w:t>
            </w:r>
            <w:r w:rsidRPr="00F82898">
              <w:rPr>
                <w:szCs w:val="24"/>
                <w:lang w:eastAsia="zh-CN"/>
              </w:rPr>
              <w:t>TDAG</w:t>
            </w:r>
            <w:r w:rsidRPr="00F82898">
              <w:rPr>
                <w:rFonts w:hint="eastAsia"/>
                <w:szCs w:val="24"/>
                <w:lang w:eastAsia="zh-CN"/>
              </w:rPr>
              <w:t>）将本</w:t>
            </w:r>
            <w:r w:rsidR="00AC64E5">
              <w:rPr>
                <w:rFonts w:hint="eastAsia"/>
                <w:szCs w:val="24"/>
                <w:lang w:eastAsia="zh-CN"/>
              </w:rPr>
              <w:t>文件</w:t>
            </w:r>
            <w:r w:rsidRPr="00F82898">
              <w:rPr>
                <w:rFonts w:hint="eastAsia"/>
                <w:szCs w:val="24"/>
                <w:lang w:eastAsia="zh-CN"/>
              </w:rPr>
              <w:t>记录在案并酌情提供指导。</w:t>
            </w:r>
          </w:p>
          <w:p w14:paraId="458E9B3D" w14:textId="5CB0C69D" w:rsidR="00291AA3" w:rsidRPr="00D9621A" w:rsidRDefault="004A00FF" w:rsidP="000953B8">
            <w:pPr>
              <w:rPr>
                <w:b/>
                <w:bCs/>
                <w:szCs w:val="24"/>
                <w:lang w:eastAsia="zh-CN"/>
              </w:rPr>
            </w:pPr>
            <w:r w:rsidRPr="00054016">
              <w:rPr>
                <w:rFonts w:hint="eastAsia"/>
                <w:b/>
                <w:bCs/>
                <w:lang w:eastAsia="zh-CN"/>
              </w:rPr>
              <w:t>参考文件</w:t>
            </w:r>
            <w:r w:rsidRPr="005B29F3">
              <w:rPr>
                <w:b/>
                <w:bCs/>
                <w:lang w:eastAsia="zh-CN"/>
              </w:rPr>
              <w:t>：</w:t>
            </w:r>
          </w:p>
          <w:p w14:paraId="0AE65E03" w14:textId="3923251A" w:rsidR="00AF3EFD" w:rsidRDefault="00CA274E" w:rsidP="00B85A96">
            <w:pPr>
              <w:spacing w:after="120"/>
              <w:ind w:firstLineChars="200" w:firstLine="480"/>
              <w:rPr>
                <w:rStyle w:val="Hyperlink"/>
                <w:color w:val="auto"/>
                <w:u w:val="none"/>
                <w:lang w:eastAsia="zh-CN"/>
              </w:rPr>
            </w:pPr>
            <w:r>
              <w:rPr>
                <w:rStyle w:val="Hyperlink"/>
                <w:rFonts w:hint="eastAsia"/>
                <w:color w:val="auto"/>
                <w:u w:val="none"/>
                <w:lang w:eastAsia="zh-CN"/>
              </w:rPr>
              <w:t>国际电联目标</w:t>
            </w:r>
            <w:r>
              <w:rPr>
                <w:rStyle w:val="Hyperlink"/>
                <w:rFonts w:hint="eastAsia"/>
                <w:color w:val="auto"/>
                <w:u w:val="none"/>
                <w:lang w:eastAsia="zh-CN"/>
              </w:rPr>
              <w:t>5</w:t>
            </w:r>
          </w:p>
          <w:p w14:paraId="42B14D51" w14:textId="36F5A553" w:rsidR="00B35835" w:rsidRDefault="00CA274E" w:rsidP="00B85A96">
            <w:pPr>
              <w:spacing w:after="120"/>
              <w:ind w:firstLineChars="200" w:firstLine="480"/>
              <w:rPr>
                <w:rStyle w:val="Hyperlink"/>
                <w:color w:val="auto"/>
                <w:u w:val="none"/>
                <w:lang w:eastAsia="zh-CN"/>
              </w:rPr>
            </w:pPr>
            <w:r w:rsidRPr="00CA274E">
              <w:rPr>
                <w:rStyle w:val="Hyperlink"/>
                <w:rFonts w:hint="eastAsia"/>
                <w:color w:val="auto"/>
                <w:u w:val="none"/>
                <w:lang w:eastAsia="zh-CN"/>
              </w:rPr>
              <w:t>《布宜诺斯艾利斯行动计划》</w:t>
            </w:r>
            <w:r>
              <w:rPr>
                <w:rStyle w:val="Hyperlink"/>
                <w:rFonts w:hint="eastAsia"/>
                <w:color w:val="auto"/>
                <w:u w:val="none"/>
                <w:lang w:eastAsia="zh-CN"/>
              </w:rPr>
              <w:t>、</w:t>
            </w:r>
            <w:r w:rsidR="00AE2F91">
              <w:rPr>
                <w:rStyle w:val="Hyperlink"/>
                <w:rFonts w:hint="eastAsia"/>
                <w:color w:val="auto"/>
                <w:u w:val="none"/>
                <w:lang w:eastAsia="zh-CN"/>
              </w:rPr>
              <w:t>《</w:t>
            </w:r>
            <w:r>
              <w:rPr>
                <w:rStyle w:val="Hyperlink"/>
                <w:rFonts w:hint="eastAsia"/>
                <w:color w:val="auto"/>
                <w:u w:val="none"/>
                <w:lang w:eastAsia="zh-CN"/>
              </w:rPr>
              <w:t>WTDC</w:t>
            </w:r>
            <w:r>
              <w:rPr>
                <w:rStyle w:val="Hyperlink"/>
                <w:color w:val="auto"/>
                <w:u w:val="none"/>
                <w:lang w:eastAsia="zh-CN"/>
              </w:rPr>
              <w:t>-17</w:t>
            </w:r>
            <w:r>
              <w:rPr>
                <w:rStyle w:val="Hyperlink"/>
                <w:rFonts w:hint="eastAsia"/>
                <w:color w:val="auto"/>
                <w:u w:val="none"/>
                <w:lang w:eastAsia="zh-CN"/>
              </w:rPr>
              <w:t>最后报告</w:t>
            </w:r>
            <w:r w:rsidR="00AE2F91">
              <w:rPr>
                <w:rStyle w:val="Hyperlink"/>
                <w:rFonts w:hint="eastAsia"/>
                <w:color w:val="auto"/>
                <w:u w:val="none"/>
                <w:lang w:eastAsia="zh-CN"/>
              </w:rPr>
              <w:t>》</w:t>
            </w:r>
            <w:r>
              <w:rPr>
                <w:rStyle w:val="Hyperlink"/>
                <w:rFonts w:hint="eastAsia"/>
                <w:color w:val="auto"/>
                <w:u w:val="none"/>
                <w:lang w:eastAsia="zh-CN"/>
              </w:rPr>
              <w:t>第</w:t>
            </w:r>
            <w:r>
              <w:rPr>
                <w:rStyle w:val="Hyperlink"/>
                <w:rFonts w:hint="eastAsia"/>
                <w:color w:val="auto"/>
                <w:u w:val="none"/>
                <w:lang w:eastAsia="zh-CN"/>
              </w:rPr>
              <w:t>4</w:t>
            </w:r>
            <w:r>
              <w:rPr>
                <w:rStyle w:val="Hyperlink"/>
                <w:color w:val="auto"/>
                <w:u w:val="none"/>
                <w:lang w:eastAsia="zh-CN"/>
              </w:rPr>
              <w:t>.5</w:t>
            </w:r>
            <w:r>
              <w:rPr>
                <w:rStyle w:val="Hyperlink"/>
                <w:rFonts w:hint="eastAsia"/>
                <w:color w:val="auto"/>
                <w:u w:val="none"/>
                <w:lang w:eastAsia="zh-CN"/>
              </w:rPr>
              <w:t>节</w:t>
            </w:r>
          </w:p>
          <w:p w14:paraId="26EFE70E" w14:textId="68E16936" w:rsidR="00291AA3" w:rsidRPr="00B21793" w:rsidRDefault="004A00FF" w:rsidP="00B85A96">
            <w:pPr>
              <w:spacing w:after="120"/>
              <w:ind w:firstLineChars="200" w:firstLine="480"/>
              <w:rPr>
                <w:szCs w:val="24"/>
                <w:lang w:val="en-US" w:eastAsia="zh-CN"/>
              </w:rPr>
            </w:pPr>
            <w:r w:rsidRPr="00BC52C2">
              <w:rPr>
                <w:rStyle w:val="Hyperlink"/>
                <w:color w:val="auto"/>
                <w:u w:val="none"/>
                <w:lang w:eastAsia="zh-CN"/>
              </w:rPr>
              <w:t>WTDC</w:t>
            </w:r>
            <w:r w:rsidRPr="00BC52C2">
              <w:rPr>
                <w:rStyle w:val="Hyperlink"/>
                <w:rFonts w:hint="eastAsia"/>
                <w:color w:val="auto"/>
                <w:u w:val="none"/>
                <w:lang w:eastAsia="zh-CN"/>
              </w:rPr>
              <w:t>第</w:t>
            </w:r>
            <w:r w:rsidRPr="00BC52C2">
              <w:rPr>
                <w:rStyle w:val="Hyperlink"/>
                <w:color w:val="auto"/>
                <w:u w:val="none"/>
                <w:lang w:eastAsia="zh-CN"/>
              </w:rPr>
              <w:t>17</w:t>
            </w:r>
            <w:r w:rsidRPr="00BC52C2">
              <w:rPr>
                <w:rStyle w:val="Hyperlink"/>
                <w:rFonts w:hint="eastAsia"/>
                <w:color w:val="auto"/>
                <w:u w:val="none"/>
                <w:lang w:eastAsia="zh-CN"/>
              </w:rPr>
              <w:t>号决议（</w:t>
            </w:r>
            <w:r w:rsidRPr="00BC52C2">
              <w:rPr>
                <w:rStyle w:val="Hyperlink"/>
                <w:color w:val="auto"/>
                <w:u w:val="none"/>
                <w:lang w:eastAsia="zh-CN"/>
              </w:rPr>
              <w:t>2017</w:t>
            </w:r>
            <w:r w:rsidRPr="00BC52C2">
              <w:rPr>
                <w:rStyle w:val="Hyperlink"/>
                <w:rFonts w:hint="eastAsia"/>
                <w:color w:val="auto"/>
                <w:u w:val="none"/>
                <w:lang w:eastAsia="zh-CN"/>
              </w:rPr>
              <w:t>年，布宜诺斯艾利斯，修订版）</w:t>
            </w:r>
            <w:r w:rsidR="00B33CE1">
              <w:rPr>
                <w:rFonts w:hint="eastAsia"/>
                <w:lang w:eastAsia="zh-CN"/>
              </w:rPr>
              <w:t>和</w:t>
            </w:r>
            <w:r w:rsidRPr="00B33CE1">
              <w:rPr>
                <w:rStyle w:val="Hyperlink"/>
                <w:color w:val="auto"/>
                <w:szCs w:val="24"/>
                <w:u w:val="none"/>
                <w:lang w:val="en-US" w:eastAsia="zh-CN"/>
              </w:rPr>
              <w:t>WTDC</w:t>
            </w:r>
            <w:r w:rsidRPr="00B33CE1">
              <w:rPr>
                <w:rStyle w:val="Hyperlink"/>
                <w:rFonts w:hint="eastAsia"/>
                <w:color w:val="auto"/>
                <w:szCs w:val="24"/>
                <w:u w:val="none"/>
                <w:lang w:val="en-US" w:eastAsia="zh-CN"/>
              </w:rPr>
              <w:t>第</w:t>
            </w:r>
            <w:r w:rsidRPr="00B33CE1">
              <w:rPr>
                <w:rStyle w:val="Hyperlink"/>
                <w:color w:val="auto"/>
                <w:szCs w:val="24"/>
                <w:u w:val="none"/>
                <w:lang w:val="en-US" w:eastAsia="zh-CN"/>
              </w:rPr>
              <w:t>71</w:t>
            </w:r>
            <w:r w:rsidRPr="00B33CE1">
              <w:rPr>
                <w:rStyle w:val="Hyperlink"/>
                <w:rFonts w:hint="eastAsia"/>
                <w:color w:val="auto"/>
                <w:szCs w:val="24"/>
                <w:u w:val="none"/>
                <w:lang w:val="en-US" w:eastAsia="zh-CN"/>
              </w:rPr>
              <w:t>号决议（</w:t>
            </w:r>
            <w:r w:rsidRPr="00B33CE1">
              <w:rPr>
                <w:rStyle w:val="Hyperlink"/>
                <w:color w:val="auto"/>
                <w:szCs w:val="24"/>
                <w:u w:val="none"/>
                <w:lang w:val="en-US" w:eastAsia="zh-CN"/>
              </w:rPr>
              <w:t>2017</w:t>
            </w:r>
            <w:r w:rsidRPr="00B33CE1">
              <w:rPr>
                <w:rStyle w:val="Hyperlink"/>
                <w:rFonts w:hint="eastAsia"/>
                <w:color w:val="auto"/>
                <w:szCs w:val="24"/>
                <w:u w:val="none"/>
                <w:lang w:val="en-US" w:eastAsia="zh-CN"/>
              </w:rPr>
              <w:t>年，布宜诺斯艾利斯，修订版）</w:t>
            </w:r>
          </w:p>
        </w:tc>
      </w:tr>
    </w:tbl>
    <w:p w14:paraId="2FF32476" w14:textId="77777777" w:rsidR="00C03B17" w:rsidRDefault="00C03B1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="Calibri"/>
          <w:sz w:val="28"/>
          <w:szCs w:val="28"/>
          <w:lang w:val="en-US" w:eastAsia="zh-CN"/>
        </w:rPr>
      </w:pPr>
      <w:bookmarkStart w:id="10" w:name="Proposal"/>
      <w:bookmarkEnd w:id="8"/>
      <w:bookmarkEnd w:id="9"/>
      <w:bookmarkEnd w:id="10"/>
      <w:r>
        <w:rPr>
          <w:rFonts w:cs="Calibri"/>
          <w:sz w:val="28"/>
          <w:szCs w:val="28"/>
          <w:lang w:val="en-US" w:eastAsia="zh-CN"/>
        </w:rPr>
        <w:br w:type="page"/>
      </w:r>
    </w:p>
    <w:p w14:paraId="1DCA91C5" w14:textId="04F66C40" w:rsidR="008B5772" w:rsidRPr="00B85A96" w:rsidRDefault="00B85A96" w:rsidP="00B85A96">
      <w:pPr>
        <w:pStyle w:val="Heading1"/>
        <w:ind w:left="0" w:firstLine="0"/>
        <w:rPr>
          <w:rFonts w:ascii="Calibri" w:hAnsi="Calibri" w:cs="Calibri"/>
          <w:sz w:val="24"/>
          <w:szCs w:val="24"/>
          <w:lang w:val="en-US"/>
        </w:rPr>
      </w:pPr>
      <w:r w:rsidRPr="00B85A96">
        <w:rPr>
          <w:rFonts w:ascii="Calibri" w:hAnsi="Calibri" w:cs="Calibri" w:hint="eastAsia"/>
          <w:sz w:val="24"/>
          <w:szCs w:val="24"/>
          <w:lang w:val="fr-FR" w:eastAsia="zh-CN"/>
        </w:rPr>
        <w:lastRenderedPageBreak/>
        <w:t>1</w:t>
      </w:r>
      <w:r w:rsidRPr="00B85A96">
        <w:rPr>
          <w:rFonts w:ascii="Calibri" w:hAnsi="Calibri" w:cs="Calibri"/>
          <w:sz w:val="24"/>
          <w:szCs w:val="24"/>
          <w:lang w:val="fr-FR"/>
        </w:rPr>
        <w:tab/>
      </w:r>
      <w:proofErr w:type="spellStart"/>
      <w:r w:rsidR="00D4673D" w:rsidRPr="00B85A96">
        <w:rPr>
          <w:rFonts w:ascii="Calibri" w:hAnsi="Calibri" w:cs="Calibri" w:hint="eastAsia"/>
          <w:sz w:val="24"/>
          <w:szCs w:val="24"/>
          <w:lang w:val="fr-FR"/>
        </w:rPr>
        <w:t>背景</w:t>
      </w:r>
      <w:proofErr w:type="spellEnd"/>
    </w:p>
    <w:p w14:paraId="7F46F04E" w14:textId="7E5CB5ED" w:rsidR="00BC6611" w:rsidRPr="0075016A" w:rsidRDefault="0043418E" w:rsidP="00B85A96">
      <w:pPr>
        <w:spacing w:after="120"/>
        <w:ind w:firstLineChars="200" w:firstLine="480"/>
        <w:rPr>
          <w:lang w:val="en-US" w:eastAsia="zh-CN"/>
        </w:rPr>
      </w:pPr>
      <w:r w:rsidRPr="00F82898">
        <w:rPr>
          <w:szCs w:val="24"/>
          <w:lang w:eastAsia="zh-CN"/>
        </w:rPr>
        <w:t>2017</w:t>
      </w:r>
      <w:r w:rsidRPr="00F82898">
        <w:rPr>
          <w:rFonts w:hint="eastAsia"/>
          <w:szCs w:val="24"/>
          <w:lang w:eastAsia="zh-CN"/>
        </w:rPr>
        <w:t>年世界电信发展大会（</w:t>
      </w:r>
      <w:r w:rsidRPr="00F82898">
        <w:rPr>
          <w:szCs w:val="24"/>
          <w:lang w:eastAsia="zh-CN"/>
        </w:rPr>
        <w:t>WTDC-17</w:t>
      </w:r>
      <w:r w:rsidRPr="00F82898">
        <w:rPr>
          <w:rFonts w:hint="eastAsia"/>
          <w:szCs w:val="24"/>
          <w:lang w:eastAsia="zh-CN"/>
        </w:rPr>
        <w:t>）强调了伙伴关系和资源筹措的重要性</w:t>
      </w:r>
      <w:r w:rsidR="000E631E">
        <w:rPr>
          <w:rFonts w:hint="eastAsia"/>
          <w:szCs w:val="24"/>
          <w:lang w:eastAsia="zh-CN"/>
        </w:rPr>
        <w:t>。</w:t>
      </w:r>
    </w:p>
    <w:p w14:paraId="5F7DD3F3" w14:textId="41A93299" w:rsidR="00B35835" w:rsidRPr="0075016A" w:rsidRDefault="00353ED0" w:rsidP="00B85A96">
      <w:pPr>
        <w:spacing w:after="120"/>
        <w:ind w:firstLineChars="200" w:firstLine="480"/>
        <w:rPr>
          <w:lang w:val="en-US" w:eastAsia="zh-CN"/>
        </w:rPr>
      </w:pPr>
      <w:r w:rsidRPr="00353ED0">
        <w:rPr>
          <w:rFonts w:hint="eastAsia"/>
          <w:lang w:val="en-US" w:eastAsia="zh-CN"/>
        </w:rPr>
        <w:t>根据</w:t>
      </w:r>
      <w:r w:rsidRPr="00CA274E">
        <w:rPr>
          <w:rStyle w:val="Hyperlink"/>
          <w:rFonts w:hint="eastAsia"/>
          <w:color w:val="auto"/>
          <w:u w:val="none"/>
          <w:lang w:eastAsia="zh-CN"/>
        </w:rPr>
        <w:t>《布宜诺斯艾利斯行动计划》</w:t>
      </w:r>
      <w:r w:rsidRPr="00353ED0">
        <w:rPr>
          <w:rFonts w:hint="eastAsia"/>
          <w:lang w:val="en-US" w:eastAsia="zh-CN"/>
        </w:rPr>
        <w:t>，</w:t>
      </w:r>
      <w:r w:rsidR="00F15C89" w:rsidRPr="00F15C89">
        <w:rPr>
          <w:rFonts w:hint="eastAsia"/>
          <w:lang w:val="en-US" w:eastAsia="zh-CN"/>
        </w:rPr>
        <w:t>电信发展局继续与广泛的利益攸关方建立伙伴关系，其中包括其它联合国机构，并</w:t>
      </w:r>
      <w:r w:rsidR="000B3A3E">
        <w:rPr>
          <w:rFonts w:hint="eastAsia"/>
          <w:lang w:val="en-US" w:eastAsia="zh-CN"/>
        </w:rPr>
        <w:t>且</w:t>
      </w:r>
      <w:r w:rsidR="00F15C89" w:rsidRPr="00F15C89">
        <w:rPr>
          <w:rFonts w:hint="eastAsia"/>
          <w:lang w:val="en-US" w:eastAsia="zh-CN"/>
        </w:rPr>
        <w:t>努力从各融资机构、国际金融机构、国际电联成员国和</w:t>
      </w:r>
      <w:r w:rsidR="00F15C89" w:rsidRPr="00F15C89">
        <w:rPr>
          <w:rFonts w:hint="eastAsia"/>
          <w:lang w:val="en-US" w:eastAsia="zh-CN"/>
        </w:rPr>
        <w:t>ITU-D</w:t>
      </w:r>
      <w:r w:rsidR="00F15C89" w:rsidRPr="00F15C89">
        <w:rPr>
          <w:rFonts w:hint="eastAsia"/>
          <w:lang w:val="en-US" w:eastAsia="zh-CN"/>
        </w:rPr>
        <w:t>部门成员及其它相关伙伴筹措资源</w:t>
      </w:r>
      <w:r w:rsidR="001F41F0">
        <w:rPr>
          <w:rFonts w:hint="eastAsia"/>
          <w:lang w:val="en-US" w:eastAsia="zh-CN"/>
        </w:rPr>
        <w:t>，以落实</w:t>
      </w:r>
      <w:r w:rsidR="001F41F0">
        <w:rPr>
          <w:rFonts w:hint="eastAsia"/>
          <w:lang w:val="en-US" w:eastAsia="zh-CN"/>
        </w:rPr>
        <w:t>WTDC</w:t>
      </w:r>
      <w:r w:rsidR="001F41F0">
        <w:rPr>
          <w:lang w:val="en-US" w:eastAsia="zh-CN"/>
        </w:rPr>
        <w:t>-17</w:t>
      </w:r>
      <w:r w:rsidR="001F41F0">
        <w:rPr>
          <w:rFonts w:hint="eastAsia"/>
          <w:lang w:val="en-US" w:eastAsia="zh-CN"/>
        </w:rPr>
        <w:t>通过的项目和区域性举措</w:t>
      </w:r>
      <w:r w:rsidRPr="00353ED0">
        <w:rPr>
          <w:rFonts w:hint="eastAsia"/>
          <w:lang w:val="en-US" w:eastAsia="zh-CN"/>
        </w:rPr>
        <w:t>。</w:t>
      </w:r>
    </w:p>
    <w:p w14:paraId="7938F59A" w14:textId="3D785516" w:rsidR="000A239A" w:rsidRPr="0075016A" w:rsidRDefault="004A00FF" w:rsidP="00B85A96">
      <w:pPr>
        <w:spacing w:after="120"/>
        <w:ind w:firstLineChars="200" w:firstLine="480"/>
        <w:rPr>
          <w:lang w:val="en-US" w:eastAsia="zh-CN"/>
        </w:rPr>
      </w:pPr>
      <w:bookmarkStart w:id="11" w:name="lt_pId034"/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17</w:t>
      </w:r>
      <w:r>
        <w:rPr>
          <w:rFonts w:hint="eastAsia"/>
          <w:lang w:val="en-US" w:eastAsia="zh-CN"/>
        </w:rPr>
        <w:t>号</w:t>
      </w:r>
      <w:r>
        <w:rPr>
          <w:lang w:val="en-US" w:eastAsia="zh-CN"/>
        </w:rPr>
        <w:t>决议</w:t>
      </w:r>
      <w:r w:rsidR="00AF5F99">
        <w:rPr>
          <w:rFonts w:hint="eastAsia"/>
          <w:lang w:val="en-US" w:eastAsia="zh-CN"/>
        </w:rPr>
        <w:t>（</w:t>
      </w:r>
      <w:r w:rsidR="007E522D">
        <w:rPr>
          <w:rFonts w:hint="eastAsia"/>
          <w:lang w:val="en-US" w:eastAsia="zh-CN"/>
        </w:rPr>
        <w:t>2</w:t>
      </w:r>
      <w:r w:rsidR="00AF5F99" w:rsidRPr="00AF5F99">
        <w:rPr>
          <w:rFonts w:hint="eastAsia"/>
          <w:lang w:val="en-US" w:eastAsia="zh-CN"/>
        </w:rPr>
        <w:t>017</w:t>
      </w:r>
      <w:r w:rsidR="00AF5F99" w:rsidRPr="00AF5F99">
        <w:rPr>
          <w:rFonts w:hint="eastAsia"/>
          <w:lang w:val="en-US" w:eastAsia="zh-CN"/>
        </w:rPr>
        <w:t>年，布宜诺斯艾利斯，修订版</w:t>
      </w:r>
      <w:r w:rsidR="00AF5F99">
        <w:rPr>
          <w:rFonts w:hint="eastAsia"/>
          <w:lang w:val="en-US" w:eastAsia="zh-CN"/>
        </w:rPr>
        <w:t>）</w:t>
      </w:r>
      <w:r w:rsidR="00F46678">
        <w:rPr>
          <w:rFonts w:hint="eastAsia"/>
          <w:lang w:val="en-US" w:eastAsia="zh-CN"/>
        </w:rPr>
        <w:t>责成电信发展局</w:t>
      </w:r>
      <w:r w:rsidRPr="00C26365">
        <w:rPr>
          <w:rFonts w:cstheme="minorHAnsi"/>
          <w:lang w:eastAsia="zh-CN"/>
        </w:rPr>
        <w:t>继续</w:t>
      </w:r>
      <w:r w:rsidRPr="00C26365">
        <w:rPr>
          <w:rFonts w:cstheme="minorHAnsi" w:hint="eastAsia"/>
          <w:lang w:eastAsia="zh-CN"/>
        </w:rPr>
        <w:t>积极</w:t>
      </w:r>
      <w:r w:rsidRPr="00C26365">
        <w:rPr>
          <w:rFonts w:cstheme="minorHAnsi"/>
          <w:lang w:eastAsia="zh-CN"/>
        </w:rPr>
        <w:t>与成员国、</w:t>
      </w:r>
      <w:r w:rsidRPr="00C26365">
        <w:rPr>
          <w:rFonts w:cstheme="minorHAnsi"/>
          <w:lang w:eastAsia="zh-CN"/>
        </w:rPr>
        <w:t>ITU-D</w:t>
      </w:r>
      <w:r w:rsidRPr="00C26365">
        <w:rPr>
          <w:rFonts w:cstheme="minorHAnsi"/>
          <w:lang w:eastAsia="zh-CN"/>
        </w:rPr>
        <w:t>部门成员、金融</w:t>
      </w:r>
      <w:r w:rsidRPr="00B85A96">
        <w:rPr>
          <w:szCs w:val="24"/>
          <w:lang w:eastAsia="zh-CN"/>
        </w:rPr>
        <w:t>机构</w:t>
      </w:r>
      <w:r w:rsidRPr="00C26365">
        <w:rPr>
          <w:rFonts w:cstheme="minorHAnsi"/>
          <w:lang w:eastAsia="zh-CN"/>
        </w:rPr>
        <w:t>和国际组织结成伙伴关系，以便资助</w:t>
      </w:r>
      <w:r w:rsidR="002F2598">
        <w:rPr>
          <w:rFonts w:cstheme="minorHAnsi" w:hint="eastAsia"/>
          <w:lang w:eastAsia="zh-CN"/>
        </w:rPr>
        <w:t>区域性</w:t>
      </w:r>
      <w:r w:rsidRPr="00C26365">
        <w:rPr>
          <w:rFonts w:cstheme="minorHAnsi"/>
          <w:lang w:eastAsia="zh-CN"/>
        </w:rPr>
        <w:t>举措</w:t>
      </w:r>
      <w:r w:rsidR="00FF5EEE">
        <w:rPr>
          <w:rFonts w:cstheme="minorHAnsi" w:hint="eastAsia"/>
          <w:lang w:eastAsia="zh-CN"/>
        </w:rPr>
        <w:t>的</w:t>
      </w:r>
      <w:r w:rsidRPr="00C26365">
        <w:rPr>
          <w:rFonts w:cstheme="minorHAnsi"/>
          <w:lang w:eastAsia="zh-CN"/>
        </w:rPr>
        <w:t>活动实施</w:t>
      </w:r>
      <w:r w:rsidR="00914BA9">
        <w:rPr>
          <w:rFonts w:cstheme="minorHAnsi" w:hint="eastAsia"/>
          <w:lang w:eastAsia="zh-CN"/>
        </w:rPr>
        <w:t>。</w:t>
      </w:r>
      <w:r w:rsidR="009D732F">
        <w:rPr>
          <w:rFonts w:cstheme="minorHAnsi" w:hint="eastAsia"/>
          <w:lang w:eastAsia="zh-CN"/>
        </w:rPr>
        <w:t>该决议</w:t>
      </w:r>
      <w:r>
        <w:rPr>
          <w:rFonts w:ascii="SimSun" w:hAnsi="SimSun" w:hint="eastAsia"/>
          <w:lang w:val="en-US" w:eastAsia="zh-CN"/>
        </w:rPr>
        <w:t>同时</w:t>
      </w:r>
      <w:r>
        <w:rPr>
          <w:rFonts w:hint="eastAsia"/>
          <w:lang w:val="en-US" w:eastAsia="zh-CN"/>
        </w:rPr>
        <w:t>呼吁</w:t>
      </w:r>
      <w:r w:rsidRPr="00C26365">
        <w:rPr>
          <w:rFonts w:cstheme="minorHAnsi"/>
          <w:lang w:eastAsia="zh-CN"/>
        </w:rPr>
        <w:t>国际金融组织</w:t>
      </w:r>
      <w:r w:rsidRPr="00C26365">
        <w:rPr>
          <w:rFonts w:cstheme="minorHAnsi"/>
          <w:lang w:eastAsia="zh-CN"/>
        </w:rPr>
        <w:t>/</w:t>
      </w:r>
      <w:r w:rsidRPr="00C26365">
        <w:rPr>
          <w:rFonts w:cstheme="minorHAnsi"/>
          <w:lang w:eastAsia="zh-CN"/>
        </w:rPr>
        <w:t>机构、设备供应商和运营商</w:t>
      </w:r>
      <w:r w:rsidRPr="00C26365">
        <w:rPr>
          <w:rFonts w:cstheme="minorHAnsi"/>
          <w:lang w:eastAsia="zh-CN"/>
        </w:rPr>
        <w:t>/</w:t>
      </w:r>
      <w:r w:rsidRPr="00C26365">
        <w:rPr>
          <w:rFonts w:cstheme="minorHAnsi"/>
          <w:lang w:eastAsia="zh-CN"/>
        </w:rPr>
        <w:t>业务提供商全面或部分资助这些区域批准的举措</w:t>
      </w:r>
      <w:bookmarkEnd w:id="11"/>
      <w:r>
        <w:rPr>
          <w:rFonts w:cstheme="minorHAnsi" w:hint="eastAsia"/>
          <w:lang w:eastAsia="zh-CN"/>
        </w:rPr>
        <w:t>。</w:t>
      </w:r>
    </w:p>
    <w:p w14:paraId="19331D78" w14:textId="5D0C2FA6" w:rsidR="00762F99" w:rsidRPr="00B63FAC" w:rsidRDefault="00B85A96" w:rsidP="00B85A96">
      <w:pPr>
        <w:pStyle w:val="Heading1"/>
        <w:ind w:left="0" w:firstLine="0"/>
        <w:rPr>
          <w:rFonts w:ascii="Calibri" w:hAnsi="Calibri" w:cs="Calibri"/>
          <w:sz w:val="24"/>
          <w:szCs w:val="24"/>
          <w:lang w:val="en-US" w:eastAsia="zh-CN"/>
        </w:rPr>
      </w:pPr>
      <w:r>
        <w:rPr>
          <w:rFonts w:ascii="Calibri" w:hAnsi="Calibri" w:cs="Calibri" w:hint="eastAsia"/>
          <w:sz w:val="24"/>
          <w:szCs w:val="24"/>
          <w:lang w:val="fr-FR" w:eastAsia="zh-CN"/>
        </w:rPr>
        <w:t>2</w:t>
      </w:r>
      <w:r>
        <w:rPr>
          <w:rFonts w:ascii="Calibri" w:hAnsi="Calibri" w:cs="Calibri"/>
          <w:sz w:val="24"/>
          <w:szCs w:val="24"/>
          <w:lang w:val="fr-FR" w:eastAsia="zh-CN"/>
        </w:rPr>
        <w:tab/>
      </w:r>
      <w:r w:rsidR="007550C4" w:rsidRPr="00B85A96">
        <w:rPr>
          <w:rFonts w:ascii="Calibri" w:hAnsi="Calibri" w:cs="Calibri" w:hint="eastAsia"/>
          <w:sz w:val="24"/>
          <w:szCs w:val="24"/>
          <w:lang w:val="fr-FR" w:eastAsia="zh-CN"/>
        </w:rPr>
        <w:t>ITU</w:t>
      </w:r>
      <w:r w:rsidR="007550C4" w:rsidRPr="00B85A96">
        <w:rPr>
          <w:rFonts w:ascii="Calibri" w:hAnsi="Calibri" w:cs="Calibri"/>
          <w:sz w:val="24"/>
          <w:szCs w:val="24"/>
          <w:lang w:val="fr-FR" w:eastAsia="zh-CN"/>
        </w:rPr>
        <w:t>-</w:t>
      </w:r>
      <w:r w:rsidR="007550C4" w:rsidRPr="00B85A96">
        <w:rPr>
          <w:rFonts w:ascii="Calibri" w:hAnsi="Calibri" w:cs="Calibri" w:hint="eastAsia"/>
          <w:sz w:val="24"/>
          <w:szCs w:val="24"/>
          <w:lang w:val="fr-FR" w:eastAsia="zh-CN"/>
        </w:rPr>
        <w:t>D</w:t>
      </w:r>
      <w:r w:rsidR="007550C4" w:rsidRPr="00B85A96">
        <w:rPr>
          <w:rFonts w:ascii="Calibri" w:hAnsi="Calibri" w:cs="Calibri" w:hint="eastAsia"/>
          <w:sz w:val="24"/>
          <w:szCs w:val="24"/>
          <w:lang w:val="fr-FR" w:eastAsia="zh-CN"/>
        </w:rPr>
        <w:t>伙伴关系和资源筹措</w:t>
      </w:r>
      <w:r w:rsidR="00956402" w:rsidRPr="00B85A96">
        <w:rPr>
          <w:rFonts w:ascii="Calibri" w:hAnsi="Calibri" w:cs="Calibri" w:hint="eastAsia"/>
          <w:sz w:val="24"/>
          <w:szCs w:val="24"/>
          <w:lang w:val="fr-FR" w:eastAsia="zh-CN"/>
        </w:rPr>
        <w:t>战略目标</w:t>
      </w:r>
    </w:p>
    <w:p w14:paraId="58FE3645" w14:textId="14A37EA4" w:rsidR="00D171E8" w:rsidRPr="00B63FAC" w:rsidRDefault="00462E25" w:rsidP="00B85A96">
      <w:pPr>
        <w:pStyle w:val="CEONormal"/>
        <w:ind w:firstLineChars="200" w:firstLine="480"/>
        <w:rPr>
          <w:rFonts w:cs="Calibri"/>
          <w:sz w:val="24"/>
          <w:szCs w:val="20"/>
          <w:lang w:val="en-US" w:eastAsia="zh-CN"/>
        </w:rPr>
      </w:pPr>
      <w:r w:rsidRPr="00B63FAC">
        <w:rPr>
          <w:rFonts w:cs="Calibri" w:hint="eastAsia"/>
          <w:sz w:val="24"/>
          <w:szCs w:val="20"/>
          <w:lang w:val="en-US" w:eastAsia="zh-CN"/>
        </w:rPr>
        <w:t>在</w:t>
      </w:r>
      <w:r w:rsidR="00133D19" w:rsidRPr="00B63FAC">
        <w:rPr>
          <w:rFonts w:cs="Calibri" w:hint="eastAsia"/>
          <w:sz w:val="24"/>
          <w:szCs w:val="20"/>
          <w:lang w:val="en-US" w:eastAsia="zh-CN"/>
        </w:rPr>
        <w:t>此背景下</w:t>
      </w:r>
      <w:r w:rsidRPr="00B63FAC">
        <w:rPr>
          <w:rFonts w:cs="Calibri" w:hint="eastAsia"/>
          <w:sz w:val="24"/>
          <w:szCs w:val="20"/>
          <w:lang w:val="en-US" w:eastAsia="zh-CN"/>
        </w:rPr>
        <w:t>的目标是促进</w:t>
      </w:r>
      <w:r w:rsidR="000D2A79" w:rsidRPr="00B63FAC">
        <w:rPr>
          <w:rFonts w:cs="Calibri" w:hint="eastAsia"/>
          <w:sz w:val="24"/>
          <w:szCs w:val="20"/>
          <w:lang w:val="en-US" w:eastAsia="zh-CN"/>
        </w:rPr>
        <w:t>、</w:t>
      </w:r>
      <w:r w:rsidRPr="00B63FAC">
        <w:rPr>
          <w:rFonts w:cs="Calibri" w:hint="eastAsia"/>
          <w:sz w:val="24"/>
          <w:szCs w:val="20"/>
          <w:lang w:val="en-US" w:eastAsia="zh-CN"/>
        </w:rPr>
        <w:t>发展和加强与</w:t>
      </w:r>
      <w:r w:rsidR="00D8343E" w:rsidRPr="00B63FAC">
        <w:rPr>
          <w:rFonts w:cs="Calibri" w:hint="eastAsia"/>
          <w:sz w:val="24"/>
          <w:szCs w:val="20"/>
          <w:lang w:val="en-US" w:eastAsia="zh-CN"/>
        </w:rPr>
        <w:t>来自</w:t>
      </w:r>
      <w:r w:rsidRPr="00B63FAC">
        <w:rPr>
          <w:rFonts w:cs="Calibri" w:hint="eastAsia"/>
          <w:sz w:val="24"/>
          <w:szCs w:val="20"/>
          <w:lang w:val="en-US" w:eastAsia="zh-CN"/>
        </w:rPr>
        <w:t>发达国家和发展中国家</w:t>
      </w:r>
      <w:r w:rsidR="00A5548E" w:rsidRPr="00B63FAC">
        <w:rPr>
          <w:rFonts w:cs="Calibri" w:hint="eastAsia"/>
          <w:sz w:val="24"/>
          <w:szCs w:val="20"/>
          <w:lang w:val="en-US" w:eastAsia="zh-CN"/>
        </w:rPr>
        <w:t>的</w:t>
      </w:r>
      <w:r w:rsidR="007F25CC" w:rsidRPr="00B63FAC">
        <w:rPr>
          <w:rFonts w:cs="Calibri" w:hint="eastAsia"/>
          <w:sz w:val="24"/>
          <w:szCs w:val="20"/>
          <w:lang w:val="en-US" w:eastAsia="zh-CN"/>
        </w:rPr>
        <w:t>合作</w:t>
      </w:r>
      <w:r w:rsidR="00A5548E" w:rsidRPr="00B63FAC">
        <w:rPr>
          <w:rFonts w:cs="Calibri" w:hint="eastAsia"/>
          <w:sz w:val="24"/>
          <w:szCs w:val="20"/>
          <w:lang w:val="en-US" w:eastAsia="zh-CN"/>
        </w:rPr>
        <w:t>伙伴</w:t>
      </w:r>
      <w:r w:rsidR="000D2A79" w:rsidRPr="00B63FAC">
        <w:rPr>
          <w:rFonts w:cs="Calibri" w:hint="eastAsia"/>
          <w:sz w:val="24"/>
          <w:szCs w:val="20"/>
          <w:lang w:val="en-US" w:eastAsia="zh-CN"/>
        </w:rPr>
        <w:t>、</w:t>
      </w:r>
      <w:r w:rsidRPr="00B63FAC">
        <w:rPr>
          <w:rFonts w:cs="Calibri" w:hint="eastAsia"/>
          <w:sz w:val="24"/>
          <w:szCs w:val="20"/>
          <w:lang w:val="en-US" w:eastAsia="zh-CN"/>
        </w:rPr>
        <w:t>私营部门</w:t>
      </w:r>
      <w:r w:rsidR="000D2A79" w:rsidRPr="00B63FAC">
        <w:rPr>
          <w:rFonts w:cs="Calibri" w:hint="eastAsia"/>
          <w:sz w:val="24"/>
          <w:szCs w:val="20"/>
          <w:lang w:val="en-US" w:eastAsia="zh-CN"/>
        </w:rPr>
        <w:t>、</w:t>
      </w:r>
      <w:r w:rsidRPr="00B63FAC">
        <w:rPr>
          <w:rFonts w:cs="Calibri" w:hint="eastAsia"/>
          <w:sz w:val="24"/>
          <w:szCs w:val="20"/>
          <w:lang w:val="en-US" w:eastAsia="zh-CN"/>
        </w:rPr>
        <w:t>开发银行</w:t>
      </w:r>
      <w:r w:rsidR="000D2A79" w:rsidRPr="00B63FAC">
        <w:rPr>
          <w:rFonts w:cs="Calibri" w:hint="eastAsia"/>
          <w:sz w:val="24"/>
          <w:szCs w:val="20"/>
          <w:lang w:val="en-US" w:eastAsia="zh-CN"/>
        </w:rPr>
        <w:t>及</w:t>
      </w:r>
      <w:r w:rsidRPr="00B63FAC">
        <w:rPr>
          <w:rFonts w:cs="Calibri" w:hint="eastAsia"/>
          <w:sz w:val="24"/>
          <w:szCs w:val="20"/>
          <w:lang w:val="en-US" w:eastAsia="zh-CN"/>
        </w:rPr>
        <w:t>其他</w:t>
      </w:r>
      <w:r w:rsidR="007F25CC" w:rsidRPr="00B63FAC">
        <w:rPr>
          <w:rFonts w:cs="Calibri" w:hint="eastAsia"/>
          <w:sz w:val="24"/>
          <w:szCs w:val="20"/>
          <w:lang w:val="en-US" w:eastAsia="zh-CN"/>
        </w:rPr>
        <w:t>合作</w:t>
      </w:r>
      <w:r w:rsidRPr="00B63FAC">
        <w:rPr>
          <w:rFonts w:cs="Calibri" w:hint="eastAsia"/>
          <w:sz w:val="24"/>
          <w:szCs w:val="20"/>
          <w:lang w:val="en-US" w:eastAsia="zh-CN"/>
        </w:rPr>
        <w:t>伙伴尽可能广泛的</w:t>
      </w:r>
      <w:r w:rsidR="009C3A93" w:rsidRPr="00B63FAC">
        <w:rPr>
          <w:rFonts w:cs="Calibri" w:hint="eastAsia"/>
          <w:sz w:val="24"/>
          <w:szCs w:val="20"/>
          <w:lang w:val="en-US" w:eastAsia="zh-CN"/>
        </w:rPr>
        <w:t>协作</w:t>
      </w:r>
      <w:r w:rsidRPr="00B63FAC">
        <w:rPr>
          <w:rFonts w:cs="Calibri" w:hint="eastAsia"/>
          <w:sz w:val="24"/>
          <w:szCs w:val="20"/>
          <w:lang w:val="en-US" w:eastAsia="zh-CN"/>
        </w:rPr>
        <w:t>，</w:t>
      </w:r>
      <w:r w:rsidR="00623814" w:rsidRPr="00B63FAC">
        <w:rPr>
          <w:rFonts w:cs="Calibri" w:hint="eastAsia"/>
          <w:sz w:val="24"/>
          <w:szCs w:val="20"/>
          <w:lang w:val="en-US" w:eastAsia="zh-CN"/>
        </w:rPr>
        <w:t>加强资源筹措，</w:t>
      </w:r>
      <w:r w:rsidR="00A5715A" w:rsidRPr="00B63FAC">
        <w:rPr>
          <w:rFonts w:cs="Calibri" w:hint="eastAsia"/>
          <w:sz w:val="24"/>
          <w:szCs w:val="20"/>
          <w:lang w:val="en-US" w:eastAsia="zh-CN"/>
        </w:rPr>
        <w:t>落实</w:t>
      </w:r>
      <w:r w:rsidR="00623814" w:rsidRPr="00B63FAC">
        <w:rPr>
          <w:rFonts w:cs="Calibri" w:hint="eastAsia"/>
          <w:sz w:val="24"/>
          <w:szCs w:val="20"/>
          <w:lang w:val="en-US" w:eastAsia="zh-CN"/>
        </w:rPr>
        <w:t>促进</w:t>
      </w:r>
      <w:r w:rsidRPr="00B63FAC">
        <w:rPr>
          <w:rFonts w:cs="Calibri" w:hint="eastAsia"/>
          <w:sz w:val="24"/>
          <w:szCs w:val="20"/>
          <w:lang w:val="en-US" w:eastAsia="zh-CN"/>
        </w:rPr>
        <w:t>可持续发展</w:t>
      </w:r>
      <w:r w:rsidR="00A5715A" w:rsidRPr="00B63FAC">
        <w:rPr>
          <w:rFonts w:cs="Calibri" w:hint="eastAsia"/>
          <w:sz w:val="24"/>
          <w:szCs w:val="20"/>
          <w:lang w:val="en-US" w:eastAsia="zh-CN"/>
        </w:rPr>
        <w:t>的项目和区域性举措</w:t>
      </w:r>
      <w:r w:rsidRPr="00B63FAC">
        <w:rPr>
          <w:rFonts w:cs="Calibri" w:hint="eastAsia"/>
          <w:sz w:val="24"/>
          <w:szCs w:val="20"/>
          <w:lang w:val="en-US" w:eastAsia="zh-CN"/>
        </w:rPr>
        <w:t>。</w:t>
      </w:r>
    </w:p>
    <w:p w14:paraId="2B74DF51" w14:textId="6E3BD8BF" w:rsidR="002961D5" w:rsidRPr="00B63FAC" w:rsidRDefault="00B85A96" w:rsidP="00B85A96">
      <w:pPr>
        <w:pStyle w:val="Heading1"/>
        <w:ind w:left="0" w:firstLine="0"/>
        <w:rPr>
          <w:rFonts w:ascii="Calibri" w:hAnsi="Calibri" w:cs="Calibri"/>
          <w:sz w:val="24"/>
          <w:szCs w:val="24"/>
          <w:lang w:val="en-US" w:eastAsia="zh-CN"/>
        </w:rPr>
      </w:pPr>
      <w:r>
        <w:rPr>
          <w:rFonts w:ascii="Calibri" w:hAnsi="Calibri" w:cs="Calibri" w:hint="eastAsia"/>
          <w:sz w:val="24"/>
          <w:szCs w:val="24"/>
          <w:lang w:val="fr-FR" w:eastAsia="zh-CN"/>
        </w:rPr>
        <w:t>3</w:t>
      </w:r>
      <w:r>
        <w:rPr>
          <w:rFonts w:ascii="Calibri" w:hAnsi="Calibri" w:cs="Calibri"/>
          <w:sz w:val="24"/>
          <w:szCs w:val="24"/>
          <w:lang w:val="fr-FR" w:eastAsia="zh-CN"/>
        </w:rPr>
        <w:tab/>
      </w:r>
      <w:r w:rsidR="00BD3649" w:rsidRPr="00B85A96">
        <w:rPr>
          <w:rFonts w:ascii="Calibri" w:hAnsi="Calibri" w:cs="Calibri" w:hint="eastAsia"/>
          <w:sz w:val="24"/>
          <w:szCs w:val="24"/>
          <w:lang w:val="fr-FR" w:eastAsia="zh-CN"/>
        </w:rPr>
        <w:t>伙伴关系和资源筹措</w:t>
      </w:r>
      <w:r w:rsidR="00AB4CA2" w:rsidRPr="00B85A96">
        <w:rPr>
          <w:rFonts w:ascii="Calibri" w:hAnsi="Calibri" w:cs="Calibri" w:hint="eastAsia"/>
          <w:sz w:val="24"/>
          <w:szCs w:val="24"/>
          <w:lang w:val="fr-FR" w:eastAsia="zh-CN"/>
        </w:rPr>
        <w:t>成果</w:t>
      </w:r>
    </w:p>
    <w:p w14:paraId="3DA7EFA2" w14:textId="24267519" w:rsidR="002614DD" w:rsidRPr="0075016A" w:rsidRDefault="00696595" w:rsidP="00B85A96">
      <w:pPr>
        <w:spacing w:after="120"/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关于电信发展局与合作伙伴签署的伙伴关系协议（</w:t>
      </w:r>
      <w:r w:rsidR="003E3983">
        <w:rPr>
          <w:rFonts w:hint="eastAsia"/>
          <w:lang w:val="en-US" w:eastAsia="zh-CN"/>
        </w:rPr>
        <w:t>含有和不含财务</w:t>
      </w:r>
      <w:r w:rsidR="0035410D">
        <w:rPr>
          <w:rFonts w:hint="eastAsia"/>
          <w:lang w:val="en-US" w:eastAsia="zh-CN"/>
        </w:rPr>
        <w:t>捐赠</w:t>
      </w:r>
      <w:r>
        <w:rPr>
          <w:rFonts w:hint="eastAsia"/>
          <w:lang w:val="en-US" w:eastAsia="zh-CN"/>
        </w:rPr>
        <w:t>）</w:t>
      </w:r>
      <w:r w:rsidR="00A06C7D">
        <w:rPr>
          <w:rFonts w:hint="eastAsia"/>
          <w:lang w:val="en-US" w:eastAsia="zh-CN"/>
        </w:rPr>
        <w:t>的</w:t>
      </w:r>
      <w:r w:rsidR="002902CD">
        <w:rPr>
          <w:rFonts w:hint="eastAsia"/>
          <w:lang w:val="en-US" w:eastAsia="zh-CN"/>
        </w:rPr>
        <w:t>信息</w:t>
      </w:r>
      <w:r w:rsidR="00566D80">
        <w:rPr>
          <w:rFonts w:hint="eastAsia"/>
          <w:lang w:val="en-US" w:eastAsia="zh-CN"/>
        </w:rPr>
        <w:t>可参见</w:t>
      </w:r>
      <w:hyperlink r:id="rId13" w:history="1">
        <w:r w:rsidR="00566D80" w:rsidRPr="00E37A5D">
          <w:rPr>
            <w:rStyle w:val="Hyperlink"/>
            <w:lang w:val="en-US" w:eastAsia="zh-CN"/>
          </w:rPr>
          <w:t>INF/2</w:t>
        </w:r>
        <w:r w:rsidR="00566D80" w:rsidRPr="00E37A5D">
          <w:rPr>
            <w:rStyle w:val="Hyperlink"/>
            <w:rFonts w:hint="eastAsia"/>
            <w:lang w:val="en-US" w:eastAsia="zh-CN"/>
          </w:rPr>
          <w:t>号文件</w:t>
        </w:r>
      </w:hyperlink>
      <w:r w:rsidR="00566D80">
        <w:rPr>
          <w:rFonts w:hint="eastAsia"/>
          <w:lang w:val="en-US" w:eastAsia="zh-CN"/>
        </w:rPr>
        <w:t>。</w:t>
      </w:r>
    </w:p>
    <w:p w14:paraId="6EA0DF15" w14:textId="4876A83D" w:rsidR="00375248" w:rsidRPr="0075016A" w:rsidRDefault="001077C6" w:rsidP="00B85A96">
      <w:pPr>
        <w:snapToGrid w:val="0"/>
        <w:spacing w:after="120"/>
        <w:ind w:firstLineChars="200" w:firstLine="480"/>
        <w:rPr>
          <w:lang w:val="en-US" w:eastAsia="zh-CN"/>
        </w:rPr>
      </w:pPr>
      <w:r w:rsidRPr="001077C6">
        <w:rPr>
          <w:rFonts w:hint="eastAsia"/>
          <w:lang w:val="en-US" w:eastAsia="zh-CN"/>
        </w:rPr>
        <w:t>2019</w:t>
      </w:r>
      <w:r w:rsidRPr="001077C6">
        <w:rPr>
          <w:rFonts w:hint="eastAsia"/>
          <w:lang w:val="en-US" w:eastAsia="zh-CN"/>
        </w:rPr>
        <w:t>年，电信发展局通过与</w:t>
      </w:r>
      <w:r w:rsidR="004F0701">
        <w:rPr>
          <w:rFonts w:hint="eastAsia"/>
          <w:lang w:val="en-US" w:eastAsia="zh-CN"/>
        </w:rPr>
        <w:t>出资</w:t>
      </w:r>
      <w:r w:rsidRPr="001077C6">
        <w:rPr>
          <w:rFonts w:hint="eastAsia"/>
          <w:lang w:val="en-US" w:eastAsia="zh-CN"/>
        </w:rPr>
        <w:t>伙伴建立</w:t>
      </w:r>
      <w:r w:rsidR="0005359E">
        <w:rPr>
          <w:rFonts w:hint="eastAsia"/>
          <w:lang w:val="en-US" w:eastAsia="zh-CN"/>
        </w:rPr>
        <w:t>的</w:t>
      </w:r>
      <w:r w:rsidRPr="001077C6">
        <w:rPr>
          <w:rFonts w:hint="eastAsia"/>
          <w:lang w:val="en-US" w:eastAsia="zh-CN"/>
        </w:rPr>
        <w:t>伙伴关系</w:t>
      </w:r>
      <w:r w:rsidR="009E4C80">
        <w:rPr>
          <w:rFonts w:hint="eastAsia"/>
          <w:lang w:val="en-US" w:eastAsia="zh-CN"/>
        </w:rPr>
        <w:t>筹措</w:t>
      </w:r>
      <w:r w:rsidRPr="001077C6">
        <w:rPr>
          <w:rFonts w:hint="eastAsia"/>
          <w:lang w:val="en-US" w:eastAsia="zh-CN"/>
        </w:rPr>
        <w:t>了</w:t>
      </w:r>
      <w:r w:rsidR="00473B56">
        <w:rPr>
          <w:rFonts w:hint="eastAsia"/>
          <w:lang w:val="en-US" w:eastAsia="zh-CN"/>
        </w:rPr>
        <w:t>价值</w:t>
      </w:r>
      <w:r w:rsidRPr="001077C6">
        <w:rPr>
          <w:rFonts w:hint="eastAsia"/>
          <w:lang w:val="en-US" w:eastAsia="zh-CN"/>
        </w:rPr>
        <w:t>约</w:t>
      </w:r>
      <w:r w:rsidRPr="001077C6">
        <w:rPr>
          <w:rFonts w:hint="eastAsia"/>
          <w:lang w:val="en-US" w:eastAsia="zh-CN"/>
        </w:rPr>
        <w:t>1,520</w:t>
      </w:r>
      <w:r w:rsidRPr="001077C6">
        <w:rPr>
          <w:rFonts w:hint="eastAsia"/>
          <w:lang w:val="en-US" w:eastAsia="zh-CN"/>
        </w:rPr>
        <w:t>万美元的财务资源。这些资源</w:t>
      </w:r>
      <w:r w:rsidR="006E06D3">
        <w:rPr>
          <w:rFonts w:hint="eastAsia"/>
          <w:lang w:val="en-US" w:eastAsia="zh-CN"/>
        </w:rPr>
        <w:t>正</w:t>
      </w:r>
      <w:r w:rsidRPr="001077C6">
        <w:rPr>
          <w:rFonts w:hint="eastAsia"/>
          <w:lang w:val="en-US" w:eastAsia="zh-CN"/>
        </w:rPr>
        <w:t>用于</w:t>
      </w:r>
      <w:r w:rsidR="00A92823">
        <w:rPr>
          <w:rFonts w:hint="eastAsia"/>
          <w:lang w:val="en-US" w:eastAsia="zh-CN"/>
        </w:rPr>
        <w:t>资助</w:t>
      </w:r>
      <w:r w:rsidR="000857A1">
        <w:rPr>
          <w:rFonts w:hint="eastAsia"/>
          <w:lang w:val="en-US" w:eastAsia="zh-CN"/>
        </w:rPr>
        <w:t>实施</w:t>
      </w:r>
      <w:r w:rsidRPr="001077C6">
        <w:rPr>
          <w:rFonts w:hint="eastAsia"/>
          <w:lang w:val="en-US" w:eastAsia="zh-CN"/>
        </w:rPr>
        <w:t>国家</w:t>
      </w:r>
      <w:r w:rsidR="00CF2E0A">
        <w:rPr>
          <w:rFonts w:hint="eastAsia"/>
          <w:lang w:val="en-US" w:eastAsia="zh-CN"/>
        </w:rPr>
        <w:t>、</w:t>
      </w:r>
      <w:r w:rsidRPr="001077C6">
        <w:rPr>
          <w:rFonts w:hint="eastAsia"/>
          <w:lang w:val="en-US" w:eastAsia="zh-CN"/>
        </w:rPr>
        <w:t>区域</w:t>
      </w:r>
      <w:r w:rsidR="00CF2E0A">
        <w:rPr>
          <w:rFonts w:hint="eastAsia"/>
          <w:lang w:val="en-US" w:eastAsia="zh-CN"/>
        </w:rPr>
        <w:t>性</w:t>
      </w:r>
      <w:r w:rsidRPr="001077C6">
        <w:rPr>
          <w:rFonts w:hint="eastAsia"/>
          <w:lang w:val="en-US" w:eastAsia="zh-CN"/>
        </w:rPr>
        <w:t>和全球</w:t>
      </w:r>
      <w:r w:rsidR="00CF2E0A">
        <w:rPr>
          <w:rFonts w:hint="eastAsia"/>
          <w:lang w:val="en-US" w:eastAsia="zh-CN"/>
        </w:rPr>
        <w:t>层面</w:t>
      </w:r>
      <w:r w:rsidR="00F87C34">
        <w:rPr>
          <w:rFonts w:hint="eastAsia"/>
          <w:lang w:val="en-US" w:eastAsia="zh-CN"/>
        </w:rPr>
        <w:t>的</w:t>
      </w:r>
      <w:r w:rsidRPr="001077C6">
        <w:rPr>
          <w:rFonts w:hint="eastAsia"/>
          <w:lang w:val="en-US" w:eastAsia="zh-CN"/>
        </w:rPr>
        <w:t>活动和项目。</w:t>
      </w:r>
    </w:p>
    <w:p w14:paraId="2C9B228A" w14:textId="577EA80C" w:rsidR="008F487F" w:rsidRPr="0075016A" w:rsidRDefault="002D55E1" w:rsidP="00B85A96">
      <w:pPr>
        <w:snapToGrid w:val="0"/>
        <w:spacing w:after="120"/>
        <w:ind w:firstLineChars="200" w:firstLine="480"/>
        <w:rPr>
          <w:lang w:val="en-US" w:eastAsia="zh-CN"/>
        </w:rPr>
      </w:pPr>
      <w:r w:rsidRPr="002D55E1">
        <w:rPr>
          <w:rFonts w:hint="eastAsia"/>
          <w:lang w:val="en-US" w:eastAsia="zh-CN"/>
        </w:rPr>
        <w:t>下</w:t>
      </w:r>
      <w:r>
        <w:rPr>
          <w:rFonts w:hint="eastAsia"/>
          <w:lang w:val="en-US" w:eastAsia="zh-CN"/>
        </w:rPr>
        <w:t>图展示</w:t>
      </w:r>
      <w:r w:rsidRPr="002D55E1">
        <w:rPr>
          <w:rFonts w:hint="eastAsia"/>
          <w:lang w:val="en-US" w:eastAsia="zh-CN"/>
        </w:rPr>
        <w:t>了电信发展局与合作伙伴之间共同</w:t>
      </w:r>
      <w:r w:rsidR="00BE54BA">
        <w:rPr>
          <w:rFonts w:hint="eastAsia"/>
          <w:lang w:val="en-US" w:eastAsia="zh-CN"/>
        </w:rPr>
        <w:t>出资</w:t>
      </w:r>
      <w:r w:rsidRPr="002D55E1">
        <w:rPr>
          <w:rFonts w:hint="eastAsia"/>
          <w:lang w:val="en-US" w:eastAsia="zh-CN"/>
        </w:rPr>
        <w:t>安排的</w:t>
      </w:r>
      <w:r w:rsidR="00FA0D28">
        <w:rPr>
          <w:rFonts w:hint="eastAsia"/>
          <w:lang w:val="en-US" w:eastAsia="zh-CN"/>
        </w:rPr>
        <w:t>构成</w:t>
      </w:r>
      <w:r w:rsidRPr="002D55E1">
        <w:rPr>
          <w:rFonts w:hint="eastAsia"/>
          <w:lang w:val="en-US" w:eastAsia="zh-CN"/>
        </w:rPr>
        <w:t>。</w:t>
      </w:r>
    </w:p>
    <w:p w14:paraId="5688CFFD" w14:textId="77777777" w:rsidR="008E4C5F" w:rsidRPr="0075016A" w:rsidRDefault="008E4C5F" w:rsidP="008E4C5F">
      <w:pPr>
        <w:snapToGrid w:val="0"/>
        <w:spacing w:after="120"/>
        <w:rPr>
          <w:sz w:val="4"/>
          <w:szCs w:val="4"/>
          <w:lang w:val="en-US" w:eastAsia="zh-CN"/>
        </w:rPr>
      </w:pPr>
    </w:p>
    <w:p w14:paraId="599FFE2A" w14:textId="7D489AC6" w:rsidR="00DF1FEB" w:rsidRDefault="001068F4" w:rsidP="00402A7E">
      <w:pPr>
        <w:spacing w:after="120"/>
        <w:jc w:val="center"/>
        <w:rPr>
          <w:lang w:val="en-US"/>
        </w:rPr>
      </w:pPr>
      <w:r w:rsidRPr="0075016A">
        <w:rPr>
          <w:noProof/>
          <w:lang w:eastAsia="zh-CN"/>
        </w:rPr>
        <w:drawing>
          <wp:inline distT="0" distB="0" distL="0" distR="0" wp14:anchorId="7ECF1D5B" wp14:editId="4A27EC0F">
            <wp:extent cx="4057650" cy="253365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566998F" w14:textId="7897DF2D" w:rsidR="00AF138B" w:rsidRPr="0075016A" w:rsidRDefault="00AF138B" w:rsidP="00AF138B">
      <w:pPr>
        <w:spacing w:after="120"/>
        <w:rPr>
          <w:lang w:val="en-US" w:eastAsia="zh-CN"/>
        </w:rPr>
      </w:pPr>
    </w:p>
    <w:p w14:paraId="69E6889E" w14:textId="77777777" w:rsidR="00781B4F" w:rsidRPr="0075016A" w:rsidRDefault="00781B4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 w:rsidRPr="0075016A">
        <w:rPr>
          <w:lang w:val="en-US" w:eastAsia="zh-CN"/>
        </w:rPr>
        <w:br w:type="page"/>
      </w:r>
    </w:p>
    <w:p w14:paraId="4C13FCCD" w14:textId="3D3ABE58" w:rsidR="00DF1FEB" w:rsidRPr="00B63FAC" w:rsidRDefault="00BE67D1" w:rsidP="00B85A96">
      <w:pPr>
        <w:spacing w:after="120"/>
        <w:ind w:firstLineChars="200" w:firstLine="480"/>
        <w:rPr>
          <w:rFonts w:ascii="Calibri" w:hAnsi="Calibri" w:cs="Calibri"/>
          <w:szCs w:val="24"/>
          <w:lang w:val="en-US" w:eastAsia="zh-CN"/>
        </w:rPr>
      </w:pPr>
      <w:r w:rsidRPr="00B63FAC">
        <w:rPr>
          <w:rFonts w:ascii="Calibri" w:hAnsi="Calibri" w:cs="Calibri"/>
          <w:szCs w:val="24"/>
          <w:lang w:val="en-US" w:eastAsia="zh-CN"/>
        </w:rPr>
        <w:lastRenderedPageBreak/>
        <w:t>2019</w:t>
      </w:r>
      <w:r w:rsidRPr="00B63FAC">
        <w:rPr>
          <w:rFonts w:ascii="Calibri" w:hAnsi="Calibri" w:cs="Calibri" w:hint="eastAsia"/>
          <w:szCs w:val="24"/>
          <w:lang w:val="en-US" w:eastAsia="zh-CN"/>
        </w:rPr>
        <w:t>年</w:t>
      </w:r>
      <w:r w:rsidR="00A06C7D">
        <w:rPr>
          <w:rFonts w:ascii="Calibri" w:hAnsi="Calibri" w:cs="Calibri" w:hint="eastAsia"/>
          <w:szCs w:val="24"/>
          <w:lang w:val="en-US" w:eastAsia="zh-CN"/>
        </w:rPr>
        <w:t>，</w:t>
      </w:r>
      <w:r w:rsidRPr="00B63FAC">
        <w:rPr>
          <w:rFonts w:ascii="Calibri" w:hAnsi="Calibri" w:cs="Calibri" w:hint="eastAsia"/>
          <w:szCs w:val="24"/>
          <w:lang w:val="en-US" w:eastAsia="zh-CN"/>
        </w:rPr>
        <w:t>三个主要</w:t>
      </w:r>
      <w:r w:rsidR="000545DD" w:rsidRPr="00B63FAC">
        <w:rPr>
          <w:rFonts w:ascii="Calibri" w:hAnsi="Calibri" w:cs="Calibri" w:hint="eastAsia"/>
          <w:szCs w:val="24"/>
          <w:lang w:val="en-US" w:eastAsia="zh-CN"/>
        </w:rPr>
        <w:t>出资</w:t>
      </w:r>
      <w:r w:rsidRPr="00B63FAC">
        <w:rPr>
          <w:rFonts w:ascii="Calibri" w:hAnsi="Calibri" w:cs="Calibri" w:hint="eastAsia"/>
          <w:szCs w:val="24"/>
          <w:lang w:val="en-US" w:eastAsia="zh-CN"/>
        </w:rPr>
        <w:t>伙伴为：</w:t>
      </w:r>
    </w:p>
    <w:p w14:paraId="35D6116D" w14:textId="56618593" w:rsidR="0004770E" w:rsidRPr="00B85A96" w:rsidRDefault="00B85A96" w:rsidP="00B85A96">
      <w:pPr>
        <w:pStyle w:val="enumlev1"/>
        <w:ind w:left="0" w:firstLine="0"/>
        <w:rPr>
          <w:rFonts w:ascii="Calibri" w:hAnsi="Calibri" w:cs="Calibri"/>
          <w:lang w:val="fr-FR" w:eastAsia="zh-CN"/>
        </w:rPr>
      </w:pPr>
      <w:r w:rsidRPr="00B85A96">
        <w:rPr>
          <w:rFonts w:ascii="Calibri" w:hAnsi="Calibri" w:cs="Calibri"/>
          <w:lang w:val="fr-FR" w:eastAsia="zh-CN"/>
        </w:rPr>
        <w:t>–</w:t>
      </w:r>
      <w:r w:rsidRPr="00B85A96">
        <w:rPr>
          <w:rFonts w:ascii="Calibri" w:hAnsi="Calibri" w:cs="Calibri"/>
          <w:lang w:val="fr-FR" w:eastAsia="zh-CN"/>
        </w:rPr>
        <w:tab/>
      </w:r>
      <w:r w:rsidR="00BE67D1" w:rsidRPr="00B85A96">
        <w:rPr>
          <w:rFonts w:ascii="Calibri" w:hAnsi="Calibri" w:cs="Calibri" w:hint="eastAsia"/>
          <w:lang w:val="fr-FR" w:eastAsia="zh-CN"/>
        </w:rPr>
        <w:t>巴西国家电信管理局（</w:t>
      </w:r>
      <w:r w:rsidR="00BE67D1" w:rsidRPr="00B85A96">
        <w:rPr>
          <w:rFonts w:ascii="Calibri" w:hAnsi="Calibri" w:cs="Calibri"/>
          <w:lang w:val="fr-FR" w:eastAsia="zh-CN"/>
        </w:rPr>
        <w:t>ANATEL</w:t>
      </w:r>
      <w:r w:rsidR="00BE67D1" w:rsidRPr="00B85A96">
        <w:rPr>
          <w:rFonts w:ascii="Calibri" w:hAnsi="Calibri" w:cs="Calibri" w:hint="eastAsia"/>
          <w:lang w:val="fr-FR" w:eastAsia="zh-CN"/>
        </w:rPr>
        <w:t>），财务</w:t>
      </w:r>
      <w:r w:rsidR="00FE36E3" w:rsidRPr="00B85A96">
        <w:rPr>
          <w:rFonts w:ascii="Calibri" w:hAnsi="Calibri" w:cs="Calibri" w:hint="eastAsia"/>
          <w:lang w:val="fr-FR" w:eastAsia="zh-CN"/>
        </w:rPr>
        <w:t>捐赠</w:t>
      </w:r>
      <w:r w:rsidR="00BE67D1" w:rsidRPr="00B85A96">
        <w:rPr>
          <w:rFonts w:ascii="Calibri" w:hAnsi="Calibri" w:cs="Calibri" w:hint="eastAsia"/>
          <w:lang w:val="fr-FR" w:eastAsia="zh-CN"/>
        </w:rPr>
        <w:t>7</w:t>
      </w:r>
      <w:r w:rsidR="00BE67D1" w:rsidRPr="00B85A96">
        <w:rPr>
          <w:rFonts w:ascii="Calibri" w:hAnsi="Calibri" w:cs="Calibri"/>
          <w:lang w:val="fr-FR" w:eastAsia="zh-CN"/>
        </w:rPr>
        <w:t>00</w:t>
      </w:r>
      <w:r w:rsidR="00BE67D1" w:rsidRPr="00B85A96">
        <w:rPr>
          <w:rFonts w:ascii="Calibri" w:hAnsi="Calibri" w:cs="Calibri" w:hint="eastAsia"/>
          <w:lang w:val="fr-FR" w:eastAsia="zh-CN"/>
        </w:rPr>
        <w:t>万美元</w:t>
      </w:r>
      <w:r>
        <w:rPr>
          <w:rFonts w:ascii="Calibri" w:hAnsi="Calibri" w:cs="Calibri" w:hint="eastAsia"/>
          <w:lang w:val="fr-FR" w:eastAsia="zh-CN"/>
        </w:rPr>
        <w:t>；</w:t>
      </w:r>
    </w:p>
    <w:p w14:paraId="70674AFA" w14:textId="33D2C4B3" w:rsidR="00DF1FEB" w:rsidRPr="00B85A96" w:rsidRDefault="00B85A96" w:rsidP="00B85A96">
      <w:pPr>
        <w:pStyle w:val="enumlev1"/>
        <w:ind w:left="0" w:firstLine="0"/>
        <w:rPr>
          <w:rFonts w:ascii="Calibri" w:hAnsi="Calibri" w:cs="Calibri"/>
          <w:lang w:val="fr-FR" w:eastAsia="zh-CN"/>
        </w:rPr>
      </w:pPr>
      <w:r w:rsidRPr="00B85A96">
        <w:rPr>
          <w:rFonts w:ascii="Calibri" w:hAnsi="Calibri" w:cs="Calibri"/>
          <w:lang w:val="fr-FR" w:eastAsia="zh-CN"/>
        </w:rPr>
        <w:t>–</w:t>
      </w:r>
      <w:r w:rsidRPr="00B85A96">
        <w:rPr>
          <w:rFonts w:ascii="Calibri" w:hAnsi="Calibri" w:cs="Calibri"/>
          <w:lang w:val="fr-FR" w:eastAsia="zh-CN"/>
        </w:rPr>
        <w:tab/>
      </w:r>
      <w:r w:rsidR="00BF2CDA" w:rsidRPr="00B85A96">
        <w:rPr>
          <w:rFonts w:ascii="Calibri" w:hAnsi="Calibri" w:cs="Calibri" w:hint="eastAsia"/>
          <w:lang w:val="fr-FR" w:eastAsia="zh-CN"/>
        </w:rPr>
        <w:t>欧盟委员会，财务</w:t>
      </w:r>
      <w:r w:rsidR="00FD0C01" w:rsidRPr="00B85A96">
        <w:rPr>
          <w:rFonts w:ascii="Calibri" w:hAnsi="Calibri" w:cs="Calibri" w:hint="eastAsia"/>
          <w:lang w:val="fr-FR" w:eastAsia="zh-CN"/>
        </w:rPr>
        <w:t>捐赠</w:t>
      </w:r>
      <w:r w:rsidR="00CF58B4" w:rsidRPr="00B85A96">
        <w:rPr>
          <w:rFonts w:ascii="Calibri" w:hAnsi="Calibri" w:cs="Calibri" w:hint="eastAsia"/>
          <w:lang w:val="fr-FR" w:eastAsia="zh-CN"/>
        </w:rPr>
        <w:t>2</w:t>
      </w:r>
      <w:r w:rsidR="00CF58B4" w:rsidRPr="00B85A96">
        <w:rPr>
          <w:rFonts w:ascii="Calibri" w:hAnsi="Calibri" w:cs="Calibri"/>
          <w:lang w:val="fr-FR" w:eastAsia="zh-CN"/>
        </w:rPr>
        <w:t>50</w:t>
      </w:r>
      <w:r w:rsidR="00CF58B4" w:rsidRPr="00B85A96">
        <w:rPr>
          <w:rFonts w:ascii="Calibri" w:hAnsi="Calibri" w:cs="Calibri" w:hint="eastAsia"/>
          <w:lang w:val="fr-FR" w:eastAsia="zh-CN"/>
        </w:rPr>
        <w:t>万欧元</w:t>
      </w:r>
      <w:r>
        <w:rPr>
          <w:rFonts w:ascii="Calibri" w:hAnsi="Calibri" w:cs="Calibri" w:hint="eastAsia"/>
          <w:lang w:val="fr-FR" w:eastAsia="zh-CN"/>
        </w:rPr>
        <w:t>；</w:t>
      </w:r>
    </w:p>
    <w:p w14:paraId="45B4447E" w14:textId="1324F3F7" w:rsidR="00DF1FEB" w:rsidRPr="00B63FAC" w:rsidRDefault="00B85A96" w:rsidP="00B85A96">
      <w:pPr>
        <w:pStyle w:val="enumlev1"/>
        <w:ind w:left="0" w:firstLine="0"/>
        <w:rPr>
          <w:rFonts w:ascii="Calibri" w:hAnsi="Calibri" w:cs="Calibri"/>
          <w:lang w:eastAsia="zh-CN"/>
        </w:rPr>
      </w:pPr>
      <w:r w:rsidRPr="00B85A96">
        <w:rPr>
          <w:rFonts w:ascii="Calibri" w:hAnsi="Calibri" w:cs="Calibri"/>
          <w:lang w:val="fr-FR" w:eastAsia="zh-CN"/>
        </w:rPr>
        <w:t>–</w:t>
      </w:r>
      <w:r w:rsidRPr="00B85A96">
        <w:rPr>
          <w:rFonts w:ascii="Calibri" w:hAnsi="Calibri" w:cs="Calibri"/>
          <w:lang w:val="fr-FR" w:eastAsia="zh-CN"/>
        </w:rPr>
        <w:tab/>
      </w:r>
      <w:r w:rsidR="00921E98" w:rsidRPr="00B85A96">
        <w:rPr>
          <w:rFonts w:ascii="Calibri" w:hAnsi="Calibri" w:cs="Calibri" w:hint="eastAsia"/>
          <w:lang w:val="fr-FR" w:eastAsia="zh-CN"/>
        </w:rPr>
        <w:t>沙特阿拉伯巴迪尔技术孵化器计划，</w:t>
      </w:r>
      <w:r w:rsidR="00C30678" w:rsidRPr="00B85A96">
        <w:rPr>
          <w:rFonts w:ascii="Calibri" w:hAnsi="Calibri" w:cs="Calibri" w:hint="eastAsia"/>
          <w:lang w:val="fr-FR" w:eastAsia="zh-CN"/>
        </w:rPr>
        <w:t>财务</w:t>
      </w:r>
      <w:r w:rsidR="00B5143D" w:rsidRPr="00B85A96">
        <w:rPr>
          <w:rFonts w:ascii="Calibri" w:hAnsi="Calibri" w:cs="Calibri" w:hint="eastAsia"/>
          <w:lang w:val="fr-FR" w:eastAsia="zh-CN"/>
        </w:rPr>
        <w:t>捐赠</w:t>
      </w:r>
      <w:r w:rsidR="00BC5085" w:rsidRPr="00B85A96">
        <w:rPr>
          <w:rFonts w:ascii="Calibri" w:hAnsi="Calibri" w:cs="Calibri" w:hint="eastAsia"/>
          <w:lang w:val="fr-FR" w:eastAsia="zh-CN"/>
        </w:rPr>
        <w:t>1</w:t>
      </w:r>
      <w:r w:rsidR="00BC5085" w:rsidRPr="00B85A96">
        <w:rPr>
          <w:rFonts w:ascii="Calibri" w:hAnsi="Calibri" w:cs="Calibri"/>
          <w:lang w:val="fr-FR" w:eastAsia="zh-CN"/>
        </w:rPr>
        <w:t>20</w:t>
      </w:r>
      <w:r w:rsidR="00BC5085" w:rsidRPr="00B85A96">
        <w:rPr>
          <w:rFonts w:ascii="Calibri" w:hAnsi="Calibri" w:cs="Calibri" w:hint="eastAsia"/>
          <w:lang w:val="fr-FR" w:eastAsia="zh-CN"/>
        </w:rPr>
        <w:t>万美元</w:t>
      </w:r>
      <w:r w:rsidR="0018439D" w:rsidRPr="00B85A96">
        <w:rPr>
          <w:rFonts w:ascii="Calibri" w:hAnsi="Calibri" w:cs="Calibri" w:hint="eastAsia"/>
          <w:lang w:val="fr-FR" w:eastAsia="zh-CN"/>
        </w:rPr>
        <w:t>。</w:t>
      </w:r>
    </w:p>
    <w:p w14:paraId="2FB4705D" w14:textId="177834DA" w:rsidR="005C6D6E" w:rsidRPr="0075016A" w:rsidRDefault="0018439D" w:rsidP="00B85A96">
      <w:pPr>
        <w:spacing w:after="120"/>
        <w:ind w:firstLineChars="200" w:firstLine="480"/>
        <w:rPr>
          <w:rFonts w:cstheme="minorHAnsi"/>
          <w:szCs w:val="24"/>
          <w:lang w:val="en-US" w:eastAsia="zh-CN"/>
        </w:rPr>
      </w:pPr>
      <w:r w:rsidRPr="00B63FAC">
        <w:rPr>
          <w:rFonts w:ascii="Calibri" w:hAnsi="Calibri" w:cs="Calibri" w:hint="eastAsia"/>
          <w:szCs w:val="24"/>
          <w:lang w:val="en-US" w:eastAsia="zh-CN"/>
        </w:rPr>
        <w:t>这些伙伴关系</w:t>
      </w:r>
      <w:r w:rsidR="00FB25F6" w:rsidRPr="00B63FAC">
        <w:rPr>
          <w:rFonts w:ascii="Calibri" w:hAnsi="Calibri" w:cs="Calibri" w:hint="eastAsia"/>
          <w:szCs w:val="24"/>
          <w:lang w:val="en-US" w:eastAsia="zh-CN"/>
        </w:rPr>
        <w:t>是</w:t>
      </w:r>
      <w:r w:rsidRPr="00B63FAC">
        <w:rPr>
          <w:rFonts w:ascii="Calibri" w:hAnsi="Calibri" w:cs="Calibri" w:hint="eastAsia"/>
          <w:szCs w:val="24"/>
          <w:lang w:val="en-US" w:eastAsia="zh-CN"/>
        </w:rPr>
        <w:t>电信发展局</w:t>
      </w:r>
      <w:r w:rsidR="00A06C7D">
        <w:rPr>
          <w:rFonts w:ascii="Calibri" w:hAnsi="Calibri" w:cs="Calibri" w:hint="eastAsia"/>
          <w:szCs w:val="24"/>
          <w:lang w:val="en-US" w:eastAsia="zh-CN"/>
        </w:rPr>
        <w:t>投入</w:t>
      </w:r>
      <w:r w:rsidR="00AA2CBB" w:rsidRPr="00B63FAC">
        <w:rPr>
          <w:rFonts w:ascii="Calibri" w:hAnsi="Calibri" w:cs="Calibri" w:hint="eastAsia"/>
          <w:szCs w:val="24"/>
          <w:lang w:val="en-US" w:eastAsia="zh-CN"/>
        </w:rPr>
        <w:t>努力</w:t>
      </w:r>
      <w:r w:rsidR="00482F33" w:rsidRPr="00B63FAC">
        <w:rPr>
          <w:rFonts w:ascii="Calibri" w:hAnsi="Calibri" w:cs="Calibri" w:hint="eastAsia"/>
          <w:szCs w:val="24"/>
          <w:lang w:val="en-US" w:eastAsia="zh-CN"/>
        </w:rPr>
        <w:t>和</w:t>
      </w:r>
      <w:r w:rsidR="00CA5ACD" w:rsidRPr="00B63FAC">
        <w:rPr>
          <w:rFonts w:ascii="Calibri" w:hAnsi="Calibri" w:cs="Calibri" w:hint="eastAsia"/>
          <w:szCs w:val="24"/>
          <w:lang w:val="en-US" w:eastAsia="zh-CN"/>
        </w:rPr>
        <w:t>开展</w:t>
      </w:r>
      <w:r w:rsidR="00482F33" w:rsidRPr="00B63FAC">
        <w:rPr>
          <w:rFonts w:ascii="Calibri" w:hAnsi="Calibri" w:cs="Calibri" w:hint="eastAsia"/>
          <w:szCs w:val="24"/>
          <w:lang w:val="en-US" w:eastAsia="zh-CN"/>
        </w:rPr>
        <w:t>工作</w:t>
      </w:r>
      <w:r w:rsidRPr="00B63FAC">
        <w:rPr>
          <w:rFonts w:ascii="Calibri" w:hAnsi="Calibri" w:cs="Calibri" w:hint="eastAsia"/>
          <w:szCs w:val="24"/>
          <w:lang w:val="en-US" w:eastAsia="zh-CN"/>
        </w:rPr>
        <w:t>与现有合作伙伴</w:t>
      </w:r>
      <w:r w:rsidR="0098024B" w:rsidRPr="00B63FAC">
        <w:rPr>
          <w:rFonts w:ascii="Calibri" w:hAnsi="Calibri" w:cs="Calibri" w:hint="eastAsia"/>
          <w:szCs w:val="24"/>
          <w:lang w:val="en-US" w:eastAsia="zh-CN"/>
        </w:rPr>
        <w:t>培养</w:t>
      </w:r>
      <w:r w:rsidRPr="00B63FAC">
        <w:rPr>
          <w:rFonts w:ascii="Calibri" w:hAnsi="Calibri" w:cs="Calibri" w:hint="eastAsia"/>
          <w:szCs w:val="24"/>
          <w:lang w:val="en-US" w:eastAsia="zh-CN"/>
        </w:rPr>
        <w:t>关系</w:t>
      </w:r>
      <w:r w:rsidR="00AF73CB">
        <w:rPr>
          <w:rFonts w:cstheme="minorHAnsi" w:hint="eastAsia"/>
          <w:szCs w:val="24"/>
          <w:lang w:val="en-US" w:eastAsia="zh-CN"/>
        </w:rPr>
        <w:t>，同时与</w:t>
      </w:r>
      <w:r w:rsidR="00AF73CB" w:rsidRPr="0018439D">
        <w:rPr>
          <w:rFonts w:cstheme="minorHAnsi" w:hint="eastAsia"/>
          <w:szCs w:val="24"/>
          <w:lang w:val="en-US" w:eastAsia="zh-CN"/>
        </w:rPr>
        <w:t>他们保持</w:t>
      </w:r>
      <w:r w:rsidR="00167E71">
        <w:rPr>
          <w:rFonts w:cstheme="minorHAnsi" w:hint="eastAsia"/>
          <w:szCs w:val="24"/>
          <w:lang w:val="en-US" w:eastAsia="zh-CN"/>
        </w:rPr>
        <w:t>长久</w:t>
      </w:r>
      <w:r w:rsidR="00AF73CB" w:rsidRPr="0018439D">
        <w:rPr>
          <w:rFonts w:cstheme="minorHAnsi" w:hint="eastAsia"/>
          <w:szCs w:val="24"/>
          <w:lang w:val="en-US" w:eastAsia="zh-CN"/>
        </w:rPr>
        <w:t>关系</w:t>
      </w:r>
      <w:r w:rsidR="006476C0">
        <w:rPr>
          <w:rFonts w:cstheme="minorHAnsi" w:hint="eastAsia"/>
          <w:szCs w:val="24"/>
          <w:lang w:val="en-US" w:eastAsia="zh-CN"/>
        </w:rPr>
        <w:t>的良好</w:t>
      </w:r>
      <w:r w:rsidR="000C3195">
        <w:rPr>
          <w:rFonts w:cstheme="minorHAnsi" w:hint="eastAsia"/>
          <w:szCs w:val="24"/>
          <w:lang w:val="en-US" w:eastAsia="zh-CN"/>
        </w:rPr>
        <w:t>范例</w:t>
      </w:r>
      <w:r w:rsidRPr="0018439D">
        <w:rPr>
          <w:rFonts w:cstheme="minorHAnsi" w:hint="eastAsia"/>
          <w:szCs w:val="24"/>
          <w:lang w:val="en-US" w:eastAsia="zh-CN"/>
        </w:rPr>
        <w:t>。</w:t>
      </w:r>
    </w:p>
    <w:p w14:paraId="38476A6A" w14:textId="4B1FE21E" w:rsidR="000C2D3A" w:rsidRPr="0075016A" w:rsidRDefault="000A6C7F" w:rsidP="00B85A96">
      <w:pPr>
        <w:spacing w:after="120"/>
        <w:ind w:firstLineChars="200" w:firstLine="480"/>
        <w:rPr>
          <w:lang w:val="en-US" w:eastAsia="zh-CN"/>
        </w:rPr>
      </w:pPr>
      <w:r w:rsidRPr="000A6C7F">
        <w:rPr>
          <w:rFonts w:hint="eastAsia"/>
          <w:lang w:val="en-US" w:eastAsia="zh-CN"/>
        </w:rPr>
        <w:t>下图</w:t>
      </w:r>
      <w:r>
        <w:rPr>
          <w:rFonts w:hint="eastAsia"/>
          <w:lang w:val="en-US" w:eastAsia="zh-CN"/>
        </w:rPr>
        <w:t>展示</w:t>
      </w:r>
      <w:r w:rsidRPr="000A6C7F">
        <w:rPr>
          <w:rFonts w:hint="eastAsia"/>
          <w:lang w:val="en-US" w:eastAsia="zh-CN"/>
        </w:rPr>
        <w:t>了</w:t>
      </w:r>
      <w:r w:rsidRPr="000A6C7F">
        <w:rPr>
          <w:rFonts w:hint="eastAsia"/>
          <w:lang w:val="en-US" w:eastAsia="zh-CN"/>
        </w:rPr>
        <w:t>2019</w:t>
      </w:r>
      <w:r w:rsidRPr="000A6C7F">
        <w:rPr>
          <w:rFonts w:hint="eastAsia"/>
          <w:lang w:val="en-US" w:eastAsia="zh-CN"/>
        </w:rPr>
        <w:t>年</w:t>
      </w:r>
      <w:r w:rsidR="004F340C">
        <w:rPr>
          <w:rFonts w:hint="eastAsia"/>
          <w:lang w:val="en-US" w:eastAsia="zh-CN"/>
        </w:rPr>
        <w:t>电信发展局</w:t>
      </w:r>
      <w:r w:rsidR="00305FE6">
        <w:rPr>
          <w:rFonts w:hint="eastAsia"/>
          <w:lang w:val="en-US" w:eastAsia="zh-CN"/>
        </w:rPr>
        <w:t>出资</w:t>
      </w:r>
      <w:r w:rsidRPr="000A6C7F">
        <w:rPr>
          <w:rFonts w:hint="eastAsia"/>
          <w:lang w:val="en-US" w:eastAsia="zh-CN"/>
        </w:rPr>
        <w:t>伙伴的性质和多样性。</w:t>
      </w:r>
    </w:p>
    <w:p w14:paraId="374833B2" w14:textId="213271B1" w:rsidR="008E6EE0" w:rsidRDefault="00F128DE" w:rsidP="000C2D3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en-US"/>
        </w:rPr>
      </w:pPr>
      <w:r w:rsidRPr="00F128D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B5A34A" wp14:editId="09C0CB3D">
                <wp:simplePos x="0" y="0"/>
                <wp:positionH relativeFrom="margin">
                  <wp:posOffset>1625545</wp:posOffset>
                </wp:positionH>
                <wp:positionV relativeFrom="paragraph">
                  <wp:posOffset>20900</wp:posOffset>
                </wp:positionV>
                <wp:extent cx="2782625" cy="333513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625" cy="333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4DD8F" w14:textId="2D10483B" w:rsidR="00F128DE" w:rsidRDefault="00F128DE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2019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年电信发展局出资伙伴的构成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5A3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8pt;margin-top:1.65pt;width:219.1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6ewIgIAAB0EAAAOAAAAZHJzL2Uyb0RvYy54bWysU21v2yAQ/j5p/wHxfXHsJG1qxam6dJkm&#10;dS9Sux+AMY7RgGNAYme/vgdO02z7No0PiOPuHp577ljdDlqRg3BegqloPplSIgyHRppdRb8/bd8t&#10;KfGBmYYpMKKiR+Hp7frtm1VvS1FAB6oRjiCI8WVvK9qFYMss87wTmvkJWGHQ2YLTLKDpdlnjWI/o&#10;WmXFdHqV9eAa64AL7/H2fnTSdcJvW8HD17b1IhBVUeQW0u7SXsc9W69YuXPMdpKfaLB/YKGZNPjo&#10;GeqeBUb2Tv4FpSV34KENEw46g7aVXKQasJp8+kc1jx2zItWC4nh7lsn/P1j+5fDNEdlUtMivKTFM&#10;Y5OexBDIexhIEfXprS8x7NFiYBjwGvucavX2AfgPTwxsOmZ24s456DvBGuSXx8zsInXE8RGk7j9D&#10;g8+wfYAENLROR/FQDoLo2KfjuTeRCsfL4npZXBULSjj6ZrPZIp+lJ1j5km2dDx8FaBIPFXXY+4TO&#10;Dg8+RDasfAmJj3lQstlKpZLhdvVGOXJgOCfbtE7ov4UpQ/qK3iyQR8wyEPPTCGkZcI6V1BVdTuOK&#10;6ayManwwTToHJtV4RibKnOSJiozahKEeMDBqVkNzRKEcjPOK/wsPHbhflPQ4qxX1P/fMCUrUJ4Ni&#10;3+TzeRzuZMwX1wUa7tJTX3qY4QhV0UDJeNyE9CHGiu6wKa1Mer0yOXHFGUwynv5LHPJLO0W9/ur1&#10;MwAAAP//AwBQSwMEFAAGAAgAAAAhAC4YMqvdAAAACAEAAA8AAABkcnMvZG93bnJldi54bWxMj0FP&#10;g0AUhO8m/ofNM/Fi7CIttEUejZpovLb2BzzgFYjsW8JuC/33ric9TmYy802+m02vLjy6zgrC0yIC&#10;xVLZupMG4fj1/rgB5TxJTb0VRriyg11xe5NTVttJ9nw5+EaFEnEZIbTeD5nWrmrZkFvYgSV4Jzsa&#10;8kGOja5HmkK56XUcRak21ElYaGngt5ar78PZIJw+p4dkO5Uf/rjer9JX6talvSLe380vz6A8z/4v&#10;DL/4AR2KwFTas9RO9QhxkoYvHmG5BBX8dLuKQZUISbIBXeT6/4HiBwAA//8DAFBLAQItABQABgAI&#10;AAAAIQC2gziS/gAAAOEBAAATAAAAAAAAAAAAAAAAAAAAAABbQ29udGVudF9UeXBlc10ueG1sUEsB&#10;Ai0AFAAGAAgAAAAhADj9If/WAAAAlAEAAAsAAAAAAAAAAAAAAAAALwEAAF9yZWxzLy5yZWxzUEsB&#10;Ai0AFAAGAAgAAAAhANy/p7AiAgAAHQQAAA4AAAAAAAAAAAAAAAAALgIAAGRycy9lMm9Eb2MueG1s&#10;UEsBAi0AFAAGAAgAAAAhAC4YMqvdAAAACAEAAA8AAAAAAAAAAAAAAAAAfAQAAGRycy9kb3ducmV2&#10;LnhtbFBLBQYAAAAABAAEAPMAAACGBQAAAAA=&#10;" stroked="f">
                <v:textbox>
                  <w:txbxContent>
                    <w:p w14:paraId="3A04DD8F" w14:textId="2D10483B" w:rsidR="00F128DE" w:rsidRDefault="00F128DE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2019</w:t>
                      </w:r>
                      <w:r>
                        <w:rPr>
                          <w:rFonts w:hint="eastAsia"/>
                          <w:lang w:eastAsia="zh-CN"/>
                        </w:rPr>
                        <w:t>年电信发展局出资伙伴的构成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167A" w:rsidRPr="0075016A">
        <w:rPr>
          <w:noProof/>
          <w:lang w:eastAsia="zh-CN"/>
        </w:rPr>
        <w:drawing>
          <wp:inline distT="0" distB="0" distL="0" distR="0" wp14:anchorId="04531436" wp14:editId="7ED7D9D0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CD652C3" w14:textId="44418CAC" w:rsidR="00EF3341" w:rsidRPr="0075016A" w:rsidRDefault="00EF3341" w:rsidP="00EF334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lang w:val="en-US" w:eastAsia="zh-CN"/>
        </w:rPr>
      </w:pPr>
    </w:p>
    <w:p w14:paraId="1713326B" w14:textId="2D8B2838" w:rsidR="009B5DB0" w:rsidRPr="0075016A" w:rsidRDefault="008B68A8" w:rsidP="00F128DE">
      <w:pPr>
        <w:spacing w:before="240" w:after="120"/>
        <w:ind w:firstLineChars="200" w:firstLine="480"/>
        <w:rPr>
          <w:lang w:val="en-US" w:eastAsia="zh-CN"/>
        </w:rPr>
      </w:pPr>
      <w:r w:rsidRPr="008B68A8">
        <w:rPr>
          <w:rFonts w:hint="eastAsia"/>
          <w:lang w:val="en-US" w:eastAsia="zh-CN"/>
        </w:rPr>
        <w:t>从</w:t>
      </w:r>
      <w:r w:rsidR="00373C36">
        <w:rPr>
          <w:rFonts w:hint="eastAsia"/>
          <w:lang w:val="en-US" w:eastAsia="zh-CN"/>
        </w:rPr>
        <w:t>上</w:t>
      </w:r>
      <w:r w:rsidRPr="008B68A8">
        <w:rPr>
          <w:rFonts w:hint="eastAsia"/>
          <w:lang w:val="en-US" w:eastAsia="zh-CN"/>
        </w:rPr>
        <w:t>图可看出，国际电联成员国（占</w:t>
      </w:r>
      <w:r w:rsidRPr="008B68A8">
        <w:rPr>
          <w:rFonts w:hint="eastAsia"/>
          <w:lang w:val="en-US" w:eastAsia="zh-CN"/>
        </w:rPr>
        <w:t>57</w:t>
      </w:r>
      <w:r w:rsidRPr="008B68A8">
        <w:rPr>
          <w:rFonts w:hint="eastAsia"/>
          <w:lang w:val="en-US" w:eastAsia="zh-CN"/>
        </w:rPr>
        <w:t>％）是</w:t>
      </w:r>
      <w:r w:rsidR="009830A3" w:rsidRPr="008B68A8">
        <w:rPr>
          <w:rFonts w:hint="eastAsia"/>
          <w:lang w:val="en-US" w:eastAsia="zh-CN"/>
        </w:rPr>
        <w:t>2019</w:t>
      </w:r>
      <w:r w:rsidR="009830A3" w:rsidRPr="008B68A8">
        <w:rPr>
          <w:rFonts w:hint="eastAsia"/>
          <w:lang w:val="en-US" w:eastAsia="zh-CN"/>
        </w:rPr>
        <w:t>年</w:t>
      </w:r>
      <w:r w:rsidRPr="008B68A8">
        <w:rPr>
          <w:rFonts w:hint="eastAsia"/>
          <w:lang w:val="en-US" w:eastAsia="zh-CN"/>
        </w:rPr>
        <w:t>电信发展局的主要</w:t>
      </w:r>
      <w:r w:rsidR="0039322C">
        <w:rPr>
          <w:rFonts w:hint="eastAsia"/>
          <w:lang w:val="en-US" w:eastAsia="zh-CN"/>
        </w:rPr>
        <w:t>出资</w:t>
      </w:r>
      <w:r w:rsidRPr="008B68A8">
        <w:rPr>
          <w:rFonts w:hint="eastAsia"/>
          <w:lang w:val="en-US" w:eastAsia="zh-CN"/>
        </w:rPr>
        <w:t>伙伴。它们也是电信发展局的传统</w:t>
      </w:r>
      <w:r w:rsidR="00FE415B">
        <w:rPr>
          <w:rFonts w:hint="eastAsia"/>
          <w:lang w:val="en-US" w:eastAsia="zh-CN"/>
        </w:rPr>
        <w:t>捐赠</w:t>
      </w:r>
      <w:r w:rsidRPr="008B68A8">
        <w:rPr>
          <w:rFonts w:hint="eastAsia"/>
          <w:lang w:val="en-US" w:eastAsia="zh-CN"/>
        </w:rPr>
        <w:t>方。与</w:t>
      </w:r>
      <w:r w:rsidR="00983C1F">
        <w:rPr>
          <w:rFonts w:hint="eastAsia"/>
          <w:lang w:val="en-US" w:eastAsia="zh-CN"/>
        </w:rPr>
        <w:t>前</w:t>
      </w:r>
      <w:r w:rsidRPr="008B68A8">
        <w:rPr>
          <w:rFonts w:hint="eastAsia"/>
          <w:lang w:val="en-US" w:eastAsia="zh-CN"/>
        </w:rPr>
        <w:t>几年相比，这</w:t>
      </w:r>
      <w:r w:rsidR="006805C9">
        <w:rPr>
          <w:rFonts w:hint="eastAsia"/>
          <w:lang w:val="en-US" w:eastAsia="zh-CN"/>
        </w:rPr>
        <w:t>一</w:t>
      </w:r>
      <w:r w:rsidR="00661291">
        <w:rPr>
          <w:rFonts w:hint="eastAsia"/>
          <w:lang w:val="en-US" w:eastAsia="zh-CN"/>
        </w:rPr>
        <w:t>百分比有所</w:t>
      </w:r>
      <w:r w:rsidRPr="008B68A8">
        <w:rPr>
          <w:rFonts w:hint="eastAsia"/>
          <w:lang w:val="en-US" w:eastAsia="zh-CN"/>
        </w:rPr>
        <w:t>下降，</w:t>
      </w:r>
      <w:r w:rsidR="00105A17">
        <w:rPr>
          <w:rFonts w:hint="eastAsia"/>
          <w:lang w:val="en-US" w:eastAsia="zh-CN"/>
        </w:rPr>
        <w:t>意味着</w:t>
      </w:r>
      <w:r w:rsidRPr="008B68A8">
        <w:rPr>
          <w:rFonts w:hint="eastAsia"/>
          <w:lang w:val="en-US" w:eastAsia="zh-CN"/>
        </w:rPr>
        <w:t>资金来源</w:t>
      </w:r>
      <w:r w:rsidR="000E7F72">
        <w:rPr>
          <w:rFonts w:hint="eastAsia"/>
          <w:lang w:val="en-US" w:eastAsia="zh-CN"/>
        </w:rPr>
        <w:t>更加</w:t>
      </w:r>
      <w:r w:rsidRPr="008B68A8">
        <w:rPr>
          <w:rFonts w:hint="eastAsia"/>
          <w:lang w:val="en-US" w:eastAsia="zh-CN"/>
        </w:rPr>
        <w:t>多样。根据图中的信息</w:t>
      </w:r>
      <w:r w:rsidR="00F67E76">
        <w:rPr>
          <w:rFonts w:hint="eastAsia"/>
          <w:lang w:val="en-US" w:eastAsia="zh-CN"/>
        </w:rPr>
        <w:t>，</w:t>
      </w:r>
      <w:r w:rsidRPr="008B68A8">
        <w:rPr>
          <w:rFonts w:hint="eastAsia"/>
          <w:lang w:val="en-US" w:eastAsia="zh-CN"/>
        </w:rPr>
        <w:t>电信发展局</w:t>
      </w:r>
      <w:r w:rsidR="00F67E76">
        <w:rPr>
          <w:rFonts w:hint="eastAsia"/>
          <w:lang w:val="en-US" w:eastAsia="zh-CN"/>
        </w:rPr>
        <w:t>明显</w:t>
      </w:r>
      <w:r w:rsidRPr="008B68A8">
        <w:rPr>
          <w:rFonts w:hint="eastAsia"/>
          <w:lang w:val="en-US" w:eastAsia="zh-CN"/>
        </w:rPr>
        <w:t>需要加倍</w:t>
      </w:r>
      <w:r w:rsidR="00C3666F">
        <w:rPr>
          <w:rFonts w:hint="eastAsia"/>
          <w:lang w:val="en-US" w:eastAsia="zh-CN"/>
        </w:rPr>
        <w:t>外联</w:t>
      </w:r>
      <w:r w:rsidR="00B359A9">
        <w:rPr>
          <w:rFonts w:hint="eastAsia"/>
          <w:lang w:val="en-US" w:eastAsia="zh-CN"/>
        </w:rPr>
        <w:t>和</w:t>
      </w:r>
      <w:r w:rsidR="00E34864">
        <w:rPr>
          <w:rFonts w:hint="eastAsia"/>
          <w:lang w:val="en-US" w:eastAsia="zh-CN"/>
        </w:rPr>
        <w:t>约请</w:t>
      </w:r>
      <w:r w:rsidRPr="008B68A8">
        <w:rPr>
          <w:rFonts w:hint="eastAsia"/>
          <w:lang w:val="en-US" w:eastAsia="zh-CN"/>
        </w:rPr>
        <w:t>努力，吸引更多非传统</w:t>
      </w:r>
      <w:r w:rsidR="006A7F4A">
        <w:rPr>
          <w:rFonts w:hint="eastAsia"/>
          <w:lang w:val="en-US" w:eastAsia="zh-CN"/>
        </w:rPr>
        <w:t>出资</w:t>
      </w:r>
      <w:r w:rsidRPr="008B68A8">
        <w:rPr>
          <w:rFonts w:hint="eastAsia"/>
          <w:lang w:val="en-US" w:eastAsia="zh-CN"/>
        </w:rPr>
        <w:t>伙伴（如双边机构</w:t>
      </w:r>
      <w:r w:rsidR="00D377BA">
        <w:rPr>
          <w:rFonts w:hint="eastAsia"/>
          <w:lang w:val="en-US" w:eastAsia="zh-CN"/>
        </w:rPr>
        <w:t>、</w:t>
      </w:r>
      <w:r w:rsidRPr="008B68A8">
        <w:rPr>
          <w:rFonts w:hint="eastAsia"/>
          <w:lang w:val="en-US" w:eastAsia="zh-CN"/>
        </w:rPr>
        <w:t>开发银行</w:t>
      </w:r>
      <w:r w:rsidR="00CF4626">
        <w:rPr>
          <w:rFonts w:hint="eastAsia"/>
          <w:lang w:val="en-US" w:eastAsia="zh-CN"/>
        </w:rPr>
        <w:t>、</w:t>
      </w:r>
      <w:r w:rsidRPr="008B68A8">
        <w:rPr>
          <w:rFonts w:hint="eastAsia"/>
          <w:lang w:val="en-US" w:eastAsia="zh-CN"/>
        </w:rPr>
        <w:t>基金会和私营</w:t>
      </w:r>
      <w:r w:rsidR="009457D4">
        <w:rPr>
          <w:rFonts w:hint="eastAsia"/>
          <w:lang w:val="en-US" w:eastAsia="zh-CN"/>
        </w:rPr>
        <w:t>部门</w:t>
      </w:r>
      <w:r w:rsidRPr="008B68A8">
        <w:rPr>
          <w:rFonts w:hint="eastAsia"/>
          <w:lang w:val="en-US" w:eastAsia="zh-CN"/>
        </w:rPr>
        <w:t>的企业社会责任基金）。</w:t>
      </w:r>
    </w:p>
    <w:p w14:paraId="5682001F" w14:textId="21D40F05" w:rsidR="00224BA8" w:rsidRDefault="00C455DD" w:rsidP="00F128DE">
      <w:pPr>
        <w:spacing w:after="120"/>
        <w:ind w:firstLineChars="200" w:firstLine="480"/>
        <w:rPr>
          <w:lang w:val="en-US" w:eastAsia="zh-CN"/>
        </w:rPr>
      </w:pPr>
      <w:r w:rsidRPr="00C455DD">
        <w:rPr>
          <w:rFonts w:hint="eastAsia"/>
          <w:lang w:val="en-US" w:eastAsia="zh-CN"/>
        </w:rPr>
        <w:t>2019</w:t>
      </w:r>
      <w:r w:rsidRPr="00C455DD">
        <w:rPr>
          <w:rFonts w:hint="eastAsia"/>
          <w:lang w:val="en-US" w:eastAsia="zh-CN"/>
        </w:rPr>
        <w:t>年，电信发展局成功加强</w:t>
      </w:r>
      <w:r w:rsidR="000115BF">
        <w:rPr>
          <w:rFonts w:hint="eastAsia"/>
          <w:lang w:val="en-US" w:eastAsia="zh-CN"/>
        </w:rPr>
        <w:t>了</w:t>
      </w:r>
      <w:r w:rsidRPr="00C455DD">
        <w:rPr>
          <w:rFonts w:hint="eastAsia"/>
          <w:lang w:val="en-US" w:eastAsia="zh-CN"/>
        </w:rPr>
        <w:t>与</w:t>
      </w:r>
      <w:r w:rsidR="00C57ED2" w:rsidRPr="00C455DD">
        <w:rPr>
          <w:rFonts w:hint="eastAsia"/>
          <w:lang w:val="en-US" w:eastAsia="zh-CN"/>
        </w:rPr>
        <w:t>其</w:t>
      </w:r>
      <w:r w:rsidR="00491ADC">
        <w:rPr>
          <w:rFonts w:hint="eastAsia"/>
          <w:lang w:val="en-US" w:eastAsia="zh-CN"/>
        </w:rPr>
        <w:t>它</w:t>
      </w:r>
      <w:r w:rsidRPr="00C455DD">
        <w:rPr>
          <w:rFonts w:hint="eastAsia"/>
          <w:lang w:val="en-US" w:eastAsia="zh-CN"/>
        </w:rPr>
        <w:t>联合国机构的</w:t>
      </w:r>
      <w:r w:rsidR="00C57ED2">
        <w:rPr>
          <w:rFonts w:hint="eastAsia"/>
          <w:lang w:val="en-US" w:eastAsia="zh-CN"/>
        </w:rPr>
        <w:t>协作</w:t>
      </w:r>
      <w:r w:rsidRPr="00C455DD">
        <w:rPr>
          <w:rFonts w:hint="eastAsia"/>
          <w:lang w:val="en-US" w:eastAsia="zh-CN"/>
        </w:rPr>
        <w:t>，</w:t>
      </w:r>
      <w:r w:rsidR="004F0391">
        <w:rPr>
          <w:rFonts w:hint="eastAsia"/>
          <w:lang w:val="en-US" w:eastAsia="zh-CN"/>
        </w:rPr>
        <w:t>从而</w:t>
      </w:r>
      <w:r w:rsidR="001455EB">
        <w:rPr>
          <w:rFonts w:hint="eastAsia"/>
          <w:lang w:val="en-US" w:eastAsia="zh-CN"/>
        </w:rPr>
        <w:t>实现</w:t>
      </w:r>
      <w:r w:rsidR="004F0391">
        <w:rPr>
          <w:rFonts w:hint="eastAsia"/>
          <w:lang w:val="en-US" w:eastAsia="zh-CN"/>
        </w:rPr>
        <w:t>联合</w:t>
      </w:r>
      <w:r w:rsidRPr="00C455DD">
        <w:rPr>
          <w:rFonts w:hint="eastAsia"/>
          <w:lang w:val="en-US" w:eastAsia="zh-CN"/>
        </w:rPr>
        <w:t>资源</w:t>
      </w:r>
      <w:r w:rsidR="001455EB">
        <w:rPr>
          <w:rFonts w:hint="eastAsia"/>
          <w:lang w:val="en-US" w:eastAsia="zh-CN"/>
        </w:rPr>
        <w:t>筹措和</w:t>
      </w:r>
      <w:r w:rsidRPr="00C455DD">
        <w:rPr>
          <w:rFonts w:hint="eastAsia"/>
          <w:lang w:val="en-US" w:eastAsia="zh-CN"/>
        </w:rPr>
        <w:t>伙伴关系</w:t>
      </w:r>
      <w:r w:rsidR="001455EB">
        <w:rPr>
          <w:rFonts w:hint="eastAsia"/>
          <w:lang w:val="en-US" w:eastAsia="zh-CN"/>
        </w:rPr>
        <w:t>工作</w:t>
      </w:r>
      <w:r w:rsidRPr="00C455DD">
        <w:rPr>
          <w:rFonts w:hint="eastAsia"/>
          <w:lang w:val="en-US" w:eastAsia="zh-CN"/>
        </w:rPr>
        <w:t>。一个积极的成果是</w:t>
      </w:r>
      <w:r w:rsidR="006361E7">
        <w:rPr>
          <w:rFonts w:hint="eastAsia"/>
          <w:lang w:val="en-US" w:eastAsia="zh-CN"/>
        </w:rPr>
        <w:t>与</w:t>
      </w:r>
      <w:r w:rsidRPr="00C455DD">
        <w:rPr>
          <w:rFonts w:hint="eastAsia"/>
          <w:lang w:val="en-US" w:eastAsia="zh-CN"/>
        </w:rPr>
        <w:t>粮食及农业组织（粮农组织）</w:t>
      </w:r>
      <w:r w:rsidR="006361E7">
        <w:rPr>
          <w:rFonts w:hint="eastAsia"/>
          <w:lang w:val="en-US" w:eastAsia="zh-CN"/>
        </w:rPr>
        <w:t>、</w:t>
      </w:r>
      <w:r w:rsidRPr="00C455DD">
        <w:rPr>
          <w:rFonts w:hint="eastAsia"/>
          <w:lang w:val="en-US" w:eastAsia="zh-CN"/>
        </w:rPr>
        <w:t>国际劳工组织（劳工组织）</w:t>
      </w:r>
      <w:r w:rsidR="001A26E0">
        <w:rPr>
          <w:rFonts w:hint="eastAsia"/>
          <w:lang w:val="en-US" w:eastAsia="zh-CN"/>
        </w:rPr>
        <w:t>、</w:t>
      </w:r>
      <w:r w:rsidRPr="00C455DD">
        <w:rPr>
          <w:rFonts w:hint="eastAsia"/>
          <w:lang w:val="en-US" w:eastAsia="zh-CN"/>
        </w:rPr>
        <w:t>联合国资本发展基金（资发基金）和联合国开发计划署（开发署）建立伙伴关系。这</w:t>
      </w:r>
      <w:r w:rsidR="00BC21CC">
        <w:rPr>
          <w:rFonts w:hint="eastAsia"/>
          <w:lang w:val="en-US" w:eastAsia="zh-CN"/>
        </w:rPr>
        <w:t>一</w:t>
      </w:r>
      <w:r w:rsidRPr="00C455DD">
        <w:rPr>
          <w:rFonts w:hint="eastAsia"/>
          <w:lang w:val="en-US" w:eastAsia="zh-CN"/>
        </w:rPr>
        <w:t>伙伴关系</w:t>
      </w:r>
      <w:r w:rsidR="002602BC">
        <w:rPr>
          <w:rFonts w:hint="eastAsia"/>
          <w:lang w:val="en-US" w:eastAsia="zh-CN"/>
        </w:rPr>
        <w:t>带来了</w:t>
      </w:r>
      <w:r w:rsidRPr="00C455DD">
        <w:rPr>
          <w:rFonts w:hint="eastAsia"/>
          <w:lang w:val="en-US" w:eastAsia="zh-CN"/>
        </w:rPr>
        <w:t>与</w:t>
      </w:r>
      <w:r w:rsidR="00AC5B19">
        <w:rPr>
          <w:rFonts w:hint="eastAsia"/>
          <w:lang w:val="en-US" w:eastAsia="zh-CN"/>
        </w:rPr>
        <w:t>欧盟</w:t>
      </w:r>
      <w:r w:rsidRPr="00C455DD">
        <w:rPr>
          <w:rFonts w:hint="eastAsia"/>
          <w:lang w:val="en-US" w:eastAsia="zh-CN"/>
        </w:rPr>
        <w:t>委员会</w:t>
      </w:r>
      <w:r w:rsidR="00E3327D">
        <w:rPr>
          <w:rFonts w:hint="eastAsia"/>
          <w:lang w:val="en-US" w:eastAsia="zh-CN"/>
        </w:rPr>
        <w:t>的</w:t>
      </w:r>
      <w:r w:rsidRPr="00C455DD">
        <w:rPr>
          <w:rFonts w:hint="eastAsia"/>
          <w:lang w:val="en-US" w:eastAsia="zh-CN"/>
        </w:rPr>
        <w:t>协议，</w:t>
      </w:r>
      <w:r w:rsidR="00467EF6">
        <w:rPr>
          <w:rFonts w:hint="eastAsia"/>
          <w:lang w:val="en-US" w:eastAsia="zh-CN"/>
        </w:rPr>
        <w:t>为</w:t>
      </w:r>
      <w:r w:rsidRPr="00C455DD">
        <w:rPr>
          <w:rFonts w:hint="eastAsia"/>
          <w:lang w:val="en-US" w:eastAsia="zh-CN"/>
        </w:rPr>
        <w:t>“支持巴布亚新几内亚农村创业</w:t>
      </w:r>
      <w:r w:rsidR="002552C7">
        <w:rPr>
          <w:rFonts w:hint="eastAsia"/>
          <w:lang w:val="en-US" w:eastAsia="zh-CN"/>
        </w:rPr>
        <w:t>、</w:t>
      </w:r>
      <w:r w:rsidRPr="00C455DD">
        <w:rPr>
          <w:rFonts w:hint="eastAsia"/>
          <w:lang w:val="en-US" w:eastAsia="zh-CN"/>
        </w:rPr>
        <w:t>投资和贸易”项目</w:t>
      </w:r>
      <w:r w:rsidR="00FF0A89">
        <w:rPr>
          <w:rFonts w:hint="eastAsia"/>
          <w:lang w:val="en-US" w:eastAsia="zh-CN"/>
        </w:rPr>
        <w:t>供</w:t>
      </w:r>
      <w:r w:rsidRPr="00C455DD">
        <w:rPr>
          <w:rFonts w:hint="eastAsia"/>
          <w:lang w:val="en-US" w:eastAsia="zh-CN"/>
        </w:rPr>
        <w:t>资，总预算为</w:t>
      </w:r>
      <w:r w:rsidRPr="00C455DD">
        <w:rPr>
          <w:rFonts w:hint="eastAsia"/>
          <w:lang w:val="en-US" w:eastAsia="zh-CN"/>
        </w:rPr>
        <w:t>8130</w:t>
      </w:r>
      <w:r w:rsidRPr="00C455DD">
        <w:rPr>
          <w:rFonts w:hint="eastAsia"/>
          <w:lang w:val="en-US" w:eastAsia="zh-CN"/>
        </w:rPr>
        <w:t>万欧元（其中</w:t>
      </w:r>
      <w:r w:rsidRPr="00C455DD">
        <w:rPr>
          <w:rFonts w:hint="eastAsia"/>
          <w:lang w:val="en-US" w:eastAsia="zh-CN"/>
        </w:rPr>
        <w:t>250</w:t>
      </w:r>
      <w:r w:rsidRPr="00C455DD">
        <w:rPr>
          <w:rFonts w:hint="eastAsia"/>
          <w:lang w:val="en-US" w:eastAsia="zh-CN"/>
        </w:rPr>
        <w:t>万欧元</w:t>
      </w:r>
      <w:r w:rsidR="004F37B8">
        <w:rPr>
          <w:rFonts w:hint="eastAsia"/>
          <w:lang w:val="en-US" w:eastAsia="zh-CN"/>
        </w:rPr>
        <w:t>提供给</w:t>
      </w:r>
      <w:r w:rsidRPr="00C455DD">
        <w:rPr>
          <w:rFonts w:hint="eastAsia"/>
          <w:lang w:val="en-US" w:eastAsia="zh-CN"/>
        </w:rPr>
        <w:t>电信发展局）。</w:t>
      </w:r>
    </w:p>
    <w:p w14:paraId="2E13ACCD" w14:textId="1E78857A" w:rsidR="003218E4" w:rsidRPr="0075016A" w:rsidRDefault="002F7E95" w:rsidP="00F128DE">
      <w:pPr>
        <w:spacing w:after="120"/>
        <w:ind w:firstLineChars="200" w:firstLine="480"/>
        <w:rPr>
          <w:lang w:val="en-US" w:eastAsia="zh-CN"/>
        </w:rPr>
      </w:pPr>
      <w:r w:rsidRPr="002F7E95">
        <w:rPr>
          <w:rFonts w:hint="eastAsia"/>
          <w:lang w:val="en-US" w:eastAsia="zh-CN"/>
        </w:rPr>
        <w:t>与联合国姊妹机构建立非传统伙伴关系</w:t>
      </w:r>
      <w:r w:rsidR="002666AD">
        <w:rPr>
          <w:rFonts w:hint="eastAsia"/>
          <w:lang w:val="en-US" w:eastAsia="zh-CN"/>
        </w:rPr>
        <w:t>让</w:t>
      </w:r>
      <w:r w:rsidRPr="002F7E95">
        <w:rPr>
          <w:rFonts w:hint="eastAsia"/>
          <w:lang w:val="en-US" w:eastAsia="zh-CN"/>
        </w:rPr>
        <w:t>电信发展局</w:t>
      </w:r>
      <w:r w:rsidR="00155A86">
        <w:rPr>
          <w:rFonts w:hint="eastAsia"/>
          <w:lang w:val="en-US" w:eastAsia="zh-CN"/>
        </w:rPr>
        <w:t>得以提升</w:t>
      </w:r>
      <w:r w:rsidRPr="002F7E95">
        <w:rPr>
          <w:rFonts w:hint="eastAsia"/>
          <w:lang w:val="en-US" w:eastAsia="zh-CN"/>
        </w:rPr>
        <w:t>在其他部门（生态系统）的</w:t>
      </w:r>
      <w:r w:rsidR="000B34E5">
        <w:rPr>
          <w:rFonts w:hint="eastAsia"/>
          <w:lang w:val="en-US" w:eastAsia="zh-CN"/>
        </w:rPr>
        <w:t>知名度</w:t>
      </w:r>
      <w:r w:rsidRPr="002F7E95">
        <w:rPr>
          <w:rFonts w:hint="eastAsia"/>
          <w:lang w:val="en-US" w:eastAsia="zh-CN"/>
        </w:rPr>
        <w:t>和专业知识。</w:t>
      </w:r>
    </w:p>
    <w:p w14:paraId="70E76823" w14:textId="18AF97C5" w:rsidR="008B5772" w:rsidRPr="00B63FAC" w:rsidRDefault="00B85A96" w:rsidP="00B85A96">
      <w:pPr>
        <w:pStyle w:val="Heading1"/>
        <w:ind w:left="0" w:firstLine="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 w:hint="eastAsia"/>
          <w:sz w:val="24"/>
          <w:szCs w:val="24"/>
          <w:lang w:val="fr-FR" w:eastAsia="zh-CN"/>
        </w:rPr>
        <w:t>4</w:t>
      </w:r>
      <w:r>
        <w:rPr>
          <w:rFonts w:ascii="Calibri" w:hAnsi="Calibri" w:cs="Calibri"/>
          <w:sz w:val="24"/>
          <w:szCs w:val="24"/>
          <w:lang w:val="fr-FR" w:eastAsia="zh-CN"/>
        </w:rPr>
        <w:tab/>
      </w:r>
      <w:r w:rsidR="00B60E10" w:rsidRPr="00B85A96">
        <w:rPr>
          <w:rFonts w:ascii="Calibri" w:hAnsi="Calibri" w:cs="Calibri" w:hint="eastAsia"/>
          <w:sz w:val="24"/>
          <w:szCs w:val="24"/>
          <w:lang w:val="fr-FR" w:eastAsia="zh-CN"/>
        </w:rPr>
        <w:t>未来方向</w:t>
      </w:r>
    </w:p>
    <w:p w14:paraId="78930916" w14:textId="51747BAE" w:rsidR="00524DAD" w:rsidRPr="0075016A" w:rsidRDefault="003C3850" w:rsidP="00F128DE">
      <w:pPr>
        <w:pStyle w:val="CEONormal"/>
        <w:ind w:firstLineChars="200" w:firstLine="480"/>
        <w:rPr>
          <w:rFonts w:asciiTheme="minorHAnsi" w:hAnsiTheme="minorHAnsi" w:cs="Calibri"/>
          <w:sz w:val="24"/>
          <w:szCs w:val="24"/>
          <w:lang w:val="en-US" w:eastAsia="zh-CN"/>
        </w:rPr>
      </w:pPr>
      <w:r w:rsidRPr="003C3850">
        <w:rPr>
          <w:rFonts w:asciiTheme="minorHAnsi" w:hAnsiTheme="minorHAnsi" w:cs="Calibri" w:hint="eastAsia"/>
          <w:sz w:val="24"/>
          <w:szCs w:val="24"/>
          <w:lang w:val="en-US" w:eastAsia="zh-CN"/>
        </w:rPr>
        <w:t>为加强电信发展局</w:t>
      </w:r>
      <w:r w:rsidR="004B31BC">
        <w:rPr>
          <w:rFonts w:asciiTheme="minorHAnsi" w:hAnsiTheme="minorHAnsi" w:cs="Calibri" w:hint="eastAsia"/>
          <w:sz w:val="24"/>
          <w:szCs w:val="24"/>
          <w:lang w:val="en-US" w:eastAsia="zh-CN"/>
        </w:rPr>
        <w:t>筹措</w:t>
      </w:r>
      <w:r w:rsidRPr="003C3850">
        <w:rPr>
          <w:rFonts w:asciiTheme="minorHAnsi" w:hAnsiTheme="minorHAnsi" w:cs="Calibri" w:hint="eastAsia"/>
          <w:sz w:val="24"/>
          <w:szCs w:val="24"/>
          <w:lang w:val="en-US" w:eastAsia="zh-CN"/>
        </w:rPr>
        <w:t>资源和</w:t>
      </w:r>
      <w:r w:rsidR="004B31BC">
        <w:rPr>
          <w:rFonts w:asciiTheme="minorHAnsi" w:hAnsiTheme="minorHAnsi" w:cs="Calibri" w:hint="eastAsia"/>
          <w:sz w:val="24"/>
          <w:szCs w:val="24"/>
          <w:lang w:val="en-US" w:eastAsia="zh-CN"/>
        </w:rPr>
        <w:t>建立</w:t>
      </w:r>
      <w:r w:rsidRPr="003C3850">
        <w:rPr>
          <w:rFonts w:asciiTheme="minorHAnsi" w:hAnsiTheme="minorHAnsi" w:cs="Calibri" w:hint="eastAsia"/>
          <w:sz w:val="24"/>
          <w:szCs w:val="24"/>
          <w:lang w:val="en-US" w:eastAsia="zh-CN"/>
        </w:rPr>
        <w:t>伙伴关系，正在</w:t>
      </w:r>
      <w:r w:rsidR="00630F2B">
        <w:rPr>
          <w:rFonts w:asciiTheme="minorHAnsi" w:hAnsiTheme="minorHAnsi" w:cs="Calibri" w:hint="eastAsia"/>
          <w:sz w:val="24"/>
          <w:szCs w:val="24"/>
          <w:lang w:val="en-US" w:eastAsia="zh-CN"/>
        </w:rPr>
        <w:t>征聘</w:t>
      </w:r>
      <w:r w:rsidRPr="003C3850">
        <w:rPr>
          <w:rFonts w:asciiTheme="minorHAnsi" w:hAnsiTheme="minorHAnsi" w:cs="Calibri" w:hint="eastAsia"/>
          <w:sz w:val="24"/>
          <w:szCs w:val="24"/>
          <w:lang w:val="en-US" w:eastAsia="zh-CN"/>
        </w:rPr>
        <w:t>咨询公司制定强有力</w:t>
      </w:r>
      <w:r w:rsidR="00CF6ED6">
        <w:rPr>
          <w:rFonts w:asciiTheme="minorHAnsi" w:hAnsiTheme="minorHAnsi" w:cs="Calibri" w:hint="eastAsia"/>
          <w:sz w:val="24"/>
          <w:szCs w:val="24"/>
          <w:lang w:val="en-US" w:eastAsia="zh-CN"/>
        </w:rPr>
        <w:t>、</w:t>
      </w:r>
      <w:r w:rsidR="00155A86">
        <w:rPr>
          <w:rFonts w:asciiTheme="minorHAnsi" w:hAnsiTheme="minorHAnsi" w:cs="Calibri" w:hint="eastAsia"/>
          <w:sz w:val="24"/>
          <w:szCs w:val="24"/>
          <w:lang w:val="en-US" w:eastAsia="zh-CN"/>
        </w:rPr>
        <w:t>具前瞻性的资源筹措</w:t>
      </w:r>
      <w:r w:rsidRPr="003C3850">
        <w:rPr>
          <w:rFonts w:asciiTheme="minorHAnsi" w:hAnsiTheme="minorHAnsi" w:cs="Calibri" w:hint="eastAsia"/>
          <w:sz w:val="24"/>
          <w:szCs w:val="24"/>
          <w:lang w:val="en-US" w:eastAsia="zh-CN"/>
        </w:rPr>
        <w:t>战略和计划。</w:t>
      </w:r>
      <w:r w:rsidR="00623072">
        <w:rPr>
          <w:rFonts w:asciiTheme="minorHAnsi" w:hAnsiTheme="minorHAnsi" w:cs="Calibri" w:hint="eastAsia"/>
          <w:sz w:val="24"/>
          <w:szCs w:val="24"/>
          <w:lang w:val="en-US" w:eastAsia="zh-CN"/>
        </w:rPr>
        <w:t>这一</w:t>
      </w:r>
      <w:r w:rsidRPr="003C3850">
        <w:rPr>
          <w:rFonts w:asciiTheme="minorHAnsi" w:hAnsiTheme="minorHAnsi" w:cs="Calibri" w:hint="eastAsia"/>
          <w:sz w:val="24"/>
          <w:szCs w:val="24"/>
          <w:lang w:val="en-US" w:eastAsia="zh-CN"/>
        </w:rPr>
        <w:t>战略和相关行动计划将考虑</w:t>
      </w:r>
      <w:r w:rsidR="007D1FD0">
        <w:rPr>
          <w:rFonts w:asciiTheme="minorHAnsi" w:hAnsiTheme="minorHAnsi" w:cs="Calibri" w:hint="eastAsia"/>
          <w:sz w:val="24"/>
          <w:szCs w:val="24"/>
          <w:lang w:val="en-US" w:eastAsia="zh-CN"/>
        </w:rPr>
        <w:t>到</w:t>
      </w:r>
      <w:r w:rsidRPr="003C3850">
        <w:rPr>
          <w:rFonts w:asciiTheme="minorHAnsi" w:hAnsiTheme="minorHAnsi" w:cs="Calibri" w:hint="eastAsia"/>
          <w:sz w:val="24"/>
          <w:szCs w:val="24"/>
          <w:lang w:val="en-US" w:eastAsia="zh-CN"/>
        </w:rPr>
        <w:t>发展部门</w:t>
      </w:r>
      <w:r w:rsidR="007D1FD0">
        <w:rPr>
          <w:rFonts w:asciiTheme="minorHAnsi" w:hAnsiTheme="minorHAnsi" w:cs="Calibri" w:hint="eastAsia"/>
          <w:sz w:val="24"/>
          <w:szCs w:val="24"/>
          <w:lang w:val="en-US" w:eastAsia="zh-CN"/>
        </w:rPr>
        <w:t>、</w:t>
      </w:r>
      <w:r w:rsidRPr="003C3850">
        <w:rPr>
          <w:rFonts w:asciiTheme="minorHAnsi" w:hAnsiTheme="minorHAnsi" w:cs="Calibri" w:hint="eastAsia"/>
          <w:sz w:val="24"/>
          <w:szCs w:val="24"/>
          <w:lang w:val="en-US" w:eastAsia="zh-CN"/>
        </w:rPr>
        <w:t>合作伙伴</w:t>
      </w:r>
      <w:r w:rsidRPr="003C3850">
        <w:rPr>
          <w:rFonts w:asciiTheme="minorHAnsi" w:hAnsiTheme="minorHAnsi" w:cs="Calibri" w:hint="eastAsia"/>
          <w:sz w:val="24"/>
          <w:szCs w:val="24"/>
          <w:lang w:val="en-US" w:eastAsia="zh-CN"/>
        </w:rPr>
        <w:t>/</w:t>
      </w:r>
      <w:r w:rsidR="00F53160">
        <w:rPr>
          <w:rFonts w:asciiTheme="minorHAnsi" w:hAnsiTheme="minorHAnsi" w:cs="Calibri" w:hint="eastAsia"/>
          <w:sz w:val="24"/>
          <w:szCs w:val="24"/>
          <w:lang w:val="en-US" w:eastAsia="zh-CN"/>
        </w:rPr>
        <w:t>捐赠</w:t>
      </w:r>
      <w:r w:rsidRPr="003C3850">
        <w:rPr>
          <w:rFonts w:asciiTheme="minorHAnsi" w:hAnsiTheme="minorHAnsi" w:cs="Calibri" w:hint="eastAsia"/>
          <w:sz w:val="24"/>
          <w:szCs w:val="24"/>
          <w:lang w:val="en-US" w:eastAsia="zh-CN"/>
        </w:rPr>
        <w:t>方不断变化的格局，同时</w:t>
      </w:r>
      <w:r w:rsidR="00DC61D5">
        <w:rPr>
          <w:rFonts w:asciiTheme="minorHAnsi" w:hAnsiTheme="minorHAnsi" w:cs="Calibri" w:hint="eastAsia"/>
          <w:sz w:val="24"/>
          <w:szCs w:val="24"/>
          <w:lang w:val="en-US" w:eastAsia="zh-CN"/>
        </w:rPr>
        <w:t>吸取</w:t>
      </w:r>
      <w:r w:rsidRPr="003C3850">
        <w:rPr>
          <w:rFonts w:asciiTheme="minorHAnsi" w:hAnsiTheme="minorHAnsi" w:cs="Calibri" w:hint="eastAsia"/>
          <w:sz w:val="24"/>
          <w:szCs w:val="24"/>
          <w:lang w:val="en-US" w:eastAsia="zh-CN"/>
        </w:rPr>
        <w:t>电信发展局过去和</w:t>
      </w:r>
      <w:r w:rsidR="00270969">
        <w:rPr>
          <w:rFonts w:asciiTheme="minorHAnsi" w:hAnsiTheme="minorHAnsi" w:cs="Calibri" w:hint="eastAsia"/>
          <w:sz w:val="24"/>
          <w:szCs w:val="24"/>
          <w:lang w:val="en-US" w:eastAsia="zh-CN"/>
        </w:rPr>
        <w:t>当前</w:t>
      </w:r>
      <w:r w:rsidRPr="003C3850">
        <w:rPr>
          <w:rFonts w:asciiTheme="minorHAnsi" w:hAnsiTheme="minorHAnsi" w:cs="Calibri" w:hint="eastAsia"/>
          <w:sz w:val="24"/>
          <w:szCs w:val="24"/>
          <w:lang w:val="en-US" w:eastAsia="zh-CN"/>
        </w:rPr>
        <w:t>资源</w:t>
      </w:r>
      <w:r w:rsidR="00270969">
        <w:rPr>
          <w:rFonts w:asciiTheme="minorHAnsi" w:hAnsiTheme="minorHAnsi" w:cs="Calibri" w:hint="eastAsia"/>
          <w:sz w:val="24"/>
          <w:szCs w:val="24"/>
          <w:lang w:val="en-US" w:eastAsia="zh-CN"/>
        </w:rPr>
        <w:t>筹措</w:t>
      </w:r>
      <w:r w:rsidR="00A47BD6">
        <w:rPr>
          <w:rFonts w:asciiTheme="minorHAnsi" w:hAnsiTheme="minorHAnsi" w:cs="Calibri" w:hint="eastAsia"/>
          <w:sz w:val="24"/>
          <w:szCs w:val="24"/>
          <w:lang w:val="en-US" w:eastAsia="zh-CN"/>
        </w:rPr>
        <w:t>工作</w:t>
      </w:r>
      <w:r w:rsidRPr="003C3850">
        <w:rPr>
          <w:rFonts w:asciiTheme="minorHAnsi" w:hAnsiTheme="minorHAnsi" w:cs="Calibri" w:hint="eastAsia"/>
          <w:sz w:val="24"/>
          <w:szCs w:val="24"/>
          <w:lang w:val="en-US" w:eastAsia="zh-CN"/>
        </w:rPr>
        <w:t>的经验教训。还将</w:t>
      </w:r>
      <w:r w:rsidR="006C7563">
        <w:rPr>
          <w:rFonts w:asciiTheme="minorHAnsi" w:hAnsiTheme="minorHAnsi" w:cs="Calibri" w:hint="eastAsia"/>
          <w:sz w:val="24"/>
          <w:szCs w:val="24"/>
          <w:lang w:val="en-US" w:eastAsia="zh-CN"/>
        </w:rPr>
        <w:t>征聘</w:t>
      </w:r>
      <w:r w:rsidRPr="003C3850">
        <w:rPr>
          <w:rFonts w:asciiTheme="minorHAnsi" w:hAnsiTheme="minorHAnsi" w:cs="Calibri" w:hint="eastAsia"/>
          <w:sz w:val="24"/>
          <w:szCs w:val="24"/>
          <w:lang w:val="en-US" w:eastAsia="zh-CN"/>
        </w:rPr>
        <w:t>一名</w:t>
      </w:r>
      <w:r w:rsidR="006E2040">
        <w:rPr>
          <w:rFonts w:asciiTheme="minorHAnsi" w:hAnsiTheme="minorHAnsi" w:cs="Calibri" w:hint="eastAsia"/>
          <w:sz w:val="24"/>
          <w:szCs w:val="24"/>
          <w:lang w:val="en-US" w:eastAsia="zh-CN"/>
        </w:rPr>
        <w:t>负责</w:t>
      </w:r>
      <w:r w:rsidR="002D3708">
        <w:rPr>
          <w:rFonts w:asciiTheme="minorHAnsi" w:hAnsiTheme="minorHAnsi" w:cs="Calibri" w:hint="eastAsia"/>
          <w:sz w:val="24"/>
          <w:szCs w:val="24"/>
          <w:lang w:val="en-US" w:eastAsia="zh-CN"/>
        </w:rPr>
        <w:t>资源筹措和利益攸关方参与</w:t>
      </w:r>
      <w:r w:rsidR="006E2040">
        <w:rPr>
          <w:rFonts w:asciiTheme="minorHAnsi" w:hAnsiTheme="minorHAnsi" w:cs="Calibri" w:hint="eastAsia"/>
          <w:sz w:val="24"/>
          <w:szCs w:val="24"/>
          <w:lang w:val="en-US" w:eastAsia="zh-CN"/>
        </w:rPr>
        <w:t>的</w:t>
      </w:r>
      <w:r w:rsidRPr="003C3850">
        <w:rPr>
          <w:rFonts w:asciiTheme="minorHAnsi" w:hAnsiTheme="minorHAnsi" w:cs="Calibri" w:hint="eastAsia"/>
          <w:sz w:val="24"/>
          <w:szCs w:val="24"/>
          <w:lang w:val="en-US" w:eastAsia="zh-CN"/>
        </w:rPr>
        <w:t>高级顾问</w:t>
      </w:r>
      <w:r w:rsidR="00BE413A">
        <w:rPr>
          <w:rFonts w:asciiTheme="minorHAnsi" w:hAnsiTheme="minorHAnsi" w:cs="Calibri" w:hint="eastAsia"/>
          <w:sz w:val="24"/>
          <w:szCs w:val="24"/>
          <w:lang w:val="en-US" w:eastAsia="zh-CN"/>
        </w:rPr>
        <w:t>，</w:t>
      </w:r>
      <w:r w:rsidR="000D3F66">
        <w:rPr>
          <w:rFonts w:asciiTheme="minorHAnsi" w:hAnsiTheme="minorHAnsi" w:cs="Calibri" w:hint="eastAsia"/>
          <w:sz w:val="24"/>
          <w:szCs w:val="24"/>
          <w:lang w:val="en-US" w:eastAsia="zh-CN"/>
        </w:rPr>
        <w:t>以</w:t>
      </w:r>
      <w:r w:rsidRPr="003C3850">
        <w:rPr>
          <w:rFonts w:asciiTheme="minorHAnsi" w:hAnsiTheme="minorHAnsi" w:cs="Calibri" w:hint="eastAsia"/>
          <w:sz w:val="24"/>
          <w:szCs w:val="24"/>
          <w:lang w:val="en-US" w:eastAsia="zh-CN"/>
        </w:rPr>
        <w:t>支持电信发展局</w:t>
      </w:r>
      <w:r w:rsidR="001B744A">
        <w:rPr>
          <w:rFonts w:asciiTheme="minorHAnsi" w:hAnsiTheme="minorHAnsi" w:cs="Calibri" w:hint="eastAsia"/>
          <w:sz w:val="24"/>
          <w:szCs w:val="24"/>
          <w:lang w:val="en-US" w:eastAsia="zh-CN"/>
        </w:rPr>
        <w:t>为</w:t>
      </w:r>
      <w:r w:rsidRPr="003C3850">
        <w:rPr>
          <w:rFonts w:asciiTheme="minorHAnsi" w:hAnsiTheme="minorHAnsi" w:cs="Calibri" w:hint="eastAsia"/>
          <w:sz w:val="24"/>
          <w:szCs w:val="24"/>
          <w:lang w:val="en-US" w:eastAsia="zh-CN"/>
        </w:rPr>
        <w:t>建立伙伴关系和资源</w:t>
      </w:r>
      <w:r w:rsidR="000758CC">
        <w:rPr>
          <w:rFonts w:asciiTheme="minorHAnsi" w:hAnsiTheme="minorHAnsi" w:cs="Calibri" w:hint="eastAsia"/>
          <w:sz w:val="24"/>
          <w:szCs w:val="24"/>
          <w:lang w:val="en-US" w:eastAsia="zh-CN"/>
        </w:rPr>
        <w:t>筹措</w:t>
      </w:r>
      <w:r w:rsidR="00081AD1">
        <w:rPr>
          <w:rFonts w:asciiTheme="minorHAnsi" w:hAnsiTheme="minorHAnsi" w:cs="Calibri" w:hint="eastAsia"/>
          <w:sz w:val="24"/>
          <w:szCs w:val="24"/>
          <w:lang w:val="en-US" w:eastAsia="zh-CN"/>
        </w:rPr>
        <w:t>所做的不懈</w:t>
      </w:r>
      <w:r w:rsidRPr="003C3850">
        <w:rPr>
          <w:rFonts w:asciiTheme="minorHAnsi" w:hAnsiTheme="minorHAnsi" w:cs="Calibri" w:hint="eastAsia"/>
          <w:sz w:val="24"/>
          <w:szCs w:val="24"/>
          <w:lang w:val="en-US" w:eastAsia="zh-CN"/>
        </w:rPr>
        <w:t>努力。作为工作人员能力建设的一部分，计划在今年晚些时候</w:t>
      </w:r>
      <w:r w:rsidR="00624C01">
        <w:rPr>
          <w:rFonts w:asciiTheme="minorHAnsi" w:hAnsiTheme="minorHAnsi" w:cs="Calibri" w:hint="eastAsia"/>
          <w:sz w:val="24"/>
          <w:szCs w:val="24"/>
          <w:lang w:val="en-US" w:eastAsia="zh-CN"/>
        </w:rPr>
        <w:t>开展</w:t>
      </w:r>
      <w:r w:rsidRPr="003C3850">
        <w:rPr>
          <w:rFonts w:asciiTheme="minorHAnsi" w:hAnsiTheme="minorHAnsi" w:cs="Calibri" w:hint="eastAsia"/>
          <w:sz w:val="24"/>
          <w:szCs w:val="24"/>
          <w:lang w:val="en-US" w:eastAsia="zh-CN"/>
        </w:rPr>
        <w:t>资源</w:t>
      </w:r>
      <w:r w:rsidR="00624C01">
        <w:rPr>
          <w:rFonts w:asciiTheme="minorHAnsi" w:hAnsiTheme="minorHAnsi" w:cs="Calibri" w:hint="eastAsia"/>
          <w:sz w:val="24"/>
          <w:szCs w:val="24"/>
          <w:lang w:val="en-US" w:eastAsia="zh-CN"/>
        </w:rPr>
        <w:t>筹措方面的</w:t>
      </w:r>
      <w:r w:rsidRPr="003C3850">
        <w:rPr>
          <w:rFonts w:asciiTheme="minorHAnsi" w:hAnsiTheme="minorHAnsi" w:cs="Calibri" w:hint="eastAsia"/>
          <w:sz w:val="24"/>
          <w:szCs w:val="24"/>
          <w:lang w:val="en-US" w:eastAsia="zh-CN"/>
        </w:rPr>
        <w:t>培训。</w:t>
      </w:r>
    </w:p>
    <w:p w14:paraId="3BD0934B" w14:textId="5D7DDDF7" w:rsidR="008B5772" w:rsidRDefault="00BE5409" w:rsidP="00F128DE">
      <w:pPr>
        <w:pStyle w:val="CEONormal"/>
        <w:overflowPunct w:val="0"/>
        <w:autoSpaceDE w:val="0"/>
        <w:autoSpaceDN w:val="0"/>
        <w:adjustRightInd w:val="0"/>
        <w:ind w:firstLineChars="200" w:firstLine="480"/>
        <w:textAlignment w:val="baseline"/>
        <w:rPr>
          <w:rFonts w:asciiTheme="minorHAnsi" w:hAnsiTheme="minorHAnsi" w:cs="Calibri"/>
          <w:sz w:val="24"/>
          <w:szCs w:val="24"/>
          <w:lang w:val="en-US" w:eastAsia="zh-CN"/>
        </w:rPr>
      </w:pPr>
      <w:r w:rsidRPr="00BE5409">
        <w:rPr>
          <w:rFonts w:asciiTheme="minorHAnsi" w:hAnsiTheme="minorHAnsi" w:cs="Calibri" w:hint="eastAsia"/>
          <w:sz w:val="24"/>
          <w:szCs w:val="24"/>
          <w:lang w:val="en-US" w:eastAsia="zh-CN"/>
        </w:rPr>
        <w:lastRenderedPageBreak/>
        <w:t>考虑到上述</w:t>
      </w:r>
      <w:r w:rsidR="00A2279B">
        <w:rPr>
          <w:rFonts w:asciiTheme="minorHAnsi" w:hAnsiTheme="minorHAnsi" w:cs="Calibri" w:hint="eastAsia"/>
          <w:sz w:val="24"/>
          <w:szCs w:val="24"/>
          <w:lang w:val="en-US" w:eastAsia="zh-CN"/>
        </w:rPr>
        <w:t>情况</w:t>
      </w:r>
      <w:r w:rsidRPr="00BE5409">
        <w:rPr>
          <w:rFonts w:asciiTheme="minorHAnsi" w:hAnsiTheme="minorHAnsi" w:cs="Calibri" w:hint="eastAsia"/>
          <w:sz w:val="24"/>
          <w:szCs w:val="24"/>
          <w:lang w:val="en-US" w:eastAsia="zh-CN"/>
        </w:rPr>
        <w:t>，电信发展局将继续</w:t>
      </w:r>
      <w:r w:rsidR="004226CD">
        <w:rPr>
          <w:rFonts w:asciiTheme="minorHAnsi" w:hAnsiTheme="minorHAnsi" w:cs="Calibri" w:hint="eastAsia"/>
          <w:sz w:val="24"/>
          <w:szCs w:val="24"/>
          <w:lang w:val="en-US" w:eastAsia="zh-CN"/>
        </w:rPr>
        <w:t>培养</w:t>
      </w:r>
      <w:r w:rsidRPr="00BE5409">
        <w:rPr>
          <w:rFonts w:asciiTheme="minorHAnsi" w:hAnsiTheme="minorHAnsi" w:cs="Calibri" w:hint="eastAsia"/>
          <w:sz w:val="24"/>
          <w:szCs w:val="24"/>
          <w:lang w:val="en-US" w:eastAsia="zh-CN"/>
        </w:rPr>
        <w:t>与现有合作伙伴的关系，</w:t>
      </w:r>
      <w:r w:rsidR="000832A9">
        <w:rPr>
          <w:rFonts w:asciiTheme="minorHAnsi" w:hAnsiTheme="minorHAnsi" w:cs="Calibri" w:hint="eastAsia"/>
          <w:sz w:val="24"/>
          <w:szCs w:val="24"/>
          <w:lang w:val="en-US" w:eastAsia="zh-CN"/>
        </w:rPr>
        <w:t>寻找</w:t>
      </w:r>
      <w:r w:rsidRPr="00BE5409">
        <w:rPr>
          <w:rFonts w:asciiTheme="minorHAnsi" w:hAnsiTheme="minorHAnsi" w:cs="Calibri" w:hint="eastAsia"/>
          <w:sz w:val="24"/>
          <w:szCs w:val="24"/>
          <w:lang w:val="en-US" w:eastAsia="zh-CN"/>
        </w:rPr>
        <w:t>并</w:t>
      </w:r>
      <w:r w:rsidR="00C6686D">
        <w:rPr>
          <w:rFonts w:asciiTheme="minorHAnsi" w:hAnsiTheme="minorHAnsi" w:cs="Calibri" w:hint="eastAsia"/>
          <w:sz w:val="24"/>
          <w:szCs w:val="24"/>
          <w:lang w:val="en-US" w:eastAsia="zh-CN"/>
        </w:rPr>
        <w:t>约请</w:t>
      </w:r>
      <w:r w:rsidRPr="00BE5409">
        <w:rPr>
          <w:rFonts w:asciiTheme="minorHAnsi" w:hAnsiTheme="minorHAnsi" w:cs="Calibri" w:hint="eastAsia"/>
          <w:sz w:val="24"/>
          <w:szCs w:val="24"/>
          <w:lang w:val="en-US" w:eastAsia="zh-CN"/>
        </w:rPr>
        <w:t>新</w:t>
      </w:r>
      <w:r w:rsidR="002242E7">
        <w:rPr>
          <w:rFonts w:asciiTheme="minorHAnsi" w:hAnsiTheme="minorHAnsi" w:cs="Calibri" w:hint="eastAsia"/>
          <w:sz w:val="24"/>
          <w:szCs w:val="24"/>
          <w:lang w:val="en-US" w:eastAsia="zh-CN"/>
        </w:rPr>
        <w:t>的</w:t>
      </w:r>
      <w:r w:rsidR="00E82B53">
        <w:rPr>
          <w:rFonts w:asciiTheme="minorHAnsi" w:hAnsiTheme="minorHAnsi" w:cs="Calibri" w:hint="eastAsia"/>
          <w:sz w:val="24"/>
          <w:szCs w:val="24"/>
          <w:lang w:val="en-US" w:eastAsia="zh-CN"/>
        </w:rPr>
        <w:t>合作</w:t>
      </w:r>
      <w:r w:rsidRPr="00BE5409">
        <w:rPr>
          <w:rFonts w:asciiTheme="minorHAnsi" w:hAnsiTheme="minorHAnsi" w:cs="Calibri" w:hint="eastAsia"/>
          <w:sz w:val="24"/>
          <w:szCs w:val="24"/>
          <w:lang w:val="en-US" w:eastAsia="zh-CN"/>
        </w:rPr>
        <w:t>伙伴，</w:t>
      </w:r>
      <w:r w:rsidR="003B2C13">
        <w:rPr>
          <w:rFonts w:asciiTheme="minorHAnsi" w:hAnsiTheme="minorHAnsi" w:cs="Calibri" w:hint="eastAsia"/>
          <w:sz w:val="24"/>
          <w:szCs w:val="24"/>
          <w:lang w:val="en-US" w:eastAsia="zh-CN"/>
        </w:rPr>
        <w:t>旨在</w:t>
      </w:r>
      <w:r w:rsidRPr="00BE5409">
        <w:rPr>
          <w:rFonts w:asciiTheme="minorHAnsi" w:hAnsiTheme="minorHAnsi" w:cs="Calibri" w:hint="eastAsia"/>
          <w:sz w:val="24"/>
          <w:szCs w:val="24"/>
          <w:lang w:val="en-US" w:eastAsia="zh-CN"/>
        </w:rPr>
        <w:t>吸引资源为大型项目供资，支持</w:t>
      </w:r>
      <w:r w:rsidR="000A6ECA" w:rsidRPr="00BE5409">
        <w:rPr>
          <w:rFonts w:asciiTheme="minorHAnsi" w:hAnsiTheme="minorHAnsi" w:cs="Calibri" w:hint="eastAsia"/>
          <w:sz w:val="24"/>
          <w:szCs w:val="24"/>
          <w:lang w:val="en-US" w:eastAsia="zh-CN"/>
        </w:rPr>
        <w:t>WTDC-17</w:t>
      </w:r>
      <w:r w:rsidR="000A6ECA">
        <w:rPr>
          <w:rFonts w:asciiTheme="minorHAnsi" w:hAnsiTheme="minorHAnsi" w:cs="Calibri" w:hint="eastAsia"/>
          <w:sz w:val="24"/>
          <w:szCs w:val="24"/>
          <w:lang w:val="en-US" w:eastAsia="zh-CN"/>
        </w:rPr>
        <w:t>项目</w:t>
      </w:r>
      <w:r w:rsidR="000A6ECA" w:rsidRPr="00BE5409">
        <w:rPr>
          <w:rFonts w:asciiTheme="minorHAnsi" w:hAnsiTheme="minorHAnsi" w:cs="Calibri" w:hint="eastAsia"/>
          <w:sz w:val="24"/>
          <w:szCs w:val="24"/>
          <w:lang w:val="en-US" w:eastAsia="zh-CN"/>
        </w:rPr>
        <w:t>和区域性举措</w:t>
      </w:r>
      <w:r w:rsidRPr="00BE5409">
        <w:rPr>
          <w:rFonts w:asciiTheme="minorHAnsi" w:hAnsiTheme="minorHAnsi" w:cs="Calibri" w:hint="eastAsia"/>
          <w:sz w:val="24"/>
          <w:szCs w:val="24"/>
          <w:lang w:val="en-US" w:eastAsia="zh-CN"/>
        </w:rPr>
        <w:t>在全球</w:t>
      </w:r>
      <w:r w:rsidR="00AC7F62">
        <w:rPr>
          <w:rFonts w:asciiTheme="minorHAnsi" w:hAnsiTheme="minorHAnsi" w:cs="Calibri" w:hint="eastAsia"/>
          <w:sz w:val="24"/>
          <w:szCs w:val="24"/>
          <w:lang w:val="en-US" w:eastAsia="zh-CN"/>
        </w:rPr>
        <w:t>、区域和国家层面</w:t>
      </w:r>
      <w:r w:rsidR="00141860">
        <w:rPr>
          <w:rFonts w:asciiTheme="minorHAnsi" w:hAnsiTheme="minorHAnsi" w:cs="Calibri" w:hint="eastAsia"/>
          <w:sz w:val="24"/>
          <w:szCs w:val="24"/>
          <w:lang w:val="en-US" w:eastAsia="zh-CN"/>
        </w:rPr>
        <w:t>得到</w:t>
      </w:r>
      <w:r w:rsidRPr="00BE5409">
        <w:rPr>
          <w:rFonts w:asciiTheme="minorHAnsi" w:hAnsiTheme="minorHAnsi" w:cs="Calibri" w:hint="eastAsia"/>
          <w:sz w:val="24"/>
          <w:szCs w:val="24"/>
          <w:lang w:val="en-US" w:eastAsia="zh-CN"/>
        </w:rPr>
        <w:t>有效实施。</w:t>
      </w:r>
    </w:p>
    <w:p w14:paraId="56BCED03" w14:textId="77777777" w:rsidR="00C84E15" w:rsidRDefault="00C84E15" w:rsidP="00425F08">
      <w:pPr>
        <w:pStyle w:val="CEONormal"/>
        <w:spacing w:after="0"/>
        <w:jc w:val="center"/>
        <w:rPr>
          <w:rFonts w:asciiTheme="minorHAnsi" w:hAnsiTheme="minorHAnsi" w:cs="Calibri"/>
          <w:sz w:val="24"/>
          <w:szCs w:val="24"/>
          <w:lang w:val="en-US" w:eastAsia="zh-CN"/>
        </w:rPr>
      </w:pPr>
    </w:p>
    <w:p w14:paraId="41845125" w14:textId="77777777" w:rsidR="00BE27BF" w:rsidRPr="0075016A" w:rsidRDefault="00E250B6" w:rsidP="00425F08">
      <w:pPr>
        <w:pStyle w:val="CEONormal"/>
        <w:spacing w:after="0"/>
        <w:jc w:val="center"/>
        <w:rPr>
          <w:rFonts w:asciiTheme="minorHAnsi" w:hAnsiTheme="minorHAnsi" w:cs="Calibri"/>
          <w:sz w:val="24"/>
          <w:szCs w:val="24"/>
          <w:lang w:val="en-US"/>
        </w:rPr>
      </w:pPr>
      <w:r w:rsidRPr="0075016A">
        <w:rPr>
          <w:rFonts w:asciiTheme="minorHAnsi" w:hAnsiTheme="minorHAnsi" w:cs="Calibri"/>
          <w:sz w:val="24"/>
          <w:szCs w:val="24"/>
          <w:lang w:val="en-US"/>
        </w:rPr>
        <w:t>_______________</w:t>
      </w:r>
    </w:p>
    <w:sectPr w:rsidR="00BE27BF" w:rsidRPr="0075016A" w:rsidSect="005B1696">
      <w:headerReference w:type="default" r:id="rId16"/>
      <w:footerReference w:type="default" r:id="rId17"/>
      <w:footerReference w:type="first" r:id="rId18"/>
      <w:pgSz w:w="11907" w:h="16834" w:code="9"/>
      <w:pgMar w:top="1418" w:right="1275" w:bottom="851" w:left="1134" w:header="510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A4EF0" w14:textId="77777777" w:rsidR="000A65E5" w:rsidRDefault="000A65E5">
      <w:r>
        <w:separator/>
      </w:r>
    </w:p>
    <w:p w14:paraId="7CA315A4" w14:textId="77777777" w:rsidR="000A65E5" w:rsidRDefault="000A65E5"/>
  </w:endnote>
  <w:endnote w:type="continuationSeparator" w:id="0">
    <w:p w14:paraId="772765E2" w14:textId="77777777" w:rsidR="000A65E5" w:rsidRDefault="000A65E5">
      <w:r>
        <w:continuationSeparator/>
      </w:r>
    </w:p>
    <w:p w14:paraId="3D7C8770" w14:textId="77777777" w:rsidR="000A65E5" w:rsidRDefault="000A65E5"/>
  </w:endnote>
  <w:endnote w:type="continuationNotice" w:id="1">
    <w:p w14:paraId="48C3F856" w14:textId="77777777" w:rsidR="000A65E5" w:rsidRDefault="000A65E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DB757" w14:textId="71B3687D" w:rsidR="00B85A96" w:rsidRDefault="00421472" w:rsidP="00B85A9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85A96">
      <w:t>P:\CHI\ITU-D\CONF-D\TDAG20\000\007C.docx</w:t>
    </w:r>
    <w:r>
      <w:fldChar w:fldCharType="end"/>
    </w:r>
    <w:r w:rsidR="00B85A96">
      <w:t xml:space="preserve"> (</w:t>
    </w:r>
    <w:r w:rsidR="00B85A96">
      <w:rPr>
        <w:rFonts w:hint="eastAsia"/>
        <w:lang w:eastAsia="zh-CN"/>
      </w:rPr>
      <w:t>465654</w:t>
    </w:r>
    <w:r w:rsidR="00B85A96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4A00FF" w:rsidRPr="009359B8" w14:paraId="52EFC519" w14:textId="77777777" w:rsidTr="0009539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46442875" w14:textId="61F39173" w:rsidR="004A00FF" w:rsidRPr="004D495C" w:rsidRDefault="004A00FF" w:rsidP="004A00F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3FD0F489" w14:textId="575443BB" w:rsidR="004A00FF" w:rsidRPr="004D495C" w:rsidRDefault="004A00FF" w:rsidP="004A00F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hAnsi="SimSun"/>
              <w:sz w:val="18"/>
              <w:szCs w:val="18"/>
              <w:lang w:val="es-ES_tradnl" w:eastAsia="zh-CN"/>
            </w:rPr>
            <w:t>实体</w:t>
          </w:r>
          <w:r>
            <w:rPr>
              <w:rFonts w:ascii="SimSun" w:hAnsi="SimSun" w:hint="eastAsia"/>
              <w:sz w:val="18"/>
              <w:szCs w:val="18"/>
              <w:lang w:val="es-ES_tradnl" w:eastAsia="zh-CN"/>
            </w:rPr>
            <w:t>/姓名</w:t>
          </w:r>
          <w:r w:rsidRPr="00952839">
            <w:rPr>
              <w:rFonts w:ascii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4E41F20D" w14:textId="61C32E58" w:rsidR="004A00FF" w:rsidRPr="00103886" w:rsidRDefault="004A00FF" w:rsidP="004A00FF">
          <w:pPr>
            <w:pStyle w:val="FirstFooter"/>
            <w:tabs>
              <w:tab w:val="left" w:pos="1201"/>
            </w:tabs>
            <w:rPr>
              <w:sz w:val="18"/>
              <w:szCs w:val="18"/>
              <w:lang w:val="en-US"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电信发展局</w:t>
          </w:r>
          <w:r w:rsidR="00C95F66">
            <w:rPr>
              <w:rFonts w:hint="eastAsia"/>
              <w:sz w:val="18"/>
              <w:szCs w:val="18"/>
              <w:lang w:val="en-US" w:eastAsia="zh-CN"/>
            </w:rPr>
            <w:t>促进</w:t>
          </w:r>
          <w:r w:rsidR="002F1B9F">
            <w:rPr>
              <w:rFonts w:hint="eastAsia"/>
              <w:sz w:val="18"/>
              <w:szCs w:val="18"/>
              <w:lang w:val="en-US" w:eastAsia="zh-CN"/>
            </w:rPr>
            <w:t>数字发展</w:t>
          </w:r>
          <w:r>
            <w:rPr>
              <w:sz w:val="18"/>
              <w:szCs w:val="18"/>
              <w:lang w:val="en-US" w:eastAsia="zh-CN"/>
            </w:rPr>
            <w:t>伙伴</w:t>
          </w:r>
          <w:r>
            <w:rPr>
              <w:rFonts w:hint="eastAsia"/>
              <w:sz w:val="18"/>
              <w:szCs w:val="18"/>
              <w:lang w:val="en-US" w:eastAsia="zh-CN"/>
            </w:rPr>
            <w:t>关系</w:t>
          </w:r>
          <w:r>
            <w:rPr>
              <w:sz w:val="18"/>
              <w:szCs w:val="18"/>
              <w:lang w:val="en-US" w:eastAsia="zh-CN"/>
            </w:rPr>
            <w:t>部主任</w:t>
          </w:r>
          <w:r w:rsidR="00C22D9E">
            <w:rPr>
              <w:sz w:val="18"/>
              <w:szCs w:val="18"/>
              <w:lang w:val="en-US" w:eastAsia="zh-CN"/>
            </w:rPr>
            <w:t>Cosmas Zavazava</w:t>
          </w:r>
          <w:r w:rsidR="00C22D9E">
            <w:rPr>
              <w:rFonts w:hint="eastAsia"/>
              <w:sz w:val="18"/>
              <w:szCs w:val="18"/>
              <w:lang w:val="en-US" w:eastAsia="zh-CN"/>
            </w:rPr>
            <w:t>博士</w:t>
          </w:r>
        </w:p>
      </w:tc>
    </w:tr>
    <w:tr w:rsidR="004A00FF" w:rsidRPr="009359B8" w14:paraId="685F7FD8" w14:textId="77777777" w:rsidTr="00095399">
      <w:tc>
        <w:tcPr>
          <w:tcW w:w="1526" w:type="dxa"/>
          <w:shd w:val="clear" w:color="auto" w:fill="auto"/>
        </w:tcPr>
        <w:p w14:paraId="53692AE5" w14:textId="77777777" w:rsidR="004A00FF" w:rsidRPr="004D495C" w:rsidRDefault="004A00FF" w:rsidP="004A00F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 w:eastAsia="zh-CN"/>
            </w:rPr>
          </w:pPr>
        </w:p>
      </w:tc>
      <w:tc>
        <w:tcPr>
          <w:tcW w:w="2410" w:type="dxa"/>
          <w:shd w:val="clear" w:color="auto" w:fill="auto"/>
        </w:tcPr>
        <w:p w14:paraId="049F72BB" w14:textId="4F412A24" w:rsidR="004A00FF" w:rsidRPr="004D495C" w:rsidRDefault="004A00FF" w:rsidP="004A00F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hAnsi="SimSun"/>
              <w:sz w:val="18"/>
              <w:szCs w:val="18"/>
              <w:lang w:eastAsia="zh-CN"/>
            </w:rPr>
            <w:t>电话号码</w:t>
          </w:r>
          <w:r>
            <w:rPr>
              <w:rFonts w:ascii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</w:tcPr>
        <w:p w14:paraId="740113BF" w14:textId="77777777" w:rsidR="004A00FF" w:rsidRPr="00103886" w:rsidRDefault="004A00FF" w:rsidP="004A00F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+41 22 730 5447</w:t>
          </w:r>
        </w:p>
      </w:tc>
    </w:tr>
    <w:tr w:rsidR="004A00FF" w:rsidRPr="009359B8" w14:paraId="3A9889F8" w14:textId="77777777" w:rsidTr="00095399">
      <w:tc>
        <w:tcPr>
          <w:tcW w:w="1526" w:type="dxa"/>
          <w:shd w:val="clear" w:color="auto" w:fill="auto"/>
        </w:tcPr>
        <w:p w14:paraId="32B86C3E" w14:textId="77777777" w:rsidR="004A00FF" w:rsidRPr="004D495C" w:rsidRDefault="004A00FF" w:rsidP="004A00F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81D5A24" w14:textId="54FC48D7" w:rsidR="004A00FF" w:rsidRPr="004D495C" w:rsidRDefault="004A00FF" w:rsidP="004A00F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</w:tcPr>
        <w:p w14:paraId="49180C31" w14:textId="77777777" w:rsidR="004A00FF" w:rsidRPr="00103886" w:rsidRDefault="004A00FF" w:rsidP="004A00F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A5083">
            <w:rPr>
              <w:rStyle w:val="Hyperlink"/>
              <w:sz w:val="18"/>
              <w:szCs w:val="18"/>
              <w:lang w:val="en-US"/>
            </w:rPr>
            <w:t>cosmas.zavazava@itu.int</w:t>
          </w:r>
          <w:r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08F1C497" w14:textId="77777777" w:rsidR="007156A3" w:rsidRPr="00547039" w:rsidRDefault="00421472" w:rsidP="00547039">
    <w:pPr>
      <w:jc w:val="center"/>
      <w:rPr>
        <w:lang w:val="en-US"/>
      </w:rPr>
    </w:pPr>
    <w:hyperlink r:id="rId1" w:history="1">
      <w:r w:rsidR="00547039" w:rsidRPr="001E252D">
        <w:rPr>
          <w:rStyle w:val="Hyperlink"/>
          <w:sz w:val="20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13412" w14:textId="77777777" w:rsidR="000A65E5" w:rsidRDefault="000A65E5" w:rsidP="00AD5B8E">
      <w:r>
        <w:separator/>
      </w:r>
    </w:p>
  </w:footnote>
  <w:footnote w:type="continuationSeparator" w:id="0">
    <w:p w14:paraId="1B913257" w14:textId="77777777" w:rsidR="000A65E5" w:rsidRDefault="000A65E5">
      <w:r>
        <w:continuationSeparator/>
      </w:r>
    </w:p>
    <w:p w14:paraId="2C44FD43" w14:textId="77777777" w:rsidR="000A65E5" w:rsidRDefault="000A65E5"/>
  </w:footnote>
  <w:footnote w:type="continuationNotice" w:id="1">
    <w:p w14:paraId="499DED00" w14:textId="77777777" w:rsidR="000A65E5" w:rsidRDefault="000A65E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6255D" w14:textId="17E0305A" w:rsidR="000B6330" w:rsidRPr="00172694" w:rsidRDefault="00A525CC" w:rsidP="008E3E1B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lang w:val="de-DE"/>
      </w:rPr>
    </w:pPr>
    <w:r w:rsidRPr="00972BCD">
      <w:rPr>
        <w:sz w:val="22"/>
        <w:szCs w:val="22"/>
      </w:rPr>
      <w:tab/>
    </w:r>
    <w:bookmarkStart w:id="12" w:name="DocRef2"/>
    <w:bookmarkEnd w:id="12"/>
    <w:r w:rsidRPr="00A54E72">
      <w:rPr>
        <w:sz w:val="22"/>
        <w:szCs w:val="22"/>
        <w:lang w:val="de-CH"/>
      </w:rPr>
      <w:t>TDAG</w:t>
    </w:r>
    <w:r w:rsidR="004440D4">
      <w:rPr>
        <w:sz w:val="22"/>
        <w:szCs w:val="22"/>
        <w:lang w:val="de-CH"/>
      </w:rPr>
      <w:t>-</w:t>
    </w:r>
    <w:r w:rsidR="008E3E1B">
      <w:rPr>
        <w:sz w:val="22"/>
        <w:szCs w:val="22"/>
        <w:lang w:val="de-CH"/>
      </w:rPr>
      <w:t>20</w:t>
    </w:r>
    <w:r w:rsidRPr="00A54E72">
      <w:rPr>
        <w:sz w:val="22"/>
        <w:szCs w:val="22"/>
        <w:lang w:val="de-CH"/>
      </w:rPr>
      <w:t>/</w:t>
    </w:r>
    <w:bookmarkStart w:id="13" w:name="DocNo2"/>
    <w:bookmarkEnd w:id="13"/>
    <w:r w:rsidR="008E3E1B">
      <w:rPr>
        <w:sz w:val="22"/>
        <w:szCs w:val="22"/>
        <w:lang w:val="de-CH"/>
      </w:rPr>
      <w:t>7</w:t>
    </w:r>
    <w:r w:rsidRPr="006D271A">
      <w:rPr>
        <w:sz w:val="22"/>
        <w:szCs w:val="22"/>
        <w:lang w:val="de-CH"/>
      </w:rPr>
      <w:t>-</w:t>
    </w:r>
    <w:r w:rsidR="00D4673D">
      <w:rPr>
        <w:rFonts w:hint="eastAsia"/>
        <w:sz w:val="22"/>
        <w:szCs w:val="22"/>
        <w:lang w:val="de-CH" w:eastAsia="zh-CN"/>
      </w:rPr>
      <w:t>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155A86">
      <w:rPr>
        <w:noProof/>
        <w:sz w:val="22"/>
        <w:szCs w:val="22"/>
        <w:lang w:val="de-CH"/>
      </w:rPr>
      <w:t>4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A1AD5"/>
    <w:multiLevelType w:val="hybridMultilevel"/>
    <w:tmpl w:val="C728BC86"/>
    <w:lvl w:ilvl="0" w:tplc="14882620">
      <w:start w:val="1"/>
      <w:numFmt w:val="lowerLetter"/>
      <w:pStyle w:val="CEOParagraphabc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A21"/>
    <w:multiLevelType w:val="multilevel"/>
    <w:tmpl w:val="A940A97E"/>
    <w:lvl w:ilvl="0">
      <w:start w:val="1"/>
      <w:numFmt w:val="decimal"/>
      <w:pStyle w:val="CEOParagraph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70" w:hanging="57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9865045"/>
    <w:multiLevelType w:val="hybridMultilevel"/>
    <w:tmpl w:val="57D84DA0"/>
    <w:lvl w:ilvl="0" w:tplc="860A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25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1205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CD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E0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1A6F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6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6C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8275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213DF"/>
    <w:multiLevelType w:val="multilevel"/>
    <w:tmpl w:val="292864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530916"/>
    <w:multiLevelType w:val="hybridMultilevel"/>
    <w:tmpl w:val="059695D6"/>
    <w:lvl w:ilvl="0" w:tplc="178CC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33D38"/>
    <w:multiLevelType w:val="hybridMultilevel"/>
    <w:tmpl w:val="C1DE079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FD2269"/>
    <w:multiLevelType w:val="multilevel"/>
    <w:tmpl w:val="C2BE9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3672AF5"/>
    <w:multiLevelType w:val="multilevel"/>
    <w:tmpl w:val="9F5AB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AA4585"/>
    <w:multiLevelType w:val="hybridMultilevel"/>
    <w:tmpl w:val="90D022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25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1205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CD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E0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1A6F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6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6C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8275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C0318B"/>
    <w:multiLevelType w:val="hybridMultilevel"/>
    <w:tmpl w:val="A378D7DA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  <w:num w:numId="12">
    <w:abstractNumId w:val="5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963"/>
    <w:rsid w:val="00000673"/>
    <w:rsid w:val="00000FF1"/>
    <w:rsid w:val="00001467"/>
    <w:rsid w:val="00002716"/>
    <w:rsid w:val="00005791"/>
    <w:rsid w:val="000115BF"/>
    <w:rsid w:val="00013A55"/>
    <w:rsid w:val="000140F6"/>
    <w:rsid w:val="00016A33"/>
    <w:rsid w:val="0001746F"/>
    <w:rsid w:val="000212AA"/>
    <w:rsid w:val="00021E50"/>
    <w:rsid w:val="000222F9"/>
    <w:rsid w:val="000234B4"/>
    <w:rsid w:val="0002520B"/>
    <w:rsid w:val="000253AA"/>
    <w:rsid w:val="00026142"/>
    <w:rsid w:val="0002664E"/>
    <w:rsid w:val="00027283"/>
    <w:rsid w:val="00027E4F"/>
    <w:rsid w:val="00030B0E"/>
    <w:rsid w:val="00030DD0"/>
    <w:rsid w:val="00031F00"/>
    <w:rsid w:val="00034D75"/>
    <w:rsid w:val="00035BA5"/>
    <w:rsid w:val="00035FA7"/>
    <w:rsid w:val="0003605F"/>
    <w:rsid w:val="00037A45"/>
    <w:rsid w:val="00037A9E"/>
    <w:rsid w:val="00037F91"/>
    <w:rsid w:val="000431A5"/>
    <w:rsid w:val="00046E97"/>
    <w:rsid w:val="00047072"/>
    <w:rsid w:val="0004770E"/>
    <w:rsid w:val="00047B46"/>
    <w:rsid w:val="0005150C"/>
    <w:rsid w:val="0005359E"/>
    <w:rsid w:val="000539F1"/>
    <w:rsid w:val="000545DD"/>
    <w:rsid w:val="00054B21"/>
    <w:rsid w:val="00055A2A"/>
    <w:rsid w:val="00055DE9"/>
    <w:rsid w:val="00055EE4"/>
    <w:rsid w:val="00056BED"/>
    <w:rsid w:val="00056E48"/>
    <w:rsid w:val="000615C1"/>
    <w:rsid w:val="00063432"/>
    <w:rsid w:val="00064903"/>
    <w:rsid w:val="000657CB"/>
    <w:rsid w:val="00066E28"/>
    <w:rsid w:val="00067C7B"/>
    <w:rsid w:val="000700D0"/>
    <w:rsid w:val="000727B0"/>
    <w:rsid w:val="000733D7"/>
    <w:rsid w:val="00073974"/>
    <w:rsid w:val="00074EA2"/>
    <w:rsid w:val="000758CC"/>
    <w:rsid w:val="00075CFF"/>
    <w:rsid w:val="0007692F"/>
    <w:rsid w:val="000769F8"/>
    <w:rsid w:val="00076D3D"/>
    <w:rsid w:val="00077155"/>
    <w:rsid w:val="0007786F"/>
    <w:rsid w:val="000806BC"/>
    <w:rsid w:val="00080F8B"/>
    <w:rsid w:val="00081AD1"/>
    <w:rsid w:val="00082CF2"/>
    <w:rsid w:val="000832A9"/>
    <w:rsid w:val="00084CA2"/>
    <w:rsid w:val="000857A1"/>
    <w:rsid w:val="00087675"/>
    <w:rsid w:val="00090DAB"/>
    <w:rsid w:val="000917A2"/>
    <w:rsid w:val="00091CED"/>
    <w:rsid w:val="0009225C"/>
    <w:rsid w:val="0009231D"/>
    <w:rsid w:val="00093188"/>
    <w:rsid w:val="000940BC"/>
    <w:rsid w:val="000953B8"/>
    <w:rsid w:val="0009557E"/>
    <w:rsid w:val="0009797A"/>
    <w:rsid w:val="00097DE0"/>
    <w:rsid w:val="000A17C4"/>
    <w:rsid w:val="000A239A"/>
    <w:rsid w:val="000A34A1"/>
    <w:rsid w:val="000A395E"/>
    <w:rsid w:val="000A4BB3"/>
    <w:rsid w:val="000A5106"/>
    <w:rsid w:val="000A65E5"/>
    <w:rsid w:val="000A6BF3"/>
    <w:rsid w:val="000A6C7F"/>
    <w:rsid w:val="000A6ECA"/>
    <w:rsid w:val="000B20E5"/>
    <w:rsid w:val="000B2352"/>
    <w:rsid w:val="000B34E5"/>
    <w:rsid w:val="000B39A9"/>
    <w:rsid w:val="000B3A3E"/>
    <w:rsid w:val="000B3D23"/>
    <w:rsid w:val="000B5260"/>
    <w:rsid w:val="000B58D6"/>
    <w:rsid w:val="000B6330"/>
    <w:rsid w:val="000C2D3A"/>
    <w:rsid w:val="000C3195"/>
    <w:rsid w:val="000C3B26"/>
    <w:rsid w:val="000C4987"/>
    <w:rsid w:val="000C4D19"/>
    <w:rsid w:val="000C5AF7"/>
    <w:rsid w:val="000C7B84"/>
    <w:rsid w:val="000D261B"/>
    <w:rsid w:val="000D280B"/>
    <w:rsid w:val="000D2A79"/>
    <w:rsid w:val="000D2CA5"/>
    <w:rsid w:val="000D3337"/>
    <w:rsid w:val="000D3EF0"/>
    <w:rsid w:val="000D3F66"/>
    <w:rsid w:val="000D4337"/>
    <w:rsid w:val="000D5479"/>
    <w:rsid w:val="000D58A3"/>
    <w:rsid w:val="000D60C5"/>
    <w:rsid w:val="000E1E12"/>
    <w:rsid w:val="000E2080"/>
    <w:rsid w:val="000E2A41"/>
    <w:rsid w:val="000E37E6"/>
    <w:rsid w:val="000E3912"/>
    <w:rsid w:val="000E3ED4"/>
    <w:rsid w:val="000E3F9C"/>
    <w:rsid w:val="000E45A4"/>
    <w:rsid w:val="000E631E"/>
    <w:rsid w:val="000E7F72"/>
    <w:rsid w:val="000F0E1D"/>
    <w:rsid w:val="000F1550"/>
    <w:rsid w:val="000F17F3"/>
    <w:rsid w:val="000F2A9D"/>
    <w:rsid w:val="000F2BCA"/>
    <w:rsid w:val="000F512C"/>
    <w:rsid w:val="000F5373"/>
    <w:rsid w:val="000F5390"/>
    <w:rsid w:val="000F6644"/>
    <w:rsid w:val="00100335"/>
    <w:rsid w:val="00100833"/>
    <w:rsid w:val="00102F72"/>
    <w:rsid w:val="00103464"/>
    <w:rsid w:val="00105A17"/>
    <w:rsid w:val="001061C7"/>
    <w:rsid w:val="001068F4"/>
    <w:rsid w:val="001077C6"/>
    <w:rsid w:val="001116A0"/>
    <w:rsid w:val="00112CC1"/>
    <w:rsid w:val="00113C2C"/>
    <w:rsid w:val="00113EE8"/>
    <w:rsid w:val="00113FA3"/>
    <w:rsid w:val="0011455A"/>
    <w:rsid w:val="00114A65"/>
    <w:rsid w:val="00114C9A"/>
    <w:rsid w:val="00116121"/>
    <w:rsid w:val="00116C5F"/>
    <w:rsid w:val="001172A9"/>
    <w:rsid w:val="00127C68"/>
    <w:rsid w:val="00131739"/>
    <w:rsid w:val="00132D41"/>
    <w:rsid w:val="00132FD8"/>
    <w:rsid w:val="00133061"/>
    <w:rsid w:val="00133D19"/>
    <w:rsid w:val="00134AB7"/>
    <w:rsid w:val="00136869"/>
    <w:rsid w:val="00137E91"/>
    <w:rsid w:val="00141489"/>
    <w:rsid w:val="00141699"/>
    <w:rsid w:val="00141860"/>
    <w:rsid w:val="00141D0A"/>
    <w:rsid w:val="00141FAC"/>
    <w:rsid w:val="00143033"/>
    <w:rsid w:val="001455EB"/>
    <w:rsid w:val="00146F49"/>
    <w:rsid w:val="00147000"/>
    <w:rsid w:val="00151734"/>
    <w:rsid w:val="0015260A"/>
    <w:rsid w:val="00153B9E"/>
    <w:rsid w:val="00155A86"/>
    <w:rsid w:val="00163091"/>
    <w:rsid w:val="001644C4"/>
    <w:rsid w:val="001645CB"/>
    <w:rsid w:val="00165B1D"/>
    <w:rsid w:val="00166305"/>
    <w:rsid w:val="00166467"/>
    <w:rsid w:val="00167E71"/>
    <w:rsid w:val="001703C6"/>
    <w:rsid w:val="0017143D"/>
    <w:rsid w:val="00172546"/>
    <w:rsid w:val="00172694"/>
    <w:rsid w:val="00173781"/>
    <w:rsid w:val="00173F75"/>
    <w:rsid w:val="00175CAE"/>
    <w:rsid w:val="001764E9"/>
    <w:rsid w:val="00177B08"/>
    <w:rsid w:val="001800DE"/>
    <w:rsid w:val="0018112A"/>
    <w:rsid w:val="001828DB"/>
    <w:rsid w:val="0018439D"/>
    <w:rsid w:val="001850FE"/>
    <w:rsid w:val="00185135"/>
    <w:rsid w:val="001855FE"/>
    <w:rsid w:val="0018567C"/>
    <w:rsid w:val="00186CAE"/>
    <w:rsid w:val="0019037C"/>
    <w:rsid w:val="001905A9"/>
    <w:rsid w:val="00190D0D"/>
    <w:rsid w:val="00191273"/>
    <w:rsid w:val="001942A7"/>
    <w:rsid w:val="0019526F"/>
    <w:rsid w:val="0019587B"/>
    <w:rsid w:val="001A163D"/>
    <w:rsid w:val="001A26E0"/>
    <w:rsid w:val="001A2ED1"/>
    <w:rsid w:val="001A39A3"/>
    <w:rsid w:val="001A441E"/>
    <w:rsid w:val="001A6733"/>
    <w:rsid w:val="001A6DC9"/>
    <w:rsid w:val="001B090F"/>
    <w:rsid w:val="001B2FEC"/>
    <w:rsid w:val="001B357F"/>
    <w:rsid w:val="001B66A4"/>
    <w:rsid w:val="001B744A"/>
    <w:rsid w:val="001B7B8D"/>
    <w:rsid w:val="001C1680"/>
    <w:rsid w:val="001C291A"/>
    <w:rsid w:val="001C3702"/>
    <w:rsid w:val="001C4656"/>
    <w:rsid w:val="001C6703"/>
    <w:rsid w:val="001C6AEB"/>
    <w:rsid w:val="001D2CB2"/>
    <w:rsid w:val="001D371D"/>
    <w:rsid w:val="001D42A3"/>
    <w:rsid w:val="001D5FA0"/>
    <w:rsid w:val="001D6D8A"/>
    <w:rsid w:val="001D76C6"/>
    <w:rsid w:val="001E16A4"/>
    <w:rsid w:val="001E5172"/>
    <w:rsid w:val="001E5A87"/>
    <w:rsid w:val="001F0108"/>
    <w:rsid w:val="001F237C"/>
    <w:rsid w:val="001F23E6"/>
    <w:rsid w:val="001F28E6"/>
    <w:rsid w:val="001F41F0"/>
    <w:rsid w:val="001F4238"/>
    <w:rsid w:val="001F4875"/>
    <w:rsid w:val="001F50BD"/>
    <w:rsid w:val="001F5729"/>
    <w:rsid w:val="001F5C81"/>
    <w:rsid w:val="001F6F86"/>
    <w:rsid w:val="00200A38"/>
    <w:rsid w:val="00200A46"/>
    <w:rsid w:val="0020182F"/>
    <w:rsid w:val="00203B72"/>
    <w:rsid w:val="00203E00"/>
    <w:rsid w:val="0020513A"/>
    <w:rsid w:val="00206EB5"/>
    <w:rsid w:val="002075D2"/>
    <w:rsid w:val="00207BC1"/>
    <w:rsid w:val="00211B6F"/>
    <w:rsid w:val="00211E87"/>
    <w:rsid w:val="00212010"/>
    <w:rsid w:val="00212F43"/>
    <w:rsid w:val="00213048"/>
    <w:rsid w:val="00214DA8"/>
    <w:rsid w:val="00217CC3"/>
    <w:rsid w:val="002201E6"/>
    <w:rsid w:val="00220A81"/>
    <w:rsid w:val="00220AB6"/>
    <w:rsid w:val="0022120F"/>
    <w:rsid w:val="00222820"/>
    <w:rsid w:val="002242E7"/>
    <w:rsid w:val="00224BA8"/>
    <w:rsid w:val="002259DC"/>
    <w:rsid w:val="002266DB"/>
    <w:rsid w:val="0022754A"/>
    <w:rsid w:val="00230826"/>
    <w:rsid w:val="002320D1"/>
    <w:rsid w:val="00232209"/>
    <w:rsid w:val="0023382C"/>
    <w:rsid w:val="00236560"/>
    <w:rsid w:val="0023662E"/>
    <w:rsid w:val="00237ECB"/>
    <w:rsid w:val="002405DF"/>
    <w:rsid w:val="00241828"/>
    <w:rsid w:val="002455E0"/>
    <w:rsid w:val="00245D0F"/>
    <w:rsid w:val="002463BF"/>
    <w:rsid w:val="00252947"/>
    <w:rsid w:val="00252CCB"/>
    <w:rsid w:val="002548C3"/>
    <w:rsid w:val="00254957"/>
    <w:rsid w:val="00254C8C"/>
    <w:rsid w:val="002552C7"/>
    <w:rsid w:val="002563FC"/>
    <w:rsid w:val="00257ACD"/>
    <w:rsid w:val="002602BC"/>
    <w:rsid w:val="00260D80"/>
    <w:rsid w:val="002614DD"/>
    <w:rsid w:val="00262908"/>
    <w:rsid w:val="00265091"/>
    <w:rsid w:val="002650F4"/>
    <w:rsid w:val="0026600A"/>
    <w:rsid w:val="00266207"/>
    <w:rsid w:val="002662A5"/>
    <w:rsid w:val="002663BA"/>
    <w:rsid w:val="002666AD"/>
    <w:rsid w:val="002703CC"/>
    <w:rsid w:val="00270969"/>
    <w:rsid w:val="002715FD"/>
    <w:rsid w:val="002756CD"/>
    <w:rsid w:val="002761E2"/>
    <w:rsid w:val="00277B46"/>
    <w:rsid w:val="0028335E"/>
    <w:rsid w:val="002849BD"/>
    <w:rsid w:val="002854BF"/>
    <w:rsid w:val="00285B33"/>
    <w:rsid w:val="00287D3F"/>
    <w:rsid w:val="002902CD"/>
    <w:rsid w:val="002909B3"/>
    <w:rsid w:val="00291AA3"/>
    <w:rsid w:val="00294A96"/>
    <w:rsid w:val="002961D5"/>
    <w:rsid w:val="002967B0"/>
    <w:rsid w:val="00296BAB"/>
    <w:rsid w:val="002970A3"/>
    <w:rsid w:val="0029748A"/>
    <w:rsid w:val="002A1500"/>
    <w:rsid w:val="002A5083"/>
    <w:rsid w:val="002B049F"/>
    <w:rsid w:val="002B3E20"/>
    <w:rsid w:val="002B4AE9"/>
    <w:rsid w:val="002B74A8"/>
    <w:rsid w:val="002C127B"/>
    <w:rsid w:val="002C1EC7"/>
    <w:rsid w:val="002C27BB"/>
    <w:rsid w:val="002C2BB1"/>
    <w:rsid w:val="002C2C47"/>
    <w:rsid w:val="002C3A92"/>
    <w:rsid w:val="002C6280"/>
    <w:rsid w:val="002C7D9F"/>
    <w:rsid w:val="002C7EA3"/>
    <w:rsid w:val="002D1F75"/>
    <w:rsid w:val="002D20AE"/>
    <w:rsid w:val="002D2572"/>
    <w:rsid w:val="002D3708"/>
    <w:rsid w:val="002D4896"/>
    <w:rsid w:val="002D55E1"/>
    <w:rsid w:val="002D693C"/>
    <w:rsid w:val="002D6C61"/>
    <w:rsid w:val="002D6D39"/>
    <w:rsid w:val="002D7225"/>
    <w:rsid w:val="002D72EB"/>
    <w:rsid w:val="002E2104"/>
    <w:rsid w:val="002E29BE"/>
    <w:rsid w:val="002E302D"/>
    <w:rsid w:val="002E3204"/>
    <w:rsid w:val="002E340C"/>
    <w:rsid w:val="002E42F6"/>
    <w:rsid w:val="002E5800"/>
    <w:rsid w:val="002E5BA6"/>
    <w:rsid w:val="002E6963"/>
    <w:rsid w:val="002E701F"/>
    <w:rsid w:val="002F05D8"/>
    <w:rsid w:val="002F0A42"/>
    <w:rsid w:val="002F1592"/>
    <w:rsid w:val="002F18DB"/>
    <w:rsid w:val="002F1B9F"/>
    <w:rsid w:val="002F2598"/>
    <w:rsid w:val="002F2AE5"/>
    <w:rsid w:val="002F2DE0"/>
    <w:rsid w:val="002F2E06"/>
    <w:rsid w:val="002F3DCC"/>
    <w:rsid w:val="002F4EB4"/>
    <w:rsid w:val="002F5E25"/>
    <w:rsid w:val="002F7E7A"/>
    <w:rsid w:val="002F7E95"/>
    <w:rsid w:val="0030036B"/>
    <w:rsid w:val="003028A3"/>
    <w:rsid w:val="00303F1F"/>
    <w:rsid w:val="003043F4"/>
    <w:rsid w:val="00305FE6"/>
    <w:rsid w:val="003069AC"/>
    <w:rsid w:val="00306CD6"/>
    <w:rsid w:val="0031209F"/>
    <w:rsid w:val="003125C3"/>
    <w:rsid w:val="003127AA"/>
    <w:rsid w:val="00312AE6"/>
    <w:rsid w:val="003170F9"/>
    <w:rsid w:val="0031783D"/>
    <w:rsid w:val="00317D1A"/>
    <w:rsid w:val="003205CE"/>
    <w:rsid w:val="003211FF"/>
    <w:rsid w:val="003218E4"/>
    <w:rsid w:val="00321F94"/>
    <w:rsid w:val="003227BD"/>
    <w:rsid w:val="003227DA"/>
    <w:rsid w:val="00322E6F"/>
    <w:rsid w:val="00324877"/>
    <w:rsid w:val="003255ED"/>
    <w:rsid w:val="00327247"/>
    <w:rsid w:val="00327A9D"/>
    <w:rsid w:val="0033130E"/>
    <w:rsid w:val="003314BF"/>
    <w:rsid w:val="00333B1E"/>
    <w:rsid w:val="00334771"/>
    <w:rsid w:val="00335AFE"/>
    <w:rsid w:val="003360D5"/>
    <w:rsid w:val="0033664C"/>
    <w:rsid w:val="00337869"/>
    <w:rsid w:val="00342EBC"/>
    <w:rsid w:val="00343049"/>
    <w:rsid w:val="00343828"/>
    <w:rsid w:val="0034689A"/>
    <w:rsid w:val="00350F7E"/>
    <w:rsid w:val="00352AFB"/>
    <w:rsid w:val="00353ED0"/>
    <w:rsid w:val="0035410D"/>
    <w:rsid w:val="00355A4C"/>
    <w:rsid w:val="00356321"/>
    <w:rsid w:val="00357B28"/>
    <w:rsid w:val="0036099A"/>
    <w:rsid w:val="00360B73"/>
    <w:rsid w:val="00360C9B"/>
    <w:rsid w:val="00367481"/>
    <w:rsid w:val="00367536"/>
    <w:rsid w:val="00370703"/>
    <w:rsid w:val="00373C36"/>
    <w:rsid w:val="0037445E"/>
    <w:rsid w:val="00375248"/>
    <w:rsid w:val="00375D75"/>
    <w:rsid w:val="0037616F"/>
    <w:rsid w:val="0037795A"/>
    <w:rsid w:val="003810A6"/>
    <w:rsid w:val="00382329"/>
    <w:rsid w:val="0038365A"/>
    <w:rsid w:val="00385758"/>
    <w:rsid w:val="00386A89"/>
    <w:rsid w:val="00391FF3"/>
    <w:rsid w:val="003921B3"/>
    <w:rsid w:val="0039322C"/>
    <w:rsid w:val="0039494E"/>
    <w:rsid w:val="0039648E"/>
    <w:rsid w:val="003A30E5"/>
    <w:rsid w:val="003A43E8"/>
    <w:rsid w:val="003A5310"/>
    <w:rsid w:val="003A5AFE"/>
    <w:rsid w:val="003A5D5F"/>
    <w:rsid w:val="003A7FFE"/>
    <w:rsid w:val="003B0A63"/>
    <w:rsid w:val="003B22A3"/>
    <w:rsid w:val="003B2C13"/>
    <w:rsid w:val="003B3ADB"/>
    <w:rsid w:val="003B4AAF"/>
    <w:rsid w:val="003B50E1"/>
    <w:rsid w:val="003B6779"/>
    <w:rsid w:val="003B6FA4"/>
    <w:rsid w:val="003C05CC"/>
    <w:rsid w:val="003C1746"/>
    <w:rsid w:val="003C19A2"/>
    <w:rsid w:val="003C256F"/>
    <w:rsid w:val="003C3850"/>
    <w:rsid w:val="003C4227"/>
    <w:rsid w:val="003C58BF"/>
    <w:rsid w:val="003D023C"/>
    <w:rsid w:val="003D088A"/>
    <w:rsid w:val="003D36D6"/>
    <w:rsid w:val="003D36E8"/>
    <w:rsid w:val="003D3812"/>
    <w:rsid w:val="003D451D"/>
    <w:rsid w:val="003D57E7"/>
    <w:rsid w:val="003D70A1"/>
    <w:rsid w:val="003D73CF"/>
    <w:rsid w:val="003E2C03"/>
    <w:rsid w:val="003E2DE1"/>
    <w:rsid w:val="003E3983"/>
    <w:rsid w:val="003E4AB0"/>
    <w:rsid w:val="003E6492"/>
    <w:rsid w:val="003E66DE"/>
    <w:rsid w:val="003F043A"/>
    <w:rsid w:val="003F2DD8"/>
    <w:rsid w:val="003F50B2"/>
    <w:rsid w:val="003F6147"/>
    <w:rsid w:val="003F63FD"/>
    <w:rsid w:val="00400408"/>
    <w:rsid w:val="00400D2F"/>
    <w:rsid w:val="00401BFF"/>
    <w:rsid w:val="00401FBD"/>
    <w:rsid w:val="00402A7E"/>
    <w:rsid w:val="00402CFA"/>
    <w:rsid w:val="004034C6"/>
    <w:rsid w:val="00404424"/>
    <w:rsid w:val="00404793"/>
    <w:rsid w:val="0040575F"/>
    <w:rsid w:val="00406D11"/>
    <w:rsid w:val="00407533"/>
    <w:rsid w:val="00407AEC"/>
    <w:rsid w:val="00410D97"/>
    <w:rsid w:val="004122C5"/>
    <w:rsid w:val="00413B6E"/>
    <w:rsid w:val="00413B78"/>
    <w:rsid w:val="00415E93"/>
    <w:rsid w:val="00416DDE"/>
    <w:rsid w:val="00416F89"/>
    <w:rsid w:val="00417970"/>
    <w:rsid w:val="00421472"/>
    <w:rsid w:val="004226CD"/>
    <w:rsid w:val="00422899"/>
    <w:rsid w:val="0042426F"/>
    <w:rsid w:val="00425F08"/>
    <w:rsid w:val="0043048E"/>
    <w:rsid w:val="0043106C"/>
    <w:rsid w:val="00431C47"/>
    <w:rsid w:val="00432273"/>
    <w:rsid w:val="0043418E"/>
    <w:rsid w:val="00435FED"/>
    <w:rsid w:val="00436B08"/>
    <w:rsid w:val="004375BF"/>
    <w:rsid w:val="00437F08"/>
    <w:rsid w:val="00440BC2"/>
    <w:rsid w:val="00441250"/>
    <w:rsid w:val="00442412"/>
    <w:rsid w:val="004440D4"/>
    <w:rsid w:val="0044411E"/>
    <w:rsid w:val="00444C8D"/>
    <w:rsid w:val="004507E1"/>
    <w:rsid w:val="00450952"/>
    <w:rsid w:val="0045096D"/>
    <w:rsid w:val="00453435"/>
    <w:rsid w:val="0045603B"/>
    <w:rsid w:val="00461F71"/>
    <w:rsid w:val="00462E25"/>
    <w:rsid w:val="00464ED0"/>
    <w:rsid w:val="00465A95"/>
    <w:rsid w:val="00466254"/>
    <w:rsid w:val="00466398"/>
    <w:rsid w:val="00467BD2"/>
    <w:rsid w:val="00467EF6"/>
    <w:rsid w:val="00470039"/>
    <w:rsid w:val="00470C13"/>
    <w:rsid w:val="00470E19"/>
    <w:rsid w:val="00471D35"/>
    <w:rsid w:val="00473B56"/>
    <w:rsid w:val="00476C4C"/>
    <w:rsid w:val="00476C9F"/>
    <w:rsid w:val="00480364"/>
    <w:rsid w:val="0048295E"/>
    <w:rsid w:val="00482F33"/>
    <w:rsid w:val="00483954"/>
    <w:rsid w:val="00485C14"/>
    <w:rsid w:val="004861F0"/>
    <w:rsid w:val="0049128B"/>
    <w:rsid w:val="00491ADC"/>
    <w:rsid w:val="004932DE"/>
    <w:rsid w:val="00493B49"/>
    <w:rsid w:val="00493DC2"/>
    <w:rsid w:val="004949B1"/>
    <w:rsid w:val="00495501"/>
    <w:rsid w:val="004A00B5"/>
    <w:rsid w:val="004A00FF"/>
    <w:rsid w:val="004A070A"/>
    <w:rsid w:val="004A0874"/>
    <w:rsid w:val="004A22D1"/>
    <w:rsid w:val="004A320E"/>
    <w:rsid w:val="004A47DE"/>
    <w:rsid w:val="004A4E9C"/>
    <w:rsid w:val="004A67A3"/>
    <w:rsid w:val="004B09A8"/>
    <w:rsid w:val="004B1A3C"/>
    <w:rsid w:val="004B1E59"/>
    <w:rsid w:val="004B2531"/>
    <w:rsid w:val="004B31BC"/>
    <w:rsid w:val="004B325D"/>
    <w:rsid w:val="004B424A"/>
    <w:rsid w:val="004B5C84"/>
    <w:rsid w:val="004B5EFF"/>
    <w:rsid w:val="004C3093"/>
    <w:rsid w:val="004C3EF5"/>
    <w:rsid w:val="004C439C"/>
    <w:rsid w:val="004C6351"/>
    <w:rsid w:val="004D2CC3"/>
    <w:rsid w:val="004D33C9"/>
    <w:rsid w:val="004D35CB"/>
    <w:rsid w:val="004D3816"/>
    <w:rsid w:val="004D3F0A"/>
    <w:rsid w:val="004D496D"/>
    <w:rsid w:val="004D5ED2"/>
    <w:rsid w:val="004E02B8"/>
    <w:rsid w:val="004E057D"/>
    <w:rsid w:val="004E1A1B"/>
    <w:rsid w:val="004E1B03"/>
    <w:rsid w:val="004E20E5"/>
    <w:rsid w:val="004E5B04"/>
    <w:rsid w:val="004E64EA"/>
    <w:rsid w:val="004E6BF6"/>
    <w:rsid w:val="004E6F66"/>
    <w:rsid w:val="004E7342"/>
    <w:rsid w:val="004E7828"/>
    <w:rsid w:val="004F0391"/>
    <w:rsid w:val="004F0701"/>
    <w:rsid w:val="004F15F6"/>
    <w:rsid w:val="004F340C"/>
    <w:rsid w:val="004F37B8"/>
    <w:rsid w:val="004F3883"/>
    <w:rsid w:val="004F46AA"/>
    <w:rsid w:val="004F5E54"/>
    <w:rsid w:val="004F6A70"/>
    <w:rsid w:val="00501D31"/>
    <w:rsid w:val="0050239A"/>
    <w:rsid w:val="00502ABF"/>
    <w:rsid w:val="00503720"/>
    <w:rsid w:val="005039AF"/>
    <w:rsid w:val="00504DB0"/>
    <w:rsid w:val="00504F61"/>
    <w:rsid w:val="00507C35"/>
    <w:rsid w:val="00514D2F"/>
    <w:rsid w:val="0052080D"/>
    <w:rsid w:val="0052160B"/>
    <w:rsid w:val="00521C73"/>
    <w:rsid w:val="00523E53"/>
    <w:rsid w:val="00524DAD"/>
    <w:rsid w:val="005271E1"/>
    <w:rsid w:val="0052779A"/>
    <w:rsid w:val="00530016"/>
    <w:rsid w:val="00530BA0"/>
    <w:rsid w:val="0053343F"/>
    <w:rsid w:val="00534D4D"/>
    <w:rsid w:val="00536C63"/>
    <w:rsid w:val="005378F0"/>
    <w:rsid w:val="00541309"/>
    <w:rsid w:val="0054175C"/>
    <w:rsid w:val="0054246D"/>
    <w:rsid w:val="00544035"/>
    <w:rsid w:val="0054420E"/>
    <w:rsid w:val="00544D1B"/>
    <w:rsid w:val="00545DC0"/>
    <w:rsid w:val="00545F6C"/>
    <w:rsid w:val="00547039"/>
    <w:rsid w:val="00547255"/>
    <w:rsid w:val="00547D12"/>
    <w:rsid w:val="0055221F"/>
    <w:rsid w:val="00552536"/>
    <w:rsid w:val="0055277F"/>
    <w:rsid w:val="00555A7A"/>
    <w:rsid w:val="0055720C"/>
    <w:rsid w:val="00557B4E"/>
    <w:rsid w:val="005617FF"/>
    <w:rsid w:val="00561ED4"/>
    <w:rsid w:val="005621E5"/>
    <w:rsid w:val="005634E0"/>
    <w:rsid w:val="0056423B"/>
    <w:rsid w:val="00566D80"/>
    <w:rsid w:val="00567B43"/>
    <w:rsid w:val="00571C5C"/>
    <w:rsid w:val="00573424"/>
    <w:rsid w:val="0057402F"/>
    <w:rsid w:val="00574B85"/>
    <w:rsid w:val="00574ECB"/>
    <w:rsid w:val="005756B1"/>
    <w:rsid w:val="00575E2F"/>
    <w:rsid w:val="00576D6B"/>
    <w:rsid w:val="00577576"/>
    <w:rsid w:val="005849D6"/>
    <w:rsid w:val="00585367"/>
    <w:rsid w:val="0058551A"/>
    <w:rsid w:val="005857F4"/>
    <w:rsid w:val="00586034"/>
    <w:rsid w:val="0058737E"/>
    <w:rsid w:val="0059106E"/>
    <w:rsid w:val="00592518"/>
    <w:rsid w:val="00592B84"/>
    <w:rsid w:val="00592E87"/>
    <w:rsid w:val="00594C4D"/>
    <w:rsid w:val="005967FA"/>
    <w:rsid w:val="00596EE9"/>
    <w:rsid w:val="00597DEB"/>
    <w:rsid w:val="005A2CB0"/>
    <w:rsid w:val="005A33B0"/>
    <w:rsid w:val="005A3E51"/>
    <w:rsid w:val="005A4204"/>
    <w:rsid w:val="005A59F5"/>
    <w:rsid w:val="005A73DE"/>
    <w:rsid w:val="005B1696"/>
    <w:rsid w:val="005B21F5"/>
    <w:rsid w:val="005B2826"/>
    <w:rsid w:val="005B5372"/>
    <w:rsid w:val="005B756B"/>
    <w:rsid w:val="005B7FD8"/>
    <w:rsid w:val="005C0AD5"/>
    <w:rsid w:val="005C1B02"/>
    <w:rsid w:val="005C2DC2"/>
    <w:rsid w:val="005C304A"/>
    <w:rsid w:val="005C34F6"/>
    <w:rsid w:val="005C3502"/>
    <w:rsid w:val="005C4428"/>
    <w:rsid w:val="005C6AC0"/>
    <w:rsid w:val="005C6D6E"/>
    <w:rsid w:val="005C7A7D"/>
    <w:rsid w:val="005C7C98"/>
    <w:rsid w:val="005D2D59"/>
    <w:rsid w:val="005D34A6"/>
    <w:rsid w:val="005D3761"/>
    <w:rsid w:val="005D40BF"/>
    <w:rsid w:val="005D5289"/>
    <w:rsid w:val="005D57C8"/>
    <w:rsid w:val="005D605E"/>
    <w:rsid w:val="005D65E8"/>
    <w:rsid w:val="005D6C59"/>
    <w:rsid w:val="005D7761"/>
    <w:rsid w:val="005E0278"/>
    <w:rsid w:val="005E090D"/>
    <w:rsid w:val="005E27AD"/>
    <w:rsid w:val="005E29E1"/>
    <w:rsid w:val="005E3CA0"/>
    <w:rsid w:val="005E4174"/>
    <w:rsid w:val="005E44B1"/>
    <w:rsid w:val="005E44CA"/>
    <w:rsid w:val="005E5233"/>
    <w:rsid w:val="005E5307"/>
    <w:rsid w:val="005E60B3"/>
    <w:rsid w:val="005E67B0"/>
    <w:rsid w:val="005E7047"/>
    <w:rsid w:val="005E777F"/>
    <w:rsid w:val="005F121E"/>
    <w:rsid w:val="005F1CA7"/>
    <w:rsid w:val="005F22CC"/>
    <w:rsid w:val="005F3E01"/>
    <w:rsid w:val="005F43DD"/>
    <w:rsid w:val="005F51A9"/>
    <w:rsid w:val="005F54DC"/>
    <w:rsid w:val="005F5767"/>
    <w:rsid w:val="005F658D"/>
    <w:rsid w:val="005F6A71"/>
    <w:rsid w:val="005F7416"/>
    <w:rsid w:val="005F7FDB"/>
    <w:rsid w:val="006005C9"/>
    <w:rsid w:val="00600C11"/>
    <w:rsid w:val="00600FFB"/>
    <w:rsid w:val="00601464"/>
    <w:rsid w:val="00601875"/>
    <w:rsid w:val="00601A35"/>
    <w:rsid w:val="0060615B"/>
    <w:rsid w:val="00606B89"/>
    <w:rsid w:val="0061066F"/>
    <w:rsid w:val="00612BBB"/>
    <w:rsid w:val="006138C7"/>
    <w:rsid w:val="00614AAE"/>
    <w:rsid w:val="006153BB"/>
    <w:rsid w:val="0062133C"/>
    <w:rsid w:val="00621AA5"/>
    <w:rsid w:val="00623072"/>
    <w:rsid w:val="0062344B"/>
    <w:rsid w:val="00623814"/>
    <w:rsid w:val="00623F30"/>
    <w:rsid w:val="00624490"/>
    <w:rsid w:val="00624C01"/>
    <w:rsid w:val="00624FCB"/>
    <w:rsid w:val="006252DA"/>
    <w:rsid w:val="00625FB8"/>
    <w:rsid w:val="006261BD"/>
    <w:rsid w:val="00626841"/>
    <w:rsid w:val="00627146"/>
    <w:rsid w:val="00627C2A"/>
    <w:rsid w:val="00630F2B"/>
    <w:rsid w:val="00631B8E"/>
    <w:rsid w:val="00631C08"/>
    <w:rsid w:val="00631DCE"/>
    <w:rsid w:val="00631FFD"/>
    <w:rsid w:val="0063411B"/>
    <w:rsid w:val="006361E7"/>
    <w:rsid w:val="00640134"/>
    <w:rsid w:val="00640718"/>
    <w:rsid w:val="006414E7"/>
    <w:rsid w:val="00643576"/>
    <w:rsid w:val="00644BB3"/>
    <w:rsid w:val="00645D78"/>
    <w:rsid w:val="0064734E"/>
    <w:rsid w:val="006476C0"/>
    <w:rsid w:val="00650137"/>
    <w:rsid w:val="00650814"/>
    <w:rsid w:val="006509D7"/>
    <w:rsid w:val="0065166C"/>
    <w:rsid w:val="0065195E"/>
    <w:rsid w:val="00651CE8"/>
    <w:rsid w:val="00653AD6"/>
    <w:rsid w:val="0065445C"/>
    <w:rsid w:val="00654B5A"/>
    <w:rsid w:val="006550B1"/>
    <w:rsid w:val="0065521B"/>
    <w:rsid w:val="00656EFA"/>
    <w:rsid w:val="00657521"/>
    <w:rsid w:val="00657707"/>
    <w:rsid w:val="00661291"/>
    <w:rsid w:val="0066335F"/>
    <w:rsid w:val="00663BEB"/>
    <w:rsid w:val="006640E7"/>
    <w:rsid w:val="006642AF"/>
    <w:rsid w:val="00664E01"/>
    <w:rsid w:val="00666BCB"/>
    <w:rsid w:val="00671EF6"/>
    <w:rsid w:val="0067205B"/>
    <w:rsid w:val="00672F93"/>
    <w:rsid w:val="00673212"/>
    <w:rsid w:val="006748F8"/>
    <w:rsid w:val="00680489"/>
    <w:rsid w:val="006805C9"/>
    <w:rsid w:val="00681608"/>
    <w:rsid w:val="006818F8"/>
    <w:rsid w:val="0068213F"/>
    <w:rsid w:val="00683C32"/>
    <w:rsid w:val="00683E6F"/>
    <w:rsid w:val="006858B4"/>
    <w:rsid w:val="00687701"/>
    <w:rsid w:val="0069009D"/>
    <w:rsid w:val="00690BB2"/>
    <w:rsid w:val="00691ABF"/>
    <w:rsid w:val="00692B64"/>
    <w:rsid w:val="00693C16"/>
    <w:rsid w:val="00696595"/>
    <w:rsid w:val="006A0016"/>
    <w:rsid w:val="006A00B2"/>
    <w:rsid w:val="006A2FB3"/>
    <w:rsid w:val="006A572A"/>
    <w:rsid w:val="006A63A4"/>
    <w:rsid w:val="006A7710"/>
    <w:rsid w:val="006A7A0B"/>
    <w:rsid w:val="006A7A61"/>
    <w:rsid w:val="006A7F4A"/>
    <w:rsid w:val="006B1E59"/>
    <w:rsid w:val="006B2EB1"/>
    <w:rsid w:val="006B2FFB"/>
    <w:rsid w:val="006B362B"/>
    <w:rsid w:val="006B45C5"/>
    <w:rsid w:val="006C074B"/>
    <w:rsid w:val="006C10A2"/>
    <w:rsid w:val="006C10AA"/>
    <w:rsid w:val="006C1D80"/>
    <w:rsid w:val="006C1F18"/>
    <w:rsid w:val="006C375B"/>
    <w:rsid w:val="006C5727"/>
    <w:rsid w:val="006C61C9"/>
    <w:rsid w:val="006C70C5"/>
    <w:rsid w:val="006C7563"/>
    <w:rsid w:val="006C7DAE"/>
    <w:rsid w:val="006D11E0"/>
    <w:rsid w:val="006D1873"/>
    <w:rsid w:val="006D1BE4"/>
    <w:rsid w:val="006D40D5"/>
    <w:rsid w:val="006D5EB9"/>
    <w:rsid w:val="006D615B"/>
    <w:rsid w:val="006D7847"/>
    <w:rsid w:val="006E06D3"/>
    <w:rsid w:val="006E1567"/>
    <w:rsid w:val="006E1808"/>
    <w:rsid w:val="006E2040"/>
    <w:rsid w:val="006E663B"/>
    <w:rsid w:val="006E693F"/>
    <w:rsid w:val="006E791C"/>
    <w:rsid w:val="006F009A"/>
    <w:rsid w:val="006F0FAB"/>
    <w:rsid w:val="006F1497"/>
    <w:rsid w:val="006F3D93"/>
    <w:rsid w:val="006F42B6"/>
    <w:rsid w:val="006F60F8"/>
    <w:rsid w:val="00701221"/>
    <w:rsid w:val="007019B1"/>
    <w:rsid w:val="0070259A"/>
    <w:rsid w:val="00702D6C"/>
    <w:rsid w:val="00703D4D"/>
    <w:rsid w:val="007055EC"/>
    <w:rsid w:val="007073BA"/>
    <w:rsid w:val="007073FA"/>
    <w:rsid w:val="007073FB"/>
    <w:rsid w:val="007077BF"/>
    <w:rsid w:val="00710593"/>
    <w:rsid w:val="0071082E"/>
    <w:rsid w:val="00712910"/>
    <w:rsid w:val="00712F8C"/>
    <w:rsid w:val="007156A3"/>
    <w:rsid w:val="007165B6"/>
    <w:rsid w:val="00716AEC"/>
    <w:rsid w:val="00716B74"/>
    <w:rsid w:val="00721524"/>
    <w:rsid w:val="00721657"/>
    <w:rsid w:val="00721A36"/>
    <w:rsid w:val="00723824"/>
    <w:rsid w:val="00725ABA"/>
    <w:rsid w:val="00726307"/>
    <w:rsid w:val="00727B1A"/>
    <w:rsid w:val="0073110E"/>
    <w:rsid w:val="007339A8"/>
    <w:rsid w:val="00733BF8"/>
    <w:rsid w:val="007348F6"/>
    <w:rsid w:val="00734A4F"/>
    <w:rsid w:val="007370F2"/>
    <w:rsid w:val="0073713B"/>
    <w:rsid w:val="00737147"/>
    <w:rsid w:val="00740FAC"/>
    <w:rsid w:val="0074139C"/>
    <w:rsid w:val="007437FD"/>
    <w:rsid w:val="00745375"/>
    <w:rsid w:val="007456FE"/>
    <w:rsid w:val="00745E63"/>
    <w:rsid w:val="00746BAF"/>
    <w:rsid w:val="007476C4"/>
    <w:rsid w:val="0075016A"/>
    <w:rsid w:val="00750400"/>
    <w:rsid w:val="00751AA4"/>
    <w:rsid w:val="00751FCE"/>
    <w:rsid w:val="00752258"/>
    <w:rsid w:val="00753A3C"/>
    <w:rsid w:val="00753EDA"/>
    <w:rsid w:val="007550C4"/>
    <w:rsid w:val="00755384"/>
    <w:rsid w:val="007562CB"/>
    <w:rsid w:val="00756808"/>
    <w:rsid w:val="00756D48"/>
    <w:rsid w:val="00757E7A"/>
    <w:rsid w:val="00762880"/>
    <w:rsid w:val="00762AD6"/>
    <w:rsid w:val="00762F99"/>
    <w:rsid w:val="00763258"/>
    <w:rsid w:val="00763DBD"/>
    <w:rsid w:val="0076580F"/>
    <w:rsid w:val="00765B6F"/>
    <w:rsid w:val="00766B88"/>
    <w:rsid w:val="00767D1E"/>
    <w:rsid w:val="007714F0"/>
    <w:rsid w:val="00772290"/>
    <w:rsid w:val="00773170"/>
    <w:rsid w:val="0077525C"/>
    <w:rsid w:val="00775392"/>
    <w:rsid w:val="00777265"/>
    <w:rsid w:val="00777C22"/>
    <w:rsid w:val="007805E7"/>
    <w:rsid w:val="0078162F"/>
    <w:rsid w:val="00781B4F"/>
    <w:rsid w:val="0078222A"/>
    <w:rsid w:val="00783CFB"/>
    <w:rsid w:val="00785B16"/>
    <w:rsid w:val="00787D48"/>
    <w:rsid w:val="0079032C"/>
    <w:rsid w:val="007903C1"/>
    <w:rsid w:val="00790D8F"/>
    <w:rsid w:val="00792520"/>
    <w:rsid w:val="00794CB5"/>
    <w:rsid w:val="0079572C"/>
    <w:rsid w:val="00795AE4"/>
    <w:rsid w:val="00796DAF"/>
    <w:rsid w:val="00797614"/>
    <w:rsid w:val="0079768B"/>
    <w:rsid w:val="007A0EAC"/>
    <w:rsid w:val="007A1154"/>
    <w:rsid w:val="007A1879"/>
    <w:rsid w:val="007A318F"/>
    <w:rsid w:val="007A4E50"/>
    <w:rsid w:val="007A59A9"/>
    <w:rsid w:val="007A60EF"/>
    <w:rsid w:val="007B12CA"/>
    <w:rsid w:val="007B18A7"/>
    <w:rsid w:val="007B250E"/>
    <w:rsid w:val="007B442A"/>
    <w:rsid w:val="007B57D4"/>
    <w:rsid w:val="007B5DD0"/>
    <w:rsid w:val="007C0EAF"/>
    <w:rsid w:val="007C2467"/>
    <w:rsid w:val="007C27FC"/>
    <w:rsid w:val="007C2960"/>
    <w:rsid w:val="007C51FF"/>
    <w:rsid w:val="007C5C00"/>
    <w:rsid w:val="007C6F70"/>
    <w:rsid w:val="007D1FD0"/>
    <w:rsid w:val="007D2834"/>
    <w:rsid w:val="007D50E4"/>
    <w:rsid w:val="007D54B9"/>
    <w:rsid w:val="007D55A5"/>
    <w:rsid w:val="007D5867"/>
    <w:rsid w:val="007D5D21"/>
    <w:rsid w:val="007D687F"/>
    <w:rsid w:val="007D75DF"/>
    <w:rsid w:val="007D765B"/>
    <w:rsid w:val="007E0CBC"/>
    <w:rsid w:val="007E1626"/>
    <w:rsid w:val="007E22C3"/>
    <w:rsid w:val="007E249F"/>
    <w:rsid w:val="007E47A3"/>
    <w:rsid w:val="007E522D"/>
    <w:rsid w:val="007E5CD4"/>
    <w:rsid w:val="007E6B95"/>
    <w:rsid w:val="007F0014"/>
    <w:rsid w:val="007F0B6F"/>
    <w:rsid w:val="007F1A2A"/>
    <w:rsid w:val="007F2395"/>
    <w:rsid w:val="007F25CC"/>
    <w:rsid w:val="007F25EA"/>
    <w:rsid w:val="007F2B4E"/>
    <w:rsid w:val="007F435B"/>
    <w:rsid w:val="007F594E"/>
    <w:rsid w:val="007F64B0"/>
    <w:rsid w:val="00800B73"/>
    <w:rsid w:val="008027AC"/>
    <w:rsid w:val="008028CE"/>
    <w:rsid w:val="0080332E"/>
    <w:rsid w:val="00806301"/>
    <w:rsid w:val="00807B31"/>
    <w:rsid w:val="00811024"/>
    <w:rsid w:val="00811FC8"/>
    <w:rsid w:val="008126AE"/>
    <w:rsid w:val="0081285B"/>
    <w:rsid w:val="008132AC"/>
    <w:rsid w:val="008141E0"/>
    <w:rsid w:val="00816EE1"/>
    <w:rsid w:val="00816F88"/>
    <w:rsid w:val="00817D3E"/>
    <w:rsid w:val="0082109F"/>
    <w:rsid w:val="008212BA"/>
    <w:rsid w:val="008220C8"/>
    <w:rsid w:val="00822323"/>
    <w:rsid w:val="00824C81"/>
    <w:rsid w:val="00826A61"/>
    <w:rsid w:val="00827123"/>
    <w:rsid w:val="008274BF"/>
    <w:rsid w:val="00833024"/>
    <w:rsid w:val="0083332A"/>
    <w:rsid w:val="00834D1B"/>
    <w:rsid w:val="00840CD5"/>
    <w:rsid w:val="008419B1"/>
    <w:rsid w:val="00842B75"/>
    <w:rsid w:val="00843152"/>
    <w:rsid w:val="008439F5"/>
    <w:rsid w:val="00843ECD"/>
    <w:rsid w:val="00844A56"/>
    <w:rsid w:val="0084589A"/>
    <w:rsid w:val="008459D2"/>
    <w:rsid w:val="00850812"/>
    <w:rsid w:val="00852081"/>
    <w:rsid w:val="00852B98"/>
    <w:rsid w:val="00853F60"/>
    <w:rsid w:val="00854A80"/>
    <w:rsid w:val="008561E9"/>
    <w:rsid w:val="00857AD7"/>
    <w:rsid w:val="008614E8"/>
    <w:rsid w:val="0086299A"/>
    <w:rsid w:val="00863790"/>
    <w:rsid w:val="008642AD"/>
    <w:rsid w:val="00867A5C"/>
    <w:rsid w:val="00867B76"/>
    <w:rsid w:val="00871604"/>
    <w:rsid w:val="00872A6C"/>
    <w:rsid w:val="00873010"/>
    <w:rsid w:val="00873615"/>
    <w:rsid w:val="00873DA8"/>
    <w:rsid w:val="00874DFD"/>
    <w:rsid w:val="00877A02"/>
    <w:rsid w:val="008802F9"/>
    <w:rsid w:val="008816A7"/>
    <w:rsid w:val="00881BF7"/>
    <w:rsid w:val="00882777"/>
    <w:rsid w:val="00882944"/>
    <w:rsid w:val="00882E82"/>
    <w:rsid w:val="00883086"/>
    <w:rsid w:val="00884E68"/>
    <w:rsid w:val="00886184"/>
    <w:rsid w:val="0088729C"/>
    <w:rsid w:val="008879FD"/>
    <w:rsid w:val="00891E39"/>
    <w:rsid w:val="008933F8"/>
    <w:rsid w:val="008941C6"/>
    <w:rsid w:val="00894C37"/>
    <w:rsid w:val="008A00EA"/>
    <w:rsid w:val="008A154F"/>
    <w:rsid w:val="008A2DF0"/>
    <w:rsid w:val="008A3F93"/>
    <w:rsid w:val="008A5C0E"/>
    <w:rsid w:val="008A5E5F"/>
    <w:rsid w:val="008A6236"/>
    <w:rsid w:val="008A68AC"/>
    <w:rsid w:val="008A6E1C"/>
    <w:rsid w:val="008A72FD"/>
    <w:rsid w:val="008B2EDF"/>
    <w:rsid w:val="008B386B"/>
    <w:rsid w:val="008B3D7E"/>
    <w:rsid w:val="008B4CE9"/>
    <w:rsid w:val="008B54CB"/>
    <w:rsid w:val="008B5772"/>
    <w:rsid w:val="008B5A3D"/>
    <w:rsid w:val="008B68A8"/>
    <w:rsid w:val="008B6C4A"/>
    <w:rsid w:val="008B7A57"/>
    <w:rsid w:val="008C2889"/>
    <w:rsid w:val="008C4010"/>
    <w:rsid w:val="008C4FDF"/>
    <w:rsid w:val="008C6B1F"/>
    <w:rsid w:val="008C7F88"/>
    <w:rsid w:val="008D151B"/>
    <w:rsid w:val="008D2D8F"/>
    <w:rsid w:val="008D5785"/>
    <w:rsid w:val="008D5E4F"/>
    <w:rsid w:val="008D6127"/>
    <w:rsid w:val="008D72DD"/>
    <w:rsid w:val="008E2FD3"/>
    <w:rsid w:val="008E330E"/>
    <w:rsid w:val="008E3D3A"/>
    <w:rsid w:val="008E3E1B"/>
    <w:rsid w:val="008E468F"/>
    <w:rsid w:val="008E4C5F"/>
    <w:rsid w:val="008E6EE0"/>
    <w:rsid w:val="008F14F5"/>
    <w:rsid w:val="008F22D6"/>
    <w:rsid w:val="008F27C5"/>
    <w:rsid w:val="008F487F"/>
    <w:rsid w:val="008F59CF"/>
    <w:rsid w:val="008F6401"/>
    <w:rsid w:val="008F6DD5"/>
    <w:rsid w:val="008F71C1"/>
    <w:rsid w:val="00900E6D"/>
    <w:rsid w:val="00902777"/>
    <w:rsid w:val="00902D41"/>
    <w:rsid w:val="00902F49"/>
    <w:rsid w:val="00904486"/>
    <w:rsid w:val="00904AE0"/>
    <w:rsid w:val="00911036"/>
    <w:rsid w:val="009111C9"/>
    <w:rsid w:val="00911C04"/>
    <w:rsid w:val="00914004"/>
    <w:rsid w:val="00914BA9"/>
    <w:rsid w:val="009157BC"/>
    <w:rsid w:val="0092197F"/>
    <w:rsid w:val="00921D5B"/>
    <w:rsid w:val="00921E98"/>
    <w:rsid w:val="00922EC1"/>
    <w:rsid w:val="00926992"/>
    <w:rsid w:val="00926D94"/>
    <w:rsid w:val="009272DD"/>
    <w:rsid w:val="00927934"/>
    <w:rsid w:val="00930025"/>
    <w:rsid w:val="009301F1"/>
    <w:rsid w:val="009305B6"/>
    <w:rsid w:val="00930EF3"/>
    <w:rsid w:val="009336D5"/>
    <w:rsid w:val="00933B66"/>
    <w:rsid w:val="00934AAE"/>
    <w:rsid w:val="009359B8"/>
    <w:rsid w:val="00935DB2"/>
    <w:rsid w:val="00937843"/>
    <w:rsid w:val="009405B2"/>
    <w:rsid w:val="00941F3E"/>
    <w:rsid w:val="009421D9"/>
    <w:rsid w:val="009431F8"/>
    <w:rsid w:val="00943BD5"/>
    <w:rsid w:val="009454CB"/>
    <w:rsid w:val="009457D4"/>
    <w:rsid w:val="00947A35"/>
    <w:rsid w:val="00947A74"/>
    <w:rsid w:val="009507F6"/>
    <w:rsid w:val="0095107D"/>
    <w:rsid w:val="00951C2A"/>
    <w:rsid w:val="00953358"/>
    <w:rsid w:val="009549EF"/>
    <w:rsid w:val="00956402"/>
    <w:rsid w:val="00960B85"/>
    <w:rsid w:val="00960D36"/>
    <w:rsid w:val="00960DF0"/>
    <w:rsid w:val="009611BC"/>
    <w:rsid w:val="009625CF"/>
    <w:rsid w:val="009641D4"/>
    <w:rsid w:val="00964E57"/>
    <w:rsid w:val="00965E4B"/>
    <w:rsid w:val="00966CB5"/>
    <w:rsid w:val="009673F7"/>
    <w:rsid w:val="009713A6"/>
    <w:rsid w:val="009719B9"/>
    <w:rsid w:val="00973004"/>
    <w:rsid w:val="00973355"/>
    <w:rsid w:val="009733DE"/>
    <w:rsid w:val="00975786"/>
    <w:rsid w:val="00976CA0"/>
    <w:rsid w:val="009772E1"/>
    <w:rsid w:val="0098024B"/>
    <w:rsid w:val="0098070F"/>
    <w:rsid w:val="00981CB7"/>
    <w:rsid w:val="0098270A"/>
    <w:rsid w:val="009830A3"/>
    <w:rsid w:val="00983C1F"/>
    <w:rsid w:val="00983E1F"/>
    <w:rsid w:val="0098422E"/>
    <w:rsid w:val="009848B2"/>
    <w:rsid w:val="00985BE1"/>
    <w:rsid w:val="00986235"/>
    <w:rsid w:val="00986D33"/>
    <w:rsid w:val="00991752"/>
    <w:rsid w:val="00991C71"/>
    <w:rsid w:val="009922E2"/>
    <w:rsid w:val="00993F46"/>
    <w:rsid w:val="0099432B"/>
    <w:rsid w:val="00994993"/>
    <w:rsid w:val="0099651E"/>
    <w:rsid w:val="00996579"/>
    <w:rsid w:val="00997358"/>
    <w:rsid w:val="009A1A51"/>
    <w:rsid w:val="009A452B"/>
    <w:rsid w:val="009A47FC"/>
    <w:rsid w:val="009A51D3"/>
    <w:rsid w:val="009A6F66"/>
    <w:rsid w:val="009A7F08"/>
    <w:rsid w:val="009B050C"/>
    <w:rsid w:val="009B087F"/>
    <w:rsid w:val="009B0F49"/>
    <w:rsid w:val="009B3792"/>
    <w:rsid w:val="009B5237"/>
    <w:rsid w:val="009B5DB0"/>
    <w:rsid w:val="009B6D31"/>
    <w:rsid w:val="009B74C3"/>
    <w:rsid w:val="009C05C7"/>
    <w:rsid w:val="009C080E"/>
    <w:rsid w:val="009C110B"/>
    <w:rsid w:val="009C1998"/>
    <w:rsid w:val="009C2D03"/>
    <w:rsid w:val="009C3A93"/>
    <w:rsid w:val="009C5441"/>
    <w:rsid w:val="009C5C60"/>
    <w:rsid w:val="009C6263"/>
    <w:rsid w:val="009D119F"/>
    <w:rsid w:val="009D1418"/>
    <w:rsid w:val="009D2055"/>
    <w:rsid w:val="009D277D"/>
    <w:rsid w:val="009D35C3"/>
    <w:rsid w:val="009D3CD9"/>
    <w:rsid w:val="009D49A2"/>
    <w:rsid w:val="009D6EDF"/>
    <w:rsid w:val="009D732F"/>
    <w:rsid w:val="009E0739"/>
    <w:rsid w:val="009E08DA"/>
    <w:rsid w:val="009E1AEE"/>
    <w:rsid w:val="009E1EA1"/>
    <w:rsid w:val="009E258F"/>
    <w:rsid w:val="009E32F6"/>
    <w:rsid w:val="009E43EB"/>
    <w:rsid w:val="009E4C80"/>
    <w:rsid w:val="009E52E9"/>
    <w:rsid w:val="009E69A9"/>
    <w:rsid w:val="009E7934"/>
    <w:rsid w:val="009F3940"/>
    <w:rsid w:val="009F3EB2"/>
    <w:rsid w:val="009F6682"/>
    <w:rsid w:val="009F6EB1"/>
    <w:rsid w:val="009F71CC"/>
    <w:rsid w:val="00A0000C"/>
    <w:rsid w:val="00A02553"/>
    <w:rsid w:val="00A06C7D"/>
    <w:rsid w:val="00A06CF5"/>
    <w:rsid w:val="00A07114"/>
    <w:rsid w:val="00A072A5"/>
    <w:rsid w:val="00A0774C"/>
    <w:rsid w:val="00A116B8"/>
    <w:rsid w:val="00A11D05"/>
    <w:rsid w:val="00A12C88"/>
    <w:rsid w:val="00A130A2"/>
    <w:rsid w:val="00A13162"/>
    <w:rsid w:val="00A144D0"/>
    <w:rsid w:val="00A15456"/>
    <w:rsid w:val="00A16410"/>
    <w:rsid w:val="00A1699D"/>
    <w:rsid w:val="00A1755F"/>
    <w:rsid w:val="00A20267"/>
    <w:rsid w:val="00A2279B"/>
    <w:rsid w:val="00A25157"/>
    <w:rsid w:val="00A25498"/>
    <w:rsid w:val="00A257BD"/>
    <w:rsid w:val="00A25A84"/>
    <w:rsid w:val="00A26890"/>
    <w:rsid w:val="00A30F89"/>
    <w:rsid w:val="00A3158C"/>
    <w:rsid w:val="00A3165F"/>
    <w:rsid w:val="00A317BD"/>
    <w:rsid w:val="00A3274C"/>
    <w:rsid w:val="00A32DF3"/>
    <w:rsid w:val="00A33398"/>
    <w:rsid w:val="00A33750"/>
    <w:rsid w:val="00A33E32"/>
    <w:rsid w:val="00A34306"/>
    <w:rsid w:val="00A35E20"/>
    <w:rsid w:val="00A3722F"/>
    <w:rsid w:val="00A3765C"/>
    <w:rsid w:val="00A40D40"/>
    <w:rsid w:val="00A42046"/>
    <w:rsid w:val="00A42715"/>
    <w:rsid w:val="00A43972"/>
    <w:rsid w:val="00A439F7"/>
    <w:rsid w:val="00A47BD6"/>
    <w:rsid w:val="00A5093B"/>
    <w:rsid w:val="00A5188D"/>
    <w:rsid w:val="00A525CC"/>
    <w:rsid w:val="00A52A03"/>
    <w:rsid w:val="00A53B69"/>
    <w:rsid w:val="00A53E7C"/>
    <w:rsid w:val="00A546E8"/>
    <w:rsid w:val="00A5548E"/>
    <w:rsid w:val="00A55E5E"/>
    <w:rsid w:val="00A565EE"/>
    <w:rsid w:val="00A569F6"/>
    <w:rsid w:val="00A56AFA"/>
    <w:rsid w:val="00A5715A"/>
    <w:rsid w:val="00A60087"/>
    <w:rsid w:val="00A632E3"/>
    <w:rsid w:val="00A65C4B"/>
    <w:rsid w:val="00A66A8F"/>
    <w:rsid w:val="00A702EF"/>
    <w:rsid w:val="00A705E8"/>
    <w:rsid w:val="00A72C20"/>
    <w:rsid w:val="00A735DA"/>
    <w:rsid w:val="00A73AF2"/>
    <w:rsid w:val="00A7722F"/>
    <w:rsid w:val="00A83DAF"/>
    <w:rsid w:val="00A84851"/>
    <w:rsid w:val="00A87D0B"/>
    <w:rsid w:val="00A9129A"/>
    <w:rsid w:val="00A92823"/>
    <w:rsid w:val="00A92BF3"/>
    <w:rsid w:val="00A9392C"/>
    <w:rsid w:val="00A9462B"/>
    <w:rsid w:val="00A96509"/>
    <w:rsid w:val="00A97D59"/>
    <w:rsid w:val="00AA22DD"/>
    <w:rsid w:val="00AA2CBB"/>
    <w:rsid w:val="00AA2CBC"/>
    <w:rsid w:val="00AA2CDE"/>
    <w:rsid w:val="00AA3E09"/>
    <w:rsid w:val="00AA4BEF"/>
    <w:rsid w:val="00AA5BFB"/>
    <w:rsid w:val="00AA5C81"/>
    <w:rsid w:val="00AA6368"/>
    <w:rsid w:val="00AB052D"/>
    <w:rsid w:val="00AB1714"/>
    <w:rsid w:val="00AB4962"/>
    <w:rsid w:val="00AB4CA2"/>
    <w:rsid w:val="00AB734E"/>
    <w:rsid w:val="00AB740F"/>
    <w:rsid w:val="00AC3F72"/>
    <w:rsid w:val="00AC44F4"/>
    <w:rsid w:val="00AC5B19"/>
    <w:rsid w:val="00AC5C33"/>
    <w:rsid w:val="00AC5EB4"/>
    <w:rsid w:val="00AC64E5"/>
    <w:rsid w:val="00AC717C"/>
    <w:rsid w:val="00AC7221"/>
    <w:rsid w:val="00AC7F62"/>
    <w:rsid w:val="00AD1ACC"/>
    <w:rsid w:val="00AD1D5E"/>
    <w:rsid w:val="00AD2E82"/>
    <w:rsid w:val="00AD410D"/>
    <w:rsid w:val="00AD5B8E"/>
    <w:rsid w:val="00AD5F0B"/>
    <w:rsid w:val="00AD7121"/>
    <w:rsid w:val="00AD7267"/>
    <w:rsid w:val="00AE2F91"/>
    <w:rsid w:val="00AE3836"/>
    <w:rsid w:val="00AE47FC"/>
    <w:rsid w:val="00AE4A7D"/>
    <w:rsid w:val="00AE5961"/>
    <w:rsid w:val="00AE6026"/>
    <w:rsid w:val="00AE612E"/>
    <w:rsid w:val="00AF138B"/>
    <w:rsid w:val="00AF167A"/>
    <w:rsid w:val="00AF3EFD"/>
    <w:rsid w:val="00AF43FA"/>
    <w:rsid w:val="00AF4971"/>
    <w:rsid w:val="00AF4A94"/>
    <w:rsid w:val="00AF5580"/>
    <w:rsid w:val="00AF5F99"/>
    <w:rsid w:val="00AF73CB"/>
    <w:rsid w:val="00B01046"/>
    <w:rsid w:val="00B022A1"/>
    <w:rsid w:val="00B025C1"/>
    <w:rsid w:val="00B0652C"/>
    <w:rsid w:val="00B06A28"/>
    <w:rsid w:val="00B073B5"/>
    <w:rsid w:val="00B11176"/>
    <w:rsid w:val="00B12F57"/>
    <w:rsid w:val="00B20631"/>
    <w:rsid w:val="00B213C5"/>
    <w:rsid w:val="00B21793"/>
    <w:rsid w:val="00B21856"/>
    <w:rsid w:val="00B219E7"/>
    <w:rsid w:val="00B22114"/>
    <w:rsid w:val="00B247B4"/>
    <w:rsid w:val="00B26734"/>
    <w:rsid w:val="00B26C9E"/>
    <w:rsid w:val="00B27915"/>
    <w:rsid w:val="00B30707"/>
    <w:rsid w:val="00B310F9"/>
    <w:rsid w:val="00B314D9"/>
    <w:rsid w:val="00B339D3"/>
    <w:rsid w:val="00B33CE1"/>
    <w:rsid w:val="00B344CD"/>
    <w:rsid w:val="00B35835"/>
    <w:rsid w:val="00B359A9"/>
    <w:rsid w:val="00B36275"/>
    <w:rsid w:val="00B3700F"/>
    <w:rsid w:val="00B37414"/>
    <w:rsid w:val="00B37866"/>
    <w:rsid w:val="00B411CF"/>
    <w:rsid w:val="00B412FB"/>
    <w:rsid w:val="00B415C2"/>
    <w:rsid w:val="00B42735"/>
    <w:rsid w:val="00B42E86"/>
    <w:rsid w:val="00B42EA5"/>
    <w:rsid w:val="00B44D27"/>
    <w:rsid w:val="00B4576B"/>
    <w:rsid w:val="00B46350"/>
    <w:rsid w:val="00B46D62"/>
    <w:rsid w:val="00B5143D"/>
    <w:rsid w:val="00B51B8D"/>
    <w:rsid w:val="00B53310"/>
    <w:rsid w:val="00B53DBD"/>
    <w:rsid w:val="00B5528A"/>
    <w:rsid w:val="00B55BFB"/>
    <w:rsid w:val="00B56630"/>
    <w:rsid w:val="00B57D99"/>
    <w:rsid w:val="00B57F17"/>
    <w:rsid w:val="00B600D3"/>
    <w:rsid w:val="00B60E10"/>
    <w:rsid w:val="00B63FAC"/>
    <w:rsid w:val="00B642E0"/>
    <w:rsid w:val="00B65CE4"/>
    <w:rsid w:val="00B66D8A"/>
    <w:rsid w:val="00B66E8F"/>
    <w:rsid w:val="00B67170"/>
    <w:rsid w:val="00B674AE"/>
    <w:rsid w:val="00B67AEC"/>
    <w:rsid w:val="00B73285"/>
    <w:rsid w:val="00B75640"/>
    <w:rsid w:val="00B75AD0"/>
    <w:rsid w:val="00B7628C"/>
    <w:rsid w:val="00B76DC0"/>
    <w:rsid w:val="00B778E4"/>
    <w:rsid w:val="00B806BF"/>
    <w:rsid w:val="00B81A0B"/>
    <w:rsid w:val="00B836D7"/>
    <w:rsid w:val="00B83D5E"/>
    <w:rsid w:val="00B84528"/>
    <w:rsid w:val="00B8460A"/>
    <w:rsid w:val="00B85A70"/>
    <w:rsid w:val="00B85A96"/>
    <w:rsid w:val="00B8650D"/>
    <w:rsid w:val="00B877CA"/>
    <w:rsid w:val="00B879B4"/>
    <w:rsid w:val="00B90F07"/>
    <w:rsid w:val="00B91E09"/>
    <w:rsid w:val="00B92ABF"/>
    <w:rsid w:val="00B933CE"/>
    <w:rsid w:val="00B943DD"/>
    <w:rsid w:val="00B964A2"/>
    <w:rsid w:val="00B97BB9"/>
    <w:rsid w:val="00BA0009"/>
    <w:rsid w:val="00BA0DB3"/>
    <w:rsid w:val="00BA1A88"/>
    <w:rsid w:val="00BA2577"/>
    <w:rsid w:val="00BA3EB6"/>
    <w:rsid w:val="00BA49D2"/>
    <w:rsid w:val="00BA4CFC"/>
    <w:rsid w:val="00BA4D45"/>
    <w:rsid w:val="00BA5903"/>
    <w:rsid w:val="00BA77EE"/>
    <w:rsid w:val="00BB1863"/>
    <w:rsid w:val="00BB1EEF"/>
    <w:rsid w:val="00BB20EE"/>
    <w:rsid w:val="00BB25EE"/>
    <w:rsid w:val="00BB288D"/>
    <w:rsid w:val="00BB2A03"/>
    <w:rsid w:val="00BB363A"/>
    <w:rsid w:val="00BB420F"/>
    <w:rsid w:val="00BB4ED7"/>
    <w:rsid w:val="00BB5DA2"/>
    <w:rsid w:val="00BB7655"/>
    <w:rsid w:val="00BB7680"/>
    <w:rsid w:val="00BC10A0"/>
    <w:rsid w:val="00BC1C54"/>
    <w:rsid w:val="00BC21CC"/>
    <w:rsid w:val="00BC3666"/>
    <w:rsid w:val="00BC3689"/>
    <w:rsid w:val="00BC5085"/>
    <w:rsid w:val="00BC52C2"/>
    <w:rsid w:val="00BC54F6"/>
    <w:rsid w:val="00BC5B8F"/>
    <w:rsid w:val="00BC6611"/>
    <w:rsid w:val="00BC79E3"/>
    <w:rsid w:val="00BC7BA2"/>
    <w:rsid w:val="00BC7CDE"/>
    <w:rsid w:val="00BD3649"/>
    <w:rsid w:val="00BD426B"/>
    <w:rsid w:val="00BD56EB"/>
    <w:rsid w:val="00BD7829"/>
    <w:rsid w:val="00BD79F0"/>
    <w:rsid w:val="00BD7C18"/>
    <w:rsid w:val="00BE0324"/>
    <w:rsid w:val="00BE19A9"/>
    <w:rsid w:val="00BE27BF"/>
    <w:rsid w:val="00BE2B4D"/>
    <w:rsid w:val="00BE2CEF"/>
    <w:rsid w:val="00BE402E"/>
    <w:rsid w:val="00BE413A"/>
    <w:rsid w:val="00BE5409"/>
    <w:rsid w:val="00BE54BA"/>
    <w:rsid w:val="00BE67D1"/>
    <w:rsid w:val="00BE7B85"/>
    <w:rsid w:val="00BF02A8"/>
    <w:rsid w:val="00BF0363"/>
    <w:rsid w:val="00BF04DF"/>
    <w:rsid w:val="00BF1109"/>
    <w:rsid w:val="00BF2CDA"/>
    <w:rsid w:val="00BF3699"/>
    <w:rsid w:val="00BF4283"/>
    <w:rsid w:val="00BF4D7D"/>
    <w:rsid w:val="00BF67CA"/>
    <w:rsid w:val="00BF71EB"/>
    <w:rsid w:val="00BF72B0"/>
    <w:rsid w:val="00C015F8"/>
    <w:rsid w:val="00C01D12"/>
    <w:rsid w:val="00C02B4C"/>
    <w:rsid w:val="00C03132"/>
    <w:rsid w:val="00C032A0"/>
    <w:rsid w:val="00C03B17"/>
    <w:rsid w:val="00C04CC0"/>
    <w:rsid w:val="00C075BF"/>
    <w:rsid w:val="00C07B06"/>
    <w:rsid w:val="00C07E26"/>
    <w:rsid w:val="00C1011C"/>
    <w:rsid w:val="00C101B1"/>
    <w:rsid w:val="00C10FB1"/>
    <w:rsid w:val="00C11E27"/>
    <w:rsid w:val="00C1260C"/>
    <w:rsid w:val="00C12AF8"/>
    <w:rsid w:val="00C12E45"/>
    <w:rsid w:val="00C12F94"/>
    <w:rsid w:val="00C14AAD"/>
    <w:rsid w:val="00C177C5"/>
    <w:rsid w:val="00C21857"/>
    <w:rsid w:val="00C21DCA"/>
    <w:rsid w:val="00C21E0E"/>
    <w:rsid w:val="00C22D9E"/>
    <w:rsid w:val="00C24EDB"/>
    <w:rsid w:val="00C2526A"/>
    <w:rsid w:val="00C27127"/>
    <w:rsid w:val="00C30678"/>
    <w:rsid w:val="00C33216"/>
    <w:rsid w:val="00C34EC3"/>
    <w:rsid w:val="00C3666F"/>
    <w:rsid w:val="00C37D73"/>
    <w:rsid w:val="00C37F4A"/>
    <w:rsid w:val="00C4038C"/>
    <w:rsid w:val="00C4056B"/>
    <w:rsid w:val="00C40710"/>
    <w:rsid w:val="00C41B23"/>
    <w:rsid w:val="00C42BA2"/>
    <w:rsid w:val="00C43812"/>
    <w:rsid w:val="00C44066"/>
    <w:rsid w:val="00C44E13"/>
    <w:rsid w:val="00C455DD"/>
    <w:rsid w:val="00C46622"/>
    <w:rsid w:val="00C47D12"/>
    <w:rsid w:val="00C561A9"/>
    <w:rsid w:val="00C57ED2"/>
    <w:rsid w:val="00C60430"/>
    <w:rsid w:val="00C60A41"/>
    <w:rsid w:val="00C61B29"/>
    <w:rsid w:val="00C61DC4"/>
    <w:rsid w:val="00C62B71"/>
    <w:rsid w:val="00C62DE8"/>
    <w:rsid w:val="00C62DFB"/>
    <w:rsid w:val="00C65093"/>
    <w:rsid w:val="00C660BF"/>
    <w:rsid w:val="00C66630"/>
    <w:rsid w:val="00C6686D"/>
    <w:rsid w:val="00C66F4D"/>
    <w:rsid w:val="00C67992"/>
    <w:rsid w:val="00C70B37"/>
    <w:rsid w:val="00C724A2"/>
    <w:rsid w:val="00C74DDB"/>
    <w:rsid w:val="00C75672"/>
    <w:rsid w:val="00C75827"/>
    <w:rsid w:val="00C7757D"/>
    <w:rsid w:val="00C820CE"/>
    <w:rsid w:val="00C83BAC"/>
    <w:rsid w:val="00C83F09"/>
    <w:rsid w:val="00C84E15"/>
    <w:rsid w:val="00C85971"/>
    <w:rsid w:val="00C85AFF"/>
    <w:rsid w:val="00C861D8"/>
    <w:rsid w:val="00C86600"/>
    <w:rsid w:val="00C87246"/>
    <w:rsid w:val="00C8733F"/>
    <w:rsid w:val="00C8757E"/>
    <w:rsid w:val="00C87BCA"/>
    <w:rsid w:val="00C916F2"/>
    <w:rsid w:val="00C91B31"/>
    <w:rsid w:val="00C922E8"/>
    <w:rsid w:val="00C930FC"/>
    <w:rsid w:val="00C93292"/>
    <w:rsid w:val="00C9381B"/>
    <w:rsid w:val="00C93A51"/>
    <w:rsid w:val="00C944FE"/>
    <w:rsid w:val="00C94506"/>
    <w:rsid w:val="00C949D4"/>
    <w:rsid w:val="00C952E6"/>
    <w:rsid w:val="00C954BC"/>
    <w:rsid w:val="00C9576B"/>
    <w:rsid w:val="00C95F66"/>
    <w:rsid w:val="00C978C3"/>
    <w:rsid w:val="00C97B05"/>
    <w:rsid w:val="00C97BA6"/>
    <w:rsid w:val="00CA1F0B"/>
    <w:rsid w:val="00CA274E"/>
    <w:rsid w:val="00CA4233"/>
    <w:rsid w:val="00CA5ACD"/>
    <w:rsid w:val="00CA654F"/>
    <w:rsid w:val="00CA76EE"/>
    <w:rsid w:val="00CA7E7B"/>
    <w:rsid w:val="00CB110F"/>
    <w:rsid w:val="00CB1E68"/>
    <w:rsid w:val="00CB2A2E"/>
    <w:rsid w:val="00CB338A"/>
    <w:rsid w:val="00CB486D"/>
    <w:rsid w:val="00CB5F38"/>
    <w:rsid w:val="00CB79C5"/>
    <w:rsid w:val="00CC01E8"/>
    <w:rsid w:val="00CC0E76"/>
    <w:rsid w:val="00CC3C87"/>
    <w:rsid w:val="00CC411F"/>
    <w:rsid w:val="00CC4B75"/>
    <w:rsid w:val="00CC6B31"/>
    <w:rsid w:val="00CC6DA8"/>
    <w:rsid w:val="00CC732E"/>
    <w:rsid w:val="00CC7B8F"/>
    <w:rsid w:val="00CD16A6"/>
    <w:rsid w:val="00CD2C08"/>
    <w:rsid w:val="00CD527B"/>
    <w:rsid w:val="00CD6B4C"/>
    <w:rsid w:val="00CD7207"/>
    <w:rsid w:val="00CD7548"/>
    <w:rsid w:val="00CE0767"/>
    <w:rsid w:val="00CE07CE"/>
    <w:rsid w:val="00CE0DBE"/>
    <w:rsid w:val="00CE0F79"/>
    <w:rsid w:val="00CE4734"/>
    <w:rsid w:val="00CE5E4D"/>
    <w:rsid w:val="00CF02C4"/>
    <w:rsid w:val="00CF15CA"/>
    <w:rsid w:val="00CF167F"/>
    <w:rsid w:val="00CF2409"/>
    <w:rsid w:val="00CF2E0A"/>
    <w:rsid w:val="00CF3A3C"/>
    <w:rsid w:val="00CF4238"/>
    <w:rsid w:val="00CF4626"/>
    <w:rsid w:val="00CF58B4"/>
    <w:rsid w:val="00CF59B3"/>
    <w:rsid w:val="00CF6ED6"/>
    <w:rsid w:val="00CF72E5"/>
    <w:rsid w:val="00D0080F"/>
    <w:rsid w:val="00D01B0C"/>
    <w:rsid w:val="00D01F54"/>
    <w:rsid w:val="00D03D7A"/>
    <w:rsid w:val="00D04568"/>
    <w:rsid w:val="00D04B5B"/>
    <w:rsid w:val="00D05D08"/>
    <w:rsid w:val="00D06198"/>
    <w:rsid w:val="00D0620C"/>
    <w:rsid w:val="00D10FC7"/>
    <w:rsid w:val="00D1680B"/>
    <w:rsid w:val="00D171E8"/>
    <w:rsid w:val="00D209FE"/>
    <w:rsid w:val="00D20A7D"/>
    <w:rsid w:val="00D20E99"/>
    <w:rsid w:val="00D21C83"/>
    <w:rsid w:val="00D23D68"/>
    <w:rsid w:val="00D23EF0"/>
    <w:rsid w:val="00D2546D"/>
    <w:rsid w:val="00D301A7"/>
    <w:rsid w:val="00D31BC2"/>
    <w:rsid w:val="00D35BDD"/>
    <w:rsid w:val="00D35C44"/>
    <w:rsid w:val="00D35C64"/>
    <w:rsid w:val="00D377BA"/>
    <w:rsid w:val="00D44479"/>
    <w:rsid w:val="00D4673D"/>
    <w:rsid w:val="00D4770B"/>
    <w:rsid w:val="00D53917"/>
    <w:rsid w:val="00D577D6"/>
    <w:rsid w:val="00D61024"/>
    <w:rsid w:val="00D61310"/>
    <w:rsid w:val="00D63006"/>
    <w:rsid w:val="00D63271"/>
    <w:rsid w:val="00D656E3"/>
    <w:rsid w:val="00D66338"/>
    <w:rsid w:val="00D664BF"/>
    <w:rsid w:val="00D67B98"/>
    <w:rsid w:val="00D71F2A"/>
    <w:rsid w:val="00D72301"/>
    <w:rsid w:val="00D81B3E"/>
    <w:rsid w:val="00D82402"/>
    <w:rsid w:val="00D82848"/>
    <w:rsid w:val="00D8343E"/>
    <w:rsid w:val="00D861F8"/>
    <w:rsid w:val="00D86915"/>
    <w:rsid w:val="00D911DE"/>
    <w:rsid w:val="00D91B97"/>
    <w:rsid w:val="00D93ACC"/>
    <w:rsid w:val="00D93C08"/>
    <w:rsid w:val="00D93C91"/>
    <w:rsid w:val="00D94671"/>
    <w:rsid w:val="00D94848"/>
    <w:rsid w:val="00D9534D"/>
    <w:rsid w:val="00D95853"/>
    <w:rsid w:val="00D95DAC"/>
    <w:rsid w:val="00D96BA5"/>
    <w:rsid w:val="00DA0829"/>
    <w:rsid w:val="00DA0B53"/>
    <w:rsid w:val="00DA1A7B"/>
    <w:rsid w:val="00DA31E6"/>
    <w:rsid w:val="00DA328C"/>
    <w:rsid w:val="00DA48DF"/>
    <w:rsid w:val="00DA4D98"/>
    <w:rsid w:val="00DA573B"/>
    <w:rsid w:val="00DA5D91"/>
    <w:rsid w:val="00DB1171"/>
    <w:rsid w:val="00DB1519"/>
    <w:rsid w:val="00DB2642"/>
    <w:rsid w:val="00DB2840"/>
    <w:rsid w:val="00DB3F8C"/>
    <w:rsid w:val="00DB5C1A"/>
    <w:rsid w:val="00DB7054"/>
    <w:rsid w:val="00DC0287"/>
    <w:rsid w:val="00DC0B5C"/>
    <w:rsid w:val="00DC1824"/>
    <w:rsid w:val="00DC1BD3"/>
    <w:rsid w:val="00DC4A9D"/>
    <w:rsid w:val="00DC61D5"/>
    <w:rsid w:val="00DC683B"/>
    <w:rsid w:val="00DC7777"/>
    <w:rsid w:val="00DD13A4"/>
    <w:rsid w:val="00DD1B3B"/>
    <w:rsid w:val="00DD444A"/>
    <w:rsid w:val="00DD461E"/>
    <w:rsid w:val="00DD66B4"/>
    <w:rsid w:val="00DD68EA"/>
    <w:rsid w:val="00DD6A64"/>
    <w:rsid w:val="00DD6C92"/>
    <w:rsid w:val="00DD717D"/>
    <w:rsid w:val="00DE1972"/>
    <w:rsid w:val="00DE27AB"/>
    <w:rsid w:val="00DE43F3"/>
    <w:rsid w:val="00DE6921"/>
    <w:rsid w:val="00DE791C"/>
    <w:rsid w:val="00DF1D87"/>
    <w:rsid w:val="00DF1FEB"/>
    <w:rsid w:val="00DF2AB3"/>
    <w:rsid w:val="00DF5323"/>
    <w:rsid w:val="00DF7250"/>
    <w:rsid w:val="00DF7FB1"/>
    <w:rsid w:val="00E00CAA"/>
    <w:rsid w:val="00E01F9C"/>
    <w:rsid w:val="00E02572"/>
    <w:rsid w:val="00E02685"/>
    <w:rsid w:val="00E03B74"/>
    <w:rsid w:val="00E03EBF"/>
    <w:rsid w:val="00E04AFD"/>
    <w:rsid w:val="00E05209"/>
    <w:rsid w:val="00E10026"/>
    <w:rsid w:val="00E1036D"/>
    <w:rsid w:val="00E103B3"/>
    <w:rsid w:val="00E13516"/>
    <w:rsid w:val="00E13AFC"/>
    <w:rsid w:val="00E15AC0"/>
    <w:rsid w:val="00E17FB2"/>
    <w:rsid w:val="00E21B56"/>
    <w:rsid w:val="00E2258E"/>
    <w:rsid w:val="00E23018"/>
    <w:rsid w:val="00E23460"/>
    <w:rsid w:val="00E250B6"/>
    <w:rsid w:val="00E2547B"/>
    <w:rsid w:val="00E260C2"/>
    <w:rsid w:val="00E26B43"/>
    <w:rsid w:val="00E3000B"/>
    <w:rsid w:val="00E300F8"/>
    <w:rsid w:val="00E314D2"/>
    <w:rsid w:val="00E32596"/>
    <w:rsid w:val="00E326CD"/>
    <w:rsid w:val="00E32AD8"/>
    <w:rsid w:val="00E3327D"/>
    <w:rsid w:val="00E34838"/>
    <w:rsid w:val="00E34864"/>
    <w:rsid w:val="00E368F7"/>
    <w:rsid w:val="00E36EB8"/>
    <w:rsid w:val="00E37A5D"/>
    <w:rsid w:val="00E37FB8"/>
    <w:rsid w:val="00E40075"/>
    <w:rsid w:val="00E40B07"/>
    <w:rsid w:val="00E4180C"/>
    <w:rsid w:val="00E42326"/>
    <w:rsid w:val="00E43164"/>
    <w:rsid w:val="00E43271"/>
    <w:rsid w:val="00E43544"/>
    <w:rsid w:val="00E43E47"/>
    <w:rsid w:val="00E44D89"/>
    <w:rsid w:val="00E4530E"/>
    <w:rsid w:val="00E465C4"/>
    <w:rsid w:val="00E47667"/>
    <w:rsid w:val="00E477EA"/>
    <w:rsid w:val="00E51B51"/>
    <w:rsid w:val="00E52312"/>
    <w:rsid w:val="00E52DB2"/>
    <w:rsid w:val="00E531B9"/>
    <w:rsid w:val="00E53630"/>
    <w:rsid w:val="00E53BB1"/>
    <w:rsid w:val="00E5446B"/>
    <w:rsid w:val="00E54E15"/>
    <w:rsid w:val="00E5601A"/>
    <w:rsid w:val="00E56359"/>
    <w:rsid w:val="00E60394"/>
    <w:rsid w:val="00E61308"/>
    <w:rsid w:val="00E6134F"/>
    <w:rsid w:val="00E62A8A"/>
    <w:rsid w:val="00E63B14"/>
    <w:rsid w:val="00E64705"/>
    <w:rsid w:val="00E65CA0"/>
    <w:rsid w:val="00E67273"/>
    <w:rsid w:val="00E7118A"/>
    <w:rsid w:val="00E71E99"/>
    <w:rsid w:val="00E72918"/>
    <w:rsid w:val="00E741BC"/>
    <w:rsid w:val="00E741C5"/>
    <w:rsid w:val="00E7488E"/>
    <w:rsid w:val="00E77E75"/>
    <w:rsid w:val="00E80EBC"/>
    <w:rsid w:val="00E817AF"/>
    <w:rsid w:val="00E82B53"/>
    <w:rsid w:val="00E82F21"/>
    <w:rsid w:val="00E83810"/>
    <w:rsid w:val="00E83B9D"/>
    <w:rsid w:val="00E86933"/>
    <w:rsid w:val="00E86CF1"/>
    <w:rsid w:val="00E87916"/>
    <w:rsid w:val="00E97298"/>
    <w:rsid w:val="00E97753"/>
    <w:rsid w:val="00EA3C1F"/>
    <w:rsid w:val="00EA3C24"/>
    <w:rsid w:val="00EA5068"/>
    <w:rsid w:val="00EA577F"/>
    <w:rsid w:val="00EA5E97"/>
    <w:rsid w:val="00EA7DE7"/>
    <w:rsid w:val="00EA7E28"/>
    <w:rsid w:val="00EB04F9"/>
    <w:rsid w:val="00EB1FE7"/>
    <w:rsid w:val="00EB2399"/>
    <w:rsid w:val="00EB47B1"/>
    <w:rsid w:val="00EB7A8A"/>
    <w:rsid w:val="00EC009A"/>
    <w:rsid w:val="00EC4343"/>
    <w:rsid w:val="00EC4C08"/>
    <w:rsid w:val="00EC58A0"/>
    <w:rsid w:val="00EC5F29"/>
    <w:rsid w:val="00EC6135"/>
    <w:rsid w:val="00EC647A"/>
    <w:rsid w:val="00EC6909"/>
    <w:rsid w:val="00EC75D6"/>
    <w:rsid w:val="00EC7705"/>
    <w:rsid w:val="00ED08B9"/>
    <w:rsid w:val="00ED161D"/>
    <w:rsid w:val="00ED2081"/>
    <w:rsid w:val="00ED2C92"/>
    <w:rsid w:val="00ED340F"/>
    <w:rsid w:val="00ED5B31"/>
    <w:rsid w:val="00ED75D2"/>
    <w:rsid w:val="00EE3A64"/>
    <w:rsid w:val="00EE3CB2"/>
    <w:rsid w:val="00EE3EBB"/>
    <w:rsid w:val="00EE49A6"/>
    <w:rsid w:val="00EE4A40"/>
    <w:rsid w:val="00EE50E5"/>
    <w:rsid w:val="00EE6084"/>
    <w:rsid w:val="00EE6923"/>
    <w:rsid w:val="00EE7752"/>
    <w:rsid w:val="00EF01CF"/>
    <w:rsid w:val="00EF1132"/>
    <w:rsid w:val="00EF2C9A"/>
    <w:rsid w:val="00EF3341"/>
    <w:rsid w:val="00EF41A6"/>
    <w:rsid w:val="00EF4C17"/>
    <w:rsid w:val="00EF4EF9"/>
    <w:rsid w:val="00EF5806"/>
    <w:rsid w:val="00EF596D"/>
    <w:rsid w:val="00EF6751"/>
    <w:rsid w:val="00EF69D8"/>
    <w:rsid w:val="00EF6F25"/>
    <w:rsid w:val="00F0087F"/>
    <w:rsid w:val="00F03590"/>
    <w:rsid w:val="00F03622"/>
    <w:rsid w:val="00F041CD"/>
    <w:rsid w:val="00F063AD"/>
    <w:rsid w:val="00F071FA"/>
    <w:rsid w:val="00F07482"/>
    <w:rsid w:val="00F077FD"/>
    <w:rsid w:val="00F112BB"/>
    <w:rsid w:val="00F128DE"/>
    <w:rsid w:val="00F12CE3"/>
    <w:rsid w:val="00F14389"/>
    <w:rsid w:val="00F15C89"/>
    <w:rsid w:val="00F1732E"/>
    <w:rsid w:val="00F177DA"/>
    <w:rsid w:val="00F2035E"/>
    <w:rsid w:val="00F204F3"/>
    <w:rsid w:val="00F218AB"/>
    <w:rsid w:val="00F223DB"/>
    <w:rsid w:val="00F238B3"/>
    <w:rsid w:val="00F25586"/>
    <w:rsid w:val="00F260AE"/>
    <w:rsid w:val="00F2651D"/>
    <w:rsid w:val="00F27080"/>
    <w:rsid w:val="00F27362"/>
    <w:rsid w:val="00F3050E"/>
    <w:rsid w:val="00F31005"/>
    <w:rsid w:val="00F31498"/>
    <w:rsid w:val="00F31E81"/>
    <w:rsid w:val="00F3297C"/>
    <w:rsid w:val="00F32FEF"/>
    <w:rsid w:val="00F33B37"/>
    <w:rsid w:val="00F3433C"/>
    <w:rsid w:val="00F36A83"/>
    <w:rsid w:val="00F37C13"/>
    <w:rsid w:val="00F401EB"/>
    <w:rsid w:val="00F417BE"/>
    <w:rsid w:val="00F428B9"/>
    <w:rsid w:val="00F42E13"/>
    <w:rsid w:val="00F42F1C"/>
    <w:rsid w:val="00F43B44"/>
    <w:rsid w:val="00F440E5"/>
    <w:rsid w:val="00F4478A"/>
    <w:rsid w:val="00F448F6"/>
    <w:rsid w:val="00F45535"/>
    <w:rsid w:val="00F46678"/>
    <w:rsid w:val="00F46F76"/>
    <w:rsid w:val="00F5166C"/>
    <w:rsid w:val="00F52741"/>
    <w:rsid w:val="00F52DB0"/>
    <w:rsid w:val="00F53160"/>
    <w:rsid w:val="00F53D8A"/>
    <w:rsid w:val="00F53FC2"/>
    <w:rsid w:val="00F559DA"/>
    <w:rsid w:val="00F5624A"/>
    <w:rsid w:val="00F571CA"/>
    <w:rsid w:val="00F57C83"/>
    <w:rsid w:val="00F626F7"/>
    <w:rsid w:val="00F6325D"/>
    <w:rsid w:val="00F640B4"/>
    <w:rsid w:val="00F65BAC"/>
    <w:rsid w:val="00F664E4"/>
    <w:rsid w:val="00F66C68"/>
    <w:rsid w:val="00F67E76"/>
    <w:rsid w:val="00F7001F"/>
    <w:rsid w:val="00F7070E"/>
    <w:rsid w:val="00F732A7"/>
    <w:rsid w:val="00F736A5"/>
    <w:rsid w:val="00F74A95"/>
    <w:rsid w:val="00F80754"/>
    <w:rsid w:val="00F81264"/>
    <w:rsid w:val="00F822AD"/>
    <w:rsid w:val="00F85ECB"/>
    <w:rsid w:val="00F87C34"/>
    <w:rsid w:val="00F90469"/>
    <w:rsid w:val="00F90577"/>
    <w:rsid w:val="00F9170A"/>
    <w:rsid w:val="00F9211C"/>
    <w:rsid w:val="00F92208"/>
    <w:rsid w:val="00F930A2"/>
    <w:rsid w:val="00F93C89"/>
    <w:rsid w:val="00FA095D"/>
    <w:rsid w:val="00FA0ACD"/>
    <w:rsid w:val="00FA0D28"/>
    <w:rsid w:val="00FA0F10"/>
    <w:rsid w:val="00FA3099"/>
    <w:rsid w:val="00FA69FE"/>
    <w:rsid w:val="00FA6C8B"/>
    <w:rsid w:val="00FB25F6"/>
    <w:rsid w:val="00FB2911"/>
    <w:rsid w:val="00FB3589"/>
    <w:rsid w:val="00FB3CB4"/>
    <w:rsid w:val="00FB4139"/>
    <w:rsid w:val="00FB4604"/>
    <w:rsid w:val="00FB476E"/>
    <w:rsid w:val="00FB7DD2"/>
    <w:rsid w:val="00FC0D90"/>
    <w:rsid w:val="00FC16B5"/>
    <w:rsid w:val="00FC213D"/>
    <w:rsid w:val="00FC3560"/>
    <w:rsid w:val="00FC38A7"/>
    <w:rsid w:val="00FC3E92"/>
    <w:rsid w:val="00FC7D8C"/>
    <w:rsid w:val="00FD0C01"/>
    <w:rsid w:val="00FD3980"/>
    <w:rsid w:val="00FD431E"/>
    <w:rsid w:val="00FD5A2C"/>
    <w:rsid w:val="00FE0D47"/>
    <w:rsid w:val="00FE1617"/>
    <w:rsid w:val="00FE1D5C"/>
    <w:rsid w:val="00FE2406"/>
    <w:rsid w:val="00FE2F8B"/>
    <w:rsid w:val="00FE3669"/>
    <w:rsid w:val="00FE36E3"/>
    <w:rsid w:val="00FE4061"/>
    <w:rsid w:val="00FE415B"/>
    <w:rsid w:val="00FE5204"/>
    <w:rsid w:val="00FE6562"/>
    <w:rsid w:val="00FE7929"/>
    <w:rsid w:val="00FE7D3C"/>
    <w:rsid w:val="00FF0A89"/>
    <w:rsid w:val="00FF1DCB"/>
    <w:rsid w:val="00FF287F"/>
    <w:rsid w:val="00FF359F"/>
    <w:rsid w:val="00FF3CB3"/>
    <w:rsid w:val="00FF501F"/>
    <w:rsid w:val="00FF5EEE"/>
    <w:rsid w:val="00FF7150"/>
    <w:rsid w:val="00FF74A8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D5F2ABA"/>
  <w15:docId w15:val="{E18B0F82-ACC8-4285-A933-4A6D8790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contributionH1">
    <w:name w:val="BDT_contributionH1"/>
    <w:basedOn w:val="Normal"/>
    <w:next w:val="Normal"/>
    <w:rsid w:val="008B5772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ascii="Verdana" w:eastAsia="SimHei" w:hAnsi="Verdana" w:cs="Simplified Arabic"/>
      <w:b/>
      <w:sz w:val="19"/>
      <w:szCs w:val="19"/>
    </w:rPr>
  </w:style>
  <w:style w:type="paragraph" w:customStyle="1" w:styleId="CEONormal">
    <w:name w:val="CEO_Normal"/>
    <w:link w:val="CEONormalChar"/>
    <w:rsid w:val="008B5772"/>
    <w:pPr>
      <w:spacing w:before="120" w:after="120"/>
    </w:pPr>
    <w:rPr>
      <w:rFonts w:ascii="Calibri" w:hAnsi="Calibri" w:cs="Simplified Arabic"/>
      <w:sz w:val="22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locked/>
    <w:rsid w:val="008B5772"/>
    <w:rPr>
      <w:rFonts w:ascii="Calibri" w:eastAsia="SimSun" w:hAnsi="Calibri" w:cs="Simplified Arabic"/>
      <w:sz w:val="22"/>
      <w:szCs w:val="19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B57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720"/>
      <w:contextualSpacing/>
      <w:textAlignment w:val="auto"/>
    </w:pPr>
    <w:rPr>
      <w:rFonts w:ascii="Verdana" w:eastAsia="SimHei" w:hAnsi="Verdana" w:cs="Simplified Arabic"/>
      <w:bCs/>
      <w:sz w:val="19"/>
      <w:szCs w:val="2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5772"/>
    <w:rPr>
      <w:rFonts w:asciiTheme="minorHAnsi" w:hAnsiTheme="minorHAnsi"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8B5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57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Theme="minorEastAsia" w:cstheme="minorBid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5772"/>
    <w:rPr>
      <w:rFonts w:asciiTheme="minorHAnsi" w:eastAsiaTheme="minorEastAsia" w:hAnsiTheme="minorHAnsi" w:cstheme="minorBidi"/>
    </w:rPr>
  </w:style>
  <w:style w:type="paragraph" w:customStyle="1" w:styleId="CEOParagraph1">
    <w:name w:val="CEO_Paragraph1."/>
    <w:basedOn w:val="Normal"/>
    <w:rsid w:val="008B5772"/>
    <w:pPr>
      <w:keepNext/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240"/>
      <w:textAlignment w:val="auto"/>
    </w:pPr>
    <w:rPr>
      <w:rFonts w:ascii="Calibri" w:eastAsiaTheme="minorHAnsi" w:hAnsi="Calibri"/>
      <w:b/>
      <w:bCs/>
      <w:sz w:val="22"/>
      <w:szCs w:val="22"/>
      <w:lang w:val="en-US"/>
    </w:rPr>
  </w:style>
  <w:style w:type="paragraph" w:customStyle="1" w:styleId="CEOParagraphabc">
    <w:name w:val="CEO_Paragraph abc)"/>
    <w:basedOn w:val="Normal"/>
    <w:rsid w:val="008B5772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Calibri" w:eastAsiaTheme="minorHAnsi" w:hAnsi="Calibri"/>
      <w:b/>
      <w:bCs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B577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5772"/>
    <w:rPr>
      <w:rFonts w:ascii="Segoe UI" w:hAnsi="Segoe UI" w:cs="Segoe UI"/>
      <w:sz w:val="18"/>
      <w:szCs w:val="18"/>
      <w:lang w:val="en-GB" w:eastAsia="en-US"/>
    </w:rPr>
  </w:style>
  <w:style w:type="character" w:styleId="Emphasis">
    <w:name w:val="Emphasis"/>
    <w:basedOn w:val="DefaultParagraphFont"/>
    <w:uiPriority w:val="20"/>
    <w:qFormat/>
    <w:rsid w:val="00D03D7A"/>
    <w:rPr>
      <w:i/>
      <w:iCs/>
    </w:rPr>
  </w:style>
  <w:style w:type="character" w:customStyle="1" w:styleId="ms-rtethemeforecolor-2-0">
    <w:name w:val="ms-rtethemeforecolor-2-0"/>
    <w:basedOn w:val="DefaultParagraphFont"/>
    <w:rsid w:val="00D03D7A"/>
  </w:style>
  <w:style w:type="paragraph" w:styleId="Revision">
    <w:name w:val="Revision"/>
    <w:hidden/>
    <w:uiPriority w:val="99"/>
    <w:semiHidden/>
    <w:rsid w:val="006B362B"/>
    <w:rPr>
      <w:rFonts w:asciiTheme="minorHAnsi" w:hAnsiTheme="minorHAnsi"/>
      <w:sz w:val="24"/>
      <w:lang w:val="en-GB" w:eastAsia="en-US"/>
    </w:rPr>
  </w:style>
  <w:style w:type="character" w:customStyle="1" w:styleId="ms-rtefontface-5">
    <w:name w:val="ms-rtefontface-5"/>
    <w:basedOn w:val="DefaultParagraphFont"/>
    <w:rsid w:val="00FB291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509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 w:cs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65093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C7777"/>
    <w:rPr>
      <w:rFonts w:ascii="Verdana" w:eastAsia="SimHei" w:hAnsi="Verdana" w:cs="Simplified Arabic"/>
      <w:bCs/>
      <w:sz w:val="19"/>
      <w:szCs w:val="28"/>
    </w:rPr>
  </w:style>
  <w:style w:type="character" w:styleId="FollowedHyperlink">
    <w:name w:val="FollowedHyperlink"/>
    <w:basedOn w:val="DefaultParagraphFont"/>
    <w:semiHidden/>
    <w:unhideWhenUsed/>
    <w:rsid w:val="000C4D19"/>
    <w:rPr>
      <w:color w:val="800080" w:themeColor="followedHyperlink"/>
      <w:u w:val="single"/>
    </w:rPr>
  </w:style>
  <w:style w:type="character" w:customStyle="1" w:styleId="highlight">
    <w:name w:val="highlight"/>
    <w:basedOn w:val="DefaultParagraphFont"/>
    <w:rsid w:val="000D2CA5"/>
  </w:style>
  <w:style w:type="character" w:styleId="Strong">
    <w:name w:val="Strong"/>
    <w:basedOn w:val="DefaultParagraphFont"/>
    <w:uiPriority w:val="22"/>
    <w:qFormat/>
    <w:rsid w:val="00941F3E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D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6D94"/>
    <w:rPr>
      <w:rFonts w:ascii="Calibri" w:eastAsiaTheme="minorEastAsia" w:hAnsi="Calibri" w:cstheme="minorBidi"/>
      <w:sz w:val="22"/>
      <w:szCs w:val="21"/>
    </w:rPr>
  </w:style>
  <w:style w:type="paragraph" w:styleId="NoSpacing">
    <w:name w:val="No Spacing"/>
    <w:uiPriority w:val="1"/>
    <w:qFormat/>
    <w:rsid w:val="00172546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B44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7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7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76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0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1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3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8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D18-TDAG25-INF-0002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hart" Target="charts/chart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TDAG/Pages/TDAG19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on\Local%20Settings\Temporary%20Internet%20Files\Content.Outlook\1XY9WCVR\PE_WTDC14.dot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yots\Desktop\TDAG\2020\TDAG%20AnalyseCharts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yots\Desktop\TDAG\2020\TDAG%20AnalyseCharts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200"/>
              <a:t>2019</a:t>
            </a:r>
            <a:r>
              <a:rPr lang="zh-CN" altLang="en-US" sz="1200"/>
              <a:t>年含财务捐赠的</a:t>
            </a:r>
            <a:br>
              <a:rPr lang="en-GB" altLang="zh-CN" sz="1200"/>
            </a:br>
            <a:r>
              <a:rPr lang="zh-CN" altLang="en-US" sz="1200"/>
              <a:t>伙伴关系</a:t>
            </a:r>
            <a:endParaRPr lang="en-US" sz="1200"/>
          </a:p>
        </c:rich>
      </c:tx>
      <c:layout>
        <c:manualLayout>
          <c:xMode val="edge"/>
          <c:yMode val="edge"/>
          <c:x val="3.0367213272652842E-2"/>
          <c:y val="2.04586926634170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CH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2418237857882442"/>
          <c:y val="0.30215806357538644"/>
          <c:w val="0.56648418103142517"/>
          <c:h val="0.6536237970253718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FF2-49E7-B1A3-4EA94C38BA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FF2-49E7-B1A3-4EA94C38BA8C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CH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Sheet1!$A$40:$A$41</c:f>
              <c:strCache>
                <c:ptCount val="2"/>
                <c:pt idx="0">
                  <c:v>ITU component</c:v>
                </c:pt>
                <c:pt idx="1">
                  <c:v>Financial partners component</c:v>
                </c:pt>
              </c:strCache>
            </c:strRef>
          </c:cat>
          <c:val>
            <c:numRef>
              <c:f>Sheet1!$B$40:$B$41</c:f>
              <c:numCache>
                <c:formatCode>0.0%</c:formatCode>
                <c:ptCount val="2"/>
                <c:pt idx="0">
                  <c:v>3.5768120926309266E-2</c:v>
                </c:pt>
                <c:pt idx="1">
                  <c:v>0.96423187907369079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FF2-49E7-B1A3-4EA94C38BA8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5112688378741392"/>
          <c:y val="8.0728593136384266E-2"/>
          <c:w val="0.42689951600086679"/>
          <c:h val="0.1785726784151981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CH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CH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Composition of BDT</a:t>
            </a:r>
            <a:r>
              <a:rPr lang="en-US" sz="1200" baseline="0"/>
              <a:t> funding partners - 2019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CH"/>
        </a:p>
      </c:txPr>
    </c:title>
    <c:autoTitleDeleted val="0"/>
    <c:plotArea>
      <c:layout>
        <c:manualLayout>
          <c:layoutTarget val="inner"/>
          <c:xMode val="edge"/>
          <c:yMode val="edge"/>
          <c:x val="0.14878696412948381"/>
          <c:y val="0.14662875473899098"/>
          <c:w val="0.44807327209098863"/>
          <c:h val="0.7467887868183144"/>
        </c:manualLayout>
      </c:layout>
      <c:doughnutChart>
        <c:varyColors val="1"/>
        <c:ser>
          <c:idx val="0"/>
          <c:order val="0"/>
          <c:explosion val="17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959-4C5D-B319-C0A3AF21AF0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959-4C5D-B319-C0A3AF21AF0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959-4C5D-B319-C0A3AF21AF0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959-4C5D-B319-C0A3AF21AF0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959-4C5D-B319-C0A3AF21AF0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C959-4C5D-B319-C0A3AF21AF0D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CH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Sheet2!$A$31:$A$36</c:f>
              <c:strCache>
                <c:ptCount val="6"/>
                <c:pt idx="0">
                  <c:v>Member States</c:v>
                </c:pt>
                <c:pt idx="1">
                  <c:v>UN &amp; International Organizations</c:v>
                </c:pt>
                <c:pt idx="2">
                  <c:v>Multilateral &amp; Regional Organizations</c:v>
                </c:pt>
                <c:pt idx="3">
                  <c:v>Private Sector</c:v>
                </c:pt>
                <c:pt idx="4">
                  <c:v>Academia</c:v>
                </c:pt>
                <c:pt idx="5">
                  <c:v>NGOs</c:v>
                </c:pt>
              </c:strCache>
            </c:strRef>
          </c:cat>
          <c:val>
            <c:numRef>
              <c:f>Sheet2!$B$31:$B$36</c:f>
              <c:numCache>
                <c:formatCode>General</c:formatCode>
                <c:ptCount val="6"/>
                <c:pt idx="0">
                  <c:v>12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959-4C5D-B319-C0A3AF21AF0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CH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CH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0.60563</cdr:x>
      <cdr:y>0.09043</cdr:y>
    </cdr:from>
    <cdr:to>
      <cdr:x>1</cdr:x>
      <cdr:y>0.28968</cdr:y>
    </cdr:to>
    <cdr:sp macro="" textlink="">
      <cdr:nvSpPr>
        <cdr:cNvPr id="2" name="Text Box 3"/>
        <cdr:cNvSpPr txBox="1"/>
      </cdr:nvSpPr>
      <cdr:spPr>
        <a:xfrm xmlns:a="http://schemas.openxmlformats.org/drawingml/2006/main">
          <a:off x="2457450" y="229124"/>
          <a:ext cx="1600200" cy="50482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85000"/>
          </a:schemeClr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0" tIns="0" rIns="0" bIns="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200"/>
            </a:spcBef>
            <a:spcAft>
              <a:spcPts val="60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zh-CN" altLang="en-US" sz="9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国际电联的部分</a:t>
          </a:r>
          <a:endParaRPr lang="en-GB" sz="12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hangingPunct="0">
            <a:spcBef>
              <a:spcPts val="1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zh-CN" altLang="en-US" sz="9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出资伙伴的部分</a:t>
          </a:r>
          <a:endParaRPr lang="en-GB" sz="12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0.60069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38347650" cy="164782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0.73714</cdr:x>
      <cdr:y>0.17971</cdr:y>
    </cdr:from>
    <cdr:to>
      <cdr:x>0.9913</cdr:x>
      <cdr:y>0.9913</cdr:y>
    </cdr:to>
    <cdr:sp macro="" textlink="">
      <cdr:nvSpPr>
        <cdr:cNvPr id="3" name="Text Box 4"/>
        <cdr:cNvSpPr txBox="1"/>
      </cdr:nvSpPr>
      <cdr:spPr>
        <a:xfrm xmlns:a="http://schemas.openxmlformats.org/drawingml/2006/main">
          <a:off x="3370192" y="492981"/>
          <a:ext cx="1162050" cy="222636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85000"/>
          </a:schemeClr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0" tIns="0" rIns="0" bIns="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3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zh-CN" altLang="en-US" sz="8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成员国</a:t>
          </a:r>
          <a:endParaRPr lang="en-GB" altLang="zh-CN" sz="8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hangingPunct="0">
            <a:spcBef>
              <a:spcPts val="3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endParaRPr lang="en-GB" sz="8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hangingPunct="0">
            <a:spcBef>
              <a:spcPts val="3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zh-CN" altLang="en-US" sz="8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联合国和国际组织</a:t>
          </a:r>
          <a:endParaRPr lang="en-GB" altLang="zh-CN" sz="8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hangingPunct="0">
            <a:spcBef>
              <a:spcPts val="3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endParaRPr lang="en-GB" sz="8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hangingPunct="0">
            <a:spcBef>
              <a:spcPts val="3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zh-CN" altLang="en-US" sz="8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多边和区域性组织</a:t>
          </a:r>
          <a:endParaRPr lang="en-GB" altLang="zh-CN" sz="8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hangingPunct="0">
            <a:spcBef>
              <a:spcPts val="3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endParaRPr lang="en-GB" sz="8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hangingPunct="0">
            <a:spcBef>
              <a:spcPts val="3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zh-CN" altLang="en-US" sz="8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私营部门</a:t>
          </a:r>
          <a:endParaRPr lang="en-GB" sz="12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hangingPunct="0">
            <a:spcBef>
              <a:spcPts val="18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zh-CN" altLang="en-US" sz="8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学术机构</a:t>
          </a:r>
          <a:endParaRPr lang="en-GB" sz="8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hangingPunct="0">
            <a:spcBef>
              <a:spcPts val="8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endParaRPr lang="en-GB" sz="8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hangingPunct="0">
            <a:spcBef>
              <a:spcPts val="80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zh-CN" altLang="en-US" sz="8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非政府组织</a:t>
          </a:r>
          <a:endParaRPr lang="en-GB" sz="12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6AE1A9AE5B140B8F0EC84C61387A2" ma:contentTypeVersion="18" ma:contentTypeDescription="Create a new document." ma:contentTypeScope="" ma:versionID="5e64a1d579fdee9abdbf12d32a65059a">
  <xsd:schema xmlns:xsd="http://www.w3.org/2001/XMLSchema" xmlns:xs="http://www.w3.org/2001/XMLSchema" xmlns:p="http://schemas.microsoft.com/office/2006/metadata/properties" xmlns:ns2="10bb021d-947f-43a0-81ba-2a21b0d60df9" xmlns:ns3="bc0480e9-89b5-4e04-9897-b8ef005e5e50" targetNamespace="http://schemas.microsoft.com/office/2006/metadata/properties" ma:root="true" ma:fieldsID="d38661aed2f8f4fe0c9a90883688a0ee" ns2:_="" ns3:_="">
    <xsd:import namespace="10bb021d-947f-43a0-81ba-2a21b0d60df9"/>
    <xsd:import namespace="bc0480e9-89b5-4e04-9897-b8ef005e5e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mments" minOccurs="0"/>
                <xsd:element ref="ns3:Responsible"/>
                <xsd:element ref="ns3:Focal_x0020_Points" minOccurs="0"/>
                <xsd:element ref="ns3:Doc_x0020_posted"/>
                <xsd:element ref="ns3:Doc_x0020_No"/>
                <xsd:element ref="ns3:Doc_x0020_No_x003a_Doc_x0020_Title" minOccurs="0"/>
                <xsd:element ref="ns3:Doc_x0020_No_x003a_Doc_x0020_No" minOccurs="0"/>
                <xsd:element ref="ns3:Doc_x0020_No_x003a_Doc_x0020_Source" minOccurs="0"/>
                <xsd:element ref="ns3:Doc_x0020_No_x003a_Presenter" minOccurs="0"/>
                <xsd:element ref="ns3:Doc_x0020_No_x003a_URL" minOccurs="0"/>
                <xsd:element ref="ns3:bas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021d-947f-43a0-81ba-2a21b0d60d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480e9-89b5-4e04-9897-b8ef005e5e50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Comments" ma:internalName="Comments">
      <xsd:simpleType>
        <xsd:restriction base="dms:Note">
          <xsd:maxLength value="255"/>
        </xsd:restriction>
      </xsd:simpleType>
    </xsd:element>
    <xsd:element name="Responsible" ma:index="12" ma:displayName="Responsible" ma:format="Dropdown" ma:internalName="Responsible">
      <xsd:simpleType>
        <xsd:restriction base="dms:Choice">
          <xsd:enumeration value="Alhaddad E."/>
          <xsd:enumeration value="Ba A."/>
          <xsd:enumeration value="Guillot A."/>
          <xsd:enumeration value="Huseinovic K."/>
          <xsd:enumeration value="Kim E.J."/>
          <xsd:enumeration value="Koroivuki I."/>
          <xsd:enumeration value="Lusweti P."/>
          <xsd:enumeration value="Oparin K."/>
          <xsd:enumeration value="Ponder J."/>
          <xsd:enumeration value="Ramos B."/>
          <xsd:enumeration value="Rugege A."/>
          <xsd:enumeration value="Torigoe Y."/>
          <xsd:enumeration value="Zavazava C."/>
        </xsd:restriction>
      </xsd:simpleType>
    </xsd:element>
    <xsd:element name="Focal_x0020_Points" ma:index="13" nillable="true" ma:displayName="Focal Points" ma:internalName="Focal_x0020_Poi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bertini M."/>
                    <xsd:enumeration value="Alhaddad E."/>
                    <xsd:enumeration value="Ba A."/>
                    <xsd:enumeration value="Ba M."/>
                    <xsd:enumeration value="Bozsoki I."/>
                    <xsd:enumeration value="Byamba G."/>
                    <xsd:enumeration value="Cabral P."/>
                    <xsd:enumeration value="Cleveland T."/>
                    <xsd:enumeration value="Comas Barnés M."/>
                    <xsd:enumeration value="Daigele V."/>
                    <xsd:enumeration value="Delgado M."/>
                    <xsd:enumeration value="Eskandar H."/>
                    <xsd:enumeration value="Gbaguidi C."/>
                    <xsd:enumeration value="Gray V."/>
                    <xsd:enumeration value="Guillot A."/>
                    <xsd:enumeration value="Guyot S."/>
                    <xsd:enumeration value="Huseinovic K."/>
                    <xsd:enumeration value="Jongou R."/>
                    <xsd:enumeration value="Karyabwite D."/>
                    <xsd:enumeration value="Kim E.J."/>
                    <xsd:enumeration value="Koroivuki I."/>
                    <xsd:enumeration value="Lozanova Y."/>
                    <xsd:enumeration value="Lusweti P."/>
                    <xsd:enumeration value="Maddens S."/>
                    <xsd:enumeration value="Maia Reboucas, A."/>
                    <xsd:enumeration value="Obiso, M."/>
                    <xsd:enumeration value="Oparin K."/>
                    <xsd:enumeration value="Poll S."/>
                    <xsd:enumeration value="Ponder J."/>
                    <xsd:enumeration value="Prado C."/>
                    <xsd:enumeration value="Ramos B."/>
                    <xsd:enumeration value="Rugege A."/>
                    <xsd:enumeration value="Scarabino S."/>
                    <xsd:enumeration value="Schorr S."/>
                    <xsd:enumeration value="Skhirtladze R."/>
                    <xsd:enumeration value="Sund C."/>
                    <xsd:enumeration value="Teltscher S."/>
                    <xsd:enumeration value="Torigoe Y."/>
                    <xsd:enumeration value="Zavazava C."/>
                  </xsd:restriction>
                </xsd:simpleType>
              </xsd:element>
            </xsd:sequence>
          </xsd:extension>
        </xsd:complexContent>
      </xsd:complexType>
    </xsd:element>
    <xsd:element name="Doc_x0020_posted" ma:index="14" ma:displayName="Doc posted" ma:default="not posted" ma:format="RadioButtons" ma:internalName="Doc_x0020_posted">
      <xsd:simpleType>
        <xsd:restriction base="dms:Choice">
          <xsd:enumeration value="posted"/>
          <xsd:enumeration value="not posted"/>
        </xsd:restriction>
      </xsd:simpleType>
    </xsd:element>
    <xsd:element name="Doc_x0020_No" ma:index="15" ma:displayName="Doc No" ma:indexed="true" ma:list="{c571b9a2-8c27-4c1b-a0a6-2785140dd718}" ma:internalName="Doc_x0020_No" ma:readOnly="false" ma:showField="Doc_x0020_No">
      <xsd:simpleType>
        <xsd:restriction base="dms:Lookup"/>
      </xsd:simpleType>
    </xsd:element>
    <xsd:element name="Doc_x0020_No_x003a_Doc_x0020_Title" ma:index="16" nillable="true" ma:displayName="Doc No:Doc Title" ma:list="{c571b9a2-8c27-4c1b-a0a6-2785140dd718}" ma:internalName="Doc_x0020_No_x003a_Doc_x0020_Title" ma:readOnly="true" ma:showField="Title" ma:web="117000de-26cc-44b9-a624-eac198371aac">
      <xsd:simpleType>
        <xsd:restriction base="dms:Lookup"/>
      </xsd:simpleType>
    </xsd:element>
    <xsd:element name="Doc_x0020_No_x003a_Doc_x0020_No" ma:index="17" nillable="true" ma:displayName="Doc No:Doc No" ma:list="{c571b9a2-8c27-4c1b-a0a6-2785140dd718}" ma:internalName="Doc_x0020_No_x003a_Doc_x0020_No" ma:readOnly="true" ma:showField="Doc_x0020_No" ma:web="117000de-26cc-44b9-a624-eac198371aac">
      <xsd:simpleType>
        <xsd:restriction base="dms:Lookup"/>
      </xsd:simpleType>
    </xsd:element>
    <xsd:element name="Doc_x0020_No_x003a_Doc_x0020_Source" ma:index="18" nillable="true" ma:displayName="Doc No:Doc Source" ma:list="{c571b9a2-8c27-4c1b-a0a6-2785140dd718}" ma:internalName="Doc_x0020_No_x003a_Doc_x0020_Source" ma:readOnly="true" ma:showField="Doc_x0020_Source" ma:web="117000de-26cc-44b9-a624-eac198371aac">
      <xsd:simpleType>
        <xsd:restriction base="dms:Lookup"/>
      </xsd:simpleType>
    </xsd:element>
    <xsd:element name="Doc_x0020_No_x003a_Presenter" ma:index="19" nillable="true" ma:displayName="Doc No:Presenter" ma:list="{c571b9a2-8c27-4c1b-a0a6-2785140dd718}" ma:internalName="Doc_x0020_No_x003a_Presenter" ma:readOnly="true" ma:showField="Presenter" ma:web="117000de-26cc-44b9-a624-eac198371aac">
      <xsd:simpleType>
        <xsd:restriction base="dms:Lookup"/>
      </xsd:simpleType>
    </xsd:element>
    <xsd:element name="Doc_x0020_No_x003a_URL" ma:index="20" nillable="true" ma:displayName="Doc No:URL" ma:list="{c571b9a2-8c27-4c1b-a0a6-2785140dd718}" ma:internalName="Doc_x0020_No_x003a_URL" ma:readOnly="true" ma:showField="URL" ma:web="117000de-26cc-44b9-a624-eac198371aac">
      <xsd:simpleType>
        <xsd:restriction base="dms:Lookup"/>
      </xsd:simpleType>
    </xsd:element>
    <xsd:element name="base" ma:index="22" ma:displayName="base" ma:default="TDAG23" ma:internalName="ba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bb021d-947f-43a0-81ba-2a21b0d60df9">XMDQHHHA4CRK-2051021946-15</_dlc_DocId>
    <_dlc_DocIdUrl xmlns="10bb021d-947f-43a0-81ba-2a21b0d60df9">
      <Url>https://intranet.itu.int/sites/ITU-D/tdag/_layouts/15/DocIdRedir.aspx?ID=XMDQHHHA4CRK-2051021946-15</Url>
      <Description>XMDQHHHA4CRK-2051021946-15</Description>
    </_dlc_DocIdUrl>
    <Comments xmlns="bc0480e9-89b5-4e04-9897-b8ef005e5e50" xsi:nil="true"/>
    <Doc_x0020_No xmlns="bc0480e9-89b5-4e04-9897-b8ef005e5e50">43</Doc_x0020_No>
    <Focal_x0020_Points xmlns="bc0480e9-89b5-4e04-9897-b8ef005e5e50">
      <Value>Guyot S.</Value>
    </Focal_x0020_Points>
    <Doc_x0020_posted xmlns="bc0480e9-89b5-4e04-9897-b8ef005e5e50">not posted</Doc_x0020_posted>
    <Responsible xmlns="bc0480e9-89b5-4e04-9897-b8ef005e5e50">Kim E.J.</Responsible>
    <base xmlns="bc0480e9-89b5-4e04-9897-b8ef005e5e50">TDAG23</bas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6A11-D75F-4191-84C1-F6270BF7F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021d-947f-43a0-81ba-2a21b0d60df9"/>
    <ds:schemaRef ds:uri="bc0480e9-89b5-4e04-9897-b8ef005e5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C9683-D21B-4E7B-B8E4-57334961F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834CB-FCD7-45BD-8A9D-C67003996FB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C4CFAF-FA7B-4752-966D-2C70E3CA06D5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bc0480e9-89b5-4e04-9897-b8ef005e5e50"/>
    <ds:schemaRef ds:uri="http://schemas.microsoft.com/office/2006/documentManagement/types"/>
    <ds:schemaRef ds:uri="10bb021d-947f-43a0-81ba-2a21b0d60df9"/>
    <ds:schemaRef ds:uri="http://purl.org/dc/dcmitype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625AD6C5-F47E-4CEE-92D3-D6D96459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PE_WTDC14.dotm</Template>
  <TotalTime>14</TotalTime>
  <Pages>4</Pages>
  <Words>1569</Words>
  <Characters>295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ITU-D PARTNERSHIP AND RESOURCE MOBILIZATION</vt:lpstr>
    </vt:vector>
  </TitlesOfParts>
  <Manager>General Secretariat - Pool</Manager>
  <Company>International Telecommunication Union (ITU)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ITU-D PARTNERSHIP AND RESOURCE MOBILIZATION</dc:title>
  <dc:creator>BDT</dc:creator>
  <cp:lastModifiedBy>BDT</cp:lastModifiedBy>
  <cp:revision>4</cp:revision>
  <cp:lastPrinted>2020-02-13T10:45:00Z</cp:lastPrinted>
  <dcterms:created xsi:type="dcterms:W3CDTF">2020-02-14T09:09:00Z</dcterms:created>
  <dcterms:modified xsi:type="dcterms:W3CDTF">2020-03-10T10:44:00Z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0x0101001526AE1A9AE5B140B8F0EC84C61387A2</vt:lpwstr>
  </property>
  <property fmtid="{D5CDD505-2E9C-101B-9397-08002B2CF9AE}" pid="9" name="_dlc_DocIdItemGuid">
    <vt:lpwstr>36760fcd-ab37-4d63-99b1-fe60a94c9bbf</vt:lpwstr>
  </property>
</Properties>
</file>