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951"/>
        <w:gridCol w:w="2688"/>
      </w:tblGrid>
      <w:tr w:rsidR="00854989" w:rsidRPr="00783A69" w14:paraId="70E9C896" w14:textId="77777777" w:rsidTr="00854989">
        <w:trPr>
          <w:cantSplit/>
          <w:trHeight w:val="1310"/>
        </w:trPr>
        <w:tc>
          <w:tcPr>
            <w:tcW w:w="6951" w:type="dxa"/>
          </w:tcPr>
          <w:p w14:paraId="10C5AE50" w14:textId="77777777" w:rsidR="00854989" w:rsidRPr="00854989" w:rsidRDefault="00854989" w:rsidP="0085498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b/>
                <w:bCs/>
                <w:sz w:val="40"/>
                <w:szCs w:val="40"/>
                <w:rtl/>
                <w:lang w:bidi="ar-EG"/>
              </w:rPr>
            </w:pPr>
            <w:r w:rsidRPr="00854989">
              <w:rPr>
                <w:rFonts w:hint="cs"/>
                <w:b/>
                <w:bCs/>
                <w:sz w:val="40"/>
                <w:szCs w:val="40"/>
                <w:rtl/>
                <w:lang w:bidi="ar-EG"/>
              </w:rPr>
              <w:t xml:space="preserve">الفريق الاستشاري لتنمية الاتصالات </w:t>
            </w:r>
            <w:r w:rsidRPr="00854989">
              <w:rPr>
                <w:b/>
                <w:bCs/>
                <w:sz w:val="40"/>
                <w:szCs w:val="40"/>
                <w:lang w:bidi="ar-EG"/>
              </w:rPr>
              <w:t>(TDAG)</w:t>
            </w:r>
          </w:p>
          <w:p w14:paraId="2C1D80E7" w14:textId="0ABCE964" w:rsidR="00854989" w:rsidRPr="00783A69" w:rsidRDefault="00854989" w:rsidP="00854989">
            <w:pPr>
              <w:rPr>
                <w:b/>
                <w:bCs/>
                <w:sz w:val="28"/>
                <w:szCs w:val="28"/>
                <w:rtl/>
                <w:lang w:bidi="ar-SY"/>
              </w:rPr>
            </w:pPr>
            <w:proofErr w:type="spellStart"/>
            <w:r w:rsidRPr="00507FFC">
              <w:rPr>
                <w:rFonts w:asciiTheme="minorHAnsi" w:hAnsiTheme="minorHAnsi" w:cstheme="minorHAnsi"/>
                <w:b/>
                <w:bCs/>
                <w:sz w:val="32"/>
                <w:szCs w:val="40"/>
                <w:lang w:bidi="ar-EG"/>
              </w:rPr>
              <w:t>الاجتماع</w:t>
            </w:r>
            <w:proofErr w:type="spellEnd"/>
            <w:r w:rsidRPr="00507FFC">
              <w:rPr>
                <w:rFonts w:asciiTheme="minorHAnsi" w:hAnsiTheme="minorHAnsi" w:cstheme="minorHAnsi"/>
                <w:b/>
                <w:bCs/>
                <w:sz w:val="32"/>
                <w:szCs w:val="40"/>
                <w:lang w:bidi="ar-EG"/>
              </w:rPr>
              <w:t xml:space="preserve"> </w:t>
            </w:r>
            <w:proofErr w:type="spellStart"/>
            <w:r w:rsidRPr="00507FFC">
              <w:rPr>
                <w:rFonts w:asciiTheme="minorHAnsi" w:hAnsiTheme="minorHAnsi" w:cstheme="minorHAnsi"/>
                <w:b/>
                <w:bCs/>
                <w:sz w:val="32"/>
                <w:szCs w:val="40"/>
                <w:lang w:bidi="ar-EG"/>
              </w:rPr>
              <w:t>الخامس</w:t>
            </w:r>
            <w:proofErr w:type="spellEnd"/>
            <w:r w:rsidRPr="00507FFC">
              <w:rPr>
                <w:rFonts w:asciiTheme="minorHAnsi" w:hAnsiTheme="minorHAnsi" w:cstheme="minorHAnsi"/>
                <w:b/>
                <w:bCs/>
                <w:sz w:val="32"/>
                <w:szCs w:val="40"/>
                <w:lang w:bidi="ar-EG"/>
              </w:rPr>
              <w:t xml:space="preserve"> </w:t>
            </w:r>
            <w:proofErr w:type="spellStart"/>
            <w:r w:rsidRPr="00507FFC">
              <w:rPr>
                <w:rFonts w:asciiTheme="minorHAnsi" w:hAnsiTheme="minorHAnsi" w:cstheme="minorHAnsi"/>
                <w:b/>
                <w:bCs/>
                <w:sz w:val="32"/>
                <w:szCs w:val="40"/>
                <w:lang w:bidi="ar-EG"/>
              </w:rPr>
              <w:t>والعشرون</w:t>
            </w:r>
            <w:proofErr w:type="spellEnd"/>
            <w:r w:rsidRPr="00507FFC">
              <w:rPr>
                <w:rFonts w:asciiTheme="minorHAnsi" w:hAnsiTheme="minorHAnsi" w:cstheme="minorHAnsi"/>
                <w:b/>
                <w:bCs/>
                <w:sz w:val="32"/>
                <w:szCs w:val="40"/>
                <w:lang w:bidi="ar-EG"/>
              </w:rPr>
              <w:t xml:space="preserve"> ، </w:t>
            </w:r>
            <w:proofErr w:type="spellStart"/>
            <w:r w:rsidRPr="00507FFC">
              <w:rPr>
                <w:rFonts w:asciiTheme="minorHAnsi" w:hAnsiTheme="minorHAnsi" w:cstheme="minorHAnsi"/>
                <w:b/>
                <w:bCs/>
                <w:sz w:val="32"/>
                <w:szCs w:val="40"/>
                <w:lang w:bidi="ar-EG"/>
              </w:rPr>
              <w:t>جنيف</w:t>
            </w:r>
            <w:proofErr w:type="spellEnd"/>
            <w:r w:rsidRPr="00507FFC">
              <w:rPr>
                <w:rFonts w:asciiTheme="minorHAnsi" w:hAnsiTheme="minorHAnsi" w:cstheme="minorHAnsi"/>
                <w:b/>
                <w:bCs/>
                <w:szCs w:val="40"/>
                <w:rtl/>
                <w:lang w:bidi="ar-EG"/>
              </w:rPr>
              <w:t>،</w:t>
            </w:r>
            <w:r w:rsidRPr="00507FFC">
              <w:rPr>
                <w:rFonts w:asciiTheme="minorHAnsi" w:hAnsiTheme="minorHAnsi" w:cstheme="minorHAnsi"/>
                <w:b/>
                <w:bCs/>
                <w:sz w:val="24"/>
                <w:szCs w:val="24"/>
                <w:rtl/>
                <w:lang w:bidi="ar-EG"/>
              </w:rPr>
              <w:t xml:space="preserve"> </w:t>
            </w:r>
            <w:r w:rsidRPr="00507FFC">
              <w:rPr>
                <w:rFonts w:asciiTheme="minorHAnsi" w:hAnsiTheme="minorHAnsi" w:cstheme="minorHAnsi"/>
                <w:b/>
                <w:bCs/>
                <w:sz w:val="24"/>
                <w:szCs w:val="24"/>
                <w:lang w:bidi="ar-EG"/>
              </w:rPr>
              <w:t>2</w:t>
            </w:r>
            <w:r w:rsidRPr="00507FFC">
              <w:rPr>
                <w:rFonts w:asciiTheme="minorHAnsi" w:hAnsiTheme="minorHAnsi" w:cstheme="minorHAnsi"/>
                <w:b/>
                <w:bCs/>
                <w:sz w:val="24"/>
                <w:szCs w:val="24"/>
                <w:rtl/>
                <w:lang w:bidi="ar-EG"/>
              </w:rPr>
              <w:t>-</w:t>
            </w:r>
            <w:r w:rsidRPr="00507FFC">
              <w:rPr>
                <w:rFonts w:asciiTheme="minorHAnsi" w:hAnsiTheme="minorHAnsi" w:cstheme="minorHAnsi"/>
                <w:b/>
                <w:bCs/>
                <w:sz w:val="24"/>
                <w:szCs w:val="24"/>
                <w:lang w:bidi="ar-EG"/>
              </w:rPr>
              <w:t>5</w:t>
            </w:r>
            <w:r w:rsidRPr="00507FFC">
              <w:rPr>
                <w:rFonts w:asciiTheme="minorHAnsi" w:hAnsiTheme="minorHAnsi" w:cstheme="minorHAnsi"/>
                <w:b/>
                <w:bCs/>
                <w:sz w:val="18"/>
                <w:szCs w:val="32"/>
                <w:rtl/>
                <w:lang w:bidi="ar-EG"/>
              </w:rPr>
              <w:t xml:space="preserve"> </w:t>
            </w:r>
            <w:r w:rsidRPr="00507FFC">
              <w:rPr>
                <w:rFonts w:asciiTheme="minorHAnsi" w:hAnsiTheme="minorHAnsi" w:cstheme="minorHAnsi"/>
                <w:b/>
                <w:bCs/>
                <w:sz w:val="24"/>
                <w:szCs w:val="32"/>
                <w:rtl/>
                <w:lang w:bidi="ar-EG"/>
              </w:rPr>
              <w:t xml:space="preserve">يونيو </w:t>
            </w:r>
            <w:r w:rsidRPr="00507FFC">
              <w:rPr>
                <w:rFonts w:asciiTheme="minorHAnsi" w:hAnsiTheme="minorHAnsi" w:cstheme="minorHAnsi"/>
                <w:b/>
                <w:bCs/>
                <w:sz w:val="24"/>
                <w:szCs w:val="24"/>
                <w:lang w:bidi="ar-EG"/>
              </w:rPr>
              <w:t>2</w:t>
            </w:r>
            <w:r w:rsidRPr="00382349">
              <w:rPr>
                <w:b/>
                <w:bCs/>
                <w:sz w:val="24"/>
                <w:szCs w:val="24"/>
                <w:lang w:bidi="ar-EG"/>
              </w:rPr>
              <w:t>020</w:t>
            </w:r>
            <w:bookmarkStart w:id="0" w:name="_GoBack"/>
            <w:bookmarkEnd w:id="0"/>
          </w:p>
        </w:tc>
        <w:tc>
          <w:tcPr>
            <w:tcW w:w="2688" w:type="dxa"/>
          </w:tcPr>
          <w:p w14:paraId="02E6F24B" w14:textId="4BC32912" w:rsidR="00854989" w:rsidRPr="00783A69" w:rsidRDefault="00854989" w:rsidP="00854989">
            <w:pPr>
              <w:jc w:val="right"/>
              <w:rPr>
                <w:lang w:val="en-GB" w:bidi="ar-EG"/>
              </w:rPr>
            </w:pPr>
            <w:bookmarkStart w:id="1" w:name="ditulogo"/>
            <w:bookmarkEnd w:id="1"/>
            <w:r w:rsidRPr="008E52B1">
              <w:rPr>
                <w:noProof/>
                <w:color w:val="3399FF"/>
                <w:lang w:val="en-GB" w:eastAsia="en-GB"/>
              </w:rPr>
              <w:drawing>
                <wp:inline distT="0" distB="0" distL="0" distR="0" wp14:anchorId="190B7401" wp14:editId="676E0362">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156B9051" w14:textId="77777777" w:rsidTr="00854989">
        <w:trPr>
          <w:cantSplit/>
        </w:trPr>
        <w:tc>
          <w:tcPr>
            <w:tcW w:w="6951" w:type="dxa"/>
            <w:tcBorders>
              <w:top w:val="single" w:sz="12" w:space="0" w:color="auto"/>
            </w:tcBorders>
          </w:tcPr>
          <w:p w14:paraId="53C11C2D" w14:textId="77777777" w:rsidR="00783A69" w:rsidRPr="00783A69" w:rsidRDefault="00783A69" w:rsidP="00783A69">
            <w:pPr>
              <w:rPr>
                <w:b/>
                <w:bCs/>
                <w:lang w:bidi="ar-EG"/>
              </w:rPr>
            </w:pPr>
          </w:p>
        </w:tc>
        <w:tc>
          <w:tcPr>
            <w:tcW w:w="2688" w:type="dxa"/>
            <w:tcBorders>
              <w:top w:val="single" w:sz="12" w:space="0" w:color="auto"/>
            </w:tcBorders>
          </w:tcPr>
          <w:p w14:paraId="3262DAAB" w14:textId="77777777" w:rsidR="00783A69" w:rsidRPr="00783A69" w:rsidRDefault="00783A69" w:rsidP="00783A69">
            <w:pPr>
              <w:rPr>
                <w:b/>
                <w:bCs/>
                <w:lang w:bidi="ar-EG"/>
              </w:rPr>
            </w:pPr>
          </w:p>
        </w:tc>
      </w:tr>
      <w:tr w:rsidR="00FB130A" w:rsidRPr="00783A69" w14:paraId="62622C95" w14:textId="77777777" w:rsidTr="00854989">
        <w:trPr>
          <w:cantSplit/>
        </w:trPr>
        <w:tc>
          <w:tcPr>
            <w:tcW w:w="6951" w:type="dxa"/>
          </w:tcPr>
          <w:p w14:paraId="5A8C1DC2" w14:textId="77777777" w:rsidR="00FB130A" w:rsidRPr="00783A69" w:rsidRDefault="00FB130A" w:rsidP="00FB130A">
            <w:pPr>
              <w:rPr>
                <w:b/>
                <w:bCs/>
                <w:rtl/>
                <w:lang w:bidi="ar-EG"/>
              </w:rPr>
            </w:pPr>
          </w:p>
        </w:tc>
        <w:tc>
          <w:tcPr>
            <w:tcW w:w="2688" w:type="dxa"/>
          </w:tcPr>
          <w:p w14:paraId="4C5E8D5E" w14:textId="3166D6A4" w:rsidR="00FB130A" w:rsidRPr="00783A69" w:rsidRDefault="00FB130A" w:rsidP="00FB130A">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Pr>
                <w:b/>
                <w:bCs/>
                <w:lang w:bidi="ar-EG"/>
              </w:rPr>
              <w:t>7</w:t>
            </w:r>
            <w:r w:rsidRPr="00783A69">
              <w:rPr>
                <w:b/>
                <w:bCs/>
                <w:lang w:bidi="ar-EG"/>
              </w:rPr>
              <w:t>-A</w:t>
            </w:r>
          </w:p>
        </w:tc>
      </w:tr>
      <w:tr w:rsidR="00FB130A" w:rsidRPr="00783A69" w14:paraId="34F3BA5A" w14:textId="77777777" w:rsidTr="00854989">
        <w:trPr>
          <w:cantSplit/>
        </w:trPr>
        <w:tc>
          <w:tcPr>
            <w:tcW w:w="6951" w:type="dxa"/>
          </w:tcPr>
          <w:p w14:paraId="6B553D5F" w14:textId="77777777" w:rsidR="00FB130A" w:rsidRPr="00783A69" w:rsidRDefault="00FB130A" w:rsidP="00FB130A">
            <w:pPr>
              <w:rPr>
                <w:b/>
                <w:bCs/>
                <w:lang w:bidi="ar-EG"/>
              </w:rPr>
            </w:pPr>
          </w:p>
        </w:tc>
        <w:tc>
          <w:tcPr>
            <w:tcW w:w="2688" w:type="dxa"/>
          </w:tcPr>
          <w:p w14:paraId="40205F45" w14:textId="658B5A72" w:rsidR="00FB130A" w:rsidRPr="00783A69" w:rsidRDefault="00FB130A" w:rsidP="00FB130A">
            <w:pPr>
              <w:rPr>
                <w:b/>
                <w:bCs/>
                <w:rtl/>
                <w:lang w:bidi="ar-SY"/>
              </w:rPr>
            </w:pPr>
            <w:r>
              <w:rPr>
                <w:b/>
                <w:bCs/>
                <w:lang w:bidi="ar-EG"/>
              </w:rPr>
              <w:t>4</w:t>
            </w:r>
            <w:r w:rsidRPr="00783A69">
              <w:rPr>
                <w:rFonts w:hint="cs"/>
                <w:b/>
                <w:bCs/>
                <w:rtl/>
                <w:lang w:bidi="ar-EG"/>
              </w:rPr>
              <w:t xml:space="preserve"> </w:t>
            </w:r>
            <w:r>
              <w:rPr>
                <w:rFonts w:hint="cs"/>
                <w:b/>
                <w:bCs/>
                <w:rtl/>
                <w:lang w:bidi="ar-EG"/>
              </w:rPr>
              <w:t>فبراير</w:t>
            </w:r>
            <w:r w:rsidRPr="00783A69">
              <w:rPr>
                <w:rFonts w:hint="cs"/>
                <w:b/>
                <w:bCs/>
                <w:rtl/>
                <w:lang w:bidi="ar-EG"/>
              </w:rPr>
              <w:t xml:space="preserve"> </w:t>
            </w:r>
            <w:r>
              <w:rPr>
                <w:b/>
                <w:bCs/>
                <w:lang w:bidi="ar-EG"/>
              </w:rPr>
              <w:t>2020</w:t>
            </w:r>
          </w:p>
        </w:tc>
      </w:tr>
      <w:tr w:rsidR="00FB130A" w:rsidRPr="00783A69" w14:paraId="0757F093" w14:textId="77777777" w:rsidTr="00854989">
        <w:trPr>
          <w:cantSplit/>
        </w:trPr>
        <w:tc>
          <w:tcPr>
            <w:tcW w:w="6951" w:type="dxa"/>
          </w:tcPr>
          <w:p w14:paraId="0540D1D6" w14:textId="77777777" w:rsidR="00FB130A" w:rsidRPr="00783A69" w:rsidRDefault="00FB130A" w:rsidP="00FB130A">
            <w:pPr>
              <w:rPr>
                <w:b/>
                <w:bCs/>
                <w:lang w:bidi="ar-EG"/>
              </w:rPr>
            </w:pPr>
          </w:p>
        </w:tc>
        <w:tc>
          <w:tcPr>
            <w:tcW w:w="2688" w:type="dxa"/>
          </w:tcPr>
          <w:p w14:paraId="22BEA8A1" w14:textId="2C8D7B46" w:rsidR="00FB130A" w:rsidRPr="00783A69" w:rsidRDefault="00FB130A" w:rsidP="00FB130A">
            <w:pPr>
              <w:rPr>
                <w:b/>
                <w:bCs/>
                <w:rtl/>
                <w:lang w:bidi="ar-EG"/>
              </w:rPr>
            </w:pPr>
            <w:r w:rsidRPr="00783A69">
              <w:rPr>
                <w:rFonts w:hint="cs"/>
                <w:b/>
                <w:bCs/>
                <w:rtl/>
                <w:lang w:bidi="ar-EG"/>
              </w:rPr>
              <w:t xml:space="preserve">الأصل: </w:t>
            </w:r>
            <w:r>
              <w:rPr>
                <w:rFonts w:hint="cs"/>
                <w:b/>
                <w:bCs/>
                <w:rtl/>
                <w:lang w:bidi="ar-EG"/>
              </w:rPr>
              <w:t>بالإنكليزية</w:t>
            </w:r>
          </w:p>
        </w:tc>
      </w:tr>
      <w:tr w:rsidR="00783A69" w:rsidRPr="00783A69" w14:paraId="5D225CBD" w14:textId="77777777" w:rsidTr="00F03E94">
        <w:trPr>
          <w:cantSplit/>
        </w:trPr>
        <w:tc>
          <w:tcPr>
            <w:tcW w:w="9639" w:type="dxa"/>
            <w:gridSpan w:val="2"/>
          </w:tcPr>
          <w:p w14:paraId="53B4E0D6" w14:textId="39C3BC61" w:rsidR="00783A69" w:rsidRPr="00783A69" w:rsidRDefault="00FB130A" w:rsidP="00FB130A">
            <w:pPr>
              <w:pStyle w:val="Source"/>
              <w:rPr>
                <w:lang w:bidi="ar-EG"/>
              </w:rPr>
            </w:pPr>
            <w:r w:rsidRPr="00FB130A">
              <w:rPr>
                <w:rFonts w:hint="cs"/>
                <w:sz w:val="28"/>
                <w:szCs w:val="28"/>
                <w:rtl/>
              </w:rPr>
              <w:t>مديرة مكتب تنمية الاتصالات</w:t>
            </w:r>
          </w:p>
        </w:tc>
      </w:tr>
      <w:tr w:rsidR="00783A69" w:rsidRPr="00783A69" w14:paraId="39B69ED3" w14:textId="77777777" w:rsidTr="00F03E94">
        <w:trPr>
          <w:cantSplit/>
        </w:trPr>
        <w:tc>
          <w:tcPr>
            <w:tcW w:w="9639" w:type="dxa"/>
            <w:gridSpan w:val="2"/>
          </w:tcPr>
          <w:p w14:paraId="0A4CA730" w14:textId="543A4074" w:rsidR="00783A69" w:rsidRPr="00783A69" w:rsidRDefault="00FB130A" w:rsidP="00FB130A">
            <w:pPr>
              <w:pStyle w:val="Title1"/>
              <w:rPr>
                <w:lang w:bidi="ar-EG"/>
              </w:rPr>
            </w:pPr>
            <w:r w:rsidRPr="00FB130A">
              <w:rPr>
                <w:rFonts w:hint="cs"/>
                <w:rtl/>
              </w:rPr>
              <w:t>الشراكة وتعبئة الموارد في قطاع تنمية الاتصالات بالاتحاد </w:t>
            </w:r>
            <w:r w:rsidRPr="00FB130A">
              <w:rPr>
                <w:lang w:bidi="ar-EG"/>
              </w:rPr>
              <w:t>(ITU</w:t>
            </w:r>
            <w:r w:rsidRPr="00FB130A">
              <w:rPr>
                <w:lang w:bidi="ar-EG"/>
              </w:rPr>
              <w:noBreakHyphen/>
              <w:t>D)</w:t>
            </w:r>
          </w:p>
        </w:tc>
      </w:tr>
    </w:tbl>
    <w:p w14:paraId="080A9B48" w14:textId="77777777" w:rsidR="00FB130A" w:rsidRDefault="00FB130A"/>
    <w:tbl>
      <w:tblPr>
        <w:tblpPr w:leftFromText="180" w:rightFromText="180" w:vertAnchor="text" w:tblpXSpec="center" w:tblpY="1"/>
        <w:tblOverlap w:val="never"/>
        <w:bidiVisual/>
        <w:tblW w:w="5008"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5A1F7C8A" w14:textId="77777777" w:rsidTr="00FB130A">
        <w:trPr>
          <w:cantSplit/>
        </w:trPr>
        <w:tc>
          <w:tcPr>
            <w:tcW w:w="9638" w:type="dxa"/>
            <w:tcBorders>
              <w:top w:val="single" w:sz="6" w:space="0" w:color="auto"/>
              <w:left w:val="single" w:sz="6" w:space="0" w:color="auto"/>
              <w:bottom w:val="single" w:sz="6" w:space="0" w:color="auto"/>
              <w:right w:val="single" w:sz="6" w:space="0" w:color="auto"/>
            </w:tcBorders>
          </w:tcPr>
          <w:p w14:paraId="3D5D3385" w14:textId="77777777" w:rsidR="00783A69" w:rsidRPr="00783A69" w:rsidRDefault="00783A69" w:rsidP="00783A69">
            <w:pPr>
              <w:rPr>
                <w:b/>
                <w:bCs/>
                <w:rtl/>
                <w:lang w:bidi="ar-SY"/>
              </w:rPr>
            </w:pPr>
            <w:r w:rsidRPr="00783A69">
              <w:rPr>
                <w:rFonts w:hint="cs"/>
                <w:b/>
                <w:bCs/>
                <w:rtl/>
                <w:lang w:bidi="ar-SY"/>
              </w:rPr>
              <w:t>ملخص</w:t>
            </w:r>
            <w:r w:rsidR="005874F2">
              <w:rPr>
                <w:rFonts w:hint="cs"/>
                <w:b/>
                <w:bCs/>
                <w:rtl/>
                <w:lang w:bidi="ar-SY"/>
              </w:rPr>
              <w:t>:</w:t>
            </w:r>
          </w:p>
          <w:p w14:paraId="3B8E5D2B" w14:textId="003867DF" w:rsidR="00783A69" w:rsidRPr="00783A69" w:rsidRDefault="00FB130A" w:rsidP="00FB130A">
            <w:pPr>
              <w:rPr>
                <w:rtl/>
              </w:rPr>
            </w:pPr>
            <w:r w:rsidRPr="00FB130A">
              <w:rPr>
                <w:rFonts w:hint="cs"/>
                <w:rtl/>
                <w:lang w:bidi="ar-JO"/>
              </w:rPr>
              <w:t xml:space="preserve">سلّط المؤتمر العالمي لتنمية الاتصالات لعام </w:t>
            </w:r>
            <w:r w:rsidRPr="00FB130A">
              <w:rPr>
                <w:lang w:bidi="ar-SY"/>
              </w:rPr>
              <w:t>2017</w:t>
            </w:r>
            <w:r w:rsidRPr="00FB130A">
              <w:rPr>
                <w:rFonts w:hint="cs"/>
                <w:rtl/>
                <w:lang w:bidi="ar-JO"/>
              </w:rPr>
              <w:t xml:space="preserve"> </w:t>
            </w:r>
            <w:r w:rsidRPr="00FB130A">
              <w:rPr>
                <w:lang w:bidi="ar-SY"/>
              </w:rPr>
              <w:t>(WTDC-17)</w:t>
            </w:r>
            <w:r w:rsidRPr="00FB130A">
              <w:rPr>
                <w:rFonts w:hint="cs"/>
                <w:rtl/>
                <w:lang w:bidi="ar-JO"/>
              </w:rPr>
              <w:t xml:space="preserve"> الضوء على أهمية الشراكات وتعبئة الموارد. وتقدم هذه الوثيقة </w:t>
            </w:r>
            <w:r w:rsidRPr="00FB130A">
              <w:rPr>
                <w:rFonts w:hint="cs"/>
                <w:rtl/>
              </w:rPr>
              <w:t xml:space="preserve">تقريراً عن الشراكات وأنشطة تعبئة الموارد التي اضطُلع بها في </w:t>
            </w:r>
            <w:r w:rsidRPr="00FB130A">
              <w:rPr>
                <w:lang w:val="en-GB" w:bidi="ar-SY"/>
              </w:rPr>
              <w:t>2019</w:t>
            </w:r>
            <w:r w:rsidRPr="00FB130A">
              <w:rPr>
                <w:rFonts w:hint="cs"/>
                <w:rtl/>
              </w:rPr>
              <w:t>.</w:t>
            </w:r>
          </w:p>
          <w:p w14:paraId="5F990B04" w14:textId="77777777" w:rsidR="00783A69" w:rsidRPr="00783A69" w:rsidRDefault="00783A69" w:rsidP="00783A69">
            <w:pPr>
              <w:rPr>
                <w:b/>
                <w:bCs/>
                <w:rtl/>
                <w:lang w:bidi="ar-SY"/>
              </w:rPr>
            </w:pPr>
            <w:r w:rsidRPr="00783A69">
              <w:rPr>
                <w:rFonts w:hint="cs"/>
                <w:b/>
                <w:bCs/>
                <w:rtl/>
                <w:lang w:bidi="ar-SY"/>
              </w:rPr>
              <w:t>الإجراء المطلوب</w:t>
            </w:r>
            <w:r w:rsidR="005874F2">
              <w:rPr>
                <w:rFonts w:hint="cs"/>
                <w:b/>
                <w:bCs/>
                <w:rtl/>
                <w:lang w:bidi="ar-SY"/>
              </w:rPr>
              <w:t>:</w:t>
            </w:r>
          </w:p>
          <w:p w14:paraId="0D4894D6" w14:textId="43A6167F" w:rsidR="00783A69" w:rsidRPr="00783A69" w:rsidRDefault="00FB130A" w:rsidP="00FB130A">
            <w:pPr>
              <w:rPr>
                <w:rtl/>
              </w:rPr>
            </w:pPr>
            <w:r w:rsidRPr="00FB130A">
              <w:rPr>
                <w:rFonts w:hint="cs"/>
                <w:rtl/>
              </w:rPr>
              <w:t xml:space="preserve">يُدعى </w:t>
            </w:r>
            <w:r w:rsidRPr="00FB130A">
              <w:rPr>
                <w:rFonts w:hint="eastAsia"/>
                <w:rtl/>
              </w:rPr>
              <w:t>الفريق</w:t>
            </w:r>
            <w:r w:rsidRPr="00FB130A">
              <w:rPr>
                <w:rtl/>
              </w:rPr>
              <w:t xml:space="preserve"> </w:t>
            </w:r>
            <w:r w:rsidRPr="00FB130A">
              <w:rPr>
                <w:rFonts w:hint="eastAsia"/>
                <w:rtl/>
              </w:rPr>
              <w:t>الاستشاري</w:t>
            </w:r>
            <w:r w:rsidRPr="00FB130A">
              <w:rPr>
                <w:rtl/>
              </w:rPr>
              <w:t xml:space="preserve"> </w:t>
            </w:r>
            <w:r w:rsidRPr="00FB130A">
              <w:rPr>
                <w:rFonts w:hint="eastAsia"/>
                <w:rtl/>
              </w:rPr>
              <w:t>لتنمية</w:t>
            </w:r>
            <w:r w:rsidRPr="00FB130A">
              <w:rPr>
                <w:rtl/>
              </w:rPr>
              <w:t xml:space="preserve"> </w:t>
            </w:r>
            <w:r w:rsidRPr="00FB130A">
              <w:rPr>
                <w:rFonts w:hint="eastAsia"/>
                <w:rtl/>
              </w:rPr>
              <w:t>الاتصالات</w:t>
            </w:r>
            <w:r w:rsidRPr="00FB130A">
              <w:rPr>
                <w:rFonts w:hint="cs"/>
                <w:rtl/>
              </w:rPr>
              <w:t xml:space="preserve"> </w:t>
            </w:r>
            <w:r w:rsidRPr="00FB130A">
              <w:rPr>
                <w:lang w:bidi="ar-EG"/>
              </w:rPr>
              <w:t>(TDAG)</w:t>
            </w:r>
            <w:r w:rsidRPr="00FB130A">
              <w:rPr>
                <w:rtl/>
              </w:rPr>
              <w:t xml:space="preserve"> </w:t>
            </w:r>
            <w:r w:rsidRPr="00FB130A">
              <w:rPr>
                <w:rFonts w:hint="cs"/>
                <w:rtl/>
                <w:lang w:bidi="ar-EG"/>
              </w:rPr>
              <w:t>إلى الإحاطة علماً</w:t>
            </w:r>
            <w:r w:rsidRPr="00FB130A">
              <w:rPr>
                <w:rtl/>
              </w:rPr>
              <w:t xml:space="preserve"> </w:t>
            </w:r>
            <w:r w:rsidRPr="00FB130A">
              <w:rPr>
                <w:rFonts w:hint="eastAsia"/>
                <w:rtl/>
              </w:rPr>
              <w:t>بهذ</w:t>
            </w:r>
            <w:r w:rsidRPr="00FB130A">
              <w:rPr>
                <w:rFonts w:hint="cs"/>
                <w:rtl/>
              </w:rPr>
              <w:t>ه الوثيقة</w:t>
            </w:r>
            <w:r w:rsidRPr="00FB130A">
              <w:rPr>
                <w:rtl/>
              </w:rPr>
              <w:t xml:space="preserve"> </w:t>
            </w:r>
            <w:r w:rsidRPr="00FB130A">
              <w:rPr>
                <w:rFonts w:hint="cs"/>
                <w:rtl/>
              </w:rPr>
              <w:t>وتقديم ما</w:t>
            </w:r>
            <w:r w:rsidRPr="00FB130A">
              <w:rPr>
                <w:rFonts w:hint="eastAsia"/>
                <w:rtl/>
              </w:rPr>
              <w:t> </w:t>
            </w:r>
            <w:r w:rsidRPr="00FB130A">
              <w:rPr>
                <w:rFonts w:hint="cs"/>
                <w:rtl/>
              </w:rPr>
              <w:t>يراه مناسباً من توجيهات</w:t>
            </w:r>
            <w:r>
              <w:rPr>
                <w:rFonts w:hint="cs"/>
                <w:rtl/>
              </w:rPr>
              <w:t>.</w:t>
            </w:r>
          </w:p>
          <w:p w14:paraId="34829D4D" w14:textId="77777777" w:rsidR="00783A69" w:rsidRPr="00783A69" w:rsidRDefault="00783A69" w:rsidP="00783A69">
            <w:pPr>
              <w:rPr>
                <w:b/>
                <w:bCs/>
                <w:rtl/>
                <w:lang w:bidi="ar-SY"/>
              </w:rPr>
            </w:pPr>
            <w:r w:rsidRPr="00783A69">
              <w:rPr>
                <w:rFonts w:hint="cs"/>
                <w:b/>
                <w:bCs/>
                <w:rtl/>
                <w:lang w:bidi="ar-SY"/>
              </w:rPr>
              <w:t>المراجع</w:t>
            </w:r>
            <w:r w:rsidR="005874F2">
              <w:rPr>
                <w:rFonts w:hint="cs"/>
                <w:b/>
                <w:bCs/>
                <w:rtl/>
                <w:lang w:bidi="ar-SY"/>
              </w:rPr>
              <w:t>:</w:t>
            </w:r>
          </w:p>
          <w:p w14:paraId="5D86390D" w14:textId="77777777" w:rsidR="00FB130A" w:rsidRPr="00FB130A" w:rsidRDefault="00FB130A" w:rsidP="00FB130A">
            <w:pPr>
              <w:spacing w:after="120"/>
              <w:rPr>
                <w:rtl/>
              </w:rPr>
            </w:pPr>
            <w:r w:rsidRPr="00FB130A">
              <w:rPr>
                <w:rFonts w:hint="cs"/>
                <w:rtl/>
                <w:lang w:bidi="ar-EG"/>
              </w:rPr>
              <w:t xml:space="preserve">الهدف </w:t>
            </w:r>
            <w:r w:rsidRPr="00FB130A">
              <w:rPr>
                <w:lang w:val="en-GB"/>
              </w:rPr>
              <w:t>5</w:t>
            </w:r>
            <w:r w:rsidRPr="00FB130A">
              <w:rPr>
                <w:rFonts w:hint="cs"/>
                <w:rtl/>
                <w:lang w:bidi="ar-EG"/>
              </w:rPr>
              <w:t xml:space="preserve"> للاتحاد</w:t>
            </w:r>
          </w:p>
          <w:p w14:paraId="01479B0B" w14:textId="77777777" w:rsidR="00FB130A" w:rsidRPr="00FB130A" w:rsidRDefault="00FB130A" w:rsidP="00FB130A">
            <w:pPr>
              <w:spacing w:after="120"/>
              <w:rPr>
                <w:rtl/>
              </w:rPr>
            </w:pPr>
            <w:r w:rsidRPr="00FB130A">
              <w:rPr>
                <w:rFonts w:hint="cs"/>
                <w:rtl/>
              </w:rPr>
              <w:t xml:space="preserve">خطة عمل بوينس آيرس، القسم </w:t>
            </w:r>
            <w:r w:rsidRPr="00FB130A">
              <w:rPr>
                <w:lang w:val="en-GB"/>
              </w:rPr>
              <w:t>5.4</w:t>
            </w:r>
            <w:r w:rsidRPr="00FB130A">
              <w:rPr>
                <w:rFonts w:hint="cs"/>
                <w:rtl/>
              </w:rPr>
              <w:t xml:space="preserve"> من التقرير الختامي للمؤتمر العالمي لتنمية الاتصالات لعام </w:t>
            </w:r>
            <w:r w:rsidRPr="00FB130A">
              <w:rPr>
                <w:lang w:val="en-GB"/>
              </w:rPr>
              <w:t>2017</w:t>
            </w:r>
            <w:r w:rsidRPr="00FB130A">
              <w:rPr>
                <w:rFonts w:hint="cs"/>
                <w:rtl/>
              </w:rPr>
              <w:t>.</w:t>
            </w:r>
          </w:p>
          <w:p w14:paraId="11D9585C" w14:textId="424BA45E" w:rsidR="00783A69" w:rsidRPr="00783A69" w:rsidRDefault="00FB130A" w:rsidP="00FB130A">
            <w:pPr>
              <w:spacing w:after="120"/>
              <w:rPr>
                <w:rtl/>
                <w:lang w:bidi="ar-EG"/>
              </w:rPr>
            </w:pPr>
            <w:r w:rsidRPr="00FB130A">
              <w:rPr>
                <w:rFonts w:hint="cs"/>
                <w:rtl/>
                <w:lang w:bidi="ar-SY"/>
              </w:rPr>
              <w:t xml:space="preserve">القراران </w:t>
            </w:r>
            <w:r w:rsidRPr="00FB130A">
              <w:t>17</w:t>
            </w:r>
            <w:r w:rsidRPr="00FB130A">
              <w:rPr>
                <w:rFonts w:hint="cs"/>
                <w:rtl/>
                <w:lang w:bidi="ar-EG"/>
              </w:rPr>
              <w:t xml:space="preserve"> (</w:t>
            </w:r>
            <w:r w:rsidR="00054A36">
              <w:rPr>
                <w:rFonts w:hint="cs"/>
                <w:rtl/>
                <w:lang w:bidi="ar-EG"/>
              </w:rPr>
              <w:t>المراجَع</w:t>
            </w:r>
            <w:r w:rsidRPr="00FB130A">
              <w:rPr>
                <w:rFonts w:hint="cs"/>
                <w:rtl/>
                <w:lang w:bidi="ar-EG"/>
              </w:rPr>
              <w:t xml:space="preserve"> في</w:t>
            </w:r>
            <w:r w:rsidRPr="00FB130A">
              <w:rPr>
                <w:rFonts w:hint="eastAsia"/>
                <w:rtl/>
                <w:lang w:bidi="ar-EG"/>
              </w:rPr>
              <w:t> </w:t>
            </w:r>
            <w:r w:rsidRPr="00FB130A">
              <w:rPr>
                <w:rFonts w:hint="cs"/>
                <w:rtl/>
                <w:lang w:bidi="ar-EG"/>
              </w:rPr>
              <w:t>بوينس</w:t>
            </w:r>
            <w:r w:rsidRPr="00FB130A">
              <w:rPr>
                <w:rFonts w:hint="eastAsia"/>
                <w:rtl/>
                <w:lang w:bidi="ar-EG"/>
              </w:rPr>
              <w:t> </w:t>
            </w:r>
            <w:r w:rsidRPr="00FB130A">
              <w:rPr>
                <w:rFonts w:hint="cs"/>
                <w:rtl/>
                <w:lang w:bidi="ar-EG"/>
              </w:rPr>
              <w:t xml:space="preserve">آيرس، </w:t>
            </w:r>
            <w:r w:rsidRPr="00FB130A">
              <w:t>2017</w:t>
            </w:r>
            <w:r w:rsidRPr="00FB130A">
              <w:rPr>
                <w:rFonts w:hint="cs"/>
                <w:rtl/>
                <w:lang w:bidi="ar-EG"/>
              </w:rPr>
              <w:t xml:space="preserve">) والقرار </w:t>
            </w:r>
            <w:r w:rsidRPr="00FB130A">
              <w:t>71</w:t>
            </w:r>
            <w:r w:rsidRPr="00FB130A">
              <w:rPr>
                <w:rFonts w:hint="cs"/>
                <w:rtl/>
                <w:lang w:bidi="ar-EG"/>
              </w:rPr>
              <w:t xml:space="preserve"> (</w:t>
            </w:r>
            <w:r w:rsidR="00054A36">
              <w:rPr>
                <w:rFonts w:hint="cs"/>
                <w:rtl/>
                <w:lang w:bidi="ar-EG"/>
              </w:rPr>
              <w:t>المراجَع</w:t>
            </w:r>
            <w:r w:rsidRPr="00FB130A">
              <w:rPr>
                <w:rFonts w:hint="cs"/>
                <w:rtl/>
                <w:lang w:bidi="ar-EG"/>
              </w:rPr>
              <w:t xml:space="preserve"> في</w:t>
            </w:r>
            <w:r w:rsidRPr="00FB130A">
              <w:rPr>
                <w:rFonts w:hint="eastAsia"/>
                <w:rtl/>
                <w:lang w:bidi="ar-EG"/>
              </w:rPr>
              <w:t> </w:t>
            </w:r>
            <w:r w:rsidRPr="00FB130A">
              <w:rPr>
                <w:rFonts w:hint="cs"/>
                <w:rtl/>
                <w:lang w:bidi="ar-EG"/>
              </w:rPr>
              <w:t>بوينس</w:t>
            </w:r>
            <w:r w:rsidRPr="00FB130A">
              <w:rPr>
                <w:rFonts w:hint="eastAsia"/>
                <w:rtl/>
                <w:lang w:bidi="ar-EG"/>
              </w:rPr>
              <w:t> </w:t>
            </w:r>
            <w:r w:rsidRPr="00FB130A">
              <w:rPr>
                <w:rFonts w:hint="cs"/>
                <w:rtl/>
                <w:lang w:bidi="ar-EG"/>
              </w:rPr>
              <w:t xml:space="preserve">آيرس، </w:t>
            </w:r>
            <w:r w:rsidRPr="00FB130A">
              <w:t>2017</w:t>
            </w:r>
            <w:r w:rsidRPr="00FB130A">
              <w:rPr>
                <w:rFonts w:hint="cs"/>
                <w:rtl/>
                <w:lang w:bidi="ar-EG"/>
              </w:rPr>
              <w:t>) للمؤتمر العالمي لتنمية الاتصالات</w:t>
            </w:r>
          </w:p>
        </w:tc>
      </w:tr>
    </w:tbl>
    <w:p w14:paraId="493AE58C" w14:textId="77777777" w:rsidR="00FB130A" w:rsidRDefault="00FB130A"/>
    <w:p w14:paraId="722FB63D" w14:textId="77777777" w:rsidR="0006468A" w:rsidRDefault="0006468A" w:rsidP="0006468A">
      <w:pPr>
        <w:rPr>
          <w:rtl/>
          <w:lang w:bidi="ar-EG"/>
        </w:rPr>
      </w:pPr>
    </w:p>
    <w:p w14:paraId="2B6F44D6" w14:textId="77777777" w:rsidR="00882A17" w:rsidRDefault="00882A17">
      <w:pPr>
        <w:tabs>
          <w:tab w:val="clear" w:pos="794"/>
        </w:tabs>
        <w:bidi w:val="0"/>
        <w:spacing w:before="0" w:after="160" w:line="259" w:lineRule="auto"/>
        <w:jc w:val="left"/>
        <w:rPr>
          <w:lang w:bidi="ar-EG"/>
        </w:rPr>
      </w:pPr>
      <w:r>
        <w:rPr>
          <w:rtl/>
          <w:lang w:bidi="ar-EG"/>
        </w:rPr>
        <w:br w:type="page"/>
      </w:r>
    </w:p>
    <w:p w14:paraId="547F9F2B" w14:textId="77777777" w:rsidR="00FB130A" w:rsidRPr="00054A36" w:rsidRDefault="00FB130A" w:rsidP="00054A36">
      <w:pPr>
        <w:pStyle w:val="Heading1"/>
        <w:rPr>
          <w:lang w:val="en-GB" w:bidi="ar-EG"/>
        </w:rPr>
      </w:pPr>
      <w:r w:rsidRPr="00FB130A">
        <w:rPr>
          <w:lang w:bidi="ar-EG"/>
        </w:rPr>
        <w:lastRenderedPageBreak/>
        <w:t>1</w:t>
      </w:r>
      <w:r w:rsidRPr="00FB130A">
        <w:rPr>
          <w:rtl/>
          <w:lang w:bidi="ar-EG"/>
        </w:rPr>
        <w:tab/>
      </w:r>
      <w:r w:rsidRPr="00FB130A">
        <w:rPr>
          <w:rFonts w:hint="cs"/>
          <w:rtl/>
        </w:rPr>
        <w:t>خلفية</w:t>
      </w:r>
    </w:p>
    <w:p w14:paraId="3F0A05FE" w14:textId="77777777" w:rsidR="00FB130A" w:rsidRPr="00FB130A" w:rsidRDefault="00FB130A" w:rsidP="00FB130A">
      <w:pPr>
        <w:rPr>
          <w:rtl/>
          <w:lang w:bidi="ar-EG"/>
        </w:rPr>
      </w:pPr>
      <w:r w:rsidRPr="00FB130A">
        <w:rPr>
          <w:rFonts w:hint="cs"/>
          <w:rtl/>
          <w:lang w:bidi="ar-EG"/>
        </w:rPr>
        <w:t>سلّط المؤتمر العالمي لتنمية الاتصالات لعام</w:t>
      </w:r>
      <w:r w:rsidRPr="00FB130A">
        <w:rPr>
          <w:rFonts w:hint="eastAsia"/>
          <w:rtl/>
          <w:lang w:bidi="ar-EG"/>
        </w:rPr>
        <w:t> </w:t>
      </w:r>
      <w:r w:rsidRPr="00FB130A">
        <w:rPr>
          <w:lang w:bidi="ar-EG"/>
        </w:rPr>
        <w:t>2017</w:t>
      </w:r>
      <w:r w:rsidRPr="00FB130A">
        <w:rPr>
          <w:rFonts w:hint="cs"/>
          <w:rtl/>
          <w:lang w:bidi="ar-EG"/>
        </w:rPr>
        <w:t xml:space="preserve"> </w:t>
      </w:r>
      <w:r w:rsidRPr="00FB130A">
        <w:rPr>
          <w:lang w:bidi="ar-EG"/>
        </w:rPr>
        <w:t>(WTDC-17)</w:t>
      </w:r>
      <w:r w:rsidRPr="00FB130A">
        <w:rPr>
          <w:rFonts w:hint="cs"/>
          <w:rtl/>
          <w:lang w:bidi="ar-EG"/>
        </w:rPr>
        <w:t xml:space="preserve"> الضوء على أهمية الشراكات وتعبئة الموارد.</w:t>
      </w:r>
    </w:p>
    <w:p w14:paraId="7E94C526" w14:textId="77777777" w:rsidR="00FB130A" w:rsidRPr="00FB130A" w:rsidRDefault="00FB130A" w:rsidP="00FB130A">
      <w:pPr>
        <w:rPr>
          <w:rtl/>
        </w:rPr>
      </w:pPr>
      <w:r w:rsidRPr="00FB130A">
        <w:rPr>
          <w:rFonts w:hint="cs"/>
          <w:rtl/>
        </w:rPr>
        <w:t>وتمشياً مع خطة عمل بوينس آيرس، يستمر</w:t>
      </w:r>
      <w:r w:rsidRPr="00FB130A">
        <w:rPr>
          <w:rtl/>
        </w:rPr>
        <w:t xml:space="preserve"> مكتب تنمية الاتصالات </w:t>
      </w:r>
      <w:r w:rsidRPr="00FB130A">
        <w:rPr>
          <w:rFonts w:hint="cs"/>
          <w:rtl/>
        </w:rPr>
        <w:t>في إقامة</w:t>
      </w:r>
      <w:r w:rsidRPr="00FB130A">
        <w:rPr>
          <w:rtl/>
        </w:rPr>
        <w:t xml:space="preserve"> شراكات مع طائفة واسعة</w:t>
      </w:r>
      <w:r w:rsidRPr="00FB130A">
        <w:rPr>
          <w:rFonts w:hint="cs"/>
          <w:rtl/>
        </w:rPr>
        <w:t xml:space="preserve"> </w:t>
      </w:r>
      <w:r w:rsidRPr="00FB130A">
        <w:rPr>
          <w:rtl/>
        </w:rPr>
        <w:t>من أصحاب المصلحة، بما في ذلك وكالات الأمم المتحدة الأخرى، ويسعى إلى تعبئة الموارد من وكالات</w:t>
      </w:r>
      <w:r w:rsidRPr="00FB130A">
        <w:rPr>
          <w:rFonts w:hint="cs"/>
          <w:rtl/>
        </w:rPr>
        <w:t xml:space="preserve"> </w:t>
      </w:r>
      <w:r w:rsidRPr="00FB130A">
        <w:rPr>
          <w:rtl/>
        </w:rPr>
        <w:t>التمويل والمؤسسات المالية الدولية ومن الدول الأعضاء في الاتحاد وأعضاء قطاع تنمية الاتصالات</w:t>
      </w:r>
      <w:r w:rsidRPr="00FB130A">
        <w:rPr>
          <w:rFonts w:hint="cs"/>
          <w:rtl/>
        </w:rPr>
        <w:t xml:space="preserve"> </w:t>
      </w:r>
      <w:r w:rsidRPr="00FB130A">
        <w:rPr>
          <w:rtl/>
        </w:rPr>
        <w:t>والشركاء المعنيين الآخرين</w:t>
      </w:r>
      <w:r w:rsidRPr="00FB130A">
        <w:rPr>
          <w:rFonts w:hint="cs"/>
          <w:rtl/>
        </w:rPr>
        <w:t xml:space="preserve"> ل</w:t>
      </w:r>
      <w:r w:rsidRPr="00FB130A">
        <w:rPr>
          <w:rtl/>
        </w:rPr>
        <w:t xml:space="preserve">تنفيذ </w:t>
      </w:r>
      <w:r w:rsidRPr="00FB130A">
        <w:rPr>
          <w:rFonts w:hint="cs"/>
          <w:rtl/>
        </w:rPr>
        <w:t xml:space="preserve">البرامج والمبادرات الإقليمية التي اعتمدها المؤتمر العالمي لتنمية الاتصالات لعام </w:t>
      </w:r>
      <w:r w:rsidRPr="00FB130A">
        <w:rPr>
          <w:lang w:val="en-GB" w:bidi="ar-EG"/>
        </w:rPr>
        <w:t>2017</w:t>
      </w:r>
    </w:p>
    <w:p w14:paraId="2C5C47E1" w14:textId="74025472" w:rsidR="00FB130A" w:rsidRPr="00FB130A" w:rsidRDefault="00FB130A" w:rsidP="00FB130A">
      <w:pPr>
        <w:rPr>
          <w:rtl/>
          <w:lang w:bidi="ar-EG"/>
        </w:rPr>
      </w:pPr>
      <w:r w:rsidRPr="00FB130A">
        <w:rPr>
          <w:rFonts w:hint="cs"/>
          <w:rtl/>
          <w:lang w:bidi="ar-EG"/>
        </w:rPr>
        <w:t>ويكلف القرار</w:t>
      </w:r>
      <w:r w:rsidRPr="00FB130A">
        <w:rPr>
          <w:rFonts w:hint="eastAsia"/>
          <w:rtl/>
          <w:lang w:bidi="ar-EG"/>
        </w:rPr>
        <w:t> </w:t>
      </w:r>
      <w:r w:rsidRPr="00FB130A">
        <w:rPr>
          <w:lang w:bidi="ar-EG"/>
        </w:rPr>
        <w:t>17</w:t>
      </w:r>
      <w:r w:rsidRPr="00FB130A">
        <w:rPr>
          <w:rFonts w:hint="cs"/>
          <w:rtl/>
        </w:rPr>
        <w:t xml:space="preserve"> </w:t>
      </w:r>
      <w:r w:rsidRPr="00FB130A">
        <w:rPr>
          <w:rFonts w:hint="cs"/>
          <w:rtl/>
          <w:lang w:bidi="ar-EG"/>
        </w:rPr>
        <w:t>(المرا</w:t>
      </w:r>
      <w:r w:rsidR="00054A36">
        <w:rPr>
          <w:rFonts w:hint="cs"/>
          <w:rtl/>
          <w:lang w:bidi="ar-EG"/>
        </w:rPr>
        <w:t>جَع</w:t>
      </w:r>
      <w:r w:rsidRPr="00FB130A">
        <w:rPr>
          <w:rFonts w:hint="cs"/>
          <w:rtl/>
          <w:lang w:bidi="ar-EG"/>
        </w:rPr>
        <w:t xml:space="preserve"> في</w:t>
      </w:r>
      <w:r w:rsidRPr="00FB130A">
        <w:rPr>
          <w:rFonts w:hint="eastAsia"/>
          <w:rtl/>
          <w:lang w:bidi="ar-EG"/>
        </w:rPr>
        <w:t> </w:t>
      </w:r>
      <w:r w:rsidRPr="00FB130A">
        <w:rPr>
          <w:rFonts w:hint="cs"/>
          <w:rtl/>
          <w:lang w:bidi="ar-EG"/>
        </w:rPr>
        <w:t>بوينس</w:t>
      </w:r>
      <w:r w:rsidRPr="00FB130A">
        <w:rPr>
          <w:rFonts w:hint="eastAsia"/>
          <w:rtl/>
          <w:lang w:bidi="ar-EG"/>
        </w:rPr>
        <w:t> </w:t>
      </w:r>
      <w:r w:rsidRPr="00FB130A">
        <w:rPr>
          <w:rFonts w:hint="cs"/>
          <w:rtl/>
          <w:lang w:bidi="ar-EG"/>
        </w:rPr>
        <w:t xml:space="preserve">آيرس، </w:t>
      </w:r>
      <w:r w:rsidRPr="00FB130A">
        <w:rPr>
          <w:lang w:bidi="ar-EG"/>
        </w:rPr>
        <w:t>2017</w:t>
      </w:r>
      <w:r w:rsidRPr="00FB130A">
        <w:rPr>
          <w:rFonts w:hint="cs"/>
          <w:rtl/>
          <w:lang w:bidi="ar-EG"/>
        </w:rPr>
        <w:t xml:space="preserve">) مكتب تنمية الاتصالات </w:t>
      </w:r>
      <w:r w:rsidRPr="00FB130A">
        <w:rPr>
          <w:rFonts w:hint="cs"/>
          <w:rtl/>
        </w:rPr>
        <w:t>بأن يستمر</w:t>
      </w:r>
      <w:r w:rsidRPr="00FB130A">
        <w:rPr>
          <w:rtl/>
        </w:rPr>
        <w:t xml:space="preserve"> بنشاط في عقد شراكات مع الدول الأعضاء وأعضاء قطاع تنمية الاتصالات والمؤسسات المالية والمنظمات الدولية من أجل تمويل أنشطة تنفيذ المبادرات</w:t>
      </w:r>
      <w:r w:rsidRPr="00FB130A">
        <w:rPr>
          <w:rFonts w:hint="cs"/>
          <w:rtl/>
          <w:lang w:bidi="ar-EG"/>
        </w:rPr>
        <w:t xml:space="preserve"> الإقليمية. ويدعو القرار </w:t>
      </w:r>
      <w:r w:rsidRPr="00FB130A">
        <w:rPr>
          <w:rFonts w:hint="eastAsia"/>
          <w:rtl/>
          <w:lang w:bidi="ar-EG"/>
        </w:rPr>
        <w:t>المنظمات</w:t>
      </w:r>
      <w:r w:rsidRPr="00FB130A">
        <w:rPr>
          <w:rFonts w:hint="cs"/>
          <w:rtl/>
          <w:lang w:bidi="ar-EG"/>
        </w:rPr>
        <w:t>/</w:t>
      </w:r>
      <w:r w:rsidRPr="00FB130A">
        <w:rPr>
          <w:rFonts w:hint="eastAsia"/>
          <w:rtl/>
          <w:lang w:bidi="ar-EG"/>
        </w:rPr>
        <w:t>الوكالات</w:t>
      </w:r>
      <w:r w:rsidRPr="00FB130A">
        <w:rPr>
          <w:rtl/>
          <w:lang w:bidi="ar-EG"/>
        </w:rPr>
        <w:t xml:space="preserve"> </w:t>
      </w:r>
      <w:r w:rsidRPr="00FB130A">
        <w:rPr>
          <w:rFonts w:hint="eastAsia"/>
          <w:rtl/>
          <w:lang w:bidi="ar-EG"/>
        </w:rPr>
        <w:t>المالية</w:t>
      </w:r>
      <w:r w:rsidRPr="00FB130A">
        <w:rPr>
          <w:rtl/>
          <w:lang w:bidi="ar-EG"/>
        </w:rPr>
        <w:t xml:space="preserve"> </w:t>
      </w:r>
      <w:r w:rsidRPr="00FB130A">
        <w:rPr>
          <w:rFonts w:hint="eastAsia"/>
          <w:rtl/>
          <w:lang w:bidi="ar-EG"/>
        </w:rPr>
        <w:t>الدولية</w:t>
      </w:r>
      <w:r w:rsidRPr="00FB130A">
        <w:rPr>
          <w:rtl/>
          <w:lang w:bidi="ar-EG"/>
        </w:rPr>
        <w:t xml:space="preserve"> </w:t>
      </w:r>
      <w:r w:rsidRPr="00FB130A">
        <w:rPr>
          <w:rFonts w:hint="eastAsia"/>
          <w:rtl/>
          <w:lang w:bidi="ar-EG"/>
        </w:rPr>
        <w:t>ومزودي</w:t>
      </w:r>
      <w:r w:rsidRPr="00FB130A">
        <w:rPr>
          <w:rtl/>
          <w:lang w:bidi="ar-EG"/>
        </w:rPr>
        <w:t xml:space="preserve"> </w:t>
      </w:r>
      <w:r w:rsidRPr="00FB130A">
        <w:rPr>
          <w:rFonts w:hint="eastAsia"/>
          <w:rtl/>
          <w:lang w:bidi="ar-EG"/>
        </w:rPr>
        <w:t>المعدات</w:t>
      </w:r>
      <w:r w:rsidRPr="00FB130A">
        <w:rPr>
          <w:rtl/>
          <w:lang w:bidi="ar-EG"/>
        </w:rPr>
        <w:t xml:space="preserve"> </w:t>
      </w:r>
      <w:r w:rsidRPr="00FB130A">
        <w:rPr>
          <w:rFonts w:hint="eastAsia"/>
          <w:rtl/>
          <w:lang w:bidi="ar-EG"/>
        </w:rPr>
        <w:t>ومشغلي</w:t>
      </w:r>
      <w:r w:rsidRPr="00FB130A">
        <w:rPr>
          <w:rtl/>
          <w:lang w:bidi="ar-EG"/>
        </w:rPr>
        <w:t>/</w:t>
      </w:r>
      <w:r w:rsidRPr="00FB130A">
        <w:rPr>
          <w:rFonts w:hint="cs"/>
          <w:rtl/>
          <w:lang w:bidi="ar-EG"/>
        </w:rPr>
        <w:t>موردي</w:t>
      </w:r>
      <w:r w:rsidRPr="00FB130A">
        <w:rPr>
          <w:rtl/>
          <w:lang w:bidi="ar-EG"/>
        </w:rPr>
        <w:t xml:space="preserve"> </w:t>
      </w:r>
      <w:r w:rsidRPr="00FB130A">
        <w:rPr>
          <w:rFonts w:hint="eastAsia"/>
          <w:rtl/>
          <w:lang w:bidi="ar-EG"/>
        </w:rPr>
        <w:t>الخدمات</w:t>
      </w:r>
      <w:r w:rsidRPr="00FB130A">
        <w:rPr>
          <w:rFonts w:hint="cs"/>
          <w:rtl/>
          <w:lang w:bidi="ar-EG"/>
        </w:rPr>
        <w:t xml:space="preserve"> إلى</w:t>
      </w:r>
      <w:r w:rsidRPr="00FB130A">
        <w:rPr>
          <w:rtl/>
          <w:lang w:bidi="ar-EG"/>
        </w:rPr>
        <w:t xml:space="preserve"> </w:t>
      </w:r>
      <w:r w:rsidRPr="00FB130A">
        <w:rPr>
          <w:rFonts w:hint="cs"/>
          <w:rtl/>
          <w:lang w:bidi="ar-EG"/>
        </w:rPr>
        <w:t>ا</w:t>
      </w:r>
      <w:r w:rsidRPr="00FB130A">
        <w:rPr>
          <w:rFonts w:hint="eastAsia"/>
          <w:rtl/>
          <w:lang w:bidi="ar-EG"/>
        </w:rPr>
        <w:t>لمساهمة</w:t>
      </w:r>
      <w:r w:rsidRPr="00FB130A">
        <w:rPr>
          <w:rtl/>
          <w:lang w:bidi="ar-EG"/>
        </w:rPr>
        <w:t xml:space="preserve"> </w:t>
      </w:r>
      <w:r w:rsidRPr="00FB130A">
        <w:rPr>
          <w:rFonts w:hint="eastAsia"/>
          <w:rtl/>
          <w:lang w:bidi="ar-EG"/>
        </w:rPr>
        <w:t>في</w:t>
      </w:r>
      <w:r w:rsidRPr="00FB130A">
        <w:rPr>
          <w:rtl/>
          <w:lang w:bidi="ar-EG"/>
        </w:rPr>
        <w:t xml:space="preserve"> </w:t>
      </w:r>
      <w:r w:rsidRPr="00FB130A">
        <w:rPr>
          <w:rFonts w:hint="eastAsia"/>
          <w:rtl/>
          <w:lang w:bidi="ar-EG"/>
        </w:rPr>
        <w:t>توفير</w:t>
      </w:r>
      <w:r w:rsidRPr="00FB130A">
        <w:rPr>
          <w:rtl/>
          <w:lang w:bidi="ar-EG"/>
        </w:rPr>
        <w:t xml:space="preserve"> </w:t>
      </w:r>
      <w:r w:rsidRPr="00FB130A">
        <w:rPr>
          <w:rFonts w:hint="eastAsia"/>
          <w:rtl/>
          <w:lang w:bidi="ar-EG"/>
        </w:rPr>
        <w:t>التمويل</w:t>
      </w:r>
      <w:r w:rsidRPr="00FB130A">
        <w:rPr>
          <w:rtl/>
          <w:lang w:bidi="ar-EG"/>
        </w:rPr>
        <w:t xml:space="preserve"> </w:t>
      </w:r>
      <w:r w:rsidRPr="00FB130A">
        <w:rPr>
          <w:rFonts w:hint="eastAsia"/>
          <w:rtl/>
          <w:lang w:bidi="ar-EG"/>
        </w:rPr>
        <w:t>الكامل</w:t>
      </w:r>
      <w:r w:rsidRPr="00FB130A">
        <w:rPr>
          <w:rtl/>
          <w:lang w:bidi="ar-EG"/>
        </w:rPr>
        <w:t xml:space="preserve"> </w:t>
      </w:r>
      <w:r w:rsidRPr="00FB130A">
        <w:rPr>
          <w:rFonts w:hint="eastAsia"/>
          <w:rtl/>
          <w:lang w:bidi="ar-EG"/>
        </w:rPr>
        <w:t>أو</w:t>
      </w:r>
      <w:r w:rsidRPr="00FB130A">
        <w:rPr>
          <w:rtl/>
          <w:lang w:bidi="ar-EG"/>
        </w:rPr>
        <w:t xml:space="preserve"> </w:t>
      </w:r>
      <w:r w:rsidRPr="00FB130A">
        <w:rPr>
          <w:rFonts w:hint="eastAsia"/>
          <w:rtl/>
          <w:lang w:bidi="ar-EG"/>
        </w:rPr>
        <w:t>الجزئي،</w:t>
      </w:r>
      <w:r w:rsidRPr="00FB130A">
        <w:rPr>
          <w:rtl/>
          <w:lang w:bidi="ar-EG"/>
        </w:rPr>
        <w:t xml:space="preserve"> </w:t>
      </w:r>
      <w:r w:rsidRPr="00FB130A">
        <w:rPr>
          <w:rFonts w:hint="eastAsia"/>
          <w:rtl/>
          <w:lang w:bidi="ar-EG"/>
        </w:rPr>
        <w:t>للمبادرات</w:t>
      </w:r>
      <w:r w:rsidRPr="00FB130A">
        <w:rPr>
          <w:rtl/>
          <w:lang w:bidi="ar-EG"/>
        </w:rPr>
        <w:t xml:space="preserve"> </w:t>
      </w:r>
      <w:r w:rsidRPr="00FB130A">
        <w:rPr>
          <w:rFonts w:hint="eastAsia"/>
          <w:rtl/>
          <w:lang w:bidi="ar-EG"/>
        </w:rPr>
        <w:t>المعتمدة</w:t>
      </w:r>
      <w:r w:rsidRPr="00FB130A">
        <w:rPr>
          <w:rFonts w:hint="cs"/>
          <w:rtl/>
          <w:lang w:bidi="ar-EG"/>
        </w:rPr>
        <w:t> </w:t>
      </w:r>
      <w:r w:rsidRPr="00FB130A">
        <w:rPr>
          <w:rFonts w:hint="eastAsia"/>
          <w:rtl/>
          <w:lang w:bidi="ar-EG"/>
        </w:rPr>
        <w:t>إقليمياً</w:t>
      </w:r>
      <w:r w:rsidRPr="00FB130A">
        <w:rPr>
          <w:rFonts w:hint="cs"/>
          <w:rtl/>
          <w:lang w:bidi="ar-EG"/>
        </w:rPr>
        <w:t>.</w:t>
      </w:r>
    </w:p>
    <w:p w14:paraId="6B3E4CFD" w14:textId="77777777" w:rsidR="00FB130A" w:rsidRPr="00FB130A" w:rsidRDefault="00FB130A" w:rsidP="00054A36">
      <w:pPr>
        <w:pStyle w:val="Heading1"/>
        <w:rPr>
          <w:rtl/>
          <w:lang w:val="en-GB" w:bidi="ar-EG"/>
        </w:rPr>
      </w:pPr>
      <w:r w:rsidRPr="00FB130A">
        <w:rPr>
          <w:lang w:val="en-GB" w:bidi="ar-EG"/>
        </w:rPr>
        <w:t>2</w:t>
      </w:r>
      <w:r w:rsidRPr="00FB130A">
        <w:rPr>
          <w:rtl/>
          <w:lang w:val="en-GB" w:bidi="ar-EG"/>
        </w:rPr>
        <w:tab/>
      </w:r>
      <w:r w:rsidRPr="00FB130A">
        <w:rPr>
          <w:rFonts w:hint="cs"/>
          <w:rtl/>
          <w:lang w:val="en-GB" w:bidi="ar-EG"/>
        </w:rPr>
        <w:t>الهدف الاستراتيجي المتمثل في الشراكة وتعبئة الموارد في قطاع تنمية الاتصالات</w:t>
      </w:r>
    </w:p>
    <w:p w14:paraId="501C8656" w14:textId="77777777" w:rsidR="00FB130A" w:rsidRPr="00FB130A" w:rsidRDefault="00FB130A" w:rsidP="00FB130A">
      <w:pPr>
        <w:rPr>
          <w:rtl/>
        </w:rPr>
      </w:pPr>
      <w:r w:rsidRPr="00FB130A">
        <w:rPr>
          <w:rFonts w:hint="cs"/>
          <w:rtl/>
        </w:rPr>
        <w:t>يتمثل الهدف في هذا السياق في تيسير التعاون وتطويره وتعزيزه مع أوسع مجموعة ممكنة من الشركاء من البلدان المتقدمة والبلدان النامية على السواء والقطاع الخاص والمصارف الإنمائية وشركاء آخرين بهدف تعزيز تعبئة الموارد من أجل تنفيذ البرامج والمبادرات الإقليمية لتحقيق التنمية المستدامة.</w:t>
      </w:r>
    </w:p>
    <w:p w14:paraId="715A77F7" w14:textId="77777777" w:rsidR="00FB130A" w:rsidRPr="00FB130A" w:rsidRDefault="00FB130A" w:rsidP="00054A36">
      <w:pPr>
        <w:pStyle w:val="Heading1"/>
        <w:rPr>
          <w:rtl/>
          <w:lang w:val="en-GB" w:bidi="ar-EG"/>
        </w:rPr>
      </w:pPr>
      <w:r w:rsidRPr="00FB130A">
        <w:rPr>
          <w:lang w:val="en-GB" w:bidi="ar-EG"/>
        </w:rPr>
        <w:t>3</w:t>
      </w:r>
      <w:r w:rsidRPr="00FB130A">
        <w:rPr>
          <w:rtl/>
          <w:lang w:val="en-GB" w:bidi="ar-EG"/>
        </w:rPr>
        <w:tab/>
      </w:r>
      <w:r w:rsidRPr="00FB130A">
        <w:rPr>
          <w:rFonts w:hint="cs"/>
          <w:rtl/>
          <w:lang w:val="en-GB" w:bidi="ar-EG"/>
        </w:rPr>
        <w:t>الشراكات ونتائج تعبئة الموارد</w:t>
      </w:r>
    </w:p>
    <w:p w14:paraId="36B9400F" w14:textId="77777777" w:rsidR="00FB130A" w:rsidRPr="00FB130A" w:rsidRDefault="00FB130A" w:rsidP="00FB130A">
      <w:pPr>
        <w:rPr>
          <w:rtl/>
        </w:rPr>
      </w:pPr>
      <w:r w:rsidRPr="00FB130A">
        <w:rPr>
          <w:rFonts w:hint="cs"/>
          <w:rtl/>
        </w:rPr>
        <w:t xml:space="preserve">يمكن الاطلاع على معلومات بشأن اتفاقات الشراكة (مع مساهمات مالية وبدونها) الموقعة بين مكتب تنمية الاتصالات والشركاء في الوثيقة </w:t>
      </w:r>
      <w:hyperlink r:id="rId9" w:history="1">
        <w:r w:rsidRPr="00FB130A">
          <w:rPr>
            <w:rStyle w:val="Hyperlink"/>
            <w:b/>
            <w:bCs/>
            <w:lang w:bidi="ar-EG"/>
          </w:rPr>
          <w:t>Document INF/2</w:t>
        </w:r>
      </w:hyperlink>
      <w:r w:rsidRPr="00FB130A">
        <w:rPr>
          <w:rFonts w:hint="cs"/>
          <w:rtl/>
        </w:rPr>
        <w:t>.</w:t>
      </w:r>
    </w:p>
    <w:p w14:paraId="7BDB46B4" w14:textId="77777777" w:rsidR="00FB130A" w:rsidRPr="00FB130A" w:rsidRDefault="00FB130A" w:rsidP="00FB130A">
      <w:pPr>
        <w:rPr>
          <w:rtl/>
        </w:rPr>
      </w:pPr>
      <w:r w:rsidRPr="00FB130A">
        <w:rPr>
          <w:rFonts w:hint="cs"/>
          <w:rtl/>
        </w:rPr>
        <w:t xml:space="preserve">وفي </w:t>
      </w:r>
      <w:r w:rsidRPr="00FB130A">
        <w:rPr>
          <w:lang w:val="en-GB" w:bidi="ar-EG"/>
        </w:rPr>
        <w:t>2019</w:t>
      </w:r>
      <w:r w:rsidRPr="00FB130A">
        <w:rPr>
          <w:rFonts w:hint="cs"/>
          <w:rtl/>
        </w:rPr>
        <w:t xml:space="preserve">، عبّأ مكتب تنمية الاتصالات موارد مالية تُقدر قيمتها بنحو </w:t>
      </w:r>
      <w:r w:rsidRPr="00FB130A">
        <w:rPr>
          <w:lang w:val="en-GB" w:bidi="ar-EG"/>
        </w:rPr>
        <w:t>15,2</w:t>
      </w:r>
      <w:r w:rsidRPr="00FB130A">
        <w:rPr>
          <w:rFonts w:hint="cs"/>
          <w:rtl/>
        </w:rPr>
        <w:t xml:space="preserve"> مليون دولار أمريكي من خلال الشراكات التي أُبرمت مع شركاء التمويل. وتُستخدم هذه الموارد لتمويل تنفيذ الأنشطة والمشاريع على المستويات الوطنية والإقليمية والعالمية.</w:t>
      </w:r>
    </w:p>
    <w:p w14:paraId="26345DA1" w14:textId="77777777" w:rsidR="00FB130A" w:rsidRPr="00FB130A" w:rsidRDefault="00FB130A" w:rsidP="0047738F">
      <w:pPr>
        <w:spacing w:after="240"/>
        <w:rPr>
          <w:rtl/>
        </w:rPr>
      </w:pPr>
      <w:r w:rsidRPr="00FB130A">
        <w:rPr>
          <w:rFonts w:hint="cs"/>
          <w:rtl/>
        </w:rPr>
        <w:t>ويعرض الرسم البياني أدناه تركيبة ترتيبات التمويل المشترك بين مكتب تنمية الاتصالات وشركائه.</w:t>
      </w:r>
    </w:p>
    <w:p w14:paraId="7D4DD77F" w14:textId="77777777" w:rsidR="00FB130A" w:rsidRPr="00FB130A" w:rsidRDefault="00FB130A" w:rsidP="00054A36">
      <w:pPr>
        <w:bidi w:val="0"/>
        <w:jc w:val="center"/>
        <w:rPr>
          <w:lang w:bidi="ar-EG"/>
        </w:rPr>
      </w:pPr>
      <w:r w:rsidRPr="00FB130A">
        <w:rPr>
          <w:noProof/>
          <w:lang w:bidi="ar-EG"/>
        </w:rPr>
        <w:drawing>
          <wp:inline distT="0" distB="0" distL="0" distR="0" wp14:anchorId="6360F501" wp14:editId="2C390D2A">
            <wp:extent cx="4057650" cy="25336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858E9D" w14:textId="77777777" w:rsidR="00FB130A" w:rsidRPr="00FB130A" w:rsidRDefault="00FB130A" w:rsidP="0047738F">
      <w:pPr>
        <w:rPr>
          <w:rtl/>
        </w:rPr>
      </w:pPr>
      <w:r w:rsidRPr="00FB130A">
        <w:rPr>
          <w:rFonts w:hint="cs"/>
          <w:rtl/>
        </w:rPr>
        <w:t xml:space="preserve">فيما يلي شركاء التمويل الثلاثة الرئيسيون في </w:t>
      </w:r>
      <w:r w:rsidRPr="00FB130A">
        <w:rPr>
          <w:lang w:val="en-GB" w:bidi="ar-EG"/>
        </w:rPr>
        <w:t>2019</w:t>
      </w:r>
      <w:r w:rsidRPr="00FB130A">
        <w:rPr>
          <w:rFonts w:hint="cs"/>
          <w:rtl/>
        </w:rPr>
        <w:t>:</w:t>
      </w:r>
    </w:p>
    <w:p w14:paraId="0CBCF946" w14:textId="77777777" w:rsidR="00FB130A" w:rsidRPr="00FB130A" w:rsidRDefault="00FB130A" w:rsidP="0047738F">
      <w:pPr>
        <w:pStyle w:val="enumlev1"/>
        <w:rPr>
          <w:rtl/>
          <w:lang w:bidi="ar-SA"/>
        </w:rPr>
      </w:pPr>
      <w:r w:rsidRPr="00FB130A">
        <w:rPr>
          <w:rFonts w:hint="cs"/>
          <w:rtl/>
        </w:rPr>
        <w:t>-</w:t>
      </w:r>
      <w:r w:rsidRPr="00FB130A">
        <w:rPr>
          <w:rtl/>
        </w:rPr>
        <w:tab/>
      </w:r>
      <w:r w:rsidRPr="00FB130A">
        <w:rPr>
          <w:rFonts w:hint="cs"/>
          <w:rtl/>
        </w:rPr>
        <w:t xml:space="preserve">الوكالة الوطنية البرازيلية للاتصالات </w:t>
      </w:r>
      <w:r w:rsidRPr="00FB130A">
        <w:rPr>
          <w:lang w:val="en-GB" w:bidi="ar-EG"/>
        </w:rPr>
        <w:t>(ANATEL)</w:t>
      </w:r>
      <w:r w:rsidRPr="00FB130A">
        <w:rPr>
          <w:rFonts w:hint="cs"/>
          <w:rtl/>
          <w:lang w:bidi="ar-SA"/>
        </w:rPr>
        <w:t xml:space="preserve">، مع مساهمة مالية </w:t>
      </w:r>
      <w:r w:rsidRPr="00FB130A">
        <w:rPr>
          <w:rFonts w:hint="cs"/>
          <w:rtl/>
        </w:rPr>
        <w:t xml:space="preserve">قدرها </w:t>
      </w:r>
      <w:r w:rsidRPr="00FB130A">
        <w:rPr>
          <w:lang w:val="en-GB" w:bidi="ar-EG"/>
        </w:rPr>
        <w:t>7</w:t>
      </w:r>
      <w:r w:rsidRPr="00FB130A">
        <w:rPr>
          <w:rFonts w:hint="cs"/>
          <w:rtl/>
          <w:lang w:bidi="ar-SA"/>
        </w:rPr>
        <w:t xml:space="preserve"> ملايين دولار أمريكي.</w:t>
      </w:r>
    </w:p>
    <w:p w14:paraId="48B3BCE9" w14:textId="77777777" w:rsidR="00FB130A" w:rsidRPr="00FB130A" w:rsidRDefault="00FB130A" w:rsidP="0047738F">
      <w:pPr>
        <w:pStyle w:val="enumlev1"/>
        <w:rPr>
          <w:rtl/>
          <w:lang w:bidi="ar-SA"/>
        </w:rPr>
      </w:pPr>
      <w:r w:rsidRPr="00FB130A">
        <w:rPr>
          <w:rFonts w:hint="cs"/>
          <w:rtl/>
        </w:rPr>
        <w:t>-</w:t>
      </w:r>
      <w:r w:rsidRPr="00FB130A">
        <w:rPr>
          <w:rtl/>
        </w:rPr>
        <w:tab/>
      </w:r>
      <w:r w:rsidRPr="00FB130A">
        <w:rPr>
          <w:rFonts w:hint="cs"/>
          <w:rtl/>
        </w:rPr>
        <w:t xml:space="preserve">المفوضية الأوروبية </w:t>
      </w:r>
      <w:r w:rsidRPr="00FB130A">
        <w:rPr>
          <w:lang w:val="en-GB" w:bidi="ar-EG"/>
        </w:rPr>
        <w:t>(EC)</w:t>
      </w:r>
      <w:r w:rsidRPr="00FB130A">
        <w:rPr>
          <w:rFonts w:hint="cs"/>
          <w:rtl/>
          <w:lang w:bidi="ar-SA"/>
        </w:rPr>
        <w:t xml:space="preserve">، مع مساهمة مالية </w:t>
      </w:r>
      <w:r w:rsidRPr="00FB130A">
        <w:rPr>
          <w:rFonts w:hint="cs"/>
          <w:rtl/>
        </w:rPr>
        <w:t xml:space="preserve">قدرها </w:t>
      </w:r>
      <w:r w:rsidRPr="00FB130A">
        <w:rPr>
          <w:lang w:val="en-GB" w:bidi="ar-EG"/>
        </w:rPr>
        <w:t>2,5</w:t>
      </w:r>
      <w:r w:rsidRPr="00FB130A">
        <w:rPr>
          <w:rFonts w:hint="cs"/>
          <w:rtl/>
          <w:lang w:bidi="ar-SA"/>
        </w:rPr>
        <w:t xml:space="preserve"> مليون يورو.</w:t>
      </w:r>
    </w:p>
    <w:p w14:paraId="3262FF40" w14:textId="77777777" w:rsidR="00FB130A" w:rsidRPr="00FB130A" w:rsidRDefault="00FB130A" w:rsidP="0047738F">
      <w:pPr>
        <w:pStyle w:val="enumlev1"/>
        <w:rPr>
          <w:rtl/>
          <w:lang w:bidi="ar-SA"/>
        </w:rPr>
      </w:pPr>
      <w:r w:rsidRPr="00FB130A">
        <w:rPr>
          <w:rFonts w:hint="cs"/>
          <w:rtl/>
        </w:rPr>
        <w:t>-</w:t>
      </w:r>
      <w:r w:rsidRPr="00FB130A">
        <w:rPr>
          <w:rtl/>
        </w:rPr>
        <w:tab/>
        <w:t>برنامج بادر لحاضنات التقنية،</w:t>
      </w:r>
      <w:r w:rsidRPr="00FB130A">
        <w:rPr>
          <w:rFonts w:hint="cs"/>
          <w:rtl/>
        </w:rPr>
        <w:t xml:space="preserve"> المملكة العربية السعودية، مع مساهمة مالية قدرها </w:t>
      </w:r>
      <w:r w:rsidRPr="00FB130A">
        <w:rPr>
          <w:lang w:val="en-GB" w:bidi="ar-EG"/>
        </w:rPr>
        <w:t>1,2</w:t>
      </w:r>
      <w:r w:rsidRPr="00FB130A">
        <w:rPr>
          <w:rFonts w:hint="cs"/>
          <w:rtl/>
          <w:lang w:bidi="ar-SA"/>
        </w:rPr>
        <w:t xml:space="preserve"> مليون دولار أمريكي.</w:t>
      </w:r>
    </w:p>
    <w:p w14:paraId="1AE71477" w14:textId="77777777" w:rsidR="00FB130A" w:rsidRPr="00FB130A" w:rsidRDefault="00FB130A" w:rsidP="00FB130A">
      <w:pPr>
        <w:rPr>
          <w:rtl/>
        </w:rPr>
      </w:pPr>
      <w:r w:rsidRPr="00FB130A">
        <w:rPr>
          <w:rFonts w:hint="cs"/>
          <w:rtl/>
        </w:rPr>
        <w:t>وهذه الشراكات أمثلة جيدة على الجهود والعمل الذي يضطلع به مكتب تنمية الاتصالات في سبيل تعزيز العلاقات مع الشركاء الحاليين، وإقامة علاقة مستديمة معهم في الوقت نفسه.</w:t>
      </w:r>
    </w:p>
    <w:p w14:paraId="2E08E762" w14:textId="3E0BF114" w:rsidR="00FB130A" w:rsidRPr="00FB130A" w:rsidRDefault="00FB130A" w:rsidP="00FB130A">
      <w:pPr>
        <w:rPr>
          <w:rtl/>
        </w:rPr>
      </w:pPr>
      <w:r w:rsidRPr="00FB130A">
        <w:rPr>
          <w:rFonts w:hint="cs"/>
          <w:rtl/>
        </w:rPr>
        <w:lastRenderedPageBreak/>
        <w:t xml:space="preserve">ويبين الرسم البياني أدناه طبيعة وتنوع شركاء التمويل في </w:t>
      </w:r>
      <w:r w:rsidRPr="00FB130A">
        <w:rPr>
          <w:lang w:val="en-GB" w:bidi="ar-EG"/>
        </w:rPr>
        <w:t>2019</w:t>
      </w:r>
      <w:r w:rsidRPr="00FB130A">
        <w:rPr>
          <w:rFonts w:hint="cs"/>
          <w:rtl/>
        </w:rPr>
        <w:t>.</w:t>
      </w:r>
    </w:p>
    <w:p w14:paraId="26A15F63" w14:textId="1F421E50" w:rsidR="00FB130A" w:rsidRPr="00FB130A" w:rsidRDefault="00FB130A" w:rsidP="00FB130A">
      <w:pPr>
        <w:rPr>
          <w:lang w:bidi="ar-EG"/>
        </w:rPr>
      </w:pPr>
    </w:p>
    <w:p w14:paraId="17D52911" w14:textId="4FA495B0" w:rsidR="00FB130A" w:rsidRPr="00FB130A" w:rsidRDefault="0047738F" w:rsidP="0047738F">
      <w:pPr>
        <w:jc w:val="center"/>
        <w:rPr>
          <w:lang w:bidi="ar-EG"/>
        </w:rPr>
      </w:pPr>
      <w:r>
        <w:rPr>
          <w:noProof/>
        </w:rPr>
        <mc:AlternateContent>
          <mc:Choice Requires="wps">
            <w:drawing>
              <wp:anchor distT="0" distB="0" distL="114300" distR="114300" simplePos="0" relativeHeight="251659264" behindDoc="0" locked="0" layoutInCell="1" allowOverlap="1" wp14:anchorId="0B3B3F35" wp14:editId="4BCD54FD">
                <wp:simplePos x="0" y="0"/>
                <wp:positionH relativeFrom="column">
                  <wp:posOffset>4135425</wp:posOffset>
                </wp:positionH>
                <wp:positionV relativeFrom="paragraph">
                  <wp:posOffset>427990</wp:posOffset>
                </wp:positionV>
                <wp:extent cx="1172452" cy="2126089"/>
                <wp:effectExtent l="0" t="0" r="8890" b="7620"/>
                <wp:wrapNone/>
                <wp:docPr id="3" name="Text Box 1"/>
                <wp:cNvGraphicFramePr/>
                <a:graphic xmlns:a="http://schemas.openxmlformats.org/drawingml/2006/main">
                  <a:graphicData uri="http://schemas.microsoft.com/office/word/2010/wordprocessingShape">
                    <wps:wsp>
                      <wps:cNvSpPr txBox="1"/>
                      <wps:spPr>
                        <a:xfrm>
                          <a:off x="0" y="0"/>
                          <a:ext cx="1172452" cy="2126089"/>
                        </a:xfrm>
                        <a:prstGeom prst="rect">
                          <a:avLst/>
                        </a:prstGeom>
                        <a:solidFill>
                          <a:schemeClr val="bg2"/>
                        </a:solidFill>
                      </wps:spPr>
                      <wps:txbx>
                        <w:txbxContent>
                          <w:p w14:paraId="0B6A4FEA" w14:textId="77777777" w:rsidR="0047738F" w:rsidRPr="0047738F" w:rsidRDefault="0047738F" w:rsidP="0047738F">
                            <w:pPr>
                              <w:jc w:val="right"/>
                              <w:rPr>
                                <w:sz w:val="18"/>
                                <w:szCs w:val="18"/>
                                <w:rtl/>
                                <w:lang w:bidi="ar-EG"/>
                              </w:rPr>
                            </w:pPr>
                            <w:r w:rsidRPr="0047738F">
                              <w:rPr>
                                <w:rFonts w:hint="cs"/>
                                <w:sz w:val="18"/>
                                <w:szCs w:val="18"/>
                                <w:rtl/>
                                <w:lang w:bidi="ar-EG"/>
                              </w:rPr>
                              <w:t>الدول الأعضاء</w:t>
                            </w:r>
                          </w:p>
                          <w:p w14:paraId="20ADFAEB" w14:textId="77777777" w:rsidR="0047738F" w:rsidRPr="0047738F" w:rsidRDefault="0047738F" w:rsidP="0047738F">
                            <w:pPr>
                              <w:spacing w:before="0"/>
                              <w:jc w:val="right"/>
                              <w:rPr>
                                <w:sz w:val="16"/>
                                <w:szCs w:val="16"/>
                                <w:rtl/>
                                <w:lang w:bidi="ar-EG"/>
                              </w:rPr>
                            </w:pPr>
                          </w:p>
                          <w:p w14:paraId="08887577" w14:textId="76278A69" w:rsidR="0047738F" w:rsidRPr="0047738F" w:rsidRDefault="0047738F" w:rsidP="0047738F">
                            <w:pPr>
                              <w:jc w:val="right"/>
                              <w:rPr>
                                <w:sz w:val="18"/>
                                <w:szCs w:val="18"/>
                                <w:rtl/>
                                <w:lang w:bidi="ar-EG"/>
                              </w:rPr>
                            </w:pPr>
                            <w:r w:rsidRPr="0047738F">
                              <w:rPr>
                                <w:rFonts w:hint="cs"/>
                                <w:sz w:val="18"/>
                                <w:szCs w:val="18"/>
                                <w:rtl/>
                                <w:lang w:bidi="ar-EG"/>
                              </w:rPr>
                              <w:t>الأمم المتحدة</w:t>
                            </w:r>
                            <w:r>
                              <w:rPr>
                                <w:sz w:val="18"/>
                                <w:szCs w:val="18"/>
                                <w:rtl/>
                                <w:lang w:bidi="ar-EG"/>
                              </w:rPr>
                              <w:br/>
                            </w:r>
                            <w:r w:rsidRPr="0047738F">
                              <w:rPr>
                                <w:rFonts w:hint="cs"/>
                                <w:sz w:val="18"/>
                                <w:szCs w:val="18"/>
                                <w:rtl/>
                                <w:lang w:bidi="ar-EG"/>
                              </w:rPr>
                              <w:t>والمنظمات الدولية</w:t>
                            </w:r>
                          </w:p>
                          <w:p w14:paraId="248DCC03" w14:textId="77777777" w:rsidR="0047738F" w:rsidRPr="0047738F" w:rsidRDefault="0047738F" w:rsidP="0047738F">
                            <w:pPr>
                              <w:spacing w:before="0"/>
                              <w:jc w:val="right"/>
                              <w:rPr>
                                <w:sz w:val="4"/>
                                <w:szCs w:val="4"/>
                                <w:rtl/>
                                <w:lang w:bidi="ar-EG"/>
                              </w:rPr>
                            </w:pPr>
                          </w:p>
                          <w:p w14:paraId="760F0535" w14:textId="65F5DF8B" w:rsidR="0047738F" w:rsidRPr="0047738F" w:rsidRDefault="0047738F" w:rsidP="0047738F">
                            <w:pPr>
                              <w:spacing w:before="0"/>
                              <w:jc w:val="right"/>
                              <w:rPr>
                                <w:sz w:val="18"/>
                                <w:szCs w:val="18"/>
                                <w:rtl/>
                                <w:lang w:bidi="ar-EG"/>
                              </w:rPr>
                            </w:pPr>
                            <w:r w:rsidRPr="0047738F">
                              <w:rPr>
                                <w:rFonts w:hint="cs"/>
                                <w:sz w:val="18"/>
                                <w:szCs w:val="18"/>
                                <w:rtl/>
                                <w:lang w:bidi="ar-EG"/>
                              </w:rPr>
                              <w:t>المنظمات متعددة الأطراف والمنظمات الإقليمية</w:t>
                            </w:r>
                          </w:p>
                          <w:p w14:paraId="4C9E494F" w14:textId="77777777" w:rsidR="0047738F" w:rsidRPr="0047738F" w:rsidRDefault="0047738F" w:rsidP="0047738F">
                            <w:pPr>
                              <w:spacing w:before="0"/>
                              <w:jc w:val="right"/>
                              <w:rPr>
                                <w:sz w:val="4"/>
                                <w:szCs w:val="4"/>
                                <w:rtl/>
                                <w:lang w:bidi="ar-EG"/>
                              </w:rPr>
                            </w:pPr>
                          </w:p>
                          <w:p w14:paraId="3947BE30" w14:textId="2F257FA2" w:rsidR="0047738F" w:rsidRPr="0047738F" w:rsidRDefault="0047738F" w:rsidP="0047738F">
                            <w:pPr>
                              <w:spacing w:before="0"/>
                              <w:jc w:val="right"/>
                              <w:rPr>
                                <w:sz w:val="18"/>
                                <w:szCs w:val="18"/>
                                <w:rtl/>
                                <w:lang w:bidi="ar-EG"/>
                              </w:rPr>
                            </w:pPr>
                            <w:r w:rsidRPr="0047738F">
                              <w:rPr>
                                <w:rFonts w:hint="cs"/>
                                <w:sz w:val="18"/>
                                <w:szCs w:val="18"/>
                                <w:rtl/>
                                <w:lang w:bidi="ar-EG"/>
                              </w:rPr>
                              <w:t>القطاع الخاص</w:t>
                            </w:r>
                          </w:p>
                          <w:p w14:paraId="1AC165A6" w14:textId="77777777" w:rsidR="0047738F" w:rsidRPr="0047738F" w:rsidRDefault="0047738F" w:rsidP="0047738F">
                            <w:pPr>
                              <w:jc w:val="right"/>
                              <w:rPr>
                                <w:sz w:val="8"/>
                                <w:szCs w:val="8"/>
                                <w:rtl/>
                                <w:lang w:bidi="ar-EG"/>
                              </w:rPr>
                            </w:pPr>
                          </w:p>
                          <w:p w14:paraId="1057FBB3" w14:textId="08655545" w:rsidR="0047738F" w:rsidRDefault="0047738F" w:rsidP="0047738F">
                            <w:pPr>
                              <w:jc w:val="right"/>
                              <w:rPr>
                                <w:sz w:val="18"/>
                                <w:szCs w:val="18"/>
                                <w:rtl/>
                                <w:lang w:bidi="ar-EG"/>
                              </w:rPr>
                            </w:pPr>
                            <w:r w:rsidRPr="0047738F">
                              <w:rPr>
                                <w:rFonts w:hint="cs"/>
                                <w:sz w:val="18"/>
                                <w:szCs w:val="18"/>
                                <w:rtl/>
                                <w:lang w:bidi="ar-EG"/>
                              </w:rPr>
                              <w:t>المؤسسات الأكاديمية</w:t>
                            </w:r>
                          </w:p>
                          <w:p w14:paraId="3284E1E1" w14:textId="77777777" w:rsidR="0047738F" w:rsidRPr="0047738F" w:rsidRDefault="0047738F" w:rsidP="0047738F">
                            <w:pPr>
                              <w:jc w:val="right"/>
                              <w:rPr>
                                <w:sz w:val="4"/>
                                <w:szCs w:val="4"/>
                                <w:rtl/>
                                <w:lang w:bidi="ar-EG"/>
                              </w:rPr>
                            </w:pPr>
                          </w:p>
                          <w:p w14:paraId="1A5FC7B7" w14:textId="77777777" w:rsidR="0047738F" w:rsidRPr="0047738F" w:rsidRDefault="0047738F" w:rsidP="0047738F">
                            <w:pPr>
                              <w:jc w:val="right"/>
                              <w:rPr>
                                <w:sz w:val="18"/>
                                <w:szCs w:val="18"/>
                              </w:rPr>
                            </w:pPr>
                            <w:r w:rsidRPr="0047738F">
                              <w:rPr>
                                <w:rFonts w:hint="cs"/>
                                <w:sz w:val="18"/>
                                <w:szCs w:val="18"/>
                                <w:rtl/>
                                <w:lang w:bidi="ar-EG"/>
                              </w:rPr>
                              <w:t>المنظمات غير الحكومية</w:t>
                            </w:r>
                          </w:p>
                          <w:p w14:paraId="1BBB67B5" w14:textId="17A0B5C7" w:rsidR="0047738F" w:rsidRPr="0047738F" w:rsidRDefault="0047738F" w:rsidP="0047738F">
                            <w:pPr>
                              <w:jc w:val="right"/>
                            </w:pPr>
                          </w:p>
                        </w:txbxContent>
                      </wps:txbx>
                      <wps:bodyPr vertOverflow="clip" wrap="square" lIns="36000" tIns="36000" rIns="36000" bIns="36000" rtlCol="0">
                        <a:noAutofit/>
                      </wps:bodyPr>
                    </wps:wsp>
                  </a:graphicData>
                </a:graphic>
                <wp14:sizeRelH relativeFrom="margin">
                  <wp14:pctWidth>0</wp14:pctWidth>
                </wp14:sizeRelH>
                <wp14:sizeRelV relativeFrom="margin">
                  <wp14:pctHeight>0</wp14:pctHeight>
                </wp14:sizeRelV>
              </wp:anchor>
            </w:drawing>
          </mc:Choice>
          <mc:Fallback>
            <w:pict>
              <v:shapetype w14:anchorId="0B3B3F35" id="_x0000_t202" coordsize="21600,21600" o:spt="202" path="m,l,21600r21600,l21600,xe">
                <v:stroke joinstyle="miter"/>
                <v:path gradientshapeok="t" o:connecttype="rect"/>
              </v:shapetype>
              <v:shape id="Text Box 1" o:spid="_x0000_s1026" type="#_x0000_t202" style="position:absolute;left:0;text-align:left;margin-left:325.6pt;margin-top:33.7pt;width:92.3pt;height:1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" fillcolor="#e7e6e6 [3214]" stroked="f">
                <v:textbox inset="1mm,1mm,1mm,1mm">
                  <w:txbxContent>
                    <w:p w14:paraId="0B6A4FEA" w14:textId="77777777" w:rsidR="0047738F" w:rsidRPr="0047738F" w:rsidRDefault="0047738F" w:rsidP="0047738F">
                      <w:pPr>
                        <w:jc w:val="right"/>
                        <w:rPr>
                          <w:sz w:val="18"/>
                          <w:szCs w:val="18"/>
                          <w:rtl/>
                          <w:lang w:bidi="ar-EG"/>
                        </w:rPr>
                      </w:pPr>
                      <w:r w:rsidRPr="0047738F">
                        <w:rPr>
                          <w:rFonts w:hint="cs"/>
                          <w:sz w:val="18"/>
                          <w:szCs w:val="18"/>
                          <w:rtl/>
                          <w:lang w:bidi="ar-EG"/>
                        </w:rPr>
                        <w:t>الدول الأعضاء</w:t>
                      </w:r>
                    </w:p>
                    <w:p w14:paraId="20ADFAEB" w14:textId="77777777" w:rsidR="0047738F" w:rsidRPr="0047738F" w:rsidRDefault="0047738F" w:rsidP="0047738F">
                      <w:pPr>
                        <w:spacing w:before="0"/>
                        <w:jc w:val="right"/>
                        <w:rPr>
                          <w:sz w:val="16"/>
                          <w:szCs w:val="16"/>
                          <w:rtl/>
                          <w:lang w:bidi="ar-EG"/>
                        </w:rPr>
                      </w:pPr>
                    </w:p>
                    <w:p w14:paraId="08887577" w14:textId="76278A69" w:rsidR="0047738F" w:rsidRPr="0047738F" w:rsidRDefault="0047738F" w:rsidP="0047738F">
                      <w:pPr>
                        <w:jc w:val="right"/>
                        <w:rPr>
                          <w:sz w:val="18"/>
                          <w:szCs w:val="18"/>
                          <w:rtl/>
                          <w:lang w:bidi="ar-EG"/>
                        </w:rPr>
                      </w:pPr>
                      <w:r w:rsidRPr="0047738F">
                        <w:rPr>
                          <w:rFonts w:hint="cs"/>
                          <w:sz w:val="18"/>
                          <w:szCs w:val="18"/>
                          <w:rtl/>
                          <w:lang w:bidi="ar-EG"/>
                        </w:rPr>
                        <w:t>الأمم المتحدة</w:t>
                      </w:r>
                      <w:r>
                        <w:rPr>
                          <w:sz w:val="18"/>
                          <w:szCs w:val="18"/>
                          <w:rtl/>
                          <w:lang w:bidi="ar-EG"/>
                        </w:rPr>
                        <w:br/>
                      </w:r>
                      <w:r w:rsidRPr="0047738F">
                        <w:rPr>
                          <w:rFonts w:hint="cs"/>
                          <w:sz w:val="18"/>
                          <w:szCs w:val="18"/>
                          <w:rtl/>
                          <w:lang w:bidi="ar-EG"/>
                        </w:rPr>
                        <w:t>والمنظمات الدولية</w:t>
                      </w:r>
                    </w:p>
                    <w:p w14:paraId="248DCC03" w14:textId="77777777" w:rsidR="0047738F" w:rsidRPr="0047738F" w:rsidRDefault="0047738F" w:rsidP="0047738F">
                      <w:pPr>
                        <w:spacing w:before="0"/>
                        <w:jc w:val="right"/>
                        <w:rPr>
                          <w:sz w:val="4"/>
                          <w:szCs w:val="4"/>
                          <w:rtl/>
                          <w:lang w:bidi="ar-EG"/>
                        </w:rPr>
                      </w:pPr>
                    </w:p>
                    <w:p w14:paraId="760F0535" w14:textId="65F5DF8B" w:rsidR="0047738F" w:rsidRPr="0047738F" w:rsidRDefault="0047738F" w:rsidP="0047738F">
                      <w:pPr>
                        <w:spacing w:before="0"/>
                        <w:jc w:val="right"/>
                        <w:rPr>
                          <w:sz w:val="18"/>
                          <w:szCs w:val="18"/>
                          <w:rtl/>
                          <w:lang w:bidi="ar-EG"/>
                        </w:rPr>
                      </w:pPr>
                      <w:r w:rsidRPr="0047738F">
                        <w:rPr>
                          <w:rFonts w:hint="cs"/>
                          <w:sz w:val="18"/>
                          <w:szCs w:val="18"/>
                          <w:rtl/>
                          <w:lang w:bidi="ar-EG"/>
                        </w:rPr>
                        <w:t>المنظمات متعددة الأطراف والمنظمات الإقليمية</w:t>
                      </w:r>
                    </w:p>
                    <w:p w14:paraId="4C9E494F" w14:textId="77777777" w:rsidR="0047738F" w:rsidRPr="0047738F" w:rsidRDefault="0047738F" w:rsidP="0047738F">
                      <w:pPr>
                        <w:spacing w:before="0"/>
                        <w:jc w:val="right"/>
                        <w:rPr>
                          <w:sz w:val="4"/>
                          <w:szCs w:val="4"/>
                          <w:rtl/>
                          <w:lang w:bidi="ar-EG"/>
                        </w:rPr>
                      </w:pPr>
                    </w:p>
                    <w:p w14:paraId="3947BE30" w14:textId="2F257FA2" w:rsidR="0047738F" w:rsidRPr="0047738F" w:rsidRDefault="0047738F" w:rsidP="0047738F">
                      <w:pPr>
                        <w:spacing w:before="0"/>
                        <w:jc w:val="right"/>
                        <w:rPr>
                          <w:sz w:val="18"/>
                          <w:szCs w:val="18"/>
                          <w:rtl/>
                          <w:lang w:bidi="ar-EG"/>
                        </w:rPr>
                      </w:pPr>
                      <w:r w:rsidRPr="0047738F">
                        <w:rPr>
                          <w:rFonts w:hint="cs"/>
                          <w:sz w:val="18"/>
                          <w:szCs w:val="18"/>
                          <w:rtl/>
                          <w:lang w:bidi="ar-EG"/>
                        </w:rPr>
                        <w:t>القطاع الخاص</w:t>
                      </w:r>
                    </w:p>
                    <w:p w14:paraId="1AC165A6" w14:textId="77777777" w:rsidR="0047738F" w:rsidRPr="0047738F" w:rsidRDefault="0047738F" w:rsidP="0047738F">
                      <w:pPr>
                        <w:jc w:val="right"/>
                        <w:rPr>
                          <w:sz w:val="8"/>
                          <w:szCs w:val="8"/>
                          <w:rtl/>
                          <w:lang w:bidi="ar-EG"/>
                        </w:rPr>
                      </w:pPr>
                    </w:p>
                    <w:p w14:paraId="1057FBB3" w14:textId="08655545" w:rsidR="0047738F" w:rsidRDefault="0047738F" w:rsidP="0047738F">
                      <w:pPr>
                        <w:jc w:val="right"/>
                        <w:rPr>
                          <w:sz w:val="18"/>
                          <w:szCs w:val="18"/>
                          <w:rtl/>
                          <w:lang w:bidi="ar-EG"/>
                        </w:rPr>
                      </w:pPr>
                      <w:r w:rsidRPr="0047738F">
                        <w:rPr>
                          <w:rFonts w:hint="cs"/>
                          <w:sz w:val="18"/>
                          <w:szCs w:val="18"/>
                          <w:rtl/>
                          <w:lang w:bidi="ar-EG"/>
                        </w:rPr>
                        <w:t>المؤسسات الأكاديمية</w:t>
                      </w:r>
                    </w:p>
                    <w:p w14:paraId="3284E1E1" w14:textId="77777777" w:rsidR="0047738F" w:rsidRPr="0047738F" w:rsidRDefault="0047738F" w:rsidP="0047738F">
                      <w:pPr>
                        <w:jc w:val="right"/>
                        <w:rPr>
                          <w:sz w:val="4"/>
                          <w:szCs w:val="4"/>
                          <w:rtl/>
                          <w:lang w:bidi="ar-EG"/>
                        </w:rPr>
                      </w:pPr>
                    </w:p>
                    <w:p w14:paraId="1A5FC7B7" w14:textId="77777777" w:rsidR="0047738F" w:rsidRPr="0047738F" w:rsidRDefault="0047738F" w:rsidP="0047738F">
                      <w:pPr>
                        <w:jc w:val="right"/>
                        <w:rPr>
                          <w:sz w:val="18"/>
                          <w:szCs w:val="18"/>
                        </w:rPr>
                      </w:pPr>
                      <w:r w:rsidRPr="0047738F">
                        <w:rPr>
                          <w:rFonts w:hint="cs"/>
                          <w:sz w:val="18"/>
                          <w:szCs w:val="18"/>
                          <w:rtl/>
                          <w:lang w:bidi="ar-EG"/>
                        </w:rPr>
                        <w:t>المنظمات غير الحكومية</w:t>
                      </w:r>
                    </w:p>
                    <w:p w14:paraId="1BBB67B5" w14:textId="17A0B5C7" w:rsidR="0047738F" w:rsidRPr="0047738F" w:rsidRDefault="0047738F" w:rsidP="0047738F">
                      <w:pPr>
                        <w:jc w:val="right"/>
                      </w:pPr>
                    </w:p>
                  </w:txbxContent>
                </v:textbox>
              </v:shape>
            </w:pict>
          </mc:Fallback>
        </mc:AlternateContent>
      </w:r>
      <w:r w:rsidR="00FB130A" w:rsidRPr="00FB130A">
        <w:rPr>
          <w:noProof/>
          <w:lang w:bidi="ar-EG"/>
        </w:rPr>
        <w:drawing>
          <wp:inline distT="0" distB="0" distL="0" distR="0" wp14:anchorId="484CC5D5" wp14:editId="7EA49F4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1E9D75" w14:textId="239BADC0" w:rsidR="00FB130A" w:rsidRPr="00FB130A" w:rsidRDefault="00FB130A" w:rsidP="0047738F">
      <w:pPr>
        <w:spacing w:before="240"/>
        <w:rPr>
          <w:rtl/>
        </w:rPr>
      </w:pPr>
      <w:r w:rsidRPr="00FB130A">
        <w:rPr>
          <w:rFonts w:hint="cs"/>
          <w:rtl/>
        </w:rPr>
        <w:t xml:space="preserve">كما يتضح من الرسم البياني، كانت الدول الأعضاء في الاتحاد (بنسبة </w:t>
      </w:r>
      <w:r w:rsidRPr="00FB130A">
        <w:rPr>
          <w:lang w:val="en-GB" w:bidi="ar-EG"/>
        </w:rPr>
        <w:t>57</w:t>
      </w:r>
      <w:r w:rsidRPr="00FB130A">
        <w:rPr>
          <w:rFonts w:hint="cs"/>
          <w:rtl/>
        </w:rPr>
        <w:t xml:space="preserve"> في </w:t>
      </w:r>
      <w:proofErr w:type="gramStart"/>
      <w:r w:rsidRPr="00FB130A">
        <w:rPr>
          <w:rFonts w:hint="cs"/>
          <w:rtl/>
        </w:rPr>
        <w:t>المائة</w:t>
      </w:r>
      <w:proofErr w:type="gramEnd"/>
      <w:r w:rsidRPr="00FB130A">
        <w:rPr>
          <w:rFonts w:hint="cs"/>
          <w:rtl/>
        </w:rPr>
        <w:t xml:space="preserve">) شركاء التمويل الرئيسيين لمكتب تنمية الاتصالات في </w:t>
      </w:r>
      <w:r w:rsidRPr="00FB130A">
        <w:rPr>
          <w:lang w:val="en-GB" w:bidi="ar-EG"/>
        </w:rPr>
        <w:t>2019</w:t>
      </w:r>
      <w:r w:rsidRPr="00FB130A">
        <w:rPr>
          <w:rFonts w:hint="cs"/>
          <w:rtl/>
        </w:rPr>
        <w:t>. وهي أيضاً الجهات المانحة التقليدية لمكتب تنمية الاتصالات. وقد انخفضت النسبة المئوية مقارنةً بالسنوات السابقة، مما يشير إلى زيادة في تنوع مصادر التمويل. واستناداً إلى المعلومات الواردة في الرسم البياني، من الواضح أن المكتب بحاجة إلى مضاعفة جهوده في مجال التوعية والمشاركة لجذب المزيد من شركاء التمويل غير التقليديين (مثل الوكالات الثنائية والمصارف الإنمائية والمؤسسات وصناديق المسؤولية الاجتماعية للشركات من القطاع الخاص).</w:t>
      </w:r>
    </w:p>
    <w:p w14:paraId="068B7889" w14:textId="77777777" w:rsidR="00FB130A" w:rsidRPr="00FB130A" w:rsidRDefault="00FB130A" w:rsidP="00FB130A">
      <w:pPr>
        <w:rPr>
          <w:rtl/>
        </w:rPr>
      </w:pPr>
      <w:r w:rsidRPr="00FB130A">
        <w:rPr>
          <w:rFonts w:hint="cs"/>
          <w:rtl/>
        </w:rPr>
        <w:t xml:space="preserve">وفي </w:t>
      </w:r>
      <w:r w:rsidRPr="00FB130A">
        <w:rPr>
          <w:lang w:val="en-GB" w:bidi="ar-EG"/>
        </w:rPr>
        <w:t>2019</w:t>
      </w:r>
      <w:r w:rsidRPr="00FB130A">
        <w:rPr>
          <w:rFonts w:hint="cs"/>
          <w:rtl/>
        </w:rPr>
        <w:t xml:space="preserve">، نجح مكتب تنمية الاتصالات في تعزيز تعاونه مع وكالات الأمم المتحدة الأخرى مما أسفر عن جهود مشتركة لتعبئة الموارد وإقامة الشراكات. وتمثلت إحدى النتائج الإيجابية في إقامة شراكة مع منظمة الأغذية والزراعة </w:t>
      </w:r>
      <w:r w:rsidRPr="00FB130A">
        <w:rPr>
          <w:lang w:val="en-GB" w:bidi="ar-EG"/>
        </w:rPr>
        <w:t>(FAO)</w:t>
      </w:r>
      <w:r w:rsidRPr="00FB130A">
        <w:rPr>
          <w:rFonts w:hint="cs"/>
          <w:rtl/>
        </w:rPr>
        <w:t xml:space="preserve">، ومنظمة العمل الدولية </w:t>
      </w:r>
      <w:r w:rsidRPr="00FB130A">
        <w:rPr>
          <w:lang w:val="en-GB" w:bidi="ar-EG"/>
        </w:rPr>
        <w:t>(ILO)</w:t>
      </w:r>
      <w:r w:rsidRPr="00FB130A">
        <w:rPr>
          <w:rFonts w:hint="cs"/>
          <w:rtl/>
        </w:rPr>
        <w:t>، و</w:t>
      </w:r>
      <w:r w:rsidRPr="00FB130A">
        <w:rPr>
          <w:rtl/>
        </w:rPr>
        <w:t xml:space="preserve">صندوق الأمم المتحدة للمشاريع </w:t>
      </w:r>
      <w:r w:rsidRPr="00FB130A">
        <w:rPr>
          <w:rFonts w:hint="cs"/>
          <w:rtl/>
        </w:rPr>
        <w:t xml:space="preserve">الإنمائية </w:t>
      </w:r>
      <w:r w:rsidRPr="00FB130A">
        <w:rPr>
          <w:lang w:val="en-GB" w:bidi="ar-EG"/>
        </w:rPr>
        <w:t>(UNCDF)</w:t>
      </w:r>
      <w:r w:rsidRPr="00FB130A">
        <w:rPr>
          <w:rFonts w:hint="cs"/>
          <w:rtl/>
        </w:rPr>
        <w:t xml:space="preserve"> وبرنامج الأمم المتحدة الإنمائي </w:t>
      </w:r>
      <w:r w:rsidRPr="00FB130A">
        <w:rPr>
          <w:lang w:val="en-GB" w:bidi="ar-EG"/>
        </w:rPr>
        <w:t>(UNDP)</w:t>
      </w:r>
      <w:r w:rsidRPr="00FB130A">
        <w:rPr>
          <w:rFonts w:hint="cs"/>
          <w:rtl/>
        </w:rPr>
        <w:t xml:space="preserve">. وأدت هذه الشراكة إلى إبرام اتفاق مع المفوضية الأوروبية لتمويل مشروع "دعم ريادة الأعمال الريفية والاستثمار والتجارة في بابوا غينيا الجديدة" بميزانية إجمالية قدرها </w:t>
      </w:r>
      <w:r w:rsidRPr="00FB130A">
        <w:rPr>
          <w:lang w:val="en-GB" w:bidi="ar-EG"/>
        </w:rPr>
        <w:t>81,3</w:t>
      </w:r>
      <w:r w:rsidRPr="00FB130A">
        <w:rPr>
          <w:rFonts w:hint="cs"/>
          <w:rtl/>
        </w:rPr>
        <w:t xml:space="preserve"> مليون يورو (منها </w:t>
      </w:r>
      <w:r w:rsidRPr="00FB130A">
        <w:rPr>
          <w:lang w:val="en-GB" w:bidi="ar-EG"/>
        </w:rPr>
        <w:t>2,5</w:t>
      </w:r>
      <w:r w:rsidRPr="00FB130A">
        <w:rPr>
          <w:rFonts w:hint="cs"/>
          <w:rtl/>
        </w:rPr>
        <w:t xml:space="preserve"> مليون يورو من أجل مكتب تنمية الاتصالات).</w:t>
      </w:r>
    </w:p>
    <w:p w14:paraId="2F9BC9E1" w14:textId="77777777" w:rsidR="00FB130A" w:rsidRPr="00FB130A" w:rsidRDefault="00FB130A" w:rsidP="00FB130A">
      <w:pPr>
        <w:rPr>
          <w:rtl/>
        </w:rPr>
      </w:pPr>
      <w:r w:rsidRPr="00FB130A">
        <w:rPr>
          <w:rFonts w:hint="cs"/>
          <w:rtl/>
        </w:rPr>
        <w:t>والدخول في شراكات غير تقليدية مع وكالات الأمم المتحدة الشقيقة يسمح لمكتب تنمية الاتصالات بتسليط الضوء على أهميته وخبرته في قطاعات أخرى (النظام الإيكولوجي).</w:t>
      </w:r>
    </w:p>
    <w:p w14:paraId="069C99BA" w14:textId="77777777" w:rsidR="00FB130A" w:rsidRPr="00FB130A" w:rsidRDefault="00FB130A" w:rsidP="00054A36">
      <w:pPr>
        <w:pStyle w:val="Heading1"/>
        <w:rPr>
          <w:rtl/>
          <w:lang w:val="en-GB" w:bidi="ar-EG"/>
        </w:rPr>
      </w:pPr>
      <w:r w:rsidRPr="00FB130A">
        <w:rPr>
          <w:lang w:val="en-GB" w:bidi="ar-EG"/>
        </w:rPr>
        <w:t>4</w:t>
      </w:r>
      <w:r w:rsidRPr="00FB130A">
        <w:rPr>
          <w:rtl/>
          <w:lang w:val="en-GB" w:bidi="ar-EG"/>
        </w:rPr>
        <w:tab/>
      </w:r>
      <w:r w:rsidRPr="00FB130A">
        <w:rPr>
          <w:rFonts w:hint="cs"/>
          <w:rtl/>
          <w:lang w:val="en-GB" w:bidi="ar-EG"/>
        </w:rPr>
        <w:t>آفاق المستقبل</w:t>
      </w:r>
    </w:p>
    <w:p w14:paraId="40C23802" w14:textId="77777777" w:rsidR="00FB130A" w:rsidRPr="00FB130A" w:rsidRDefault="00FB130A" w:rsidP="00FB130A">
      <w:pPr>
        <w:rPr>
          <w:rtl/>
        </w:rPr>
      </w:pPr>
      <w:r w:rsidRPr="00FB130A">
        <w:rPr>
          <w:rFonts w:hint="cs"/>
          <w:rtl/>
        </w:rPr>
        <w:t xml:space="preserve">بغية تعزيز تعبئة الموارد وبناء الشراكات في مكتب تنمية الاتصالات، يجري تعيين شركة استشارية لوضع استراتيجية وخطة قويتين </w:t>
      </w:r>
      <w:proofErr w:type="spellStart"/>
      <w:r w:rsidRPr="00FB130A">
        <w:rPr>
          <w:rFonts w:hint="cs"/>
          <w:rtl/>
        </w:rPr>
        <w:t>وتطلعيتين</w:t>
      </w:r>
      <w:proofErr w:type="spellEnd"/>
      <w:r w:rsidRPr="00FB130A">
        <w:rPr>
          <w:rFonts w:hint="cs"/>
          <w:rtl/>
        </w:rPr>
        <w:t xml:space="preserve"> لتعبئة الموارد. وستراعي هذه الاستراتيجية وخطة العمل المرتبطة بها المشهد المتغير لقطاع التنمية والشركاء/الجهات المانحة مع استخلاص الدروس المستفادة من جهود المكتب السابقة والحالية لتعبئة الموارد. ويجري كذلك تعيين مستشار أقدم في مجال تعبئة الموارد وإشراك أصحاب المصلحة لدعم الجهود الجارية التي يبذلها المكتب في سبيل بناء الشراكات وتعبئة الموارد. وكجزء من عملية بناء القدرات للموظفين، من المقرر تنظيم دورة تدريبية في مجال تعبئة الموارد في وقت لاحق من هذا العام.</w:t>
      </w:r>
    </w:p>
    <w:p w14:paraId="66B09730" w14:textId="0450C01E" w:rsidR="00882A17" w:rsidRDefault="00FB130A" w:rsidP="00FB130A">
      <w:pPr>
        <w:rPr>
          <w:rtl/>
        </w:rPr>
      </w:pPr>
      <w:r w:rsidRPr="00FB130A">
        <w:rPr>
          <w:rFonts w:hint="cs"/>
          <w:rtl/>
        </w:rPr>
        <w:t>ومراعاةً لما سبق، سيواصل المكتب تعزيز علاقاته مع الشركاء الحاليين وتحديد وإشراك شركاء جدد بهدف جذب الموارد اللازمة لتمويل مشاريع كبيرة من أجل دعم التنفيذ المؤثر للبرامج والمبادرات الإقليمية للمؤتمر العالمي لتنمية الاتصالات لعام 2017 على المستويات العالمية والإقليمية والوطنية.</w:t>
      </w:r>
    </w:p>
    <w:p w14:paraId="28E70329" w14:textId="2652224C" w:rsidR="0047738F" w:rsidRPr="00736B93" w:rsidRDefault="0047738F" w:rsidP="0047738F">
      <w:pPr>
        <w:spacing w:before="600"/>
        <w:jc w:val="center"/>
        <w:rPr>
          <w:rFonts w:ascii="Traditional Arabic" w:hAnsi="Traditional Arabic" w:cs="Traditional Arabic"/>
          <w:sz w:val="30"/>
          <w:szCs w:val="30"/>
          <w:rtl/>
        </w:rPr>
      </w:pPr>
      <w:r w:rsidRPr="00736B93">
        <w:rPr>
          <w:rFonts w:ascii="Traditional Arabic" w:hAnsi="Traditional Arabic" w:cs="Traditional Arabic"/>
          <w:sz w:val="30"/>
          <w:szCs w:val="30"/>
          <w:rtl/>
        </w:rPr>
        <w:t>___________</w:t>
      </w:r>
    </w:p>
    <w:sectPr w:rsidR="0047738F" w:rsidRPr="00736B93"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983E" w14:textId="77777777" w:rsidR="00FB130A" w:rsidRDefault="00FB130A" w:rsidP="006C3242">
      <w:pPr>
        <w:spacing w:before="0" w:line="240" w:lineRule="auto"/>
      </w:pPr>
      <w:r>
        <w:separator/>
      </w:r>
    </w:p>
  </w:endnote>
  <w:endnote w:type="continuationSeparator" w:id="0">
    <w:p w14:paraId="391A50D7" w14:textId="77777777" w:rsidR="00FB130A" w:rsidRDefault="00FB130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19C5" w14:textId="3E1A58F1" w:rsidR="006C3242" w:rsidRPr="0026373E" w:rsidRDefault="006C3242" w:rsidP="00FB130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7738F">
      <w:rPr>
        <w:noProof/>
        <w:sz w:val="16"/>
        <w:szCs w:val="16"/>
        <w:lang w:val="fr-FR"/>
      </w:rPr>
      <w:t>P:\ARA\ITU-D\CONF-D\TDAG20\000\007A.docx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FB130A" w:rsidRPr="00FB130A">
      <w:rPr>
        <w:sz w:val="16"/>
        <w:szCs w:val="16"/>
        <w:lang w:val="fr-FR"/>
      </w:rPr>
      <w:t>465654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0A998D0A" w14:textId="77777777" w:rsidTr="00F03E94">
      <w:tc>
        <w:tcPr>
          <w:tcW w:w="991" w:type="dxa"/>
          <w:tcBorders>
            <w:top w:val="single" w:sz="4" w:space="0" w:color="auto"/>
            <w:left w:val="nil"/>
            <w:bottom w:val="nil"/>
            <w:right w:val="nil"/>
          </w:tcBorders>
          <w:shd w:val="clear" w:color="auto" w:fill="FFFFFF" w:themeFill="background1"/>
          <w:hideMark/>
        </w:tcPr>
        <w:p w14:paraId="298C346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2C2302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EBE0382" w14:textId="0B329DC8" w:rsidR="00882A17" w:rsidRPr="005874F2" w:rsidRDefault="00FB130A" w:rsidP="00FB130A">
          <w:pPr>
            <w:spacing w:before="60" w:after="40" w:line="260" w:lineRule="exact"/>
            <w:rPr>
              <w:position w:val="2"/>
              <w:sz w:val="18"/>
              <w:szCs w:val="18"/>
              <w:lang w:val="en-GB"/>
            </w:rPr>
          </w:pPr>
          <w:r w:rsidRPr="00FB130A">
            <w:rPr>
              <w:position w:val="2"/>
              <w:sz w:val="18"/>
              <w:szCs w:val="18"/>
              <w:rtl/>
              <w:lang w:val="fr-FR"/>
            </w:rPr>
            <w:t xml:space="preserve">الدكتور </w:t>
          </w:r>
          <w:proofErr w:type="spellStart"/>
          <w:r w:rsidRPr="00FB130A">
            <w:rPr>
              <w:position w:val="2"/>
              <w:sz w:val="18"/>
              <w:szCs w:val="18"/>
              <w:rtl/>
              <w:lang w:val="fr-FR"/>
            </w:rPr>
            <w:t>كوسماس</w:t>
          </w:r>
          <w:proofErr w:type="spellEnd"/>
          <w:r w:rsidRPr="00FB130A">
            <w:rPr>
              <w:position w:val="2"/>
              <w:sz w:val="18"/>
              <w:szCs w:val="18"/>
              <w:rtl/>
              <w:lang w:val="fr-FR"/>
            </w:rPr>
            <w:t xml:space="preserve"> </w:t>
          </w:r>
          <w:proofErr w:type="spellStart"/>
          <w:r w:rsidRPr="00FB130A">
            <w:rPr>
              <w:position w:val="2"/>
              <w:sz w:val="18"/>
              <w:szCs w:val="18"/>
              <w:rtl/>
              <w:lang w:val="fr-FR"/>
            </w:rPr>
            <w:t>زافازافا</w:t>
          </w:r>
          <w:proofErr w:type="spellEnd"/>
          <w:r w:rsidRPr="00FB130A">
            <w:rPr>
              <w:rFonts w:hint="cs"/>
              <w:position w:val="2"/>
              <w:sz w:val="18"/>
              <w:szCs w:val="18"/>
              <w:rtl/>
              <w:lang w:val="fr-FR" w:bidi="ar-EG"/>
            </w:rPr>
            <w:t>، رئيس دائرة الشراكات من أجل التنمية الرقمية</w:t>
          </w:r>
          <w:r w:rsidR="00054A36">
            <w:rPr>
              <w:rFonts w:hint="cs"/>
              <w:position w:val="2"/>
              <w:sz w:val="18"/>
              <w:szCs w:val="18"/>
              <w:rtl/>
              <w:lang w:val="fr-FR" w:bidi="ar-EG"/>
            </w:rPr>
            <w:t>،</w:t>
          </w:r>
          <w:r>
            <w:rPr>
              <w:rFonts w:hint="cs"/>
              <w:position w:val="2"/>
              <w:sz w:val="18"/>
              <w:szCs w:val="18"/>
              <w:rtl/>
              <w:lang w:val="fr-FR" w:bidi="ar-EG"/>
            </w:rPr>
            <w:t xml:space="preserve"> </w:t>
          </w:r>
          <w:r w:rsidRPr="00FB130A">
            <w:rPr>
              <w:rFonts w:hint="cs"/>
              <w:position w:val="2"/>
              <w:sz w:val="18"/>
              <w:szCs w:val="18"/>
              <w:rtl/>
              <w:lang w:val="fr-FR" w:bidi="ar-EG"/>
            </w:rPr>
            <w:t>مكتب تنمية الاتصالات</w:t>
          </w:r>
        </w:p>
      </w:tc>
    </w:tr>
    <w:tr w:rsidR="00054A36" w:rsidRPr="005874F2" w14:paraId="7DA6B841" w14:textId="77777777" w:rsidTr="00F03E94">
      <w:tc>
        <w:tcPr>
          <w:tcW w:w="991" w:type="dxa"/>
        </w:tcPr>
        <w:p w14:paraId="3FC477F3" w14:textId="77777777" w:rsidR="00054A36" w:rsidRPr="005874F2" w:rsidRDefault="00054A36" w:rsidP="00054A36">
          <w:pPr>
            <w:spacing w:before="60" w:after="40" w:line="260" w:lineRule="exact"/>
            <w:rPr>
              <w:position w:val="2"/>
              <w:sz w:val="18"/>
              <w:szCs w:val="18"/>
              <w:lang w:val="en-GB"/>
            </w:rPr>
          </w:pPr>
        </w:p>
      </w:tc>
      <w:tc>
        <w:tcPr>
          <w:tcW w:w="2411" w:type="dxa"/>
          <w:hideMark/>
        </w:tcPr>
        <w:p w14:paraId="6F3A6B68" w14:textId="34D2665E" w:rsidR="00054A36" w:rsidRPr="005874F2" w:rsidRDefault="00054A36" w:rsidP="00054A36">
          <w:pPr>
            <w:tabs>
              <w:tab w:val="left" w:pos="1347"/>
            </w:tabs>
            <w:spacing w:before="60" w:after="40" w:line="260" w:lineRule="exact"/>
            <w:rPr>
              <w:position w:val="2"/>
              <w:sz w:val="18"/>
              <w:szCs w:val="18"/>
              <w:lang w:val="en-GB"/>
            </w:rPr>
          </w:pPr>
          <w:r w:rsidRPr="005874F2">
            <w:rPr>
              <w:position w:val="2"/>
              <w:sz w:val="18"/>
              <w:szCs w:val="18"/>
              <w:rtl/>
              <w:lang w:val="fr-FR" w:bidi="ar-EG"/>
            </w:rPr>
            <w:t>رقم الهاتف:</w:t>
          </w:r>
          <w:r>
            <w:rPr>
              <w:position w:val="2"/>
              <w:sz w:val="18"/>
              <w:szCs w:val="18"/>
              <w:lang w:val="en-GB"/>
            </w:rPr>
            <w:tab/>
          </w:r>
          <w:r>
            <w:rPr>
              <w:position w:val="2"/>
              <w:sz w:val="18"/>
              <w:szCs w:val="18"/>
              <w:lang w:val="en-GB"/>
            </w:rPr>
            <w:tab/>
          </w:r>
        </w:p>
      </w:tc>
      <w:tc>
        <w:tcPr>
          <w:tcW w:w="6237" w:type="dxa"/>
        </w:tcPr>
        <w:p w14:paraId="2F377596" w14:textId="522CA69C" w:rsidR="00054A36" w:rsidRPr="005874F2" w:rsidRDefault="00054A36" w:rsidP="00054A36">
          <w:pPr>
            <w:spacing w:before="60" w:after="40" w:line="260" w:lineRule="exact"/>
            <w:rPr>
              <w:position w:val="2"/>
              <w:sz w:val="18"/>
              <w:szCs w:val="18"/>
              <w:lang w:val="en-GB"/>
            </w:rPr>
          </w:pPr>
          <w:r>
            <w:rPr>
              <w:sz w:val="18"/>
              <w:szCs w:val="18"/>
            </w:rPr>
            <w:t>+41 22 730 5447</w:t>
          </w:r>
        </w:p>
      </w:tc>
    </w:tr>
    <w:tr w:rsidR="00054A36" w:rsidRPr="005874F2" w14:paraId="7346F492" w14:textId="77777777" w:rsidTr="00F03E94">
      <w:tc>
        <w:tcPr>
          <w:tcW w:w="991" w:type="dxa"/>
        </w:tcPr>
        <w:p w14:paraId="7FF7A1BA" w14:textId="77777777" w:rsidR="00054A36" w:rsidRPr="005874F2" w:rsidRDefault="00054A36" w:rsidP="00054A36">
          <w:pPr>
            <w:spacing w:before="60" w:after="40" w:line="260" w:lineRule="exact"/>
            <w:rPr>
              <w:position w:val="2"/>
              <w:sz w:val="18"/>
              <w:szCs w:val="18"/>
              <w:lang w:val="en-GB"/>
            </w:rPr>
          </w:pPr>
        </w:p>
      </w:tc>
      <w:tc>
        <w:tcPr>
          <w:tcW w:w="2411" w:type="dxa"/>
          <w:hideMark/>
        </w:tcPr>
        <w:p w14:paraId="5A04502F" w14:textId="77777777" w:rsidR="00054A36" w:rsidRPr="005874F2" w:rsidRDefault="00054A36" w:rsidP="00054A36">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284FF67" w14:textId="2DCF77C5" w:rsidR="00054A36" w:rsidRPr="005874F2" w:rsidRDefault="00054A36" w:rsidP="00054A36">
          <w:pPr>
            <w:spacing w:before="60" w:after="40" w:line="260" w:lineRule="exact"/>
            <w:rPr>
              <w:position w:val="2"/>
              <w:sz w:val="18"/>
              <w:szCs w:val="18"/>
              <w:rtl/>
              <w:lang w:val="fr-FR" w:bidi="ar-EG"/>
            </w:rPr>
          </w:pPr>
          <w:r w:rsidRPr="002A5083">
            <w:rPr>
              <w:rStyle w:val="Hyperlink"/>
              <w:sz w:val="18"/>
              <w:szCs w:val="18"/>
            </w:rPr>
            <w:t>cosmas.zavazava@itu.int</w:t>
          </w:r>
          <w:r>
            <w:rPr>
              <w:sz w:val="18"/>
              <w:szCs w:val="18"/>
            </w:rPr>
            <w:t xml:space="preserve"> </w:t>
          </w:r>
        </w:p>
      </w:tc>
    </w:tr>
  </w:tbl>
  <w:p w14:paraId="04218372" w14:textId="77777777" w:rsidR="0006468A" w:rsidRPr="003971E3" w:rsidRDefault="00854989" w:rsidP="003971E3">
    <w:pPr>
      <w:pStyle w:val="Footer"/>
      <w:tabs>
        <w:tab w:val="clear" w:pos="4153"/>
        <w:tab w:val="clear" w:pos="8306"/>
        <w:tab w:val="center" w:pos="5103"/>
        <w:tab w:val="right" w:pos="9639"/>
      </w:tabs>
      <w:spacing w:before="120"/>
      <w:jc w:val="center"/>
      <w:rPr>
        <w:sz w:val="18"/>
        <w:szCs w:val="18"/>
        <w:lang w:val="fr-FR"/>
      </w:rPr>
    </w:pPr>
    <w:hyperlink r:id="rId1"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8AACC" w14:textId="77777777" w:rsidR="00FB130A" w:rsidRDefault="00FB130A" w:rsidP="006C3242">
      <w:pPr>
        <w:spacing w:before="0" w:line="240" w:lineRule="auto"/>
      </w:pPr>
      <w:r>
        <w:separator/>
      </w:r>
    </w:p>
  </w:footnote>
  <w:footnote w:type="continuationSeparator" w:id="0">
    <w:p w14:paraId="4399D86D" w14:textId="77777777" w:rsidR="00FB130A" w:rsidRDefault="00FB130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tl/>
      </w:rPr>
      <w:id w:val="-1375531529"/>
      <w:docPartObj>
        <w:docPartGallery w:val="Page Numbers (Top of Page)"/>
        <w:docPartUnique/>
      </w:docPartObj>
    </w:sdtPr>
    <w:sdtEndPr>
      <w:rPr>
        <w:rFonts w:cs="Calibri"/>
        <w:noProof/>
        <w:sz w:val="18"/>
        <w:szCs w:val="18"/>
      </w:rPr>
    </w:sdtEndPr>
    <w:sdtContent>
      <w:p w14:paraId="1D2B39F6" w14:textId="4B668BD6"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2" w:name="DocNo2"/>
        <w:bookmarkEnd w:id="2"/>
        <w:r w:rsidR="00FB130A">
          <w:rPr>
            <w:sz w:val="20"/>
            <w:szCs w:val="20"/>
          </w:rPr>
          <w:t>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0A"/>
    <w:rsid w:val="00054A36"/>
    <w:rsid w:val="0006468A"/>
    <w:rsid w:val="00090574"/>
    <w:rsid w:val="000C1C0E"/>
    <w:rsid w:val="000C548A"/>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36B5A"/>
    <w:rsid w:val="003409BC"/>
    <w:rsid w:val="00357185"/>
    <w:rsid w:val="00383829"/>
    <w:rsid w:val="003971E3"/>
    <w:rsid w:val="003F4B29"/>
    <w:rsid w:val="0042686F"/>
    <w:rsid w:val="004317D8"/>
    <w:rsid w:val="00434183"/>
    <w:rsid w:val="00443869"/>
    <w:rsid w:val="00447F32"/>
    <w:rsid w:val="0047738F"/>
    <w:rsid w:val="004E11DC"/>
    <w:rsid w:val="00525DDD"/>
    <w:rsid w:val="005409AC"/>
    <w:rsid w:val="0055516A"/>
    <w:rsid w:val="0058491B"/>
    <w:rsid w:val="005874F2"/>
    <w:rsid w:val="00592EA5"/>
    <w:rsid w:val="005A3170"/>
    <w:rsid w:val="00677396"/>
    <w:rsid w:val="0069200F"/>
    <w:rsid w:val="006A65CB"/>
    <w:rsid w:val="006C3242"/>
    <w:rsid w:val="006C7CC0"/>
    <w:rsid w:val="006F63F7"/>
    <w:rsid w:val="007025C7"/>
    <w:rsid w:val="00706D7A"/>
    <w:rsid w:val="00722F0D"/>
    <w:rsid w:val="00736B93"/>
    <w:rsid w:val="0074420E"/>
    <w:rsid w:val="00747A70"/>
    <w:rsid w:val="00783A69"/>
    <w:rsid w:val="00783E26"/>
    <w:rsid w:val="007C3BC7"/>
    <w:rsid w:val="007C3BCD"/>
    <w:rsid w:val="007D4ACF"/>
    <w:rsid w:val="007F0787"/>
    <w:rsid w:val="00810B7B"/>
    <w:rsid w:val="0082358A"/>
    <w:rsid w:val="008235CD"/>
    <w:rsid w:val="008247DE"/>
    <w:rsid w:val="00840B10"/>
    <w:rsid w:val="008513CB"/>
    <w:rsid w:val="00854989"/>
    <w:rsid w:val="00882A17"/>
    <w:rsid w:val="008A7F84"/>
    <w:rsid w:val="0091702E"/>
    <w:rsid w:val="00923B0C"/>
    <w:rsid w:val="0094021C"/>
    <w:rsid w:val="00952F86"/>
    <w:rsid w:val="00982B28"/>
    <w:rsid w:val="009D313F"/>
    <w:rsid w:val="00A47A5A"/>
    <w:rsid w:val="00A6683B"/>
    <w:rsid w:val="00A97F94"/>
    <w:rsid w:val="00AA7EA2"/>
    <w:rsid w:val="00B03099"/>
    <w:rsid w:val="00B05BC8"/>
    <w:rsid w:val="00B64B47"/>
    <w:rsid w:val="00BF7BE8"/>
    <w:rsid w:val="00C002DE"/>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B796D"/>
    <w:rsid w:val="00F058DC"/>
    <w:rsid w:val="00F06AB1"/>
    <w:rsid w:val="00F24FC4"/>
    <w:rsid w:val="00F2676C"/>
    <w:rsid w:val="00F40F93"/>
    <w:rsid w:val="00F84366"/>
    <w:rsid w:val="00F85089"/>
    <w:rsid w:val="00F974C5"/>
    <w:rsid w:val="00FA6F46"/>
    <w:rsid w:val="00FB130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4627A9"/>
  <w15:chartTrackingRefBased/>
  <w15:docId w15:val="{1F337796-C1FA-41E9-98E5-287B2695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FB1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tu.int/md/D18-TDAG25-INF-000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yots\Desktop\TDAG\2020\TDAG%20AnalyseChart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yots\Desktop\TDAG\2020\TDAG%20Analyse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200" b="1" i="0" u="none" strike="noStrike" kern="1200" baseline="0">
                <a:solidFill>
                  <a:schemeClr val="dk1">
                    <a:lumMod val="75000"/>
                    <a:lumOff val="25000"/>
                  </a:schemeClr>
                </a:solidFill>
                <a:latin typeface="+mn-lt"/>
                <a:ea typeface="+mn-ea"/>
                <a:cs typeface="+mn-cs"/>
              </a:defRPr>
            </a:pPr>
            <a:r>
              <a:rPr lang="ar-SA" sz="1100" b="1" i="0" u="none" strike="noStrike" baseline="0">
                <a:effectLst/>
                <a:latin typeface="Dubai" panose="020B0503030403030204" pitchFamily="34" charset="-78"/>
                <a:cs typeface="Dubai" panose="020B0503030403030204" pitchFamily="34" charset="-78"/>
              </a:rPr>
              <a:t>شراكات مع مساهمات مالية، </a:t>
            </a:r>
            <a:r>
              <a:rPr lang="en-GB" sz="1100" b="1" i="0" u="none" strike="noStrike" baseline="0">
                <a:effectLst/>
                <a:latin typeface="Dubai" panose="020B0503030403030204" pitchFamily="34" charset="-78"/>
                <a:cs typeface="Dubai" panose="020B0503030403030204" pitchFamily="34" charset="-78"/>
              </a:rPr>
              <a:t>2019</a:t>
            </a:r>
            <a:endParaRPr lang="en-US" sz="1100">
              <a:latin typeface="Dubai" panose="020B0503030403030204" pitchFamily="34" charset="-78"/>
              <a:cs typeface="Dubai" panose="020B0503030403030204" pitchFamily="34" charset="-78"/>
            </a:endParaRPr>
          </a:p>
        </c:rich>
      </c:tx>
      <c:layout>
        <c:manualLayout>
          <c:xMode val="edge"/>
          <c:yMode val="edge"/>
          <c:x val="3.0367213272652842E-2"/>
          <c:y val="2.0458692663417068E-2"/>
        </c:manualLayout>
      </c:layout>
      <c:overlay val="0"/>
      <c:spPr>
        <a:noFill/>
        <a:ln>
          <a:noFill/>
        </a:ln>
        <a:effectLst/>
      </c:spPr>
      <c:txPr>
        <a:bodyPr rot="0" spcFirstLastPara="1" vertOverflow="ellipsis" vert="horz" wrap="square" anchor="ctr" anchorCtr="1"/>
        <a:lstStyle/>
        <a:p>
          <a:pPr rtl="1">
            <a:defRPr sz="1200" b="1" i="0" u="none" strike="noStrike" kern="1200" baseline="0">
              <a:solidFill>
                <a:schemeClr val="dk1">
                  <a:lumMod val="75000"/>
                  <a:lumOff val="25000"/>
                </a:schemeClr>
              </a:solidFill>
              <a:latin typeface="+mn-lt"/>
              <a:ea typeface="+mn-ea"/>
              <a:cs typeface="+mn-cs"/>
            </a:defRPr>
          </a:pPr>
          <a:endParaRPr lang="en-CH"/>
        </a:p>
      </c:txPr>
    </c:title>
    <c:autoTitleDeleted val="0"/>
    <c:view3D>
      <c:rotX val="5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418237857882442"/>
          <c:y val="0.30215806357538644"/>
          <c:w val="0.56648418103142517"/>
          <c:h val="0.65362379702537188"/>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D5F-4AEE-B036-63889F49591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D5F-4AEE-B036-63889F49591D}"/>
              </c:ext>
            </c:extLst>
          </c:dPt>
          <c:dLbls>
            <c:dLbl>
              <c:idx val="0"/>
              <c:tx>
                <c:rich>
                  <a:bodyPr/>
                  <a:lstStyle/>
                  <a:p>
                    <a:fld id="{6538E06D-42BD-4CC2-B5A6-2E4E65724903}" type="VALUE">
                      <a:rPr lang="en-US"/>
                      <a:pPr/>
                      <a:t>[VALUE]</a:t>
                    </a:fld>
                    <a:endParaRPr lang="en-CH"/>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D5F-4AEE-B036-63889F49591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lt1"/>
                    </a:solidFill>
                    <a:latin typeface="+mn-lt"/>
                    <a:ea typeface="+mn-ea"/>
                    <a:cs typeface="+mn-cs"/>
                  </a:defRPr>
                </a:pPr>
                <a:endParaRPr lang="en-CH"/>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Sheet1!$A$40:$A$41</c:f>
              <c:strCache>
                <c:ptCount val="2"/>
                <c:pt idx="0">
                  <c:v>ITU component</c:v>
                </c:pt>
                <c:pt idx="1">
                  <c:v>Financial partners component</c:v>
                </c:pt>
              </c:strCache>
            </c:strRef>
          </c:cat>
          <c:val>
            <c:numRef>
              <c:f>Sheet1!$B$40:$B$41</c:f>
              <c:numCache>
                <c:formatCode>0.0%</c:formatCode>
                <c:ptCount val="2"/>
                <c:pt idx="0">
                  <c:v>3.5768120926309266E-2</c:v>
                </c:pt>
                <c:pt idx="1">
                  <c:v>0.96423187907369079</c:v>
                </c:pt>
              </c:numCache>
            </c:numRef>
          </c:val>
          <c:extLst>
            <c:ext xmlns:c16="http://schemas.microsoft.com/office/drawing/2014/chart" uri="{C3380CC4-5D6E-409C-BE32-E72D297353CC}">
              <c16:uniqueId val="{00000004-6D5F-4AEE-B036-63889F49591D}"/>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511269233547641"/>
          <c:y val="9.5766362538016084E-2"/>
          <c:w val="0.42689951600086679"/>
          <c:h val="0.1785726784151981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CH"/>
        </a:p>
      </c:txPr>
    </c:legend>
    <c:plotVisOnly val="1"/>
    <c:dispBlanksAs val="gap"/>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en-CH"/>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200" b="1" i="0" u="none" strike="noStrike" kern="1200" baseline="0">
                <a:solidFill>
                  <a:schemeClr val="dk1">
                    <a:lumMod val="75000"/>
                    <a:lumOff val="25000"/>
                  </a:schemeClr>
                </a:solidFill>
                <a:latin typeface="+mn-lt"/>
                <a:ea typeface="+mn-ea"/>
                <a:cs typeface="+mn-cs"/>
              </a:defRPr>
            </a:pPr>
            <a:r>
              <a:rPr lang="ar-EG" sz="1100" b="1" i="0" u="none" strike="noStrike" baseline="0">
                <a:effectLst/>
                <a:latin typeface="Dubai" panose="020B0503030403030204" pitchFamily="34" charset="-78"/>
                <a:cs typeface="Dubai" panose="020B0503030403030204" pitchFamily="34" charset="-78"/>
              </a:rPr>
              <a:t>تشكيل شركاء التمويل لمكتب تنمية الاتصالات - </a:t>
            </a:r>
            <a:r>
              <a:rPr lang="en-GB" sz="1100" b="1" i="0" u="none" strike="noStrike" baseline="0">
                <a:effectLst/>
                <a:latin typeface="Dubai" panose="020B0503030403030204" pitchFamily="34" charset="-78"/>
                <a:cs typeface="Dubai" panose="020B0503030403030204" pitchFamily="34" charset="-78"/>
              </a:rPr>
              <a:t>2019</a:t>
            </a:r>
            <a:endParaRPr lang="en-US" sz="1100">
              <a:latin typeface="Dubai" panose="020B0503030403030204" pitchFamily="34" charset="-78"/>
              <a:cs typeface="Dubai" panose="020B0503030403030204" pitchFamily="34" charset="-78"/>
            </a:endParaRPr>
          </a:p>
        </c:rich>
      </c:tx>
      <c:overlay val="0"/>
      <c:spPr>
        <a:noFill/>
        <a:ln>
          <a:noFill/>
        </a:ln>
        <a:effectLst/>
      </c:spPr>
      <c:txPr>
        <a:bodyPr rot="0" spcFirstLastPara="1" vertOverflow="ellipsis" vert="horz" wrap="square" anchor="ctr" anchorCtr="1"/>
        <a:lstStyle/>
        <a:p>
          <a:pPr rtl="1">
            <a:defRPr sz="1200" b="1" i="0" u="none" strike="noStrike" kern="1200" baseline="0">
              <a:solidFill>
                <a:schemeClr val="dk1">
                  <a:lumMod val="75000"/>
                  <a:lumOff val="25000"/>
                </a:schemeClr>
              </a:solidFill>
              <a:latin typeface="+mn-lt"/>
              <a:ea typeface="+mn-ea"/>
              <a:cs typeface="+mn-cs"/>
            </a:defRPr>
          </a:pPr>
          <a:endParaRPr lang="en-CH"/>
        </a:p>
      </c:txPr>
    </c:title>
    <c:autoTitleDeleted val="0"/>
    <c:plotArea>
      <c:layout>
        <c:manualLayout>
          <c:layoutTarget val="inner"/>
          <c:xMode val="edge"/>
          <c:yMode val="edge"/>
          <c:x val="0.14878696412948381"/>
          <c:y val="0.14662875473899098"/>
          <c:w val="0.44807327209098863"/>
          <c:h val="0.7467887868183144"/>
        </c:manualLayout>
      </c:layout>
      <c:doughnutChart>
        <c:varyColors val="1"/>
        <c:ser>
          <c:idx val="0"/>
          <c:order val="0"/>
          <c:explosion val="17"/>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DEE-4B5E-8115-5BA51F810A5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DEE-4B5E-8115-5BA51F810A5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DEE-4B5E-8115-5BA51F810A5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DEE-4B5E-8115-5BA51F810A5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DEE-4B5E-8115-5BA51F810A5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DEE-4B5E-8115-5BA51F810A5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CH"/>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Sheet2!$A$31:$A$36</c:f>
              <c:strCache>
                <c:ptCount val="6"/>
                <c:pt idx="0">
                  <c:v>Member States</c:v>
                </c:pt>
                <c:pt idx="1">
                  <c:v>UN &amp; International Organizations</c:v>
                </c:pt>
                <c:pt idx="2">
                  <c:v>Multilateral &amp; Regional Organizations</c:v>
                </c:pt>
                <c:pt idx="3">
                  <c:v>Private Sector</c:v>
                </c:pt>
                <c:pt idx="4">
                  <c:v>Academia</c:v>
                </c:pt>
                <c:pt idx="5">
                  <c:v>NGOs</c:v>
                </c:pt>
              </c:strCache>
            </c:strRef>
          </c:cat>
          <c:val>
            <c:numRef>
              <c:f>Sheet2!$B$31:$B$36</c:f>
              <c:numCache>
                <c:formatCode>General</c:formatCode>
                <c:ptCount val="6"/>
                <c:pt idx="0">
                  <c:v>12</c:v>
                </c:pt>
                <c:pt idx="1">
                  <c:v>3</c:v>
                </c:pt>
                <c:pt idx="2">
                  <c:v>2</c:v>
                </c:pt>
                <c:pt idx="3">
                  <c:v>2</c:v>
                </c:pt>
                <c:pt idx="4">
                  <c:v>1</c:v>
                </c:pt>
                <c:pt idx="5">
                  <c:v>1</c:v>
                </c:pt>
              </c:numCache>
            </c:numRef>
          </c:val>
          <c:extLst>
            <c:ext xmlns:c16="http://schemas.microsoft.com/office/drawing/2014/chart" uri="{C3380CC4-5D6E-409C-BE32-E72D297353CC}">
              <c16:uniqueId val="{0000000C-ADEE-4B5E-8115-5BA51F810A52}"/>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CH"/>
        </a:p>
      </c:txPr>
    </c:legend>
    <c:plotVisOnly val="1"/>
    <c:dispBlanksAs val="gap"/>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en-C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rotWithShape="1">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rotWithShape="1">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0.60278</cdr:x>
      <cdr:y>0.09299</cdr:y>
    </cdr:from>
    <cdr:to>
      <cdr:x>0.98713</cdr:x>
      <cdr:y>0.28341</cdr:y>
    </cdr:to>
    <cdr:sp macro="" textlink="">
      <cdr:nvSpPr>
        <cdr:cNvPr id="2" name="Text Box 1"/>
        <cdr:cNvSpPr txBox="1"/>
      </cdr:nvSpPr>
      <cdr:spPr>
        <a:xfrm xmlns:a="http://schemas.openxmlformats.org/drawingml/2006/main">
          <a:off x="2445878" y="235611"/>
          <a:ext cx="1559530" cy="482445"/>
        </a:xfrm>
        <a:prstGeom xmlns:a="http://schemas.openxmlformats.org/drawingml/2006/main" prst="rect">
          <a:avLst/>
        </a:prstGeom>
        <a:solidFill xmlns:a="http://schemas.openxmlformats.org/drawingml/2006/main">
          <a:schemeClr val="bg2"/>
        </a:solidFill>
      </cdr:spPr>
      <cdr:txBody>
        <a:bodyPr xmlns:a="http://schemas.openxmlformats.org/drawingml/2006/main" vertOverflow="clip" wrap="square" lIns="36000" tIns="36000" rIns="36000" bIns="36000" rtlCol="0"/>
        <a:lstStyle xmlns:a="http://schemas.openxmlformats.org/drawingml/2006/main"/>
        <a:p xmlns:a="http://schemas.openxmlformats.org/drawingml/2006/main">
          <a:pPr algn="l" rtl="1">
            <a:lnSpc>
              <a:spcPct val="100000"/>
            </a:lnSpc>
          </a:pPr>
          <a:r>
            <a:rPr lang="ar-SA" sz="900" b="1">
              <a:effectLst/>
              <a:latin typeface="Dubai" panose="020B0503030403030204" pitchFamily="34" charset="-78"/>
              <a:ea typeface="+mn-ea"/>
              <a:cs typeface="Dubai" panose="020B0503030403030204" pitchFamily="34" charset="-78"/>
            </a:rPr>
            <a:t>الجزء الخاص بالاتحاد</a:t>
          </a:r>
          <a:endParaRPr lang="ar-EG" sz="900" b="1">
            <a:effectLst/>
            <a:latin typeface="Dubai" panose="020B0503030403030204" pitchFamily="34" charset="-78"/>
            <a:ea typeface="+mn-ea"/>
            <a:cs typeface="Dubai" panose="020B0503030403030204" pitchFamily="34" charset="-78"/>
          </a:endParaRPr>
        </a:p>
        <a:p xmlns:a="http://schemas.openxmlformats.org/drawingml/2006/main">
          <a:pPr marL="0" marR="0" lvl="0" indent="0" algn="l" defTabSz="914400" rtl="1" eaLnBrk="1" fontAlgn="auto" latinLnBrk="0" hangingPunct="1">
            <a:lnSpc>
              <a:spcPct val="100000"/>
            </a:lnSpc>
            <a:spcBef>
              <a:spcPts val="0"/>
            </a:spcBef>
            <a:spcAft>
              <a:spcPts val="0"/>
            </a:spcAft>
            <a:buClrTx/>
            <a:buSzTx/>
            <a:buFontTx/>
            <a:buNone/>
            <a:tabLst/>
            <a:defRPr/>
          </a:pPr>
          <a:r>
            <a:rPr lang="ar-EG" sz="900" b="1">
              <a:effectLst/>
              <a:latin typeface="Dubai" panose="020B0503030403030204" pitchFamily="34" charset="-78"/>
              <a:ea typeface="+mn-ea"/>
              <a:cs typeface="Dubai" panose="020B0503030403030204" pitchFamily="34" charset="-78"/>
            </a:rPr>
            <a:t>الجزء الخاص بشركاء التمويل</a:t>
          </a:r>
          <a:endParaRPr lang="en-US" sz="900" b="1">
            <a:effectLst/>
            <a:latin typeface="Dubai" panose="020B0503030403030204" pitchFamily="34" charset="-78"/>
            <a:ea typeface="+mn-ea"/>
            <a:cs typeface="Dubai" panose="020B0503030403030204" pitchFamily="34"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60B4-1F41-4D1B-9954-B4E82D13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BDT</cp:lastModifiedBy>
  <cp:revision>7</cp:revision>
  <dcterms:created xsi:type="dcterms:W3CDTF">2020-02-19T09:29:00Z</dcterms:created>
  <dcterms:modified xsi:type="dcterms:W3CDTF">2020-03-10T10:43:00Z</dcterms:modified>
</cp:coreProperties>
</file>