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53"/>
        <w:tblW w:w="9888" w:type="dxa"/>
        <w:jc w:val="center"/>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585857" w14:paraId="6A5D0478" w14:textId="77777777" w:rsidTr="00853692">
        <w:trPr>
          <w:cantSplit/>
          <w:trHeight w:val="1134"/>
          <w:jc w:val="center"/>
        </w:trPr>
        <w:tc>
          <w:tcPr>
            <w:tcW w:w="6663" w:type="dxa"/>
            <w:tcBorders>
              <w:bottom w:val="single" w:sz="12" w:space="0" w:color="auto"/>
            </w:tcBorders>
          </w:tcPr>
          <w:p w14:paraId="1598C6E9" w14:textId="77777777" w:rsidR="00D372A5" w:rsidRPr="00585857" w:rsidRDefault="00D372A5" w:rsidP="00853692">
            <w:pPr>
              <w:rPr>
                <w:b/>
                <w:bCs/>
                <w:sz w:val="32"/>
                <w:szCs w:val="32"/>
                <w:lang w:val="es-ES_tradnl"/>
              </w:rPr>
            </w:pPr>
            <w:r w:rsidRPr="00585857">
              <w:rPr>
                <w:rFonts w:cstheme="minorHAnsi"/>
                <w:b/>
                <w:bCs/>
                <w:sz w:val="32"/>
                <w:szCs w:val="32"/>
                <w:lang w:val="es-ES_tradnl"/>
              </w:rPr>
              <w:t>Grupo Asesor de Desarrollo de las Telecomunicaciones (GADT</w:t>
            </w:r>
            <w:r w:rsidRPr="00585857">
              <w:rPr>
                <w:b/>
                <w:bCs/>
                <w:sz w:val="32"/>
                <w:szCs w:val="32"/>
                <w:lang w:val="es-ES_tradnl"/>
              </w:rPr>
              <w:t>)</w:t>
            </w:r>
          </w:p>
          <w:p w14:paraId="211396EA" w14:textId="2B8B45FA" w:rsidR="00D372A5" w:rsidRPr="00585857" w:rsidRDefault="004E7861" w:rsidP="00853692">
            <w:pPr>
              <w:spacing w:before="100" w:after="120"/>
              <w:rPr>
                <w:rFonts w:ascii="Verdana" w:hAnsi="Verdana"/>
                <w:sz w:val="28"/>
                <w:szCs w:val="28"/>
                <w:lang w:val="es-ES_tradnl"/>
              </w:rPr>
            </w:pPr>
            <w:r w:rsidRPr="00585857">
              <w:rPr>
                <w:b/>
                <w:bCs/>
                <w:sz w:val="26"/>
                <w:szCs w:val="26"/>
                <w:lang w:val="es-ES_tradnl"/>
              </w:rPr>
              <w:t>2</w:t>
            </w:r>
            <w:r w:rsidR="00162AE9" w:rsidRPr="00585857">
              <w:rPr>
                <w:b/>
                <w:bCs/>
                <w:sz w:val="26"/>
                <w:szCs w:val="26"/>
                <w:lang w:val="es-ES_tradnl"/>
              </w:rPr>
              <w:t>5</w:t>
            </w:r>
            <w:r w:rsidRPr="00585857">
              <w:rPr>
                <w:b/>
                <w:bCs/>
                <w:sz w:val="26"/>
                <w:szCs w:val="26"/>
                <w:lang w:val="es-ES_tradnl"/>
              </w:rPr>
              <w:t xml:space="preserve">ª reunión, Ginebra, </w:t>
            </w:r>
            <w:r w:rsidR="0090342B">
              <w:rPr>
                <w:b/>
                <w:bCs/>
                <w:sz w:val="26"/>
                <w:szCs w:val="26"/>
                <w:lang w:val="es-ES_tradnl"/>
              </w:rPr>
              <w:t xml:space="preserve">2-5 de junio </w:t>
            </w:r>
            <w:bookmarkStart w:id="0" w:name="_GoBack"/>
            <w:bookmarkEnd w:id="0"/>
            <w:r w:rsidRPr="00585857">
              <w:rPr>
                <w:b/>
                <w:bCs/>
                <w:sz w:val="26"/>
                <w:szCs w:val="26"/>
                <w:lang w:val="es-ES_tradnl"/>
              </w:rPr>
              <w:t>de 20</w:t>
            </w:r>
            <w:r w:rsidR="00162AE9" w:rsidRPr="00585857">
              <w:rPr>
                <w:b/>
                <w:bCs/>
                <w:sz w:val="26"/>
                <w:szCs w:val="26"/>
                <w:lang w:val="es-ES_tradnl"/>
              </w:rPr>
              <w:t>20</w:t>
            </w:r>
          </w:p>
        </w:tc>
        <w:tc>
          <w:tcPr>
            <w:tcW w:w="3225" w:type="dxa"/>
            <w:tcBorders>
              <w:bottom w:val="single" w:sz="12" w:space="0" w:color="auto"/>
            </w:tcBorders>
          </w:tcPr>
          <w:p w14:paraId="07914050" w14:textId="77777777" w:rsidR="00D372A5" w:rsidRPr="00585857" w:rsidRDefault="004E7861" w:rsidP="00853692">
            <w:pPr>
              <w:spacing w:before="40" w:after="80"/>
              <w:ind w:right="142"/>
              <w:jc w:val="right"/>
              <w:rPr>
                <w:lang w:val="es-ES_tradnl"/>
              </w:rPr>
            </w:pPr>
            <w:r w:rsidRPr="00585857">
              <w:rPr>
                <w:noProof/>
                <w:color w:val="3399FF"/>
                <w:lang w:val="es-ES_tradnl" w:eastAsia="en-GB"/>
              </w:rPr>
              <w:drawing>
                <wp:inline distT="0" distB="0" distL="0" distR="0" wp14:anchorId="59081582" wp14:editId="262DF8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585857" w14:paraId="2CF3143C" w14:textId="77777777" w:rsidTr="00853692">
        <w:trPr>
          <w:cantSplit/>
          <w:jc w:val="center"/>
        </w:trPr>
        <w:tc>
          <w:tcPr>
            <w:tcW w:w="6663" w:type="dxa"/>
            <w:tcBorders>
              <w:top w:val="single" w:sz="12" w:space="0" w:color="auto"/>
            </w:tcBorders>
          </w:tcPr>
          <w:p w14:paraId="0D814D68" w14:textId="77777777" w:rsidR="004B7893" w:rsidRPr="00585857" w:rsidRDefault="004B7893" w:rsidP="00853692">
            <w:pPr>
              <w:spacing w:before="0"/>
              <w:rPr>
                <w:rFonts w:cs="Arial"/>
                <w:b/>
                <w:bCs/>
                <w:sz w:val="20"/>
                <w:lang w:val="es-ES_tradnl"/>
              </w:rPr>
            </w:pPr>
          </w:p>
        </w:tc>
        <w:tc>
          <w:tcPr>
            <w:tcW w:w="3225" w:type="dxa"/>
            <w:tcBorders>
              <w:top w:val="single" w:sz="12" w:space="0" w:color="auto"/>
            </w:tcBorders>
          </w:tcPr>
          <w:p w14:paraId="34835225" w14:textId="77777777" w:rsidR="004B7893" w:rsidRPr="00585857" w:rsidRDefault="004B7893" w:rsidP="00853692">
            <w:pPr>
              <w:spacing w:before="0"/>
              <w:rPr>
                <w:b/>
                <w:bCs/>
                <w:sz w:val="20"/>
                <w:lang w:val="es-ES_tradnl"/>
              </w:rPr>
            </w:pPr>
          </w:p>
        </w:tc>
      </w:tr>
      <w:tr w:rsidR="004B7893" w:rsidRPr="00585857" w14:paraId="65984ECE" w14:textId="77777777" w:rsidTr="00853692">
        <w:trPr>
          <w:cantSplit/>
          <w:jc w:val="center"/>
        </w:trPr>
        <w:tc>
          <w:tcPr>
            <w:tcW w:w="6663" w:type="dxa"/>
          </w:tcPr>
          <w:p w14:paraId="045BFD85" w14:textId="77777777" w:rsidR="004B7893" w:rsidRPr="00585857" w:rsidRDefault="004B7893" w:rsidP="00853692">
            <w:pPr>
              <w:pStyle w:val="Committee"/>
              <w:spacing w:before="0"/>
              <w:rPr>
                <w:b w:val="0"/>
                <w:lang w:val="es-ES_tradnl"/>
              </w:rPr>
            </w:pPr>
          </w:p>
        </w:tc>
        <w:tc>
          <w:tcPr>
            <w:tcW w:w="3225" w:type="dxa"/>
          </w:tcPr>
          <w:p w14:paraId="581981E0" w14:textId="534DC1EC" w:rsidR="004B7893" w:rsidRPr="00585857" w:rsidRDefault="005637B9" w:rsidP="00853692">
            <w:pPr>
              <w:spacing w:before="0"/>
              <w:rPr>
                <w:bCs/>
                <w:lang w:val="es-ES_tradnl"/>
              </w:rPr>
            </w:pPr>
            <w:r w:rsidRPr="00585857">
              <w:rPr>
                <w:b/>
                <w:bCs/>
                <w:lang w:val="es-ES_tradnl"/>
              </w:rPr>
              <w:t xml:space="preserve">Documento </w:t>
            </w:r>
            <w:bookmarkStart w:id="1" w:name="DocRef1"/>
            <w:bookmarkEnd w:id="1"/>
            <w:r w:rsidRPr="00585857">
              <w:rPr>
                <w:b/>
                <w:bCs/>
                <w:lang w:val="es-ES_tradnl"/>
              </w:rPr>
              <w:t>TDAG</w:t>
            </w:r>
            <w:r w:rsidR="00602B27" w:rsidRPr="00585857">
              <w:rPr>
                <w:b/>
                <w:bCs/>
                <w:lang w:val="es-ES_tradnl"/>
              </w:rPr>
              <w:t>-</w:t>
            </w:r>
            <w:r w:rsidR="00AA076A" w:rsidRPr="00585857">
              <w:rPr>
                <w:b/>
                <w:bCs/>
                <w:lang w:val="es-ES_tradnl"/>
              </w:rPr>
              <w:t>20</w:t>
            </w:r>
            <w:r w:rsidRPr="00585857">
              <w:rPr>
                <w:b/>
                <w:bCs/>
                <w:lang w:val="es-ES_tradnl"/>
              </w:rPr>
              <w:t>/</w:t>
            </w:r>
            <w:bookmarkStart w:id="2" w:name="DocNo1"/>
            <w:bookmarkEnd w:id="2"/>
            <w:r w:rsidR="00162AE9" w:rsidRPr="00585857">
              <w:rPr>
                <w:b/>
                <w:bCs/>
                <w:lang w:val="es-ES_tradnl"/>
              </w:rPr>
              <w:t>6</w:t>
            </w:r>
            <w:r w:rsidRPr="00585857">
              <w:rPr>
                <w:b/>
                <w:bCs/>
                <w:lang w:val="es-ES_tradnl"/>
              </w:rPr>
              <w:t>-S</w:t>
            </w:r>
          </w:p>
        </w:tc>
      </w:tr>
      <w:tr w:rsidR="004B7893" w:rsidRPr="00585857" w14:paraId="06222E86" w14:textId="77777777" w:rsidTr="00853692">
        <w:trPr>
          <w:cantSplit/>
          <w:jc w:val="center"/>
        </w:trPr>
        <w:tc>
          <w:tcPr>
            <w:tcW w:w="6663" w:type="dxa"/>
          </w:tcPr>
          <w:p w14:paraId="1F142C46" w14:textId="77777777" w:rsidR="004B7893" w:rsidRPr="00585857" w:rsidRDefault="004B7893" w:rsidP="00853692">
            <w:pPr>
              <w:spacing w:before="0"/>
              <w:rPr>
                <w:b/>
                <w:bCs/>
                <w:smallCaps/>
                <w:lang w:val="es-ES_tradnl"/>
              </w:rPr>
            </w:pPr>
          </w:p>
        </w:tc>
        <w:tc>
          <w:tcPr>
            <w:tcW w:w="3225" w:type="dxa"/>
          </w:tcPr>
          <w:p w14:paraId="63F3416F" w14:textId="0F4EF5B1" w:rsidR="004B7893" w:rsidRPr="00585857" w:rsidRDefault="00162AE9" w:rsidP="00853692">
            <w:pPr>
              <w:spacing w:before="0"/>
              <w:rPr>
                <w:b/>
                <w:lang w:val="es-ES_tradnl"/>
              </w:rPr>
            </w:pPr>
            <w:bookmarkStart w:id="3" w:name="CreationDate"/>
            <w:bookmarkEnd w:id="3"/>
            <w:r w:rsidRPr="00585857">
              <w:rPr>
                <w:b/>
                <w:bCs/>
                <w:szCs w:val="28"/>
                <w:lang w:val="es-ES_tradnl"/>
              </w:rPr>
              <w:t>18</w:t>
            </w:r>
            <w:r w:rsidR="00BC7208" w:rsidRPr="00585857">
              <w:rPr>
                <w:b/>
                <w:bCs/>
                <w:szCs w:val="28"/>
                <w:lang w:val="es-ES_tradnl"/>
              </w:rPr>
              <w:t xml:space="preserve"> </w:t>
            </w:r>
            <w:r w:rsidRPr="00585857">
              <w:rPr>
                <w:b/>
                <w:bCs/>
                <w:szCs w:val="28"/>
                <w:lang w:val="es-ES_tradnl"/>
              </w:rPr>
              <w:t>de febrero de</w:t>
            </w:r>
            <w:r w:rsidR="00BC7208" w:rsidRPr="00585857">
              <w:rPr>
                <w:b/>
                <w:bCs/>
                <w:szCs w:val="28"/>
                <w:lang w:val="es-ES_tradnl"/>
              </w:rPr>
              <w:t xml:space="preserve"> 20</w:t>
            </w:r>
            <w:r w:rsidR="00AA076A" w:rsidRPr="00585857">
              <w:rPr>
                <w:b/>
                <w:bCs/>
                <w:szCs w:val="28"/>
                <w:lang w:val="es-ES_tradnl"/>
              </w:rPr>
              <w:t>20</w:t>
            </w:r>
          </w:p>
        </w:tc>
      </w:tr>
      <w:tr w:rsidR="004B7893" w:rsidRPr="00585857" w14:paraId="7A13D335" w14:textId="77777777" w:rsidTr="00853692">
        <w:trPr>
          <w:cantSplit/>
          <w:jc w:val="center"/>
        </w:trPr>
        <w:tc>
          <w:tcPr>
            <w:tcW w:w="6663" w:type="dxa"/>
          </w:tcPr>
          <w:p w14:paraId="685F6D12" w14:textId="77777777" w:rsidR="004B7893" w:rsidRPr="00585857" w:rsidRDefault="004B7893" w:rsidP="00853692">
            <w:pPr>
              <w:spacing w:before="0"/>
              <w:rPr>
                <w:b/>
                <w:bCs/>
                <w:smallCaps/>
                <w:lang w:val="es-ES_tradnl"/>
              </w:rPr>
            </w:pPr>
          </w:p>
        </w:tc>
        <w:tc>
          <w:tcPr>
            <w:tcW w:w="3225" w:type="dxa"/>
          </w:tcPr>
          <w:p w14:paraId="2FE833B1" w14:textId="2D335409" w:rsidR="004B7893" w:rsidRPr="00585857" w:rsidRDefault="005637B9" w:rsidP="00853692">
            <w:pPr>
              <w:spacing w:before="0"/>
              <w:rPr>
                <w:szCs w:val="24"/>
                <w:lang w:val="es-ES_tradnl"/>
              </w:rPr>
            </w:pPr>
            <w:r w:rsidRPr="00585857">
              <w:rPr>
                <w:b/>
                <w:lang w:val="es-ES_tradnl"/>
              </w:rPr>
              <w:t>Original:</w:t>
            </w:r>
            <w:bookmarkStart w:id="4" w:name="Original"/>
            <w:bookmarkEnd w:id="4"/>
            <w:r w:rsidRPr="00585857">
              <w:rPr>
                <w:b/>
                <w:lang w:val="es-ES_tradnl"/>
              </w:rPr>
              <w:t xml:space="preserve"> </w:t>
            </w:r>
            <w:r w:rsidR="00162AE9" w:rsidRPr="00585857">
              <w:rPr>
                <w:b/>
                <w:lang w:val="es-ES_tradnl"/>
              </w:rPr>
              <w:t>inglés</w:t>
            </w:r>
          </w:p>
        </w:tc>
      </w:tr>
      <w:tr w:rsidR="004B7893" w:rsidRPr="008F43A8" w14:paraId="73CC9538" w14:textId="77777777" w:rsidTr="00853692">
        <w:trPr>
          <w:cantSplit/>
          <w:trHeight w:val="852"/>
          <w:jc w:val="center"/>
        </w:trPr>
        <w:tc>
          <w:tcPr>
            <w:tcW w:w="9888" w:type="dxa"/>
            <w:gridSpan w:val="2"/>
          </w:tcPr>
          <w:p w14:paraId="659A8426" w14:textId="3A8E51DE" w:rsidR="004B7893" w:rsidRPr="00585857" w:rsidRDefault="00162AE9" w:rsidP="00853692">
            <w:pPr>
              <w:pStyle w:val="Source"/>
              <w:rPr>
                <w:szCs w:val="28"/>
                <w:lang w:val="es-ES_tradnl"/>
              </w:rPr>
            </w:pPr>
            <w:bookmarkStart w:id="5" w:name="Source"/>
            <w:bookmarkEnd w:id="5"/>
            <w:r w:rsidRPr="00585857">
              <w:rPr>
                <w:lang w:val="es-ES_tradnl"/>
              </w:rPr>
              <w:t>Directora de la Oficina de Desarrollo de las Telecomunicaciones</w:t>
            </w:r>
          </w:p>
        </w:tc>
      </w:tr>
      <w:tr w:rsidR="004B7893" w:rsidRPr="008F43A8" w14:paraId="3FF3B716" w14:textId="77777777" w:rsidTr="00853692">
        <w:trPr>
          <w:cantSplit/>
          <w:jc w:val="center"/>
        </w:trPr>
        <w:tc>
          <w:tcPr>
            <w:tcW w:w="9888" w:type="dxa"/>
            <w:gridSpan w:val="2"/>
          </w:tcPr>
          <w:p w14:paraId="0A85895F" w14:textId="64DAB373" w:rsidR="004B7893" w:rsidRPr="00585857" w:rsidRDefault="00585857" w:rsidP="00853692">
            <w:pPr>
              <w:pStyle w:val="Title1"/>
              <w:rPr>
                <w:bCs/>
                <w:szCs w:val="28"/>
                <w:lang w:val="es-ES_tradnl"/>
              </w:rPr>
            </w:pPr>
            <w:bookmarkStart w:id="6" w:name="Title"/>
            <w:bookmarkEnd w:id="6"/>
            <w:r>
              <w:rPr>
                <w:lang w:val="es-ES_tradnl"/>
              </w:rPr>
              <w:t xml:space="preserve">proyecto de plan operacional de la uit para </w:t>
            </w:r>
            <w:r w:rsidR="00162AE9" w:rsidRPr="00585857">
              <w:rPr>
                <w:lang w:val="es-ES_tradnl"/>
              </w:rPr>
              <w:t>2021-2024</w:t>
            </w:r>
          </w:p>
        </w:tc>
      </w:tr>
      <w:tr w:rsidR="004B7893" w:rsidRPr="008F43A8" w14:paraId="02430576" w14:textId="77777777" w:rsidTr="00853692">
        <w:trPr>
          <w:cantSplit/>
          <w:jc w:val="center"/>
        </w:trPr>
        <w:tc>
          <w:tcPr>
            <w:tcW w:w="9888" w:type="dxa"/>
            <w:gridSpan w:val="2"/>
            <w:tcBorders>
              <w:bottom w:val="single" w:sz="4" w:space="0" w:color="auto"/>
            </w:tcBorders>
          </w:tcPr>
          <w:p w14:paraId="03C39BF7" w14:textId="77777777" w:rsidR="004B7893" w:rsidRPr="00585857" w:rsidRDefault="004B7893" w:rsidP="00853692">
            <w:pPr>
              <w:rPr>
                <w:lang w:val="es-ES_tradnl"/>
              </w:rPr>
            </w:pPr>
          </w:p>
        </w:tc>
      </w:tr>
      <w:tr w:rsidR="004B7893" w:rsidRPr="00585857" w14:paraId="576BE001" w14:textId="77777777" w:rsidTr="00853692">
        <w:trPr>
          <w:cantSplit/>
          <w:trHeight w:val="703"/>
          <w:jc w:val="center"/>
        </w:trPr>
        <w:tc>
          <w:tcPr>
            <w:tcW w:w="9888" w:type="dxa"/>
            <w:gridSpan w:val="2"/>
            <w:tcBorders>
              <w:top w:val="single" w:sz="4" w:space="0" w:color="auto"/>
              <w:left w:val="single" w:sz="4" w:space="0" w:color="auto"/>
              <w:bottom w:val="single" w:sz="4" w:space="0" w:color="auto"/>
              <w:right w:val="single" w:sz="4" w:space="0" w:color="auto"/>
            </w:tcBorders>
          </w:tcPr>
          <w:p w14:paraId="60353238" w14:textId="77777777" w:rsidR="004B7893" w:rsidRPr="00585857" w:rsidRDefault="004B7893" w:rsidP="00853692">
            <w:pPr>
              <w:spacing w:before="240"/>
              <w:rPr>
                <w:b/>
                <w:bCs/>
                <w:lang w:val="es-ES_tradnl"/>
              </w:rPr>
            </w:pPr>
            <w:r w:rsidRPr="00585857">
              <w:rPr>
                <w:b/>
                <w:bCs/>
                <w:lang w:val="es-ES_tradnl"/>
              </w:rPr>
              <w:t>Resumen:</w:t>
            </w:r>
          </w:p>
          <w:p w14:paraId="7478A117" w14:textId="70A30F7F" w:rsidR="00162AE9" w:rsidRPr="00585857" w:rsidRDefault="00585857" w:rsidP="00853692">
            <w:pPr>
              <w:rPr>
                <w:lang w:val="es-ES_tradnl"/>
              </w:rPr>
            </w:pPr>
            <w:r>
              <w:rPr>
                <w:lang w:val="es-ES_tradnl"/>
              </w:rPr>
              <w:t>En este documento se facilitan</w:t>
            </w:r>
            <w:r w:rsidR="00162AE9" w:rsidRPr="00585857">
              <w:rPr>
                <w:lang w:val="es-ES_tradnl"/>
              </w:rPr>
              <w:t>:</w:t>
            </w:r>
          </w:p>
          <w:p w14:paraId="741967C0" w14:textId="51F6683D" w:rsidR="00162AE9" w:rsidRPr="00585857" w:rsidRDefault="00162AE9" w:rsidP="00853692">
            <w:pPr>
              <w:pStyle w:val="enumlev1"/>
              <w:rPr>
                <w:lang w:val="es-ES_tradnl"/>
              </w:rPr>
            </w:pPr>
            <w:r w:rsidRPr="00585857">
              <w:rPr>
                <w:lang w:val="es-ES_tradnl"/>
              </w:rPr>
              <w:t>–</w:t>
            </w:r>
            <w:r w:rsidRPr="00585857">
              <w:rPr>
                <w:lang w:val="es-ES_tradnl"/>
              </w:rPr>
              <w:tab/>
            </w:r>
            <w:r w:rsidR="000A6517">
              <w:rPr>
                <w:lang w:val="es-ES_tradnl"/>
              </w:rPr>
              <w:t>E</w:t>
            </w:r>
            <w:r w:rsidR="00585857">
              <w:rPr>
                <w:lang w:val="es-ES_tradnl"/>
              </w:rPr>
              <w:t>l</w:t>
            </w:r>
            <w:r w:rsidRPr="00585857">
              <w:rPr>
                <w:lang w:val="es-ES_tradnl"/>
              </w:rPr>
              <w:t xml:space="preserve"> </w:t>
            </w:r>
            <w:r w:rsidR="00585857" w:rsidRPr="00585857">
              <w:rPr>
                <w:lang w:val="es-ES_tradnl"/>
              </w:rPr>
              <w:t>Informe sobre el rendimiento de 201</w:t>
            </w:r>
            <w:r w:rsidR="00585857">
              <w:rPr>
                <w:lang w:val="es-ES_tradnl"/>
              </w:rPr>
              <w:t>9</w:t>
            </w:r>
            <w:r w:rsidRPr="00585857">
              <w:rPr>
                <w:lang w:val="es-ES_tradnl"/>
              </w:rPr>
              <w:t xml:space="preserve">, </w:t>
            </w:r>
            <w:r w:rsidR="00585857">
              <w:rPr>
                <w:lang w:val="es-ES_tradnl"/>
              </w:rPr>
              <w:t>es decir, la implementación del Plan Operacional de 2019</w:t>
            </w:r>
            <w:r w:rsidR="000A6517">
              <w:rPr>
                <w:lang w:val="es-ES_tradnl"/>
              </w:rPr>
              <w:t>.</w:t>
            </w:r>
          </w:p>
          <w:p w14:paraId="0EFB3008" w14:textId="38C876D9" w:rsidR="00162AE9" w:rsidRPr="00585857" w:rsidRDefault="00162AE9" w:rsidP="00853692">
            <w:pPr>
              <w:pStyle w:val="enumlev1"/>
              <w:rPr>
                <w:lang w:val="es-ES_tradnl"/>
              </w:rPr>
            </w:pPr>
            <w:r w:rsidRPr="00585857">
              <w:rPr>
                <w:lang w:val="es-ES_tradnl"/>
              </w:rPr>
              <w:t>–</w:t>
            </w:r>
            <w:r w:rsidRPr="00585857">
              <w:rPr>
                <w:lang w:val="es-ES_tradnl"/>
              </w:rPr>
              <w:tab/>
            </w:r>
            <w:r w:rsidR="000A6517">
              <w:rPr>
                <w:lang w:val="es-ES_tradnl"/>
              </w:rPr>
              <w:t>E</w:t>
            </w:r>
            <w:r w:rsidR="00585857">
              <w:rPr>
                <w:lang w:val="es-ES_tradnl"/>
              </w:rPr>
              <w:t xml:space="preserve">l Plan Operacional de la Unión para </w:t>
            </w:r>
            <w:r w:rsidRPr="00585857">
              <w:rPr>
                <w:lang w:val="es-ES_tradnl"/>
              </w:rPr>
              <w:t>2021-2024.</w:t>
            </w:r>
          </w:p>
          <w:p w14:paraId="00DDB9C5" w14:textId="51FDA01C" w:rsidR="00162AE9" w:rsidRPr="00585857" w:rsidRDefault="00585857" w:rsidP="00853692">
            <w:pPr>
              <w:rPr>
                <w:lang w:val="es-ES_tradnl"/>
              </w:rPr>
            </w:pPr>
            <w:r>
              <w:rPr>
                <w:lang w:val="es-ES_tradnl"/>
              </w:rPr>
              <w:t xml:space="preserve">En la </w:t>
            </w:r>
            <w:r w:rsidR="00162AE9" w:rsidRPr="00585857">
              <w:rPr>
                <w:lang w:val="es-ES_tradnl"/>
              </w:rPr>
              <w:t>Part</w:t>
            </w:r>
            <w:r>
              <w:rPr>
                <w:lang w:val="es-ES_tradnl"/>
              </w:rPr>
              <w:t>e</w:t>
            </w:r>
            <w:r w:rsidR="00162AE9" w:rsidRPr="00585857">
              <w:rPr>
                <w:lang w:val="es-ES_tradnl"/>
              </w:rPr>
              <w:t xml:space="preserve"> 2 </w:t>
            </w:r>
            <w:r>
              <w:rPr>
                <w:lang w:val="es-ES_tradnl"/>
              </w:rPr>
              <w:t>de este documento se facilitan detalles en lo que atañe al sector UIT-D y sus 4</w:t>
            </w:r>
            <w:r w:rsidR="000A6517">
              <w:rPr>
                <w:lang w:val="es-ES_tradnl"/>
              </w:rPr>
              <w:t> </w:t>
            </w:r>
            <w:r>
              <w:rPr>
                <w:lang w:val="es-ES_tradnl"/>
              </w:rPr>
              <w:t>Objetivos</w:t>
            </w:r>
            <w:r w:rsidR="000A6517">
              <w:rPr>
                <w:lang w:val="es-ES_tradnl"/>
              </w:rPr>
              <w:t>.</w:t>
            </w:r>
          </w:p>
          <w:p w14:paraId="73D46A94" w14:textId="7F81DD1A" w:rsidR="004B7893" w:rsidRPr="00585857" w:rsidRDefault="00585857" w:rsidP="00853692">
            <w:pPr>
              <w:rPr>
                <w:lang w:val="es-ES_tradnl"/>
              </w:rPr>
            </w:pPr>
            <w:r w:rsidRPr="00585857">
              <w:rPr>
                <w:lang w:val="es-ES_tradnl"/>
              </w:rPr>
              <w:t xml:space="preserve">En la Parte 2 de este documento </w:t>
            </w:r>
            <w:r>
              <w:rPr>
                <w:lang w:val="es-ES_tradnl"/>
              </w:rPr>
              <w:t xml:space="preserve">también </w:t>
            </w:r>
            <w:r w:rsidRPr="00585857">
              <w:rPr>
                <w:lang w:val="es-ES_tradnl"/>
              </w:rPr>
              <w:t xml:space="preserve">se facilitan </w:t>
            </w:r>
            <w:r w:rsidR="00765B2B">
              <w:rPr>
                <w:lang w:val="es-ES_tradnl"/>
              </w:rPr>
              <w:t xml:space="preserve">todos los </w:t>
            </w:r>
            <w:r w:rsidRPr="00585857">
              <w:rPr>
                <w:lang w:val="es-ES_tradnl"/>
              </w:rPr>
              <w:t xml:space="preserve">detalles </w:t>
            </w:r>
            <w:r w:rsidR="00765B2B">
              <w:rPr>
                <w:lang w:val="es-ES_tradnl"/>
              </w:rPr>
              <w:t>relativos a los 6 Objetivos Intersectoriales</w:t>
            </w:r>
            <w:r w:rsidR="00162AE9" w:rsidRPr="00585857">
              <w:rPr>
                <w:lang w:val="es-ES_tradnl"/>
              </w:rPr>
              <w:t>.</w:t>
            </w:r>
          </w:p>
          <w:p w14:paraId="3709B79D" w14:textId="40B6D8A1" w:rsidR="004B7893" w:rsidRPr="00585857" w:rsidRDefault="004B7893" w:rsidP="00853692">
            <w:pPr>
              <w:rPr>
                <w:b/>
                <w:bCs/>
                <w:lang w:val="es-ES_tradnl"/>
              </w:rPr>
            </w:pPr>
            <w:r w:rsidRPr="00585857">
              <w:rPr>
                <w:b/>
                <w:bCs/>
                <w:lang w:val="es-ES_tradnl"/>
              </w:rPr>
              <w:t>Acción solicitada:</w:t>
            </w:r>
          </w:p>
          <w:p w14:paraId="0AD5C1A7" w14:textId="76A47CF5" w:rsidR="004B7893" w:rsidRPr="00585857" w:rsidRDefault="00765B2B" w:rsidP="00853692">
            <w:pPr>
              <w:rPr>
                <w:lang w:val="es-ES_tradnl"/>
              </w:rPr>
            </w:pPr>
            <w:r>
              <w:rPr>
                <w:lang w:val="es-ES_tradnl"/>
              </w:rPr>
              <w:t xml:space="preserve">Se invita al GADT a examinar la implementación del Plan Operacional de 2019 y el proyecto de Plan Operacional para 2021-2024. En lo que respecta a este último, se invita al GADT a proporcionar sus comentarios al Consejo que examinará y aprobará en última instancia el Plan Operacional de la UIT para </w:t>
            </w:r>
            <w:r w:rsidR="00162AE9" w:rsidRPr="00585857">
              <w:rPr>
                <w:lang w:val="es-ES_tradnl"/>
              </w:rPr>
              <w:t>2021-2024.</w:t>
            </w:r>
          </w:p>
          <w:p w14:paraId="4572DF50" w14:textId="77777777" w:rsidR="004B7893" w:rsidRPr="00585857" w:rsidRDefault="004B7893" w:rsidP="00853692">
            <w:pPr>
              <w:rPr>
                <w:b/>
                <w:bCs/>
                <w:lang w:val="es-ES_tradnl"/>
              </w:rPr>
            </w:pPr>
            <w:r w:rsidRPr="00585857">
              <w:rPr>
                <w:b/>
                <w:bCs/>
                <w:lang w:val="es-ES_tradnl"/>
              </w:rPr>
              <w:t>Referencias:</w:t>
            </w:r>
          </w:p>
          <w:p w14:paraId="62EDCA04" w14:textId="00E784AC" w:rsidR="004B7893" w:rsidRPr="00585857" w:rsidRDefault="00162AE9" w:rsidP="00853692">
            <w:pPr>
              <w:spacing w:after="120"/>
              <w:rPr>
                <w:lang w:val="es-ES_tradnl"/>
              </w:rPr>
            </w:pPr>
            <w:r w:rsidRPr="00585857">
              <w:rPr>
                <w:lang w:val="es-ES_tradnl"/>
              </w:rPr>
              <w:t>–</w:t>
            </w:r>
          </w:p>
        </w:tc>
      </w:tr>
    </w:tbl>
    <w:p w14:paraId="2A929C85" w14:textId="461AAEC4" w:rsidR="002641AC" w:rsidRDefault="002641A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45F180C6" w14:textId="43CF1669" w:rsidR="00D73162" w:rsidRPr="008A67D4" w:rsidRDefault="00A5291B" w:rsidP="008A67D4">
      <w:pPr>
        <w:rPr>
          <w:noProof/>
          <w:sz w:val="44"/>
          <w:szCs w:val="44"/>
          <w:lang w:val="es-ES_tradnl" w:eastAsia="zh-CN"/>
        </w:rPr>
      </w:pPr>
      <w:r w:rsidRPr="008A67D4">
        <w:rPr>
          <w:noProof/>
          <w:sz w:val="44"/>
          <w:szCs w:val="44"/>
          <w:lang w:val="es-ES_tradnl" w:eastAsia="zh-CN"/>
        </w:rPr>
        <w:lastRenderedPageBreak/>
        <w:t xml:space="preserve">PROYECTO </w:t>
      </w:r>
      <w:r w:rsidR="008A67D4">
        <w:rPr>
          <w:noProof/>
          <w:sz w:val="44"/>
          <w:szCs w:val="44"/>
          <w:lang w:val="es-ES_tradnl" w:eastAsia="zh-CN"/>
        </w:rPr>
        <w:br/>
      </w:r>
      <w:r w:rsidRPr="008A67D4">
        <w:rPr>
          <w:noProof/>
          <w:sz w:val="44"/>
          <w:szCs w:val="44"/>
          <w:lang w:val="es-ES_tradnl" w:eastAsia="zh-CN"/>
        </w:rPr>
        <w:t xml:space="preserve">DE PLAN OPERACIONAL </w:t>
      </w:r>
      <w:r w:rsidR="008A67D4">
        <w:rPr>
          <w:noProof/>
          <w:sz w:val="44"/>
          <w:szCs w:val="44"/>
          <w:lang w:val="es-ES_tradnl" w:eastAsia="zh-CN"/>
        </w:rPr>
        <w:br/>
      </w:r>
      <w:r w:rsidRPr="008A67D4">
        <w:rPr>
          <w:noProof/>
          <w:sz w:val="44"/>
          <w:szCs w:val="44"/>
          <w:lang w:val="es-ES_tradnl" w:eastAsia="zh-CN"/>
        </w:rPr>
        <w:t xml:space="preserve">DE LA UIT </w:t>
      </w:r>
      <w:r w:rsidR="008A67D4">
        <w:rPr>
          <w:noProof/>
          <w:sz w:val="44"/>
          <w:szCs w:val="44"/>
          <w:lang w:val="es-ES_tradnl" w:eastAsia="zh-CN"/>
        </w:rPr>
        <w:br/>
      </w:r>
      <w:r w:rsidRPr="008A67D4">
        <w:rPr>
          <w:noProof/>
          <w:sz w:val="44"/>
          <w:szCs w:val="44"/>
          <w:lang w:val="es-ES_tradnl" w:eastAsia="zh-CN"/>
        </w:rPr>
        <w:t>PARA 2021-2024</w:t>
      </w:r>
    </w:p>
    <w:p w14:paraId="6A08A9FE" w14:textId="7320A631" w:rsidR="00007622" w:rsidRPr="008A67D4" w:rsidRDefault="00007622" w:rsidP="008A67D4">
      <w:pPr>
        <w:spacing w:before="4560"/>
        <w:rPr>
          <w:noProof/>
          <w:color w:val="002060"/>
          <w:sz w:val="32"/>
          <w:szCs w:val="24"/>
          <w:lang w:val="es-ES_tradnl" w:eastAsia="zh-CN"/>
        </w:rPr>
      </w:pPr>
      <w:r w:rsidRPr="008A67D4">
        <w:rPr>
          <w:noProof/>
          <w:color w:val="002060"/>
          <w:sz w:val="32"/>
          <w:szCs w:val="24"/>
          <w:lang w:val="es-ES_tradnl" w:eastAsia="zh-CN"/>
        </w:rPr>
        <w:t>Síntesis</w:t>
      </w:r>
    </w:p>
    <w:p w14:paraId="696E73D3" w14:textId="7F582216" w:rsidR="00007622" w:rsidRPr="008A67D4" w:rsidRDefault="00007622" w:rsidP="00007622">
      <w:pPr>
        <w:rPr>
          <w:noProof/>
          <w:color w:val="002060"/>
          <w:sz w:val="32"/>
          <w:szCs w:val="24"/>
          <w:lang w:val="es-ES_tradnl" w:eastAsia="zh-CN"/>
        </w:rPr>
      </w:pPr>
      <w:r w:rsidRPr="008A67D4">
        <w:rPr>
          <w:noProof/>
          <w:color w:val="002060"/>
          <w:sz w:val="32"/>
          <w:szCs w:val="24"/>
          <w:lang w:val="es-ES_tradnl" w:eastAsia="zh-CN"/>
        </w:rPr>
        <w:t>Objetivos</w:t>
      </w:r>
    </w:p>
    <w:p w14:paraId="2962E630" w14:textId="3286FB01" w:rsidR="00A5291B" w:rsidRPr="008A67D4" w:rsidRDefault="00007622" w:rsidP="00007622">
      <w:pPr>
        <w:rPr>
          <w:noProof/>
          <w:color w:val="002060"/>
          <w:sz w:val="32"/>
          <w:szCs w:val="24"/>
          <w:lang w:val="es-ES_tradnl" w:eastAsia="zh-CN"/>
        </w:rPr>
      </w:pPr>
      <w:r w:rsidRPr="008A67D4">
        <w:rPr>
          <w:noProof/>
          <w:color w:val="002060"/>
          <w:sz w:val="32"/>
          <w:szCs w:val="24"/>
          <w:lang w:val="es-ES_tradnl" w:eastAsia="zh-CN"/>
        </w:rPr>
        <w:t>Anexos</w:t>
      </w:r>
    </w:p>
    <w:p w14:paraId="6CF0A50A" w14:textId="5DCD71AA" w:rsidR="002641AC" w:rsidRDefault="002641A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000E0B86" w14:textId="71CAF959" w:rsidR="00D73162" w:rsidRPr="00585857" w:rsidRDefault="00765B2B" w:rsidP="00D73162">
      <w:pPr>
        <w:pStyle w:val="Title4"/>
        <w:jc w:val="left"/>
        <w:rPr>
          <w:lang w:val="es-ES_tradnl"/>
        </w:rPr>
      </w:pPr>
      <w:bookmarkStart w:id="7" w:name="_Toc33539610"/>
      <w:r>
        <w:rPr>
          <w:lang w:val="es-ES_tradnl"/>
        </w:rPr>
        <w:lastRenderedPageBreak/>
        <w:t xml:space="preserve">Proyecto de Plan Operacional de la UIT para </w:t>
      </w:r>
      <w:r w:rsidR="00D73162" w:rsidRPr="00585857">
        <w:rPr>
          <w:lang w:val="es-ES_tradnl"/>
        </w:rPr>
        <w:t>2021-2024</w:t>
      </w:r>
    </w:p>
    <w:bookmarkEnd w:id="7"/>
    <w:p w14:paraId="2C8320AC" w14:textId="1D590C18" w:rsidR="00D33D25" w:rsidRPr="00585857" w:rsidRDefault="00F04E0C" w:rsidP="000B3896">
      <w:pPr>
        <w:pStyle w:val="TOC1"/>
        <w:tabs>
          <w:tab w:val="clear" w:pos="8647"/>
          <w:tab w:val="left" w:leader="dot" w:pos="8505"/>
        </w:tabs>
        <w:spacing w:before="720"/>
        <w:rPr>
          <w:rFonts w:eastAsiaTheme="minorEastAsia" w:cstheme="minorBidi"/>
          <w:noProof/>
          <w:sz w:val="22"/>
          <w:szCs w:val="22"/>
          <w:lang w:val="es-ES_tradnl"/>
        </w:rPr>
      </w:pPr>
      <w:r w:rsidRPr="00585857">
        <w:rPr>
          <w:lang w:val="es-ES_tradnl"/>
        </w:rPr>
        <w:fldChar w:fldCharType="begin"/>
      </w:r>
      <w:r w:rsidRPr="00585857">
        <w:rPr>
          <w:lang w:val="es-ES_tradnl"/>
        </w:rPr>
        <w:instrText xml:space="preserve"> TOC \o "1-1" \h \z \u </w:instrText>
      </w:r>
      <w:r w:rsidRPr="00585857">
        <w:rPr>
          <w:lang w:val="es-ES_tradnl"/>
        </w:rPr>
        <w:fldChar w:fldCharType="separate"/>
      </w:r>
      <w:hyperlink w:anchor="_Toc33539610" w:history="1">
        <w:r w:rsidR="00D33D25" w:rsidRPr="00585857">
          <w:rPr>
            <w:rStyle w:val="Hyperlink"/>
            <w:noProof/>
            <w:lang w:val="es-ES_tradnl"/>
          </w:rPr>
          <w:t>Parte I – Síntesis</w:t>
        </w:r>
        <w:r w:rsidR="00D33D25" w:rsidRPr="00585857">
          <w:rPr>
            <w:noProof/>
            <w:webHidden/>
            <w:lang w:val="es-ES_tradnl"/>
          </w:rPr>
          <w:tab/>
        </w:r>
        <w:r w:rsidR="000B3896">
          <w:rPr>
            <w:noProof/>
            <w:webHidden/>
            <w:lang w:val="es-ES_tradnl"/>
          </w:rPr>
          <w:tab/>
        </w:r>
        <w:r w:rsidR="00D33D25" w:rsidRPr="00585857">
          <w:rPr>
            <w:noProof/>
            <w:webHidden/>
            <w:lang w:val="es-ES_tradnl"/>
          </w:rPr>
          <w:fldChar w:fldCharType="begin"/>
        </w:r>
        <w:r w:rsidR="00D33D25" w:rsidRPr="00585857">
          <w:rPr>
            <w:noProof/>
            <w:webHidden/>
            <w:lang w:val="es-ES_tradnl"/>
          </w:rPr>
          <w:instrText xml:space="preserve"> PAGEREF _Toc33539610 \h </w:instrText>
        </w:r>
        <w:r w:rsidR="00D33D25" w:rsidRPr="00585857">
          <w:rPr>
            <w:noProof/>
            <w:webHidden/>
            <w:lang w:val="es-ES_tradnl"/>
          </w:rPr>
        </w:r>
        <w:r w:rsidR="00D33D25" w:rsidRPr="00585857">
          <w:rPr>
            <w:noProof/>
            <w:webHidden/>
            <w:lang w:val="es-ES_tradnl"/>
          </w:rPr>
          <w:fldChar w:fldCharType="separate"/>
        </w:r>
        <w:r w:rsidR="00E2673A">
          <w:rPr>
            <w:noProof/>
            <w:webHidden/>
            <w:lang w:val="es-ES_tradnl"/>
          </w:rPr>
          <w:t>3</w:t>
        </w:r>
        <w:r w:rsidR="00D33D25" w:rsidRPr="00585857">
          <w:rPr>
            <w:noProof/>
            <w:webHidden/>
            <w:lang w:val="es-ES_tradnl"/>
          </w:rPr>
          <w:fldChar w:fldCharType="end"/>
        </w:r>
      </w:hyperlink>
    </w:p>
    <w:p w14:paraId="3D893D8D" w14:textId="1B4472DA" w:rsidR="00D33D25" w:rsidRPr="00585857" w:rsidRDefault="0090342B" w:rsidP="004D45B5">
      <w:pPr>
        <w:pStyle w:val="TOC1"/>
        <w:tabs>
          <w:tab w:val="clear" w:pos="8647"/>
          <w:tab w:val="left" w:leader="dot" w:pos="8505"/>
        </w:tabs>
        <w:rPr>
          <w:rFonts w:eastAsiaTheme="minorEastAsia" w:cstheme="minorBidi"/>
          <w:noProof/>
          <w:sz w:val="22"/>
          <w:szCs w:val="22"/>
          <w:lang w:val="es-ES_tradnl"/>
        </w:rPr>
      </w:pPr>
      <w:hyperlink w:anchor="_Toc33539611" w:history="1">
        <w:r w:rsidR="00D33D25" w:rsidRPr="00585857">
          <w:rPr>
            <w:rStyle w:val="Hyperlink"/>
            <w:noProof/>
            <w:lang w:val="es-ES_tradnl"/>
          </w:rPr>
          <w:t>Part</w:t>
        </w:r>
        <w:r w:rsidR="008F43A8">
          <w:rPr>
            <w:rStyle w:val="Hyperlink"/>
            <w:noProof/>
            <w:lang w:val="es-ES_tradnl"/>
          </w:rPr>
          <w:t>e</w:t>
        </w:r>
        <w:r w:rsidR="00D33D25" w:rsidRPr="00585857">
          <w:rPr>
            <w:rStyle w:val="Hyperlink"/>
            <w:noProof/>
            <w:lang w:val="es-ES_tradnl"/>
          </w:rPr>
          <w:t xml:space="preserve"> II – Objetivos</w:t>
        </w:r>
        <w:r w:rsidR="00D33D25" w:rsidRPr="00585857">
          <w:rPr>
            <w:noProof/>
            <w:webHidden/>
            <w:lang w:val="es-ES_tradnl"/>
          </w:rPr>
          <w:tab/>
        </w:r>
        <w:r w:rsidR="000B3896">
          <w:rPr>
            <w:noProof/>
            <w:webHidden/>
            <w:lang w:val="es-ES_tradnl"/>
          </w:rPr>
          <w:tab/>
        </w:r>
        <w:r w:rsidR="00D33D25" w:rsidRPr="00585857">
          <w:rPr>
            <w:noProof/>
            <w:webHidden/>
            <w:lang w:val="es-ES_tradnl"/>
          </w:rPr>
          <w:fldChar w:fldCharType="begin"/>
        </w:r>
        <w:r w:rsidR="00D33D25" w:rsidRPr="00585857">
          <w:rPr>
            <w:noProof/>
            <w:webHidden/>
            <w:lang w:val="es-ES_tradnl"/>
          </w:rPr>
          <w:instrText xml:space="preserve"> PAGEREF _Toc33539611 \h </w:instrText>
        </w:r>
        <w:r w:rsidR="00D33D25" w:rsidRPr="00585857">
          <w:rPr>
            <w:noProof/>
            <w:webHidden/>
            <w:lang w:val="es-ES_tradnl"/>
          </w:rPr>
        </w:r>
        <w:r w:rsidR="00D33D25" w:rsidRPr="00585857">
          <w:rPr>
            <w:noProof/>
            <w:webHidden/>
            <w:lang w:val="es-ES_tradnl"/>
          </w:rPr>
          <w:fldChar w:fldCharType="separate"/>
        </w:r>
        <w:r w:rsidR="00E2673A">
          <w:rPr>
            <w:noProof/>
            <w:webHidden/>
            <w:lang w:val="es-ES_tradnl"/>
          </w:rPr>
          <w:t>14</w:t>
        </w:r>
        <w:r w:rsidR="00D33D25" w:rsidRPr="00585857">
          <w:rPr>
            <w:noProof/>
            <w:webHidden/>
            <w:lang w:val="es-ES_tradnl"/>
          </w:rPr>
          <w:fldChar w:fldCharType="end"/>
        </w:r>
      </w:hyperlink>
    </w:p>
    <w:p w14:paraId="550B269C" w14:textId="37042E92" w:rsidR="00D33D25" w:rsidRPr="00585857" w:rsidRDefault="0090342B" w:rsidP="004D45B5">
      <w:pPr>
        <w:pStyle w:val="TOC1"/>
        <w:tabs>
          <w:tab w:val="clear" w:pos="8647"/>
          <w:tab w:val="left" w:leader="dot" w:pos="8505"/>
        </w:tabs>
        <w:rPr>
          <w:rFonts w:eastAsiaTheme="minorEastAsia" w:cstheme="minorBidi"/>
          <w:noProof/>
          <w:sz w:val="22"/>
          <w:szCs w:val="22"/>
          <w:lang w:val="es-ES_tradnl"/>
        </w:rPr>
      </w:pPr>
      <w:hyperlink w:anchor="_Toc33539612" w:history="1">
        <w:r w:rsidR="00D33D25" w:rsidRPr="00585857">
          <w:rPr>
            <w:rStyle w:val="Hyperlink"/>
            <w:noProof/>
            <w:lang w:val="es-ES_tradnl"/>
          </w:rPr>
          <w:t>Parte III</w:t>
        </w:r>
        <w:r w:rsidR="00D33D25" w:rsidRPr="00585857">
          <w:rPr>
            <w:rFonts w:eastAsiaTheme="minorEastAsia" w:cstheme="minorBidi"/>
            <w:noProof/>
            <w:sz w:val="22"/>
            <w:szCs w:val="22"/>
            <w:lang w:val="es-ES_tradnl"/>
          </w:rPr>
          <w:tab/>
        </w:r>
        <w:r w:rsidR="00D33D25" w:rsidRPr="00585857">
          <w:rPr>
            <w:rStyle w:val="Hyperlink"/>
            <w:noProof/>
            <w:lang w:val="es-ES_tradnl"/>
          </w:rPr>
          <w:t>Anexos</w:t>
        </w:r>
        <w:r w:rsidR="00D33D25" w:rsidRPr="00585857">
          <w:rPr>
            <w:noProof/>
            <w:webHidden/>
            <w:lang w:val="es-ES_tradnl"/>
          </w:rPr>
          <w:tab/>
        </w:r>
        <w:r w:rsidR="000B3896">
          <w:rPr>
            <w:noProof/>
            <w:webHidden/>
            <w:lang w:val="es-ES_tradnl"/>
          </w:rPr>
          <w:tab/>
        </w:r>
        <w:r w:rsidR="00D33D25" w:rsidRPr="00585857">
          <w:rPr>
            <w:noProof/>
            <w:webHidden/>
            <w:lang w:val="es-ES_tradnl"/>
          </w:rPr>
          <w:fldChar w:fldCharType="begin"/>
        </w:r>
        <w:r w:rsidR="00D33D25" w:rsidRPr="00585857">
          <w:rPr>
            <w:noProof/>
            <w:webHidden/>
            <w:lang w:val="es-ES_tradnl"/>
          </w:rPr>
          <w:instrText xml:space="preserve"> PAGEREF _Toc33539612 \h </w:instrText>
        </w:r>
        <w:r w:rsidR="00D33D25" w:rsidRPr="00585857">
          <w:rPr>
            <w:noProof/>
            <w:webHidden/>
            <w:lang w:val="es-ES_tradnl"/>
          </w:rPr>
        </w:r>
        <w:r w:rsidR="00D33D25" w:rsidRPr="00585857">
          <w:rPr>
            <w:noProof/>
            <w:webHidden/>
            <w:lang w:val="es-ES_tradnl"/>
          </w:rPr>
          <w:fldChar w:fldCharType="separate"/>
        </w:r>
        <w:r w:rsidR="00E2673A">
          <w:rPr>
            <w:noProof/>
            <w:webHidden/>
            <w:lang w:val="es-ES_tradnl"/>
          </w:rPr>
          <w:t>63</w:t>
        </w:r>
        <w:r w:rsidR="00D33D25" w:rsidRPr="00585857">
          <w:rPr>
            <w:noProof/>
            <w:webHidden/>
            <w:lang w:val="es-ES_tradnl"/>
          </w:rPr>
          <w:fldChar w:fldCharType="end"/>
        </w:r>
      </w:hyperlink>
    </w:p>
    <w:p w14:paraId="473AC398" w14:textId="3C30C8FB" w:rsidR="00823414" w:rsidRPr="00585857" w:rsidRDefault="00F04E0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fldChar w:fldCharType="end"/>
      </w:r>
      <w:r w:rsidR="00823414" w:rsidRPr="00585857">
        <w:rPr>
          <w:lang w:val="es-ES_tradnl"/>
        </w:rPr>
        <w:br w:type="page"/>
      </w:r>
    </w:p>
    <w:p w14:paraId="4BB46C3C" w14:textId="77777777" w:rsidR="008A67D4" w:rsidRPr="008A67D4" w:rsidRDefault="008A67D4" w:rsidP="008A67D4">
      <w:pPr>
        <w:rPr>
          <w:noProof/>
          <w:sz w:val="44"/>
          <w:szCs w:val="44"/>
          <w:lang w:val="es-ES_tradnl" w:eastAsia="zh-CN"/>
        </w:rPr>
      </w:pPr>
      <w:r w:rsidRPr="008A67D4">
        <w:rPr>
          <w:noProof/>
          <w:sz w:val="44"/>
          <w:szCs w:val="44"/>
          <w:lang w:val="es-ES_tradnl" w:eastAsia="zh-CN"/>
        </w:rPr>
        <w:lastRenderedPageBreak/>
        <w:t xml:space="preserve">PROYECTO </w:t>
      </w:r>
      <w:r>
        <w:rPr>
          <w:noProof/>
          <w:sz w:val="44"/>
          <w:szCs w:val="44"/>
          <w:lang w:val="es-ES_tradnl" w:eastAsia="zh-CN"/>
        </w:rPr>
        <w:br/>
      </w:r>
      <w:r w:rsidRPr="008A67D4">
        <w:rPr>
          <w:noProof/>
          <w:sz w:val="44"/>
          <w:szCs w:val="44"/>
          <w:lang w:val="es-ES_tradnl" w:eastAsia="zh-CN"/>
        </w:rPr>
        <w:t xml:space="preserve">DE PLAN OPERACIONAL </w:t>
      </w:r>
      <w:r>
        <w:rPr>
          <w:noProof/>
          <w:sz w:val="44"/>
          <w:szCs w:val="44"/>
          <w:lang w:val="es-ES_tradnl" w:eastAsia="zh-CN"/>
        </w:rPr>
        <w:br/>
      </w:r>
      <w:r w:rsidRPr="008A67D4">
        <w:rPr>
          <w:noProof/>
          <w:sz w:val="44"/>
          <w:szCs w:val="44"/>
          <w:lang w:val="es-ES_tradnl" w:eastAsia="zh-CN"/>
        </w:rPr>
        <w:t xml:space="preserve">DE LA UIT </w:t>
      </w:r>
      <w:r>
        <w:rPr>
          <w:noProof/>
          <w:sz w:val="44"/>
          <w:szCs w:val="44"/>
          <w:lang w:val="es-ES_tradnl" w:eastAsia="zh-CN"/>
        </w:rPr>
        <w:br/>
      </w:r>
      <w:r w:rsidRPr="008A67D4">
        <w:rPr>
          <w:noProof/>
          <w:sz w:val="44"/>
          <w:szCs w:val="44"/>
          <w:lang w:val="es-ES_tradnl" w:eastAsia="zh-CN"/>
        </w:rPr>
        <w:t>PARA 2021-2024</w:t>
      </w:r>
    </w:p>
    <w:p w14:paraId="63A91941" w14:textId="77777777" w:rsidR="008A67D4" w:rsidRPr="008A67D4" w:rsidRDefault="008A67D4" w:rsidP="008A67D4">
      <w:pPr>
        <w:spacing w:before="4560"/>
        <w:rPr>
          <w:b/>
          <w:bCs/>
          <w:noProof/>
          <w:color w:val="002060"/>
          <w:sz w:val="32"/>
          <w:szCs w:val="24"/>
          <w:lang w:val="es-ES_tradnl" w:eastAsia="zh-CN"/>
        </w:rPr>
      </w:pPr>
      <w:r w:rsidRPr="008A67D4">
        <w:rPr>
          <w:b/>
          <w:bCs/>
          <w:noProof/>
          <w:color w:val="002060"/>
          <w:sz w:val="32"/>
          <w:szCs w:val="24"/>
          <w:lang w:val="es-ES_tradnl" w:eastAsia="zh-CN"/>
        </w:rPr>
        <w:t>Síntesis</w:t>
      </w:r>
    </w:p>
    <w:p w14:paraId="693ABC2F" w14:textId="77777777" w:rsidR="008A67D4" w:rsidRPr="008A67D4" w:rsidRDefault="008A67D4" w:rsidP="008A67D4">
      <w:pPr>
        <w:rPr>
          <w:noProof/>
          <w:color w:val="002060"/>
          <w:sz w:val="32"/>
          <w:szCs w:val="24"/>
          <w:lang w:val="es-ES_tradnl" w:eastAsia="zh-CN"/>
        </w:rPr>
      </w:pPr>
      <w:r w:rsidRPr="008A67D4">
        <w:rPr>
          <w:noProof/>
          <w:color w:val="002060"/>
          <w:sz w:val="32"/>
          <w:szCs w:val="24"/>
          <w:lang w:val="es-ES_tradnl" w:eastAsia="zh-CN"/>
        </w:rPr>
        <w:t>Objetivos</w:t>
      </w:r>
    </w:p>
    <w:p w14:paraId="0D5254A8" w14:textId="77777777" w:rsidR="008A67D4" w:rsidRPr="008A67D4" w:rsidRDefault="008A67D4" w:rsidP="008A67D4">
      <w:pPr>
        <w:rPr>
          <w:noProof/>
          <w:color w:val="002060"/>
          <w:sz w:val="32"/>
          <w:szCs w:val="24"/>
          <w:lang w:val="es-ES_tradnl" w:eastAsia="zh-CN"/>
        </w:rPr>
      </w:pPr>
      <w:r w:rsidRPr="008A67D4">
        <w:rPr>
          <w:noProof/>
          <w:color w:val="002060"/>
          <w:sz w:val="32"/>
          <w:szCs w:val="24"/>
          <w:lang w:val="es-ES_tradnl" w:eastAsia="zh-CN"/>
        </w:rPr>
        <w:t>Anexos</w:t>
      </w:r>
    </w:p>
    <w:p w14:paraId="0E6D8758" w14:textId="6F2E98D8" w:rsidR="00D73162" w:rsidRDefault="00D73162">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69D064EB" w14:textId="56E207B5" w:rsidR="00D73162" w:rsidRPr="00585857" w:rsidRDefault="00D73162" w:rsidP="00D73162">
      <w:pPr>
        <w:pStyle w:val="Heading1"/>
        <w:rPr>
          <w:lang w:val="es-ES_tradnl"/>
        </w:rPr>
      </w:pPr>
      <w:bookmarkStart w:id="8" w:name="_Toc33632078"/>
      <w:bookmarkStart w:id="9" w:name="_Toc33632239"/>
      <w:r w:rsidRPr="00585857">
        <w:rPr>
          <w:lang w:val="es-ES_tradnl"/>
        </w:rPr>
        <w:lastRenderedPageBreak/>
        <w:t>Parte I – Síntesis</w:t>
      </w:r>
      <w:bookmarkEnd w:id="8"/>
      <w:bookmarkEnd w:id="9"/>
    </w:p>
    <w:p w14:paraId="3A27C0C0" w14:textId="35142289" w:rsidR="004D45B5" w:rsidRPr="00585857" w:rsidRDefault="004D45B5" w:rsidP="000B3896">
      <w:pPr>
        <w:pStyle w:val="TOC1"/>
        <w:tabs>
          <w:tab w:val="clear" w:pos="8647"/>
          <w:tab w:val="left" w:leader="dot" w:pos="8505"/>
        </w:tabs>
        <w:spacing w:before="720"/>
        <w:rPr>
          <w:rFonts w:eastAsiaTheme="minorEastAsia" w:cstheme="minorBidi"/>
          <w:noProof/>
          <w:sz w:val="22"/>
          <w:szCs w:val="22"/>
          <w:lang w:val="es-ES_tradnl"/>
        </w:rPr>
      </w:pPr>
      <w:r w:rsidRPr="00585857">
        <w:rPr>
          <w:lang w:val="es-ES_tradnl"/>
        </w:rPr>
        <w:fldChar w:fldCharType="begin"/>
      </w:r>
      <w:r w:rsidRPr="00585857">
        <w:rPr>
          <w:lang w:val="es-ES_tradnl"/>
        </w:rPr>
        <w:instrText xml:space="preserve"> TOC \o "1-2" \h \z \u </w:instrText>
      </w:r>
      <w:r w:rsidRPr="00585857">
        <w:rPr>
          <w:lang w:val="es-ES_tradnl"/>
        </w:rPr>
        <w:fldChar w:fldCharType="separate"/>
      </w:r>
      <w:hyperlink w:anchor="_Toc33632078" w:history="1">
        <w:r w:rsidRPr="00585857">
          <w:rPr>
            <w:rStyle w:val="Hyperlink"/>
            <w:noProof/>
            <w:lang w:val="es-ES_tradnl"/>
          </w:rPr>
          <w:t>I – Síntesis</w:t>
        </w:r>
        <w:r w:rsidRPr="00585857">
          <w:rPr>
            <w:noProof/>
            <w:webHidden/>
            <w:lang w:val="es-ES_tradnl"/>
          </w:rPr>
          <w:tab/>
        </w:r>
        <w:r w:rsidR="000B3896">
          <w:rPr>
            <w:noProof/>
            <w:webHidden/>
            <w:lang w:val="es-ES_tradnl"/>
          </w:rPr>
          <w:tab/>
        </w:r>
        <w:r w:rsidRPr="00585857">
          <w:rPr>
            <w:noProof/>
            <w:webHidden/>
            <w:lang w:val="es-ES_tradnl"/>
          </w:rPr>
          <w:fldChar w:fldCharType="begin"/>
        </w:r>
        <w:r w:rsidRPr="00585857">
          <w:rPr>
            <w:noProof/>
            <w:webHidden/>
            <w:lang w:val="es-ES_tradnl"/>
          </w:rPr>
          <w:instrText xml:space="preserve"> PAGEREF _Toc33632078 \h </w:instrText>
        </w:r>
        <w:r w:rsidRPr="00585857">
          <w:rPr>
            <w:noProof/>
            <w:webHidden/>
            <w:lang w:val="es-ES_tradnl"/>
          </w:rPr>
        </w:r>
        <w:r w:rsidRPr="00585857">
          <w:rPr>
            <w:noProof/>
            <w:webHidden/>
            <w:lang w:val="es-ES_tradnl"/>
          </w:rPr>
          <w:fldChar w:fldCharType="separate"/>
        </w:r>
        <w:r w:rsidR="00E2673A">
          <w:rPr>
            <w:noProof/>
            <w:webHidden/>
            <w:lang w:val="es-ES_tradnl"/>
          </w:rPr>
          <w:t>5</w:t>
        </w:r>
        <w:r w:rsidRPr="00585857">
          <w:rPr>
            <w:noProof/>
            <w:webHidden/>
            <w:lang w:val="es-ES_tradnl"/>
          </w:rPr>
          <w:fldChar w:fldCharType="end"/>
        </w:r>
      </w:hyperlink>
    </w:p>
    <w:p w14:paraId="221A4C8F" w14:textId="536D9784" w:rsidR="004D45B5" w:rsidRPr="00585857" w:rsidRDefault="0090342B" w:rsidP="003A7790">
      <w:pPr>
        <w:pStyle w:val="TOC2"/>
        <w:tabs>
          <w:tab w:val="clear" w:pos="8647"/>
          <w:tab w:val="left" w:leader="dot" w:pos="8505"/>
        </w:tabs>
        <w:ind w:left="1701"/>
        <w:rPr>
          <w:rFonts w:eastAsiaTheme="minorEastAsia" w:cstheme="minorBidi"/>
          <w:noProof/>
          <w:sz w:val="22"/>
          <w:szCs w:val="22"/>
          <w:lang w:val="es-ES_tradnl"/>
        </w:rPr>
      </w:pPr>
      <w:hyperlink w:anchor="_Toc33632079" w:history="1">
        <w:r w:rsidR="004D45B5" w:rsidRPr="00585857">
          <w:rPr>
            <w:rStyle w:val="Hyperlink"/>
            <w:noProof/>
            <w:lang w:val="es-ES_tradnl"/>
          </w:rPr>
          <w:t>I.1</w:t>
        </w:r>
        <w:r w:rsidR="004D45B5" w:rsidRPr="00585857">
          <w:rPr>
            <w:rFonts w:eastAsiaTheme="minorEastAsia" w:cstheme="minorBidi"/>
            <w:noProof/>
            <w:sz w:val="22"/>
            <w:szCs w:val="22"/>
            <w:lang w:val="es-ES_tradnl"/>
          </w:rPr>
          <w:tab/>
        </w:r>
        <w:r w:rsidR="004D45B5" w:rsidRPr="00585857">
          <w:rPr>
            <w:rStyle w:val="Hyperlink"/>
            <w:noProof/>
            <w:lang w:val="es-ES_tradnl"/>
          </w:rPr>
          <w:t>Prefacio del Secretario General</w:t>
        </w:r>
        <w:r w:rsidR="004D45B5" w:rsidRPr="00585857">
          <w:rPr>
            <w:noProof/>
            <w:webHidden/>
            <w:lang w:val="es-ES_tradnl"/>
          </w:rPr>
          <w:tab/>
        </w:r>
        <w:r w:rsidR="000B3896">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_Toc33632079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6</w:t>
        </w:r>
        <w:r w:rsidR="004D45B5" w:rsidRPr="00585857">
          <w:rPr>
            <w:noProof/>
            <w:webHidden/>
            <w:lang w:val="es-ES_tradnl"/>
          </w:rPr>
          <w:fldChar w:fldCharType="end"/>
        </w:r>
      </w:hyperlink>
    </w:p>
    <w:p w14:paraId="65F7D660" w14:textId="5F6F950E" w:rsidR="004D45B5" w:rsidRPr="00585857" w:rsidRDefault="0090342B" w:rsidP="003A7790">
      <w:pPr>
        <w:pStyle w:val="TOC2"/>
        <w:tabs>
          <w:tab w:val="clear" w:pos="8647"/>
          <w:tab w:val="left" w:leader="dot" w:pos="8505"/>
        </w:tabs>
        <w:ind w:left="1701"/>
        <w:rPr>
          <w:rFonts w:eastAsiaTheme="minorEastAsia" w:cstheme="minorBidi"/>
          <w:noProof/>
          <w:sz w:val="22"/>
          <w:szCs w:val="22"/>
          <w:lang w:val="es-ES_tradnl"/>
        </w:rPr>
      </w:pPr>
      <w:hyperlink w:anchor="_Toc33632080" w:history="1">
        <w:r w:rsidR="004D45B5" w:rsidRPr="00585857">
          <w:rPr>
            <w:rStyle w:val="Hyperlink"/>
            <w:noProof/>
            <w:lang w:val="es-ES_tradnl"/>
          </w:rPr>
          <w:t>I.2</w:t>
        </w:r>
        <w:r w:rsidR="004D45B5" w:rsidRPr="00585857">
          <w:rPr>
            <w:rFonts w:eastAsiaTheme="minorEastAsia" w:cstheme="minorBidi"/>
            <w:noProof/>
            <w:sz w:val="22"/>
            <w:szCs w:val="22"/>
            <w:lang w:val="es-ES_tradnl"/>
          </w:rPr>
          <w:tab/>
        </w:r>
        <w:r w:rsidR="00E55829">
          <w:rPr>
            <w:rStyle w:val="Hyperlink"/>
            <w:noProof/>
            <w:lang w:val="es-ES_tradnl"/>
          </w:rPr>
          <w:t>Descripción del Plan Operacional por Metas, Objetivos y Sector</w:t>
        </w:r>
        <w:r w:rsidR="004D45B5" w:rsidRPr="00585857">
          <w:rPr>
            <w:noProof/>
            <w:webHidden/>
            <w:lang w:val="es-ES_tradnl"/>
          </w:rPr>
          <w:tab/>
        </w:r>
        <w:r w:rsidR="000B3896">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_Toc33632080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7</w:t>
        </w:r>
        <w:r w:rsidR="004D45B5" w:rsidRPr="00585857">
          <w:rPr>
            <w:noProof/>
            <w:webHidden/>
            <w:lang w:val="es-ES_tradnl"/>
          </w:rPr>
          <w:fldChar w:fldCharType="end"/>
        </w:r>
      </w:hyperlink>
    </w:p>
    <w:p w14:paraId="6FE80534" w14:textId="25ED1151" w:rsidR="004D45B5" w:rsidRPr="00E934B6" w:rsidRDefault="0090342B" w:rsidP="003A7790">
      <w:pPr>
        <w:pStyle w:val="TOC2"/>
        <w:tabs>
          <w:tab w:val="clear" w:pos="8647"/>
          <w:tab w:val="left" w:leader="dot" w:pos="8505"/>
        </w:tabs>
        <w:ind w:left="1701"/>
        <w:rPr>
          <w:rFonts w:eastAsiaTheme="minorEastAsia" w:cstheme="minorBidi"/>
          <w:noProof/>
          <w:szCs w:val="24"/>
          <w:lang w:val="es-ES_tradnl"/>
        </w:rPr>
      </w:pPr>
      <w:hyperlink w:anchor="_Toc33632081" w:history="1">
        <w:r w:rsidR="004D45B5" w:rsidRPr="00E934B6">
          <w:rPr>
            <w:rStyle w:val="Hyperlink"/>
            <w:noProof/>
            <w:szCs w:val="24"/>
            <w:lang w:val="es-ES_tradnl"/>
          </w:rPr>
          <w:t>I.3</w:t>
        </w:r>
        <w:r w:rsidR="004D45B5" w:rsidRPr="00E934B6">
          <w:rPr>
            <w:rFonts w:eastAsiaTheme="minorEastAsia" w:cstheme="minorBidi"/>
            <w:noProof/>
            <w:szCs w:val="24"/>
            <w:lang w:val="es-ES_tradnl"/>
          </w:rPr>
          <w:tab/>
        </w:r>
        <w:r w:rsidR="00E55829" w:rsidRPr="00E934B6">
          <w:rPr>
            <w:rFonts w:eastAsiaTheme="minorEastAsia" w:cstheme="minorBidi"/>
            <w:noProof/>
            <w:szCs w:val="24"/>
            <w:lang w:val="es-ES_tradnl"/>
          </w:rPr>
          <w:t>Descripción del Plan Operacional por ODS</w:t>
        </w:r>
        <w:r w:rsidR="004D45B5" w:rsidRPr="00E934B6">
          <w:rPr>
            <w:noProof/>
            <w:webHidden/>
            <w:szCs w:val="24"/>
            <w:lang w:val="es-ES_tradnl"/>
          </w:rPr>
          <w:tab/>
        </w:r>
        <w:r w:rsidR="000B3896">
          <w:rPr>
            <w:noProof/>
            <w:webHidden/>
            <w:szCs w:val="24"/>
            <w:lang w:val="es-ES_tradnl"/>
          </w:rPr>
          <w:tab/>
        </w:r>
        <w:r w:rsidR="004D45B5" w:rsidRPr="00E934B6">
          <w:rPr>
            <w:noProof/>
            <w:webHidden/>
            <w:szCs w:val="24"/>
            <w:lang w:val="es-ES_tradnl"/>
          </w:rPr>
          <w:fldChar w:fldCharType="begin"/>
        </w:r>
        <w:r w:rsidR="004D45B5" w:rsidRPr="00E934B6">
          <w:rPr>
            <w:noProof/>
            <w:webHidden/>
            <w:szCs w:val="24"/>
            <w:lang w:val="es-ES_tradnl"/>
          </w:rPr>
          <w:instrText xml:space="preserve"> PAGEREF _Toc33632081 \h </w:instrText>
        </w:r>
        <w:r w:rsidR="004D45B5" w:rsidRPr="00E934B6">
          <w:rPr>
            <w:noProof/>
            <w:webHidden/>
            <w:szCs w:val="24"/>
            <w:lang w:val="es-ES_tradnl"/>
          </w:rPr>
        </w:r>
        <w:r w:rsidR="004D45B5" w:rsidRPr="00E934B6">
          <w:rPr>
            <w:noProof/>
            <w:webHidden/>
            <w:szCs w:val="24"/>
            <w:lang w:val="es-ES_tradnl"/>
          </w:rPr>
          <w:fldChar w:fldCharType="separate"/>
        </w:r>
        <w:r w:rsidR="00E2673A">
          <w:rPr>
            <w:noProof/>
            <w:webHidden/>
            <w:szCs w:val="24"/>
            <w:lang w:val="es-ES_tradnl"/>
          </w:rPr>
          <w:t>11</w:t>
        </w:r>
        <w:r w:rsidR="004D45B5" w:rsidRPr="00E934B6">
          <w:rPr>
            <w:noProof/>
            <w:webHidden/>
            <w:szCs w:val="24"/>
            <w:lang w:val="es-ES_tradnl"/>
          </w:rPr>
          <w:fldChar w:fldCharType="end"/>
        </w:r>
      </w:hyperlink>
    </w:p>
    <w:p w14:paraId="331C7E0C" w14:textId="23CD0B5C" w:rsidR="004D45B5" w:rsidRPr="00E934B6" w:rsidRDefault="0090342B" w:rsidP="003A7790">
      <w:pPr>
        <w:pStyle w:val="TOC2"/>
        <w:tabs>
          <w:tab w:val="clear" w:pos="8647"/>
          <w:tab w:val="left" w:leader="dot" w:pos="8505"/>
        </w:tabs>
        <w:ind w:left="1701"/>
        <w:rPr>
          <w:rFonts w:eastAsiaTheme="minorEastAsia" w:cstheme="minorBidi"/>
          <w:noProof/>
          <w:szCs w:val="24"/>
          <w:lang w:val="es-ES_tradnl"/>
        </w:rPr>
      </w:pPr>
      <w:hyperlink w:anchor="_Toc33632082" w:history="1">
        <w:r w:rsidR="004D45B5" w:rsidRPr="00E934B6">
          <w:rPr>
            <w:rStyle w:val="Hyperlink"/>
            <w:noProof/>
            <w:szCs w:val="24"/>
            <w:lang w:val="es-ES_tradnl"/>
          </w:rPr>
          <w:t>I.4</w:t>
        </w:r>
        <w:r w:rsidR="004D45B5" w:rsidRPr="00E934B6">
          <w:rPr>
            <w:rFonts w:eastAsiaTheme="minorEastAsia" w:cstheme="minorBidi"/>
            <w:noProof/>
            <w:szCs w:val="24"/>
            <w:lang w:val="es-ES_tradnl"/>
          </w:rPr>
          <w:tab/>
        </w:r>
        <w:r w:rsidR="00E55829" w:rsidRPr="00E934B6">
          <w:rPr>
            <w:rFonts w:eastAsiaTheme="minorEastAsia" w:cstheme="minorBidi"/>
            <w:noProof/>
            <w:szCs w:val="24"/>
            <w:lang w:val="es-ES_tradnl"/>
          </w:rPr>
          <w:t>Estructura del documento</w:t>
        </w:r>
        <w:r w:rsidR="004D45B5" w:rsidRPr="00E934B6">
          <w:rPr>
            <w:noProof/>
            <w:webHidden/>
            <w:szCs w:val="24"/>
            <w:lang w:val="es-ES_tradnl"/>
          </w:rPr>
          <w:tab/>
        </w:r>
        <w:r w:rsidR="000B3896">
          <w:rPr>
            <w:noProof/>
            <w:webHidden/>
            <w:szCs w:val="24"/>
            <w:lang w:val="es-ES_tradnl"/>
          </w:rPr>
          <w:tab/>
        </w:r>
        <w:r w:rsidR="004D45B5" w:rsidRPr="00E934B6">
          <w:rPr>
            <w:noProof/>
            <w:webHidden/>
            <w:szCs w:val="24"/>
            <w:lang w:val="es-ES_tradnl"/>
          </w:rPr>
          <w:fldChar w:fldCharType="begin"/>
        </w:r>
        <w:r w:rsidR="004D45B5" w:rsidRPr="00E934B6">
          <w:rPr>
            <w:noProof/>
            <w:webHidden/>
            <w:szCs w:val="24"/>
            <w:lang w:val="es-ES_tradnl"/>
          </w:rPr>
          <w:instrText xml:space="preserve"> PAGEREF _Toc33632082 \h </w:instrText>
        </w:r>
        <w:r w:rsidR="004D45B5" w:rsidRPr="00E934B6">
          <w:rPr>
            <w:noProof/>
            <w:webHidden/>
            <w:szCs w:val="24"/>
            <w:lang w:val="es-ES_tradnl"/>
          </w:rPr>
        </w:r>
        <w:r w:rsidR="004D45B5" w:rsidRPr="00E934B6">
          <w:rPr>
            <w:noProof/>
            <w:webHidden/>
            <w:szCs w:val="24"/>
            <w:lang w:val="es-ES_tradnl"/>
          </w:rPr>
          <w:fldChar w:fldCharType="separate"/>
        </w:r>
        <w:r w:rsidR="00E2673A">
          <w:rPr>
            <w:noProof/>
            <w:webHidden/>
            <w:szCs w:val="24"/>
            <w:lang w:val="es-ES_tradnl"/>
          </w:rPr>
          <w:t>11</w:t>
        </w:r>
        <w:r w:rsidR="004D45B5" w:rsidRPr="00E934B6">
          <w:rPr>
            <w:noProof/>
            <w:webHidden/>
            <w:szCs w:val="24"/>
            <w:lang w:val="es-ES_tradnl"/>
          </w:rPr>
          <w:fldChar w:fldCharType="end"/>
        </w:r>
      </w:hyperlink>
    </w:p>
    <w:p w14:paraId="5945656F" w14:textId="24063D37" w:rsidR="002641AC" w:rsidRDefault="004D45B5" w:rsidP="002641AC">
      <w:pPr>
        <w:rPr>
          <w:lang w:val="es-ES_tradnl"/>
        </w:rPr>
      </w:pPr>
      <w:r w:rsidRPr="00585857">
        <w:rPr>
          <w:lang w:val="es-ES_tradnl"/>
        </w:rPr>
        <w:fldChar w:fldCharType="end"/>
      </w:r>
      <w:r w:rsidR="002641AC">
        <w:rPr>
          <w:lang w:val="es-ES_tradnl"/>
        </w:rPr>
        <w:br w:type="page"/>
      </w:r>
    </w:p>
    <w:p w14:paraId="111F6559" w14:textId="328AAE5B" w:rsidR="00823414" w:rsidRPr="00585857" w:rsidRDefault="00C16FC1" w:rsidP="00F04E0C">
      <w:pPr>
        <w:pStyle w:val="Heading2"/>
        <w:rPr>
          <w:lang w:val="es-ES_tradnl"/>
        </w:rPr>
      </w:pPr>
      <w:bookmarkStart w:id="10" w:name="_Toc33632079"/>
      <w:bookmarkStart w:id="11" w:name="_Toc33632240"/>
      <w:r w:rsidRPr="00585857">
        <w:rPr>
          <w:lang w:val="es-ES_tradnl"/>
        </w:rPr>
        <w:lastRenderedPageBreak/>
        <w:t>I.1</w:t>
      </w:r>
      <w:r w:rsidR="003C6268" w:rsidRPr="00585857">
        <w:rPr>
          <w:lang w:val="es-ES_tradnl"/>
        </w:rPr>
        <w:tab/>
      </w:r>
      <w:r w:rsidR="00805497" w:rsidRPr="00585857">
        <w:rPr>
          <w:lang w:val="es-ES_tradnl"/>
        </w:rPr>
        <w:t>Prefacio del Secretario General</w:t>
      </w:r>
      <w:bookmarkEnd w:id="10"/>
      <w:bookmarkEnd w:id="11"/>
    </w:p>
    <w:p w14:paraId="36B403FE" w14:textId="64F55EFF" w:rsidR="00C16FC1" w:rsidRPr="00585857" w:rsidRDefault="00C16FC1" w:rsidP="002641AC">
      <w:pPr>
        <w:rPr>
          <w:bCs/>
          <w:lang w:val="es-ES_tradnl"/>
        </w:rPr>
      </w:pPr>
      <w:bookmarkStart w:id="12" w:name="lt_pId028"/>
      <w:r w:rsidRPr="00585857">
        <w:rPr>
          <w:lang w:val="es-ES_tradnl"/>
        </w:rPr>
        <w:t>I.1.1</w:t>
      </w:r>
      <w:bookmarkEnd w:id="12"/>
      <w:r w:rsidRPr="00585857">
        <w:rPr>
          <w:lang w:val="es-ES_tradnl"/>
        </w:rPr>
        <w:tab/>
      </w:r>
      <w:bookmarkStart w:id="13" w:name="lt_pId029"/>
      <w:r w:rsidR="00765B2B">
        <w:rPr>
          <w:lang w:val="es-ES_tradnl"/>
        </w:rPr>
        <w:t xml:space="preserve">Me enorgullece presentar el Plan Operacional de la Unión para </w:t>
      </w:r>
      <w:r w:rsidRPr="00585857">
        <w:rPr>
          <w:lang w:val="es-ES_tradnl"/>
        </w:rPr>
        <w:t xml:space="preserve">2021-2024 </w:t>
      </w:r>
      <w:r w:rsidR="00765B2B">
        <w:rPr>
          <w:lang w:val="es-ES_tradnl"/>
        </w:rPr>
        <w:t xml:space="preserve">como primer verdadero Plan Operacional para </w:t>
      </w:r>
      <w:r w:rsidR="00BC6E46">
        <w:rPr>
          <w:lang w:val="es-ES_tradnl"/>
        </w:rPr>
        <w:t>"</w:t>
      </w:r>
      <w:r w:rsidR="00765B2B">
        <w:rPr>
          <w:lang w:val="es-ES_tradnl"/>
        </w:rPr>
        <w:t>Una UIT</w:t>
      </w:r>
      <w:r w:rsidR="00BC6E46">
        <w:rPr>
          <w:lang w:val="es-ES_tradnl"/>
        </w:rPr>
        <w:t>"</w:t>
      </w:r>
      <w:r w:rsidR="00765B2B">
        <w:rPr>
          <w:lang w:val="es-ES_tradnl"/>
        </w:rPr>
        <w:t xml:space="preserve">. </w:t>
      </w:r>
      <w:bookmarkStart w:id="14" w:name="lt_pId030"/>
      <w:bookmarkEnd w:id="13"/>
      <w:r w:rsidRPr="00585857">
        <w:rPr>
          <w:lang w:val="es-ES_tradnl"/>
        </w:rPr>
        <w:t xml:space="preserve">Elaborado plenamente armonizado con el nuevo Plan Estratégico de la UIT para 2020-2023, adoptado por la PP-18 (Anexo 1 a la Resolución 71), </w:t>
      </w:r>
      <w:r w:rsidR="00765B2B">
        <w:rPr>
          <w:lang w:val="es-ES_tradnl"/>
        </w:rPr>
        <w:t>sigue la estructura del Plan Estratégico, del Plan Financiero y del Presupuesto.</w:t>
      </w:r>
      <w:bookmarkEnd w:id="14"/>
    </w:p>
    <w:p w14:paraId="330A065C" w14:textId="598C1942" w:rsidR="00C16FC1" w:rsidRPr="00585857" w:rsidRDefault="00C16FC1" w:rsidP="00C16FC1">
      <w:pPr>
        <w:rPr>
          <w:lang w:val="es-ES_tradnl"/>
        </w:rPr>
      </w:pPr>
      <w:bookmarkStart w:id="15" w:name="lt_pId031"/>
      <w:r w:rsidRPr="00585857">
        <w:rPr>
          <w:lang w:val="es-ES_tradnl"/>
        </w:rPr>
        <w:t>I.1.2</w:t>
      </w:r>
      <w:bookmarkEnd w:id="15"/>
      <w:r w:rsidRPr="00585857">
        <w:rPr>
          <w:lang w:val="es-ES_tradnl"/>
        </w:rPr>
        <w:tab/>
      </w:r>
      <w:bookmarkStart w:id="16" w:name="lt_pId032"/>
      <w:r w:rsidR="00765B2B">
        <w:rPr>
          <w:lang w:val="es-ES_tradnl"/>
        </w:rPr>
        <w:t xml:space="preserve">Mientras que el Plan Estratégico, el Plan Financiero y el Presupuesto ya eran instrumentos consolidados de la UIT, los Planes Operacionales se mantenían centrados en los Sectores </w:t>
      </w:r>
      <w:r w:rsidR="00765B2B" w:rsidRPr="00765B2B">
        <w:rPr>
          <w:lang w:val="es-ES_tradnl"/>
        </w:rPr>
        <w:t>y daban a entender, desde la perspectiva general de la UIT, que estos instrumentos principales eran inspiradores</w:t>
      </w:r>
      <w:r w:rsidR="00765B2B">
        <w:rPr>
          <w:lang w:val="es-ES_tradnl"/>
        </w:rPr>
        <w:t>.</w:t>
      </w:r>
      <w:r w:rsidR="00765B2B" w:rsidRPr="00765B2B">
        <w:rPr>
          <w:lang w:val="es-ES_tradnl"/>
        </w:rPr>
        <w:t xml:space="preserve"> </w:t>
      </w:r>
      <w:bookmarkEnd w:id="16"/>
    </w:p>
    <w:p w14:paraId="22A2BE28" w14:textId="22FB85AE" w:rsidR="00C16FC1" w:rsidRPr="00585857" w:rsidRDefault="00C16FC1" w:rsidP="00C16FC1">
      <w:pPr>
        <w:rPr>
          <w:lang w:val="es-ES_tradnl"/>
        </w:rPr>
      </w:pPr>
      <w:bookmarkStart w:id="17" w:name="lt_pId033"/>
      <w:r w:rsidRPr="00585857">
        <w:rPr>
          <w:lang w:val="es-ES_tradnl"/>
        </w:rPr>
        <w:t>I.1.3</w:t>
      </w:r>
      <w:bookmarkEnd w:id="17"/>
      <w:r w:rsidRPr="00585857">
        <w:rPr>
          <w:lang w:val="es-ES_tradnl"/>
        </w:rPr>
        <w:tab/>
      </w:r>
      <w:r w:rsidR="00DC7E49" w:rsidRPr="00585857">
        <w:rPr>
          <w:lang w:val="es-ES_tradnl"/>
        </w:rPr>
        <w:t xml:space="preserve">Esta nueva herramienta ofrece la posibilidad de mejorar el rendimiento a través de la correcta vinculación de la información y los recursos a </w:t>
      </w:r>
      <w:r w:rsidR="00E2673A">
        <w:rPr>
          <w:lang w:val="es-ES_tradnl"/>
        </w:rPr>
        <w:t xml:space="preserve">las Metas, </w:t>
      </w:r>
      <w:r w:rsidR="00DC7E49" w:rsidRPr="00585857">
        <w:rPr>
          <w:lang w:val="es-ES_tradnl"/>
        </w:rPr>
        <w:t xml:space="preserve">los </w:t>
      </w:r>
      <w:r w:rsidR="00E2673A">
        <w:rPr>
          <w:lang w:val="es-ES_tradnl"/>
        </w:rPr>
        <w:t>O</w:t>
      </w:r>
      <w:r w:rsidR="00DC7E49" w:rsidRPr="00585857">
        <w:rPr>
          <w:lang w:val="es-ES_tradnl"/>
        </w:rPr>
        <w:t xml:space="preserve">bjetivos </w:t>
      </w:r>
      <w:r w:rsidR="00E2673A">
        <w:rPr>
          <w:lang w:val="es-ES_tradnl"/>
        </w:rPr>
        <w:t>y los Productos</w:t>
      </w:r>
      <w:r w:rsidR="00E2673A" w:rsidRPr="00585857">
        <w:rPr>
          <w:lang w:val="es-ES_tradnl"/>
        </w:rPr>
        <w:t xml:space="preserve"> </w:t>
      </w:r>
      <w:r w:rsidR="00DC7E49" w:rsidRPr="00585857">
        <w:rPr>
          <w:lang w:val="es-ES_tradnl"/>
        </w:rPr>
        <w:t>estratégicos. Ayuda a adaptar las estrategias a los planes operacionales, realizar una supervisión activa de las operaciones diarias, y mejorar la colaboración en el seno de la Unión.</w:t>
      </w:r>
    </w:p>
    <w:p w14:paraId="5402D75C" w14:textId="1DFF378E" w:rsidR="00C16FC1" w:rsidRPr="00585857" w:rsidRDefault="00C16FC1" w:rsidP="00C16FC1">
      <w:pPr>
        <w:rPr>
          <w:lang w:val="es-ES_tradnl"/>
        </w:rPr>
      </w:pPr>
      <w:bookmarkStart w:id="18" w:name="lt_pId036"/>
      <w:r w:rsidRPr="00585857">
        <w:rPr>
          <w:lang w:val="es-ES_tradnl"/>
        </w:rPr>
        <w:t>I.1.4</w:t>
      </w:r>
      <w:bookmarkEnd w:id="18"/>
      <w:r w:rsidRPr="00585857">
        <w:rPr>
          <w:lang w:val="es-ES_tradnl"/>
        </w:rPr>
        <w:tab/>
      </w:r>
      <w:r w:rsidR="00765B2B">
        <w:rPr>
          <w:lang w:val="es-ES_tradnl"/>
        </w:rPr>
        <w:t xml:space="preserve">Este plan establece los detalles de la </w:t>
      </w:r>
      <w:r w:rsidR="00DA3E0E">
        <w:rPr>
          <w:lang w:val="es-ES_tradnl"/>
        </w:rPr>
        <w:t>atribución</w:t>
      </w:r>
      <w:r w:rsidR="00765B2B">
        <w:rPr>
          <w:lang w:val="es-ES_tradnl"/>
        </w:rPr>
        <w:t xml:space="preserve"> de recursos a </w:t>
      </w:r>
      <w:r w:rsidR="00DA3E0E">
        <w:rPr>
          <w:lang w:val="es-ES_tradnl"/>
        </w:rPr>
        <w:t>l</w:t>
      </w:r>
      <w:r w:rsidR="00765B2B">
        <w:rPr>
          <w:lang w:val="es-ES_tradnl"/>
        </w:rPr>
        <w:t>os 17 ODS.</w:t>
      </w:r>
    </w:p>
    <w:p w14:paraId="0C0CC635" w14:textId="241B9CFE" w:rsidR="00C16FC1" w:rsidRPr="00585857" w:rsidRDefault="00C16FC1" w:rsidP="00C16FC1">
      <w:pPr>
        <w:rPr>
          <w:lang w:val="es-ES_tradnl"/>
        </w:rPr>
      </w:pPr>
      <w:bookmarkStart w:id="19" w:name="lt_pId038"/>
      <w:r w:rsidRPr="00585857">
        <w:rPr>
          <w:lang w:val="es-ES_tradnl"/>
        </w:rPr>
        <w:t>I.1.5</w:t>
      </w:r>
      <w:bookmarkEnd w:id="19"/>
      <w:r w:rsidRPr="00585857">
        <w:rPr>
          <w:lang w:val="es-ES_tradnl"/>
        </w:rPr>
        <w:tab/>
      </w:r>
      <w:bookmarkStart w:id="20" w:name="lt_pId039"/>
      <w:r w:rsidR="00DA3E0E">
        <w:rPr>
          <w:lang w:val="es-ES_tradnl"/>
        </w:rPr>
        <w:t>El Plan Operacional para</w:t>
      </w:r>
      <w:r w:rsidRPr="00585857">
        <w:rPr>
          <w:lang w:val="es-ES_tradnl"/>
        </w:rPr>
        <w:t xml:space="preserve"> 2021-2024 </w:t>
      </w:r>
      <w:r w:rsidR="00DA3E0E">
        <w:rPr>
          <w:lang w:val="es-ES_tradnl"/>
        </w:rPr>
        <w:t>incluye el informe de implementación para el ejercicio de 2019.</w:t>
      </w:r>
      <w:bookmarkEnd w:id="20"/>
    </w:p>
    <w:p w14:paraId="611C944D" w14:textId="01AD09D0" w:rsidR="00C16FC1" w:rsidRPr="00585857" w:rsidRDefault="00C16FC1" w:rsidP="00C3328F">
      <w:pPr>
        <w:ind w:right="-369"/>
        <w:rPr>
          <w:lang w:val="es-ES_tradnl"/>
        </w:rPr>
      </w:pPr>
      <w:bookmarkStart w:id="21" w:name="lt_pId040"/>
      <w:r w:rsidRPr="00585857">
        <w:rPr>
          <w:lang w:val="es-ES_tradnl"/>
        </w:rPr>
        <w:t>I.1.5</w:t>
      </w:r>
      <w:bookmarkEnd w:id="21"/>
      <w:r w:rsidRPr="00585857">
        <w:rPr>
          <w:lang w:val="es-ES_tradnl"/>
        </w:rPr>
        <w:tab/>
      </w:r>
      <w:bookmarkStart w:id="22" w:name="lt_pId041"/>
      <w:r w:rsidR="00DA3E0E" w:rsidRPr="00DA3E0E">
        <w:rPr>
          <w:lang w:val="es-ES_tradnl"/>
        </w:rPr>
        <w:t xml:space="preserve">Teniendo en cuenta el limitado nivel de recursos con </w:t>
      </w:r>
      <w:r w:rsidR="00DA3E0E">
        <w:rPr>
          <w:lang w:val="es-ES_tradnl"/>
        </w:rPr>
        <w:t>el</w:t>
      </w:r>
      <w:r w:rsidR="00DA3E0E" w:rsidRPr="00DA3E0E">
        <w:rPr>
          <w:lang w:val="es-ES_tradnl"/>
        </w:rPr>
        <w:t xml:space="preserve"> que opera la Unión, tengo plena confianza en que, ahora y en el futuro, los Estados Miembros, los Miembros de Sector, los Asociados y la</w:t>
      </w:r>
      <w:r w:rsidR="00DA3E0E">
        <w:rPr>
          <w:lang w:val="es-ES_tradnl"/>
        </w:rPr>
        <w:t xml:space="preserve">s </w:t>
      </w:r>
      <w:r w:rsidR="003451A7">
        <w:rPr>
          <w:lang w:val="es-ES_tradnl"/>
        </w:rPr>
        <w:t>Instituciones Académicas</w:t>
      </w:r>
      <w:r w:rsidR="003451A7" w:rsidRPr="00DA3E0E">
        <w:rPr>
          <w:lang w:val="es-ES_tradnl"/>
        </w:rPr>
        <w:t xml:space="preserve"> </w:t>
      </w:r>
      <w:r w:rsidR="00DA3E0E">
        <w:rPr>
          <w:lang w:val="es-ES_tradnl"/>
        </w:rPr>
        <w:t>facilit</w:t>
      </w:r>
      <w:r w:rsidR="00DA3E0E" w:rsidRPr="00DA3E0E">
        <w:rPr>
          <w:lang w:val="es-ES_tradnl"/>
        </w:rPr>
        <w:t xml:space="preserve">arán a la UIT los medios y el apoyo necesarios para </w:t>
      </w:r>
      <w:r w:rsidR="00DA3E0E">
        <w:rPr>
          <w:lang w:val="es-ES_tradnl"/>
        </w:rPr>
        <w:t xml:space="preserve">que pueda </w:t>
      </w:r>
      <w:r w:rsidR="00DA3E0E" w:rsidRPr="00DA3E0E">
        <w:rPr>
          <w:lang w:val="es-ES_tradnl"/>
        </w:rPr>
        <w:t>cumplir plenamente sus compromisos.</w:t>
      </w:r>
      <w:bookmarkEnd w:id="22"/>
    </w:p>
    <w:p w14:paraId="20723EE4" w14:textId="4E745D40" w:rsidR="00C16FC1" w:rsidRPr="00585857" w:rsidRDefault="00C16FC1" w:rsidP="00DC7E49">
      <w:pPr>
        <w:keepNext/>
        <w:keepLines/>
        <w:rPr>
          <w:lang w:val="es-ES_tradnl"/>
        </w:rPr>
      </w:pPr>
      <w:bookmarkStart w:id="23" w:name="lt_pId042"/>
      <w:r w:rsidRPr="00585857">
        <w:rPr>
          <w:lang w:val="es-ES_tradnl"/>
        </w:rPr>
        <w:t>I.1.7</w:t>
      </w:r>
      <w:bookmarkEnd w:id="23"/>
      <w:r w:rsidRPr="00585857">
        <w:rPr>
          <w:lang w:val="es-ES_tradnl"/>
        </w:rPr>
        <w:tab/>
      </w:r>
      <w:bookmarkStart w:id="24" w:name="lt_pId043"/>
      <w:r w:rsidR="00DA3E0E" w:rsidRPr="00DA3E0E">
        <w:rPr>
          <w:lang w:val="es-ES_tradnl"/>
        </w:rPr>
        <w:t>Por consiguiente, tengo el honor de presentar el proyecto de Plan Operacional de la UIT para 2021-2024 a cada uno de los Grupos Asesores</w:t>
      </w:r>
      <w:r w:rsidR="00DA3E0E">
        <w:rPr>
          <w:lang w:val="es-ES_tradnl"/>
        </w:rPr>
        <w:t>,</w:t>
      </w:r>
      <w:r w:rsidR="00DA3E0E" w:rsidRPr="00DA3E0E">
        <w:rPr>
          <w:lang w:val="es-ES_tradnl"/>
        </w:rPr>
        <w:t xml:space="preserve"> para su asesoramiento</w:t>
      </w:r>
      <w:r w:rsidR="00DA3E0E">
        <w:rPr>
          <w:lang w:val="es-ES_tradnl"/>
        </w:rPr>
        <w:t>,</w:t>
      </w:r>
      <w:r w:rsidR="00DA3E0E" w:rsidRPr="00DA3E0E">
        <w:rPr>
          <w:lang w:val="es-ES_tradnl"/>
        </w:rPr>
        <w:t xml:space="preserve"> y posteriormente al Consejo</w:t>
      </w:r>
      <w:r w:rsidR="00DA3E0E">
        <w:rPr>
          <w:lang w:val="es-ES_tradnl"/>
        </w:rPr>
        <w:t>,</w:t>
      </w:r>
      <w:r w:rsidR="00DA3E0E" w:rsidRPr="00DA3E0E">
        <w:rPr>
          <w:lang w:val="es-ES_tradnl"/>
        </w:rPr>
        <w:t xml:space="preserve"> para su examen y aprobación. El proyecto de </w:t>
      </w:r>
      <w:r w:rsidR="00DA3E0E">
        <w:rPr>
          <w:lang w:val="es-ES_tradnl"/>
        </w:rPr>
        <w:t>R</w:t>
      </w:r>
      <w:r w:rsidR="00DA3E0E" w:rsidRPr="00DA3E0E">
        <w:rPr>
          <w:lang w:val="es-ES_tradnl"/>
        </w:rPr>
        <w:t xml:space="preserve">esolución se presenta en el </w:t>
      </w:r>
      <w:r w:rsidR="008A67D4" w:rsidRPr="00DA3E0E">
        <w:rPr>
          <w:lang w:val="es-ES_tradnl"/>
        </w:rPr>
        <w:t>Documento</w:t>
      </w:r>
      <w:r w:rsidR="008A67D4">
        <w:rPr>
          <w:lang w:val="es-ES_tradnl"/>
        </w:rPr>
        <w:t> </w:t>
      </w:r>
      <w:r w:rsidR="00DA3E0E" w:rsidRPr="00DA3E0E">
        <w:rPr>
          <w:lang w:val="es-ES_tradnl"/>
        </w:rPr>
        <w:t>C20/XX.</w:t>
      </w:r>
      <w:bookmarkEnd w:id="24"/>
    </w:p>
    <w:p w14:paraId="3F00E808" w14:textId="0CD62699" w:rsidR="00C16FC1" w:rsidRDefault="00C16FC1" w:rsidP="00350F9E">
      <w:pPr>
        <w:spacing w:before="600"/>
        <w:rPr>
          <w:lang w:val="es-ES_tradnl"/>
        </w:rPr>
      </w:pPr>
      <w:bookmarkStart w:id="25" w:name="lt_pId045"/>
      <w:r w:rsidRPr="00585857">
        <w:rPr>
          <w:lang w:val="es-ES_tradnl"/>
        </w:rPr>
        <w:t>Houlin Zhao</w:t>
      </w:r>
      <w:bookmarkStart w:id="26" w:name="lt_pId046"/>
      <w:bookmarkEnd w:id="25"/>
      <w:r w:rsidR="00DC7E49" w:rsidRPr="00585857">
        <w:rPr>
          <w:lang w:val="es-ES_tradnl"/>
        </w:rPr>
        <w:br/>
      </w:r>
      <w:bookmarkEnd w:id="26"/>
      <w:r w:rsidR="00C3328F">
        <w:rPr>
          <w:lang w:val="es-ES_tradnl"/>
        </w:rPr>
        <w:t>Secretario General</w:t>
      </w:r>
    </w:p>
    <w:p w14:paraId="6351E5EE" w14:textId="77777777" w:rsidR="00BC6E46" w:rsidRDefault="00BC6E46" w:rsidP="00C16FC1">
      <w:pPr>
        <w:rPr>
          <w:lang w:val="es-ES_tradnl"/>
        </w:rPr>
      </w:pPr>
    </w:p>
    <w:p w14:paraId="670E9D29" w14:textId="1AFFD317" w:rsidR="002641AC" w:rsidRPr="00585857" w:rsidRDefault="002641AC" w:rsidP="00C3328F">
      <w:pPr>
        <w:rPr>
          <w:lang w:val="es-ES_tradnl"/>
        </w:rPr>
        <w:sectPr w:rsidR="002641AC" w:rsidRPr="00585857" w:rsidSect="008A67D4">
          <w:headerReference w:type="default" r:id="rId9"/>
          <w:footerReference w:type="default" r:id="rId10"/>
          <w:footerReference w:type="first" r:id="rId11"/>
          <w:pgSz w:w="11907" w:h="16840" w:code="9"/>
          <w:pgMar w:top="1418" w:right="1134" w:bottom="1418" w:left="1134" w:header="567" w:footer="567" w:gutter="0"/>
          <w:cols w:space="284"/>
          <w:titlePg/>
          <w:docGrid w:linePitch="326"/>
        </w:sectPr>
      </w:pPr>
    </w:p>
    <w:p w14:paraId="020B803F" w14:textId="05227205" w:rsidR="00DC7E49" w:rsidRPr="00585857" w:rsidRDefault="00DC7E49" w:rsidP="00F04E0C">
      <w:pPr>
        <w:pStyle w:val="Heading2"/>
        <w:rPr>
          <w:lang w:val="es-ES_tradnl"/>
        </w:rPr>
      </w:pPr>
      <w:bookmarkStart w:id="30" w:name="lt_pId049"/>
      <w:bookmarkStart w:id="31" w:name="_Toc33632080"/>
      <w:bookmarkStart w:id="32" w:name="_Toc33632241"/>
      <w:r w:rsidRPr="00585857">
        <w:rPr>
          <w:lang w:val="es-ES_tradnl"/>
        </w:rPr>
        <w:lastRenderedPageBreak/>
        <w:t>I.2</w:t>
      </w:r>
      <w:bookmarkEnd w:id="30"/>
      <w:r w:rsidRPr="00585857">
        <w:rPr>
          <w:lang w:val="es-ES_tradnl"/>
        </w:rPr>
        <w:tab/>
      </w:r>
      <w:bookmarkStart w:id="33" w:name="lt_pId050"/>
      <w:r w:rsidR="00DA3E0E">
        <w:rPr>
          <w:lang w:val="es-ES_tradnl"/>
        </w:rPr>
        <w:t>Descripción del Plan Operacional por Metas, Objetivos y Sector</w:t>
      </w:r>
      <w:bookmarkEnd w:id="31"/>
      <w:bookmarkEnd w:id="32"/>
      <w:bookmarkEnd w:id="33"/>
    </w:p>
    <w:p w14:paraId="50D7DA0F" w14:textId="6ABEDA65" w:rsidR="00DC7E49" w:rsidRPr="00585857" w:rsidRDefault="00DC7E49" w:rsidP="00DC7E49">
      <w:pPr>
        <w:rPr>
          <w:lang w:val="es-ES_tradnl"/>
        </w:rPr>
      </w:pPr>
      <w:bookmarkStart w:id="34" w:name="lt_pId051"/>
      <w:r w:rsidRPr="00585857">
        <w:rPr>
          <w:lang w:val="es-ES_tradnl"/>
        </w:rPr>
        <w:t>I.2.1</w:t>
      </w:r>
      <w:bookmarkEnd w:id="34"/>
      <w:r w:rsidRPr="00585857">
        <w:rPr>
          <w:lang w:val="es-ES_tradnl"/>
        </w:rPr>
        <w:tab/>
      </w:r>
      <w:bookmarkStart w:id="35" w:name="lt_pId052"/>
      <w:r w:rsidR="00DA3E0E">
        <w:rPr>
          <w:lang w:val="es-ES_tradnl"/>
        </w:rPr>
        <w:t xml:space="preserve">El proyecto de Plan Operacional para </w:t>
      </w:r>
      <w:r w:rsidRPr="00585857">
        <w:rPr>
          <w:lang w:val="es-ES_tradnl"/>
        </w:rPr>
        <w:t xml:space="preserve">2021-2024 </w:t>
      </w:r>
      <w:r w:rsidR="00DA3E0E">
        <w:rPr>
          <w:lang w:val="es-ES_tradnl"/>
        </w:rPr>
        <w:t xml:space="preserve">trata de la implementación de 5 metas estratégicas y 18 objetivos estratégicos. Sigue la estructura de los Planes Estratégico y Financiero </w:t>
      </w:r>
      <w:bookmarkStart w:id="36" w:name="lt_pId053"/>
      <w:bookmarkEnd w:id="35"/>
      <w:r w:rsidR="00DA3E0E">
        <w:rPr>
          <w:lang w:val="es-ES_tradnl"/>
        </w:rPr>
        <w:t>para</w:t>
      </w:r>
      <w:r w:rsidRPr="00585857">
        <w:rPr>
          <w:lang w:val="es-ES_tradnl"/>
        </w:rPr>
        <w:t xml:space="preserve"> 2020-2023 </w:t>
      </w:r>
      <w:r w:rsidR="00DA3E0E">
        <w:rPr>
          <w:lang w:val="es-ES_tradnl"/>
        </w:rPr>
        <w:t>tal y como fueron aprobados por la Conferencia de Plenipotenciarios de</w:t>
      </w:r>
      <w:r w:rsidR="00074229">
        <w:rPr>
          <w:lang w:val="es-ES_tradnl"/>
        </w:rPr>
        <w:t> </w:t>
      </w:r>
      <w:r w:rsidR="00DA3E0E">
        <w:rPr>
          <w:lang w:val="es-ES_tradnl"/>
        </w:rPr>
        <w:t>2018.</w:t>
      </w:r>
      <w:bookmarkEnd w:id="36"/>
    </w:p>
    <w:p w14:paraId="28A4E855" w14:textId="5CC60DAF" w:rsidR="00DC7E49" w:rsidRDefault="00DC7E49" w:rsidP="00DC7E49">
      <w:pPr>
        <w:rPr>
          <w:lang w:val="es-ES_tradnl"/>
        </w:rPr>
      </w:pPr>
      <w:bookmarkStart w:id="37" w:name="lt_pId054"/>
      <w:r w:rsidRPr="00585857">
        <w:rPr>
          <w:lang w:val="es-ES_tradnl"/>
        </w:rPr>
        <w:t>I.2.2</w:t>
      </w:r>
      <w:bookmarkEnd w:id="37"/>
      <w:r w:rsidRPr="00585857">
        <w:rPr>
          <w:lang w:val="es-ES_tradnl"/>
        </w:rPr>
        <w:tab/>
      </w:r>
      <w:bookmarkStart w:id="38" w:name="lt_pId055"/>
      <w:r w:rsidR="00DA3E0E">
        <w:rPr>
          <w:lang w:val="es-ES_tradnl"/>
        </w:rPr>
        <w:t xml:space="preserve">La estructura del Plan Operacional para </w:t>
      </w:r>
      <w:r w:rsidRPr="00585857">
        <w:rPr>
          <w:lang w:val="es-ES_tradnl"/>
        </w:rPr>
        <w:t xml:space="preserve">2021-2024 </w:t>
      </w:r>
      <w:r w:rsidR="00DA3E0E">
        <w:rPr>
          <w:lang w:val="es-ES_tradnl"/>
        </w:rPr>
        <w:t>es la siguiente</w:t>
      </w:r>
      <w:r w:rsidRPr="00585857">
        <w:rPr>
          <w:lang w:val="es-ES_tradnl"/>
        </w:rPr>
        <w:t>:</w:t>
      </w:r>
      <w:bookmarkEnd w:id="38"/>
    </w:p>
    <w:p w14:paraId="3507D435" w14:textId="588DB3F6" w:rsidR="00074229" w:rsidRPr="00585857" w:rsidRDefault="00074229" w:rsidP="00074229">
      <w:pPr>
        <w:jc w:val="center"/>
        <w:rPr>
          <w:lang w:val="es-ES_tradnl"/>
        </w:rPr>
      </w:pPr>
      <w:r>
        <w:rPr>
          <w:noProof/>
          <w:lang w:val="es-ES_tradnl"/>
        </w:rPr>
        <w:drawing>
          <wp:inline distT="0" distB="0" distL="0" distR="0" wp14:anchorId="5B2C2ECF" wp14:editId="1193C7F3">
            <wp:extent cx="4689043"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23080"/>
                    <a:stretch/>
                  </pic:blipFill>
                  <pic:spPr bwMode="auto">
                    <a:xfrm>
                      <a:off x="0" y="0"/>
                      <a:ext cx="4689043" cy="3429000"/>
                    </a:xfrm>
                    <a:prstGeom prst="rect">
                      <a:avLst/>
                    </a:prstGeom>
                    <a:noFill/>
                    <a:ln>
                      <a:noFill/>
                    </a:ln>
                    <a:extLst>
                      <a:ext uri="{53640926-AAD7-44D8-BBD7-CCE9431645EC}">
                        <a14:shadowObscured xmlns:a14="http://schemas.microsoft.com/office/drawing/2010/main"/>
                      </a:ext>
                    </a:extLst>
                  </pic:spPr>
                </pic:pic>
              </a:graphicData>
            </a:graphic>
          </wp:inline>
        </w:drawing>
      </w:r>
    </w:p>
    <w:p w14:paraId="435DB122" w14:textId="3DB22103" w:rsidR="00C33528" w:rsidRPr="008F43A8" w:rsidRDefault="00C84B0B" w:rsidP="00074229">
      <w:pPr>
        <w:pStyle w:val="Tabletitle"/>
        <w:rPr>
          <w:lang w:val="es-ES"/>
        </w:rPr>
      </w:pPr>
      <w:bookmarkStart w:id="39" w:name="lt_pId056"/>
      <w:r w:rsidRPr="008F43A8">
        <w:rPr>
          <w:lang w:val="es-ES"/>
        </w:rPr>
        <w:lastRenderedPageBreak/>
        <w:t xml:space="preserve">Atribución de recursos por Meta y por Sector para </w:t>
      </w:r>
      <w:r w:rsidR="00C33528" w:rsidRPr="008F43A8">
        <w:rPr>
          <w:lang w:val="es-ES"/>
        </w:rPr>
        <w:t>2021-2024</w:t>
      </w:r>
      <w:bookmarkEnd w:id="39"/>
    </w:p>
    <w:p w14:paraId="101C45AD" w14:textId="36D0D214" w:rsidR="00E109B2" w:rsidRPr="00585857" w:rsidRDefault="004F78F4" w:rsidP="00991B13">
      <w:pPr>
        <w:rPr>
          <w:lang w:val="es-ES_tradnl"/>
        </w:rPr>
      </w:pPr>
      <w:r w:rsidRPr="00585857">
        <w:rPr>
          <w:noProof/>
          <w:lang w:val="es-ES_tradnl"/>
        </w:rPr>
        <w:drawing>
          <wp:inline distT="0" distB="0" distL="0" distR="0" wp14:anchorId="396A6350" wp14:editId="7279697D">
            <wp:extent cx="7813040" cy="274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3040" cy="2743200"/>
                    </a:xfrm>
                    <a:prstGeom prst="rect">
                      <a:avLst/>
                    </a:prstGeom>
                    <a:noFill/>
                    <a:ln>
                      <a:noFill/>
                    </a:ln>
                  </pic:spPr>
                </pic:pic>
              </a:graphicData>
            </a:graphic>
          </wp:inline>
        </w:drawing>
      </w:r>
    </w:p>
    <w:p w14:paraId="512BF99C" w14:textId="0B701B77" w:rsidR="00823414" w:rsidRPr="008F43A8" w:rsidRDefault="00C84B0B" w:rsidP="00325213">
      <w:pPr>
        <w:pStyle w:val="Figuretitle"/>
        <w:keepNext/>
        <w:keepLines w:val="0"/>
        <w:rPr>
          <w:lang w:val="es-ES"/>
        </w:rPr>
      </w:pPr>
      <w:r w:rsidRPr="008F43A8">
        <w:rPr>
          <w:lang w:val="es-ES"/>
        </w:rPr>
        <w:lastRenderedPageBreak/>
        <w:t>Atribución de recursos por Meta para</w:t>
      </w:r>
      <w:r w:rsidR="00FD4639" w:rsidRPr="008F43A8">
        <w:rPr>
          <w:lang w:val="es-ES"/>
        </w:rPr>
        <w:t xml:space="preserve"> 2021-2024</w:t>
      </w:r>
    </w:p>
    <w:p w14:paraId="2A72723A" w14:textId="7A0D9F20" w:rsidR="004F78F4" w:rsidRPr="00585857" w:rsidRDefault="004F78F4" w:rsidP="004F78F4">
      <w:pPr>
        <w:jc w:val="center"/>
        <w:rPr>
          <w:lang w:val="es-ES_tradnl"/>
        </w:rPr>
      </w:pPr>
      <w:r w:rsidRPr="00585857">
        <w:rPr>
          <w:noProof/>
          <w:lang w:val="es-ES_tradnl"/>
        </w:rPr>
        <w:drawing>
          <wp:inline distT="0" distB="0" distL="0" distR="0" wp14:anchorId="69251BDC" wp14:editId="6AD149EB">
            <wp:extent cx="5118100" cy="425132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8100" cy="4251325"/>
                    </a:xfrm>
                    <a:prstGeom prst="rect">
                      <a:avLst/>
                    </a:prstGeom>
                    <a:noFill/>
                    <a:ln>
                      <a:noFill/>
                    </a:ln>
                  </pic:spPr>
                </pic:pic>
              </a:graphicData>
            </a:graphic>
          </wp:inline>
        </w:drawing>
      </w:r>
    </w:p>
    <w:p w14:paraId="250F14CD" w14:textId="71B442C2" w:rsidR="00FD4639" w:rsidRPr="008F43A8" w:rsidRDefault="00C84B0B" w:rsidP="00325213">
      <w:pPr>
        <w:pStyle w:val="Tabletitle"/>
        <w:rPr>
          <w:lang w:val="es-ES"/>
        </w:rPr>
      </w:pPr>
      <w:r w:rsidRPr="008F43A8">
        <w:rPr>
          <w:lang w:val="es-ES"/>
        </w:rPr>
        <w:lastRenderedPageBreak/>
        <w:t xml:space="preserve">Atribución de recursos por Meta y Objetivo para </w:t>
      </w:r>
      <w:r w:rsidR="00FD4639" w:rsidRPr="008F43A8">
        <w:rPr>
          <w:lang w:val="es-ES"/>
        </w:rPr>
        <w:t>2021-2024</w:t>
      </w:r>
    </w:p>
    <w:p w14:paraId="049F934A" w14:textId="34693AA6" w:rsidR="004F78F4" w:rsidRPr="00585857" w:rsidRDefault="004F78F4" w:rsidP="004F78F4">
      <w:pPr>
        <w:keepNext/>
        <w:keepLines/>
        <w:jc w:val="center"/>
        <w:rPr>
          <w:lang w:val="es-ES_tradnl"/>
        </w:rPr>
      </w:pPr>
      <w:r w:rsidRPr="00585857">
        <w:rPr>
          <w:noProof/>
          <w:lang w:val="es-ES_tradnl"/>
        </w:rPr>
        <w:drawing>
          <wp:inline distT="0" distB="0" distL="0" distR="0" wp14:anchorId="7EAE65B7" wp14:editId="2F3666FE">
            <wp:extent cx="8891270" cy="4462780"/>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4462780"/>
                    </a:xfrm>
                    <a:prstGeom prst="rect">
                      <a:avLst/>
                    </a:prstGeom>
                    <a:noFill/>
                    <a:ln>
                      <a:noFill/>
                    </a:ln>
                  </pic:spPr>
                </pic:pic>
              </a:graphicData>
            </a:graphic>
          </wp:inline>
        </w:drawing>
      </w:r>
    </w:p>
    <w:p w14:paraId="69AE8C46" w14:textId="68483956" w:rsidR="00350F9E" w:rsidRDefault="00350F9E">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bookmarkStart w:id="40" w:name="lt_pId059"/>
      <w:bookmarkStart w:id="41" w:name="_Toc33632081"/>
      <w:bookmarkStart w:id="42" w:name="_Toc33632242"/>
      <w:r>
        <w:rPr>
          <w:lang w:val="es-ES_tradnl"/>
        </w:rPr>
        <w:br w:type="page"/>
      </w:r>
    </w:p>
    <w:p w14:paraId="2E1C27F6" w14:textId="41796899" w:rsidR="00A40797" w:rsidRPr="00585857" w:rsidRDefault="00A40797" w:rsidP="00F04E0C">
      <w:pPr>
        <w:pStyle w:val="Heading2"/>
        <w:rPr>
          <w:lang w:val="es-ES_tradnl"/>
        </w:rPr>
      </w:pPr>
      <w:r w:rsidRPr="00585857">
        <w:rPr>
          <w:lang w:val="es-ES_tradnl"/>
        </w:rPr>
        <w:lastRenderedPageBreak/>
        <w:t>I.3</w:t>
      </w:r>
      <w:bookmarkEnd w:id="40"/>
      <w:r w:rsidRPr="00585857">
        <w:rPr>
          <w:lang w:val="es-ES_tradnl"/>
        </w:rPr>
        <w:tab/>
      </w:r>
      <w:bookmarkStart w:id="43" w:name="lt_pId060"/>
      <w:r w:rsidR="00C84B0B">
        <w:rPr>
          <w:lang w:val="es-ES_tradnl"/>
        </w:rPr>
        <w:t>Descripción del Plan Operacional por ODS</w:t>
      </w:r>
      <w:bookmarkEnd w:id="41"/>
      <w:bookmarkEnd w:id="42"/>
      <w:bookmarkEnd w:id="43"/>
    </w:p>
    <w:p w14:paraId="70653D41" w14:textId="7BE6E840" w:rsidR="00A40797" w:rsidRPr="00585857" w:rsidRDefault="00A40797" w:rsidP="00A40797">
      <w:pPr>
        <w:rPr>
          <w:lang w:val="es-ES_tradnl"/>
        </w:rPr>
      </w:pPr>
      <w:bookmarkStart w:id="44" w:name="lt_pId061"/>
      <w:r w:rsidRPr="00585857">
        <w:rPr>
          <w:lang w:val="es-ES_tradnl"/>
        </w:rPr>
        <w:t>I.3.1</w:t>
      </w:r>
      <w:bookmarkEnd w:id="44"/>
      <w:r w:rsidRPr="00585857">
        <w:rPr>
          <w:lang w:val="es-ES_tradnl"/>
        </w:rPr>
        <w:tab/>
      </w:r>
      <w:bookmarkStart w:id="45" w:name="lt_pId062"/>
      <w:r w:rsidR="00C84B0B">
        <w:rPr>
          <w:lang w:val="es-ES_tradnl"/>
        </w:rPr>
        <w:t>La atribución de recursos por ODS se facilita con más detall</w:t>
      </w:r>
      <w:r w:rsidRPr="00585857">
        <w:rPr>
          <w:lang w:val="es-ES_tradnl"/>
        </w:rPr>
        <w:t xml:space="preserve">e </w:t>
      </w:r>
      <w:r w:rsidR="00C84B0B">
        <w:rPr>
          <w:lang w:val="es-ES_tradnl"/>
        </w:rPr>
        <w:t>en el Anexo B al presente documento (importes en miles CHF)</w:t>
      </w:r>
      <w:bookmarkEnd w:id="45"/>
      <w:r w:rsidR="00C84B0B">
        <w:rPr>
          <w:lang w:val="es-ES_tradnl"/>
        </w:rPr>
        <w:t>.</w:t>
      </w:r>
    </w:p>
    <w:p w14:paraId="037237FA" w14:textId="4D3B04F9" w:rsidR="002E177B" w:rsidRDefault="002E177B" w:rsidP="002E177B">
      <w:pPr>
        <w:jc w:val="center"/>
        <w:rPr>
          <w:lang w:val="es-ES_tradnl"/>
        </w:rPr>
      </w:pPr>
      <w:bookmarkStart w:id="46" w:name="lt_pId063"/>
      <w:bookmarkStart w:id="47" w:name="_Toc33632082"/>
      <w:bookmarkStart w:id="48" w:name="_Toc33632243"/>
      <w:r>
        <w:rPr>
          <w:noProof/>
        </w:rPr>
        <w:drawing>
          <wp:inline distT="0" distB="0" distL="0" distR="0" wp14:anchorId="2D8613E5" wp14:editId="605579A3">
            <wp:extent cx="8891270" cy="51009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5100955"/>
                    </a:xfrm>
                    <a:prstGeom prst="rect">
                      <a:avLst/>
                    </a:prstGeom>
                    <a:noFill/>
                    <a:ln>
                      <a:noFill/>
                    </a:ln>
                  </pic:spPr>
                </pic:pic>
              </a:graphicData>
            </a:graphic>
          </wp:inline>
        </w:drawing>
      </w:r>
    </w:p>
    <w:p w14:paraId="50A8845F" w14:textId="36EB7EF4" w:rsidR="00350F9E" w:rsidRDefault="00350F9E">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14:paraId="65CF3F38" w14:textId="02214033" w:rsidR="00A40797" w:rsidRPr="00585857" w:rsidRDefault="00A40797" w:rsidP="00F04E0C">
      <w:pPr>
        <w:pStyle w:val="Heading2"/>
        <w:rPr>
          <w:lang w:val="es-ES_tradnl"/>
        </w:rPr>
      </w:pPr>
      <w:r w:rsidRPr="00585857">
        <w:rPr>
          <w:lang w:val="es-ES_tradnl"/>
        </w:rPr>
        <w:lastRenderedPageBreak/>
        <w:t>I.4</w:t>
      </w:r>
      <w:bookmarkEnd w:id="46"/>
      <w:r w:rsidRPr="00585857">
        <w:rPr>
          <w:lang w:val="es-ES_tradnl"/>
        </w:rPr>
        <w:tab/>
      </w:r>
      <w:bookmarkEnd w:id="47"/>
      <w:bookmarkEnd w:id="48"/>
      <w:r w:rsidR="00E47DC2">
        <w:rPr>
          <w:lang w:val="es-ES_tradnl"/>
        </w:rPr>
        <w:t>Estructura del documento</w:t>
      </w:r>
    </w:p>
    <w:p w14:paraId="10485F8D" w14:textId="6C32D581" w:rsidR="00A40797" w:rsidRPr="00585857" w:rsidRDefault="00A40797" w:rsidP="00A40797">
      <w:pPr>
        <w:rPr>
          <w:lang w:val="es-ES_tradnl"/>
        </w:rPr>
      </w:pPr>
      <w:bookmarkStart w:id="49" w:name="lt_pId065"/>
      <w:r w:rsidRPr="00585857">
        <w:rPr>
          <w:lang w:val="es-ES_tradnl"/>
        </w:rPr>
        <w:t>I.4.1</w:t>
      </w:r>
      <w:bookmarkEnd w:id="49"/>
      <w:r w:rsidRPr="00585857">
        <w:rPr>
          <w:lang w:val="es-ES_tradnl"/>
        </w:rPr>
        <w:tab/>
      </w:r>
      <w:bookmarkStart w:id="50" w:name="lt_pId066"/>
      <w:r w:rsidR="00E47DC2">
        <w:rPr>
          <w:lang w:val="es-ES_tradnl"/>
        </w:rPr>
        <w:t>El documento del Plan Operacional incluye tres partes</w:t>
      </w:r>
      <w:r w:rsidRPr="00585857">
        <w:rPr>
          <w:lang w:val="es-ES_tradnl"/>
        </w:rPr>
        <w:t>:</w:t>
      </w:r>
      <w:bookmarkEnd w:id="50"/>
    </w:p>
    <w:p w14:paraId="43867093" w14:textId="1206FE9A" w:rsidR="00A40797" w:rsidRPr="00585857" w:rsidRDefault="00A40797" w:rsidP="00A40797">
      <w:pPr>
        <w:pStyle w:val="enumlev1"/>
        <w:rPr>
          <w:lang w:val="es-ES_tradnl"/>
        </w:rPr>
      </w:pPr>
      <w:bookmarkStart w:id="51" w:name="lt_pId067"/>
      <w:r w:rsidRPr="00585857">
        <w:rPr>
          <w:lang w:val="es-ES_tradnl"/>
        </w:rPr>
        <w:t>•</w:t>
      </w:r>
      <w:r w:rsidRPr="00585857">
        <w:rPr>
          <w:lang w:val="es-ES_tradnl"/>
        </w:rPr>
        <w:tab/>
      </w:r>
      <w:r w:rsidR="00E47DC2">
        <w:rPr>
          <w:lang w:val="es-ES_tradnl"/>
        </w:rPr>
        <w:t xml:space="preserve">En la </w:t>
      </w:r>
      <w:r w:rsidRPr="00585857">
        <w:rPr>
          <w:lang w:val="es-ES_tradnl"/>
        </w:rPr>
        <w:t>Part</w:t>
      </w:r>
      <w:r w:rsidR="00E47DC2">
        <w:rPr>
          <w:lang w:val="es-ES_tradnl"/>
        </w:rPr>
        <w:t>e</w:t>
      </w:r>
      <w:r w:rsidRPr="00585857">
        <w:rPr>
          <w:lang w:val="es-ES_tradnl"/>
        </w:rPr>
        <w:t xml:space="preserve"> 1 </w:t>
      </w:r>
      <w:r w:rsidR="00E47DC2">
        <w:rPr>
          <w:lang w:val="es-ES_tradnl"/>
        </w:rPr>
        <w:t>se facilita una síntesis</w:t>
      </w:r>
      <w:bookmarkEnd w:id="51"/>
      <w:r w:rsidR="000A6517">
        <w:rPr>
          <w:lang w:val="es-ES_tradnl"/>
        </w:rPr>
        <w:t>.</w:t>
      </w:r>
    </w:p>
    <w:p w14:paraId="179994C4" w14:textId="0E7AA48A" w:rsidR="00A40797" w:rsidRPr="00585857" w:rsidRDefault="00A40797" w:rsidP="00A40797">
      <w:pPr>
        <w:pStyle w:val="enumlev1"/>
        <w:rPr>
          <w:lang w:val="es-ES_tradnl"/>
        </w:rPr>
      </w:pPr>
      <w:bookmarkStart w:id="52" w:name="lt_pId068"/>
      <w:r w:rsidRPr="00585857">
        <w:rPr>
          <w:lang w:val="es-ES_tradnl"/>
        </w:rPr>
        <w:t>•</w:t>
      </w:r>
      <w:r w:rsidRPr="00585857">
        <w:rPr>
          <w:lang w:val="es-ES_tradnl"/>
        </w:rPr>
        <w:tab/>
      </w:r>
      <w:r w:rsidR="00E47DC2">
        <w:rPr>
          <w:lang w:val="es-ES_tradnl"/>
        </w:rPr>
        <w:t xml:space="preserve">En la </w:t>
      </w:r>
      <w:r w:rsidRPr="00585857">
        <w:rPr>
          <w:lang w:val="es-ES_tradnl"/>
        </w:rPr>
        <w:t>Part</w:t>
      </w:r>
      <w:r w:rsidR="00E47DC2">
        <w:rPr>
          <w:lang w:val="es-ES_tradnl"/>
        </w:rPr>
        <w:t>e</w:t>
      </w:r>
      <w:r w:rsidRPr="00585857">
        <w:rPr>
          <w:lang w:val="es-ES_tradnl"/>
        </w:rPr>
        <w:t xml:space="preserve"> 2 </w:t>
      </w:r>
      <w:r w:rsidR="00E47DC2">
        <w:rPr>
          <w:lang w:val="es-ES_tradnl"/>
        </w:rPr>
        <w:t xml:space="preserve">se facilita el </w:t>
      </w:r>
      <w:r w:rsidR="005C3076">
        <w:rPr>
          <w:lang w:val="es-ES_tradnl"/>
        </w:rPr>
        <w:t>informe sobre el rendimiento</w:t>
      </w:r>
      <w:r w:rsidR="00E47DC2">
        <w:rPr>
          <w:lang w:val="es-ES_tradnl"/>
        </w:rPr>
        <w:t xml:space="preserve"> de 2019 y el Plan Operacional para 2021-2024 a nivel de los objetivos</w:t>
      </w:r>
      <w:bookmarkEnd w:id="52"/>
      <w:r w:rsidR="000A6517">
        <w:rPr>
          <w:lang w:val="es-ES_tradnl"/>
        </w:rPr>
        <w:t>.</w:t>
      </w:r>
    </w:p>
    <w:p w14:paraId="79ECE31D" w14:textId="2489D7EA" w:rsidR="00A40797" w:rsidRPr="00585857" w:rsidRDefault="00A40797" w:rsidP="00A40797">
      <w:pPr>
        <w:pStyle w:val="enumlev1"/>
        <w:rPr>
          <w:i/>
          <w:iCs/>
          <w:lang w:val="es-ES_tradnl"/>
        </w:rPr>
      </w:pPr>
      <w:bookmarkStart w:id="53" w:name="lt_pId069"/>
      <w:r w:rsidRPr="00585857">
        <w:rPr>
          <w:lang w:val="es-ES_tradnl"/>
        </w:rPr>
        <w:tab/>
      </w:r>
      <w:r w:rsidR="00E47DC2" w:rsidRPr="00E47DC2">
        <w:rPr>
          <w:i/>
          <w:iCs/>
          <w:lang w:val="es-ES_tradnl"/>
        </w:rPr>
        <w:t>Para cada objetivo se facilita la siguiente información:</w:t>
      </w:r>
      <w:bookmarkEnd w:id="53"/>
    </w:p>
    <w:p w14:paraId="0FD1CD6B" w14:textId="21E39106" w:rsidR="00A40797" w:rsidRPr="00585857" w:rsidRDefault="00A40797" w:rsidP="00A40797">
      <w:pPr>
        <w:pStyle w:val="enumlev2"/>
        <w:rPr>
          <w:lang w:val="es-ES_tradnl"/>
        </w:rPr>
      </w:pPr>
      <w:bookmarkStart w:id="54" w:name="lt_pId070"/>
      <w:r w:rsidRPr="00585857">
        <w:rPr>
          <w:lang w:val="es-ES_tradnl"/>
        </w:rPr>
        <w:t>–</w:t>
      </w:r>
      <w:r w:rsidRPr="00585857">
        <w:rPr>
          <w:lang w:val="es-ES_tradnl"/>
        </w:rPr>
        <w:tab/>
      </w:r>
      <w:bookmarkEnd w:id="54"/>
      <w:r w:rsidR="000A6517">
        <w:rPr>
          <w:lang w:val="es-ES_tradnl"/>
        </w:rPr>
        <w:t>d</w:t>
      </w:r>
      <w:r w:rsidR="00C24D36" w:rsidRPr="00585857">
        <w:rPr>
          <w:lang w:val="es-ES_tradnl"/>
        </w:rPr>
        <w:t>escripción del objetivo</w:t>
      </w:r>
      <w:r w:rsidR="0049509A" w:rsidRPr="00585857">
        <w:rPr>
          <w:lang w:val="es-ES_tradnl"/>
        </w:rPr>
        <w:t>;</w:t>
      </w:r>
    </w:p>
    <w:p w14:paraId="7EC23B56" w14:textId="456034D6" w:rsidR="00A40797" w:rsidRPr="00585857" w:rsidRDefault="00A40797" w:rsidP="00A40797">
      <w:pPr>
        <w:pStyle w:val="enumlev2"/>
        <w:rPr>
          <w:lang w:val="es-ES_tradnl"/>
        </w:rPr>
      </w:pPr>
      <w:bookmarkStart w:id="55" w:name="lt_pId071"/>
      <w:r w:rsidRPr="00585857">
        <w:rPr>
          <w:lang w:val="es-ES_tradnl"/>
        </w:rPr>
        <w:t>–</w:t>
      </w:r>
      <w:r w:rsidRPr="00585857">
        <w:rPr>
          <w:lang w:val="es-ES_tradnl"/>
        </w:rPr>
        <w:tab/>
      </w:r>
      <w:r w:rsidR="000A6517">
        <w:rPr>
          <w:lang w:val="es-ES_tradnl"/>
        </w:rPr>
        <w:t>r</w:t>
      </w:r>
      <w:r w:rsidR="00E47DC2">
        <w:rPr>
          <w:lang w:val="es-ES_tradnl"/>
        </w:rPr>
        <w:t>esumen de la atribución de costes para 2019 y de 2021 a 2024;</w:t>
      </w:r>
      <w:bookmarkEnd w:id="55"/>
    </w:p>
    <w:p w14:paraId="7C6B5EA8" w14:textId="6DDC3479" w:rsidR="00A40797" w:rsidRPr="00585857" w:rsidRDefault="00A40797" w:rsidP="00A40797">
      <w:pPr>
        <w:pStyle w:val="enumlev2"/>
        <w:rPr>
          <w:lang w:val="es-ES_tradnl"/>
        </w:rPr>
      </w:pPr>
      <w:bookmarkStart w:id="56" w:name="lt_pId072"/>
      <w:r w:rsidRPr="00585857">
        <w:rPr>
          <w:lang w:val="es-ES_tradnl"/>
        </w:rPr>
        <w:t>–</w:t>
      </w:r>
      <w:r w:rsidRPr="00585857">
        <w:rPr>
          <w:lang w:val="es-ES_tradnl"/>
        </w:rPr>
        <w:tab/>
      </w:r>
      <w:r w:rsidR="000A6517">
        <w:rPr>
          <w:lang w:val="es-ES_tradnl"/>
        </w:rPr>
        <w:t>e</w:t>
      </w:r>
      <w:r w:rsidR="00E47DC2">
        <w:rPr>
          <w:lang w:val="es-ES_tradnl"/>
        </w:rPr>
        <w:t xml:space="preserve">l </w:t>
      </w:r>
      <w:r w:rsidR="005C3076">
        <w:rPr>
          <w:lang w:val="es-ES_tradnl"/>
        </w:rPr>
        <w:t>informe sobre el rendimiento</w:t>
      </w:r>
      <w:r w:rsidR="00E47DC2">
        <w:rPr>
          <w:lang w:val="es-ES_tradnl"/>
        </w:rPr>
        <w:t xml:space="preserve"> de </w:t>
      </w:r>
      <w:r w:rsidRPr="00585857">
        <w:rPr>
          <w:lang w:val="es-ES_tradnl"/>
        </w:rPr>
        <w:t>2019</w:t>
      </w:r>
      <w:r w:rsidR="00E47DC2">
        <w:rPr>
          <w:lang w:val="es-ES_tradnl"/>
        </w:rPr>
        <w:t>, incluida la declaración de los logros, las mediciones y los factores de riesgo;</w:t>
      </w:r>
      <w:bookmarkEnd w:id="56"/>
    </w:p>
    <w:p w14:paraId="3E1B3C28" w14:textId="3494A632" w:rsidR="00A40797" w:rsidRPr="00585857" w:rsidRDefault="00A40797" w:rsidP="00A40797">
      <w:pPr>
        <w:pStyle w:val="enumlev2"/>
        <w:rPr>
          <w:lang w:val="es-ES_tradnl"/>
        </w:rPr>
      </w:pPr>
      <w:r w:rsidRPr="00585857">
        <w:rPr>
          <w:lang w:val="es-ES_tradnl"/>
        </w:rPr>
        <w:t>–</w:t>
      </w:r>
      <w:r w:rsidRPr="00585857">
        <w:rPr>
          <w:lang w:val="es-ES_tradnl"/>
        </w:rPr>
        <w:tab/>
      </w:r>
      <w:r w:rsidR="000A6517">
        <w:rPr>
          <w:lang w:val="es-ES_tradnl"/>
        </w:rPr>
        <w:t>d</w:t>
      </w:r>
      <w:r w:rsidR="00E47DC2">
        <w:rPr>
          <w:lang w:val="es-ES_tradnl"/>
        </w:rPr>
        <w:t xml:space="preserve">eclaración de </w:t>
      </w:r>
      <w:r w:rsidR="00760829">
        <w:rPr>
          <w:lang w:val="es-ES_tradnl"/>
        </w:rPr>
        <w:t xml:space="preserve">los resultados clave esperados, la medición y los indicadores de riesgo clave de </w:t>
      </w:r>
      <w:r w:rsidRPr="00585857">
        <w:rPr>
          <w:lang w:val="es-ES_tradnl"/>
        </w:rPr>
        <w:t>2021</w:t>
      </w:r>
      <w:r w:rsidR="000A6517">
        <w:rPr>
          <w:lang w:val="es-ES_tradnl"/>
        </w:rPr>
        <w:t>.</w:t>
      </w:r>
    </w:p>
    <w:p w14:paraId="5ECBAC87" w14:textId="316223D3" w:rsidR="00A40797" w:rsidRPr="00585857" w:rsidRDefault="00A40797" w:rsidP="00A40797">
      <w:pPr>
        <w:pStyle w:val="enumlev1"/>
        <w:rPr>
          <w:lang w:val="es-ES_tradnl"/>
        </w:rPr>
      </w:pPr>
      <w:bookmarkStart w:id="57" w:name="lt_pId075"/>
      <w:r w:rsidRPr="00585857">
        <w:rPr>
          <w:lang w:val="es-ES_tradnl"/>
        </w:rPr>
        <w:t>•</w:t>
      </w:r>
      <w:r w:rsidRPr="00585857">
        <w:rPr>
          <w:lang w:val="es-ES_tradnl"/>
        </w:rPr>
        <w:tab/>
      </w:r>
      <w:r w:rsidR="00760829">
        <w:rPr>
          <w:lang w:val="es-ES_tradnl"/>
        </w:rPr>
        <w:t xml:space="preserve">En la </w:t>
      </w:r>
      <w:r w:rsidR="00760829" w:rsidRPr="00585857">
        <w:rPr>
          <w:lang w:val="es-ES_tradnl"/>
        </w:rPr>
        <w:t>Parte</w:t>
      </w:r>
      <w:r w:rsidRPr="00585857">
        <w:rPr>
          <w:lang w:val="es-ES_tradnl"/>
        </w:rPr>
        <w:t xml:space="preserve"> 3 </w:t>
      </w:r>
      <w:r w:rsidR="00760829">
        <w:rPr>
          <w:lang w:val="es-ES_tradnl"/>
        </w:rPr>
        <w:t>se facilita información adicional sobre los productos y los ODS.</w:t>
      </w:r>
      <w:bookmarkEnd w:id="57"/>
    </w:p>
    <w:p w14:paraId="4C3BD30B" w14:textId="14A6E354" w:rsidR="00A40797" w:rsidRPr="00585857" w:rsidRDefault="00A40797" w:rsidP="00991B13">
      <w:pPr>
        <w:rPr>
          <w:lang w:val="es-ES_tradnl"/>
        </w:rPr>
      </w:pPr>
    </w:p>
    <w:p w14:paraId="364FDBFE" w14:textId="31670C87" w:rsidR="00823414" w:rsidRPr="00585857" w:rsidRDefault="00823414" w:rsidP="00991B13">
      <w:pPr>
        <w:rPr>
          <w:lang w:val="es-ES_tradnl"/>
        </w:rPr>
        <w:sectPr w:rsidR="00823414" w:rsidRPr="00585857" w:rsidSect="00C3328F">
          <w:headerReference w:type="default" r:id="rId17"/>
          <w:footerReference w:type="default" r:id="rId18"/>
          <w:headerReference w:type="first" r:id="rId19"/>
          <w:footerReference w:type="first" r:id="rId20"/>
          <w:pgSz w:w="16838" w:h="11906" w:orient="landscape" w:code="9"/>
          <w:pgMar w:top="1134" w:right="1418" w:bottom="1134" w:left="1418" w:header="709" w:footer="709" w:gutter="0"/>
          <w:cols w:space="708"/>
          <w:titlePg/>
          <w:docGrid w:linePitch="360"/>
        </w:sectPr>
      </w:pPr>
    </w:p>
    <w:p w14:paraId="2D04E5B0" w14:textId="77777777" w:rsidR="008A67D4" w:rsidRPr="008A67D4" w:rsidRDefault="008A67D4" w:rsidP="008A67D4">
      <w:pPr>
        <w:rPr>
          <w:noProof/>
          <w:sz w:val="44"/>
          <w:szCs w:val="44"/>
          <w:lang w:val="es-ES_tradnl" w:eastAsia="zh-CN"/>
        </w:rPr>
      </w:pPr>
      <w:r w:rsidRPr="008A67D4">
        <w:rPr>
          <w:noProof/>
          <w:sz w:val="44"/>
          <w:szCs w:val="44"/>
          <w:lang w:val="es-ES_tradnl" w:eastAsia="zh-CN"/>
        </w:rPr>
        <w:lastRenderedPageBreak/>
        <w:t xml:space="preserve">PROYECTO </w:t>
      </w:r>
      <w:r>
        <w:rPr>
          <w:noProof/>
          <w:sz w:val="44"/>
          <w:szCs w:val="44"/>
          <w:lang w:val="es-ES_tradnl" w:eastAsia="zh-CN"/>
        </w:rPr>
        <w:br/>
      </w:r>
      <w:r w:rsidRPr="008A67D4">
        <w:rPr>
          <w:noProof/>
          <w:sz w:val="44"/>
          <w:szCs w:val="44"/>
          <w:lang w:val="es-ES_tradnl" w:eastAsia="zh-CN"/>
        </w:rPr>
        <w:t xml:space="preserve">DE PLAN OPERACIONAL </w:t>
      </w:r>
      <w:r>
        <w:rPr>
          <w:noProof/>
          <w:sz w:val="44"/>
          <w:szCs w:val="44"/>
          <w:lang w:val="es-ES_tradnl" w:eastAsia="zh-CN"/>
        </w:rPr>
        <w:br/>
      </w:r>
      <w:r w:rsidRPr="008A67D4">
        <w:rPr>
          <w:noProof/>
          <w:sz w:val="44"/>
          <w:szCs w:val="44"/>
          <w:lang w:val="es-ES_tradnl" w:eastAsia="zh-CN"/>
        </w:rPr>
        <w:t xml:space="preserve">DE LA UIT </w:t>
      </w:r>
      <w:r>
        <w:rPr>
          <w:noProof/>
          <w:sz w:val="44"/>
          <w:szCs w:val="44"/>
          <w:lang w:val="es-ES_tradnl" w:eastAsia="zh-CN"/>
        </w:rPr>
        <w:br/>
      </w:r>
      <w:r w:rsidRPr="008A67D4">
        <w:rPr>
          <w:noProof/>
          <w:sz w:val="44"/>
          <w:szCs w:val="44"/>
          <w:lang w:val="es-ES_tradnl" w:eastAsia="zh-CN"/>
        </w:rPr>
        <w:t>PARA 2021-2024</w:t>
      </w:r>
    </w:p>
    <w:p w14:paraId="2FEC53B3" w14:textId="77777777" w:rsidR="008A67D4" w:rsidRPr="008A67D4" w:rsidRDefault="008A67D4" w:rsidP="008A67D4">
      <w:pPr>
        <w:spacing w:before="4560"/>
        <w:rPr>
          <w:noProof/>
          <w:color w:val="002060"/>
          <w:sz w:val="32"/>
          <w:szCs w:val="24"/>
          <w:lang w:val="es-ES_tradnl" w:eastAsia="zh-CN"/>
        </w:rPr>
      </w:pPr>
      <w:r w:rsidRPr="008A67D4">
        <w:rPr>
          <w:noProof/>
          <w:color w:val="002060"/>
          <w:sz w:val="32"/>
          <w:szCs w:val="24"/>
          <w:lang w:val="es-ES_tradnl" w:eastAsia="zh-CN"/>
        </w:rPr>
        <w:t>Síntesis</w:t>
      </w:r>
    </w:p>
    <w:p w14:paraId="1853CDCD" w14:textId="77777777" w:rsidR="008A67D4" w:rsidRPr="008A67D4" w:rsidRDefault="008A67D4" w:rsidP="008A67D4">
      <w:pPr>
        <w:rPr>
          <w:b/>
          <w:bCs/>
          <w:noProof/>
          <w:color w:val="002060"/>
          <w:sz w:val="32"/>
          <w:szCs w:val="24"/>
          <w:lang w:val="es-ES_tradnl" w:eastAsia="zh-CN"/>
        </w:rPr>
      </w:pPr>
      <w:r w:rsidRPr="008A67D4">
        <w:rPr>
          <w:b/>
          <w:bCs/>
          <w:noProof/>
          <w:color w:val="002060"/>
          <w:sz w:val="32"/>
          <w:szCs w:val="24"/>
          <w:lang w:val="es-ES_tradnl" w:eastAsia="zh-CN"/>
        </w:rPr>
        <w:t>Objetivos</w:t>
      </w:r>
    </w:p>
    <w:p w14:paraId="620AE7CB" w14:textId="77777777" w:rsidR="008A67D4" w:rsidRPr="008A67D4" w:rsidRDefault="008A67D4" w:rsidP="008A67D4">
      <w:pPr>
        <w:rPr>
          <w:noProof/>
          <w:color w:val="002060"/>
          <w:sz w:val="32"/>
          <w:szCs w:val="24"/>
          <w:lang w:val="es-ES_tradnl" w:eastAsia="zh-CN"/>
        </w:rPr>
      </w:pPr>
      <w:r w:rsidRPr="008A67D4">
        <w:rPr>
          <w:noProof/>
          <w:color w:val="002060"/>
          <w:sz w:val="32"/>
          <w:szCs w:val="24"/>
          <w:lang w:val="es-ES_tradnl" w:eastAsia="zh-CN"/>
        </w:rPr>
        <w:t>Anexos</w:t>
      </w:r>
    </w:p>
    <w:p w14:paraId="6CA7A0E8" w14:textId="389313B9" w:rsidR="00C84240" w:rsidRPr="00585857" w:rsidRDefault="00C84240">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10C1CF39" w14:textId="5DD972FE" w:rsidR="00C84240" w:rsidRPr="00585857" w:rsidRDefault="00C84240" w:rsidP="00F04E0C">
      <w:pPr>
        <w:pStyle w:val="Heading1"/>
        <w:rPr>
          <w:lang w:val="es-ES_tradnl"/>
        </w:rPr>
      </w:pPr>
      <w:bookmarkStart w:id="58" w:name="lt_pId002"/>
      <w:bookmarkStart w:id="59" w:name="_Toc33539611"/>
      <w:bookmarkStart w:id="60" w:name="_Toc33632083"/>
      <w:bookmarkStart w:id="61" w:name="_Toc33632244"/>
      <w:r w:rsidRPr="00585857">
        <w:rPr>
          <w:lang w:val="es-ES_tradnl"/>
        </w:rPr>
        <w:lastRenderedPageBreak/>
        <w:t>Part</w:t>
      </w:r>
      <w:r w:rsidR="00D33D25" w:rsidRPr="00585857">
        <w:rPr>
          <w:lang w:val="es-ES_tradnl"/>
        </w:rPr>
        <w:t>e</w:t>
      </w:r>
      <w:r w:rsidRPr="00585857">
        <w:rPr>
          <w:lang w:val="es-ES_tradnl"/>
        </w:rPr>
        <w:t xml:space="preserve"> II</w:t>
      </w:r>
      <w:r w:rsidR="00D33D25" w:rsidRPr="00585857">
        <w:rPr>
          <w:lang w:val="es-ES_tradnl"/>
        </w:rPr>
        <w:tab/>
      </w:r>
      <w:bookmarkEnd w:id="58"/>
      <w:r w:rsidR="00805497" w:rsidRPr="00585857">
        <w:rPr>
          <w:lang w:val="es-ES_tradnl"/>
        </w:rPr>
        <w:t>Objetivos</w:t>
      </w:r>
      <w:bookmarkEnd w:id="59"/>
      <w:bookmarkEnd w:id="60"/>
      <w:bookmarkEnd w:id="61"/>
    </w:p>
    <w:p w14:paraId="122B4827" w14:textId="18DC43FB" w:rsidR="004D45B5" w:rsidRPr="00585857" w:rsidRDefault="004D45B5" w:rsidP="003A7790">
      <w:pPr>
        <w:pStyle w:val="TOC1"/>
        <w:spacing w:before="720"/>
        <w:rPr>
          <w:rFonts w:eastAsiaTheme="minorEastAsia" w:cstheme="minorBidi"/>
          <w:noProof/>
          <w:sz w:val="22"/>
          <w:szCs w:val="22"/>
          <w:lang w:val="es-ES_tradnl"/>
        </w:rPr>
      </w:pPr>
      <w:r w:rsidRPr="00585857">
        <w:rPr>
          <w:lang w:val="es-ES_tradnl"/>
        </w:rPr>
        <w:fldChar w:fldCharType="begin"/>
      </w:r>
      <w:r w:rsidRPr="00585857">
        <w:rPr>
          <w:lang w:val="es-ES_tradnl"/>
        </w:rPr>
        <w:instrText xml:space="preserve"> TOC \o "1-3" \h \z \u </w:instrText>
      </w:r>
      <w:r w:rsidRPr="00585857">
        <w:rPr>
          <w:lang w:val="es-ES_tradnl"/>
        </w:rPr>
        <w:fldChar w:fldCharType="separate"/>
      </w:r>
      <w:hyperlink w:anchor="_Toc33632244" w:history="1">
        <w:r w:rsidRPr="00585857">
          <w:rPr>
            <w:rStyle w:val="Hyperlink"/>
            <w:noProof/>
            <w:lang w:val="es-ES_tradnl"/>
          </w:rPr>
          <w:t>II</w:t>
        </w:r>
        <w:r w:rsidRPr="00585857">
          <w:rPr>
            <w:rFonts w:eastAsiaTheme="minorEastAsia" w:cstheme="minorBidi"/>
            <w:noProof/>
            <w:sz w:val="22"/>
            <w:szCs w:val="22"/>
            <w:lang w:val="es-ES_tradnl"/>
          </w:rPr>
          <w:tab/>
        </w:r>
        <w:r w:rsidRPr="00585857">
          <w:rPr>
            <w:rStyle w:val="Hyperlink"/>
            <w:noProof/>
            <w:lang w:val="es-ES_tradnl"/>
          </w:rPr>
          <w:t>Objetivos</w:t>
        </w:r>
        <w:r w:rsidRPr="00585857">
          <w:rPr>
            <w:noProof/>
            <w:webHidden/>
            <w:lang w:val="es-ES_tradnl"/>
          </w:rPr>
          <w:tab/>
        </w:r>
        <w:r w:rsidR="003A7790">
          <w:rPr>
            <w:noProof/>
            <w:webHidden/>
            <w:lang w:val="es-ES_tradnl"/>
          </w:rPr>
          <w:tab/>
        </w:r>
        <w:r w:rsidRPr="00585857">
          <w:rPr>
            <w:noProof/>
            <w:webHidden/>
            <w:lang w:val="es-ES_tradnl"/>
          </w:rPr>
          <w:fldChar w:fldCharType="begin"/>
        </w:r>
        <w:r w:rsidRPr="00585857">
          <w:rPr>
            <w:noProof/>
            <w:webHidden/>
            <w:lang w:val="es-ES_tradnl"/>
          </w:rPr>
          <w:instrText xml:space="preserve"> PAGEREF _Toc33632244 \h </w:instrText>
        </w:r>
        <w:r w:rsidRPr="00585857">
          <w:rPr>
            <w:noProof/>
            <w:webHidden/>
            <w:lang w:val="es-ES_tradnl"/>
          </w:rPr>
        </w:r>
        <w:r w:rsidRPr="00585857">
          <w:rPr>
            <w:noProof/>
            <w:webHidden/>
            <w:lang w:val="es-ES_tradnl"/>
          </w:rPr>
          <w:fldChar w:fldCharType="separate"/>
        </w:r>
        <w:r w:rsidR="00E2673A">
          <w:rPr>
            <w:noProof/>
            <w:webHidden/>
            <w:lang w:val="es-ES_tradnl"/>
          </w:rPr>
          <w:t>14</w:t>
        </w:r>
        <w:r w:rsidRPr="00585857">
          <w:rPr>
            <w:noProof/>
            <w:webHidden/>
            <w:lang w:val="es-ES_tradnl"/>
          </w:rPr>
          <w:fldChar w:fldCharType="end"/>
        </w:r>
      </w:hyperlink>
    </w:p>
    <w:p w14:paraId="217BAD21" w14:textId="1718E903" w:rsidR="004D45B5" w:rsidRPr="00585857" w:rsidRDefault="0090342B" w:rsidP="003A7790">
      <w:pPr>
        <w:pStyle w:val="TOC2"/>
        <w:ind w:left="1701"/>
        <w:rPr>
          <w:rFonts w:eastAsiaTheme="minorEastAsia" w:cstheme="minorBidi"/>
          <w:noProof/>
          <w:sz w:val="22"/>
          <w:szCs w:val="22"/>
          <w:lang w:val="es-ES_tradnl"/>
        </w:rPr>
      </w:pPr>
      <w:hyperlink w:anchor="_Toc33632245" w:history="1">
        <w:r w:rsidR="004D45B5" w:rsidRPr="00585857">
          <w:rPr>
            <w:rStyle w:val="Hyperlink"/>
            <w:noProof/>
            <w:lang w:val="es-ES_tradnl"/>
          </w:rPr>
          <w:t>II.0</w:t>
        </w:r>
        <w:r w:rsidR="004D45B5" w:rsidRPr="00585857">
          <w:rPr>
            <w:rFonts w:eastAsiaTheme="minorEastAsia" w:cstheme="minorBidi"/>
            <w:noProof/>
            <w:sz w:val="22"/>
            <w:szCs w:val="22"/>
            <w:lang w:val="es-ES_tradnl"/>
          </w:rPr>
          <w:tab/>
        </w:r>
        <w:r w:rsidR="00E2673A">
          <w:rPr>
            <w:rStyle w:val="Hyperlink"/>
            <w:noProof/>
            <w:lang w:val="es-ES_tradnl"/>
          </w:rPr>
          <w:t>Resumen</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_Toc33632245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15</w:t>
        </w:r>
        <w:r w:rsidR="004D45B5" w:rsidRPr="00585857">
          <w:rPr>
            <w:noProof/>
            <w:webHidden/>
            <w:lang w:val="es-ES_tradnl"/>
          </w:rPr>
          <w:fldChar w:fldCharType="end"/>
        </w:r>
      </w:hyperlink>
    </w:p>
    <w:p w14:paraId="20AD7DDE" w14:textId="43462723" w:rsidR="004D45B5" w:rsidRPr="00585857" w:rsidRDefault="0090342B" w:rsidP="003A7790">
      <w:pPr>
        <w:pStyle w:val="TOC2"/>
        <w:ind w:left="1701"/>
        <w:rPr>
          <w:rFonts w:eastAsiaTheme="minorEastAsia" w:cstheme="minorBidi"/>
          <w:noProof/>
          <w:sz w:val="22"/>
          <w:szCs w:val="22"/>
          <w:lang w:val="es-ES_tradnl"/>
        </w:rPr>
      </w:pPr>
      <w:hyperlink w:anchor="_Toc33632246" w:history="1">
        <w:r w:rsidR="004D45B5" w:rsidRPr="00585857">
          <w:rPr>
            <w:rStyle w:val="Hyperlink"/>
            <w:noProof/>
            <w:lang w:val="es-ES_tradnl"/>
          </w:rPr>
          <w:t>II.1</w:t>
        </w:r>
        <w:r w:rsidR="004D45B5" w:rsidRPr="00585857">
          <w:rPr>
            <w:rFonts w:eastAsiaTheme="minorEastAsia" w:cstheme="minorBidi"/>
            <w:noProof/>
            <w:sz w:val="22"/>
            <w:szCs w:val="22"/>
            <w:lang w:val="es-ES_tradnl"/>
          </w:rPr>
          <w:tab/>
        </w:r>
        <w:r w:rsidR="004D45B5" w:rsidRPr="00585857">
          <w:rPr>
            <w:rStyle w:val="Hyperlink"/>
            <w:noProof/>
            <w:lang w:val="es-ES_tradnl"/>
          </w:rPr>
          <w:t>Objetivos intersectoriales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_Toc33632246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16</w:t>
        </w:r>
        <w:r w:rsidR="004D45B5" w:rsidRPr="00585857">
          <w:rPr>
            <w:noProof/>
            <w:webHidden/>
            <w:lang w:val="es-ES_tradnl"/>
          </w:rPr>
          <w:fldChar w:fldCharType="end"/>
        </w:r>
      </w:hyperlink>
    </w:p>
    <w:p w14:paraId="3AC26DF0" w14:textId="55A03635" w:rsidR="004D45B5" w:rsidRPr="00585857" w:rsidRDefault="0090342B" w:rsidP="003A7790">
      <w:pPr>
        <w:pStyle w:val="TOC2"/>
        <w:ind w:left="2665"/>
        <w:rPr>
          <w:rFonts w:eastAsiaTheme="minorEastAsia" w:cstheme="minorBidi"/>
          <w:noProof/>
          <w:sz w:val="22"/>
          <w:szCs w:val="22"/>
          <w:lang w:val="es-ES_tradnl"/>
        </w:rPr>
      </w:pPr>
      <w:hyperlink w:anchor="_Toc33632247" w:history="1">
        <w:r w:rsidR="004D45B5" w:rsidRPr="00585857">
          <w:rPr>
            <w:rStyle w:val="Hyperlink"/>
            <w:bCs/>
            <w:noProof/>
            <w:lang w:val="es-ES_tradnl"/>
          </w:rPr>
          <w:t>II.1.1 – I.1 Colaboración</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_Toc33632247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17</w:t>
        </w:r>
        <w:r w:rsidR="004D45B5" w:rsidRPr="00585857">
          <w:rPr>
            <w:noProof/>
            <w:webHidden/>
            <w:lang w:val="es-ES_tradnl"/>
          </w:rPr>
          <w:fldChar w:fldCharType="end"/>
        </w:r>
      </w:hyperlink>
    </w:p>
    <w:p w14:paraId="5000642E" w14:textId="5401140C" w:rsidR="004D45B5" w:rsidRPr="00585857" w:rsidRDefault="0090342B" w:rsidP="003A7790">
      <w:pPr>
        <w:pStyle w:val="TOC2"/>
        <w:ind w:left="2665"/>
        <w:rPr>
          <w:rFonts w:eastAsiaTheme="minorEastAsia" w:cstheme="minorBidi"/>
          <w:noProof/>
          <w:sz w:val="22"/>
          <w:szCs w:val="22"/>
          <w:lang w:val="es-ES_tradnl"/>
        </w:rPr>
      </w:pPr>
      <w:hyperlink w:anchor="_Toc33632248" w:history="1">
        <w:r w:rsidR="004D45B5" w:rsidRPr="00585857">
          <w:rPr>
            <w:rStyle w:val="Hyperlink"/>
            <w:noProof/>
            <w:lang w:val="es-ES_tradnl"/>
          </w:rPr>
          <w:t>II.1.2 – I.2 Tendencias emergentes en materia de telecomunicaciones/TIC</w:t>
        </w:r>
        <w:r w:rsidR="004D45B5" w:rsidRPr="00585857">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_Toc33632248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19</w:t>
        </w:r>
        <w:r w:rsidR="004D45B5" w:rsidRPr="00585857">
          <w:rPr>
            <w:noProof/>
            <w:webHidden/>
            <w:lang w:val="es-ES_tradnl"/>
          </w:rPr>
          <w:fldChar w:fldCharType="end"/>
        </w:r>
      </w:hyperlink>
    </w:p>
    <w:p w14:paraId="3A102A4E" w14:textId="47D88183" w:rsidR="004D45B5" w:rsidRPr="00585857" w:rsidRDefault="0090342B" w:rsidP="003A7790">
      <w:pPr>
        <w:pStyle w:val="TOC2"/>
        <w:ind w:left="2665"/>
        <w:rPr>
          <w:rFonts w:eastAsiaTheme="minorEastAsia" w:cstheme="minorBidi"/>
          <w:noProof/>
          <w:sz w:val="22"/>
          <w:szCs w:val="22"/>
          <w:lang w:val="es-ES_tradnl"/>
        </w:rPr>
      </w:pPr>
      <w:hyperlink w:anchor="_Toc33632249" w:history="1">
        <w:r w:rsidR="004D45B5" w:rsidRPr="00585857">
          <w:rPr>
            <w:rStyle w:val="Hyperlink"/>
            <w:noProof/>
            <w:lang w:val="es-ES_tradnl"/>
          </w:rPr>
          <w:t>II.1.3 – I.3 Accesibilidad de las telecomunicaciones/TIC</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_Toc33632249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21</w:t>
        </w:r>
        <w:r w:rsidR="004D45B5" w:rsidRPr="00585857">
          <w:rPr>
            <w:noProof/>
            <w:webHidden/>
            <w:lang w:val="es-ES_tradnl"/>
          </w:rPr>
          <w:fldChar w:fldCharType="end"/>
        </w:r>
      </w:hyperlink>
    </w:p>
    <w:p w14:paraId="1933B3E7" w14:textId="45CE17FF" w:rsidR="004D45B5" w:rsidRPr="00585857" w:rsidRDefault="0090342B" w:rsidP="003A7790">
      <w:pPr>
        <w:pStyle w:val="TOC2"/>
        <w:ind w:left="2665"/>
        <w:rPr>
          <w:rFonts w:eastAsiaTheme="minorEastAsia" w:cstheme="minorBidi"/>
          <w:noProof/>
          <w:sz w:val="22"/>
          <w:szCs w:val="22"/>
          <w:lang w:val="es-ES_tradnl"/>
        </w:rPr>
      </w:pPr>
      <w:hyperlink w:anchor="_Toc33632250" w:history="1">
        <w:r w:rsidR="004D45B5" w:rsidRPr="00585857">
          <w:rPr>
            <w:rStyle w:val="Hyperlink"/>
            <w:noProof/>
            <w:lang w:val="es-ES_tradnl"/>
          </w:rPr>
          <w:t>II.1.4 – I.4 Igualdad de género e inclusión</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_Toc33632250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23</w:t>
        </w:r>
        <w:r w:rsidR="004D45B5" w:rsidRPr="00585857">
          <w:rPr>
            <w:noProof/>
            <w:webHidden/>
            <w:lang w:val="es-ES_tradnl"/>
          </w:rPr>
          <w:fldChar w:fldCharType="end"/>
        </w:r>
      </w:hyperlink>
    </w:p>
    <w:p w14:paraId="6F8955EB" w14:textId="313B68F5" w:rsidR="004D45B5" w:rsidRPr="00585857" w:rsidRDefault="0090342B" w:rsidP="003A7790">
      <w:pPr>
        <w:pStyle w:val="TOC2"/>
        <w:ind w:left="2665"/>
        <w:rPr>
          <w:rFonts w:eastAsiaTheme="minorEastAsia" w:cstheme="minorBidi"/>
          <w:noProof/>
          <w:sz w:val="22"/>
          <w:szCs w:val="22"/>
          <w:lang w:val="es-ES_tradnl"/>
        </w:rPr>
      </w:pPr>
      <w:hyperlink w:anchor="_Toc33632251" w:history="1">
        <w:r w:rsidR="004D45B5" w:rsidRPr="00585857">
          <w:rPr>
            <w:rStyle w:val="Hyperlink"/>
            <w:noProof/>
            <w:lang w:val="es-ES_tradnl"/>
          </w:rPr>
          <w:t>II.1.5 – I.5 Sostenibilidad ambiental</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_Toc33632251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25</w:t>
        </w:r>
        <w:r w:rsidR="004D45B5" w:rsidRPr="00585857">
          <w:rPr>
            <w:noProof/>
            <w:webHidden/>
            <w:lang w:val="es-ES_tradnl"/>
          </w:rPr>
          <w:fldChar w:fldCharType="end"/>
        </w:r>
      </w:hyperlink>
    </w:p>
    <w:p w14:paraId="02B210A3" w14:textId="71127E20" w:rsidR="004D45B5" w:rsidRPr="00585857" w:rsidRDefault="0090342B" w:rsidP="003A7790">
      <w:pPr>
        <w:pStyle w:val="TOC2"/>
        <w:ind w:left="2665"/>
        <w:rPr>
          <w:rFonts w:eastAsiaTheme="minorEastAsia" w:cstheme="minorBidi"/>
          <w:noProof/>
          <w:sz w:val="22"/>
          <w:szCs w:val="22"/>
          <w:lang w:val="es-ES_tradnl"/>
        </w:rPr>
      </w:pPr>
      <w:hyperlink w:anchor="_Toc33632252" w:history="1">
        <w:r w:rsidR="004D45B5" w:rsidRPr="00585857">
          <w:rPr>
            <w:rStyle w:val="Hyperlink"/>
            <w:noProof/>
            <w:lang w:val="es-ES_tradnl"/>
          </w:rPr>
          <w:t>II.1.6 – I.6 Reducción de solapamientos y duplicaciones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_Toc33632252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27</w:t>
        </w:r>
        <w:r w:rsidR="004D45B5" w:rsidRPr="00585857">
          <w:rPr>
            <w:noProof/>
            <w:webHidden/>
            <w:lang w:val="es-ES_tradnl"/>
          </w:rPr>
          <w:fldChar w:fldCharType="end"/>
        </w:r>
      </w:hyperlink>
    </w:p>
    <w:p w14:paraId="0434DEDD" w14:textId="0100756D" w:rsidR="004D45B5" w:rsidRPr="00585857" w:rsidRDefault="0090342B" w:rsidP="003A7790">
      <w:pPr>
        <w:pStyle w:val="TOC2"/>
        <w:ind w:left="1701"/>
        <w:rPr>
          <w:rFonts w:eastAsiaTheme="minorEastAsia" w:cstheme="minorBidi"/>
          <w:noProof/>
          <w:sz w:val="22"/>
          <w:szCs w:val="22"/>
          <w:lang w:val="es-ES_tradnl"/>
        </w:rPr>
      </w:pPr>
      <w:hyperlink w:anchor="_Toc33632253" w:history="1">
        <w:r w:rsidR="004D45B5" w:rsidRPr="00585857">
          <w:rPr>
            <w:rStyle w:val="Hyperlink"/>
            <w:noProof/>
            <w:lang w:val="es-ES_tradnl"/>
          </w:rPr>
          <w:t>II.2</w:t>
        </w:r>
        <w:r w:rsidR="004D45B5" w:rsidRPr="00585857">
          <w:rPr>
            <w:rFonts w:eastAsiaTheme="minorEastAsia" w:cstheme="minorBidi"/>
            <w:noProof/>
            <w:sz w:val="22"/>
            <w:szCs w:val="22"/>
            <w:lang w:val="es-ES_tradnl"/>
          </w:rPr>
          <w:tab/>
        </w:r>
        <w:r w:rsidR="004D45B5" w:rsidRPr="00585857">
          <w:rPr>
            <w:rStyle w:val="Hyperlink"/>
            <w:noProof/>
            <w:lang w:val="es-ES_tradnl"/>
          </w:rPr>
          <w:t>Objetivos del Sector de Radiocomunicaciones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_Toc33632253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29</w:t>
        </w:r>
        <w:r w:rsidR="004D45B5" w:rsidRPr="00585857">
          <w:rPr>
            <w:noProof/>
            <w:webHidden/>
            <w:lang w:val="es-ES_tradnl"/>
          </w:rPr>
          <w:fldChar w:fldCharType="end"/>
        </w:r>
      </w:hyperlink>
    </w:p>
    <w:p w14:paraId="7B5666C0" w14:textId="311BB0A4" w:rsidR="004D45B5" w:rsidRPr="00585857" w:rsidRDefault="0090342B" w:rsidP="003A7790">
      <w:pPr>
        <w:pStyle w:val="TOC2"/>
        <w:ind w:left="2665"/>
        <w:rPr>
          <w:rFonts w:eastAsiaTheme="minorEastAsia" w:cstheme="minorBidi"/>
          <w:noProof/>
          <w:sz w:val="22"/>
          <w:szCs w:val="22"/>
          <w:lang w:val="es-ES_tradnl"/>
        </w:rPr>
      </w:pPr>
      <w:hyperlink w:anchor="_Toc33632254" w:history="1">
        <w:r w:rsidR="004D45B5" w:rsidRPr="003A7790">
          <w:rPr>
            <w:rStyle w:val="Hyperlink"/>
            <w:bCs/>
            <w:noProof/>
            <w:lang w:val="es-ES_tradnl"/>
          </w:rPr>
          <w:t>II</w:t>
        </w:r>
        <w:r w:rsidR="004D45B5" w:rsidRPr="00585857">
          <w:rPr>
            <w:rStyle w:val="Hyperlink"/>
            <w:noProof/>
            <w:lang w:val="es-ES_tradnl"/>
          </w:rPr>
          <w:t>.2.1 – R.1 Reglamentación y gestión del espectro/las órbitas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_Toc33632254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30</w:t>
        </w:r>
        <w:r w:rsidR="004D45B5" w:rsidRPr="00585857">
          <w:rPr>
            <w:noProof/>
            <w:webHidden/>
            <w:lang w:val="es-ES_tradnl"/>
          </w:rPr>
          <w:fldChar w:fldCharType="end"/>
        </w:r>
      </w:hyperlink>
    </w:p>
    <w:p w14:paraId="3CB0D9DD" w14:textId="560DADEB" w:rsidR="004D45B5" w:rsidRPr="00585857" w:rsidRDefault="0090342B" w:rsidP="003A7790">
      <w:pPr>
        <w:pStyle w:val="TOC2"/>
        <w:ind w:left="2665"/>
        <w:rPr>
          <w:rFonts w:eastAsiaTheme="minorEastAsia" w:cstheme="minorBidi"/>
          <w:noProof/>
          <w:sz w:val="22"/>
          <w:szCs w:val="22"/>
          <w:lang w:val="es-ES_tradnl"/>
        </w:rPr>
      </w:pPr>
      <w:hyperlink w:anchor="_Toc33632255" w:history="1">
        <w:r w:rsidR="004D45B5" w:rsidRPr="003A7790">
          <w:rPr>
            <w:rStyle w:val="Hyperlink"/>
            <w:bCs/>
            <w:noProof/>
            <w:lang w:val="es-ES_tradnl"/>
          </w:rPr>
          <w:t>II</w:t>
        </w:r>
        <w:r w:rsidR="004D45B5" w:rsidRPr="00585857">
          <w:rPr>
            <w:rStyle w:val="Hyperlink"/>
            <w:noProof/>
            <w:lang w:val="es-ES_tradnl"/>
          </w:rPr>
          <w:t>.2.2 – R.2 Normas de radiocomunicaciones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_Toc33632255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32</w:t>
        </w:r>
        <w:r w:rsidR="004D45B5" w:rsidRPr="00585857">
          <w:rPr>
            <w:noProof/>
            <w:webHidden/>
            <w:lang w:val="es-ES_tradnl"/>
          </w:rPr>
          <w:fldChar w:fldCharType="end"/>
        </w:r>
      </w:hyperlink>
    </w:p>
    <w:p w14:paraId="67A2C33B" w14:textId="5977478C" w:rsidR="004D45B5" w:rsidRPr="00585857" w:rsidRDefault="0090342B" w:rsidP="003A7790">
      <w:pPr>
        <w:pStyle w:val="TOC2"/>
        <w:ind w:left="2665"/>
        <w:rPr>
          <w:rFonts w:eastAsiaTheme="minorEastAsia" w:cstheme="minorBidi"/>
          <w:noProof/>
          <w:sz w:val="22"/>
          <w:szCs w:val="22"/>
          <w:lang w:val="es-ES_tradnl"/>
        </w:rPr>
      </w:pPr>
      <w:hyperlink w:anchor="_Toc33632256" w:history="1">
        <w:r w:rsidR="004D45B5" w:rsidRPr="003A7790">
          <w:rPr>
            <w:rStyle w:val="Hyperlink"/>
            <w:bCs/>
            <w:noProof/>
            <w:lang w:val="es-ES_tradnl"/>
          </w:rPr>
          <w:t>II</w:t>
        </w:r>
        <w:r w:rsidR="004D45B5" w:rsidRPr="00585857">
          <w:rPr>
            <w:rStyle w:val="Hyperlink"/>
            <w:noProof/>
            <w:lang w:val="es-ES_tradnl"/>
          </w:rPr>
          <w:t>.2.3 – R.3 Intercambio de conocimientos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_Toc33632256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34</w:t>
        </w:r>
        <w:r w:rsidR="004D45B5" w:rsidRPr="00585857">
          <w:rPr>
            <w:noProof/>
            <w:webHidden/>
            <w:lang w:val="es-ES_tradnl"/>
          </w:rPr>
          <w:fldChar w:fldCharType="end"/>
        </w:r>
      </w:hyperlink>
    </w:p>
    <w:p w14:paraId="6A28A75E" w14:textId="444E9870" w:rsidR="004D45B5" w:rsidRPr="00585857" w:rsidRDefault="0090342B" w:rsidP="003A7790">
      <w:pPr>
        <w:pStyle w:val="TOC2"/>
        <w:ind w:left="1701"/>
        <w:rPr>
          <w:rFonts w:eastAsiaTheme="minorEastAsia" w:cstheme="minorBidi"/>
          <w:noProof/>
          <w:sz w:val="22"/>
          <w:szCs w:val="22"/>
          <w:lang w:val="es-ES_tradnl"/>
        </w:rPr>
      </w:pPr>
      <w:hyperlink w:anchor="_Toc33632257" w:history="1">
        <w:r w:rsidR="004D45B5" w:rsidRPr="00585857">
          <w:rPr>
            <w:rStyle w:val="Hyperlink"/>
            <w:noProof/>
            <w:lang w:val="es-ES_tradnl"/>
          </w:rPr>
          <w:t>II.3</w:t>
        </w:r>
        <w:r w:rsidR="004D45B5" w:rsidRPr="00585857">
          <w:rPr>
            <w:rFonts w:eastAsiaTheme="minorEastAsia" w:cstheme="minorBidi"/>
            <w:noProof/>
            <w:sz w:val="22"/>
            <w:szCs w:val="22"/>
            <w:lang w:val="es-ES_tradnl"/>
          </w:rPr>
          <w:tab/>
        </w:r>
        <w:r w:rsidR="004D45B5" w:rsidRPr="00585857">
          <w:rPr>
            <w:rStyle w:val="Hyperlink"/>
            <w:noProof/>
            <w:lang w:val="es-ES_tradnl"/>
          </w:rPr>
          <w:t>Objetivos del Sector de Normalización de las Telecomunicaciones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_Toc33632257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36</w:t>
        </w:r>
        <w:r w:rsidR="004D45B5" w:rsidRPr="00585857">
          <w:rPr>
            <w:noProof/>
            <w:webHidden/>
            <w:lang w:val="es-ES_tradnl"/>
          </w:rPr>
          <w:fldChar w:fldCharType="end"/>
        </w:r>
      </w:hyperlink>
    </w:p>
    <w:p w14:paraId="34A9A16F" w14:textId="6CAA2A05" w:rsidR="004D45B5" w:rsidRPr="00585857" w:rsidRDefault="0090342B" w:rsidP="003A7790">
      <w:pPr>
        <w:pStyle w:val="TOC2"/>
        <w:ind w:left="2665"/>
        <w:rPr>
          <w:rFonts w:eastAsiaTheme="minorEastAsia" w:cstheme="minorBidi"/>
          <w:noProof/>
          <w:sz w:val="22"/>
          <w:szCs w:val="22"/>
          <w:lang w:val="es-ES_tradnl"/>
        </w:rPr>
      </w:pPr>
      <w:hyperlink w:anchor="_Toc33632258" w:history="1">
        <w:r w:rsidR="004D45B5" w:rsidRPr="00585857">
          <w:rPr>
            <w:rStyle w:val="Hyperlink"/>
            <w:noProof/>
            <w:lang w:val="es-ES_tradnl"/>
          </w:rPr>
          <w:t>II.3.1 – T.1 Elaboración de normas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_Toc33632258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37</w:t>
        </w:r>
        <w:r w:rsidR="004D45B5" w:rsidRPr="00585857">
          <w:rPr>
            <w:noProof/>
            <w:webHidden/>
            <w:lang w:val="es-ES_tradnl"/>
          </w:rPr>
          <w:fldChar w:fldCharType="end"/>
        </w:r>
      </w:hyperlink>
    </w:p>
    <w:p w14:paraId="6AA2E275" w14:textId="410418C1" w:rsidR="004D45B5" w:rsidRPr="00585857" w:rsidRDefault="0090342B" w:rsidP="003A7790">
      <w:pPr>
        <w:pStyle w:val="TOC2"/>
        <w:ind w:left="2665"/>
        <w:rPr>
          <w:rFonts w:eastAsiaTheme="minorEastAsia" w:cstheme="minorBidi"/>
          <w:noProof/>
          <w:sz w:val="22"/>
          <w:szCs w:val="22"/>
          <w:lang w:val="es-ES_tradnl"/>
        </w:rPr>
      </w:pPr>
      <w:hyperlink w:anchor="_Toc33632259" w:history="1">
        <w:r w:rsidR="004D45B5" w:rsidRPr="00585857">
          <w:rPr>
            <w:rStyle w:val="Hyperlink"/>
            <w:noProof/>
            <w:lang w:val="es-ES_tradnl"/>
          </w:rPr>
          <w:t>II.3.2 – T.2 Reducción de la brecha normativa</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_Toc33632259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39</w:t>
        </w:r>
        <w:r w:rsidR="004D45B5" w:rsidRPr="00585857">
          <w:rPr>
            <w:noProof/>
            <w:webHidden/>
            <w:lang w:val="es-ES_tradnl"/>
          </w:rPr>
          <w:fldChar w:fldCharType="end"/>
        </w:r>
      </w:hyperlink>
    </w:p>
    <w:p w14:paraId="05D6991F" w14:textId="2745A2E8" w:rsidR="004D45B5" w:rsidRPr="00585857" w:rsidRDefault="0090342B" w:rsidP="003A7790">
      <w:pPr>
        <w:pStyle w:val="TOC2"/>
        <w:ind w:left="2665"/>
        <w:rPr>
          <w:rFonts w:eastAsiaTheme="minorEastAsia" w:cstheme="minorBidi"/>
          <w:noProof/>
          <w:sz w:val="22"/>
          <w:szCs w:val="22"/>
          <w:lang w:val="es-ES_tradnl"/>
        </w:rPr>
      </w:pPr>
      <w:hyperlink w:anchor="_Toc33632260" w:history="1">
        <w:r w:rsidR="004D45B5" w:rsidRPr="003A7790">
          <w:rPr>
            <w:rStyle w:val="Hyperlink"/>
            <w:bCs/>
            <w:noProof/>
            <w:lang w:val="es-ES_tradnl"/>
          </w:rPr>
          <w:t>II</w:t>
        </w:r>
        <w:r w:rsidR="004D45B5" w:rsidRPr="00585857">
          <w:rPr>
            <w:rStyle w:val="Hyperlink"/>
            <w:noProof/>
            <w:lang w:val="es-ES_tradnl"/>
          </w:rPr>
          <w:t>.3.3 – T.3 Recursos de telecomunicaciones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_Toc33632260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41</w:t>
        </w:r>
        <w:r w:rsidR="004D45B5" w:rsidRPr="00585857">
          <w:rPr>
            <w:noProof/>
            <w:webHidden/>
            <w:lang w:val="es-ES_tradnl"/>
          </w:rPr>
          <w:fldChar w:fldCharType="end"/>
        </w:r>
      </w:hyperlink>
    </w:p>
    <w:p w14:paraId="14BCDBFC" w14:textId="2920AE8C" w:rsidR="004D45B5" w:rsidRPr="00585857" w:rsidRDefault="0090342B" w:rsidP="003A7790">
      <w:pPr>
        <w:pStyle w:val="TOC2"/>
        <w:ind w:left="2665"/>
        <w:rPr>
          <w:rFonts w:eastAsiaTheme="minorEastAsia" w:cstheme="minorBidi"/>
          <w:noProof/>
          <w:sz w:val="22"/>
          <w:szCs w:val="22"/>
          <w:lang w:val="es-ES_tradnl"/>
        </w:rPr>
      </w:pPr>
      <w:hyperlink w:anchor="_Toc33632261" w:history="1">
        <w:r w:rsidR="004D45B5" w:rsidRPr="00585857">
          <w:rPr>
            <w:rStyle w:val="Hyperlink"/>
            <w:noProof/>
            <w:lang w:val="es-ES_tradnl"/>
          </w:rPr>
          <w:t>II.3.4 – T.4 Intercambio de conocimientos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_Toc33632261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43</w:t>
        </w:r>
        <w:r w:rsidR="004D45B5" w:rsidRPr="00585857">
          <w:rPr>
            <w:noProof/>
            <w:webHidden/>
            <w:lang w:val="es-ES_tradnl"/>
          </w:rPr>
          <w:fldChar w:fldCharType="end"/>
        </w:r>
      </w:hyperlink>
    </w:p>
    <w:p w14:paraId="2C4FFBFC" w14:textId="371CBCD1" w:rsidR="004D45B5" w:rsidRPr="00585857" w:rsidRDefault="0090342B" w:rsidP="003A7790">
      <w:pPr>
        <w:pStyle w:val="TOC2"/>
        <w:ind w:left="2665"/>
        <w:rPr>
          <w:rFonts w:eastAsiaTheme="minorEastAsia" w:cstheme="minorBidi"/>
          <w:noProof/>
          <w:sz w:val="22"/>
          <w:szCs w:val="22"/>
          <w:lang w:val="es-ES_tradnl"/>
        </w:rPr>
      </w:pPr>
      <w:hyperlink w:anchor="_Toc33632262" w:history="1">
        <w:r w:rsidR="004D45B5" w:rsidRPr="00585857">
          <w:rPr>
            <w:rStyle w:val="Hyperlink"/>
            <w:noProof/>
            <w:lang w:val="es-ES_tradnl"/>
          </w:rPr>
          <w:t>II.3.5 – T.5 Colaboración con organismos de normalización</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_Toc33632262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45</w:t>
        </w:r>
        <w:r w:rsidR="004D45B5" w:rsidRPr="00585857">
          <w:rPr>
            <w:noProof/>
            <w:webHidden/>
            <w:lang w:val="es-ES_tradnl"/>
          </w:rPr>
          <w:fldChar w:fldCharType="end"/>
        </w:r>
      </w:hyperlink>
    </w:p>
    <w:p w14:paraId="1382B72F" w14:textId="4541B66C" w:rsidR="004D45B5" w:rsidRPr="00585857" w:rsidRDefault="0090342B" w:rsidP="003A7790">
      <w:pPr>
        <w:pStyle w:val="TOC2"/>
        <w:ind w:left="1701"/>
        <w:rPr>
          <w:rFonts w:eastAsiaTheme="minorEastAsia" w:cstheme="minorBidi"/>
          <w:noProof/>
          <w:sz w:val="22"/>
          <w:szCs w:val="22"/>
          <w:lang w:val="es-ES_tradnl"/>
        </w:rPr>
      </w:pPr>
      <w:hyperlink w:anchor="_Toc33632263" w:history="1">
        <w:r w:rsidR="004D45B5" w:rsidRPr="00585857">
          <w:rPr>
            <w:rStyle w:val="Hyperlink"/>
            <w:noProof/>
            <w:lang w:val="es-ES_tradnl"/>
          </w:rPr>
          <w:t>II.4</w:t>
        </w:r>
        <w:r w:rsidR="004D45B5" w:rsidRPr="00585857">
          <w:rPr>
            <w:rFonts w:eastAsiaTheme="minorEastAsia" w:cstheme="minorBidi"/>
            <w:noProof/>
            <w:sz w:val="22"/>
            <w:szCs w:val="22"/>
            <w:lang w:val="es-ES_tradnl"/>
          </w:rPr>
          <w:tab/>
        </w:r>
        <w:r w:rsidR="004D45B5" w:rsidRPr="00585857">
          <w:rPr>
            <w:rStyle w:val="Hyperlink"/>
            <w:noProof/>
            <w:lang w:val="es-ES_tradnl"/>
          </w:rPr>
          <w:t>Objetivos del Sector de Desarrollo de las Telecomunicaciones</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_Toc33632263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47</w:t>
        </w:r>
        <w:r w:rsidR="004D45B5" w:rsidRPr="00585857">
          <w:rPr>
            <w:noProof/>
            <w:webHidden/>
            <w:lang w:val="es-ES_tradnl"/>
          </w:rPr>
          <w:fldChar w:fldCharType="end"/>
        </w:r>
      </w:hyperlink>
    </w:p>
    <w:p w14:paraId="18BA483D" w14:textId="73CD9FB7" w:rsidR="004D45B5" w:rsidRPr="00585857" w:rsidRDefault="0090342B" w:rsidP="003A7790">
      <w:pPr>
        <w:pStyle w:val="TOC2"/>
        <w:ind w:left="2665"/>
        <w:rPr>
          <w:rFonts w:eastAsiaTheme="minorEastAsia" w:cstheme="minorBidi"/>
          <w:noProof/>
          <w:sz w:val="22"/>
          <w:szCs w:val="22"/>
          <w:lang w:val="es-ES_tradnl"/>
        </w:rPr>
      </w:pPr>
      <w:hyperlink w:anchor="_Toc33632264" w:history="1">
        <w:r w:rsidR="004D45B5" w:rsidRPr="00585857">
          <w:rPr>
            <w:rStyle w:val="Hyperlink"/>
            <w:noProof/>
            <w:lang w:val="es-ES_tradnl"/>
          </w:rPr>
          <w:t>II.4.1 – D.1 Coordinación</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_Toc33632264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48</w:t>
        </w:r>
        <w:r w:rsidR="004D45B5" w:rsidRPr="00585857">
          <w:rPr>
            <w:noProof/>
            <w:webHidden/>
            <w:lang w:val="es-ES_tradnl"/>
          </w:rPr>
          <w:fldChar w:fldCharType="end"/>
        </w:r>
      </w:hyperlink>
    </w:p>
    <w:p w14:paraId="3D720E8C" w14:textId="53BEC963" w:rsidR="004D45B5" w:rsidRPr="00585857" w:rsidRDefault="0090342B" w:rsidP="003A7790">
      <w:pPr>
        <w:pStyle w:val="TOC2"/>
        <w:ind w:left="2665"/>
        <w:rPr>
          <w:rFonts w:eastAsiaTheme="minorEastAsia" w:cstheme="minorBidi"/>
          <w:noProof/>
          <w:sz w:val="22"/>
          <w:szCs w:val="22"/>
          <w:lang w:val="es-ES_tradnl"/>
        </w:rPr>
      </w:pPr>
      <w:hyperlink w:anchor="_Toc33632265" w:history="1">
        <w:r w:rsidR="004D45B5" w:rsidRPr="00585857">
          <w:rPr>
            <w:rStyle w:val="Hyperlink"/>
            <w:noProof/>
            <w:lang w:val="es-ES_tradnl"/>
          </w:rPr>
          <w:t>II.4.2 – D.2 Infraestructura de telecomunicaciones/TIC moderna y segura</w:t>
        </w:r>
        <w:r w:rsidR="004D45B5" w:rsidRPr="00585857">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_Toc33632265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52</w:t>
        </w:r>
        <w:r w:rsidR="004D45B5" w:rsidRPr="00585857">
          <w:rPr>
            <w:noProof/>
            <w:webHidden/>
            <w:lang w:val="es-ES_tradnl"/>
          </w:rPr>
          <w:fldChar w:fldCharType="end"/>
        </w:r>
      </w:hyperlink>
    </w:p>
    <w:p w14:paraId="5BA4E826" w14:textId="252B1491" w:rsidR="004D45B5" w:rsidRPr="00585857" w:rsidRDefault="0090342B" w:rsidP="003A7790">
      <w:pPr>
        <w:pStyle w:val="TOC2"/>
        <w:ind w:left="2665"/>
        <w:rPr>
          <w:rFonts w:eastAsiaTheme="minorEastAsia" w:cstheme="minorBidi"/>
          <w:noProof/>
          <w:sz w:val="22"/>
          <w:szCs w:val="22"/>
          <w:lang w:val="es-ES_tradnl"/>
        </w:rPr>
      </w:pPr>
      <w:hyperlink w:anchor="_Toc33632266" w:history="1">
        <w:r w:rsidR="004D45B5" w:rsidRPr="00585857">
          <w:rPr>
            <w:rStyle w:val="Hyperlink"/>
            <w:noProof/>
            <w:lang w:val="es-ES_tradnl"/>
          </w:rPr>
          <w:t>II.4.3 – D.3 Entorno habilitador</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_Toc33632266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55</w:t>
        </w:r>
        <w:r w:rsidR="004D45B5" w:rsidRPr="00585857">
          <w:rPr>
            <w:noProof/>
            <w:webHidden/>
            <w:lang w:val="es-ES_tradnl"/>
          </w:rPr>
          <w:fldChar w:fldCharType="end"/>
        </w:r>
      </w:hyperlink>
    </w:p>
    <w:p w14:paraId="606AEB18" w14:textId="7E1D15B4" w:rsidR="004D45B5" w:rsidRPr="00585857" w:rsidRDefault="0090342B" w:rsidP="003A7790">
      <w:pPr>
        <w:pStyle w:val="TOC2"/>
        <w:ind w:left="2665"/>
        <w:rPr>
          <w:rFonts w:eastAsiaTheme="minorEastAsia" w:cstheme="minorBidi"/>
          <w:noProof/>
          <w:sz w:val="22"/>
          <w:szCs w:val="22"/>
          <w:lang w:val="es-ES_tradnl"/>
        </w:rPr>
      </w:pPr>
      <w:hyperlink w:anchor="_Toc33632267" w:history="1">
        <w:r w:rsidR="004D45B5" w:rsidRPr="00585857">
          <w:rPr>
            <w:rStyle w:val="Hyperlink"/>
            <w:noProof/>
            <w:lang w:val="es-ES_tradnl"/>
          </w:rPr>
          <w:t>II.4.4 – D.4 Sociedad de la información integradora</w:t>
        </w:r>
        <w:r w:rsidR="004D45B5" w:rsidRPr="00585857">
          <w:rPr>
            <w:noProof/>
            <w:webHidden/>
            <w:lang w:val="es-ES_tradnl"/>
          </w:rPr>
          <w:tab/>
        </w:r>
        <w:r w:rsidR="003A7790">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_Toc33632267 \h </w:instrText>
        </w:r>
        <w:r w:rsidR="004D45B5" w:rsidRPr="00585857">
          <w:rPr>
            <w:noProof/>
            <w:webHidden/>
            <w:lang w:val="es-ES_tradnl"/>
          </w:rPr>
        </w:r>
        <w:r w:rsidR="004D45B5" w:rsidRPr="00585857">
          <w:rPr>
            <w:noProof/>
            <w:webHidden/>
            <w:lang w:val="es-ES_tradnl"/>
          </w:rPr>
          <w:fldChar w:fldCharType="separate"/>
        </w:r>
        <w:r w:rsidR="00E2673A">
          <w:rPr>
            <w:noProof/>
            <w:webHidden/>
            <w:lang w:val="es-ES_tradnl"/>
          </w:rPr>
          <w:t>59</w:t>
        </w:r>
        <w:r w:rsidR="004D45B5" w:rsidRPr="00585857">
          <w:rPr>
            <w:noProof/>
            <w:webHidden/>
            <w:lang w:val="es-ES_tradnl"/>
          </w:rPr>
          <w:fldChar w:fldCharType="end"/>
        </w:r>
      </w:hyperlink>
    </w:p>
    <w:p w14:paraId="407EA31D" w14:textId="52F8618A" w:rsidR="00C84240" w:rsidRPr="00585857" w:rsidRDefault="004D45B5" w:rsidP="004D45B5">
      <w:pPr>
        <w:rPr>
          <w:lang w:val="es-ES_tradnl"/>
        </w:rPr>
      </w:pPr>
      <w:r w:rsidRPr="00585857">
        <w:rPr>
          <w:lang w:val="es-ES_tradnl"/>
        </w:rPr>
        <w:fldChar w:fldCharType="end"/>
      </w:r>
      <w:r w:rsidR="00C84240" w:rsidRPr="00585857">
        <w:rPr>
          <w:lang w:val="es-ES_tradnl"/>
        </w:rPr>
        <w:br w:type="page"/>
      </w:r>
    </w:p>
    <w:p w14:paraId="231F60B9" w14:textId="5DBC6436" w:rsidR="00C84240" w:rsidRPr="00585857" w:rsidRDefault="00C84240" w:rsidP="00F04E0C">
      <w:pPr>
        <w:pStyle w:val="Heading2"/>
        <w:rPr>
          <w:lang w:val="es-ES_tradnl"/>
        </w:rPr>
      </w:pPr>
      <w:bookmarkStart w:id="62" w:name="_Toc33632084"/>
      <w:bookmarkStart w:id="63" w:name="_Toc33632245"/>
      <w:r w:rsidRPr="00585857">
        <w:rPr>
          <w:lang w:val="es-ES_tradnl"/>
        </w:rPr>
        <w:lastRenderedPageBreak/>
        <w:t>II.0</w:t>
      </w:r>
      <w:r w:rsidRPr="00585857">
        <w:rPr>
          <w:lang w:val="es-ES_tradnl"/>
        </w:rPr>
        <w:tab/>
      </w:r>
      <w:bookmarkEnd w:id="62"/>
      <w:bookmarkEnd w:id="63"/>
      <w:r w:rsidR="00E2673A">
        <w:rPr>
          <w:lang w:val="es-ES_tradnl"/>
        </w:rPr>
        <w:t>Resumen</w:t>
      </w:r>
    </w:p>
    <w:p w14:paraId="5926A74D" w14:textId="749D725A" w:rsidR="00C84240" w:rsidRPr="00585857" w:rsidRDefault="00C84240" w:rsidP="00C84240">
      <w:pPr>
        <w:rPr>
          <w:lang w:val="es-ES_tradnl"/>
        </w:rPr>
      </w:pPr>
      <w:bookmarkStart w:id="64" w:name="lt_pId076"/>
      <w:r w:rsidRPr="00585857">
        <w:rPr>
          <w:b/>
          <w:bCs/>
          <w:lang w:val="es-ES_tradnl"/>
        </w:rPr>
        <w:t>II.0.1</w:t>
      </w:r>
      <w:bookmarkEnd w:id="64"/>
      <w:r w:rsidRPr="00585857">
        <w:rPr>
          <w:lang w:val="es-ES_tradnl"/>
        </w:rPr>
        <w:tab/>
      </w:r>
      <w:bookmarkStart w:id="65" w:name="lt_pId077"/>
      <w:r w:rsidR="005C3076">
        <w:rPr>
          <w:lang w:val="es-ES_tradnl"/>
        </w:rPr>
        <w:t xml:space="preserve">En el proyecto de Plan Operacional de la UIT para </w:t>
      </w:r>
      <w:r w:rsidRPr="00585857">
        <w:rPr>
          <w:lang w:val="es-ES_tradnl"/>
        </w:rPr>
        <w:t xml:space="preserve">2021-2024 </w:t>
      </w:r>
      <w:r w:rsidR="005C3076">
        <w:rPr>
          <w:lang w:val="es-ES_tradnl"/>
        </w:rPr>
        <w:t xml:space="preserve">se facilita información para la implementación de 18 objetivos estratégicos que se reparten como sigue: </w:t>
      </w:r>
      <w:bookmarkEnd w:id="65"/>
    </w:p>
    <w:p w14:paraId="35FBD51A" w14:textId="4CCA4DBF" w:rsidR="00C84240" w:rsidRPr="00585857" w:rsidRDefault="00B46AEE" w:rsidP="00C84240">
      <w:pPr>
        <w:pStyle w:val="enumlev1"/>
        <w:rPr>
          <w:lang w:val="es-ES_tradnl"/>
        </w:rPr>
      </w:pPr>
      <w:r w:rsidRPr="00585857">
        <w:rPr>
          <w:lang w:val="es-ES_tradnl"/>
        </w:rPr>
        <w:t>–</w:t>
      </w:r>
      <w:r w:rsidRPr="00585857">
        <w:rPr>
          <w:lang w:val="es-ES_tradnl"/>
        </w:rPr>
        <w:tab/>
      </w:r>
      <w:bookmarkStart w:id="66" w:name="lt_pId079"/>
      <w:r w:rsidR="003A7CC7" w:rsidRPr="00585857">
        <w:rPr>
          <w:lang w:val="es-ES_tradnl"/>
        </w:rPr>
        <w:t>6 objetivos intersectoriales</w:t>
      </w:r>
      <w:r w:rsidR="00C84240" w:rsidRPr="00585857">
        <w:rPr>
          <w:lang w:val="es-ES_tradnl"/>
        </w:rPr>
        <w:t>;</w:t>
      </w:r>
      <w:bookmarkEnd w:id="66"/>
    </w:p>
    <w:p w14:paraId="192B1EB7" w14:textId="4FA42006" w:rsidR="00C84240" w:rsidRPr="00585857" w:rsidRDefault="00B46AEE" w:rsidP="00C84240">
      <w:pPr>
        <w:pStyle w:val="enumlev1"/>
        <w:rPr>
          <w:lang w:val="es-ES_tradnl"/>
        </w:rPr>
      </w:pPr>
      <w:r w:rsidRPr="00585857">
        <w:rPr>
          <w:lang w:val="es-ES_tradnl"/>
        </w:rPr>
        <w:t>–</w:t>
      </w:r>
      <w:r w:rsidRPr="00585857">
        <w:rPr>
          <w:lang w:val="es-ES_tradnl"/>
        </w:rPr>
        <w:tab/>
      </w:r>
      <w:bookmarkStart w:id="67" w:name="lt_pId081"/>
      <w:r w:rsidR="003A7CC7" w:rsidRPr="00585857">
        <w:rPr>
          <w:lang w:val="es-ES_tradnl"/>
        </w:rPr>
        <w:t>3 objetivos del Sector de Radiocomunicaciones</w:t>
      </w:r>
      <w:r w:rsidR="00C84240" w:rsidRPr="00585857">
        <w:rPr>
          <w:lang w:val="es-ES_tradnl"/>
        </w:rPr>
        <w:t>;</w:t>
      </w:r>
      <w:bookmarkEnd w:id="67"/>
    </w:p>
    <w:p w14:paraId="264604E9" w14:textId="23A1972E" w:rsidR="00C84240" w:rsidRPr="00585857" w:rsidRDefault="00B46AEE" w:rsidP="00C84240">
      <w:pPr>
        <w:pStyle w:val="enumlev1"/>
        <w:rPr>
          <w:lang w:val="es-ES_tradnl"/>
        </w:rPr>
      </w:pPr>
      <w:r w:rsidRPr="00585857">
        <w:rPr>
          <w:lang w:val="es-ES_tradnl"/>
        </w:rPr>
        <w:t>–</w:t>
      </w:r>
      <w:r w:rsidRPr="00585857">
        <w:rPr>
          <w:lang w:val="es-ES_tradnl"/>
        </w:rPr>
        <w:tab/>
      </w:r>
      <w:bookmarkStart w:id="68" w:name="lt_pId083"/>
      <w:r w:rsidR="003A7CC7" w:rsidRPr="00585857">
        <w:rPr>
          <w:lang w:val="es-ES_tradnl"/>
        </w:rPr>
        <w:t>5 objetivos del Sector de Normalización de las Telecomunicaciones</w:t>
      </w:r>
      <w:r w:rsidR="00C84240" w:rsidRPr="00585857">
        <w:rPr>
          <w:lang w:val="es-ES_tradnl"/>
        </w:rPr>
        <w:t>;</w:t>
      </w:r>
      <w:bookmarkEnd w:id="68"/>
    </w:p>
    <w:p w14:paraId="67371B7C" w14:textId="21760C11" w:rsidR="00C84240" w:rsidRPr="00585857" w:rsidRDefault="00B46AEE" w:rsidP="00C84240">
      <w:pPr>
        <w:pStyle w:val="enumlev1"/>
        <w:rPr>
          <w:lang w:val="es-ES_tradnl"/>
        </w:rPr>
      </w:pPr>
      <w:r w:rsidRPr="00585857">
        <w:rPr>
          <w:lang w:val="es-ES_tradnl"/>
        </w:rPr>
        <w:t>–</w:t>
      </w:r>
      <w:r w:rsidRPr="00585857">
        <w:rPr>
          <w:lang w:val="es-ES_tradnl"/>
        </w:rPr>
        <w:tab/>
      </w:r>
      <w:bookmarkStart w:id="69" w:name="lt_pId085"/>
      <w:r w:rsidR="003A7CC7" w:rsidRPr="00585857">
        <w:rPr>
          <w:lang w:val="es-ES_tradnl"/>
        </w:rPr>
        <w:t>4 objetivos del Sector de Desarrollo de las Telecomunicaciones</w:t>
      </w:r>
      <w:r w:rsidR="00C84240" w:rsidRPr="00585857">
        <w:rPr>
          <w:lang w:val="es-ES_tradnl"/>
        </w:rPr>
        <w:t>.</w:t>
      </w:r>
      <w:bookmarkEnd w:id="69"/>
    </w:p>
    <w:p w14:paraId="00F55E8D" w14:textId="4F18D816" w:rsidR="00C84240" w:rsidRPr="00585857" w:rsidRDefault="00C84240" w:rsidP="00C84240">
      <w:pPr>
        <w:rPr>
          <w:lang w:val="es-ES_tradnl"/>
        </w:rPr>
      </w:pPr>
      <w:bookmarkStart w:id="70" w:name="lt_pId086"/>
      <w:r w:rsidRPr="00585857">
        <w:rPr>
          <w:b/>
          <w:bCs/>
          <w:lang w:val="es-ES_tradnl"/>
        </w:rPr>
        <w:t>II.0.2</w:t>
      </w:r>
      <w:bookmarkEnd w:id="70"/>
      <w:r w:rsidRPr="00585857">
        <w:rPr>
          <w:lang w:val="es-ES_tradnl"/>
        </w:rPr>
        <w:tab/>
      </w:r>
      <w:bookmarkStart w:id="71" w:name="lt_pId087"/>
      <w:r w:rsidR="005C3076">
        <w:rPr>
          <w:lang w:val="es-ES_tradnl"/>
        </w:rPr>
        <w:t>Para cada objetivo, se facilita la siguiente información</w:t>
      </w:r>
      <w:r w:rsidRPr="00585857">
        <w:rPr>
          <w:lang w:val="es-ES_tradnl"/>
        </w:rPr>
        <w:t>:</w:t>
      </w:r>
      <w:bookmarkEnd w:id="71"/>
    </w:p>
    <w:p w14:paraId="047DBC23" w14:textId="5A80A579" w:rsidR="00C84240" w:rsidRPr="00585857" w:rsidRDefault="00B46AEE" w:rsidP="00B46AEE">
      <w:pPr>
        <w:pStyle w:val="enumlev1"/>
        <w:rPr>
          <w:lang w:val="es-ES_tradnl"/>
        </w:rPr>
      </w:pPr>
      <w:bookmarkStart w:id="72" w:name="lt_pId088"/>
      <w:r w:rsidRPr="00585857">
        <w:rPr>
          <w:lang w:val="es-ES_tradnl"/>
        </w:rPr>
        <w:t>–</w:t>
      </w:r>
      <w:r w:rsidRPr="00585857">
        <w:rPr>
          <w:lang w:val="es-ES_tradnl"/>
        </w:rPr>
        <w:tab/>
      </w:r>
      <w:r w:rsidR="000A6517">
        <w:rPr>
          <w:lang w:val="es-ES_tradnl"/>
        </w:rPr>
        <w:t>d</w:t>
      </w:r>
      <w:r w:rsidR="00805497" w:rsidRPr="00585857">
        <w:rPr>
          <w:lang w:val="es-ES_tradnl"/>
        </w:rPr>
        <w:t>escripción del objetivo</w:t>
      </w:r>
      <w:r w:rsidR="00C84240" w:rsidRPr="00585857">
        <w:rPr>
          <w:lang w:val="es-ES_tradnl"/>
        </w:rPr>
        <w:t>;</w:t>
      </w:r>
      <w:bookmarkEnd w:id="72"/>
    </w:p>
    <w:p w14:paraId="66A73679" w14:textId="32BD7D11" w:rsidR="00C84240" w:rsidRPr="00585857" w:rsidRDefault="00B46AEE" w:rsidP="00B46AEE">
      <w:pPr>
        <w:pStyle w:val="enumlev1"/>
        <w:rPr>
          <w:lang w:val="es-ES_tradnl"/>
        </w:rPr>
      </w:pPr>
      <w:bookmarkStart w:id="73" w:name="lt_pId089"/>
      <w:r w:rsidRPr="00585857">
        <w:rPr>
          <w:lang w:val="es-ES_tradnl"/>
        </w:rPr>
        <w:t>–</w:t>
      </w:r>
      <w:r w:rsidRPr="00585857">
        <w:rPr>
          <w:lang w:val="es-ES_tradnl"/>
        </w:rPr>
        <w:tab/>
      </w:r>
      <w:r w:rsidR="000A6517">
        <w:rPr>
          <w:lang w:val="es-ES_tradnl"/>
        </w:rPr>
        <w:t>r</w:t>
      </w:r>
      <w:r w:rsidR="005C3076">
        <w:rPr>
          <w:lang w:val="es-ES_tradnl"/>
        </w:rPr>
        <w:t xml:space="preserve">esumen de la atribución de costes para 2019 y </w:t>
      </w:r>
      <w:r w:rsidR="00C84240" w:rsidRPr="00585857">
        <w:rPr>
          <w:lang w:val="es-ES_tradnl"/>
        </w:rPr>
        <w:t>2021-2024;</w:t>
      </w:r>
      <w:bookmarkEnd w:id="73"/>
    </w:p>
    <w:p w14:paraId="37E19CCB" w14:textId="48FE1F7E" w:rsidR="00C84240" w:rsidRPr="00585857" w:rsidRDefault="00B46AEE" w:rsidP="00B46AEE">
      <w:pPr>
        <w:pStyle w:val="enumlev1"/>
        <w:rPr>
          <w:lang w:val="es-ES_tradnl"/>
        </w:rPr>
      </w:pPr>
      <w:bookmarkStart w:id="74" w:name="lt_pId090"/>
      <w:r w:rsidRPr="00585857">
        <w:rPr>
          <w:lang w:val="es-ES_tradnl"/>
        </w:rPr>
        <w:t>–</w:t>
      </w:r>
      <w:r w:rsidRPr="00585857">
        <w:rPr>
          <w:lang w:val="es-ES_tradnl"/>
        </w:rPr>
        <w:tab/>
      </w:r>
      <w:r w:rsidR="005C3076">
        <w:rPr>
          <w:lang w:val="es-ES_tradnl"/>
        </w:rPr>
        <w:t xml:space="preserve">informe sobre el rendimiento de </w:t>
      </w:r>
      <w:r w:rsidR="00C84240" w:rsidRPr="00585857">
        <w:rPr>
          <w:lang w:val="es-ES_tradnl"/>
        </w:rPr>
        <w:t>2019;</w:t>
      </w:r>
      <w:bookmarkEnd w:id="74"/>
    </w:p>
    <w:p w14:paraId="6548F39B" w14:textId="364FCFD8" w:rsidR="00C84240" w:rsidRPr="00585857" w:rsidRDefault="00B46AEE" w:rsidP="00B46AEE">
      <w:pPr>
        <w:pStyle w:val="enumlev1"/>
        <w:rPr>
          <w:lang w:val="es-ES_tradnl"/>
        </w:rPr>
      </w:pPr>
      <w:r w:rsidRPr="00585857">
        <w:rPr>
          <w:lang w:val="es-ES_tradnl"/>
        </w:rPr>
        <w:t>–</w:t>
      </w:r>
      <w:r w:rsidRPr="00585857">
        <w:rPr>
          <w:lang w:val="es-ES_tradnl"/>
        </w:rPr>
        <w:tab/>
      </w:r>
      <w:r w:rsidR="000A6517">
        <w:rPr>
          <w:lang w:val="es-ES_tradnl"/>
        </w:rPr>
        <w:t>d</w:t>
      </w:r>
      <w:r w:rsidR="005C3076">
        <w:rPr>
          <w:lang w:val="es-ES_tradnl"/>
        </w:rPr>
        <w:t xml:space="preserve">eclaración de resultados previstos, medición e indicadores de riesgo de </w:t>
      </w:r>
      <w:r w:rsidR="00C84240" w:rsidRPr="00585857">
        <w:rPr>
          <w:lang w:val="es-ES_tradnl"/>
        </w:rPr>
        <w:t>2021</w:t>
      </w:r>
      <w:bookmarkStart w:id="75" w:name="lt_pId092"/>
      <w:r w:rsidR="00C84240" w:rsidRPr="00585857">
        <w:rPr>
          <w:lang w:val="es-ES_tradnl"/>
        </w:rPr>
        <w:t>.</w:t>
      </w:r>
      <w:bookmarkEnd w:id="75"/>
    </w:p>
    <w:p w14:paraId="04CD24B3" w14:textId="2EE55FFF" w:rsidR="00C84240" w:rsidRDefault="00C84240" w:rsidP="00C84240">
      <w:pPr>
        <w:rPr>
          <w:lang w:val="es-ES_tradnl"/>
        </w:rPr>
      </w:pPr>
      <w:bookmarkStart w:id="76" w:name="lt_pId093"/>
      <w:r w:rsidRPr="00585857">
        <w:rPr>
          <w:b/>
          <w:bCs/>
          <w:lang w:val="es-ES_tradnl"/>
        </w:rPr>
        <w:t>II.0.3</w:t>
      </w:r>
      <w:bookmarkEnd w:id="76"/>
      <w:r w:rsidRPr="00585857">
        <w:rPr>
          <w:lang w:val="es-ES_tradnl"/>
        </w:rPr>
        <w:tab/>
      </w:r>
      <w:bookmarkStart w:id="77" w:name="lt_pId094"/>
      <w:r w:rsidR="005C3076">
        <w:rPr>
          <w:lang w:val="es-ES_tradnl"/>
        </w:rPr>
        <w:t xml:space="preserve">En el siguiente gráfico se facilita la atribución de recursos por Objetivo para </w:t>
      </w:r>
      <w:r w:rsidRPr="00585857">
        <w:rPr>
          <w:lang w:val="es-ES_tradnl"/>
        </w:rPr>
        <w:t>2021-2024:</w:t>
      </w:r>
      <w:bookmarkEnd w:id="77"/>
    </w:p>
    <w:p w14:paraId="30A07AE7" w14:textId="0E891712" w:rsidR="000A6517" w:rsidRDefault="000A6517" w:rsidP="00C84240">
      <w:pPr>
        <w:rPr>
          <w:lang w:val="es-ES_tradnl"/>
        </w:rPr>
      </w:pPr>
      <w:r>
        <w:rPr>
          <w:noProof/>
          <w:lang w:val="es-ES_tradnl"/>
        </w:rPr>
        <w:drawing>
          <wp:inline distT="0" distB="0" distL="0" distR="0" wp14:anchorId="0CEEDA46" wp14:editId="3C46B554">
            <wp:extent cx="5630400" cy="3859200"/>
            <wp:effectExtent l="0" t="0" r="889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0400" cy="3859200"/>
                    </a:xfrm>
                    <a:prstGeom prst="rect">
                      <a:avLst/>
                    </a:prstGeom>
                    <a:noFill/>
                  </pic:spPr>
                </pic:pic>
              </a:graphicData>
            </a:graphic>
          </wp:inline>
        </w:drawing>
      </w:r>
    </w:p>
    <w:p w14:paraId="25733668" w14:textId="77777777" w:rsidR="00721728" w:rsidRDefault="00721728" w:rsidP="00721728">
      <w:pPr>
        <w:rPr>
          <w:lang w:val="es-ES_tradnl"/>
        </w:rPr>
      </w:pPr>
    </w:p>
    <w:p w14:paraId="44BF99B6" w14:textId="141C86FC" w:rsidR="00721728" w:rsidRPr="00721728" w:rsidRDefault="00721728" w:rsidP="00721728">
      <w:pPr>
        <w:rPr>
          <w:lang w:val="es-ES_tradnl"/>
        </w:rPr>
        <w:sectPr w:rsidR="00721728" w:rsidRPr="00721728" w:rsidSect="004B7893">
          <w:headerReference w:type="default" r:id="rId22"/>
          <w:headerReference w:type="first" r:id="rId23"/>
          <w:pgSz w:w="11906" w:h="16838" w:code="9"/>
          <w:pgMar w:top="1418" w:right="1134" w:bottom="1418" w:left="1134" w:header="709" w:footer="709" w:gutter="0"/>
          <w:cols w:space="708"/>
          <w:titlePg/>
          <w:docGrid w:linePitch="360"/>
        </w:sectPr>
      </w:pPr>
    </w:p>
    <w:p w14:paraId="6554970E" w14:textId="780C6EEF" w:rsidR="00B46AEE" w:rsidRPr="00585857" w:rsidRDefault="00B46AEE" w:rsidP="00F04E0C">
      <w:pPr>
        <w:pStyle w:val="Heading2"/>
        <w:rPr>
          <w:lang w:val="es-ES_tradnl"/>
        </w:rPr>
      </w:pPr>
      <w:bookmarkStart w:id="78" w:name="lt_pId095"/>
      <w:bookmarkStart w:id="79" w:name="_Toc33632085"/>
      <w:bookmarkStart w:id="80" w:name="_Toc33632246"/>
      <w:r w:rsidRPr="00585857">
        <w:rPr>
          <w:lang w:val="es-ES_tradnl"/>
        </w:rPr>
        <w:lastRenderedPageBreak/>
        <w:t>II.1</w:t>
      </w:r>
      <w:bookmarkEnd w:id="78"/>
      <w:r w:rsidRPr="00585857">
        <w:rPr>
          <w:lang w:val="es-ES_tradnl"/>
        </w:rPr>
        <w:tab/>
        <w:t>Objetivos intersectoriales</w:t>
      </w:r>
      <w:bookmarkEnd w:id="79"/>
      <w:bookmarkEnd w:id="80"/>
    </w:p>
    <w:p w14:paraId="5760C160" w14:textId="7C183235" w:rsidR="00B46AEE" w:rsidRPr="00585857" w:rsidRDefault="00805497" w:rsidP="00B46AEE">
      <w:pPr>
        <w:rPr>
          <w:lang w:val="es-ES_tradnl"/>
        </w:rPr>
      </w:pPr>
      <w:bookmarkStart w:id="81" w:name="lt_pId097"/>
      <w:r w:rsidRPr="00585857">
        <w:rPr>
          <w:lang w:val="es-ES_tradnl"/>
        </w:rPr>
        <w:t xml:space="preserve">Se prevén seis objetivos intersectoriales en </w:t>
      </w:r>
      <w:r w:rsidR="00B46AEE" w:rsidRPr="00585857">
        <w:rPr>
          <w:lang w:val="es-ES_tradnl"/>
        </w:rPr>
        <w:t xml:space="preserve">2021-2024, </w:t>
      </w:r>
      <w:r w:rsidRPr="00585857">
        <w:rPr>
          <w:lang w:val="es-ES_tradnl"/>
        </w:rPr>
        <w:t>que representan el</w:t>
      </w:r>
      <w:r w:rsidR="00B46AEE" w:rsidRPr="00585857">
        <w:rPr>
          <w:lang w:val="es-ES_tradnl"/>
        </w:rPr>
        <w:t xml:space="preserve"> 10</w:t>
      </w:r>
      <w:r w:rsidRPr="00585857">
        <w:rPr>
          <w:lang w:val="es-ES_tradnl"/>
        </w:rPr>
        <w:t>,</w:t>
      </w:r>
      <w:r w:rsidR="00B46AEE" w:rsidRPr="00585857">
        <w:rPr>
          <w:lang w:val="es-ES_tradnl"/>
        </w:rPr>
        <w:t>41 </w:t>
      </w:r>
      <w:r w:rsidRPr="00585857">
        <w:rPr>
          <w:lang w:val="es-ES_tradnl"/>
        </w:rPr>
        <w:t xml:space="preserve">por ciento </w:t>
      </w:r>
      <w:r w:rsidR="00721728">
        <w:rPr>
          <w:lang w:val="es-ES_tradnl"/>
        </w:rPr>
        <w:t>de los recursos previstos de la Unión para dicho periodo.</w:t>
      </w:r>
      <w:bookmarkEnd w:id="81"/>
    </w:p>
    <w:p w14:paraId="38470EF4" w14:textId="1CDB49B1" w:rsidR="00B46AEE" w:rsidRPr="00585857" w:rsidRDefault="00B46AEE" w:rsidP="003A7790">
      <w:pPr>
        <w:pStyle w:val="Tabletitle"/>
        <w:spacing w:before="720"/>
        <w:rPr>
          <w:lang w:val="es-ES_tradnl"/>
        </w:rPr>
      </w:pPr>
      <w:r w:rsidRPr="00585857">
        <w:rPr>
          <w:lang w:val="es-ES_tradnl"/>
        </w:rPr>
        <w:t>Objetivos intersectoriales</w:t>
      </w:r>
      <w:bookmarkStart w:id="82" w:name="lt_pId099"/>
      <w:r w:rsidRPr="00585857">
        <w:rPr>
          <w:lang w:val="es-ES_tradnl"/>
        </w:rPr>
        <w:br/>
        <w:t>Costes previstos para 2021-2024</w:t>
      </w:r>
      <w:bookmarkStart w:id="83" w:name="lt_pId100"/>
      <w:bookmarkEnd w:id="82"/>
      <w:r w:rsidRPr="00585857">
        <w:rPr>
          <w:lang w:val="es-ES_tradnl"/>
        </w:rPr>
        <w:br/>
      </w:r>
      <w:bookmarkEnd w:id="83"/>
      <w:r w:rsidRPr="00585857">
        <w:rPr>
          <w:lang w:val="es-ES_tradnl"/>
        </w:rPr>
        <w:t>Distribución por componente de coste</w:t>
      </w:r>
    </w:p>
    <w:p w14:paraId="6061816E" w14:textId="5D6FAA72" w:rsidR="004F78F4" w:rsidRPr="00585857" w:rsidRDefault="00F04E0C" w:rsidP="004F78F4">
      <w:pPr>
        <w:jc w:val="center"/>
        <w:rPr>
          <w:lang w:val="es-ES_tradnl"/>
        </w:rPr>
      </w:pPr>
      <w:r w:rsidRPr="00585857">
        <w:rPr>
          <w:noProof/>
          <w:lang w:val="es-ES_tradnl"/>
        </w:rPr>
        <w:drawing>
          <wp:inline distT="0" distB="0" distL="0" distR="0" wp14:anchorId="70FEFB8C" wp14:editId="38408441">
            <wp:extent cx="8913600" cy="2962800"/>
            <wp:effectExtent l="0" t="0" r="1905" b="0"/>
            <wp:docPr id="1928375046" name="Picture 192837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13600" cy="2962800"/>
                    </a:xfrm>
                    <a:prstGeom prst="rect">
                      <a:avLst/>
                    </a:prstGeom>
                    <a:noFill/>
                    <a:ln>
                      <a:noFill/>
                    </a:ln>
                  </pic:spPr>
                </pic:pic>
              </a:graphicData>
            </a:graphic>
          </wp:inline>
        </w:drawing>
      </w:r>
    </w:p>
    <w:p w14:paraId="418C9AA2" w14:textId="4A15183C" w:rsidR="00350F9E" w:rsidRDefault="00350F9E" w:rsidP="00350F9E">
      <w:pPr>
        <w:rPr>
          <w:lang w:val="es-ES_tradnl"/>
        </w:rPr>
      </w:pPr>
      <w:bookmarkStart w:id="84" w:name="lt_pId101"/>
      <w:bookmarkStart w:id="85" w:name="_Toc33632086"/>
      <w:bookmarkStart w:id="86" w:name="_Toc33632247"/>
      <w:r>
        <w:rPr>
          <w:lang w:val="es-ES_tradnl"/>
        </w:rPr>
        <w:br w:type="page"/>
      </w:r>
    </w:p>
    <w:p w14:paraId="14B1EB29" w14:textId="0818FC1D" w:rsidR="00B46AEE" w:rsidRPr="00585857" w:rsidRDefault="00B46AEE" w:rsidP="00C87F8E">
      <w:pPr>
        <w:pStyle w:val="Heading2"/>
        <w:rPr>
          <w:bCs/>
          <w:lang w:val="es-ES_tradnl"/>
        </w:rPr>
      </w:pPr>
      <w:r w:rsidRPr="00585857">
        <w:rPr>
          <w:bCs/>
          <w:lang w:val="es-ES_tradnl"/>
        </w:rPr>
        <w:lastRenderedPageBreak/>
        <w:t xml:space="preserve">II.1.1 </w:t>
      </w:r>
      <w:r w:rsidR="00C87F8E" w:rsidRPr="00585857">
        <w:rPr>
          <w:bCs/>
          <w:lang w:val="es-ES_tradnl"/>
        </w:rPr>
        <w:t>–</w:t>
      </w:r>
      <w:r w:rsidRPr="00585857">
        <w:rPr>
          <w:bCs/>
          <w:lang w:val="es-ES_tradnl"/>
        </w:rPr>
        <w:t xml:space="preserve"> I.1 </w:t>
      </w:r>
      <w:bookmarkEnd w:id="84"/>
      <w:r w:rsidR="00C87F8E" w:rsidRPr="00585857">
        <w:rPr>
          <w:bCs/>
          <w:lang w:val="es-ES_tradnl"/>
        </w:rPr>
        <w:t>Colaboración</w:t>
      </w:r>
      <w:bookmarkEnd w:id="85"/>
      <w:bookmarkEnd w:id="86"/>
    </w:p>
    <w:p w14:paraId="08973DAB" w14:textId="6065753F" w:rsidR="00B46AEE" w:rsidRPr="00585857" w:rsidRDefault="00C87F8E" w:rsidP="00C87F8E">
      <w:pPr>
        <w:pStyle w:val="Headingb"/>
        <w:rPr>
          <w:i/>
          <w:iCs/>
          <w:lang w:val="es-ES_tradnl"/>
        </w:rPr>
      </w:pPr>
      <w:r w:rsidRPr="00585857">
        <w:rPr>
          <w:i/>
          <w:iCs/>
          <w:lang w:val="es-ES_tradnl"/>
        </w:rPr>
        <w:t>Descripción del objetivo</w:t>
      </w:r>
    </w:p>
    <w:p w14:paraId="2D257E52" w14:textId="4CEE7279" w:rsidR="00B46AEE" w:rsidRPr="00585857" w:rsidRDefault="00C87F8E" w:rsidP="00C87F8E">
      <w:pPr>
        <w:rPr>
          <w:lang w:val="es-ES_tradnl"/>
        </w:rPr>
      </w:pPr>
      <w:r w:rsidRPr="00585857">
        <w:rPr>
          <w:lang w:val="es-ES_tradnl"/>
        </w:rPr>
        <w:t>Fomentar una colaboración más estrecha entre todos los interesados en el ecosistema de las telecomunicaciones/TIC.</w:t>
      </w:r>
    </w:p>
    <w:p w14:paraId="126BE848" w14:textId="0A9599D8" w:rsidR="00B46AEE" w:rsidRPr="00585857" w:rsidRDefault="00C87F8E" w:rsidP="00C87F8E">
      <w:pPr>
        <w:rPr>
          <w:lang w:val="es-ES_tradnl"/>
        </w:rPr>
      </w:pPr>
      <w:bookmarkStart w:id="87" w:name="lt_pId104"/>
      <w:r w:rsidRPr="00585857">
        <w:rPr>
          <w:lang w:val="es-ES_tradnl"/>
        </w:rPr>
        <w:t xml:space="preserve">El Objetivo I.1 utiliza el </w:t>
      </w:r>
      <w:r w:rsidR="00B46AEE" w:rsidRPr="00585857">
        <w:rPr>
          <w:lang w:val="es-ES_tradnl"/>
        </w:rPr>
        <w:t>62</w:t>
      </w:r>
      <w:r w:rsidRPr="00585857">
        <w:rPr>
          <w:lang w:val="es-ES_tradnl"/>
        </w:rPr>
        <w:t>,</w:t>
      </w:r>
      <w:r w:rsidR="00B46AEE" w:rsidRPr="00585857">
        <w:rPr>
          <w:lang w:val="es-ES_tradnl"/>
        </w:rPr>
        <w:t xml:space="preserve">54 </w:t>
      </w:r>
      <w:r w:rsidRPr="00585857">
        <w:rPr>
          <w:lang w:val="es-ES_tradnl"/>
        </w:rPr>
        <w:t>por ciento de los recursos previstos para los objetivos intersectoriales,</w:t>
      </w:r>
      <w:r w:rsidR="00B46AEE" w:rsidRPr="00585857">
        <w:rPr>
          <w:lang w:val="es-ES_tradnl"/>
        </w:rPr>
        <w:t xml:space="preserve"> </w:t>
      </w:r>
      <w:r w:rsidRPr="00585857">
        <w:rPr>
          <w:lang w:val="es-ES_tradnl"/>
        </w:rPr>
        <w:t xml:space="preserve">un </w:t>
      </w:r>
      <w:r w:rsidR="00B46AEE" w:rsidRPr="00585857">
        <w:rPr>
          <w:lang w:val="es-ES_tradnl"/>
        </w:rPr>
        <w:t>6</w:t>
      </w:r>
      <w:r w:rsidRPr="00585857">
        <w:rPr>
          <w:lang w:val="es-ES_tradnl"/>
        </w:rPr>
        <w:t>,</w:t>
      </w:r>
      <w:r w:rsidR="00B46AEE" w:rsidRPr="00585857">
        <w:rPr>
          <w:lang w:val="es-ES_tradnl"/>
        </w:rPr>
        <w:t>52 </w:t>
      </w:r>
      <w:r w:rsidRPr="00585857">
        <w:rPr>
          <w:lang w:val="es-ES_tradnl"/>
        </w:rPr>
        <w:t>por ciento de los recursos previstos de la UIT para</w:t>
      </w:r>
      <w:r w:rsidR="00B46AEE" w:rsidRPr="00585857">
        <w:rPr>
          <w:lang w:val="es-ES_tradnl"/>
        </w:rPr>
        <w:t xml:space="preserve"> 2021-2024.</w:t>
      </w:r>
      <w:bookmarkEnd w:id="87"/>
    </w:p>
    <w:p w14:paraId="2DB29982" w14:textId="23DB90AF" w:rsidR="00771E19" w:rsidRPr="00585857" w:rsidRDefault="00721728" w:rsidP="00771E19">
      <w:pPr>
        <w:pStyle w:val="Headingb"/>
        <w:rPr>
          <w:i/>
          <w:iCs/>
          <w:lang w:val="es-ES_tradnl"/>
        </w:rPr>
      </w:pPr>
      <w:r>
        <w:rPr>
          <w:i/>
          <w:iCs/>
          <w:lang w:val="es-ES_tradnl"/>
        </w:rPr>
        <w:t>Resumen de la atribución de costes</w:t>
      </w:r>
    </w:p>
    <w:p w14:paraId="69C82258" w14:textId="34100F76" w:rsidR="00C3346B" w:rsidRDefault="00C3346B" w:rsidP="004F78F4">
      <w:pPr>
        <w:jc w:val="center"/>
        <w:rPr>
          <w:lang w:val="es-ES_tradnl"/>
        </w:rPr>
      </w:pPr>
      <w:r w:rsidRPr="00C3346B">
        <w:rPr>
          <w:noProof/>
        </w:rPr>
        <w:drawing>
          <wp:inline distT="0" distB="0" distL="0" distR="0" wp14:anchorId="12712BC2" wp14:editId="7526AC37">
            <wp:extent cx="8280000" cy="23904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0000" cy="2390400"/>
                    </a:xfrm>
                    <a:prstGeom prst="rect">
                      <a:avLst/>
                    </a:prstGeom>
                    <a:noFill/>
                    <a:ln>
                      <a:noFill/>
                    </a:ln>
                  </pic:spPr>
                </pic:pic>
              </a:graphicData>
            </a:graphic>
          </wp:inline>
        </w:drawing>
      </w:r>
    </w:p>
    <w:p w14:paraId="3ABEAD7F" w14:textId="1291FC48" w:rsidR="00B46AEE" w:rsidRPr="00585857" w:rsidRDefault="00721728" w:rsidP="00C87F8E">
      <w:pPr>
        <w:pStyle w:val="Headingb"/>
        <w:spacing w:after="120"/>
        <w:rPr>
          <w:i/>
          <w:iCs/>
          <w:lang w:val="es-ES_tradnl"/>
        </w:rPr>
      </w:pPr>
      <w:r>
        <w:rPr>
          <w:i/>
          <w:iCs/>
          <w:lang w:val="es-ES_tradnl"/>
        </w:rPr>
        <w:t xml:space="preserve">Informe sobre el rendimiento de </w:t>
      </w:r>
      <w:r w:rsidR="00B46AEE" w:rsidRPr="00585857">
        <w:rPr>
          <w:i/>
          <w:iCs/>
          <w:lang w:val="es-ES_tradnl"/>
        </w:rPr>
        <w:t>2019</w:t>
      </w:r>
    </w:p>
    <w:tbl>
      <w:tblPr>
        <w:tblStyle w:val="GridTable1Light-Accent1"/>
        <w:tblW w:w="0" w:type="auto"/>
        <w:tblLook w:val="04A0" w:firstRow="1" w:lastRow="0" w:firstColumn="1" w:lastColumn="0" w:noHBand="0" w:noVBand="1"/>
      </w:tblPr>
      <w:tblGrid>
        <w:gridCol w:w="4649"/>
        <w:gridCol w:w="5841"/>
        <w:gridCol w:w="3458"/>
      </w:tblGrid>
      <w:tr w:rsidR="00B46AEE" w:rsidRPr="00C3346B" w14:paraId="55BD9FCE" w14:textId="77777777" w:rsidTr="00350F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2B5F2631" w14:textId="7C6B427A" w:rsidR="00B46AEE" w:rsidRPr="00C3346B" w:rsidRDefault="00721728" w:rsidP="00C87F8E">
            <w:pPr>
              <w:pStyle w:val="Tablehead"/>
              <w:rPr>
                <w:b/>
                <w:i/>
                <w:iCs/>
                <w:lang w:val="es-ES_tradnl"/>
              </w:rPr>
            </w:pPr>
            <w:r w:rsidRPr="00C3346B">
              <w:rPr>
                <w:b/>
                <w:i/>
                <w:iCs/>
                <w:lang w:val="es-ES_tradnl"/>
              </w:rPr>
              <w:t>Logros</w:t>
            </w:r>
          </w:p>
        </w:tc>
        <w:tc>
          <w:tcPr>
            <w:tcW w:w="5841" w:type="dxa"/>
            <w:tcBorders>
              <w:top w:val="nil"/>
              <w:left w:val="dotted" w:sz="4" w:space="0" w:color="B8CCE4" w:themeColor="accent1" w:themeTint="66"/>
              <w:bottom w:val="single" w:sz="8" w:space="0" w:color="4F81BD" w:themeColor="accent1"/>
              <w:right w:val="dotted" w:sz="4" w:space="0" w:color="B8CCE4" w:themeColor="accent1" w:themeTint="66"/>
            </w:tcBorders>
          </w:tcPr>
          <w:p w14:paraId="7C48DDFE" w14:textId="04782E52" w:rsidR="00B46AEE" w:rsidRPr="00C3346B" w:rsidRDefault="00B46AEE" w:rsidP="00C87F8E">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88" w:name="lt_pId109"/>
            <w:r w:rsidRPr="00C3346B">
              <w:rPr>
                <w:b/>
                <w:i/>
                <w:iCs/>
                <w:lang w:val="es-ES_tradnl"/>
              </w:rPr>
              <w:t>Me</w:t>
            </w:r>
            <w:r w:rsidR="00721728" w:rsidRPr="00C3346B">
              <w:rPr>
                <w:b/>
                <w:i/>
                <w:iCs/>
                <w:lang w:val="es-ES_tradnl"/>
              </w:rPr>
              <w:t>dición</w:t>
            </w:r>
            <w:bookmarkEnd w:id="88"/>
          </w:p>
        </w:tc>
        <w:tc>
          <w:tcPr>
            <w:tcW w:w="3458" w:type="dxa"/>
            <w:tcBorders>
              <w:top w:val="nil"/>
              <w:left w:val="dotted" w:sz="4" w:space="0" w:color="B8CCE4" w:themeColor="accent1" w:themeTint="66"/>
              <w:bottom w:val="single" w:sz="8" w:space="0" w:color="4F81BD" w:themeColor="accent1"/>
              <w:right w:val="nil"/>
            </w:tcBorders>
          </w:tcPr>
          <w:p w14:paraId="12796252" w14:textId="6A223C33" w:rsidR="00B46AEE" w:rsidRPr="00C3346B" w:rsidRDefault="00B46AEE" w:rsidP="00C87F8E">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89" w:name="lt_pId110"/>
            <w:r w:rsidRPr="00C3346B">
              <w:rPr>
                <w:b/>
                <w:i/>
                <w:iCs/>
                <w:lang w:val="es-ES_tradnl"/>
              </w:rPr>
              <w:t>Ri</w:t>
            </w:r>
            <w:r w:rsidR="00721728" w:rsidRPr="00C3346B">
              <w:rPr>
                <w:b/>
                <w:i/>
                <w:iCs/>
                <w:lang w:val="es-ES_tradnl"/>
              </w:rPr>
              <w:t>esgo</w:t>
            </w:r>
            <w:bookmarkEnd w:id="89"/>
          </w:p>
        </w:tc>
      </w:tr>
      <w:tr w:rsidR="00B46AEE" w:rsidRPr="008F43A8" w14:paraId="4619116E"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66A88EA1" w14:textId="136D86ED" w:rsidR="00B46AEE" w:rsidRPr="00585857" w:rsidRDefault="0003205C" w:rsidP="0003205C">
            <w:pPr>
              <w:pStyle w:val="Tabletext"/>
              <w:rPr>
                <w:b w:val="0"/>
                <w:bCs w:val="0"/>
                <w:lang w:val="es-ES_tradnl"/>
              </w:rPr>
            </w:pPr>
            <w:r w:rsidRPr="00585857">
              <w:rPr>
                <w:b w:val="0"/>
                <w:bCs w:val="0"/>
                <w:lang w:val="es-ES_tradnl"/>
              </w:rPr>
              <w:t>Aumento de la colaboración entre las partes interesadas relevantes, a fin de mejorar la eficiencia del entorno de telecomunicaciones/TIC</w:t>
            </w:r>
            <w:r w:rsidR="00CE59B0">
              <w:rPr>
                <w:b w:val="0"/>
                <w:bCs w:val="0"/>
                <w:lang w:val="es-ES_tradnl"/>
              </w:rPr>
              <w:t>.</w:t>
            </w:r>
          </w:p>
        </w:tc>
        <w:tc>
          <w:tcPr>
            <w:tcW w:w="5841"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6B74ACCC" w14:textId="31E76987" w:rsidR="00B46AEE" w:rsidRPr="00585857" w:rsidRDefault="00721728"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90" w:name="lt_pId112"/>
            <w:r>
              <w:rPr>
                <w:lang w:val="es-ES_tradnl"/>
              </w:rPr>
              <w:t xml:space="preserve">Se ha añadido una nueva pregunta a la encuesta anual a los Miembros de Sector de la UIT (medida a partir de 2019, resultados aún no disponibles) para evaluar la percepción de una colaboración mejorada </w:t>
            </w:r>
            <w:r w:rsidR="007A5EE9">
              <w:rPr>
                <w:lang w:val="es-ES_tradnl"/>
              </w:rPr>
              <w:t>que tienen la mayoría de las partes interesadas.</w:t>
            </w:r>
            <w:bookmarkEnd w:id="90"/>
          </w:p>
        </w:tc>
        <w:tc>
          <w:tcPr>
            <w:tcW w:w="3458" w:type="dxa"/>
            <w:tcBorders>
              <w:top w:val="single" w:sz="8" w:space="0" w:color="4F81BD" w:themeColor="accent1"/>
              <w:left w:val="dotted" w:sz="4" w:space="0" w:color="B8CCE4" w:themeColor="accent1" w:themeTint="66"/>
              <w:bottom w:val="single" w:sz="4" w:space="0" w:color="B8CCE4" w:themeColor="accent1" w:themeTint="66"/>
              <w:right w:val="nil"/>
            </w:tcBorders>
          </w:tcPr>
          <w:p w14:paraId="7616070A" w14:textId="3905E322" w:rsidR="00B46AEE" w:rsidRPr="00585857" w:rsidRDefault="007A5EE9"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91" w:name="lt_pId113"/>
            <w:r>
              <w:rPr>
                <w:lang w:val="es-ES_tradnl"/>
              </w:rPr>
              <w:t>Se mitigó la posible falta de concreción mediante la adecuada dirección de las reuniones y eventos.</w:t>
            </w:r>
            <w:bookmarkEnd w:id="91"/>
          </w:p>
        </w:tc>
      </w:tr>
      <w:tr w:rsidR="00B46AEE" w:rsidRPr="008F43A8" w14:paraId="43BBFC42"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ABE7A1C" w14:textId="6BDDDD67" w:rsidR="00B46AEE" w:rsidRPr="00585857" w:rsidRDefault="00721728" w:rsidP="003166C0">
            <w:pPr>
              <w:pStyle w:val="Tabletext"/>
              <w:keepNext/>
              <w:rPr>
                <w:b w:val="0"/>
                <w:bCs w:val="0"/>
                <w:lang w:val="es-ES_tradnl"/>
              </w:rPr>
            </w:pPr>
            <w:r w:rsidRPr="00721728">
              <w:rPr>
                <w:b w:val="0"/>
                <w:bCs w:val="0"/>
                <w:lang w:val="es-ES_tradnl"/>
              </w:rPr>
              <w:lastRenderedPageBreak/>
              <w:t xml:space="preserve">Aumento de la participación (cualitativa y cuantitativa) en los principales eventos y foros de múltiples </w:t>
            </w:r>
            <w:r>
              <w:rPr>
                <w:b w:val="0"/>
                <w:bCs w:val="0"/>
                <w:lang w:val="es-ES_tradnl"/>
              </w:rPr>
              <w:t xml:space="preserve">partes </w:t>
            </w:r>
            <w:r w:rsidRPr="00721728">
              <w:rPr>
                <w:b w:val="0"/>
                <w:bCs w:val="0"/>
                <w:lang w:val="es-ES_tradnl"/>
              </w:rPr>
              <w:t>interesad</w:t>
            </w:r>
            <w:r>
              <w:rPr>
                <w:b w:val="0"/>
                <w:bCs w:val="0"/>
                <w:lang w:val="es-ES_tradnl"/>
              </w:rPr>
              <w:t>a</w:t>
            </w:r>
            <w:r w:rsidRPr="00721728">
              <w:rPr>
                <w:b w:val="0"/>
                <w:bCs w:val="0"/>
                <w:lang w:val="es-ES_tradnl"/>
              </w:rPr>
              <w:t>s de la UIT</w:t>
            </w:r>
            <w:r w:rsidR="00CE59B0">
              <w:rPr>
                <w:b w:val="0"/>
                <w:bCs w:val="0"/>
                <w:lang w:val="es-ES_tradnl"/>
              </w:rPr>
              <w:t>.</w:t>
            </w:r>
          </w:p>
        </w:tc>
        <w:tc>
          <w:tcPr>
            <w:tcW w:w="5841"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085F5326" w14:textId="3DF9BDEB" w:rsidR="00B46AEE" w:rsidRPr="00585857" w:rsidRDefault="007A5EE9"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92" w:name="lt_pId115"/>
            <w:r>
              <w:rPr>
                <w:lang w:val="es-ES_tradnl"/>
              </w:rPr>
              <w:t>Un mayor número de miembros de la UIT declaran (a través la encuesta) que las TIC/telecomunicaciones contribuyen al logro de los ODS de las Naciones Unidas y la Agenda 2030.</w:t>
            </w:r>
            <w:bookmarkEnd w:id="92"/>
          </w:p>
          <w:p w14:paraId="4C059D83" w14:textId="15C83DDB" w:rsidR="00B46AEE" w:rsidRPr="00585857" w:rsidRDefault="007A5EE9"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93" w:name="lt_pId116"/>
            <w:r>
              <w:rPr>
                <w:lang w:val="es-ES_tradnl"/>
              </w:rPr>
              <w:t xml:space="preserve">Número y calidad de los participantes a los principales eventos (Foro de la CMSI y </w:t>
            </w:r>
            <w:r w:rsidR="00B46AEE" w:rsidRPr="00585857">
              <w:rPr>
                <w:lang w:val="es-ES_tradnl"/>
              </w:rPr>
              <w:t>Telecom)</w:t>
            </w:r>
            <w:bookmarkEnd w:id="93"/>
            <w:r w:rsidR="00DF29B8">
              <w:rPr>
                <w:lang w:val="es-ES_tradnl"/>
              </w:rPr>
              <w:t>.</w:t>
            </w:r>
          </w:p>
        </w:tc>
        <w:tc>
          <w:tcPr>
            <w:tcW w:w="3458"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0E789A16" w14:textId="77777777" w:rsidR="00B46AEE" w:rsidRPr="00585857" w:rsidRDefault="00B46AEE"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1DC947A5" w14:textId="71A8D47C" w:rsidR="00B46AEE" w:rsidRPr="00585857" w:rsidRDefault="00721728" w:rsidP="00C87F8E">
      <w:pPr>
        <w:pStyle w:val="Headingb"/>
        <w:spacing w:after="120"/>
        <w:rPr>
          <w:i/>
          <w:iCs/>
          <w:lang w:val="es-ES_tradnl"/>
        </w:rPr>
      </w:pPr>
      <w:r>
        <w:rPr>
          <w:i/>
          <w:iCs/>
          <w:lang w:val="es-ES_tradnl"/>
        </w:rPr>
        <w:t xml:space="preserve">Declaración de los resultados previstos, la medición y los indicadores de riesgo de </w:t>
      </w:r>
      <w:r w:rsidR="00B46AEE" w:rsidRPr="00585857">
        <w:rPr>
          <w:i/>
          <w:iCs/>
          <w:lang w:val="es-ES_tradnl"/>
        </w:rPr>
        <w:t xml:space="preserve">2021 </w:t>
      </w:r>
    </w:p>
    <w:tbl>
      <w:tblPr>
        <w:tblStyle w:val="GridTable1Light-Accent1"/>
        <w:tblW w:w="0" w:type="auto"/>
        <w:tblLook w:val="04A0" w:firstRow="1" w:lastRow="0" w:firstColumn="1" w:lastColumn="0" w:noHBand="0" w:noVBand="1"/>
      </w:tblPr>
      <w:tblGrid>
        <w:gridCol w:w="4649"/>
        <w:gridCol w:w="4649"/>
        <w:gridCol w:w="4650"/>
      </w:tblGrid>
      <w:tr w:rsidR="00B46AEE" w:rsidRPr="003166C0" w14:paraId="4C661327"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7E53D024" w14:textId="0E23C6DE" w:rsidR="00B46AEE" w:rsidRPr="003166C0" w:rsidRDefault="00AC54E2" w:rsidP="0003205C">
            <w:pPr>
              <w:pStyle w:val="Tablehead"/>
              <w:rPr>
                <w:b/>
                <w:i/>
                <w:iCs/>
                <w:lang w:val="es-ES_tradnl"/>
              </w:rPr>
            </w:pPr>
            <w:r w:rsidRPr="003166C0">
              <w:rPr>
                <w:b/>
                <w:i/>
                <w:iCs/>
                <w:lang w:val="es-ES_tradnl"/>
              </w:rPr>
              <w:t>Resultado</w:t>
            </w:r>
            <w:r w:rsidR="00B652D4" w:rsidRPr="003166C0">
              <w:rPr>
                <w:b/>
                <w:i/>
                <w:iCs/>
                <w:lang w:val="es-ES_tradnl"/>
              </w:rPr>
              <w:t>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7064DECD" w14:textId="6894B4EA" w:rsidR="00B46AEE" w:rsidRPr="003166C0" w:rsidRDefault="00AC54E2" w:rsidP="0003205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3166C0">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68C443B3" w14:textId="41CC76EE" w:rsidR="00B46AEE" w:rsidRPr="003166C0" w:rsidRDefault="00721728" w:rsidP="0003205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3166C0">
              <w:rPr>
                <w:b/>
                <w:i/>
                <w:iCs/>
                <w:lang w:val="es-ES_tradnl"/>
              </w:rPr>
              <w:t>Indicadores de riesgo</w:t>
            </w:r>
          </w:p>
        </w:tc>
      </w:tr>
      <w:tr w:rsidR="00B46AEE" w:rsidRPr="008F43A8" w14:paraId="0E177F39"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02F992F1" w14:textId="3983B82C" w:rsidR="00B46AEE" w:rsidRPr="00585857" w:rsidRDefault="0003205C" w:rsidP="0003205C">
            <w:pPr>
              <w:pStyle w:val="Tabletext"/>
              <w:rPr>
                <w:b w:val="0"/>
                <w:bCs w:val="0"/>
                <w:lang w:val="es-ES_tradnl"/>
              </w:rPr>
            </w:pPr>
            <w:r w:rsidRPr="00585857">
              <w:rPr>
                <w:b w:val="0"/>
                <w:bCs w:val="0"/>
                <w:lang w:val="es-ES_tradnl"/>
              </w:rPr>
              <w:t>Aumento de la colaboración entre las partes interesadas relevantes</w:t>
            </w:r>
            <w:r w:rsidR="00CE59B0">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3B86DDE0" w14:textId="181E1E8A" w:rsidR="00B46AEE" w:rsidRPr="00585857" w:rsidRDefault="00EA55DD" w:rsidP="00EF566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países/partes interesadas representados y nivel de representación (CMSI/Telecom).</w:t>
            </w:r>
          </w:p>
        </w:tc>
        <w:tc>
          <w:tcPr>
            <w:tcW w:w="4650" w:type="dxa"/>
            <w:tcBorders>
              <w:top w:val="single" w:sz="8" w:space="0" w:color="4F81BD" w:themeColor="accent1"/>
              <w:left w:val="dotted" w:sz="4" w:space="0" w:color="4F81BD" w:themeColor="accent1"/>
              <w:bottom w:val="nil"/>
              <w:right w:val="nil"/>
            </w:tcBorders>
          </w:tcPr>
          <w:p w14:paraId="3FFAA84E" w14:textId="3B0D457F" w:rsidR="00B46AEE" w:rsidRPr="00585857" w:rsidRDefault="00EF5664" w:rsidP="00EF566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Dificultad creciente para implicar a las audiencias (nuevos actores, múltiples organizaciones que compiten por su atención)</w:t>
            </w:r>
            <w:r w:rsidR="00CE59B0">
              <w:rPr>
                <w:lang w:val="es-ES_tradnl"/>
              </w:rPr>
              <w:t>.</w:t>
            </w:r>
          </w:p>
        </w:tc>
      </w:tr>
      <w:tr w:rsidR="00B46AEE" w:rsidRPr="008F43A8" w14:paraId="730D3555"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36785ABD" w14:textId="0D3D3E4A" w:rsidR="00B46AEE" w:rsidRPr="00585857" w:rsidRDefault="0003205C" w:rsidP="0003205C">
            <w:pPr>
              <w:pStyle w:val="Tabletext"/>
              <w:rPr>
                <w:b w:val="0"/>
                <w:bCs w:val="0"/>
                <w:lang w:val="es-ES_tradnl"/>
              </w:rPr>
            </w:pPr>
            <w:r w:rsidRPr="00585857">
              <w:rPr>
                <w:b w:val="0"/>
                <w:bCs w:val="0"/>
                <w:lang w:val="es-ES_tradnl"/>
              </w:rPr>
              <w:t>Mayores sinergias mediante asociaciones sobre telecomunicaciones/TIC</w:t>
            </w:r>
            <w:r w:rsidR="00CE59B0">
              <w:rPr>
                <w:b w:val="0"/>
                <w:bCs w:val="0"/>
                <w:lang w:val="es-ES_tradnl"/>
              </w:rPr>
              <w: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423DE4DE" w14:textId="274F36CF" w:rsidR="00B46AEE" w:rsidRPr="00585857" w:rsidRDefault="00EA55DD"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Miembros que indican que las Recomendaciones/Normas/Prácticas idóneas de la UIT se utilizan para apoyar el establecimiento de asociaciones.</w:t>
            </w:r>
          </w:p>
        </w:tc>
        <w:tc>
          <w:tcPr>
            <w:tcW w:w="4650" w:type="dxa"/>
            <w:tcBorders>
              <w:top w:val="nil"/>
              <w:left w:val="dotted" w:sz="4" w:space="0" w:color="4F81BD" w:themeColor="accent1"/>
              <w:bottom w:val="nil"/>
              <w:right w:val="nil"/>
            </w:tcBorders>
          </w:tcPr>
          <w:p w14:paraId="248DE815" w14:textId="072FF59A" w:rsidR="00B46AEE" w:rsidRPr="00585857" w:rsidRDefault="0003205C"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r w:rsidR="00CE59B0">
              <w:rPr>
                <w:lang w:val="es-ES_tradnl"/>
              </w:rPr>
              <w:t>.</w:t>
            </w:r>
          </w:p>
        </w:tc>
      </w:tr>
      <w:tr w:rsidR="00B46AEE" w:rsidRPr="008F43A8" w14:paraId="0CE15860"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5CC3F790" w14:textId="018B493F" w:rsidR="00B46AEE" w:rsidRPr="00585857" w:rsidRDefault="0003205C" w:rsidP="0003205C">
            <w:pPr>
              <w:pStyle w:val="Tabletext"/>
              <w:rPr>
                <w:b w:val="0"/>
                <w:bCs w:val="0"/>
                <w:lang w:val="es-ES_tradnl"/>
              </w:rPr>
            </w:pPr>
            <w:r w:rsidRPr="00585857">
              <w:rPr>
                <w:b w:val="0"/>
                <w:bCs w:val="0"/>
                <w:lang w:val="es-ES_tradnl"/>
              </w:rPr>
              <w:t>Mayor reconocimiento de las telecomunicaciones/TIC como facilitador global de la aplicación de las líneas de acción de la CMSI y de la Agenda 2030 para el Desarrollo Sostenible</w:t>
            </w:r>
            <w:r w:rsidR="00CE59B0">
              <w:rPr>
                <w:b w:val="0"/>
                <w:bCs w:val="0"/>
                <w:lang w:val="es-ES_tradnl"/>
              </w:rPr>
              <w: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64FD288D" w14:textId="43A90FAE" w:rsidR="00B46AEE" w:rsidRPr="00585857" w:rsidRDefault="00EA55DD"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Miembros que piensan que las telecomunicaciones/TIC contribuyen a la consecución de los ODS de las Naciones Unidas y la Agenda 2030.</w:t>
            </w:r>
          </w:p>
        </w:tc>
        <w:tc>
          <w:tcPr>
            <w:tcW w:w="4650" w:type="dxa"/>
            <w:tcBorders>
              <w:top w:val="nil"/>
              <w:left w:val="dotted" w:sz="4" w:space="0" w:color="4F81BD" w:themeColor="accent1"/>
              <w:bottom w:val="nil"/>
              <w:right w:val="nil"/>
            </w:tcBorders>
          </w:tcPr>
          <w:p w14:paraId="5F098FDF" w14:textId="55EDCDF7" w:rsidR="00B46AEE" w:rsidRPr="00585857" w:rsidRDefault="007A5EE9" w:rsidP="0003205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94" w:name="lt_pId130"/>
            <w:r>
              <w:rPr>
                <w:lang w:val="es-ES_tradnl"/>
              </w:rPr>
              <w:t>Falta de recursos humanos y financieros</w:t>
            </w:r>
            <w:bookmarkEnd w:id="94"/>
            <w:r w:rsidR="00CE59B0">
              <w:rPr>
                <w:lang w:val="es-ES_tradnl"/>
              </w:rPr>
              <w:t>.</w:t>
            </w:r>
          </w:p>
        </w:tc>
      </w:tr>
      <w:tr w:rsidR="00B46AEE" w:rsidRPr="008F43A8" w14:paraId="3C6A2F39"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3C07FFBE" w14:textId="2EED9BD3" w:rsidR="00B46AEE" w:rsidRPr="00585857" w:rsidRDefault="0003205C" w:rsidP="0003205C">
            <w:pPr>
              <w:pStyle w:val="Tabletext"/>
              <w:rPr>
                <w:b w:val="0"/>
                <w:bCs w:val="0"/>
                <w:lang w:val="es-ES_tradnl"/>
              </w:rPr>
            </w:pPr>
            <w:r w:rsidRPr="00585857">
              <w:rPr>
                <w:b w:val="0"/>
                <w:bCs w:val="0"/>
                <w:lang w:val="es-ES_tradnl"/>
              </w:rPr>
              <w:t xml:space="preserve">Mayor apoyo a los </w:t>
            </w:r>
            <w:r w:rsidR="003166C0">
              <w:rPr>
                <w:b w:val="0"/>
                <w:bCs w:val="0"/>
                <w:lang w:val="es-ES_tradnl"/>
              </w:rPr>
              <w:t>m</w:t>
            </w:r>
            <w:r w:rsidRPr="00585857">
              <w:rPr>
                <w:b w:val="0"/>
                <w:bCs w:val="0"/>
                <w:lang w:val="es-ES_tradnl"/>
              </w:rPr>
              <w:t>iembros de la UIT en la creación y facilitación de productos y servicios de</w:t>
            </w:r>
            <w:r w:rsidR="00205CE2">
              <w:rPr>
                <w:b w:val="0"/>
                <w:bCs w:val="0"/>
                <w:lang w:val="es-ES_tradnl"/>
              </w:rPr>
              <w:t> </w:t>
            </w:r>
            <w:r w:rsidRPr="00585857">
              <w:rPr>
                <w:b w:val="0"/>
                <w:bCs w:val="0"/>
                <w:lang w:val="es-ES_tradnl"/>
              </w:rPr>
              <w:t>TIC</w:t>
            </w:r>
            <w:r w:rsidR="00CE59B0">
              <w:rPr>
                <w:b w:val="0"/>
                <w:bCs w:val="0"/>
                <w:lang w:val="es-ES_tradnl"/>
              </w:rPr>
              <w: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5AE6DA39" w14:textId="77777777" w:rsidR="00EA55DD" w:rsidRPr="00585857" w:rsidRDefault="00EA55DD" w:rsidP="00EA55D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Miembros que indican que las Recomendaciones/Normas/Prácticas idóneas de la UIT se utilizan para diseñar nuevas redes y productos de telecomunicaciones.</w:t>
            </w:r>
          </w:p>
          <w:p w14:paraId="62439ADB" w14:textId="654EA588" w:rsidR="00B46AEE" w:rsidRPr="00585857" w:rsidRDefault="00EA55DD" w:rsidP="00EA55D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Miembros que están satisfechos con los servicios generales de cliente de la UIT.</w:t>
            </w:r>
          </w:p>
        </w:tc>
        <w:tc>
          <w:tcPr>
            <w:tcW w:w="4650" w:type="dxa"/>
            <w:tcBorders>
              <w:top w:val="nil"/>
              <w:left w:val="dotted" w:sz="4" w:space="0" w:color="4F81BD" w:themeColor="accent1"/>
              <w:bottom w:val="single" w:sz="4" w:space="0" w:color="B8CCE4" w:themeColor="accent1" w:themeTint="66"/>
              <w:right w:val="nil"/>
            </w:tcBorders>
          </w:tcPr>
          <w:p w14:paraId="5698BBD1" w14:textId="77777777" w:rsidR="00B46AEE" w:rsidRPr="00585857" w:rsidRDefault="00B46AEE" w:rsidP="00B46AEE">
            <w:pPr>
              <w:tabs>
                <w:tab w:val="clear" w:pos="794"/>
                <w:tab w:val="clear" w:pos="1191"/>
                <w:tab w:val="clear" w:pos="1588"/>
                <w:tab w:val="clear" w:pos="198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lang w:val="es-ES_tradnl"/>
              </w:rPr>
            </w:pPr>
          </w:p>
        </w:tc>
      </w:tr>
    </w:tbl>
    <w:p w14:paraId="33F80224" w14:textId="54EDFDFA" w:rsidR="00EF5664" w:rsidRPr="00585857" w:rsidRDefault="00EF566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1A8C87FF" w14:textId="06EABA0B" w:rsidR="00EF5664" w:rsidRPr="00585857" w:rsidRDefault="00EF5664" w:rsidP="005D01EC">
      <w:pPr>
        <w:pStyle w:val="Heading2"/>
        <w:rPr>
          <w:lang w:val="es-ES_tradnl"/>
        </w:rPr>
      </w:pPr>
      <w:bookmarkStart w:id="95" w:name="lt_pId134"/>
      <w:bookmarkStart w:id="96" w:name="_Toc33632087"/>
      <w:bookmarkStart w:id="97" w:name="_Toc33632248"/>
      <w:r w:rsidRPr="00585857">
        <w:rPr>
          <w:lang w:val="es-ES_tradnl"/>
        </w:rPr>
        <w:lastRenderedPageBreak/>
        <w:t xml:space="preserve">II.1.2 </w:t>
      </w:r>
      <w:r w:rsidR="005D01EC" w:rsidRPr="00585857">
        <w:rPr>
          <w:lang w:val="es-ES_tradnl"/>
        </w:rPr>
        <w:t>–</w:t>
      </w:r>
      <w:r w:rsidRPr="00585857">
        <w:rPr>
          <w:lang w:val="es-ES_tradnl"/>
        </w:rPr>
        <w:t xml:space="preserve"> I.2 </w:t>
      </w:r>
      <w:bookmarkEnd w:id="95"/>
      <w:r w:rsidR="005D01EC" w:rsidRPr="00585857">
        <w:rPr>
          <w:lang w:val="es-ES_tradnl"/>
        </w:rPr>
        <w:t>Tendencias emergentes en materia de telecomunicaciones/TIC</w:t>
      </w:r>
      <w:bookmarkEnd w:id="96"/>
      <w:bookmarkEnd w:id="97"/>
    </w:p>
    <w:p w14:paraId="62305508" w14:textId="77777777" w:rsidR="005D01EC" w:rsidRPr="00585857" w:rsidRDefault="005D01EC" w:rsidP="005D01EC">
      <w:pPr>
        <w:pStyle w:val="Headingb"/>
        <w:rPr>
          <w:i/>
          <w:iCs/>
          <w:lang w:val="es-ES_tradnl"/>
        </w:rPr>
      </w:pPr>
      <w:bookmarkStart w:id="98" w:name="lt_pId136"/>
      <w:r w:rsidRPr="00585857">
        <w:rPr>
          <w:i/>
          <w:iCs/>
          <w:lang w:val="es-ES_tradnl"/>
        </w:rPr>
        <w:t>Descripción del objetivo</w:t>
      </w:r>
    </w:p>
    <w:bookmarkEnd w:id="98"/>
    <w:p w14:paraId="015C79E0" w14:textId="1B6EE377" w:rsidR="00EF5664" w:rsidRPr="00585857" w:rsidRDefault="005D01EC" w:rsidP="005D01EC">
      <w:pPr>
        <w:rPr>
          <w:lang w:val="es-ES_tradnl"/>
        </w:rPr>
      </w:pPr>
      <w:r w:rsidRPr="00585857">
        <w:rPr>
          <w:lang w:val="es-ES_tradnl"/>
        </w:rPr>
        <w:t>Mejorar la identificación, el conocimiento y el análisis de la transformación digital y las tendencias emergentes en el entorno de las telecomunicaciones/TIC</w:t>
      </w:r>
      <w:r w:rsidR="00350F9E">
        <w:rPr>
          <w:lang w:val="es-ES_tradnl"/>
        </w:rPr>
        <w:t>.</w:t>
      </w:r>
    </w:p>
    <w:p w14:paraId="7809C619" w14:textId="041E38F1" w:rsidR="00EF5664" w:rsidRPr="00585857" w:rsidRDefault="005D01EC" w:rsidP="005D01EC">
      <w:pPr>
        <w:rPr>
          <w:lang w:val="es-ES_tradnl"/>
        </w:rPr>
      </w:pPr>
      <w:bookmarkStart w:id="99" w:name="lt_pId137"/>
      <w:r w:rsidRPr="00585857">
        <w:rPr>
          <w:lang w:val="es-ES_tradnl"/>
        </w:rPr>
        <w:t xml:space="preserve">El Objetivo I.2 utiliza el </w:t>
      </w:r>
      <w:r w:rsidR="00EF5664" w:rsidRPr="00585857">
        <w:rPr>
          <w:lang w:val="es-ES_tradnl"/>
        </w:rPr>
        <w:t>18</w:t>
      </w:r>
      <w:r w:rsidRPr="00585857">
        <w:rPr>
          <w:lang w:val="es-ES_tradnl"/>
        </w:rPr>
        <w:t>,</w:t>
      </w:r>
      <w:r w:rsidR="00EF5664" w:rsidRPr="00585857">
        <w:rPr>
          <w:lang w:val="es-ES_tradnl"/>
        </w:rPr>
        <w:t xml:space="preserve">36 </w:t>
      </w:r>
      <w:r w:rsidRPr="00585857">
        <w:rPr>
          <w:lang w:val="es-ES_tradnl"/>
        </w:rPr>
        <w:t xml:space="preserve">por ciento de los recursos previstos para los objetivos intersectoriales, un </w:t>
      </w:r>
      <w:r w:rsidR="00EF5664" w:rsidRPr="00585857">
        <w:rPr>
          <w:lang w:val="es-ES_tradnl"/>
        </w:rPr>
        <w:t>1</w:t>
      </w:r>
      <w:r w:rsidRPr="00585857">
        <w:rPr>
          <w:lang w:val="es-ES_tradnl"/>
        </w:rPr>
        <w:t>,</w:t>
      </w:r>
      <w:r w:rsidR="00EF5664" w:rsidRPr="00585857">
        <w:rPr>
          <w:lang w:val="es-ES_tradnl"/>
        </w:rPr>
        <w:t>91 </w:t>
      </w:r>
      <w:r w:rsidRPr="00585857">
        <w:rPr>
          <w:lang w:val="es-ES_tradnl"/>
        </w:rPr>
        <w:t xml:space="preserve">por ciento de los recursos previstos de la UIT para </w:t>
      </w:r>
      <w:r w:rsidR="00EF5664" w:rsidRPr="00585857">
        <w:rPr>
          <w:lang w:val="es-ES_tradnl"/>
        </w:rPr>
        <w:t>2021-2024.</w:t>
      </w:r>
      <w:bookmarkEnd w:id="99"/>
    </w:p>
    <w:p w14:paraId="0655B1CA" w14:textId="43748B0D" w:rsidR="00771E19" w:rsidRDefault="007A5EE9" w:rsidP="00771E19">
      <w:pPr>
        <w:pStyle w:val="Headingb"/>
        <w:rPr>
          <w:i/>
          <w:iCs/>
          <w:lang w:val="es-ES_tradnl"/>
        </w:rPr>
      </w:pPr>
      <w:r>
        <w:rPr>
          <w:i/>
          <w:iCs/>
          <w:lang w:val="es-ES_tradnl"/>
        </w:rPr>
        <w:t>Resumen de la atribución de costes</w:t>
      </w:r>
    </w:p>
    <w:p w14:paraId="69073FF2" w14:textId="4F53DD19" w:rsidR="00822024" w:rsidRPr="00822024" w:rsidRDefault="00822024" w:rsidP="00822024">
      <w:pPr>
        <w:jc w:val="center"/>
        <w:rPr>
          <w:lang w:val="es-ES_tradnl"/>
        </w:rPr>
      </w:pPr>
      <w:r w:rsidRPr="00822024">
        <w:rPr>
          <w:noProof/>
        </w:rPr>
        <w:drawing>
          <wp:inline distT="0" distB="0" distL="0" distR="0" wp14:anchorId="10A6EC4E" wp14:editId="5F55DE9F">
            <wp:extent cx="8280000" cy="25272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0000" cy="2527200"/>
                    </a:xfrm>
                    <a:prstGeom prst="rect">
                      <a:avLst/>
                    </a:prstGeom>
                    <a:noFill/>
                    <a:ln>
                      <a:noFill/>
                    </a:ln>
                  </pic:spPr>
                </pic:pic>
              </a:graphicData>
            </a:graphic>
          </wp:inline>
        </w:drawing>
      </w:r>
    </w:p>
    <w:p w14:paraId="6C81BD39" w14:textId="1C1117A3" w:rsidR="00EF5664" w:rsidRPr="00585857" w:rsidRDefault="007A5EE9" w:rsidP="005D01EC">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EF5664" w:rsidRPr="00C63BFA" w14:paraId="5F9F3B47"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1F8C7E7F" w14:textId="6518A970" w:rsidR="00EF5664" w:rsidRPr="00C63BFA" w:rsidRDefault="007A5EE9" w:rsidP="005D01EC">
            <w:pPr>
              <w:pStyle w:val="Tablehead"/>
              <w:rPr>
                <w:b/>
                <w:i/>
                <w:iCs/>
                <w:lang w:val="es-ES_tradnl"/>
              </w:rPr>
            </w:pPr>
            <w:r w:rsidRPr="00C63BFA">
              <w:rPr>
                <w:b/>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6BDDA068" w14:textId="69687347" w:rsidR="00EF5664" w:rsidRPr="00C63BFA" w:rsidRDefault="00EF5664" w:rsidP="005D01E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100" w:name="lt_pId142"/>
            <w:r w:rsidRPr="00C63BFA">
              <w:rPr>
                <w:b/>
                <w:i/>
                <w:iCs/>
                <w:lang w:val="es-ES_tradnl"/>
              </w:rPr>
              <w:t>Me</w:t>
            </w:r>
            <w:r w:rsidR="007A5EE9" w:rsidRPr="00C63BFA">
              <w:rPr>
                <w:b/>
                <w:i/>
                <w:iCs/>
                <w:lang w:val="es-ES_tradnl"/>
              </w:rPr>
              <w:t>dición</w:t>
            </w:r>
            <w:bookmarkEnd w:id="100"/>
          </w:p>
        </w:tc>
        <w:tc>
          <w:tcPr>
            <w:tcW w:w="4650" w:type="dxa"/>
            <w:tcBorders>
              <w:top w:val="nil"/>
              <w:left w:val="dotted" w:sz="4" w:space="0" w:color="B8CCE4" w:themeColor="accent1" w:themeTint="66"/>
              <w:bottom w:val="single" w:sz="8" w:space="0" w:color="4F81BD" w:themeColor="accent1"/>
              <w:right w:val="nil"/>
            </w:tcBorders>
          </w:tcPr>
          <w:p w14:paraId="305FA08E" w14:textId="2F1C10FF" w:rsidR="00EF5664" w:rsidRPr="00C63BFA" w:rsidRDefault="00EF5664" w:rsidP="005D01E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101" w:name="lt_pId143"/>
            <w:r w:rsidRPr="00C63BFA">
              <w:rPr>
                <w:b/>
                <w:i/>
                <w:iCs/>
                <w:lang w:val="es-ES_tradnl"/>
              </w:rPr>
              <w:t>Ri</w:t>
            </w:r>
            <w:r w:rsidR="00937000" w:rsidRPr="00C63BFA">
              <w:rPr>
                <w:b/>
                <w:i/>
                <w:iCs/>
                <w:lang w:val="es-ES_tradnl"/>
              </w:rPr>
              <w:t>esgo</w:t>
            </w:r>
            <w:bookmarkEnd w:id="101"/>
          </w:p>
        </w:tc>
      </w:tr>
      <w:tr w:rsidR="00EF5664" w:rsidRPr="008F43A8" w14:paraId="7E4CA205" w14:textId="77777777" w:rsidTr="00205CE2">
        <w:trPr>
          <w:cantSplit/>
        </w:trPr>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5D3EA5F5" w14:textId="1F035F57" w:rsidR="00937000" w:rsidRPr="00CE59B0" w:rsidRDefault="00937000" w:rsidP="005D01EC">
            <w:pPr>
              <w:pStyle w:val="Tabletext"/>
              <w:rPr>
                <w:b w:val="0"/>
                <w:bCs w:val="0"/>
                <w:lang w:val="es-ES_tradnl"/>
              </w:rPr>
            </w:pPr>
            <w:bookmarkStart w:id="102" w:name="lt_pId144"/>
            <w:r>
              <w:rPr>
                <w:b w:val="0"/>
                <w:bCs w:val="0"/>
                <w:lang w:val="es-ES_tradnl"/>
              </w:rPr>
              <w:t>Grandes resultados de los Grupos Temáticos del</w:t>
            </w:r>
            <w:r w:rsidR="00DF29B8">
              <w:rPr>
                <w:b w:val="0"/>
                <w:bCs w:val="0"/>
                <w:lang w:val="es-ES_tradnl"/>
              </w:rPr>
              <w:t> </w:t>
            </w:r>
            <w:r>
              <w:rPr>
                <w:b w:val="0"/>
                <w:bCs w:val="0"/>
                <w:lang w:val="es-ES_tradnl"/>
              </w:rPr>
              <w:t>UIT-T</w:t>
            </w:r>
            <w:r w:rsidR="00CE59B0">
              <w:rPr>
                <w:b w:val="0"/>
                <w:bCs w:val="0"/>
                <w:lang w:val="es-ES_tradnl"/>
              </w:rPr>
              <w:t>.</w:t>
            </w:r>
          </w:p>
          <w:p w14:paraId="19CBFA2E" w14:textId="5F6D4194" w:rsidR="00EF5664" w:rsidRPr="00585857" w:rsidRDefault="00937000" w:rsidP="005D01EC">
            <w:pPr>
              <w:pStyle w:val="Tabletext"/>
              <w:rPr>
                <w:b w:val="0"/>
                <w:bCs w:val="0"/>
                <w:lang w:val="es-ES_tradnl"/>
              </w:rPr>
            </w:pPr>
            <w:r>
              <w:rPr>
                <w:b w:val="0"/>
                <w:bCs w:val="0"/>
                <w:lang w:val="es-ES_tradnl"/>
              </w:rPr>
              <w:t xml:space="preserve">Mayor participación </w:t>
            </w:r>
            <w:bookmarkEnd w:id="102"/>
            <w:r>
              <w:rPr>
                <w:b w:val="0"/>
                <w:bCs w:val="0"/>
                <w:lang w:val="es-ES_tradnl"/>
              </w:rPr>
              <w:t>en los eventos del Caleidoscopio de la UIT</w:t>
            </w:r>
            <w:r w:rsidR="00CE59B0">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4149774D" w14:textId="45180329" w:rsidR="00EF5664" w:rsidRPr="00585857" w:rsidRDefault="00937000" w:rsidP="005D01E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03" w:name="lt_pId146"/>
            <w:r>
              <w:rPr>
                <w:lang w:val="es-ES_tradnl"/>
              </w:rPr>
              <w:t>Se ha incrementado el número de nuevas cuestiones, nuevas Comisiones de Estudio, nuevos temas de trabajo y nuevos Grupos de Trabajo</w:t>
            </w:r>
            <w:r w:rsidR="00EF5664" w:rsidRPr="00585857">
              <w:rPr>
                <w:lang w:val="es-ES_tradnl"/>
              </w:rPr>
              <w:t>.</w:t>
            </w:r>
            <w:bookmarkEnd w:id="103"/>
          </w:p>
          <w:p w14:paraId="3A728E7A" w14:textId="6E365B19" w:rsidR="00EF5664" w:rsidRPr="00585857" w:rsidRDefault="00EF5664" w:rsidP="005D01E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04" w:name="lt_pId147"/>
            <w:r w:rsidRPr="00585857">
              <w:rPr>
                <w:lang w:val="es-ES_tradnl"/>
              </w:rPr>
              <w:t>N</w:t>
            </w:r>
            <w:r w:rsidR="00937000">
              <w:rPr>
                <w:lang w:val="es-ES_tradnl"/>
              </w:rPr>
              <w:t xml:space="preserve">úmero de países que participan en el caleidoscopio, y progresión del número de ponencias publicadas en </w:t>
            </w:r>
            <w:r w:rsidRPr="00585857">
              <w:rPr>
                <w:lang w:val="es-ES_tradnl"/>
              </w:rPr>
              <w:t>IEEEE.</w:t>
            </w:r>
            <w:bookmarkEnd w:id="104"/>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57D0BF6D" w14:textId="3D3A8FC4" w:rsidR="00EF5664" w:rsidRPr="00585857" w:rsidRDefault="00937000" w:rsidP="005D01E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05" w:name="lt_pId148"/>
            <w:r>
              <w:rPr>
                <w:lang w:val="es-ES_tradnl"/>
              </w:rPr>
              <w:t>Se mitigaron todos los riesgos tales como la no identificación de tendencias clave, la falta de capacidad de respuesta, que llevan al desinterés de los miembros y otras partes interesadas y al riesgo de quedar rezagados.</w:t>
            </w:r>
            <w:bookmarkEnd w:id="105"/>
          </w:p>
        </w:tc>
      </w:tr>
    </w:tbl>
    <w:p w14:paraId="12D64039" w14:textId="0C917086" w:rsidR="00EF5664" w:rsidRPr="00585857" w:rsidRDefault="007A5EE9" w:rsidP="005D01EC">
      <w:pPr>
        <w:pStyle w:val="Headingb"/>
        <w:spacing w:after="120"/>
        <w:rPr>
          <w:i/>
          <w:iCs/>
          <w:lang w:val="es-ES_tradnl"/>
        </w:rPr>
      </w:pPr>
      <w:r>
        <w:rPr>
          <w:i/>
          <w:iCs/>
          <w:lang w:val="es-ES_tradnl"/>
        </w:rPr>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EF5664" w:rsidRPr="00C63BFA" w14:paraId="3255931F"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798C3A3" w14:textId="5AE13E66" w:rsidR="00EF5664" w:rsidRPr="00C63BFA" w:rsidRDefault="00AC54E2" w:rsidP="005D01EC">
            <w:pPr>
              <w:pStyle w:val="Tablehead"/>
              <w:rPr>
                <w:b/>
                <w:i/>
                <w:iCs/>
                <w:lang w:val="es-ES_tradnl"/>
              </w:rPr>
            </w:pPr>
            <w:r w:rsidRPr="00C63BFA">
              <w:rPr>
                <w:b/>
                <w:i/>
                <w:iCs/>
                <w:lang w:val="es-ES_tradnl"/>
              </w:rPr>
              <w:t>Resultado</w:t>
            </w:r>
            <w:r w:rsidR="00B652D4" w:rsidRPr="00C63BFA">
              <w:rPr>
                <w:b/>
                <w:i/>
                <w:iCs/>
                <w:lang w:val="es-ES_tradnl"/>
              </w:rPr>
              <w:t>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1A96240D" w14:textId="7110563A" w:rsidR="00EF5664" w:rsidRPr="00C63BFA" w:rsidRDefault="00AC54E2" w:rsidP="005D01E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C63BFA">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0CF1C66A" w14:textId="248F6201" w:rsidR="00EF5664" w:rsidRPr="00C63BFA" w:rsidRDefault="00937000" w:rsidP="005D01E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C63BFA">
              <w:rPr>
                <w:b/>
                <w:i/>
                <w:iCs/>
                <w:lang w:val="es-ES_tradnl"/>
              </w:rPr>
              <w:t>Indicadores de riesgo</w:t>
            </w:r>
          </w:p>
        </w:tc>
      </w:tr>
      <w:tr w:rsidR="00EF5664" w:rsidRPr="008F43A8" w14:paraId="1880BED5"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17F9D219" w14:textId="7D79B4B6" w:rsidR="00EF5664" w:rsidRPr="00585857" w:rsidRDefault="00B70859" w:rsidP="00B70859">
            <w:pPr>
              <w:pStyle w:val="Tabletext"/>
              <w:rPr>
                <w:b w:val="0"/>
                <w:bCs w:val="0"/>
                <w:lang w:val="es-ES_tradnl"/>
              </w:rPr>
            </w:pPr>
            <w:r w:rsidRPr="00585857">
              <w:rPr>
                <w:b w:val="0"/>
                <w:bCs w:val="0"/>
                <w:lang w:val="es-ES_tradnl"/>
              </w:rPr>
              <w:t>Identificación, conocimiento y análisis de la transformación digital y las tendencias emergentes en el entorno de las telecomunicaciones/TIC</w:t>
            </w:r>
            <w:r w:rsidR="00CE59B0">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74C9BF89" w14:textId="77777777" w:rsidR="00EA55DD" w:rsidRPr="00585857" w:rsidRDefault="00EA55DD" w:rsidP="00EA55D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Resultados de los Grupos Temáticos del UIT-T (productos, nuevas cuestiones, nuevos grupos temáticos, nuevas Comisiones de Estudio, nuevos temas de trabajo, nuevos Grupos de Trabajo).</w:t>
            </w:r>
          </w:p>
          <w:p w14:paraId="7AC5E127" w14:textId="77777777" w:rsidR="00EA55DD" w:rsidRPr="00585857" w:rsidRDefault="00EA55DD" w:rsidP="00EA55D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Contribuciones a los eventos Caleidoscopio.</w:t>
            </w:r>
          </w:p>
          <w:p w14:paraId="78A963F7" w14:textId="145B9513" w:rsidR="00EF5664" w:rsidRPr="00585857" w:rsidRDefault="00EA55DD" w:rsidP="00EA55D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Indicadores de la Gaceta de la UIT: Descubrimientos de las TIC.</w:t>
            </w:r>
          </w:p>
        </w:tc>
        <w:tc>
          <w:tcPr>
            <w:tcW w:w="4650" w:type="dxa"/>
            <w:tcBorders>
              <w:top w:val="single" w:sz="8" w:space="0" w:color="4F81BD" w:themeColor="accent1"/>
              <w:left w:val="dotted" w:sz="4" w:space="0" w:color="4F81BD" w:themeColor="accent1"/>
              <w:bottom w:val="nil"/>
              <w:right w:val="nil"/>
            </w:tcBorders>
          </w:tcPr>
          <w:p w14:paraId="156D0068" w14:textId="4116A42D" w:rsidR="00EF5664" w:rsidRPr="00585857" w:rsidRDefault="00B7085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versatilidad, agilidad y disposición de la fuerza laboral para adaptarse a la evolución de las necesidades</w:t>
            </w:r>
            <w:r w:rsidR="00CE59B0">
              <w:rPr>
                <w:lang w:val="es-ES_tradnl"/>
              </w:rPr>
              <w:t>.</w:t>
            </w:r>
          </w:p>
          <w:p w14:paraId="5D18B912" w14:textId="1CA52825" w:rsidR="00EF5664" w:rsidRPr="00585857" w:rsidRDefault="00937000" w:rsidP="00EF5664">
            <w:pPr>
              <w:tabs>
                <w:tab w:val="clear" w:pos="794"/>
                <w:tab w:val="clear" w:pos="1191"/>
                <w:tab w:val="clear" w:pos="1588"/>
                <w:tab w:val="clear" w:pos="198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sz w:val="22"/>
                <w:lang w:val="es-ES_tradnl"/>
              </w:rPr>
            </w:pPr>
            <w:bookmarkStart w:id="106" w:name="lt_pId159"/>
            <w:r>
              <w:rPr>
                <w:sz w:val="22"/>
                <w:lang w:val="es-ES_tradnl"/>
              </w:rPr>
              <w:t>Problemas ligados al desarrollo del talento y la retención</w:t>
            </w:r>
            <w:bookmarkEnd w:id="106"/>
            <w:r w:rsidR="00CE59B0">
              <w:rPr>
                <w:sz w:val="22"/>
                <w:lang w:val="es-ES_tradnl"/>
              </w:rPr>
              <w:t>.</w:t>
            </w:r>
          </w:p>
        </w:tc>
      </w:tr>
      <w:tr w:rsidR="00EF5664" w:rsidRPr="008F43A8" w14:paraId="02839B59"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E25BC4F" w14:textId="77777777" w:rsidR="00EF5664" w:rsidRPr="00585857" w:rsidRDefault="00EF5664" w:rsidP="005D01EC">
            <w:pPr>
              <w:pStyle w:val="Tabletext"/>
              <w:rPr>
                <w:b w:val="0"/>
                <w:bCs w:val="0"/>
                <w:lang w:val="es-ES_tradnl"/>
              </w:rPr>
            </w:pP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28B5EEC1" w14:textId="347E8296" w:rsidR="00EF5664" w:rsidRPr="00585857" w:rsidRDefault="00F7113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nuevas tendencias emergentes identificadas y analizadas por la UIT.</w:t>
            </w:r>
          </w:p>
        </w:tc>
        <w:tc>
          <w:tcPr>
            <w:tcW w:w="4650" w:type="dxa"/>
            <w:tcBorders>
              <w:top w:val="nil"/>
              <w:left w:val="dotted" w:sz="4" w:space="0" w:color="4F81BD" w:themeColor="accent1"/>
              <w:bottom w:val="nil"/>
              <w:right w:val="nil"/>
            </w:tcBorders>
          </w:tcPr>
          <w:p w14:paraId="66952399" w14:textId="0701C619" w:rsidR="00EF5664" w:rsidRPr="00585857" w:rsidRDefault="00B7085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Marco de la organización obsoleto</w:t>
            </w:r>
            <w:r w:rsidR="00CE59B0">
              <w:rPr>
                <w:lang w:val="es-ES_tradnl"/>
              </w:rPr>
              <w:t>.</w:t>
            </w:r>
          </w:p>
        </w:tc>
      </w:tr>
      <w:tr w:rsidR="00EF5664" w:rsidRPr="008F43A8" w14:paraId="3B032D99"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DEB54FD" w14:textId="77777777" w:rsidR="00EF5664" w:rsidRPr="00585857" w:rsidRDefault="00EF5664" w:rsidP="005D01EC">
            <w:pPr>
              <w:pStyle w:val="Tabletext"/>
              <w:rPr>
                <w:b w:val="0"/>
                <w:bCs w:val="0"/>
                <w:lang w:val="es-ES_tradnl"/>
              </w:rPr>
            </w:pP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18283579" w14:textId="03168551" w:rsidR="00EF5664" w:rsidRPr="00585857" w:rsidRDefault="00F7113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Miembros/personal que consideran que la UIT trabaja adecuadamente en la identificación y análisis de las nuevas tendencias emergentes.</w:t>
            </w:r>
          </w:p>
        </w:tc>
        <w:tc>
          <w:tcPr>
            <w:tcW w:w="4650" w:type="dxa"/>
            <w:tcBorders>
              <w:top w:val="nil"/>
              <w:left w:val="dotted" w:sz="4" w:space="0" w:color="4F81BD" w:themeColor="accent1"/>
              <w:bottom w:val="nil"/>
              <w:right w:val="nil"/>
            </w:tcBorders>
          </w:tcPr>
          <w:p w14:paraId="599818FB" w14:textId="77777777" w:rsidR="00EF5664" w:rsidRPr="00585857" w:rsidRDefault="00EF5664" w:rsidP="005D01E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EF5664" w:rsidRPr="008F43A8" w14:paraId="0BA92097"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3F92D50" w14:textId="77777777" w:rsidR="00EF5664" w:rsidRPr="00585857" w:rsidRDefault="00EF5664" w:rsidP="005D01EC">
            <w:pPr>
              <w:pStyle w:val="Tabletext"/>
              <w:rPr>
                <w:b w:val="0"/>
                <w:bCs w:val="0"/>
                <w:lang w:val="es-ES_tradnl"/>
              </w:rPr>
            </w:pP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094C0AAA" w14:textId="03DF437F" w:rsidR="00EF5664" w:rsidRPr="00585857" w:rsidRDefault="00F7113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Trabajo de la UIT en la identificación y análisis de las nuevas tendencias emergentes y la transformación digital.</w:t>
            </w:r>
          </w:p>
        </w:tc>
        <w:tc>
          <w:tcPr>
            <w:tcW w:w="4650" w:type="dxa"/>
            <w:tcBorders>
              <w:top w:val="nil"/>
              <w:left w:val="dotted" w:sz="4" w:space="0" w:color="4F81BD" w:themeColor="accent1"/>
              <w:bottom w:val="single" w:sz="4" w:space="0" w:color="B8CCE4" w:themeColor="accent1" w:themeTint="66"/>
              <w:right w:val="nil"/>
            </w:tcBorders>
          </w:tcPr>
          <w:p w14:paraId="4541E2DD" w14:textId="77777777" w:rsidR="00EF5664" w:rsidRPr="00585857" w:rsidRDefault="00EF5664" w:rsidP="005D01E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70437169" w14:textId="2DD8467B" w:rsidR="00B70859" w:rsidRPr="00585857" w:rsidRDefault="00B70859">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0A0D9600" w14:textId="4ECA0C6E" w:rsidR="00B70859" w:rsidRPr="00585857" w:rsidRDefault="00B70859" w:rsidP="00F04E0C">
      <w:pPr>
        <w:pStyle w:val="Heading3"/>
        <w:rPr>
          <w:lang w:val="es-ES_tradnl"/>
        </w:rPr>
      </w:pPr>
      <w:bookmarkStart w:id="107" w:name="lt_pId164"/>
      <w:bookmarkStart w:id="108" w:name="_Toc33632249"/>
      <w:r w:rsidRPr="00585857">
        <w:rPr>
          <w:lang w:val="es-ES_tradnl"/>
        </w:rPr>
        <w:lastRenderedPageBreak/>
        <w:t xml:space="preserve">II.1.3 – I.3 </w:t>
      </w:r>
      <w:bookmarkEnd w:id="107"/>
      <w:r w:rsidRPr="00585857">
        <w:rPr>
          <w:lang w:val="es-ES_tradnl"/>
        </w:rPr>
        <w:t>Accesibilidad de las telecomunicaciones/TIC</w:t>
      </w:r>
      <w:bookmarkEnd w:id="108"/>
    </w:p>
    <w:p w14:paraId="29C3A3DB" w14:textId="77777777" w:rsidR="00B70859" w:rsidRPr="00585857" w:rsidRDefault="00B70859" w:rsidP="00B70859">
      <w:pPr>
        <w:pStyle w:val="Headingb"/>
        <w:rPr>
          <w:i/>
          <w:iCs/>
          <w:lang w:val="es-ES_tradnl"/>
        </w:rPr>
      </w:pPr>
      <w:r w:rsidRPr="00585857">
        <w:rPr>
          <w:i/>
          <w:iCs/>
          <w:lang w:val="es-ES_tradnl"/>
        </w:rPr>
        <w:t>Descripción del objetivo</w:t>
      </w:r>
    </w:p>
    <w:p w14:paraId="132F15EB" w14:textId="5CE9DFA6" w:rsidR="00B70859" w:rsidRPr="00585857" w:rsidRDefault="00B70859" w:rsidP="00B70859">
      <w:pPr>
        <w:rPr>
          <w:lang w:val="es-ES_tradnl"/>
        </w:rPr>
      </w:pPr>
      <w:r w:rsidRPr="00585857">
        <w:rPr>
          <w:lang w:val="es-ES_tradnl"/>
        </w:rPr>
        <w:t>Mejorar la accesibilidad de las telecomunicaciones/TIC para las personas con discapacidad y con necesidades especiales.</w:t>
      </w:r>
    </w:p>
    <w:p w14:paraId="14F23F35" w14:textId="024B7674" w:rsidR="00B70859" w:rsidRPr="00585857" w:rsidRDefault="00B70859" w:rsidP="00B70859">
      <w:pPr>
        <w:rPr>
          <w:lang w:val="es-ES_tradnl"/>
        </w:rPr>
      </w:pPr>
      <w:bookmarkStart w:id="109" w:name="lt_pId167"/>
      <w:r w:rsidRPr="00585857">
        <w:rPr>
          <w:lang w:val="es-ES_tradnl"/>
        </w:rPr>
        <w:t>El Objetivo I.3 utiliza el 1,89 por ciento de los recursos previstos para los objetivos intersectoriales, un 0,20 por ciento de los recursos previstos de la UIT para 2021-2024.</w:t>
      </w:r>
      <w:bookmarkEnd w:id="109"/>
    </w:p>
    <w:p w14:paraId="50EBEFA7" w14:textId="7FC13C5C" w:rsidR="00771E19" w:rsidRDefault="007A5EE9" w:rsidP="00771E19">
      <w:pPr>
        <w:pStyle w:val="Headingb"/>
        <w:rPr>
          <w:i/>
          <w:iCs/>
          <w:lang w:val="es-ES_tradnl"/>
        </w:rPr>
      </w:pPr>
      <w:r>
        <w:rPr>
          <w:i/>
          <w:iCs/>
          <w:lang w:val="es-ES_tradnl"/>
        </w:rPr>
        <w:t>Resumen de la atribución de costes</w:t>
      </w:r>
    </w:p>
    <w:p w14:paraId="33359001" w14:textId="07017BF9" w:rsidR="00822024" w:rsidRPr="00822024" w:rsidRDefault="00822024" w:rsidP="00822024">
      <w:pPr>
        <w:jc w:val="center"/>
        <w:rPr>
          <w:lang w:val="es-ES_tradnl"/>
        </w:rPr>
      </w:pPr>
      <w:r w:rsidRPr="00822024">
        <w:rPr>
          <w:noProof/>
        </w:rPr>
        <w:drawing>
          <wp:inline distT="0" distB="0" distL="0" distR="0" wp14:anchorId="449A7C25" wp14:editId="5EFDB986">
            <wp:extent cx="8280000" cy="24912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80000" cy="2491200"/>
                    </a:xfrm>
                    <a:prstGeom prst="rect">
                      <a:avLst/>
                    </a:prstGeom>
                    <a:noFill/>
                    <a:ln>
                      <a:noFill/>
                    </a:ln>
                  </pic:spPr>
                </pic:pic>
              </a:graphicData>
            </a:graphic>
          </wp:inline>
        </w:drawing>
      </w:r>
    </w:p>
    <w:p w14:paraId="45612EEB" w14:textId="4E959B43" w:rsidR="00B70859" w:rsidRPr="00585857" w:rsidRDefault="007A5EE9" w:rsidP="00B70859">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B70859" w:rsidRPr="00C63BFA" w14:paraId="00108E62"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2593F3FA" w14:textId="6A1239D7" w:rsidR="00B70859" w:rsidRPr="00C63BFA" w:rsidRDefault="00937000" w:rsidP="00B70859">
            <w:pPr>
              <w:pStyle w:val="Tablehead"/>
              <w:rPr>
                <w:b/>
                <w:i/>
                <w:iCs/>
                <w:lang w:val="es-ES_tradnl"/>
              </w:rPr>
            </w:pPr>
            <w:r w:rsidRPr="00C63BFA">
              <w:rPr>
                <w:b/>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38037D10" w14:textId="7B7A382C" w:rsidR="00B70859" w:rsidRPr="00C63BFA" w:rsidRDefault="00B70859" w:rsidP="00B70859">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110" w:name="lt_pId172"/>
            <w:r w:rsidRPr="00C63BFA">
              <w:rPr>
                <w:b/>
                <w:i/>
                <w:iCs/>
                <w:lang w:val="es-ES_tradnl"/>
              </w:rPr>
              <w:t>Me</w:t>
            </w:r>
            <w:r w:rsidR="00937000" w:rsidRPr="00C63BFA">
              <w:rPr>
                <w:b/>
                <w:i/>
                <w:iCs/>
                <w:lang w:val="es-ES_tradnl"/>
              </w:rPr>
              <w:t>dición</w:t>
            </w:r>
            <w:bookmarkEnd w:id="110"/>
          </w:p>
        </w:tc>
        <w:tc>
          <w:tcPr>
            <w:tcW w:w="4650" w:type="dxa"/>
            <w:tcBorders>
              <w:top w:val="nil"/>
              <w:left w:val="dotted" w:sz="4" w:space="0" w:color="B8CCE4" w:themeColor="accent1" w:themeTint="66"/>
              <w:bottom w:val="single" w:sz="8" w:space="0" w:color="4F81BD" w:themeColor="accent1"/>
              <w:right w:val="nil"/>
            </w:tcBorders>
          </w:tcPr>
          <w:p w14:paraId="78E18DF9" w14:textId="14711075" w:rsidR="00B70859" w:rsidRPr="00C63BFA" w:rsidRDefault="00B70859" w:rsidP="00B70859">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111" w:name="lt_pId173"/>
            <w:r w:rsidRPr="00C63BFA">
              <w:rPr>
                <w:b/>
                <w:i/>
                <w:iCs/>
                <w:lang w:val="es-ES_tradnl"/>
              </w:rPr>
              <w:t>Ri</w:t>
            </w:r>
            <w:r w:rsidR="00937000" w:rsidRPr="00C63BFA">
              <w:rPr>
                <w:b/>
                <w:i/>
                <w:iCs/>
                <w:lang w:val="es-ES_tradnl"/>
              </w:rPr>
              <w:t>esgo</w:t>
            </w:r>
            <w:bookmarkEnd w:id="111"/>
          </w:p>
        </w:tc>
      </w:tr>
      <w:tr w:rsidR="00B70859" w:rsidRPr="008F43A8" w14:paraId="5D7CA28B"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16330212" w14:textId="5841DAB9" w:rsidR="00B70859" w:rsidRPr="00585857" w:rsidRDefault="00937000" w:rsidP="00B70859">
            <w:pPr>
              <w:pStyle w:val="Tabletext"/>
              <w:rPr>
                <w:b w:val="0"/>
                <w:bCs w:val="0"/>
                <w:lang w:val="es-ES_tradnl"/>
              </w:rPr>
            </w:pPr>
            <w:bookmarkStart w:id="112" w:name="lt_pId174"/>
            <w:r>
              <w:rPr>
                <w:b w:val="0"/>
                <w:bCs w:val="0"/>
                <w:lang w:val="es-ES_tradnl"/>
              </w:rPr>
              <w:t>Ha crecido el número de países que disponen de un marco reglamentario para garantizar la accesibilidad a las TIC para las personas con discapacidad</w:t>
            </w:r>
            <w:r w:rsidR="00B70859" w:rsidRPr="00585857">
              <w:rPr>
                <w:b w:val="0"/>
                <w:bCs w:val="0"/>
                <w:lang w:val="es-ES_tradnl"/>
              </w:rPr>
              <w:t>.</w:t>
            </w:r>
            <w:bookmarkEnd w:id="112"/>
          </w:p>
          <w:p w14:paraId="50AB921D" w14:textId="5A9154DA" w:rsidR="00B70859" w:rsidRPr="00585857" w:rsidRDefault="00937000" w:rsidP="00B70859">
            <w:pPr>
              <w:pStyle w:val="Tabletext"/>
              <w:rPr>
                <w:b w:val="0"/>
                <w:bCs w:val="0"/>
                <w:lang w:val="es-ES_tradnl"/>
              </w:rPr>
            </w:pPr>
            <w:bookmarkStart w:id="113" w:name="lt_pId175"/>
            <w:r>
              <w:rPr>
                <w:b w:val="0"/>
                <w:bCs w:val="0"/>
                <w:lang w:val="es-ES_tradnl"/>
              </w:rPr>
              <w:t>Se ha incrementado la p</w:t>
            </w:r>
            <w:r w:rsidRPr="00585857">
              <w:rPr>
                <w:b w:val="0"/>
                <w:bCs w:val="0"/>
                <w:lang w:val="es-ES_tradnl"/>
              </w:rPr>
              <w:t>articipación</w:t>
            </w:r>
            <w:r w:rsidR="00B70859" w:rsidRPr="00585857">
              <w:rPr>
                <w:b w:val="0"/>
                <w:bCs w:val="0"/>
                <w:lang w:val="es-ES_tradnl"/>
              </w:rPr>
              <w:t xml:space="preserve"> </w:t>
            </w:r>
            <w:r>
              <w:rPr>
                <w:b w:val="0"/>
                <w:bCs w:val="0"/>
                <w:lang w:val="es-ES_tradnl"/>
              </w:rPr>
              <w:t>de personas/organizaciones de personas con discapacidad en las labores de la UIT</w:t>
            </w:r>
            <w:r w:rsidR="00B70859" w:rsidRPr="00585857">
              <w:rPr>
                <w:b w:val="0"/>
                <w:bCs w:val="0"/>
                <w:lang w:val="es-ES_tradnl"/>
              </w:rPr>
              <w:t>.</w:t>
            </w:r>
            <w:bookmarkEnd w:id="113"/>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611131BC" w14:textId="6963AD96" w:rsidR="00B70859" w:rsidRPr="00585857" w:rsidRDefault="00937000"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14" w:name="lt_pId176"/>
            <w:r>
              <w:rPr>
                <w:lang w:val="es-ES_tradnl"/>
              </w:rPr>
              <w:t>N</w:t>
            </w:r>
            <w:r w:rsidRPr="00937000">
              <w:rPr>
                <w:lang w:val="es-ES_tradnl"/>
              </w:rPr>
              <w:t>úmero de países que disponen de un marco reglamentario</w:t>
            </w:r>
            <w:r w:rsidR="00B70859" w:rsidRPr="00585857">
              <w:rPr>
                <w:lang w:val="es-ES_tradnl"/>
              </w:rPr>
              <w:t xml:space="preserve">: 2016: 48; 2017: 59; 2018: 61; 2019: </w:t>
            </w:r>
            <w:bookmarkEnd w:id="114"/>
            <w:r>
              <w:rPr>
                <w:lang w:val="es-ES_tradnl"/>
              </w:rPr>
              <w:t>en fase de medición</w:t>
            </w:r>
            <w:r w:rsidR="00CE59B0">
              <w:rPr>
                <w:lang w:val="es-ES_tradnl"/>
              </w:rPr>
              <w:t>.</w:t>
            </w:r>
          </w:p>
          <w:p w14:paraId="6BADD2E9" w14:textId="6A195877" w:rsidR="00B70859" w:rsidRPr="00585857" w:rsidRDefault="00937000"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15" w:name="lt_pId177"/>
            <w:r>
              <w:rPr>
                <w:lang w:val="es-ES_tradnl"/>
              </w:rPr>
              <w:t>Número de expertos y organizaciones de personas con discapacidad</w:t>
            </w:r>
            <w:bookmarkEnd w:id="115"/>
            <w:r w:rsidR="00CE59B0">
              <w:rPr>
                <w:lang w:val="es-ES_tradnl"/>
              </w:rPr>
              <w:t>.</w:t>
            </w:r>
          </w:p>
          <w:p w14:paraId="068117C7" w14:textId="300743F6" w:rsidR="00B70859" w:rsidRPr="00585857" w:rsidRDefault="00B7085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16" w:name="lt_pId178"/>
            <w:r w:rsidRPr="00585857">
              <w:rPr>
                <w:lang w:val="es-ES_tradnl"/>
              </w:rPr>
              <w:t>N</w:t>
            </w:r>
            <w:r w:rsidR="00937000">
              <w:rPr>
                <w:lang w:val="es-ES_tradnl"/>
              </w:rPr>
              <w:t>úmero de reuniones con lenguaje de signos y subtitulado</w:t>
            </w:r>
            <w:bookmarkEnd w:id="116"/>
            <w:r w:rsidR="00CE59B0">
              <w:rPr>
                <w:lang w:val="es-ES_tradnl"/>
              </w:rPr>
              <w:t>.</w:t>
            </w:r>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2179ECC2" w14:textId="57F81D39" w:rsidR="00B70859" w:rsidRPr="00585857" w:rsidRDefault="00937000"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17" w:name="lt_pId179"/>
            <w:r>
              <w:rPr>
                <w:lang w:val="es-ES_tradnl"/>
              </w:rPr>
              <w:t>Se redujeron todos los riesgos. Nivel de recursos suficiente para responder a la demanda.</w:t>
            </w:r>
            <w:bookmarkEnd w:id="117"/>
          </w:p>
        </w:tc>
      </w:tr>
    </w:tbl>
    <w:p w14:paraId="1174A70F" w14:textId="2658C89E" w:rsidR="00B70859" w:rsidRPr="00585857" w:rsidRDefault="007A5EE9" w:rsidP="00B70859">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B70859" w:rsidRPr="00C63BFA" w14:paraId="0AE3F7FA"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67118869" w14:textId="76FCCA13" w:rsidR="00B70859" w:rsidRPr="00C63BFA" w:rsidRDefault="00AC54E2" w:rsidP="00B70859">
            <w:pPr>
              <w:pStyle w:val="Tablehead"/>
              <w:rPr>
                <w:b/>
                <w:i/>
                <w:iCs/>
                <w:lang w:val="es-ES_tradnl"/>
              </w:rPr>
            </w:pPr>
            <w:r w:rsidRPr="00C63BFA">
              <w:rPr>
                <w:b/>
                <w:bCs w:val="0"/>
                <w:i/>
                <w:iCs/>
                <w:lang w:val="es-ES_tradnl"/>
              </w:rPr>
              <w:t>Resultado</w:t>
            </w:r>
            <w:r w:rsidR="00B652D4" w:rsidRPr="00C63BFA">
              <w:rPr>
                <w:b/>
                <w:bCs w:val="0"/>
                <w:i/>
                <w:iCs/>
                <w:lang w:val="es-ES_tradnl"/>
              </w:rPr>
              <w:t>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26AB2433" w14:textId="1F1E9C21" w:rsidR="00B70859" w:rsidRPr="00C63BFA" w:rsidRDefault="00AC54E2" w:rsidP="00B70859">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C63BFA">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0E987C44" w14:textId="50910323" w:rsidR="00B70859" w:rsidRPr="00C63BFA" w:rsidRDefault="001E1E3C" w:rsidP="00B70859">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118" w:name="lt_pId185"/>
            <w:r w:rsidRPr="00C63BFA">
              <w:rPr>
                <w:b/>
                <w:i/>
                <w:iCs/>
                <w:lang w:val="es-ES_tradnl"/>
              </w:rPr>
              <w:t>Indicadores de riesgo</w:t>
            </w:r>
            <w:bookmarkEnd w:id="118"/>
          </w:p>
        </w:tc>
      </w:tr>
      <w:tr w:rsidR="00B70859" w:rsidRPr="008F43A8" w14:paraId="091F5330"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100B1BA0" w14:textId="21C7007F" w:rsidR="00B70859" w:rsidRPr="00585857" w:rsidRDefault="00B70859" w:rsidP="00B70859">
            <w:pPr>
              <w:pStyle w:val="Tabletext"/>
              <w:rPr>
                <w:b w:val="0"/>
                <w:bCs w:val="0"/>
                <w:lang w:val="es-ES_tradnl"/>
              </w:rPr>
            </w:pPr>
            <w:r w:rsidRPr="00585857">
              <w:rPr>
                <w:b w:val="0"/>
                <w:bCs w:val="0"/>
                <w:lang w:val="es-ES_tradnl"/>
              </w:rPr>
              <w:t>Aumento de la disponibilidad y conformidad de equipos, servicios y aplicaciones de telecomunicaciones/TIC con principios de diseño universales</w:t>
            </w:r>
            <w:r w:rsidR="00CE59B0">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582564A0" w14:textId="6A0E46D1" w:rsidR="00B70859" w:rsidRPr="00585857" w:rsidRDefault="007D7426" w:rsidP="00AC54E2">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19" w:name="lt_pId181"/>
            <w:r w:rsidRPr="00585857">
              <w:rPr>
                <w:lang w:val="es-ES_tradnl"/>
              </w:rPr>
              <w:t>Número de publicaciones técnicas del UIT-T que tienen elementos principales dedicados a la accesibilidad de las TIC, que mejoran la accesibilidad o contienen requisitos o características de accesibilidad.</w:t>
            </w:r>
            <w:bookmarkEnd w:id="119"/>
          </w:p>
        </w:tc>
        <w:tc>
          <w:tcPr>
            <w:tcW w:w="4650" w:type="dxa"/>
            <w:tcBorders>
              <w:top w:val="single" w:sz="8" w:space="0" w:color="4F81BD" w:themeColor="accent1"/>
              <w:left w:val="dotted" w:sz="4" w:space="0" w:color="4F81BD" w:themeColor="accent1"/>
              <w:bottom w:val="nil"/>
              <w:right w:val="nil"/>
            </w:tcBorders>
          </w:tcPr>
          <w:p w14:paraId="2D9245DD" w14:textId="66B44670" w:rsidR="00B70859" w:rsidRPr="00585857" w:rsidRDefault="00AC54E2" w:rsidP="00AC54E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r w:rsidR="00CE59B0">
              <w:rPr>
                <w:lang w:val="es-ES_tradnl"/>
              </w:rPr>
              <w:t>.</w:t>
            </w:r>
          </w:p>
          <w:p w14:paraId="5F8EECCD" w14:textId="584B9587" w:rsidR="00B70859" w:rsidRPr="00585857" w:rsidRDefault="001E1E3C" w:rsidP="00AC54E2">
            <w:pPr>
              <w:pStyle w:val="Tabletext"/>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Falta de recursos humanos y financieros</w:t>
            </w:r>
            <w:r w:rsidR="00CE59B0">
              <w:rPr>
                <w:lang w:val="es-ES_tradnl"/>
              </w:rPr>
              <w:t>.</w:t>
            </w:r>
          </w:p>
        </w:tc>
      </w:tr>
      <w:tr w:rsidR="00B70859" w:rsidRPr="008F43A8" w14:paraId="4C3C1CFF"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1C6FC55" w14:textId="6A6AD097" w:rsidR="00B70859" w:rsidRPr="00585857" w:rsidRDefault="00B70859" w:rsidP="00B70859">
            <w:pPr>
              <w:pStyle w:val="Tabletext"/>
              <w:rPr>
                <w:b w:val="0"/>
                <w:bCs w:val="0"/>
                <w:lang w:val="es-ES_tradnl"/>
              </w:rPr>
            </w:pPr>
            <w:r w:rsidRPr="00585857">
              <w:rPr>
                <w:b w:val="0"/>
                <w:bCs w:val="0"/>
                <w:lang w:val="es-ES_tradnl"/>
              </w:rPr>
              <w:t>Aumento de la participación de las organizaciones de personas con discapacidad y con necesidades especiales en los trabajos de la Unión</w:t>
            </w:r>
            <w:r w:rsidR="00CE59B0">
              <w:rPr>
                <w:b w:val="0"/>
                <w:bCs w:val="0"/>
                <w:lang w:val="es-ES_tradnl"/>
              </w:rPr>
              <w: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19CAFC95" w14:textId="2F66765E" w:rsidR="00B70859" w:rsidRPr="00585857" w:rsidRDefault="007D7426" w:rsidP="00AC54E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publicaciones técnicas del UIT-T que tienen elementos principales dedicados a la accesibilidad de las TIC, que mejoran la accesibilidad o contienen requisitos o características de accesibilidad.</w:t>
            </w:r>
          </w:p>
        </w:tc>
        <w:tc>
          <w:tcPr>
            <w:tcW w:w="4650" w:type="dxa"/>
            <w:tcBorders>
              <w:top w:val="nil"/>
              <w:left w:val="dotted" w:sz="4" w:space="0" w:color="4F81BD" w:themeColor="accent1"/>
              <w:bottom w:val="nil"/>
              <w:right w:val="nil"/>
            </w:tcBorders>
          </w:tcPr>
          <w:p w14:paraId="1B48A058" w14:textId="77777777" w:rsidR="00B70859" w:rsidRPr="00585857" w:rsidRDefault="00B70859" w:rsidP="00B70859">
            <w:pPr>
              <w:tabs>
                <w:tab w:val="clear" w:pos="794"/>
                <w:tab w:val="clear" w:pos="1191"/>
                <w:tab w:val="clear" w:pos="1588"/>
                <w:tab w:val="clear" w:pos="198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lang w:val="es-ES_tradnl"/>
              </w:rPr>
            </w:pPr>
          </w:p>
        </w:tc>
      </w:tr>
      <w:tr w:rsidR="00B70859" w:rsidRPr="008F43A8" w14:paraId="16CDFA8A"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393131FD" w14:textId="1ED12380" w:rsidR="00B70859" w:rsidRPr="00585857" w:rsidRDefault="00AC54E2" w:rsidP="00B70859">
            <w:pPr>
              <w:pStyle w:val="Tabletext"/>
              <w:rPr>
                <w:b w:val="0"/>
                <w:bCs w:val="0"/>
                <w:lang w:val="es-ES_tradnl"/>
              </w:rPr>
            </w:pPr>
            <w:r w:rsidRPr="00585857">
              <w:rPr>
                <w:b w:val="0"/>
                <w:bCs w:val="0"/>
                <w:lang w:val="es-ES_tradnl"/>
              </w:rPr>
              <w:t>Aumento de la sensibilización, incluido el reconocimiento multilateral e intergubernamental de la necesidad de mejorar el acceso a las telecomunicaciones/TIC para las personas con discapacidad y con necesidades especiales</w:t>
            </w:r>
            <w:r w:rsidR="00CE59B0">
              <w:rPr>
                <w:b w:val="0"/>
                <w:bCs w:val="0"/>
                <w:lang w:val="es-ES_tradnl"/>
              </w:rPr>
              <w: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3A8F5B2E" w14:textId="77777777" w:rsidR="007D7426" w:rsidRPr="00585857" w:rsidRDefault="007D7426" w:rsidP="007D7426">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 con lenguaje de signos y subtítulos.</w:t>
            </w:r>
          </w:p>
          <w:p w14:paraId="49A731F8" w14:textId="28A9DA11" w:rsidR="00B70859" w:rsidRPr="00585857" w:rsidRDefault="007D7426" w:rsidP="007D7426">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Fondos de la UIT para accesibilidad (lenguaje de signos, viajes de expertos y subtitulado).</w:t>
            </w:r>
          </w:p>
          <w:p w14:paraId="3D25FCA4" w14:textId="5149AF36" w:rsidR="00B70859" w:rsidRPr="00585857" w:rsidRDefault="00F71139" w:rsidP="00B7085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con políticas de accesibilidad.</w:t>
            </w:r>
          </w:p>
        </w:tc>
        <w:tc>
          <w:tcPr>
            <w:tcW w:w="4650" w:type="dxa"/>
            <w:tcBorders>
              <w:top w:val="nil"/>
              <w:left w:val="dotted" w:sz="4" w:space="0" w:color="4F81BD" w:themeColor="accent1"/>
              <w:bottom w:val="single" w:sz="4" w:space="0" w:color="B8CCE4" w:themeColor="accent1" w:themeTint="66"/>
              <w:right w:val="nil"/>
            </w:tcBorders>
          </w:tcPr>
          <w:p w14:paraId="7559F30C" w14:textId="77777777" w:rsidR="00B70859" w:rsidRPr="00585857" w:rsidRDefault="00B70859" w:rsidP="00B70859">
            <w:pPr>
              <w:tabs>
                <w:tab w:val="clear" w:pos="794"/>
                <w:tab w:val="clear" w:pos="1191"/>
                <w:tab w:val="clear" w:pos="1588"/>
                <w:tab w:val="clear" w:pos="198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lang w:val="es-ES_tradnl"/>
              </w:rPr>
            </w:pPr>
          </w:p>
        </w:tc>
      </w:tr>
    </w:tbl>
    <w:p w14:paraId="47E1E394" w14:textId="77777777" w:rsidR="00B70859" w:rsidRPr="00585857" w:rsidRDefault="00B70859" w:rsidP="00B70859">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3FCB3046" w14:textId="492A496C" w:rsidR="00EA65CB" w:rsidRPr="00585857" w:rsidRDefault="00EA65CB" w:rsidP="00F04E0C">
      <w:pPr>
        <w:pStyle w:val="Heading3"/>
        <w:rPr>
          <w:lang w:val="es-ES_tradnl"/>
        </w:rPr>
      </w:pPr>
      <w:bookmarkStart w:id="120" w:name="lt_pId196"/>
      <w:bookmarkStart w:id="121" w:name="_Toc33632250"/>
      <w:r w:rsidRPr="00585857">
        <w:rPr>
          <w:lang w:val="es-ES_tradnl"/>
        </w:rPr>
        <w:lastRenderedPageBreak/>
        <w:t xml:space="preserve">II.1.4 – I.4 </w:t>
      </w:r>
      <w:bookmarkEnd w:id="120"/>
      <w:r w:rsidR="00F71139" w:rsidRPr="00585857">
        <w:rPr>
          <w:lang w:val="es-ES_tradnl"/>
        </w:rPr>
        <w:t>Igualdad de género e inclusión</w:t>
      </w:r>
      <w:bookmarkEnd w:id="121"/>
    </w:p>
    <w:p w14:paraId="4FBCD309" w14:textId="7E96D5C7" w:rsidR="00EA65CB" w:rsidRPr="00585857" w:rsidRDefault="00370212" w:rsidP="00370212">
      <w:pPr>
        <w:pStyle w:val="Headingb"/>
        <w:rPr>
          <w:i/>
          <w:iCs/>
          <w:lang w:val="es-ES_tradnl"/>
        </w:rPr>
      </w:pPr>
      <w:r w:rsidRPr="00585857">
        <w:rPr>
          <w:i/>
          <w:iCs/>
          <w:lang w:val="es-ES_tradnl"/>
        </w:rPr>
        <w:t>Descripción del objetivo</w:t>
      </w:r>
    </w:p>
    <w:p w14:paraId="7ABD36E0" w14:textId="483DDAD3" w:rsidR="00EA65CB" w:rsidRPr="00585857" w:rsidRDefault="00370212" w:rsidP="00370212">
      <w:pPr>
        <w:rPr>
          <w:lang w:val="es-ES_tradnl"/>
        </w:rPr>
      </w:pPr>
      <w:r w:rsidRPr="00585857">
        <w:rPr>
          <w:lang w:val="es-ES_tradnl"/>
        </w:rPr>
        <w:t>Aumentar la utilización de las telecomunicaciones/TIC a efectos de igualdad de género e inclusión, y empoderamiento de las mujeres y las niñas.</w:t>
      </w:r>
    </w:p>
    <w:p w14:paraId="3D20DC9A" w14:textId="144C3925" w:rsidR="00EA65CB" w:rsidRPr="00585857" w:rsidRDefault="00370212" w:rsidP="00370212">
      <w:pPr>
        <w:rPr>
          <w:lang w:val="es-ES_tradnl"/>
        </w:rPr>
      </w:pPr>
      <w:bookmarkStart w:id="122" w:name="lt_pId199"/>
      <w:r w:rsidRPr="00585857">
        <w:rPr>
          <w:lang w:val="es-ES_tradnl"/>
        </w:rPr>
        <w:t xml:space="preserve">El Objetivo I.4 utiliza el </w:t>
      </w:r>
      <w:r w:rsidR="00EA65CB" w:rsidRPr="00585857">
        <w:rPr>
          <w:lang w:val="es-ES_tradnl"/>
        </w:rPr>
        <w:t>7</w:t>
      </w:r>
      <w:r w:rsidRPr="00585857">
        <w:rPr>
          <w:lang w:val="es-ES_tradnl"/>
        </w:rPr>
        <w:t>,</w:t>
      </w:r>
      <w:r w:rsidR="00EA65CB" w:rsidRPr="00585857">
        <w:rPr>
          <w:lang w:val="es-ES_tradnl"/>
        </w:rPr>
        <w:t xml:space="preserve">47 </w:t>
      </w:r>
      <w:r w:rsidRPr="00585857">
        <w:rPr>
          <w:lang w:val="es-ES_tradnl"/>
        </w:rPr>
        <w:t xml:space="preserve">por ciento de los recursos previstos para los objetivos intersectoriales, un </w:t>
      </w:r>
      <w:r w:rsidR="00EA65CB" w:rsidRPr="00585857">
        <w:rPr>
          <w:lang w:val="es-ES_tradnl"/>
        </w:rPr>
        <w:t>0</w:t>
      </w:r>
      <w:r w:rsidRPr="00585857">
        <w:rPr>
          <w:lang w:val="es-ES_tradnl"/>
        </w:rPr>
        <w:t>,</w:t>
      </w:r>
      <w:r w:rsidR="00EA65CB" w:rsidRPr="00585857">
        <w:rPr>
          <w:lang w:val="es-ES_tradnl"/>
        </w:rPr>
        <w:t>78 </w:t>
      </w:r>
      <w:r w:rsidRPr="00585857">
        <w:rPr>
          <w:lang w:val="es-ES_tradnl"/>
        </w:rPr>
        <w:t>por ciento de los recursos previstos de la UIT para</w:t>
      </w:r>
      <w:r w:rsidR="00EA65CB" w:rsidRPr="00585857">
        <w:rPr>
          <w:lang w:val="es-ES_tradnl"/>
        </w:rPr>
        <w:t xml:space="preserve"> 2021-2024.</w:t>
      </w:r>
      <w:bookmarkEnd w:id="122"/>
    </w:p>
    <w:p w14:paraId="103B6059" w14:textId="7C4A7218" w:rsidR="00771E19" w:rsidRDefault="007A5EE9" w:rsidP="00771E19">
      <w:pPr>
        <w:pStyle w:val="Headingb"/>
        <w:rPr>
          <w:i/>
          <w:iCs/>
          <w:lang w:val="es-ES_tradnl"/>
        </w:rPr>
      </w:pPr>
      <w:r>
        <w:rPr>
          <w:i/>
          <w:iCs/>
          <w:lang w:val="es-ES_tradnl"/>
        </w:rPr>
        <w:t>Resumen de la atribución de costes</w:t>
      </w:r>
    </w:p>
    <w:p w14:paraId="4F07F7FB" w14:textId="03EC5E83" w:rsidR="00822024" w:rsidRPr="00822024" w:rsidRDefault="00822024" w:rsidP="00822024">
      <w:pPr>
        <w:jc w:val="center"/>
        <w:rPr>
          <w:lang w:val="es-ES_tradnl"/>
        </w:rPr>
      </w:pPr>
      <w:r w:rsidRPr="00822024">
        <w:rPr>
          <w:noProof/>
        </w:rPr>
        <w:drawing>
          <wp:inline distT="0" distB="0" distL="0" distR="0" wp14:anchorId="204FE54A" wp14:editId="1DF272D3">
            <wp:extent cx="8280000" cy="25200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80000" cy="2520000"/>
                    </a:xfrm>
                    <a:prstGeom prst="rect">
                      <a:avLst/>
                    </a:prstGeom>
                    <a:noFill/>
                    <a:ln>
                      <a:noFill/>
                    </a:ln>
                  </pic:spPr>
                </pic:pic>
              </a:graphicData>
            </a:graphic>
          </wp:inline>
        </w:drawing>
      </w:r>
    </w:p>
    <w:p w14:paraId="78CEA48E" w14:textId="224AD298" w:rsidR="00EA65CB" w:rsidRPr="00585857" w:rsidRDefault="007A5EE9" w:rsidP="00370212">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EA65CB" w:rsidRPr="000B2D15" w14:paraId="1E80D235"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0D23945" w14:textId="6E66B722" w:rsidR="00EA65CB" w:rsidRPr="000B2D15" w:rsidRDefault="001E1E3C" w:rsidP="00370212">
            <w:pPr>
              <w:pStyle w:val="Tablehead"/>
              <w:rPr>
                <w:b/>
                <w:bCs w:val="0"/>
                <w:i/>
                <w:iCs/>
                <w:lang w:val="es-ES_tradnl"/>
              </w:rPr>
            </w:pPr>
            <w:r w:rsidRPr="000B2D15">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2BEBE888" w14:textId="4FCED11D" w:rsidR="00EA65CB" w:rsidRPr="000B2D15" w:rsidRDefault="001E1E3C" w:rsidP="00370212">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B2D15">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1444626E" w14:textId="6CCDCC8F" w:rsidR="00EA65CB" w:rsidRPr="000B2D15" w:rsidRDefault="001E1E3C" w:rsidP="00370212">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B2D15">
              <w:rPr>
                <w:b/>
                <w:bCs w:val="0"/>
                <w:i/>
                <w:iCs/>
                <w:lang w:val="es-ES_tradnl"/>
              </w:rPr>
              <w:t>Riesgo</w:t>
            </w:r>
          </w:p>
        </w:tc>
      </w:tr>
      <w:tr w:rsidR="00EA65CB" w:rsidRPr="00585857" w14:paraId="0164FA49" w14:textId="77777777" w:rsidTr="00205CE2">
        <w:trPr>
          <w:cantSplit/>
        </w:trPr>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4F0CF03A" w14:textId="7681D391" w:rsidR="00EA65CB" w:rsidRPr="00585857" w:rsidRDefault="001E1E3C" w:rsidP="00370212">
            <w:pPr>
              <w:pStyle w:val="Tabletext"/>
              <w:rPr>
                <w:b w:val="0"/>
                <w:bCs w:val="0"/>
                <w:lang w:val="es-ES_tradnl"/>
              </w:rPr>
            </w:pPr>
            <w:bookmarkStart w:id="123" w:name="lt_pId206"/>
            <w:r>
              <w:rPr>
                <w:b w:val="0"/>
                <w:bCs w:val="0"/>
                <w:lang w:val="es-ES_tradnl"/>
              </w:rPr>
              <w:t>La brecha de género digital se está ampliando (este Objetivo/meta está fuera de alcance)</w:t>
            </w:r>
            <w:bookmarkEnd w:id="123"/>
            <w:r w:rsidR="00DF29B8">
              <w:rPr>
                <w:b w:val="0"/>
                <w:bCs w:val="0"/>
                <w:lang w:val="es-ES_tradnl"/>
              </w:rPr>
              <w:t>.</w:t>
            </w:r>
          </w:p>
          <w:p w14:paraId="3E68CB05" w14:textId="019CD747" w:rsidR="00EA65CB" w:rsidRPr="00585857" w:rsidRDefault="001E1E3C" w:rsidP="00370212">
            <w:pPr>
              <w:pStyle w:val="Tabletext"/>
              <w:rPr>
                <w:b w:val="0"/>
                <w:bCs w:val="0"/>
                <w:lang w:val="es-ES_tradnl"/>
              </w:rPr>
            </w:pPr>
            <w:bookmarkStart w:id="124" w:name="lt_pId207"/>
            <w:r>
              <w:rPr>
                <w:b w:val="0"/>
                <w:bCs w:val="0"/>
                <w:lang w:val="es-ES_tradnl"/>
              </w:rPr>
              <w:t>No se ha logrado aún la paridad de género en el personal y en los eventos. Algunos avances en</w:t>
            </w:r>
            <w:r w:rsidR="00205CE2">
              <w:rPr>
                <w:b w:val="0"/>
                <w:bCs w:val="0"/>
                <w:lang w:val="es-ES_tradnl"/>
              </w:rPr>
              <w:t> </w:t>
            </w:r>
            <w:r>
              <w:rPr>
                <w:b w:val="0"/>
                <w:bCs w:val="0"/>
                <w:lang w:val="es-ES_tradnl"/>
              </w:rPr>
              <w:t>2019 pero al ritmo actual se tardará decenios en lograr la paridad.</w:t>
            </w:r>
            <w:bookmarkEnd w:id="124"/>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55415283" w14:textId="1AEC5B75" w:rsidR="00EA65CB" w:rsidRPr="00585857" w:rsidRDefault="001E1E3C"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25" w:name="lt_pId209"/>
            <w:r w:rsidRPr="001E1E3C">
              <w:rPr>
                <w:lang w:val="es-ES_tradnl"/>
              </w:rPr>
              <w:t xml:space="preserve">La brecha de género digital se </w:t>
            </w:r>
            <w:r>
              <w:rPr>
                <w:lang w:val="es-ES_tradnl"/>
              </w:rPr>
              <w:t>ha</w:t>
            </w:r>
            <w:r w:rsidRPr="001E1E3C">
              <w:rPr>
                <w:lang w:val="es-ES_tradnl"/>
              </w:rPr>
              <w:t xml:space="preserve"> ampliado </w:t>
            </w:r>
            <w:r>
              <w:rPr>
                <w:lang w:val="es-ES_tradnl"/>
              </w:rPr>
              <w:t xml:space="preserve">del </w:t>
            </w:r>
            <w:r w:rsidR="00EA65CB" w:rsidRPr="00585857">
              <w:rPr>
                <w:lang w:val="es-ES_tradnl"/>
              </w:rPr>
              <w:t>11</w:t>
            </w:r>
            <w:r>
              <w:rPr>
                <w:lang w:val="es-ES_tradnl"/>
              </w:rPr>
              <w:t>,</w:t>
            </w:r>
            <w:r w:rsidR="00EA65CB" w:rsidRPr="00585857">
              <w:rPr>
                <w:lang w:val="es-ES_tradnl"/>
              </w:rPr>
              <w:t xml:space="preserve">6% </w:t>
            </w:r>
            <w:r>
              <w:rPr>
                <w:lang w:val="es-ES_tradnl"/>
              </w:rPr>
              <w:t>en</w:t>
            </w:r>
            <w:r w:rsidR="00EA65CB" w:rsidRPr="00585857">
              <w:rPr>
                <w:lang w:val="es-ES_tradnl"/>
              </w:rPr>
              <w:t xml:space="preserve"> 2017 </w:t>
            </w:r>
            <w:r>
              <w:rPr>
                <w:lang w:val="es-ES_tradnl"/>
              </w:rPr>
              <w:t>al</w:t>
            </w:r>
            <w:r w:rsidR="00EA65CB" w:rsidRPr="00585857">
              <w:rPr>
                <w:lang w:val="es-ES_tradnl"/>
              </w:rPr>
              <w:t xml:space="preserve"> 17% </w:t>
            </w:r>
            <w:r>
              <w:rPr>
                <w:lang w:val="es-ES_tradnl"/>
              </w:rPr>
              <w:t>en</w:t>
            </w:r>
            <w:r w:rsidR="00EA65CB" w:rsidRPr="00585857">
              <w:rPr>
                <w:lang w:val="es-ES_tradnl"/>
              </w:rPr>
              <w:t xml:space="preserve"> 2019.</w:t>
            </w:r>
            <w:bookmarkEnd w:id="125"/>
          </w:p>
          <w:p w14:paraId="4607414F" w14:textId="0B25DC8A" w:rsidR="00EA65CB" w:rsidRPr="00585857" w:rsidRDefault="00EA65CB"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26" w:name="lt_pId210"/>
            <w:r w:rsidRPr="00585857">
              <w:rPr>
                <w:lang w:val="es-ES_tradnl"/>
              </w:rPr>
              <w:t>Result</w:t>
            </w:r>
            <w:r w:rsidR="001E1E3C">
              <w:rPr>
                <w:lang w:val="es-ES_tradnl"/>
              </w:rPr>
              <w:t xml:space="preserve">ados del </w:t>
            </w:r>
            <w:r w:rsidR="001E1E3C" w:rsidRPr="001E1E3C">
              <w:rPr>
                <w:lang w:val="es-ES_tradnl"/>
              </w:rPr>
              <w:t xml:space="preserve">Panel de </w:t>
            </w:r>
            <w:r w:rsidR="000225C0">
              <w:rPr>
                <w:lang w:val="es-ES_tradnl"/>
              </w:rPr>
              <w:t>c</w:t>
            </w:r>
            <w:r w:rsidR="001E1E3C" w:rsidRPr="001E1E3C">
              <w:rPr>
                <w:lang w:val="es-ES_tradnl"/>
              </w:rPr>
              <w:t>ontrol sobre cuestiones de género</w:t>
            </w:r>
            <w:r w:rsidRPr="00585857">
              <w:rPr>
                <w:lang w:val="es-ES_tradnl"/>
              </w:rPr>
              <w:t>.</w:t>
            </w:r>
            <w:bookmarkEnd w:id="126"/>
          </w:p>
          <w:p w14:paraId="1F6145BF" w14:textId="59BAE37A" w:rsidR="00EA65CB" w:rsidRPr="00585857" w:rsidRDefault="001E1E3C"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27" w:name="lt_pId211"/>
            <w:r>
              <w:rPr>
                <w:lang w:val="es-ES_tradnl"/>
              </w:rPr>
              <w:t xml:space="preserve">Metas medidas a través de los resultados de IGUALES, </w:t>
            </w:r>
            <w:r w:rsidR="00EA65CB" w:rsidRPr="00585857">
              <w:rPr>
                <w:lang w:val="es-ES_tradnl"/>
              </w:rPr>
              <w:t>BBComm</w:t>
            </w:r>
            <w:r>
              <w:rPr>
                <w:lang w:val="es-ES_tradnl"/>
              </w:rPr>
              <w:t>, las Comisiones de Estudio y los Grupos de Expertos</w:t>
            </w:r>
            <w:r w:rsidR="00EA65CB" w:rsidRPr="00585857">
              <w:rPr>
                <w:lang w:val="es-ES_tradnl"/>
              </w:rPr>
              <w:t>.</w:t>
            </w:r>
            <w:bookmarkEnd w:id="127"/>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71BD8640" w14:textId="6D9E4BC6" w:rsidR="00EA65CB" w:rsidRPr="00585857" w:rsidRDefault="001E1E3C"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28" w:name="lt_pId212"/>
            <w:r>
              <w:rPr>
                <w:lang w:val="es-ES_tradnl"/>
              </w:rPr>
              <w:t>Riesgo mitigado a través de un buen nivel de apoyo/compromiso por parte de los asociados y los países.</w:t>
            </w:r>
            <w:bookmarkEnd w:id="128"/>
          </w:p>
          <w:p w14:paraId="0ED44B9A" w14:textId="0A4C93C3" w:rsidR="00EA65CB" w:rsidRPr="00585857" w:rsidRDefault="001E1E3C"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29" w:name="lt_pId213"/>
            <w:r>
              <w:rPr>
                <w:lang w:val="es-ES_tradnl"/>
              </w:rPr>
              <w:t>Marco orgánico apropiado</w:t>
            </w:r>
            <w:r w:rsidR="00EA65CB" w:rsidRPr="00585857">
              <w:rPr>
                <w:lang w:val="es-ES_tradnl"/>
              </w:rPr>
              <w:t>.</w:t>
            </w:r>
            <w:bookmarkEnd w:id="129"/>
          </w:p>
        </w:tc>
      </w:tr>
    </w:tbl>
    <w:p w14:paraId="19E283DC" w14:textId="0C57D0F1" w:rsidR="00EA65CB" w:rsidRPr="00585857" w:rsidRDefault="007A5EE9" w:rsidP="00370212">
      <w:pPr>
        <w:pStyle w:val="Headingb"/>
        <w:spacing w:after="120"/>
        <w:rPr>
          <w:i/>
          <w:iCs/>
          <w:lang w:val="es-ES_tradnl"/>
        </w:rPr>
      </w:pPr>
      <w:r>
        <w:rPr>
          <w:i/>
          <w:iCs/>
          <w:lang w:val="es-ES_tradnl"/>
        </w:rPr>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EA65CB" w:rsidRPr="000B2D15" w14:paraId="1FB94E15"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CD4F33D" w14:textId="0FB39236" w:rsidR="00EA65CB" w:rsidRPr="000B2D15" w:rsidRDefault="00370212" w:rsidP="00370212">
            <w:pPr>
              <w:pStyle w:val="Tablehead"/>
              <w:rPr>
                <w:b/>
                <w:bCs w:val="0"/>
                <w:i/>
                <w:iCs/>
                <w:lang w:val="es-ES_tradnl"/>
              </w:rPr>
            </w:pPr>
            <w:r w:rsidRPr="000B2D15">
              <w:rPr>
                <w:b/>
                <w:bCs w:val="0"/>
                <w:i/>
                <w:iCs/>
                <w:lang w:val="es-ES_tradnl"/>
              </w:rPr>
              <w:t>Resultado</w:t>
            </w:r>
            <w:r w:rsidR="00B652D4" w:rsidRPr="000B2D15">
              <w:rPr>
                <w:b/>
                <w:bCs w:val="0"/>
                <w:i/>
                <w:iCs/>
                <w:lang w:val="es-ES_tradnl"/>
              </w:rPr>
              <w:t>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70845E5C" w14:textId="3AC2733E" w:rsidR="00EA65CB" w:rsidRPr="000B2D15" w:rsidRDefault="00370212" w:rsidP="00370212">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B2D15">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2124E6DC" w14:textId="69A5B6BC" w:rsidR="00EA65CB" w:rsidRPr="000B2D15" w:rsidRDefault="001E1E3C" w:rsidP="00370212">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B2D15">
              <w:rPr>
                <w:b/>
                <w:bCs w:val="0"/>
                <w:i/>
                <w:iCs/>
                <w:lang w:val="es-ES_tradnl"/>
              </w:rPr>
              <w:t>Indicadores de riesgo</w:t>
            </w:r>
          </w:p>
        </w:tc>
      </w:tr>
      <w:tr w:rsidR="00EA65CB" w:rsidRPr="008F43A8" w14:paraId="087E5EB3"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32A715C9" w14:textId="1AF9DBDB" w:rsidR="00EA65CB" w:rsidRPr="00585857" w:rsidRDefault="00F71139" w:rsidP="00F71139">
            <w:pPr>
              <w:pStyle w:val="Tabletext"/>
              <w:rPr>
                <w:b w:val="0"/>
                <w:bCs w:val="0"/>
                <w:lang w:val="es-ES_tradnl"/>
              </w:rPr>
            </w:pPr>
            <w:r w:rsidRPr="00585857">
              <w:rPr>
                <w:b w:val="0"/>
                <w:bCs w:val="0"/>
                <w:lang w:val="es-ES_tradnl"/>
              </w:rPr>
              <w:t>Mejor acceso a las telecomunicaciones/TIC y utilización de las mismas para promover el empoderamiento de la mujer.</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21CC66D1" w14:textId="52EF3C11" w:rsidR="00EA65CB" w:rsidRPr="00585857" w:rsidRDefault="00F71139" w:rsidP="00F7113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30" w:name="lt_pId220"/>
            <w:r w:rsidRPr="00585857">
              <w:rPr>
                <w:lang w:val="es-ES_tradnl"/>
              </w:rPr>
              <w:t>Diferencia entre los porcentajes de hombres y mujeres que utilizan Internet.</w:t>
            </w:r>
            <w:bookmarkEnd w:id="130"/>
          </w:p>
          <w:p w14:paraId="3991229D" w14:textId="752B0EAB" w:rsidR="00EA65CB" w:rsidRPr="00585857" w:rsidRDefault="00F71139" w:rsidP="00F7113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Diferencia entre los porcentajes de hombres y mujeres que disponen de teléfono móvil.</w:t>
            </w:r>
          </w:p>
        </w:tc>
        <w:tc>
          <w:tcPr>
            <w:tcW w:w="4650" w:type="dxa"/>
            <w:tcBorders>
              <w:top w:val="single" w:sz="8" w:space="0" w:color="4F81BD" w:themeColor="accent1"/>
              <w:left w:val="dotted" w:sz="4" w:space="0" w:color="4F81BD" w:themeColor="accent1"/>
              <w:bottom w:val="nil"/>
              <w:right w:val="nil"/>
            </w:tcBorders>
          </w:tcPr>
          <w:p w14:paraId="7BDCDE6B" w14:textId="55821F28" w:rsidR="00F71139" w:rsidRPr="00585857" w:rsidRDefault="00F71139" w:rsidP="00F7113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bookmarkStart w:id="131" w:name="lt_pId223"/>
            <w:r w:rsidR="00CE59B0">
              <w:rPr>
                <w:lang w:val="es-ES_tradnl"/>
              </w:rPr>
              <w:t>.</w:t>
            </w:r>
          </w:p>
          <w:bookmarkEnd w:id="131"/>
          <w:p w14:paraId="3C93ADC6" w14:textId="2CFF3432" w:rsidR="00EA65CB" w:rsidRPr="00585857" w:rsidRDefault="00F71139" w:rsidP="00F7113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Marco de la organización obsoleto</w:t>
            </w:r>
            <w:r w:rsidR="00CE59B0">
              <w:rPr>
                <w:lang w:val="es-ES_tradnl"/>
              </w:rPr>
              <w:t>.</w:t>
            </w:r>
          </w:p>
        </w:tc>
      </w:tr>
      <w:tr w:rsidR="00EA65CB" w:rsidRPr="008F43A8" w14:paraId="1420193D"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73039D5D" w14:textId="71A530D9" w:rsidR="00EA65CB" w:rsidRPr="00585857" w:rsidRDefault="00F71139" w:rsidP="00F71139">
            <w:pPr>
              <w:pStyle w:val="Tabletext"/>
              <w:rPr>
                <w:b w:val="0"/>
                <w:bCs w:val="0"/>
                <w:lang w:val="es-ES_tradnl"/>
              </w:rPr>
            </w:pPr>
            <w:r w:rsidRPr="00585857">
              <w:rPr>
                <w:b w:val="0"/>
                <w:bCs w:val="0"/>
                <w:lang w:val="es-ES_tradnl"/>
              </w:rPr>
              <w:t>Mayor participación de mujeres en todos los niveles de toma de decisión en las labores de la Unión y en el sector de las telecomunicaciones/TIC.</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6CB8FCA8" w14:textId="2182F393" w:rsidR="00EA65CB" w:rsidRPr="00585857" w:rsidRDefault="00F71139"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Resultados del Panel de control de la UIT sobre cuestiones de género (número de mujeres en las reuniones de la UIT: en general, Presidentas, Vicepresidentas; mujeres en comisiones estatutarias; mujeres en eventos clave; mujeres en la PP y en el Consejo; mujeres en las TIC y conectividad).</w:t>
            </w:r>
          </w:p>
        </w:tc>
        <w:tc>
          <w:tcPr>
            <w:tcW w:w="4650" w:type="dxa"/>
            <w:tcBorders>
              <w:top w:val="nil"/>
              <w:left w:val="dotted" w:sz="4" w:space="0" w:color="4F81BD" w:themeColor="accent1"/>
              <w:bottom w:val="nil"/>
              <w:right w:val="nil"/>
            </w:tcBorders>
          </w:tcPr>
          <w:p w14:paraId="0FC1AD40" w14:textId="77777777" w:rsidR="00EA65CB" w:rsidRPr="00585857" w:rsidRDefault="00EA65CB"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EA65CB" w:rsidRPr="008F43A8" w14:paraId="213B87E4"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E74FA59" w14:textId="6B26212A" w:rsidR="00EA65CB" w:rsidRPr="00585857" w:rsidRDefault="00F71139" w:rsidP="00F71139">
            <w:pPr>
              <w:pStyle w:val="Tabletext"/>
              <w:rPr>
                <w:b w:val="0"/>
                <w:bCs w:val="0"/>
                <w:lang w:val="es-ES_tradnl"/>
              </w:rPr>
            </w:pPr>
            <w:r w:rsidRPr="00585857">
              <w:rPr>
                <w:b w:val="0"/>
                <w:bCs w:val="0"/>
                <w:lang w:val="es-ES_tradnl"/>
              </w:rPr>
              <w:t>Mayor implicación con otras organizaciones de las Naciones Unidas y partes interesadas implicadas en la utilización de las telecomunicaciones/TIC para promover el empoderamiento de la mujer.</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58B50338" w14:textId="0EAE9AFA" w:rsidR="00EA65CB" w:rsidRPr="00585857" w:rsidRDefault="00F71139"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Resultados de </w:t>
            </w:r>
            <w:r w:rsidR="00E2673A">
              <w:rPr>
                <w:lang w:val="es-ES_tradnl"/>
              </w:rPr>
              <w:t>IGUALES</w:t>
            </w:r>
            <w:r w:rsidRPr="00585857">
              <w:rPr>
                <w:lang w:val="es-ES_tradnl"/>
              </w:rPr>
              <w:t xml:space="preserve"> y BBComm.</w:t>
            </w:r>
          </w:p>
        </w:tc>
        <w:tc>
          <w:tcPr>
            <w:tcW w:w="4650" w:type="dxa"/>
            <w:tcBorders>
              <w:top w:val="nil"/>
              <w:left w:val="dotted" w:sz="4" w:space="0" w:color="4F81BD" w:themeColor="accent1"/>
              <w:bottom w:val="nil"/>
              <w:right w:val="nil"/>
            </w:tcBorders>
          </w:tcPr>
          <w:p w14:paraId="334961D9" w14:textId="77777777" w:rsidR="00EA65CB" w:rsidRPr="00585857" w:rsidRDefault="00EA65CB"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EA65CB" w:rsidRPr="008F43A8" w14:paraId="534280B4" w14:textId="77777777" w:rsidTr="00EA65CB">
        <w:trPr>
          <w:trHeight w:val="859"/>
        </w:trPr>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3D9094D" w14:textId="535D7F30" w:rsidR="00EA65CB" w:rsidRPr="00585857" w:rsidRDefault="00F71139" w:rsidP="00F71139">
            <w:pPr>
              <w:pStyle w:val="Tabletext"/>
              <w:rPr>
                <w:b w:val="0"/>
                <w:bCs w:val="0"/>
                <w:lang w:val="es-ES_tradnl"/>
              </w:rPr>
            </w:pPr>
            <w:r w:rsidRPr="00585857">
              <w:rPr>
                <w:b w:val="0"/>
                <w:bCs w:val="0"/>
                <w:lang w:val="es-ES_tradnl"/>
              </w:rPr>
              <w:t>Plena aplicación de la estrategia en todo el sistema de Naciones Unidas sobre la igualdad de género en el ámbito de competencias de la UIT.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38468FC9" w14:textId="7E3BE7FD" w:rsidR="00EA65CB" w:rsidRPr="00585857" w:rsidRDefault="00F71139"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Puntuaciones de la UIT en los indicadores de rendimiento del ONU-SWAP.</w:t>
            </w:r>
          </w:p>
        </w:tc>
        <w:tc>
          <w:tcPr>
            <w:tcW w:w="4650" w:type="dxa"/>
            <w:tcBorders>
              <w:top w:val="nil"/>
              <w:left w:val="dotted" w:sz="4" w:space="0" w:color="4F81BD" w:themeColor="accent1"/>
              <w:bottom w:val="single" w:sz="4" w:space="0" w:color="B8CCE4" w:themeColor="accent1" w:themeTint="66"/>
              <w:right w:val="nil"/>
            </w:tcBorders>
          </w:tcPr>
          <w:p w14:paraId="0606F06F" w14:textId="77777777" w:rsidR="00EA65CB" w:rsidRPr="00585857" w:rsidRDefault="00EA65CB" w:rsidP="00370212">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72DFD0F7" w14:textId="576B44A5" w:rsidR="00EA65CB" w:rsidRPr="00585857" w:rsidRDefault="00EA65CB" w:rsidP="00F04E0C">
      <w:pPr>
        <w:pStyle w:val="Heading3"/>
        <w:rPr>
          <w:lang w:val="es-ES_tradnl"/>
        </w:rPr>
      </w:pPr>
      <w:bookmarkStart w:id="132" w:name="lt_pId230"/>
      <w:bookmarkStart w:id="133" w:name="_Toc33632251"/>
      <w:r w:rsidRPr="00585857">
        <w:rPr>
          <w:lang w:val="es-ES_tradnl"/>
        </w:rPr>
        <w:lastRenderedPageBreak/>
        <w:t xml:space="preserve">II.1.5 </w:t>
      </w:r>
      <w:r w:rsidR="00F71139" w:rsidRPr="00585857">
        <w:rPr>
          <w:lang w:val="es-ES_tradnl"/>
        </w:rPr>
        <w:t>–</w:t>
      </w:r>
      <w:r w:rsidRPr="00585857">
        <w:rPr>
          <w:lang w:val="es-ES_tradnl"/>
        </w:rPr>
        <w:t xml:space="preserve"> I.5 </w:t>
      </w:r>
      <w:bookmarkEnd w:id="132"/>
      <w:r w:rsidR="00F71139" w:rsidRPr="00585857">
        <w:rPr>
          <w:lang w:val="es-ES_tradnl"/>
        </w:rPr>
        <w:t>Sostenibilidad ambiental</w:t>
      </w:r>
      <w:bookmarkEnd w:id="133"/>
    </w:p>
    <w:p w14:paraId="0F609A3B" w14:textId="3EA929AB" w:rsidR="00EA65CB" w:rsidRPr="00585857" w:rsidRDefault="00F71139" w:rsidP="00F71139">
      <w:pPr>
        <w:pStyle w:val="Headingb"/>
        <w:rPr>
          <w:i/>
          <w:iCs/>
          <w:lang w:val="es-ES_tradnl"/>
        </w:rPr>
      </w:pPr>
      <w:r w:rsidRPr="00585857">
        <w:rPr>
          <w:i/>
          <w:iCs/>
          <w:lang w:val="es-ES_tradnl"/>
        </w:rPr>
        <w:t>Descripción del objetivo</w:t>
      </w:r>
    </w:p>
    <w:p w14:paraId="6F4EC536" w14:textId="4CB0B3FC" w:rsidR="00EA65CB" w:rsidRPr="00585857" w:rsidRDefault="00F71139" w:rsidP="00F71139">
      <w:pPr>
        <w:rPr>
          <w:lang w:val="es-ES_tradnl"/>
        </w:rPr>
      </w:pPr>
      <w:r w:rsidRPr="00585857">
        <w:rPr>
          <w:lang w:val="es-ES_tradnl"/>
        </w:rPr>
        <w:t>Utilizar las telecomunicaciones/TIC para reducir la huella ambiental.</w:t>
      </w:r>
    </w:p>
    <w:p w14:paraId="17253918" w14:textId="0D3FED59" w:rsidR="00EA65CB" w:rsidRPr="00585857" w:rsidRDefault="00F71139" w:rsidP="00F71139">
      <w:pPr>
        <w:rPr>
          <w:lang w:val="es-ES_tradnl"/>
        </w:rPr>
      </w:pPr>
      <w:bookmarkStart w:id="134" w:name="lt_pId233"/>
      <w:r w:rsidRPr="00585857">
        <w:rPr>
          <w:lang w:val="es-ES_tradnl"/>
        </w:rPr>
        <w:t xml:space="preserve">El Objetivo I.5 utiliza el </w:t>
      </w:r>
      <w:r w:rsidR="00EA65CB" w:rsidRPr="00585857">
        <w:rPr>
          <w:lang w:val="es-ES_tradnl"/>
        </w:rPr>
        <w:t>2</w:t>
      </w:r>
      <w:r w:rsidRPr="00585857">
        <w:rPr>
          <w:lang w:val="es-ES_tradnl"/>
        </w:rPr>
        <w:t>,</w:t>
      </w:r>
      <w:r w:rsidR="00EA65CB" w:rsidRPr="00585857">
        <w:rPr>
          <w:lang w:val="es-ES_tradnl"/>
        </w:rPr>
        <w:t xml:space="preserve">32 </w:t>
      </w:r>
      <w:r w:rsidRPr="00585857">
        <w:rPr>
          <w:lang w:val="es-ES_tradnl"/>
        </w:rPr>
        <w:t xml:space="preserve">por ciento de los recursos previstos para los objetivos intersectoriales, un </w:t>
      </w:r>
      <w:r w:rsidR="00EA65CB" w:rsidRPr="00585857">
        <w:rPr>
          <w:lang w:val="es-ES_tradnl"/>
        </w:rPr>
        <w:t>0</w:t>
      </w:r>
      <w:r w:rsidRPr="00585857">
        <w:rPr>
          <w:lang w:val="es-ES_tradnl"/>
        </w:rPr>
        <w:t>,</w:t>
      </w:r>
      <w:r w:rsidR="00EA65CB" w:rsidRPr="00585857">
        <w:rPr>
          <w:lang w:val="es-ES_tradnl"/>
        </w:rPr>
        <w:t>24 </w:t>
      </w:r>
      <w:r w:rsidRPr="00585857">
        <w:rPr>
          <w:lang w:val="es-ES_tradnl"/>
        </w:rPr>
        <w:t xml:space="preserve">por ciento de los recursos previstos de la UIT para </w:t>
      </w:r>
      <w:r w:rsidR="00EA65CB" w:rsidRPr="00585857">
        <w:rPr>
          <w:lang w:val="es-ES_tradnl"/>
        </w:rPr>
        <w:t>2021-2024.</w:t>
      </w:r>
      <w:bookmarkEnd w:id="134"/>
    </w:p>
    <w:p w14:paraId="09A81507" w14:textId="721C09EC" w:rsidR="00771E19" w:rsidRDefault="007A5EE9" w:rsidP="00771E19">
      <w:pPr>
        <w:pStyle w:val="Headingb"/>
        <w:rPr>
          <w:i/>
          <w:iCs/>
          <w:lang w:val="es-ES_tradnl"/>
        </w:rPr>
      </w:pPr>
      <w:r>
        <w:rPr>
          <w:i/>
          <w:iCs/>
          <w:lang w:val="es-ES_tradnl"/>
        </w:rPr>
        <w:t>Resumen de la atribución de costes</w:t>
      </w:r>
    </w:p>
    <w:p w14:paraId="38B59C1E" w14:textId="2E1142FD" w:rsidR="00822024" w:rsidRPr="00822024" w:rsidRDefault="00822024" w:rsidP="00822024">
      <w:pPr>
        <w:jc w:val="center"/>
        <w:rPr>
          <w:lang w:val="es-ES_tradnl"/>
        </w:rPr>
      </w:pPr>
      <w:r w:rsidRPr="00822024">
        <w:rPr>
          <w:noProof/>
        </w:rPr>
        <w:drawing>
          <wp:inline distT="0" distB="0" distL="0" distR="0" wp14:anchorId="200DC48C" wp14:editId="6743ACF7">
            <wp:extent cx="8280000" cy="25200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0000" cy="2520000"/>
                    </a:xfrm>
                    <a:prstGeom prst="rect">
                      <a:avLst/>
                    </a:prstGeom>
                    <a:noFill/>
                    <a:ln>
                      <a:noFill/>
                    </a:ln>
                  </pic:spPr>
                </pic:pic>
              </a:graphicData>
            </a:graphic>
          </wp:inline>
        </w:drawing>
      </w:r>
    </w:p>
    <w:p w14:paraId="3283B904" w14:textId="166ACA3F" w:rsidR="00EA65CB" w:rsidRPr="00585857" w:rsidRDefault="007A5EE9" w:rsidP="00F71139">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EA65CB" w:rsidRPr="000225C0" w14:paraId="26861331"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B50B679" w14:textId="452B227A" w:rsidR="00EA65CB" w:rsidRPr="000225C0" w:rsidRDefault="0097790E" w:rsidP="00F71139">
            <w:pPr>
              <w:pStyle w:val="Tablehead"/>
              <w:rPr>
                <w:b/>
                <w:bCs w:val="0"/>
                <w:i/>
                <w:iCs/>
                <w:lang w:val="es-ES_tradnl"/>
              </w:rPr>
            </w:pPr>
            <w:r w:rsidRPr="000225C0">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42752171" w14:textId="542DC09F" w:rsidR="00EA65CB" w:rsidRPr="000225C0" w:rsidRDefault="0097790E" w:rsidP="00F7113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225C0">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2290C298" w14:textId="080CA2B9" w:rsidR="00EA65CB" w:rsidRPr="000225C0" w:rsidRDefault="0097790E" w:rsidP="00F7113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225C0">
              <w:rPr>
                <w:b/>
                <w:bCs w:val="0"/>
                <w:i/>
                <w:iCs/>
                <w:lang w:val="es-ES_tradnl"/>
              </w:rPr>
              <w:t>Riesgo</w:t>
            </w:r>
          </w:p>
        </w:tc>
      </w:tr>
      <w:tr w:rsidR="00EA65CB" w:rsidRPr="008F43A8" w14:paraId="54456CC4"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02FF959C" w14:textId="437DB927" w:rsidR="00EA65CB" w:rsidRPr="00585857" w:rsidRDefault="0097790E" w:rsidP="00F71139">
            <w:pPr>
              <w:pStyle w:val="Tabletext"/>
              <w:rPr>
                <w:b w:val="0"/>
                <w:bCs w:val="0"/>
                <w:lang w:val="es-ES_tradnl"/>
              </w:rPr>
            </w:pPr>
            <w:bookmarkStart w:id="135" w:name="lt_pId240"/>
            <w:r>
              <w:rPr>
                <w:b w:val="0"/>
                <w:bCs w:val="0"/>
                <w:lang w:val="es-ES_tradnl"/>
              </w:rPr>
              <w:t>Mayor número de países que disponen de una legislación sobre residuos electrónicos</w:t>
            </w:r>
            <w:r w:rsidR="00EA65CB" w:rsidRPr="00585857">
              <w:rPr>
                <w:b w:val="0"/>
                <w:bCs w:val="0"/>
                <w:lang w:val="es-ES_tradnl"/>
              </w:rPr>
              <w:t>.</w:t>
            </w:r>
            <w:bookmarkEnd w:id="135"/>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221B24AA" w14:textId="21B2AD66" w:rsidR="00EA65CB" w:rsidRPr="00585857" w:rsidRDefault="0097790E" w:rsidP="00F7113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36" w:name="lt_pId241"/>
            <w:r>
              <w:rPr>
                <w:lang w:val="es-ES_tradnl"/>
              </w:rPr>
              <w:t xml:space="preserve">Del </w:t>
            </w:r>
            <w:r w:rsidR="00EA65CB" w:rsidRPr="00585857">
              <w:rPr>
                <w:lang w:val="es-ES_tradnl"/>
              </w:rPr>
              <w:t xml:space="preserve">56% </w:t>
            </w:r>
            <w:r>
              <w:rPr>
                <w:lang w:val="es-ES_tradnl"/>
              </w:rPr>
              <w:t>en</w:t>
            </w:r>
            <w:r w:rsidR="00EA65CB" w:rsidRPr="00585857">
              <w:rPr>
                <w:lang w:val="es-ES_tradnl"/>
              </w:rPr>
              <w:t xml:space="preserve"> 2014 </w:t>
            </w:r>
            <w:r>
              <w:rPr>
                <w:lang w:val="es-ES_tradnl"/>
              </w:rPr>
              <w:t>al</w:t>
            </w:r>
            <w:r w:rsidR="00EA65CB" w:rsidRPr="00585857">
              <w:rPr>
                <w:lang w:val="es-ES_tradnl"/>
              </w:rPr>
              <w:t xml:space="preserve"> 66% </w:t>
            </w:r>
            <w:r>
              <w:rPr>
                <w:lang w:val="es-ES_tradnl"/>
              </w:rPr>
              <w:t>en</w:t>
            </w:r>
            <w:r w:rsidR="00EA65CB" w:rsidRPr="00585857">
              <w:rPr>
                <w:lang w:val="es-ES_tradnl"/>
              </w:rPr>
              <w:t xml:space="preserve"> 2017; 2019 </w:t>
            </w:r>
            <w:r>
              <w:rPr>
                <w:lang w:val="es-ES_tradnl"/>
              </w:rPr>
              <w:t>actualmente en fase de medición</w:t>
            </w:r>
            <w:r w:rsidR="00EA65CB" w:rsidRPr="00585857">
              <w:rPr>
                <w:lang w:val="es-ES_tradnl"/>
              </w:rPr>
              <w:t>.</w:t>
            </w:r>
            <w:bookmarkEnd w:id="136"/>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065A60EF" w14:textId="2E2D7DDD" w:rsidR="00EA65CB" w:rsidRPr="00585857" w:rsidRDefault="0097790E" w:rsidP="00F7113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37" w:name="lt_pId242"/>
            <w:r>
              <w:rPr>
                <w:lang w:val="es-ES_tradnl"/>
              </w:rPr>
              <w:t>Falta de capacidad para elaborar estadísticas armonizadas y formular políticas nacionales.</w:t>
            </w:r>
            <w:bookmarkEnd w:id="137"/>
          </w:p>
        </w:tc>
      </w:tr>
    </w:tbl>
    <w:p w14:paraId="3EE4E3FA" w14:textId="77777777" w:rsidR="00EA65CB" w:rsidRPr="00585857" w:rsidRDefault="00EA65CB" w:rsidP="00F71139">
      <w:pPr>
        <w:rPr>
          <w:lang w:val="es-ES_tradnl"/>
        </w:rPr>
      </w:pPr>
      <w:r w:rsidRPr="00585857">
        <w:rPr>
          <w:lang w:val="es-ES_tradnl"/>
        </w:rPr>
        <w:br w:type="page"/>
      </w:r>
    </w:p>
    <w:p w14:paraId="6E0AC004" w14:textId="4C093136" w:rsidR="00EA65CB" w:rsidRPr="00585857" w:rsidRDefault="007A5EE9" w:rsidP="00F71139">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EA65CB" w:rsidRPr="000225C0" w14:paraId="09A24800"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14423539" w14:textId="5D1BD47C" w:rsidR="00EA65CB" w:rsidRPr="000225C0" w:rsidRDefault="00F71139" w:rsidP="00F71139">
            <w:pPr>
              <w:pStyle w:val="Tablehead"/>
              <w:rPr>
                <w:b/>
                <w:bCs w:val="0"/>
                <w:i/>
                <w:iCs/>
                <w:lang w:val="es-ES_tradnl"/>
              </w:rPr>
            </w:pPr>
            <w:r w:rsidRPr="000225C0">
              <w:rPr>
                <w:b/>
                <w:bCs w:val="0"/>
                <w:i/>
                <w:iCs/>
                <w:lang w:val="es-ES_tradnl"/>
              </w:rPr>
              <w:t>Resultado</w:t>
            </w:r>
            <w:r w:rsidR="00B652D4" w:rsidRPr="000225C0">
              <w:rPr>
                <w:b/>
                <w:bCs w:val="0"/>
                <w:i/>
                <w:iCs/>
                <w:lang w:val="es-ES_tradnl"/>
              </w:rPr>
              <w:t>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4B007F08" w14:textId="6825E4F2" w:rsidR="00EA65CB" w:rsidRPr="000225C0" w:rsidRDefault="00F71139" w:rsidP="00F7113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0225C0">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6D164001" w14:textId="12A96535" w:rsidR="00EA65CB" w:rsidRPr="000225C0" w:rsidRDefault="0097790E" w:rsidP="00F7113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138" w:name="lt_pId247"/>
            <w:r w:rsidRPr="000225C0">
              <w:rPr>
                <w:b/>
                <w:bCs w:val="0"/>
                <w:i/>
                <w:iCs/>
                <w:lang w:val="es-ES_tradnl"/>
              </w:rPr>
              <w:t>Indicadores de r</w:t>
            </w:r>
            <w:r w:rsidR="00EA65CB" w:rsidRPr="000225C0">
              <w:rPr>
                <w:b/>
                <w:bCs w:val="0"/>
                <w:i/>
                <w:iCs/>
                <w:lang w:val="es-ES_tradnl"/>
              </w:rPr>
              <w:t>i</w:t>
            </w:r>
            <w:r w:rsidRPr="000225C0">
              <w:rPr>
                <w:b/>
                <w:bCs w:val="0"/>
                <w:i/>
                <w:iCs/>
                <w:lang w:val="es-ES_tradnl"/>
              </w:rPr>
              <w:t>esgo</w:t>
            </w:r>
            <w:bookmarkEnd w:id="138"/>
          </w:p>
        </w:tc>
      </w:tr>
      <w:tr w:rsidR="00EA65CB" w:rsidRPr="008F43A8" w14:paraId="04ADE05F"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67093E33" w14:textId="62C78261" w:rsidR="00EA65CB" w:rsidRPr="00585857" w:rsidRDefault="00F71139" w:rsidP="00F71139">
            <w:pPr>
              <w:pStyle w:val="Tabletext"/>
              <w:rPr>
                <w:b w:val="0"/>
                <w:bCs w:val="0"/>
                <w:lang w:val="es-ES_tradnl"/>
              </w:rPr>
            </w:pPr>
            <w:r w:rsidRPr="00585857">
              <w:rPr>
                <w:b w:val="0"/>
                <w:bCs w:val="0"/>
                <w:lang w:val="es-ES_tradnl"/>
              </w:rPr>
              <w:t>Mejora de la eficacia de las políticas y las normas ambientales.</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7AC373BA" w14:textId="07F32A98" w:rsidR="00EA65CB" w:rsidRPr="00585857" w:rsidRDefault="00F71139"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países con una legislación sobre residuos electrónicos.</w:t>
            </w:r>
          </w:p>
        </w:tc>
        <w:tc>
          <w:tcPr>
            <w:tcW w:w="4650" w:type="dxa"/>
            <w:tcBorders>
              <w:top w:val="single" w:sz="8" w:space="0" w:color="4F81BD" w:themeColor="accent1"/>
              <w:left w:val="dotted" w:sz="4" w:space="0" w:color="4F81BD" w:themeColor="accent1"/>
              <w:bottom w:val="nil"/>
              <w:right w:val="nil"/>
            </w:tcBorders>
          </w:tcPr>
          <w:p w14:paraId="373B9AC9" w14:textId="7BF215D2" w:rsidR="00EA65CB" w:rsidRPr="00585857" w:rsidRDefault="00D977EB"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versatilidad, agilidad y disposición de la fuerza laboral para adaptarse a la evolución de las necesidades</w:t>
            </w:r>
            <w:r w:rsidR="00CE59B0">
              <w:rPr>
                <w:lang w:val="es-ES_tradnl"/>
              </w:rPr>
              <w:t>.</w:t>
            </w:r>
          </w:p>
        </w:tc>
      </w:tr>
      <w:tr w:rsidR="00EA65CB" w:rsidRPr="008F43A8" w14:paraId="3559C8A6"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D855DB4" w14:textId="7513C6A6" w:rsidR="00EA65CB" w:rsidRPr="00585857" w:rsidRDefault="00F71139" w:rsidP="00F71139">
            <w:pPr>
              <w:pStyle w:val="Tabletext"/>
              <w:rPr>
                <w:b w:val="0"/>
                <w:bCs w:val="0"/>
                <w:lang w:val="es-ES_tradnl"/>
              </w:rPr>
            </w:pPr>
            <w:r w:rsidRPr="00585857">
              <w:rPr>
                <w:b w:val="0"/>
                <w:bCs w:val="0"/>
                <w:lang w:val="es-ES_tradnl"/>
              </w:rPr>
              <w:t>Reducción del consumo energético de las aplicaciones de telecomunicaciones/TIC.</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206876EB" w14:textId="722D6431" w:rsidR="00EA65CB" w:rsidRPr="00585857" w:rsidRDefault="00D977EB"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Reducción neta de las emisiones de gases de efecto invernadero propiciada por las telecomunicaciones/TIC.</w:t>
            </w:r>
          </w:p>
        </w:tc>
        <w:tc>
          <w:tcPr>
            <w:tcW w:w="4650" w:type="dxa"/>
            <w:tcBorders>
              <w:top w:val="nil"/>
              <w:left w:val="dotted" w:sz="4" w:space="0" w:color="4F81BD" w:themeColor="accent1"/>
              <w:bottom w:val="nil"/>
              <w:right w:val="nil"/>
            </w:tcBorders>
          </w:tcPr>
          <w:p w14:paraId="62A6D582" w14:textId="749FFA3E" w:rsidR="00EA65CB" w:rsidRPr="00585857" w:rsidRDefault="0097790E"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39" w:name="lt_pId253"/>
            <w:r>
              <w:rPr>
                <w:lang w:val="es-ES_tradnl"/>
              </w:rPr>
              <w:t>Falta de capacidad para elaborar estadísticas armonizadas y formular políticas nacionales</w:t>
            </w:r>
            <w:r w:rsidR="00EA65CB" w:rsidRPr="00585857">
              <w:rPr>
                <w:lang w:val="es-ES_tradnl"/>
              </w:rPr>
              <w:t>.</w:t>
            </w:r>
            <w:bookmarkEnd w:id="139"/>
          </w:p>
        </w:tc>
      </w:tr>
      <w:tr w:rsidR="00D977EB" w:rsidRPr="008F43A8" w14:paraId="2472C637" w14:textId="77777777" w:rsidTr="005442CF">
        <w:trPr>
          <w:trHeight w:val="505"/>
        </w:trPr>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7494A21A" w14:textId="2C8E220C" w:rsidR="00D977EB" w:rsidRPr="00585857" w:rsidRDefault="00D977EB" w:rsidP="00F71139">
            <w:pPr>
              <w:pStyle w:val="Tabletext"/>
              <w:rPr>
                <w:b w:val="0"/>
                <w:bCs w:val="0"/>
                <w:lang w:val="es-ES_tradnl"/>
              </w:rPr>
            </w:pPr>
            <w:r w:rsidRPr="00585857">
              <w:rPr>
                <w:b w:val="0"/>
                <w:bCs w:val="0"/>
                <w:lang w:val="es-ES_tradnl"/>
              </w:rPr>
              <w:t>Aumento del volumen de residuos electrónicos reciclados.</w:t>
            </w:r>
          </w:p>
        </w:tc>
        <w:tc>
          <w:tcPr>
            <w:tcW w:w="4649" w:type="dxa"/>
            <w:tcBorders>
              <w:top w:val="single" w:sz="4" w:space="0" w:color="B8CCE4" w:themeColor="accent1" w:themeTint="66"/>
              <w:left w:val="dotted" w:sz="4" w:space="0" w:color="B8CCE4" w:themeColor="accent1" w:themeTint="66"/>
              <w:right w:val="dotted" w:sz="4" w:space="0" w:color="4F81BD" w:themeColor="accent1"/>
            </w:tcBorders>
          </w:tcPr>
          <w:p w14:paraId="15436D17" w14:textId="0E3B300A" w:rsidR="00D977EB" w:rsidRPr="00585857" w:rsidRDefault="00D977EB"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Tasa mundial de reciclado de los residuos electrónicos.</w:t>
            </w:r>
          </w:p>
        </w:tc>
        <w:tc>
          <w:tcPr>
            <w:tcW w:w="4650" w:type="dxa"/>
            <w:tcBorders>
              <w:top w:val="nil"/>
              <w:left w:val="dotted" w:sz="4" w:space="0" w:color="4F81BD" w:themeColor="accent1"/>
              <w:bottom w:val="nil"/>
              <w:right w:val="nil"/>
            </w:tcBorders>
          </w:tcPr>
          <w:p w14:paraId="56BCCF8A" w14:textId="77777777" w:rsidR="00D977EB" w:rsidRPr="00585857" w:rsidRDefault="00D977EB"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977EB" w:rsidRPr="008F43A8" w14:paraId="17BB1DF8" w14:textId="77777777" w:rsidTr="005442CF">
        <w:trPr>
          <w:trHeight w:val="505"/>
        </w:trPr>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55845A6" w14:textId="43B908A9" w:rsidR="00D977EB" w:rsidRPr="00585857" w:rsidRDefault="00D977EB" w:rsidP="00F71139">
            <w:pPr>
              <w:pStyle w:val="Tabletext"/>
              <w:rPr>
                <w:b w:val="0"/>
                <w:bCs w:val="0"/>
                <w:lang w:val="es-ES_tradnl"/>
              </w:rPr>
            </w:pPr>
            <w:r w:rsidRPr="00585857">
              <w:rPr>
                <w:b w:val="0"/>
                <w:bCs w:val="0"/>
                <w:lang w:val="es-ES_tradnl"/>
              </w:rPr>
              <w:t>Mejora de las soluciones para las ciudades inteligentes y sostenibles.</w:t>
            </w:r>
          </w:p>
        </w:tc>
        <w:tc>
          <w:tcPr>
            <w:tcW w:w="4649" w:type="dxa"/>
            <w:tcBorders>
              <w:left w:val="dotted" w:sz="4" w:space="0" w:color="B8CCE4" w:themeColor="accent1" w:themeTint="66"/>
              <w:bottom w:val="single" w:sz="4" w:space="0" w:color="B8CCE4" w:themeColor="accent1" w:themeTint="66"/>
              <w:right w:val="dotted" w:sz="4" w:space="0" w:color="4F81BD" w:themeColor="accent1"/>
            </w:tcBorders>
          </w:tcPr>
          <w:p w14:paraId="4674BEC8" w14:textId="39EB9012" w:rsidR="00D977EB" w:rsidRPr="00585857" w:rsidRDefault="00D977EB"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Indicador de mejora de las soluciones para las ciudades inteligentes y sostenibles.</w:t>
            </w:r>
          </w:p>
        </w:tc>
        <w:tc>
          <w:tcPr>
            <w:tcW w:w="4650" w:type="dxa"/>
            <w:tcBorders>
              <w:top w:val="nil"/>
              <w:left w:val="dotted" w:sz="4" w:space="0" w:color="4F81BD" w:themeColor="accent1"/>
              <w:bottom w:val="single" w:sz="4" w:space="0" w:color="B8CCE4" w:themeColor="accent1" w:themeTint="66"/>
              <w:right w:val="nil"/>
            </w:tcBorders>
          </w:tcPr>
          <w:p w14:paraId="07C7D175" w14:textId="77777777" w:rsidR="00D977EB" w:rsidRPr="00585857" w:rsidRDefault="00D977EB" w:rsidP="00D977EB">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21175456" w14:textId="77777777" w:rsidR="00EA65CB" w:rsidRPr="00585857" w:rsidRDefault="00EA65CB" w:rsidP="00EA65CB">
      <w:pPr>
        <w:tabs>
          <w:tab w:val="clear" w:pos="794"/>
          <w:tab w:val="clear" w:pos="1191"/>
          <w:tab w:val="clear" w:pos="1588"/>
          <w:tab w:val="clear" w:pos="1985"/>
        </w:tabs>
        <w:overflowPunct/>
        <w:autoSpaceDE/>
        <w:autoSpaceDN/>
        <w:adjustRightInd/>
        <w:spacing w:before="0" w:after="200" w:line="276" w:lineRule="auto"/>
        <w:textAlignment w:val="auto"/>
        <w:rPr>
          <w:b/>
          <w:bCs/>
          <w:iCs/>
          <w:lang w:val="es-ES_tradnl"/>
        </w:rPr>
      </w:pPr>
      <w:r w:rsidRPr="00585857">
        <w:rPr>
          <w:b/>
          <w:bCs/>
          <w:lang w:val="es-ES_tradnl"/>
        </w:rPr>
        <w:br w:type="page"/>
      </w:r>
    </w:p>
    <w:p w14:paraId="170B1D7E" w14:textId="726337D3" w:rsidR="00EA65CB" w:rsidRPr="00585857" w:rsidRDefault="00EA65CB" w:rsidP="00F04E0C">
      <w:pPr>
        <w:pStyle w:val="Heading3"/>
        <w:rPr>
          <w:lang w:val="es-ES_tradnl"/>
        </w:rPr>
      </w:pPr>
      <w:bookmarkStart w:id="140" w:name="lt_pId258"/>
      <w:bookmarkStart w:id="141" w:name="_Toc33632252"/>
      <w:r w:rsidRPr="00585857">
        <w:rPr>
          <w:lang w:val="es-ES_tradnl"/>
        </w:rPr>
        <w:lastRenderedPageBreak/>
        <w:t xml:space="preserve">II.1.6 </w:t>
      </w:r>
      <w:r w:rsidR="00DD2ACD" w:rsidRPr="00585857">
        <w:rPr>
          <w:lang w:val="es-ES_tradnl"/>
        </w:rPr>
        <w:t>–</w:t>
      </w:r>
      <w:r w:rsidRPr="00585857">
        <w:rPr>
          <w:lang w:val="es-ES_tradnl"/>
        </w:rPr>
        <w:t xml:space="preserve"> I.6 </w:t>
      </w:r>
      <w:bookmarkEnd w:id="140"/>
      <w:r w:rsidR="00DD2ACD" w:rsidRPr="00585857">
        <w:rPr>
          <w:lang w:val="es-ES_tradnl"/>
        </w:rPr>
        <w:t>Reducción de solapamientos y duplicaciones</w:t>
      </w:r>
      <w:bookmarkEnd w:id="141"/>
    </w:p>
    <w:p w14:paraId="0B7FD3C9" w14:textId="77777777" w:rsidR="00DD2ACD" w:rsidRPr="00585857" w:rsidRDefault="00DD2ACD" w:rsidP="00DD2ACD">
      <w:pPr>
        <w:pStyle w:val="Headingb"/>
        <w:rPr>
          <w:i/>
          <w:iCs/>
          <w:lang w:val="es-ES_tradnl"/>
        </w:rPr>
      </w:pPr>
      <w:r w:rsidRPr="00585857">
        <w:rPr>
          <w:i/>
          <w:iCs/>
          <w:lang w:val="es-ES_tradnl"/>
        </w:rPr>
        <w:t>Descripción del objetivo</w:t>
      </w:r>
    </w:p>
    <w:p w14:paraId="15F418B3" w14:textId="23BCFB7E" w:rsidR="00EA65CB" w:rsidRPr="00585857" w:rsidRDefault="00B652D4" w:rsidP="00DD2ACD">
      <w:pPr>
        <w:rPr>
          <w:b/>
          <w:lang w:val="es-ES_tradnl"/>
        </w:rPr>
      </w:pPr>
      <w:r w:rsidRPr="00585857">
        <w:rPr>
          <w:lang w:val="es-ES_tradnl"/>
        </w:rPr>
        <w:t>Reducir las esferas que se solapan y duplican, y fomentar una coordinación más estrecha y transparente entre la Secretaría General y los Sectores de la UIT, teniendo en cuenta las disposiciones presupuestarias de la Unión y los conocimientos y mandatos de cada Sector.</w:t>
      </w:r>
    </w:p>
    <w:p w14:paraId="585C24A7" w14:textId="17ADCF81" w:rsidR="00EA65CB" w:rsidRPr="00585857" w:rsidRDefault="00B652D4" w:rsidP="00B652D4">
      <w:pPr>
        <w:rPr>
          <w:lang w:val="es-ES_tradnl"/>
        </w:rPr>
      </w:pPr>
      <w:bookmarkStart w:id="142" w:name="lt_pId261"/>
      <w:r w:rsidRPr="00585857">
        <w:rPr>
          <w:lang w:val="es-ES_tradnl"/>
        </w:rPr>
        <w:t xml:space="preserve">El Objetivo I.6 utiliza el </w:t>
      </w:r>
      <w:r w:rsidR="00EA65CB" w:rsidRPr="00585857">
        <w:rPr>
          <w:lang w:val="es-ES_tradnl"/>
        </w:rPr>
        <w:t>7</w:t>
      </w:r>
      <w:r w:rsidRPr="00585857">
        <w:rPr>
          <w:lang w:val="es-ES_tradnl"/>
        </w:rPr>
        <w:t>,</w:t>
      </w:r>
      <w:r w:rsidR="00EA65CB" w:rsidRPr="00585857">
        <w:rPr>
          <w:lang w:val="es-ES_tradnl"/>
        </w:rPr>
        <w:t>42 </w:t>
      </w:r>
      <w:r w:rsidRPr="00585857">
        <w:rPr>
          <w:lang w:val="es-ES_tradnl"/>
        </w:rPr>
        <w:t xml:space="preserve">por ciento de los recursos previstos para los objetivos intersectoriales, un </w:t>
      </w:r>
      <w:r w:rsidR="00EA65CB" w:rsidRPr="00585857">
        <w:rPr>
          <w:lang w:val="es-ES_tradnl"/>
        </w:rPr>
        <w:t>0</w:t>
      </w:r>
      <w:r w:rsidRPr="00585857">
        <w:rPr>
          <w:lang w:val="es-ES_tradnl"/>
        </w:rPr>
        <w:t>,</w:t>
      </w:r>
      <w:r w:rsidR="00EA65CB" w:rsidRPr="00585857">
        <w:rPr>
          <w:lang w:val="es-ES_tradnl"/>
        </w:rPr>
        <w:t>77 </w:t>
      </w:r>
      <w:r w:rsidRPr="00585857">
        <w:rPr>
          <w:lang w:val="es-ES_tradnl"/>
        </w:rPr>
        <w:t>por ciento de los recursos previstos de la UIT para</w:t>
      </w:r>
      <w:r w:rsidR="00EA65CB" w:rsidRPr="00585857">
        <w:rPr>
          <w:lang w:val="es-ES_tradnl"/>
        </w:rPr>
        <w:t xml:space="preserve"> 2021-2024.</w:t>
      </w:r>
      <w:bookmarkEnd w:id="142"/>
    </w:p>
    <w:p w14:paraId="5A585455" w14:textId="2A4F5D64" w:rsidR="00771E19" w:rsidRDefault="007A5EE9" w:rsidP="00771E19">
      <w:pPr>
        <w:pStyle w:val="Headingb"/>
        <w:rPr>
          <w:i/>
          <w:iCs/>
          <w:lang w:val="es-ES_tradnl"/>
        </w:rPr>
      </w:pPr>
      <w:r>
        <w:rPr>
          <w:i/>
          <w:iCs/>
          <w:lang w:val="es-ES_tradnl"/>
        </w:rPr>
        <w:t>Resumen de la atribución de costes</w:t>
      </w:r>
    </w:p>
    <w:p w14:paraId="41BEA11E" w14:textId="6148F4F1" w:rsidR="00822024" w:rsidRPr="00822024" w:rsidRDefault="00822024" w:rsidP="00822024">
      <w:pPr>
        <w:jc w:val="center"/>
        <w:rPr>
          <w:lang w:val="es-ES_tradnl"/>
        </w:rPr>
      </w:pPr>
      <w:r w:rsidRPr="00822024">
        <w:rPr>
          <w:noProof/>
        </w:rPr>
        <w:drawing>
          <wp:inline distT="0" distB="0" distL="0" distR="0" wp14:anchorId="75EBDED8" wp14:editId="46E9AA86">
            <wp:extent cx="8280000" cy="24912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80000" cy="2491200"/>
                    </a:xfrm>
                    <a:prstGeom prst="rect">
                      <a:avLst/>
                    </a:prstGeom>
                    <a:noFill/>
                    <a:ln>
                      <a:noFill/>
                    </a:ln>
                  </pic:spPr>
                </pic:pic>
              </a:graphicData>
            </a:graphic>
          </wp:inline>
        </w:drawing>
      </w:r>
    </w:p>
    <w:p w14:paraId="6A39C588" w14:textId="666C41EF" w:rsidR="00EA65CB" w:rsidRPr="00585857" w:rsidRDefault="007A5EE9" w:rsidP="00B652D4">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EA65CB" w:rsidRPr="005442CF" w14:paraId="0B21EE42"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6F948916" w14:textId="67309A7F" w:rsidR="00EA65CB" w:rsidRPr="005442CF" w:rsidRDefault="0097790E" w:rsidP="00B652D4">
            <w:pPr>
              <w:pStyle w:val="Tablehead"/>
              <w:rPr>
                <w:b/>
                <w:bCs w:val="0"/>
                <w:i/>
                <w:iCs/>
                <w:lang w:val="es-ES_tradnl"/>
              </w:rPr>
            </w:pPr>
            <w:r w:rsidRPr="005442CF">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305C1731" w14:textId="267E71F7" w:rsidR="00EA65CB" w:rsidRPr="005442CF" w:rsidRDefault="00EA65CB" w:rsidP="00B652D4">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143" w:name="lt_pId266"/>
            <w:r w:rsidRPr="005442CF">
              <w:rPr>
                <w:b/>
                <w:bCs w:val="0"/>
                <w:i/>
                <w:iCs/>
                <w:lang w:val="es-ES_tradnl"/>
              </w:rPr>
              <w:t>Me</w:t>
            </w:r>
            <w:r w:rsidR="0097790E" w:rsidRPr="005442CF">
              <w:rPr>
                <w:b/>
                <w:bCs w:val="0"/>
                <w:i/>
                <w:iCs/>
                <w:lang w:val="es-ES_tradnl"/>
              </w:rPr>
              <w:t>dición</w:t>
            </w:r>
            <w:bookmarkEnd w:id="143"/>
          </w:p>
        </w:tc>
        <w:tc>
          <w:tcPr>
            <w:tcW w:w="4650" w:type="dxa"/>
            <w:tcBorders>
              <w:top w:val="nil"/>
              <w:left w:val="dotted" w:sz="4" w:space="0" w:color="B8CCE4" w:themeColor="accent1" w:themeTint="66"/>
              <w:bottom w:val="single" w:sz="8" w:space="0" w:color="4F81BD" w:themeColor="accent1"/>
              <w:right w:val="nil"/>
            </w:tcBorders>
          </w:tcPr>
          <w:p w14:paraId="57F27290" w14:textId="0E7AA4F0" w:rsidR="00EA65CB" w:rsidRPr="005442CF" w:rsidRDefault="00EA65CB" w:rsidP="00B652D4">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144" w:name="lt_pId267"/>
            <w:r w:rsidRPr="005442CF">
              <w:rPr>
                <w:b/>
                <w:bCs w:val="0"/>
                <w:i/>
                <w:iCs/>
                <w:lang w:val="es-ES_tradnl"/>
              </w:rPr>
              <w:t>Ri</w:t>
            </w:r>
            <w:r w:rsidR="0097790E" w:rsidRPr="005442CF">
              <w:rPr>
                <w:b/>
                <w:bCs w:val="0"/>
                <w:i/>
                <w:iCs/>
                <w:lang w:val="es-ES_tradnl"/>
              </w:rPr>
              <w:t>esgo</w:t>
            </w:r>
            <w:bookmarkEnd w:id="144"/>
            <w:r w:rsidRPr="005442CF">
              <w:rPr>
                <w:b/>
                <w:bCs w:val="0"/>
                <w:i/>
                <w:iCs/>
                <w:lang w:val="es-ES_tradnl"/>
              </w:rPr>
              <w:t xml:space="preserve"> </w:t>
            </w:r>
          </w:p>
        </w:tc>
      </w:tr>
      <w:tr w:rsidR="00EA65CB" w:rsidRPr="008F43A8" w14:paraId="6E506B62"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2FBE1BB1" w14:textId="048F35A1" w:rsidR="00EA65CB" w:rsidRPr="00585857" w:rsidRDefault="0097790E" w:rsidP="00B652D4">
            <w:pPr>
              <w:pStyle w:val="Tabletext"/>
              <w:rPr>
                <w:b w:val="0"/>
                <w:bCs w:val="0"/>
                <w:lang w:val="es-ES_tradnl"/>
              </w:rPr>
            </w:pPr>
            <w:bookmarkStart w:id="145" w:name="lt_pId268"/>
            <w:r>
              <w:rPr>
                <w:b w:val="0"/>
                <w:bCs w:val="0"/>
                <w:lang w:val="es-ES_tradnl"/>
              </w:rPr>
              <w:t>Ahorros obtenidos como consecuencia de medidas de eficiencia, algunos debidos a haber evitado ámbitos de solapamiento</w:t>
            </w:r>
            <w:r w:rsidR="00EA65CB" w:rsidRPr="00585857">
              <w:rPr>
                <w:b w:val="0"/>
                <w:bCs w:val="0"/>
                <w:lang w:val="es-ES_tradnl"/>
              </w:rPr>
              <w:t>.</w:t>
            </w:r>
            <w:bookmarkEnd w:id="145"/>
          </w:p>
          <w:p w14:paraId="2B39143E" w14:textId="0E086695" w:rsidR="00EA65CB" w:rsidRPr="00585857" w:rsidRDefault="0097790E" w:rsidP="00B652D4">
            <w:pPr>
              <w:pStyle w:val="Tabletext"/>
              <w:rPr>
                <w:b w:val="0"/>
                <w:bCs w:val="0"/>
                <w:lang w:val="es-ES_tradnl"/>
              </w:rPr>
            </w:pPr>
            <w:bookmarkStart w:id="146" w:name="lt_pId269"/>
            <w:r>
              <w:rPr>
                <w:b w:val="0"/>
                <w:bCs w:val="0"/>
                <w:lang w:val="es-ES_tradnl"/>
              </w:rPr>
              <w:t>Colaboración más estrecha y transparente entre los Sectores de la UIT, gracias a mecanismos como el GCIS y el GE-CIS</w:t>
            </w:r>
            <w:r w:rsidR="00EA65CB" w:rsidRPr="00585857">
              <w:rPr>
                <w:b w:val="0"/>
                <w:bCs w:val="0"/>
                <w:lang w:val="es-ES_tradnl"/>
              </w:rPr>
              <w:t>.</w:t>
            </w:r>
            <w:bookmarkEnd w:id="146"/>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47CA582E" w14:textId="54876EFF" w:rsidR="00EA65CB" w:rsidRPr="00585857" w:rsidRDefault="0097790E"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47" w:name="lt_pId270"/>
            <w:r>
              <w:rPr>
                <w:lang w:val="es-ES_tradnl"/>
              </w:rPr>
              <w:t>En</w:t>
            </w:r>
            <w:r w:rsidR="00EA65CB" w:rsidRPr="00585857">
              <w:rPr>
                <w:lang w:val="es-ES_tradnl"/>
              </w:rPr>
              <w:t xml:space="preserve"> 2018-19</w:t>
            </w:r>
            <w:r>
              <w:rPr>
                <w:lang w:val="es-ES_tradnl"/>
              </w:rPr>
              <w:t>, cerca de 13 millones CHF ahorrados</w:t>
            </w:r>
            <w:r w:rsidR="00EA65CB" w:rsidRPr="00585857">
              <w:rPr>
                <w:lang w:val="es-ES_tradnl"/>
              </w:rPr>
              <w:t>.</w:t>
            </w:r>
            <w:bookmarkEnd w:id="147"/>
          </w:p>
          <w:p w14:paraId="45C6CE83" w14:textId="6794DA4B" w:rsidR="00EA65CB" w:rsidRPr="00585857" w:rsidRDefault="00EA65CB"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48" w:name="lt_pId271"/>
            <w:r w:rsidRPr="00585857">
              <w:rPr>
                <w:lang w:val="es-ES_tradnl"/>
              </w:rPr>
              <w:t>N</w:t>
            </w:r>
            <w:r w:rsidR="000A293D">
              <w:rPr>
                <w:lang w:val="es-ES_tradnl"/>
              </w:rPr>
              <w:t>úmero de declaraciones de coordinación de los SAG sobre coordinación intersectorial</w:t>
            </w:r>
            <w:bookmarkEnd w:id="148"/>
            <w:r w:rsidR="00DF29B8">
              <w:rPr>
                <w:lang w:val="es-ES_tradnl"/>
              </w:rPr>
              <w:t>.</w:t>
            </w:r>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06FB35ED" w14:textId="6ABA2139" w:rsidR="00EA65CB" w:rsidRPr="00585857" w:rsidRDefault="000A293D"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49" w:name="lt_pId272"/>
            <w:r>
              <w:rPr>
                <w:lang w:val="es-ES_tradnl"/>
              </w:rPr>
              <w:t>Riesgos mitigados</w:t>
            </w:r>
            <w:r w:rsidR="00EA65CB" w:rsidRPr="00585857">
              <w:rPr>
                <w:lang w:val="es-ES_tradnl"/>
              </w:rPr>
              <w:t>.</w:t>
            </w:r>
            <w:bookmarkEnd w:id="149"/>
            <w:r w:rsidR="00EA65CB" w:rsidRPr="00585857">
              <w:rPr>
                <w:lang w:val="es-ES_tradnl"/>
              </w:rPr>
              <w:t xml:space="preserve"> </w:t>
            </w:r>
            <w:bookmarkStart w:id="150" w:name="lt_pId273"/>
            <w:r>
              <w:rPr>
                <w:lang w:val="es-ES_tradnl"/>
              </w:rPr>
              <w:t>Ausencia de actividades contradictorias entre sí.</w:t>
            </w:r>
            <w:bookmarkEnd w:id="150"/>
          </w:p>
        </w:tc>
      </w:tr>
    </w:tbl>
    <w:p w14:paraId="604BF2AF" w14:textId="001A6B59" w:rsidR="00EA65CB" w:rsidRPr="00585857" w:rsidRDefault="007A5EE9" w:rsidP="00B652D4">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EA65CB" w:rsidRPr="005442CF" w14:paraId="064528D1" w14:textId="77777777" w:rsidTr="00E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0262A68D" w14:textId="54124CDE" w:rsidR="00EA65CB" w:rsidRPr="005442CF" w:rsidRDefault="00B652D4" w:rsidP="00B652D4">
            <w:pPr>
              <w:pStyle w:val="Tablehead"/>
              <w:rPr>
                <w:b/>
                <w:bCs w:val="0"/>
                <w:i/>
                <w:iCs/>
                <w:lang w:val="es-ES_tradnl"/>
              </w:rPr>
            </w:pPr>
            <w:r w:rsidRPr="005442CF">
              <w:rPr>
                <w:b/>
                <w:bCs w:val="0"/>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1D9C29F8" w14:textId="112E5EA1" w:rsidR="00EA65CB" w:rsidRPr="005442CF" w:rsidRDefault="00B652D4" w:rsidP="00B652D4">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5442CF">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0B02D229" w14:textId="695E34D0" w:rsidR="00EA65CB" w:rsidRPr="005442CF" w:rsidRDefault="000A293D" w:rsidP="00B652D4">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5442CF">
              <w:rPr>
                <w:b/>
                <w:bCs w:val="0"/>
                <w:i/>
                <w:iCs/>
                <w:lang w:val="es-ES_tradnl"/>
              </w:rPr>
              <w:t>Indicadores de riesgo</w:t>
            </w:r>
          </w:p>
        </w:tc>
      </w:tr>
      <w:tr w:rsidR="00EA65CB" w:rsidRPr="008F43A8" w14:paraId="57C1BCC8"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58053F0F" w14:textId="2B53441E" w:rsidR="00EA65CB" w:rsidRPr="00585857" w:rsidRDefault="00B652D4" w:rsidP="00B652D4">
            <w:pPr>
              <w:pStyle w:val="Tabletext"/>
              <w:rPr>
                <w:b w:val="0"/>
                <w:bCs w:val="0"/>
                <w:lang w:val="es-ES_tradnl"/>
              </w:rPr>
            </w:pPr>
            <w:r w:rsidRPr="00585857">
              <w:rPr>
                <w:b w:val="0"/>
                <w:bCs w:val="0"/>
                <w:lang w:val="es-ES_tradnl"/>
              </w:rPr>
              <w:t>Colaboración más estrecha y transparente entre los Sectores de la UIT, la Secretaría General y las tres Oficinas.</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2D01F0FE" w14:textId="77E35FA0"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los Miembros que declaran que la</w:t>
            </w:r>
            <w:r w:rsidR="00DF29B8">
              <w:rPr>
                <w:lang w:val="es-ES_tradnl"/>
              </w:rPr>
              <w:t> </w:t>
            </w:r>
            <w:r w:rsidRPr="00585857">
              <w:rPr>
                <w:lang w:val="es-ES_tradnl"/>
              </w:rPr>
              <w:t>UIT funciona como "Una UIT".</w:t>
            </w:r>
          </w:p>
        </w:tc>
        <w:tc>
          <w:tcPr>
            <w:tcW w:w="4650" w:type="dxa"/>
            <w:tcBorders>
              <w:top w:val="single" w:sz="8" w:space="0" w:color="4F81BD" w:themeColor="accent1"/>
              <w:left w:val="dotted" w:sz="4" w:space="0" w:color="4F81BD" w:themeColor="accent1"/>
              <w:bottom w:val="nil"/>
              <w:right w:val="nil"/>
            </w:tcBorders>
          </w:tcPr>
          <w:p w14:paraId="3E8704E8" w14:textId="315EFEEC"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Coordinación intersectorial reducida</w:t>
            </w:r>
            <w:r w:rsidR="006769BC">
              <w:rPr>
                <w:lang w:val="es-ES_tradnl"/>
              </w:rPr>
              <w:t>.</w:t>
            </w:r>
          </w:p>
          <w:p w14:paraId="50FB6796" w14:textId="113C26C2"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Lanzamiento de nuevas actividades que producen duplicaciones de trabajos (internas y externas)</w:t>
            </w:r>
            <w:r w:rsidR="00CE59B0">
              <w:rPr>
                <w:lang w:val="es-ES_tradnl"/>
              </w:rPr>
              <w:t>.</w:t>
            </w:r>
          </w:p>
        </w:tc>
      </w:tr>
      <w:tr w:rsidR="00EA65CB" w:rsidRPr="008F43A8" w14:paraId="264B22FF"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3E7435F3" w14:textId="55BFFCAD" w:rsidR="00EA65CB" w:rsidRPr="00585857" w:rsidRDefault="00B652D4" w:rsidP="00B652D4">
            <w:pPr>
              <w:pStyle w:val="Tabletext"/>
              <w:rPr>
                <w:b w:val="0"/>
                <w:bCs w:val="0"/>
                <w:lang w:val="es-ES_tradnl"/>
              </w:rPr>
            </w:pPr>
            <w:r w:rsidRPr="00585857">
              <w:rPr>
                <w:b w:val="0"/>
                <w:bCs w:val="0"/>
                <w:lang w:val="es-ES_tradnl"/>
              </w:rPr>
              <w:t>Reducción de las esferas que se solapan y duplican entre los Sectores de la UIT, y entre los trabajos de la Secretaría General y las tres Oficinas.</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0B467755" w14:textId="39096952"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eventos organizados conjuntamente por al menos dos Sectores.</w:t>
            </w:r>
          </w:p>
          <w:p w14:paraId="295CB95E" w14:textId="69DACCD3"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Resultados del GE-CIS.</w:t>
            </w:r>
          </w:p>
          <w:p w14:paraId="65401B8B" w14:textId="7753F874"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esferas de solapamiento identificadas y sobre las que se ha actuado.</w:t>
            </w:r>
          </w:p>
        </w:tc>
        <w:tc>
          <w:tcPr>
            <w:tcW w:w="4650" w:type="dxa"/>
            <w:tcBorders>
              <w:top w:val="nil"/>
              <w:left w:val="dotted" w:sz="4" w:space="0" w:color="4F81BD" w:themeColor="accent1"/>
              <w:bottom w:val="nil"/>
              <w:right w:val="nil"/>
            </w:tcBorders>
          </w:tcPr>
          <w:p w14:paraId="739B424B" w14:textId="4BA7918E"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Gestión ineficiente de los recursos financieros (falta de control, errores, fallos humanos)</w:t>
            </w:r>
            <w:r w:rsidR="00CE59B0">
              <w:rPr>
                <w:lang w:val="es-ES_tradnl"/>
              </w:rPr>
              <w:t>.</w:t>
            </w:r>
          </w:p>
        </w:tc>
      </w:tr>
      <w:tr w:rsidR="00EA65CB" w:rsidRPr="008F43A8" w14:paraId="4917F39F" w14:textId="77777777" w:rsidTr="00EA65CB">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B8A4BE8" w14:textId="45A65B40" w:rsidR="00EA65CB" w:rsidRPr="00585857" w:rsidRDefault="00B652D4" w:rsidP="00B652D4">
            <w:pPr>
              <w:pStyle w:val="Tabletext"/>
              <w:rPr>
                <w:b w:val="0"/>
                <w:bCs w:val="0"/>
                <w:lang w:val="es-ES_tradnl"/>
              </w:rPr>
            </w:pPr>
            <w:r w:rsidRPr="00585857">
              <w:rPr>
                <w:b w:val="0"/>
                <w:bCs w:val="0"/>
                <w:lang w:val="es-ES_tradnl"/>
              </w:rPr>
              <w:t>Ahorrar mediante la evitación de esferas de solapamiento.</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738ED0C1" w14:textId="66C12754"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Reducciones de costes resultantes de las medidas de eficiencia relativas a la identificación y eliminación de todos los casos y tipos de duplicación.</w:t>
            </w:r>
          </w:p>
        </w:tc>
        <w:tc>
          <w:tcPr>
            <w:tcW w:w="4650" w:type="dxa"/>
            <w:tcBorders>
              <w:top w:val="nil"/>
              <w:left w:val="dotted" w:sz="4" w:space="0" w:color="4F81BD" w:themeColor="accent1"/>
              <w:bottom w:val="single" w:sz="4" w:space="0" w:color="B8CCE4" w:themeColor="accent1" w:themeTint="66"/>
              <w:right w:val="nil"/>
            </w:tcBorders>
          </w:tcPr>
          <w:p w14:paraId="48EB7546" w14:textId="52E19EF3"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Apoyo a actividades contradictorias</w:t>
            </w:r>
            <w:r w:rsidR="00CE59B0">
              <w:rPr>
                <w:lang w:val="es-ES_tradnl"/>
              </w:rPr>
              <w:t>.</w:t>
            </w:r>
          </w:p>
          <w:p w14:paraId="0BFECD55" w14:textId="7687CD73" w:rsidR="00EA65CB" w:rsidRPr="00585857" w:rsidRDefault="00B652D4" w:rsidP="00B652D4">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Marco de la organización obsoleto</w:t>
            </w:r>
            <w:r w:rsidR="00CE59B0">
              <w:rPr>
                <w:lang w:val="es-ES_tradnl"/>
              </w:rPr>
              <w:t>.</w:t>
            </w:r>
          </w:p>
        </w:tc>
      </w:tr>
    </w:tbl>
    <w:p w14:paraId="5B24974B" w14:textId="77777777" w:rsidR="00EA65CB" w:rsidRPr="00585857" w:rsidRDefault="00EA65CB" w:rsidP="00B652D4">
      <w:pPr>
        <w:rPr>
          <w:lang w:val="es-ES_tradnl"/>
        </w:rPr>
      </w:pPr>
      <w:r w:rsidRPr="00585857">
        <w:rPr>
          <w:lang w:val="es-ES_tradnl"/>
        </w:rPr>
        <w:br w:type="page"/>
      </w:r>
    </w:p>
    <w:p w14:paraId="49CECCE4" w14:textId="3D7E940C" w:rsidR="00D4116C" w:rsidRPr="00585857" w:rsidRDefault="00D4116C" w:rsidP="00F04E0C">
      <w:pPr>
        <w:pStyle w:val="Heading2"/>
        <w:rPr>
          <w:lang w:val="es-ES_tradnl"/>
        </w:rPr>
      </w:pPr>
      <w:bookmarkStart w:id="151" w:name="lt_pId292"/>
      <w:bookmarkStart w:id="152" w:name="_Toc33632088"/>
      <w:bookmarkStart w:id="153" w:name="_Toc33632253"/>
      <w:r w:rsidRPr="00585857">
        <w:rPr>
          <w:lang w:val="es-ES_tradnl"/>
        </w:rPr>
        <w:lastRenderedPageBreak/>
        <w:t>II.2</w:t>
      </w:r>
      <w:bookmarkEnd w:id="151"/>
      <w:r w:rsidRPr="00585857">
        <w:rPr>
          <w:lang w:val="es-ES_tradnl"/>
        </w:rPr>
        <w:tab/>
      </w:r>
      <w:r w:rsidR="00771E19" w:rsidRPr="00585857">
        <w:rPr>
          <w:lang w:val="es-ES_tradnl"/>
        </w:rPr>
        <w:t>Objetivos del Sector de Radiocomunicaciones</w:t>
      </w:r>
      <w:bookmarkEnd w:id="152"/>
      <w:bookmarkEnd w:id="153"/>
    </w:p>
    <w:p w14:paraId="48F29B9F" w14:textId="26681545" w:rsidR="00D4116C" w:rsidRPr="00585857" w:rsidRDefault="00771E19" w:rsidP="00D4116C">
      <w:pPr>
        <w:rPr>
          <w:lang w:val="es-ES_tradnl"/>
        </w:rPr>
      </w:pPr>
      <w:bookmarkStart w:id="154" w:name="lt_pId294"/>
      <w:r w:rsidRPr="00585857">
        <w:rPr>
          <w:lang w:val="es-ES_tradnl"/>
        </w:rPr>
        <w:t xml:space="preserve">Se prevén tres objetivos del Sector de Radiocomunicaciones en </w:t>
      </w:r>
      <w:r w:rsidR="00D4116C" w:rsidRPr="00585857">
        <w:rPr>
          <w:lang w:val="es-ES_tradnl"/>
        </w:rPr>
        <w:t xml:space="preserve">2021-2024, </w:t>
      </w:r>
      <w:r w:rsidRPr="00585857">
        <w:rPr>
          <w:lang w:val="es-ES_tradnl"/>
        </w:rPr>
        <w:t xml:space="preserve">que representan el </w:t>
      </w:r>
      <w:r w:rsidR="00D4116C" w:rsidRPr="00585857">
        <w:rPr>
          <w:lang w:val="es-ES_tradnl"/>
        </w:rPr>
        <w:t>37</w:t>
      </w:r>
      <w:r w:rsidRPr="00585857">
        <w:rPr>
          <w:lang w:val="es-ES_tradnl"/>
        </w:rPr>
        <w:t>,</w:t>
      </w:r>
      <w:r w:rsidR="00D4116C" w:rsidRPr="00585857">
        <w:rPr>
          <w:lang w:val="es-ES_tradnl"/>
        </w:rPr>
        <w:t>91 </w:t>
      </w:r>
      <w:r w:rsidRPr="00585857">
        <w:rPr>
          <w:lang w:val="es-ES_tradnl"/>
        </w:rPr>
        <w:t>por ciento</w:t>
      </w:r>
      <w:r w:rsidR="00D4116C" w:rsidRPr="00585857">
        <w:rPr>
          <w:lang w:val="es-ES_tradnl"/>
        </w:rPr>
        <w:t xml:space="preserve"> </w:t>
      </w:r>
      <w:r w:rsidR="000A293D">
        <w:rPr>
          <w:lang w:val="es-ES_tradnl"/>
        </w:rPr>
        <w:t>de los recursos totales de la Unión previstos para ese periodo</w:t>
      </w:r>
      <w:r w:rsidR="00D4116C" w:rsidRPr="00585857">
        <w:rPr>
          <w:lang w:val="es-ES_tradnl"/>
        </w:rPr>
        <w:t>.</w:t>
      </w:r>
      <w:bookmarkEnd w:id="154"/>
    </w:p>
    <w:p w14:paraId="0CD0FD15" w14:textId="27EF2C29" w:rsidR="00D4116C" w:rsidRPr="00585857" w:rsidRDefault="00771E19" w:rsidP="003A7790">
      <w:pPr>
        <w:pStyle w:val="Tabletitle"/>
        <w:spacing w:before="720"/>
        <w:rPr>
          <w:lang w:val="es-ES_tradnl"/>
        </w:rPr>
      </w:pPr>
      <w:r w:rsidRPr="00585857">
        <w:rPr>
          <w:lang w:val="es-ES_tradnl"/>
        </w:rPr>
        <w:t>Objetivos del UIT-R</w:t>
      </w:r>
      <w:bookmarkStart w:id="155" w:name="lt_pId296"/>
      <w:r w:rsidRPr="00585857">
        <w:rPr>
          <w:lang w:val="es-ES_tradnl"/>
        </w:rPr>
        <w:br/>
        <w:t xml:space="preserve">Costes previstos para </w:t>
      </w:r>
      <w:r w:rsidR="00D4116C" w:rsidRPr="00585857">
        <w:rPr>
          <w:lang w:val="es-ES_tradnl"/>
        </w:rPr>
        <w:t>2021-2024</w:t>
      </w:r>
      <w:bookmarkEnd w:id="155"/>
      <w:r w:rsidRPr="00585857">
        <w:rPr>
          <w:lang w:val="es-ES_tradnl"/>
        </w:rPr>
        <w:br/>
        <w:t>Distribución por componente de coste</w:t>
      </w:r>
    </w:p>
    <w:p w14:paraId="19FAD61D" w14:textId="652C20AC" w:rsidR="00D4116C" w:rsidRPr="00585857" w:rsidRDefault="007028E0" w:rsidP="007028E0">
      <w:pPr>
        <w:tabs>
          <w:tab w:val="clear" w:pos="794"/>
          <w:tab w:val="clear" w:pos="1191"/>
          <w:tab w:val="clear" w:pos="1588"/>
          <w:tab w:val="clear" w:pos="1985"/>
        </w:tabs>
        <w:overflowPunct/>
        <w:autoSpaceDE/>
        <w:autoSpaceDN/>
        <w:adjustRightInd/>
        <w:spacing w:before="0" w:after="200" w:line="276" w:lineRule="auto"/>
        <w:jc w:val="center"/>
        <w:textAlignment w:val="auto"/>
        <w:rPr>
          <w:lang w:val="es-ES_tradnl"/>
        </w:rPr>
      </w:pPr>
      <w:r w:rsidRPr="00585857">
        <w:rPr>
          <w:noProof/>
          <w:lang w:val="es-ES_tradnl"/>
        </w:rPr>
        <w:drawing>
          <wp:inline distT="0" distB="0" distL="0" distR="0" wp14:anchorId="7D7C766C" wp14:editId="26A00DFA">
            <wp:extent cx="9237600" cy="2768400"/>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7600" cy="2768400"/>
                    </a:xfrm>
                    <a:prstGeom prst="rect">
                      <a:avLst/>
                    </a:prstGeom>
                    <a:noFill/>
                    <a:ln>
                      <a:noFill/>
                    </a:ln>
                  </pic:spPr>
                </pic:pic>
              </a:graphicData>
            </a:graphic>
          </wp:inline>
        </w:drawing>
      </w:r>
    </w:p>
    <w:p w14:paraId="48EF38A5" w14:textId="1C5CF466" w:rsidR="00F04E0C" w:rsidRPr="00585857" w:rsidRDefault="00F04E0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3B51D86A" w14:textId="1BD7BB42" w:rsidR="00D4116C" w:rsidRPr="00585857" w:rsidRDefault="00D4116C" w:rsidP="00771E19">
      <w:pPr>
        <w:pStyle w:val="Heading2"/>
        <w:rPr>
          <w:lang w:val="es-ES_tradnl"/>
        </w:rPr>
      </w:pPr>
      <w:bookmarkStart w:id="156" w:name="lt_pId298"/>
      <w:bookmarkStart w:id="157" w:name="_Toc33632089"/>
      <w:bookmarkStart w:id="158" w:name="_Toc33632254"/>
      <w:r w:rsidRPr="00585857">
        <w:rPr>
          <w:lang w:val="es-ES_tradnl"/>
        </w:rPr>
        <w:lastRenderedPageBreak/>
        <w:t xml:space="preserve">II.2.1 </w:t>
      </w:r>
      <w:r w:rsidR="00771E19" w:rsidRPr="00585857">
        <w:rPr>
          <w:lang w:val="es-ES_tradnl"/>
        </w:rPr>
        <w:t>–</w:t>
      </w:r>
      <w:r w:rsidRPr="00585857">
        <w:rPr>
          <w:lang w:val="es-ES_tradnl"/>
        </w:rPr>
        <w:t xml:space="preserve"> R.1 </w:t>
      </w:r>
      <w:bookmarkEnd w:id="156"/>
      <w:r w:rsidR="00771E19" w:rsidRPr="00585857">
        <w:rPr>
          <w:lang w:val="es-ES_tradnl"/>
        </w:rPr>
        <w:t>Reglamentación y gestión del espectro/las órbitas</w:t>
      </w:r>
      <w:bookmarkEnd w:id="157"/>
      <w:bookmarkEnd w:id="158"/>
    </w:p>
    <w:p w14:paraId="4DE8291B" w14:textId="7DC9B30B" w:rsidR="00D4116C" w:rsidRPr="00585857" w:rsidRDefault="00771E19" w:rsidP="00771E19">
      <w:pPr>
        <w:pStyle w:val="Headingb"/>
        <w:rPr>
          <w:i/>
          <w:iCs/>
          <w:lang w:val="es-ES_tradnl"/>
        </w:rPr>
      </w:pPr>
      <w:r w:rsidRPr="00585857">
        <w:rPr>
          <w:i/>
          <w:iCs/>
          <w:lang w:val="es-ES_tradnl"/>
        </w:rPr>
        <w:t>Descripción del objetivo</w:t>
      </w:r>
    </w:p>
    <w:p w14:paraId="1DF05028" w14:textId="22B2CF93" w:rsidR="00D4116C" w:rsidRPr="007126C1" w:rsidRDefault="00771E19" w:rsidP="00771E19">
      <w:pPr>
        <w:rPr>
          <w:bCs/>
          <w:lang w:val="es-ES_tradnl"/>
        </w:rPr>
      </w:pPr>
      <w:r w:rsidRPr="00585857">
        <w:rPr>
          <w:lang w:val="es-ES_tradnl"/>
        </w:rPr>
        <w:t xml:space="preserve">Atender de manera racional, equitativa, eficiente, económica y oportuna las necesidades de los </w:t>
      </w:r>
      <w:r w:rsidR="007126C1">
        <w:rPr>
          <w:lang w:val="es-ES_tradnl"/>
        </w:rPr>
        <w:t>m</w:t>
      </w:r>
      <w:r w:rsidRPr="00585857">
        <w:rPr>
          <w:lang w:val="es-ES_tradnl"/>
        </w:rPr>
        <w:t>iembros de la UIT en materia de recursos de espectro de radiofrecuencias y órbitas de satélites, evitando interferencias perjudiciales.</w:t>
      </w:r>
    </w:p>
    <w:p w14:paraId="5558A902" w14:textId="0493EA86" w:rsidR="00D4116C" w:rsidRPr="00585857" w:rsidRDefault="00771E19" w:rsidP="00771E19">
      <w:pPr>
        <w:rPr>
          <w:lang w:val="es-ES_tradnl"/>
        </w:rPr>
      </w:pPr>
      <w:bookmarkStart w:id="159" w:name="lt_pId301"/>
      <w:r w:rsidRPr="00585857">
        <w:rPr>
          <w:lang w:val="es-ES_tradnl"/>
        </w:rPr>
        <w:t xml:space="preserve">El Objetivo R.1 utiliza el </w:t>
      </w:r>
      <w:r w:rsidR="00D4116C" w:rsidRPr="00585857">
        <w:rPr>
          <w:lang w:val="es-ES_tradnl"/>
        </w:rPr>
        <w:t>55</w:t>
      </w:r>
      <w:r w:rsidRPr="00585857">
        <w:rPr>
          <w:lang w:val="es-ES_tradnl"/>
        </w:rPr>
        <w:t>,</w:t>
      </w:r>
      <w:r w:rsidR="00D4116C" w:rsidRPr="00585857">
        <w:rPr>
          <w:lang w:val="es-ES_tradnl"/>
        </w:rPr>
        <w:t>40 </w:t>
      </w:r>
      <w:r w:rsidRPr="00585857">
        <w:rPr>
          <w:lang w:val="es-ES_tradnl"/>
        </w:rPr>
        <w:t xml:space="preserve">por ciento de los recursos previstos para los objetivos del UIT-R, un </w:t>
      </w:r>
      <w:r w:rsidR="00D4116C" w:rsidRPr="00585857">
        <w:rPr>
          <w:lang w:val="es-ES_tradnl"/>
        </w:rPr>
        <w:t>21</w:t>
      </w:r>
      <w:r w:rsidRPr="00585857">
        <w:rPr>
          <w:lang w:val="es-ES_tradnl"/>
        </w:rPr>
        <w:t>,</w:t>
      </w:r>
      <w:r w:rsidR="00D4116C" w:rsidRPr="00585857">
        <w:rPr>
          <w:lang w:val="es-ES_tradnl"/>
        </w:rPr>
        <w:t>00 </w:t>
      </w:r>
      <w:r w:rsidRPr="00585857">
        <w:rPr>
          <w:lang w:val="es-ES_tradnl"/>
        </w:rPr>
        <w:t xml:space="preserve">por ciento de los recursos previstos de la UIT para </w:t>
      </w:r>
      <w:r w:rsidR="00D4116C" w:rsidRPr="00585857">
        <w:rPr>
          <w:lang w:val="es-ES_tradnl"/>
        </w:rPr>
        <w:t>2022-2024.</w:t>
      </w:r>
      <w:bookmarkEnd w:id="159"/>
    </w:p>
    <w:p w14:paraId="721CDDC4" w14:textId="4C60100B" w:rsidR="00D4116C" w:rsidRDefault="007A5EE9" w:rsidP="00771E19">
      <w:pPr>
        <w:pStyle w:val="Headingb"/>
        <w:rPr>
          <w:i/>
          <w:iCs/>
          <w:lang w:val="es-ES_tradnl"/>
        </w:rPr>
      </w:pPr>
      <w:r>
        <w:rPr>
          <w:i/>
          <w:iCs/>
          <w:lang w:val="es-ES_tradnl"/>
        </w:rPr>
        <w:t>Resumen de la atribución de costes</w:t>
      </w:r>
    </w:p>
    <w:p w14:paraId="1C545B27" w14:textId="7C8BF43C" w:rsidR="003940B9" w:rsidRPr="003940B9" w:rsidRDefault="003940B9" w:rsidP="003940B9">
      <w:pPr>
        <w:jc w:val="center"/>
        <w:rPr>
          <w:lang w:val="es-ES_tradnl"/>
        </w:rPr>
      </w:pPr>
      <w:r w:rsidRPr="003940B9">
        <w:rPr>
          <w:noProof/>
        </w:rPr>
        <w:drawing>
          <wp:inline distT="0" distB="0" distL="0" distR="0" wp14:anchorId="26368D4A" wp14:editId="2025A812">
            <wp:extent cx="8272800" cy="2379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72800" cy="2379600"/>
                    </a:xfrm>
                    <a:prstGeom prst="rect">
                      <a:avLst/>
                    </a:prstGeom>
                    <a:noFill/>
                    <a:ln>
                      <a:noFill/>
                    </a:ln>
                  </pic:spPr>
                </pic:pic>
              </a:graphicData>
            </a:graphic>
          </wp:inline>
        </w:drawing>
      </w:r>
    </w:p>
    <w:p w14:paraId="0CC122E0" w14:textId="0C0ECACB" w:rsidR="00D4116C" w:rsidRPr="00585857" w:rsidRDefault="007A5EE9" w:rsidP="00771E19">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3940B9" w14:paraId="63CCA946"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2DFEB33" w14:textId="7917CB32" w:rsidR="00D4116C" w:rsidRPr="003940B9" w:rsidRDefault="000A293D" w:rsidP="00771E19">
            <w:pPr>
              <w:pStyle w:val="Tablehead"/>
              <w:rPr>
                <w:b/>
                <w:bCs w:val="0"/>
                <w:i/>
                <w:iCs/>
                <w:lang w:val="es-ES_tradnl"/>
              </w:rPr>
            </w:pPr>
            <w:r w:rsidRPr="003940B9">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734EEA07" w14:textId="4D425587" w:rsidR="00D4116C" w:rsidRPr="003940B9" w:rsidRDefault="000A293D" w:rsidP="00771E1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3574FAF7" w14:textId="40D1FD9E" w:rsidR="00D4116C" w:rsidRPr="003940B9" w:rsidRDefault="000A293D" w:rsidP="00771E1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bCs w:val="0"/>
                <w:i/>
                <w:iCs/>
                <w:lang w:val="es-ES_tradnl"/>
              </w:rPr>
              <w:t>Riesgo</w:t>
            </w:r>
          </w:p>
        </w:tc>
      </w:tr>
      <w:tr w:rsidR="00D4116C" w:rsidRPr="00585857" w14:paraId="6581C08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2AA2686C" w14:textId="77777777" w:rsidR="00D4116C" w:rsidRPr="00585857" w:rsidRDefault="00D4116C" w:rsidP="00771E19">
            <w:pPr>
              <w:pStyle w:val="Tabletext"/>
              <w:rPr>
                <w:lang w:val="es-ES_tradnl"/>
              </w:rPr>
            </w:pP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338CB7E6" w14:textId="77777777" w:rsidR="00D4116C" w:rsidRPr="00585857" w:rsidRDefault="00D4116C" w:rsidP="00771E1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3877C307" w14:textId="77777777" w:rsidR="00D4116C" w:rsidRPr="00585857" w:rsidRDefault="00D4116C" w:rsidP="00771E1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585857" w14:paraId="2CAFAD4E"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67F5A707" w14:textId="77777777" w:rsidR="00D4116C" w:rsidRPr="00585857" w:rsidRDefault="00D4116C" w:rsidP="00771E19">
            <w:pPr>
              <w:pStyle w:val="Tabletext"/>
              <w:rPr>
                <w:lang w:val="es-ES_tradnl"/>
              </w:rPr>
            </w:pP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5615AF34" w14:textId="77777777" w:rsidR="00D4116C" w:rsidRPr="00585857" w:rsidRDefault="00D4116C" w:rsidP="00771E1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18EF3ACE" w14:textId="77777777" w:rsidR="00D4116C" w:rsidRPr="00585857" w:rsidRDefault="00D4116C" w:rsidP="00771E1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70BD4290" w14:textId="0AD24BE1" w:rsidR="00D4116C" w:rsidRPr="00585857" w:rsidRDefault="007A5EE9" w:rsidP="00771E19">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D4116C" w:rsidRPr="003940B9" w14:paraId="76805279"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26F12FD8" w14:textId="085C24DA" w:rsidR="00D4116C" w:rsidRPr="003940B9" w:rsidRDefault="00771E19" w:rsidP="00771E19">
            <w:pPr>
              <w:pStyle w:val="Tablehead"/>
              <w:rPr>
                <w:b/>
                <w:bCs w:val="0"/>
                <w:i/>
                <w:iCs/>
                <w:lang w:val="es-ES_tradnl"/>
              </w:rPr>
            </w:pPr>
            <w:r w:rsidRPr="003940B9">
              <w:rPr>
                <w:b/>
                <w:bCs w:val="0"/>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0DC52699" w14:textId="03854C06" w:rsidR="00D4116C" w:rsidRPr="003940B9" w:rsidRDefault="00771E19" w:rsidP="00771E1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5F6666BD" w14:textId="42A79C48" w:rsidR="00D4116C" w:rsidRPr="003940B9" w:rsidRDefault="008A066E" w:rsidP="00771E1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bCs w:val="0"/>
                <w:i/>
                <w:iCs/>
                <w:lang w:val="es-ES_tradnl"/>
              </w:rPr>
              <w:t>Indicadores de riesgo</w:t>
            </w:r>
          </w:p>
        </w:tc>
      </w:tr>
      <w:tr w:rsidR="00D4116C" w:rsidRPr="008F43A8" w14:paraId="39929EE9"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33E8E8CA" w14:textId="49BD7424" w:rsidR="00D4116C" w:rsidRPr="00585857" w:rsidRDefault="00534463" w:rsidP="00534463">
            <w:pPr>
              <w:pStyle w:val="Tabletext"/>
              <w:rPr>
                <w:b w:val="0"/>
                <w:bCs w:val="0"/>
                <w:lang w:val="es-ES_tradnl"/>
              </w:rPr>
            </w:pPr>
            <w:r w:rsidRPr="00585857">
              <w:rPr>
                <w:b w:val="0"/>
                <w:bCs w:val="0"/>
                <w:lang w:val="es-ES_tradnl"/>
              </w:rPr>
              <w:t>Aumento del número de países que tienen redes de satélite y estaciones terrenas inscritas en el Registro Internacional de Frecuencias (MIFR).</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2EC82E57" w14:textId="77777777" w:rsidR="00534463"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tienen redes de satélite inscritas en el MIFR.</w:t>
            </w:r>
          </w:p>
          <w:p w14:paraId="2B4C60BA" w14:textId="50A67DB8" w:rsidR="00D4116C"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tienen estaciones terrenas inscritas en el MIFR.</w:t>
            </w:r>
          </w:p>
        </w:tc>
        <w:tc>
          <w:tcPr>
            <w:tcW w:w="4650" w:type="dxa"/>
            <w:tcBorders>
              <w:top w:val="single" w:sz="8" w:space="0" w:color="4F81BD" w:themeColor="accent1"/>
              <w:left w:val="dotted" w:sz="4" w:space="0" w:color="4F81BD" w:themeColor="accent1"/>
              <w:bottom w:val="nil"/>
              <w:right w:val="nil"/>
            </w:tcBorders>
          </w:tcPr>
          <w:p w14:paraId="06745FFA" w14:textId="68D8845F" w:rsidR="00D4116C" w:rsidRPr="00585857" w:rsidRDefault="008A066E"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60" w:name="lt_pId316"/>
            <w:r>
              <w:rPr>
                <w:lang w:val="es-ES_tradnl"/>
              </w:rPr>
              <w:t>Pérdida total o parcial de la integridad de los datos en las bases de datos o Planes del UIT-R, y de operaciones en la tramitación de notificaciones, resultando en retrasos.</w:t>
            </w:r>
            <w:bookmarkEnd w:id="160"/>
          </w:p>
        </w:tc>
      </w:tr>
      <w:tr w:rsidR="00D4116C" w:rsidRPr="008F43A8" w14:paraId="2A60066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8E7271D" w14:textId="7EB473CF" w:rsidR="00D4116C" w:rsidRPr="00585857" w:rsidRDefault="00534463" w:rsidP="00534463">
            <w:pPr>
              <w:pStyle w:val="Tabletext"/>
              <w:rPr>
                <w:b w:val="0"/>
                <w:bCs w:val="0"/>
                <w:lang w:val="es-ES_tradnl"/>
              </w:rPr>
            </w:pPr>
            <w:r w:rsidRPr="00585857">
              <w:rPr>
                <w:b w:val="0"/>
                <w:bCs w:val="0"/>
                <w:lang w:val="es-ES_tradnl"/>
              </w:rPr>
              <w:t>Aumento del número de países que tienen asignaciones de frecuencias terrenales inscritas en el MIFR.</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2299491B" w14:textId="77777777" w:rsidR="00534463"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tienen asignaciones de frecuencias terrenales inscritas en el MIFR.</w:t>
            </w:r>
          </w:p>
          <w:p w14:paraId="79D5D726" w14:textId="1C339F91" w:rsidR="00D4116C"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países que inscribieron asignaciones de frecuencias terrenales en el MIFR en los </w:t>
            </w:r>
            <w:r w:rsidR="00665B16">
              <w:rPr>
                <w:lang w:val="es-ES_tradnl"/>
              </w:rPr>
              <w:t>cuatro</w:t>
            </w:r>
            <w:r w:rsidR="00DF29B8">
              <w:rPr>
                <w:lang w:val="es-ES_tradnl"/>
              </w:rPr>
              <w:t> </w:t>
            </w:r>
            <w:r w:rsidRPr="00585857">
              <w:rPr>
                <w:lang w:val="es-ES_tradnl"/>
              </w:rPr>
              <w:t>últimos años.</w:t>
            </w:r>
          </w:p>
        </w:tc>
        <w:tc>
          <w:tcPr>
            <w:tcW w:w="4650" w:type="dxa"/>
            <w:tcBorders>
              <w:top w:val="nil"/>
              <w:left w:val="dotted" w:sz="4" w:space="0" w:color="4F81BD" w:themeColor="accent1"/>
              <w:bottom w:val="nil"/>
              <w:right w:val="nil"/>
            </w:tcBorders>
          </w:tcPr>
          <w:p w14:paraId="1BABD6E6" w14:textId="01937E2A" w:rsidR="00D4116C" w:rsidRPr="00585857" w:rsidRDefault="00C24D36"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61" w:name="lt_pId320"/>
            <w:r w:rsidRPr="00585857">
              <w:rPr>
                <w:lang w:val="es-ES_tradnl"/>
              </w:rPr>
              <w:t>Aparición de una interferencia perjudicial</w:t>
            </w:r>
            <w:r w:rsidR="00D4116C" w:rsidRPr="00585857">
              <w:rPr>
                <w:lang w:val="es-ES_tradnl"/>
              </w:rPr>
              <w:t>.</w:t>
            </w:r>
            <w:bookmarkEnd w:id="161"/>
          </w:p>
        </w:tc>
      </w:tr>
      <w:tr w:rsidR="00D4116C" w:rsidRPr="00585857" w14:paraId="25758693"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0E276E2" w14:textId="263C4750" w:rsidR="00D4116C" w:rsidRPr="00585857" w:rsidRDefault="00534463" w:rsidP="00534463">
            <w:pPr>
              <w:pStyle w:val="Tabletext"/>
              <w:rPr>
                <w:b w:val="0"/>
                <w:bCs w:val="0"/>
                <w:lang w:val="es-ES_tradnl"/>
              </w:rPr>
            </w:pPr>
            <w:r w:rsidRPr="00585857">
              <w:rPr>
                <w:b w:val="0"/>
                <w:bCs w:val="0"/>
                <w:lang w:val="es-ES_tradnl"/>
              </w:rPr>
              <w:t>Mayor porcentaje de asignaciones inscritas en el</w:t>
            </w:r>
            <w:r w:rsidR="007126C1">
              <w:rPr>
                <w:b w:val="0"/>
                <w:bCs w:val="0"/>
                <w:lang w:val="es-ES_tradnl"/>
              </w:rPr>
              <w:t> </w:t>
            </w:r>
            <w:r w:rsidR="007126C1" w:rsidRPr="007126C1">
              <w:rPr>
                <w:b w:val="0"/>
                <w:bCs w:val="0"/>
                <w:lang w:val="es-ES_tradnl"/>
              </w:rPr>
              <w:t>MIFR</w:t>
            </w:r>
            <w:r w:rsidRPr="00585857">
              <w:rPr>
                <w:b w:val="0"/>
                <w:bCs w:val="0"/>
                <w:lang w:val="es-ES_tradnl"/>
              </w:rPr>
              <w:t xml:space="preserve"> con conclusión favorable.</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6F3F35F8" w14:textId="77777777" w:rsidR="00534463"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Sujetas a coordinación (Terrenal).</w:t>
            </w:r>
          </w:p>
          <w:p w14:paraId="67066DD7" w14:textId="77777777" w:rsidR="00534463"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Sujetas a un Plan (Terrenal).</w:t>
            </w:r>
          </w:p>
          <w:p w14:paraId="5AAD8EE0" w14:textId="7CB0CFF5" w:rsidR="00D4116C"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Otras.</w:t>
            </w:r>
          </w:p>
        </w:tc>
        <w:tc>
          <w:tcPr>
            <w:tcW w:w="4650" w:type="dxa"/>
            <w:tcBorders>
              <w:top w:val="nil"/>
              <w:left w:val="dotted" w:sz="4" w:space="0" w:color="4F81BD" w:themeColor="accent1"/>
              <w:bottom w:val="nil"/>
              <w:right w:val="nil"/>
            </w:tcBorders>
          </w:tcPr>
          <w:p w14:paraId="4F4F04BC" w14:textId="77777777" w:rsidR="00D4116C" w:rsidRPr="00585857" w:rsidRDefault="00D4116C"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638CC186"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8B88CEC" w14:textId="6ABCA38A" w:rsidR="00D4116C" w:rsidRPr="00585857" w:rsidRDefault="00534463" w:rsidP="00534463">
            <w:pPr>
              <w:pStyle w:val="Tabletext"/>
              <w:rPr>
                <w:b w:val="0"/>
                <w:bCs w:val="0"/>
                <w:lang w:val="es-ES_tradnl"/>
              </w:rPr>
            </w:pPr>
            <w:r w:rsidRPr="00585857">
              <w:rPr>
                <w:b w:val="0"/>
                <w:bCs w:val="0"/>
                <w:lang w:val="es-ES_tradnl"/>
              </w:rPr>
              <w:t>Mayor porcentaje de países que han completado la transición a la radiodifusión de televisión terrenal digital.</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4B02F334" w14:textId="1509AE5E" w:rsidR="00D4116C"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países que han completado la transición a la radiodifusión de televisión terrenal digital.</w:t>
            </w:r>
          </w:p>
        </w:tc>
        <w:tc>
          <w:tcPr>
            <w:tcW w:w="4650" w:type="dxa"/>
            <w:tcBorders>
              <w:top w:val="nil"/>
              <w:left w:val="dotted" w:sz="4" w:space="0" w:color="4F81BD" w:themeColor="accent1"/>
              <w:bottom w:val="nil"/>
              <w:right w:val="nil"/>
            </w:tcBorders>
          </w:tcPr>
          <w:p w14:paraId="4B38F7F1" w14:textId="77777777" w:rsidR="00D4116C" w:rsidRPr="00585857" w:rsidRDefault="00D4116C"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1B621F0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9E91DE1" w14:textId="6F4CF758" w:rsidR="00D4116C" w:rsidRPr="00585857" w:rsidRDefault="00534463" w:rsidP="00534463">
            <w:pPr>
              <w:pStyle w:val="Tabletext"/>
              <w:rPr>
                <w:b w:val="0"/>
                <w:bCs w:val="0"/>
                <w:lang w:val="es-ES_tradnl"/>
              </w:rPr>
            </w:pPr>
            <w:r w:rsidRPr="00585857">
              <w:rPr>
                <w:b w:val="0"/>
                <w:bCs w:val="0"/>
                <w:lang w:val="es-ES_tradnl"/>
              </w:rPr>
              <w:t>Mayor porcentaje de espectro exento de interferencia perjudicial asignado a redes de satélite.</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6F2BFF4D" w14:textId="059EBF8E" w:rsidR="00D4116C"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espectro asignado a redes de satélites que está libre de interferencia perjudicial.</w:t>
            </w:r>
          </w:p>
        </w:tc>
        <w:tc>
          <w:tcPr>
            <w:tcW w:w="4650" w:type="dxa"/>
            <w:tcBorders>
              <w:top w:val="nil"/>
              <w:left w:val="dotted" w:sz="4" w:space="0" w:color="4F81BD" w:themeColor="accent1"/>
              <w:bottom w:val="nil"/>
              <w:right w:val="nil"/>
            </w:tcBorders>
          </w:tcPr>
          <w:p w14:paraId="05EE2084" w14:textId="77777777" w:rsidR="00D4116C" w:rsidRPr="00585857" w:rsidRDefault="00D4116C"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275E573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E4D166D" w14:textId="14E41725" w:rsidR="00D4116C" w:rsidRPr="00585857" w:rsidRDefault="00534463" w:rsidP="00534463">
            <w:pPr>
              <w:pStyle w:val="Tabletext"/>
              <w:rPr>
                <w:b w:val="0"/>
                <w:bCs w:val="0"/>
                <w:lang w:val="es-ES_tradnl"/>
              </w:rPr>
            </w:pPr>
            <w:r w:rsidRPr="00585857">
              <w:rPr>
                <w:b w:val="0"/>
                <w:bCs w:val="0"/>
                <w:lang w:val="es-ES_tradnl"/>
              </w:rPr>
              <w:t>Mayor porcentaje de asignaciones exentas de interferencias perjudiciales a servicios terrenales inscritas en el Registro.</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0E6226FF" w14:textId="0AA0D404" w:rsidR="00D4116C" w:rsidRPr="00585857" w:rsidRDefault="00534463"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asignaciones a los servicios terrenales inscritas en el Registro que están libres de interferencia perjudicial (sobre la base del número de casos presentados a la UIT).</w:t>
            </w:r>
          </w:p>
        </w:tc>
        <w:tc>
          <w:tcPr>
            <w:tcW w:w="4650" w:type="dxa"/>
            <w:tcBorders>
              <w:top w:val="nil"/>
              <w:left w:val="dotted" w:sz="4" w:space="0" w:color="4F81BD" w:themeColor="accent1"/>
              <w:bottom w:val="single" w:sz="4" w:space="0" w:color="B8CCE4" w:themeColor="accent1" w:themeTint="66"/>
              <w:right w:val="nil"/>
            </w:tcBorders>
          </w:tcPr>
          <w:p w14:paraId="667EBE7B" w14:textId="77777777" w:rsidR="00D4116C" w:rsidRPr="00585857" w:rsidRDefault="00D4116C" w:rsidP="00534463">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7CDAA53F" w14:textId="77777777" w:rsidR="00D4116C" w:rsidRPr="00585857" w:rsidRDefault="00D4116C" w:rsidP="00534463">
      <w:pPr>
        <w:rPr>
          <w:lang w:val="es-ES_tradnl"/>
        </w:rPr>
      </w:pPr>
      <w:r w:rsidRPr="00585857">
        <w:rPr>
          <w:lang w:val="es-ES_tradnl"/>
        </w:rPr>
        <w:br w:type="page"/>
      </w:r>
    </w:p>
    <w:p w14:paraId="6B02537A" w14:textId="4A52BC12" w:rsidR="00D4116C" w:rsidRPr="00585857" w:rsidRDefault="00D4116C" w:rsidP="00F04E0C">
      <w:pPr>
        <w:pStyle w:val="Heading3"/>
        <w:rPr>
          <w:lang w:val="es-ES_tradnl"/>
        </w:rPr>
      </w:pPr>
      <w:bookmarkStart w:id="162" w:name="lt_pId331"/>
      <w:bookmarkStart w:id="163" w:name="_Toc33632255"/>
      <w:r w:rsidRPr="00585857">
        <w:rPr>
          <w:lang w:val="es-ES_tradnl"/>
        </w:rPr>
        <w:lastRenderedPageBreak/>
        <w:t xml:space="preserve">II.2.2 </w:t>
      </w:r>
      <w:r w:rsidR="00484FC9" w:rsidRPr="00585857">
        <w:rPr>
          <w:lang w:val="es-ES_tradnl"/>
        </w:rPr>
        <w:t>–</w:t>
      </w:r>
      <w:r w:rsidRPr="00585857">
        <w:rPr>
          <w:lang w:val="es-ES_tradnl"/>
        </w:rPr>
        <w:t xml:space="preserve"> R.2 </w:t>
      </w:r>
      <w:bookmarkEnd w:id="162"/>
      <w:r w:rsidR="00484FC9" w:rsidRPr="00585857">
        <w:rPr>
          <w:lang w:val="es-ES_tradnl"/>
        </w:rPr>
        <w:t>Normas de radiocomunicaciones</w:t>
      </w:r>
      <w:bookmarkEnd w:id="163"/>
    </w:p>
    <w:p w14:paraId="5349573F" w14:textId="01A34A5F" w:rsidR="00D4116C" w:rsidRPr="00585857" w:rsidRDefault="00484FC9" w:rsidP="00484FC9">
      <w:pPr>
        <w:pStyle w:val="Headingb"/>
        <w:rPr>
          <w:i/>
          <w:iCs/>
          <w:lang w:val="es-ES_tradnl"/>
        </w:rPr>
      </w:pPr>
      <w:r w:rsidRPr="00585857">
        <w:rPr>
          <w:i/>
          <w:iCs/>
          <w:lang w:val="es-ES_tradnl"/>
        </w:rPr>
        <w:t>Descripción del objetivo</w:t>
      </w:r>
    </w:p>
    <w:p w14:paraId="33B1E662" w14:textId="5B4694F5" w:rsidR="00D4116C" w:rsidRPr="00585857" w:rsidRDefault="00484FC9" w:rsidP="00484FC9">
      <w:pPr>
        <w:rPr>
          <w:lang w:val="es-ES_tradnl"/>
        </w:rPr>
      </w:pPr>
      <w:r w:rsidRPr="00585857">
        <w:rPr>
          <w:lang w:val="es-ES_tradnl"/>
        </w:rPr>
        <w:t>Asegurar una conectividad e interoperabilidad mundiales, una mejora del funcionamiento, calidad, asequibilidad y puntualidad de los servicios y de la economía global del sistema en las radiocomunicaciones, incluido mediante la elaboración de normas internacionales.</w:t>
      </w:r>
    </w:p>
    <w:p w14:paraId="0EA301BF" w14:textId="3655D37A" w:rsidR="00D4116C" w:rsidRPr="00585857" w:rsidRDefault="00484FC9" w:rsidP="00484FC9">
      <w:pPr>
        <w:rPr>
          <w:lang w:val="es-ES_tradnl"/>
        </w:rPr>
      </w:pPr>
      <w:bookmarkStart w:id="164" w:name="lt_pId334"/>
      <w:r w:rsidRPr="00585857">
        <w:rPr>
          <w:lang w:val="es-ES_tradnl"/>
        </w:rPr>
        <w:t xml:space="preserve">El Objetivo R.2 utiliza el </w:t>
      </w:r>
      <w:r w:rsidR="00D4116C" w:rsidRPr="00585857">
        <w:rPr>
          <w:lang w:val="es-ES_tradnl"/>
        </w:rPr>
        <w:t>19</w:t>
      </w:r>
      <w:r w:rsidRPr="00585857">
        <w:rPr>
          <w:lang w:val="es-ES_tradnl"/>
        </w:rPr>
        <w:t>,</w:t>
      </w:r>
      <w:r w:rsidR="00D4116C" w:rsidRPr="00585857">
        <w:rPr>
          <w:lang w:val="es-ES_tradnl"/>
        </w:rPr>
        <w:t xml:space="preserve">36 </w:t>
      </w:r>
      <w:r w:rsidRPr="00585857">
        <w:rPr>
          <w:lang w:val="es-ES_tradnl"/>
        </w:rPr>
        <w:t xml:space="preserve">por ciento de los recursos previstos para los objetivos del UIT-R, un </w:t>
      </w:r>
      <w:r w:rsidR="00D4116C" w:rsidRPr="00585857">
        <w:rPr>
          <w:lang w:val="es-ES_tradnl"/>
        </w:rPr>
        <w:t>7</w:t>
      </w:r>
      <w:r w:rsidRPr="00585857">
        <w:rPr>
          <w:lang w:val="es-ES_tradnl"/>
        </w:rPr>
        <w:t>,</w:t>
      </w:r>
      <w:r w:rsidR="00D4116C" w:rsidRPr="00585857">
        <w:rPr>
          <w:lang w:val="es-ES_tradnl"/>
        </w:rPr>
        <w:t>34 </w:t>
      </w:r>
      <w:r w:rsidRPr="00585857">
        <w:rPr>
          <w:lang w:val="es-ES_tradnl"/>
        </w:rPr>
        <w:t>por ciento de los recursos previstos de la</w:t>
      </w:r>
      <w:r w:rsidR="00646B63">
        <w:rPr>
          <w:lang w:val="es-ES_tradnl"/>
        </w:rPr>
        <w:t> </w:t>
      </w:r>
      <w:r w:rsidRPr="00585857">
        <w:rPr>
          <w:lang w:val="es-ES_tradnl"/>
        </w:rPr>
        <w:t xml:space="preserve">UIT para </w:t>
      </w:r>
      <w:r w:rsidR="00D4116C" w:rsidRPr="00585857">
        <w:rPr>
          <w:lang w:val="es-ES_tradnl"/>
        </w:rPr>
        <w:t>2021-2024</w:t>
      </w:r>
      <w:bookmarkEnd w:id="164"/>
    </w:p>
    <w:p w14:paraId="335CDD32" w14:textId="5FAD8132" w:rsidR="00D4116C" w:rsidRDefault="007A5EE9" w:rsidP="00484FC9">
      <w:pPr>
        <w:pStyle w:val="Headingb"/>
        <w:rPr>
          <w:i/>
          <w:iCs/>
          <w:lang w:val="es-ES_tradnl"/>
        </w:rPr>
      </w:pPr>
      <w:r>
        <w:rPr>
          <w:i/>
          <w:iCs/>
          <w:lang w:val="es-ES_tradnl"/>
        </w:rPr>
        <w:t>Resumen de la atribución de costes</w:t>
      </w:r>
    </w:p>
    <w:p w14:paraId="1E424005" w14:textId="29880AD7" w:rsidR="003940B9" w:rsidRPr="003940B9" w:rsidRDefault="003940B9" w:rsidP="003940B9">
      <w:pPr>
        <w:jc w:val="center"/>
        <w:rPr>
          <w:lang w:val="es-ES_tradnl"/>
        </w:rPr>
      </w:pPr>
      <w:r w:rsidRPr="003940B9">
        <w:rPr>
          <w:noProof/>
        </w:rPr>
        <w:drawing>
          <wp:inline distT="0" distB="0" distL="0" distR="0" wp14:anchorId="1F388841" wp14:editId="2782738D">
            <wp:extent cx="8272800" cy="2480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72800" cy="2480400"/>
                    </a:xfrm>
                    <a:prstGeom prst="rect">
                      <a:avLst/>
                    </a:prstGeom>
                    <a:noFill/>
                    <a:ln>
                      <a:noFill/>
                    </a:ln>
                  </pic:spPr>
                </pic:pic>
              </a:graphicData>
            </a:graphic>
          </wp:inline>
        </w:drawing>
      </w:r>
    </w:p>
    <w:p w14:paraId="3A65CE20" w14:textId="7AEFA42B" w:rsidR="00D4116C" w:rsidRPr="00585857" w:rsidRDefault="007A5EE9" w:rsidP="00484FC9">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3940B9" w14:paraId="5279C74F"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430D6148" w14:textId="4015322A" w:rsidR="00D4116C" w:rsidRPr="003940B9" w:rsidRDefault="008A066E" w:rsidP="00484FC9">
            <w:pPr>
              <w:pStyle w:val="Tablehead"/>
              <w:rPr>
                <w:b/>
                <w:bCs w:val="0"/>
                <w:i/>
                <w:iCs/>
                <w:lang w:val="es-ES_tradnl"/>
              </w:rPr>
            </w:pPr>
            <w:r w:rsidRPr="003940B9">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7359F213" w14:textId="6BA707FB" w:rsidR="00D4116C" w:rsidRPr="003940B9" w:rsidRDefault="008A066E" w:rsidP="00484FC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5CA8CAD2" w14:textId="625D2156" w:rsidR="00D4116C" w:rsidRPr="003940B9" w:rsidRDefault="008A066E" w:rsidP="00484FC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bCs w:val="0"/>
                <w:i/>
                <w:iCs/>
                <w:lang w:val="es-ES_tradnl"/>
              </w:rPr>
              <w:t>Riesgo</w:t>
            </w:r>
            <w:r w:rsidR="00D4116C" w:rsidRPr="003940B9">
              <w:rPr>
                <w:b/>
                <w:bCs w:val="0"/>
                <w:i/>
                <w:iCs/>
                <w:lang w:val="es-ES_tradnl"/>
              </w:rPr>
              <w:t xml:space="preserve"> </w:t>
            </w:r>
          </w:p>
        </w:tc>
      </w:tr>
      <w:tr w:rsidR="00D4116C" w:rsidRPr="00585857" w14:paraId="11F59703"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56CABC27" w14:textId="77777777" w:rsidR="00D4116C" w:rsidRPr="00585857" w:rsidRDefault="00D4116C" w:rsidP="00484FC9">
            <w:pPr>
              <w:pStyle w:val="Tabletext"/>
              <w:rPr>
                <w:b w:val="0"/>
                <w:bCs w:val="0"/>
                <w:lang w:val="es-ES_tradnl"/>
              </w:rPr>
            </w:pP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3AA1031A" w14:textId="77777777" w:rsidR="00D4116C" w:rsidRPr="00585857" w:rsidRDefault="00D4116C" w:rsidP="00484FC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4E00DB9B" w14:textId="77777777" w:rsidR="00D4116C" w:rsidRPr="00585857" w:rsidRDefault="00D4116C" w:rsidP="00484FC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585857" w14:paraId="058811DF"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1765A7F" w14:textId="77777777" w:rsidR="00D4116C" w:rsidRPr="00585857" w:rsidRDefault="00D4116C" w:rsidP="00484FC9">
            <w:pPr>
              <w:pStyle w:val="Tabletext"/>
              <w:rPr>
                <w:b w:val="0"/>
                <w:bCs w:val="0"/>
                <w:lang w:val="es-ES_tradnl"/>
              </w:rPr>
            </w:pP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747A8117" w14:textId="77777777" w:rsidR="00D4116C" w:rsidRPr="00585857" w:rsidRDefault="00D4116C" w:rsidP="00484FC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1AB75016" w14:textId="77777777" w:rsidR="00D4116C" w:rsidRPr="00585857" w:rsidRDefault="00D4116C" w:rsidP="00484FC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4C698698" w14:textId="25B75F56" w:rsidR="00D4116C" w:rsidRPr="00585857" w:rsidRDefault="007A5EE9" w:rsidP="00484FC9">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5808"/>
        <w:gridCol w:w="3491"/>
      </w:tblGrid>
      <w:tr w:rsidR="00D4116C" w:rsidRPr="003940B9" w14:paraId="10A51B60" w14:textId="77777777" w:rsidTr="0020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4E9E0FE8" w14:textId="0626A64A" w:rsidR="00D4116C" w:rsidRPr="003940B9" w:rsidRDefault="00484FC9" w:rsidP="00484FC9">
            <w:pPr>
              <w:pStyle w:val="Tablehead"/>
              <w:rPr>
                <w:b/>
                <w:i/>
                <w:iCs/>
                <w:lang w:val="es-ES_tradnl"/>
              </w:rPr>
            </w:pPr>
            <w:r w:rsidRPr="003940B9">
              <w:rPr>
                <w:b/>
                <w:i/>
                <w:iCs/>
                <w:lang w:val="es-ES_tradnl"/>
              </w:rPr>
              <w:t>Resultados</w:t>
            </w:r>
          </w:p>
        </w:tc>
        <w:tc>
          <w:tcPr>
            <w:tcW w:w="5808" w:type="dxa"/>
            <w:tcBorders>
              <w:top w:val="nil"/>
              <w:left w:val="dotted" w:sz="4" w:space="0" w:color="B8CCE4" w:themeColor="accent1" w:themeTint="66"/>
              <w:bottom w:val="single" w:sz="8" w:space="0" w:color="4F81BD" w:themeColor="accent1"/>
              <w:right w:val="dotted" w:sz="4" w:space="0" w:color="B8CCE4" w:themeColor="accent1" w:themeTint="66"/>
            </w:tcBorders>
          </w:tcPr>
          <w:p w14:paraId="20D517DE" w14:textId="3582D761" w:rsidR="00D4116C" w:rsidRPr="003940B9" w:rsidRDefault="00484FC9" w:rsidP="00484FC9">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3940B9">
              <w:rPr>
                <w:b/>
                <w:i/>
                <w:iCs/>
                <w:lang w:val="es-ES_tradnl"/>
              </w:rPr>
              <w:t>Indicador de resultados</w:t>
            </w:r>
          </w:p>
        </w:tc>
        <w:tc>
          <w:tcPr>
            <w:tcW w:w="3491" w:type="dxa"/>
            <w:tcBorders>
              <w:top w:val="nil"/>
              <w:left w:val="dotted" w:sz="4" w:space="0" w:color="B8CCE4" w:themeColor="accent1" w:themeTint="66"/>
              <w:bottom w:val="single" w:sz="8" w:space="0" w:color="4F81BD" w:themeColor="accent1"/>
              <w:right w:val="nil"/>
            </w:tcBorders>
          </w:tcPr>
          <w:p w14:paraId="2A01584C" w14:textId="6AE9549B" w:rsidR="00D4116C" w:rsidRPr="003940B9" w:rsidRDefault="008A066E" w:rsidP="00484FC9">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3940B9">
              <w:rPr>
                <w:b/>
                <w:i/>
                <w:iCs/>
                <w:lang w:val="es-ES_tradnl"/>
              </w:rPr>
              <w:t>Indicadores de riesgo</w:t>
            </w:r>
          </w:p>
        </w:tc>
      </w:tr>
      <w:tr w:rsidR="00D4116C" w:rsidRPr="008F43A8" w14:paraId="35B5F107"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2917FB75" w14:textId="123FAE29" w:rsidR="00D4116C" w:rsidRPr="00585857" w:rsidRDefault="00484FC9" w:rsidP="003226C8">
            <w:pPr>
              <w:pStyle w:val="Tabletext"/>
              <w:rPr>
                <w:b w:val="0"/>
                <w:bCs w:val="0"/>
                <w:lang w:val="es-ES_tradnl"/>
              </w:rPr>
            </w:pPr>
            <w:r w:rsidRPr="00585857">
              <w:rPr>
                <w:b w:val="0"/>
                <w:bCs w:val="0"/>
                <w:lang w:val="es-ES_tradnl"/>
              </w:rPr>
              <w:t>Mayor acceso y utilización de la banda ancha móvil, incluso en bandas de frecuencias identificadas para las telecomunicaciones móviles internacionales (IMT).</w:t>
            </w:r>
          </w:p>
        </w:tc>
        <w:tc>
          <w:tcPr>
            <w:tcW w:w="5808"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537811B2"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abonos/abonados (miles de millones).</w:t>
            </w:r>
          </w:p>
          <w:p w14:paraId="31351849" w14:textId="404BBD18"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abonos a la banda ancha móvil.</w:t>
            </w:r>
          </w:p>
        </w:tc>
        <w:tc>
          <w:tcPr>
            <w:tcW w:w="3491" w:type="dxa"/>
            <w:tcBorders>
              <w:top w:val="single" w:sz="8" w:space="0" w:color="4F81BD" w:themeColor="accent1"/>
              <w:left w:val="dotted" w:sz="4" w:space="0" w:color="4F81BD" w:themeColor="accent1"/>
              <w:bottom w:val="nil"/>
              <w:right w:val="nil"/>
            </w:tcBorders>
          </w:tcPr>
          <w:p w14:paraId="5CF1722C" w14:textId="551338F6" w:rsidR="00D4116C" w:rsidRPr="00585857" w:rsidRDefault="0049509A"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Dificultad creciente para implicar a las audiencias (nuevos actores, múltiples organizaciones que compiten por su atención)</w:t>
            </w:r>
            <w:r w:rsidR="00CE59B0">
              <w:rPr>
                <w:lang w:val="es-ES_tradnl"/>
              </w:rPr>
              <w:t>.</w:t>
            </w:r>
          </w:p>
        </w:tc>
      </w:tr>
      <w:tr w:rsidR="00D4116C" w:rsidRPr="008F43A8" w14:paraId="15C05B91"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FEC7ABA" w14:textId="0109462C" w:rsidR="00D4116C" w:rsidRPr="00585857" w:rsidRDefault="00484FC9" w:rsidP="003226C8">
            <w:pPr>
              <w:pStyle w:val="Tabletext"/>
              <w:rPr>
                <w:b w:val="0"/>
                <w:bCs w:val="0"/>
                <w:lang w:val="es-ES_tradnl"/>
              </w:rPr>
            </w:pPr>
            <w:r w:rsidRPr="00585857">
              <w:rPr>
                <w:b w:val="0"/>
                <w:bCs w:val="0"/>
                <w:lang w:val="es-ES_tradnl"/>
              </w:rPr>
              <w:t>Disminución de la cesta de precios de la banda ancha móvil como porcentaje de la Renta Nacional Bruta (RNB) por habitante.</w:t>
            </w:r>
          </w:p>
        </w:tc>
        <w:tc>
          <w:tcPr>
            <w:tcW w:w="5808"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78878F7D"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Cesta de precios de la banda ancha móvil en porcentaje de la RNB por habitante (prepago, teléfono móvil, 500 MB).</w:t>
            </w:r>
          </w:p>
          <w:p w14:paraId="0398AA58"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Mundial, países desarrollados, países en desarrollo, países menos adelantados.</w:t>
            </w:r>
          </w:p>
          <w:p w14:paraId="24ECC063" w14:textId="12CBB63B"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con una cesta de precios por debajo del 5%.</w:t>
            </w:r>
          </w:p>
        </w:tc>
        <w:tc>
          <w:tcPr>
            <w:tcW w:w="3491" w:type="dxa"/>
            <w:tcBorders>
              <w:top w:val="nil"/>
              <w:left w:val="dotted" w:sz="4" w:space="0" w:color="4F81BD" w:themeColor="accent1"/>
              <w:bottom w:val="nil"/>
              <w:right w:val="nil"/>
            </w:tcBorders>
          </w:tcPr>
          <w:p w14:paraId="299D61DE" w14:textId="349BB8F4"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versatilidad, agilidad y disposición de la fuerza laboral para adaptarse a la evolución de las necesidades</w:t>
            </w:r>
            <w:r w:rsidR="00CE59B0">
              <w:rPr>
                <w:lang w:val="es-ES_tradnl"/>
              </w:rPr>
              <w:t>.</w:t>
            </w:r>
          </w:p>
        </w:tc>
      </w:tr>
      <w:tr w:rsidR="00D4116C" w:rsidRPr="008F43A8" w14:paraId="33EF221E"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F857BF5" w14:textId="45228446" w:rsidR="00D4116C" w:rsidRPr="00585857" w:rsidRDefault="003226C8" w:rsidP="003226C8">
            <w:pPr>
              <w:pStyle w:val="Tabletext"/>
              <w:rPr>
                <w:b w:val="0"/>
                <w:bCs w:val="0"/>
                <w:lang w:val="es-ES_tradnl"/>
              </w:rPr>
            </w:pPr>
            <w:r w:rsidRPr="00585857">
              <w:rPr>
                <w:b w:val="0"/>
                <w:bCs w:val="0"/>
                <w:lang w:val="es-ES_tradnl"/>
              </w:rPr>
              <w:t>Mayor número de enlaces fijos y aumento del tráfico cursado por el servicio fijo (Tbit/s).</w:t>
            </w:r>
          </w:p>
        </w:tc>
        <w:tc>
          <w:tcPr>
            <w:tcW w:w="5808"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0EF114EA" w14:textId="423F764F"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enlaces fijo, capacidad total (en Tbit/s).</w:t>
            </w:r>
          </w:p>
        </w:tc>
        <w:tc>
          <w:tcPr>
            <w:tcW w:w="3491" w:type="dxa"/>
            <w:tcBorders>
              <w:top w:val="nil"/>
              <w:left w:val="dotted" w:sz="4" w:space="0" w:color="4F81BD" w:themeColor="accent1"/>
              <w:bottom w:val="nil"/>
              <w:right w:val="nil"/>
            </w:tcBorders>
          </w:tcPr>
          <w:p w14:paraId="51BBFD3E" w14:textId="1CFED636" w:rsidR="00D4116C" w:rsidRPr="00585857" w:rsidRDefault="00D4116C"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3A66A358"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77FCB6A1" w14:textId="3FF2C95A" w:rsidR="00D4116C" w:rsidRPr="00585857" w:rsidRDefault="003226C8" w:rsidP="003226C8">
            <w:pPr>
              <w:pStyle w:val="Tabletext"/>
              <w:rPr>
                <w:b w:val="0"/>
                <w:bCs w:val="0"/>
                <w:lang w:val="es-ES_tradnl"/>
              </w:rPr>
            </w:pPr>
            <w:r w:rsidRPr="00585857">
              <w:rPr>
                <w:b w:val="0"/>
                <w:bCs w:val="0"/>
                <w:lang w:val="es-ES_tradnl"/>
              </w:rPr>
              <w:t>Mayor número de hogares con recepción de televisión digital terrenal.</w:t>
            </w:r>
          </w:p>
        </w:tc>
        <w:tc>
          <w:tcPr>
            <w:tcW w:w="5808"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663965A5"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hogares con TDT (millones).</w:t>
            </w:r>
          </w:p>
          <w:p w14:paraId="42FD4B26"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hogares con TAT (millones).</w:t>
            </w:r>
          </w:p>
          <w:p w14:paraId="0A38D357"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total de hogares con TDT+TAT (millones).</w:t>
            </w:r>
          </w:p>
          <w:p w14:paraId="64E4D8F7" w14:textId="41105E9D"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hogares con TDT, TAT o televisión terrenal.</w:t>
            </w:r>
          </w:p>
        </w:tc>
        <w:tc>
          <w:tcPr>
            <w:tcW w:w="3491" w:type="dxa"/>
            <w:tcBorders>
              <w:top w:val="nil"/>
              <w:left w:val="dotted" w:sz="4" w:space="0" w:color="4F81BD" w:themeColor="accent1"/>
              <w:bottom w:val="nil"/>
              <w:right w:val="nil"/>
            </w:tcBorders>
          </w:tcPr>
          <w:p w14:paraId="3A647198" w14:textId="77777777" w:rsidR="00D4116C" w:rsidRPr="00585857" w:rsidRDefault="00D4116C"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54D17DA2"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E95399E" w14:textId="159EBBAD" w:rsidR="00D4116C" w:rsidRPr="00585857" w:rsidRDefault="003226C8" w:rsidP="003226C8">
            <w:pPr>
              <w:pStyle w:val="Tabletext"/>
              <w:rPr>
                <w:b w:val="0"/>
                <w:bCs w:val="0"/>
                <w:lang w:val="es-ES_tradnl"/>
              </w:rPr>
            </w:pPr>
            <w:r w:rsidRPr="00585857">
              <w:rPr>
                <w:b w:val="0"/>
                <w:bCs w:val="0"/>
                <w:lang w:val="es-ES_tradnl"/>
              </w:rPr>
              <w:t>Mayor número de transpondedores de satélite (equivalente a 36 MHz) en funcionamiento y capacidad correspondiente (Tbit/s); número de terminales VSAR, número de hogares con recepción de televisión por satélite.</w:t>
            </w:r>
          </w:p>
        </w:tc>
        <w:tc>
          <w:tcPr>
            <w:tcW w:w="5808"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2998703B"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transpondedores de satélite (equivalente 36 MHz) en explotación.</w:t>
            </w:r>
          </w:p>
          <w:p w14:paraId="58165369"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Capacidad correspondiente (en Tbit/s).</w:t>
            </w:r>
          </w:p>
          <w:p w14:paraId="6B8AC406"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VSAT (millones).</w:t>
            </w:r>
          </w:p>
          <w:p w14:paraId="0250BD46" w14:textId="458F1510"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DTH (millones).</w:t>
            </w:r>
          </w:p>
        </w:tc>
        <w:tc>
          <w:tcPr>
            <w:tcW w:w="3491" w:type="dxa"/>
            <w:tcBorders>
              <w:top w:val="nil"/>
              <w:left w:val="dotted" w:sz="4" w:space="0" w:color="4F81BD" w:themeColor="accent1"/>
              <w:bottom w:val="nil"/>
              <w:right w:val="nil"/>
            </w:tcBorders>
          </w:tcPr>
          <w:p w14:paraId="6E79E19F" w14:textId="77777777" w:rsidR="00D4116C" w:rsidRPr="00585857" w:rsidRDefault="00D4116C"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04897D19"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3CD9DC6" w14:textId="0F49ED01" w:rsidR="00D4116C" w:rsidRPr="00585857" w:rsidRDefault="003226C8" w:rsidP="003226C8">
            <w:pPr>
              <w:pStyle w:val="Tabletext"/>
              <w:rPr>
                <w:b w:val="0"/>
                <w:bCs w:val="0"/>
                <w:lang w:val="es-ES_tradnl"/>
              </w:rPr>
            </w:pPr>
            <w:r w:rsidRPr="00585857">
              <w:rPr>
                <w:b w:val="0"/>
                <w:bCs w:val="0"/>
                <w:lang w:val="es-ES_tradnl"/>
              </w:rPr>
              <w:t>Mayor número de dispositivos con recepción de radionavegación por satélite.</w:t>
            </w:r>
          </w:p>
        </w:tc>
        <w:tc>
          <w:tcPr>
            <w:tcW w:w="5808"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5E668275" w14:textId="77777777" w:rsidR="003226C8" w:rsidRPr="00585857" w:rsidRDefault="003226C8" w:rsidP="00205CE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satélites/constelaciones del GNSS en funcionamiento.</w:t>
            </w:r>
          </w:p>
          <w:p w14:paraId="32A3308C" w14:textId="1DA7B1A0" w:rsidR="00D4116C" w:rsidRPr="00585857" w:rsidRDefault="003226C8" w:rsidP="00205CE2">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dispositivos con receptor GNSS incorporado (miles de millones).</w:t>
            </w:r>
          </w:p>
        </w:tc>
        <w:tc>
          <w:tcPr>
            <w:tcW w:w="3491" w:type="dxa"/>
            <w:tcBorders>
              <w:top w:val="nil"/>
              <w:left w:val="dotted" w:sz="4" w:space="0" w:color="4F81BD" w:themeColor="accent1"/>
              <w:bottom w:val="nil"/>
              <w:right w:val="nil"/>
            </w:tcBorders>
          </w:tcPr>
          <w:p w14:paraId="398A2A67" w14:textId="77777777" w:rsidR="00D4116C" w:rsidRPr="00585857" w:rsidRDefault="00D4116C"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715F647F" w14:textId="77777777" w:rsidTr="00205CE2">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990ED18" w14:textId="29E4B578" w:rsidR="00D4116C" w:rsidRPr="00585857" w:rsidRDefault="003226C8" w:rsidP="003226C8">
            <w:pPr>
              <w:pStyle w:val="Tabletext"/>
              <w:rPr>
                <w:b w:val="0"/>
                <w:bCs w:val="0"/>
                <w:lang w:val="es-ES_tradnl"/>
              </w:rPr>
            </w:pPr>
            <w:r w:rsidRPr="00585857">
              <w:rPr>
                <w:b w:val="0"/>
                <w:bCs w:val="0"/>
                <w:lang w:val="es-ES_tradnl"/>
              </w:rPr>
              <w:t>Mayor número de satélites de exploración de la Tierra en funcionamiento, cantidad y resolución correspondientes de las imágenes transmitidas y los volúmenes de datos descargados (Tbytes).</w:t>
            </w:r>
          </w:p>
        </w:tc>
        <w:tc>
          <w:tcPr>
            <w:tcW w:w="5808"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72724D08"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satélites de estudio de los recursos terrestres.</w:t>
            </w:r>
          </w:p>
          <w:p w14:paraId="26022E35" w14:textId="77777777" w:rsidR="003226C8"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Cantidad de imágenes transmitidas (millones).</w:t>
            </w:r>
          </w:p>
          <w:p w14:paraId="00278CD8" w14:textId="3CB37C4C" w:rsidR="00D4116C" w:rsidRPr="00585857" w:rsidRDefault="003226C8"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Tamaño de las imágenes descargadas (Terabytes).</w:t>
            </w:r>
          </w:p>
        </w:tc>
        <w:tc>
          <w:tcPr>
            <w:tcW w:w="3491" w:type="dxa"/>
            <w:tcBorders>
              <w:top w:val="nil"/>
              <w:left w:val="dotted" w:sz="4" w:space="0" w:color="4F81BD" w:themeColor="accent1"/>
              <w:bottom w:val="single" w:sz="4" w:space="0" w:color="B8CCE4" w:themeColor="accent1" w:themeTint="66"/>
              <w:right w:val="nil"/>
            </w:tcBorders>
          </w:tcPr>
          <w:p w14:paraId="0852F3CB" w14:textId="77777777" w:rsidR="00D4116C" w:rsidRPr="00585857" w:rsidRDefault="00D4116C" w:rsidP="003226C8">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739F5BBA" w14:textId="7F5011AB" w:rsidR="00D4116C" w:rsidRPr="00585857" w:rsidRDefault="00D4116C" w:rsidP="00F04E0C">
      <w:pPr>
        <w:pStyle w:val="Heading3"/>
        <w:rPr>
          <w:lang w:val="es-ES_tradnl"/>
        </w:rPr>
      </w:pPr>
      <w:bookmarkStart w:id="165" w:name="lt_pId374"/>
      <w:bookmarkStart w:id="166" w:name="_Toc33632256"/>
      <w:r w:rsidRPr="00585857">
        <w:rPr>
          <w:lang w:val="es-ES_tradnl"/>
        </w:rPr>
        <w:lastRenderedPageBreak/>
        <w:t xml:space="preserve">II.2.3 </w:t>
      </w:r>
      <w:r w:rsidR="003226C8" w:rsidRPr="00585857">
        <w:rPr>
          <w:lang w:val="es-ES_tradnl"/>
        </w:rPr>
        <w:t>–</w:t>
      </w:r>
      <w:r w:rsidRPr="00585857">
        <w:rPr>
          <w:lang w:val="es-ES_tradnl"/>
        </w:rPr>
        <w:t xml:space="preserve"> R.3 </w:t>
      </w:r>
      <w:bookmarkEnd w:id="165"/>
      <w:r w:rsidR="003226C8" w:rsidRPr="00585857">
        <w:rPr>
          <w:lang w:val="es-ES_tradnl"/>
        </w:rPr>
        <w:t>Intercambio de conocimientos</w:t>
      </w:r>
      <w:bookmarkEnd w:id="166"/>
    </w:p>
    <w:p w14:paraId="5D0EF7D0" w14:textId="4317445A" w:rsidR="00D4116C" w:rsidRPr="00585857" w:rsidRDefault="003226C8" w:rsidP="003226C8">
      <w:pPr>
        <w:pStyle w:val="Headingb"/>
        <w:rPr>
          <w:bCs/>
          <w:i/>
          <w:iCs/>
          <w:lang w:val="es-ES_tradnl"/>
        </w:rPr>
      </w:pPr>
      <w:r w:rsidRPr="00585857">
        <w:rPr>
          <w:i/>
          <w:iCs/>
          <w:lang w:val="es-ES_tradnl"/>
        </w:rPr>
        <w:t>Descripción del objetivo</w:t>
      </w:r>
    </w:p>
    <w:p w14:paraId="2245D7B5" w14:textId="35DC1425" w:rsidR="00D4116C" w:rsidRPr="00585857" w:rsidRDefault="009473BC" w:rsidP="003226C8">
      <w:pPr>
        <w:rPr>
          <w:lang w:val="es-ES_tradnl"/>
        </w:rPr>
      </w:pPr>
      <w:r w:rsidRPr="00585857">
        <w:rPr>
          <w:lang w:val="es-ES_tradnl"/>
        </w:rPr>
        <w:t>Fomentar la adquisición y compartición de conocimientos y experiencia de radiocomunicaciones.</w:t>
      </w:r>
    </w:p>
    <w:p w14:paraId="6A74E4AC" w14:textId="44FE8C04" w:rsidR="00D4116C" w:rsidRPr="00585857" w:rsidRDefault="009473BC" w:rsidP="009473BC">
      <w:pPr>
        <w:rPr>
          <w:lang w:val="es-ES_tradnl"/>
        </w:rPr>
      </w:pPr>
      <w:bookmarkStart w:id="167" w:name="lt_pId377"/>
      <w:r w:rsidRPr="00585857">
        <w:rPr>
          <w:lang w:val="es-ES_tradnl"/>
        </w:rPr>
        <w:t xml:space="preserve">El Objetivo R.3 utiliza el </w:t>
      </w:r>
      <w:r w:rsidR="00D4116C" w:rsidRPr="00585857">
        <w:rPr>
          <w:lang w:val="es-ES_tradnl"/>
        </w:rPr>
        <w:t>25</w:t>
      </w:r>
      <w:r w:rsidRPr="00585857">
        <w:rPr>
          <w:lang w:val="es-ES_tradnl"/>
        </w:rPr>
        <w:t>,</w:t>
      </w:r>
      <w:r w:rsidR="00D4116C" w:rsidRPr="00585857">
        <w:rPr>
          <w:lang w:val="es-ES_tradnl"/>
        </w:rPr>
        <w:t xml:space="preserve">24 </w:t>
      </w:r>
      <w:r w:rsidRPr="00585857">
        <w:rPr>
          <w:lang w:val="es-ES_tradnl"/>
        </w:rPr>
        <w:t xml:space="preserve">por ciento de los recursos previstos para los objetivos del UIT-R, un </w:t>
      </w:r>
      <w:r w:rsidR="00D4116C" w:rsidRPr="00585857">
        <w:rPr>
          <w:lang w:val="es-ES_tradnl"/>
        </w:rPr>
        <w:t>9</w:t>
      </w:r>
      <w:r w:rsidRPr="00585857">
        <w:rPr>
          <w:lang w:val="es-ES_tradnl"/>
        </w:rPr>
        <w:t>,</w:t>
      </w:r>
      <w:r w:rsidR="00D4116C" w:rsidRPr="00585857">
        <w:rPr>
          <w:lang w:val="es-ES_tradnl"/>
        </w:rPr>
        <w:t>57 </w:t>
      </w:r>
      <w:r w:rsidRPr="00585857">
        <w:rPr>
          <w:lang w:val="es-ES_tradnl"/>
        </w:rPr>
        <w:t>por ciento de los recursos previstos de la</w:t>
      </w:r>
      <w:r w:rsidR="00205CE2">
        <w:rPr>
          <w:lang w:val="es-ES_tradnl"/>
        </w:rPr>
        <w:t> </w:t>
      </w:r>
      <w:r w:rsidRPr="00585857">
        <w:rPr>
          <w:lang w:val="es-ES_tradnl"/>
        </w:rPr>
        <w:t xml:space="preserve">UIT para </w:t>
      </w:r>
      <w:r w:rsidR="00D4116C" w:rsidRPr="00585857">
        <w:rPr>
          <w:lang w:val="es-ES_tradnl"/>
        </w:rPr>
        <w:t>2021-2024.</w:t>
      </w:r>
      <w:bookmarkEnd w:id="167"/>
    </w:p>
    <w:p w14:paraId="32780044" w14:textId="5297B459" w:rsidR="00D4116C" w:rsidRDefault="007A5EE9" w:rsidP="009473BC">
      <w:pPr>
        <w:pStyle w:val="Headingb"/>
        <w:rPr>
          <w:i/>
          <w:iCs/>
          <w:lang w:val="es-ES_tradnl"/>
        </w:rPr>
      </w:pPr>
      <w:r>
        <w:rPr>
          <w:i/>
          <w:iCs/>
          <w:lang w:val="es-ES_tradnl"/>
        </w:rPr>
        <w:t>Resumen de la atribución de costes</w:t>
      </w:r>
    </w:p>
    <w:p w14:paraId="20EEA927" w14:textId="3B29C01B" w:rsidR="003940B9" w:rsidRPr="003940B9" w:rsidRDefault="003940B9" w:rsidP="003940B9">
      <w:pPr>
        <w:jc w:val="center"/>
        <w:rPr>
          <w:lang w:val="es-ES_tradnl"/>
        </w:rPr>
      </w:pPr>
      <w:r w:rsidRPr="003940B9">
        <w:rPr>
          <w:noProof/>
        </w:rPr>
        <w:drawing>
          <wp:inline distT="0" distB="0" distL="0" distR="0" wp14:anchorId="6C4383B4" wp14:editId="4BBB9324">
            <wp:extent cx="8272800" cy="2491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72800" cy="2491200"/>
                    </a:xfrm>
                    <a:prstGeom prst="rect">
                      <a:avLst/>
                    </a:prstGeom>
                    <a:noFill/>
                    <a:ln>
                      <a:noFill/>
                    </a:ln>
                  </pic:spPr>
                </pic:pic>
              </a:graphicData>
            </a:graphic>
          </wp:inline>
        </w:drawing>
      </w:r>
    </w:p>
    <w:p w14:paraId="1293D1F1" w14:textId="1EA0AB0B" w:rsidR="00D4116C" w:rsidRPr="00585857" w:rsidRDefault="007A5EE9" w:rsidP="009473BC">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3940B9" w14:paraId="28848DEF"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651CD6D2" w14:textId="363E41CE" w:rsidR="00D4116C" w:rsidRPr="003940B9" w:rsidRDefault="008A066E" w:rsidP="009473BC">
            <w:pPr>
              <w:pStyle w:val="Tablehead"/>
              <w:rPr>
                <w:b/>
                <w:bCs w:val="0"/>
                <w:i/>
                <w:iCs/>
                <w:lang w:val="es-ES_tradnl"/>
              </w:rPr>
            </w:pPr>
            <w:r w:rsidRPr="003940B9">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1E6A1AFF" w14:textId="0C534FCA" w:rsidR="00D4116C" w:rsidRPr="003940B9" w:rsidRDefault="008A066E" w:rsidP="009473BC">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3940B9">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679A60E8" w14:textId="6753FE21" w:rsidR="00D4116C" w:rsidRPr="003940B9" w:rsidRDefault="00D4116C" w:rsidP="009473BC">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168" w:name="lt_pId383"/>
            <w:r w:rsidRPr="003940B9">
              <w:rPr>
                <w:b/>
                <w:bCs w:val="0"/>
                <w:i/>
                <w:iCs/>
                <w:lang w:val="es-ES_tradnl"/>
              </w:rPr>
              <w:t>Ri</w:t>
            </w:r>
            <w:r w:rsidR="00E55829" w:rsidRPr="003940B9">
              <w:rPr>
                <w:b/>
                <w:bCs w:val="0"/>
                <w:i/>
                <w:iCs/>
                <w:lang w:val="es-ES_tradnl"/>
              </w:rPr>
              <w:t>esgo</w:t>
            </w:r>
            <w:bookmarkEnd w:id="168"/>
          </w:p>
        </w:tc>
      </w:tr>
      <w:tr w:rsidR="00D4116C" w:rsidRPr="00585857" w14:paraId="0CB0725F"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42BF04FE" w14:textId="77777777" w:rsidR="00D4116C" w:rsidRPr="00585857" w:rsidRDefault="00D4116C" w:rsidP="009473BC">
            <w:pPr>
              <w:pStyle w:val="Tabletext"/>
              <w:rPr>
                <w:b w:val="0"/>
                <w:bCs w:val="0"/>
                <w:lang w:val="es-ES_tradnl"/>
              </w:rPr>
            </w:pP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352F503C" w14:textId="77777777"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7325D02E" w14:textId="77777777"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585857" w14:paraId="6D4350C0"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3F8172B" w14:textId="77777777" w:rsidR="00D4116C" w:rsidRPr="00585857" w:rsidRDefault="00D4116C" w:rsidP="009473BC">
            <w:pPr>
              <w:pStyle w:val="Tabletext"/>
              <w:rPr>
                <w:b w:val="0"/>
                <w:bCs w:val="0"/>
                <w:lang w:val="es-ES_tradnl"/>
              </w:rPr>
            </w:pP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1F9D9D65" w14:textId="77777777"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7CABFE2F" w14:textId="77777777"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55BCE376" w14:textId="69AFB8B1" w:rsidR="00D4116C" w:rsidRPr="00585857" w:rsidRDefault="007A5EE9" w:rsidP="009473BC">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9473BC" w:rsidRPr="003940B9" w14:paraId="12995054"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00623E79" w14:textId="27378772" w:rsidR="009473BC" w:rsidRPr="003940B9" w:rsidRDefault="009473BC" w:rsidP="009473BC">
            <w:pPr>
              <w:pStyle w:val="Tablehead"/>
              <w:rPr>
                <w:b/>
                <w:i/>
                <w:iCs/>
                <w:lang w:val="es-ES_tradnl"/>
              </w:rPr>
            </w:pPr>
            <w:r w:rsidRPr="003940B9">
              <w:rPr>
                <w:b/>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540349AD" w14:textId="6724D342" w:rsidR="009473BC" w:rsidRPr="003940B9" w:rsidRDefault="009473BC" w:rsidP="009473B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3940B9">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1D2E41A6" w14:textId="37C91D2A" w:rsidR="009473BC" w:rsidRPr="003940B9" w:rsidRDefault="008A066E" w:rsidP="009473B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3940B9">
              <w:rPr>
                <w:b/>
                <w:i/>
                <w:iCs/>
                <w:lang w:val="es-ES_tradnl"/>
              </w:rPr>
              <w:t>Indicadores de riesgo</w:t>
            </w:r>
          </w:p>
        </w:tc>
      </w:tr>
      <w:tr w:rsidR="00D4116C" w:rsidRPr="008F43A8" w14:paraId="4CF78474"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1EAB63E2" w14:textId="16135DEB" w:rsidR="00D4116C" w:rsidRPr="00585857" w:rsidRDefault="009473BC" w:rsidP="009473BC">
            <w:pPr>
              <w:pStyle w:val="Tabletext"/>
              <w:rPr>
                <w:b w:val="0"/>
                <w:bCs w:val="0"/>
                <w:lang w:val="es-ES_tradnl"/>
              </w:rPr>
            </w:pPr>
            <w:r w:rsidRPr="00585857">
              <w:rPr>
                <w:b w:val="0"/>
                <w:bCs w:val="0"/>
                <w:lang w:val="es-ES_tradnl"/>
              </w:rPr>
              <w:t>Mayores conocimientos teóricos y prácticos del Reglamento de Radiocomunicaciones, las Reglas de Procedimiento, los Acuerdos Regionales, las Recomendaciones y las prácticas idóneas sobre la utilización del espectro.</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765EEE4C" w14:textId="77777777" w:rsidR="009473B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descargas en línea de publicaciones gratuitas del UIT-R (millones).</w:t>
            </w:r>
          </w:p>
          <w:p w14:paraId="32E8BFAA" w14:textId="77777777" w:rsidR="009473B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eventos de capacitación organizados/respaldados por la BR (presenciales y virtuales).</w:t>
            </w:r>
          </w:p>
          <w:p w14:paraId="1587C854" w14:textId="7D97C725" w:rsidR="00D4116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participantes en los eventos de capacitación organizados/respaldados por la UIT/BR (acumulado en el periodo entre dos</w:t>
            </w:r>
            <w:r w:rsidR="00205CE2">
              <w:rPr>
                <w:lang w:val="es-ES_tradnl"/>
              </w:rPr>
              <w:t> </w:t>
            </w:r>
            <w:r w:rsidRPr="00585857">
              <w:rPr>
                <w:lang w:val="es-ES_tradnl"/>
              </w:rPr>
              <w:t>CMR).</w:t>
            </w:r>
          </w:p>
        </w:tc>
        <w:tc>
          <w:tcPr>
            <w:tcW w:w="4650" w:type="dxa"/>
            <w:tcBorders>
              <w:top w:val="single" w:sz="8" w:space="0" w:color="4F81BD" w:themeColor="accent1"/>
              <w:left w:val="dotted" w:sz="4" w:space="0" w:color="4F81BD" w:themeColor="accent1"/>
              <w:bottom w:val="nil"/>
              <w:right w:val="nil"/>
            </w:tcBorders>
          </w:tcPr>
          <w:p w14:paraId="151D05C6" w14:textId="42290CDB" w:rsidR="00D4116C" w:rsidRPr="00585857" w:rsidRDefault="008A066E"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69" w:name="lt_pId393"/>
            <w:r>
              <w:rPr>
                <w:lang w:val="es-ES_tradnl"/>
              </w:rPr>
              <w:t>Falta de formadores cualificados y baja calidad de la formación</w:t>
            </w:r>
            <w:r w:rsidR="00D4116C" w:rsidRPr="00585857">
              <w:rPr>
                <w:lang w:val="es-ES_tradnl"/>
              </w:rPr>
              <w:t>.</w:t>
            </w:r>
            <w:bookmarkEnd w:id="169"/>
          </w:p>
          <w:p w14:paraId="03564671" w14:textId="763F67EF" w:rsidR="00D4116C" w:rsidRPr="00585857" w:rsidRDefault="008A066E"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70" w:name="lt_pId394"/>
            <w:r>
              <w:rPr>
                <w:lang w:val="es-ES_tradnl"/>
              </w:rPr>
              <w:t>Falta de compromiso por parte del asociado</w:t>
            </w:r>
            <w:r w:rsidR="00D4116C" w:rsidRPr="00585857">
              <w:rPr>
                <w:lang w:val="es-ES_tradnl"/>
              </w:rPr>
              <w:t>.</w:t>
            </w:r>
            <w:bookmarkEnd w:id="170"/>
          </w:p>
          <w:p w14:paraId="66F12A7A" w14:textId="3B34DE5B" w:rsidR="00D4116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Incapacidad física para organizar eventos importantes en el extranjero o en Ginebra</w:t>
            </w:r>
            <w:r w:rsidR="00DF29B8">
              <w:rPr>
                <w:lang w:val="es-ES_tradnl"/>
              </w:rPr>
              <w:t>.</w:t>
            </w:r>
          </w:p>
        </w:tc>
      </w:tr>
      <w:tr w:rsidR="00D4116C" w:rsidRPr="008F43A8" w14:paraId="5FCB3D12"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EA132D4" w14:textId="0D6A836E" w:rsidR="00D4116C" w:rsidRPr="00585857" w:rsidRDefault="009473BC" w:rsidP="009473BC">
            <w:pPr>
              <w:pStyle w:val="Tabletext"/>
              <w:rPr>
                <w:b w:val="0"/>
                <w:bCs w:val="0"/>
                <w:lang w:val="es-ES_tradnl"/>
              </w:rPr>
            </w:pPr>
            <w:r w:rsidRPr="00585857">
              <w:rPr>
                <w:b w:val="0"/>
                <w:bCs w:val="0"/>
                <w:lang w:val="es-ES_tradnl"/>
              </w:rPr>
              <w:t>Mayor participación, en particular de países en desarrollo, en actividades del UIT-R (incluido a través de la participación a distancia).</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58DB0C7B" w14:textId="77777777" w:rsidR="009473B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prestaciones de asistencia o eventos técnicos en los que ha participado la BR.</w:t>
            </w:r>
          </w:p>
          <w:p w14:paraId="667AA844" w14:textId="77777777" w:rsidR="009473B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reciben asistencia técnica o acogen eventos técnicos de la BR.</w:t>
            </w:r>
          </w:p>
          <w:p w14:paraId="0A9633E4" w14:textId="77777777" w:rsidR="009473B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participantes/eventos en las conferencias, asambleas y reuniones relacionadas con las Comisiones de Estudio del UIT-R (presenciales y virtuales).</w:t>
            </w:r>
          </w:p>
          <w:p w14:paraId="1E99A2D3" w14:textId="3F51569E" w:rsidR="00D4116C" w:rsidRPr="00585857" w:rsidRDefault="009473B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participan en seminarios y talleres, reuniones de CE y GT y eventos del UIT-R (presenciales y virtuales).</w:t>
            </w:r>
          </w:p>
        </w:tc>
        <w:tc>
          <w:tcPr>
            <w:tcW w:w="4650" w:type="dxa"/>
            <w:tcBorders>
              <w:top w:val="nil"/>
              <w:left w:val="dotted" w:sz="4" w:space="0" w:color="4F81BD" w:themeColor="accent1"/>
              <w:bottom w:val="single" w:sz="4" w:space="0" w:color="B8CCE4" w:themeColor="accent1" w:themeTint="66"/>
              <w:right w:val="nil"/>
            </w:tcBorders>
          </w:tcPr>
          <w:p w14:paraId="07082DA1" w14:textId="77777777"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08F9244E" w14:textId="77777777" w:rsidR="00D4116C" w:rsidRPr="00585857" w:rsidRDefault="00D4116C" w:rsidP="009473BC">
      <w:pPr>
        <w:rPr>
          <w:lang w:val="es-ES_tradnl"/>
        </w:rPr>
      </w:pPr>
      <w:r w:rsidRPr="00585857">
        <w:rPr>
          <w:lang w:val="es-ES_tradnl"/>
        </w:rPr>
        <w:br w:type="page"/>
      </w:r>
    </w:p>
    <w:p w14:paraId="58F27005" w14:textId="7691A39F" w:rsidR="00D4116C" w:rsidRPr="00585857" w:rsidRDefault="00D4116C" w:rsidP="00F04E0C">
      <w:pPr>
        <w:pStyle w:val="Heading2"/>
        <w:rPr>
          <w:lang w:val="es-ES_tradnl"/>
        </w:rPr>
      </w:pPr>
      <w:bookmarkStart w:id="171" w:name="lt_pId402"/>
      <w:bookmarkStart w:id="172" w:name="_Toc33632090"/>
      <w:bookmarkStart w:id="173" w:name="_Toc33632257"/>
      <w:r w:rsidRPr="00585857">
        <w:rPr>
          <w:lang w:val="es-ES_tradnl"/>
        </w:rPr>
        <w:lastRenderedPageBreak/>
        <w:t>II.3</w:t>
      </w:r>
      <w:bookmarkEnd w:id="171"/>
      <w:r w:rsidRPr="00585857">
        <w:rPr>
          <w:lang w:val="es-ES_tradnl"/>
        </w:rPr>
        <w:tab/>
      </w:r>
      <w:r w:rsidR="009473BC" w:rsidRPr="00585857">
        <w:rPr>
          <w:lang w:val="es-ES_tradnl"/>
        </w:rPr>
        <w:t>Objetivos del Sector de Normalización de las Telecomunicaciones</w:t>
      </w:r>
      <w:bookmarkEnd w:id="172"/>
      <w:bookmarkEnd w:id="173"/>
    </w:p>
    <w:p w14:paraId="563E2A8E" w14:textId="6425EAD2" w:rsidR="00D4116C" w:rsidRPr="00585857" w:rsidRDefault="009473BC" w:rsidP="009473BC">
      <w:pPr>
        <w:rPr>
          <w:lang w:val="es-ES_tradnl"/>
        </w:rPr>
      </w:pPr>
      <w:bookmarkStart w:id="174" w:name="lt_pId404"/>
      <w:r w:rsidRPr="00585857">
        <w:rPr>
          <w:lang w:val="es-ES_tradnl"/>
        </w:rPr>
        <w:t xml:space="preserve">Se prevén cinco objetivos del Sector de Normalización de las Telecomunicaciones en </w:t>
      </w:r>
      <w:r w:rsidR="00D4116C" w:rsidRPr="00585857">
        <w:rPr>
          <w:lang w:val="es-ES_tradnl"/>
        </w:rPr>
        <w:t xml:space="preserve">2021-2024, </w:t>
      </w:r>
      <w:r w:rsidRPr="00585857">
        <w:rPr>
          <w:lang w:val="es-ES_tradnl"/>
        </w:rPr>
        <w:t>que representan el</w:t>
      </w:r>
      <w:r w:rsidR="00D4116C" w:rsidRPr="00585857">
        <w:rPr>
          <w:lang w:val="es-ES_tradnl"/>
        </w:rPr>
        <w:t xml:space="preserve"> 16</w:t>
      </w:r>
      <w:r w:rsidRPr="00585857">
        <w:rPr>
          <w:lang w:val="es-ES_tradnl"/>
        </w:rPr>
        <w:t>,</w:t>
      </w:r>
      <w:r w:rsidR="00D4116C" w:rsidRPr="00585857">
        <w:rPr>
          <w:lang w:val="es-ES_tradnl"/>
        </w:rPr>
        <w:t>53 </w:t>
      </w:r>
      <w:r w:rsidRPr="00585857">
        <w:rPr>
          <w:lang w:val="es-ES_tradnl"/>
        </w:rPr>
        <w:t xml:space="preserve">por ciento </w:t>
      </w:r>
      <w:r w:rsidR="000A293D">
        <w:rPr>
          <w:lang w:val="es-ES_tradnl"/>
        </w:rPr>
        <w:t>de los recursos totales de la Unión previstos para ese periodo</w:t>
      </w:r>
      <w:r w:rsidR="00D4116C" w:rsidRPr="00585857">
        <w:rPr>
          <w:lang w:val="es-ES_tradnl"/>
        </w:rPr>
        <w:t>.</w:t>
      </w:r>
      <w:bookmarkEnd w:id="174"/>
    </w:p>
    <w:p w14:paraId="3274B135" w14:textId="582E2EA5" w:rsidR="00D4116C" w:rsidRPr="00585857" w:rsidRDefault="009473BC" w:rsidP="003A7790">
      <w:pPr>
        <w:pStyle w:val="Tabletitle"/>
        <w:spacing w:before="720"/>
        <w:rPr>
          <w:lang w:val="es-ES_tradnl"/>
        </w:rPr>
      </w:pPr>
      <w:r w:rsidRPr="00585857">
        <w:rPr>
          <w:lang w:val="es-ES_tradnl"/>
        </w:rPr>
        <w:t>Objetivos del UIT-T</w:t>
      </w:r>
      <w:bookmarkStart w:id="175" w:name="lt_pId406"/>
      <w:r w:rsidRPr="00585857">
        <w:rPr>
          <w:lang w:val="es-ES_tradnl"/>
        </w:rPr>
        <w:br/>
        <w:t xml:space="preserve">Costes previstos para </w:t>
      </w:r>
      <w:r w:rsidR="00D4116C" w:rsidRPr="00585857">
        <w:rPr>
          <w:lang w:val="es-ES_tradnl"/>
        </w:rPr>
        <w:t>2021-2024</w:t>
      </w:r>
      <w:bookmarkEnd w:id="175"/>
      <w:r w:rsidRPr="00585857">
        <w:rPr>
          <w:lang w:val="es-ES_tradnl"/>
        </w:rPr>
        <w:br/>
        <w:t>Distribución por componente de coste</w:t>
      </w:r>
    </w:p>
    <w:p w14:paraId="7EC04D4C" w14:textId="13C0E090" w:rsidR="007028E0" w:rsidRPr="00585857" w:rsidRDefault="007028E0" w:rsidP="007028E0">
      <w:pPr>
        <w:jc w:val="center"/>
        <w:rPr>
          <w:lang w:val="es-ES_tradnl"/>
        </w:rPr>
      </w:pPr>
      <w:r w:rsidRPr="00585857">
        <w:rPr>
          <w:noProof/>
          <w:lang w:val="es-ES_tradnl"/>
        </w:rPr>
        <w:drawing>
          <wp:inline distT="0" distB="0" distL="0" distR="0" wp14:anchorId="46D76EBE" wp14:editId="5AB86C90">
            <wp:extent cx="9165600" cy="2980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65600" cy="2980800"/>
                    </a:xfrm>
                    <a:prstGeom prst="rect">
                      <a:avLst/>
                    </a:prstGeom>
                    <a:noFill/>
                    <a:ln>
                      <a:noFill/>
                    </a:ln>
                  </pic:spPr>
                </pic:pic>
              </a:graphicData>
            </a:graphic>
          </wp:inline>
        </w:drawing>
      </w:r>
    </w:p>
    <w:p w14:paraId="2776FC9F" w14:textId="1AC62898" w:rsidR="008A67D4" w:rsidRDefault="008A67D4" w:rsidP="008A67D4">
      <w:pPr>
        <w:rPr>
          <w:lang w:val="es-ES_tradnl"/>
        </w:rPr>
      </w:pPr>
      <w:bookmarkStart w:id="176" w:name="lt_pId408"/>
      <w:bookmarkStart w:id="177" w:name="_Toc33632258"/>
      <w:r>
        <w:rPr>
          <w:lang w:val="es-ES_tradnl"/>
        </w:rPr>
        <w:br w:type="page"/>
      </w:r>
    </w:p>
    <w:p w14:paraId="73B6653F" w14:textId="360CE341" w:rsidR="00D4116C" w:rsidRPr="00585857" w:rsidRDefault="00D4116C" w:rsidP="00F04E0C">
      <w:pPr>
        <w:pStyle w:val="Heading3"/>
        <w:rPr>
          <w:lang w:val="es-ES_tradnl"/>
        </w:rPr>
      </w:pPr>
      <w:r w:rsidRPr="00585857">
        <w:rPr>
          <w:lang w:val="es-ES_tradnl"/>
        </w:rPr>
        <w:lastRenderedPageBreak/>
        <w:t xml:space="preserve">II.3.1 </w:t>
      </w:r>
      <w:r w:rsidR="009473BC" w:rsidRPr="00585857">
        <w:rPr>
          <w:lang w:val="es-ES_tradnl"/>
        </w:rPr>
        <w:t>–</w:t>
      </w:r>
      <w:r w:rsidRPr="00585857">
        <w:rPr>
          <w:lang w:val="es-ES_tradnl"/>
        </w:rPr>
        <w:t xml:space="preserve"> T.1 </w:t>
      </w:r>
      <w:bookmarkEnd w:id="176"/>
      <w:r w:rsidR="009473BC" w:rsidRPr="00585857">
        <w:rPr>
          <w:lang w:val="es-ES_tradnl"/>
        </w:rPr>
        <w:t>Elaboración de normas</w:t>
      </w:r>
      <w:bookmarkEnd w:id="177"/>
    </w:p>
    <w:p w14:paraId="3757113B" w14:textId="6182C3C5" w:rsidR="00D4116C" w:rsidRPr="00585857" w:rsidRDefault="009473BC" w:rsidP="009473BC">
      <w:pPr>
        <w:pStyle w:val="Headingb"/>
        <w:rPr>
          <w:i/>
          <w:iCs/>
          <w:lang w:val="es-ES_tradnl"/>
        </w:rPr>
      </w:pPr>
      <w:r w:rsidRPr="00585857">
        <w:rPr>
          <w:i/>
          <w:iCs/>
          <w:lang w:val="es-ES_tradnl"/>
        </w:rPr>
        <w:t>Descripción del objetivo</w:t>
      </w:r>
    </w:p>
    <w:p w14:paraId="13B4FA47" w14:textId="41F71D3E" w:rsidR="00D4116C" w:rsidRPr="00585857" w:rsidRDefault="009473BC" w:rsidP="009473BC">
      <w:pPr>
        <w:rPr>
          <w:lang w:val="es-ES_tradnl"/>
        </w:rPr>
      </w:pPr>
      <w:r w:rsidRPr="00585857">
        <w:rPr>
          <w:lang w:val="es-ES_tradnl"/>
        </w:rPr>
        <w:t>Elaborar normas internacionales no discriminatorias de telecomunicaciones/TIC (Recomendaciones UIT-T), de manera oportuna, y fomentar la interoperabilidad y una mejor calidad de funcionamiento de equipos, redes, servicios y aplicaciones.</w:t>
      </w:r>
    </w:p>
    <w:p w14:paraId="06C9BADC" w14:textId="424F046A" w:rsidR="00D4116C" w:rsidRPr="00585857" w:rsidRDefault="009473BC" w:rsidP="009473BC">
      <w:pPr>
        <w:rPr>
          <w:lang w:val="es-ES_tradnl"/>
        </w:rPr>
      </w:pPr>
      <w:bookmarkStart w:id="178" w:name="lt_pId411"/>
      <w:r w:rsidRPr="00585857">
        <w:rPr>
          <w:lang w:val="es-ES_tradnl"/>
        </w:rPr>
        <w:t xml:space="preserve">El Objetivo T.1 utiliza el </w:t>
      </w:r>
      <w:r w:rsidR="00D4116C" w:rsidRPr="00585857">
        <w:rPr>
          <w:lang w:val="es-ES_tradnl"/>
        </w:rPr>
        <w:t>45</w:t>
      </w:r>
      <w:r w:rsidRPr="00585857">
        <w:rPr>
          <w:lang w:val="es-ES_tradnl"/>
        </w:rPr>
        <w:t>,</w:t>
      </w:r>
      <w:r w:rsidR="00D4116C" w:rsidRPr="00585857">
        <w:rPr>
          <w:lang w:val="es-ES_tradnl"/>
        </w:rPr>
        <w:t>30 </w:t>
      </w:r>
      <w:r w:rsidRPr="00585857">
        <w:rPr>
          <w:lang w:val="es-ES_tradnl"/>
        </w:rPr>
        <w:t xml:space="preserve">por ciento de los recursos previstos para los objetivos del UIT-T, un </w:t>
      </w:r>
      <w:r w:rsidR="00D4116C" w:rsidRPr="00585857">
        <w:rPr>
          <w:lang w:val="es-ES_tradnl"/>
        </w:rPr>
        <w:t>7</w:t>
      </w:r>
      <w:r w:rsidRPr="00585857">
        <w:rPr>
          <w:lang w:val="es-ES_tradnl"/>
        </w:rPr>
        <w:t>,</w:t>
      </w:r>
      <w:r w:rsidR="00D4116C" w:rsidRPr="00585857">
        <w:rPr>
          <w:lang w:val="es-ES_tradnl"/>
        </w:rPr>
        <w:t>49 </w:t>
      </w:r>
      <w:r w:rsidRPr="00585857">
        <w:rPr>
          <w:lang w:val="es-ES_tradnl"/>
        </w:rPr>
        <w:t>por ciento de los recursos previstos de la</w:t>
      </w:r>
      <w:r w:rsidR="00F04E0C" w:rsidRPr="00585857">
        <w:rPr>
          <w:lang w:val="es-ES_tradnl"/>
        </w:rPr>
        <w:t> </w:t>
      </w:r>
      <w:r w:rsidRPr="00585857">
        <w:rPr>
          <w:lang w:val="es-ES_tradnl"/>
        </w:rPr>
        <w:t xml:space="preserve">UIT para </w:t>
      </w:r>
      <w:r w:rsidR="00D4116C" w:rsidRPr="00585857">
        <w:rPr>
          <w:lang w:val="es-ES_tradnl"/>
        </w:rPr>
        <w:t>2021-2024.</w:t>
      </w:r>
      <w:bookmarkEnd w:id="178"/>
    </w:p>
    <w:p w14:paraId="1012FE3A" w14:textId="059292D9" w:rsidR="00D4116C" w:rsidRDefault="007A5EE9" w:rsidP="009473BC">
      <w:pPr>
        <w:pStyle w:val="Headingb"/>
        <w:rPr>
          <w:i/>
          <w:iCs/>
          <w:lang w:val="es-ES_tradnl"/>
        </w:rPr>
      </w:pPr>
      <w:r>
        <w:rPr>
          <w:i/>
          <w:iCs/>
          <w:lang w:val="es-ES_tradnl"/>
        </w:rPr>
        <w:t>Resumen de la atribución de costes</w:t>
      </w:r>
    </w:p>
    <w:p w14:paraId="63184EBE" w14:textId="1F5EE43B" w:rsidR="00646B63" w:rsidRPr="00646B63" w:rsidRDefault="0086509F" w:rsidP="00646B63">
      <w:pPr>
        <w:jc w:val="center"/>
        <w:rPr>
          <w:lang w:val="es-ES_tradnl"/>
        </w:rPr>
      </w:pPr>
      <w:r w:rsidRPr="0086509F">
        <w:rPr>
          <w:noProof/>
        </w:rPr>
        <w:drawing>
          <wp:inline distT="0" distB="0" distL="0" distR="0" wp14:anchorId="1C2A4CDE" wp14:editId="16667697">
            <wp:extent cx="8301600" cy="23544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01600" cy="2354400"/>
                    </a:xfrm>
                    <a:prstGeom prst="rect">
                      <a:avLst/>
                    </a:prstGeom>
                    <a:noFill/>
                    <a:ln>
                      <a:noFill/>
                    </a:ln>
                  </pic:spPr>
                </pic:pic>
              </a:graphicData>
            </a:graphic>
          </wp:inline>
        </w:drawing>
      </w:r>
    </w:p>
    <w:p w14:paraId="46FA79D7" w14:textId="77777777" w:rsidR="00D4116C" w:rsidRPr="00585857" w:rsidRDefault="00D4116C" w:rsidP="004119AF">
      <w:pPr>
        <w:rPr>
          <w:lang w:val="es-ES_tradnl"/>
        </w:rPr>
      </w:pPr>
      <w:r w:rsidRPr="00585857">
        <w:rPr>
          <w:lang w:val="es-ES_tradnl"/>
        </w:rPr>
        <w:br w:type="page"/>
      </w:r>
    </w:p>
    <w:p w14:paraId="1220FF4E" w14:textId="544EB952" w:rsidR="00D4116C" w:rsidRPr="00585857" w:rsidRDefault="007A5EE9" w:rsidP="009473BC">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86509F" w14:paraId="38CC3254"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6C637A08" w14:textId="7FB8A7BC" w:rsidR="00D4116C" w:rsidRPr="0086509F" w:rsidRDefault="008A066E" w:rsidP="009473BC">
            <w:pPr>
              <w:pStyle w:val="Tablehead"/>
              <w:rPr>
                <w:b/>
                <w:bCs w:val="0"/>
                <w:i/>
                <w:iCs/>
                <w:lang w:val="es-ES_tradnl"/>
              </w:rPr>
            </w:pPr>
            <w:r w:rsidRPr="0086509F">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3F4D79A5" w14:textId="793F2C21" w:rsidR="00D4116C" w:rsidRPr="0086509F" w:rsidRDefault="008A066E" w:rsidP="009473BC">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1A4088C8" w14:textId="134B552F" w:rsidR="00D4116C" w:rsidRPr="0086509F" w:rsidRDefault="00D4116C" w:rsidP="009473BC">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179" w:name="lt_pId417"/>
            <w:r w:rsidRPr="0086509F">
              <w:rPr>
                <w:b/>
                <w:bCs w:val="0"/>
                <w:i/>
                <w:iCs/>
                <w:lang w:val="es-ES_tradnl"/>
              </w:rPr>
              <w:t>R</w:t>
            </w:r>
            <w:r w:rsidR="00801A5C" w:rsidRPr="0086509F">
              <w:rPr>
                <w:b/>
                <w:bCs w:val="0"/>
                <w:i/>
                <w:iCs/>
                <w:lang w:val="es-ES_tradnl"/>
              </w:rPr>
              <w:t>iesgo</w:t>
            </w:r>
            <w:bookmarkEnd w:id="179"/>
            <w:r w:rsidRPr="0086509F">
              <w:rPr>
                <w:b/>
                <w:bCs w:val="0"/>
                <w:i/>
                <w:iCs/>
                <w:lang w:val="es-ES_tradnl"/>
              </w:rPr>
              <w:t xml:space="preserve"> </w:t>
            </w:r>
          </w:p>
        </w:tc>
      </w:tr>
      <w:tr w:rsidR="00D4116C" w:rsidRPr="008F43A8" w14:paraId="1B2AE3C8"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0CB399E9" w14:textId="05D8A32D" w:rsidR="00D4116C" w:rsidRPr="00585857" w:rsidRDefault="008A066E" w:rsidP="009473BC">
            <w:pPr>
              <w:pStyle w:val="Tabletext"/>
              <w:rPr>
                <w:b w:val="0"/>
                <w:bCs w:val="0"/>
                <w:lang w:val="es-ES_tradnl"/>
              </w:rPr>
            </w:pPr>
            <w:bookmarkStart w:id="180" w:name="lt_pId418"/>
            <w:r>
              <w:rPr>
                <w:b w:val="0"/>
                <w:bCs w:val="0"/>
                <w:lang w:val="es-ES_tradnl"/>
              </w:rPr>
              <w:t xml:space="preserve">Utilización sustantiva de las Recomendaciones </w:t>
            </w:r>
            <w:bookmarkEnd w:id="180"/>
            <w:r>
              <w:rPr>
                <w:b w:val="0"/>
                <w:bCs w:val="0"/>
                <w:lang w:val="es-ES_tradnl"/>
              </w:rPr>
              <w:t>UIT-T</w:t>
            </w:r>
            <w:r w:rsidR="00DF29B8">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61242781" w14:textId="146832EA"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81" w:name="lt_pId419"/>
            <w:r w:rsidRPr="00585857">
              <w:rPr>
                <w:lang w:val="es-ES_tradnl"/>
              </w:rPr>
              <w:t>3</w:t>
            </w:r>
            <w:r w:rsidR="00F55308">
              <w:rPr>
                <w:lang w:val="es-ES_tradnl"/>
              </w:rPr>
              <w:t> </w:t>
            </w:r>
            <w:r w:rsidRPr="00585857">
              <w:rPr>
                <w:lang w:val="es-ES_tradnl"/>
              </w:rPr>
              <w:t xml:space="preserve">816 </w:t>
            </w:r>
            <w:r w:rsidR="008A066E" w:rsidRPr="00585857">
              <w:rPr>
                <w:lang w:val="es-ES_tradnl"/>
              </w:rPr>
              <w:t>participantes</w:t>
            </w:r>
            <w:r w:rsidRPr="00585857">
              <w:rPr>
                <w:lang w:val="es-ES_tradnl"/>
              </w:rPr>
              <w:t xml:space="preserve"> </w:t>
            </w:r>
            <w:r w:rsidR="008A066E">
              <w:rPr>
                <w:lang w:val="es-ES_tradnl"/>
              </w:rPr>
              <w:t>en Comisiones de Estudio</w:t>
            </w:r>
            <w:r w:rsidRPr="00585857">
              <w:rPr>
                <w:lang w:val="es-ES_tradnl"/>
              </w:rPr>
              <w:t xml:space="preserve"> (incl</w:t>
            </w:r>
            <w:bookmarkEnd w:id="181"/>
            <w:r w:rsidR="00992494">
              <w:rPr>
                <w:lang w:val="es-ES_tradnl"/>
              </w:rPr>
              <w:t>uidos</w:t>
            </w:r>
            <w:r w:rsidRPr="00585857">
              <w:rPr>
                <w:lang w:val="es-ES_tradnl"/>
              </w:rPr>
              <w:t xml:space="preserve"> </w:t>
            </w:r>
            <w:bookmarkStart w:id="182" w:name="lt_pId420"/>
            <w:r w:rsidR="00801A5C">
              <w:rPr>
                <w:lang w:val="es-ES_tradnl"/>
              </w:rPr>
              <w:t xml:space="preserve">Grupos </w:t>
            </w:r>
            <w:r w:rsidRPr="00585857">
              <w:rPr>
                <w:lang w:val="es-ES_tradnl"/>
              </w:rPr>
              <w:t>Reg</w:t>
            </w:r>
            <w:bookmarkStart w:id="183" w:name="lt_pId421"/>
            <w:bookmarkEnd w:id="182"/>
            <w:r w:rsidR="00992494">
              <w:rPr>
                <w:lang w:val="es-ES_tradnl"/>
              </w:rPr>
              <w:t>ionales</w:t>
            </w:r>
            <w:r w:rsidRPr="00585857">
              <w:rPr>
                <w:lang w:val="es-ES_tradnl"/>
              </w:rPr>
              <w:t>) (+1</w:t>
            </w:r>
            <w:r w:rsidR="00F55308">
              <w:rPr>
                <w:lang w:val="es-ES_tradnl"/>
              </w:rPr>
              <w:t>,</w:t>
            </w:r>
            <w:r w:rsidRPr="00585857">
              <w:rPr>
                <w:lang w:val="es-ES_tradnl"/>
              </w:rPr>
              <w:t xml:space="preserve">3% </w:t>
            </w:r>
            <w:r w:rsidR="00801A5C">
              <w:rPr>
                <w:lang w:val="es-ES_tradnl"/>
              </w:rPr>
              <w:t>respecto de</w:t>
            </w:r>
            <w:r w:rsidR="00880FCC">
              <w:rPr>
                <w:lang w:val="es-ES_tradnl"/>
              </w:rPr>
              <w:t> </w:t>
            </w:r>
            <w:r w:rsidRPr="00585857">
              <w:rPr>
                <w:lang w:val="es-ES_tradnl"/>
              </w:rPr>
              <w:t>2018).</w:t>
            </w:r>
            <w:bookmarkEnd w:id="183"/>
          </w:p>
          <w:p w14:paraId="430C71FB" w14:textId="5719F446"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84" w:name="lt_pId422"/>
            <w:r w:rsidRPr="00585857">
              <w:rPr>
                <w:lang w:val="es-ES_tradnl"/>
              </w:rPr>
              <w:t>2</w:t>
            </w:r>
            <w:r w:rsidR="00205CE2">
              <w:rPr>
                <w:lang w:val="es-ES_tradnl"/>
              </w:rPr>
              <w:t> </w:t>
            </w:r>
            <w:r w:rsidRPr="00585857">
              <w:rPr>
                <w:lang w:val="es-ES_tradnl"/>
              </w:rPr>
              <w:t>773</w:t>
            </w:r>
            <w:r w:rsidR="00205CE2">
              <w:rPr>
                <w:lang w:val="es-ES_tradnl"/>
              </w:rPr>
              <w:t> </w:t>
            </w:r>
            <w:r w:rsidRPr="00585857">
              <w:rPr>
                <w:lang w:val="es-ES_tradnl"/>
              </w:rPr>
              <w:t xml:space="preserve">275 </w:t>
            </w:r>
            <w:r w:rsidR="00801A5C">
              <w:rPr>
                <w:lang w:val="es-ES_tradnl"/>
              </w:rPr>
              <w:t>descargas de Recomendaciones UIT-T</w:t>
            </w:r>
            <w:r w:rsidRPr="00585857">
              <w:rPr>
                <w:lang w:val="es-ES_tradnl"/>
              </w:rPr>
              <w:t>.</w:t>
            </w:r>
            <w:bookmarkEnd w:id="184"/>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4F7D7629" w14:textId="1904F439" w:rsidR="00D4116C" w:rsidRPr="00585857" w:rsidRDefault="00801A5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85" w:name="lt_pId423"/>
            <w:r>
              <w:rPr>
                <w:lang w:val="es-ES_tradnl"/>
              </w:rPr>
              <w:t>Se mitigaron todos los riesgos potenciales. Crecimiento de la audiencia y buena respuesta a la demanda.</w:t>
            </w:r>
            <w:bookmarkEnd w:id="185"/>
          </w:p>
        </w:tc>
      </w:tr>
      <w:tr w:rsidR="00D4116C" w:rsidRPr="008F43A8" w14:paraId="5778F041"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9918A35" w14:textId="3289C38D" w:rsidR="00D4116C" w:rsidRPr="00585857" w:rsidRDefault="008A066E" w:rsidP="009473BC">
            <w:pPr>
              <w:pStyle w:val="Tabletext"/>
              <w:rPr>
                <w:b w:val="0"/>
                <w:bCs w:val="0"/>
                <w:lang w:val="es-ES_tradnl"/>
              </w:rPr>
            </w:pPr>
            <w:bookmarkStart w:id="186" w:name="lt_pId425"/>
            <w:r>
              <w:rPr>
                <w:b w:val="0"/>
                <w:bCs w:val="0"/>
                <w:lang w:val="es-ES_tradnl"/>
              </w:rPr>
              <w:t>Conformidad demostrada con las Recomendaciones UIT-T</w:t>
            </w:r>
            <w:r w:rsidR="00D4116C" w:rsidRPr="00585857">
              <w:rPr>
                <w:b w:val="0"/>
                <w:bCs w:val="0"/>
                <w:lang w:val="es-ES_tradnl"/>
              </w:rPr>
              <w:t>.</w:t>
            </w:r>
            <w:bookmarkEnd w:id="186"/>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4F6FDE55" w14:textId="7802D640"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170 </w:t>
            </w:r>
            <w:bookmarkStart w:id="187" w:name="lt_pId427"/>
            <w:r w:rsidR="00801A5C" w:rsidRPr="00585857">
              <w:rPr>
                <w:lang w:val="es-ES_tradnl"/>
              </w:rPr>
              <w:t>Recomendaciones</w:t>
            </w:r>
            <w:r w:rsidR="00801A5C">
              <w:rPr>
                <w:lang w:val="es-ES_tradnl"/>
              </w:rPr>
              <w:t xml:space="preserve"> en las que se describen especificaciones de prueba</w:t>
            </w:r>
            <w:bookmarkEnd w:id="187"/>
            <w:r w:rsidR="00CE59B0">
              <w:rPr>
                <w:lang w:val="es-ES_tradnl"/>
              </w:rPr>
              <w:t>.</w:t>
            </w:r>
          </w:p>
        </w:tc>
        <w:tc>
          <w:tcPr>
            <w:tcW w:w="4650"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11B13CDF" w14:textId="6E19EE52" w:rsidR="00D4116C" w:rsidRPr="00585857" w:rsidRDefault="00801A5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88" w:name="lt_pId428"/>
            <w:r>
              <w:rPr>
                <w:lang w:val="es-ES_tradnl"/>
              </w:rPr>
              <w:t>Los sistemas y la fuerza de trabajo hicieron frente a los requisitos y el nivel de demanda.</w:t>
            </w:r>
            <w:bookmarkEnd w:id="188"/>
          </w:p>
        </w:tc>
      </w:tr>
      <w:tr w:rsidR="00D4116C" w:rsidRPr="00585857" w14:paraId="0938F68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55A5E51F" w14:textId="75B417E0" w:rsidR="00D4116C" w:rsidRPr="00585857" w:rsidRDefault="008A066E" w:rsidP="009473BC">
            <w:pPr>
              <w:pStyle w:val="Tabletext"/>
              <w:rPr>
                <w:b w:val="0"/>
                <w:bCs w:val="0"/>
                <w:lang w:val="es-ES_tradnl"/>
              </w:rPr>
            </w:pPr>
            <w:bookmarkStart w:id="189" w:name="lt_pId429"/>
            <w:r>
              <w:rPr>
                <w:b w:val="0"/>
                <w:bCs w:val="0"/>
                <w:lang w:val="es-ES_tradnl"/>
              </w:rPr>
              <w:t>Gran número de nuevas áreas de trabajo (nuevos temas de trabajo y nuevas cuestiones)</w:t>
            </w:r>
            <w:bookmarkEnd w:id="189"/>
            <w:r w:rsidR="00DF29B8">
              <w:rPr>
                <w:b w:val="0"/>
                <w:bCs w:val="0"/>
                <w:lang w:val="es-ES_tradnl"/>
              </w:rPr>
              <w: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5853CB99" w14:textId="5D7D2AC7"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90" w:name="lt_pId430"/>
            <w:r w:rsidRPr="00585857">
              <w:rPr>
                <w:lang w:val="es-ES_tradnl"/>
              </w:rPr>
              <w:t xml:space="preserve"># </w:t>
            </w:r>
            <w:r w:rsidR="00801A5C">
              <w:rPr>
                <w:lang w:val="es-ES_tradnl"/>
              </w:rPr>
              <w:t>de nuevas Cuestiones</w:t>
            </w:r>
            <w:r w:rsidRPr="00585857">
              <w:rPr>
                <w:lang w:val="es-ES_tradnl"/>
              </w:rPr>
              <w:t>: 2</w:t>
            </w:r>
            <w:bookmarkEnd w:id="190"/>
            <w:r w:rsidR="00CE59B0">
              <w:rPr>
                <w:lang w:val="es-ES_tradnl"/>
              </w:rPr>
              <w:t>.</w:t>
            </w:r>
          </w:p>
          <w:p w14:paraId="21B697A8" w14:textId="25DF0656" w:rsidR="00D4116C" w:rsidRPr="00585857" w:rsidRDefault="00D4116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91" w:name="lt_pId431"/>
            <w:r w:rsidRPr="00585857">
              <w:rPr>
                <w:lang w:val="es-ES_tradnl"/>
              </w:rPr>
              <w:t xml:space="preserve"># </w:t>
            </w:r>
            <w:r w:rsidR="00801A5C">
              <w:rPr>
                <w:lang w:val="es-ES_tradnl"/>
              </w:rPr>
              <w:t>de nuevos temas de trabajo</w:t>
            </w:r>
            <w:r w:rsidRPr="00585857">
              <w:rPr>
                <w:lang w:val="es-ES_tradnl"/>
              </w:rPr>
              <w:t>: 433</w:t>
            </w:r>
            <w:bookmarkEnd w:id="191"/>
            <w:r w:rsidR="00CE59B0">
              <w:rPr>
                <w:lang w:val="es-ES_tradnl"/>
              </w:rPr>
              <w:t>.</w:t>
            </w:r>
          </w:p>
        </w:tc>
        <w:tc>
          <w:tcPr>
            <w:tcW w:w="4650"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74E4D129" w14:textId="13FB908B" w:rsidR="00D4116C" w:rsidRPr="00585857" w:rsidRDefault="00801A5C" w:rsidP="009473BC">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92" w:name="lt_pId432"/>
            <w:r>
              <w:rPr>
                <w:lang w:val="es-ES_tradnl"/>
              </w:rPr>
              <w:t>Véase más arriba</w:t>
            </w:r>
            <w:r w:rsidR="00D4116C" w:rsidRPr="00585857">
              <w:rPr>
                <w:lang w:val="es-ES_tradnl"/>
              </w:rPr>
              <w:t>.</w:t>
            </w:r>
            <w:bookmarkEnd w:id="192"/>
          </w:p>
        </w:tc>
      </w:tr>
    </w:tbl>
    <w:p w14:paraId="41EADC85" w14:textId="2AFFAC2B" w:rsidR="00D4116C" w:rsidRPr="00585857" w:rsidRDefault="007A5EE9" w:rsidP="009473BC">
      <w:pPr>
        <w:pStyle w:val="Headingb"/>
        <w:spacing w:after="120"/>
        <w:rPr>
          <w:i/>
          <w:iCs/>
          <w:lang w:val="es-ES_tradnl"/>
        </w:rPr>
      </w:pPr>
      <w:r>
        <w:rPr>
          <w:i/>
          <w:iCs/>
          <w:lang w:val="es-ES_tradnl"/>
        </w:rPr>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9473BC" w:rsidRPr="0086509F" w14:paraId="391D4C62"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A408CE8" w14:textId="585C3FC9" w:rsidR="009473BC" w:rsidRPr="0086509F" w:rsidRDefault="009473BC" w:rsidP="009473BC">
            <w:pPr>
              <w:pStyle w:val="Tablehead"/>
              <w:rPr>
                <w:b/>
                <w:i/>
                <w:iCs/>
                <w:lang w:val="es-ES_tradnl"/>
              </w:rPr>
            </w:pPr>
            <w:r w:rsidRPr="0086509F">
              <w:rPr>
                <w:b/>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796A9577" w14:textId="59AF3462" w:rsidR="009473BC" w:rsidRPr="0086509F" w:rsidRDefault="009473BC" w:rsidP="009473B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6509F">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08F4F9BC" w14:textId="2FC30A10" w:rsidR="009473BC" w:rsidRPr="0086509F" w:rsidRDefault="008A066E" w:rsidP="009473BC">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6509F">
              <w:rPr>
                <w:b/>
                <w:i/>
                <w:iCs/>
                <w:lang w:val="es-ES_tradnl"/>
              </w:rPr>
              <w:t>Indicadores de riesgo</w:t>
            </w:r>
          </w:p>
        </w:tc>
      </w:tr>
      <w:tr w:rsidR="00D4116C" w:rsidRPr="008F43A8" w14:paraId="58A59456"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34081016" w14:textId="6F85DEB9" w:rsidR="00D4116C" w:rsidRPr="00585857" w:rsidRDefault="009473BC" w:rsidP="00AD0BBA">
            <w:pPr>
              <w:pStyle w:val="Tabletext"/>
              <w:rPr>
                <w:b w:val="0"/>
                <w:bCs w:val="0"/>
                <w:lang w:val="es-ES_tradnl"/>
              </w:rPr>
            </w:pPr>
            <w:r w:rsidRPr="00585857">
              <w:rPr>
                <w:b w:val="0"/>
                <w:bCs w:val="0"/>
                <w:lang w:val="es-ES_tradnl"/>
              </w:rPr>
              <w:t>Mayor utilización de Recomendaciones UIT-T.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11B2F02A" w14:textId="77777777" w:rsidR="009473B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visitas del sitio web del UIT-T.</w:t>
            </w:r>
          </w:p>
          <w:p w14:paraId="18B42A9D" w14:textId="2EB5D556" w:rsidR="009473B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participantes en las Comisiones de Estudio (incluido</w:t>
            </w:r>
            <w:r w:rsidR="00992494">
              <w:rPr>
                <w:lang w:val="es-ES_tradnl"/>
              </w:rPr>
              <w:t>s</w:t>
            </w:r>
            <w:r w:rsidRPr="00585857">
              <w:rPr>
                <w:lang w:val="es-ES_tradnl"/>
              </w:rPr>
              <w:t xml:space="preserve"> Grupos Regionales).</w:t>
            </w:r>
          </w:p>
          <w:p w14:paraId="33C3F505" w14:textId="0B54561E" w:rsidR="00D4116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descargas de Recomendaciones UIT</w:t>
            </w:r>
            <w:r w:rsidR="007D7426" w:rsidRPr="00585857">
              <w:rPr>
                <w:lang w:val="es-ES_tradnl"/>
              </w:rPr>
              <w:noBreakHyphen/>
            </w:r>
            <w:r w:rsidRPr="00585857">
              <w:rPr>
                <w:lang w:val="es-ES_tradnl"/>
              </w:rPr>
              <w:t>T.</w:t>
            </w:r>
          </w:p>
        </w:tc>
        <w:tc>
          <w:tcPr>
            <w:tcW w:w="4650" w:type="dxa"/>
            <w:tcBorders>
              <w:top w:val="single" w:sz="8" w:space="0" w:color="4F81BD" w:themeColor="accent1"/>
              <w:left w:val="dotted" w:sz="4" w:space="0" w:color="4F81BD" w:themeColor="accent1"/>
              <w:bottom w:val="nil"/>
              <w:right w:val="nil"/>
            </w:tcBorders>
          </w:tcPr>
          <w:p w14:paraId="7F9B92C9" w14:textId="58C3D910" w:rsidR="00D4116C"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Dificultad creciente para implicar a las audiencias (nuevos actores, múltiples organizaciones que compiten por su atención)</w:t>
            </w:r>
            <w:r w:rsidR="00DF29B8">
              <w:rPr>
                <w:lang w:val="es-ES_tradnl"/>
              </w:rPr>
              <w:t>.</w:t>
            </w:r>
          </w:p>
          <w:p w14:paraId="0E5B1E49" w14:textId="73D8A1CB" w:rsidR="00D4116C"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versatilidad, agilidad y disposición de la fuerza laboral para adaptarse a la evolución de las necesidades</w:t>
            </w:r>
            <w:r w:rsidR="00DF29B8">
              <w:rPr>
                <w:lang w:val="es-ES_tradnl"/>
              </w:rPr>
              <w:t>.</w:t>
            </w:r>
          </w:p>
        </w:tc>
      </w:tr>
      <w:tr w:rsidR="00D4116C" w:rsidRPr="008F43A8" w14:paraId="12C7477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63387B76" w14:textId="0BEAF7EE" w:rsidR="00D4116C" w:rsidRPr="00585857" w:rsidRDefault="009473BC" w:rsidP="00AD0BBA">
            <w:pPr>
              <w:pStyle w:val="Tabletext"/>
              <w:rPr>
                <w:b w:val="0"/>
                <w:bCs w:val="0"/>
                <w:lang w:val="es-ES_tradnl"/>
              </w:rPr>
            </w:pPr>
            <w:r w:rsidRPr="00585857">
              <w:rPr>
                <w:b w:val="0"/>
                <w:bCs w:val="0"/>
                <w:lang w:val="es-ES_tradnl"/>
              </w:rPr>
              <w:t>Mejor conformidad con las Recomendaciones UIT</w:t>
            </w:r>
            <w:r w:rsidR="00F55308">
              <w:rPr>
                <w:b w:val="0"/>
                <w:bCs w:val="0"/>
                <w:lang w:val="es-ES_tradnl"/>
              </w:rPr>
              <w:t>-</w:t>
            </w:r>
            <w:r w:rsidRPr="00585857">
              <w:rPr>
                <w:b w:val="0"/>
                <w:bCs w:val="0"/>
                <w:lang w:val="es-ES_tradnl"/>
              </w:rPr>
              <w:t>T.</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65042288" w14:textId="77777777" w:rsidR="009473B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eventos de pruebas.</w:t>
            </w:r>
          </w:p>
          <w:p w14:paraId="6AADA7D3" w14:textId="77777777" w:rsidR="009473B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entradas en la base de datos de conformidad.</w:t>
            </w:r>
          </w:p>
          <w:p w14:paraId="5413A9CD" w14:textId="230C437D" w:rsidR="00D4116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Recomendaciones en que se describen especificaciones de prueba.</w:t>
            </w:r>
          </w:p>
        </w:tc>
        <w:tc>
          <w:tcPr>
            <w:tcW w:w="4650" w:type="dxa"/>
            <w:tcBorders>
              <w:top w:val="nil"/>
              <w:left w:val="dotted" w:sz="4" w:space="0" w:color="4F81BD" w:themeColor="accent1"/>
              <w:bottom w:val="nil"/>
              <w:right w:val="nil"/>
            </w:tcBorders>
          </w:tcPr>
          <w:p w14:paraId="11660B2C" w14:textId="77777777" w:rsidR="00D4116C" w:rsidRPr="00585857" w:rsidRDefault="00D4116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8F43A8" w14:paraId="349C0347"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20D67B7" w14:textId="484B395F" w:rsidR="00D4116C" w:rsidRPr="00585857" w:rsidRDefault="009473BC" w:rsidP="00AD0BBA">
            <w:pPr>
              <w:pStyle w:val="Tabletext"/>
              <w:rPr>
                <w:b w:val="0"/>
                <w:bCs w:val="0"/>
                <w:lang w:val="es-ES_tradnl"/>
              </w:rPr>
            </w:pPr>
            <w:r w:rsidRPr="00585857">
              <w:rPr>
                <w:b w:val="0"/>
                <w:bCs w:val="0"/>
                <w:lang w:val="es-ES_tradnl"/>
              </w:rPr>
              <w:t>Mejores normas sobre nuevos servicios y tecnologías.</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575095E5" w14:textId="1A15B525" w:rsidR="00D4116C" w:rsidRPr="00585857" w:rsidRDefault="009473B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nuevos ámbitos de trabajo (Cuestiones de Comisiones de Estudio, temas de trabajo y normas resultantes, ya sea en el UIT-T o en colaboración con otros grupos).</w:t>
            </w:r>
          </w:p>
        </w:tc>
        <w:tc>
          <w:tcPr>
            <w:tcW w:w="4650" w:type="dxa"/>
            <w:tcBorders>
              <w:top w:val="nil"/>
              <w:left w:val="dotted" w:sz="4" w:space="0" w:color="4F81BD" w:themeColor="accent1"/>
              <w:bottom w:val="single" w:sz="4" w:space="0" w:color="B8CCE4" w:themeColor="accent1" w:themeTint="66"/>
              <w:right w:val="nil"/>
            </w:tcBorders>
          </w:tcPr>
          <w:p w14:paraId="499357CC" w14:textId="77777777" w:rsidR="00D4116C" w:rsidRPr="00585857" w:rsidRDefault="00D4116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60369049" w14:textId="77777777" w:rsidR="00D4116C" w:rsidRPr="00585857" w:rsidRDefault="00D4116C" w:rsidP="00D4116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284A2407" w14:textId="1B916AF4" w:rsidR="00D4116C" w:rsidRPr="00585857" w:rsidRDefault="00D4116C" w:rsidP="00F04E0C">
      <w:pPr>
        <w:pStyle w:val="Heading3"/>
        <w:rPr>
          <w:lang w:val="es-ES_tradnl"/>
        </w:rPr>
      </w:pPr>
      <w:bookmarkStart w:id="193" w:name="lt_pId452"/>
      <w:bookmarkStart w:id="194" w:name="_Toc33632259"/>
      <w:r w:rsidRPr="00585857">
        <w:rPr>
          <w:lang w:val="es-ES_tradnl"/>
        </w:rPr>
        <w:lastRenderedPageBreak/>
        <w:t xml:space="preserve">II.3.2 </w:t>
      </w:r>
      <w:r w:rsidR="00AD0BBA" w:rsidRPr="00585857">
        <w:rPr>
          <w:lang w:val="es-ES_tradnl"/>
        </w:rPr>
        <w:t>–</w:t>
      </w:r>
      <w:r w:rsidRPr="00585857">
        <w:rPr>
          <w:lang w:val="es-ES_tradnl"/>
        </w:rPr>
        <w:t xml:space="preserve"> T.2 </w:t>
      </w:r>
      <w:bookmarkEnd w:id="193"/>
      <w:r w:rsidR="00AD0BBA" w:rsidRPr="00585857">
        <w:rPr>
          <w:lang w:val="es-ES_tradnl"/>
        </w:rPr>
        <w:t>Reducción de la brecha normativa</w:t>
      </w:r>
      <w:bookmarkEnd w:id="194"/>
    </w:p>
    <w:p w14:paraId="3F54DC69" w14:textId="7F574660" w:rsidR="00D4116C" w:rsidRPr="00585857" w:rsidRDefault="00AD0BBA" w:rsidP="00AD0BBA">
      <w:pPr>
        <w:pStyle w:val="Headingb"/>
        <w:rPr>
          <w:i/>
          <w:iCs/>
          <w:lang w:val="es-ES_tradnl"/>
        </w:rPr>
      </w:pPr>
      <w:r w:rsidRPr="00585857">
        <w:rPr>
          <w:i/>
          <w:iCs/>
          <w:lang w:val="es-ES_tradnl"/>
        </w:rPr>
        <w:t>Descripción del objetivo</w:t>
      </w:r>
    </w:p>
    <w:p w14:paraId="3780098E" w14:textId="07A35EF5" w:rsidR="00D4116C" w:rsidRPr="00585857" w:rsidRDefault="00AD0BBA" w:rsidP="00AD0BBA">
      <w:pPr>
        <w:rPr>
          <w:lang w:val="es-ES_tradnl"/>
        </w:rPr>
      </w:pPr>
      <w:r w:rsidRPr="00585857">
        <w:rPr>
          <w:lang w:val="es-ES_tradnl"/>
        </w:rPr>
        <w:t xml:space="preserve">Promover la participación activa de los </w:t>
      </w:r>
      <w:r w:rsidR="009500C9" w:rsidRPr="00585857">
        <w:rPr>
          <w:lang w:val="es-ES_tradnl"/>
        </w:rPr>
        <w:t>m</w:t>
      </w:r>
      <w:r w:rsidRPr="00585857">
        <w:rPr>
          <w:lang w:val="es-ES_tradnl"/>
        </w:rPr>
        <w:t>iembros y en particular los países en desarrollo, en la definición y adopción de normas internacionales no discriminatorias de telecomunicaciones/TIC (Recomendaciones UIT-T) con miras a reducir la disparidad en materia de normalización.</w:t>
      </w:r>
    </w:p>
    <w:p w14:paraId="5761A31B" w14:textId="19B2E08B" w:rsidR="00D4116C" w:rsidRPr="00585857" w:rsidRDefault="00AD0BBA" w:rsidP="00AD0BBA">
      <w:pPr>
        <w:rPr>
          <w:lang w:val="es-ES_tradnl"/>
        </w:rPr>
      </w:pPr>
      <w:bookmarkStart w:id="195" w:name="lt_pId455"/>
      <w:r w:rsidRPr="00585857">
        <w:rPr>
          <w:lang w:val="es-ES_tradnl"/>
        </w:rPr>
        <w:t xml:space="preserve">El Objetivo T.2 utiliza el </w:t>
      </w:r>
      <w:r w:rsidR="00D4116C" w:rsidRPr="00585857">
        <w:rPr>
          <w:lang w:val="es-ES_tradnl"/>
        </w:rPr>
        <w:t>22</w:t>
      </w:r>
      <w:r w:rsidRPr="00585857">
        <w:rPr>
          <w:lang w:val="es-ES_tradnl"/>
        </w:rPr>
        <w:t>,</w:t>
      </w:r>
      <w:r w:rsidR="00D4116C" w:rsidRPr="00585857">
        <w:rPr>
          <w:lang w:val="es-ES_tradnl"/>
        </w:rPr>
        <w:t>30 </w:t>
      </w:r>
      <w:r w:rsidRPr="00585857">
        <w:rPr>
          <w:lang w:val="es-ES_tradnl"/>
        </w:rPr>
        <w:t xml:space="preserve">por ciento de los recursos previstos para los objetivos del UIT-T, un </w:t>
      </w:r>
      <w:r w:rsidR="00D4116C" w:rsidRPr="00585857">
        <w:rPr>
          <w:lang w:val="es-ES_tradnl"/>
        </w:rPr>
        <w:t>3</w:t>
      </w:r>
      <w:r w:rsidRPr="00585857">
        <w:rPr>
          <w:lang w:val="es-ES_tradnl"/>
        </w:rPr>
        <w:t>,</w:t>
      </w:r>
      <w:r w:rsidR="00D4116C" w:rsidRPr="00585857">
        <w:rPr>
          <w:lang w:val="es-ES_tradnl"/>
        </w:rPr>
        <w:t>69 </w:t>
      </w:r>
      <w:r w:rsidRPr="00585857">
        <w:rPr>
          <w:lang w:val="es-ES_tradnl"/>
        </w:rPr>
        <w:t>por ciento de los recursos previstos de la</w:t>
      </w:r>
      <w:r w:rsidR="00F04E0C" w:rsidRPr="00585857">
        <w:rPr>
          <w:lang w:val="es-ES_tradnl"/>
        </w:rPr>
        <w:t> </w:t>
      </w:r>
      <w:r w:rsidRPr="00585857">
        <w:rPr>
          <w:lang w:val="es-ES_tradnl"/>
        </w:rPr>
        <w:t xml:space="preserve">UIT para </w:t>
      </w:r>
      <w:r w:rsidR="00D4116C" w:rsidRPr="00585857">
        <w:rPr>
          <w:lang w:val="es-ES_tradnl"/>
        </w:rPr>
        <w:t>2021-2024.</w:t>
      </w:r>
      <w:bookmarkEnd w:id="195"/>
    </w:p>
    <w:p w14:paraId="430CDE08" w14:textId="73E03972" w:rsidR="00D4116C" w:rsidRDefault="007A5EE9" w:rsidP="00AD0BBA">
      <w:pPr>
        <w:pStyle w:val="Headingb"/>
        <w:rPr>
          <w:i/>
          <w:iCs/>
          <w:lang w:val="es-ES_tradnl"/>
        </w:rPr>
      </w:pPr>
      <w:r>
        <w:rPr>
          <w:i/>
          <w:iCs/>
          <w:lang w:val="es-ES_tradnl"/>
        </w:rPr>
        <w:t>Resumen de la atribución de costes</w:t>
      </w:r>
    </w:p>
    <w:p w14:paraId="7C08CC43" w14:textId="495C98A5" w:rsidR="0086509F" w:rsidRPr="0086509F" w:rsidRDefault="0086509F" w:rsidP="0086509F">
      <w:pPr>
        <w:jc w:val="center"/>
        <w:rPr>
          <w:lang w:val="es-ES_tradnl"/>
        </w:rPr>
      </w:pPr>
      <w:r w:rsidRPr="0086509F">
        <w:rPr>
          <w:noProof/>
        </w:rPr>
        <w:drawing>
          <wp:inline distT="0" distB="0" distL="0" distR="0" wp14:anchorId="0BD1FBCF" wp14:editId="0058DBAB">
            <wp:extent cx="8301600" cy="248040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01600" cy="2480400"/>
                    </a:xfrm>
                    <a:prstGeom prst="rect">
                      <a:avLst/>
                    </a:prstGeom>
                    <a:noFill/>
                    <a:ln>
                      <a:noFill/>
                    </a:ln>
                  </pic:spPr>
                </pic:pic>
              </a:graphicData>
            </a:graphic>
          </wp:inline>
        </w:drawing>
      </w:r>
    </w:p>
    <w:p w14:paraId="4EA9DCED" w14:textId="0704FCD8" w:rsidR="00D4116C" w:rsidRPr="00585857" w:rsidRDefault="007A5EE9" w:rsidP="00AD0BBA">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86509F" w14:paraId="0C3B90E4"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781DF092" w14:textId="4C2AA111" w:rsidR="00D4116C" w:rsidRPr="0086509F" w:rsidRDefault="008A066E" w:rsidP="00AD0BBA">
            <w:pPr>
              <w:pStyle w:val="Tablehead"/>
              <w:rPr>
                <w:b/>
                <w:bCs w:val="0"/>
                <w:i/>
                <w:iCs/>
                <w:lang w:val="es-ES_tradnl"/>
              </w:rPr>
            </w:pPr>
            <w:r w:rsidRPr="0086509F">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2FA31A9C" w14:textId="4352EE4A" w:rsidR="00D4116C" w:rsidRPr="0086509F" w:rsidRDefault="008A066E" w:rsidP="00AD0BBA">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1F409908" w14:textId="64A209B7" w:rsidR="00D4116C" w:rsidRPr="0086509F" w:rsidRDefault="00D4116C" w:rsidP="00AD0BBA">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196" w:name="lt_pId461"/>
            <w:r w:rsidRPr="0086509F">
              <w:rPr>
                <w:b/>
                <w:bCs w:val="0"/>
                <w:i/>
                <w:iCs/>
                <w:lang w:val="es-ES_tradnl"/>
              </w:rPr>
              <w:t>Ri</w:t>
            </w:r>
            <w:r w:rsidR="00801A5C" w:rsidRPr="0086509F">
              <w:rPr>
                <w:b/>
                <w:bCs w:val="0"/>
                <w:i/>
                <w:iCs/>
                <w:lang w:val="es-ES_tradnl"/>
              </w:rPr>
              <w:t>esgo</w:t>
            </w:r>
            <w:bookmarkEnd w:id="196"/>
          </w:p>
        </w:tc>
      </w:tr>
      <w:tr w:rsidR="00D4116C" w:rsidRPr="008F43A8" w14:paraId="69668467" w14:textId="77777777" w:rsidTr="00F55308">
        <w:trPr>
          <w:cantSplit/>
        </w:trPr>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080F1EB6" w14:textId="217E816C" w:rsidR="00D4116C" w:rsidRPr="00585857" w:rsidRDefault="00801A5C" w:rsidP="00AD0BBA">
            <w:pPr>
              <w:pStyle w:val="Tabletext"/>
              <w:rPr>
                <w:b w:val="0"/>
                <w:bCs w:val="0"/>
                <w:lang w:val="es-ES_tradnl"/>
              </w:rPr>
            </w:pPr>
            <w:bookmarkStart w:id="197" w:name="lt_pId462"/>
            <w:r>
              <w:rPr>
                <w:b w:val="0"/>
                <w:bCs w:val="0"/>
                <w:lang w:val="es-ES_tradnl"/>
              </w:rPr>
              <w:t>Se ha incrementado de manera importante la participación en el proceso de normalización del</w:t>
            </w:r>
            <w:r w:rsidR="00DF29B8">
              <w:rPr>
                <w:b w:val="0"/>
                <w:bCs w:val="0"/>
                <w:lang w:val="es-ES_tradnl"/>
              </w:rPr>
              <w:t> </w:t>
            </w:r>
            <w:r>
              <w:rPr>
                <w:b w:val="0"/>
                <w:bCs w:val="0"/>
                <w:lang w:val="es-ES_tradnl"/>
              </w:rPr>
              <w:t>UIT-T en términos del número d</w:t>
            </w:r>
            <w:r w:rsidR="009500C9">
              <w:rPr>
                <w:b w:val="0"/>
                <w:bCs w:val="0"/>
                <w:lang w:val="es-ES_tradnl"/>
              </w:rPr>
              <w:t>e</w:t>
            </w:r>
            <w:r>
              <w:rPr>
                <w:b w:val="0"/>
                <w:bCs w:val="0"/>
                <w:lang w:val="es-ES_tradnl"/>
              </w:rPr>
              <w:t xml:space="preserve"> reuniones presenciales y de reuniones por medios electrónicos y del número de participantes.</w:t>
            </w:r>
            <w:bookmarkEnd w:id="197"/>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4719EAAF" w14:textId="472C0982" w:rsidR="00D4116C" w:rsidRPr="00585857" w:rsidRDefault="00D4116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198" w:name="lt_pId463"/>
            <w:r w:rsidRPr="00585857">
              <w:rPr>
                <w:lang w:val="es-ES_tradnl"/>
              </w:rPr>
              <w:t xml:space="preserve">148 </w:t>
            </w:r>
            <w:r w:rsidR="00801A5C">
              <w:rPr>
                <w:lang w:val="es-ES_tradnl"/>
              </w:rPr>
              <w:t>reuniones</w:t>
            </w:r>
            <w:r w:rsidRPr="00585857">
              <w:rPr>
                <w:lang w:val="es-ES_tradnl"/>
              </w:rPr>
              <w:t xml:space="preserve"> (</w:t>
            </w:r>
            <w:r w:rsidR="00801A5C">
              <w:rPr>
                <w:lang w:val="es-ES_tradnl"/>
              </w:rPr>
              <w:t>CE</w:t>
            </w:r>
            <w:r w:rsidRPr="00585857">
              <w:rPr>
                <w:lang w:val="es-ES_tradnl"/>
              </w:rPr>
              <w:t xml:space="preserve">, </w:t>
            </w:r>
            <w:r w:rsidR="00801A5C">
              <w:rPr>
                <w:lang w:val="es-ES_tradnl"/>
              </w:rPr>
              <w:t>GT</w:t>
            </w:r>
            <w:r w:rsidRPr="00585857">
              <w:rPr>
                <w:lang w:val="es-ES_tradnl"/>
              </w:rPr>
              <w:t xml:space="preserve">, </w:t>
            </w:r>
            <w:r w:rsidR="00801A5C">
              <w:rPr>
                <w:lang w:val="es-ES_tradnl"/>
              </w:rPr>
              <w:t>reuniones de Grupos Regionales y Talleres</w:t>
            </w:r>
            <w:r w:rsidRPr="00585857">
              <w:rPr>
                <w:lang w:val="es-ES_tradnl"/>
              </w:rPr>
              <w:t>).</w:t>
            </w:r>
            <w:bookmarkEnd w:id="198"/>
            <w:r w:rsidRPr="00585857">
              <w:rPr>
                <w:lang w:val="es-ES_tradnl"/>
              </w:rPr>
              <w:t xml:space="preserve"> +8</w:t>
            </w:r>
            <w:r w:rsidR="00350F9E">
              <w:rPr>
                <w:lang w:val="es-ES_tradnl"/>
              </w:rPr>
              <w:t>,</w:t>
            </w:r>
            <w:r w:rsidRPr="00585857">
              <w:rPr>
                <w:lang w:val="es-ES_tradnl"/>
              </w:rPr>
              <w:t>03%.</w:t>
            </w:r>
          </w:p>
          <w:p w14:paraId="484D08C0" w14:textId="10ECD07B" w:rsidR="00D4116C" w:rsidRPr="00585857" w:rsidRDefault="00D4116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235 </w:t>
            </w:r>
            <w:bookmarkStart w:id="199" w:name="lt_pId466"/>
            <w:r w:rsidR="00801A5C">
              <w:rPr>
                <w:lang w:val="es-ES_tradnl"/>
              </w:rPr>
              <w:t xml:space="preserve">reuniones de Relator, un 10% más respecto de </w:t>
            </w:r>
            <w:r w:rsidRPr="00585857">
              <w:rPr>
                <w:lang w:val="es-ES_tradnl"/>
              </w:rPr>
              <w:t>2018.</w:t>
            </w:r>
            <w:bookmarkEnd w:id="199"/>
          </w:p>
          <w:p w14:paraId="4E558B09" w14:textId="46772AA7" w:rsidR="00D4116C" w:rsidRPr="00585857" w:rsidRDefault="00D4116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00" w:name="lt_pId467"/>
            <w:r w:rsidRPr="00585857">
              <w:rPr>
                <w:lang w:val="es-ES_tradnl"/>
              </w:rPr>
              <w:t>1</w:t>
            </w:r>
            <w:r w:rsidR="00350F9E">
              <w:rPr>
                <w:lang w:val="es-ES_tradnl"/>
              </w:rPr>
              <w:t> </w:t>
            </w:r>
            <w:r w:rsidRPr="00585857">
              <w:rPr>
                <w:lang w:val="es-ES_tradnl"/>
              </w:rPr>
              <w:t xml:space="preserve">878 </w:t>
            </w:r>
            <w:r w:rsidR="00801A5C">
              <w:rPr>
                <w:lang w:val="es-ES_tradnl"/>
              </w:rPr>
              <w:t>reuniones por medios electrónicos</w:t>
            </w:r>
            <w:r w:rsidRPr="00585857">
              <w:rPr>
                <w:lang w:val="es-ES_tradnl"/>
              </w:rPr>
              <w:t>, +20</w:t>
            </w:r>
            <w:r w:rsidR="00350F9E">
              <w:rPr>
                <w:lang w:val="es-ES_tradnl"/>
              </w:rPr>
              <w:t>,</w:t>
            </w:r>
            <w:r w:rsidRPr="00585857">
              <w:rPr>
                <w:lang w:val="es-ES_tradnl"/>
              </w:rPr>
              <w:t xml:space="preserve">54% </w:t>
            </w:r>
            <w:r w:rsidR="00801A5C">
              <w:rPr>
                <w:lang w:val="es-ES_tradnl"/>
              </w:rPr>
              <w:t>respecto de</w:t>
            </w:r>
            <w:r w:rsidRPr="00585857">
              <w:rPr>
                <w:lang w:val="es-ES_tradnl"/>
              </w:rPr>
              <w:t xml:space="preserve"> 2018.</w:t>
            </w:r>
            <w:bookmarkEnd w:id="200"/>
            <w:r w:rsidRPr="00585857">
              <w:rPr>
                <w:lang w:val="es-ES_tradnl"/>
              </w:rPr>
              <w:t xml:space="preserve"> </w:t>
            </w:r>
            <w:bookmarkStart w:id="201" w:name="lt_pId468"/>
            <w:r w:rsidRPr="00585857">
              <w:rPr>
                <w:lang w:val="es-ES_tradnl"/>
              </w:rPr>
              <w:t xml:space="preserve">10 798 </w:t>
            </w:r>
            <w:r w:rsidR="00801A5C" w:rsidRPr="00585857">
              <w:rPr>
                <w:lang w:val="es-ES_tradnl"/>
              </w:rPr>
              <w:t>participantes</w:t>
            </w:r>
            <w:r w:rsidRPr="00585857">
              <w:rPr>
                <w:lang w:val="es-ES_tradnl"/>
              </w:rPr>
              <w:t>, +29</w:t>
            </w:r>
            <w:r w:rsidR="00350F9E">
              <w:rPr>
                <w:lang w:val="es-ES_tradnl"/>
              </w:rPr>
              <w:t>,</w:t>
            </w:r>
            <w:r w:rsidRPr="00585857">
              <w:rPr>
                <w:lang w:val="es-ES_tradnl"/>
              </w:rPr>
              <w:t xml:space="preserve">27% </w:t>
            </w:r>
            <w:r w:rsidR="00801A5C">
              <w:rPr>
                <w:lang w:val="es-ES_tradnl"/>
              </w:rPr>
              <w:t>respecto de</w:t>
            </w:r>
            <w:r w:rsidRPr="00585857">
              <w:rPr>
                <w:lang w:val="es-ES_tradnl"/>
              </w:rPr>
              <w:t xml:space="preserve"> 2018.</w:t>
            </w:r>
            <w:bookmarkEnd w:id="201"/>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42C3B794" w14:textId="6C6B1F70" w:rsidR="00D4116C" w:rsidRPr="00585857" w:rsidRDefault="00801A5C"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02" w:name="lt_pId469"/>
            <w:r>
              <w:rPr>
                <w:lang w:val="es-ES_tradnl"/>
              </w:rPr>
              <w:t>Los riesgos se mitigaron adecuadamente. Se facilitaron todas las instalaciones y el apoyo, y la participación y el nivel de compromiso de las partes interesadas fueron satisfactorios.</w:t>
            </w:r>
            <w:bookmarkEnd w:id="202"/>
          </w:p>
        </w:tc>
      </w:tr>
    </w:tbl>
    <w:p w14:paraId="14FC74F4" w14:textId="74B2A06F" w:rsidR="00D4116C" w:rsidRPr="00585857" w:rsidRDefault="007A5EE9" w:rsidP="00AD0BBA">
      <w:pPr>
        <w:pStyle w:val="Headingb"/>
        <w:spacing w:after="120"/>
        <w:rPr>
          <w:i/>
          <w:iCs/>
          <w:lang w:val="es-ES_tradnl"/>
        </w:rPr>
      </w:pPr>
      <w:r>
        <w:rPr>
          <w:i/>
          <w:iCs/>
          <w:lang w:val="es-ES_tradnl"/>
        </w:rPr>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AD0BBA" w:rsidRPr="0086509F" w14:paraId="2B4E3B0E"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231CF842" w14:textId="3C6835A5" w:rsidR="00AD0BBA" w:rsidRPr="0086509F" w:rsidRDefault="00AD0BBA" w:rsidP="00AD0BBA">
            <w:pPr>
              <w:pStyle w:val="Tablehead"/>
              <w:rPr>
                <w:b/>
                <w:bCs w:val="0"/>
                <w:i/>
                <w:iCs/>
                <w:lang w:val="es-ES_tradnl"/>
              </w:rPr>
            </w:pPr>
            <w:r w:rsidRPr="0086509F">
              <w:rPr>
                <w:b/>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296CBD17" w14:textId="73FEB991" w:rsidR="00AD0BBA" w:rsidRPr="0086509F" w:rsidRDefault="00AD0BBA" w:rsidP="00AD0BBA">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4B9EEF46" w14:textId="239DA2BC" w:rsidR="00AD0BBA" w:rsidRPr="0086509F" w:rsidRDefault="008A066E" w:rsidP="00AD0BBA">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Indicadores de riesgo</w:t>
            </w:r>
          </w:p>
        </w:tc>
      </w:tr>
      <w:tr w:rsidR="00D4116C" w:rsidRPr="008F43A8" w14:paraId="2D6C223E"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733C4DC4" w14:textId="714CE185" w:rsidR="00D4116C" w:rsidRPr="00585857" w:rsidRDefault="00AD0BBA" w:rsidP="00AD0BBA">
            <w:pPr>
              <w:pStyle w:val="Tabletext"/>
              <w:rPr>
                <w:b w:val="0"/>
                <w:bCs w:val="0"/>
                <w:lang w:val="es-ES_tradnl"/>
              </w:rPr>
            </w:pPr>
            <w:r w:rsidRPr="00585857">
              <w:rPr>
                <w:b w:val="0"/>
                <w:bCs w:val="0"/>
                <w:lang w:val="es-ES_tradnl"/>
              </w:rPr>
              <w:t>Mayor participación en el proceso de normalización del UIT-T, incluida la asistencia a reuniones, la presentación de contribuciones, la adopción de posiciones de liderazgo y la acogida de reuniones/talleres, especialmente por parte de los países en desarrollo.</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4F81BD" w:themeColor="accent1"/>
            </w:tcBorders>
          </w:tcPr>
          <w:p w14:paraId="074B9017" w14:textId="77777777" w:rsidR="00AD0BBA"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 de CE, reuniones de GT, reuniones del Grupo Regional y talleres celebrados (dentro y fuera de Ginebra).</w:t>
            </w:r>
          </w:p>
          <w:p w14:paraId="78E3700F" w14:textId="77777777" w:rsidR="00AD0BBA"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 de Grupo de Relator y número de participantes.</w:t>
            </w:r>
          </w:p>
          <w:p w14:paraId="484EE802" w14:textId="77777777" w:rsidR="00AD0BBA"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 virtuales y número de participantes.</w:t>
            </w:r>
          </w:p>
          <w:p w14:paraId="1627789C" w14:textId="77777777" w:rsidR="00AD0BBA"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contribuciones presentadas por participantes procedentes de PMA, países en desarrollo y países desarrollados (por separado).</w:t>
            </w:r>
          </w:p>
          <w:p w14:paraId="7E6115AC" w14:textId="034AB106" w:rsidR="00D4116C"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puestos de liderazgo (presidencia/vicepresidencia de Comisiones de Estudio, presidencia de Grupos de Relator, editor) ocupados por países en desarrollo y PMA.</w:t>
            </w:r>
          </w:p>
        </w:tc>
        <w:tc>
          <w:tcPr>
            <w:tcW w:w="4650" w:type="dxa"/>
            <w:tcBorders>
              <w:top w:val="single" w:sz="8" w:space="0" w:color="4F81BD" w:themeColor="accent1"/>
              <w:left w:val="dotted" w:sz="4" w:space="0" w:color="4F81BD" w:themeColor="accent1"/>
              <w:bottom w:val="nil"/>
              <w:right w:val="nil"/>
            </w:tcBorders>
          </w:tcPr>
          <w:p w14:paraId="0188FFA2" w14:textId="5AC08188" w:rsidR="00AD7555" w:rsidRPr="00585857" w:rsidRDefault="00AD7555" w:rsidP="00AD7555">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r w:rsidR="00DF29B8">
              <w:rPr>
                <w:lang w:val="es-ES_tradnl"/>
              </w:rPr>
              <w:t>.</w:t>
            </w:r>
          </w:p>
          <w:p w14:paraId="41EC9DBD" w14:textId="263632D9" w:rsidR="00D4116C" w:rsidRPr="00585857" w:rsidRDefault="001E1E3C" w:rsidP="00AD7555">
            <w:pPr>
              <w:pStyle w:val="Tabletext"/>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Falta de recursos humanos y financieros</w:t>
            </w:r>
            <w:r w:rsidR="00DF29B8">
              <w:rPr>
                <w:lang w:val="es-ES_tradnl"/>
              </w:rPr>
              <w:t>.</w:t>
            </w:r>
          </w:p>
        </w:tc>
      </w:tr>
      <w:tr w:rsidR="00D4116C" w:rsidRPr="008F43A8" w14:paraId="07BA465F"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86A8269" w14:textId="0C90A260" w:rsidR="00D4116C" w:rsidRPr="00585857" w:rsidRDefault="00AD0BBA" w:rsidP="00AD0BBA">
            <w:pPr>
              <w:pStyle w:val="Tabletext"/>
              <w:rPr>
                <w:b w:val="0"/>
                <w:bCs w:val="0"/>
                <w:lang w:val="es-ES_tradnl"/>
              </w:rPr>
            </w:pPr>
            <w:r w:rsidRPr="00585857">
              <w:rPr>
                <w:b w:val="0"/>
                <w:bCs w:val="0"/>
                <w:lang w:val="es-ES_tradnl"/>
              </w:rPr>
              <w:t>Aumento del número de Miembros del UIT-T, incluidos Miembros de Sector, Asociados e Instituciones Académicas.</w:t>
            </w:r>
          </w:p>
        </w:tc>
        <w:tc>
          <w:tcPr>
            <w:tcW w:w="4649"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4F81BD" w:themeColor="accent1"/>
            </w:tcBorders>
          </w:tcPr>
          <w:p w14:paraId="1919C07A" w14:textId="0697296E" w:rsidR="00D4116C" w:rsidRPr="00585857" w:rsidRDefault="00AD0BBA" w:rsidP="00AD0BB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(neto) de Miembros de Sector, Asociados e Instituciones Académicas de países desarrollados y en desarrollo (por separado).</w:t>
            </w:r>
          </w:p>
        </w:tc>
        <w:tc>
          <w:tcPr>
            <w:tcW w:w="4650" w:type="dxa"/>
            <w:tcBorders>
              <w:top w:val="nil"/>
              <w:left w:val="dotted" w:sz="4" w:space="0" w:color="4F81BD" w:themeColor="accent1"/>
              <w:bottom w:val="single" w:sz="4" w:space="0" w:color="B8CCE4" w:themeColor="accent1" w:themeTint="66"/>
              <w:right w:val="nil"/>
            </w:tcBorders>
          </w:tcPr>
          <w:p w14:paraId="0BF9C2FE" w14:textId="77777777" w:rsidR="00D4116C" w:rsidRPr="00585857" w:rsidRDefault="00D4116C" w:rsidP="00D4116C">
            <w:pPr>
              <w:tabs>
                <w:tab w:val="clear" w:pos="794"/>
                <w:tab w:val="clear" w:pos="1191"/>
                <w:tab w:val="clear" w:pos="1588"/>
                <w:tab w:val="clear" w:pos="1985"/>
              </w:tabs>
              <w:overflowPunct/>
              <w:autoSpaceDE/>
              <w:autoSpaceDN/>
              <w:adjustRightInd/>
              <w:spacing w:before="0" w:after="200" w:line="276" w:lineRule="auto"/>
              <w:textAlignment w:val="auto"/>
              <w:cnfStyle w:val="000000000000" w:firstRow="0" w:lastRow="0" w:firstColumn="0" w:lastColumn="0" w:oddVBand="0" w:evenVBand="0" w:oddHBand="0" w:evenHBand="0" w:firstRowFirstColumn="0" w:firstRowLastColumn="0" w:lastRowFirstColumn="0" w:lastRowLastColumn="0"/>
              <w:rPr>
                <w:lang w:val="es-ES_tradnl"/>
              </w:rPr>
            </w:pPr>
          </w:p>
        </w:tc>
      </w:tr>
    </w:tbl>
    <w:p w14:paraId="102A518D" w14:textId="77777777" w:rsidR="00D4116C" w:rsidRPr="00585857" w:rsidRDefault="00D4116C" w:rsidP="00D4116C">
      <w:pPr>
        <w:tabs>
          <w:tab w:val="clear" w:pos="794"/>
          <w:tab w:val="clear" w:pos="1191"/>
          <w:tab w:val="clear" w:pos="1588"/>
          <w:tab w:val="clear" w:pos="1985"/>
        </w:tabs>
        <w:overflowPunct/>
        <w:autoSpaceDE/>
        <w:autoSpaceDN/>
        <w:adjustRightInd/>
        <w:spacing w:before="0" w:after="200" w:line="276" w:lineRule="auto"/>
        <w:textAlignment w:val="auto"/>
        <w:rPr>
          <w:b/>
          <w:bCs/>
          <w:iCs/>
          <w:lang w:val="es-ES_tradnl"/>
        </w:rPr>
      </w:pPr>
      <w:r w:rsidRPr="00585857">
        <w:rPr>
          <w:b/>
          <w:bCs/>
          <w:lang w:val="es-ES_tradnl"/>
        </w:rPr>
        <w:br w:type="page"/>
      </w:r>
    </w:p>
    <w:p w14:paraId="42875A0D" w14:textId="71EC2B69" w:rsidR="00D4116C" w:rsidRPr="00585857" w:rsidRDefault="00D4116C" w:rsidP="00F04E0C">
      <w:pPr>
        <w:pStyle w:val="Heading3"/>
        <w:rPr>
          <w:lang w:val="es-ES_tradnl"/>
        </w:rPr>
      </w:pPr>
      <w:bookmarkStart w:id="203" w:name="lt_pId486"/>
      <w:bookmarkStart w:id="204" w:name="_Toc33632260"/>
      <w:r w:rsidRPr="00585857">
        <w:rPr>
          <w:lang w:val="es-ES_tradnl"/>
        </w:rPr>
        <w:lastRenderedPageBreak/>
        <w:t xml:space="preserve">II.3.3 </w:t>
      </w:r>
      <w:r w:rsidR="00645CB9" w:rsidRPr="00585857">
        <w:rPr>
          <w:lang w:val="es-ES_tradnl"/>
        </w:rPr>
        <w:t>–</w:t>
      </w:r>
      <w:r w:rsidRPr="00585857">
        <w:rPr>
          <w:lang w:val="es-ES_tradnl"/>
        </w:rPr>
        <w:t xml:space="preserve"> T.3 </w:t>
      </w:r>
      <w:bookmarkEnd w:id="203"/>
      <w:r w:rsidR="00645CB9" w:rsidRPr="00585857">
        <w:rPr>
          <w:lang w:val="es-ES_tradnl"/>
        </w:rPr>
        <w:t>Recursos de telecomunicaciones</w:t>
      </w:r>
      <w:bookmarkEnd w:id="204"/>
    </w:p>
    <w:p w14:paraId="5D9677AB" w14:textId="2504D56F" w:rsidR="00D4116C" w:rsidRPr="00585857" w:rsidRDefault="00645CB9" w:rsidP="00645CB9">
      <w:pPr>
        <w:pStyle w:val="Headingb"/>
        <w:rPr>
          <w:i/>
          <w:iCs/>
          <w:lang w:val="es-ES_tradnl"/>
        </w:rPr>
      </w:pPr>
      <w:r w:rsidRPr="00585857">
        <w:rPr>
          <w:i/>
          <w:iCs/>
          <w:lang w:val="es-ES_tradnl"/>
        </w:rPr>
        <w:t>Descripción del objetivo</w:t>
      </w:r>
    </w:p>
    <w:p w14:paraId="08902E00" w14:textId="49A43234" w:rsidR="00D4116C" w:rsidRPr="00585857" w:rsidRDefault="00645CB9" w:rsidP="00645CB9">
      <w:pPr>
        <w:rPr>
          <w:lang w:val="es-ES_tradnl"/>
        </w:rPr>
      </w:pPr>
      <w:r w:rsidRPr="00585857">
        <w:rPr>
          <w:lang w:val="es-ES_tradnl"/>
        </w:rPr>
        <w:t>Garantizar una atribución y una gestión efectivas de los recursos de numeración, denominación, direccionamiento e identificación de telecomunicaciones internacionales, de conformidad con las Recomendaciones y los procedimientos del UIT-T.</w:t>
      </w:r>
    </w:p>
    <w:p w14:paraId="4D530C2F" w14:textId="712A833D" w:rsidR="00D4116C" w:rsidRPr="00585857" w:rsidRDefault="00645CB9" w:rsidP="00645CB9">
      <w:pPr>
        <w:rPr>
          <w:lang w:val="es-ES_tradnl"/>
        </w:rPr>
      </w:pPr>
      <w:bookmarkStart w:id="205" w:name="lt_pId489"/>
      <w:r w:rsidRPr="00585857">
        <w:rPr>
          <w:lang w:val="es-ES_tradnl"/>
        </w:rPr>
        <w:t xml:space="preserve">El Objetivo T.3 utiliza un </w:t>
      </w:r>
      <w:r w:rsidR="00D4116C" w:rsidRPr="00585857">
        <w:rPr>
          <w:lang w:val="es-ES_tradnl"/>
        </w:rPr>
        <w:t>7</w:t>
      </w:r>
      <w:r w:rsidRPr="00585857">
        <w:rPr>
          <w:lang w:val="es-ES_tradnl"/>
        </w:rPr>
        <w:t>,</w:t>
      </w:r>
      <w:r w:rsidR="00D4116C" w:rsidRPr="00585857">
        <w:rPr>
          <w:lang w:val="es-ES_tradnl"/>
        </w:rPr>
        <w:t>00 </w:t>
      </w:r>
      <w:r w:rsidRPr="00585857">
        <w:rPr>
          <w:lang w:val="es-ES_tradnl"/>
        </w:rPr>
        <w:t xml:space="preserve">por ciento de los recursos previstos para los objetivos del UIT-T, un </w:t>
      </w:r>
      <w:r w:rsidR="00D4116C" w:rsidRPr="00585857">
        <w:rPr>
          <w:lang w:val="es-ES_tradnl"/>
        </w:rPr>
        <w:t>1</w:t>
      </w:r>
      <w:r w:rsidRPr="00585857">
        <w:rPr>
          <w:lang w:val="es-ES_tradnl"/>
        </w:rPr>
        <w:t>,</w:t>
      </w:r>
      <w:r w:rsidR="00D4116C" w:rsidRPr="00585857">
        <w:rPr>
          <w:lang w:val="es-ES_tradnl"/>
        </w:rPr>
        <w:t>16 </w:t>
      </w:r>
      <w:r w:rsidRPr="00585857">
        <w:rPr>
          <w:lang w:val="es-ES_tradnl"/>
        </w:rPr>
        <w:t xml:space="preserve">por ciento de los recursos previstos de la UIT para </w:t>
      </w:r>
      <w:r w:rsidR="00D4116C" w:rsidRPr="00585857">
        <w:rPr>
          <w:lang w:val="es-ES_tradnl"/>
        </w:rPr>
        <w:t>2021-2024.</w:t>
      </w:r>
      <w:bookmarkEnd w:id="205"/>
    </w:p>
    <w:p w14:paraId="5F01A64D" w14:textId="6BEFEDE9" w:rsidR="00D4116C" w:rsidRDefault="007A5EE9" w:rsidP="00645CB9">
      <w:pPr>
        <w:pStyle w:val="Headingb"/>
        <w:rPr>
          <w:i/>
          <w:iCs/>
          <w:lang w:val="es-ES_tradnl"/>
        </w:rPr>
      </w:pPr>
      <w:r>
        <w:rPr>
          <w:i/>
          <w:iCs/>
          <w:lang w:val="es-ES_tradnl"/>
        </w:rPr>
        <w:t>Resumen de la atribución de costes</w:t>
      </w:r>
    </w:p>
    <w:p w14:paraId="6E86E5BA" w14:textId="023E8EBD" w:rsidR="0086509F" w:rsidRPr="0086509F" w:rsidRDefault="0086509F" w:rsidP="0086509F">
      <w:pPr>
        <w:jc w:val="center"/>
        <w:rPr>
          <w:lang w:val="es-ES_tradnl"/>
        </w:rPr>
      </w:pPr>
      <w:r w:rsidRPr="0086509F">
        <w:rPr>
          <w:noProof/>
        </w:rPr>
        <w:drawing>
          <wp:inline distT="0" distB="0" distL="0" distR="0" wp14:anchorId="0EF742A6" wp14:editId="34F68F53">
            <wp:extent cx="8301600" cy="24912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01600" cy="2491200"/>
                    </a:xfrm>
                    <a:prstGeom prst="rect">
                      <a:avLst/>
                    </a:prstGeom>
                    <a:noFill/>
                    <a:ln>
                      <a:noFill/>
                    </a:ln>
                  </pic:spPr>
                </pic:pic>
              </a:graphicData>
            </a:graphic>
          </wp:inline>
        </w:drawing>
      </w:r>
    </w:p>
    <w:p w14:paraId="3B8D8A7E" w14:textId="64AC122C" w:rsidR="00D4116C" w:rsidRPr="00585857" w:rsidRDefault="007A5EE9" w:rsidP="00645CB9">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86509F" w14:paraId="1490E541"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639B9441" w14:textId="2140DE0C" w:rsidR="00D4116C" w:rsidRPr="0086509F" w:rsidRDefault="008A066E" w:rsidP="00645CB9">
            <w:pPr>
              <w:pStyle w:val="Tablehead"/>
              <w:rPr>
                <w:b/>
                <w:bCs w:val="0"/>
                <w:i/>
                <w:iCs/>
                <w:lang w:val="es-ES_tradnl"/>
              </w:rPr>
            </w:pPr>
            <w:r w:rsidRPr="0086509F">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62937AC5" w14:textId="2AB1DD56" w:rsidR="00D4116C" w:rsidRPr="0086509F" w:rsidRDefault="008A066E"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4ED9CCC1" w14:textId="7D48EFC3" w:rsidR="00D4116C" w:rsidRPr="0086509F" w:rsidRDefault="00D4116C"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206" w:name="lt_pId495"/>
            <w:r w:rsidRPr="0086509F">
              <w:rPr>
                <w:b/>
                <w:bCs w:val="0"/>
                <w:i/>
                <w:iCs/>
                <w:lang w:val="es-ES_tradnl"/>
              </w:rPr>
              <w:t>Ri</w:t>
            </w:r>
            <w:r w:rsidR="00801A5C" w:rsidRPr="0086509F">
              <w:rPr>
                <w:b/>
                <w:bCs w:val="0"/>
                <w:i/>
                <w:iCs/>
                <w:lang w:val="es-ES_tradnl"/>
              </w:rPr>
              <w:t>esgo</w:t>
            </w:r>
            <w:bookmarkEnd w:id="206"/>
          </w:p>
        </w:tc>
      </w:tr>
      <w:tr w:rsidR="00D4116C" w:rsidRPr="008F43A8" w14:paraId="60E46005"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2AC20E4A" w14:textId="5AED24D0" w:rsidR="00D4116C" w:rsidRPr="00585857" w:rsidRDefault="00801A5C" w:rsidP="00645CB9">
            <w:pPr>
              <w:pStyle w:val="Tabletext"/>
              <w:rPr>
                <w:b w:val="0"/>
                <w:bCs w:val="0"/>
                <w:lang w:val="es-ES_tradnl"/>
              </w:rPr>
            </w:pPr>
            <w:bookmarkStart w:id="207" w:name="lt_pId496"/>
            <w:r>
              <w:rPr>
                <w:b w:val="0"/>
                <w:bCs w:val="0"/>
                <w:lang w:val="es-ES_tradnl"/>
              </w:rPr>
              <w:t>Atribuciones de numeraciones de telecomunicaciones internacionales tramitadas con arreglo a lo dispuesto en las Recomendaciones correspondientes</w:t>
            </w:r>
            <w:bookmarkEnd w:id="207"/>
            <w:r w:rsidR="00DF29B8">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71AAF722" w14:textId="372F3536" w:rsidR="00D4116C" w:rsidRPr="00585857" w:rsidRDefault="00B27234" w:rsidP="00645CB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08" w:name="lt_pId497"/>
            <w:r>
              <w:rPr>
                <w:lang w:val="es-ES_tradnl"/>
              </w:rPr>
              <w:t>Tiempo promedio de tramitación de 416</w:t>
            </w:r>
            <w:r w:rsidR="00FB0560">
              <w:rPr>
                <w:lang w:val="es-ES_tradnl"/>
              </w:rPr>
              <w:t> </w:t>
            </w:r>
            <w:r>
              <w:rPr>
                <w:lang w:val="es-ES_tradnl"/>
              </w:rPr>
              <w:t xml:space="preserve">solicitudes de numeración de telecomunicaciones internacionales procesadas en 2019, frente a 532 en </w:t>
            </w:r>
            <w:r w:rsidR="00D4116C" w:rsidRPr="00585857">
              <w:rPr>
                <w:lang w:val="es-ES_tradnl"/>
              </w:rPr>
              <w:t>2018.</w:t>
            </w:r>
            <w:bookmarkEnd w:id="208"/>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46D7D3C7" w14:textId="08496CA7" w:rsidR="00D4116C" w:rsidRPr="00585857" w:rsidRDefault="00B27234" w:rsidP="00645CB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09" w:name="lt_pId498"/>
            <w:r>
              <w:rPr>
                <w:lang w:val="es-ES_tradnl"/>
              </w:rPr>
              <w:t>Recursos suficientes para proceder a las atribuciones en los plazos prescritos.</w:t>
            </w:r>
            <w:bookmarkEnd w:id="209"/>
          </w:p>
        </w:tc>
      </w:tr>
    </w:tbl>
    <w:p w14:paraId="34447AC8" w14:textId="55A08D66" w:rsidR="00D4116C" w:rsidRPr="00585857" w:rsidRDefault="007A5EE9" w:rsidP="00645CB9">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645CB9" w:rsidRPr="0086509F" w14:paraId="6A50723C"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059AD778" w14:textId="77C8975F" w:rsidR="00645CB9" w:rsidRPr="0086509F" w:rsidRDefault="00645CB9" w:rsidP="00645CB9">
            <w:pPr>
              <w:pStyle w:val="Tablehead"/>
              <w:rPr>
                <w:b/>
                <w:bCs w:val="0"/>
                <w:i/>
                <w:iCs/>
                <w:lang w:val="es-ES_tradnl"/>
              </w:rPr>
            </w:pPr>
            <w:r w:rsidRPr="0086509F">
              <w:rPr>
                <w:b/>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2048C101" w14:textId="4B28423A" w:rsidR="00645CB9" w:rsidRPr="0086509F" w:rsidRDefault="00645CB9"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222115DD" w14:textId="437824B1" w:rsidR="00645CB9" w:rsidRPr="0086509F" w:rsidRDefault="008A066E"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Indicadores de riesgo</w:t>
            </w:r>
          </w:p>
        </w:tc>
      </w:tr>
      <w:tr w:rsidR="00D4116C" w:rsidRPr="008F43A8" w14:paraId="1DA89151"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2B3B556B" w14:textId="72B8A703" w:rsidR="00D4116C" w:rsidRPr="00585857" w:rsidRDefault="00645CB9" w:rsidP="00645CB9">
            <w:pPr>
              <w:pStyle w:val="Tabletext"/>
              <w:rPr>
                <w:b w:val="0"/>
                <w:bCs w:val="0"/>
                <w:lang w:val="es-ES_tradnl"/>
              </w:rPr>
            </w:pPr>
            <w:r w:rsidRPr="00585857">
              <w:rPr>
                <w:b w:val="0"/>
                <w:bCs w:val="0"/>
                <w:lang w:val="es-ES_tradnl"/>
              </w:rPr>
              <w:t>Atribución oportuna y precisa de recursos de numeración, denominación, direccionamiento e identificación de telecomunicaciones internacionales, conforme a lo estipulado en las recomendaciones pertinentes.</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1E48B9BF" w14:textId="044BB062" w:rsidR="00D4116C" w:rsidRPr="00585857" w:rsidRDefault="00645CB9" w:rsidP="00645CB9">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asignaciones en un periodo de tiempo determinado.</w:t>
            </w:r>
          </w:p>
        </w:tc>
        <w:tc>
          <w:tcPr>
            <w:tcW w:w="4650" w:type="dxa"/>
            <w:tcBorders>
              <w:top w:val="single" w:sz="8" w:space="0" w:color="4F81BD" w:themeColor="accent1"/>
              <w:left w:val="dotted" w:sz="4" w:space="0" w:color="4F81BD" w:themeColor="accent1"/>
              <w:bottom w:val="single" w:sz="8" w:space="0" w:color="4F81BD" w:themeColor="accent1"/>
              <w:right w:val="nil"/>
            </w:tcBorders>
          </w:tcPr>
          <w:p w14:paraId="670A9FFD" w14:textId="6F1A3DE7" w:rsidR="00D4116C" w:rsidRPr="00585857" w:rsidRDefault="001E1E3C" w:rsidP="00645CB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10" w:name="lt_pId506"/>
            <w:r>
              <w:rPr>
                <w:lang w:val="es-ES_tradnl"/>
              </w:rPr>
              <w:t>Falta de recursos humanos y financieros</w:t>
            </w:r>
            <w:r w:rsidR="00D4116C" w:rsidRPr="00585857">
              <w:rPr>
                <w:lang w:val="es-ES_tradnl"/>
              </w:rPr>
              <w:t>.</w:t>
            </w:r>
            <w:bookmarkEnd w:id="210"/>
          </w:p>
        </w:tc>
      </w:tr>
    </w:tbl>
    <w:p w14:paraId="10AA6C36" w14:textId="77777777" w:rsidR="00D4116C" w:rsidRPr="00585857" w:rsidRDefault="00D4116C" w:rsidP="00645CB9">
      <w:pPr>
        <w:rPr>
          <w:lang w:val="es-ES_tradnl"/>
        </w:rPr>
      </w:pPr>
      <w:r w:rsidRPr="00585857">
        <w:rPr>
          <w:lang w:val="es-ES_tradnl"/>
        </w:rPr>
        <w:br w:type="page"/>
      </w:r>
    </w:p>
    <w:p w14:paraId="750609F0" w14:textId="11E8A192" w:rsidR="00D4116C" w:rsidRPr="00585857" w:rsidRDefault="00D4116C" w:rsidP="00F04E0C">
      <w:pPr>
        <w:pStyle w:val="Heading3"/>
        <w:rPr>
          <w:lang w:val="es-ES_tradnl"/>
        </w:rPr>
      </w:pPr>
      <w:bookmarkStart w:id="211" w:name="lt_pId507"/>
      <w:bookmarkStart w:id="212" w:name="_Toc33632261"/>
      <w:r w:rsidRPr="00585857">
        <w:rPr>
          <w:lang w:val="es-ES_tradnl"/>
        </w:rPr>
        <w:lastRenderedPageBreak/>
        <w:t xml:space="preserve">II.3.4 </w:t>
      </w:r>
      <w:r w:rsidR="00645CB9" w:rsidRPr="00585857">
        <w:rPr>
          <w:lang w:val="es-ES_tradnl"/>
        </w:rPr>
        <w:t>–</w:t>
      </w:r>
      <w:r w:rsidRPr="00585857">
        <w:rPr>
          <w:lang w:val="es-ES_tradnl"/>
        </w:rPr>
        <w:t xml:space="preserve"> T.4 </w:t>
      </w:r>
      <w:bookmarkEnd w:id="211"/>
      <w:r w:rsidR="00645CB9" w:rsidRPr="00585857">
        <w:rPr>
          <w:lang w:val="es-ES_tradnl"/>
        </w:rPr>
        <w:t>Intercambio de conocimientos</w:t>
      </w:r>
      <w:bookmarkEnd w:id="212"/>
    </w:p>
    <w:p w14:paraId="53CCC8D2" w14:textId="77777777" w:rsidR="00645CB9" w:rsidRPr="00585857" w:rsidRDefault="00645CB9" w:rsidP="00645CB9">
      <w:pPr>
        <w:pStyle w:val="Headingb"/>
        <w:rPr>
          <w:i/>
          <w:iCs/>
          <w:lang w:val="es-ES_tradnl"/>
        </w:rPr>
      </w:pPr>
      <w:r w:rsidRPr="00585857">
        <w:rPr>
          <w:i/>
          <w:iCs/>
          <w:lang w:val="es-ES_tradnl"/>
        </w:rPr>
        <w:t>Descripción del objetivo</w:t>
      </w:r>
    </w:p>
    <w:p w14:paraId="4AF206C6" w14:textId="5955020E" w:rsidR="00D4116C" w:rsidRPr="00585857" w:rsidRDefault="00645CB9" w:rsidP="00645CB9">
      <w:pPr>
        <w:rPr>
          <w:lang w:val="es-ES_tradnl"/>
        </w:rPr>
      </w:pPr>
      <w:r w:rsidRPr="00585857">
        <w:rPr>
          <w:lang w:val="es-ES_tradnl"/>
        </w:rPr>
        <w:t>Fomentar la adquisición, comprensión y divulgación de conocimientos teóricos y prácticos sobre las actividades de normalización del UIT-T.</w:t>
      </w:r>
    </w:p>
    <w:p w14:paraId="4AA414AB" w14:textId="4DAF07F5" w:rsidR="00D4116C" w:rsidRPr="00585857" w:rsidRDefault="00645CB9" w:rsidP="00645CB9">
      <w:pPr>
        <w:rPr>
          <w:lang w:val="es-ES_tradnl"/>
        </w:rPr>
      </w:pPr>
      <w:bookmarkStart w:id="213" w:name="lt_pId510"/>
      <w:r w:rsidRPr="00585857">
        <w:rPr>
          <w:lang w:val="es-ES_tradnl"/>
        </w:rPr>
        <w:t xml:space="preserve">El Objetivo T.4 utiliza el </w:t>
      </w:r>
      <w:r w:rsidR="00D4116C" w:rsidRPr="00585857">
        <w:rPr>
          <w:lang w:val="es-ES_tradnl"/>
        </w:rPr>
        <w:t>21</w:t>
      </w:r>
      <w:r w:rsidRPr="00585857">
        <w:rPr>
          <w:lang w:val="es-ES_tradnl"/>
        </w:rPr>
        <w:t>,</w:t>
      </w:r>
      <w:r w:rsidR="00D4116C" w:rsidRPr="00585857">
        <w:rPr>
          <w:lang w:val="es-ES_tradnl"/>
        </w:rPr>
        <w:t>14 </w:t>
      </w:r>
      <w:r w:rsidRPr="00585857">
        <w:rPr>
          <w:lang w:val="es-ES_tradnl"/>
        </w:rPr>
        <w:t xml:space="preserve">por ciento de los recursos previstos para los objetivos del UIT-T, un </w:t>
      </w:r>
      <w:r w:rsidR="00D4116C" w:rsidRPr="00585857">
        <w:rPr>
          <w:lang w:val="es-ES_tradnl"/>
        </w:rPr>
        <w:t>3</w:t>
      </w:r>
      <w:r w:rsidRPr="00585857">
        <w:rPr>
          <w:lang w:val="es-ES_tradnl"/>
        </w:rPr>
        <w:t>,</w:t>
      </w:r>
      <w:r w:rsidR="00D4116C" w:rsidRPr="00585857">
        <w:rPr>
          <w:lang w:val="es-ES_tradnl"/>
        </w:rPr>
        <w:t>50 </w:t>
      </w:r>
      <w:r w:rsidRPr="00585857">
        <w:rPr>
          <w:lang w:val="es-ES_tradnl"/>
        </w:rPr>
        <w:t>por ciento de los recursos previstos de la</w:t>
      </w:r>
      <w:r w:rsidR="00F04E0C" w:rsidRPr="00585857">
        <w:rPr>
          <w:lang w:val="es-ES_tradnl"/>
        </w:rPr>
        <w:t> </w:t>
      </w:r>
      <w:r w:rsidRPr="00585857">
        <w:rPr>
          <w:lang w:val="es-ES_tradnl"/>
        </w:rPr>
        <w:t xml:space="preserve">UIT para </w:t>
      </w:r>
      <w:r w:rsidR="00D4116C" w:rsidRPr="00585857">
        <w:rPr>
          <w:lang w:val="es-ES_tradnl"/>
        </w:rPr>
        <w:t>2021-2024.</w:t>
      </w:r>
      <w:bookmarkEnd w:id="213"/>
    </w:p>
    <w:p w14:paraId="19F396D7" w14:textId="71E53280" w:rsidR="00D4116C" w:rsidRDefault="007A5EE9" w:rsidP="00645CB9">
      <w:pPr>
        <w:pStyle w:val="Headingb"/>
        <w:rPr>
          <w:i/>
          <w:iCs/>
          <w:lang w:val="es-ES_tradnl"/>
        </w:rPr>
      </w:pPr>
      <w:r>
        <w:rPr>
          <w:i/>
          <w:iCs/>
          <w:lang w:val="es-ES_tradnl"/>
        </w:rPr>
        <w:t>Resumen de la atribución de costes</w:t>
      </w:r>
    </w:p>
    <w:p w14:paraId="00CF570F" w14:textId="0C20F47F" w:rsidR="0086509F" w:rsidRPr="0086509F" w:rsidRDefault="0086509F" w:rsidP="0086509F">
      <w:pPr>
        <w:jc w:val="center"/>
        <w:rPr>
          <w:lang w:val="es-ES_tradnl"/>
        </w:rPr>
      </w:pPr>
      <w:r w:rsidRPr="0086509F">
        <w:rPr>
          <w:noProof/>
        </w:rPr>
        <w:drawing>
          <wp:inline distT="0" distB="0" distL="0" distR="0" wp14:anchorId="12AD8146" wp14:editId="675074E4">
            <wp:extent cx="8301600" cy="24912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01600" cy="2491200"/>
                    </a:xfrm>
                    <a:prstGeom prst="rect">
                      <a:avLst/>
                    </a:prstGeom>
                    <a:noFill/>
                    <a:ln>
                      <a:noFill/>
                    </a:ln>
                  </pic:spPr>
                </pic:pic>
              </a:graphicData>
            </a:graphic>
          </wp:inline>
        </w:drawing>
      </w:r>
    </w:p>
    <w:p w14:paraId="44B731EA" w14:textId="75AB799E" w:rsidR="00D4116C" w:rsidRPr="00585857" w:rsidRDefault="007A5EE9" w:rsidP="00645CB9">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86509F" w14:paraId="4DD81F4D"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9BB785B" w14:textId="38393340" w:rsidR="00D4116C" w:rsidRPr="0086509F" w:rsidRDefault="008A066E" w:rsidP="00645CB9">
            <w:pPr>
              <w:pStyle w:val="Tablehead"/>
              <w:rPr>
                <w:b/>
                <w:bCs w:val="0"/>
                <w:i/>
                <w:iCs/>
                <w:lang w:val="es-ES_tradnl"/>
              </w:rPr>
            </w:pPr>
            <w:r w:rsidRPr="0086509F">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08052F0D" w14:textId="79258066" w:rsidR="00D4116C" w:rsidRPr="0086509F" w:rsidRDefault="008A066E"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49EAC017" w14:textId="31EDB933" w:rsidR="00D4116C" w:rsidRPr="0086509F" w:rsidRDefault="00D4116C"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214" w:name="lt_pId516"/>
            <w:r w:rsidRPr="0086509F">
              <w:rPr>
                <w:b/>
                <w:bCs w:val="0"/>
                <w:i/>
                <w:iCs/>
                <w:lang w:val="es-ES_tradnl"/>
              </w:rPr>
              <w:t>Ri</w:t>
            </w:r>
            <w:r w:rsidR="00B27234" w:rsidRPr="0086509F">
              <w:rPr>
                <w:b/>
                <w:bCs w:val="0"/>
                <w:i/>
                <w:iCs/>
                <w:lang w:val="es-ES_tradnl"/>
              </w:rPr>
              <w:t>esgo</w:t>
            </w:r>
            <w:bookmarkEnd w:id="214"/>
          </w:p>
        </w:tc>
      </w:tr>
      <w:tr w:rsidR="00D4116C" w:rsidRPr="008F43A8" w14:paraId="177A4085"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53266C48" w14:textId="56AA1B20" w:rsidR="00D4116C" w:rsidRPr="00D06805" w:rsidRDefault="00B27234" w:rsidP="00645CB9">
            <w:pPr>
              <w:pStyle w:val="Tabletext"/>
              <w:rPr>
                <w:b w:val="0"/>
                <w:bCs w:val="0"/>
                <w:lang w:val="es-ES_tradnl"/>
              </w:rPr>
            </w:pPr>
            <w:bookmarkStart w:id="215" w:name="lt_pId517"/>
            <w:r w:rsidRPr="00D06805">
              <w:rPr>
                <w:b w:val="0"/>
                <w:bCs w:val="0"/>
                <w:lang w:val="es-ES_tradnl"/>
              </w:rPr>
              <w:t>Véanse</w:t>
            </w:r>
            <w:r w:rsidR="00D4116C" w:rsidRPr="00D06805">
              <w:rPr>
                <w:b w:val="0"/>
                <w:bCs w:val="0"/>
                <w:lang w:val="es-ES_tradnl"/>
              </w:rPr>
              <w:t xml:space="preserve"> T1 </w:t>
            </w:r>
            <w:r w:rsidRPr="00D06805">
              <w:rPr>
                <w:b w:val="0"/>
                <w:bCs w:val="0"/>
                <w:lang w:val="es-ES_tradnl"/>
              </w:rPr>
              <w:t>y</w:t>
            </w:r>
            <w:r w:rsidR="00D4116C" w:rsidRPr="00D06805">
              <w:rPr>
                <w:b w:val="0"/>
                <w:bCs w:val="0"/>
                <w:lang w:val="es-ES_tradnl"/>
              </w:rPr>
              <w:t xml:space="preserve"> T2 </w:t>
            </w:r>
            <w:bookmarkEnd w:id="215"/>
            <w:r w:rsidRPr="00D06805">
              <w:rPr>
                <w:b w:val="0"/>
                <w:bCs w:val="0"/>
                <w:lang w:val="es-ES_tradnl"/>
              </w:rPr>
              <w:t>anteriores</w:t>
            </w:r>
            <w:r w:rsidR="00DF29B8" w:rsidRPr="00D06805">
              <w:rPr>
                <w:b w:val="0"/>
                <w:bCs w:val="0"/>
                <w:lang w:val="es-ES_tradnl"/>
              </w:rPr>
              <w:t>.</w:t>
            </w:r>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0414E89E" w14:textId="77777777" w:rsidR="00D4116C" w:rsidRPr="00D06805" w:rsidRDefault="00D4116C" w:rsidP="00645CB9">
            <w:pPr>
              <w:pStyle w:val="Tabletext"/>
              <w:cnfStyle w:val="000000000000" w:firstRow="0" w:lastRow="0" w:firstColumn="0" w:lastColumn="0" w:oddVBand="0" w:evenVBand="0" w:oddHBand="0" w:evenHBand="0" w:firstRowFirstColumn="0" w:firstRowLastColumn="0" w:lastRowFirstColumn="0" w:lastRowLastColumn="0"/>
              <w:rPr>
                <w:lang w:val="es-ES_tradnl"/>
              </w:rPr>
            </w:pPr>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312C9C70" w14:textId="50362C0B" w:rsidR="00D4116C" w:rsidRPr="00D06805" w:rsidRDefault="00D4116C" w:rsidP="00645CB9">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16" w:name="lt_pId518"/>
            <w:r w:rsidRPr="00D06805">
              <w:rPr>
                <w:lang w:val="es-ES_tradnl"/>
              </w:rPr>
              <w:t xml:space="preserve">No </w:t>
            </w:r>
            <w:r w:rsidR="00B27234" w:rsidRPr="00D06805">
              <w:rPr>
                <w:lang w:val="es-ES_tradnl"/>
              </w:rPr>
              <w:t>se encontraron dificultades en la organización de eventos fuera de Ginebra</w:t>
            </w:r>
            <w:r w:rsidRPr="00D06805">
              <w:rPr>
                <w:lang w:val="es-ES_tradnl"/>
              </w:rPr>
              <w:t>.</w:t>
            </w:r>
            <w:bookmarkEnd w:id="216"/>
          </w:p>
        </w:tc>
      </w:tr>
    </w:tbl>
    <w:p w14:paraId="3D1F8651" w14:textId="77777777" w:rsidR="00D4116C" w:rsidRPr="00585857" w:rsidRDefault="00D4116C" w:rsidP="00645CB9">
      <w:pPr>
        <w:rPr>
          <w:lang w:val="es-ES_tradnl"/>
        </w:rPr>
      </w:pPr>
      <w:r w:rsidRPr="00585857">
        <w:rPr>
          <w:lang w:val="es-ES_tradnl"/>
        </w:rPr>
        <w:br w:type="page"/>
      </w:r>
    </w:p>
    <w:p w14:paraId="7D70A651" w14:textId="50660D95" w:rsidR="00D4116C" w:rsidRPr="00585857" w:rsidRDefault="007A5EE9" w:rsidP="00645CB9">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645CB9" w:rsidRPr="0086509F" w14:paraId="65F577B1"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4E8D068C" w14:textId="3E3DF582" w:rsidR="00645CB9" w:rsidRPr="0086509F" w:rsidRDefault="00645CB9" w:rsidP="00645CB9">
            <w:pPr>
              <w:pStyle w:val="Tablehead"/>
              <w:rPr>
                <w:b/>
                <w:bCs w:val="0"/>
                <w:i/>
                <w:iCs/>
                <w:lang w:val="es-ES_tradnl"/>
              </w:rPr>
            </w:pPr>
            <w:r w:rsidRPr="0086509F">
              <w:rPr>
                <w:b/>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1340F6DD" w14:textId="26EA7EC4" w:rsidR="00645CB9" w:rsidRPr="0086509F" w:rsidRDefault="00645CB9"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3E4B3322" w14:textId="57B3A452" w:rsidR="00645CB9" w:rsidRPr="0086509F" w:rsidRDefault="008A066E" w:rsidP="00645CB9">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Indicadores de riesgo</w:t>
            </w:r>
          </w:p>
        </w:tc>
      </w:tr>
      <w:tr w:rsidR="00D4116C" w:rsidRPr="008F43A8" w14:paraId="0BC57AB5"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14FDA110" w14:textId="6B349216" w:rsidR="00D4116C" w:rsidRPr="00585857" w:rsidRDefault="00645CB9" w:rsidP="00645CB9">
            <w:pPr>
              <w:pStyle w:val="Tabletext"/>
              <w:rPr>
                <w:b w:val="0"/>
                <w:bCs w:val="0"/>
                <w:lang w:val="es-ES_tradnl"/>
              </w:rPr>
            </w:pPr>
            <w:r w:rsidRPr="00585857">
              <w:rPr>
                <w:b w:val="0"/>
                <w:bCs w:val="0"/>
                <w:lang w:val="es-ES_tradnl"/>
              </w:rPr>
              <w:t>Mayor conocimiento de las normas del UIT-T y de prácticas idóneas en la aplicación de las normas del UIT-T.</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61189B88" w14:textId="7DE7818F" w:rsidR="00D4116C"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visitas del sitio web del UIT-T; número de participantes en las Comisiones de Estudio (incl</w:t>
            </w:r>
            <w:r w:rsidR="00FB0560">
              <w:rPr>
                <w:lang w:val="es-ES_tradnl"/>
              </w:rPr>
              <w:t>uidos</w:t>
            </w:r>
            <w:r w:rsidRPr="00585857">
              <w:rPr>
                <w:lang w:val="es-ES_tradnl"/>
              </w:rPr>
              <w:t xml:space="preserve"> Grupos Reg</w:t>
            </w:r>
            <w:r w:rsidR="00FB0560">
              <w:rPr>
                <w:lang w:val="es-ES_tradnl"/>
              </w:rPr>
              <w:t>ionales</w:t>
            </w:r>
            <w:r w:rsidRPr="00585857">
              <w:rPr>
                <w:lang w:val="es-ES_tradnl"/>
              </w:rPr>
              <w:t>); número de descargas de Recomendaciones UIT-T.</w:t>
            </w:r>
          </w:p>
        </w:tc>
        <w:tc>
          <w:tcPr>
            <w:tcW w:w="4650" w:type="dxa"/>
            <w:tcBorders>
              <w:top w:val="single" w:sz="8" w:space="0" w:color="4F81BD" w:themeColor="accent1"/>
              <w:left w:val="dotted" w:sz="4" w:space="0" w:color="4F81BD" w:themeColor="accent1"/>
              <w:bottom w:val="nil"/>
              <w:right w:val="nil"/>
            </w:tcBorders>
          </w:tcPr>
          <w:p w14:paraId="08139D81" w14:textId="56DF731D" w:rsidR="00D4116C" w:rsidRPr="00585857" w:rsidRDefault="00B80BE6"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17" w:name="lt_pId528"/>
            <w:r>
              <w:rPr>
                <w:lang w:val="es-ES_tradnl"/>
              </w:rPr>
              <w:t>Falta de formadores calificados y falta de calidad de la formación.</w:t>
            </w:r>
            <w:bookmarkEnd w:id="217"/>
          </w:p>
          <w:p w14:paraId="7819AB17" w14:textId="0E72F753" w:rsidR="00D4116C" w:rsidRPr="00585857" w:rsidRDefault="00B80BE6"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18" w:name="lt_pId529"/>
            <w:r>
              <w:rPr>
                <w:lang w:val="es-ES_tradnl"/>
              </w:rPr>
              <w:t>Falta de compromiso por parte del asociado</w:t>
            </w:r>
            <w:r w:rsidR="00D4116C" w:rsidRPr="00585857">
              <w:rPr>
                <w:lang w:val="es-ES_tradnl"/>
              </w:rPr>
              <w:t>.</w:t>
            </w:r>
            <w:bookmarkEnd w:id="218"/>
          </w:p>
        </w:tc>
      </w:tr>
      <w:tr w:rsidR="00D4116C" w:rsidRPr="008F43A8" w14:paraId="3C88B662"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32013437" w14:textId="63F7683D" w:rsidR="00D4116C" w:rsidRPr="00585857" w:rsidRDefault="00645CB9" w:rsidP="00645CB9">
            <w:pPr>
              <w:pStyle w:val="Tabletext"/>
              <w:rPr>
                <w:b w:val="0"/>
                <w:bCs w:val="0"/>
                <w:lang w:val="es-ES_tradnl"/>
              </w:rPr>
            </w:pPr>
            <w:r w:rsidRPr="00585857">
              <w:rPr>
                <w:b w:val="0"/>
                <w:bCs w:val="0"/>
                <w:lang w:val="es-ES_tradnl"/>
              </w:rPr>
              <w:t>Mayor participación en actividades de normalización del UIT-T y mayor sensibilización sobre la pertinencia de las normas del UIT-T.</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733D003D" w14:textId="1E7709B7" w:rsidR="00D4116C"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Como el anterior.</w:t>
            </w:r>
          </w:p>
        </w:tc>
        <w:tc>
          <w:tcPr>
            <w:tcW w:w="4650" w:type="dxa"/>
            <w:tcBorders>
              <w:top w:val="nil"/>
              <w:left w:val="dotted" w:sz="4" w:space="0" w:color="4F81BD" w:themeColor="accent1"/>
              <w:bottom w:val="nil"/>
              <w:right w:val="nil"/>
            </w:tcBorders>
          </w:tcPr>
          <w:p w14:paraId="063F1156" w14:textId="55500D3B" w:rsidR="00D4116C"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Incapacidad física para organizar eventos importantes en el extranjero o en Ginebra</w:t>
            </w:r>
            <w:r w:rsidR="00DF29B8">
              <w:rPr>
                <w:lang w:val="es-ES_tradnl"/>
              </w:rPr>
              <w:t>.</w:t>
            </w:r>
          </w:p>
        </w:tc>
      </w:tr>
      <w:tr w:rsidR="00D4116C" w:rsidRPr="008F43A8" w14:paraId="6E5E09B8"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63C99289" w14:textId="4D645D25" w:rsidR="00D4116C" w:rsidRPr="00585857" w:rsidRDefault="00645CB9" w:rsidP="00645CB9">
            <w:pPr>
              <w:pStyle w:val="Tabletext"/>
              <w:rPr>
                <w:b w:val="0"/>
                <w:bCs w:val="0"/>
                <w:lang w:val="es-ES_tradnl"/>
              </w:rPr>
            </w:pPr>
            <w:r w:rsidRPr="00585857">
              <w:rPr>
                <w:b w:val="0"/>
                <w:bCs w:val="0"/>
                <w:lang w:val="es-ES_tradnl"/>
              </w:rPr>
              <w:t>Mayor visibilidad del Sector.</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69A4A200" w14:textId="77777777" w:rsidR="000F578A"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 de CE, reuniones de GT, reuniones del Grupo Regional y talleres celebrados (dentro y fuera de Ginebra).</w:t>
            </w:r>
          </w:p>
          <w:p w14:paraId="6BE7BE40" w14:textId="77777777" w:rsidR="000F578A"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 de Grupo de Relator y número de participantes; número de reuniones virtuales y número de participantes.</w:t>
            </w:r>
          </w:p>
          <w:p w14:paraId="347A9ECD" w14:textId="77777777" w:rsidR="000F578A"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contribuciones presentadas por participantes procedentes de PMA, países en desarrollo y países desarrollados (por separado).</w:t>
            </w:r>
          </w:p>
          <w:p w14:paraId="09E5603D" w14:textId="5F2AFA8F" w:rsidR="00D4116C" w:rsidRPr="00585857" w:rsidRDefault="000F578A"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Porcentaje de puestos de liderazgo (presidencia/vicepresidencia de Comisiones de Estudio, presidencia de Grupos de Relator, editor, etc.) ocupados por países en desarrollo y PMA.</w:t>
            </w:r>
          </w:p>
        </w:tc>
        <w:tc>
          <w:tcPr>
            <w:tcW w:w="4650" w:type="dxa"/>
            <w:tcBorders>
              <w:top w:val="nil"/>
              <w:left w:val="dotted" w:sz="4" w:space="0" w:color="4F81BD" w:themeColor="accent1"/>
              <w:bottom w:val="single" w:sz="8" w:space="0" w:color="4F81BD" w:themeColor="accent1"/>
              <w:right w:val="nil"/>
            </w:tcBorders>
          </w:tcPr>
          <w:p w14:paraId="3FA9C101" w14:textId="77777777" w:rsidR="00D4116C" w:rsidRPr="00585857" w:rsidRDefault="00D4116C" w:rsidP="000F578A">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1A9B37BF" w14:textId="77777777" w:rsidR="000F578A" w:rsidRPr="00585857" w:rsidRDefault="00D4116C" w:rsidP="00D4116C">
      <w:pPr>
        <w:tabs>
          <w:tab w:val="clear" w:pos="794"/>
          <w:tab w:val="clear" w:pos="1191"/>
          <w:tab w:val="clear" w:pos="1588"/>
          <w:tab w:val="clear" w:pos="1985"/>
        </w:tabs>
        <w:overflowPunct/>
        <w:autoSpaceDE/>
        <w:autoSpaceDN/>
        <w:adjustRightInd/>
        <w:spacing w:before="0" w:after="200" w:line="276" w:lineRule="auto"/>
        <w:textAlignment w:val="auto"/>
        <w:rPr>
          <w:iCs/>
          <w:lang w:val="es-ES_tradnl"/>
        </w:rPr>
      </w:pPr>
      <w:r w:rsidRPr="00585857">
        <w:rPr>
          <w:iCs/>
          <w:lang w:val="es-ES_tradnl"/>
        </w:rPr>
        <w:br w:type="page"/>
      </w:r>
      <w:bookmarkStart w:id="219" w:name="lt_pId538"/>
    </w:p>
    <w:p w14:paraId="28A7C730" w14:textId="7F1D3503" w:rsidR="00D4116C" w:rsidRPr="00585857" w:rsidRDefault="00D4116C" w:rsidP="00F04E0C">
      <w:pPr>
        <w:pStyle w:val="Heading3"/>
        <w:rPr>
          <w:lang w:val="es-ES_tradnl"/>
        </w:rPr>
      </w:pPr>
      <w:bookmarkStart w:id="220" w:name="_Toc33632262"/>
      <w:r w:rsidRPr="00585857">
        <w:rPr>
          <w:lang w:val="es-ES_tradnl"/>
        </w:rPr>
        <w:lastRenderedPageBreak/>
        <w:t xml:space="preserve">II.3.5 </w:t>
      </w:r>
      <w:r w:rsidR="00B34A5D" w:rsidRPr="00585857">
        <w:rPr>
          <w:lang w:val="es-ES_tradnl"/>
        </w:rPr>
        <w:t>–</w:t>
      </w:r>
      <w:r w:rsidRPr="00585857">
        <w:rPr>
          <w:lang w:val="es-ES_tradnl"/>
        </w:rPr>
        <w:t xml:space="preserve"> T.5 </w:t>
      </w:r>
      <w:bookmarkEnd w:id="219"/>
      <w:r w:rsidR="00B34A5D" w:rsidRPr="00585857">
        <w:rPr>
          <w:lang w:val="es-ES_tradnl"/>
        </w:rPr>
        <w:t>Colaboración con organismos de normalización</w:t>
      </w:r>
      <w:bookmarkEnd w:id="220"/>
    </w:p>
    <w:p w14:paraId="1CFA4846" w14:textId="77777777" w:rsidR="00B34A5D" w:rsidRPr="00585857" w:rsidRDefault="00B34A5D" w:rsidP="00B34A5D">
      <w:pPr>
        <w:pStyle w:val="Headingb"/>
        <w:rPr>
          <w:i/>
          <w:iCs/>
          <w:lang w:val="es-ES_tradnl"/>
        </w:rPr>
      </w:pPr>
      <w:r w:rsidRPr="00585857">
        <w:rPr>
          <w:i/>
          <w:iCs/>
          <w:lang w:val="es-ES_tradnl"/>
        </w:rPr>
        <w:t>Descripción del objetivo</w:t>
      </w:r>
    </w:p>
    <w:p w14:paraId="5A9C29FE" w14:textId="0FE6262F" w:rsidR="00D4116C" w:rsidRPr="00585857" w:rsidRDefault="00B34A5D" w:rsidP="00B34A5D">
      <w:pPr>
        <w:rPr>
          <w:lang w:val="es-ES_tradnl"/>
        </w:rPr>
      </w:pPr>
      <w:r w:rsidRPr="00585857">
        <w:rPr>
          <w:lang w:val="es-ES_tradnl"/>
        </w:rPr>
        <w:t>Extender y facilitar la cooperación con organismos de normalización internacionales, regionales y nacionales.</w:t>
      </w:r>
    </w:p>
    <w:p w14:paraId="12F0A8E8" w14:textId="3092180B" w:rsidR="00D4116C" w:rsidRPr="00585857" w:rsidRDefault="00B34A5D" w:rsidP="00B34A5D">
      <w:pPr>
        <w:rPr>
          <w:lang w:val="es-ES_tradnl"/>
        </w:rPr>
      </w:pPr>
      <w:bookmarkStart w:id="221" w:name="lt_pId541"/>
      <w:r w:rsidRPr="00585857">
        <w:rPr>
          <w:lang w:val="es-ES_tradnl"/>
        </w:rPr>
        <w:t xml:space="preserve">El Objetivo T.5 utiliza el </w:t>
      </w:r>
      <w:r w:rsidR="00D4116C" w:rsidRPr="00585857">
        <w:rPr>
          <w:lang w:val="es-ES_tradnl"/>
        </w:rPr>
        <w:t>4</w:t>
      </w:r>
      <w:r w:rsidRPr="00585857">
        <w:rPr>
          <w:lang w:val="es-ES_tradnl"/>
        </w:rPr>
        <w:t>,</w:t>
      </w:r>
      <w:r w:rsidR="00D4116C" w:rsidRPr="00585857">
        <w:rPr>
          <w:lang w:val="es-ES_tradnl"/>
        </w:rPr>
        <w:t>26 </w:t>
      </w:r>
      <w:r w:rsidRPr="00585857">
        <w:rPr>
          <w:lang w:val="es-ES_tradnl"/>
        </w:rPr>
        <w:t xml:space="preserve">por ciento de los recursos previstos para los objetivos del UIT-T, un </w:t>
      </w:r>
      <w:r w:rsidR="00D4116C" w:rsidRPr="00585857">
        <w:rPr>
          <w:lang w:val="es-ES_tradnl"/>
        </w:rPr>
        <w:t>0</w:t>
      </w:r>
      <w:r w:rsidRPr="00585857">
        <w:rPr>
          <w:lang w:val="es-ES_tradnl"/>
        </w:rPr>
        <w:t>,</w:t>
      </w:r>
      <w:r w:rsidR="00D4116C" w:rsidRPr="00585857">
        <w:rPr>
          <w:lang w:val="es-ES_tradnl"/>
        </w:rPr>
        <w:t>70 </w:t>
      </w:r>
      <w:r w:rsidRPr="00585857">
        <w:rPr>
          <w:lang w:val="es-ES_tradnl"/>
        </w:rPr>
        <w:t xml:space="preserve">por ciento de los recursos previstos de la UIT para </w:t>
      </w:r>
      <w:r w:rsidR="00D4116C" w:rsidRPr="00585857">
        <w:rPr>
          <w:lang w:val="es-ES_tradnl"/>
        </w:rPr>
        <w:t>2021-2024.</w:t>
      </w:r>
      <w:bookmarkEnd w:id="221"/>
    </w:p>
    <w:p w14:paraId="6AC31F00" w14:textId="14A136FB" w:rsidR="00D4116C" w:rsidRDefault="007A5EE9" w:rsidP="00B34A5D">
      <w:pPr>
        <w:pStyle w:val="Headingb"/>
        <w:rPr>
          <w:i/>
          <w:iCs/>
          <w:lang w:val="es-ES_tradnl"/>
        </w:rPr>
      </w:pPr>
      <w:r>
        <w:rPr>
          <w:i/>
          <w:iCs/>
          <w:lang w:val="es-ES_tradnl"/>
        </w:rPr>
        <w:t>Resumen de la atribución de costes</w:t>
      </w:r>
    </w:p>
    <w:p w14:paraId="07C70118" w14:textId="0D97A56D" w:rsidR="0086509F" w:rsidRPr="0086509F" w:rsidRDefault="0086509F" w:rsidP="0086509F">
      <w:pPr>
        <w:jc w:val="center"/>
        <w:rPr>
          <w:lang w:val="es-ES_tradnl"/>
        </w:rPr>
      </w:pPr>
      <w:r w:rsidRPr="0086509F">
        <w:rPr>
          <w:noProof/>
        </w:rPr>
        <w:drawing>
          <wp:inline distT="0" distB="0" distL="0" distR="0" wp14:anchorId="69438960" wp14:editId="0DB1ED7D">
            <wp:extent cx="8301600" cy="250200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01600" cy="2502000"/>
                    </a:xfrm>
                    <a:prstGeom prst="rect">
                      <a:avLst/>
                    </a:prstGeom>
                    <a:noFill/>
                    <a:ln>
                      <a:noFill/>
                    </a:ln>
                  </pic:spPr>
                </pic:pic>
              </a:graphicData>
            </a:graphic>
          </wp:inline>
        </w:drawing>
      </w:r>
    </w:p>
    <w:p w14:paraId="5A69072A" w14:textId="2CD3B76B" w:rsidR="00D4116C" w:rsidRPr="00585857" w:rsidRDefault="007A5EE9" w:rsidP="00B34A5D">
      <w:pPr>
        <w:pStyle w:val="Headingb"/>
        <w:spacing w:after="120"/>
        <w:rPr>
          <w:i/>
          <w:iCs/>
          <w:lang w:val="es-ES_tradnl"/>
        </w:rPr>
      </w:pPr>
      <w:r>
        <w:rPr>
          <w:i/>
          <w:iCs/>
          <w:lang w:val="es-ES_tradnl"/>
        </w:rPr>
        <w:t>Informe sobre el rendimiento de 2019</w:t>
      </w:r>
    </w:p>
    <w:tbl>
      <w:tblPr>
        <w:tblStyle w:val="GridTable1Light-Accent1"/>
        <w:tblW w:w="0" w:type="auto"/>
        <w:tblLook w:val="04A0" w:firstRow="1" w:lastRow="0" w:firstColumn="1" w:lastColumn="0" w:noHBand="0" w:noVBand="1"/>
      </w:tblPr>
      <w:tblGrid>
        <w:gridCol w:w="4649"/>
        <w:gridCol w:w="4649"/>
        <w:gridCol w:w="4650"/>
      </w:tblGrid>
      <w:tr w:rsidR="00D4116C" w:rsidRPr="0086509F" w14:paraId="0E815AB3"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07472AB7" w14:textId="33ACFA9B" w:rsidR="00D4116C" w:rsidRPr="0086509F" w:rsidRDefault="008A066E" w:rsidP="00B34A5D">
            <w:pPr>
              <w:pStyle w:val="Tablehead"/>
              <w:rPr>
                <w:b/>
                <w:bCs w:val="0"/>
                <w:i/>
                <w:iCs/>
                <w:lang w:val="es-ES_tradnl"/>
              </w:rPr>
            </w:pPr>
            <w:r w:rsidRPr="0086509F">
              <w:rPr>
                <w:b/>
                <w:bCs w:val="0"/>
                <w:i/>
                <w:iCs/>
                <w:lang w:val="es-ES_tradnl"/>
              </w:rPr>
              <w:t>Logros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503E6BEC" w14:textId="759A9558" w:rsidR="00D4116C" w:rsidRPr="0086509F" w:rsidRDefault="008A066E" w:rsidP="00B34A5D">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Medición</w:t>
            </w:r>
          </w:p>
        </w:tc>
        <w:tc>
          <w:tcPr>
            <w:tcW w:w="4650" w:type="dxa"/>
            <w:tcBorders>
              <w:top w:val="nil"/>
              <w:left w:val="dotted" w:sz="4" w:space="0" w:color="B8CCE4" w:themeColor="accent1" w:themeTint="66"/>
              <w:bottom w:val="single" w:sz="8" w:space="0" w:color="4F81BD" w:themeColor="accent1"/>
              <w:right w:val="nil"/>
            </w:tcBorders>
          </w:tcPr>
          <w:p w14:paraId="05BF147B" w14:textId="2B2874F0" w:rsidR="00D4116C" w:rsidRPr="0086509F" w:rsidRDefault="00D4116C" w:rsidP="00B34A5D">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bookmarkStart w:id="222" w:name="lt_pId547"/>
            <w:r w:rsidRPr="0086509F">
              <w:rPr>
                <w:b/>
                <w:bCs w:val="0"/>
                <w:i/>
                <w:iCs/>
                <w:lang w:val="es-ES_tradnl"/>
              </w:rPr>
              <w:t>Ri</w:t>
            </w:r>
            <w:r w:rsidR="00B80BE6" w:rsidRPr="0086509F">
              <w:rPr>
                <w:b/>
                <w:bCs w:val="0"/>
                <w:i/>
                <w:iCs/>
                <w:lang w:val="es-ES_tradnl"/>
              </w:rPr>
              <w:t>esgo</w:t>
            </w:r>
            <w:bookmarkEnd w:id="222"/>
          </w:p>
        </w:tc>
      </w:tr>
      <w:tr w:rsidR="00D4116C" w:rsidRPr="008F43A8" w14:paraId="65EDA846"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4" w:space="0" w:color="B8CCE4" w:themeColor="accent1" w:themeTint="66"/>
              <w:right w:val="dotted" w:sz="4" w:space="0" w:color="B8CCE4" w:themeColor="accent1" w:themeTint="66"/>
            </w:tcBorders>
          </w:tcPr>
          <w:p w14:paraId="1381385B" w14:textId="0A6F6588" w:rsidR="00D4116C" w:rsidRPr="00585857" w:rsidRDefault="00B80BE6" w:rsidP="00B34A5D">
            <w:pPr>
              <w:pStyle w:val="Tabletext"/>
              <w:rPr>
                <w:b w:val="0"/>
                <w:bCs w:val="0"/>
                <w:lang w:val="es-ES_tradnl"/>
              </w:rPr>
            </w:pPr>
            <w:bookmarkStart w:id="223" w:name="lt_pId548"/>
            <w:r>
              <w:rPr>
                <w:b w:val="0"/>
                <w:bCs w:val="0"/>
                <w:lang w:val="es-ES_tradnl"/>
              </w:rPr>
              <w:t>La mayoría de los resultados casi coincidían con las expectativas previstas</w:t>
            </w:r>
            <w:r w:rsidR="00D4116C" w:rsidRPr="00585857">
              <w:rPr>
                <w:b w:val="0"/>
                <w:bCs w:val="0"/>
                <w:lang w:val="es-ES_tradnl"/>
              </w:rPr>
              <w:t>.</w:t>
            </w:r>
            <w:bookmarkEnd w:id="223"/>
          </w:p>
        </w:tc>
        <w:tc>
          <w:tcPr>
            <w:tcW w:w="4649"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5DB35360" w14:textId="3503279C" w:rsidR="00D4116C" w:rsidRPr="00585857" w:rsidRDefault="00D4116C"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24" w:name="lt_pId549"/>
            <w:r w:rsidRPr="00585857">
              <w:rPr>
                <w:lang w:val="es-ES_tradnl"/>
              </w:rPr>
              <w:t xml:space="preserve">42 </w:t>
            </w:r>
            <w:r w:rsidR="00B80BE6">
              <w:rPr>
                <w:lang w:val="es-ES_tradnl"/>
              </w:rPr>
              <w:t>reuniones/talleres conjuntos</w:t>
            </w:r>
            <w:r w:rsidRPr="00585857">
              <w:rPr>
                <w:lang w:val="es-ES_tradnl"/>
              </w:rPr>
              <w:t>; 1</w:t>
            </w:r>
            <w:r w:rsidR="00DF29B8">
              <w:rPr>
                <w:lang w:val="es-ES_tradnl"/>
              </w:rPr>
              <w:t> </w:t>
            </w:r>
            <w:r w:rsidRPr="00585857">
              <w:rPr>
                <w:lang w:val="es-ES_tradnl"/>
              </w:rPr>
              <w:t>104</w:t>
            </w:r>
            <w:r w:rsidR="00DF29B8">
              <w:rPr>
                <w:lang w:val="es-ES_tradnl"/>
              </w:rPr>
              <w:t> </w:t>
            </w:r>
            <w:r w:rsidR="00B80BE6">
              <w:rPr>
                <w:lang w:val="es-ES_tradnl"/>
              </w:rPr>
              <w:t xml:space="preserve">declaraciones de coordinación recibidas y </w:t>
            </w:r>
            <w:r w:rsidRPr="00585857">
              <w:rPr>
                <w:lang w:val="es-ES_tradnl"/>
              </w:rPr>
              <w:t>1</w:t>
            </w:r>
            <w:r w:rsidR="00DF29B8">
              <w:rPr>
                <w:lang w:val="es-ES_tradnl"/>
              </w:rPr>
              <w:t> </w:t>
            </w:r>
            <w:r w:rsidRPr="00585857">
              <w:rPr>
                <w:lang w:val="es-ES_tradnl"/>
              </w:rPr>
              <w:t>384</w:t>
            </w:r>
            <w:r w:rsidR="00DF29B8">
              <w:rPr>
                <w:lang w:val="es-ES_tradnl"/>
              </w:rPr>
              <w:t> </w:t>
            </w:r>
            <w:r w:rsidR="00B80BE6">
              <w:rPr>
                <w:lang w:val="es-ES_tradnl"/>
              </w:rPr>
              <w:t>enviadas</w:t>
            </w:r>
            <w:r w:rsidRPr="00585857">
              <w:rPr>
                <w:lang w:val="es-ES_tradnl"/>
              </w:rPr>
              <w:t xml:space="preserve">; 35 </w:t>
            </w:r>
            <w:r w:rsidR="00B80BE6" w:rsidRPr="00585857">
              <w:rPr>
                <w:lang w:val="es-ES_tradnl"/>
              </w:rPr>
              <w:t xml:space="preserve">organizaciones </w:t>
            </w:r>
            <w:r w:rsidRPr="00585857">
              <w:rPr>
                <w:lang w:val="es-ES_tradnl"/>
              </w:rPr>
              <w:t xml:space="preserve">A4, 48 A5 </w:t>
            </w:r>
            <w:r w:rsidR="00B80BE6">
              <w:rPr>
                <w:lang w:val="es-ES_tradnl"/>
              </w:rPr>
              <w:t>y</w:t>
            </w:r>
            <w:r w:rsidRPr="00585857">
              <w:rPr>
                <w:lang w:val="es-ES_tradnl"/>
              </w:rPr>
              <w:t xml:space="preserve"> 18</w:t>
            </w:r>
            <w:r w:rsidR="00DF29B8">
              <w:rPr>
                <w:lang w:val="es-ES_tradnl"/>
              </w:rPr>
              <w:t> </w:t>
            </w:r>
            <w:r w:rsidRPr="00585857">
              <w:rPr>
                <w:lang w:val="es-ES_tradnl"/>
              </w:rPr>
              <w:t>A6.</w:t>
            </w:r>
            <w:bookmarkEnd w:id="224"/>
          </w:p>
        </w:tc>
        <w:tc>
          <w:tcPr>
            <w:tcW w:w="4650" w:type="dxa"/>
            <w:tcBorders>
              <w:top w:val="single" w:sz="8" w:space="0" w:color="4F81BD" w:themeColor="accent1"/>
              <w:left w:val="dotted" w:sz="4" w:space="0" w:color="B8CCE4" w:themeColor="accent1" w:themeTint="66"/>
              <w:bottom w:val="single" w:sz="4" w:space="0" w:color="B8CCE4" w:themeColor="accent1" w:themeTint="66"/>
              <w:right w:val="nil"/>
            </w:tcBorders>
          </w:tcPr>
          <w:p w14:paraId="43927DB7" w14:textId="5B9F922E" w:rsidR="00D4116C" w:rsidRPr="00585857" w:rsidRDefault="00B80BE6"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25" w:name="lt_pId550"/>
            <w:r>
              <w:rPr>
                <w:lang w:val="es-ES_tradnl"/>
              </w:rPr>
              <w:t>Todos los riesgos fueron debidamente mitigados</w:t>
            </w:r>
            <w:r w:rsidR="00D4116C" w:rsidRPr="00585857">
              <w:rPr>
                <w:lang w:val="es-ES_tradnl"/>
              </w:rPr>
              <w:t>.</w:t>
            </w:r>
            <w:bookmarkEnd w:id="225"/>
          </w:p>
        </w:tc>
      </w:tr>
    </w:tbl>
    <w:p w14:paraId="4235DC89" w14:textId="77777777" w:rsidR="00D4116C" w:rsidRPr="00585857" w:rsidRDefault="00D4116C" w:rsidP="00B34A5D">
      <w:pPr>
        <w:rPr>
          <w:lang w:val="es-ES_tradnl"/>
        </w:rPr>
      </w:pPr>
      <w:r w:rsidRPr="00585857">
        <w:rPr>
          <w:lang w:val="es-ES_tradnl"/>
        </w:rPr>
        <w:br w:type="page"/>
      </w:r>
    </w:p>
    <w:p w14:paraId="275A4525" w14:textId="74C6184D" w:rsidR="00D4116C" w:rsidRPr="00585857" w:rsidRDefault="007A5EE9" w:rsidP="00B34A5D">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4649"/>
        <w:gridCol w:w="4650"/>
      </w:tblGrid>
      <w:tr w:rsidR="00B34A5D" w:rsidRPr="0086509F" w14:paraId="76ED2EAC" w14:textId="77777777" w:rsidTr="00D41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4AC85E5C" w14:textId="6819C800" w:rsidR="00B34A5D" w:rsidRPr="0086509F" w:rsidRDefault="00B34A5D" w:rsidP="00B34A5D">
            <w:pPr>
              <w:pStyle w:val="Tablehead"/>
              <w:rPr>
                <w:b/>
                <w:bCs w:val="0"/>
                <w:i/>
                <w:iCs/>
                <w:lang w:val="es-ES_tradnl"/>
              </w:rPr>
            </w:pPr>
            <w:r w:rsidRPr="0086509F">
              <w:rPr>
                <w:b/>
                <w:i/>
                <w:iCs/>
                <w:lang w:val="es-ES_tradnl"/>
              </w:rPr>
              <w:t>Resultados</w:t>
            </w:r>
          </w:p>
        </w:tc>
        <w:tc>
          <w:tcPr>
            <w:tcW w:w="4649" w:type="dxa"/>
            <w:tcBorders>
              <w:top w:val="nil"/>
              <w:left w:val="dotted" w:sz="4" w:space="0" w:color="B8CCE4" w:themeColor="accent1" w:themeTint="66"/>
              <w:bottom w:val="single" w:sz="8" w:space="0" w:color="4F81BD" w:themeColor="accent1"/>
              <w:right w:val="dotted" w:sz="4" w:space="0" w:color="B8CCE4" w:themeColor="accent1" w:themeTint="66"/>
            </w:tcBorders>
          </w:tcPr>
          <w:p w14:paraId="03D8D627" w14:textId="54F3BB44" w:rsidR="00B34A5D" w:rsidRPr="0086509F" w:rsidRDefault="00B34A5D" w:rsidP="00B34A5D">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i/>
                <w:iCs/>
                <w:lang w:val="es-ES_tradnl"/>
              </w:rPr>
              <w:t>Indicador de resultados</w:t>
            </w:r>
          </w:p>
        </w:tc>
        <w:tc>
          <w:tcPr>
            <w:tcW w:w="4650" w:type="dxa"/>
            <w:tcBorders>
              <w:top w:val="nil"/>
              <w:left w:val="dotted" w:sz="4" w:space="0" w:color="B8CCE4" w:themeColor="accent1" w:themeTint="66"/>
              <w:bottom w:val="single" w:sz="8" w:space="0" w:color="4F81BD" w:themeColor="accent1"/>
              <w:right w:val="nil"/>
            </w:tcBorders>
          </w:tcPr>
          <w:p w14:paraId="309C4AC5" w14:textId="063C714D" w:rsidR="00B34A5D" w:rsidRPr="0086509F" w:rsidRDefault="008A066E" w:rsidP="00B34A5D">
            <w:pPr>
              <w:pStyle w:val="Tablehead"/>
              <w:cnfStyle w:val="100000000000" w:firstRow="1" w:lastRow="0" w:firstColumn="0" w:lastColumn="0" w:oddVBand="0" w:evenVBand="0" w:oddHBand="0" w:evenHBand="0" w:firstRowFirstColumn="0" w:firstRowLastColumn="0" w:lastRowFirstColumn="0" w:lastRowLastColumn="0"/>
              <w:rPr>
                <w:b/>
                <w:bCs w:val="0"/>
                <w:i/>
                <w:iCs/>
                <w:lang w:val="es-ES_tradnl"/>
              </w:rPr>
            </w:pPr>
            <w:r w:rsidRPr="0086509F">
              <w:rPr>
                <w:b/>
                <w:bCs w:val="0"/>
                <w:i/>
                <w:iCs/>
                <w:lang w:val="es-ES_tradnl"/>
              </w:rPr>
              <w:t>Indicadores de riesgo</w:t>
            </w:r>
          </w:p>
        </w:tc>
      </w:tr>
      <w:tr w:rsidR="00D4116C" w:rsidRPr="008F43A8" w14:paraId="3A59BD16"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042464CA" w14:textId="4D5AA1A9" w:rsidR="00D4116C" w:rsidRPr="00585857" w:rsidRDefault="00B34A5D" w:rsidP="00B34A5D">
            <w:pPr>
              <w:pStyle w:val="Tabletext"/>
              <w:rPr>
                <w:b w:val="0"/>
                <w:bCs w:val="0"/>
                <w:lang w:val="es-ES_tradnl"/>
              </w:rPr>
            </w:pPr>
            <w:r w:rsidRPr="00585857">
              <w:rPr>
                <w:b w:val="0"/>
                <w:bCs w:val="0"/>
                <w:lang w:val="es-ES_tradnl"/>
              </w:rPr>
              <w:t>Aumento de las comunicaciones con otras organizaciones de normalización.</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4CECD20C" w14:textId="77777777" w:rsidR="00B34A5D"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reuniones/talleres acogidos u organizados junto con otras organizaciones.</w:t>
            </w:r>
          </w:p>
          <w:p w14:paraId="141A6FF1" w14:textId="3442ECD4"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declaraciones de coordinación.</w:t>
            </w:r>
          </w:p>
        </w:tc>
        <w:tc>
          <w:tcPr>
            <w:tcW w:w="4650" w:type="dxa"/>
            <w:tcBorders>
              <w:top w:val="single" w:sz="8" w:space="0" w:color="4F81BD" w:themeColor="accent1"/>
              <w:left w:val="dotted" w:sz="4" w:space="0" w:color="4F81BD" w:themeColor="accent1"/>
              <w:bottom w:val="nil"/>
              <w:right w:val="nil"/>
            </w:tcBorders>
          </w:tcPr>
          <w:p w14:paraId="5BDCA2AD" w14:textId="62E832BF"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Dificultad creciente para implicar a las audiencias (nuevos actores, múltiples organizaciones que compiten por su atención)</w:t>
            </w:r>
            <w:r w:rsidR="00DF29B8">
              <w:rPr>
                <w:lang w:val="es-ES_tradnl"/>
              </w:rPr>
              <w:t>.</w:t>
            </w:r>
          </w:p>
        </w:tc>
      </w:tr>
      <w:tr w:rsidR="00D4116C" w:rsidRPr="008F43A8" w14:paraId="4B5C057C"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1FB7C099" w14:textId="738C3FC7" w:rsidR="00D4116C" w:rsidRPr="00585857" w:rsidRDefault="00B34A5D" w:rsidP="00B34A5D">
            <w:pPr>
              <w:pStyle w:val="Tabletext"/>
              <w:rPr>
                <w:b w:val="0"/>
                <w:bCs w:val="0"/>
                <w:lang w:val="es-ES_tradnl"/>
              </w:rPr>
            </w:pPr>
            <w:r w:rsidRPr="00585857">
              <w:rPr>
                <w:b w:val="0"/>
                <w:bCs w:val="0"/>
                <w:lang w:val="es-ES_tradnl"/>
              </w:rPr>
              <w:t>Menor número de normas contradictorias.</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67646B9F" w14:textId="2EBF6BFA"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normas elaboradas en colaboración con otras organizaciones.</w:t>
            </w:r>
          </w:p>
        </w:tc>
        <w:tc>
          <w:tcPr>
            <w:tcW w:w="4650" w:type="dxa"/>
            <w:tcBorders>
              <w:top w:val="nil"/>
              <w:left w:val="dotted" w:sz="4" w:space="0" w:color="4F81BD" w:themeColor="accent1"/>
              <w:bottom w:val="nil"/>
              <w:right w:val="nil"/>
            </w:tcBorders>
          </w:tcPr>
          <w:p w14:paraId="1146273D" w14:textId="7DF71BDA" w:rsidR="00D4116C" w:rsidRPr="00585857" w:rsidRDefault="00B80BE6"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26" w:name="lt_pId562"/>
            <w:r>
              <w:rPr>
                <w:lang w:val="es-ES_tradnl"/>
              </w:rPr>
              <w:t>Problemas de desarrollo de talentos y retención</w:t>
            </w:r>
            <w:r w:rsidR="00D4116C" w:rsidRPr="00585857">
              <w:rPr>
                <w:lang w:val="es-ES_tradnl"/>
              </w:rPr>
              <w:t>.</w:t>
            </w:r>
            <w:bookmarkEnd w:id="226"/>
          </w:p>
        </w:tc>
      </w:tr>
      <w:tr w:rsidR="00D4116C" w:rsidRPr="008F43A8" w14:paraId="154202F2"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244B33F9" w14:textId="29C10550" w:rsidR="00D4116C" w:rsidRPr="00585857" w:rsidRDefault="00B34A5D" w:rsidP="00B34A5D">
            <w:pPr>
              <w:pStyle w:val="Tabletext"/>
              <w:rPr>
                <w:b w:val="0"/>
                <w:bCs w:val="0"/>
                <w:lang w:val="es-ES_tradnl"/>
              </w:rPr>
            </w:pPr>
            <w:r w:rsidRPr="00585857">
              <w:rPr>
                <w:b w:val="0"/>
                <w:bCs w:val="0"/>
                <w:lang w:val="es-ES_tradnl"/>
              </w:rPr>
              <w:t>Mayor número de Memorandos de Entendimiento/acuerdos de colaboración con otras organizaciones.</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7415ADB2" w14:textId="519BCE93"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acuerdos con otras organizaciones.</w:t>
            </w:r>
          </w:p>
        </w:tc>
        <w:tc>
          <w:tcPr>
            <w:tcW w:w="4650" w:type="dxa"/>
            <w:tcBorders>
              <w:top w:val="nil"/>
              <w:left w:val="dotted" w:sz="4" w:space="0" w:color="4F81BD" w:themeColor="accent1"/>
              <w:bottom w:val="nil"/>
              <w:right w:val="nil"/>
            </w:tcBorders>
          </w:tcPr>
          <w:p w14:paraId="7EB5887C" w14:textId="55135D1E"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Marco de la organización obsoleto</w:t>
            </w:r>
            <w:r w:rsidR="00DF29B8">
              <w:rPr>
                <w:lang w:val="es-ES_tradnl"/>
              </w:rPr>
              <w:t>.</w:t>
            </w:r>
          </w:p>
        </w:tc>
      </w:tr>
      <w:tr w:rsidR="00D4116C" w:rsidRPr="008F43A8" w14:paraId="4B251032"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2077C82C" w14:textId="63EACB6E" w:rsidR="00D4116C" w:rsidRPr="00585857" w:rsidRDefault="00B34A5D" w:rsidP="00B34A5D">
            <w:pPr>
              <w:pStyle w:val="Tabletext"/>
              <w:rPr>
                <w:b w:val="0"/>
                <w:bCs w:val="0"/>
                <w:lang w:val="es-ES_tradnl"/>
              </w:rPr>
            </w:pPr>
            <w:r w:rsidRPr="00585857">
              <w:rPr>
                <w:b w:val="0"/>
                <w:bCs w:val="0"/>
                <w:lang w:val="es-ES_tradnl"/>
              </w:rPr>
              <w:t>Mayor número de organizaciones calificadas UIT</w:t>
            </w:r>
            <w:r w:rsidR="00F55308">
              <w:rPr>
                <w:b w:val="0"/>
                <w:bCs w:val="0"/>
                <w:lang w:val="es-ES_tradnl"/>
              </w:rPr>
              <w:noBreakHyphen/>
            </w:r>
            <w:r w:rsidRPr="00585857">
              <w:rPr>
                <w:b w:val="0"/>
                <w:bCs w:val="0"/>
                <w:lang w:val="es-ES_tradnl"/>
              </w:rPr>
              <w:t>T A.4, A.5 y A.6.</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2E46F3B0" w14:textId="6032F568"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calificaciones UIT-T A.4, A.5 y A.6.</w:t>
            </w:r>
          </w:p>
        </w:tc>
        <w:tc>
          <w:tcPr>
            <w:tcW w:w="4650" w:type="dxa"/>
            <w:tcBorders>
              <w:top w:val="nil"/>
              <w:left w:val="dotted" w:sz="4" w:space="0" w:color="4F81BD" w:themeColor="accent1"/>
              <w:bottom w:val="nil"/>
              <w:right w:val="nil"/>
            </w:tcBorders>
          </w:tcPr>
          <w:p w14:paraId="72FF6726" w14:textId="77777777" w:rsidR="00D4116C" w:rsidRPr="00585857" w:rsidRDefault="00D4116C"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4116C" w:rsidRPr="00585857" w14:paraId="4C1CEF3B" w14:textId="77777777" w:rsidTr="00D4116C">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67EB1D83" w14:textId="3F1FBE7A" w:rsidR="00D4116C" w:rsidRPr="00585857" w:rsidRDefault="00B34A5D" w:rsidP="00B34A5D">
            <w:pPr>
              <w:pStyle w:val="Tabletext"/>
              <w:rPr>
                <w:b w:val="0"/>
                <w:bCs w:val="0"/>
                <w:lang w:val="es-ES_tradnl"/>
              </w:rPr>
            </w:pPr>
            <w:r w:rsidRPr="00585857">
              <w:rPr>
                <w:b w:val="0"/>
                <w:bCs w:val="0"/>
                <w:lang w:val="es-ES_tradnl"/>
              </w:rPr>
              <w:t>Mayor número de talleres/eventos organizados junto con otras organizaciones.</w:t>
            </w:r>
          </w:p>
        </w:tc>
        <w:tc>
          <w:tcPr>
            <w:tcW w:w="464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41D81224" w14:textId="194E2202" w:rsidR="00D4116C" w:rsidRPr="00585857" w:rsidRDefault="00B34A5D"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Como el primero.</w:t>
            </w:r>
          </w:p>
        </w:tc>
        <w:tc>
          <w:tcPr>
            <w:tcW w:w="4650" w:type="dxa"/>
            <w:tcBorders>
              <w:top w:val="nil"/>
              <w:left w:val="dotted" w:sz="4" w:space="0" w:color="4F81BD" w:themeColor="accent1"/>
              <w:bottom w:val="single" w:sz="8" w:space="0" w:color="4F81BD" w:themeColor="accent1"/>
              <w:right w:val="nil"/>
            </w:tcBorders>
          </w:tcPr>
          <w:p w14:paraId="193CC9F8" w14:textId="77777777" w:rsidR="00D4116C" w:rsidRPr="00585857" w:rsidRDefault="00D4116C" w:rsidP="00B34A5D">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1D322308" w14:textId="77777777" w:rsidR="00D4116C" w:rsidRPr="00585857" w:rsidRDefault="00D4116C" w:rsidP="00B34A5D">
      <w:pPr>
        <w:rPr>
          <w:lang w:val="es-ES_tradnl"/>
        </w:rPr>
      </w:pPr>
      <w:r w:rsidRPr="00585857">
        <w:rPr>
          <w:lang w:val="es-ES_tradnl"/>
        </w:rPr>
        <w:br w:type="page"/>
      </w:r>
    </w:p>
    <w:p w14:paraId="2776AAB9" w14:textId="34774C1A" w:rsidR="00D4116C" w:rsidRPr="00585857" w:rsidRDefault="00D4116C" w:rsidP="00F04E0C">
      <w:pPr>
        <w:pStyle w:val="Heading2"/>
        <w:rPr>
          <w:lang w:val="es-ES_tradnl"/>
        </w:rPr>
      </w:pPr>
      <w:bookmarkStart w:id="227" w:name="lt_pId570"/>
      <w:bookmarkStart w:id="228" w:name="_Toc33632091"/>
      <w:bookmarkStart w:id="229" w:name="_Toc33632263"/>
      <w:r w:rsidRPr="00585857">
        <w:rPr>
          <w:lang w:val="es-ES_tradnl"/>
        </w:rPr>
        <w:lastRenderedPageBreak/>
        <w:t>II.4</w:t>
      </w:r>
      <w:bookmarkEnd w:id="227"/>
      <w:r w:rsidRPr="00585857">
        <w:rPr>
          <w:lang w:val="es-ES_tradnl"/>
        </w:rPr>
        <w:tab/>
      </w:r>
      <w:r w:rsidR="005E57BD" w:rsidRPr="00585857">
        <w:rPr>
          <w:lang w:val="es-ES_tradnl"/>
        </w:rPr>
        <w:t>Objetivos del Sector de Desarrollo de las Telecomunicaciones</w:t>
      </w:r>
      <w:bookmarkEnd w:id="228"/>
      <w:bookmarkEnd w:id="229"/>
    </w:p>
    <w:p w14:paraId="673B195B" w14:textId="472C8142" w:rsidR="00D4116C" w:rsidRPr="00585857" w:rsidRDefault="005E57BD" w:rsidP="00B34A5D">
      <w:pPr>
        <w:rPr>
          <w:lang w:val="es-ES_tradnl"/>
        </w:rPr>
      </w:pPr>
      <w:bookmarkStart w:id="230" w:name="lt_pId572"/>
      <w:r w:rsidRPr="00585857">
        <w:rPr>
          <w:lang w:val="es-ES_tradnl"/>
        </w:rPr>
        <w:t xml:space="preserve">Se prevén cuatro objetivos del Sector de Desarrollo de las Telecomunicaciones en </w:t>
      </w:r>
      <w:r w:rsidR="00D4116C" w:rsidRPr="00585857">
        <w:rPr>
          <w:lang w:val="es-ES_tradnl"/>
        </w:rPr>
        <w:t xml:space="preserve">2021-2024, </w:t>
      </w:r>
      <w:r w:rsidRPr="00585857">
        <w:rPr>
          <w:lang w:val="es-ES_tradnl"/>
        </w:rPr>
        <w:t xml:space="preserve">que representan el </w:t>
      </w:r>
      <w:r w:rsidR="00D4116C" w:rsidRPr="00585857">
        <w:rPr>
          <w:lang w:val="es-ES_tradnl"/>
        </w:rPr>
        <w:t>35</w:t>
      </w:r>
      <w:r w:rsidRPr="00585857">
        <w:rPr>
          <w:lang w:val="es-ES_tradnl"/>
        </w:rPr>
        <w:t>,</w:t>
      </w:r>
      <w:r w:rsidR="00D4116C" w:rsidRPr="00585857">
        <w:rPr>
          <w:lang w:val="es-ES_tradnl"/>
        </w:rPr>
        <w:t>15 </w:t>
      </w:r>
      <w:r w:rsidRPr="00585857">
        <w:rPr>
          <w:lang w:val="es-ES_tradnl"/>
        </w:rPr>
        <w:t xml:space="preserve">por ciento </w:t>
      </w:r>
      <w:r w:rsidR="000A293D">
        <w:rPr>
          <w:lang w:val="es-ES_tradnl"/>
        </w:rPr>
        <w:t>de los recursos totales de la Unión previstos para ese periodo</w:t>
      </w:r>
      <w:r w:rsidR="00D4116C" w:rsidRPr="00585857">
        <w:rPr>
          <w:lang w:val="es-ES_tradnl"/>
        </w:rPr>
        <w:t>.</w:t>
      </w:r>
      <w:bookmarkEnd w:id="230"/>
    </w:p>
    <w:p w14:paraId="569FA24F" w14:textId="2F948ADD" w:rsidR="00D4116C" w:rsidRDefault="005E57BD" w:rsidP="003A7790">
      <w:pPr>
        <w:pStyle w:val="Tabletitle"/>
        <w:spacing w:before="720"/>
        <w:rPr>
          <w:lang w:val="es-ES_tradnl"/>
        </w:rPr>
      </w:pPr>
      <w:bookmarkStart w:id="231" w:name="lt_pId574"/>
      <w:r w:rsidRPr="00585857">
        <w:rPr>
          <w:lang w:val="es-ES_tradnl"/>
        </w:rPr>
        <w:t>Objetivos del UIT-D</w:t>
      </w:r>
      <w:r w:rsidRPr="00585857">
        <w:rPr>
          <w:lang w:val="es-ES_tradnl"/>
        </w:rPr>
        <w:br/>
        <w:t xml:space="preserve">Costes previstos para </w:t>
      </w:r>
      <w:r w:rsidR="00D4116C" w:rsidRPr="00585857">
        <w:rPr>
          <w:lang w:val="es-ES_tradnl"/>
        </w:rPr>
        <w:t>2021-2024</w:t>
      </w:r>
      <w:bookmarkStart w:id="232" w:name="lt_pId575"/>
      <w:bookmarkEnd w:id="231"/>
      <w:r w:rsidRPr="00585857">
        <w:rPr>
          <w:lang w:val="es-ES_tradnl"/>
        </w:rPr>
        <w:br/>
      </w:r>
      <w:bookmarkEnd w:id="232"/>
      <w:r w:rsidRPr="00585857">
        <w:rPr>
          <w:lang w:val="es-ES_tradnl"/>
        </w:rPr>
        <w:t>Distribución por componente de coste</w:t>
      </w:r>
    </w:p>
    <w:p w14:paraId="6E058A26" w14:textId="5E9DA99C" w:rsidR="00D4116C" w:rsidRPr="00585857" w:rsidRDefault="004119AF" w:rsidP="005E57BD">
      <w:pPr>
        <w:tabs>
          <w:tab w:val="clear" w:pos="794"/>
          <w:tab w:val="clear" w:pos="1191"/>
          <w:tab w:val="clear" w:pos="1588"/>
          <w:tab w:val="clear" w:pos="1985"/>
        </w:tabs>
        <w:overflowPunct/>
        <w:autoSpaceDE/>
        <w:autoSpaceDN/>
        <w:adjustRightInd/>
        <w:spacing w:before="0" w:after="200" w:line="276" w:lineRule="auto"/>
        <w:jc w:val="center"/>
        <w:textAlignment w:val="auto"/>
        <w:rPr>
          <w:lang w:val="es-ES_tradnl"/>
        </w:rPr>
      </w:pPr>
      <w:r w:rsidRPr="00585857">
        <w:rPr>
          <w:noProof/>
          <w:lang w:val="es-ES_tradnl"/>
        </w:rPr>
        <w:drawing>
          <wp:inline distT="0" distB="0" distL="0" distR="0" wp14:anchorId="048C9771" wp14:editId="1B444865">
            <wp:extent cx="8856000" cy="2955600"/>
            <wp:effectExtent l="0" t="0" r="2540" b="0"/>
            <wp:docPr id="1928375041" name="Picture 192837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56000" cy="2955600"/>
                    </a:xfrm>
                    <a:prstGeom prst="rect">
                      <a:avLst/>
                    </a:prstGeom>
                    <a:noFill/>
                    <a:ln>
                      <a:noFill/>
                    </a:ln>
                  </pic:spPr>
                </pic:pic>
              </a:graphicData>
            </a:graphic>
          </wp:inline>
        </w:drawing>
      </w:r>
    </w:p>
    <w:p w14:paraId="2CBAAD39" w14:textId="10942366" w:rsidR="00DD352F" w:rsidRPr="00585857" w:rsidRDefault="00DD352F">
      <w:pPr>
        <w:tabs>
          <w:tab w:val="clear" w:pos="794"/>
          <w:tab w:val="clear" w:pos="1191"/>
          <w:tab w:val="clear" w:pos="1588"/>
          <w:tab w:val="clear" w:pos="1985"/>
        </w:tabs>
        <w:overflowPunct/>
        <w:autoSpaceDE/>
        <w:autoSpaceDN/>
        <w:adjustRightInd/>
        <w:spacing w:before="0" w:after="200" w:line="276" w:lineRule="auto"/>
        <w:textAlignment w:val="auto"/>
        <w:rPr>
          <w:sz w:val="18"/>
          <w:lang w:val="es-ES_tradnl"/>
        </w:rPr>
      </w:pPr>
      <w:r w:rsidRPr="00585857">
        <w:rPr>
          <w:lang w:val="es-ES_tradnl"/>
        </w:rPr>
        <w:br w:type="page"/>
      </w:r>
    </w:p>
    <w:p w14:paraId="392906EB" w14:textId="29E9E725" w:rsidR="00DD352F" w:rsidRPr="00585857" w:rsidRDefault="00DD352F" w:rsidP="00F04E0C">
      <w:pPr>
        <w:pStyle w:val="Heading3"/>
        <w:rPr>
          <w:lang w:val="es-ES_tradnl"/>
        </w:rPr>
      </w:pPr>
      <w:bookmarkStart w:id="233" w:name="lt_pId576"/>
      <w:bookmarkStart w:id="234" w:name="_Toc33632264"/>
      <w:r w:rsidRPr="00585857">
        <w:rPr>
          <w:lang w:val="es-ES_tradnl"/>
        </w:rPr>
        <w:lastRenderedPageBreak/>
        <w:t xml:space="preserve">II.4.1 – D.1 </w:t>
      </w:r>
      <w:bookmarkEnd w:id="233"/>
      <w:r w:rsidRPr="00585857">
        <w:rPr>
          <w:lang w:val="es-ES_tradnl"/>
        </w:rPr>
        <w:t>Coordinación</w:t>
      </w:r>
      <w:bookmarkEnd w:id="234"/>
    </w:p>
    <w:p w14:paraId="42924DD7" w14:textId="24C1C474" w:rsidR="00DD352F" w:rsidRPr="00585857" w:rsidRDefault="00DD352F" w:rsidP="00DD352F">
      <w:pPr>
        <w:pStyle w:val="Headingb"/>
        <w:rPr>
          <w:i/>
          <w:iCs/>
          <w:lang w:val="es-ES_tradnl"/>
        </w:rPr>
      </w:pPr>
      <w:r w:rsidRPr="00585857">
        <w:rPr>
          <w:i/>
          <w:iCs/>
          <w:lang w:val="es-ES_tradnl"/>
        </w:rPr>
        <w:t>Descripción del objetivo</w:t>
      </w:r>
    </w:p>
    <w:p w14:paraId="676BA4F6" w14:textId="0477110C" w:rsidR="00DD352F" w:rsidRPr="00585857" w:rsidRDefault="00DD352F" w:rsidP="00DD352F">
      <w:pPr>
        <w:rPr>
          <w:lang w:val="es-ES_tradnl"/>
        </w:rPr>
      </w:pPr>
      <w:r w:rsidRPr="00585857">
        <w:rPr>
          <w:lang w:val="es-ES_tradnl"/>
        </w:rPr>
        <w:t>Fomentar la cooperación y el acuerdo internacionales sobre cuestiones de desarrollo de las telecomunicaciones/TIC.</w:t>
      </w:r>
    </w:p>
    <w:p w14:paraId="67E2B687" w14:textId="5CEC6535" w:rsidR="00DD352F" w:rsidRPr="00585857" w:rsidRDefault="00DD352F" w:rsidP="00DD352F">
      <w:pPr>
        <w:rPr>
          <w:lang w:val="es-ES_tradnl"/>
        </w:rPr>
      </w:pPr>
      <w:bookmarkStart w:id="235" w:name="lt_pId579"/>
      <w:r w:rsidRPr="00585857">
        <w:rPr>
          <w:lang w:val="es-ES_tradnl"/>
        </w:rPr>
        <w:t>El Objetivo D.1 utiliza el 30,34 por ciento de los recursos previstos para los objetivos del UIT-D, un 10,67 por ciento de los recursos previstos de la UIT para 2021-2024.</w:t>
      </w:r>
      <w:bookmarkEnd w:id="235"/>
    </w:p>
    <w:p w14:paraId="77DD2C55" w14:textId="683C09D2" w:rsidR="00DD352F" w:rsidRDefault="007A5EE9" w:rsidP="00DD352F">
      <w:pPr>
        <w:pStyle w:val="Headingb"/>
        <w:rPr>
          <w:i/>
          <w:iCs/>
          <w:lang w:val="es-ES_tradnl"/>
        </w:rPr>
      </w:pPr>
      <w:r>
        <w:rPr>
          <w:i/>
          <w:iCs/>
          <w:lang w:val="es-ES_tradnl"/>
        </w:rPr>
        <w:t>Resumen de la atribución de costes</w:t>
      </w:r>
    </w:p>
    <w:p w14:paraId="6251A2F7" w14:textId="5997C584" w:rsidR="00873749" w:rsidRPr="00873749" w:rsidRDefault="00873749" w:rsidP="00873749">
      <w:pPr>
        <w:jc w:val="center"/>
        <w:rPr>
          <w:lang w:val="es-ES_tradnl"/>
        </w:rPr>
      </w:pPr>
      <w:r w:rsidRPr="00873749">
        <w:rPr>
          <w:noProof/>
        </w:rPr>
        <w:drawing>
          <wp:inline distT="0" distB="0" distL="0" distR="0" wp14:anchorId="6E98AB0E" wp14:editId="2E813DBC">
            <wp:extent cx="8272800" cy="237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72800" cy="2376000"/>
                    </a:xfrm>
                    <a:prstGeom prst="rect">
                      <a:avLst/>
                    </a:prstGeom>
                    <a:noFill/>
                    <a:ln>
                      <a:noFill/>
                    </a:ln>
                  </pic:spPr>
                </pic:pic>
              </a:graphicData>
            </a:graphic>
          </wp:inline>
        </w:drawing>
      </w:r>
    </w:p>
    <w:p w14:paraId="00982100" w14:textId="77777777" w:rsidR="00DD352F" w:rsidRPr="00585857" w:rsidRDefault="00DD352F" w:rsidP="00DD352F">
      <w:pPr>
        <w:rPr>
          <w:lang w:val="es-ES_tradnl"/>
        </w:rPr>
      </w:pPr>
      <w:r w:rsidRPr="00585857">
        <w:rPr>
          <w:lang w:val="es-ES_tradnl"/>
        </w:rPr>
        <w:br w:type="page"/>
      </w:r>
    </w:p>
    <w:p w14:paraId="6736A5AF" w14:textId="437A2F7A" w:rsidR="00DD352F" w:rsidRPr="00585857" w:rsidRDefault="007A5EE9" w:rsidP="00DD352F">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4111"/>
        <w:gridCol w:w="6946"/>
        <w:gridCol w:w="2891"/>
      </w:tblGrid>
      <w:tr w:rsidR="00DD352F" w:rsidRPr="00873749" w14:paraId="40993A72" w14:textId="77777777" w:rsidTr="00337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single" w:sz="8" w:space="0" w:color="4F81BD" w:themeColor="accent1"/>
              <w:right w:val="dotted" w:sz="4" w:space="0" w:color="B8CCE4" w:themeColor="accent1" w:themeTint="66"/>
            </w:tcBorders>
          </w:tcPr>
          <w:p w14:paraId="4579A9DF" w14:textId="1E6B7E48" w:rsidR="00DD352F" w:rsidRPr="00873749" w:rsidRDefault="008A066E" w:rsidP="00DD352F">
            <w:pPr>
              <w:pStyle w:val="Tablehead"/>
              <w:rPr>
                <w:b/>
                <w:i/>
                <w:iCs/>
                <w:lang w:val="es-ES_tradnl"/>
              </w:rPr>
            </w:pPr>
            <w:r w:rsidRPr="00873749">
              <w:rPr>
                <w:b/>
                <w:i/>
                <w:iCs/>
                <w:lang w:val="es-ES_tradnl"/>
              </w:rPr>
              <w:t>Logros</w:t>
            </w:r>
          </w:p>
        </w:tc>
        <w:tc>
          <w:tcPr>
            <w:tcW w:w="6946" w:type="dxa"/>
            <w:tcBorders>
              <w:top w:val="nil"/>
              <w:left w:val="dotted" w:sz="4" w:space="0" w:color="B8CCE4" w:themeColor="accent1" w:themeTint="66"/>
              <w:bottom w:val="single" w:sz="8" w:space="0" w:color="4F81BD" w:themeColor="accent1"/>
              <w:right w:val="dotted" w:sz="4" w:space="0" w:color="B8CCE4" w:themeColor="accent1" w:themeTint="66"/>
            </w:tcBorders>
          </w:tcPr>
          <w:p w14:paraId="6776ACFF" w14:textId="75B29259" w:rsidR="00DD352F" w:rsidRPr="00873749" w:rsidRDefault="008A066E" w:rsidP="00DD352F">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Medición</w:t>
            </w:r>
          </w:p>
        </w:tc>
        <w:tc>
          <w:tcPr>
            <w:tcW w:w="2891" w:type="dxa"/>
            <w:tcBorders>
              <w:top w:val="nil"/>
              <w:left w:val="dotted" w:sz="4" w:space="0" w:color="B8CCE4" w:themeColor="accent1" w:themeTint="66"/>
              <w:bottom w:val="single" w:sz="8" w:space="0" w:color="4F81BD" w:themeColor="accent1"/>
              <w:right w:val="nil"/>
            </w:tcBorders>
          </w:tcPr>
          <w:p w14:paraId="4ED79C6F" w14:textId="345AFE5E" w:rsidR="00DD352F" w:rsidRPr="00873749" w:rsidRDefault="00B80BE6" w:rsidP="00DD352F">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Riesgo</w:t>
            </w:r>
          </w:p>
        </w:tc>
      </w:tr>
      <w:tr w:rsidR="00DD352F" w:rsidRPr="008F43A8" w14:paraId="1CA8C123" w14:textId="77777777" w:rsidTr="0033733F">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left w:val="nil"/>
              <w:bottom w:val="single" w:sz="4" w:space="0" w:color="B8CCE4" w:themeColor="accent1" w:themeTint="66"/>
              <w:right w:val="dotted" w:sz="4" w:space="0" w:color="B8CCE4" w:themeColor="accent1" w:themeTint="66"/>
            </w:tcBorders>
          </w:tcPr>
          <w:p w14:paraId="51640560" w14:textId="4D0E7E31" w:rsidR="00DD352F" w:rsidRPr="00585857" w:rsidRDefault="00B80BE6" w:rsidP="00DD352F">
            <w:pPr>
              <w:pStyle w:val="Tabletext"/>
              <w:rPr>
                <w:b w:val="0"/>
                <w:bCs w:val="0"/>
                <w:lang w:val="es-ES_tradnl"/>
              </w:rPr>
            </w:pPr>
            <w:bookmarkStart w:id="236" w:name="lt_pId586"/>
            <w:r>
              <w:rPr>
                <w:b w:val="0"/>
                <w:bCs w:val="0"/>
                <w:lang w:val="es-ES_tradnl"/>
              </w:rPr>
              <w:t>Nivel de implementación efectiva del Plan de Acción y del Plan de Acción de la CMSI</w:t>
            </w:r>
            <w:r w:rsidR="00DD352F" w:rsidRPr="00585857">
              <w:rPr>
                <w:b w:val="0"/>
                <w:bCs w:val="0"/>
                <w:lang w:val="es-ES_tradnl"/>
              </w:rPr>
              <w:t>.</w:t>
            </w:r>
            <w:bookmarkEnd w:id="236"/>
          </w:p>
        </w:tc>
        <w:tc>
          <w:tcPr>
            <w:tcW w:w="6946"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052F052D" w14:textId="3683AA52" w:rsidR="00DD352F" w:rsidRPr="00585857" w:rsidRDefault="00B310FB"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37" w:name="lt_pId587"/>
            <w:r w:rsidRPr="00B310FB">
              <w:rPr>
                <w:lang w:val="es-ES_tradnl"/>
              </w:rPr>
              <w:t>Para asegurar que la labor de la BDT se lleve a cabo de la manera más eficiente posible y con resultados tangibles y me</w:t>
            </w:r>
            <w:r>
              <w:rPr>
                <w:lang w:val="es-ES_tradnl"/>
              </w:rPr>
              <w:t>di</w:t>
            </w:r>
            <w:r w:rsidRPr="00B310FB">
              <w:rPr>
                <w:lang w:val="es-ES_tradnl"/>
              </w:rPr>
              <w:t xml:space="preserve">bles que </w:t>
            </w:r>
            <w:r>
              <w:rPr>
                <w:lang w:val="es-ES_tradnl"/>
              </w:rPr>
              <w:t>sean eficaces</w:t>
            </w:r>
            <w:r w:rsidRPr="00B310FB">
              <w:rPr>
                <w:lang w:val="es-ES_tradnl"/>
              </w:rPr>
              <w:t>, la Oficina ha reforzado su enfoque de gestión basada en los resultados para la planificación y ejecución de proyectos y ha elaborado una teoría del cambio para cada una de las prioridades temáticas de la BDT</w:t>
            </w:r>
            <w:r w:rsidR="00DD352F" w:rsidRPr="00585857">
              <w:rPr>
                <w:lang w:val="es-ES_tradnl"/>
              </w:rPr>
              <w:t>.</w:t>
            </w:r>
            <w:bookmarkEnd w:id="237"/>
          </w:p>
          <w:p w14:paraId="77E645E4" w14:textId="04727874" w:rsidR="00DD352F" w:rsidRPr="00585857" w:rsidRDefault="00B310FB"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38" w:name="lt_pId588"/>
            <w:r w:rsidRPr="00B310FB">
              <w:rPr>
                <w:lang w:val="es-ES_tradnl"/>
              </w:rPr>
              <w:t xml:space="preserve">La BDT organizó la Vía de innovación anual de la CMSI. </w:t>
            </w:r>
            <w:r>
              <w:rPr>
                <w:lang w:val="es-ES_tradnl"/>
              </w:rPr>
              <w:t>A lo largo de</w:t>
            </w:r>
            <w:r w:rsidRPr="00B310FB">
              <w:rPr>
                <w:lang w:val="es-ES_tradnl"/>
              </w:rPr>
              <w:t xml:space="preserve"> tres sesiones se exploraron tres esferas clave: las tendencias tecnológicas que aceleran la transformación digital, el intercambio de experiencias nacionales y una cultura de la innovación para acelerar </w:t>
            </w:r>
            <w:r>
              <w:rPr>
                <w:lang w:val="es-ES_tradnl"/>
              </w:rPr>
              <w:t>el</w:t>
            </w:r>
            <w:r w:rsidRPr="00B310FB">
              <w:rPr>
                <w:lang w:val="es-ES_tradnl"/>
              </w:rPr>
              <w:t xml:space="preserve"> logro de los </w:t>
            </w:r>
            <w:r>
              <w:rPr>
                <w:lang w:val="es-ES_tradnl"/>
              </w:rPr>
              <w:t>ODS</w:t>
            </w:r>
            <w:r w:rsidRPr="00B310FB">
              <w:rPr>
                <w:lang w:val="es-ES_tradnl"/>
              </w:rPr>
              <w:t>. 250 participantes y 25 expertos oradores</w:t>
            </w:r>
            <w:r>
              <w:rPr>
                <w:lang w:val="es-ES_tradnl"/>
              </w:rPr>
              <w:t>.</w:t>
            </w:r>
            <w:bookmarkEnd w:id="238"/>
          </w:p>
        </w:tc>
        <w:tc>
          <w:tcPr>
            <w:tcW w:w="2891" w:type="dxa"/>
            <w:tcBorders>
              <w:top w:val="single" w:sz="8" w:space="0" w:color="4F81BD" w:themeColor="accent1"/>
              <w:left w:val="dotted" w:sz="4" w:space="0" w:color="B8CCE4" w:themeColor="accent1" w:themeTint="66"/>
              <w:bottom w:val="single" w:sz="4" w:space="0" w:color="B8CCE4" w:themeColor="accent1" w:themeTint="66"/>
              <w:right w:val="nil"/>
            </w:tcBorders>
          </w:tcPr>
          <w:p w14:paraId="58144505" w14:textId="08CE2E0D" w:rsidR="00DD352F" w:rsidRPr="00585857" w:rsidRDefault="00B310FB"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39" w:name="lt_pId591"/>
            <w:r>
              <w:rPr>
                <w:lang w:val="es-ES_tradnl"/>
              </w:rPr>
              <w:t>Se mitigaron t</w:t>
            </w:r>
            <w:r w:rsidRPr="00B310FB">
              <w:rPr>
                <w:lang w:val="es-ES_tradnl"/>
              </w:rPr>
              <w:t>odos los riesgos. Un</w:t>
            </w:r>
            <w:r>
              <w:rPr>
                <w:lang w:val="es-ES_tradnl"/>
              </w:rPr>
              <w:t>a</w:t>
            </w:r>
            <w:r w:rsidRPr="00B310FB">
              <w:rPr>
                <w:lang w:val="es-ES_tradnl"/>
              </w:rPr>
              <w:t xml:space="preserve"> buen</w:t>
            </w:r>
            <w:r>
              <w:rPr>
                <w:lang w:val="es-ES_tradnl"/>
              </w:rPr>
              <w:t>a</w:t>
            </w:r>
            <w:r w:rsidRPr="00B310FB">
              <w:rPr>
                <w:lang w:val="es-ES_tradnl"/>
              </w:rPr>
              <w:t xml:space="preserve"> </w:t>
            </w:r>
            <w:r>
              <w:rPr>
                <w:lang w:val="es-ES_tradnl"/>
              </w:rPr>
              <w:t>audiencia</w:t>
            </w:r>
            <w:r w:rsidRPr="00B310FB">
              <w:rPr>
                <w:lang w:val="es-ES_tradnl"/>
              </w:rPr>
              <w:t xml:space="preserve"> y recursos financieros y humanos suficientes para hacer frente a las necesidades</w:t>
            </w:r>
            <w:bookmarkStart w:id="240" w:name="lt_pId592"/>
            <w:bookmarkEnd w:id="239"/>
            <w:r w:rsidR="00DD352F" w:rsidRPr="00585857">
              <w:rPr>
                <w:lang w:val="es-ES_tradnl"/>
              </w:rPr>
              <w:t>.</w:t>
            </w:r>
            <w:bookmarkEnd w:id="240"/>
          </w:p>
        </w:tc>
      </w:tr>
      <w:tr w:rsidR="00DD352F" w:rsidRPr="008F43A8" w14:paraId="40DBBA78" w14:textId="77777777" w:rsidTr="0033733F">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10619E9" w14:textId="7309D166" w:rsidR="00DD352F" w:rsidRPr="00EF446A" w:rsidRDefault="00B310FB" w:rsidP="00EF446A">
            <w:pPr>
              <w:pStyle w:val="Tabletext"/>
              <w:rPr>
                <w:lang w:val="es-ES_tradnl"/>
              </w:rPr>
            </w:pPr>
            <w:bookmarkStart w:id="241" w:name="lt_pId593"/>
            <w:r w:rsidRPr="00B310FB">
              <w:rPr>
                <w:b w:val="0"/>
                <w:bCs w:val="0"/>
                <w:lang w:val="es-ES_tradnl"/>
              </w:rPr>
              <w:t xml:space="preserve">Contribución pertinente al </w:t>
            </w:r>
            <w:r w:rsidR="00EF446A">
              <w:rPr>
                <w:b w:val="0"/>
                <w:bCs w:val="0"/>
                <w:lang w:val="es-ES_tradnl"/>
              </w:rPr>
              <w:t xml:space="preserve">correspondiente </w:t>
            </w:r>
            <w:r w:rsidRPr="00B310FB">
              <w:rPr>
                <w:b w:val="0"/>
                <w:bCs w:val="0"/>
                <w:lang w:val="es-ES_tradnl"/>
              </w:rPr>
              <w:t>nivel de intercambio de conocimientos, diálogo y asociación entre los miembros de la UIT sobre cuestiones de telecomunicaciones/TIC</w:t>
            </w:r>
            <w:r w:rsidR="00DD352F" w:rsidRPr="00585857">
              <w:rPr>
                <w:b w:val="0"/>
                <w:bCs w:val="0"/>
                <w:lang w:val="es-ES_tradnl"/>
              </w:rPr>
              <w:t>.</w:t>
            </w:r>
            <w:bookmarkEnd w:id="241"/>
          </w:p>
        </w:tc>
        <w:tc>
          <w:tcPr>
            <w:tcW w:w="6946"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321CA9FB" w14:textId="4F0B94C1" w:rsidR="00DD352F" w:rsidRPr="00585857" w:rsidRDefault="00EF446A"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42" w:name="lt_pId594"/>
            <w:r>
              <w:rPr>
                <w:lang w:val="es-ES_tradnl"/>
              </w:rPr>
              <w:t xml:space="preserve">La </w:t>
            </w:r>
            <w:r w:rsidR="00DD352F" w:rsidRPr="00585857">
              <w:rPr>
                <w:lang w:val="es-ES_tradnl"/>
              </w:rPr>
              <w:t>BDT organi</w:t>
            </w:r>
            <w:r>
              <w:rPr>
                <w:lang w:val="es-ES_tradnl"/>
              </w:rPr>
              <w:t xml:space="preserve">zó la reunión de asociación UIT-Instituciones Académicas, </w:t>
            </w:r>
            <w:r w:rsidR="007B19E6">
              <w:rPr>
                <w:lang w:val="es-ES_tradnl"/>
              </w:rPr>
              <w:t>dos</w:t>
            </w:r>
            <w:r>
              <w:rPr>
                <w:lang w:val="es-ES_tradnl"/>
              </w:rPr>
              <w:t xml:space="preserve"> reuniones de Comisiones de Estudio y reuniones de Grupo de Relator. Se emprendieron varias actividades de asociación con </w:t>
            </w:r>
            <w:bookmarkStart w:id="243" w:name="lt_pId595"/>
            <w:bookmarkEnd w:id="242"/>
            <w:r w:rsidR="00DD352F" w:rsidRPr="00585857">
              <w:rPr>
                <w:lang w:val="es-ES_tradnl"/>
              </w:rPr>
              <w:t>Cisco, Deloitte risk advisory</w:t>
            </w:r>
            <w:r w:rsidR="007B19E6">
              <w:rPr>
                <w:lang w:val="es-ES_tradnl"/>
              </w:rPr>
              <w:t xml:space="preserve"> </w:t>
            </w:r>
            <w:r w:rsidR="007B19E6" w:rsidRPr="007B19E6">
              <w:rPr>
                <w:lang w:val="es-ES_tradnl"/>
              </w:rPr>
              <w:t>–</w:t>
            </w:r>
            <w:r w:rsidR="00DD352F" w:rsidRPr="00585857">
              <w:rPr>
                <w:lang w:val="es-ES_tradnl"/>
              </w:rPr>
              <w:t xml:space="preserve"> Ital</w:t>
            </w:r>
            <w:r>
              <w:rPr>
                <w:lang w:val="es-ES_tradnl"/>
              </w:rPr>
              <w:t>ia</w:t>
            </w:r>
            <w:r w:rsidR="00DD352F" w:rsidRPr="00585857">
              <w:rPr>
                <w:lang w:val="es-ES_tradnl"/>
              </w:rPr>
              <w:t xml:space="preserve">, OFCOM, </w:t>
            </w:r>
            <w:r>
              <w:rPr>
                <w:lang w:val="es-ES_tradnl"/>
              </w:rPr>
              <w:t>la</w:t>
            </w:r>
            <w:r w:rsidR="00DD352F" w:rsidRPr="00585857">
              <w:rPr>
                <w:lang w:val="es-ES_tradnl"/>
              </w:rPr>
              <w:t xml:space="preserve"> Arab Women Organization, NBTC/</w:t>
            </w:r>
            <w:r w:rsidRPr="00585857">
              <w:rPr>
                <w:lang w:val="es-ES_tradnl"/>
              </w:rPr>
              <w:t>Tailandia</w:t>
            </w:r>
            <w:r w:rsidR="00DD352F" w:rsidRPr="00585857">
              <w:rPr>
                <w:lang w:val="es-ES_tradnl"/>
              </w:rPr>
              <w:t xml:space="preserve">, </w:t>
            </w:r>
            <w:r>
              <w:rPr>
                <w:lang w:val="es-ES_tradnl"/>
              </w:rPr>
              <w:t>el programa</w:t>
            </w:r>
            <w:r w:rsidR="00DD352F" w:rsidRPr="00585857">
              <w:rPr>
                <w:lang w:val="es-ES_tradnl"/>
              </w:rPr>
              <w:t xml:space="preserve"> INPUT, </w:t>
            </w:r>
            <w:r>
              <w:rPr>
                <w:lang w:val="es-ES_tradnl"/>
              </w:rPr>
              <w:t xml:space="preserve">la </w:t>
            </w:r>
            <w:r w:rsidR="00DD352F" w:rsidRPr="00585857">
              <w:rPr>
                <w:lang w:val="es-ES_tradnl"/>
              </w:rPr>
              <w:t>FAO etc.</w:t>
            </w:r>
            <w:bookmarkEnd w:id="243"/>
          </w:p>
          <w:p w14:paraId="10B1CDB7" w14:textId="00EFA3FB" w:rsidR="00DD352F" w:rsidRPr="00585857" w:rsidRDefault="00EF446A"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44" w:name="lt_pId596"/>
            <w:r>
              <w:rPr>
                <w:lang w:val="es-ES_tradnl"/>
              </w:rPr>
              <w:t>Se pusieron a disposición muchas plataformas, y se organizaron talleres y eventos para desarrollar el intercambio de conocimientos entre los miembros, en los planos nacional, regional y mundial.</w:t>
            </w:r>
            <w:bookmarkEnd w:id="244"/>
          </w:p>
        </w:tc>
        <w:tc>
          <w:tcPr>
            <w:tcW w:w="2891"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102D9C8E" w14:textId="7429E941" w:rsidR="00DD352F" w:rsidRPr="00585857" w:rsidRDefault="00EF446A"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45" w:name="lt_pId597"/>
            <w:r>
              <w:rPr>
                <w:lang w:val="es-ES_tradnl"/>
              </w:rPr>
              <w:t>El buen apoyo facilitado por las partes interesadas contribuyó a mitigar los posibles riesgos.</w:t>
            </w:r>
            <w:bookmarkEnd w:id="245"/>
          </w:p>
        </w:tc>
      </w:tr>
      <w:tr w:rsidR="00DD352F" w:rsidRPr="008F43A8" w14:paraId="12990769" w14:textId="77777777" w:rsidTr="0033733F">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88D60FD" w14:textId="5DB91776" w:rsidR="00DD352F" w:rsidRPr="00585857" w:rsidRDefault="00EF446A" w:rsidP="000A6517">
            <w:pPr>
              <w:pStyle w:val="Tabletext"/>
              <w:rPr>
                <w:b w:val="0"/>
                <w:bCs w:val="0"/>
                <w:lang w:val="es-ES_tradnl"/>
              </w:rPr>
            </w:pPr>
            <w:bookmarkStart w:id="246" w:name="lt_pId598"/>
            <w:r w:rsidRPr="00585857">
              <w:rPr>
                <w:b w:val="0"/>
                <w:bCs w:val="0"/>
                <w:lang w:val="es-ES_tradnl"/>
              </w:rPr>
              <w:t>Implementación</w:t>
            </w:r>
            <w:r>
              <w:rPr>
                <w:b w:val="0"/>
                <w:bCs w:val="0"/>
                <w:lang w:val="es-ES_tradnl"/>
              </w:rPr>
              <w:t xml:space="preserve"> de proyectos de desarrollo de las telecomunicaciones/TIC e iniciativas regionales.</w:t>
            </w:r>
            <w:bookmarkEnd w:id="246"/>
          </w:p>
        </w:tc>
        <w:tc>
          <w:tcPr>
            <w:tcW w:w="6946"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72CEAA1E" w14:textId="344DBDFA" w:rsidR="00DD352F" w:rsidRPr="00585857" w:rsidRDefault="00EF446A"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47" w:name="lt_pId599"/>
            <w:r>
              <w:rPr>
                <w:lang w:val="es-ES_tradnl"/>
              </w:rPr>
              <w:t xml:space="preserve">En 2019 se firmaron </w:t>
            </w:r>
            <w:r w:rsidR="00DD352F" w:rsidRPr="00585857">
              <w:rPr>
                <w:lang w:val="es-ES_tradnl"/>
              </w:rPr>
              <w:t>19 n</w:t>
            </w:r>
            <w:r>
              <w:rPr>
                <w:lang w:val="es-ES_tradnl"/>
              </w:rPr>
              <w:t>uevos acuerdos de proyecto. En el momento de prepararse este informe, había 68 proyectos e iniciativas regionales en curso</w:t>
            </w:r>
            <w:bookmarkStart w:id="248" w:name="lt_pId600"/>
            <w:bookmarkEnd w:id="247"/>
            <w:r w:rsidR="00DD352F" w:rsidRPr="00585857">
              <w:rPr>
                <w:lang w:val="es-ES_tradnl"/>
              </w:rPr>
              <w:t>.</w:t>
            </w:r>
            <w:bookmarkEnd w:id="248"/>
          </w:p>
        </w:tc>
        <w:tc>
          <w:tcPr>
            <w:tcW w:w="2891"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7D61236D" w14:textId="77777777"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789B0A92" w14:textId="77777777" w:rsidR="00DD352F" w:rsidRPr="00585857" w:rsidRDefault="00DD352F" w:rsidP="00DD352F">
      <w:pPr>
        <w:rPr>
          <w:lang w:val="es-ES_tradnl"/>
        </w:rPr>
      </w:pPr>
      <w:r w:rsidRPr="00585857">
        <w:rPr>
          <w:lang w:val="es-ES_tradnl"/>
        </w:rPr>
        <w:br w:type="page"/>
      </w:r>
    </w:p>
    <w:p w14:paraId="6EF17EE5" w14:textId="58B8A176" w:rsidR="00DD352F" w:rsidRPr="00585857" w:rsidRDefault="007A5EE9" w:rsidP="00DD352F">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5557"/>
        <w:gridCol w:w="3742"/>
      </w:tblGrid>
      <w:tr w:rsidR="00DD352F" w:rsidRPr="00873749" w14:paraId="387452E7" w14:textId="77777777" w:rsidTr="00F553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27305502" w14:textId="1AA607BE" w:rsidR="00DD352F" w:rsidRPr="00873749" w:rsidRDefault="00DD352F" w:rsidP="00DD352F">
            <w:pPr>
              <w:pStyle w:val="Tablehead"/>
              <w:rPr>
                <w:b/>
                <w:i/>
                <w:iCs/>
                <w:lang w:val="es-ES_tradnl"/>
              </w:rPr>
            </w:pPr>
            <w:r w:rsidRPr="00873749">
              <w:rPr>
                <w:b/>
                <w:i/>
                <w:iCs/>
                <w:lang w:val="es-ES_tradnl"/>
              </w:rPr>
              <w:t>Resultados</w:t>
            </w:r>
          </w:p>
        </w:tc>
        <w:tc>
          <w:tcPr>
            <w:tcW w:w="5557" w:type="dxa"/>
            <w:tcBorders>
              <w:top w:val="nil"/>
              <w:left w:val="dotted" w:sz="4" w:space="0" w:color="B8CCE4" w:themeColor="accent1" w:themeTint="66"/>
              <w:bottom w:val="single" w:sz="8" w:space="0" w:color="4F81BD" w:themeColor="accent1"/>
              <w:right w:val="dotted" w:sz="4" w:space="0" w:color="B8CCE4" w:themeColor="accent1" w:themeTint="66"/>
            </w:tcBorders>
          </w:tcPr>
          <w:p w14:paraId="0439FC7B" w14:textId="4D90E1C4" w:rsidR="00DD352F" w:rsidRPr="00873749" w:rsidRDefault="00DD352F" w:rsidP="00DD352F">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 de resultados</w:t>
            </w:r>
          </w:p>
        </w:tc>
        <w:tc>
          <w:tcPr>
            <w:tcW w:w="3742" w:type="dxa"/>
            <w:tcBorders>
              <w:top w:val="nil"/>
              <w:left w:val="dotted" w:sz="4" w:space="0" w:color="B8CCE4" w:themeColor="accent1" w:themeTint="66"/>
              <w:bottom w:val="single" w:sz="8" w:space="0" w:color="4F81BD" w:themeColor="accent1"/>
              <w:right w:val="nil"/>
            </w:tcBorders>
          </w:tcPr>
          <w:p w14:paraId="3F97AA7D" w14:textId="624E9341" w:rsidR="00DD352F" w:rsidRPr="00873749" w:rsidRDefault="008A066E" w:rsidP="00DD352F">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Indicadores de riesgo</w:t>
            </w:r>
          </w:p>
        </w:tc>
      </w:tr>
      <w:tr w:rsidR="00DD352F" w:rsidRPr="008F43A8" w14:paraId="27A2E469"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619D4B6C" w14:textId="748AACEC" w:rsidR="00DD352F" w:rsidRPr="00585857" w:rsidRDefault="00DD352F" w:rsidP="00DD352F">
            <w:pPr>
              <w:pStyle w:val="Tabletext"/>
              <w:rPr>
                <w:b w:val="0"/>
                <w:bCs w:val="0"/>
                <w:lang w:val="es-ES_tradnl"/>
              </w:rPr>
            </w:pPr>
            <w:r w:rsidRPr="00585857">
              <w:rPr>
                <w:b w:val="0"/>
                <w:bCs w:val="0"/>
                <w:lang w:val="es-ES_tradnl"/>
              </w:rPr>
              <w:t>Mejora del proceso de examen y mayor nivel de acuerdo sobre el proyecto de contribución del</w:t>
            </w:r>
            <w:r w:rsidR="00AD5971">
              <w:rPr>
                <w:b w:val="0"/>
                <w:bCs w:val="0"/>
                <w:lang w:val="es-ES_tradnl"/>
              </w:rPr>
              <w:t> </w:t>
            </w:r>
            <w:r w:rsidRPr="00585857">
              <w:rPr>
                <w:b w:val="0"/>
                <w:bCs w:val="0"/>
                <w:lang w:val="es-ES_tradnl"/>
              </w:rPr>
              <w:t>UIT-D al proyecto de Plan Estratégico de la UIT, la Declaración de la Conferencia Mundial de Desarrollo de las Telecomunicaciones (CMDT) y el Plan de Acción de la CMDT.</w:t>
            </w:r>
          </w:p>
        </w:tc>
        <w:tc>
          <w:tcPr>
            <w:tcW w:w="555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65373E07" w14:textId="2C6AC6C6"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Nivel de comprensión de los </w:t>
            </w:r>
            <w:r w:rsidR="00AD5971">
              <w:rPr>
                <w:lang w:val="es-ES_tradnl"/>
              </w:rPr>
              <w:t>m</w:t>
            </w:r>
            <w:r w:rsidRPr="00585857">
              <w:rPr>
                <w:lang w:val="es-ES_tradnl"/>
              </w:rPr>
              <w:t>iembros y divulgación de los objetivos productos del UIT</w:t>
            </w:r>
            <w:r w:rsidRPr="00585857">
              <w:rPr>
                <w:lang w:val="es-ES_tradnl"/>
              </w:rPr>
              <w:noBreakHyphen/>
              <w:t>D.</w:t>
            </w:r>
          </w:p>
          <w:p w14:paraId="7F12C416" w14:textId="13539080"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Declaración aprobada – Nivel de apoyo/acuerdo.</w:t>
            </w:r>
          </w:p>
        </w:tc>
        <w:tc>
          <w:tcPr>
            <w:tcW w:w="3742" w:type="dxa"/>
            <w:tcBorders>
              <w:top w:val="single" w:sz="8" w:space="0" w:color="4F81BD" w:themeColor="accent1"/>
              <w:left w:val="dotted" w:sz="4" w:space="0" w:color="4F81BD" w:themeColor="accent1"/>
              <w:bottom w:val="nil"/>
              <w:right w:val="nil"/>
            </w:tcBorders>
          </w:tcPr>
          <w:p w14:paraId="377892C2" w14:textId="06E65EEC" w:rsidR="00DD352F" w:rsidRPr="00585857" w:rsidRDefault="0049509A"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Dificultad creciente para implicar a las audiencias (nuevos actores, múltiples organizaciones que compiten por su atención)</w:t>
            </w:r>
            <w:r w:rsidR="00DF29B8">
              <w:rPr>
                <w:lang w:val="es-ES_tradnl"/>
              </w:rPr>
              <w:t>.</w:t>
            </w:r>
          </w:p>
        </w:tc>
      </w:tr>
      <w:tr w:rsidR="00DD352F" w:rsidRPr="008F43A8" w14:paraId="20B3035B"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2F215202" w14:textId="69317E7C" w:rsidR="00DD352F" w:rsidRPr="00585857" w:rsidRDefault="00DD352F" w:rsidP="00DD352F">
            <w:pPr>
              <w:pStyle w:val="Tabletext"/>
              <w:rPr>
                <w:b w:val="0"/>
                <w:bCs w:val="0"/>
                <w:lang w:val="es-ES_tradnl"/>
              </w:rPr>
            </w:pPr>
            <w:r w:rsidRPr="00585857">
              <w:rPr>
                <w:b w:val="0"/>
                <w:bCs w:val="0"/>
                <w:lang w:val="es-ES_tradnl"/>
              </w:rPr>
              <w:t>Evaluación de la ejecución del Plan de Acción de la CMDT y del Plan de Acción de la CMSI.</w:t>
            </w:r>
          </w:p>
        </w:tc>
        <w:tc>
          <w:tcPr>
            <w:tcW w:w="555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2C53E39B" w14:textId="3FD05C7E"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Indicadores de cooperación regional – Nivel de consenso.</w:t>
            </w:r>
          </w:p>
        </w:tc>
        <w:tc>
          <w:tcPr>
            <w:tcW w:w="3742" w:type="dxa"/>
            <w:tcBorders>
              <w:top w:val="nil"/>
              <w:left w:val="dotted" w:sz="4" w:space="0" w:color="4F81BD" w:themeColor="accent1"/>
              <w:bottom w:val="nil"/>
              <w:right w:val="nil"/>
            </w:tcBorders>
          </w:tcPr>
          <w:p w14:paraId="67F0ECA2" w14:textId="4ED44466" w:rsidR="00DD352F" w:rsidRPr="00585857" w:rsidRDefault="00420430"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r w:rsidR="00DF29B8">
              <w:rPr>
                <w:lang w:val="es-ES_tradnl"/>
              </w:rPr>
              <w:t>.</w:t>
            </w:r>
          </w:p>
        </w:tc>
      </w:tr>
      <w:tr w:rsidR="00DD352F" w:rsidRPr="008F43A8" w14:paraId="5C711C97"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0E94813E" w14:textId="5F67DE31" w:rsidR="00DD352F" w:rsidRPr="00585857" w:rsidRDefault="00DD352F" w:rsidP="00DD352F">
            <w:pPr>
              <w:pStyle w:val="Tabletext"/>
              <w:rPr>
                <w:b w:val="0"/>
                <w:bCs w:val="0"/>
                <w:lang w:val="es-ES_tradnl"/>
              </w:rPr>
            </w:pPr>
            <w:r w:rsidRPr="00585857">
              <w:rPr>
                <w:b w:val="0"/>
                <w:bCs w:val="0"/>
                <w:lang w:val="es-ES_tradnl"/>
              </w:rPr>
              <w:t xml:space="preserve">Mejora del intercambio de conocimientos, del diálogo y las asociaciones entre los </w:t>
            </w:r>
            <w:r w:rsidR="00AD5971">
              <w:rPr>
                <w:b w:val="0"/>
                <w:bCs w:val="0"/>
                <w:lang w:val="es-ES_tradnl"/>
              </w:rPr>
              <w:t>m</w:t>
            </w:r>
            <w:r w:rsidRPr="00585857">
              <w:rPr>
                <w:b w:val="0"/>
                <w:bCs w:val="0"/>
                <w:lang w:val="es-ES_tradnl"/>
              </w:rPr>
              <w:t>iembros de la UIT sobre cuestiones de telecomunicaciones/TIC.</w:t>
            </w:r>
          </w:p>
        </w:tc>
        <w:tc>
          <w:tcPr>
            <w:tcW w:w="555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74A26033" w14:textId="77777777"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Programas de trabajo emprendidos en respuesta a la Resolución 2 (Rev. Buenos Aires, 2017); trabajos asignados por la CMDT; Resoluciones del UIT-D que tratan sobre ámbitos de estudio específicos a través de las Comisiones de Estudio del UIT-D.</w:t>
            </w:r>
          </w:p>
          <w:p w14:paraId="0DCA7BB0" w14:textId="14518B07"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Reuniones y documentación para las reuniones tratadas de conformidad con la Resolución 1 (y directrices de trabajo) y de conformidad con las decisiones de la CMDT.</w:t>
            </w:r>
          </w:p>
        </w:tc>
        <w:tc>
          <w:tcPr>
            <w:tcW w:w="3742" w:type="dxa"/>
            <w:tcBorders>
              <w:top w:val="nil"/>
              <w:left w:val="dotted" w:sz="4" w:space="0" w:color="4F81BD" w:themeColor="accent1"/>
              <w:bottom w:val="nil"/>
              <w:right w:val="nil"/>
            </w:tcBorders>
          </w:tcPr>
          <w:p w14:paraId="2BF7CC9B" w14:textId="1EB925A7" w:rsidR="00DD352F" w:rsidRPr="00585857" w:rsidRDefault="001E1E3C"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Falta de recursos humanos y financieros</w:t>
            </w:r>
            <w:r w:rsidR="00DD352F" w:rsidRPr="00585857">
              <w:rPr>
                <w:lang w:val="es-ES_tradnl"/>
              </w:rPr>
              <w:t>.</w:t>
            </w:r>
          </w:p>
        </w:tc>
      </w:tr>
      <w:tr w:rsidR="00DD352F" w:rsidRPr="008F43A8" w14:paraId="2113399B"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7A62B53A" w14:textId="6B6D7318" w:rsidR="008A67D4" w:rsidRPr="008A67D4" w:rsidRDefault="00DD352F" w:rsidP="00873749">
            <w:pPr>
              <w:pStyle w:val="Tabletext"/>
              <w:rPr>
                <w:lang w:val="es-ES_tradnl"/>
              </w:rPr>
            </w:pPr>
            <w:r w:rsidRPr="00585857">
              <w:rPr>
                <w:b w:val="0"/>
                <w:bCs w:val="0"/>
                <w:lang w:val="es-ES_tradnl"/>
              </w:rPr>
              <w:t xml:space="preserve">Mejores procesos y ejecución de los proyectos e </w:t>
            </w:r>
            <w:r w:rsidR="00AD5971" w:rsidRPr="00585857">
              <w:rPr>
                <w:b w:val="0"/>
                <w:bCs w:val="0"/>
                <w:lang w:val="es-ES_tradnl"/>
              </w:rPr>
              <w:t xml:space="preserve">iniciativas regionales </w:t>
            </w:r>
            <w:r w:rsidRPr="00585857">
              <w:rPr>
                <w:b w:val="0"/>
                <w:bCs w:val="0"/>
                <w:lang w:val="es-ES_tradnl"/>
              </w:rPr>
              <w:t>de desarrollo de las telecomunicaciones/TIC.</w:t>
            </w:r>
          </w:p>
        </w:tc>
        <w:tc>
          <w:tcPr>
            <w:tcW w:w="555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0FCD3D88" w14:textId="4B8EE54D"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49" w:name="lt_pId440"/>
            <w:r w:rsidRPr="00585857">
              <w:rPr>
                <w:lang w:val="es-ES_tradnl"/>
              </w:rPr>
              <w:t xml:space="preserve">Mayor utilización de herramientas electrónicas para avanzar los trabajos sobre los programas de trabajo de las Comisiones de Estudio; número de asociaciones formalizadas y recursos movilizados; número de proyectos de desarrollo y proyectos relacionados con </w:t>
            </w:r>
            <w:r w:rsidR="00AD5971" w:rsidRPr="00585857">
              <w:rPr>
                <w:lang w:val="es-ES_tradnl"/>
              </w:rPr>
              <w:t xml:space="preserve">iniciativas regionales </w:t>
            </w:r>
            <w:r w:rsidRPr="00585857">
              <w:rPr>
                <w:lang w:val="es-ES_tradnl"/>
              </w:rPr>
              <w:t>ejecutados por Región.</w:t>
            </w:r>
            <w:bookmarkStart w:id="250" w:name="lt_pId441"/>
            <w:bookmarkEnd w:id="249"/>
          </w:p>
          <w:p w14:paraId="2C85176C" w14:textId="44D143FE"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Estados Miembros que han recibido asistencia de la BDT para ejecutar proyectos relacionados con </w:t>
            </w:r>
            <w:r w:rsidR="00AD5971" w:rsidRPr="00585857">
              <w:rPr>
                <w:lang w:val="es-ES_tradnl"/>
              </w:rPr>
              <w:t>iniciativas regionales</w:t>
            </w:r>
            <w:r w:rsidRPr="00585857">
              <w:rPr>
                <w:lang w:val="es-ES_tradnl"/>
              </w:rPr>
              <w:t>.</w:t>
            </w:r>
            <w:bookmarkEnd w:id="250"/>
          </w:p>
        </w:tc>
        <w:tc>
          <w:tcPr>
            <w:tcW w:w="3742" w:type="dxa"/>
            <w:tcBorders>
              <w:top w:val="nil"/>
              <w:left w:val="dotted" w:sz="4" w:space="0" w:color="4F81BD" w:themeColor="accent1"/>
              <w:bottom w:val="nil"/>
              <w:right w:val="nil"/>
            </w:tcBorders>
          </w:tcPr>
          <w:p w14:paraId="08E0546B" w14:textId="77777777" w:rsidR="00DD352F" w:rsidRPr="00585857" w:rsidRDefault="00DD352F"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1180CD22" w14:textId="77777777" w:rsidTr="00F55308">
        <w:trPr>
          <w:cantSplit/>
        </w:trPr>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7995B3A4" w14:textId="571A5D09" w:rsidR="00DD352F" w:rsidRPr="00585857" w:rsidRDefault="00DD352F" w:rsidP="00DD352F">
            <w:pPr>
              <w:pStyle w:val="Tabletext"/>
              <w:rPr>
                <w:b w:val="0"/>
                <w:bCs w:val="0"/>
                <w:lang w:val="es-ES_tradnl"/>
              </w:rPr>
            </w:pPr>
            <w:r w:rsidRPr="00585857">
              <w:rPr>
                <w:b w:val="0"/>
                <w:bCs w:val="0"/>
                <w:lang w:val="es-ES_tradnl"/>
              </w:rPr>
              <w:lastRenderedPageBreak/>
              <w:t>Facilitación de los acuerdos de cooperación para programas de desarrollo de las telecomunicaciones/TIC entre los Estados Miembros y entre los Estados Miembros y otras partes interesadas del ecosistema de las TIC a instancias de los Estados Miembros de la UIT involucrados.</w:t>
            </w:r>
          </w:p>
        </w:tc>
        <w:tc>
          <w:tcPr>
            <w:tcW w:w="555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3733D1B9" w14:textId="77777777"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51" w:name="lt_pId443"/>
            <w:r w:rsidRPr="00585857">
              <w:rPr>
                <w:lang w:val="es-ES_tradnl"/>
              </w:rPr>
              <w:t>Número de alianzas firmadas y recursos movilizados.</w:t>
            </w:r>
          </w:p>
          <w:p w14:paraId="5A01836B" w14:textId="77777777"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solicitudes de administraciones a la UIT para facilitar acuerdos.</w:t>
            </w:r>
          </w:p>
          <w:p w14:paraId="1B06CF19" w14:textId="071B7837" w:rsidR="00DD352F" w:rsidRPr="00585857" w:rsidRDefault="00DD352F" w:rsidP="00DD352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acuerdos facilitados por la UIT.</w:t>
            </w:r>
            <w:bookmarkEnd w:id="251"/>
          </w:p>
        </w:tc>
        <w:tc>
          <w:tcPr>
            <w:tcW w:w="3742" w:type="dxa"/>
            <w:tcBorders>
              <w:top w:val="nil"/>
              <w:left w:val="dotted" w:sz="4" w:space="0" w:color="4F81BD" w:themeColor="accent1"/>
              <w:bottom w:val="single" w:sz="8" w:space="0" w:color="4F81BD" w:themeColor="accent1"/>
              <w:right w:val="nil"/>
            </w:tcBorders>
          </w:tcPr>
          <w:p w14:paraId="6F43A794" w14:textId="77777777" w:rsidR="00DD352F" w:rsidRPr="00585857" w:rsidRDefault="00DD352F"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1EFADF36" w14:textId="77777777" w:rsidR="008A67D4" w:rsidRDefault="008A67D4">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bookmarkStart w:id="252" w:name="lt_pId624"/>
      <w:bookmarkStart w:id="253" w:name="_Toc33632265"/>
      <w:r>
        <w:rPr>
          <w:lang w:val="es-ES_tradnl"/>
        </w:rPr>
        <w:br w:type="page"/>
      </w:r>
    </w:p>
    <w:p w14:paraId="154A4847" w14:textId="0A5ADE6D" w:rsidR="00DD352F" w:rsidRPr="00585857" w:rsidRDefault="00DD352F" w:rsidP="00F04E0C">
      <w:pPr>
        <w:pStyle w:val="Heading3"/>
        <w:rPr>
          <w:lang w:val="es-ES_tradnl"/>
        </w:rPr>
      </w:pPr>
      <w:r w:rsidRPr="00585857">
        <w:rPr>
          <w:lang w:val="es-ES_tradnl"/>
        </w:rPr>
        <w:lastRenderedPageBreak/>
        <w:t xml:space="preserve">II.4.2 </w:t>
      </w:r>
      <w:r w:rsidR="0022503F" w:rsidRPr="00585857">
        <w:rPr>
          <w:lang w:val="es-ES_tradnl"/>
        </w:rPr>
        <w:t>–</w:t>
      </w:r>
      <w:r w:rsidRPr="00585857">
        <w:rPr>
          <w:lang w:val="es-ES_tradnl"/>
        </w:rPr>
        <w:t xml:space="preserve"> D.2 </w:t>
      </w:r>
      <w:bookmarkEnd w:id="252"/>
      <w:r w:rsidR="0022503F" w:rsidRPr="00585857">
        <w:rPr>
          <w:lang w:val="es-ES_tradnl"/>
        </w:rPr>
        <w:t>Infraestructura de telecomunicaciones/TIC moderna y segura</w:t>
      </w:r>
      <w:bookmarkEnd w:id="253"/>
    </w:p>
    <w:p w14:paraId="231083E9" w14:textId="77777777" w:rsidR="0022503F" w:rsidRPr="00585857" w:rsidRDefault="0022503F" w:rsidP="0022503F">
      <w:pPr>
        <w:pStyle w:val="Headingb"/>
        <w:rPr>
          <w:i/>
          <w:iCs/>
          <w:lang w:val="es-ES_tradnl"/>
        </w:rPr>
      </w:pPr>
      <w:bookmarkStart w:id="254" w:name="lt_pId626"/>
      <w:r w:rsidRPr="00585857">
        <w:rPr>
          <w:i/>
          <w:iCs/>
          <w:lang w:val="es-ES_tradnl"/>
        </w:rPr>
        <w:t>Descripción del objetivo</w:t>
      </w:r>
    </w:p>
    <w:bookmarkEnd w:id="254"/>
    <w:p w14:paraId="08D89D12" w14:textId="54867087" w:rsidR="00DD352F" w:rsidRPr="00585857" w:rsidRDefault="0022503F" w:rsidP="0022503F">
      <w:pPr>
        <w:rPr>
          <w:lang w:val="es-ES_tradnl"/>
        </w:rPr>
      </w:pPr>
      <w:r w:rsidRPr="00585857">
        <w:rPr>
          <w:lang w:val="es-ES_tradnl"/>
        </w:rPr>
        <w:t>Fomentar el desarrollo de infraestructura y servicios, incluida la instauración de confianza y seguridad en la utilización de las telecomunicaciones/TIC.</w:t>
      </w:r>
    </w:p>
    <w:p w14:paraId="3C2162F8" w14:textId="71D63391" w:rsidR="00DD352F" w:rsidRPr="00585857" w:rsidRDefault="0022503F" w:rsidP="0022503F">
      <w:pPr>
        <w:rPr>
          <w:lang w:val="es-ES_tradnl"/>
        </w:rPr>
      </w:pPr>
      <w:bookmarkStart w:id="255" w:name="lt_pId627"/>
      <w:r w:rsidRPr="00585857">
        <w:rPr>
          <w:lang w:val="es-ES_tradnl"/>
        </w:rPr>
        <w:t xml:space="preserve">El Objetivo D.2 utiliza el </w:t>
      </w:r>
      <w:r w:rsidR="00DD352F" w:rsidRPr="00585857">
        <w:rPr>
          <w:lang w:val="es-ES_tradnl"/>
        </w:rPr>
        <w:t>20</w:t>
      </w:r>
      <w:r w:rsidRPr="00585857">
        <w:rPr>
          <w:lang w:val="es-ES_tradnl"/>
        </w:rPr>
        <w:t>,</w:t>
      </w:r>
      <w:r w:rsidR="00DD352F" w:rsidRPr="00585857">
        <w:rPr>
          <w:lang w:val="es-ES_tradnl"/>
        </w:rPr>
        <w:t>19 </w:t>
      </w:r>
      <w:r w:rsidRPr="00585857">
        <w:rPr>
          <w:lang w:val="es-ES_tradnl"/>
        </w:rPr>
        <w:t xml:space="preserve">por ciento de los recursos previstos para los objetivos del UIT-D, un </w:t>
      </w:r>
      <w:r w:rsidR="00DD352F" w:rsidRPr="00585857">
        <w:rPr>
          <w:lang w:val="es-ES_tradnl"/>
        </w:rPr>
        <w:t>7</w:t>
      </w:r>
      <w:r w:rsidRPr="00585857">
        <w:rPr>
          <w:lang w:val="es-ES_tradnl"/>
        </w:rPr>
        <w:t>,</w:t>
      </w:r>
      <w:r w:rsidR="00DD352F" w:rsidRPr="00585857">
        <w:rPr>
          <w:lang w:val="es-ES_tradnl"/>
        </w:rPr>
        <w:t>10 </w:t>
      </w:r>
      <w:r w:rsidRPr="00585857">
        <w:rPr>
          <w:lang w:val="es-ES_tradnl"/>
        </w:rPr>
        <w:t xml:space="preserve">por ciento de los recursos previstos de la UIT para </w:t>
      </w:r>
      <w:r w:rsidR="00DD352F" w:rsidRPr="00585857">
        <w:rPr>
          <w:lang w:val="es-ES_tradnl"/>
        </w:rPr>
        <w:t>2021-2024.</w:t>
      </w:r>
      <w:bookmarkEnd w:id="255"/>
    </w:p>
    <w:p w14:paraId="65DA8E0F" w14:textId="7C62B14B" w:rsidR="00DD352F" w:rsidRDefault="007A5EE9" w:rsidP="0022503F">
      <w:pPr>
        <w:pStyle w:val="Headingb"/>
        <w:rPr>
          <w:i/>
          <w:iCs/>
          <w:lang w:val="es-ES_tradnl"/>
        </w:rPr>
      </w:pPr>
      <w:r>
        <w:rPr>
          <w:i/>
          <w:iCs/>
          <w:lang w:val="es-ES_tradnl"/>
        </w:rPr>
        <w:t>Resumen de la atribución de costes</w:t>
      </w:r>
    </w:p>
    <w:p w14:paraId="71388F2B" w14:textId="2AB8D0AF" w:rsidR="00873749" w:rsidRPr="00873749" w:rsidRDefault="00873749" w:rsidP="00873749">
      <w:pPr>
        <w:jc w:val="center"/>
        <w:rPr>
          <w:lang w:val="es-ES_tradnl"/>
        </w:rPr>
      </w:pPr>
      <w:r w:rsidRPr="00873749">
        <w:rPr>
          <w:noProof/>
        </w:rPr>
        <w:drawing>
          <wp:inline distT="0" distB="0" distL="0" distR="0" wp14:anchorId="3C000160" wp14:editId="0F2A84C5">
            <wp:extent cx="8272800" cy="2476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272800" cy="2476800"/>
                    </a:xfrm>
                    <a:prstGeom prst="rect">
                      <a:avLst/>
                    </a:prstGeom>
                    <a:noFill/>
                    <a:ln>
                      <a:noFill/>
                    </a:ln>
                  </pic:spPr>
                </pic:pic>
              </a:graphicData>
            </a:graphic>
          </wp:inline>
        </w:drawing>
      </w:r>
    </w:p>
    <w:p w14:paraId="6ABF03B7" w14:textId="3CFE6F4E" w:rsidR="008A67D4" w:rsidRDefault="008A67D4" w:rsidP="008A67D4">
      <w:pPr>
        <w:rPr>
          <w:lang w:val="es-ES_tradnl"/>
        </w:rPr>
      </w:pPr>
      <w:r>
        <w:rPr>
          <w:lang w:val="es-ES_tradnl"/>
        </w:rPr>
        <w:br w:type="page"/>
      </w:r>
    </w:p>
    <w:p w14:paraId="4E62777C" w14:textId="71B5E92B" w:rsidR="00DD352F" w:rsidRPr="00585857" w:rsidRDefault="007A5EE9" w:rsidP="0022503F">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4253"/>
        <w:gridCol w:w="6946"/>
        <w:gridCol w:w="2749"/>
      </w:tblGrid>
      <w:tr w:rsidR="00DD352F" w:rsidRPr="00873749" w14:paraId="42968A9F" w14:textId="77777777" w:rsidTr="00337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il"/>
              <w:left w:val="nil"/>
              <w:bottom w:val="single" w:sz="8" w:space="0" w:color="4F81BD" w:themeColor="accent1"/>
              <w:right w:val="dotted" w:sz="4" w:space="0" w:color="B8CCE4" w:themeColor="accent1" w:themeTint="66"/>
            </w:tcBorders>
          </w:tcPr>
          <w:p w14:paraId="257182A4" w14:textId="333C6645" w:rsidR="00DD352F" w:rsidRPr="00873749" w:rsidRDefault="008A066E" w:rsidP="0022503F">
            <w:pPr>
              <w:pStyle w:val="Tablehead"/>
              <w:rPr>
                <w:b/>
                <w:i/>
                <w:iCs/>
                <w:lang w:val="es-ES_tradnl"/>
              </w:rPr>
            </w:pPr>
            <w:r w:rsidRPr="00873749">
              <w:rPr>
                <w:b/>
                <w:i/>
                <w:iCs/>
                <w:lang w:val="es-ES_tradnl"/>
              </w:rPr>
              <w:t>Logros</w:t>
            </w:r>
          </w:p>
        </w:tc>
        <w:tc>
          <w:tcPr>
            <w:tcW w:w="6946" w:type="dxa"/>
            <w:tcBorders>
              <w:top w:val="nil"/>
              <w:left w:val="dotted" w:sz="4" w:space="0" w:color="B8CCE4" w:themeColor="accent1" w:themeTint="66"/>
              <w:bottom w:val="single" w:sz="8" w:space="0" w:color="4F81BD" w:themeColor="accent1"/>
              <w:right w:val="dotted" w:sz="4" w:space="0" w:color="B8CCE4" w:themeColor="accent1" w:themeTint="66"/>
            </w:tcBorders>
          </w:tcPr>
          <w:p w14:paraId="0EAD8973" w14:textId="0ACB4A34" w:rsidR="00DD352F" w:rsidRPr="00873749" w:rsidRDefault="008A066E" w:rsidP="0022503F">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Medición</w:t>
            </w:r>
          </w:p>
        </w:tc>
        <w:tc>
          <w:tcPr>
            <w:tcW w:w="2749" w:type="dxa"/>
            <w:tcBorders>
              <w:top w:val="nil"/>
              <w:left w:val="dotted" w:sz="4" w:space="0" w:color="B8CCE4" w:themeColor="accent1" w:themeTint="66"/>
              <w:bottom w:val="single" w:sz="8" w:space="0" w:color="4F81BD" w:themeColor="accent1"/>
              <w:right w:val="nil"/>
            </w:tcBorders>
          </w:tcPr>
          <w:p w14:paraId="327EB946" w14:textId="7222FA48" w:rsidR="00DD352F" w:rsidRPr="00873749" w:rsidRDefault="00EF446A" w:rsidP="0022503F">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Riesgo</w:t>
            </w:r>
          </w:p>
        </w:tc>
      </w:tr>
      <w:tr w:rsidR="00DD352F" w:rsidRPr="008F43A8" w14:paraId="20FA13EA" w14:textId="77777777" w:rsidTr="0033733F">
        <w:tc>
          <w:tcPr>
            <w:cnfStyle w:val="001000000000" w:firstRow="0" w:lastRow="0" w:firstColumn="1" w:lastColumn="0" w:oddVBand="0" w:evenVBand="0" w:oddHBand="0" w:evenHBand="0" w:firstRowFirstColumn="0" w:firstRowLastColumn="0" w:lastRowFirstColumn="0" w:lastRowLastColumn="0"/>
            <w:tcW w:w="4253" w:type="dxa"/>
            <w:tcBorders>
              <w:top w:val="single" w:sz="8" w:space="0" w:color="4F81BD" w:themeColor="accent1"/>
              <w:left w:val="nil"/>
              <w:bottom w:val="single" w:sz="4" w:space="0" w:color="B8CCE4" w:themeColor="accent1" w:themeTint="66"/>
              <w:right w:val="dotted" w:sz="4" w:space="0" w:color="B8CCE4" w:themeColor="accent1" w:themeTint="66"/>
            </w:tcBorders>
          </w:tcPr>
          <w:p w14:paraId="2450C796" w14:textId="5CD2E224" w:rsidR="00DD352F" w:rsidRPr="00585857" w:rsidRDefault="00EF446A" w:rsidP="0022503F">
            <w:pPr>
              <w:pStyle w:val="Tabletext"/>
              <w:rPr>
                <w:b w:val="0"/>
                <w:bCs w:val="0"/>
                <w:lang w:val="es-ES_tradnl"/>
              </w:rPr>
            </w:pPr>
            <w:bookmarkStart w:id="256" w:name="lt_pId634"/>
            <w:r w:rsidRPr="00EF446A">
              <w:rPr>
                <w:b w:val="0"/>
                <w:bCs w:val="0"/>
                <w:lang w:val="es-ES_tradnl"/>
              </w:rPr>
              <w:t>Apoyo sustancial para mejorar la capacidad de los miembros de la UIT de poner a disposición infraestructuras y servicios de telecomunicaciones/TIC resistentes</w:t>
            </w:r>
            <w:r w:rsidR="00DD352F" w:rsidRPr="00585857">
              <w:rPr>
                <w:b w:val="0"/>
                <w:bCs w:val="0"/>
                <w:lang w:val="es-ES_tradnl"/>
              </w:rPr>
              <w:t>.</w:t>
            </w:r>
            <w:bookmarkEnd w:id="256"/>
          </w:p>
        </w:tc>
        <w:tc>
          <w:tcPr>
            <w:tcW w:w="6946"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4A058674" w14:textId="2FFEF8C0" w:rsidR="00DD352F" w:rsidRPr="00585857" w:rsidRDefault="00094CC3"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57" w:name="lt_pId635"/>
            <w:r>
              <w:rPr>
                <w:lang w:val="es-ES_tradnl"/>
              </w:rPr>
              <w:t>Se elaboraron directrices con miras a lograr una infraestructura de TIC resistente a las catástrofes para reducir la pérdida de vidas y las pérdidas económicas.</w:t>
            </w:r>
            <w:bookmarkEnd w:id="257"/>
          </w:p>
        </w:tc>
        <w:tc>
          <w:tcPr>
            <w:tcW w:w="2749" w:type="dxa"/>
            <w:tcBorders>
              <w:top w:val="single" w:sz="8" w:space="0" w:color="4F81BD" w:themeColor="accent1"/>
              <w:left w:val="dotted" w:sz="4" w:space="0" w:color="B8CCE4" w:themeColor="accent1" w:themeTint="66"/>
              <w:bottom w:val="single" w:sz="4" w:space="0" w:color="B8CCE4" w:themeColor="accent1" w:themeTint="66"/>
              <w:right w:val="nil"/>
            </w:tcBorders>
          </w:tcPr>
          <w:p w14:paraId="5103FC7C" w14:textId="4050CD87" w:rsidR="00DD352F" w:rsidRPr="00585857" w:rsidRDefault="00094CC3"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58" w:name="lt_pId636"/>
            <w:r>
              <w:rPr>
                <w:lang w:val="es-ES_tradnl"/>
              </w:rPr>
              <w:t>Se mitigaron debidamente los riesgos. El nivel de compromiso de las partes interesadas y de los asociados fue apropiado.</w:t>
            </w:r>
            <w:bookmarkEnd w:id="258"/>
          </w:p>
        </w:tc>
      </w:tr>
      <w:tr w:rsidR="00DD352F" w:rsidRPr="008F43A8" w14:paraId="17BD37EA" w14:textId="77777777" w:rsidTr="0033733F">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468F4796" w14:textId="44E1A3C2" w:rsidR="00DD352F" w:rsidRPr="00585857" w:rsidRDefault="00EF446A" w:rsidP="00094CC3">
            <w:pPr>
              <w:pStyle w:val="Tabletext"/>
              <w:rPr>
                <w:b w:val="0"/>
                <w:bCs w:val="0"/>
                <w:lang w:val="es-ES_tradnl"/>
              </w:rPr>
            </w:pPr>
            <w:bookmarkStart w:id="259" w:name="lt_pId638"/>
            <w:r>
              <w:rPr>
                <w:b w:val="0"/>
                <w:bCs w:val="0"/>
                <w:lang w:val="es-ES_tradnl"/>
              </w:rPr>
              <w:t>C</w:t>
            </w:r>
            <w:r w:rsidRPr="00EF446A">
              <w:rPr>
                <w:b w:val="0"/>
                <w:bCs w:val="0"/>
                <w:lang w:val="es-ES_tradnl"/>
              </w:rPr>
              <w:t xml:space="preserve">apacidad </w:t>
            </w:r>
            <w:r>
              <w:rPr>
                <w:b w:val="0"/>
                <w:bCs w:val="0"/>
                <w:lang w:val="es-ES_tradnl"/>
              </w:rPr>
              <w:t xml:space="preserve">reforzada </w:t>
            </w:r>
            <w:r w:rsidRPr="00EF446A">
              <w:rPr>
                <w:b w:val="0"/>
                <w:bCs w:val="0"/>
                <w:lang w:val="es-ES_tradnl"/>
              </w:rPr>
              <w:t xml:space="preserve">de los Estados Miembros para intercambiar información de manera eficaz, encontrar soluciones y responder a las amenazas </w:t>
            </w:r>
            <w:r>
              <w:rPr>
                <w:b w:val="0"/>
                <w:bCs w:val="0"/>
                <w:lang w:val="es-ES_tradnl"/>
              </w:rPr>
              <w:t>de ciber</w:t>
            </w:r>
            <w:r w:rsidRPr="00EF446A">
              <w:rPr>
                <w:b w:val="0"/>
                <w:bCs w:val="0"/>
                <w:lang w:val="es-ES_tradnl"/>
              </w:rPr>
              <w:t xml:space="preserve">seguridad, así como para </w:t>
            </w:r>
            <w:r>
              <w:rPr>
                <w:b w:val="0"/>
                <w:bCs w:val="0"/>
                <w:lang w:val="es-ES_tradnl"/>
              </w:rPr>
              <w:t>desarrollar</w:t>
            </w:r>
            <w:r w:rsidRPr="00EF446A">
              <w:rPr>
                <w:b w:val="0"/>
                <w:bCs w:val="0"/>
                <w:lang w:val="es-ES_tradnl"/>
              </w:rPr>
              <w:t xml:space="preserve"> y aplicar estrategias y capacidades nacionales, incluido el fomento de la capacidad, alentar la cooperación nacional, regional e internacional con miras a una mayor participación de los Estados Miembros y los </w:t>
            </w:r>
            <w:r w:rsidR="00094CC3">
              <w:rPr>
                <w:b w:val="0"/>
                <w:bCs w:val="0"/>
                <w:lang w:val="es-ES_tradnl"/>
              </w:rPr>
              <w:t>actores</w:t>
            </w:r>
            <w:r w:rsidRPr="00EF446A">
              <w:rPr>
                <w:b w:val="0"/>
                <w:bCs w:val="0"/>
                <w:lang w:val="es-ES_tradnl"/>
              </w:rPr>
              <w:t xml:space="preserve"> pertinente</w:t>
            </w:r>
            <w:r w:rsidR="00094CC3">
              <w:rPr>
                <w:b w:val="0"/>
                <w:bCs w:val="0"/>
                <w:lang w:val="es-ES_tradnl"/>
              </w:rPr>
              <w:t>s</w:t>
            </w:r>
            <w:r w:rsidR="00DD352F" w:rsidRPr="00585857">
              <w:rPr>
                <w:b w:val="0"/>
                <w:bCs w:val="0"/>
                <w:lang w:val="es-ES_tradnl"/>
              </w:rPr>
              <w:t>.</w:t>
            </w:r>
            <w:bookmarkEnd w:id="259"/>
          </w:p>
        </w:tc>
        <w:tc>
          <w:tcPr>
            <w:tcW w:w="6946"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01BA1DC3" w14:textId="37161750" w:rsidR="00DD352F" w:rsidRPr="00585857" w:rsidRDefault="00094CC3"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60" w:name="lt_pId639"/>
            <w:r>
              <w:rPr>
                <w:lang w:val="es-ES_tradnl"/>
              </w:rPr>
              <w:t xml:space="preserve">En el nuevo ciclo del Programa de Centros de Excelencia (CoE) se empezó a tratar temas tales como la ciberseguridad, la IoT, la política y la reglamentación, entre otras cosas. </w:t>
            </w:r>
            <w:bookmarkStart w:id="261" w:name="lt_pId640"/>
            <w:bookmarkEnd w:id="260"/>
            <w:r>
              <w:rPr>
                <w:lang w:val="es-ES_tradnl"/>
              </w:rPr>
              <w:t xml:space="preserve">Se publicó el tercer índice de ciberseguridad global, y comenzó el cuarto ejercicio. Se organizaron tres talleres regionales sobre estrategias nacionales de ciberseguridad. Se pusieron en marcha </w:t>
            </w:r>
            <w:r w:rsidR="009B6421">
              <w:rPr>
                <w:lang w:val="es-ES_tradnl"/>
              </w:rPr>
              <w:t>cinco</w:t>
            </w:r>
            <w:r>
              <w:rPr>
                <w:lang w:val="es-ES_tradnl"/>
              </w:rPr>
              <w:t xml:space="preserve"> iniciativas regionales para África, los Estados Árabes, Asia</w:t>
            </w:r>
            <w:r w:rsidR="009B6421">
              <w:rPr>
                <w:lang w:val="es-ES_tradnl"/>
              </w:rPr>
              <w:t>-</w:t>
            </w:r>
            <w:r>
              <w:rPr>
                <w:lang w:val="es-ES_tradnl"/>
              </w:rPr>
              <w:t>Pacífico, Europa y transregionales (CEI y Asia</w:t>
            </w:r>
            <w:r w:rsidR="009B6421">
              <w:rPr>
                <w:lang w:val="es-ES_tradnl"/>
              </w:rPr>
              <w:t>-P</w:t>
            </w:r>
            <w:r>
              <w:rPr>
                <w:lang w:val="es-ES_tradnl"/>
              </w:rPr>
              <w:t>acífico).</w:t>
            </w:r>
            <w:bookmarkEnd w:id="261"/>
          </w:p>
        </w:tc>
        <w:tc>
          <w:tcPr>
            <w:tcW w:w="2749"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5C147444" w14:textId="77777777" w:rsidR="00DD352F" w:rsidRPr="00585857" w:rsidRDefault="00DD352F" w:rsidP="0022503F">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1118938F" w14:textId="77777777" w:rsidTr="0033733F">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5116C301" w14:textId="03A712B3" w:rsidR="00DD352F" w:rsidRPr="00585857" w:rsidRDefault="00094CC3" w:rsidP="0022503F">
            <w:pPr>
              <w:pStyle w:val="Tabletext"/>
              <w:rPr>
                <w:b w:val="0"/>
                <w:bCs w:val="0"/>
                <w:lang w:val="es-ES_tradnl"/>
              </w:rPr>
            </w:pPr>
            <w:bookmarkStart w:id="262" w:name="lt_pId643"/>
            <w:r>
              <w:rPr>
                <w:b w:val="0"/>
                <w:bCs w:val="0"/>
                <w:lang w:val="es-ES_tradnl"/>
              </w:rPr>
              <w:t>Asistencia eficaz a fin de fortalecer la capacidad de los Estados Miembros a efectos de utilizar las telecomunicaciones/TIC para la reducción del riesgo y la gestión de catástrofes.</w:t>
            </w:r>
            <w:bookmarkEnd w:id="262"/>
          </w:p>
        </w:tc>
        <w:tc>
          <w:tcPr>
            <w:tcW w:w="6946"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7143E3A3" w14:textId="796DA357" w:rsidR="00DD352F" w:rsidRPr="00585857" w:rsidRDefault="00094CC3"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63" w:name="lt_pId644"/>
            <w:r w:rsidRPr="00094CC3">
              <w:rPr>
                <w:lang w:val="es-ES_tradnl"/>
              </w:rPr>
              <w:t>El 3</w:t>
            </w:r>
            <w:r w:rsidRPr="00DF29B8">
              <w:rPr>
                <w:vertAlign w:val="superscript"/>
                <w:lang w:val="es-ES_tradnl"/>
              </w:rPr>
              <w:t>er</w:t>
            </w:r>
            <w:r w:rsidRPr="00094CC3">
              <w:rPr>
                <w:lang w:val="es-ES_tradnl"/>
              </w:rPr>
              <w:t xml:space="preserve"> Foro Mundial sobre telecomunicaciones de emergencia (GET-19) </w:t>
            </w:r>
            <w:r>
              <w:rPr>
                <w:lang w:val="es-ES_tradnl"/>
              </w:rPr>
              <w:t>destacó la importancia de los sistemas de alerta temprana y de seguimiento y las necesidades y oportunidades de las asociaciones y la cooperación.</w:t>
            </w:r>
            <w:bookmarkEnd w:id="263"/>
          </w:p>
          <w:p w14:paraId="5480E218" w14:textId="1F7E3AAC" w:rsidR="00DD352F" w:rsidRPr="00585857" w:rsidRDefault="00094CC3"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64" w:name="lt_pId645"/>
            <w:r>
              <w:rPr>
                <w:lang w:val="es-ES_tradnl"/>
              </w:rPr>
              <w:t>Se presentó la iniciativa de la lista de telecomunicaciones de emergencia de la UIT</w:t>
            </w:r>
            <w:r w:rsidR="00AA542B">
              <w:rPr>
                <w:lang w:val="es-ES_tradnl"/>
              </w:rPr>
              <w:t>.</w:t>
            </w:r>
            <w:bookmarkEnd w:id="264"/>
          </w:p>
          <w:p w14:paraId="6F6E928D" w14:textId="4F5BCDD0" w:rsidR="00DD352F" w:rsidRPr="00585857" w:rsidRDefault="00AA542B"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65" w:name="lt_pId646"/>
            <w:r>
              <w:rPr>
                <w:lang w:val="es-ES_tradnl"/>
              </w:rPr>
              <w:t>La UIT se sumó a la</w:t>
            </w:r>
            <w:r w:rsidR="00DD352F" w:rsidRPr="00585857">
              <w:rPr>
                <w:lang w:val="es-ES_tradnl"/>
              </w:rPr>
              <w:t xml:space="preserve"> </w:t>
            </w:r>
            <w:r w:rsidRPr="00AA542B">
              <w:rPr>
                <w:lang w:val="es-ES_tradnl"/>
              </w:rPr>
              <w:t>Carta de conectividad para situaciones de crisis</w:t>
            </w:r>
            <w:r w:rsidR="00DD352F" w:rsidRPr="00585857">
              <w:rPr>
                <w:lang w:val="es-ES_tradnl"/>
              </w:rPr>
              <w:t xml:space="preserve"> (CCC) </w:t>
            </w:r>
            <w:r>
              <w:rPr>
                <w:lang w:val="es-ES_tradnl"/>
              </w:rPr>
              <w:t xml:space="preserve">convirtiéndose en miembro principal de la misma. Se lanzaron </w:t>
            </w:r>
            <w:r w:rsidR="009B6421">
              <w:rPr>
                <w:lang w:val="es-ES_tradnl"/>
              </w:rPr>
              <w:t>tres</w:t>
            </w:r>
            <w:r>
              <w:rPr>
                <w:lang w:val="es-ES_tradnl"/>
              </w:rPr>
              <w:t xml:space="preserve"> iniciativas regionales para las Américas, los Estados Árabes y Asia</w:t>
            </w:r>
            <w:r w:rsidR="009B6421">
              <w:rPr>
                <w:lang w:val="es-ES_tradnl"/>
              </w:rPr>
              <w:t>-</w:t>
            </w:r>
            <w:r>
              <w:rPr>
                <w:lang w:val="es-ES_tradnl"/>
              </w:rPr>
              <w:t xml:space="preserve">Pacífico. En conjunción con la Comisión de Estudio 2 (C5/2) </w:t>
            </w:r>
            <w:bookmarkStart w:id="266" w:name="lt_pId648"/>
            <w:bookmarkEnd w:id="265"/>
            <w:r>
              <w:rPr>
                <w:lang w:val="es-ES_tradnl"/>
              </w:rPr>
              <w:t>se organizó</w:t>
            </w:r>
            <w:r w:rsidR="00DD352F" w:rsidRPr="00585857">
              <w:rPr>
                <w:lang w:val="es-ES_tradnl"/>
              </w:rPr>
              <w:t xml:space="preserve"> </w:t>
            </w:r>
            <w:r w:rsidR="00420430" w:rsidRPr="00585857">
              <w:rPr>
                <w:lang w:val="es-ES_tradnl"/>
              </w:rPr>
              <w:t>un taller sobre la realización de simulacros y ejercicios de comunicaciones de emergencia a nivel nacional y sobre las directrices para los pequeños Estados insulares en desarrollo (PEID) y los países menos adelantados (PMA)</w:t>
            </w:r>
            <w:r w:rsidR="00DD352F" w:rsidRPr="00585857">
              <w:rPr>
                <w:lang w:val="es-ES_tradnl"/>
              </w:rPr>
              <w:t>.</w:t>
            </w:r>
            <w:bookmarkEnd w:id="266"/>
          </w:p>
        </w:tc>
        <w:tc>
          <w:tcPr>
            <w:tcW w:w="2749"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7FF91145" w14:textId="77777777" w:rsidR="00DD352F" w:rsidRPr="00585857" w:rsidRDefault="00DD352F" w:rsidP="00DD352F">
            <w:pPr>
              <w:cnfStyle w:val="000000000000" w:firstRow="0" w:lastRow="0" w:firstColumn="0" w:lastColumn="0" w:oddVBand="0" w:evenVBand="0" w:oddHBand="0" w:evenHBand="0" w:firstRowFirstColumn="0" w:firstRowLastColumn="0" w:lastRowFirstColumn="0" w:lastRowLastColumn="0"/>
              <w:rPr>
                <w:lang w:val="es-ES_tradnl"/>
              </w:rPr>
            </w:pPr>
          </w:p>
        </w:tc>
      </w:tr>
    </w:tbl>
    <w:p w14:paraId="4455999E" w14:textId="77777777" w:rsidR="00DD352F" w:rsidRPr="00585857" w:rsidRDefault="00DD352F" w:rsidP="0022503F">
      <w:pPr>
        <w:rPr>
          <w:lang w:val="es-ES_tradnl"/>
        </w:rPr>
      </w:pPr>
      <w:r w:rsidRPr="00585857">
        <w:rPr>
          <w:lang w:val="es-ES_tradnl"/>
        </w:rPr>
        <w:br w:type="page"/>
      </w:r>
    </w:p>
    <w:p w14:paraId="22F30C5B" w14:textId="520CEF35" w:rsidR="00DD352F" w:rsidRPr="00585857" w:rsidRDefault="007A5EE9" w:rsidP="00420430">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5699"/>
        <w:gridCol w:w="3600"/>
      </w:tblGrid>
      <w:tr w:rsidR="00DD352F" w:rsidRPr="00873749" w14:paraId="781D1DC9" w14:textId="77777777" w:rsidTr="00337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5A188D45" w14:textId="12EBF4A1" w:rsidR="00DD352F" w:rsidRPr="00873749" w:rsidRDefault="00DD352F" w:rsidP="00420430">
            <w:pPr>
              <w:pStyle w:val="Tablehead"/>
              <w:rPr>
                <w:b/>
                <w:i/>
                <w:iCs/>
                <w:lang w:val="es-ES_tradnl"/>
              </w:rPr>
            </w:pPr>
            <w:r w:rsidRPr="00873749">
              <w:rPr>
                <w:b/>
                <w:i/>
                <w:iCs/>
                <w:lang w:val="es-ES_tradnl"/>
              </w:rPr>
              <w:t>Resultados</w:t>
            </w:r>
          </w:p>
        </w:tc>
        <w:tc>
          <w:tcPr>
            <w:tcW w:w="5699" w:type="dxa"/>
            <w:tcBorders>
              <w:top w:val="nil"/>
              <w:left w:val="dotted" w:sz="4" w:space="0" w:color="B8CCE4" w:themeColor="accent1" w:themeTint="66"/>
              <w:bottom w:val="single" w:sz="8" w:space="0" w:color="4F81BD" w:themeColor="accent1"/>
              <w:right w:val="dotted" w:sz="4" w:space="0" w:color="B8CCE4" w:themeColor="accent1" w:themeTint="66"/>
            </w:tcBorders>
          </w:tcPr>
          <w:p w14:paraId="7AF07D4F" w14:textId="08C9B63A" w:rsidR="00DD352F" w:rsidRPr="00873749" w:rsidRDefault="00DD352F" w:rsidP="00420430">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 de resultados</w:t>
            </w:r>
          </w:p>
        </w:tc>
        <w:tc>
          <w:tcPr>
            <w:tcW w:w="3600" w:type="dxa"/>
            <w:tcBorders>
              <w:top w:val="nil"/>
              <w:left w:val="dotted" w:sz="4" w:space="0" w:color="B8CCE4" w:themeColor="accent1" w:themeTint="66"/>
              <w:bottom w:val="single" w:sz="8" w:space="0" w:color="4F81BD" w:themeColor="accent1"/>
              <w:right w:val="nil"/>
            </w:tcBorders>
          </w:tcPr>
          <w:p w14:paraId="77043974" w14:textId="2F3CD40D" w:rsidR="00DD352F" w:rsidRPr="00873749" w:rsidRDefault="008A066E" w:rsidP="00420430">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Indicadores de riesgo</w:t>
            </w:r>
          </w:p>
        </w:tc>
      </w:tr>
      <w:tr w:rsidR="00DD352F" w:rsidRPr="008F43A8" w14:paraId="12838817"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100C9199" w14:textId="072DA6E9" w:rsidR="00DD352F" w:rsidRPr="00585857" w:rsidRDefault="00420430" w:rsidP="00420430">
            <w:pPr>
              <w:pStyle w:val="Tabletext"/>
              <w:rPr>
                <w:b w:val="0"/>
                <w:bCs w:val="0"/>
                <w:lang w:val="es-ES_tradnl"/>
              </w:rPr>
            </w:pPr>
            <w:r w:rsidRPr="00585857">
              <w:rPr>
                <w:b w:val="0"/>
                <w:bCs w:val="0"/>
                <w:lang w:val="es-ES_tradnl"/>
              </w:rPr>
              <w:t xml:space="preserve">Mayor capacidad de los </w:t>
            </w:r>
            <w:r w:rsidR="00284725">
              <w:rPr>
                <w:b w:val="0"/>
                <w:bCs w:val="0"/>
                <w:lang w:val="es-ES_tradnl"/>
              </w:rPr>
              <w:t>m</w:t>
            </w:r>
            <w:r w:rsidRPr="00585857">
              <w:rPr>
                <w:b w:val="0"/>
                <w:bCs w:val="0"/>
                <w:lang w:val="es-ES_tradnl"/>
              </w:rPr>
              <w:t>iembros de la UIT para poner a disposición infraestructuras y servicios de telecomunicaciones/TIC resilientes.</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045064C8" w14:textId="18366815" w:rsidR="00420430" w:rsidRPr="00585857" w:rsidRDefault="00420430"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w:t>
            </w:r>
            <w:r w:rsidR="003400AE">
              <w:rPr>
                <w:lang w:val="es-ES_tradnl"/>
              </w:rPr>
              <w:t>di</w:t>
            </w:r>
            <w:r w:rsidRPr="00585857">
              <w:rPr>
                <w:lang w:val="es-ES_tradnl"/>
              </w:rPr>
              <w:t xml:space="preserve">rectrices, </w:t>
            </w:r>
            <w:r w:rsidR="003400AE">
              <w:rPr>
                <w:lang w:val="es-ES_tradnl"/>
              </w:rPr>
              <w:t>m</w:t>
            </w:r>
            <w:r w:rsidRPr="00585857">
              <w:rPr>
                <w:lang w:val="es-ES_tradnl"/>
              </w:rPr>
              <w:t>anuales, estudios de evaluación y publicaciones finalizadas sobre los temas pertinentes en países en los que la BDT contribuyó a su desarrollo.</w:t>
            </w:r>
          </w:p>
          <w:p w14:paraId="1B36F5F2" w14:textId="77777777" w:rsidR="00420430" w:rsidRPr="00585857" w:rsidRDefault="00420430"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usuarios/suscriptores que acceden a las herramientas disponibles para los asuntos pertinentes en países en los que la BDT contribuyó a su desarrollo.</w:t>
            </w:r>
          </w:p>
          <w:p w14:paraId="6713D95E" w14:textId="2685FB9D" w:rsidR="00DD352F" w:rsidRPr="00585857" w:rsidRDefault="00420430"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expertos que participan en formación, seminarios, talleres y otros asuntos pertinentes y su grado de satisfacción en países en los que la BDT contribuyó a su desarrollo.</w:t>
            </w:r>
          </w:p>
        </w:tc>
        <w:tc>
          <w:tcPr>
            <w:tcW w:w="3600" w:type="dxa"/>
            <w:tcBorders>
              <w:top w:val="single" w:sz="8" w:space="0" w:color="4F81BD" w:themeColor="accent1"/>
              <w:left w:val="dotted" w:sz="4" w:space="0" w:color="4F81BD" w:themeColor="accent1"/>
              <w:bottom w:val="nil"/>
              <w:right w:val="nil"/>
            </w:tcBorders>
          </w:tcPr>
          <w:p w14:paraId="72597765" w14:textId="7D68DAF5" w:rsidR="00DD352F" w:rsidRPr="00585857" w:rsidRDefault="00420430"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r w:rsidR="00284725">
              <w:rPr>
                <w:lang w:val="es-ES_tradnl"/>
              </w:rPr>
              <w:t>.</w:t>
            </w:r>
          </w:p>
          <w:p w14:paraId="3EFD3268" w14:textId="44197622" w:rsidR="00DD352F" w:rsidRPr="00585857" w:rsidRDefault="00AA542B"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67" w:name="_Hlk33633678"/>
            <w:bookmarkStart w:id="268" w:name="lt_pId659"/>
            <w:r>
              <w:rPr>
                <w:lang w:val="es-ES_tradnl"/>
              </w:rPr>
              <w:t>Competidores entran en el campo de la ciberseguridad – mientras se mantienen flexibles en la movilización de recursos.</w:t>
            </w:r>
            <w:bookmarkEnd w:id="267"/>
            <w:bookmarkEnd w:id="268"/>
          </w:p>
        </w:tc>
      </w:tr>
      <w:tr w:rsidR="00DD352F" w:rsidRPr="008F43A8" w14:paraId="0CEED651"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5B0898B2" w14:textId="5619E618" w:rsidR="00DD352F" w:rsidRPr="00585857" w:rsidRDefault="00420430" w:rsidP="00420430">
            <w:pPr>
              <w:pStyle w:val="Tabletext"/>
              <w:rPr>
                <w:b w:val="0"/>
                <w:bCs w:val="0"/>
                <w:lang w:val="es-ES_tradnl"/>
              </w:rPr>
            </w:pPr>
            <w:r w:rsidRPr="00585857">
              <w:rPr>
                <w:b w:val="0"/>
                <w:bCs w:val="0"/>
                <w:lang w:val="es-ES_tradnl"/>
              </w:rPr>
              <w:t>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73D6C34C" w14:textId="37899294" w:rsidR="00DD352F" w:rsidRPr="00585857" w:rsidRDefault="00420430"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estrategias nacionales de ciberseguridad aplicadas en países y a cuyo desarrollo ha contribuido la BDT; número de EIII que la BDT ha contribuido a crear; número de países en los que la BDT ha prestado asistencia técnica y ha mejorado la capacidad y concienciación sobre ciberseguridad; número de ciberataques repelidos por los EIII creados con la ayuda de la BDT.</w:t>
            </w:r>
          </w:p>
        </w:tc>
        <w:tc>
          <w:tcPr>
            <w:tcW w:w="3600" w:type="dxa"/>
            <w:tcBorders>
              <w:top w:val="nil"/>
              <w:left w:val="dotted" w:sz="4" w:space="0" w:color="4F81BD" w:themeColor="accent1"/>
              <w:bottom w:val="nil"/>
              <w:right w:val="nil"/>
            </w:tcBorders>
          </w:tcPr>
          <w:p w14:paraId="110F2443" w14:textId="3B85190C" w:rsidR="00DD352F" w:rsidRPr="00585857" w:rsidRDefault="00AA542B"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69" w:name="lt_pId662"/>
            <w:r>
              <w:rPr>
                <w:lang w:val="es-ES_tradnl"/>
              </w:rPr>
              <w:t>Problemas en el desarrollo de talentos y la retención.</w:t>
            </w:r>
            <w:bookmarkEnd w:id="269"/>
          </w:p>
        </w:tc>
      </w:tr>
      <w:tr w:rsidR="00DD352F" w:rsidRPr="008F43A8" w14:paraId="0E0B2B78"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41A088D7" w14:textId="24E36A21" w:rsidR="00DD352F" w:rsidRPr="00585857" w:rsidRDefault="00420430" w:rsidP="00420430">
            <w:pPr>
              <w:pStyle w:val="Tabletext"/>
              <w:rPr>
                <w:b w:val="0"/>
                <w:bCs w:val="0"/>
                <w:lang w:val="es-ES_tradnl"/>
              </w:rPr>
            </w:pPr>
            <w:r w:rsidRPr="00585857">
              <w:rPr>
                <w:b w:val="0"/>
                <w:bCs w:val="0"/>
                <w:lang w:val="es-ES_tradnl"/>
              </w:rPr>
              <w:t>Reforzar la capacidad de los Estados Miembros para aprovechar las telecomunicaciones/TIC para la reducción y la gestión del riesgo de catástrofe, con el fin de garantizar la disponibilidad de las telecomunicaciones de emergencia y apoyar la cooperación en esta esfera.</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46AE6869" w14:textId="35C34F66" w:rsidR="00DD352F" w:rsidRPr="00585857" w:rsidRDefault="00420430"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Estados Miembros que recibieron asistencia de la</w:t>
            </w:r>
            <w:r w:rsidR="00284725">
              <w:rPr>
                <w:lang w:val="es-ES_tradnl"/>
              </w:rPr>
              <w:t> </w:t>
            </w:r>
            <w:r w:rsidRPr="00585857">
              <w:rPr>
                <w:lang w:val="es-ES_tradnl"/>
              </w:rPr>
              <w:t>BDT para ayuda en caso de catástrofe mediante la provisión de equipos y la evaluación de los daños en las infraestructuras tras una catástrofe; número de Estados Miembros que recibieron asistencia de la BDT para el desarrollo e instalación de sistemas de alerta temprana; número de Estados Miembros que reciben asistencia de la</w:t>
            </w:r>
            <w:r w:rsidR="00284725">
              <w:rPr>
                <w:lang w:val="es-ES_tradnl"/>
              </w:rPr>
              <w:t> </w:t>
            </w:r>
            <w:r w:rsidRPr="00585857">
              <w:rPr>
                <w:lang w:val="es-ES_tradnl"/>
              </w:rPr>
              <w:t>BDT para el desarrollo de planes nacionales de comunicaciones de emergencia.</w:t>
            </w:r>
          </w:p>
        </w:tc>
        <w:tc>
          <w:tcPr>
            <w:tcW w:w="3600" w:type="dxa"/>
            <w:tcBorders>
              <w:top w:val="nil"/>
              <w:left w:val="dotted" w:sz="4" w:space="0" w:color="4F81BD" w:themeColor="accent1"/>
              <w:bottom w:val="single" w:sz="8" w:space="0" w:color="4F81BD" w:themeColor="accent1"/>
              <w:right w:val="nil"/>
            </w:tcBorders>
          </w:tcPr>
          <w:p w14:paraId="2BE868DA" w14:textId="77777777" w:rsidR="00DD352F" w:rsidRPr="00585857" w:rsidRDefault="00DD352F"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6C7C90A1" w14:textId="63F1DD9D" w:rsidR="00420430" w:rsidRPr="00585857" w:rsidRDefault="00420430">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585857">
        <w:rPr>
          <w:lang w:val="es-ES_tradnl"/>
        </w:rPr>
        <w:br w:type="page"/>
      </w:r>
    </w:p>
    <w:p w14:paraId="60115EEC" w14:textId="2B9A6EA3" w:rsidR="00DD352F" w:rsidRPr="00585857" w:rsidRDefault="00DD352F" w:rsidP="00F04E0C">
      <w:pPr>
        <w:pStyle w:val="Heading3"/>
        <w:rPr>
          <w:lang w:val="es-ES_tradnl"/>
        </w:rPr>
      </w:pPr>
      <w:bookmarkStart w:id="270" w:name="lt_pId665"/>
      <w:bookmarkStart w:id="271" w:name="_Toc33632266"/>
      <w:r w:rsidRPr="00585857">
        <w:rPr>
          <w:lang w:val="es-ES_tradnl"/>
        </w:rPr>
        <w:lastRenderedPageBreak/>
        <w:t xml:space="preserve">II.4.3 </w:t>
      </w:r>
      <w:r w:rsidR="00420430" w:rsidRPr="00585857">
        <w:rPr>
          <w:lang w:val="es-ES_tradnl"/>
        </w:rPr>
        <w:t>–</w:t>
      </w:r>
      <w:r w:rsidRPr="00585857">
        <w:rPr>
          <w:lang w:val="es-ES_tradnl"/>
        </w:rPr>
        <w:t xml:space="preserve"> D.3 </w:t>
      </w:r>
      <w:bookmarkEnd w:id="270"/>
      <w:r w:rsidR="00420430" w:rsidRPr="00585857">
        <w:rPr>
          <w:lang w:val="es-ES_tradnl"/>
        </w:rPr>
        <w:t>Entorno habilitador</w:t>
      </w:r>
      <w:bookmarkEnd w:id="271"/>
    </w:p>
    <w:p w14:paraId="4BA15843" w14:textId="77777777" w:rsidR="0022503F" w:rsidRPr="00585857" w:rsidRDefault="0022503F" w:rsidP="0022503F">
      <w:pPr>
        <w:pStyle w:val="Headingb"/>
        <w:rPr>
          <w:i/>
          <w:iCs/>
          <w:lang w:val="es-ES_tradnl"/>
        </w:rPr>
      </w:pPr>
      <w:r w:rsidRPr="00585857">
        <w:rPr>
          <w:i/>
          <w:iCs/>
          <w:lang w:val="es-ES_tradnl"/>
        </w:rPr>
        <w:t>Descripción del objetivo</w:t>
      </w:r>
    </w:p>
    <w:p w14:paraId="06E198EE" w14:textId="6B34BAAB" w:rsidR="00DD352F" w:rsidRPr="00585857" w:rsidRDefault="00420430" w:rsidP="00420430">
      <w:pPr>
        <w:rPr>
          <w:lang w:val="es-ES_tradnl"/>
        </w:rPr>
      </w:pPr>
      <w:r w:rsidRPr="00585857">
        <w:rPr>
          <w:lang w:val="es-ES_tradnl"/>
        </w:rPr>
        <w:t>Fomentar un entorno político y reglamentario habilitador que propicie el desarrollo sostenible de las telecomunicaciones/TIC.</w:t>
      </w:r>
    </w:p>
    <w:p w14:paraId="08B4A9A9" w14:textId="496AD7B9" w:rsidR="00DD352F" w:rsidRPr="00585857" w:rsidRDefault="00420430" w:rsidP="00420430">
      <w:pPr>
        <w:rPr>
          <w:lang w:val="es-ES_tradnl"/>
        </w:rPr>
      </w:pPr>
      <w:bookmarkStart w:id="272" w:name="lt_pId668"/>
      <w:r w:rsidRPr="00585857">
        <w:rPr>
          <w:lang w:val="es-ES_tradnl"/>
        </w:rPr>
        <w:t xml:space="preserve">El Objetivo D.3 utiliza el </w:t>
      </w:r>
      <w:r w:rsidR="00DD352F" w:rsidRPr="00585857">
        <w:rPr>
          <w:lang w:val="es-ES_tradnl"/>
        </w:rPr>
        <w:t>2</w:t>
      </w:r>
      <w:r w:rsidR="005D1176">
        <w:rPr>
          <w:lang w:val="es-ES_tradnl"/>
        </w:rPr>
        <w:t>9,87</w:t>
      </w:r>
      <w:r w:rsidR="00DD352F" w:rsidRPr="00585857">
        <w:rPr>
          <w:lang w:val="es-ES_tradnl"/>
        </w:rPr>
        <w:t> </w:t>
      </w:r>
      <w:r w:rsidRPr="00585857">
        <w:rPr>
          <w:lang w:val="es-ES_tradnl"/>
        </w:rPr>
        <w:t xml:space="preserve">por ciento de los recursos previstos para los objetivos del UIT-D, un </w:t>
      </w:r>
      <w:r w:rsidR="005D1176">
        <w:rPr>
          <w:lang w:val="es-ES_tradnl"/>
        </w:rPr>
        <w:t>10,50</w:t>
      </w:r>
      <w:r w:rsidR="00DD352F" w:rsidRPr="00585857">
        <w:rPr>
          <w:lang w:val="es-ES_tradnl"/>
        </w:rPr>
        <w:t> </w:t>
      </w:r>
      <w:r w:rsidRPr="00585857">
        <w:rPr>
          <w:lang w:val="es-ES_tradnl"/>
        </w:rPr>
        <w:t xml:space="preserve">por ciento de los recursos previstos de la UIT para </w:t>
      </w:r>
      <w:r w:rsidR="00DD352F" w:rsidRPr="00585857">
        <w:rPr>
          <w:lang w:val="es-ES_tradnl"/>
        </w:rPr>
        <w:t>202</w:t>
      </w:r>
      <w:r w:rsidR="005D1176">
        <w:rPr>
          <w:lang w:val="es-ES_tradnl"/>
        </w:rPr>
        <w:t>1</w:t>
      </w:r>
      <w:r w:rsidR="00DD352F" w:rsidRPr="00585857">
        <w:rPr>
          <w:lang w:val="es-ES_tradnl"/>
        </w:rPr>
        <w:t>-202</w:t>
      </w:r>
      <w:r w:rsidR="005D1176">
        <w:rPr>
          <w:lang w:val="es-ES_tradnl"/>
        </w:rPr>
        <w:t>4</w:t>
      </w:r>
      <w:r w:rsidR="00DD352F" w:rsidRPr="00585857">
        <w:rPr>
          <w:lang w:val="es-ES_tradnl"/>
        </w:rPr>
        <w:t>.</w:t>
      </w:r>
      <w:bookmarkEnd w:id="272"/>
    </w:p>
    <w:p w14:paraId="4B87C284" w14:textId="6D344012" w:rsidR="00DD352F" w:rsidRDefault="007A5EE9" w:rsidP="00420430">
      <w:pPr>
        <w:pStyle w:val="Headingb"/>
        <w:rPr>
          <w:i/>
          <w:iCs/>
          <w:lang w:val="es-ES_tradnl"/>
        </w:rPr>
      </w:pPr>
      <w:r>
        <w:rPr>
          <w:i/>
          <w:iCs/>
          <w:lang w:val="es-ES_tradnl"/>
        </w:rPr>
        <w:t>Resumen de la atribución de costes</w:t>
      </w:r>
    </w:p>
    <w:p w14:paraId="088AEFD3" w14:textId="2C24906B" w:rsidR="00873749" w:rsidRPr="00873749" w:rsidRDefault="00873749" w:rsidP="00873749">
      <w:pPr>
        <w:jc w:val="center"/>
        <w:rPr>
          <w:lang w:val="es-ES_tradnl"/>
        </w:rPr>
      </w:pPr>
      <w:r w:rsidRPr="00873749">
        <w:rPr>
          <w:noProof/>
        </w:rPr>
        <w:drawing>
          <wp:inline distT="0" distB="0" distL="0" distR="0" wp14:anchorId="2E4584E9" wp14:editId="11C52F0B">
            <wp:extent cx="8272800" cy="2476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272800" cy="2476800"/>
                    </a:xfrm>
                    <a:prstGeom prst="rect">
                      <a:avLst/>
                    </a:prstGeom>
                    <a:noFill/>
                    <a:ln>
                      <a:noFill/>
                    </a:ln>
                  </pic:spPr>
                </pic:pic>
              </a:graphicData>
            </a:graphic>
          </wp:inline>
        </w:drawing>
      </w:r>
    </w:p>
    <w:p w14:paraId="13279325" w14:textId="77777777" w:rsidR="00DD352F" w:rsidRPr="00585857" w:rsidRDefault="00DD352F" w:rsidP="0022503F">
      <w:pPr>
        <w:rPr>
          <w:lang w:val="es-ES_tradnl"/>
        </w:rPr>
      </w:pPr>
      <w:r w:rsidRPr="00585857">
        <w:rPr>
          <w:lang w:val="es-ES_tradnl"/>
        </w:rPr>
        <w:br w:type="page"/>
      </w:r>
    </w:p>
    <w:p w14:paraId="7044BBF2" w14:textId="5B740545" w:rsidR="00DD352F" w:rsidRPr="00585857" w:rsidRDefault="007A5EE9" w:rsidP="00E77405">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3918"/>
        <w:gridCol w:w="7747"/>
        <w:gridCol w:w="2337"/>
      </w:tblGrid>
      <w:tr w:rsidR="00DD352F" w:rsidRPr="00873749" w14:paraId="4CECFA0E" w14:textId="77777777" w:rsidTr="00F553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8" w:type="dxa"/>
            <w:tcBorders>
              <w:top w:val="nil"/>
              <w:left w:val="nil"/>
              <w:bottom w:val="single" w:sz="8" w:space="0" w:color="4F81BD" w:themeColor="accent1"/>
              <w:right w:val="dotted" w:sz="4" w:space="0" w:color="B8CCE4" w:themeColor="accent1" w:themeTint="66"/>
            </w:tcBorders>
          </w:tcPr>
          <w:p w14:paraId="306BED3E" w14:textId="4DDB0E72" w:rsidR="00DD352F" w:rsidRPr="00873749" w:rsidRDefault="008A066E" w:rsidP="00420430">
            <w:pPr>
              <w:pStyle w:val="Tablehead"/>
              <w:rPr>
                <w:b/>
                <w:i/>
                <w:iCs/>
                <w:lang w:val="es-ES_tradnl"/>
              </w:rPr>
            </w:pPr>
            <w:r w:rsidRPr="00873749">
              <w:rPr>
                <w:b/>
                <w:i/>
                <w:iCs/>
                <w:lang w:val="es-ES_tradnl"/>
              </w:rPr>
              <w:t>Logros</w:t>
            </w:r>
          </w:p>
        </w:tc>
        <w:tc>
          <w:tcPr>
            <w:tcW w:w="7747" w:type="dxa"/>
            <w:tcBorders>
              <w:top w:val="nil"/>
              <w:left w:val="dotted" w:sz="4" w:space="0" w:color="B8CCE4" w:themeColor="accent1" w:themeTint="66"/>
              <w:bottom w:val="single" w:sz="8" w:space="0" w:color="4F81BD" w:themeColor="accent1"/>
              <w:right w:val="dotted" w:sz="4" w:space="0" w:color="B8CCE4" w:themeColor="accent1" w:themeTint="66"/>
            </w:tcBorders>
          </w:tcPr>
          <w:p w14:paraId="37792CCE" w14:textId="44C44230" w:rsidR="00DD352F" w:rsidRPr="00873749" w:rsidRDefault="008A066E" w:rsidP="00420430">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Medición</w:t>
            </w:r>
          </w:p>
        </w:tc>
        <w:tc>
          <w:tcPr>
            <w:tcW w:w="2337" w:type="dxa"/>
            <w:tcBorders>
              <w:top w:val="nil"/>
              <w:left w:val="dotted" w:sz="4" w:space="0" w:color="B8CCE4" w:themeColor="accent1" w:themeTint="66"/>
              <w:bottom w:val="single" w:sz="8" w:space="0" w:color="4F81BD" w:themeColor="accent1"/>
              <w:right w:val="nil"/>
            </w:tcBorders>
          </w:tcPr>
          <w:p w14:paraId="3EB8A70A" w14:textId="0B5FE98F" w:rsidR="00DD352F" w:rsidRPr="00873749" w:rsidRDefault="00DD352F" w:rsidP="00420430">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bookmarkStart w:id="273" w:name="lt_pId674"/>
            <w:r w:rsidRPr="00873749">
              <w:rPr>
                <w:b/>
                <w:i/>
                <w:iCs/>
                <w:lang w:val="es-ES_tradnl"/>
              </w:rPr>
              <w:t>R</w:t>
            </w:r>
            <w:r w:rsidR="00AE03FE" w:rsidRPr="00873749">
              <w:rPr>
                <w:b/>
                <w:i/>
                <w:iCs/>
                <w:lang w:val="es-ES_tradnl"/>
              </w:rPr>
              <w:t>iesgo</w:t>
            </w:r>
            <w:bookmarkEnd w:id="273"/>
          </w:p>
        </w:tc>
      </w:tr>
      <w:tr w:rsidR="00DD352F" w:rsidRPr="008F43A8" w14:paraId="54ECB431" w14:textId="77777777" w:rsidTr="00420430">
        <w:tc>
          <w:tcPr>
            <w:cnfStyle w:val="001000000000" w:firstRow="0" w:lastRow="0" w:firstColumn="1" w:lastColumn="0" w:oddVBand="0" w:evenVBand="0" w:oddHBand="0" w:evenHBand="0" w:firstRowFirstColumn="0" w:firstRowLastColumn="0" w:lastRowFirstColumn="0" w:lastRowLastColumn="0"/>
            <w:tcW w:w="3918" w:type="dxa"/>
            <w:tcBorders>
              <w:top w:val="single" w:sz="8" w:space="0" w:color="4F81BD" w:themeColor="accent1"/>
              <w:left w:val="nil"/>
              <w:bottom w:val="single" w:sz="4" w:space="0" w:color="B8CCE4" w:themeColor="accent1" w:themeTint="66"/>
              <w:right w:val="dotted" w:sz="4" w:space="0" w:color="B8CCE4" w:themeColor="accent1" w:themeTint="66"/>
            </w:tcBorders>
          </w:tcPr>
          <w:p w14:paraId="3A41D99B" w14:textId="75F851F1" w:rsidR="00DD352F" w:rsidRPr="00585857" w:rsidRDefault="00AE03FE" w:rsidP="00420430">
            <w:pPr>
              <w:pStyle w:val="Tabletext"/>
              <w:rPr>
                <w:b w:val="0"/>
                <w:bCs w:val="0"/>
                <w:lang w:val="es-ES_tradnl"/>
              </w:rPr>
            </w:pPr>
            <w:bookmarkStart w:id="274" w:name="lt_pId675"/>
            <w:r w:rsidRPr="00AE03FE">
              <w:rPr>
                <w:b w:val="0"/>
                <w:bCs w:val="0"/>
                <w:lang w:val="es-ES_tradnl"/>
              </w:rPr>
              <w:t>Logros significativos en el fortalecimiento de la capacidad de los Estados Miembros para mejorar sus marcos normativos, jurídicos y reglamentarios</w:t>
            </w:r>
            <w:r w:rsidR="00DD352F" w:rsidRPr="00585857">
              <w:rPr>
                <w:b w:val="0"/>
                <w:bCs w:val="0"/>
                <w:lang w:val="es-ES_tradnl"/>
              </w:rPr>
              <w:t>.</w:t>
            </w:r>
            <w:bookmarkEnd w:id="274"/>
          </w:p>
        </w:tc>
        <w:tc>
          <w:tcPr>
            <w:tcW w:w="7747"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0B45E614" w14:textId="20C60547" w:rsidR="00DD352F" w:rsidRPr="00585857" w:rsidRDefault="00220223" w:rsidP="00D8251F">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La 19ª edición del Simposio Mundial para Organismos Reguladores (GSR-19), contó con más de 325 participantes, entre los que se encontraban ministros gubernamentales, jefes de organismos reguladores y altos ejecutivos de la industria de más de 64 países.</w:t>
            </w:r>
            <w:bookmarkStart w:id="275" w:name="lt_pId677"/>
            <w:r w:rsidR="00E77405" w:rsidRPr="00585857">
              <w:rPr>
                <w:lang w:val="es-ES_tradnl"/>
              </w:rPr>
              <w:t xml:space="preserve"> </w:t>
            </w:r>
            <w:bookmarkEnd w:id="275"/>
            <w:r w:rsidR="00E77405" w:rsidRPr="00585857">
              <w:rPr>
                <w:lang w:val="es-ES_tradnl"/>
              </w:rPr>
              <w:t>El GSR-19 adoptó las Directrices de prácticas óptimas en materia de aceleración de la conectividad digital para todos</w:t>
            </w:r>
            <w:bookmarkStart w:id="276" w:name="lt_pId678"/>
            <w:r w:rsidR="00AE03FE">
              <w:rPr>
                <w:lang w:val="es-ES_tradnl"/>
              </w:rPr>
              <w:t>.</w:t>
            </w:r>
            <w:r w:rsidR="00DD352F" w:rsidRPr="00585857">
              <w:rPr>
                <w:lang w:val="es-ES_tradnl"/>
              </w:rPr>
              <w:t xml:space="preserve"> </w:t>
            </w:r>
            <w:r w:rsidR="00AE03FE" w:rsidRPr="00AE03FE">
              <w:rPr>
                <w:lang w:val="es-ES_tradnl"/>
              </w:rPr>
              <w:t>Las directrices apoyan la difusión de redes de últim</w:t>
            </w:r>
            <w:r w:rsidR="00AE03FE">
              <w:rPr>
                <w:lang w:val="es-ES_tradnl"/>
              </w:rPr>
              <w:t>o kilómetro</w:t>
            </w:r>
            <w:r w:rsidR="00AE03FE" w:rsidRPr="00AE03FE">
              <w:rPr>
                <w:lang w:val="es-ES_tradnl"/>
              </w:rPr>
              <w:t xml:space="preserve"> para permitir que todos participen en la economía digital y se beneficien de la transformación digital. </w:t>
            </w:r>
            <w:r w:rsidR="00AE03FE">
              <w:rPr>
                <w:lang w:val="es-ES_tradnl"/>
              </w:rPr>
              <w:t>S</w:t>
            </w:r>
            <w:r w:rsidR="00AE03FE" w:rsidRPr="00AE03FE">
              <w:rPr>
                <w:lang w:val="es-ES_tradnl"/>
              </w:rPr>
              <w:t xml:space="preserve">e puso en marcha </w:t>
            </w:r>
            <w:r w:rsidR="00AE03FE">
              <w:rPr>
                <w:lang w:val="es-ES_tradnl"/>
              </w:rPr>
              <w:t>e</w:t>
            </w:r>
            <w:r w:rsidR="00AE03FE" w:rsidRPr="00AE03FE">
              <w:rPr>
                <w:lang w:val="es-ES_tradnl"/>
              </w:rPr>
              <w:t xml:space="preserve">l Rastreador de </w:t>
            </w:r>
            <w:r w:rsidR="00AE03FE">
              <w:rPr>
                <w:lang w:val="es-ES_tradnl"/>
              </w:rPr>
              <w:t xml:space="preserve">la </w:t>
            </w:r>
            <w:r w:rsidR="00AE03FE" w:rsidRPr="00AE03FE">
              <w:rPr>
                <w:lang w:val="es-ES_tradnl"/>
              </w:rPr>
              <w:t xml:space="preserve">Reglamentación de las TIC para ayudar a </w:t>
            </w:r>
            <w:r w:rsidR="00AE03FE">
              <w:rPr>
                <w:lang w:val="es-ES_tradnl"/>
              </w:rPr>
              <w:t>documentar</w:t>
            </w:r>
            <w:r w:rsidR="00AE03FE" w:rsidRPr="00AE03FE">
              <w:rPr>
                <w:lang w:val="es-ES_tradnl"/>
              </w:rPr>
              <w:t xml:space="preserve"> decisiones políticas clave. Se celebró una serie de sesiones de capacitación para que los </w:t>
            </w:r>
            <w:r w:rsidR="00AE03FE">
              <w:rPr>
                <w:lang w:val="es-ES_tradnl"/>
              </w:rPr>
              <w:t xml:space="preserve">organismos </w:t>
            </w:r>
            <w:r w:rsidR="00AE03FE" w:rsidRPr="00AE03FE">
              <w:rPr>
                <w:lang w:val="es-ES_tradnl"/>
              </w:rPr>
              <w:t xml:space="preserve">reguladores abordaran la política y la reglamentación digitales y la evolución del mercado, así como los enfoques reglamentarios de colaboración para la transformación digital. En el GSR-19 se </w:t>
            </w:r>
            <w:r w:rsidR="00AE03FE">
              <w:rPr>
                <w:lang w:val="es-ES_tradnl"/>
              </w:rPr>
              <w:t xml:space="preserve">presentó la </w:t>
            </w:r>
            <w:r w:rsidR="00AE03FE" w:rsidRPr="00AE03FE">
              <w:rPr>
                <w:lang w:val="es-ES_tradnl"/>
              </w:rPr>
              <w:t>Referencia para la reglamentación basada en la colaboración (G5) como nuevo instrumento que model</w:t>
            </w:r>
            <w:r w:rsidR="00AE03FE">
              <w:rPr>
                <w:lang w:val="es-ES_tradnl"/>
              </w:rPr>
              <w:t>iz</w:t>
            </w:r>
            <w:r w:rsidR="00AE03FE" w:rsidRPr="00AE03FE">
              <w:rPr>
                <w:lang w:val="es-ES_tradnl"/>
              </w:rPr>
              <w:t xml:space="preserve">a la configuración y los instrumentos de reglamentación y propone soluciones de colaboración intersectoriales para acelerar la reglamentación efectiva </w:t>
            </w:r>
            <w:r w:rsidR="00D8251F">
              <w:rPr>
                <w:lang w:val="es-ES_tradnl"/>
              </w:rPr>
              <w:t>con miras a</w:t>
            </w:r>
            <w:r w:rsidR="00AE03FE" w:rsidRPr="00AE03FE">
              <w:rPr>
                <w:lang w:val="es-ES_tradnl"/>
              </w:rPr>
              <w:t xml:space="preserve"> la transformación digital.</w:t>
            </w:r>
            <w:bookmarkEnd w:id="276"/>
          </w:p>
        </w:tc>
        <w:tc>
          <w:tcPr>
            <w:tcW w:w="2337" w:type="dxa"/>
            <w:tcBorders>
              <w:top w:val="single" w:sz="8" w:space="0" w:color="4F81BD" w:themeColor="accent1"/>
              <w:left w:val="dotted" w:sz="4" w:space="0" w:color="B8CCE4" w:themeColor="accent1" w:themeTint="66"/>
              <w:bottom w:val="single" w:sz="4" w:space="0" w:color="B8CCE4" w:themeColor="accent1" w:themeTint="66"/>
              <w:right w:val="nil"/>
            </w:tcBorders>
          </w:tcPr>
          <w:p w14:paraId="13984DC8" w14:textId="7C1EA7CA" w:rsidR="00DD352F" w:rsidRPr="00585857" w:rsidRDefault="00AE03FE"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77" w:name="lt_pId682"/>
            <w:r>
              <w:rPr>
                <w:lang w:val="es-ES_tradnl"/>
              </w:rPr>
              <w:t>Riesgos mitigados. Suficientes recursos humanos y financieros.</w:t>
            </w:r>
            <w:bookmarkEnd w:id="277"/>
          </w:p>
        </w:tc>
      </w:tr>
      <w:tr w:rsidR="00DD352F" w:rsidRPr="008F43A8" w14:paraId="4580E6A0" w14:textId="77777777" w:rsidTr="00420430">
        <w:tc>
          <w:tcPr>
            <w:cnfStyle w:val="001000000000" w:firstRow="0" w:lastRow="0" w:firstColumn="1" w:lastColumn="0" w:oddVBand="0" w:evenVBand="0" w:oddHBand="0" w:evenHBand="0" w:firstRowFirstColumn="0" w:firstRowLastColumn="0" w:lastRowFirstColumn="0" w:lastRowLastColumn="0"/>
            <w:tcW w:w="3918"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17C9A108" w14:textId="50B10B56" w:rsidR="00DD352F" w:rsidRPr="00585857" w:rsidRDefault="00D8251F" w:rsidP="00420430">
            <w:pPr>
              <w:pStyle w:val="Tabletext"/>
              <w:rPr>
                <w:b w:val="0"/>
                <w:bCs w:val="0"/>
                <w:lang w:val="es-ES_tradnl"/>
              </w:rPr>
            </w:pPr>
            <w:bookmarkStart w:id="278" w:name="lt_pId684"/>
            <w:r w:rsidRPr="00D8251F">
              <w:rPr>
                <w:b w:val="0"/>
                <w:bCs w:val="0"/>
                <w:lang w:val="es-ES_tradnl"/>
              </w:rPr>
              <w:t xml:space="preserve">Buen nivel de apoyo para fortalecer la capacidad de los Estados Miembros </w:t>
            </w:r>
            <w:r>
              <w:rPr>
                <w:b w:val="0"/>
                <w:bCs w:val="0"/>
                <w:lang w:val="es-ES_tradnl"/>
              </w:rPr>
              <w:t>para</w:t>
            </w:r>
            <w:r w:rsidRPr="00D8251F">
              <w:rPr>
                <w:b w:val="0"/>
                <w:bCs w:val="0"/>
                <w:lang w:val="es-ES_tradnl"/>
              </w:rPr>
              <w:t xml:space="preserve"> producir estadísticas de telecomunicaciones</w:t>
            </w:r>
            <w:r>
              <w:rPr>
                <w:b w:val="0"/>
                <w:bCs w:val="0"/>
                <w:lang w:val="es-ES_tradnl"/>
              </w:rPr>
              <w:t>/</w:t>
            </w:r>
            <w:r w:rsidRPr="00D8251F">
              <w:rPr>
                <w:b w:val="0"/>
                <w:bCs w:val="0"/>
                <w:lang w:val="es-ES_tradnl"/>
              </w:rPr>
              <w:t>TIC de alta calidad y comparables a nivel internacional</w:t>
            </w:r>
            <w:r w:rsidR="00DD352F" w:rsidRPr="00585857">
              <w:rPr>
                <w:b w:val="0"/>
                <w:bCs w:val="0"/>
                <w:lang w:val="es-ES_tradnl"/>
              </w:rPr>
              <w:t>.</w:t>
            </w:r>
            <w:bookmarkEnd w:id="278"/>
          </w:p>
        </w:tc>
        <w:tc>
          <w:tcPr>
            <w:tcW w:w="7747"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2D337298" w14:textId="3F17E6B2" w:rsidR="00DD352F" w:rsidRPr="00585857" w:rsidRDefault="00D8251F"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79" w:name="lt_pId685"/>
            <w:r>
              <w:rPr>
                <w:lang w:val="es-ES_tradnl"/>
              </w:rPr>
              <w:t>Se organizaron r</w:t>
            </w:r>
            <w:r w:rsidRPr="00D8251F">
              <w:rPr>
                <w:lang w:val="es-ES_tradnl"/>
              </w:rPr>
              <w:t xml:space="preserve">euniones del Grupo de Expertos en Indicadores de Telecomunicaciones/TIC (GEIT) y </w:t>
            </w:r>
            <w:r>
              <w:rPr>
                <w:lang w:val="es-ES_tradnl"/>
              </w:rPr>
              <w:t>d</w:t>
            </w:r>
            <w:r w:rsidRPr="00D8251F">
              <w:rPr>
                <w:lang w:val="es-ES_tradnl"/>
              </w:rPr>
              <w:t xml:space="preserve">el Grupo de Expertos en indicadores TIC en el hogar (GEH) </w:t>
            </w:r>
            <w:r>
              <w:rPr>
                <w:lang w:val="es-ES_tradnl"/>
              </w:rPr>
              <w:t>y dos talleres regionales de estadísticas (CEI y África) para fortalecer la capacidad de los países en las regiones a la hora de producir estadísticas e indicadores nacionales sobre telecomunicaciones/TIC con arreglo a las normas internacionales.</w:t>
            </w:r>
            <w:bookmarkEnd w:id="279"/>
          </w:p>
        </w:tc>
        <w:tc>
          <w:tcPr>
            <w:tcW w:w="2337"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29BFFE06" w14:textId="77777777" w:rsidR="00DD352F" w:rsidRPr="00585857" w:rsidRDefault="00DD352F"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29FB7BEA" w14:textId="77777777" w:rsidTr="00420430">
        <w:tc>
          <w:tcPr>
            <w:cnfStyle w:val="001000000000" w:firstRow="0" w:lastRow="0" w:firstColumn="1" w:lastColumn="0" w:oddVBand="0" w:evenVBand="0" w:oddHBand="0" w:evenHBand="0" w:firstRowFirstColumn="0" w:firstRowLastColumn="0" w:lastRowFirstColumn="0" w:lastRowLastColumn="0"/>
            <w:tcW w:w="3918"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7D1C55AC" w14:textId="76468B6E" w:rsidR="00DD352F" w:rsidRPr="00585857" w:rsidRDefault="00D8251F" w:rsidP="00420430">
            <w:pPr>
              <w:pStyle w:val="Tabletext"/>
              <w:rPr>
                <w:b w:val="0"/>
                <w:bCs w:val="0"/>
                <w:lang w:val="es-ES_tradnl"/>
              </w:rPr>
            </w:pPr>
            <w:bookmarkStart w:id="280" w:name="lt_pId686"/>
            <w:r>
              <w:rPr>
                <w:b w:val="0"/>
                <w:bCs w:val="0"/>
                <w:lang w:val="es-ES_tradnl"/>
              </w:rPr>
              <w:t>Se facilitaron valiosas instalaciones a fin de mejorar la capacidad humana e institucional de los miembros de la UIT para aprovechar todo el potencial de las telecomunicaciones/TIC.</w:t>
            </w:r>
            <w:bookmarkEnd w:id="280"/>
          </w:p>
        </w:tc>
        <w:tc>
          <w:tcPr>
            <w:tcW w:w="7747"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430FA79D" w14:textId="12FA0D50" w:rsidR="00DD352F" w:rsidRPr="00585857" w:rsidRDefault="00D8251F" w:rsidP="00E77405">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81" w:name="lt_pId687"/>
            <w:r>
              <w:rPr>
                <w:lang w:val="es-ES_tradnl"/>
              </w:rPr>
              <w:t xml:space="preserve">Se diseñó de nuevo el portal de la Academia de la UIT para facilitar un acceso más fácil de utilizar por los usuarios móviles y </w:t>
            </w:r>
            <w:r w:rsidR="008E36C6">
              <w:rPr>
                <w:lang w:val="es-ES_tradnl"/>
              </w:rPr>
              <w:t xml:space="preserve">más </w:t>
            </w:r>
            <w:r>
              <w:rPr>
                <w:lang w:val="es-ES_tradnl"/>
              </w:rPr>
              <w:t xml:space="preserve">seguro a </w:t>
            </w:r>
            <w:bookmarkEnd w:id="281"/>
            <w:r w:rsidR="008E36C6">
              <w:rPr>
                <w:lang w:val="es-ES_tradnl"/>
              </w:rPr>
              <w:t>las actividades, los</w:t>
            </w:r>
            <w:r w:rsidR="00E77405" w:rsidRPr="00585857">
              <w:rPr>
                <w:lang w:val="es-ES_tradnl"/>
              </w:rPr>
              <w:t xml:space="preserve"> cursos</w:t>
            </w:r>
            <w:r w:rsidR="008E36C6">
              <w:rPr>
                <w:lang w:val="es-ES_tradnl"/>
              </w:rPr>
              <w:t xml:space="preserve"> </w:t>
            </w:r>
            <w:r w:rsidR="00E77405" w:rsidRPr="00585857">
              <w:rPr>
                <w:lang w:val="es-ES_tradnl"/>
              </w:rPr>
              <w:t xml:space="preserve">y </w:t>
            </w:r>
            <w:r w:rsidR="008E36C6">
              <w:rPr>
                <w:lang w:val="es-ES_tradnl"/>
              </w:rPr>
              <w:t xml:space="preserve">los </w:t>
            </w:r>
            <w:r w:rsidR="00E77405" w:rsidRPr="00585857">
              <w:rPr>
                <w:lang w:val="es-ES_tradnl"/>
              </w:rPr>
              <w:t xml:space="preserve">talleres de capacitación de la UIT en el ámbito de las tecnologías de la información y la comunicación y </w:t>
            </w:r>
            <w:r w:rsidR="008E36C6">
              <w:rPr>
                <w:lang w:val="es-ES_tradnl"/>
              </w:rPr>
              <w:t>d</w:t>
            </w:r>
            <w:r w:rsidR="00E77405" w:rsidRPr="00585857">
              <w:rPr>
                <w:lang w:val="es-ES_tradnl"/>
              </w:rPr>
              <w:t>el desarrollo digital</w:t>
            </w:r>
            <w:r w:rsidR="00CE59B0">
              <w:rPr>
                <w:lang w:val="es-ES_tradnl"/>
              </w:rPr>
              <w:t>.</w:t>
            </w:r>
          </w:p>
        </w:tc>
        <w:tc>
          <w:tcPr>
            <w:tcW w:w="2337"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4A9DFCE3" w14:textId="77777777" w:rsidR="00DD352F" w:rsidRPr="00585857" w:rsidRDefault="00DD352F"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64C12E2A" w14:textId="77777777" w:rsidTr="00F55308">
        <w:trPr>
          <w:cantSplit/>
        </w:trPr>
        <w:tc>
          <w:tcPr>
            <w:cnfStyle w:val="001000000000" w:firstRow="0" w:lastRow="0" w:firstColumn="1" w:lastColumn="0" w:oddVBand="0" w:evenVBand="0" w:oddHBand="0" w:evenHBand="0" w:firstRowFirstColumn="0" w:firstRowLastColumn="0" w:lastRowFirstColumn="0" w:lastRowLastColumn="0"/>
            <w:tcW w:w="3918"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2FCD859E" w14:textId="6319EDC7" w:rsidR="00DD352F" w:rsidRPr="00585857" w:rsidRDefault="00D8251F" w:rsidP="00420430">
            <w:pPr>
              <w:pStyle w:val="Tabletext"/>
              <w:rPr>
                <w:b w:val="0"/>
                <w:bCs w:val="0"/>
                <w:lang w:val="es-ES_tradnl"/>
              </w:rPr>
            </w:pPr>
            <w:bookmarkStart w:id="282" w:name="lt_pId688"/>
            <w:r w:rsidRPr="00D8251F">
              <w:rPr>
                <w:b w:val="0"/>
                <w:bCs w:val="0"/>
                <w:lang w:val="es-ES_tradnl"/>
              </w:rPr>
              <w:lastRenderedPageBreak/>
              <w:t xml:space="preserve">Contribución </w:t>
            </w:r>
            <w:r>
              <w:rPr>
                <w:b w:val="0"/>
                <w:bCs w:val="0"/>
                <w:lang w:val="es-ES_tradnl"/>
              </w:rPr>
              <w:t>efectiva</w:t>
            </w:r>
            <w:r w:rsidRPr="00D8251F">
              <w:rPr>
                <w:b w:val="0"/>
                <w:bCs w:val="0"/>
                <w:lang w:val="es-ES_tradnl"/>
              </w:rPr>
              <w:t xml:space="preserve"> para fortalecer la capacidad de los miembros de la UIT </w:t>
            </w:r>
            <w:r>
              <w:rPr>
                <w:b w:val="0"/>
                <w:bCs w:val="0"/>
                <w:lang w:val="es-ES_tradnl"/>
              </w:rPr>
              <w:t xml:space="preserve">a la hora </w:t>
            </w:r>
            <w:r w:rsidRPr="00D8251F">
              <w:rPr>
                <w:b w:val="0"/>
                <w:bCs w:val="0"/>
                <w:lang w:val="es-ES_tradnl"/>
              </w:rPr>
              <w:t>de integrar la innovación y la digitalización de las telecomunicaciones/TIC en los programas nacionales de desarrollo</w:t>
            </w:r>
            <w:bookmarkEnd w:id="282"/>
            <w:r w:rsidR="000A6517">
              <w:rPr>
                <w:b w:val="0"/>
                <w:bCs w:val="0"/>
                <w:lang w:val="es-ES_tradnl"/>
              </w:rPr>
              <w:t>.</w:t>
            </w:r>
          </w:p>
        </w:tc>
        <w:tc>
          <w:tcPr>
            <w:tcW w:w="7747"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7A8BCE6B" w14:textId="3E864FD3" w:rsidR="00DD352F" w:rsidRPr="00585857" w:rsidRDefault="00AE03FE" w:rsidP="00E77405">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83" w:name="lt_pId689"/>
            <w:r>
              <w:rPr>
                <w:lang w:val="es-ES_tradnl"/>
              </w:rPr>
              <w:t>Se mejoraron los</w:t>
            </w:r>
            <w:r w:rsidR="00DD352F" w:rsidRPr="00585857">
              <w:rPr>
                <w:lang w:val="es-ES_tradnl"/>
              </w:rPr>
              <w:t xml:space="preserve"> </w:t>
            </w:r>
            <w:r w:rsidR="00E77405" w:rsidRPr="00585857">
              <w:rPr>
                <w:lang w:val="es-ES_tradnl"/>
              </w:rPr>
              <w:t xml:space="preserve">mapas de banda ancha de la UIT </w:t>
            </w:r>
            <w:bookmarkEnd w:id="283"/>
            <w:r w:rsidR="00E77405" w:rsidRPr="00585857">
              <w:rPr>
                <w:lang w:val="es-ES_tradnl"/>
              </w:rPr>
              <w:t>para promover la comprensión y las oportunidades de inversión en la red de infraestructuras a fin de aprovechar la conectividad a escala mundial. Presenta</w:t>
            </w:r>
            <w:r w:rsidR="008E36C6">
              <w:rPr>
                <w:lang w:val="es-ES_tradnl"/>
              </w:rPr>
              <w:t>n</w:t>
            </w:r>
            <w:r w:rsidR="00E77405" w:rsidRPr="00585857">
              <w:rPr>
                <w:lang w:val="es-ES_tradnl"/>
              </w:rPr>
              <w:t xml:space="preserve"> información de más de 440 operadores y de 24</w:t>
            </w:r>
            <w:r w:rsidR="00F55308">
              <w:rPr>
                <w:lang w:val="es-ES_tradnl"/>
              </w:rPr>
              <w:t> </w:t>
            </w:r>
            <w:r w:rsidR="00E77405" w:rsidRPr="00585857">
              <w:rPr>
                <w:lang w:val="es-ES_tradnl"/>
              </w:rPr>
              <w:t>000 puntos de acceso en todo el mundo.</w:t>
            </w:r>
            <w:bookmarkStart w:id="284" w:name="lt_pId691"/>
            <w:r w:rsidR="00DD352F" w:rsidRPr="00585857">
              <w:rPr>
                <w:lang w:val="es-ES_tradnl"/>
              </w:rPr>
              <w:t xml:space="preserve"> </w:t>
            </w:r>
            <w:r w:rsidR="008E36C6">
              <w:rPr>
                <w:lang w:val="es-ES_tradnl"/>
              </w:rPr>
              <w:t xml:space="preserve">El </w:t>
            </w:r>
            <w:r w:rsidR="008E36C6" w:rsidRPr="008E36C6">
              <w:rPr>
                <w:lang w:val="es-ES_tradnl"/>
              </w:rPr>
              <w:t>conjunto de herramientas de la</w:t>
            </w:r>
            <w:r w:rsidR="00495C02">
              <w:rPr>
                <w:lang w:val="es-ES_tradnl"/>
              </w:rPr>
              <w:t> </w:t>
            </w:r>
            <w:r w:rsidR="008E36C6" w:rsidRPr="008E36C6">
              <w:rPr>
                <w:lang w:val="es-ES_tradnl"/>
              </w:rPr>
              <w:t xml:space="preserve">UIT para planificación empresarial en relación con las infraestructuras de TIC </w:t>
            </w:r>
            <w:r w:rsidR="008E36C6">
              <w:rPr>
                <w:lang w:val="es-ES_tradnl"/>
              </w:rPr>
              <w:t>ofrece a los organismos reguladores y a los responsables políticos una metodología clara y práctica para proporcionar unas evaluaciones económicas fiables de los proyectos de planes de instalación y despliegue de infraestructura de banda ancha.</w:t>
            </w:r>
            <w:bookmarkEnd w:id="284"/>
          </w:p>
        </w:tc>
        <w:tc>
          <w:tcPr>
            <w:tcW w:w="2337"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607ADEC6" w14:textId="15829A1F" w:rsidR="00DD352F" w:rsidRPr="00585857" w:rsidRDefault="00AE03FE" w:rsidP="00420430">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85" w:name="lt_pId692"/>
            <w:r>
              <w:rPr>
                <w:lang w:val="es-ES_tradnl"/>
              </w:rPr>
              <w:t>Buen apoyo/compromiso por parte de los asociados y los países.</w:t>
            </w:r>
            <w:bookmarkEnd w:id="285"/>
          </w:p>
        </w:tc>
      </w:tr>
    </w:tbl>
    <w:p w14:paraId="6214F219" w14:textId="7E945F15" w:rsidR="00DD352F" w:rsidRPr="00585857" w:rsidRDefault="007A5EE9" w:rsidP="00E77405">
      <w:pPr>
        <w:pStyle w:val="Headingb"/>
        <w:spacing w:after="120"/>
        <w:rPr>
          <w:i/>
          <w:iCs/>
          <w:lang w:val="es-ES_tradnl"/>
        </w:rPr>
      </w:pPr>
      <w:r>
        <w:rPr>
          <w:i/>
          <w:iCs/>
          <w:lang w:val="es-ES_tradnl"/>
        </w:rPr>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111"/>
        <w:gridCol w:w="6237"/>
        <w:gridCol w:w="3600"/>
      </w:tblGrid>
      <w:tr w:rsidR="00DD352F" w:rsidRPr="00873749" w14:paraId="7A0696FE" w14:textId="77777777" w:rsidTr="00F553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Borders>
              <w:top w:val="nil"/>
              <w:left w:val="nil"/>
              <w:bottom w:val="single" w:sz="8" w:space="0" w:color="4F81BD" w:themeColor="accent1"/>
              <w:right w:val="dotted" w:sz="4" w:space="0" w:color="B8CCE4" w:themeColor="accent1" w:themeTint="66"/>
            </w:tcBorders>
          </w:tcPr>
          <w:p w14:paraId="41E03957" w14:textId="5579235E" w:rsidR="00DD352F" w:rsidRPr="00873749" w:rsidRDefault="00DD352F" w:rsidP="00E77405">
            <w:pPr>
              <w:pStyle w:val="Tablehead"/>
              <w:rPr>
                <w:b/>
                <w:i/>
                <w:iCs/>
                <w:lang w:val="es-ES_tradnl"/>
              </w:rPr>
            </w:pPr>
            <w:r w:rsidRPr="00873749">
              <w:rPr>
                <w:b/>
                <w:i/>
                <w:iCs/>
                <w:lang w:val="es-ES_tradnl"/>
              </w:rPr>
              <w:t>Resultados</w:t>
            </w:r>
          </w:p>
        </w:tc>
        <w:tc>
          <w:tcPr>
            <w:tcW w:w="6237" w:type="dxa"/>
            <w:tcBorders>
              <w:top w:val="nil"/>
              <w:left w:val="dotted" w:sz="4" w:space="0" w:color="B8CCE4" w:themeColor="accent1" w:themeTint="66"/>
              <w:bottom w:val="single" w:sz="8" w:space="0" w:color="4F81BD" w:themeColor="accent1"/>
              <w:right w:val="dotted" w:sz="4" w:space="0" w:color="B8CCE4" w:themeColor="accent1" w:themeTint="66"/>
            </w:tcBorders>
          </w:tcPr>
          <w:p w14:paraId="52048377" w14:textId="1FB5F80D" w:rsidR="00DD352F" w:rsidRPr="00873749" w:rsidRDefault="00DD352F" w:rsidP="00E77405">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 de resultados</w:t>
            </w:r>
          </w:p>
        </w:tc>
        <w:tc>
          <w:tcPr>
            <w:tcW w:w="3600" w:type="dxa"/>
            <w:tcBorders>
              <w:top w:val="nil"/>
              <w:left w:val="dotted" w:sz="4" w:space="0" w:color="B8CCE4" w:themeColor="accent1" w:themeTint="66"/>
              <w:bottom w:val="single" w:sz="8" w:space="0" w:color="4F81BD" w:themeColor="accent1"/>
              <w:right w:val="nil"/>
            </w:tcBorders>
          </w:tcPr>
          <w:p w14:paraId="1234434D" w14:textId="4AE90ED1" w:rsidR="00DD352F" w:rsidRPr="00873749" w:rsidRDefault="008A066E" w:rsidP="00E77405">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Indicadores de riesgo</w:t>
            </w:r>
          </w:p>
        </w:tc>
      </w:tr>
      <w:tr w:rsidR="00DD352F" w:rsidRPr="00585857" w14:paraId="7EC0ADDF" w14:textId="77777777" w:rsidTr="0033733F">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left w:val="nil"/>
              <w:bottom w:val="single" w:sz="8" w:space="0" w:color="4F81BD" w:themeColor="accent1"/>
              <w:right w:val="dotted" w:sz="4" w:space="0" w:color="B8CCE4" w:themeColor="accent1" w:themeTint="66"/>
            </w:tcBorders>
          </w:tcPr>
          <w:p w14:paraId="69DB8D0D" w14:textId="2AE30DF6" w:rsidR="00DD352F" w:rsidRPr="00585857" w:rsidRDefault="00E77405" w:rsidP="00CF26F1">
            <w:pPr>
              <w:pStyle w:val="Tabletext"/>
              <w:rPr>
                <w:b w:val="0"/>
                <w:bCs w:val="0"/>
                <w:lang w:val="es-ES_tradnl"/>
              </w:rPr>
            </w:pPr>
            <w:r w:rsidRPr="00585857">
              <w:rPr>
                <w:b w:val="0"/>
                <w:bCs w:val="0"/>
                <w:lang w:val="es-ES_tradnl"/>
              </w:rPr>
              <w:t>Mayor capacidad de los Estados Miembros para mejorar sus marcos políticos, jurídicos y reglamentarios para que sean propicios al desarrollo de las telecomunicaciones/TIC.</w:t>
            </w:r>
          </w:p>
        </w:tc>
        <w:tc>
          <w:tcPr>
            <w:tcW w:w="623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26BF1274" w14:textId="4048E8B0" w:rsidR="00DD352F" w:rsidRPr="00585857" w:rsidRDefault="00E77405"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Distribución oportuna de los cuestionarios anuales a los Estados Miembros (sobre reglamentación, economía y finanzas) y de los datos sobre el Centro de conocimientos de política, reglamentación, economía y finanzas (PREF) y la base de datos ICT Eye.</w:t>
            </w:r>
          </w:p>
          <w:p w14:paraId="0B33A0BE" w14:textId="2105299A" w:rsidR="00DD352F" w:rsidRPr="00585857" w:rsidRDefault="00E77405"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 Eye.</w:t>
            </w:r>
          </w:p>
          <w:p w14:paraId="56AA6021" w14:textId="6E49A945"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participantes en el Simposio Mundial para Organismos Reguladores, en foros y talleres regionales de carácter reglamentario y económico y en diálogos estratégicos sobre temas políticos y reglamentarios de actualidad; porcentaje de participantes satisfechos.</w:t>
            </w:r>
          </w:p>
        </w:tc>
        <w:tc>
          <w:tcPr>
            <w:tcW w:w="3600" w:type="dxa"/>
            <w:tcBorders>
              <w:top w:val="single" w:sz="8" w:space="0" w:color="4F81BD" w:themeColor="accent1"/>
              <w:left w:val="dotted" w:sz="4" w:space="0" w:color="4F81BD" w:themeColor="accent1"/>
              <w:bottom w:val="nil"/>
              <w:right w:val="nil"/>
            </w:tcBorders>
          </w:tcPr>
          <w:p w14:paraId="6136BA49" w14:textId="1F5422A5"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r w:rsidR="00CE59B0">
              <w:rPr>
                <w:lang w:val="es-ES_tradnl"/>
              </w:rPr>
              <w:t>.</w:t>
            </w:r>
          </w:p>
          <w:p w14:paraId="00DECF3B" w14:textId="06FD2834" w:rsidR="00DD352F" w:rsidRPr="00585857" w:rsidRDefault="008E36C6"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86" w:name="lt_pId703"/>
            <w:r>
              <w:rPr>
                <w:lang w:val="es-ES_tradnl"/>
              </w:rPr>
              <w:t>Compromiso político limitado</w:t>
            </w:r>
            <w:r w:rsidR="00DD352F" w:rsidRPr="00585857">
              <w:rPr>
                <w:lang w:val="es-ES_tradnl"/>
              </w:rPr>
              <w:t>.</w:t>
            </w:r>
            <w:bookmarkEnd w:id="286"/>
          </w:p>
        </w:tc>
      </w:tr>
      <w:tr w:rsidR="00DD352F" w:rsidRPr="008F43A8" w14:paraId="750D32F5" w14:textId="77777777" w:rsidTr="008A67D4">
        <w:trPr>
          <w:cantSplit/>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left w:val="nil"/>
              <w:bottom w:val="single" w:sz="8" w:space="0" w:color="4F81BD" w:themeColor="accent1"/>
              <w:right w:val="dotted" w:sz="4" w:space="0" w:color="B8CCE4" w:themeColor="accent1" w:themeTint="66"/>
            </w:tcBorders>
          </w:tcPr>
          <w:p w14:paraId="40DB40FE" w14:textId="65360DC2" w:rsidR="00DD352F" w:rsidRPr="00585857" w:rsidRDefault="00E77405" w:rsidP="00CF26F1">
            <w:pPr>
              <w:pStyle w:val="Tabletext"/>
              <w:rPr>
                <w:b w:val="0"/>
                <w:bCs w:val="0"/>
                <w:lang w:val="es-ES_tradnl"/>
              </w:rPr>
            </w:pPr>
            <w:r w:rsidRPr="00585857">
              <w:rPr>
                <w:b w:val="0"/>
                <w:bCs w:val="0"/>
                <w:lang w:val="es-ES_tradnl"/>
              </w:rPr>
              <w:lastRenderedPageBreak/>
              <w:t>Capacidad reforzada de los Estados Miembros para producir estadísticas de telecomunicaciones/TIC de alta calidad y comparables a escala internacional que reflejen la evolución y las tendencias de las telecomunicaciones/TIC sobre la base de normas y métodos concertados.</w:t>
            </w:r>
          </w:p>
        </w:tc>
        <w:tc>
          <w:tcPr>
            <w:tcW w:w="623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365934C1" w14:textId="209D3E34"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Publicación puntual de la base de datos de indicadores de las telecomunicaciones/TIC (WTI) de la UIT.</w:t>
            </w:r>
          </w:p>
          <w:p w14:paraId="174999D8" w14:textId="0AC9A744"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elementos de datos e indicadores disponibles en la base de datos WTI.</w:t>
            </w:r>
          </w:p>
        </w:tc>
        <w:tc>
          <w:tcPr>
            <w:tcW w:w="3600" w:type="dxa"/>
            <w:tcBorders>
              <w:top w:val="nil"/>
              <w:left w:val="dotted" w:sz="4" w:space="0" w:color="4F81BD" w:themeColor="accent1"/>
              <w:bottom w:val="nil"/>
              <w:right w:val="nil"/>
            </w:tcBorders>
          </w:tcPr>
          <w:p w14:paraId="7D9FC31D" w14:textId="77777777" w:rsidR="00DD352F" w:rsidRPr="00585857" w:rsidRDefault="00DD352F"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5020F5BE" w14:textId="77777777" w:rsidTr="0033733F">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left w:val="nil"/>
              <w:bottom w:val="single" w:sz="8" w:space="0" w:color="4F81BD" w:themeColor="accent1"/>
              <w:right w:val="dotted" w:sz="4" w:space="0" w:color="B8CCE4" w:themeColor="accent1" w:themeTint="66"/>
            </w:tcBorders>
          </w:tcPr>
          <w:p w14:paraId="1668D1EC" w14:textId="44265AB9" w:rsidR="00DD352F" w:rsidRPr="00585857" w:rsidRDefault="00E77405" w:rsidP="00CF26F1">
            <w:pPr>
              <w:pStyle w:val="Tabletext"/>
              <w:rPr>
                <w:b w:val="0"/>
                <w:bCs w:val="0"/>
                <w:lang w:val="es-ES_tradnl"/>
              </w:rPr>
            </w:pPr>
            <w:r w:rsidRPr="00585857">
              <w:rPr>
                <w:b w:val="0"/>
                <w:bCs w:val="0"/>
                <w:lang w:val="es-ES_tradnl"/>
              </w:rPr>
              <w:t xml:space="preserve">Mayor capacidad humana e institucional de los </w:t>
            </w:r>
            <w:r w:rsidR="00495C02">
              <w:rPr>
                <w:b w:val="0"/>
                <w:bCs w:val="0"/>
                <w:lang w:val="es-ES_tradnl"/>
              </w:rPr>
              <w:t>m</w:t>
            </w:r>
            <w:r w:rsidRPr="00585857">
              <w:rPr>
                <w:b w:val="0"/>
                <w:bCs w:val="0"/>
                <w:lang w:val="es-ES_tradnl"/>
              </w:rPr>
              <w:t>iembros de la UIT para aprovechar plenamente el potencial de las telecomunicaciones/TIC.</w:t>
            </w:r>
          </w:p>
        </w:tc>
        <w:tc>
          <w:tcPr>
            <w:tcW w:w="623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4E4A1A62" w14:textId="6B1EDF57"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personas formadas y nivel alcanzado.</w:t>
            </w:r>
          </w:p>
          <w:p w14:paraId="0BE2FEAA" w14:textId="4E11CC32"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participantes que supera la evaluación de la formación.</w:t>
            </w:r>
          </w:p>
          <w:p w14:paraId="1E508A2A" w14:textId="4028A59E"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participantes satisfechos con la formación.</w:t>
            </w:r>
          </w:p>
          <w:p w14:paraId="12D12EE6" w14:textId="6A6F5689"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87" w:name="lt_pId711"/>
            <w:r w:rsidRPr="00585857">
              <w:rPr>
                <w:lang w:val="es-ES_tradnl"/>
              </w:rPr>
              <w:t>Número de programas de formación de alto nivel elaborados</w:t>
            </w:r>
            <w:r w:rsidR="00DD352F" w:rsidRPr="00585857">
              <w:rPr>
                <w:lang w:val="es-ES_tradnl"/>
              </w:rPr>
              <w:t>.</w:t>
            </w:r>
            <w:bookmarkEnd w:id="287"/>
          </w:p>
          <w:p w14:paraId="7E00E586" w14:textId="6D89EA7C"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capacitaciones realizadas que están relacionadas con </w:t>
            </w:r>
            <w:r w:rsidR="00AD5971" w:rsidRPr="00585857">
              <w:rPr>
                <w:lang w:val="es-ES_tradnl"/>
              </w:rPr>
              <w:t>iniciativas regionales</w:t>
            </w:r>
            <w:r w:rsidRPr="00585857">
              <w:rPr>
                <w:lang w:val="es-ES_tradnl"/>
              </w:rPr>
              <w:t>.</w:t>
            </w:r>
          </w:p>
        </w:tc>
        <w:tc>
          <w:tcPr>
            <w:tcW w:w="3600" w:type="dxa"/>
            <w:tcBorders>
              <w:top w:val="nil"/>
              <w:left w:val="dotted" w:sz="4" w:space="0" w:color="4F81BD" w:themeColor="accent1"/>
              <w:bottom w:val="nil"/>
              <w:right w:val="nil"/>
            </w:tcBorders>
          </w:tcPr>
          <w:p w14:paraId="037239D3" w14:textId="77777777" w:rsidR="00DD352F" w:rsidRPr="00585857" w:rsidRDefault="00DD352F"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57C2F68E" w14:textId="77777777" w:rsidTr="00CF26F1">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4F81BD" w:themeColor="accent1"/>
              <w:left w:val="nil"/>
              <w:bottom w:val="single" w:sz="8" w:space="0" w:color="4F81BD" w:themeColor="accent1"/>
              <w:right w:val="dotted" w:sz="4" w:space="0" w:color="B8CCE4" w:themeColor="accent1" w:themeTint="66"/>
            </w:tcBorders>
          </w:tcPr>
          <w:p w14:paraId="4A2E66A2" w14:textId="3E6506B7" w:rsidR="00DD352F" w:rsidRPr="00585857" w:rsidRDefault="00E77405" w:rsidP="00CF26F1">
            <w:pPr>
              <w:pStyle w:val="Tabletext"/>
              <w:rPr>
                <w:b w:val="0"/>
                <w:bCs w:val="0"/>
                <w:lang w:val="es-ES_tradnl"/>
              </w:rPr>
            </w:pPr>
            <w:r w:rsidRPr="00585857">
              <w:rPr>
                <w:b w:val="0"/>
                <w:bCs w:val="0"/>
                <w:lang w:val="es-ES_tradnl"/>
              </w:rPr>
              <w:t xml:space="preserve">Mayor capacidad de los </w:t>
            </w:r>
            <w:r w:rsidR="00495C02">
              <w:rPr>
                <w:b w:val="0"/>
                <w:bCs w:val="0"/>
                <w:lang w:val="es-ES_tradnl"/>
              </w:rPr>
              <w:t>m</w:t>
            </w:r>
            <w:r w:rsidRPr="00585857">
              <w:rPr>
                <w:b w:val="0"/>
                <w:bCs w:val="0"/>
                <w:lang w:val="es-ES_tradnl"/>
              </w:rPr>
              <w:t>iembros de la</w:t>
            </w:r>
            <w:r w:rsidR="00F55308">
              <w:rPr>
                <w:b w:val="0"/>
                <w:bCs w:val="0"/>
                <w:lang w:val="es-ES_tradnl"/>
              </w:rPr>
              <w:t> </w:t>
            </w:r>
            <w:r w:rsidRPr="00585857">
              <w:rPr>
                <w:b w:val="0"/>
                <w:bCs w:val="0"/>
                <w:lang w:val="es-ES_tradnl"/>
              </w:rPr>
              <w:t>UIT para integrar la innovación de las telecomunicaciones/TIC en los programas nacionales de desarrollo y elaborar estrategias de promoción de iniciativas innovadoras, incluso mediante asociaciones públicas, privadas y público</w:t>
            </w:r>
            <w:r w:rsidR="00495C02">
              <w:rPr>
                <w:b w:val="0"/>
                <w:bCs w:val="0"/>
                <w:lang w:val="es-ES_tradnl"/>
              </w:rPr>
              <w:noBreakHyphen/>
            </w:r>
            <w:r w:rsidRPr="00585857">
              <w:rPr>
                <w:b w:val="0"/>
                <w:bCs w:val="0"/>
                <w:lang w:val="es-ES_tradnl"/>
              </w:rPr>
              <w:t>privadas.</w:t>
            </w:r>
          </w:p>
        </w:tc>
        <w:tc>
          <w:tcPr>
            <w:tcW w:w="6237"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71243BF3" w14:textId="2B1FA4A6"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iniciativas (por ejemplo, directrices y recomendaciones, juegos de herramientas de uso autónomo, etc.) proyectos comunitarios que fortalecen los ecosistemas de innovación de los Estados Miembros.</w:t>
            </w:r>
          </w:p>
          <w:p w14:paraId="161CD716" w14:textId="6CA5348D"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nuevas asociaciones que impulsen ecosistemas de innovación con partes interesadas clave.</w:t>
            </w:r>
          </w:p>
          <w:p w14:paraId="6B741991" w14:textId="013FCF8F" w:rsidR="00DD352F" w:rsidRPr="00585857" w:rsidRDefault="00CF26F1"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asociaciones, iniciativas y proyectos que se han puesto en práctica para los </w:t>
            </w:r>
            <w:r w:rsidR="00495C02">
              <w:rPr>
                <w:lang w:val="es-ES_tradnl"/>
              </w:rPr>
              <w:t>m</w:t>
            </w:r>
            <w:r w:rsidRPr="00585857">
              <w:rPr>
                <w:lang w:val="es-ES_tradnl"/>
              </w:rPr>
              <w:t>iembros.</w:t>
            </w:r>
          </w:p>
        </w:tc>
        <w:tc>
          <w:tcPr>
            <w:tcW w:w="3600" w:type="dxa"/>
            <w:tcBorders>
              <w:top w:val="nil"/>
              <w:left w:val="dotted" w:sz="4" w:space="0" w:color="4F81BD" w:themeColor="accent1"/>
              <w:bottom w:val="single" w:sz="8" w:space="0" w:color="4F81BD" w:themeColor="accent1"/>
              <w:right w:val="nil"/>
            </w:tcBorders>
          </w:tcPr>
          <w:p w14:paraId="6005C0D1" w14:textId="77777777" w:rsidR="00DD352F" w:rsidRPr="00585857" w:rsidRDefault="00DD352F" w:rsidP="00CF26F1">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68C6EE05" w14:textId="77777777" w:rsidR="00DD352F" w:rsidRPr="00585857" w:rsidRDefault="00DD352F" w:rsidP="00E77405">
      <w:pPr>
        <w:rPr>
          <w:lang w:val="es-ES_tradnl"/>
        </w:rPr>
      </w:pPr>
      <w:r w:rsidRPr="00585857">
        <w:rPr>
          <w:lang w:val="es-ES_tradnl"/>
        </w:rPr>
        <w:br w:type="page"/>
      </w:r>
    </w:p>
    <w:p w14:paraId="32A613B4" w14:textId="251892FC" w:rsidR="00DD352F" w:rsidRPr="00585857" w:rsidRDefault="00DD352F" w:rsidP="00F04E0C">
      <w:pPr>
        <w:pStyle w:val="Heading3"/>
        <w:rPr>
          <w:lang w:val="es-ES_tradnl"/>
        </w:rPr>
      </w:pPr>
      <w:bookmarkStart w:id="288" w:name="lt_pId720"/>
      <w:bookmarkStart w:id="289" w:name="_Toc33632267"/>
      <w:r w:rsidRPr="00585857">
        <w:rPr>
          <w:lang w:val="es-ES_tradnl"/>
        </w:rPr>
        <w:lastRenderedPageBreak/>
        <w:t xml:space="preserve">II.4.4 </w:t>
      </w:r>
      <w:r w:rsidR="002908A7" w:rsidRPr="00585857">
        <w:rPr>
          <w:lang w:val="es-ES_tradnl"/>
        </w:rPr>
        <w:t>–</w:t>
      </w:r>
      <w:r w:rsidRPr="00585857">
        <w:rPr>
          <w:lang w:val="es-ES_tradnl"/>
        </w:rPr>
        <w:t xml:space="preserve"> D.4 </w:t>
      </w:r>
      <w:bookmarkEnd w:id="288"/>
      <w:r w:rsidR="00F04E0C" w:rsidRPr="00585857">
        <w:rPr>
          <w:lang w:val="es-ES_tradnl"/>
        </w:rPr>
        <w:t>Sociedad de la información integradora</w:t>
      </w:r>
      <w:bookmarkEnd w:id="289"/>
    </w:p>
    <w:p w14:paraId="07C3DB49" w14:textId="77777777" w:rsidR="0022503F" w:rsidRPr="00585857" w:rsidRDefault="0022503F" w:rsidP="0022503F">
      <w:pPr>
        <w:pStyle w:val="Headingb"/>
        <w:rPr>
          <w:i/>
          <w:iCs/>
          <w:lang w:val="es-ES_tradnl"/>
        </w:rPr>
      </w:pPr>
      <w:r w:rsidRPr="00585857">
        <w:rPr>
          <w:i/>
          <w:iCs/>
          <w:lang w:val="es-ES_tradnl"/>
        </w:rPr>
        <w:t>Descripción del objetivo</w:t>
      </w:r>
    </w:p>
    <w:p w14:paraId="0937B4D6" w14:textId="651C9201" w:rsidR="00DD352F" w:rsidRPr="00585857" w:rsidRDefault="00484AF1" w:rsidP="00DD352F">
      <w:pPr>
        <w:rPr>
          <w:lang w:val="es-ES_tradnl"/>
        </w:rPr>
      </w:pPr>
      <w:r w:rsidRPr="00585857">
        <w:rPr>
          <w:lang w:val="es-ES_tradnl"/>
        </w:rPr>
        <w:t>Fomentar el desarrollo y la utilización de las telecomunicaciones/TIC y aplicaciones a fin de empoderar a las personas y a las sociedades para el desarrollo sostenible.</w:t>
      </w:r>
    </w:p>
    <w:p w14:paraId="465FB03A" w14:textId="6A8F648F" w:rsidR="00DD352F" w:rsidRPr="00585857" w:rsidRDefault="00484AF1" w:rsidP="00DD352F">
      <w:pPr>
        <w:rPr>
          <w:lang w:val="es-ES_tradnl"/>
        </w:rPr>
      </w:pPr>
      <w:bookmarkStart w:id="290" w:name="lt_pId723"/>
      <w:r w:rsidRPr="00585857">
        <w:rPr>
          <w:lang w:val="es-ES_tradnl"/>
        </w:rPr>
        <w:t xml:space="preserve">El Objetivo D.4 utiliza el </w:t>
      </w:r>
      <w:r w:rsidR="00DD352F" w:rsidRPr="00585857">
        <w:rPr>
          <w:lang w:val="es-ES_tradnl"/>
        </w:rPr>
        <w:t>19</w:t>
      </w:r>
      <w:r w:rsidRPr="00585857">
        <w:rPr>
          <w:lang w:val="es-ES_tradnl"/>
        </w:rPr>
        <w:t>,</w:t>
      </w:r>
      <w:r w:rsidR="00DD352F" w:rsidRPr="00585857">
        <w:rPr>
          <w:lang w:val="es-ES_tradnl"/>
        </w:rPr>
        <w:t>60 </w:t>
      </w:r>
      <w:r w:rsidRPr="00585857">
        <w:rPr>
          <w:lang w:val="es-ES_tradnl"/>
        </w:rPr>
        <w:t xml:space="preserve">por ciento de los recursos previstos para los objetivos del UIT-D, un </w:t>
      </w:r>
      <w:r w:rsidR="00DD352F" w:rsidRPr="00585857">
        <w:rPr>
          <w:lang w:val="es-ES_tradnl"/>
        </w:rPr>
        <w:t>6</w:t>
      </w:r>
      <w:r w:rsidRPr="00585857">
        <w:rPr>
          <w:lang w:val="es-ES_tradnl"/>
        </w:rPr>
        <w:t>,</w:t>
      </w:r>
      <w:r w:rsidR="00DD352F" w:rsidRPr="00585857">
        <w:rPr>
          <w:lang w:val="es-ES_tradnl"/>
        </w:rPr>
        <w:t>89 </w:t>
      </w:r>
      <w:r w:rsidRPr="00585857">
        <w:rPr>
          <w:lang w:val="es-ES_tradnl"/>
        </w:rPr>
        <w:t xml:space="preserve">por ciento de los recursos previstos de la UIT para </w:t>
      </w:r>
      <w:r w:rsidR="00DD352F" w:rsidRPr="00585857">
        <w:rPr>
          <w:lang w:val="es-ES_tradnl"/>
        </w:rPr>
        <w:t>2021-2024.</w:t>
      </w:r>
      <w:bookmarkEnd w:id="290"/>
    </w:p>
    <w:p w14:paraId="5FF284E6" w14:textId="54AA6820" w:rsidR="00DD352F" w:rsidRDefault="007A5EE9" w:rsidP="002908A7">
      <w:pPr>
        <w:pStyle w:val="Headingb"/>
        <w:rPr>
          <w:i/>
          <w:iCs/>
          <w:lang w:val="es-ES_tradnl"/>
        </w:rPr>
      </w:pPr>
      <w:r>
        <w:rPr>
          <w:i/>
          <w:iCs/>
          <w:lang w:val="es-ES_tradnl"/>
        </w:rPr>
        <w:t>Resumen de la atribución de costes</w:t>
      </w:r>
    </w:p>
    <w:p w14:paraId="28697722" w14:textId="7CEA5E2C" w:rsidR="00873749" w:rsidRPr="00873749" w:rsidRDefault="00873749" w:rsidP="00873749">
      <w:pPr>
        <w:jc w:val="center"/>
        <w:rPr>
          <w:lang w:val="es-ES_tradnl"/>
        </w:rPr>
      </w:pPr>
      <w:r w:rsidRPr="00873749">
        <w:rPr>
          <w:noProof/>
        </w:rPr>
        <w:drawing>
          <wp:inline distT="0" distB="0" distL="0" distR="0" wp14:anchorId="293923A4" wp14:editId="462BCB13">
            <wp:extent cx="8272800" cy="2487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72800" cy="2487600"/>
                    </a:xfrm>
                    <a:prstGeom prst="rect">
                      <a:avLst/>
                    </a:prstGeom>
                    <a:noFill/>
                    <a:ln>
                      <a:noFill/>
                    </a:ln>
                  </pic:spPr>
                </pic:pic>
              </a:graphicData>
            </a:graphic>
          </wp:inline>
        </w:drawing>
      </w:r>
    </w:p>
    <w:p w14:paraId="43560FB0" w14:textId="77777777" w:rsidR="00DD352F" w:rsidRPr="00585857" w:rsidRDefault="00DD352F" w:rsidP="0022503F">
      <w:pPr>
        <w:rPr>
          <w:lang w:val="es-ES_tradnl"/>
        </w:rPr>
      </w:pPr>
      <w:r w:rsidRPr="00585857">
        <w:rPr>
          <w:lang w:val="es-ES_tradnl"/>
        </w:rPr>
        <w:br w:type="page"/>
      </w:r>
    </w:p>
    <w:p w14:paraId="57A499AB" w14:textId="17B82E19" w:rsidR="00DD352F" w:rsidRPr="00585857" w:rsidRDefault="007A5EE9" w:rsidP="00484AF1">
      <w:pPr>
        <w:pStyle w:val="Headingb"/>
        <w:spacing w:after="120"/>
        <w:rPr>
          <w:i/>
          <w:iCs/>
          <w:lang w:val="es-ES_tradnl"/>
        </w:rPr>
      </w:pPr>
      <w:r>
        <w:rPr>
          <w:i/>
          <w:iCs/>
          <w:lang w:val="es-ES_tradnl"/>
        </w:rPr>
        <w:lastRenderedPageBreak/>
        <w:t>Informe sobre el rendimiento de 2019</w:t>
      </w:r>
    </w:p>
    <w:tbl>
      <w:tblPr>
        <w:tblStyle w:val="GridTable1Light-Accent1"/>
        <w:tblW w:w="0" w:type="auto"/>
        <w:tblLook w:val="04A0" w:firstRow="1" w:lastRow="0" w:firstColumn="1" w:lastColumn="0" w:noHBand="0" w:noVBand="1"/>
      </w:tblPr>
      <w:tblGrid>
        <w:gridCol w:w="3520"/>
        <w:gridCol w:w="8507"/>
        <w:gridCol w:w="1975"/>
      </w:tblGrid>
      <w:tr w:rsidR="00DD352F" w:rsidRPr="00873749" w14:paraId="48176818" w14:textId="77777777" w:rsidTr="00F553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single" w:sz="8" w:space="0" w:color="4F81BD" w:themeColor="accent1"/>
              <w:right w:val="dotted" w:sz="4" w:space="0" w:color="B8CCE4" w:themeColor="accent1" w:themeTint="66"/>
            </w:tcBorders>
          </w:tcPr>
          <w:p w14:paraId="2D04A601" w14:textId="34C6E923" w:rsidR="00DD352F" w:rsidRPr="00873749" w:rsidRDefault="008A066E" w:rsidP="00484AF1">
            <w:pPr>
              <w:pStyle w:val="Tablehead"/>
              <w:rPr>
                <w:b/>
                <w:i/>
                <w:iCs/>
                <w:lang w:val="es-ES_tradnl"/>
              </w:rPr>
            </w:pPr>
            <w:r w:rsidRPr="00873749">
              <w:rPr>
                <w:b/>
                <w:i/>
                <w:iCs/>
                <w:lang w:val="es-ES_tradnl"/>
              </w:rPr>
              <w:t>Logros</w:t>
            </w:r>
          </w:p>
        </w:tc>
        <w:tc>
          <w:tcPr>
            <w:tcW w:w="8647" w:type="dxa"/>
            <w:tcBorders>
              <w:top w:val="nil"/>
              <w:left w:val="dotted" w:sz="4" w:space="0" w:color="B8CCE4" w:themeColor="accent1" w:themeTint="66"/>
              <w:bottom w:val="single" w:sz="8" w:space="0" w:color="4F81BD" w:themeColor="accent1"/>
              <w:right w:val="dotted" w:sz="4" w:space="0" w:color="B8CCE4" w:themeColor="accent1" w:themeTint="66"/>
            </w:tcBorders>
          </w:tcPr>
          <w:p w14:paraId="26612FC9" w14:textId="0A43B872" w:rsidR="00DD352F" w:rsidRPr="00873749" w:rsidRDefault="008A066E" w:rsidP="00484AF1">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Medición</w:t>
            </w:r>
          </w:p>
        </w:tc>
        <w:tc>
          <w:tcPr>
            <w:tcW w:w="1757" w:type="dxa"/>
            <w:tcBorders>
              <w:top w:val="nil"/>
              <w:left w:val="dotted" w:sz="4" w:space="0" w:color="B8CCE4" w:themeColor="accent1" w:themeTint="66"/>
              <w:bottom w:val="single" w:sz="8" w:space="0" w:color="4F81BD" w:themeColor="accent1"/>
              <w:right w:val="nil"/>
            </w:tcBorders>
          </w:tcPr>
          <w:p w14:paraId="7972E711" w14:textId="2044956A" w:rsidR="00DD352F" w:rsidRPr="00873749" w:rsidRDefault="008E36C6" w:rsidP="00484AF1">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Riesgo</w:t>
            </w:r>
          </w:p>
        </w:tc>
      </w:tr>
      <w:tr w:rsidR="00DD352F" w:rsidRPr="008F43A8" w14:paraId="5C457CD1" w14:textId="77777777" w:rsidTr="0033733F">
        <w:tc>
          <w:tcPr>
            <w:cnfStyle w:val="001000000000" w:firstRow="0" w:lastRow="0" w:firstColumn="1" w:lastColumn="0" w:oddVBand="0" w:evenVBand="0" w:oddHBand="0" w:evenHBand="0" w:firstRowFirstColumn="0" w:firstRowLastColumn="0" w:lastRowFirstColumn="0" w:lastRowLastColumn="0"/>
            <w:tcW w:w="3544" w:type="dxa"/>
            <w:tcBorders>
              <w:top w:val="single" w:sz="8" w:space="0" w:color="4F81BD" w:themeColor="accent1"/>
              <w:left w:val="nil"/>
              <w:bottom w:val="single" w:sz="4" w:space="0" w:color="B8CCE4" w:themeColor="accent1" w:themeTint="66"/>
              <w:right w:val="dotted" w:sz="4" w:space="0" w:color="B8CCE4" w:themeColor="accent1" w:themeTint="66"/>
            </w:tcBorders>
          </w:tcPr>
          <w:p w14:paraId="4501305E" w14:textId="5866D25E" w:rsidR="00DD352F" w:rsidRPr="00585857" w:rsidRDefault="008E36C6" w:rsidP="00484AF1">
            <w:pPr>
              <w:pStyle w:val="Tabletext"/>
              <w:rPr>
                <w:b w:val="0"/>
                <w:bCs w:val="0"/>
                <w:lang w:val="es-ES_tradnl"/>
              </w:rPr>
            </w:pPr>
            <w:bookmarkStart w:id="291" w:name="lt_pId730"/>
            <w:r w:rsidRPr="008E36C6">
              <w:rPr>
                <w:b w:val="0"/>
                <w:bCs w:val="0"/>
                <w:lang w:val="es-ES_tradnl"/>
              </w:rPr>
              <w:t>Se llevaron a cabo actividades eficaces para mejorar el acceso y la utilización de las telecomunicaciones/TIC en los PMA, los PEID, los PDSL y los países con economías en transición</w:t>
            </w:r>
            <w:r w:rsidR="00DD352F" w:rsidRPr="00585857">
              <w:rPr>
                <w:b w:val="0"/>
                <w:bCs w:val="0"/>
                <w:lang w:val="es-ES_tradnl"/>
              </w:rPr>
              <w:t>.</w:t>
            </w:r>
            <w:bookmarkEnd w:id="291"/>
          </w:p>
        </w:tc>
        <w:tc>
          <w:tcPr>
            <w:tcW w:w="8647" w:type="dxa"/>
            <w:tcBorders>
              <w:top w:val="single" w:sz="8" w:space="0" w:color="4F81BD" w:themeColor="accent1"/>
              <w:left w:val="dotted" w:sz="4" w:space="0" w:color="B8CCE4" w:themeColor="accent1" w:themeTint="66"/>
              <w:bottom w:val="single" w:sz="4" w:space="0" w:color="B8CCE4" w:themeColor="accent1" w:themeTint="66"/>
              <w:right w:val="dotted" w:sz="4" w:space="0" w:color="B8CCE4" w:themeColor="accent1" w:themeTint="66"/>
            </w:tcBorders>
          </w:tcPr>
          <w:p w14:paraId="59A96335" w14:textId="2855A2BC" w:rsidR="00DD352F" w:rsidRPr="00585857" w:rsidRDefault="008E36C6"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92" w:name="lt_pId731"/>
            <w:r>
              <w:rPr>
                <w:lang w:val="es-ES_tradnl"/>
              </w:rPr>
              <w:t xml:space="preserve">Se presentó la </w:t>
            </w:r>
            <w:r w:rsidR="00F6489D">
              <w:rPr>
                <w:lang w:val="es-ES_tradnl"/>
              </w:rPr>
              <w:t>i</w:t>
            </w:r>
            <w:r w:rsidRPr="008E36C6">
              <w:rPr>
                <w:lang w:val="es-ES_tradnl"/>
              </w:rPr>
              <w:t>niciativa sobre política y reglamentación para el África Digital (PRIDA)</w:t>
            </w:r>
            <w:r w:rsidR="00DD352F" w:rsidRPr="00585857">
              <w:rPr>
                <w:lang w:val="es-ES_tradnl"/>
              </w:rPr>
              <w:t xml:space="preserve"> </w:t>
            </w:r>
            <w:r>
              <w:rPr>
                <w:lang w:val="es-ES_tradnl"/>
              </w:rPr>
              <w:t xml:space="preserve">para fomentar una banda ancha inalámbrica universalmente accesible y asequible en todo el continente africano a fin de desbloquear los futuros beneficios de los servicios basados en Internet. </w:t>
            </w:r>
            <w:bookmarkStart w:id="293" w:name="lt_pId732"/>
            <w:bookmarkEnd w:id="292"/>
            <w:r>
              <w:rPr>
                <w:lang w:val="es-ES_tradnl"/>
              </w:rPr>
              <w:t>E</w:t>
            </w:r>
            <w:r w:rsidRPr="008E36C6">
              <w:rPr>
                <w:lang w:val="es-ES_tradnl"/>
              </w:rPr>
              <w:t>l proyecto de Conectividad en Escuelas de la UIT y UNICEF</w:t>
            </w:r>
            <w:r>
              <w:rPr>
                <w:lang w:val="es-ES_tradnl"/>
              </w:rPr>
              <w:t xml:space="preserve">, también conocido como la iniciativa </w:t>
            </w:r>
            <w:r w:rsidR="00F55308">
              <w:rPr>
                <w:lang w:val="es-ES_tradnl"/>
              </w:rPr>
              <w:t>"</w:t>
            </w:r>
            <w:r w:rsidR="00DD352F" w:rsidRPr="00585857">
              <w:rPr>
                <w:lang w:val="es-ES_tradnl"/>
              </w:rPr>
              <w:t>GIGA</w:t>
            </w:r>
            <w:r w:rsidR="00F55308">
              <w:rPr>
                <w:lang w:val="es-ES_tradnl"/>
              </w:rPr>
              <w:t>"</w:t>
            </w:r>
            <w:r w:rsidR="00DD352F" w:rsidRPr="00585857">
              <w:rPr>
                <w:lang w:val="es-ES_tradnl"/>
              </w:rPr>
              <w:t xml:space="preserve"> </w:t>
            </w:r>
            <w:r>
              <w:rPr>
                <w:lang w:val="es-ES_tradnl"/>
              </w:rPr>
              <w:t>se presentó durante la Asamblea General de las Naciones Unidas en el mes de septiembre.</w:t>
            </w:r>
            <w:r w:rsidR="00DD352F" w:rsidRPr="00585857">
              <w:rPr>
                <w:lang w:val="es-ES_tradnl"/>
              </w:rPr>
              <w:t xml:space="preserve"> </w:t>
            </w:r>
            <w:bookmarkStart w:id="294" w:name="lt_pId733"/>
            <w:bookmarkEnd w:id="293"/>
            <w:r w:rsidR="00484AF1" w:rsidRPr="00585857">
              <w:rPr>
                <w:lang w:val="es-ES_tradnl"/>
              </w:rPr>
              <w:t>La iniciativa GIGA tiene por objeto facilitar la conectividad de todas las escuelas del mundo. Alrededor de 3 700 millones de personas, de las cuales 360</w:t>
            </w:r>
            <w:r w:rsidR="00CE59B0">
              <w:rPr>
                <w:lang w:val="es-ES_tradnl"/>
              </w:rPr>
              <w:t> </w:t>
            </w:r>
            <w:r w:rsidR="00484AF1" w:rsidRPr="00585857">
              <w:rPr>
                <w:lang w:val="es-ES_tradnl"/>
              </w:rPr>
              <w:t>millones son jóvenes, no disponen de acceso a Internet.</w:t>
            </w:r>
            <w:bookmarkEnd w:id="294"/>
          </w:p>
        </w:tc>
        <w:tc>
          <w:tcPr>
            <w:tcW w:w="1757" w:type="dxa"/>
            <w:tcBorders>
              <w:top w:val="single" w:sz="8" w:space="0" w:color="4F81BD" w:themeColor="accent1"/>
              <w:left w:val="dotted" w:sz="4" w:space="0" w:color="B8CCE4" w:themeColor="accent1" w:themeTint="66"/>
              <w:bottom w:val="single" w:sz="4" w:space="0" w:color="B8CCE4" w:themeColor="accent1" w:themeTint="66"/>
              <w:right w:val="nil"/>
            </w:tcBorders>
          </w:tcPr>
          <w:p w14:paraId="524FD905" w14:textId="11CA92FD" w:rsidR="00DD352F" w:rsidRPr="00CE59B0" w:rsidRDefault="00B625A1" w:rsidP="00484AF1">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95" w:name="lt_pId735"/>
            <w:r w:rsidRPr="00CE59B0">
              <w:rPr>
                <w:lang w:val="es-ES"/>
              </w:rPr>
              <w:t>Se mitigaron los riesgos potenciales ya que se puso a disposición un nivel de recursos suficiente.</w:t>
            </w:r>
            <w:bookmarkEnd w:id="295"/>
          </w:p>
        </w:tc>
      </w:tr>
      <w:tr w:rsidR="00DD352F" w:rsidRPr="008F43A8" w14:paraId="324DFE56" w14:textId="77777777" w:rsidTr="0033733F">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70D23C42" w14:textId="5C5E4E03" w:rsidR="00DD352F" w:rsidRPr="00585857" w:rsidRDefault="008E36C6" w:rsidP="00484AF1">
            <w:pPr>
              <w:pStyle w:val="Tabletext"/>
              <w:rPr>
                <w:b w:val="0"/>
                <w:bCs w:val="0"/>
                <w:lang w:val="es-ES_tradnl"/>
              </w:rPr>
            </w:pPr>
            <w:bookmarkStart w:id="296" w:name="lt_pId736"/>
            <w:r w:rsidRPr="008E36C6">
              <w:rPr>
                <w:b w:val="0"/>
                <w:bCs w:val="0"/>
                <w:lang w:val="es-ES_tradnl"/>
              </w:rPr>
              <w:t xml:space="preserve">Buen nivel de apoyo para </w:t>
            </w:r>
            <w:r>
              <w:rPr>
                <w:b w:val="0"/>
                <w:bCs w:val="0"/>
                <w:lang w:val="es-ES_tradnl"/>
              </w:rPr>
              <w:t>m</w:t>
            </w:r>
            <w:r w:rsidRPr="008E36C6">
              <w:rPr>
                <w:b w:val="0"/>
                <w:bCs w:val="0"/>
                <w:lang w:val="es-ES_tradnl"/>
              </w:rPr>
              <w:t>ejorar la capacidad de los miembros de la UIT mediante el aprovechamiento y la utilización de nuevas tecnologías</w:t>
            </w:r>
            <w:r w:rsidR="00DD352F" w:rsidRPr="00585857">
              <w:rPr>
                <w:b w:val="0"/>
                <w:bCs w:val="0"/>
                <w:lang w:val="es-ES_tradnl"/>
              </w:rPr>
              <w:t>.</w:t>
            </w:r>
            <w:bookmarkEnd w:id="296"/>
          </w:p>
        </w:tc>
        <w:tc>
          <w:tcPr>
            <w:tcW w:w="8647"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4C5EA41D" w14:textId="56116382" w:rsidR="00DD352F" w:rsidRPr="00585857" w:rsidRDefault="00B625A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297" w:name="lt_pId737"/>
            <w:r>
              <w:rPr>
                <w:lang w:val="es-ES_tradnl"/>
              </w:rPr>
              <w:t>Se organizó un taller sobre la sociedad inteligente a fin de generalizar la comprensión de los conceptos, los requisitos y las oportunidades para aprovechar nuevas tecnologías como IoT, la inteligencia artificial, los macrodatos, etc.</w:t>
            </w:r>
            <w:bookmarkEnd w:id="297"/>
          </w:p>
        </w:tc>
        <w:tc>
          <w:tcPr>
            <w:tcW w:w="1757"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65CADB5A" w14:textId="74235847" w:rsidR="00DD352F" w:rsidRPr="008F43A8" w:rsidRDefault="00B625A1" w:rsidP="00484AF1">
            <w:pPr>
              <w:pStyle w:val="Tabletext"/>
              <w:cnfStyle w:val="000000000000" w:firstRow="0" w:lastRow="0" w:firstColumn="0" w:lastColumn="0" w:oddVBand="0" w:evenVBand="0" w:oddHBand="0" w:evenHBand="0" w:firstRowFirstColumn="0" w:firstRowLastColumn="0" w:lastRowFirstColumn="0" w:lastRowLastColumn="0"/>
              <w:rPr>
                <w:lang w:val="es-ES"/>
              </w:rPr>
            </w:pPr>
            <w:bookmarkStart w:id="298" w:name="lt_pId738"/>
            <w:r w:rsidRPr="008F43A8">
              <w:rPr>
                <w:lang w:val="es-ES"/>
              </w:rPr>
              <w:t>El apoyo/compromiso de los países y las partes interesadas fue apropiado.</w:t>
            </w:r>
            <w:bookmarkEnd w:id="298"/>
          </w:p>
        </w:tc>
      </w:tr>
      <w:tr w:rsidR="00DD352F" w:rsidRPr="008F43A8" w14:paraId="68DD49AE" w14:textId="77777777" w:rsidTr="0033733F">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7522FFA2" w14:textId="4C53F465" w:rsidR="00DD352F" w:rsidRPr="00B625A1" w:rsidRDefault="00B625A1" w:rsidP="00B625A1">
            <w:pPr>
              <w:pStyle w:val="Tabletext"/>
              <w:rPr>
                <w:lang w:val="es-ES_tradnl"/>
              </w:rPr>
            </w:pPr>
            <w:bookmarkStart w:id="299" w:name="lt_pId739"/>
            <w:r w:rsidRPr="00B625A1">
              <w:rPr>
                <w:b w:val="0"/>
                <w:bCs w:val="0"/>
                <w:lang w:val="es-ES_tradnl"/>
              </w:rPr>
              <w:t>Contribución al fortalecimiento de la capacidad de los miembros de la UIT para elaborar estrategias, políticas y prácticas de inclusión digital, en particular para el empoderamiento de las mujeres y las niñas, las personas con discapacidad y otras personas con necesidades espec</w:t>
            </w:r>
            <w:r w:rsidR="00E2673A">
              <w:rPr>
                <w:b w:val="0"/>
                <w:bCs w:val="0"/>
                <w:lang w:val="es-ES_tradnl"/>
              </w:rPr>
              <w:t>iales</w:t>
            </w:r>
            <w:r w:rsidR="00DD352F" w:rsidRPr="00585857">
              <w:rPr>
                <w:b w:val="0"/>
                <w:bCs w:val="0"/>
                <w:lang w:val="es-ES_tradnl"/>
              </w:rPr>
              <w:t>.</w:t>
            </w:r>
            <w:bookmarkEnd w:id="299"/>
          </w:p>
        </w:tc>
        <w:tc>
          <w:tcPr>
            <w:tcW w:w="8647"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5AB5D440" w14:textId="400EE193" w:rsidR="00DD352F" w:rsidRPr="00585857" w:rsidRDefault="00484AF1" w:rsidP="00805497">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300" w:name="lt_pId740"/>
            <w:r w:rsidRPr="00585857">
              <w:rPr>
                <w:lang w:val="es-ES_tradnl"/>
              </w:rPr>
              <w:t xml:space="preserve">El portal de la Academia de la UIT se ha convertido en una herramienta para la inclusión digital, dada la integración de ofertas de formación sobre accesibilidad a las TIC y cursos dirigidos a comunidades indígenas y marginadas. </w:t>
            </w:r>
            <w:bookmarkStart w:id="301" w:name="lt_pId741"/>
            <w:bookmarkEnd w:id="300"/>
            <w:r w:rsidR="00B625A1">
              <w:rPr>
                <w:lang w:val="es-ES_tradnl"/>
              </w:rPr>
              <w:t>La Academia de la UIT registró 2</w:t>
            </w:r>
            <w:r w:rsidR="000A6517">
              <w:rPr>
                <w:lang w:val="es-ES_tradnl"/>
              </w:rPr>
              <w:t> </w:t>
            </w:r>
            <w:r w:rsidR="00B625A1">
              <w:rPr>
                <w:lang w:val="es-ES_tradnl"/>
              </w:rPr>
              <w:t>000</w:t>
            </w:r>
            <w:r w:rsidR="000A6517">
              <w:rPr>
                <w:lang w:val="es-ES_tradnl"/>
              </w:rPr>
              <w:t> </w:t>
            </w:r>
            <w:r w:rsidR="00B625A1">
              <w:rPr>
                <w:lang w:val="es-ES_tradnl"/>
              </w:rPr>
              <w:t>usuarios adicionales en 2019, para alcanzar un total de más de 10</w:t>
            </w:r>
            <w:r w:rsidR="000A6517">
              <w:rPr>
                <w:lang w:val="es-ES_tradnl"/>
              </w:rPr>
              <w:t> </w:t>
            </w:r>
            <w:r w:rsidR="00B625A1">
              <w:rPr>
                <w:lang w:val="es-ES_tradnl"/>
              </w:rPr>
              <w:t xml:space="preserve">200 usuarios, y ya son 61 los países de todo el mundo que ya están utilizando la plataforma de la Academia de la UIT. </w:t>
            </w:r>
            <w:bookmarkStart w:id="302" w:name="lt_pId742"/>
            <w:bookmarkEnd w:id="301"/>
            <w:r w:rsidR="00DD352F" w:rsidRPr="00585857">
              <w:rPr>
                <w:lang w:val="es-ES_tradnl"/>
              </w:rPr>
              <w:t xml:space="preserve">102 </w:t>
            </w:r>
            <w:r w:rsidR="00B625A1">
              <w:rPr>
                <w:lang w:val="es-ES_tradnl"/>
              </w:rPr>
              <w:t xml:space="preserve">países celebraron el Día de las Niñas en las TIC en 2019. </w:t>
            </w:r>
            <w:bookmarkStart w:id="303" w:name="lt_pId743"/>
            <w:bookmarkEnd w:id="302"/>
            <w:r w:rsidR="00B625A1">
              <w:rPr>
                <w:lang w:val="es-ES_tradnl"/>
              </w:rPr>
              <w:t>Número de miembros conocedores de, formados o asesorados en relación con</w:t>
            </w:r>
            <w:r w:rsidR="00E2673A">
              <w:rPr>
                <w:lang w:val="es-ES_tradnl"/>
              </w:rPr>
              <w:t>,</w:t>
            </w:r>
            <w:r w:rsidR="00B625A1">
              <w:rPr>
                <w:lang w:val="es-ES_tradnl"/>
              </w:rPr>
              <w:t xml:space="preserve"> las políticas, estrategias y directrices de inclusión digital.</w:t>
            </w:r>
            <w:bookmarkEnd w:id="303"/>
            <w:r w:rsidR="00B625A1">
              <w:rPr>
                <w:lang w:val="es-ES_tradnl"/>
              </w:rPr>
              <w:t xml:space="preserve"> Se celebraron los premios a los Empresarios IGUALES e IGUALES en la tecnología en 2019.</w:t>
            </w:r>
          </w:p>
        </w:tc>
        <w:tc>
          <w:tcPr>
            <w:tcW w:w="1757"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0C9C7265" w14:textId="77777777" w:rsidR="00DD352F" w:rsidRPr="008F43A8" w:rsidRDefault="00DD352F" w:rsidP="00484AF1">
            <w:pPr>
              <w:pStyle w:val="Tabletext"/>
              <w:cnfStyle w:val="000000000000" w:firstRow="0" w:lastRow="0" w:firstColumn="0" w:lastColumn="0" w:oddVBand="0" w:evenVBand="0" w:oddHBand="0" w:evenHBand="0" w:firstRowFirstColumn="0" w:firstRowLastColumn="0" w:lastRowFirstColumn="0" w:lastRowLastColumn="0"/>
              <w:rPr>
                <w:lang w:val="es-ES"/>
              </w:rPr>
            </w:pPr>
          </w:p>
        </w:tc>
      </w:tr>
      <w:tr w:rsidR="00DD352F" w:rsidRPr="008F43A8" w14:paraId="604801CD" w14:textId="77777777" w:rsidTr="00F55308">
        <w:trPr>
          <w:cantSplit/>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B8CCE4" w:themeColor="accent1" w:themeTint="66"/>
              <w:left w:val="nil"/>
              <w:bottom w:val="single" w:sz="4" w:space="0" w:color="B8CCE4" w:themeColor="accent1" w:themeTint="66"/>
              <w:right w:val="dotted" w:sz="4" w:space="0" w:color="B8CCE4" w:themeColor="accent1" w:themeTint="66"/>
            </w:tcBorders>
          </w:tcPr>
          <w:p w14:paraId="0C6092DF" w14:textId="3A753E88" w:rsidR="00DD352F" w:rsidRPr="00585857" w:rsidRDefault="00B625A1" w:rsidP="00484AF1">
            <w:pPr>
              <w:pStyle w:val="Tabletext"/>
              <w:rPr>
                <w:b w:val="0"/>
                <w:bCs w:val="0"/>
                <w:lang w:val="es-ES_tradnl"/>
              </w:rPr>
            </w:pPr>
            <w:bookmarkStart w:id="304" w:name="lt_pId745"/>
            <w:r>
              <w:rPr>
                <w:b w:val="0"/>
                <w:bCs w:val="0"/>
                <w:lang w:val="es-ES_tradnl"/>
              </w:rPr>
              <w:t>Mejora</w:t>
            </w:r>
            <w:r w:rsidRPr="00B625A1">
              <w:rPr>
                <w:b w:val="0"/>
                <w:bCs w:val="0"/>
                <w:lang w:val="es-ES_tradnl"/>
              </w:rPr>
              <w:t xml:space="preserve"> de la capacidad de los miembros de la UIT para elaborar estrategias y soluciones de telecomunicaciones/TIC sobre la adaptación al cambio climático y la atenuación de sus efectos y la utilización de energía verde/renovable</w:t>
            </w:r>
            <w:r w:rsidR="00DD352F" w:rsidRPr="00585857">
              <w:rPr>
                <w:b w:val="0"/>
                <w:bCs w:val="0"/>
                <w:lang w:val="es-ES_tradnl"/>
              </w:rPr>
              <w:t>.</w:t>
            </w:r>
            <w:bookmarkEnd w:id="304"/>
          </w:p>
        </w:tc>
        <w:tc>
          <w:tcPr>
            <w:tcW w:w="8647" w:type="dxa"/>
            <w:tcBorders>
              <w:top w:val="single" w:sz="4" w:space="0" w:color="B8CCE4" w:themeColor="accent1" w:themeTint="66"/>
              <w:left w:val="dotted" w:sz="4" w:space="0" w:color="B8CCE4" w:themeColor="accent1" w:themeTint="66"/>
              <w:bottom w:val="single" w:sz="4" w:space="0" w:color="B8CCE4" w:themeColor="accent1" w:themeTint="66"/>
              <w:right w:val="dotted" w:sz="4" w:space="0" w:color="B8CCE4" w:themeColor="accent1" w:themeTint="66"/>
            </w:tcBorders>
          </w:tcPr>
          <w:p w14:paraId="6FEF35BF" w14:textId="42620C94" w:rsidR="00DD352F" w:rsidRPr="00585857" w:rsidRDefault="00290CF4"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305" w:name="lt_pId746"/>
            <w:r w:rsidRPr="00290CF4">
              <w:rPr>
                <w:lang w:val="es-ES_tradnl"/>
              </w:rPr>
              <w:t>Como importante iniciativa en el Caribe, en colaboración con organismo</w:t>
            </w:r>
            <w:r>
              <w:rPr>
                <w:lang w:val="es-ES_tradnl"/>
              </w:rPr>
              <w:t>s</w:t>
            </w:r>
            <w:r w:rsidRPr="00290CF4">
              <w:rPr>
                <w:lang w:val="es-ES_tradnl"/>
              </w:rPr>
              <w:t xml:space="preserve"> regulador</w:t>
            </w:r>
            <w:r>
              <w:rPr>
                <w:lang w:val="es-ES_tradnl"/>
              </w:rPr>
              <w:t>es</w:t>
            </w:r>
            <w:r w:rsidRPr="00290CF4">
              <w:rPr>
                <w:lang w:val="es-ES_tradnl"/>
              </w:rPr>
              <w:t xml:space="preserve"> regional</w:t>
            </w:r>
            <w:r>
              <w:rPr>
                <w:lang w:val="es-ES_tradnl"/>
              </w:rPr>
              <w:t>es</w:t>
            </w:r>
            <w:r w:rsidRPr="00290CF4">
              <w:rPr>
                <w:lang w:val="es-ES_tradnl"/>
              </w:rPr>
              <w:t>, los Ministerios de Educación y las ONG, se intensificó la sensibilización sobre los efectos negativos del cambio climático mediante la plantación de árboles en muchas escuelas de las islas del Caribe durante las celebraciones del Día de las Niñas en las TIC en</w:t>
            </w:r>
            <w:r w:rsidR="00F6489D">
              <w:rPr>
                <w:lang w:val="es-ES_tradnl"/>
              </w:rPr>
              <w:t> </w:t>
            </w:r>
            <w:r w:rsidRPr="00290CF4">
              <w:rPr>
                <w:lang w:val="es-ES_tradnl"/>
              </w:rPr>
              <w:t>2019.</w:t>
            </w:r>
            <w:r>
              <w:rPr>
                <w:lang w:val="es-ES_tradnl"/>
              </w:rPr>
              <w:t xml:space="preserve"> </w:t>
            </w:r>
            <w:bookmarkStart w:id="306" w:name="lt_pId747"/>
            <w:bookmarkEnd w:id="305"/>
            <w:r>
              <w:rPr>
                <w:lang w:val="es-ES_tradnl"/>
              </w:rPr>
              <w:t>Se celebró un</w:t>
            </w:r>
            <w:r w:rsidRPr="00290CF4">
              <w:rPr>
                <w:lang w:val="es-ES_tradnl"/>
              </w:rPr>
              <w:t xml:space="preserve"> </w:t>
            </w:r>
            <w:r w:rsidR="00F6489D">
              <w:rPr>
                <w:lang w:val="es-ES_tradnl"/>
              </w:rPr>
              <w:t>t</w:t>
            </w:r>
            <w:r w:rsidRPr="00290CF4">
              <w:rPr>
                <w:lang w:val="es-ES_tradnl"/>
              </w:rPr>
              <w:t xml:space="preserve">aller sobre "TIC de vanguardia para la acción climática" </w:t>
            </w:r>
            <w:r>
              <w:rPr>
                <w:lang w:val="es-ES_tradnl"/>
              </w:rPr>
              <w:t>en el contexto de la Comisión de Estudio 2 del UIT-D sobre las TIC y el cambio climático.</w:t>
            </w:r>
            <w:bookmarkEnd w:id="306"/>
          </w:p>
          <w:p w14:paraId="46EDDE31" w14:textId="20713AF7" w:rsidR="00DD352F" w:rsidRPr="00585857" w:rsidRDefault="00290CF4"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307" w:name="lt_pId748"/>
            <w:r>
              <w:rPr>
                <w:lang w:val="es-ES_tradnl"/>
              </w:rPr>
              <w:t>L</w:t>
            </w:r>
            <w:r w:rsidRPr="00290CF4">
              <w:rPr>
                <w:lang w:val="es-ES_tradnl"/>
              </w:rPr>
              <w:t>a Alianza Mundial para el Control Estadístico de los Residuos Electrónicos (GESP)</w:t>
            </w:r>
            <w:r>
              <w:rPr>
                <w:lang w:val="es-ES_tradnl"/>
              </w:rPr>
              <w:t xml:space="preserve"> presentó su portal de fuente abierta en línea en la dirección </w:t>
            </w:r>
            <w:r w:rsidR="00DD352F" w:rsidRPr="00585857">
              <w:rPr>
                <w:lang w:val="es-ES_tradnl"/>
              </w:rPr>
              <w:t xml:space="preserve">globalewaste.org </w:t>
            </w:r>
            <w:r>
              <w:rPr>
                <w:lang w:val="es-ES_tradnl"/>
              </w:rPr>
              <w:t>donde se ponen a disposición los datos y estadísticas mundiales en materia de residuos electrónicos</w:t>
            </w:r>
            <w:r w:rsidR="00DD352F" w:rsidRPr="00585857">
              <w:rPr>
                <w:lang w:val="es-ES_tradnl"/>
              </w:rPr>
              <w:t>.</w:t>
            </w:r>
            <w:bookmarkEnd w:id="307"/>
          </w:p>
        </w:tc>
        <w:tc>
          <w:tcPr>
            <w:tcW w:w="1757" w:type="dxa"/>
            <w:tcBorders>
              <w:top w:val="single" w:sz="4" w:space="0" w:color="B8CCE4" w:themeColor="accent1" w:themeTint="66"/>
              <w:left w:val="dotted" w:sz="4" w:space="0" w:color="B8CCE4" w:themeColor="accent1" w:themeTint="66"/>
              <w:bottom w:val="single" w:sz="4" w:space="0" w:color="B8CCE4" w:themeColor="accent1" w:themeTint="66"/>
              <w:right w:val="nil"/>
            </w:tcBorders>
          </w:tcPr>
          <w:p w14:paraId="2E71D6BE" w14:textId="77777777" w:rsidR="00DD352F" w:rsidRPr="00CE59B0" w:rsidRDefault="00DD352F" w:rsidP="00484AF1">
            <w:pPr>
              <w:pStyle w:val="Tabletext"/>
              <w:cnfStyle w:val="000000000000" w:firstRow="0" w:lastRow="0" w:firstColumn="0" w:lastColumn="0" w:oddVBand="0" w:evenVBand="0" w:oddHBand="0" w:evenHBand="0" w:firstRowFirstColumn="0" w:firstRowLastColumn="0" w:lastRowFirstColumn="0" w:lastRowLastColumn="0"/>
              <w:rPr>
                <w:lang w:val="es-ES"/>
              </w:rPr>
            </w:pPr>
          </w:p>
        </w:tc>
      </w:tr>
    </w:tbl>
    <w:p w14:paraId="7376CF5E" w14:textId="316E400B" w:rsidR="00DD352F" w:rsidRPr="00585857" w:rsidRDefault="007A5EE9" w:rsidP="00484AF1">
      <w:pPr>
        <w:pStyle w:val="Headingb"/>
        <w:spacing w:after="120"/>
        <w:rPr>
          <w:i/>
          <w:iCs/>
          <w:lang w:val="es-ES_tradnl"/>
        </w:rPr>
      </w:pPr>
      <w:r>
        <w:rPr>
          <w:i/>
          <w:iCs/>
          <w:lang w:val="es-ES_tradnl"/>
        </w:rPr>
        <w:lastRenderedPageBreak/>
        <w:t>Declaración de los resultados previstos, la medición y los indicadores de riesgo de 2021</w:t>
      </w:r>
    </w:p>
    <w:tbl>
      <w:tblPr>
        <w:tblStyle w:val="GridTable1Light-Accent1"/>
        <w:tblW w:w="0" w:type="auto"/>
        <w:tblLook w:val="04A0" w:firstRow="1" w:lastRow="0" w:firstColumn="1" w:lastColumn="0" w:noHBand="0" w:noVBand="1"/>
      </w:tblPr>
      <w:tblGrid>
        <w:gridCol w:w="4649"/>
        <w:gridCol w:w="5699"/>
        <w:gridCol w:w="3600"/>
      </w:tblGrid>
      <w:tr w:rsidR="00DD352F" w:rsidRPr="00873749" w14:paraId="4F1D416B" w14:textId="77777777" w:rsidTr="00F553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9" w:type="dxa"/>
            <w:tcBorders>
              <w:top w:val="nil"/>
              <w:left w:val="nil"/>
              <w:bottom w:val="single" w:sz="8" w:space="0" w:color="4F81BD" w:themeColor="accent1"/>
              <w:right w:val="dotted" w:sz="4" w:space="0" w:color="B8CCE4" w:themeColor="accent1" w:themeTint="66"/>
            </w:tcBorders>
          </w:tcPr>
          <w:p w14:paraId="27643548" w14:textId="03E2E4E8" w:rsidR="00DD352F" w:rsidRPr="00873749" w:rsidRDefault="00DD352F" w:rsidP="00484AF1">
            <w:pPr>
              <w:pStyle w:val="Tablehead"/>
              <w:rPr>
                <w:b/>
                <w:i/>
                <w:iCs/>
                <w:lang w:val="es-ES_tradnl"/>
              </w:rPr>
            </w:pPr>
            <w:r w:rsidRPr="00873749">
              <w:rPr>
                <w:b/>
                <w:i/>
                <w:iCs/>
                <w:lang w:val="es-ES_tradnl"/>
              </w:rPr>
              <w:t>Resultados</w:t>
            </w:r>
          </w:p>
        </w:tc>
        <w:tc>
          <w:tcPr>
            <w:tcW w:w="5699" w:type="dxa"/>
            <w:tcBorders>
              <w:top w:val="nil"/>
              <w:left w:val="dotted" w:sz="4" w:space="0" w:color="B8CCE4" w:themeColor="accent1" w:themeTint="66"/>
              <w:bottom w:val="single" w:sz="8" w:space="0" w:color="4F81BD" w:themeColor="accent1"/>
              <w:right w:val="dotted" w:sz="4" w:space="0" w:color="B8CCE4" w:themeColor="accent1" w:themeTint="66"/>
            </w:tcBorders>
          </w:tcPr>
          <w:p w14:paraId="4A5CC8AC" w14:textId="34400F7E" w:rsidR="00DD352F" w:rsidRPr="00873749" w:rsidRDefault="00DD352F" w:rsidP="00484AF1">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 de resultados</w:t>
            </w:r>
          </w:p>
        </w:tc>
        <w:tc>
          <w:tcPr>
            <w:tcW w:w="3600" w:type="dxa"/>
            <w:tcBorders>
              <w:top w:val="nil"/>
              <w:left w:val="dotted" w:sz="4" w:space="0" w:color="B8CCE4" w:themeColor="accent1" w:themeTint="66"/>
              <w:bottom w:val="single" w:sz="8" w:space="0" w:color="4F81BD" w:themeColor="accent1"/>
              <w:right w:val="nil"/>
            </w:tcBorders>
          </w:tcPr>
          <w:p w14:paraId="648B4D31" w14:textId="58B0A77B" w:rsidR="00DD352F" w:rsidRPr="00873749" w:rsidRDefault="008A066E" w:rsidP="00484AF1">
            <w:pPr>
              <w:pStyle w:val="Tablehead"/>
              <w:cnfStyle w:val="100000000000" w:firstRow="1" w:lastRow="0" w:firstColumn="0" w:lastColumn="0" w:oddVBand="0" w:evenVBand="0" w:oddHBand="0" w:evenHBand="0" w:firstRowFirstColumn="0" w:firstRowLastColumn="0" w:lastRowFirstColumn="0" w:lastRowLastColumn="0"/>
              <w:rPr>
                <w:b/>
                <w:i/>
                <w:iCs/>
                <w:lang w:val="es-ES_tradnl"/>
              </w:rPr>
            </w:pPr>
            <w:r w:rsidRPr="00873749">
              <w:rPr>
                <w:b/>
                <w:i/>
                <w:iCs/>
                <w:lang w:val="es-ES_tradnl"/>
              </w:rPr>
              <w:t>Indicadores de riesgo</w:t>
            </w:r>
          </w:p>
        </w:tc>
      </w:tr>
      <w:tr w:rsidR="00DD352F" w:rsidRPr="008F43A8" w14:paraId="182C8117"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30637FF0" w14:textId="729428A9" w:rsidR="00DD352F" w:rsidRPr="00585857" w:rsidRDefault="00484AF1" w:rsidP="00484AF1">
            <w:pPr>
              <w:pStyle w:val="Tabletext"/>
              <w:rPr>
                <w:b w:val="0"/>
                <w:bCs w:val="0"/>
                <w:lang w:val="es-ES_tradnl"/>
              </w:rPr>
            </w:pPr>
            <w:r w:rsidRPr="00585857">
              <w:rPr>
                <w:b w:val="0"/>
                <w:bCs w:val="0"/>
                <w:lang w:val="es-ES_tradnl"/>
              </w:rPr>
              <w:t>Mejora del acceso y la utilización de las telecomunicaciones/TIC en los países menos adelantados (PMA), los pequeños Estados insulares en desarrollo (PEID), los países en desarrollo sin litoral (PDSL) y los países con economías en transición.</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3DFA495B" w14:textId="77777777" w:rsidR="00484AF1"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han recibido asistencia intensiva tras las acciones de la BDT y han mejorado la conectividad, disponibilidad y asequibilidad de las telecomunicaciones/TIC.</w:t>
            </w:r>
          </w:p>
          <w:p w14:paraId="6ADA6E71" w14:textId="45DCFA7B" w:rsidR="00DD352F"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países que han recibido asistencia tras las acciones de la BDT, incluyendo el número de becas solicitadas y el número de becas concedidas.</w:t>
            </w:r>
          </w:p>
        </w:tc>
        <w:tc>
          <w:tcPr>
            <w:tcW w:w="3600" w:type="dxa"/>
            <w:tcBorders>
              <w:top w:val="single" w:sz="8" w:space="0" w:color="4F81BD" w:themeColor="accent1"/>
              <w:left w:val="dotted" w:sz="4" w:space="0" w:color="4F81BD" w:themeColor="accent1"/>
              <w:bottom w:val="nil"/>
              <w:right w:val="nil"/>
            </w:tcBorders>
          </w:tcPr>
          <w:p w14:paraId="1F945278" w14:textId="1865C61A" w:rsidR="00DD352F"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versatilidad, agilidad y disposición de la fuerza laboral para adaptarse a la evolución de las necesidades</w:t>
            </w:r>
            <w:r w:rsidR="00CE59B0">
              <w:rPr>
                <w:lang w:val="es-ES_tradnl"/>
              </w:rPr>
              <w:t>.</w:t>
            </w:r>
          </w:p>
        </w:tc>
      </w:tr>
      <w:tr w:rsidR="00DD352F" w:rsidRPr="008F43A8" w14:paraId="48D6356C" w14:textId="77777777" w:rsidTr="0033733F">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7E610B5F" w14:textId="35E9B233" w:rsidR="00DD352F" w:rsidRPr="00585857" w:rsidRDefault="00484AF1" w:rsidP="00484AF1">
            <w:pPr>
              <w:pStyle w:val="Tabletext"/>
              <w:rPr>
                <w:b w:val="0"/>
                <w:bCs w:val="0"/>
                <w:lang w:val="es-ES_tradnl"/>
              </w:rPr>
            </w:pPr>
            <w:r w:rsidRPr="00585857">
              <w:rPr>
                <w:b w:val="0"/>
                <w:bCs w:val="0"/>
                <w:lang w:val="es-ES_tradnl"/>
              </w:rPr>
              <w:t xml:space="preserve">Mayor capacidad de los </w:t>
            </w:r>
            <w:r w:rsidR="00F6489D">
              <w:rPr>
                <w:b w:val="0"/>
                <w:bCs w:val="0"/>
                <w:lang w:val="es-ES_tradnl"/>
              </w:rPr>
              <w:t>m</w:t>
            </w:r>
            <w:r w:rsidRPr="00585857">
              <w:rPr>
                <w:b w:val="0"/>
                <w:bCs w:val="0"/>
                <w:lang w:val="es-ES_tradnl"/>
              </w:rPr>
              <w:t>iembros de la UIT para acelerar el desarrollo socioeconómico aprovechando y utilizando nuevas tecnologías y servicios y aplicaciones de telecomunicaciones/TIC.</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6BFE284E" w14:textId="227DE0E2" w:rsidR="00DD352F"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herramientas publicadas y descargadas para la elaboración de estrategias digitales sectoriales nacionales; número de informes publicados sobre prácticas idóneas en materia de telecomunicaciones/TIC para el desarrollo; número de eventos/talleres/seminarios sobre telecomunicaciones/TIC celebrados para ayudar a países en desarrollo a superar dificultades a las que hacen frente sus pueblos y sociedades y número de participantes en cada uno de ellos.</w:t>
            </w:r>
          </w:p>
        </w:tc>
        <w:tc>
          <w:tcPr>
            <w:tcW w:w="3600" w:type="dxa"/>
            <w:tcBorders>
              <w:top w:val="nil"/>
              <w:left w:val="dotted" w:sz="4" w:space="0" w:color="4F81BD" w:themeColor="accent1"/>
              <w:bottom w:val="nil"/>
              <w:right w:val="nil"/>
            </w:tcBorders>
          </w:tcPr>
          <w:p w14:paraId="2EFE6908" w14:textId="3EB1B60C" w:rsidR="00484AF1" w:rsidRPr="00585857" w:rsidRDefault="001E1E3C"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bookmarkStart w:id="308" w:name="lt_pId760"/>
            <w:r>
              <w:rPr>
                <w:lang w:val="es-ES_tradnl"/>
              </w:rPr>
              <w:t>Falta de recursos humanos y financieros</w:t>
            </w:r>
            <w:r w:rsidR="00DD352F" w:rsidRPr="00585857">
              <w:rPr>
                <w:lang w:val="es-ES_tradnl"/>
              </w:rPr>
              <w:t>.</w:t>
            </w:r>
            <w:bookmarkStart w:id="309" w:name="lt_pId761"/>
            <w:bookmarkEnd w:id="308"/>
          </w:p>
          <w:p w14:paraId="066E1988" w14:textId="3EECAAEB" w:rsidR="00DD352F"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Falta de ayuda/compromiso por parte de socios y países</w:t>
            </w:r>
            <w:bookmarkEnd w:id="309"/>
            <w:r w:rsidR="00CE59B0">
              <w:rPr>
                <w:lang w:val="es-ES_tradnl"/>
              </w:rPr>
              <w:t>.</w:t>
            </w:r>
          </w:p>
        </w:tc>
      </w:tr>
      <w:tr w:rsidR="00DD352F" w:rsidRPr="008F43A8" w14:paraId="7982F2D2" w14:textId="77777777" w:rsidTr="00F55308">
        <w:trPr>
          <w:cantSplit/>
        </w:trPr>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5CCC40DB" w14:textId="26D133B4" w:rsidR="00DD352F" w:rsidRPr="00585857" w:rsidRDefault="00484AF1" w:rsidP="00484AF1">
            <w:pPr>
              <w:pStyle w:val="Tabletext"/>
              <w:rPr>
                <w:b w:val="0"/>
                <w:bCs w:val="0"/>
                <w:lang w:val="es-ES_tradnl"/>
              </w:rPr>
            </w:pPr>
            <w:r w:rsidRPr="00585857">
              <w:rPr>
                <w:b w:val="0"/>
                <w:bCs w:val="0"/>
                <w:lang w:val="es-ES_tradnl"/>
              </w:rPr>
              <w:t xml:space="preserve">Mayor capacidad de los </w:t>
            </w:r>
            <w:r w:rsidR="00F6489D">
              <w:rPr>
                <w:b w:val="0"/>
                <w:bCs w:val="0"/>
                <w:lang w:val="es-ES_tradnl"/>
              </w:rPr>
              <w:t>m</w:t>
            </w:r>
            <w:r w:rsidRPr="00585857">
              <w:rPr>
                <w:b w:val="0"/>
                <w:bCs w:val="0"/>
                <w:lang w:val="es-ES_tradnl"/>
              </w:rPr>
              <w:t>iembros de la UIT para elaborar estrategias, políticas y prácticas en pro de la inclusión digital, en particular destinadas al empoderamiento de las mujeres y las niñas, las personas con discapacidad y las personas con necesidades especiales.</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0B34D424" w14:textId="573E0F5A" w:rsidR="00484AF1"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recursos de inclusión digital desarrollados y/o disponibles para los Miembros, incluidas publicaciones, políticas, estrategias, </w:t>
            </w:r>
            <w:r w:rsidR="00F6489D">
              <w:rPr>
                <w:lang w:val="es-ES_tradnl"/>
              </w:rPr>
              <w:t>d</w:t>
            </w:r>
            <w:r w:rsidRPr="00585857">
              <w:rPr>
                <w:lang w:val="es-ES_tradnl"/>
              </w:rPr>
              <w:t>irectrices, buenas prácticas, casos de estudio, material de formación, recursos en línea y número de visitas al sitio web de inclusión digital del UIT-D.</w:t>
            </w:r>
          </w:p>
          <w:p w14:paraId="2C42DC3E" w14:textId="607C84D5" w:rsidR="00DD352F"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 xml:space="preserve">Número de </w:t>
            </w:r>
            <w:r w:rsidR="00F6489D">
              <w:rPr>
                <w:lang w:val="es-ES_tradnl"/>
              </w:rPr>
              <w:t>m</w:t>
            </w:r>
            <w:r w:rsidRPr="00585857">
              <w:rPr>
                <w:lang w:val="es-ES_tradnl"/>
              </w:rPr>
              <w:t>iembros conscientes, formados o aconsejados sobre políticas, estrategias y directrices de inclusión digital.</w:t>
            </w:r>
          </w:p>
        </w:tc>
        <w:tc>
          <w:tcPr>
            <w:tcW w:w="3600" w:type="dxa"/>
            <w:tcBorders>
              <w:top w:val="nil"/>
              <w:left w:val="dotted" w:sz="4" w:space="0" w:color="4F81BD" w:themeColor="accent1"/>
              <w:bottom w:val="nil"/>
              <w:right w:val="nil"/>
            </w:tcBorders>
          </w:tcPr>
          <w:p w14:paraId="1C07FD09" w14:textId="77777777" w:rsidR="00DD352F" w:rsidRPr="00585857" w:rsidRDefault="00DD352F"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r w:rsidR="00DD352F" w:rsidRPr="008F43A8" w14:paraId="0F323E23" w14:textId="77777777" w:rsidTr="00F6489D">
        <w:trPr>
          <w:cantSplit/>
        </w:trPr>
        <w:tc>
          <w:tcPr>
            <w:cnfStyle w:val="001000000000" w:firstRow="0" w:lastRow="0" w:firstColumn="1" w:lastColumn="0" w:oddVBand="0" w:evenVBand="0" w:oddHBand="0" w:evenHBand="0" w:firstRowFirstColumn="0" w:firstRowLastColumn="0" w:lastRowFirstColumn="0" w:lastRowLastColumn="0"/>
            <w:tcW w:w="4649" w:type="dxa"/>
            <w:tcBorders>
              <w:top w:val="single" w:sz="8" w:space="0" w:color="4F81BD" w:themeColor="accent1"/>
              <w:left w:val="nil"/>
              <w:bottom w:val="single" w:sz="8" w:space="0" w:color="4F81BD" w:themeColor="accent1"/>
              <w:right w:val="dotted" w:sz="4" w:space="0" w:color="B8CCE4" w:themeColor="accent1" w:themeTint="66"/>
            </w:tcBorders>
          </w:tcPr>
          <w:p w14:paraId="17FAC93F" w14:textId="4EF0526D" w:rsidR="00DD352F" w:rsidRPr="00585857" w:rsidRDefault="00484AF1" w:rsidP="00484AF1">
            <w:pPr>
              <w:pStyle w:val="Tabletext"/>
              <w:rPr>
                <w:b w:val="0"/>
                <w:bCs w:val="0"/>
                <w:lang w:val="es-ES_tradnl"/>
              </w:rPr>
            </w:pPr>
            <w:r w:rsidRPr="00585857">
              <w:rPr>
                <w:b w:val="0"/>
                <w:bCs w:val="0"/>
                <w:lang w:val="es-ES_tradnl"/>
              </w:rPr>
              <w:lastRenderedPageBreak/>
              <w:t xml:space="preserve">Mayor capacidad de los </w:t>
            </w:r>
            <w:r w:rsidR="00F6489D">
              <w:rPr>
                <w:b w:val="0"/>
                <w:bCs w:val="0"/>
                <w:lang w:val="es-ES_tradnl"/>
              </w:rPr>
              <w:t>m</w:t>
            </w:r>
            <w:r w:rsidRPr="00585857">
              <w:rPr>
                <w:b w:val="0"/>
                <w:bCs w:val="0"/>
                <w:lang w:val="es-ES_tradnl"/>
              </w:rPr>
              <w:t>iembros de la UIT para elaborar estrategias y soluciones de telecomunicaciones/TIC en materia de adaptación al cambio climático y mitigación del mismo y de utilización de energías verdes/renovables.</w:t>
            </w:r>
          </w:p>
        </w:tc>
        <w:tc>
          <w:tcPr>
            <w:tcW w:w="5699" w:type="dxa"/>
            <w:tcBorders>
              <w:top w:val="single" w:sz="8" w:space="0" w:color="4F81BD" w:themeColor="accent1"/>
              <w:left w:val="dotted" w:sz="4" w:space="0" w:color="B8CCE4" w:themeColor="accent1" w:themeTint="66"/>
              <w:bottom w:val="single" w:sz="8" w:space="0" w:color="4F81BD" w:themeColor="accent1"/>
              <w:right w:val="dotted" w:sz="4" w:space="0" w:color="4F81BD" w:themeColor="accent1"/>
            </w:tcBorders>
          </w:tcPr>
          <w:p w14:paraId="002B0AA8" w14:textId="77777777" w:rsidR="00484AF1"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Estados Miembros que han recibido asistencia de la BDT para aumentar la sensibilización al impacto del cambio climático y la utilización de las telecomunicaciones/TIC para mitigar los efectos negativos.</w:t>
            </w:r>
          </w:p>
          <w:p w14:paraId="0E448C8D" w14:textId="77777777" w:rsidR="00484AF1"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Estados Miembros que han recibido asistencia de la BDT para el desarrollo de los marcos políticos y jurídicos relativos a sus estrategias sobre el cambio climático.</w:t>
            </w:r>
          </w:p>
          <w:p w14:paraId="7F024151" w14:textId="76D0B591" w:rsidR="00DD352F" w:rsidRPr="00585857" w:rsidRDefault="00484AF1"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585857">
              <w:rPr>
                <w:lang w:val="es-ES_tradnl"/>
              </w:rPr>
              <w:t>Número de Estados Miembros que han recibido asistencia de la BDT para el desarrollo de marcos políticos y jurídicos relativos a sus estrategias sobre residuos electrónicos.</w:t>
            </w:r>
          </w:p>
        </w:tc>
        <w:tc>
          <w:tcPr>
            <w:tcW w:w="3600" w:type="dxa"/>
            <w:tcBorders>
              <w:top w:val="nil"/>
              <w:left w:val="dotted" w:sz="4" w:space="0" w:color="4F81BD" w:themeColor="accent1"/>
              <w:bottom w:val="single" w:sz="8" w:space="0" w:color="4F81BD" w:themeColor="accent1"/>
              <w:right w:val="nil"/>
            </w:tcBorders>
          </w:tcPr>
          <w:p w14:paraId="1490B9BD" w14:textId="77777777" w:rsidR="00DD352F" w:rsidRPr="00585857" w:rsidRDefault="00DD352F" w:rsidP="00484AF1">
            <w:pPr>
              <w:pStyle w:val="Tabletext"/>
              <w:cnfStyle w:val="000000000000" w:firstRow="0" w:lastRow="0" w:firstColumn="0" w:lastColumn="0" w:oddVBand="0" w:evenVBand="0" w:oddHBand="0" w:evenHBand="0" w:firstRowFirstColumn="0" w:firstRowLastColumn="0" w:lastRowFirstColumn="0" w:lastRowLastColumn="0"/>
              <w:rPr>
                <w:lang w:val="es-ES_tradnl"/>
              </w:rPr>
            </w:pPr>
          </w:p>
        </w:tc>
      </w:tr>
    </w:tbl>
    <w:p w14:paraId="34197681" w14:textId="77777777" w:rsidR="00F04E0C" w:rsidRPr="00585857" w:rsidRDefault="00F04E0C" w:rsidP="0033733F">
      <w:pPr>
        <w:pStyle w:val="Reasons"/>
        <w:rPr>
          <w:lang w:val="es-ES_tradnl"/>
        </w:rPr>
      </w:pPr>
    </w:p>
    <w:p w14:paraId="52226775" w14:textId="0CE7CFBE" w:rsidR="00F04E0C" w:rsidRPr="00585857" w:rsidRDefault="00F04E0C" w:rsidP="0033733F">
      <w:pPr>
        <w:pStyle w:val="Reasons"/>
        <w:rPr>
          <w:lang w:val="es-ES_tradnl"/>
        </w:rPr>
        <w:sectPr w:rsidR="00F04E0C" w:rsidRPr="00585857" w:rsidSect="00C84240">
          <w:headerReference w:type="default" r:id="rId46"/>
          <w:headerReference w:type="first" r:id="rId47"/>
          <w:footerReference w:type="first" r:id="rId48"/>
          <w:pgSz w:w="16838" w:h="11906" w:orient="landscape" w:code="9"/>
          <w:pgMar w:top="1134" w:right="1418" w:bottom="1134" w:left="1418" w:header="709" w:footer="709" w:gutter="0"/>
          <w:cols w:space="708"/>
          <w:titlePg/>
          <w:docGrid w:linePitch="360"/>
        </w:sectPr>
      </w:pPr>
    </w:p>
    <w:p w14:paraId="4CF752A9" w14:textId="77777777" w:rsidR="008A67D4" w:rsidRPr="008A67D4" w:rsidRDefault="008A67D4" w:rsidP="008A67D4">
      <w:pPr>
        <w:rPr>
          <w:noProof/>
          <w:sz w:val="44"/>
          <w:szCs w:val="44"/>
          <w:lang w:val="es-ES_tradnl" w:eastAsia="zh-CN"/>
        </w:rPr>
      </w:pPr>
      <w:bookmarkStart w:id="310" w:name="_Toc33539612"/>
      <w:r w:rsidRPr="008A67D4">
        <w:rPr>
          <w:noProof/>
          <w:sz w:val="44"/>
          <w:szCs w:val="44"/>
          <w:lang w:val="es-ES_tradnl" w:eastAsia="zh-CN"/>
        </w:rPr>
        <w:lastRenderedPageBreak/>
        <w:t xml:space="preserve">PROYECTO </w:t>
      </w:r>
      <w:r>
        <w:rPr>
          <w:noProof/>
          <w:sz w:val="44"/>
          <w:szCs w:val="44"/>
          <w:lang w:val="es-ES_tradnl" w:eastAsia="zh-CN"/>
        </w:rPr>
        <w:br/>
      </w:r>
      <w:r w:rsidRPr="008A67D4">
        <w:rPr>
          <w:noProof/>
          <w:sz w:val="44"/>
          <w:szCs w:val="44"/>
          <w:lang w:val="es-ES_tradnl" w:eastAsia="zh-CN"/>
        </w:rPr>
        <w:t xml:space="preserve">DE PLAN OPERACIONAL </w:t>
      </w:r>
      <w:r>
        <w:rPr>
          <w:noProof/>
          <w:sz w:val="44"/>
          <w:szCs w:val="44"/>
          <w:lang w:val="es-ES_tradnl" w:eastAsia="zh-CN"/>
        </w:rPr>
        <w:br/>
      </w:r>
      <w:r w:rsidRPr="008A67D4">
        <w:rPr>
          <w:noProof/>
          <w:sz w:val="44"/>
          <w:szCs w:val="44"/>
          <w:lang w:val="es-ES_tradnl" w:eastAsia="zh-CN"/>
        </w:rPr>
        <w:t xml:space="preserve">DE LA UIT </w:t>
      </w:r>
      <w:r>
        <w:rPr>
          <w:noProof/>
          <w:sz w:val="44"/>
          <w:szCs w:val="44"/>
          <w:lang w:val="es-ES_tradnl" w:eastAsia="zh-CN"/>
        </w:rPr>
        <w:br/>
      </w:r>
      <w:r w:rsidRPr="008A67D4">
        <w:rPr>
          <w:noProof/>
          <w:sz w:val="44"/>
          <w:szCs w:val="44"/>
          <w:lang w:val="es-ES_tradnl" w:eastAsia="zh-CN"/>
        </w:rPr>
        <w:t>PARA 2021-2024</w:t>
      </w:r>
    </w:p>
    <w:p w14:paraId="472B0CD0" w14:textId="77777777" w:rsidR="008A67D4" w:rsidRPr="008A67D4" w:rsidRDefault="008A67D4" w:rsidP="008A67D4">
      <w:pPr>
        <w:spacing w:before="4560"/>
        <w:rPr>
          <w:noProof/>
          <w:color w:val="002060"/>
          <w:sz w:val="32"/>
          <w:szCs w:val="24"/>
          <w:lang w:val="es-ES_tradnl" w:eastAsia="zh-CN"/>
        </w:rPr>
      </w:pPr>
      <w:r w:rsidRPr="008A67D4">
        <w:rPr>
          <w:noProof/>
          <w:color w:val="002060"/>
          <w:sz w:val="32"/>
          <w:szCs w:val="24"/>
          <w:lang w:val="es-ES_tradnl" w:eastAsia="zh-CN"/>
        </w:rPr>
        <w:t>Síntesis</w:t>
      </w:r>
    </w:p>
    <w:p w14:paraId="59976539" w14:textId="77777777" w:rsidR="008A67D4" w:rsidRPr="008A67D4" w:rsidRDefault="008A67D4" w:rsidP="008A67D4">
      <w:pPr>
        <w:rPr>
          <w:noProof/>
          <w:color w:val="002060"/>
          <w:sz w:val="32"/>
          <w:szCs w:val="24"/>
          <w:lang w:val="es-ES_tradnl" w:eastAsia="zh-CN"/>
        </w:rPr>
      </w:pPr>
      <w:r w:rsidRPr="008A67D4">
        <w:rPr>
          <w:noProof/>
          <w:color w:val="002060"/>
          <w:sz w:val="32"/>
          <w:szCs w:val="24"/>
          <w:lang w:val="es-ES_tradnl" w:eastAsia="zh-CN"/>
        </w:rPr>
        <w:t>Objetivos</w:t>
      </w:r>
    </w:p>
    <w:p w14:paraId="2013177F" w14:textId="77777777" w:rsidR="008A67D4" w:rsidRPr="008A67D4" w:rsidRDefault="008A67D4" w:rsidP="008A67D4">
      <w:pPr>
        <w:rPr>
          <w:b/>
          <w:bCs/>
          <w:noProof/>
          <w:color w:val="002060"/>
          <w:sz w:val="32"/>
          <w:szCs w:val="24"/>
          <w:lang w:val="es-ES_tradnl" w:eastAsia="zh-CN"/>
        </w:rPr>
      </w:pPr>
      <w:r w:rsidRPr="008A67D4">
        <w:rPr>
          <w:b/>
          <w:bCs/>
          <w:noProof/>
          <w:color w:val="002060"/>
          <w:sz w:val="32"/>
          <w:szCs w:val="24"/>
          <w:lang w:val="es-ES_tradnl" w:eastAsia="zh-CN"/>
        </w:rPr>
        <w:t>Anexos</w:t>
      </w:r>
    </w:p>
    <w:p w14:paraId="5180CD87" w14:textId="6774939B" w:rsidR="003C0D95" w:rsidRPr="00585857" w:rsidRDefault="003C0D95" w:rsidP="003C0D95">
      <w:pPr>
        <w:rPr>
          <w:sz w:val="28"/>
          <w:lang w:val="es-ES_tradnl"/>
        </w:rPr>
      </w:pPr>
      <w:r w:rsidRPr="00585857">
        <w:rPr>
          <w:lang w:val="es-ES_tradnl"/>
        </w:rPr>
        <w:br w:type="page"/>
      </w:r>
    </w:p>
    <w:p w14:paraId="61EC5C57" w14:textId="48B9BBB8" w:rsidR="00DD352F" w:rsidRPr="00585857" w:rsidRDefault="00D33D25" w:rsidP="00D33D25">
      <w:pPr>
        <w:pStyle w:val="Heading1"/>
        <w:rPr>
          <w:lang w:val="es-ES_tradnl"/>
        </w:rPr>
      </w:pPr>
      <w:bookmarkStart w:id="311" w:name="_Toc33632092"/>
      <w:bookmarkStart w:id="312" w:name="_Toc33632268"/>
      <w:r w:rsidRPr="00585857">
        <w:rPr>
          <w:lang w:val="es-ES_tradnl"/>
        </w:rPr>
        <w:lastRenderedPageBreak/>
        <w:t>Parte III</w:t>
      </w:r>
      <w:r w:rsidRPr="00585857">
        <w:rPr>
          <w:lang w:val="es-ES_tradnl"/>
        </w:rPr>
        <w:tab/>
        <w:t>Anexos</w:t>
      </w:r>
      <w:bookmarkEnd w:id="310"/>
      <w:bookmarkEnd w:id="311"/>
      <w:bookmarkEnd w:id="312"/>
    </w:p>
    <w:p w14:paraId="79FC9765" w14:textId="7CAF2E24" w:rsidR="004D45B5" w:rsidRPr="00585857" w:rsidRDefault="004D45B5" w:rsidP="00D06805">
      <w:pPr>
        <w:pStyle w:val="TOC1"/>
        <w:spacing w:before="720"/>
        <w:rPr>
          <w:rFonts w:eastAsiaTheme="minorEastAsia" w:cstheme="minorBidi"/>
          <w:noProof/>
          <w:sz w:val="22"/>
          <w:szCs w:val="22"/>
          <w:lang w:val="es-ES_tradnl"/>
        </w:rPr>
      </w:pPr>
      <w:r w:rsidRPr="00585857">
        <w:rPr>
          <w:lang w:val="es-ES_tradnl"/>
        </w:rPr>
        <w:fldChar w:fldCharType="begin"/>
      </w:r>
      <w:r w:rsidRPr="00585857">
        <w:rPr>
          <w:lang w:val="es-ES_tradnl"/>
        </w:rPr>
        <w:instrText xml:space="preserve"> TOC \h \z \t "Annex_title;1" </w:instrText>
      </w:r>
      <w:r w:rsidRPr="00585857">
        <w:rPr>
          <w:lang w:val="es-ES_tradnl"/>
        </w:rPr>
        <w:fldChar w:fldCharType="separate"/>
      </w:r>
      <w:hyperlink w:anchor="_Toc33632556" w:history="1">
        <w:r w:rsidRPr="00585857">
          <w:rPr>
            <w:rStyle w:val="Hyperlink"/>
            <w:noProof/>
            <w:lang w:val="es-ES_tradnl"/>
          </w:rPr>
          <w:t>Anexo A – Atribución de recursos por Producto 2021-2024</w:t>
        </w:r>
        <w:r w:rsidRPr="00585857">
          <w:rPr>
            <w:noProof/>
            <w:webHidden/>
            <w:lang w:val="es-ES_tradnl"/>
          </w:rPr>
          <w:tab/>
        </w:r>
        <w:r w:rsidR="00D06805">
          <w:rPr>
            <w:noProof/>
            <w:webHidden/>
            <w:lang w:val="es-ES_tradnl"/>
          </w:rPr>
          <w:tab/>
        </w:r>
        <w:r w:rsidRPr="00585857">
          <w:rPr>
            <w:noProof/>
            <w:webHidden/>
            <w:lang w:val="es-ES_tradnl"/>
          </w:rPr>
          <w:fldChar w:fldCharType="begin"/>
        </w:r>
        <w:r w:rsidRPr="00585857">
          <w:rPr>
            <w:noProof/>
            <w:webHidden/>
            <w:lang w:val="es-ES_tradnl"/>
          </w:rPr>
          <w:instrText xml:space="preserve"> PAGEREF _Toc33632556 \h </w:instrText>
        </w:r>
        <w:r w:rsidRPr="00585857">
          <w:rPr>
            <w:noProof/>
            <w:webHidden/>
            <w:lang w:val="es-ES_tradnl"/>
          </w:rPr>
        </w:r>
        <w:r w:rsidRPr="00585857">
          <w:rPr>
            <w:noProof/>
            <w:webHidden/>
            <w:lang w:val="es-ES_tradnl"/>
          </w:rPr>
          <w:fldChar w:fldCharType="separate"/>
        </w:r>
        <w:r w:rsidR="004F6E98">
          <w:rPr>
            <w:noProof/>
            <w:webHidden/>
            <w:lang w:val="es-ES_tradnl"/>
          </w:rPr>
          <w:t>65</w:t>
        </w:r>
        <w:r w:rsidRPr="00585857">
          <w:rPr>
            <w:noProof/>
            <w:webHidden/>
            <w:lang w:val="es-ES_tradnl"/>
          </w:rPr>
          <w:fldChar w:fldCharType="end"/>
        </w:r>
      </w:hyperlink>
    </w:p>
    <w:p w14:paraId="6A48F4D3" w14:textId="35B8E830" w:rsidR="004D45B5" w:rsidRPr="00585857" w:rsidRDefault="0090342B">
      <w:pPr>
        <w:pStyle w:val="TOC1"/>
        <w:rPr>
          <w:rFonts w:eastAsiaTheme="minorEastAsia" w:cstheme="minorBidi"/>
          <w:noProof/>
          <w:sz w:val="22"/>
          <w:szCs w:val="22"/>
          <w:lang w:val="es-ES_tradnl"/>
        </w:rPr>
      </w:pPr>
      <w:hyperlink w:anchor="_Toc33632557" w:history="1">
        <w:r w:rsidR="004D45B5" w:rsidRPr="00585857">
          <w:rPr>
            <w:rStyle w:val="Hyperlink"/>
            <w:noProof/>
            <w:lang w:val="es-ES_tradnl"/>
          </w:rPr>
          <w:t>Anexo B – Atribución de recursos por Objetivo de Desarrollo Sostenible (ODS)</w:t>
        </w:r>
        <w:r w:rsidR="004D45B5" w:rsidRPr="00585857">
          <w:rPr>
            <w:noProof/>
            <w:webHidden/>
            <w:lang w:val="es-ES_tradnl"/>
          </w:rPr>
          <w:tab/>
        </w:r>
        <w:r w:rsidR="00D06805">
          <w:rPr>
            <w:noProof/>
            <w:webHidden/>
            <w:lang w:val="es-ES_tradnl"/>
          </w:rPr>
          <w:tab/>
        </w:r>
        <w:r w:rsidR="004D45B5" w:rsidRPr="00585857">
          <w:rPr>
            <w:noProof/>
            <w:webHidden/>
            <w:lang w:val="es-ES_tradnl"/>
          </w:rPr>
          <w:fldChar w:fldCharType="begin"/>
        </w:r>
        <w:r w:rsidR="004D45B5" w:rsidRPr="00585857">
          <w:rPr>
            <w:noProof/>
            <w:webHidden/>
            <w:lang w:val="es-ES_tradnl"/>
          </w:rPr>
          <w:instrText xml:space="preserve"> PAGEREF _Toc33632557 \h </w:instrText>
        </w:r>
        <w:r w:rsidR="004D45B5" w:rsidRPr="00585857">
          <w:rPr>
            <w:noProof/>
            <w:webHidden/>
            <w:lang w:val="es-ES_tradnl"/>
          </w:rPr>
        </w:r>
        <w:r w:rsidR="004D45B5" w:rsidRPr="00585857">
          <w:rPr>
            <w:noProof/>
            <w:webHidden/>
            <w:lang w:val="es-ES_tradnl"/>
          </w:rPr>
          <w:fldChar w:fldCharType="separate"/>
        </w:r>
        <w:r w:rsidR="004F6E98">
          <w:rPr>
            <w:noProof/>
            <w:webHidden/>
            <w:lang w:val="es-ES_tradnl"/>
          </w:rPr>
          <w:t>69</w:t>
        </w:r>
        <w:r w:rsidR="004D45B5" w:rsidRPr="00585857">
          <w:rPr>
            <w:noProof/>
            <w:webHidden/>
            <w:lang w:val="es-ES_tradnl"/>
          </w:rPr>
          <w:fldChar w:fldCharType="end"/>
        </w:r>
      </w:hyperlink>
    </w:p>
    <w:p w14:paraId="3CF98E91" w14:textId="32F7E3FF" w:rsidR="003A7CC7" w:rsidRPr="00585857" w:rsidRDefault="004D45B5" w:rsidP="004D45B5">
      <w:pPr>
        <w:rPr>
          <w:lang w:val="es-ES_tradnl"/>
        </w:rPr>
      </w:pPr>
      <w:r w:rsidRPr="00585857">
        <w:rPr>
          <w:lang w:val="es-ES_tradnl"/>
        </w:rPr>
        <w:fldChar w:fldCharType="end"/>
      </w:r>
      <w:r w:rsidR="003A7CC7" w:rsidRPr="00585857">
        <w:rPr>
          <w:lang w:val="es-ES_tradnl"/>
        </w:rPr>
        <w:br w:type="page"/>
      </w:r>
    </w:p>
    <w:p w14:paraId="751158B1" w14:textId="13E16F21" w:rsidR="003A7CC7" w:rsidRDefault="00700FEE" w:rsidP="004D45B5">
      <w:pPr>
        <w:pStyle w:val="Annextitle"/>
        <w:spacing w:before="0" w:after="120"/>
        <w:rPr>
          <w:sz w:val="24"/>
          <w:szCs w:val="24"/>
          <w:lang w:val="es-ES_tradnl"/>
        </w:rPr>
      </w:pPr>
      <w:bookmarkStart w:id="313" w:name="_Toc33632556"/>
      <w:r w:rsidRPr="00585857">
        <w:rPr>
          <w:sz w:val="24"/>
          <w:szCs w:val="24"/>
          <w:lang w:val="es-ES_tradnl"/>
        </w:rPr>
        <w:lastRenderedPageBreak/>
        <w:t>Anexo A – Atribución de recursos por Producto 2021-2024</w:t>
      </w:r>
      <w:bookmarkEnd w:id="313"/>
    </w:p>
    <w:p w14:paraId="4A70FD42" w14:textId="7F1CF382" w:rsidR="00E2673A" w:rsidRPr="00E2673A" w:rsidRDefault="00E2673A" w:rsidP="00E2673A">
      <w:pPr>
        <w:jc w:val="center"/>
        <w:rPr>
          <w:lang w:val="es-ES_tradnl"/>
        </w:rPr>
      </w:pPr>
      <w:r w:rsidRPr="00E2673A">
        <w:rPr>
          <w:noProof/>
        </w:rPr>
        <w:drawing>
          <wp:inline distT="0" distB="0" distL="0" distR="0" wp14:anchorId="5C470893" wp14:editId="14B6B372">
            <wp:extent cx="5796000" cy="8470800"/>
            <wp:effectExtent l="0" t="0" r="0" b="0"/>
            <wp:docPr id="1928375049" name="Picture 192837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96000" cy="8470800"/>
                    </a:xfrm>
                    <a:prstGeom prst="rect">
                      <a:avLst/>
                    </a:prstGeom>
                    <a:noFill/>
                    <a:ln>
                      <a:noFill/>
                    </a:ln>
                  </pic:spPr>
                </pic:pic>
              </a:graphicData>
            </a:graphic>
          </wp:inline>
        </w:drawing>
      </w:r>
    </w:p>
    <w:p w14:paraId="35618096" w14:textId="1E139462" w:rsidR="00700FEE" w:rsidRDefault="00700FEE" w:rsidP="00700FEE">
      <w:pPr>
        <w:pStyle w:val="Tabletitle"/>
        <w:rPr>
          <w:lang w:val="es-ES_tradnl"/>
        </w:rPr>
      </w:pPr>
      <w:r w:rsidRPr="00585857">
        <w:rPr>
          <w:lang w:val="es-ES_tradnl"/>
        </w:rPr>
        <w:lastRenderedPageBreak/>
        <w:t>Anexo A – Atribución de recursos por Producto 2021-2024</w:t>
      </w:r>
    </w:p>
    <w:p w14:paraId="70302C3F" w14:textId="55911711" w:rsidR="00612F88" w:rsidRPr="00612F88" w:rsidRDefault="00612F88" w:rsidP="00612F88">
      <w:pPr>
        <w:jc w:val="center"/>
        <w:rPr>
          <w:lang w:val="es-ES_tradnl"/>
        </w:rPr>
      </w:pPr>
      <w:r w:rsidRPr="00612F88">
        <w:rPr>
          <w:noProof/>
        </w:rPr>
        <w:drawing>
          <wp:inline distT="0" distB="0" distL="0" distR="0" wp14:anchorId="45A42F51" wp14:editId="3A22FA56">
            <wp:extent cx="6120130" cy="46437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4643755"/>
                    </a:xfrm>
                    <a:prstGeom prst="rect">
                      <a:avLst/>
                    </a:prstGeom>
                    <a:noFill/>
                    <a:ln>
                      <a:noFill/>
                    </a:ln>
                  </pic:spPr>
                </pic:pic>
              </a:graphicData>
            </a:graphic>
          </wp:inline>
        </w:drawing>
      </w:r>
    </w:p>
    <w:p w14:paraId="7D28353D" w14:textId="69B79E60" w:rsidR="00700FEE" w:rsidRDefault="00700FEE" w:rsidP="00700FEE">
      <w:pPr>
        <w:pStyle w:val="Tabletitle"/>
        <w:rPr>
          <w:lang w:val="es-ES_tradnl"/>
        </w:rPr>
      </w:pPr>
      <w:r w:rsidRPr="00585857">
        <w:rPr>
          <w:lang w:val="es-ES_tradnl"/>
        </w:rPr>
        <w:lastRenderedPageBreak/>
        <w:t>Anexo A – Atribución de recursos por Producto 2021-2024</w:t>
      </w:r>
    </w:p>
    <w:p w14:paraId="4443ACC1" w14:textId="43D8521C" w:rsidR="00D73D50" w:rsidRPr="00D73D50" w:rsidRDefault="00D73D50" w:rsidP="00D73D50">
      <w:pPr>
        <w:jc w:val="center"/>
        <w:rPr>
          <w:lang w:val="es-ES_tradnl"/>
        </w:rPr>
      </w:pPr>
      <w:r w:rsidRPr="00D73D50">
        <w:rPr>
          <w:noProof/>
        </w:rPr>
        <w:drawing>
          <wp:inline distT="0" distB="0" distL="0" distR="0" wp14:anchorId="3F41E6A1" wp14:editId="6B61F04E">
            <wp:extent cx="6120130" cy="61804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6180455"/>
                    </a:xfrm>
                    <a:prstGeom prst="rect">
                      <a:avLst/>
                    </a:prstGeom>
                    <a:noFill/>
                    <a:ln>
                      <a:noFill/>
                    </a:ln>
                  </pic:spPr>
                </pic:pic>
              </a:graphicData>
            </a:graphic>
          </wp:inline>
        </w:drawing>
      </w:r>
    </w:p>
    <w:p w14:paraId="77BEB072" w14:textId="274CCDCF" w:rsidR="00700FEE" w:rsidRDefault="00700FEE" w:rsidP="00700FEE">
      <w:pPr>
        <w:pStyle w:val="Tabletitle"/>
        <w:rPr>
          <w:lang w:val="es-ES_tradnl"/>
        </w:rPr>
      </w:pPr>
      <w:r w:rsidRPr="00585857">
        <w:rPr>
          <w:lang w:val="es-ES_tradnl"/>
        </w:rPr>
        <w:lastRenderedPageBreak/>
        <w:t>Anexo A – Atribución de recursos por Producto 2021-2024</w:t>
      </w:r>
    </w:p>
    <w:p w14:paraId="48804036" w14:textId="04A4C189" w:rsidR="00D73D50" w:rsidRPr="00D73D50" w:rsidRDefault="00942C3B" w:rsidP="00D73D50">
      <w:pPr>
        <w:jc w:val="center"/>
        <w:rPr>
          <w:lang w:val="es-ES_tradnl"/>
        </w:rPr>
      </w:pPr>
      <w:r w:rsidRPr="00942C3B">
        <w:rPr>
          <w:noProof/>
        </w:rPr>
        <w:drawing>
          <wp:inline distT="0" distB="0" distL="0" distR="0" wp14:anchorId="08D0C20E" wp14:editId="7536D851">
            <wp:extent cx="4629600" cy="8496000"/>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29600" cy="8496000"/>
                    </a:xfrm>
                    <a:prstGeom prst="rect">
                      <a:avLst/>
                    </a:prstGeom>
                    <a:noFill/>
                    <a:ln>
                      <a:noFill/>
                    </a:ln>
                  </pic:spPr>
                </pic:pic>
              </a:graphicData>
            </a:graphic>
          </wp:inline>
        </w:drawing>
      </w:r>
    </w:p>
    <w:p w14:paraId="2D107E32" w14:textId="06BD03EF" w:rsidR="00700FEE" w:rsidRDefault="00700FEE" w:rsidP="004D45B5">
      <w:pPr>
        <w:pStyle w:val="Annextitle"/>
        <w:spacing w:before="0" w:after="120"/>
        <w:rPr>
          <w:sz w:val="24"/>
          <w:szCs w:val="24"/>
          <w:lang w:val="es-ES_tradnl"/>
        </w:rPr>
      </w:pPr>
      <w:bookmarkStart w:id="314" w:name="_Toc33632557"/>
      <w:r w:rsidRPr="00585857">
        <w:rPr>
          <w:sz w:val="24"/>
          <w:szCs w:val="24"/>
          <w:lang w:val="es-ES_tradnl"/>
        </w:rPr>
        <w:lastRenderedPageBreak/>
        <w:t xml:space="preserve">Anexo </w:t>
      </w:r>
      <w:r w:rsidR="00F46C87" w:rsidRPr="00585857">
        <w:rPr>
          <w:sz w:val="24"/>
          <w:szCs w:val="24"/>
          <w:lang w:val="es-ES_tradnl"/>
        </w:rPr>
        <w:t>B</w:t>
      </w:r>
      <w:r w:rsidRPr="00585857">
        <w:rPr>
          <w:sz w:val="24"/>
          <w:szCs w:val="24"/>
          <w:lang w:val="es-ES_tradnl"/>
        </w:rPr>
        <w:t xml:space="preserve"> – </w:t>
      </w:r>
      <w:r w:rsidR="00F46C87" w:rsidRPr="00585857">
        <w:rPr>
          <w:sz w:val="24"/>
          <w:szCs w:val="24"/>
          <w:lang w:val="es-ES_tradnl"/>
        </w:rPr>
        <w:t>Atribución de recursos por Objetivo de Desarrollo Sostenible (ODS)</w:t>
      </w:r>
      <w:bookmarkEnd w:id="314"/>
    </w:p>
    <w:p w14:paraId="1C4CAAAA" w14:textId="49458EF2" w:rsidR="000B3896" w:rsidRPr="000B3896" w:rsidRDefault="000B3896" w:rsidP="000B3896">
      <w:pPr>
        <w:jc w:val="center"/>
        <w:rPr>
          <w:lang w:val="es-ES_tradnl"/>
        </w:rPr>
      </w:pPr>
      <w:r w:rsidRPr="000B3896">
        <w:rPr>
          <w:noProof/>
        </w:rPr>
        <w:drawing>
          <wp:inline distT="0" distB="0" distL="0" distR="0" wp14:anchorId="7DCD9EBB" wp14:editId="35F88164">
            <wp:extent cx="6120130" cy="4157345"/>
            <wp:effectExtent l="0" t="0" r="0" b="0"/>
            <wp:docPr id="1928375048" name="Picture 192837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4157345"/>
                    </a:xfrm>
                    <a:prstGeom prst="rect">
                      <a:avLst/>
                    </a:prstGeom>
                    <a:noFill/>
                    <a:ln>
                      <a:noFill/>
                    </a:ln>
                  </pic:spPr>
                </pic:pic>
              </a:graphicData>
            </a:graphic>
          </wp:inline>
        </w:drawing>
      </w:r>
    </w:p>
    <w:p w14:paraId="6E63CC4D" w14:textId="77777777" w:rsidR="00730BB5" w:rsidRPr="00585857" w:rsidRDefault="00730BB5" w:rsidP="00730BB5">
      <w:pPr>
        <w:rPr>
          <w:lang w:val="es-ES_tradnl"/>
        </w:rPr>
      </w:pPr>
    </w:p>
    <w:p w14:paraId="439F54B1" w14:textId="77777777" w:rsidR="00DD352F" w:rsidRPr="00585857" w:rsidRDefault="00DD352F">
      <w:pPr>
        <w:jc w:val="center"/>
        <w:rPr>
          <w:lang w:val="es-ES_tradnl"/>
        </w:rPr>
      </w:pPr>
      <w:r w:rsidRPr="00585857">
        <w:rPr>
          <w:lang w:val="es-ES_tradnl"/>
        </w:rPr>
        <w:t>______________</w:t>
      </w:r>
    </w:p>
    <w:sectPr w:rsidR="00DD352F" w:rsidRPr="00585857" w:rsidSect="003C0D95">
      <w:head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932F" w14:textId="77777777" w:rsidR="003451A7" w:rsidRDefault="003451A7" w:rsidP="0088106F">
      <w:r>
        <w:separator/>
      </w:r>
    </w:p>
  </w:endnote>
  <w:endnote w:type="continuationSeparator" w:id="0">
    <w:p w14:paraId="485B7AE2" w14:textId="77777777" w:rsidR="003451A7" w:rsidRDefault="003451A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B05C" w14:textId="2F4FDD8A" w:rsidR="003451A7" w:rsidRPr="00D06805" w:rsidRDefault="003451A7" w:rsidP="00853692">
    <w:pPr>
      <w:pStyle w:val="Footer"/>
      <w:rPr>
        <w:szCs w:val="16"/>
        <w:lang w:val="es-ES"/>
      </w:rPr>
    </w:pPr>
    <w:r w:rsidRPr="00D06805">
      <w:rPr>
        <w:szCs w:val="16"/>
        <w:lang w:val="es-ES"/>
      </w:rPr>
      <w:fldChar w:fldCharType="begin"/>
    </w:r>
    <w:r w:rsidRPr="00D06805">
      <w:rPr>
        <w:szCs w:val="16"/>
        <w:lang w:val="es-ES"/>
      </w:rPr>
      <w:instrText xml:space="preserve"> FILENAME \p  \* MERGEFORMAT </w:instrText>
    </w:r>
    <w:r w:rsidRPr="00D06805">
      <w:rPr>
        <w:szCs w:val="16"/>
        <w:lang w:val="es-ES"/>
      </w:rPr>
      <w:fldChar w:fldCharType="separate"/>
    </w:r>
    <w:r w:rsidRPr="00D06805">
      <w:rPr>
        <w:szCs w:val="16"/>
        <w:lang w:val="es-ES"/>
      </w:rPr>
      <w:t>P:\ESP\ITU-D\CONF-D\TDAG20\000\006S.docx</w:t>
    </w:r>
    <w:r w:rsidRPr="00D06805">
      <w:rPr>
        <w:szCs w:val="16"/>
        <w:lang w:val="es-ES"/>
      </w:rPr>
      <w:fldChar w:fldCharType="end"/>
    </w:r>
    <w:r w:rsidRPr="00D06805">
      <w:rPr>
        <w:szCs w:val="16"/>
        <w:lang w:val="es-ES"/>
      </w:rPr>
      <w:t xml:space="preserve"> (465653)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Layout w:type="fixed"/>
      <w:tblLook w:val="04A0" w:firstRow="1" w:lastRow="0" w:firstColumn="1" w:lastColumn="0" w:noHBand="0" w:noVBand="1"/>
    </w:tblPr>
    <w:tblGrid>
      <w:gridCol w:w="1134"/>
      <w:gridCol w:w="2552"/>
      <w:gridCol w:w="6237"/>
    </w:tblGrid>
    <w:tr w:rsidR="003451A7" w:rsidRPr="008F43A8" w14:paraId="2F5FA412" w14:textId="77777777" w:rsidTr="00853692">
      <w:trPr>
        <w:jc w:val="center"/>
      </w:trPr>
      <w:tc>
        <w:tcPr>
          <w:tcW w:w="1134" w:type="dxa"/>
          <w:tcBorders>
            <w:top w:val="single" w:sz="4" w:space="0" w:color="000000"/>
          </w:tcBorders>
          <w:shd w:val="clear" w:color="auto" w:fill="auto"/>
        </w:tcPr>
        <w:p w14:paraId="08A1B722" w14:textId="77777777" w:rsidR="003451A7" w:rsidRPr="00E55829" w:rsidRDefault="003451A7" w:rsidP="00853692">
          <w:pPr>
            <w:pStyle w:val="FirstFooter"/>
            <w:tabs>
              <w:tab w:val="left" w:pos="1559"/>
              <w:tab w:val="left" w:pos="3828"/>
            </w:tabs>
            <w:rPr>
              <w:sz w:val="18"/>
              <w:szCs w:val="18"/>
              <w:lang w:val="es-ES_tradnl"/>
            </w:rPr>
          </w:pPr>
          <w:r w:rsidRPr="00E55829">
            <w:rPr>
              <w:sz w:val="18"/>
              <w:szCs w:val="18"/>
              <w:lang w:val="es-ES_tradnl"/>
            </w:rPr>
            <w:t>Contacto:</w:t>
          </w:r>
        </w:p>
      </w:tc>
      <w:tc>
        <w:tcPr>
          <w:tcW w:w="2552" w:type="dxa"/>
          <w:tcBorders>
            <w:top w:val="single" w:sz="4" w:space="0" w:color="000000"/>
          </w:tcBorders>
          <w:shd w:val="clear" w:color="auto" w:fill="auto"/>
        </w:tcPr>
        <w:p w14:paraId="3EFB373E" w14:textId="77777777" w:rsidR="003451A7" w:rsidRPr="00E55829" w:rsidRDefault="003451A7" w:rsidP="00853692">
          <w:pPr>
            <w:pStyle w:val="FirstFooter"/>
            <w:tabs>
              <w:tab w:val="left" w:pos="2302"/>
            </w:tabs>
            <w:ind w:left="2302" w:hanging="2302"/>
            <w:rPr>
              <w:sz w:val="18"/>
              <w:szCs w:val="18"/>
              <w:lang w:val="es-ES_tradnl"/>
            </w:rPr>
          </w:pPr>
          <w:r w:rsidRPr="00E55829">
            <w:rPr>
              <w:sz w:val="18"/>
              <w:szCs w:val="18"/>
              <w:lang w:val="es-ES_tradnl"/>
            </w:rPr>
            <w:t>Nombre/Organización/Entidad:</w:t>
          </w:r>
        </w:p>
      </w:tc>
      <w:tc>
        <w:tcPr>
          <w:tcW w:w="6237" w:type="dxa"/>
          <w:tcBorders>
            <w:top w:val="single" w:sz="4" w:space="0" w:color="000000"/>
          </w:tcBorders>
          <w:shd w:val="clear" w:color="auto" w:fill="auto"/>
        </w:tcPr>
        <w:p w14:paraId="46831F96" w14:textId="77777777" w:rsidR="003451A7" w:rsidRPr="00E55829" w:rsidRDefault="003451A7" w:rsidP="00853692">
          <w:pPr>
            <w:pStyle w:val="FirstFooter"/>
            <w:tabs>
              <w:tab w:val="left" w:pos="2302"/>
            </w:tabs>
            <w:rPr>
              <w:sz w:val="18"/>
              <w:szCs w:val="18"/>
              <w:lang w:val="es-ES_tradnl"/>
            </w:rPr>
          </w:pPr>
          <w:bookmarkStart w:id="27" w:name="OrgName"/>
          <w:bookmarkEnd w:id="27"/>
          <w:r w:rsidRPr="00E55829">
            <w:rPr>
              <w:sz w:val="18"/>
              <w:szCs w:val="18"/>
              <w:lang w:val="es-ES_tradnl"/>
            </w:rPr>
            <w:t>Sra. Doreen Bogdan-Martin, Directora de la Oficina de Desarrollo de las Telecomunicaciones</w:t>
          </w:r>
        </w:p>
      </w:tc>
    </w:tr>
    <w:tr w:rsidR="003451A7" w:rsidRPr="00E55829" w14:paraId="373129D3" w14:textId="77777777" w:rsidTr="00853692">
      <w:trPr>
        <w:jc w:val="center"/>
      </w:trPr>
      <w:tc>
        <w:tcPr>
          <w:tcW w:w="1134" w:type="dxa"/>
          <w:shd w:val="clear" w:color="auto" w:fill="auto"/>
        </w:tcPr>
        <w:p w14:paraId="03261392" w14:textId="77777777" w:rsidR="003451A7" w:rsidRPr="00E55829" w:rsidRDefault="003451A7" w:rsidP="00853692">
          <w:pPr>
            <w:pStyle w:val="FirstFooter"/>
            <w:tabs>
              <w:tab w:val="left" w:pos="1559"/>
              <w:tab w:val="left" w:pos="3828"/>
            </w:tabs>
            <w:rPr>
              <w:sz w:val="20"/>
              <w:lang w:val="es-ES_tradnl"/>
            </w:rPr>
          </w:pPr>
        </w:p>
      </w:tc>
      <w:tc>
        <w:tcPr>
          <w:tcW w:w="2552" w:type="dxa"/>
          <w:shd w:val="clear" w:color="auto" w:fill="auto"/>
        </w:tcPr>
        <w:p w14:paraId="66C97106" w14:textId="77777777" w:rsidR="003451A7" w:rsidRPr="00E55829" w:rsidRDefault="003451A7" w:rsidP="00853692">
          <w:pPr>
            <w:pStyle w:val="FirstFooter"/>
            <w:tabs>
              <w:tab w:val="left" w:pos="2302"/>
            </w:tabs>
            <w:rPr>
              <w:sz w:val="18"/>
              <w:szCs w:val="18"/>
              <w:lang w:val="es-ES_tradnl"/>
            </w:rPr>
          </w:pPr>
          <w:r w:rsidRPr="00E55829">
            <w:rPr>
              <w:sz w:val="18"/>
              <w:szCs w:val="18"/>
              <w:lang w:val="es-ES_tradnl"/>
            </w:rPr>
            <w:t>Teléfono:</w:t>
          </w:r>
        </w:p>
      </w:tc>
      <w:tc>
        <w:tcPr>
          <w:tcW w:w="6237" w:type="dxa"/>
          <w:shd w:val="clear" w:color="auto" w:fill="auto"/>
        </w:tcPr>
        <w:p w14:paraId="5901DABB" w14:textId="77777777" w:rsidR="003451A7" w:rsidRPr="00E55829" w:rsidRDefault="003451A7" w:rsidP="00853692">
          <w:pPr>
            <w:pStyle w:val="FirstFooter"/>
            <w:tabs>
              <w:tab w:val="left" w:pos="2302"/>
            </w:tabs>
            <w:rPr>
              <w:sz w:val="18"/>
              <w:szCs w:val="18"/>
              <w:lang w:val="es-ES_tradnl"/>
            </w:rPr>
          </w:pPr>
          <w:bookmarkStart w:id="28" w:name="PhoneNo"/>
          <w:bookmarkEnd w:id="28"/>
          <w:r w:rsidRPr="00E55829">
            <w:rPr>
              <w:sz w:val="18"/>
              <w:szCs w:val="18"/>
              <w:lang w:val="es-ES_tradnl"/>
            </w:rPr>
            <w:t>+41 22 730 5533</w:t>
          </w:r>
        </w:p>
      </w:tc>
    </w:tr>
    <w:tr w:rsidR="003451A7" w:rsidRPr="00E55829" w14:paraId="68FE4888" w14:textId="77777777" w:rsidTr="00853692">
      <w:trPr>
        <w:jc w:val="center"/>
      </w:trPr>
      <w:tc>
        <w:tcPr>
          <w:tcW w:w="1134" w:type="dxa"/>
          <w:shd w:val="clear" w:color="auto" w:fill="auto"/>
        </w:tcPr>
        <w:p w14:paraId="741E6116" w14:textId="77777777" w:rsidR="003451A7" w:rsidRPr="00E55829" w:rsidRDefault="003451A7" w:rsidP="00853692">
          <w:pPr>
            <w:pStyle w:val="FirstFooter"/>
            <w:tabs>
              <w:tab w:val="left" w:pos="1559"/>
              <w:tab w:val="left" w:pos="3828"/>
            </w:tabs>
            <w:rPr>
              <w:sz w:val="20"/>
              <w:lang w:val="es-ES_tradnl"/>
            </w:rPr>
          </w:pPr>
        </w:p>
      </w:tc>
      <w:tc>
        <w:tcPr>
          <w:tcW w:w="2552" w:type="dxa"/>
          <w:shd w:val="clear" w:color="auto" w:fill="auto"/>
        </w:tcPr>
        <w:p w14:paraId="4C7F763D" w14:textId="77777777" w:rsidR="003451A7" w:rsidRPr="00E55829" w:rsidRDefault="003451A7" w:rsidP="00853692">
          <w:pPr>
            <w:pStyle w:val="FirstFooter"/>
            <w:tabs>
              <w:tab w:val="left" w:pos="2302"/>
            </w:tabs>
            <w:rPr>
              <w:sz w:val="18"/>
              <w:szCs w:val="18"/>
              <w:lang w:val="es-ES_tradnl"/>
            </w:rPr>
          </w:pPr>
          <w:r w:rsidRPr="00E55829">
            <w:rPr>
              <w:sz w:val="18"/>
              <w:szCs w:val="18"/>
              <w:lang w:val="es-ES_tradnl"/>
            </w:rPr>
            <w:t>Correo-e:</w:t>
          </w:r>
        </w:p>
      </w:tc>
      <w:bookmarkStart w:id="29" w:name="Email"/>
      <w:bookmarkEnd w:id="29"/>
      <w:tc>
        <w:tcPr>
          <w:tcW w:w="6237" w:type="dxa"/>
          <w:shd w:val="clear" w:color="auto" w:fill="auto"/>
        </w:tcPr>
        <w:p w14:paraId="50E7D5B4" w14:textId="77777777" w:rsidR="003451A7" w:rsidRPr="00E55829" w:rsidRDefault="003451A7" w:rsidP="00853692">
          <w:pPr>
            <w:pStyle w:val="FirstFooter"/>
            <w:tabs>
              <w:tab w:val="left" w:pos="2302"/>
            </w:tabs>
            <w:rPr>
              <w:sz w:val="18"/>
              <w:szCs w:val="18"/>
              <w:lang w:val="es-ES_tradnl"/>
            </w:rPr>
          </w:pPr>
          <w:r w:rsidRPr="00E55829">
            <w:rPr>
              <w:sz w:val="18"/>
              <w:szCs w:val="18"/>
              <w:lang w:val="es-ES_tradnl"/>
            </w:rPr>
            <w:fldChar w:fldCharType="begin"/>
          </w:r>
          <w:r w:rsidRPr="00E55829">
            <w:rPr>
              <w:sz w:val="18"/>
              <w:szCs w:val="18"/>
              <w:lang w:val="es-ES_tradnl"/>
            </w:rPr>
            <w:instrText xml:space="preserve"> HYPERLINK "mailto:bdtdir@itu.int" </w:instrText>
          </w:r>
          <w:r w:rsidRPr="00E55829">
            <w:rPr>
              <w:sz w:val="18"/>
              <w:szCs w:val="18"/>
              <w:lang w:val="es-ES_tradnl"/>
            </w:rPr>
            <w:fldChar w:fldCharType="separate"/>
          </w:r>
          <w:r w:rsidRPr="00E55829">
            <w:rPr>
              <w:rStyle w:val="Hyperlink"/>
              <w:sz w:val="18"/>
              <w:szCs w:val="18"/>
              <w:lang w:val="es-ES_tradnl"/>
            </w:rPr>
            <w:t>bdtdir@itu.int</w:t>
          </w:r>
          <w:r w:rsidRPr="00E55829">
            <w:rPr>
              <w:sz w:val="18"/>
              <w:szCs w:val="18"/>
              <w:lang w:val="es-ES_tradnl"/>
            </w:rPr>
            <w:fldChar w:fldCharType="end"/>
          </w:r>
        </w:p>
      </w:tc>
    </w:tr>
  </w:tbl>
  <w:p w14:paraId="7E318A0E" w14:textId="77777777" w:rsidR="003451A7" w:rsidRPr="006E4AB3" w:rsidRDefault="0090342B" w:rsidP="00853692">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3451A7">
        <w:rPr>
          <w:rFonts w:ascii="Calibri" w:hAnsi="Calibri"/>
          <w:color w:val="0000FF"/>
          <w:sz w:val="18"/>
          <w:szCs w:val="18"/>
          <w:u w:val="single"/>
        </w:rPr>
        <w:t>GADT</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3BF7" w14:textId="29DCAA0D" w:rsidR="003451A7" w:rsidRPr="00162AE9" w:rsidRDefault="0090342B" w:rsidP="00205CE2">
    <w:pPr>
      <w:pStyle w:val="Footer"/>
      <w:rPr>
        <w:lang w:val="en-US"/>
      </w:rPr>
    </w:pPr>
    <w:r>
      <w:fldChar w:fldCharType="begin"/>
    </w:r>
    <w:r>
      <w:instrText xml:space="preserve"> FILENAME \p  \* MERGEFORMAT </w:instrText>
    </w:r>
    <w:r>
      <w:fldChar w:fldCharType="separate"/>
    </w:r>
    <w:r w:rsidR="003451A7">
      <w:t>P:\ESP\ITU-D\CONF-D\TDAG20\000\006S.docx</w:t>
    </w:r>
    <w:r>
      <w:fldChar w:fldCharType="end"/>
    </w:r>
    <w:r w:rsidR="003451A7">
      <w:t xml:space="preserve"> (465653)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548C" w14:textId="7E526CAC" w:rsidR="003451A7" w:rsidRPr="00F55308" w:rsidRDefault="0090342B" w:rsidP="00F55308">
    <w:pPr>
      <w:pStyle w:val="Footer"/>
      <w:rPr>
        <w:lang w:val="en-US"/>
      </w:rPr>
    </w:pPr>
    <w:r>
      <w:fldChar w:fldCharType="begin"/>
    </w:r>
    <w:r>
      <w:instrText xml:space="preserve"> FILENAME \p  \* MERGEFORMAT </w:instrText>
    </w:r>
    <w:r>
      <w:fldChar w:fldCharType="separate"/>
    </w:r>
    <w:r w:rsidR="003451A7">
      <w:t>P:\ESP\ITU-D\CONF-D\TDAG20\000\006S.docx</w:t>
    </w:r>
    <w:r>
      <w:fldChar w:fldCharType="end"/>
    </w:r>
    <w:r w:rsidR="003451A7">
      <w:t xml:space="preserve"> (465653)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0641" w14:textId="3828FFC7" w:rsidR="003451A7" w:rsidRPr="00F55308" w:rsidRDefault="0090342B" w:rsidP="00F55308">
    <w:pPr>
      <w:pStyle w:val="Footer"/>
      <w:rPr>
        <w:lang w:val="en-US"/>
      </w:rPr>
    </w:pPr>
    <w:r>
      <w:fldChar w:fldCharType="begin"/>
    </w:r>
    <w:r>
      <w:instrText xml:space="preserve"> FILENAME \p  \* MERGEFORMAT </w:instrText>
    </w:r>
    <w:r>
      <w:fldChar w:fldCharType="separate"/>
    </w:r>
    <w:r w:rsidR="003451A7">
      <w:t>P:\ESP\ITU-D\CONF-D\TDAG20\000\006S.docx</w:t>
    </w:r>
    <w:r>
      <w:fldChar w:fldCharType="end"/>
    </w:r>
    <w:r w:rsidR="003451A7">
      <w:t xml:space="preserve"> (465653)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0508" w14:textId="3A1D2037" w:rsidR="003451A7" w:rsidRPr="00F55308" w:rsidRDefault="0090342B" w:rsidP="00F55308">
    <w:pPr>
      <w:pStyle w:val="Footer"/>
      <w:rPr>
        <w:lang w:val="en-US"/>
      </w:rPr>
    </w:pPr>
    <w:r>
      <w:fldChar w:fldCharType="begin"/>
    </w:r>
    <w:r>
      <w:instrText xml:space="preserve"> FILENAME \p  \* MERGEFORMAT </w:instrText>
    </w:r>
    <w:r>
      <w:fldChar w:fldCharType="separate"/>
    </w:r>
    <w:r w:rsidR="003451A7">
      <w:t>P:\ESP\ITU-D\CONF-D\TDAG20\000\006S.docx</w:t>
    </w:r>
    <w:r>
      <w:fldChar w:fldCharType="end"/>
    </w:r>
    <w:r w:rsidR="003451A7">
      <w:t xml:space="preserve"> (465653)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F8D4" w14:textId="77777777" w:rsidR="003451A7" w:rsidRDefault="003451A7" w:rsidP="0088106F">
      <w:r>
        <w:separator/>
      </w:r>
    </w:p>
  </w:footnote>
  <w:footnote w:type="continuationSeparator" w:id="0">
    <w:p w14:paraId="24C02190" w14:textId="77777777" w:rsidR="003451A7" w:rsidRDefault="003451A7"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7A9D" w14:textId="55306755" w:rsidR="003451A7" w:rsidRPr="00853692" w:rsidRDefault="003451A7" w:rsidP="0085369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E8B5" w14:textId="65C91200" w:rsidR="003451A7" w:rsidRPr="00162AE9" w:rsidRDefault="003451A7" w:rsidP="00731D1C">
    <w:pPr>
      <w:tabs>
        <w:tab w:val="clear" w:pos="794"/>
        <w:tab w:val="clear" w:pos="1191"/>
        <w:tab w:val="clear" w:pos="1588"/>
        <w:tab w:val="clear" w:pos="1985"/>
        <w:tab w:val="center" w:pos="7088"/>
        <w:tab w:val="left" w:pos="13041"/>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F95E" w14:textId="4681CA83" w:rsidR="003451A7" w:rsidRPr="00731D1C" w:rsidRDefault="003451A7" w:rsidP="00731D1C">
    <w:pPr>
      <w:tabs>
        <w:tab w:val="clear" w:pos="794"/>
        <w:tab w:val="clear" w:pos="1191"/>
        <w:tab w:val="clear" w:pos="1588"/>
        <w:tab w:val="clear" w:pos="1985"/>
        <w:tab w:val="center" w:pos="7088"/>
        <w:tab w:val="left" w:pos="13041"/>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13</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7629" w14:textId="1309D276" w:rsidR="003451A7" w:rsidRPr="00853692" w:rsidRDefault="003451A7" w:rsidP="0085369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8122" w14:textId="1E5600AC" w:rsidR="003451A7" w:rsidRPr="008A67D4" w:rsidRDefault="003451A7" w:rsidP="008A67D4">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6</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2DAE" w14:textId="4BC0B9C5" w:rsidR="003451A7" w:rsidRPr="00731D1C" w:rsidRDefault="003451A7" w:rsidP="00731D1C">
    <w:pPr>
      <w:tabs>
        <w:tab w:val="clear" w:pos="794"/>
        <w:tab w:val="clear" w:pos="1191"/>
        <w:tab w:val="clear" w:pos="1588"/>
        <w:tab w:val="clear" w:pos="1985"/>
        <w:tab w:val="center" w:pos="7088"/>
        <w:tab w:val="left" w:pos="13041"/>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17</w:t>
    </w:r>
    <w:r w:rsidRPr="00972BCD">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3D60" w14:textId="07EC2153" w:rsidR="003451A7" w:rsidRPr="008A67D4" w:rsidRDefault="003451A7" w:rsidP="008A67D4">
    <w:pPr>
      <w:tabs>
        <w:tab w:val="clear" w:pos="794"/>
        <w:tab w:val="clear" w:pos="1191"/>
        <w:tab w:val="clear" w:pos="1588"/>
        <w:tab w:val="clear" w:pos="1985"/>
        <w:tab w:val="center" w:pos="7088"/>
        <w:tab w:val="left" w:pos="13041"/>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17</w:t>
    </w:r>
    <w:r w:rsidRPr="00972BCD">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41F7" w14:textId="269E5710" w:rsidR="003451A7" w:rsidRPr="00731D1C" w:rsidRDefault="003451A7" w:rsidP="00731D1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16</w:t>
    </w:r>
    <w:r w:rsidRPr="00972BCD">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D2EC" w14:textId="46AF13DF" w:rsidR="003451A7" w:rsidRPr="00731D1C" w:rsidRDefault="003451A7" w:rsidP="00731D1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CFF"/>
    <w:multiLevelType w:val="hybridMultilevel"/>
    <w:tmpl w:val="1CB4A968"/>
    <w:lvl w:ilvl="0" w:tplc="17EC18C2">
      <w:start w:val="5"/>
      <w:numFmt w:val="bullet"/>
      <w:lvlText w:val="-"/>
      <w:lvlJc w:val="left"/>
      <w:pPr>
        <w:ind w:left="720" w:hanging="360"/>
      </w:pPr>
      <w:rPr>
        <w:rFonts w:ascii="Calibri" w:eastAsia="Times New Roman" w:hAnsi="Calibri" w:cs="Times New Roman" w:hint="default"/>
      </w:rPr>
    </w:lvl>
    <w:lvl w:ilvl="1" w:tplc="3ACE7C40" w:tentative="1">
      <w:start w:val="1"/>
      <w:numFmt w:val="bullet"/>
      <w:lvlText w:val="o"/>
      <w:lvlJc w:val="left"/>
      <w:pPr>
        <w:ind w:left="1440" w:hanging="360"/>
      </w:pPr>
      <w:rPr>
        <w:rFonts w:ascii="Courier New" w:hAnsi="Courier New" w:cs="Courier New" w:hint="default"/>
      </w:rPr>
    </w:lvl>
    <w:lvl w:ilvl="2" w:tplc="2432E012" w:tentative="1">
      <w:start w:val="1"/>
      <w:numFmt w:val="bullet"/>
      <w:lvlText w:val=""/>
      <w:lvlJc w:val="left"/>
      <w:pPr>
        <w:ind w:left="2160" w:hanging="360"/>
      </w:pPr>
      <w:rPr>
        <w:rFonts w:ascii="Wingdings" w:hAnsi="Wingdings" w:hint="default"/>
      </w:rPr>
    </w:lvl>
    <w:lvl w:ilvl="3" w:tplc="8F006FDA" w:tentative="1">
      <w:start w:val="1"/>
      <w:numFmt w:val="bullet"/>
      <w:lvlText w:val=""/>
      <w:lvlJc w:val="left"/>
      <w:pPr>
        <w:ind w:left="2880" w:hanging="360"/>
      </w:pPr>
      <w:rPr>
        <w:rFonts w:ascii="Symbol" w:hAnsi="Symbol" w:hint="default"/>
      </w:rPr>
    </w:lvl>
    <w:lvl w:ilvl="4" w:tplc="9A8ECBA8" w:tentative="1">
      <w:start w:val="1"/>
      <w:numFmt w:val="bullet"/>
      <w:lvlText w:val="o"/>
      <w:lvlJc w:val="left"/>
      <w:pPr>
        <w:ind w:left="3600" w:hanging="360"/>
      </w:pPr>
      <w:rPr>
        <w:rFonts w:ascii="Courier New" w:hAnsi="Courier New" w:cs="Courier New" w:hint="default"/>
      </w:rPr>
    </w:lvl>
    <w:lvl w:ilvl="5" w:tplc="77C4F828" w:tentative="1">
      <w:start w:val="1"/>
      <w:numFmt w:val="bullet"/>
      <w:lvlText w:val=""/>
      <w:lvlJc w:val="left"/>
      <w:pPr>
        <w:ind w:left="4320" w:hanging="360"/>
      </w:pPr>
      <w:rPr>
        <w:rFonts w:ascii="Wingdings" w:hAnsi="Wingdings" w:hint="default"/>
      </w:rPr>
    </w:lvl>
    <w:lvl w:ilvl="6" w:tplc="E2BCC40E" w:tentative="1">
      <w:start w:val="1"/>
      <w:numFmt w:val="bullet"/>
      <w:lvlText w:val=""/>
      <w:lvlJc w:val="left"/>
      <w:pPr>
        <w:ind w:left="5040" w:hanging="360"/>
      </w:pPr>
      <w:rPr>
        <w:rFonts w:ascii="Symbol" w:hAnsi="Symbol" w:hint="default"/>
      </w:rPr>
    </w:lvl>
    <w:lvl w:ilvl="7" w:tplc="D5EA1548" w:tentative="1">
      <w:start w:val="1"/>
      <w:numFmt w:val="bullet"/>
      <w:lvlText w:val="o"/>
      <w:lvlJc w:val="left"/>
      <w:pPr>
        <w:ind w:left="5760" w:hanging="360"/>
      </w:pPr>
      <w:rPr>
        <w:rFonts w:ascii="Courier New" w:hAnsi="Courier New" w:cs="Courier New" w:hint="default"/>
      </w:rPr>
    </w:lvl>
    <w:lvl w:ilvl="8" w:tplc="CEB6AB00" w:tentative="1">
      <w:start w:val="1"/>
      <w:numFmt w:val="bullet"/>
      <w:lvlText w:val=""/>
      <w:lvlJc w:val="left"/>
      <w:pPr>
        <w:ind w:left="6480" w:hanging="360"/>
      </w:pPr>
      <w:rPr>
        <w:rFonts w:ascii="Wingdings" w:hAnsi="Wingdings" w:hint="default"/>
      </w:rPr>
    </w:lvl>
  </w:abstractNum>
  <w:abstractNum w:abstractNumId="1" w15:restartNumberingAfterBreak="0">
    <w:nsid w:val="0563488C"/>
    <w:multiLevelType w:val="hybridMultilevel"/>
    <w:tmpl w:val="AA227844"/>
    <w:lvl w:ilvl="0" w:tplc="0B0C4024">
      <w:start w:val="1"/>
      <w:numFmt w:val="bullet"/>
      <w:lvlText w:val="-"/>
      <w:lvlJc w:val="left"/>
      <w:pPr>
        <w:ind w:left="1080" w:hanging="360"/>
      </w:pPr>
      <w:rPr>
        <w:rFonts w:ascii="Calibri" w:eastAsia="Times New Roman" w:hAnsi="Calibri" w:cs="Calibri" w:hint="default"/>
      </w:rPr>
    </w:lvl>
    <w:lvl w:ilvl="1" w:tplc="F5B22F04" w:tentative="1">
      <w:start w:val="1"/>
      <w:numFmt w:val="bullet"/>
      <w:lvlText w:val="o"/>
      <w:lvlJc w:val="left"/>
      <w:pPr>
        <w:ind w:left="1800" w:hanging="360"/>
      </w:pPr>
      <w:rPr>
        <w:rFonts w:ascii="Courier New" w:hAnsi="Courier New" w:cs="Courier New" w:hint="default"/>
      </w:rPr>
    </w:lvl>
    <w:lvl w:ilvl="2" w:tplc="13CE0314" w:tentative="1">
      <w:start w:val="1"/>
      <w:numFmt w:val="bullet"/>
      <w:lvlText w:val=""/>
      <w:lvlJc w:val="left"/>
      <w:pPr>
        <w:ind w:left="2520" w:hanging="360"/>
      </w:pPr>
      <w:rPr>
        <w:rFonts w:ascii="Wingdings" w:hAnsi="Wingdings" w:hint="default"/>
      </w:rPr>
    </w:lvl>
    <w:lvl w:ilvl="3" w:tplc="61AC6F32" w:tentative="1">
      <w:start w:val="1"/>
      <w:numFmt w:val="bullet"/>
      <w:lvlText w:val=""/>
      <w:lvlJc w:val="left"/>
      <w:pPr>
        <w:ind w:left="3240" w:hanging="360"/>
      </w:pPr>
      <w:rPr>
        <w:rFonts w:ascii="Symbol" w:hAnsi="Symbol" w:hint="default"/>
      </w:rPr>
    </w:lvl>
    <w:lvl w:ilvl="4" w:tplc="49D293B8" w:tentative="1">
      <w:start w:val="1"/>
      <w:numFmt w:val="bullet"/>
      <w:lvlText w:val="o"/>
      <w:lvlJc w:val="left"/>
      <w:pPr>
        <w:ind w:left="3960" w:hanging="360"/>
      </w:pPr>
      <w:rPr>
        <w:rFonts w:ascii="Courier New" w:hAnsi="Courier New" w:cs="Courier New" w:hint="default"/>
      </w:rPr>
    </w:lvl>
    <w:lvl w:ilvl="5" w:tplc="7CFEC416" w:tentative="1">
      <w:start w:val="1"/>
      <w:numFmt w:val="bullet"/>
      <w:lvlText w:val=""/>
      <w:lvlJc w:val="left"/>
      <w:pPr>
        <w:ind w:left="4680" w:hanging="360"/>
      </w:pPr>
      <w:rPr>
        <w:rFonts w:ascii="Wingdings" w:hAnsi="Wingdings" w:hint="default"/>
      </w:rPr>
    </w:lvl>
    <w:lvl w:ilvl="6" w:tplc="2C287B0E" w:tentative="1">
      <w:start w:val="1"/>
      <w:numFmt w:val="bullet"/>
      <w:lvlText w:val=""/>
      <w:lvlJc w:val="left"/>
      <w:pPr>
        <w:ind w:left="5400" w:hanging="360"/>
      </w:pPr>
      <w:rPr>
        <w:rFonts w:ascii="Symbol" w:hAnsi="Symbol" w:hint="default"/>
      </w:rPr>
    </w:lvl>
    <w:lvl w:ilvl="7" w:tplc="33B27952" w:tentative="1">
      <w:start w:val="1"/>
      <w:numFmt w:val="bullet"/>
      <w:lvlText w:val="o"/>
      <w:lvlJc w:val="left"/>
      <w:pPr>
        <w:ind w:left="6120" w:hanging="360"/>
      </w:pPr>
      <w:rPr>
        <w:rFonts w:ascii="Courier New" w:hAnsi="Courier New" w:cs="Courier New" w:hint="default"/>
      </w:rPr>
    </w:lvl>
    <w:lvl w:ilvl="8" w:tplc="A85C70E0" w:tentative="1">
      <w:start w:val="1"/>
      <w:numFmt w:val="bullet"/>
      <w:lvlText w:val=""/>
      <w:lvlJc w:val="left"/>
      <w:pPr>
        <w:ind w:left="6840" w:hanging="360"/>
      </w:pPr>
      <w:rPr>
        <w:rFonts w:ascii="Wingdings" w:hAnsi="Wingdings" w:hint="default"/>
      </w:rPr>
    </w:lvl>
  </w:abstractNum>
  <w:abstractNum w:abstractNumId="2" w15:restartNumberingAfterBreak="0">
    <w:nsid w:val="0BDD507B"/>
    <w:multiLevelType w:val="hybridMultilevel"/>
    <w:tmpl w:val="7884D400"/>
    <w:lvl w:ilvl="0" w:tplc="D3F873CE">
      <w:start w:val="1"/>
      <w:numFmt w:val="bullet"/>
      <w:lvlText w:val=""/>
      <w:lvlJc w:val="left"/>
      <w:pPr>
        <w:ind w:left="720" w:hanging="360"/>
      </w:pPr>
      <w:rPr>
        <w:rFonts w:ascii="Wingdings" w:hAnsi="Wingdings" w:hint="default"/>
      </w:rPr>
    </w:lvl>
    <w:lvl w:ilvl="1" w:tplc="1B585D50">
      <w:start w:val="1"/>
      <w:numFmt w:val="bullet"/>
      <w:lvlText w:val="o"/>
      <w:lvlJc w:val="left"/>
      <w:pPr>
        <w:ind w:left="1440" w:hanging="360"/>
      </w:pPr>
      <w:rPr>
        <w:rFonts w:ascii="Courier New" w:hAnsi="Courier New" w:cs="Courier New" w:hint="default"/>
      </w:rPr>
    </w:lvl>
    <w:lvl w:ilvl="2" w:tplc="37F884AA" w:tentative="1">
      <w:start w:val="1"/>
      <w:numFmt w:val="bullet"/>
      <w:lvlText w:val=""/>
      <w:lvlJc w:val="left"/>
      <w:pPr>
        <w:ind w:left="2160" w:hanging="360"/>
      </w:pPr>
      <w:rPr>
        <w:rFonts w:ascii="Wingdings" w:hAnsi="Wingdings" w:hint="default"/>
      </w:rPr>
    </w:lvl>
    <w:lvl w:ilvl="3" w:tplc="FED26FC8" w:tentative="1">
      <w:start w:val="1"/>
      <w:numFmt w:val="bullet"/>
      <w:lvlText w:val=""/>
      <w:lvlJc w:val="left"/>
      <w:pPr>
        <w:ind w:left="2880" w:hanging="360"/>
      </w:pPr>
      <w:rPr>
        <w:rFonts w:ascii="Symbol" w:hAnsi="Symbol" w:hint="default"/>
      </w:rPr>
    </w:lvl>
    <w:lvl w:ilvl="4" w:tplc="C0F04914" w:tentative="1">
      <w:start w:val="1"/>
      <w:numFmt w:val="bullet"/>
      <w:lvlText w:val="o"/>
      <w:lvlJc w:val="left"/>
      <w:pPr>
        <w:ind w:left="3600" w:hanging="360"/>
      </w:pPr>
      <w:rPr>
        <w:rFonts w:ascii="Courier New" w:hAnsi="Courier New" w:cs="Courier New" w:hint="default"/>
      </w:rPr>
    </w:lvl>
    <w:lvl w:ilvl="5" w:tplc="013EFE2E" w:tentative="1">
      <w:start w:val="1"/>
      <w:numFmt w:val="bullet"/>
      <w:lvlText w:val=""/>
      <w:lvlJc w:val="left"/>
      <w:pPr>
        <w:ind w:left="4320" w:hanging="360"/>
      </w:pPr>
      <w:rPr>
        <w:rFonts w:ascii="Wingdings" w:hAnsi="Wingdings" w:hint="default"/>
      </w:rPr>
    </w:lvl>
    <w:lvl w:ilvl="6" w:tplc="F2A4FF3A" w:tentative="1">
      <w:start w:val="1"/>
      <w:numFmt w:val="bullet"/>
      <w:lvlText w:val=""/>
      <w:lvlJc w:val="left"/>
      <w:pPr>
        <w:ind w:left="5040" w:hanging="360"/>
      </w:pPr>
      <w:rPr>
        <w:rFonts w:ascii="Symbol" w:hAnsi="Symbol" w:hint="default"/>
      </w:rPr>
    </w:lvl>
    <w:lvl w:ilvl="7" w:tplc="FF8C61BA" w:tentative="1">
      <w:start w:val="1"/>
      <w:numFmt w:val="bullet"/>
      <w:lvlText w:val="o"/>
      <w:lvlJc w:val="left"/>
      <w:pPr>
        <w:ind w:left="5760" w:hanging="360"/>
      </w:pPr>
      <w:rPr>
        <w:rFonts w:ascii="Courier New" w:hAnsi="Courier New" w:cs="Courier New" w:hint="default"/>
      </w:rPr>
    </w:lvl>
    <w:lvl w:ilvl="8" w:tplc="919A6CE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3D"/>
    <w:rsid w:val="00007622"/>
    <w:rsid w:val="000135AE"/>
    <w:rsid w:val="000225C0"/>
    <w:rsid w:val="0003205C"/>
    <w:rsid w:val="00033D49"/>
    <w:rsid w:val="00060F7C"/>
    <w:rsid w:val="000725A1"/>
    <w:rsid w:val="00074229"/>
    <w:rsid w:val="00094CC3"/>
    <w:rsid w:val="000A293D"/>
    <w:rsid w:val="000A6517"/>
    <w:rsid w:val="000B2D15"/>
    <w:rsid w:val="000B3896"/>
    <w:rsid w:val="000C0AA7"/>
    <w:rsid w:val="000E7A0A"/>
    <w:rsid w:val="000F578A"/>
    <w:rsid w:val="00162AE9"/>
    <w:rsid w:val="00194CB2"/>
    <w:rsid w:val="001E1E3C"/>
    <w:rsid w:val="001E6060"/>
    <w:rsid w:val="00205CE2"/>
    <w:rsid w:val="00213302"/>
    <w:rsid w:val="00220223"/>
    <w:rsid w:val="00221C14"/>
    <w:rsid w:val="0022503F"/>
    <w:rsid w:val="00225D2E"/>
    <w:rsid w:val="00241CB9"/>
    <w:rsid w:val="002641AC"/>
    <w:rsid w:val="00284725"/>
    <w:rsid w:val="002908A7"/>
    <w:rsid w:val="00290CF4"/>
    <w:rsid w:val="002A7FAB"/>
    <w:rsid w:val="002D4BE6"/>
    <w:rsid w:val="002D6772"/>
    <w:rsid w:val="002E177B"/>
    <w:rsid w:val="00302736"/>
    <w:rsid w:val="003166C0"/>
    <w:rsid w:val="003226C8"/>
    <w:rsid w:val="00325213"/>
    <w:rsid w:val="0033649F"/>
    <w:rsid w:val="0033733F"/>
    <w:rsid w:val="003400AE"/>
    <w:rsid w:val="003451A7"/>
    <w:rsid w:val="00350F9E"/>
    <w:rsid w:val="00360762"/>
    <w:rsid w:val="00370212"/>
    <w:rsid w:val="00390391"/>
    <w:rsid w:val="003940B9"/>
    <w:rsid w:val="003A7790"/>
    <w:rsid w:val="003A7CC7"/>
    <w:rsid w:val="003C0D95"/>
    <w:rsid w:val="003C6268"/>
    <w:rsid w:val="003D303D"/>
    <w:rsid w:val="003D33FC"/>
    <w:rsid w:val="003D4CFB"/>
    <w:rsid w:val="004119AF"/>
    <w:rsid w:val="00420430"/>
    <w:rsid w:val="00423AF7"/>
    <w:rsid w:val="00482632"/>
    <w:rsid w:val="00484AF1"/>
    <w:rsid w:val="00484FC9"/>
    <w:rsid w:val="0049509A"/>
    <w:rsid w:val="00495C02"/>
    <w:rsid w:val="004B7893"/>
    <w:rsid w:val="004D45B5"/>
    <w:rsid w:val="004E7861"/>
    <w:rsid w:val="004F6E98"/>
    <w:rsid w:val="004F78F4"/>
    <w:rsid w:val="00532091"/>
    <w:rsid w:val="00532145"/>
    <w:rsid w:val="00534242"/>
    <w:rsid w:val="00534463"/>
    <w:rsid w:val="00535C50"/>
    <w:rsid w:val="005442CF"/>
    <w:rsid w:val="005557A3"/>
    <w:rsid w:val="005637B9"/>
    <w:rsid w:val="005643DC"/>
    <w:rsid w:val="00585857"/>
    <w:rsid w:val="005A3B06"/>
    <w:rsid w:val="005B0579"/>
    <w:rsid w:val="005C3076"/>
    <w:rsid w:val="005D01EC"/>
    <w:rsid w:val="005D1176"/>
    <w:rsid w:val="005D56EA"/>
    <w:rsid w:val="005E57BD"/>
    <w:rsid w:val="00602B27"/>
    <w:rsid w:val="00612F88"/>
    <w:rsid w:val="0062064F"/>
    <w:rsid w:val="00631507"/>
    <w:rsid w:val="006339E7"/>
    <w:rsid w:val="00635A62"/>
    <w:rsid w:val="00645CB9"/>
    <w:rsid w:val="00646B63"/>
    <w:rsid w:val="006600B8"/>
    <w:rsid w:val="00665B16"/>
    <w:rsid w:val="006769BC"/>
    <w:rsid w:val="006B1B03"/>
    <w:rsid w:val="006B7D22"/>
    <w:rsid w:val="006E4AB3"/>
    <w:rsid w:val="006E6945"/>
    <w:rsid w:val="006F39EB"/>
    <w:rsid w:val="00700FEE"/>
    <w:rsid w:val="007028E0"/>
    <w:rsid w:val="007126C1"/>
    <w:rsid w:val="00721728"/>
    <w:rsid w:val="00730BB5"/>
    <w:rsid w:val="00731D1C"/>
    <w:rsid w:val="00760829"/>
    <w:rsid w:val="00765B2B"/>
    <w:rsid w:val="007675DA"/>
    <w:rsid w:val="00771E19"/>
    <w:rsid w:val="007A5EE9"/>
    <w:rsid w:val="007B19E6"/>
    <w:rsid w:val="007C3061"/>
    <w:rsid w:val="007D7426"/>
    <w:rsid w:val="007E471D"/>
    <w:rsid w:val="00801A5C"/>
    <w:rsid w:val="00805497"/>
    <w:rsid w:val="00822024"/>
    <w:rsid w:val="00823414"/>
    <w:rsid w:val="00835A77"/>
    <w:rsid w:val="00853692"/>
    <w:rsid w:val="0086435F"/>
    <w:rsid w:val="0086509F"/>
    <w:rsid w:val="00873749"/>
    <w:rsid w:val="00880FCC"/>
    <w:rsid w:val="0088106F"/>
    <w:rsid w:val="00887E07"/>
    <w:rsid w:val="008A066E"/>
    <w:rsid w:val="008A67D4"/>
    <w:rsid w:val="008C1852"/>
    <w:rsid w:val="008D789A"/>
    <w:rsid w:val="008E36C6"/>
    <w:rsid w:val="008F43A8"/>
    <w:rsid w:val="0090342B"/>
    <w:rsid w:val="00905778"/>
    <w:rsid w:val="00906D93"/>
    <w:rsid w:val="00917B12"/>
    <w:rsid w:val="00937000"/>
    <w:rsid w:val="009378C9"/>
    <w:rsid w:val="00942C3B"/>
    <w:rsid w:val="009473BC"/>
    <w:rsid w:val="009500C9"/>
    <w:rsid w:val="009752D2"/>
    <w:rsid w:val="0097790E"/>
    <w:rsid w:val="00991B13"/>
    <w:rsid w:val="00992494"/>
    <w:rsid w:val="009952F6"/>
    <w:rsid w:val="009A3F0B"/>
    <w:rsid w:val="009A6FC4"/>
    <w:rsid w:val="009B6421"/>
    <w:rsid w:val="009D1BD4"/>
    <w:rsid w:val="00A33516"/>
    <w:rsid w:val="00A40797"/>
    <w:rsid w:val="00A5291B"/>
    <w:rsid w:val="00A87DD9"/>
    <w:rsid w:val="00A93009"/>
    <w:rsid w:val="00AA076A"/>
    <w:rsid w:val="00AA542B"/>
    <w:rsid w:val="00AC3140"/>
    <w:rsid w:val="00AC3C20"/>
    <w:rsid w:val="00AC54E2"/>
    <w:rsid w:val="00AD0BBA"/>
    <w:rsid w:val="00AD5971"/>
    <w:rsid w:val="00AD7555"/>
    <w:rsid w:val="00AE03FE"/>
    <w:rsid w:val="00AE1BA7"/>
    <w:rsid w:val="00AF563E"/>
    <w:rsid w:val="00B27234"/>
    <w:rsid w:val="00B310FB"/>
    <w:rsid w:val="00B34A5D"/>
    <w:rsid w:val="00B46AEE"/>
    <w:rsid w:val="00B625A1"/>
    <w:rsid w:val="00B652D4"/>
    <w:rsid w:val="00B66A7C"/>
    <w:rsid w:val="00B70859"/>
    <w:rsid w:val="00B80BE6"/>
    <w:rsid w:val="00BC6E46"/>
    <w:rsid w:val="00BC7208"/>
    <w:rsid w:val="00C16FC1"/>
    <w:rsid w:val="00C24D36"/>
    <w:rsid w:val="00C3328F"/>
    <w:rsid w:val="00C3346B"/>
    <w:rsid w:val="00C33528"/>
    <w:rsid w:val="00C63BFA"/>
    <w:rsid w:val="00C84240"/>
    <w:rsid w:val="00C84B0B"/>
    <w:rsid w:val="00C87F8E"/>
    <w:rsid w:val="00CB0F17"/>
    <w:rsid w:val="00CE59B0"/>
    <w:rsid w:val="00CF26F1"/>
    <w:rsid w:val="00D06805"/>
    <w:rsid w:val="00D116B7"/>
    <w:rsid w:val="00D16175"/>
    <w:rsid w:val="00D300DA"/>
    <w:rsid w:val="00D33D25"/>
    <w:rsid w:val="00D372A5"/>
    <w:rsid w:val="00D4116C"/>
    <w:rsid w:val="00D73162"/>
    <w:rsid w:val="00D73D50"/>
    <w:rsid w:val="00D8251F"/>
    <w:rsid w:val="00D977EB"/>
    <w:rsid w:val="00DA3E0E"/>
    <w:rsid w:val="00DC7E49"/>
    <w:rsid w:val="00DD2ACD"/>
    <w:rsid w:val="00DD352F"/>
    <w:rsid w:val="00DF29B8"/>
    <w:rsid w:val="00E109B2"/>
    <w:rsid w:val="00E145ED"/>
    <w:rsid w:val="00E17138"/>
    <w:rsid w:val="00E204A0"/>
    <w:rsid w:val="00E2673A"/>
    <w:rsid w:val="00E3519F"/>
    <w:rsid w:val="00E47DC2"/>
    <w:rsid w:val="00E51C72"/>
    <w:rsid w:val="00E55829"/>
    <w:rsid w:val="00E77405"/>
    <w:rsid w:val="00E827C2"/>
    <w:rsid w:val="00E934B6"/>
    <w:rsid w:val="00EA55DD"/>
    <w:rsid w:val="00EA65CB"/>
    <w:rsid w:val="00EB6D19"/>
    <w:rsid w:val="00ED2681"/>
    <w:rsid w:val="00EF446A"/>
    <w:rsid w:val="00EF5664"/>
    <w:rsid w:val="00F01E28"/>
    <w:rsid w:val="00F04E0C"/>
    <w:rsid w:val="00F12690"/>
    <w:rsid w:val="00F2238C"/>
    <w:rsid w:val="00F3664C"/>
    <w:rsid w:val="00F46C87"/>
    <w:rsid w:val="00F55308"/>
    <w:rsid w:val="00F6489D"/>
    <w:rsid w:val="00F71139"/>
    <w:rsid w:val="00FA67A2"/>
    <w:rsid w:val="00FB0560"/>
    <w:rsid w:val="00FD3A29"/>
    <w:rsid w:val="00FD463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1EA583"/>
  <w15:docId w15:val="{40CF4BD3-3FBB-42A8-97C7-0C13BCFF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5B0579"/>
    <w:rPr>
      <w:color w:val="605E5C"/>
      <w:shd w:val="clear" w:color="auto" w:fill="E1DFDD"/>
    </w:rPr>
  </w:style>
  <w:style w:type="character" w:styleId="FollowedHyperlink">
    <w:name w:val="FollowedHyperlink"/>
    <w:basedOn w:val="DefaultParagraphFont"/>
    <w:uiPriority w:val="99"/>
    <w:semiHidden/>
    <w:unhideWhenUsed/>
    <w:rsid w:val="00C16FC1"/>
    <w:rPr>
      <w:color w:val="800080" w:themeColor="followedHyperlink"/>
      <w:u w:val="single"/>
    </w:rPr>
  </w:style>
  <w:style w:type="table" w:styleId="GridTable1Light-Accent1">
    <w:name w:val="Grid Table 1 Light Accent 1"/>
    <w:basedOn w:val="TableNormal"/>
    <w:uiPriority w:val="46"/>
    <w:rsid w:val="00B46AE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0577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77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3.xml"/><Relationship Id="rId26" Type="http://schemas.openxmlformats.org/officeDocument/2006/relationships/image" Target="media/image10.emf"/><Relationship Id="rId39" Type="http://schemas.openxmlformats.org/officeDocument/2006/relationships/image" Target="media/image23.emf"/><Relationship Id="rId21" Type="http://schemas.openxmlformats.org/officeDocument/2006/relationships/image" Target="media/image7.jpeg"/><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header" Target="header7.xml"/><Relationship Id="rId50" Type="http://schemas.openxmlformats.org/officeDocument/2006/relationships/image" Target="media/image31.emf"/><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3.emf"/><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image" Target="media/image34.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4.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footer" Target="footer5.xml"/><Relationship Id="rId56"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header" Target="header6.xml"/><Relationship Id="rId20" Type="http://schemas.openxmlformats.org/officeDocument/2006/relationships/footer" Target="footer4.xml"/><Relationship Id="rId41" Type="http://schemas.openxmlformats.org/officeDocument/2006/relationships/image" Target="media/image25.emf"/><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5.xml"/><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image" Target="media/image30.e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image" Target="media/image33.emf"/></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9920-3468-464D-B7E7-91846DE0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544</TotalTime>
  <Pages>69</Pages>
  <Words>9885</Words>
  <Characters>56347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cp:lastModifiedBy>
  <cp:revision>47</cp:revision>
  <cp:lastPrinted>2020-03-03T16:51:00Z</cp:lastPrinted>
  <dcterms:created xsi:type="dcterms:W3CDTF">2020-03-04T13:59:00Z</dcterms:created>
  <dcterms:modified xsi:type="dcterms:W3CDTF">2020-03-10T15:18:00Z</dcterms:modified>
</cp:coreProperties>
</file>