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53093" w14:textId="7FCDE2F8" w:rsidR="00835A77" w:rsidRDefault="00835A77" w:rsidP="00BC7208">
      <w:pPr>
        <w:rPr>
          <w:lang w:val="es-ES_tradnl"/>
        </w:rPr>
      </w:pPr>
    </w:p>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E6890" w:rsidRPr="00B7555F" w14:paraId="79B3D81A" w14:textId="77777777" w:rsidTr="00E70E0E">
        <w:trPr>
          <w:cantSplit/>
          <w:trHeight w:val="1134"/>
        </w:trPr>
        <w:tc>
          <w:tcPr>
            <w:tcW w:w="6663" w:type="dxa"/>
            <w:tcBorders>
              <w:bottom w:val="single" w:sz="12" w:space="0" w:color="auto"/>
            </w:tcBorders>
          </w:tcPr>
          <w:p w14:paraId="477E7711" w14:textId="77777777" w:rsidR="001E6890" w:rsidRPr="00DD5CBE" w:rsidRDefault="001E6890" w:rsidP="00E70E0E">
            <w:pPr>
              <w:rPr>
                <w:b/>
                <w:bCs/>
                <w:sz w:val="32"/>
                <w:szCs w:val="32"/>
                <w:lang w:val="es-ES"/>
              </w:rPr>
            </w:pPr>
            <w:r w:rsidRPr="00DD5CBE">
              <w:rPr>
                <w:rFonts w:cstheme="minorHAnsi"/>
                <w:b/>
                <w:bCs/>
                <w:sz w:val="32"/>
                <w:szCs w:val="32"/>
                <w:lang w:val="es-ES"/>
              </w:rPr>
              <w:t>Grupo Asesor de Desarrollo de las Telecomunicaciones (GADT</w:t>
            </w:r>
            <w:r w:rsidRPr="00DD5CBE">
              <w:rPr>
                <w:b/>
                <w:bCs/>
                <w:sz w:val="32"/>
                <w:szCs w:val="32"/>
                <w:lang w:val="es-ES"/>
              </w:rPr>
              <w:t>)</w:t>
            </w:r>
          </w:p>
          <w:p w14:paraId="59AA96AC" w14:textId="16C86365" w:rsidR="001E6890" w:rsidRPr="00DD5CBE" w:rsidRDefault="001E6890" w:rsidP="00E70E0E">
            <w:pPr>
              <w:spacing w:before="100" w:after="120"/>
              <w:rPr>
                <w:rFonts w:ascii="Verdana" w:hAnsi="Verdana"/>
                <w:sz w:val="28"/>
                <w:szCs w:val="28"/>
                <w:lang w:val="es-ES"/>
              </w:rPr>
            </w:pPr>
            <w:r w:rsidRPr="00DD5CBE">
              <w:rPr>
                <w:b/>
                <w:bCs/>
                <w:sz w:val="26"/>
                <w:szCs w:val="26"/>
                <w:lang w:val="es-ES"/>
              </w:rPr>
              <w:t xml:space="preserve">25ª reunión, Ginebra, </w:t>
            </w:r>
            <w:r w:rsidR="005E2015">
              <w:rPr>
                <w:b/>
                <w:bCs/>
                <w:sz w:val="26"/>
                <w:szCs w:val="26"/>
                <w:lang w:val="es-ES"/>
              </w:rPr>
              <w:t>2-5</w:t>
            </w:r>
            <w:bookmarkStart w:id="0" w:name="_GoBack"/>
            <w:bookmarkEnd w:id="0"/>
            <w:r w:rsidRPr="00DD5CBE">
              <w:rPr>
                <w:b/>
                <w:bCs/>
                <w:sz w:val="26"/>
                <w:szCs w:val="26"/>
                <w:lang w:val="es-ES"/>
              </w:rPr>
              <w:t xml:space="preserve"> de </w:t>
            </w:r>
            <w:r w:rsidR="005E2015">
              <w:rPr>
                <w:b/>
                <w:bCs/>
                <w:sz w:val="26"/>
                <w:szCs w:val="26"/>
                <w:lang w:val="es-ES"/>
              </w:rPr>
              <w:t>junio</w:t>
            </w:r>
            <w:r w:rsidRPr="00DD5CBE">
              <w:rPr>
                <w:b/>
                <w:bCs/>
                <w:sz w:val="26"/>
                <w:szCs w:val="26"/>
                <w:lang w:val="es-ES"/>
              </w:rPr>
              <w:t xml:space="preserve"> de 2020</w:t>
            </w:r>
          </w:p>
        </w:tc>
        <w:tc>
          <w:tcPr>
            <w:tcW w:w="3225" w:type="dxa"/>
            <w:tcBorders>
              <w:bottom w:val="single" w:sz="12" w:space="0" w:color="auto"/>
            </w:tcBorders>
          </w:tcPr>
          <w:p w14:paraId="006339FA" w14:textId="77777777" w:rsidR="001E6890" w:rsidRPr="00DD5CBE" w:rsidRDefault="001E6890" w:rsidP="00E70E0E">
            <w:pPr>
              <w:spacing w:before="40" w:after="80"/>
              <w:ind w:right="142"/>
              <w:rPr>
                <w:lang w:val="es-ES"/>
              </w:rPr>
            </w:pPr>
            <w:r w:rsidRPr="00DD5CBE">
              <w:rPr>
                <w:noProof/>
                <w:color w:val="3399FF"/>
                <w:lang w:val="es-ES" w:eastAsia="zh-CN"/>
              </w:rPr>
              <w:drawing>
                <wp:anchor distT="0" distB="0" distL="114300" distR="114300" simplePos="0" relativeHeight="251659264" behindDoc="0" locked="0" layoutInCell="1" allowOverlap="1" wp14:anchorId="5AAC53F0" wp14:editId="201CFBED">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E6890" w:rsidRPr="00B7555F" w14:paraId="1E51CBCA" w14:textId="77777777" w:rsidTr="004B7893">
        <w:trPr>
          <w:cantSplit/>
        </w:trPr>
        <w:tc>
          <w:tcPr>
            <w:tcW w:w="6663" w:type="dxa"/>
            <w:tcBorders>
              <w:top w:val="single" w:sz="12" w:space="0" w:color="auto"/>
            </w:tcBorders>
          </w:tcPr>
          <w:p w14:paraId="037644B4" w14:textId="77777777" w:rsidR="001E6890" w:rsidRPr="00DD5CBE" w:rsidRDefault="001E6890" w:rsidP="00E70E0E">
            <w:pPr>
              <w:spacing w:before="0"/>
              <w:rPr>
                <w:rFonts w:cs="Arial"/>
                <w:b/>
                <w:bCs/>
                <w:sz w:val="20"/>
                <w:lang w:val="es-ES"/>
              </w:rPr>
            </w:pPr>
          </w:p>
        </w:tc>
        <w:tc>
          <w:tcPr>
            <w:tcW w:w="3225" w:type="dxa"/>
            <w:tcBorders>
              <w:top w:val="single" w:sz="12" w:space="0" w:color="auto"/>
            </w:tcBorders>
          </w:tcPr>
          <w:p w14:paraId="6B36546D" w14:textId="77777777" w:rsidR="001E6890" w:rsidRPr="00DD5CBE" w:rsidRDefault="001E6890" w:rsidP="00E70E0E">
            <w:pPr>
              <w:spacing w:before="0"/>
              <w:rPr>
                <w:b/>
                <w:bCs/>
                <w:sz w:val="20"/>
                <w:lang w:val="es-ES"/>
              </w:rPr>
            </w:pPr>
          </w:p>
        </w:tc>
      </w:tr>
      <w:tr w:rsidR="001E6890" w:rsidRPr="00B25206" w14:paraId="17270EB1" w14:textId="77777777" w:rsidTr="004B7893">
        <w:trPr>
          <w:cantSplit/>
        </w:trPr>
        <w:tc>
          <w:tcPr>
            <w:tcW w:w="6663" w:type="dxa"/>
          </w:tcPr>
          <w:p w14:paraId="4303D754" w14:textId="77777777" w:rsidR="001E6890" w:rsidRPr="00DD5CBE" w:rsidRDefault="001E6890" w:rsidP="00E70E0E">
            <w:pPr>
              <w:pStyle w:val="Committee"/>
              <w:spacing w:before="0"/>
              <w:rPr>
                <w:b w:val="0"/>
                <w:lang w:val="es-ES"/>
              </w:rPr>
            </w:pPr>
          </w:p>
        </w:tc>
        <w:tc>
          <w:tcPr>
            <w:tcW w:w="3225" w:type="dxa"/>
          </w:tcPr>
          <w:p w14:paraId="05688E48" w14:textId="454686B5" w:rsidR="001E6890" w:rsidRPr="00DD5CBE" w:rsidRDefault="001E6890" w:rsidP="00E70E0E">
            <w:pPr>
              <w:spacing w:before="0"/>
              <w:rPr>
                <w:bCs/>
                <w:lang w:val="es-ES"/>
              </w:rPr>
            </w:pPr>
            <w:r w:rsidRPr="00DD5CBE">
              <w:rPr>
                <w:b/>
                <w:bCs/>
                <w:lang w:val="es-ES"/>
              </w:rPr>
              <w:t xml:space="preserve">Documento </w:t>
            </w:r>
            <w:bookmarkStart w:id="1" w:name="DocRef1"/>
            <w:bookmarkEnd w:id="1"/>
            <w:r w:rsidRPr="00DD5CBE">
              <w:rPr>
                <w:b/>
                <w:bCs/>
                <w:lang w:val="es-ES"/>
              </w:rPr>
              <w:t>TDAG-20/</w:t>
            </w:r>
            <w:bookmarkStart w:id="2" w:name="DocNo1"/>
            <w:bookmarkEnd w:id="2"/>
            <w:r w:rsidRPr="00DD5CBE">
              <w:rPr>
                <w:b/>
                <w:bCs/>
                <w:lang w:val="es-ES"/>
              </w:rPr>
              <w:t>5-S</w:t>
            </w:r>
          </w:p>
        </w:tc>
      </w:tr>
      <w:tr w:rsidR="001E6890" w:rsidRPr="00DD5CBE" w14:paraId="3E208062" w14:textId="77777777" w:rsidTr="004B7893">
        <w:trPr>
          <w:cantSplit/>
        </w:trPr>
        <w:tc>
          <w:tcPr>
            <w:tcW w:w="6663" w:type="dxa"/>
          </w:tcPr>
          <w:p w14:paraId="506B480F" w14:textId="77777777" w:rsidR="001E6890" w:rsidRPr="00DD5CBE" w:rsidRDefault="001E6890" w:rsidP="00E70E0E">
            <w:pPr>
              <w:spacing w:before="0"/>
              <w:rPr>
                <w:b/>
                <w:bCs/>
                <w:smallCaps/>
                <w:lang w:val="es-ES"/>
              </w:rPr>
            </w:pPr>
          </w:p>
        </w:tc>
        <w:tc>
          <w:tcPr>
            <w:tcW w:w="3225" w:type="dxa"/>
          </w:tcPr>
          <w:p w14:paraId="3EB84449" w14:textId="77777777" w:rsidR="001E6890" w:rsidRPr="00DD5CBE" w:rsidRDefault="001E6890" w:rsidP="00E70E0E">
            <w:pPr>
              <w:spacing w:before="0"/>
              <w:rPr>
                <w:b/>
                <w:lang w:val="es-ES"/>
              </w:rPr>
            </w:pPr>
            <w:r w:rsidRPr="00DD5CBE">
              <w:rPr>
                <w:b/>
                <w:bCs/>
                <w:szCs w:val="28"/>
                <w:lang w:val="es-ES"/>
              </w:rPr>
              <w:t>6 de febrero de 2020</w:t>
            </w:r>
          </w:p>
        </w:tc>
      </w:tr>
      <w:tr w:rsidR="001E6890" w:rsidRPr="00DD5CBE" w14:paraId="3E6808DF" w14:textId="77777777" w:rsidTr="004B7893">
        <w:trPr>
          <w:cantSplit/>
        </w:trPr>
        <w:tc>
          <w:tcPr>
            <w:tcW w:w="6663" w:type="dxa"/>
          </w:tcPr>
          <w:p w14:paraId="7FE9FD99" w14:textId="77777777" w:rsidR="001E6890" w:rsidRPr="00DD5CBE" w:rsidRDefault="001E6890" w:rsidP="00E70E0E">
            <w:pPr>
              <w:spacing w:before="0"/>
              <w:rPr>
                <w:b/>
                <w:bCs/>
                <w:smallCaps/>
                <w:lang w:val="es-ES"/>
              </w:rPr>
            </w:pPr>
          </w:p>
        </w:tc>
        <w:tc>
          <w:tcPr>
            <w:tcW w:w="3225" w:type="dxa"/>
          </w:tcPr>
          <w:p w14:paraId="4EB2DA28" w14:textId="77777777" w:rsidR="001E6890" w:rsidRPr="00DD5CBE" w:rsidRDefault="001E6890" w:rsidP="00E70E0E">
            <w:pPr>
              <w:spacing w:before="0"/>
              <w:rPr>
                <w:szCs w:val="24"/>
                <w:lang w:val="es-ES"/>
              </w:rPr>
            </w:pPr>
            <w:r w:rsidRPr="00DD5CBE">
              <w:rPr>
                <w:b/>
                <w:lang w:val="es-ES"/>
              </w:rPr>
              <w:t>Original:</w:t>
            </w:r>
            <w:bookmarkStart w:id="3" w:name="Original"/>
            <w:bookmarkEnd w:id="3"/>
            <w:r w:rsidRPr="00DD5CBE">
              <w:rPr>
                <w:b/>
                <w:lang w:val="es-ES"/>
              </w:rPr>
              <w:t xml:space="preserve"> inglés</w:t>
            </w:r>
          </w:p>
        </w:tc>
      </w:tr>
      <w:tr w:rsidR="001E6890" w:rsidRPr="00B7555F" w14:paraId="1F8D8EA7" w14:textId="77777777" w:rsidTr="004B7893">
        <w:trPr>
          <w:cantSplit/>
          <w:trHeight w:val="852"/>
        </w:trPr>
        <w:tc>
          <w:tcPr>
            <w:tcW w:w="9888" w:type="dxa"/>
            <w:gridSpan w:val="2"/>
          </w:tcPr>
          <w:p w14:paraId="382932C5" w14:textId="77777777" w:rsidR="001E6890" w:rsidRPr="00DD5CBE" w:rsidRDefault="001E6890" w:rsidP="00E70E0E">
            <w:pPr>
              <w:pStyle w:val="Source"/>
              <w:rPr>
                <w:szCs w:val="28"/>
                <w:lang w:val="es-ES"/>
              </w:rPr>
            </w:pPr>
            <w:r w:rsidRPr="00DD5CBE">
              <w:rPr>
                <w:lang w:val="es-ES"/>
              </w:rPr>
              <w:t>Presidente del Grupo de Coordinación Intersectorial (GCIS)</w:t>
            </w:r>
          </w:p>
        </w:tc>
      </w:tr>
      <w:tr w:rsidR="001E6890" w:rsidRPr="00B7555F" w14:paraId="4E402BE0" w14:textId="77777777" w:rsidTr="004B7893">
        <w:trPr>
          <w:cantSplit/>
        </w:trPr>
        <w:tc>
          <w:tcPr>
            <w:tcW w:w="9888" w:type="dxa"/>
            <w:gridSpan w:val="2"/>
          </w:tcPr>
          <w:p w14:paraId="14A66367" w14:textId="77777777" w:rsidR="001E6890" w:rsidRPr="00DD5CBE" w:rsidRDefault="001E6890" w:rsidP="00E70E0E">
            <w:pPr>
              <w:pStyle w:val="Title1"/>
              <w:rPr>
                <w:bCs/>
                <w:szCs w:val="28"/>
                <w:lang w:val="es-ES"/>
              </w:rPr>
            </w:pPr>
            <w:r w:rsidRPr="00DD5CBE">
              <w:rPr>
                <w:szCs w:val="28"/>
                <w:lang w:val="es-ES"/>
              </w:rPr>
              <w:t xml:space="preserve">INFORME sobre la marcha de los trabajos DEL GRUPO DE COORDINACIÓN INTERSECTORIAL (gcis) sobre </w:t>
            </w:r>
            <w:r>
              <w:rPr>
                <w:szCs w:val="28"/>
                <w:lang w:val="es-ES"/>
              </w:rPr>
              <w:t>ASUNTOS DE INTERÉS M</w:t>
            </w:r>
            <w:r w:rsidRPr="00DD5CBE">
              <w:rPr>
                <w:szCs w:val="28"/>
                <w:lang w:val="es-ES"/>
              </w:rPr>
              <w:t>UTUO</w:t>
            </w:r>
          </w:p>
        </w:tc>
      </w:tr>
      <w:tr w:rsidR="001E6890" w:rsidRPr="00B7555F" w14:paraId="4625386F" w14:textId="77777777" w:rsidTr="004B7893">
        <w:trPr>
          <w:cantSplit/>
        </w:trPr>
        <w:tc>
          <w:tcPr>
            <w:tcW w:w="9888" w:type="dxa"/>
            <w:gridSpan w:val="2"/>
            <w:tcBorders>
              <w:bottom w:val="single" w:sz="4" w:space="0" w:color="auto"/>
            </w:tcBorders>
          </w:tcPr>
          <w:p w14:paraId="0EE018D4" w14:textId="77777777" w:rsidR="001E6890" w:rsidRPr="00DD5CBE" w:rsidRDefault="001E6890" w:rsidP="00E70E0E">
            <w:pPr>
              <w:rPr>
                <w:lang w:val="es-ES"/>
              </w:rPr>
            </w:pPr>
          </w:p>
        </w:tc>
      </w:tr>
      <w:tr w:rsidR="001E6890" w:rsidRPr="00B7555F" w14:paraId="388CC4AE"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27610AD0" w14:textId="77777777" w:rsidR="001E6890" w:rsidRPr="001E6890" w:rsidRDefault="001E6890" w:rsidP="001E6890">
            <w:pPr>
              <w:spacing w:before="240"/>
              <w:rPr>
                <w:b/>
                <w:bCs/>
                <w:lang w:val="es-ES_tradnl"/>
              </w:rPr>
            </w:pPr>
            <w:r w:rsidRPr="001E6890">
              <w:rPr>
                <w:b/>
                <w:bCs/>
                <w:lang w:val="es-ES_tradnl"/>
              </w:rPr>
              <w:t>Resumen:</w:t>
            </w:r>
          </w:p>
          <w:p w14:paraId="50E89964" w14:textId="2E57DB3F" w:rsidR="001E6890" w:rsidRPr="00DD5CBE" w:rsidRDefault="001E6890" w:rsidP="001E6890">
            <w:pPr>
              <w:rPr>
                <w:b/>
                <w:bCs/>
                <w:lang w:val="es-ES"/>
              </w:rPr>
            </w:pPr>
            <w:r w:rsidRPr="00DD5CBE">
              <w:rPr>
                <w:lang w:val="es-ES"/>
              </w:rPr>
              <w:t>El presente documento contiene un informe sobre la marcha de los trabajos del Grupo de Coordinación Intersectorial (GCIS) sobre asuntos de interés mutuo, en el que se destacan las conclusiones de su reunión de abril de 2019 y las actividades de su última reunión, celebrada el</w:t>
            </w:r>
            <w:r w:rsidR="00B7555F">
              <w:rPr>
                <w:lang w:val="es-ES"/>
              </w:rPr>
              <w:t> </w:t>
            </w:r>
            <w:r w:rsidRPr="00DD5CBE">
              <w:rPr>
                <w:lang w:val="es-ES"/>
              </w:rPr>
              <w:t>25</w:t>
            </w:r>
            <w:r w:rsidR="00D9347A">
              <w:rPr>
                <w:lang w:val="es-ES"/>
              </w:rPr>
              <w:t> </w:t>
            </w:r>
            <w:r w:rsidRPr="00DD5CBE">
              <w:rPr>
                <w:lang w:val="es-ES"/>
              </w:rPr>
              <w:t>de septiembre de 2019 en Ginebra, junto con la reunión del Grupo Asesor de Normalización de las Telecomunicaciones (GANT).</w:t>
            </w:r>
          </w:p>
          <w:p w14:paraId="06516447" w14:textId="77777777" w:rsidR="001E6890" w:rsidRPr="001E6890" w:rsidRDefault="001E6890" w:rsidP="001E6890">
            <w:pPr>
              <w:rPr>
                <w:b/>
                <w:bCs/>
                <w:lang w:val="es-ES_tradnl"/>
              </w:rPr>
            </w:pPr>
            <w:r w:rsidRPr="001E6890">
              <w:rPr>
                <w:b/>
                <w:bCs/>
                <w:lang w:val="es-ES_tradnl"/>
              </w:rPr>
              <w:t xml:space="preserve">Acción solicitada: </w:t>
            </w:r>
          </w:p>
          <w:p w14:paraId="7B80AE30" w14:textId="77777777" w:rsidR="001E6890" w:rsidRPr="00DD5CBE" w:rsidRDefault="001E6890" w:rsidP="001E6890">
            <w:pPr>
              <w:rPr>
                <w:rFonts w:ascii="Calibri" w:hAnsi="Calibri"/>
                <w:bCs/>
                <w:color w:val="010000"/>
                <w:sz w:val="22"/>
                <w:szCs w:val="32"/>
                <w:lang w:val="es-ES"/>
              </w:rPr>
            </w:pPr>
            <w:r w:rsidRPr="00DD5CBE">
              <w:rPr>
                <w:lang w:val="es-ES"/>
              </w:rPr>
              <w:t>Se invita al GADT a que tome nota del presente informe y formule las orientaciones que considere oportunas.</w:t>
            </w:r>
          </w:p>
          <w:p w14:paraId="12A762B3" w14:textId="77777777" w:rsidR="001E6890" w:rsidRPr="00DD5CBE" w:rsidRDefault="001E6890" w:rsidP="001E6890">
            <w:pPr>
              <w:pStyle w:val="Headingb"/>
              <w:rPr>
                <w:lang w:val="es-ES"/>
              </w:rPr>
            </w:pPr>
            <w:r w:rsidRPr="00DD5CBE">
              <w:rPr>
                <w:lang w:val="es-ES"/>
              </w:rPr>
              <w:t>Referencias:</w:t>
            </w:r>
          </w:p>
          <w:p w14:paraId="003CD38F" w14:textId="04D97AFD" w:rsidR="001E6890" w:rsidRPr="00DD5CBE" w:rsidRDefault="001E6890" w:rsidP="001E6890">
            <w:pPr>
              <w:spacing w:after="120"/>
              <w:rPr>
                <w:b/>
                <w:bCs/>
                <w:lang w:val="es-ES"/>
              </w:rPr>
            </w:pPr>
            <w:r w:rsidRPr="00DD5CBE">
              <w:rPr>
                <w:szCs w:val="24"/>
                <w:lang w:val="es-ES"/>
              </w:rPr>
              <w:t>Resolución 191 (Rev. Dubái, 2028) de la Conferencia de Plenipotenciarios</w:t>
            </w:r>
            <w:r w:rsidRPr="001E6890">
              <w:rPr>
                <w:b/>
                <w:bCs/>
                <w:lang w:val="es-ES_tradnl"/>
              </w:rPr>
              <w:t>.</w:t>
            </w:r>
          </w:p>
        </w:tc>
      </w:tr>
    </w:tbl>
    <w:p w14:paraId="0B6215BE" w14:textId="264FF7B4" w:rsidR="001E6890" w:rsidRDefault="001E6890" w:rsidP="00E70E0E">
      <w:pPr>
        <w:tabs>
          <w:tab w:val="clear" w:pos="794"/>
          <w:tab w:val="clear" w:pos="1191"/>
          <w:tab w:val="clear" w:pos="1588"/>
          <w:tab w:val="clear" w:pos="1985"/>
        </w:tabs>
        <w:overflowPunct/>
        <w:autoSpaceDE/>
        <w:autoSpaceDN/>
        <w:adjustRightInd/>
        <w:spacing w:before="0" w:after="200"/>
        <w:textAlignment w:val="auto"/>
        <w:rPr>
          <w:b/>
          <w:bCs/>
          <w:lang w:val="es-ES"/>
        </w:rPr>
      </w:pPr>
      <w:r w:rsidRPr="00DD5CBE">
        <w:rPr>
          <w:b/>
          <w:bCs/>
          <w:lang w:val="es-ES"/>
        </w:rPr>
        <w:br w:type="page"/>
      </w:r>
    </w:p>
    <w:p w14:paraId="4CE8C34F" w14:textId="60A24753" w:rsidR="001E6890" w:rsidRPr="00DD5CBE" w:rsidRDefault="001E6890" w:rsidP="00F44082">
      <w:pPr>
        <w:pStyle w:val="Heading1"/>
        <w:rPr>
          <w:lang w:val="es-ES"/>
        </w:rPr>
      </w:pPr>
      <w:r w:rsidRPr="00DD5CBE">
        <w:rPr>
          <w:lang w:val="es-ES"/>
        </w:rPr>
        <w:lastRenderedPageBreak/>
        <w:t>1</w:t>
      </w:r>
      <w:r w:rsidRPr="00DD5CBE">
        <w:rPr>
          <w:lang w:val="es-ES"/>
        </w:rPr>
        <w:tab/>
        <w:t>Introducción</w:t>
      </w:r>
    </w:p>
    <w:p w14:paraId="18998AC3" w14:textId="184EE2AB" w:rsidR="001E6890" w:rsidRPr="00DD5CBE" w:rsidRDefault="001E6890" w:rsidP="00E70E0E">
      <w:pPr>
        <w:rPr>
          <w:lang w:val="es-ES"/>
        </w:rPr>
      </w:pPr>
      <w:r w:rsidRPr="00DD5CBE">
        <w:rPr>
          <w:lang w:val="es-ES"/>
        </w:rPr>
        <w:t xml:space="preserve">El </w:t>
      </w:r>
      <w:hyperlink r:id="rId9" w:history="1">
        <w:r w:rsidRPr="00161445">
          <w:rPr>
            <w:rStyle w:val="Hyperlink"/>
            <w:lang w:val="es-ES"/>
          </w:rPr>
          <w:t>Grupo de Coordinación Intersectorial (GCIS)</w:t>
        </w:r>
      </w:hyperlink>
      <w:r w:rsidRPr="00DD5CBE">
        <w:rPr>
          <w:lang w:val="es-ES"/>
        </w:rPr>
        <w:t xml:space="preserve"> sobre asuntos de interés mutuo fue establecido conjuntamente por el Grupo Asesor de Radiocomunicaciones (GAR), el Grupo Asesor de Normalización de las Telecomunicaciones (GANT) y el Grupo Asesor de Desarrollo de las Telecomunicaciones (GADT).</w:t>
      </w:r>
    </w:p>
    <w:p w14:paraId="556D253E" w14:textId="34507F4B" w:rsidR="001E6890" w:rsidRPr="00DD5CBE" w:rsidRDefault="001E6890" w:rsidP="00E70E0E">
      <w:pPr>
        <w:rPr>
          <w:rFonts w:cs="Arial"/>
          <w:lang w:val="es-ES"/>
        </w:rPr>
      </w:pPr>
      <w:r w:rsidRPr="00DD5CBE">
        <w:rPr>
          <w:rFonts w:cs="Arial"/>
          <w:lang w:val="es-ES"/>
        </w:rPr>
        <w:t xml:space="preserve">En consonancia con la </w:t>
      </w:r>
      <w:hyperlink r:id="rId10" w:history="1">
        <w:r w:rsidRPr="00796C73">
          <w:rPr>
            <w:rStyle w:val="Hyperlink"/>
            <w:rFonts w:cs="Arial"/>
            <w:lang w:val="es-ES"/>
          </w:rPr>
          <w:t>Resolución 191 (Rev. Dubái, 2018)</w:t>
        </w:r>
      </w:hyperlink>
      <w:r w:rsidRPr="00DD5CBE">
        <w:rPr>
          <w:rFonts w:cs="Arial"/>
          <w:lang w:val="es-ES"/>
        </w:rPr>
        <w:t xml:space="preserve"> de la Conferencia de Plenipotenciarios, el</w:t>
      </w:r>
      <w:r w:rsidR="00B7555F">
        <w:rPr>
          <w:rFonts w:cs="Arial"/>
          <w:lang w:val="es-ES"/>
        </w:rPr>
        <w:t> </w:t>
      </w:r>
      <w:r w:rsidRPr="00DD5CBE">
        <w:rPr>
          <w:rFonts w:cs="Arial"/>
          <w:lang w:val="es-ES"/>
        </w:rPr>
        <w:t>GAR, el GANT y el GADT siguen examinando, en particular por conducto del GCIS, las actividades en curso y las nuevas y su distribución entre el Sector de Radiocomunicaciones de la UIT (UIT-R), el Sector de Normalización de las Telecomunicaciones (UIT-T) y el Sector de Desarrollo de las Telecomunicaciones (UIT-D) para que las aprueben los Estados Miembros de la UIT, de conformidad con los procedimientos de aprobación de Cuestiones nuevas y revisadas</w:t>
      </w:r>
    </w:p>
    <w:p w14:paraId="573AA386" w14:textId="77777777" w:rsidR="001E6890" w:rsidRPr="00DD5CBE" w:rsidRDefault="001E6890" w:rsidP="00E70E0E">
      <w:pPr>
        <w:rPr>
          <w:rFonts w:cs="Arial"/>
          <w:lang w:val="es-ES"/>
        </w:rPr>
      </w:pPr>
      <w:r w:rsidRPr="00DD5CBE">
        <w:rPr>
          <w:rFonts w:cs="Arial"/>
          <w:lang w:val="es-ES"/>
        </w:rPr>
        <w:t>El GCIS identifica asuntos de interés para los tres Sectores y la Secretaría General, incluidos los de interés mutuo, y examina una lista actualizada (elaborada por la Secretaría) de asuntos de interés mutuo para los tres Sectores y la Secretaría General, en virtud de los mandatos asignados por cada Asamblea y Conferencia de la Unión;</w:t>
      </w:r>
    </w:p>
    <w:p w14:paraId="7FA02A03" w14:textId="77777777" w:rsidR="001E6890" w:rsidRPr="00DD5CBE" w:rsidRDefault="001E6890" w:rsidP="00E70E0E">
      <w:pPr>
        <w:rPr>
          <w:lang w:val="es-ES"/>
        </w:rPr>
      </w:pPr>
      <w:r w:rsidRPr="00DD5CBE">
        <w:rPr>
          <w:rFonts w:cs="Arial"/>
          <w:lang w:val="es-ES"/>
        </w:rPr>
        <w:t>El Grupo define asimismo los mecanismos necesarios para fortalecer la cooperación y las actividades conjuntas entre los tres Sectores y la Secretaría General, o con cada Sector, en relación con asuntos de interés común.</w:t>
      </w:r>
    </w:p>
    <w:p w14:paraId="3E78A93B" w14:textId="77777777" w:rsidR="001E6890" w:rsidRPr="00DD5CBE" w:rsidRDefault="001E6890" w:rsidP="00E70E0E">
      <w:pPr>
        <w:pStyle w:val="Heading1"/>
        <w:rPr>
          <w:rStyle w:val="Bold"/>
          <w:b/>
          <w:lang w:val="es-ES"/>
        </w:rPr>
      </w:pPr>
      <w:r w:rsidRPr="00DD5CBE">
        <w:rPr>
          <w:lang w:val="es-ES"/>
        </w:rPr>
        <w:t>2</w:t>
      </w:r>
      <w:r w:rsidRPr="00DD5CBE">
        <w:rPr>
          <w:lang w:val="es-ES"/>
        </w:rPr>
        <w:tab/>
      </w:r>
      <w:bookmarkStart w:id="4" w:name="lt_pId035"/>
      <w:r w:rsidRPr="00DD5CBE">
        <w:rPr>
          <w:lang w:val="es-ES"/>
        </w:rPr>
        <w:t xml:space="preserve">Reunión </w:t>
      </w:r>
      <w:bookmarkEnd w:id="4"/>
      <w:r w:rsidRPr="00DD5CBE">
        <w:rPr>
          <w:lang w:val="es-ES"/>
        </w:rPr>
        <w:t>del GCIS durante el GADT en septiembre de 2019</w:t>
      </w:r>
    </w:p>
    <w:p w14:paraId="360104E4" w14:textId="1889D739" w:rsidR="001E6890" w:rsidRPr="00DD5CBE" w:rsidRDefault="001E6890" w:rsidP="00E70E0E">
      <w:pPr>
        <w:overflowPunct/>
        <w:autoSpaceDE/>
        <w:autoSpaceDN/>
        <w:adjustRightInd/>
        <w:textAlignment w:val="auto"/>
        <w:rPr>
          <w:szCs w:val="24"/>
          <w:lang w:val="es-ES"/>
        </w:rPr>
      </w:pPr>
      <w:bookmarkStart w:id="5" w:name="lt_pId034"/>
      <w:r w:rsidRPr="00DD5CBE">
        <w:rPr>
          <w:szCs w:val="24"/>
          <w:lang w:val="es-ES"/>
        </w:rPr>
        <w:t>El GCIS se reunió por última vez el 25 de septiembre de 2019, en el marco de la reunión del GANT (Ginebra, 23-27 de septiembre de 2019). La secretaría presentó varios asuntos de posible interés mutuo para los tres Sectores y la Secretaría General, correspondencias con respecto las resoluciones de la PP, la AR, la AMNT y la CMDT, y el examen de varios asuntos de interés mutuo para Comisiones de Estudio del UIT-R, el UIT-T y el UIT-D.</w:t>
      </w:r>
      <w:bookmarkEnd w:id="5"/>
    </w:p>
    <w:p w14:paraId="60256B1A" w14:textId="77777777" w:rsidR="001E6890" w:rsidRPr="00DD5CBE" w:rsidRDefault="001E6890" w:rsidP="00E70E0E">
      <w:pPr>
        <w:overflowPunct/>
        <w:autoSpaceDE/>
        <w:autoSpaceDN/>
        <w:adjustRightInd/>
        <w:textAlignment w:val="auto"/>
        <w:rPr>
          <w:szCs w:val="24"/>
          <w:lang w:val="es-ES"/>
        </w:rPr>
      </w:pPr>
      <w:r w:rsidRPr="00DD5CBE">
        <w:rPr>
          <w:szCs w:val="24"/>
          <w:lang w:val="es-ES"/>
        </w:rPr>
        <w:t>También se presentaron las aportaciones del Grupo Especial de Coordinación Intersectorial, incluidos varios ejemplos específicos para mejorar la coordinación desde el establecimiento de dicho Grupo Especial.</w:t>
      </w:r>
    </w:p>
    <w:p w14:paraId="168AC134" w14:textId="77777777" w:rsidR="001E6890" w:rsidRPr="00DD5CBE" w:rsidRDefault="001E6890" w:rsidP="00B7555F">
      <w:pPr>
        <w:pStyle w:val="Headingb"/>
        <w:rPr>
          <w:lang w:val="es-ES"/>
        </w:rPr>
      </w:pPr>
      <w:r w:rsidRPr="00DD5CBE">
        <w:rPr>
          <w:lang w:val="es-ES"/>
        </w:rPr>
        <w:t>El cambio climático como tema piloto</w:t>
      </w:r>
    </w:p>
    <w:p w14:paraId="6422ABEC" w14:textId="52D23098" w:rsidR="001E6890" w:rsidRPr="00DD5CBE" w:rsidRDefault="001E6890" w:rsidP="00E70E0E">
      <w:pPr>
        <w:overflowPunct/>
        <w:autoSpaceDE/>
        <w:autoSpaceDN/>
        <w:adjustRightInd/>
        <w:textAlignment w:val="auto"/>
        <w:rPr>
          <w:szCs w:val="24"/>
          <w:lang w:val="es-ES"/>
        </w:rPr>
      </w:pPr>
      <w:bookmarkStart w:id="6" w:name="lt_pId039"/>
      <w:r w:rsidRPr="00DD5CBE">
        <w:rPr>
          <w:szCs w:val="24"/>
          <w:lang w:val="es-ES"/>
        </w:rPr>
        <w:t xml:space="preserve">El GCIS debatió la propuesta de determinar varios </w:t>
      </w:r>
      <w:r w:rsidR="0020239F">
        <w:rPr>
          <w:szCs w:val="24"/>
          <w:lang w:val="es-ES"/>
        </w:rPr>
        <w:t>"</w:t>
      </w:r>
      <w:r w:rsidRPr="00DD5CBE">
        <w:rPr>
          <w:szCs w:val="24"/>
          <w:lang w:val="es-ES"/>
        </w:rPr>
        <w:t>temas piloto</w:t>
      </w:r>
      <w:r w:rsidR="0020239F">
        <w:rPr>
          <w:rFonts w:cstheme="minorHAnsi"/>
          <w:szCs w:val="24"/>
          <w:lang w:val="es-ES"/>
        </w:rPr>
        <w:t>"</w:t>
      </w:r>
      <w:r w:rsidRPr="00DD5CBE">
        <w:rPr>
          <w:szCs w:val="24"/>
          <w:lang w:val="es-ES"/>
        </w:rPr>
        <w:t xml:space="preserve"> sobre coordinación intersectorial, en los que todos los agentes (incluidos los Grupos asesores de los Sectores, las Comisiones de Estudio del UIT-R, el UIT-T y el UIT-D, los asesores de las Comisiones de Estudio y la secretaría) participarían en la determinación de métodos para mejorar la colaboración, con el fin de evitar la duplicación de tareas y proponer el camino a seguir.</w:t>
      </w:r>
    </w:p>
    <w:p w14:paraId="212A7A3E" w14:textId="24304084" w:rsidR="001E6890" w:rsidRPr="00DD5CBE" w:rsidRDefault="001E6890" w:rsidP="00E70E0E">
      <w:pPr>
        <w:overflowPunct/>
        <w:autoSpaceDE/>
        <w:autoSpaceDN/>
        <w:adjustRightInd/>
        <w:textAlignment w:val="auto"/>
        <w:rPr>
          <w:szCs w:val="24"/>
          <w:lang w:val="es-ES"/>
        </w:rPr>
      </w:pPr>
      <w:r w:rsidRPr="00DD5CBE">
        <w:rPr>
          <w:szCs w:val="24"/>
          <w:lang w:val="es-ES"/>
        </w:rPr>
        <w:t xml:space="preserve">El GCIS decidió que el </w:t>
      </w:r>
      <w:r w:rsidR="00B7555F">
        <w:rPr>
          <w:rFonts w:cstheme="minorHAnsi"/>
          <w:szCs w:val="24"/>
          <w:lang w:val="es-ES"/>
        </w:rPr>
        <w:t>"</w:t>
      </w:r>
      <w:r w:rsidRPr="00DD5CBE">
        <w:rPr>
          <w:szCs w:val="24"/>
          <w:lang w:val="es-ES"/>
        </w:rPr>
        <w:t>cambio climático</w:t>
      </w:r>
      <w:r w:rsidR="00B7555F">
        <w:rPr>
          <w:rFonts w:cstheme="minorHAnsi"/>
          <w:szCs w:val="24"/>
          <w:lang w:val="es-ES"/>
        </w:rPr>
        <w:t>"</w:t>
      </w:r>
      <w:r w:rsidRPr="00DD5CBE">
        <w:rPr>
          <w:szCs w:val="24"/>
          <w:lang w:val="es-ES"/>
        </w:rPr>
        <w:t xml:space="preserve"> constituyera un tema piloto, con respecto al cual todos los Sectores pudieran participar y colaborar.</w:t>
      </w:r>
    </w:p>
    <w:p w14:paraId="75A05983" w14:textId="6A27D20E" w:rsidR="001E6890" w:rsidRPr="00DD5CBE" w:rsidRDefault="001E6890" w:rsidP="00E70E0E">
      <w:pPr>
        <w:overflowPunct/>
        <w:autoSpaceDE/>
        <w:autoSpaceDN/>
        <w:adjustRightInd/>
        <w:textAlignment w:val="auto"/>
        <w:rPr>
          <w:szCs w:val="24"/>
          <w:lang w:val="es-ES"/>
        </w:rPr>
      </w:pPr>
      <w:r w:rsidRPr="00DD5CBE">
        <w:rPr>
          <w:szCs w:val="24"/>
          <w:lang w:val="es-ES"/>
        </w:rPr>
        <w:t>Desde la reunión de septiembre del GCIS, la secretaría ha trabajado en la identificación de esferas de interés mutuo en relación con el cambio climático.</w:t>
      </w:r>
    </w:p>
    <w:p w14:paraId="2396F140" w14:textId="5AEBD5EB" w:rsidR="001E6890" w:rsidRPr="00DD5CBE" w:rsidRDefault="001E6890" w:rsidP="00B7555F">
      <w:pPr>
        <w:keepLines/>
        <w:overflowPunct/>
        <w:autoSpaceDE/>
        <w:autoSpaceDN/>
        <w:adjustRightInd/>
        <w:textAlignment w:val="auto"/>
        <w:rPr>
          <w:szCs w:val="24"/>
          <w:lang w:val="es-ES"/>
        </w:rPr>
      </w:pPr>
      <w:r w:rsidRPr="00DD5CBE">
        <w:rPr>
          <w:szCs w:val="24"/>
          <w:lang w:val="es-ES"/>
        </w:rPr>
        <w:lastRenderedPageBreak/>
        <w:t xml:space="preserve">En primer lugar, la secretaría examinó la </w:t>
      </w:r>
      <w:hyperlink r:id="rId11" w:history="1">
        <w:r w:rsidRPr="00796C73">
          <w:rPr>
            <w:rStyle w:val="Hyperlink"/>
            <w:szCs w:val="24"/>
            <w:lang w:val="es-ES"/>
          </w:rPr>
          <w:t>Resolución 182 (Rev. Busán, 2014)</w:t>
        </w:r>
      </w:hyperlink>
      <w:r w:rsidRPr="00DD5CBE">
        <w:rPr>
          <w:szCs w:val="24"/>
          <w:lang w:val="es-ES"/>
        </w:rPr>
        <w:t xml:space="preserve"> de la Conferencia de Plenipotenciarios, en lo tocante a la función de las telecomunicaciones/tecnologías de la información y la comunicación en relación con el cambio climático y la protección del medio ambiente, y estableció los siguientes subtemas, que podrían dar lugar a la organización de actividades conjuntas entre todos los Sectores, o de forma bilateral, a saber:</w:t>
      </w:r>
      <w:bookmarkEnd w:id="6"/>
    </w:p>
    <w:p w14:paraId="70B1E50F" w14:textId="194423FC" w:rsidR="001E6890" w:rsidRDefault="00B7555F" w:rsidP="00B7555F">
      <w:pPr>
        <w:pStyle w:val="enumlev1"/>
        <w:rPr>
          <w:lang w:val="es-ES"/>
        </w:rPr>
      </w:pPr>
      <w:r w:rsidRPr="00B7555F">
        <w:rPr>
          <w:lang w:val="es-ES"/>
        </w:rPr>
        <w:t>–</w:t>
      </w:r>
      <w:r>
        <w:rPr>
          <w:lang w:val="es-ES"/>
        </w:rPr>
        <w:tab/>
        <w:t>M</w:t>
      </w:r>
      <w:r w:rsidR="001E6890" w:rsidRPr="00DD5CBE">
        <w:rPr>
          <w:lang w:val="es-ES"/>
        </w:rPr>
        <w:t>edio ambiente</w:t>
      </w:r>
    </w:p>
    <w:p w14:paraId="73AD7538" w14:textId="3C26E50F" w:rsidR="001E6890" w:rsidRDefault="00B7555F" w:rsidP="00B7555F">
      <w:pPr>
        <w:pStyle w:val="enumlev1"/>
        <w:rPr>
          <w:szCs w:val="24"/>
          <w:lang w:val="es-ES"/>
        </w:rPr>
      </w:pPr>
      <w:r w:rsidRPr="00B7555F">
        <w:rPr>
          <w:lang w:val="es-ES"/>
        </w:rPr>
        <w:t>–</w:t>
      </w:r>
      <w:r>
        <w:rPr>
          <w:lang w:val="es-ES"/>
        </w:rPr>
        <w:tab/>
      </w:r>
      <w:r>
        <w:rPr>
          <w:szCs w:val="24"/>
          <w:lang w:val="es-ES"/>
        </w:rPr>
        <w:t>S</w:t>
      </w:r>
      <w:r w:rsidR="001E6890" w:rsidRPr="00DD5CBE">
        <w:rPr>
          <w:szCs w:val="24"/>
          <w:lang w:val="es-ES"/>
        </w:rPr>
        <w:t>ostenibilidad</w:t>
      </w:r>
    </w:p>
    <w:p w14:paraId="6076E073" w14:textId="78131F81" w:rsidR="001E6890" w:rsidRDefault="00B7555F" w:rsidP="00B7555F">
      <w:pPr>
        <w:pStyle w:val="enumlev1"/>
        <w:rPr>
          <w:szCs w:val="24"/>
          <w:lang w:val="es-ES"/>
        </w:rPr>
      </w:pPr>
      <w:r w:rsidRPr="00B7555F">
        <w:rPr>
          <w:szCs w:val="24"/>
          <w:lang w:val="es-ES"/>
        </w:rPr>
        <w:t>–</w:t>
      </w:r>
      <w:r>
        <w:rPr>
          <w:szCs w:val="24"/>
          <w:lang w:val="es-ES"/>
        </w:rPr>
        <w:tab/>
        <w:t>O</w:t>
      </w:r>
      <w:r w:rsidR="001E6890" w:rsidRPr="00DD5CBE">
        <w:rPr>
          <w:szCs w:val="24"/>
          <w:lang w:val="es-ES"/>
        </w:rPr>
        <w:t>bservación de la Tierra</w:t>
      </w:r>
    </w:p>
    <w:p w14:paraId="4B8D8666" w14:textId="44D1BE46" w:rsidR="001E6890" w:rsidRDefault="00B7555F" w:rsidP="00B7555F">
      <w:pPr>
        <w:pStyle w:val="enumlev1"/>
        <w:rPr>
          <w:szCs w:val="24"/>
          <w:lang w:val="es-ES"/>
        </w:rPr>
      </w:pPr>
      <w:r w:rsidRPr="00B7555F">
        <w:rPr>
          <w:szCs w:val="24"/>
          <w:lang w:val="es-ES"/>
        </w:rPr>
        <w:t>–</w:t>
      </w:r>
      <w:r>
        <w:rPr>
          <w:szCs w:val="24"/>
          <w:lang w:val="es-ES"/>
        </w:rPr>
        <w:tab/>
        <w:t>D</w:t>
      </w:r>
      <w:r w:rsidR="001E6890" w:rsidRPr="00DD5CBE">
        <w:rPr>
          <w:szCs w:val="24"/>
          <w:lang w:val="es-ES"/>
        </w:rPr>
        <w:t>etección a distancia</w:t>
      </w:r>
    </w:p>
    <w:p w14:paraId="0F69E31B" w14:textId="0BA12690" w:rsidR="001E6890" w:rsidRDefault="00B7555F" w:rsidP="00B7555F">
      <w:pPr>
        <w:pStyle w:val="enumlev1"/>
        <w:rPr>
          <w:szCs w:val="24"/>
          <w:lang w:val="es-ES"/>
        </w:rPr>
      </w:pPr>
      <w:r w:rsidRPr="00B7555F">
        <w:rPr>
          <w:szCs w:val="24"/>
          <w:lang w:val="es-ES"/>
        </w:rPr>
        <w:t>–</w:t>
      </w:r>
      <w:r>
        <w:rPr>
          <w:szCs w:val="24"/>
          <w:lang w:val="es-ES"/>
        </w:rPr>
        <w:tab/>
        <w:t>E</w:t>
      </w:r>
      <w:r w:rsidR="001E6890" w:rsidRPr="00DD5CBE">
        <w:rPr>
          <w:szCs w:val="24"/>
          <w:lang w:val="es-ES"/>
        </w:rPr>
        <w:t>nergía</w:t>
      </w:r>
    </w:p>
    <w:p w14:paraId="6C3A336F" w14:textId="035E854E" w:rsidR="001E6890" w:rsidRDefault="00B7555F" w:rsidP="00B7555F">
      <w:pPr>
        <w:pStyle w:val="enumlev1"/>
        <w:rPr>
          <w:szCs w:val="24"/>
          <w:lang w:val="es-ES"/>
        </w:rPr>
      </w:pPr>
      <w:r w:rsidRPr="00B7555F">
        <w:rPr>
          <w:szCs w:val="24"/>
          <w:lang w:val="es-ES"/>
        </w:rPr>
        <w:t>–</w:t>
      </w:r>
      <w:r>
        <w:rPr>
          <w:szCs w:val="24"/>
          <w:lang w:val="es-ES"/>
        </w:rPr>
        <w:tab/>
        <w:t>A</w:t>
      </w:r>
      <w:r w:rsidR="001E6890" w:rsidRPr="00DD5CBE">
        <w:rPr>
          <w:szCs w:val="24"/>
          <w:lang w:val="es-ES"/>
        </w:rPr>
        <w:t>gua</w:t>
      </w:r>
    </w:p>
    <w:p w14:paraId="0FD4251C" w14:textId="3C7FE5F2" w:rsidR="001E6890" w:rsidRDefault="00B7555F" w:rsidP="00B7555F">
      <w:pPr>
        <w:pStyle w:val="enumlev1"/>
        <w:rPr>
          <w:szCs w:val="24"/>
          <w:lang w:val="es-ES"/>
        </w:rPr>
      </w:pPr>
      <w:r w:rsidRPr="00B7555F">
        <w:rPr>
          <w:szCs w:val="24"/>
          <w:lang w:val="es-ES"/>
        </w:rPr>
        <w:t>–</w:t>
      </w:r>
      <w:r>
        <w:rPr>
          <w:szCs w:val="24"/>
          <w:lang w:val="es-ES"/>
        </w:rPr>
        <w:tab/>
        <w:t>R</w:t>
      </w:r>
      <w:r w:rsidR="001E6890" w:rsidRPr="00DD5CBE">
        <w:rPr>
          <w:szCs w:val="24"/>
          <w:lang w:val="es-ES"/>
        </w:rPr>
        <w:t>esiduos electrónicos</w:t>
      </w:r>
    </w:p>
    <w:p w14:paraId="58A05958" w14:textId="0FA55E73" w:rsidR="001E6890" w:rsidRDefault="00B7555F" w:rsidP="00B7555F">
      <w:pPr>
        <w:pStyle w:val="enumlev1"/>
        <w:rPr>
          <w:szCs w:val="24"/>
          <w:lang w:val="es-ES"/>
        </w:rPr>
      </w:pPr>
      <w:r w:rsidRPr="00B7555F">
        <w:rPr>
          <w:szCs w:val="24"/>
          <w:lang w:val="es-ES"/>
        </w:rPr>
        <w:t>–</w:t>
      </w:r>
      <w:r>
        <w:rPr>
          <w:szCs w:val="24"/>
          <w:lang w:val="es-ES"/>
        </w:rPr>
        <w:tab/>
        <w:t>E</w:t>
      </w:r>
      <w:r w:rsidR="001E6890" w:rsidRPr="00DD5CBE">
        <w:rPr>
          <w:szCs w:val="24"/>
          <w:lang w:val="es-ES"/>
        </w:rPr>
        <w:t>conomía circular</w:t>
      </w:r>
    </w:p>
    <w:p w14:paraId="1A906B53" w14:textId="69313ED3" w:rsidR="001E6890" w:rsidRDefault="00B7555F" w:rsidP="00B7555F">
      <w:pPr>
        <w:pStyle w:val="enumlev1"/>
        <w:rPr>
          <w:szCs w:val="24"/>
          <w:lang w:val="es-ES"/>
        </w:rPr>
      </w:pPr>
      <w:r w:rsidRPr="00B7555F">
        <w:rPr>
          <w:szCs w:val="24"/>
          <w:lang w:val="es-ES"/>
        </w:rPr>
        <w:t>–</w:t>
      </w:r>
      <w:r>
        <w:rPr>
          <w:szCs w:val="24"/>
          <w:lang w:val="es-ES"/>
        </w:rPr>
        <w:tab/>
        <w:t>E</w:t>
      </w:r>
      <w:r w:rsidR="001E6890" w:rsidRPr="00DD5CBE">
        <w:rPr>
          <w:szCs w:val="24"/>
          <w:lang w:val="es-ES"/>
        </w:rPr>
        <w:t>misiones mundiales de gases de efecto invernadero (GEI)</w:t>
      </w:r>
    </w:p>
    <w:p w14:paraId="31720746" w14:textId="403DE735" w:rsidR="001E6890" w:rsidRPr="00DD5CBE" w:rsidRDefault="00B7555F" w:rsidP="00B7555F">
      <w:pPr>
        <w:pStyle w:val="enumlev1"/>
        <w:rPr>
          <w:szCs w:val="24"/>
          <w:lang w:val="es-ES"/>
        </w:rPr>
      </w:pPr>
      <w:r w:rsidRPr="00B7555F">
        <w:rPr>
          <w:szCs w:val="24"/>
          <w:lang w:val="es-ES"/>
        </w:rPr>
        <w:t>–</w:t>
      </w:r>
      <w:r>
        <w:rPr>
          <w:szCs w:val="24"/>
          <w:lang w:val="es-ES"/>
        </w:rPr>
        <w:tab/>
      </w:r>
      <w:r w:rsidR="00416FC8">
        <w:rPr>
          <w:szCs w:val="24"/>
          <w:lang w:val="es-ES"/>
        </w:rPr>
        <w:t>A</w:t>
      </w:r>
      <w:r w:rsidR="001E6890" w:rsidRPr="00DD5CBE">
        <w:rPr>
          <w:szCs w:val="24"/>
          <w:lang w:val="es-ES"/>
        </w:rPr>
        <w:t>plicaciones de las TIC.</w:t>
      </w:r>
    </w:p>
    <w:p w14:paraId="7E8DE423" w14:textId="35D79850" w:rsidR="001E6890" w:rsidRPr="00DD5CBE" w:rsidRDefault="001E6890" w:rsidP="00E70E0E">
      <w:pPr>
        <w:overflowPunct/>
        <w:autoSpaceDE/>
        <w:autoSpaceDN/>
        <w:adjustRightInd/>
        <w:textAlignment w:val="auto"/>
        <w:rPr>
          <w:szCs w:val="24"/>
          <w:lang w:val="es-ES"/>
        </w:rPr>
      </w:pPr>
      <w:bookmarkStart w:id="7" w:name="lt_pId051"/>
      <w:r w:rsidRPr="00DD5CBE">
        <w:rPr>
          <w:szCs w:val="24"/>
          <w:lang w:val="es-ES"/>
        </w:rPr>
        <w:t>La secretaría también analiza las correspondencias entre actividades y eventos relacionados con el cambio climático (véase el Cuadro 1) como aportación a la reunión del GCIS que se celebrará conjuntamente con la reunión del GADT (Ginebra, 24 a 27 de marzo de 2020).</w:t>
      </w:r>
    </w:p>
    <w:p w14:paraId="2DB351E7" w14:textId="6A73082B" w:rsidR="00796C73" w:rsidRPr="00796C73" w:rsidRDefault="001E6890" w:rsidP="00796C73">
      <w:pPr>
        <w:overflowPunct/>
        <w:autoSpaceDE/>
        <w:autoSpaceDN/>
        <w:adjustRightInd/>
        <w:ind w:right="-143"/>
        <w:textAlignment w:val="auto"/>
        <w:rPr>
          <w:rStyle w:val="Hyperlink"/>
          <w:color w:val="auto"/>
          <w:spacing w:val="-2"/>
          <w:szCs w:val="24"/>
          <w:u w:val="none"/>
          <w:lang w:val="es-ES_tradnl"/>
        </w:rPr>
      </w:pPr>
      <w:r w:rsidRPr="00DD5CBE">
        <w:rPr>
          <w:szCs w:val="24"/>
          <w:lang w:val="es-ES"/>
        </w:rPr>
        <w:t xml:space="preserve">Toda la información relativa al Grupo de Coordinación Intersectorial sobre cuestiones de interés mutuo puede consultarse en: </w:t>
      </w:r>
      <w:bookmarkEnd w:id="7"/>
      <w:r w:rsidR="00796C73">
        <w:fldChar w:fldCharType="begin"/>
      </w:r>
      <w:r w:rsidR="00796C73" w:rsidRPr="00796C73">
        <w:rPr>
          <w:lang w:val="es-ES_tradnl"/>
        </w:rPr>
        <w:instrText xml:space="preserve"> HYPERLINK "https://www.itu.int/en/general-secretariat/Pages/ISCG/default.aspx" </w:instrText>
      </w:r>
      <w:r w:rsidR="00796C73">
        <w:fldChar w:fldCharType="separate"/>
      </w:r>
      <w:r w:rsidR="00796C73" w:rsidRPr="00796C73">
        <w:rPr>
          <w:rStyle w:val="Hyperlink"/>
          <w:szCs w:val="24"/>
          <w:lang w:val="es-ES_tradnl"/>
        </w:rPr>
        <w:t>https://www.itu.int/en/general-secretariat/Pages/ISCG/default.aspx</w:t>
      </w:r>
      <w:r w:rsidR="00796C73">
        <w:rPr>
          <w:rStyle w:val="Hyperlink"/>
          <w:szCs w:val="24"/>
        </w:rPr>
        <w:fldChar w:fldCharType="end"/>
      </w:r>
      <w:r w:rsidR="00796C73" w:rsidRPr="00796C73">
        <w:rPr>
          <w:rStyle w:val="Hyperlink"/>
          <w:szCs w:val="24"/>
          <w:lang w:val="es-ES_tradnl"/>
        </w:rPr>
        <w:t>.</w:t>
      </w:r>
    </w:p>
    <w:p w14:paraId="62A37D64" w14:textId="77777777" w:rsidR="001E6890" w:rsidRPr="00DD5CBE" w:rsidRDefault="001E6890" w:rsidP="00E70E0E">
      <w:pPr>
        <w:keepNext/>
        <w:overflowPunct/>
        <w:autoSpaceDE/>
        <w:autoSpaceDN/>
        <w:adjustRightInd/>
        <w:textAlignment w:val="auto"/>
        <w:rPr>
          <w:b/>
          <w:bCs/>
          <w:szCs w:val="24"/>
          <w:lang w:val="es-ES"/>
        </w:rPr>
      </w:pPr>
      <w:bookmarkStart w:id="8" w:name="lt_pId052"/>
      <w:r w:rsidRPr="00DD5CBE">
        <w:rPr>
          <w:b/>
          <w:bCs/>
          <w:szCs w:val="24"/>
          <w:lang w:val="es-ES"/>
        </w:rPr>
        <w:t>Conclusión</w:t>
      </w:r>
      <w:bookmarkEnd w:id="8"/>
    </w:p>
    <w:p w14:paraId="350E43E3" w14:textId="268BF792" w:rsidR="001E6890" w:rsidRPr="00DD5CBE" w:rsidRDefault="001E6890" w:rsidP="00E70E0E">
      <w:pPr>
        <w:spacing w:after="120"/>
        <w:rPr>
          <w:szCs w:val="24"/>
          <w:lang w:val="es-ES"/>
        </w:rPr>
      </w:pPr>
      <w:bookmarkStart w:id="9" w:name="lt_pId055"/>
      <w:r w:rsidRPr="00DD5CBE">
        <w:rPr>
          <w:szCs w:val="24"/>
          <w:lang w:val="es-ES"/>
        </w:rPr>
        <w:t>Se invita al GADT a que examine el presente documento y presente propuestas para la reunión del</w:t>
      </w:r>
      <w:r w:rsidR="00416FC8">
        <w:rPr>
          <w:szCs w:val="24"/>
          <w:lang w:val="es-ES"/>
        </w:rPr>
        <w:t> </w:t>
      </w:r>
      <w:r w:rsidRPr="00DD5CBE">
        <w:rPr>
          <w:szCs w:val="24"/>
          <w:lang w:val="es-ES"/>
        </w:rPr>
        <w:t>GCIS sobre posibles actividades conjuntas entre todos los Sectores y/o a nivel bilateral, así como sobre mecanismos que faciliten la cooperación.</w:t>
      </w:r>
    </w:p>
    <w:p w14:paraId="7F4F3E24" w14:textId="75B05287" w:rsidR="001E6890" w:rsidRPr="00DD5CBE" w:rsidRDefault="001E6890" w:rsidP="00E70E0E">
      <w:pPr>
        <w:spacing w:after="120"/>
        <w:rPr>
          <w:szCs w:val="24"/>
          <w:lang w:val="es-ES"/>
        </w:rPr>
      </w:pPr>
      <w:r w:rsidRPr="00DD5CBE">
        <w:rPr>
          <w:szCs w:val="24"/>
          <w:lang w:val="es-ES"/>
        </w:rPr>
        <w:t>Los resultados de los debates de la reunión del GADT y las aportaciones recibidas del GANT y del</w:t>
      </w:r>
      <w:r w:rsidR="00416FC8">
        <w:rPr>
          <w:szCs w:val="24"/>
          <w:lang w:val="es-ES"/>
        </w:rPr>
        <w:t> </w:t>
      </w:r>
      <w:r w:rsidRPr="00DD5CBE">
        <w:rPr>
          <w:szCs w:val="24"/>
          <w:lang w:val="es-ES"/>
        </w:rPr>
        <w:t xml:space="preserve">GAR se presentarán a la reunión del GCIS, prevista para el </w:t>
      </w:r>
      <w:r w:rsidRPr="00DD5CBE">
        <w:rPr>
          <w:b/>
          <w:bCs/>
          <w:szCs w:val="24"/>
          <w:lang w:val="es-ES"/>
        </w:rPr>
        <w:t>jueves 26 de marzo, de 13.30 a 14.30 horas</w:t>
      </w:r>
      <w:r w:rsidRPr="00DD5CBE">
        <w:rPr>
          <w:szCs w:val="24"/>
          <w:lang w:val="es-ES"/>
        </w:rPr>
        <w:t>.</w:t>
      </w:r>
    </w:p>
    <w:p w14:paraId="1E0FF3C0" w14:textId="3B0D4C1D" w:rsidR="001E6890" w:rsidRPr="00DD5CBE" w:rsidRDefault="001E6890" w:rsidP="00E70E0E">
      <w:pPr>
        <w:spacing w:after="120"/>
        <w:rPr>
          <w:lang w:val="es-ES"/>
        </w:rPr>
      </w:pPr>
      <w:r w:rsidRPr="00DD5CBE">
        <w:rPr>
          <w:szCs w:val="24"/>
          <w:lang w:val="es-ES"/>
        </w:rPr>
        <w:t>El informe del GCIS a la reunión del GANT de septiembre de 2019 (</w:t>
      </w:r>
      <w:hyperlink r:id="rId12" w:history="1">
        <w:r w:rsidRPr="00796C73">
          <w:rPr>
            <w:rStyle w:val="Hyperlink"/>
            <w:szCs w:val="24"/>
            <w:lang w:val="es-ES"/>
          </w:rPr>
          <w:t>TSAG-TD589</w:t>
        </w:r>
      </w:hyperlink>
      <w:r w:rsidRPr="00DD5CBE">
        <w:rPr>
          <w:szCs w:val="24"/>
          <w:lang w:val="es-ES"/>
        </w:rPr>
        <w:t>) figura en el sitio web del GANT.</w:t>
      </w:r>
      <w:bookmarkEnd w:id="9"/>
    </w:p>
    <w:p w14:paraId="6506CC36" w14:textId="77777777" w:rsidR="001E6890" w:rsidRPr="00DD5CBE" w:rsidRDefault="001E6890" w:rsidP="00E70E0E">
      <w:pPr>
        <w:rPr>
          <w:b/>
          <w:sz w:val="22"/>
          <w:szCs w:val="22"/>
          <w:lang w:val="es-ES"/>
        </w:rPr>
      </w:pPr>
      <w:bookmarkStart w:id="10" w:name="_Toc460838088"/>
      <w:r w:rsidRPr="00DD5CBE">
        <w:rPr>
          <w:sz w:val="22"/>
          <w:szCs w:val="22"/>
          <w:lang w:val="es-ES"/>
        </w:rPr>
        <w:br w:type="page"/>
      </w:r>
    </w:p>
    <w:p w14:paraId="50D52E0D" w14:textId="73A5DBB1" w:rsidR="001E6890" w:rsidRPr="00716777" w:rsidRDefault="00796C73" w:rsidP="00716777">
      <w:pPr>
        <w:pStyle w:val="Annextitle"/>
        <w:spacing w:before="120"/>
        <w:rPr>
          <w:rFonts w:cstheme="minorHAnsi"/>
          <w:b w:val="0"/>
          <w:caps/>
          <w:szCs w:val="24"/>
          <w:lang w:val="es-ES_tradnl"/>
        </w:rPr>
      </w:pPr>
      <w:bookmarkStart w:id="11" w:name="lt_pId056"/>
      <w:bookmarkEnd w:id="10"/>
      <w:r w:rsidRPr="00900B05">
        <w:rPr>
          <w:lang w:val="es-ES_tradnl"/>
        </w:rPr>
        <w:lastRenderedPageBreak/>
        <w:t>Anexo</w:t>
      </w:r>
      <w:r w:rsidR="001E6890" w:rsidRPr="00716777">
        <w:rPr>
          <w:rFonts w:cstheme="minorHAnsi"/>
          <w:caps/>
          <w:szCs w:val="24"/>
          <w:lang w:val="es-ES_tradnl"/>
        </w:rPr>
        <w:t xml:space="preserve"> </w:t>
      </w:r>
      <w:bookmarkEnd w:id="11"/>
      <w:r w:rsidR="00416FC8">
        <w:rPr>
          <w:rFonts w:cstheme="minorHAnsi"/>
          <w:caps/>
          <w:szCs w:val="24"/>
          <w:lang w:val="es-ES_tradnl"/>
        </w:rPr>
        <w:br/>
      </w:r>
      <w:r w:rsidR="00416FC8">
        <w:rPr>
          <w:rFonts w:cstheme="minorHAnsi"/>
          <w:caps/>
          <w:szCs w:val="24"/>
          <w:lang w:val="es-ES_tradnl"/>
        </w:rPr>
        <w:br/>
      </w:r>
      <w:r w:rsidR="00716777" w:rsidRPr="00900B05">
        <w:rPr>
          <w:lang w:val="es-ES_tradnl"/>
        </w:rPr>
        <w:t>Identificación de esferas de posible interés mutuo</w:t>
      </w:r>
    </w:p>
    <w:p w14:paraId="1D547AEC" w14:textId="773176AE" w:rsidR="001E6890" w:rsidRPr="00DD5CBE" w:rsidRDefault="00416FC8" w:rsidP="00416FC8">
      <w:pPr>
        <w:pStyle w:val="Heading1"/>
        <w:rPr>
          <w:rFonts w:cstheme="minorHAnsi"/>
          <w:b w:val="0"/>
          <w:bCs/>
          <w:lang w:val="es-ES"/>
        </w:rPr>
      </w:pPr>
      <w:r>
        <w:rPr>
          <w:lang w:val="es-ES_tradnl"/>
        </w:rPr>
        <w:t>1</w:t>
      </w:r>
      <w:r>
        <w:rPr>
          <w:lang w:val="es-ES_tradnl"/>
        </w:rPr>
        <w:tab/>
      </w:r>
      <w:r w:rsidR="001E6890" w:rsidRPr="00900B05">
        <w:rPr>
          <w:lang w:val="es-ES_tradnl"/>
        </w:rPr>
        <w:t>Identificación de esferas de posible interés mutuo</w:t>
      </w:r>
    </w:p>
    <w:p w14:paraId="4CFC6D2D" w14:textId="7A5122A2" w:rsidR="001E6890" w:rsidRPr="00DD5CBE" w:rsidRDefault="00416FC8" w:rsidP="00416FC8">
      <w:pPr>
        <w:rPr>
          <w:lang w:val="es-ES"/>
        </w:rPr>
      </w:pPr>
      <w:bookmarkStart w:id="12" w:name="lt_pId058"/>
      <w:r>
        <w:rPr>
          <w:lang w:val="es-ES"/>
        </w:rPr>
        <w:t>1.1</w:t>
      </w:r>
      <w:r>
        <w:rPr>
          <w:lang w:val="es-ES"/>
        </w:rPr>
        <w:tab/>
      </w:r>
      <w:r w:rsidR="001E6890" w:rsidRPr="00DD5CBE">
        <w:rPr>
          <w:lang w:val="es-ES"/>
        </w:rPr>
        <w:t xml:space="preserve">En el marco de la secretaria se han identificado las siguientes esferas de interés mutuo, que </w:t>
      </w:r>
      <w:r w:rsidR="001E6890" w:rsidRPr="00DC6E2F">
        <w:rPr>
          <w:lang w:val="es-ES_tradnl"/>
        </w:rPr>
        <w:t>constituyen</w:t>
      </w:r>
      <w:r w:rsidR="001E6890" w:rsidRPr="00DD5CBE">
        <w:rPr>
          <w:lang w:val="es-ES"/>
        </w:rPr>
        <w:t xml:space="preserve"> </w:t>
      </w:r>
      <w:r w:rsidR="001E6890" w:rsidRPr="00DC6E2F">
        <w:rPr>
          <w:lang w:val="es-ES_tradnl"/>
        </w:rPr>
        <w:t>temas</w:t>
      </w:r>
      <w:r w:rsidR="001E6890" w:rsidRPr="00DD5CBE">
        <w:rPr>
          <w:lang w:val="es-ES"/>
        </w:rPr>
        <w:t xml:space="preserve"> </w:t>
      </w:r>
      <w:r w:rsidR="001E6890" w:rsidRPr="00DC6E2F">
        <w:rPr>
          <w:lang w:val="es-ES_tradnl"/>
        </w:rPr>
        <w:t>del</w:t>
      </w:r>
      <w:r w:rsidR="001E6890" w:rsidRPr="00DD5CBE">
        <w:rPr>
          <w:lang w:val="es-ES"/>
        </w:rPr>
        <w:t xml:space="preserve"> </w:t>
      </w:r>
      <w:bookmarkEnd w:id="12"/>
      <w:r w:rsidR="001E6890" w:rsidRPr="00DD5CBE">
        <w:rPr>
          <w:lang w:val="es-ES"/>
        </w:rPr>
        <w:t>Grupo Especial de Coordinación Intersectorial (GE-CIS):</w:t>
      </w:r>
    </w:p>
    <w:p w14:paraId="0AF52F18" w14:textId="15AA9CF0" w:rsidR="001E6890" w:rsidRDefault="001E6890" w:rsidP="00716777">
      <w:pPr>
        <w:overflowPunct/>
        <w:autoSpaceDE/>
        <w:autoSpaceDN/>
        <w:adjustRightInd/>
        <w:snapToGrid w:val="0"/>
        <w:jc w:val="both"/>
        <w:textAlignment w:val="auto"/>
        <w:rPr>
          <w:rFonts w:cstheme="minorHAnsi"/>
          <w:szCs w:val="24"/>
          <w:lang w:val="es-ES"/>
        </w:rPr>
      </w:pPr>
      <w:bookmarkStart w:id="13" w:name="lt_pId059"/>
      <w:r w:rsidRPr="00DD5CBE">
        <w:rPr>
          <w:rFonts w:cstheme="minorHAnsi"/>
          <w:szCs w:val="24"/>
          <w:lang w:val="es-ES"/>
        </w:rPr>
        <w:t>(asuntos de trabajo)</w:t>
      </w:r>
      <w:bookmarkEnd w:id="13"/>
    </w:p>
    <w:p w14:paraId="7B1C53BA" w14:textId="6D448EC8" w:rsidR="001E6890" w:rsidRDefault="00416FC8" w:rsidP="00416FC8">
      <w:pPr>
        <w:pStyle w:val="enumlev1"/>
        <w:rPr>
          <w:rFonts w:cstheme="minorHAnsi"/>
          <w:szCs w:val="24"/>
          <w:lang w:val="es-ES"/>
        </w:rPr>
      </w:pPr>
      <w:r w:rsidRPr="00416FC8">
        <w:rPr>
          <w:lang w:val="es-ES"/>
        </w:rPr>
        <w:t>–</w:t>
      </w:r>
      <w:r>
        <w:rPr>
          <w:lang w:val="es-ES"/>
        </w:rPr>
        <w:tab/>
      </w:r>
      <w:bookmarkStart w:id="14" w:name="lt_pId072"/>
      <w:r w:rsidR="001E6890" w:rsidRPr="00DD5CBE">
        <w:rPr>
          <w:rFonts w:cstheme="minorHAnsi"/>
          <w:szCs w:val="24"/>
          <w:lang w:val="es-ES"/>
        </w:rPr>
        <w:t>Accesibilidad</w:t>
      </w:r>
    </w:p>
    <w:p w14:paraId="08C506A0" w14:textId="0C81D9B0"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Inteligencia Artificial</w:t>
      </w:r>
    </w:p>
    <w:p w14:paraId="099BEBF0" w14:textId="6C58D38D"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Reducción de la brecha en materia de normalización</w:t>
      </w:r>
    </w:p>
    <w:p w14:paraId="3DB7186D" w14:textId="51A54EFE"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Redes comunitarias</w:t>
      </w:r>
    </w:p>
    <w:p w14:paraId="3430D6F4" w14:textId="5329D838"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Telecomunicaciones de emergencia</w:t>
      </w:r>
    </w:p>
    <w:p w14:paraId="0324F3DF" w14:textId="19D7FF67"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Cuestiones de género</w:t>
      </w:r>
    </w:p>
    <w:p w14:paraId="3BAC542E" w14:textId="321845C8" w:rsidR="001E6890" w:rsidRPr="00DD5CBE"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Actividades geoespaciales</w:t>
      </w:r>
    </w:p>
    <w:p w14:paraId="5D263BF5" w14:textId="77777777" w:rsidR="001E6890" w:rsidRPr="00DD5CBE" w:rsidRDefault="001E6890" w:rsidP="00716777">
      <w:pPr>
        <w:tabs>
          <w:tab w:val="clear" w:pos="794"/>
          <w:tab w:val="clear" w:pos="1191"/>
          <w:tab w:val="clear" w:pos="1588"/>
          <w:tab w:val="clear" w:pos="1985"/>
        </w:tabs>
        <w:overflowPunct/>
        <w:autoSpaceDE/>
        <w:autoSpaceDN/>
        <w:adjustRightInd/>
        <w:snapToGrid w:val="0"/>
        <w:jc w:val="both"/>
        <w:textAlignment w:val="auto"/>
        <w:rPr>
          <w:rFonts w:cstheme="minorHAnsi"/>
          <w:szCs w:val="24"/>
          <w:lang w:val="es-ES"/>
        </w:rPr>
      </w:pPr>
      <w:r w:rsidRPr="00DD5CBE">
        <w:rPr>
          <w:rFonts w:cstheme="minorHAnsi"/>
          <w:szCs w:val="24"/>
          <w:lang w:val="es-ES"/>
        </w:rPr>
        <w:t>(temas administrativos y de apoyo)</w:t>
      </w:r>
    </w:p>
    <w:p w14:paraId="1ED70F48" w14:textId="7F96C4B5" w:rsidR="001E6890" w:rsidRDefault="00416FC8" w:rsidP="00416FC8">
      <w:pPr>
        <w:pStyle w:val="enumlev1"/>
        <w:rPr>
          <w:lang w:val="es-ES"/>
        </w:rPr>
      </w:pPr>
      <w:r w:rsidRPr="00416FC8">
        <w:rPr>
          <w:lang w:val="es-ES"/>
        </w:rPr>
        <w:t>–</w:t>
      </w:r>
      <w:r>
        <w:rPr>
          <w:lang w:val="es-ES"/>
        </w:rPr>
        <w:tab/>
      </w:r>
      <w:r w:rsidR="001E6890" w:rsidRPr="00DD5CBE">
        <w:rPr>
          <w:lang w:val="es-ES"/>
        </w:rPr>
        <w:t>Comunicaciones y redacción para Internet</w:t>
      </w:r>
    </w:p>
    <w:p w14:paraId="3B71F880" w14:textId="6EF63421" w:rsidR="001E6890" w:rsidRDefault="00416FC8" w:rsidP="00416FC8">
      <w:pPr>
        <w:pStyle w:val="enumlev1"/>
        <w:rPr>
          <w:rFonts w:cstheme="minorHAnsi"/>
          <w:szCs w:val="24"/>
          <w:lang w:val="es-ES"/>
        </w:rPr>
      </w:pPr>
      <w:r w:rsidRPr="00416FC8">
        <w:rPr>
          <w:lang w:val="es-ES"/>
        </w:rPr>
        <w:t>–</w:t>
      </w:r>
      <w:r>
        <w:rPr>
          <w:lang w:val="es-ES"/>
        </w:rPr>
        <w:tab/>
      </w:r>
      <w:r w:rsidR="001E6890" w:rsidRPr="00DD5CBE">
        <w:rPr>
          <w:rFonts w:cstheme="minorHAnsi"/>
          <w:szCs w:val="24"/>
          <w:lang w:val="es-ES"/>
        </w:rPr>
        <w:t>Nuevas tendencias</w:t>
      </w:r>
    </w:p>
    <w:p w14:paraId="1E571AF2" w14:textId="33880601"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Miembros/Movilización de recursos/PYME</w:t>
      </w:r>
    </w:p>
    <w:p w14:paraId="0EB18498" w14:textId="1467E8B8" w:rsidR="001E6890" w:rsidRPr="00DD5CBE"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Coordinación de eventos.</w:t>
      </w:r>
      <w:bookmarkEnd w:id="14"/>
    </w:p>
    <w:p w14:paraId="4B38640E" w14:textId="7AD06076" w:rsidR="001E6890" w:rsidRPr="00DD5CBE" w:rsidRDefault="00416FC8" w:rsidP="00416FC8">
      <w:pPr>
        <w:rPr>
          <w:lang w:val="es-ES"/>
        </w:rPr>
      </w:pPr>
      <w:bookmarkStart w:id="15" w:name="lt_pId073"/>
      <w:r>
        <w:rPr>
          <w:lang w:val="es-ES"/>
        </w:rPr>
        <w:t>1.2</w:t>
      </w:r>
      <w:r>
        <w:rPr>
          <w:lang w:val="es-ES"/>
        </w:rPr>
        <w:tab/>
      </w:r>
      <w:r w:rsidR="001E6890" w:rsidRPr="00DD5CBE">
        <w:rPr>
          <w:lang w:val="es-ES"/>
        </w:rPr>
        <w:t xml:space="preserve">También se han </w:t>
      </w:r>
      <w:r w:rsidR="001E6890" w:rsidRPr="00900B05">
        <w:rPr>
          <w:lang w:val="es-ES_tradnl"/>
        </w:rPr>
        <w:t>identificado</w:t>
      </w:r>
      <w:r w:rsidR="001E6890" w:rsidRPr="00DD5CBE">
        <w:rPr>
          <w:lang w:val="es-ES"/>
        </w:rPr>
        <w:t xml:space="preserve"> las siguientes esferas de interés común, que forman grupos intersectoriales o grupos especiales:</w:t>
      </w:r>
      <w:bookmarkEnd w:id="15"/>
    </w:p>
    <w:p w14:paraId="4D6346B3" w14:textId="4B64288D" w:rsidR="001E6890" w:rsidRDefault="00416FC8" w:rsidP="00416FC8">
      <w:pPr>
        <w:pStyle w:val="enumlev1"/>
        <w:rPr>
          <w:lang w:val="es-ES"/>
        </w:rPr>
      </w:pPr>
      <w:bookmarkStart w:id="16" w:name="lt_pId084"/>
      <w:r w:rsidRPr="00416FC8">
        <w:rPr>
          <w:lang w:val="es-ES"/>
        </w:rPr>
        <w:t>–</w:t>
      </w:r>
      <w:r>
        <w:rPr>
          <w:lang w:val="es-ES"/>
        </w:rPr>
        <w:tab/>
      </w:r>
      <w:r w:rsidR="001E6890" w:rsidRPr="00DD5CBE">
        <w:rPr>
          <w:lang w:val="es-ES"/>
        </w:rPr>
        <w:t>Grupo para la Gobernanza de Internet</w:t>
      </w:r>
    </w:p>
    <w:p w14:paraId="749C2428" w14:textId="23C40581" w:rsidR="001E6890" w:rsidRDefault="00416FC8" w:rsidP="00416FC8">
      <w:pPr>
        <w:pStyle w:val="enumlev1"/>
        <w:rPr>
          <w:rFonts w:cstheme="minorHAnsi"/>
          <w:szCs w:val="24"/>
          <w:lang w:val="es-ES"/>
        </w:rPr>
      </w:pPr>
      <w:r w:rsidRPr="00416FC8">
        <w:rPr>
          <w:lang w:val="es-ES"/>
        </w:rPr>
        <w:t>–</w:t>
      </w:r>
      <w:r>
        <w:rPr>
          <w:lang w:val="es-ES"/>
        </w:rPr>
        <w:tab/>
      </w:r>
      <w:r w:rsidR="001E6890" w:rsidRPr="00DD5CBE">
        <w:rPr>
          <w:rFonts w:cstheme="minorHAnsi"/>
          <w:szCs w:val="24"/>
          <w:lang w:val="es-ES"/>
        </w:rPr>
        <w:t>Ciberseguridad/fomento de la confianza y la seguridad en las TIC</w:t>
      </w:r>
    </w:p>
    <w:p w14:paraId="2523F849" w14:textId="52C80DBD"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Grupo de Generación de Ingresos (Anexo 2, Decisión 5)</w:t>
      </w:r>
    </w:p>
    <w:p w14:paraId="6FF8D5C5" w14:textId="7CBC65D4"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Grupo Especial de la CMSI y los ODS</w:t>
      </w:r>
    </w:p>
    <w:p w14:paraId="382DCAD2" w14:textId="4B6BDAC3"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Estudio y evaluación de los procedimientos de traducción</w:t>
      </w:r>
    </w:p>
    <w:p w14:paraId="4FCAB5A0" w14:textId="63131E32"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Comité de la UIT sobre las TIC (ICTC)</w:t>
      </w:r>
    </w:p>
    <w:p w14:paraId="2EA6A513" w14:textId="6D389F3B"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Comité de Política de Publicaciones de la UIT (IPPC)</w:t>
      </w:r>
    </w:p>
    <w:p w14:paraId="4A179D99" w14:textId="24413E34"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Comité de Aplicación de la CRM</w:t>
      </w:r>
    </w:p>
    <w:p w14:paraId="0705CC4E" w14:textId="316592EB"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Junta de Gestión del nuevo edificio</w:t>
      </w:r>
    </w:p>
    <w:p w14:paraId="047B7806" w14:textId="076CBC12"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Grupo de requisitos del nuevo edificio</w:t>
      </w:r>
    </w:p>
    <w:p w14:paraId="0FB82DB0" w14:textId="33F29CD8" w:rsidR="001E6890" w:rsidRPr="00DD5CBE"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Sistemas de control de acceso/gestión de identidades segura.</w:t>
      </w:r>
      <w:bookmarkEnd w:id="16"/>
    </w:p>
    <w:p w14:paraId="27BD728F" w14:textId="15B53D76" w:rsidR="001E6890" w:rsidRPr="00DD5CBE" w:rsidRDefault="00416FC8" w:rsidP="00416FC8">
      <w:pPr>
        <w:rPr>
          <w:lang w:val="es-ES"/>
        </w:rPr>
      </w:pPr>
      <w:bookmarkStart w:id="17" w:name="lt_pId085"/>
      <w:r>
        <w:rPr>
          <w:lang w:val="es-ES"/>
        </w:rPr>
        <w:t>1.3</w:t>
      </w:r>
      <w:r>
        <w:rPr>
          <w:lang w:val="es-ES"/>
        </w:rPr>
        <w:tab/>
      </w:r>
      <w:r w:rsidR="001E6890" w:rsidRPr="00DD5CBE">
        <w:rPr>
          <w:lang w:val="es-ES"/>
        </w:rPr>
        <w:t xml:space="preserve">Por otro lado, se </w:t>
      </w:r>
      <w:r w:rsidR="001E6890" w:rsidRPr="00900B05">
        <w:rPr>
          <w:lang w:val="es-ES_tradnl"/>
        </w:rPr>
        <w:t>han</w:t>
      </w:r>
      <w:r w:rsidR="001E6890" w:rsidRPr="00DD5CBE">
        <w:rPr>
          <w:lang w:val="es-ES"/>
        </w:rPr>
        <w:t xml:space="preserve"> identificado las siguientes esferas de posible interés sobre la base de las correspondencias entre resoluciones de la PP, AR/CMR, AMNT y CMDT:</w:t>
      </w:r>
      <w:bookmarkEnd w:id="17"/>
    </w:p>
    <w:p w14:paraId="29E0A594" w14:textId="6FA8557A" w:rsidR="001E6890" w:rsidRDefault="00416FC8" w:rsidP="00416FC8">
      <w:pPr>
        <w:pStyle w:val="enumlev1"/>
        <w:rPr>
          <w:lang w:val="es-ES"/>
        </w:rPr>
      </w:pPr>
      <w:r w:rsidRPr="00416FC8">
        <w:rPr>
          <w:lang w:val="es-ES"/>
        </w:rPr>
        <w:t>–</w:t>
      </w:r>
      <w:r>
        <w:rPr>
          <w:lang w:val="es-ES"/>
        </w:rPr>
        <w:tab/>
      </w:r>
      <w:r w:rsidR="00E236E2">
        <w:rPr>
          <w:lang w:val="es-ES"/>
        </w:rPr>
        <w:t>P</w:t>
      </w:r>
      <w:r w:rsidR="001E6890" w:rsidRPr="00DD5CBE">
        <w:rPr>
          <w:lang w:val="es-ES"/>
        </w:rPr>
        <w:t>rocedimientos alternativos de llamada</w:t>
      </w:r>
    </w:p>
    <w:p w14:paraId="2A3CD923" w14:textId="54CC02D2" w:rsidR="001E6890" w:rsidRDefault="00416FC8" w:rsidP="00416FC8">
      <w:pPr>
        <w:pStyle w:val="enumlev1"/>
        <w:rPr>
          <w:rFonts w:cstheme="minorHAnsi"/>
          <w:szCs w:val="24"/>
          <w:lang w:val="es-ES"/>
        </w:rPr>
      </w:pPr>
      <w:r w:rsidRPr="00416FC8">
        <w:rPr>
          <w:lang w:val="es-ES"/>
        </w:rPr>
        <w:t>–</w:t>
      </w:r>
      <w:r>
        <w:rPr>
          <w:lang w:val="es-ES"/>
        </w:rPr>
        <w:tab/>
      </w:r>
      <w:r w:rsidR="001E6890" w:rsidRPr="00DD5CBE">
        <w:rPr>
          <w:rFonts w:cstheme="minorHAnsi"/>
          <w:szCs w:val="24"/>
          <w:lang w:val="es-ES"/>
        </w:rPr>
        <w:t>Presencia regional</w:t>
      </w:r>
    </w:p>
    <w:p w14:paraId="7B62DA4B" w14:textId="241F885D"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Asistencia a los países en desarrollo (incluidos los países menos adelantados)</w:t>
      </w:r>
    </w:p>
    <w:p w14:paraId="1A5D737F" w14:textId="0B3BFFBE" w:rsidR="001E6890" w:rsidRDefault="00416FC8" w:rsidP="00416FC8">
      <w:pPr>
        <w:pStyle w:val="enumlev1"/>
        <w:rPr>
          <w:rFonts w:cstheme="minorHAnsi"/>
          <w:szCs w:val="24"/>
          <w:lang w:val="es-ES"/>
        </w:rPr>
      </w:pPr>
      <w:r w:rsidRPr="00416FC8">
        <w:rPr>
          <w:rFonts w:cstheme="minorHAnsi"/>
          <w:szCs w:val="24"/>
          <w:lang w:val="es-ES"/>
        </w:rPr>
        <w:lastRenderedPageBreak/>
        <w:t>–</w:t>
      </w:r>
      <w:r>
        <w:rPr>
          <w:rFonts w:cstheme="minorHAnsi"/>
          <w:szCs w:val="24"/>
          <w:lang w:val="es-ES"/>
        </w:rPr>
        <w:tab/>
      </w:r>
      <w:r w:rsidR="001E6890" w:rsidRPr="00DD5CBE">
        <w:rPr>
          <w:rFonts w:cstheme="minorHAnsi"/>
          <w:szCs w:val="24"/>
          <w:lang w:val="es-ES"/>
        </w:rPr>
        <w:t>Preparativos de las conferencias a escala regional</w:t>
      </w:r>
    </w:p>
    <w:p w14:paraId="0E24998B" w14:textId="3095069B"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Acceso no discriminatorio</w:t>
      </w:r>
    </w:p>
    <w:p w14:paraId="2D232B22" w14:textId="10F83D1B"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Publicaciones de la UIT</w:t>
      </w:r>
    </w:p>
    <w:p w14:paraId="393A95B0" w14:textId="167BBB23"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Cuestiones de género</w:t>
      </w:r>
    </w:p>
    <w:p w14:paraId="178D4EB7" w14:textId="1F70C392"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Plan estratégico</w:t>
      </w:r>
    </w:p>
    <w:p w14:paraId="23118ACA" w14:textId="43000373"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bookmarkStart w:id="18" w:name="lt_pId129"/>
      <w:r w:rsidR="001E6890" w:rsidRPr="00DD5CBE">
        <w:rPr>
          <w:rFonts w:cstheme="minorHAnsi"/>
          <w:szCs w:val="24"/>
          <w:lang w:val="es-ES"/>
        </w:rPr>
        <w:t>Solución de controversias</w:t>
      </w:r>
    </w:p>
    <w:p w14:paraId="730625B8" w14:textId="1B7DD9AB"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Programación de conferencias</w:t>
      </w:r>
    </w:p>
    <w:p w14:paraId="4DE208D7" w14:textId="697C24BD"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Cuestiones relacionadas con Internet (redes basadas en el protocolo de Internet, cuestiones sobre política pública internacional relativas a Internet y la gestión de los recursos de esta; despliegue y adopción del protocolo IPv6; nombres de dominio adaptados a escala internacional (multilingües))</w:t>
      </w:r>
    </w:p>
    <w:p w14:paraId="737A09D4" w14:textId="4EF90749" w:rsidR="001E6890" w:rsidRDefault="00416FC8" w:rsidP="00416FC8">
      <w:pPr>
        <w:pStyle w:val="enumlev1"/>
        <w:rPr>
          <w:rFonts w:cstheme="minorHAnsi"/>
          <w:szCs w:val="24"/>
          <w:lang w:val="es-ES"/>
        </w:rPr>
      </w:pPr>
      <w:bookmarkStart w:id="19" w:name="_Hlk33644302"/>
      <w:r w:rsidRPr="00416FC8">
        <w:rPr>
          <w:rFonts w:cstheme="minorHAnsi"/>
          <w:szCs w:val="24"/>
          <w:lang w:val="es-ES"/>
        </w:rPr>
        <w:t>–</w:t>
      </w:r>
      <w:r>
        <w:rPr>
          <w:rFonts w:cstheme="minorHAnsi"/>
          <w:szCs w:val="24"/>
          <w:lang w:val="es-ES"/>
        </w:rPr>
        <w:tab/>
      </w:r>
      <w:bookmarkEnd w:id="19"/>
      <w:r w:rsidR="001E6890" w:rsidRPr="00DD5CBE">
        <w:rPr>
          <w:rFonts w:cstheme="minorHAnsi"/>
          <w:szCs w:val="24"/>
          <w:lang w:val="es-ES"/>
        </w:rPr>
        <w:t>Grupos Asesores de los Sectores</w:t>
      </w:r>
    </w:p>
    <w:p w14:paraId="2BD7EF2C" w14:textId="0CE4D990"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Reducción de la brecha en materia de normalización</w:t>
      </w:r>
    </w:p>
    <w:p w14:paraId="15FF26DB" w14:textId="1BD47754"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Fomento de la confianza y la (ciber)seguridad, en particular equipos de respuesta a incidentes a escala nacional</w:t>
      </w:r>
    </w:p>
    <w:p w14:paraId="7882580D" w14:textId="44B7AA21"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Mitigación y gestión de los riesgos de catástrofe (incluidas actividades de socorro, emergencia y asistencia humanitaria)</w:t>
      </w:r>
    </w:p>
    <w:p w14:paraId="3B78E947" w14:textId="2D3FA5DE" w:rsidR="001E6890"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Redes futuras</w:t>
      </w:r>
    </w:p>
    <w:p w14:paraId="289A1AB1" w14:textId="4C3F75A6" w:rsidR="001E6890" w:rsidRPr="00DD5CBE" w:rsidRDefault="00416FC8"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Reducción de la brecha digital y sociedad de la información inclusiva</w:t>
      </w:r>
    </w:p>
    <w:p w14:paraId="3AFEC03C" w14:textId="2F64A359"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Miembros de Sector (incluidos miembros de Sector, asociados y entidades académicas)</w:t>
      </w:r>
    </w:p>
    <w:p w14:paraId="5A217FA8" w14:textId="42DB5051"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La CMSI y los ODS</w:t>
      </w:r>
    </w:p>
    <w:p w14:paraId="522B4345" w14:textId="72A51C19"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Reglamento de las Telecomunicaciones Internacionales (RTI) y aspectos reglamentarios</w:t>
      </w:r>
    </w:p>
    <w:p w14:paraId="60C095D7" w14:textId="4333E1C5"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Los seis idiomas de la ONU</w:t>
      </w:r>
    </w:p>
    <w:p w14:paraId="574148E6" w14:textId="3869119E"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Métodos de trabajo electrónicos y reuniones</w:t>
      </w:r>
      <w:r w:rsidR="001E6890">
        <w:rPr>
          <w:rFonts w:cstheme="minorHAnsi"/>
          <w:szCs w:val="24"/>
          <w:lang w:val="es-ES"/>
        </w:rPr>
        <w:t xml:space="preserve"> a distancia</w:t>
      </w:r>
    </w:p>
    <w:p w14:paraId="7E9679B1" w14:textId="31D5A614"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Accesibilidad de personas con discapacidad y necesidades especiales</w:t>
      </w:r>
    </w:p>
    <w:p w14:paraId="6DC768D8" w14:textId="3F193278"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Campos electromagnéticos (CEM)</w:t>
      </w:r>
    </w:p>
    <w:p w14:paraId="160E15E4" w14:textId="44B1FED5"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Conformidad e interoperabilidad</w:t>
      </w:r>
    </w:p>
    <w:p w14:paraId="356A8333" w14:textId="7B8A1807"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Protección de la infancia en línea</w:t>
      </w:r>
    </w:p>
    <w:p w14:paraId="52381E48" w14:textId="7BC8BEE6"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Cambio climático</w:t>
      </w:r>
    </w:p>
    <w:p w14:paraId="4DEE996E" w14:textId="5F506F38"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Cibersanidad</w:t>
      </w:r>
    </w:p>
    <w:p w14:paraId="5580F2AB" w14:textId="2BC7A650"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Utilización ilícita de las TIC, falsificación, robo de dispositivos móviles y apropiación y uso indebidos de recursos de telecomunicaciones internacionales</w:t>
      </w:r>
    </w:p>
    <w:p w14:paraId="4EEA5E91" w14:textId="25442547"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Protección del usuario/consumidor</w:t>
      </w:r>
    </w:p>
    <w:p w14:paraId="103AAF5B" w14:textId="4256E2F2"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Internet de las cosas (IoT) y ciudades inteligentes</w:t>
      </w:r>
    </w:p>
    <w:p w14:paraId="3665DEE5" w14:textId="1A4D22B3"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Cuestiones relativas a los jóvenes</w:t>
      </w:r>
    </w:p>
    <w:p w14:paraId="7D24D0CD" w14:textId="1C38FD21"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Redes definidas mediante soportes lógicos</w:t>
      </w:r>
    </w:p>
    <w:p w14:paraId="086B51F8" w14:textId="51539522"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Agenda Conectar 2030/conectividad de banda ancha</w:t>
      </w:r>
    </w:p>
    <w:p w14:paraId="18345690" w14:textId="0E8D1165"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Entorno propicio para las TIC</w:t>
      </w:r>
    </w:p>
    <w:p w14:paraId="2AE98005" w14:textId="54E11393" w:rsidR="001E6890" w:rsidRPr="00DD5CBE" w:rsidRDefault="0072161E" w:rsidP="00416FC8">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Servicios OTT</w:t>
      </w:r>
    </w:p>
    <w:p w14:paraId="5AE11203" w14:textId="7C76A944" w:rsidR="001E6890" w:rsidRPr="00DD5CBE" w:rsidRDefault="0072161E" w:rsidP="0072161E">
      <w:pPr>
        <w:pStyle w:val="enumlev1"/>
        <w:rPr>
          <w:rFonts w:cstheme="minorHAnsi"/>
          <w:szCs w:val="24"/>
          <w:lang w:val="es-ES"/>
        </w:rPr>
      </w:pPr>
      <w:r w:rsidRPr="0072161E">
        <w:rPr>
          <w:rFonts w:cstheme="minorHAnsi"/>
          <w:szCs w:val="24"/>
          <w:lang w:val="es-ES"/>
        </w:rPr>
        <w:lastRenderedPageBreak/>
        <w:t>–</w:t>
      </w:r>
      <w:r>
        <w:rPr>
          <w:rFonts w:cstheme="minorHAnsi"/>
          <w:szCs w:val="24"/>
          <w:lang w:val="es-ES"/>
        </w:rPr>
        <w:tab/>
      </w:r>
      <w:r w:rsidR="001E6890" w:rsidRPr="00DD5CBE">
        <w:rPr>
          <w:rFonts w:cstheme="minorHAnsi"/>
          <w:szCs w:val="24"/>
          <w:lang w:val="es-ES"/>
        </w:rPr>
        <w:t>Brecha en materia de inclusión financiera</w:t>
      </w:r>
    </w:p>
    <w:p w14:paraId="077CE0E6" w14:textId="50A5A044" w:rsidR="001E6890" w:rsidRPr="00DD5CBE" w:rsidRDefault="0072161E" w:rsidP="0072161E">
      <w:pPr>
        <w:pStyle w:val="enumlev1"/>
        <w:rPr>
          <w:rFonts w:cstheme="minorHAnsi"/>
          <w:szCs w:val="24"/>
          <w:lang w:val="es-ES"/>
        </w:rPr>
      </w:pPr>
      <w:r w:rsidRPr="0072161E">
        <w:rPr>
          <w:rFonts w:cstheme="minorHAnsi"/>
          <w:szCs w:val="24"/>
          <w:lang w:val="es-ES"/>
        </w:rPr>
        <w:t>–</w:t>
      </w:r>
      <w:r>
        <w:rPr>
          <w:rFonts w:cstheme="minorHAnsi"/>
          <w:szCs w:val="24"/>
          <w:lang w:val="es-ES"/>
        </w:rPr>
        <w:tab/>
      </w:r>
      <w:r w:rsidR="001E6890" w:rsidRPr="00DD5CBE">
        <w:rPr>
          <w:rFonts w:cstheme="minorHAnsi"/>
          <w:szCs w:val="24"/>
          <w:lang w:val="es-ES"/>
        </w:rPr>
        <w:t>Becas</w:t>
      </w:r>
    </w:p>
    <w:p w14:paraId="5CCC88EE" w14:textId="7D0234BB" w:rsidR="001E6890" w:rsidRPr="00DD5CBE"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PYME</w:t>
      </w:r>
    </w:p>
    <w:p w14:paraId="2DAE0733" w14:textId="58ADD694" w:rsidR="001E6890" w:rsidRPr="00DD5CBE"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Nombramiento de los presidentes y vicepresidentes de todos los grupos</w:t>
      </w:r>
    </w:p>
    <w:p w14:paraId="08570938" w14:textId="1CFEFBC1" w:rsidR="001E6890" w:rsidRPr="00DD5CBE"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Innovación para fomentar la economía y la sociedad digitales</w:t>
      </w:r>
    </w:p>
    <w:p w14:paraId="0E096D15" w14:textId="7D0CD388" w:rsidR="001E6890" w:rsidRPr="00DD5CBE"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Investigación y transferencia tecnológica</w:t>
      </w:r>
    </w:p>
    <w:p w14:paraId="1AAA79E6" w14:textId="701BFFFD" w:rsidR="001E6890" w:rsidRPr="00DD5CBE"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Principios sobre tarificación, calidad de servicio</w:t>
      </w:r>
    </w:p>
    <w:p w14:paraId="19133A09" w14:textId="7D388936" w:rsidR="001E6890" w:rsidRPr="00DD5CBE"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IMT-2020/5G, redes móviles.</w:t>
      </w:r>
      <w:bookmarkEnd w:id="18"/>
    </w:p>
    <w:p w14:paraId="11A617B5" w14:textId="1F500927" w:rsidR="001E6890" w:rsidRPr="00DD5CBE" w:rsidRDefault="0072161E" w:rsidP="0072161E">
      <w:pPr>
        <w:rPr>
          <w:lang w:val="es-ES"/>
        </w:rPr>
      </w:pPr>
      <w:bookmarkStart w:id="20" w:name="lt_pId130"/>
      <w:r>
        <w:rPr>
          <w:lang w:val="es-ES"/>
        </w:rPr>
        <w:t>1.4</w:t>
      </w:r>
      <w:r>
        <w:rPr>
          <w:lang w:val="es-ES"/>
        </w:rPr>
        <w:tab/>
      </w:r>
      <w:r w:rsidR="001E6890" w:rsidRPr="00DD5CBE">
        <w:rPr>
          <w:lang w:val="es-ES"/>
        </w:rPr>
        <w:t>El Grupo de Coordinación Intersectorial (GCSI) sobre cuestiones de interés mutuo ha elaborado la lista revisada de esferas de interés mutuo que se presenta a continuación:</w:t>
      </w:r>
      <w:bookmarkEnd w:id="20"/>
    </w:p>
    <w:p w14:paraId="039BD21F" w14:textId="5C7BDF2E" w:rsidR="001E6890" w:rsidRPr="00DD5CBE" w:rsidRDefault="001E6890" w:rsidP="0072161E">
      <w:pPr>
        <w:pStyle w:val="enumlev1"/>
        <w:rPr>
          <w:lang w:val="es-ES"/>
        </w:rPr>
      </w:pPr>
      <w:r w:rsidRPr="00DD5CBE">
        <w:rPr>
          <w:lang w:val="es-ES"/>
        </w:rPr>
        <w:t>1</w:t>
      </w:r>
      <w:r w:rsidRPr="00DD5CBE">
        <w:rPr>
          <w:lang w:val="es-ES"/>
        </w:rPr>
        <w:tab/>
      </w:r>
      <w:r w:rsidRPr="00900B05">
        <w:rPr>
          <w:lang w:val="es-ES_tradnl"/>
        </w:rPr>
        <w:t>Participación</w:t>
      </w:r>
    </w:p>
    <w:p w14:paraId="0BD89A46" w14:textId="560DA8CB" w:rsidR="001E6890" w:rsidRPr="00900B05" w:rsidRDefault="001E6890" w:rsidP="0072161E">
      <w:pPr>
        <w:pStyle w:val="enumlev2"/>
        <w:rPr>
          <w:lang w:val="es-ES_tradnl"/>
        </w:rPr>
      </w:pPr>
      <w:r w:rsidRPr="00DD5CBE">
        <w:rPr>
          <w:lang w:val="es-ES"/>
        </w:rPr>
        <w:t>1.1</w:t>
      </w:r>
      <w:r w:rsidR="0072161E">
        <w:rPr>
          <w:lang w:val="es-ES"/>
        </w:rPr>
        <w:tab/>
      </w:r>
      <w:r w:rsidRPr="00900B05">
        <w:rPr>
          <w:lang w:val="es-ES_tradnl"/>
        </w:rPr>
        <w:t>Participación a distancia</w:t>
      </w:r>
    </w:p>
    <w:p w14:paraId="0FA32CF3" w14:textId="78BCF5A1" w:rsidR="001E6890" w:rsidRPr="00900B05" w:rsidRDefault="001E6890" w:rsidP="0072161E">
      <w:pPr>
        <w:pStyle w:val="enumlev2"/>
        <w:rPr>
          <w:lang w:val="es-ES_tradnl"/>
        </w:rPr>
      </w:pPr>
      <w:r w:rsidRPr="00900B05">
        <w:rPr>
          <w:lang w:val="es-ES_tradnl"/>
        </w:rPr>
        <w:t>1.2</w:t>
      </w:r>
      <w:r w:rsidR="0072161E">
        <w:rPr>
          <w:lang w:val="es-ES_tradnl"/>
        </w:rPr>
        <w:tab/>
      </w:r>
      <w:r w:rsidRPr="00900B05">
        <w:rPr>
          <w:lang w:val="es-ES_tradnl"/>
        </w:rPr>
        <w:t>Reuniones electrónicas, grupos por correspondencia</w:t>
      </w:r>
    </w:p>
    <w:p w14:paraId="02001EA1" w14:textId="034A309A" w:rsidR="001E6890" w:rsidRPr="00900B05" w:rsidRDefault="001E6890" w:rsidP="0072161E">
      <w:pPr>
        <w:pStyle w:val="enumlev2"/>
        <w:rPr>
          <w:lang w:val="es-ES_tradnl"/>
        </w:rPr>
      </w:pPr>
      <w:r w:rsidRPr="00900B05">
        <w:rPr>
          <w:lang w:val="es-ES_tradnl"/>
        </w:rPr>
        <w:t>1.3</w:t>
      </w:r>
      <w:r w:rsidR="0072161E">
        <w:rPr>
          <w:lang w:val="es-ES_tradnl"/>
        </w:rPr>
        <w:tab/>
      </w:r>
      <w:r w:rsidRPr="00900B05">
        <w:rPr>
          <w:lang w:val="es-ES_tradnl"/>
        </w:rPr>
        <w:t>Mayor participación de países en desarrollo</w:t>
      </w:r>
    </w:p>
    <w:p w14:paraId="59A3AA61" w14:textId="7D1F6D02" w:rsidR="001E6890" w:rsidRPr="00900B05" w:rsidRDefault="001E6890" w:rsidP="0072161E">
      <w:pPr>
        <w:pStyle w:val="enumlev2"/>
        <w:rPr>
          <w:lang w:val="es-ES_tradnl"/>
        </w:rPr>
      </w:pPr>
      <w:r w:rsidRPr="00900B05">
        <w:rPr>
          <w:lang w:val="es-ES_tradnl"/>
        </w:rPr>
        <w:t>1.4</w:t>
      </w:r>
      <w:r w:rsidR="0072161E">
        <w:rPr>
          <w:lang w:val="es-ES_tradnl"/>
        </w:rPr>
        <w:tab/>
      </w:r>
      <w:r w:rsidRPr="00900B05">
        <w:rPr>
          <w:lang w:val="es-ES_tradnl"/>
        </w:rPr>
        <w:t>Cuestiones de participación, incluidas tareas de vicepresidencia</w:t>
      </w:r>
    </w:p>
    <w:p w14:paraId="76CC254D" w14:textId="7938EF86" w:rsidR="001E6890" w:rsidRPr="00DD5CBE" w:rsidRDefault="001E6890" w:rsidP="0072161E">
      <w:pPr>
        <w:pStyle w:val="enumlev2"/>
        <w:rPr>
          <w:lang w:val="es-ES"/>
        </w:rPr>
      </w:pPr>
      <w:r w:rsidRPr="00900B05">
        <w:rPr>
          <w:lang w:val="es-ES_tradnl"/>
        </w:rPr>
        <w:t>1.5</w:t>
      </w:r>
      <w:r w:rsidR="0072161E">
        <w:rPr>
          <w:lang w:val="es-ES_tradnl"/>
        </w:rPr>
        <w:tab/>
      </w:r>
      <w:r w:rsidRPr="00900B05">
        <w:rPr>
          <w:lang w:val="es-ES_tradnl"/>
        </w:rPr>
        <w:t>Participación de no</w:t>
      </w:r>
      <w:r w:rsidRPr="00DD5CBE">
        <w:rPr>
          <w:lang w:val="es-ES"/>
        </w:rPr>
        <w:t xml:space="preserve"> </w:t>
      </w:r>
      <w:r w:rsidRPr="00716777">
        <w:rPr>
          <w:lang w:val="es-ES"/>
        </w:rPr>
        <w:t>miembros</w:t>
      </w:r>
    </w:p>
    <w:p w14:paraId="10BFF88E" w14:textId="465872A0" w:rsidR="001E6890" w:rsidRPr="00DD5CBE" w:rsidRDefault="001E6890" w:rsidP="0072161E">
      <w:pPr>
        <w:pStyle w:val="enumlev1"/>
        <w:rPr>
          <w:lang w:val="es-ES"/>
        </w:rPr>
      </w:pPr>
      <w:r w:rsidRPr="00DD5CBE">
        <w:rPr>
          <w:lang w:val="es-ES"/>
        </w:rPr>
        <w:t>2</w:t>
      </w:r>
      <w:r w:rsidR="002E195D">
        <w:rPr>
          <w:lang w:val="es-ES"/>
        </w:rPr>
        <w:t>.</w:t>
      </w:r>
      <w:r w:rsidRPr="00DD5CBE">
        <w:rPr>
          <w:lang w:val="es-ES"/>
        </w:rPr>
        <w:tab/>
      </w:r>
      <w:r w:rsidRPr="00900B05">
        <w:rPr>
          <w:rFonts w:cstheme="minorHAnsi"/>
          <w:szCs w:val="24"/>
          <w:lang w:val="es-ES_tradnl"/>
        </w:rPr>
        <w:t>Gestión</w:t>
      </w:r>
      <w:r w:rsidRPr="00DD5CBE">
        <w:rPr>
          <w:lang w:val="es-ES"/>
        </w:rPr>
        <w:t xml:space="preserve"> de </w:t>
      </w:r>
      <w:r w:rsidRPr="00900B05">
        <w:rPr>
          <w:lang w:val="es-ES_tradnl"/>
        </w:rPr>
        <w:t>documentos</w:t>
      </w:r>
    </w:p>
    <w:p w14:paraId="2FAF238C" w14:textId="651E089C" w:rsidR="001E6890" w:rsidRPr="00900B05" w:rsidRDefault="001E6890" w:rsidP="0072161E">
      <w:pPr>
        <w:pStyle w:val="enumlev2"/>
        <w:rPr>
          <w:lang w:val="es-ES_tradnl"/>
        </w:rPr>
      </w:pPr>
      <w:r w:rsidRPr="00DD5CBE">
        <w:rPr>
          <w:lang w:val="es-ES"/>
        </w:rPr>
        <w:t>2.1</w:t>
      </w:r>
      <w:r w:rsidR="0072161E">
        <w:rPr>
          <w:lang w:val="es-ES"/>
        </w:rPr>
        <w:tab/>
      </w:r>
      <w:r w:rsidRPr="00900B05">
        <w:rPr>
          <w:lang w:val="es-ES_tradnl"/>
        </w:rPr>
        <w:t>Gestión de documentos electrónicos</w:t>
      </w:r>
    </w:p>
    <w:p w14:paraId="6CF38208" w14:textId="6327CD51" w:rsidR="001E6890" w:rsidRPr="00900B05" w:rsidRDefault="001E6890" w:rsidP="0072161E">
      <w:pPr>
        <w:pStyle w:val="enumlev2"/>
        <w:rPr>
          <w:lang w:val="es-ES_tradnl"/>
        </w:rPr>
      </w:pPr>
      <w:r w:rsidRPr="00900B05">
        <w:rPr>
          <w:lang w:val="es-ES_tradnl"/>
        </w:rPr>
        <w:t>2.2</w:t>
      </w:r>
      <w:r w:rsidR="0072161E">
        <w:rPr>
          <w:lang w:val="es-ES_tradnl"/>
        </w:rPr>
        <w:tab/>
      </w:r>
      <w:r w:rsidRPr="00900B05">
        <w:rPr>
          <w:lang w:val="es-ES_tradnl"/>
        </w:rPr>
        <w:t>Plazo para la presentación de contribuciones de Secretaría para acción</w:t>
      </w:r>
    </w:p>
    <w:p w14:paraId="54D05462" w14:textId="5AEFA23E" w:rsidR="001E6890" w:rsidRPr="00DD5CBE" w:rsidRDefault="001E6890" w:rsidP="0072161E">
      <w:pPr>
        <w:pStyle w:val="enumlev2"/>
        <w:rPr>
          <w:lang w:val="es-ES"/>
        </w:rPr>
      </w:pPr>
      <w:r w:rsidRPr="00900B05">
        <w:rPr>
          <w:lang w:val="es-ES_tradnl"/>
        </w:rPr>
        <w:t>2.3</w:t>
      </w:r>
      <w:r w:rsidR="0072161E">
        <w:rPr>
          <w:lang w:val="es-ES_tradnl"/>
        </w:rPr>
        <w:tab/>
      </w:r>
      <w:r w:rsidRPr="00900B05">
        <w:rPr>
          <w:lang w:val="es-ES_tradnl"/>
        </w:rPr>
        <w:t>Acceso electrónico a documentos, incluida la aplicación de la política de acceso a documentos decidida</w:t>
      </w:r>
      <w:r w:rsidRPr="00DD5CBE">
        <w:rPr>
          <w:lang w:val="es-ES"/>
        </w:rPr>
        <w:t xml:space="preserve"> por el Consejo</w:t>
      </w:r>
    </w:p>
    <w:p w14:paraId="57420798" w14:textId="77777777" w:rsidR="001E6890" w:rsidRPr="00DD5CBE" w:rsidRDefault="001E6890" w:rsidP="0072161E">
      <w:pPr>
        <w:pStyle w:val="enumlev1"/>
        <w:rPr>
          <w:lang w:val="es-ES"/>
        </w:rPr>
      </w:pPr>
      <w:r w:rsidRPr="00DD5CBE">
        <w:rPr>
          <w:lang w:val="es-ES"/>
        </w:rPr>
        <w:t>3</w:t>
      </w:r>
      <w:r w:rsidRPr="00DD5CBE">
        <w:rPr>
          <w:lang w:val="es-ES"/>
        </w:rPr>
        <w:tab/>
      </w:r>
      <w:r w:rsidRPr="00900B05">
        <w:rPr>
          <w:rFonts w:cstheme="minorHAnsi"/>
          <w:szCs w:val="24"/>
          <w:lang w:val="es-ES_tradnl"/>
        </w:rPr>
        <w:t>Inscripción</w:t>
      </w:r>
    </w:p>
    <w:p w14:paraId="1B2A43D0" w14:textId="6A01AA2C" w:rsidR="001E6890" w:rsidRPr="00DD5CBE" w:rsidRDefault="001E6890" w:rsidP="0072161E">
      <w:pPr>
        <w:pStyle w:val="enumlev2"/>
        <w:rPr>
          <w:lang w:val="es-ES"/>
        </w:rPr>
      </w:pPr>
      <w:r w:rsidRPr="00DD5CBE">
        <w:rPr>
          <w:lang w:val="es-ES"/>
        </w:rPr>
        <w:t>3.1</w:t>
      </w:r>
      <w:r w:rsidR="0072161E">
        <w:rPr>
          <w:lang w:val="es-ES"/>
        </w:rPr>
        <w:tab/>
      </w:r>
      <w:r w:rsidRPr="00900B05">
        <w:rPr>
          <w:lang w:val="es-ES_tradnl"/>
        </w:rPr>
        <w:t>Armonización</w:t>
      </w:r>
      <w:r w:rsidRPr="00DD5CBE">
        <w:rPr>
          <w:lang w:val="es-ES"/>
        </w:rPr>
        <w:t xml:space="preserve"> de la inscripción</w:t>
      </w:r>
    </w:p>
    <w:p w14:paraId="3F784420" w14:textId="213A4729" w:rsidR="001E6890" w:rsidRPr="00DD5CBE" w:rsidRDefault="001E6890" w:rsidP="0072161E">
      <w:pPr>
        <w:pStyle w:val="enumlev2"/>
        <w:rPr>
          <w:lang w:val="es-ES"/>
        </w:rPr>
      </w:pPr>
      <w:r w:rsidRPr="00DD5CBE">
        <w:rPr>
          <w:lang w:val="es-ES"/>
        </w:rPr>
        <w:t>3.2</w:t>
      </w:r>
      <w:r w:rsidR="0072161E">
        <w:rPr>
          <w:lang w:val="es-ES"/>
        </w:rPr>
        <w:tab/>
      </w:r>
      <w:r w:rsidRPr="00DD5CBE">
        <w:rPr>
          <w:lang w:val="es-ES"/>
        </w:rPr>
        <w:t>Inscripción para participar en reuniones, incluida la de participantes a distancia</w:t>
      </w:r>
    </w:p>
    <w:p w14:paraId="03DA56FF" w14:textId="48F6011D" w:rsidR="001E6890" w:rsidRPr="00DD5CBE" w:rsidRDefault="001E6890" w:rsidP="0072161E">
      <w:pPr>
        <w:pStyle w:val="enumlev1"/>
        <w:rPr>
          <w:lang w:val="es-ES"/>
        </w:rPr>
      </w:pPr>
      <w:r w:rsidRPr="00DD5CBE">
        <w:rPr>
          <w:lang w:val="es-ES"/>
        </w:rPr>
        <w:t>4</w:t>
      </w:r>
      <w:r w:rsidRPr="00DD5CBE">
        <w:rPr>
          <w:lang w:val="es-ES"/>
        </w:rPr>
        <w:tab/>
        <w:t xml:space="preserve">Mejora </w:t>
      </w:r>
      <w:r w:rsidRPr="00900B05">
        <w:rPr>
          <w:rFonts w:cstheme="minorHAnsi"/>
          <w:szCs w:val="24"/>
          <w:lang w:val="es-ES_tradnl"/>
        </w:rPr>
        <w:t>de</w:t>
      </w:r>
      <w:r w:rsidRPr="00DD5CBE">
        <w:rPr>
          <w:lang w:val="es-ES"/>
        </w:rPr>
        <w:t xml:space="preserve"> las páginas web de la UIT en sus idiomas oficiales, teniendo en cuenta las prácticas idóneas</w:t>
      </w:r>
    </w:p>
    <w:p w14:paraId="6A48202B" w14:textId="56694011" w:rsidR="001E6890" w:rsidRPr="00DD5CBE" w:rsidRDefault="001E6890" w:rsidP="0072161E">
      <w:pPr>
        <w:pStyle w:val="enumlev2"/>
        <w:rPr>
          <w:lang w:val="es-ES"/>
        </w:rPr>
      </w:pPr>
      <w:r w:rsidRPr="00DD5CBE">
        <w:rPr>
          <w:lang w:val="es-ES"/>
        </w:rPr>
        <w:t>4.1</w:t>
      </w:r>
      <w:r w:rsidR="0072161E">
        <w:rPr>
          <w:lang w:val="es-ES"/>
        </w:rPr>
        <w:tab/>
      </w:r>
      <w:r w:rsidRPr="002E195D">
        <w:rPr>
          <w:lang w:val="es-ES"/>
        </w:rPr>
        <w:t>Cuestiones</w:t>
      </w:r>
      <w:r w:rsidRPr="00DD5CBE">
        <w:rPr>
          <w:lang w:val="es-ES"/>
        </w:rPr>
        <w:t xml:space="preserve"> </w:t>
      </w:r>
      <w:r w:rsidRPr="00900B05">
        <w:rPr>
          <w:lang w:val="es-ES_tradnl"/>
        </w:rPr>
        <w:t>relativas</w:t>
      </w:r>
      <w:r w:rsidRPr="00DD5CBE">
        <w:rPr>
          <w:lang w:val="es-ES"/>
        </w:rPr>
        <w:t xml:space="preserve"> a los idiomas</w:t>
      </w:r>
    </w:p>
    <w:p w14:paraId="6C06FFEA" w14:textId="20958D94" w:rsidR="001E6890" w:rsidRPr="00DD5CBE" w:rsidRDefault="001E6890" w:rsidP="0072161E">
      <w:pPr>
        <w:pStyle w:val="enumlev1"/>
        <w:rPr>
          <w:lang w:val="es-ES"/>
        </w:rPr>
      </w:pPr>
      <w:r w:rsidRPr="00DD5CBE">
        <w:rPr>
          <w:lang w:val="es-ES"/>
        </w:rPr>
        <w:t>5</w:t>
      </w:r>
      <w:r w:rsidRPr="00DD5CBE">
        <w:rPr>
          <w:lang w:val="es-ES"/>
        </w:rPr>
        <w:tab/>
      </w:r>
      <w:r w:rsidRPr="00900B05">
        <w:rPr>
          <w:rFonts w:cstheme="minorHAnsi"/>
          <w:szCs w:val="24"/>
          <w:lang w:val="es-ES_tradnl"/>
        </w:rPr>
        <w:t>Planificación</w:t>
      </w:r>
      <w:r w:rsidRPr="00DD5CBE">
        <w:rPr>
          <w:lang w:val="es-ES"/>
        </w:rPr>
        <w:t xml:space="preserve"> de reuniones</w:t>
      </w:r>
    </w:p>
    <w:p w14:paraId="63949C3B" w14:textId="328E5B29" w:rsidR="001E6890" w:rsidRPr="00DD5CBE" w:rsidRDefault="001E6890" w:rsidP="0072161E">
      <w:pPr>
        <w:pStyle w:val="enumlev2"/>
        <w:rPr>
          <w:lang w:val="es-ES"/>
        </w:rPr>
      </w:pPr>
      <w:r w:rsidRPr="00DD5CBE">
        <w:rPr>
          <w:lang w:val="es-ES"/>
        </w:rPr>
        <w:t>5.1</w:t>
      </w:r>
      <w:r w:rsidR="0072161E">
        <w:rPr>
          <w:lang w:val="es-ES"/>
        </w:rPr>
        <w:tab/>
      </w:r>
      <w:r w:rsidRPr="002E195D">
        <w:rPr>
          <w:lang w:val="es-ES"/>
        </w:rPr>
        <w:t>Preparación</w:t>
      </w:r>
      <w:r w:rsidRPr="00DD5CBE">
        <w:rPr>
          <w:lang w:val="es-ES"/>
        </w:rPr>
        <w:t xml:space="preserve"> para conferencias y reuniones</w:t>
      </w:r>
    </w:p>
    <w:p w14:paraId="573A76BF" w14:textId="6FC698D9" w:rsidR="001E6890" w:rsidRPr="00DD5CBE" w:rsidRDefault="001E6890" w:rsidP="0072161E">
      <w:pPr>
        <w:pStyle w:val="enumlev2"/>
        <w:rPr>
          <w:lang w:val="es-ES"/>
        </w:rPr>
      </w:pPr>
      <w:r w:rsidRPr="00DD5CBE">
        <w:rPr>
          <w:lang w:val="es-ES"/>
        </w:rPr>
        <w:t>5.2</w:t>
      </w:r>
      <w:r w:rsidR="0072161E">
        <w:rPr>
          <w:lang w:val="es-ES"/>
        </w:rPr>
        <w:tab/>
      </w:r>
      <w:r w:rsidRPr="002E195D">
        <w:rPr>
          <w:lang w:val="es-ES"/>
        </w:rPr>
        <w:t>Mejora</w:t>
      </w:r>
      <w:r w:rsidRPr="00DD5CBE">
        <w:rPr>
          <w:lang w:val="es-ES"/>
        </w:rPr>
        <w:t xml:space="preserve"> y optimización de seminarios/simposios/</w:t>
      </w:r>
      <w:r w:rsidRPr="00900B05">
        <w:rPr>
          <w:lang w:val="es-ES_tradnl"/>
        </w:rPr>
        <w:t>talleres</w:t>
      </w:r>
      <w:r w:rsidRPr="00DD5CBE">
        <w:rPr>
          <w:lang w:val="es-ES"/>
        </w:rPr>
        <w:t>/</w:t>
      </w:r>
      <w:r w:rsidRPr="00900B05">
        <w:rPr>
          <w:lang w:val="es-ES_tradnl"/>
        </w:rPr>
        <w:t>capacitación</w:t>
      </w:r>
    </w:p>
    <w:p w14:paraId="78EA6C21" w14:textId="063E4B3A" w:rsidR="001E6890" w:rsidRPr="00DD5CBE" w:rsidRDefault="001E6890" w:rsidP="0072161E">
      <w:pPr>
        <w:pStyle w:val="enumlev2"/>
        <w:rPr>
          <w:lang w:val="es-ES"/>
        </w:rPr>
      </w:pPr>
      <w:r w:rsidRPr="00DD5CBE">
        <w:rPr>
          <w:lang w:val="es-ES"/>
        </w:rPr>
        <w:t>5.3</w:t>
      </w:r>
      <w:r w:rsidR="0072161E">
        <w:rPr>
          <w:lang w:val="es-ES"/>
        </w:rPr>
        <w:tab/>
      </w:r>
      <w:r w:rsidRPr="002E195D">
        <w:rPr>
          <w:lang w:val="es-ES"/>
        </w:rPr>
        <w:t>Colaboración</w:t>
      </w:r>
      <w:r w:rsidRPr="00DD5CBE">
        <w:rPr>
          <w:lang w:val="es-ES"/>
        </w:rPr>
        <w:t xml:space="preserve"> y cooperación sobre eventos</w:t>
      </w:r>
    </w:p>
    <w:p w14:paraId="544319A9" w14:textId="24652AA7" w:rsidR="001E6890" w:rsidRPr="00DD5CBE" w:rsidRDefault="001E6890" w:rsidP="0072161E">
      <w:pPr>
        <w:pStyle w:val="enumlev1"/>
        <w:rPr>
          <w:lang w:val="es-ES"/>
        </w:rPr>
      </w:pPr>
      <w:r w:rsidRPr="00DD5CBE">
        <w:rPr>
          <w:lang w:val="es-ES"/>
        </w:rPr>
        <w:t>6</w:t>
      </w:r>
      <w:r w:rsidRPr="00DD5CBE">
        <w:rPr>
          <w:lang w:val="es-ES"/>
        </w:rPr>
        <w:tab/>
      </w:r>
      <w:r w:rsidRPr="00D9347A">
        <w:rPr>
          <w:rFonts w:cstheme="minorHAnsi"/>
          <w:szCs w:val="24"/>
          <w:lang w:val="es-ES_tradnl"/>
        </w:rPr>
        <w:t>Procedimientos</w:t>
      </w:r>
      <w:r w:rsidRPr="00DD5CBE">
        <w:rPr>
          <w:lang w:val="es-ES"/>
        </w:rPr>
        <w:t xml:space="preserve"> </w:t>
      </w:r>
      <w:r w:rsidRPr="00D9347A">
        <w:rPr>
          <w:rFonts w:cstheme="minorHAnsi"/>
          <w:szCs w:val="24"/>
          <w:lang w:val="es-ES_tradnl"/>
        </w:rPr>
        <w:t>racionalizados</w:t>
      </w:r>
      <w:r w:rsidRPr="00DD5CBE">
        <w:rPr>
          <w:lang w:val="es-ES"/>
        </w:rPr>
        <w:t xml:space="preserve"> para el establecimiento de Grupos de Relator Intersectoriales (</w:t>
      </w:r>
      <w:r w:rsidRPr="00D9347A">
        <w:rPr>
          <w:lang w:val="es-ES_tradnl"/>
        </w:rPr>
        <w:t>GRI</w:t>
      </w:r>
      <w:r w:rsidRPr="00DD5CBE">
        <w:rPr>
          <w:lang w:val="es-ES"/>
        </w:rPr>
        <w:t>)</w:t>
      </w:r>
    </w:p>
    <w:p w14:paraId="2D3C42FC" w14:textId="7740AC74" w:rsidR="001E6890" w:rsidRPr="00DD5CBE" w:rsidRDefault="001E6890" w:rsidP="0072161E">
      <w:pPr>
        <w:pStyle w:val="enumlev2"/>
        <w:rPr>
          <w:lang w:val="es-ES"/>
        </w:rPr>
      </w:pPr>
      <w:r w:rsidRPr="00DD5CBE">
        <w:rPr>
          <w:lang w:val="es-ES"/>
        </w:rPr>
        <w:t>6.1</w:t>
      </w:r>
      <w:r w:rsidR="0072161E">
        <w:rPr>
          <w:lang w:val="es-ES"/>
        </w:rPr>
        <w:tab/>
      </w:r>
      <w:r w:rsidRPr="00DD5CBE">
        <w:rPr>
          <w:lang w:val="es-ES"/>
        </w:rPr>
        <w:t xml:space="preserve">Gestión de </w:t>
      </w:r>
      <w:r w:rsidRPr="00900B05">
        <w:rPr>
          <w:lang w:val="es-ES_tradnl"/>
        </w:rPr>
        <w:t>las</w:t>
      </w:r>
      <w:r w:rsidRPr="00DD5CBE">
        <w:rPr>
          <w:lang w:val="es-ES"/>
        </w:rPr>
        <w:t xml:space="preserve"> declaraciones de coordinación de los Grupos de Relator Intersectoriales</w:t>
      </w:r>
    </w:p>
    <w:p w14:paraId="7BE2882C" w14:textId="582211DF" w:rsidR="001E6890" w:rsidRPr="00DD5CBE" w:rsidRDefault="001E6890" w:rsidP="0072161E">
      <w:pPr>
        <w:pStyle w:val="enumlev1"/>
        <w:rPr>
          <w:lang w:val="es-ES"/>
        </w:rPr>
      </w:pPr>
      <w:r w:rsidRPr="00DD5CBE">
        <w:rPr>
          <w:lang w:val="es-ES"/>
        </w:rPr>
        <w:t>7</w:t>
      </w:r>
      <w:r w:rsidRPr="00DD5CBE">
        <w:rPr>
          <w:lang w:val="es-ES"/>
        </w:rPr>
        <w:tab/>
      </w:r>
      <w:r w:rsidRPr="00900B05">
        <w:rPr>
          <w:rFonts w:cstheme="minorHAnsi"/>
          <w:szCs w:val="24"/>
          <w:lang w:val="es-ES_tradnl"/>
        </w:rPr>
        <w:t>Identificación</w:t>
      </w:r>
      <w:r w:rsidRPr="00DD5CBE">
        <w:rPr>
          <w:lang w:val="es-ES"/>
        </w:rPr>
        <w:t xml:space="preserve"> de problemas técnicos de interés mutuo</w:t>
      </w:r>
    </w:p>
    <w:p w14:paraId="3C8EFCE4" w14:textId="2E14839C" w:rsidR="001E6890" w:rsidRPr="00DD5CBE" w:rsidRDefault="001E6890" w:rsidP="0072161E">
      <w:pPr>
        <w:pStyle w:val="enumlev1"/>
        <w:rPr>
          <w:lang w:val="es-ES"/>
        </w:rPr>
      </w:pPr>
      <w:r w:rsidRPr="00DD5CBE">
        <w:rPr>
          <w:lang w:val="es-ES"/>
        </w:rPr>
        <w:t>8</w:t>
      </w:r>
      <w:r w:rsidRPr="00DD5CBE">
        <w:rPr>
          <w:lang w:val="es-ES"/>
        </w:rPr>
        <w:tab/>
      </w:r>
      <w:r w:rsidRPr="00900B05">
        <w:rPr>
          <w:rFonts w:cstheme="minorHAnsi"/>
          <w:szCs w:val="24"/>
          <w:lang w:val="es-ES_tradnl"/>
        </w:rPr>
        <w:t>Intercambio</w:t>
      </w:r>
      <w:r w:rsidRPr="00DD5CBE">
        <w:rPr>
          <w:lang w:val="es-ES"/>
        </w:rPr>
        <w:t xml:space="preserve"> de información sobre actividades de estudio conexas</w:t>
      </w:r>
    </w:p>
    <w:p w14:paraId="548888E0" w14:textId="29002F58" w:rsidR="001E6890" w:rsidRPr="00DD5CBE" w:rsidRDefault="001E6890" w:rsidP="0072161E">
      <w:pPr>
        <w:pStyle w:val="enumlev2"/>
        <w:rPr>
          <w:lang w:val="es-ES"/>
        </w:rPr>
      </w:pPr>
      <w:r w:rsidRPr="00DD5CBE">
        <w:rPr>
          <w:lang w:val="es-ES"/>
        </w:rPr>
        <w:t>8.1</w:t>
      </w:r>
      <w:r w:rsidR="0072161E">
        <w:rPr>
          <w:lang w:val="es-ES"/>
        </w:rPr>
        <w:tab/>
      </w:r>
      <w:r w:rsidRPr="00DD5CBE">
        <w:rPr>
          <w:lang w:val="es-ES"/>
        </w:rPr>
        <w:t>Mejora de interacción entre Grupos de trabajo y Comisiones de Estudio de varios Sectores</w:t>
      </w:r>
    </w:p>
    <w:p w14:paraId="14F7CF3F" w14:textId="6409CB37" w:rsidR="001E6890" w:rsidRPr="00DD5CBE" w:rsidRDefault="001E6890" w:rsidP="0072161E">
      <w:pPr>
        <w:pStyle w:val="enumlev1"/>
        <w:rPr>
          <w:lang w:val="es-ES"/>
        </w:rPr>
      </w:pPr>
      <w:r w:rsidRPr="00DD5CBE">
        <w:rPr>
          <w:lang w:val="es-ES"/>
        </w:rPr>
        <w:lastRenderedPageBreak/>
        <w:t>9</w:t>
      </w:r>
      <w:r w:rsidRPr="00DD5CBE">
        <w:rPr>
          <w:lang w:val="es-ES"/>
        </w:rPr>
        <w:tab/>
      </w:r>
      <w:r w:rsidRPr="00900B05">
        <w:rPr>
          <w:rFonts w:cstheme="minorHAnsi"/>
          <w:szCs w:val="24"/>
          <w:lang w:val="es-ES_tradnl"/>
        </w:rPr>
        <w:t>Métodos</w:t>
      </w:r>
      <w:r w:rsidRPr="00DD5CBE">
        <w:rPr>
          <w:lang w:val="es-ES"/>
        </w:rPr>
        <w:t xml:space="preserve"> de trabajo (Resolución 1) de los tres Sectores y aplicación de prácticas idóneas</w:t>
      </w:r>
    </w:p>
    <w:p w14:paraId="01D65D83" w14:textId="66C5EB1F" w:rsidR="001E6890" w:rsidRPr="0072161E" w:rsidRDefault="001E6890" w:rsidP="0072161E">
      <w:pPr>
        <w:pStyle w:val="enumlev1"/>
        <w:rPr>
          <w:lang w:val="es-ES"/>
        </w:rPr>
      </w:pPr>
      <w:r w:rsidRPr="00DD5CBE">
        <w:rPr>
          <w:lang w:val="es-ES"/>
        </w:rPr>
        <w:t>10</w:t>
      </w:r>
      <w:r w:rsidRPr="00DD5CBE">
        <w:rPr>
          <w:lang w:val="es-ES"/>
        </w:rPr>
        <w:tab/>
      </w:r>
      <w:r w:rsidRPr="0072161E">
        <w:rPr>
          <w:lang w:val="es-ES"/>
        </w:rPr>
        <w:t>Miembros</w:t>
      </w:r>
      <w:r w:rsidRPr="00DD5CBE">
        <w:rPr>
          <w:lang w:val="es-ES"/>
        </w:rPr>
        <w:t xml:space="preserve"> de Sector</w:t>
      </w:r>
    </w:p>
    <w:p w14:paraId="578FB8EE" w14:textId="108FB988" w:rsidR="001E6890" w:rsidRPr="00DD5CBE" w:rsidRDefault="0072161E" w:rsidP="0072161E">
      <w:pPr>
        <w:rPr>
          <w:lang w:val="es-ES"/>
        </w:rPr>
      </w:pPr>
      <w:bookmarkStart w:id="21" w:name="lt_pId183"/>
      <w:r>
        <w:rPr>
          <w:lang w:val="es-ES"/>
        </w:rPr>
        <w:t>1.5</w:t>
      </w:r>
      <w:r>
        <w:rPr>
          <w:lang w:val="es-ES"/>
        </w:rPr>
        <w:tab/>
      </w:r>
      <w:r w:rsidR="001E6890" w:rsidRPr="00DD5CBE">
        <w:rPr>
          <w:lang w:val="es-ES"/>
        </w:rPr>
        <w:t xml:space="preserve">Las siguientes cuestiones de interés mutuo para los tres Sectores también se abordan en el marco de los </w:t>
      </w:r>
      <w:r w:rsidR="001E6890" w:rsidRPr="00783AAA">
        <w:rPr>
          <w:lang w:val="es-ES"/>
        </w:rPr>
        <w:t>actuales</w:t>
      </w:r>
      <w:r w:rsidR="001E6890" w:rsidRPr="00DD5CBE">
        <w:rPr>
          <w:lang w:val="es-ES"/>
        </w:rPr>
        <w:t xml:space="preserve"> (o los reciente constituidos) Grupos de trabajo del Consejo y grupos de expertos:</w:t>
      </w:r>
      <w:bookmarkEnd w:id="21"/>
    </w:p>
    <w:p w14:paraId="3FB6600C" w14:textId="0F00F643" w:rsidR="001E6890" w:rsidRDefault="0072161E" w:rsidP="0072161E">
      <w:pPr>
        <w:pStyle w:val="enumlev1"/>
        <w:rPr>
          <w:lang w:val="es-ES"/>
        </w:rPr>
      </w:pPr>
      <w:r w:rsidRPr="0072161E">
        <w:rPr>
          <w:lang w:val="es-ES"/>
        </w:rPr>
        <w:t>–</w:t>
      </w:r>
      <w:r>
        <w:rPr>
          <w:lang w:val="es-ES"/>
        </w:rPr>
        <w:tab/>
      </w:r>
      <w:r w:rsidR="001E6890" w:rsidRPr="00DD5CBE">
        <w:rPr>
          <w:lang w:val="es-ES"/>
        </w:rPr>
        <w:t>Recursos financieros y humanos</w:t>
      </w:r>
    </w:p>
    <w:p w14:paraId="528F812D" w14:textId="337C480C" w:rsidR="001E6890"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Cuestiones de política pública internacional relacionadas con Internet</w:t>
      </w:r>
    </w:p>
    <w:p w14:paraId="665B8CDD" w14:textId="00E5A190" w:rsidR="001E6890"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CMSI y los ODS</w:t>
      </w:r>
    </w:p>
    <w:p w14:paraId="6137DB3E" w14:textId="27CAC712" w:rsidR="001E6890"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Protección de la infancia en línea</w:t>
      </w:r>
    </w:p>
    <w:p w14:paraId="36E2B503" w14:textId="15A6739E" w:rsidR="001E6890"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Utilización de los seis idiomas oficiales de la Unión</w:t>
      </w:r>
    </w:p>
    <w:p w14:paraId="3247059D" w14:textId="6D3D88C4" w:rsidR="001E6890"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Decisión 482 (recuperación de costos respecto de las notificaciones de redes de satélites)</w:t>
      </w:r>
    </w:p>
    <w:p w14:paraId="69AF237C" w14:textId="2AA2B5E8" w:rsidR="001E6890"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RTI</w:t>
      </w:r>
    </w:p>
    <w:p w14:paraId="7EF148E0" w14:textId="677B436E" w:rsidR="001E6890" w:rsidRDefault="0072161E" w:rsidP="0072161E">
      <w:pPr>
        <w:pStyle w:val="enumlev1"/>
        <w:rPr>
          <w:rFonts w:cstheme="minorHAnsi"/>
          <w:szCs w:val="24"/>
          <w:lang w:val="es-ES"/>
        </w:rPr>
      </w:pPr>
      <w:r w:rsidRPr="00416FC8">
        <w:rPr>
          <w:rFonts w:cstheme="minorHAnsi"/>
          <w:szCs w:val="24"/>
          <w:lang w:val="es-ES"/>
        </w:rPr>
        <w:t>–</w:t>
      </w:r>
      <w:r>
        <w:rPr>
          <w:rFonts w:cstheme="minorHAnsi"/>
          <w:szCs w:val="24"/>
          <w:lang w:val="es-ES"/>
        </w:rPr>
        <w:tab/>
      </w:r>
      <w:r w:rsidR="001E6890" w:rsidRPr="00DD5CBE">
        <w:rPr>
          <w:rFonts w:cstheme="minorHAnsi"/>
          <w:szCs w:val="24"/>
          <w:lang w:val="es-ES"/>
        </w:rPr>
        <w:t>Planes Estratégico y Financiero de la Unión</w:t>
      </w:r>
    </w:p>
    <w:p w14:paraId="7ED6C6A6" w14:textId="77777777" w:rsidR="0072161E" w:rsidRPr="00DD5CBE" w:rsidRDefault="0072161E" w:rsidP="0072161E">
      <w:pPr>
        <w:pStyle w:val="enumlev1"/>
        <w:rPr>
          <w:lang w:val="es-ES"/>
        </w:rPr>
      </w:pPr>
    </w:p>
    <w:p w14:paraId="0985AABF" w14:textId="77777777" w:rsidR="001E6890" w:rsidRPr="00DD5CBE" w:rsidRDefault="001E6890" w:rsidP="00E70E0E">
      <w:pPr>
        <w:shd w:val="clear" w:color="auto" w:fill="FFFFFF"/>
        <w:tabs>
          <w:tab w:val="clear" w:pos="794"/>
          <w:tab w:val="clear" w:pos="1191"/>
          <w:tab w:val="clear" w:pos="1588"/>
          <w:tab w:val="clear" w:pos="1985"/>
        </w:tabs>
        <w:overflowPunct/>
        <w:autoSpaceDE/>
        <w:autoSpaceDN/>
        <w:adjustRightInd/>
        <w:snapToGrid w:val="0"/>
        <w:spacing w:before="0" w:after="120"/>
        <w:ind w:left="360"/>
        <w:jc w:val="both"/>
        <w:textAlignment w:val="auto"/>
        <w:rPr>
          <w:lang w:val="es-ES"/>
        </w:rPr>
        <w:sectPr w:rsidR="001E6890" w:rsidRPr="00DD5CBE" w:rsidSect="00E70E0E">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418" w:left="1134" w:header="709" w:footer="709" w:gutter="0"/>
          <w:cols w:space="708"/>
          <w:titlePg/>
          <w:docGrid w:linePitch="360"/>
        </w:sectPr>
      </w:pPr>
    </w:p>
    <w:p w14:paraId="4501DD3C" w14:textId="0BCCEB66" w:rsidR="001E6890" w:rsidRPr="00F22296" w:rsidRDefault="001E6890" w:rsidP="0020239F">
      <w:pPr>
        <w:pStyle w:val="Tabletitle"/>
        <w:rPr>
          <w:lang w:val="es-ES_tradnl"/>
        </w:rPr>
      </w:pPr>
      <w:bookmarkStart w:id="22" w:name="lt_pId196"/>
      <w:bookmarkStart w:id="23" w:name="_Hlk31119004"/>
      <w:r w:rsidRPr="00F22296">
        <w:rPr>
          <w:lang w:val="es-ES_tradnl"/>
        </w:rPr>
        <w:lastRenderedPageBreak/>
        <w:t xml:space="preserve">Examen de </w:t>
      </w:r>
      <w:r w:rsidRPr="0020239F">
        <w:t>las</w:t>
      </w:r>
      <w:r w:rsidRPr="00F22296">
        <w:rPr>
          <w:lang w:val="es-ES_tradnl"/>
        </w:rPr>
        <w:t xml:space="preserve"> correspondencias de las actividades del UIT-R, el UIT-T y el UIT-D relacionadas con el </w:t>
      </w:r>
      <w:r w:rsidR="0020239F">
        <w:rPr>
          <w:lang w:val="es-ES_tradnl"/>
        </w:rPr>
        <w:t>"</w:t>
      </w:r>
      <w:r w:rsidRPr="00F22296">
        <w:rPr>
          <w:lang w:val="es-ES_tradnl"/>
        </w:rPr>
        <w:t>cambio climático</w:t>
      </w:r>
      <w:bookmarkEnd w:id="22"/>
      <w:r w:rsidR="0020239F">
        <w:rPr>
          <w:lang w:val="es-ES_tradnl"/>
        </w:rPr>
        <w:t>"</w:t>
      </w:r>
    </w:p>
    <w:p w14:paraId="739119AA" w14:textId="77777777" w:rsidR="001E6890" w:rsidRPr="00E9017E" w:rsidRDefault="001E6890" w:rsidP="0020239F">
      <w:pPr>
        <w:pStyle w:val="Tabletitle"/>
        <w:rPr>
          <w:lang w:val="es-ES_tradnl"/>
        </w:rPr>
      </w:pPr>
      <w:bookmarkStart w:id="24" w:name="lt_pId197"/>
      <w:r w:rsidRPr="00E9017E">
        <w:rPr>
          <w:lang w:val="es-ES_tradnl"/>
        </w:rPr>
        <w:t>Cuadro 1</w:t>
      </w:r>
      <w:bookmarkEnd w:id="24"/>
    </w:p>
    <w:tbl>
      <w:tblPr>
        <w:tblStyle w:val="TableGrid"/>
        <w:tblW w:w="0" w:type="auto"/>
        <w:tblLook w:val="04A0" w:firstRow="1" w:lastRow="0" w:firstColumn="1" w:lastColumn="0" w:noHBand="0" w:noVBand="1"/>
      </w:tblPr>
      <w:tblGrid>
        <w:gridCol w:w="2547"/>
        <w:gridCol w:w="3402"/>
        <w:gridCol w:w="4394"/>
        <w:gridCol w:w="3649"/>
      </w:tblGrid>
      <w:tr w:rsidR="001E6890" w:rsidRPr="00B63ABD" w14:paraId="369EE1D0" w14:textId="77777777" w:rsidTr="002E3BDE">
        <w:trPr>
          <w:trHeight w:val="600"/>
          <w:tblHeader/>
        </w:trPr>
        <w:tc>
          <w:tcPr>
            <w:tcW w:w="2547" w:type="dxa"/>
            <w:tcBorders>
              <w:bottom w:val="single" w:sz="12" w:space="0" w:color="auto"/>
            </w:tcBorders>
            <w:hideMark/>
          </w:tcPr>
          <w:p w14:paraId="20928AEB" w14:textId="458DC0A8" w:rsidR="001E6890" w:rsidRPr="00E9017E" w:rsidRDefault="005E2015" w:rsidP="004573BE">
            <w:pPr>
              <w:overflowPunct/>
              <w:autoSpaceDE/>
              <w:autoSpaceDN/>
              <w:adjustRightInd/>
              <w:spacing w:before="0" w:after="120"/>
              <w:jc w:val="center"/>
              <w:textAlignment w:val="auto"/>
              <w:rPr>
                <w:rFonts w:asciiTheme="minorHAnsi" w:hAnsiTheme="minorHAnsi" w:cstheme="minorHAnsi"/>
                <w:lang w:val="es-ES_tradnl"/>
              </w:rPr>
            </w:pPr>
            <w:hyperlink r:id="rId19" w:history="1">
              <w:r w:rsidR="004573BE" w:rsidRPr="00E9017E">
                <w:rPr>
                  <w:rStyle w:val="Hyperlink"/>
                  <w:rFonts w:asciiTheme="minorHAnsi" w:hAnsiTheme="minorHAnsi"/>
                  <w:b/>
                  <w:bCs/>
                  <w:sz w:val="22"/>
                  <w:lang w:val="es-ES_tradnl"/>
                </w:rPr>
                <w:t>Resolución 182 de la PP (Rev. Busán 2014</w:t>
              </w:r>
            </w:hyperlink>
          </w:p>
        </w:tc>
        <w:tc>
          <w:tcPr>
            <w:tcW w:w="3402" w:type="dxa"/>
            <w:tcBorders>
              <w:bottom w:val="single" w:sz="12" w:space="0" w:color="auto"/>
            </w:tcBorders>
            <w:noWrap/>
            <w:hideMark/>
          </w:tcPr>
          <w:p w14:paraId="30E80C19" w14:textId="77777777" w:rsidR="001E6890" w:rsidRPr="00E9017E" w:rsidRDefault="001E6890" w:rsidP="00F22296">
            <w:pPr>
              <w:pStyle w:val="Tablehead"/>
              <w:spacing w:after="60"/>
              <w:rPr>
                <w:rFonts w:asciiTheme="minorHAnsi" w:hAnsiTheme="minorHAnsi" w:cstheme="minorHAnsi"/>
                <w:bCs/>
                <w:lang w:val="es-ES_tradnl"/>
              </w:rPr>
            </w:pPr>
            <w:r w:rsidRPr="00E9017E">
              <w:rPr>
                <w:rFonts w:asciiTheme="minorHAnsi" w:hAnsiTheme="minorHAnsi" w:cstheme="minorHAnsi"/>
                <w:bCs/>
                <w:lang w:val="es-ES_tradnl"/>
              </w:rPr>
              <w:t>RADIOCOMUNICACIONES</w:t>
            </w:r>
          </w:p>
        </w:tc>
        <w:tc>
          <w:tcPr>
            <w:tcW w:w="4394" w:type="dxa"/>
            <w:tcBorders>
              <w:bottom w:val="single" w:sz="12" w:space="0" w:color="auto"/>
            </w:tcBorders>
            <w:noWrap/>
            <w:hideMark/>
          </w:tcPr>
          <w:p w14:paraId="5124F3CC" w14:textId="77777777" w:rsidR="001E6890" w:rsidRPr="00E9017E" w:rsidRDefault="001E6890" w:rsidP="00F22296">
            <w:pPr>
              <w:pStyle w:val="Tablehead"/>
              <w:spacing w:after="60"/>
              <w:rPr>
                <w:rFonts w:asciiTheme="minorHAnsi" w:hAnsiTheme="minorHAnsi" w:cstheme="minorHAnsi"/>
                <w:bCs/>
                <w:lang w:val="es-ES_tradnl"/>
              </w:rPr>
            </w:pPr>
            <w:r w:rsidRPr="00E9017E">
              <w:rPr>
                <w:rFonts w:asciiTheme="minorHAnsi" w:hAnsiTheme="minorHAnsi" w:cstheme="minorHAnsi"/>
                <w:bCs/>
                <w:lang w:val="es-ES_tradnl"/>
              </w:rPr>
              <w:t>NORMALIZACIÓN</w:t>
            </w:r>
          </w:p>
        </w:tc>
        <w:tc>
          <w:tcPr>
            <w:tcW w:w="3649" w:type="dxa"/>
            <w:tcBorders>
              <w:bottom w:val="single" w:sz="12" w:space="0" w:color="auto"/>
            </w:tcBorders>
            <w:noWrap/>
            <w:hideMark/>
          </w:tcPr>
          <w:p w14:paraId="11A9B559" w14:textId="0769FAC0" w:rsidR="001E6890" w:rsidRPr="00904805" w:rsidRDefault="001E6890" w:rsidP="00F22296">
            <w:pPr>
              <w:pStyle w:val="Tablehead"/>
              <w:spacing w:after="60"/>
              <w:rPr>
                <w:rFonts w:asciiTheme="minorHAnsi" w:hAnsiTheme="minorHAnsi" w:cstheme="minorHAnsi"/>
                <w:bCs/>
                <w:lang w:val="es-ES"/>
              </w:rPr>
            </w:pPr>
            <w:r w:rsidRPr="00904805">
              <w:rPr>
                <w:rFonts w:asciiTheme="minorHAnsi" w:hAnsiTheme="minorHAnsi" w:cstheme="minorHAnsi"/>
                <w:bCs/>
                <w:lang w:val="es-ES"/>
              </w:rPr>
              <w:t>DESARROLLO</w:t>
            </w:r>
          </w:p>
        </w:tc>
      </w:tr>
      <w:tr w:rsidR="001E6890" w:rsidRPr="00B63ABD" w14:paraId="45A1F6EB" w14:textId="77777777" w:rsidTr="00F22296">
        <w:trPr>
          <w:trHeight w:val="402"/>
        </w:trPr>
        <w:tc>
          <w:tcPr>
            <w:tcW w:w="2547" w:type="dxa"/>
            <w:tcBorders>
              <w:top w:val="single" w:sz="12" w:space="0" w:color="auto"/>
            </w:tcBorders>
            <w:noWrap/>
            <w:hideMark/>
          </w:tcPr>
          <w:p w14:paraId="0849B12C" w14:textId="77777777" w:rsidR="001E6890" w:rsidRPr="00B63ABD" w:rsidRDefault="001E6890" w:rsidP="00F22296">
            <w:pPr>
              <w:overflowPunct/>
              <w:autoSpaceDE/>
              <w:autoSpaceDN/>
              <w:adjustRightInd/>
              <w:spacing w:after="60"/>
              <w:textAlignment w:val="auto"/>
              <w:rPr>
                <w:rFonts w:asciiTheme="minorHAnsi" w:hAnsiTheme="minorHAnsi" w:cstheme="minorHAnsi"/>
                <w:lang w:val="es-ES"/>
              </w:rPr>
            </w:pPr>
            <w:r w:rsidRPr="00B63ABD">
              <w:rPr>
                <w:rFonts w:asciiTheme="minorHAnsi" w:hAnsiTheme="minorHAnsi" w:cstheme="minorHAnsi"/>
                <w:lang w:val="es-ES"/>
              </w:rPr>
              <w:t>Medio ambiente</w:t>
            </w:r>
          </w:p>
        </w:tc>
        <w:tc>
          <w:tcPr>
            <w:tcW w:w="3402" w:type="dxa"/>
            <w:tcBorders>
              <w:top w:val="single" w:sz="12" w:space="0" w:color="auto"/>
            </w:tcBorders>
            <w:noWrap/>
            <w:hideMark/>
          </w:tcPr>
          <w:p w14:paraId="0E1E98D7" w14:textId="3AAA9E36" w:rsidR="001E6890" w:rsidRPr="002E3BDE" w:rsidRDefault="005E2015" w:rsidP="00F22296">
            <w:pPr>
              <w:overflowPunct/>
              <w:autoSpaceDE/>
              <w:autoSpaceDN/>
              <w:adjustRightInd/>
              <w:spacing w:after="60"/>
              <w:jc w:val="center"/>
              <w:textAlignment w:val="auto"/>
              <w:rPr>
                <w:lang w:val="es-ES_tradnl"/>
              </w:rPr>
            </w:pPr>
            <w:hyperlink r:id="rId20" w:history="1">
              <w:r w:rsidR="002E3BDE" w:rsidRPr="002E3BDE">
                <w:rPr>
                  <w:rStyle w:val="Hyperlink"/>
                  <w:lang w:val="es-ES_tradnl"/>
                </w:rPr>
                <w:t>Comisión de Estudio 7</w:t>
              </w:r>
            </w:hyperlink>
          </w:p>
        </w:tc>
        <w:tc>
          <w:tcPr>
            <w:tcW w:w="4394" w:type="dxa"/>
            <w:tcBorders>
              <w:top w:val="single" w:sz="12" w:space="0" w:color="auto"/>
            </w:tcBorders>
            <w:noWrap/>
            <w:hideMark/>
          </w:tcPr>
          <w:p w14:paraId="46DA17E4" w14:textId="58E97AC4" w:rsidR="001E6890" w:rsidRPr="00047694" w:rsidRDefault="005E2015" w:rsidP="00F22296">
            <w:pPr>
              <w:overflowPunct/>
              <w:autoSpaceDE/>
              <w:autoSpaceDN/>
              <w:adjustRightInd/>
              <w:spacing w:after="60"/>
              <w:jc w:val="center"/>
              <w:textAlignment w:val="auto"/>
              <w:rPr>
                <w:lang w:val="es-ES_tradnl"/>
              </w:rPr>
            </w:pPr>
            <w:hyperlink r:id="rId21" w:history="1">
              <w:r w:rsidR="002E3BDE" w:rsidRPr="00047694">
                <w:rPr>
                  <w:rStyle w:val="Hyperlink"/>
                  <w:lang w:val="es-ES_tradnl"/>
                </w:rPr>
                <w:t>Comisión de Estudio 5</w:t>
              </w:r>
            </w:hyperlink>
          </w:p>
        </w:tc>
        <w:tc>
          <w:tcPr>
            <w:tcW w:w="3649" w:type="dxa"/>
            <w:tcBorders>
              <w:top w:val="single" w:sz="12" w:space="0" w:color="auto"/>
            </w:tcBorders>
            <w:noWrap/>
            <w:hideMark/>
          </w:tcPr>
          <w:p w14:paraId="37D370FA" w14:textId="2699E503" w:rsidR="001E6890" w:rsidRPr="00047694" w:rsidRDefault="005E2015" w:rsidP="00F22296">
            <w:pPr>
              <w:overflowPunct/>
              <w:autoSpaceDE/>
              <w:autoSpaceDN/>
              <w:adjustRightInd/>
              <w:spacing w:after="60"/>
              <w:jc w:val="center"/>
              <w:textAlignment w:val="auto"/>
              <w:rPr>
                <w:lang w:val="es-ES_tradnl"/>
              </w:rPr>
            </w:pPr>
            <w:hyperlink r:id="rId22" w:history="1">
              <w:r w:rsidR="002E3BDE" w:rsidRPr="00047694">
                <w:rPr>
                  <w:rStyle w:val="Hyperlink"/>
                  <w:lang w:val="es-ES_tradnl"/>
                </w:rPr>
                <w:t>Comisión de Estudio 2</w:t>
              </w:r>
            </w:hyperlink>
          </w:p>
        </w:tc>
      </w:tr>
      <w:tr w:rsidR="001E6890" w:rsidRPr="00B63ABD" w14:paraId="53091D84" w14:textId="77777777" w:rsidTr="00F22296">
        <w:trPr>
          <w:trHeight w:val="402"/>
        </w:trPr>
        <w:tc>
          <w:tcPr>
            <w:tcW w:w="2547" w:type="dxa"/>
            <w:noWrap/>
            <w:hideMark/>
          </w:tcPr>
          <w:p w14:paraId="718A75E0" w14:textId="77777777" w:rsidR="001E6890" w:rsidRPr="00B63ABD" w:rsidRDefault="001E6890" w:rsidP="00F22296">
            <w:pPr>
              <w:overflowPunct/>
              <w:autoSpaceDE/>
              <w:autoSpaceDN/>
              <w:adjustRightInd/>
              <w:spacing w:after="60"/>
              <w:textAlignment w:val="auto"/>
              <w:rPr>
                <w:rFonts w:asciiTheme="minorHAnsi" w:hAnsiTheme="minorHAnsi" w:cstheme="minorHAnsi"/>
                <w:lang w:val="es-ES"/>
              </w:rPr>
            </w:pPr>
            <w:r w:rsidRPr="00B63ABD">
              <w:rPr>
                <w:rFonts w:asciiTheme="minorHAnsi" w:hAnsiTheme="minorHAnsi" w:cstheme="minorHAnsi"/>
                <w:lang w:val="es-ES"/>
              </w:rPr>
              <w:t>Sostenibilidad</w:t>
            </w:r>
          </w:p>
        </w:tc>
        <w:tc>
          <w:tcPr>
            <w:tcW w:w="3402" w:type="dxa"/>
            <w:noWrap/>
            <w:hideMark/>
          </w:tcPr>
          <w:p w14:paraId="67D910C7"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4394" w:type="dxa"/>
            <w:noWrap/>
            <w:hideMark/>
          </w:tcPr>
          <w:p w14:paraId="0D658C9F"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25" w:name="lt_pId207"/>
            <w:r w:rsidRPr="00B63ABD">
              <w:rPr>
                <w:rFonts w:asciiTheme="minorHAnsi" w:hAnsiTheme="minorHAnsi" w:cstheme="minorHAnsi"/>
                <w:lang w:val="es-ES"/>
              </w:rPr>
              <w:t>Comisión de Estudio 5</w:t>
            </w:r>
            <w:bookmarkEnd w:id="25"/>
          </w:p>
        </w:tc>
        <w:tc>
          <w:tcPr>
            <w:tcW w:w="3649" w:type="dxa"/>
            <w:noWrap/>
            <w:hideMark/>
          </w:tcPr>
          <w:p w14:paraId="0BD05993"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r>
      <w:tr w:rsidR="001E6890" w:rsidRPr="00B63ABD" w14:paraId="490A7547" w14:textId="77777777" w:rsidTr="00F22296">
        <w:trPr>
          <w:trHeight w:val="402"/>
        </w:trPr>
        <w:tc>
          <w:tcPr>
            <w:tcW w:w="2547" w:type="dxa"/>
            <w:noWrap/>
            <w:hideMark/>
          </w:tcPr>
          <w:p w14:paraId="1FBE24E0" w14:textId="77777777" w:rsidR="001E6890" w:rsidRPr="00B63ABD" w:rsidRDefault="001E6890" w:rsidP="00F22296">
            <w:pPr>
              <w:overflowPunct/>
              <w:autoSpaceDE/>
              <w:autoSpaceDN/>
              <w:adjustRightInd/>
              <w:spacing w:after="60"/>
              <w:textAlignment w:val="auto"/>
              <w:rPr>
                <w:rFonts w:asciiTheme="minorHAnsi" w:hAnsiTheme="minorHAnsi" w:cstheme="minorHAnsi"/>
                <w:lang w:val="es-ES"/>
              </w:rPr>
            </w:pPr>
            <w:r w:rsidRPr="00B63ABD">
              <w:rPr>
                <w:rFonts w:asciiTheme="minorHAnsi" w:hAnsiTheme="minorHAnsi" w:cstheme="minorHAnsi"/>
                <w:lang w:val="es-ES"/>
              </w:rPr>
              <w:t>Observación de la Tierra</w:t>
            </w:r>
          </w:p>
        </w:tc>
        <w:tc>
          <w:tcPr>
            <w:tcW w:w="3402" w:type="dxa"/>
            <w:noWrap/>
            <w:hideMark/>
          </w:tcPr>
          <w:p w14:paraId="5C9969A2" w14:textId="50CC696E"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26" w:name="lt_pId209"/>
            <w:r w:rsidRPr="00B63ABD">
              <w:rPr>
                <w:rFonts w:asciiTheme="minorHAnsi" w:hAnsiTheme="minorHAnsi" w:cstheme="minorHAnsi"/>
                <w:lang w:val="es-ES"/>
              </w:rPr>
              <w:t xml:space="preserve">Comisión de Estudio 7 </w:t>
            </w:r>
            <w:r w:rsidR="0072161E" w:rsidRPr="0072161E">
              <w:rPr>
                <w:rFonts w:cstheme="minorHAnsi"/>
                <w:lang w:val="es-ES"/>
              </w:rPr>
              <w:t>–</w:t>
            </w:r>
            <w:r w:rsidRPr="00B63ABD">
              <w:rPr>
                <w:rFonts w:asciiTheme="minorHAnsi" w:hAnsiTheme="minorHAnsi" w:cstheme="minorHAnsi"/>
                <w:lang w:val="es-ES"/>
              </w:rPr>
              <w:t xml:space="preserve"> GT 7B</w:t>
            </w:r>
            <w:bookmarkEnd w:id="26"/>
          </w:p>
        </w:tc>
        <w:tc>
          <w:tcPr>
            <w:tcW w:w="4394" w:type="dxa"/>
            <w:noWrap/>
            <w:hideMark/>
          </w:tcPr>
          <w:p w14:paraId="047657E7"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3649" w:type="dxa"/>
            <w:noWrap/>
            <w:hideMark/>
          </w:tcPr>
          <w:p w14:paraId="4B16E98C" w14:textId="2A12941B"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27" w:name="lt_pId210"/>
            <w:r w:rsidRPr="00B63ABD">
              <w:rPr>
                <w:rFonts w:asciiTheme="minorHAnsi" w:hAnsiTheme="minorHAnsi" w:cstheme="minorHAnsi"/>
                <w:lang w:val="es-ES"/>
              </w:rPr>
              <w:t xml:space="preserve">Comisión de Estudio 2 </w:t>
            </w:r>
            <w:r w:rsidR="004573BE" w:rsidRPr="004573BE">
              <w:rPr>
                <w:rFonts w:cstheme="minorHAnsi"/>
                <w:lang w:val="es-ES"/>
              </w:rPr>
              <w:t>–</w:t>
            </w:r>
            <w:r w:rsidRPr="00B63ABD">
              <w:rPr>
                <w:rFonts w:asciiTheme="minorHAnsi" w:hAnsiTheme="minorHAnsi" w:cstheme="minorHAnsi"/>
                <w:lang w:val="es-ES"/>
              </w:rPr>
              <w:t xml:space="preserve"> C6/2</w:t>
            </w:r>
            <w:bookmarkEnd w:id="27"/>
          </w:p>
        </w:tc>
      </w:tr>
      <w:tr w:rsidR="001E6890" w:rsidRPr="00B63ABD" w14:paraId="2886A83E" w14:textId="77777777" w:rsidTr="00F22296">
        <w:trPr>
          <w:trHeight w:val="402"/>
        </w:trPr>
        <w:tc>
          <w:tcPr>
            <w:tcW w:w="2547" w:type="dxa"/>
            <w:noWrap/>
            <w:hideMark/>
          </w:tcPr>
          <w:p w14:paraId="31420155" w14:textId="77777777" w:rsidR="001E6890" w:rsidRPr="00B63ABD" w:rsidRDefault="001E6890" w:rsidP="00F22296">
            <w:pPr>
              <w:overflowPunct/>
              <w:autoSpaceDE/>
              <w:autoSpaceDN/>
              <w:adjustRightInd/>
              <w:spacing w:after="60"/>
              <w:textAlignment w:val="auto"/>
              <w:rPr>
                <w:rFonts w:asciiTheme="minorHAnsi" w:hAnsiTheme="minorHAnsi" w:cstheme="minorHAnsi"/>
                <w:lang w:val="es-ES"/>
              </w:rPr>
            </w:pPr>
            <w:r w:rsidRPr="00B63ABD">
              <w:rPr>
                <w:rFonts w:asciiTheme="minorHAnsi" w:hAnsiTheme="minorHAnsi" w:cstheme="minorHAnsi"/>
                <w:lang w:val="es-ES"/>
              </w:rPr>
              <w:t>Detección a distancia</w:t>
            </w:r>
          </w:p>
        </w:tc>
        <w:tc>
          <w:tcPr>
            <w:tcW w:w="3402" w:type="dxa"/>
            <w:noWrap/>
            <w:hideMark/>
          </w:tcPr>
          <w:p w14:paraId="4C39D9DE" w14:textId="0180301F"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28" w:name="lt_pId212"/>
            <w:r w:rsidRPr="00B63ABD">
              <w:rPr>
                <w:rFonts w:asciiTheme="minorHAnsi" w:hAnsiTheme="minorHAnsi" w:cstheme="minorHAnsi"/>
                <w:lang w:val="es-ES"/>
              </w:rPr>
              <w:t xml:space="preserve">Comisión de Estudio 7 </w:t>
            </w:r>
            <w:r w:rsidR="0072161E" w:rsidRPr="0072161E">
              <w:rPr>
                <w:rFonts w:cstheme="minorHAnsi"/>
                <w:lang w:val="es-ES"/>
              </w:rPr>
              <w:t>–</w:t>
            </w:r>
            <w:r w:rsidRPr="00B63ABD">
              <w:rPr>
                <w:rFonts w:asciiTheme="minorHAnsi" w:hAnsiTheme="minorHAnsi" w:cstheme="minorHAnsi"/>
                <w:lang w:val="es-ES"/>
              </w:rPr>
              <w:t xml:space="preserve"> GT 7C</w:t>
            </w:r>
            <w:bookmarkEnd w:id="28"/>
          </w:p>
        </w:tc>
        <w:tc>
          <w:tcPr>
            <w:tcW w:w="4394" w:type="dxa"/>
            <w:noWrap/>
            <w:hideMark/>
          </w:tcPr>
          <w:p w14:paraId="6267F822"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3649" w:type="dxa"/>
            <w:noWrap/>
            <w:hideMark/>
          </w:tcPr>
          <w:p w14:paraId="49A70C10" w14:textId="74D03DC1"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29" w:name="lt_pId213"/>
            <w:r w:rsidRPr="00B63ABD">
              <w:rPr>
                <w:rFonts w:asciiTheme="minorHAnsi" w:hAnsiTheme="minorHAnsi" w:cstheme="minorHAnsi"/>
                <w:lang w:val="es-ES"/>
              </w:rPr>
              <w:t xml:space="preserve">Comisión de Estudio 20 </w:t>
            </w:r>
            <w:r w:rsidR="004573BE" w:rsidRPr="004573BE">
              <w:rPr>
                <w:rFonts w:cstheme="minorHAnsi"/>
                <w:lang w:val="es-ES"/>
              </w:rPr>
              <w:t>–</w:t>
            </w:r>
            <w:r w:rsidRPr="00B63ABD">
              <w:rPr>
                <w:rFonts w:asciiTheme="minorHAnsi" w:hAnsiTheme="minorHAnsi" w:cstheme="minorHAnsi"/>
                <w:lang w:val="es-ES"/>
              </w:rPr>
              <w:t xml:space="preserve"> C4/20</w:t>
            </w:r>
            <w:bookmarkEnd w:id="29"/>
          </w:p>
        </w:tc>
      </w:tr>
      <w:tr w:rsidR="001E6890" w:rsidRPr="00B7555F" w14:paraId="71E69AE4" w14:textId="77777777" w:rsidTr="00F22296">
        <w:trPr>
          <w:trHeight w:val="402"/>
        </w:trPr>
        <w:tc>
          <w:tcPr>
            <w:tcW w:w="2547" w:type="dxa"/>
            <w:noWrap/>
            <w:hideMark/>
          </w:tcPr>
          <w:p w14:paraId="50F1119D" w14:textId="77777777" w:rsidR="001E6890" w:rsidRPr="00B63ABD" w:rsidRDefault="001E6890" w:rsidP="00F22296">
            <w:pPr>
              <w:overflowPunct/>
              <w:autoSpaceDE/>
              <w:autoSpaceDN/>
              <w:adjustRightInd/>
              <w:spacing w:after="60"/>
              <w:textAlignment w:val="auto"/>
              <w:rPr>
                <w:rFonts w:asciiTheme="minorHAnsi" w:hAnsiTheme="minorHAnsi" w:cstheme="minorHAnsi"/>
                <w:lang w:val="es-ES"/>
              </w:rPr>
            </w:pPr>
            <w:r w:rsidRPr="00B63ABD">
              <w:rPr>
                <w:rFonts w:asciiTheme="minorHAnsi" w:hAnsiTheme="minorHAnsi" w:cstheme="minorHAnsi"/>
                <w:lang w:val="es-ES"/>
              </w:rPr>
              <w:t>Energía</w:t>
            </w:r>
          </w:p>
        </w:tc>
        <w:tc>
          <w:tcPr>
            <w:tcW w:w="3402" w:type="dxa"/>
            <w:noWrap/>
            <w:hideMark/>
          </w:tcPr>
          <w:p w14:paraId="4B3D8BA0"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30" w:name="lt_pId215"/>
            <w:r w:rsidRPr="00B63ABD">
              <w:rPr>
                <w:rFonts w:asciiTheme="minorHAnsi" w:hAnsiTheme="minorHAnsi" w:cstheme="minorHAnsi"/>
                <w:lang w:val="es-ES"/>
              </w:rPr>
              <w:t>Comisión de Estudio 7</w:t>
            </w:r>
            <w:bookmarkEnd w:id="30"/>
          </w:p>
        </w:tc>
        <w:tc>
          <w:tcPr>
            <w:tcW w:w="4394" w:type="dxa"/>
            <w:noWrap/>
            <w:hideMark/>
          </w:tcPr>
          <w:p w14:paraId="13225FEE" w14:textId="075731A9"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31" w:name="lt_pId216"/>
            <w:r w:rsidRPr="00B63ABD">
              <w:rPr>
                <w:rFonts w:asciiTheme="minorHAnsi" w:hAnsiTheme="minorHAnsi" w:cstheme="minorHAnsi"/>
                <w:lang w:val="es-ES"/>
              </w:rPr>
              <w:t xml:space="preserve">Comisión de Estudio 5 </w:t>
            </w:r>
            <w:r w:rsidR="0072161E" w:rsidRPr="0072161E">
              <w:rPr>
                <w:rFonts w:cstheme="minorHAnsi"/>
                <w:lang w:val="es-ES"/>
              </w:rPr>
              <w:t>–</w:t>
            </w:r>
            <w:r w:rsidRPr="00B63ABD">
              <w:rPr>
                <w:rFonts w:asciiTheme="minorHAnsi" w:hAnsiTheme="minorHAnsi" w:cstheme="minorHAnsi"/>
                <w:lang w:val="es-ES"/>
              </w:rPr>
              <w:t xml:space="preserve"> C6/5/</w:t>
            </w:r>
            <w:hyperlink r:id="rId23" w:history="1">
              <w:r w:rsidRPr="00B63ABD">
                <w:rPr>
                  <w:rStyle w:val="Hyperlink"/>
                  <w:rFonts w:asciiTheme="minorHAnsi" w:hAnsiTheme="minorHAnsi" w:cstheme="minorHAnsi"/>
                  <w:lang w:val="es-ES"/>
                </w:rPr>
                <w:t>GT-AI4EE</w:t>
              </w:r>
            </w:hyperlink>
            <w:bookmarkEnd w:id="31"/>
          </w:p>
        </w:tc>
        <w:tc>
          <w:tcPr>
            <w:tcW w:w="3649" w:type="dxa"/>
            <w:noWrap/>
            <w:hideMark/>
          </w:tcPr>
          <w:p w14:paraId="28C6E908"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r>
      <w:tr w:rsidR="001E6890" w:rsidRPr="00B63ABD" w14:paraId="4ABF6091" w14:textId="77777777" w:rsidTr="00F22296">
        <w:trPr>
          <w:trHeight w:val="402"/>
        </w:trPr>
        <w:tc>
          <w:tcPr>
            <w:tcW w:w="2547" w:type="dxa"/>
            <w:noWrap/>
            <w:hideMark/>
          </w:tcPr>
          <w:p w14:paraId="36D10581" w14:textId="77777777" w:rsidR="001E6890" w:rsidRPr="00B63ABD" w:rsidRDefault="001E6890" w:rsidP="00F22296">
            <w:pPr>
              <w:overflowPunct/>
              <w:autoSpaceDE/>
              <w:autoSpaceDN/>
              <w:adjustRightInd/>
              <w:spacing w:after="60"/>
              <w:textAlignment w:val="auto"/>
              <w:rPr>
                <w:rFonts w:asciiTheme="minorHAnsi" w:hAnsiTheme="minorHAnsi" w:cstheme="minorHAnsi"/>
                <w:lang w:val="es-ES"/>
              </w:rPr>
            </w:pPr>
            <w:r w:rsidRPr="00B63ABD">
              <w:rPr>
                <w:rFonts w:asciiTheme="minorHAnsi" w:hAnsiTheme="minorHAnsi" w:cstheme="minorHAnsi"/>
                <w:lang w:val="es-ES"/>
              </w:rPr>
              <w:t>Agua</w:t>
            </w:r>
          </w:p>
        </w:tc>
        <w:tc>
          <w:tcPr>
            <w:tcW w:w="3402" w:type="dxa"/>
            <w:noWrap/>
            <w:hideMark/>
          </w:tcPr>
          <w:p w14:paraId="0BCCF644"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4394" w:type="dxa"/>
            <w:noWrap/>
            <w:hideMark/>
          </w:tcPr>
          <w:p w14:paraId="51103E5B"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32" w:name="lt_pId218"/>
            <w:r w:rsidRPr="00B63ABD">
              <w:rPr>
                <w:rFonts w:asciiTheme="minorHAnsi" w:hAnsiTheme="minorHAnsi" w:cstheme="minorHAnsi"/>
                <w:lang w:val="es-ES"/>
              </w:rPr>
              <w:t>Comisión de Estudio 5</w:t>
            </w:r>
            <w:bookmarkEnd w:id="32"/>
          </w:p>
        </w:tc>
        <w:tc>
          <w:tcPr>
            <w:tcW w:w="3649" w:type="dxa"/>
            <w:noWrap/>
            <w:hideMark/>
          </w:tcPr>
          <w:p w14:paraId="773516FA"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r>
      <w:tr w:rsidR="001E6890" w:rsidRPr="00B63ABD" w14:paraId="12D408D8" w14:textId="77777777" w:rsidTr="00F22296">
        <w:trPr>
          <w:trHeight w:val="402"/>
        </w:trPr>
        <w:tc>
          <w:tcPr>
            <w:tcW w:w="2547" w:type="dxa"/>
            <w:noWrap/>
            <w:hideMark/>
          </w:tcPr>
          <w:p w14:paraId="2AE87C4F" w14:textId="77777777" w:rsidR="001E6890" w:rsidRPr="00B63ABD" w:rsidRDefault="001E6890" w:rsidP="00F22296">
            <w:pPr>
              <w:overflowPunct/>
              <w:autoSpaceDE/>
              <w:autoSpaceDN/>
              <w:adjustRightInd/>
              <w:spacing w:after="60"/>
              <w:textAlignment w:val="auto"/>
              <w:rPr>
                <w:rFonts w:asciiTheme="minorHAnsi" w:hAnsiTheme="minorHAnsi" w:cstheme="minorHAnsi"/>
                <w:lang w:val="es-ES"/>
              </w:rPr>
            </w:pPr>
            <w:r w:rsidRPr="00B63ABD">
              <w:rPr>
                <w:rFonts w:asciiTheme="minorHAnsi" w:hAnsiTheme="minorHAnsi" w:cstheme="minorHAnsi"/>
                <w:lang w:val="es-ES"/>
              </w:rPr>
              <w:t>Residuos electrónicos</w:t>
            </w:r>
          </w:p>
        </w:tc>
        <w:tc>
          <w:tcPr>
            <w:tcW w:w="3402" w:type="dxa"/>
            <w:noWrap/>
            <w:hideMark/>
          </w:tcPr>
          <w:p w14:paraId="33F5B02D"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4394" w:type="dxa"/>
            <w:noWrap/>
            <w:hideMark/>
          </w:tcPr>
          <w:p w14:paraId="73748124" w14:textId="3200796C"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33" w:name="lt_pId220"/>
            <w:r w:rsidRPr="00B63ABD">
              <w:rPr>
                <w:rFonts w:asciiTheme="minorHAnsi" w:hAnsiTheme="minorHAnsi" w:cstheme="minorHAnsi"/>
                <w:lang w:val="es-ES"/>
              </w:rPr>
              <w:t xml:space="preserve">Comisión de Estudio 5 </w:t>
            </w:r>
            <w:r w:rsidR="0072161E" w:rsidRPr="0072161E">
              <w:rPr>
                <w:rFonts w:cstheme="minorHAnsi"/>
                <w:lang w:val="es-ES"/>
              </w:rPr>
              <w:t>–</w:t>
            </w:r>
            <w:r w:rsidRPr="00B63ABD">
              <w:rPr>
                <w:rFonts w:asciiTheme="minorHAnsi" w:hAnsiTheme="minorHAnsi" w:cstheme="minorHAnsi"/>
                <w:lang w:val="es-ES"/>
              </w:rPr>
              <w:t xml:space="preserve"> C7/5</w:t>
            </w:r>
            <w:bookmarkEnd w:id="33"/>
          </w:p>
        </w:tc>
        <w:tc>
          <w:tcPr>
            <w:tcW w:w="3649" w:type="dxa"/>
            <w:noWrap/>
            <w:hideMark/>
          </w:tcPr>
          <w:p w14:paraId="578B3744" w14:textId="6AB355DF"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34" w:name="lt_pId221"/>
            <w:r w:rsidRPr="00B63ABD">
              <w:rPr>
                <w:rFonts w:asciiTheme="minorHAnsi" w:hAnsiTheme="minorHAnsi" w:cstheme="minorHAnsi"/>
                <w:lang w:val="es-ES"/>
              </w:rPr>
              <w:t xml:space="preserve">Comisión de Estudio 2 </w:t>
            </w:r>
            <w:r w:rsidR="004573BE" w:rsidRPr="004573BE">
              <w:rPr>
                <w:rFonts w:cstheme="minorHAnsi"/>
                <w:lang w:val="es-ES"/>
              </w:rPr>
              <w:t>–</w:t>
            </w:r>
            <w:r w:rsidRPr="00B63ABD">
              <w:rPr>
                <w:rFonts w:asciiTheme="minorHAnsi" w:hAnsiTheme="minorHAnsi" w:cstheme="minorHAnsi"/>
                <w:lang w:val="es-ES"/>
              </w:rPr>
              <w:t xml:space="preserve"> C6/2</w:t>
            </w:r>
            <w:bookmarkEnd w:id="34"/>
          </w:p>
        </w:tc>
      </w:tr>
      <w:tr w:rsidR="001E6890" w:rsidRPr="00B63ABD" w14:paraId="6F0DF468" w14:textId="77777777" w:rsidTr="00F22296">
        <w:trPr>
          <w:trHeight w:val="402"/>
        </w:trPr>
        <w:tc>
          <w:tcPr>
            <w:tcW w:w="2547" w:type="dxa"/>
            <w:noWrap/>
            <w:hideMark/>
          </w:tcPr>
          <w:p w14:paraId="6B63F17A" w14:textId="22936740" w:rsidR="001E6890" w:rsidRPr="00B63ABD" w:rsidRDefault="001E6890" w:rsidP="00F22296">
            <w:pPr>
              <w:overflowPunct/>
              <w:autoSpaceDE/>
              <w:autoSpaceDN/>
              <w:adjustRightInd/>
              <w:spacing w:after="60"/>
              <w:textAlignment w:val="auto"/>
              <w:rPr>
                <w:rFonts w:asciiTheme="minorHAnsi" w:hAnsiTheme="minorHAnsi" w:cstheme="minorHAnsi"/>
                <w:lang w:val="es-ES"/>
              </w:rPr>
            </w:pPr>
            <w:bookmarkStart w:id="35" w:name="lt_pId222"/>
            <w:r w:rsidRPr="00B63ABD">
              <w:rPr>
                <w:rFonts w:asciiTheme="minorHAnsi" w:hAnsiTheme="minorHAnsi" w:cstheme="minorHAnsi"/>
                <w:lang w:val="es-ES"/>
              </w:rPr>
              <w:t>Economía circular</w:t>
            </w:r>
            <w:bookmarkEnd w:id="35"/>
          </w:p>
        </w:tc>
        <w:tc>
          <w:tcPr>
            <w:tcW w:w="3402" w:type="dxa"/>
            <w:noWrap/>
            <w:hideMark/>
          </w:tcPr>
          <w:p w14:paraId="7433B932"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4394" w:type="dxa"/>
            <w:noWrap/>
            <w:hideMark/>
          </w:tcPr>
          <w:p w14:paraId="7F54B84F" w14:textId="4560DCD3"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36" w:name="lt_pId223"/>
            <w:r w:rsidRPr="00B63ABD">
              <w:rPr>
                <w:rFonts w:asciiTheme="minorHAnsi" w:hAnsiTheme="minorHAnsi" w:cstheme="minorHAnsi"/>
                <w:lang w:val="es-ES"/>
              </w:rPr>
              <w:t xml:space="preserve">Comisión de Estudio 5 </w:t>
            </w:r>
            <w:r w:rsidR="0072161E" w:rsidRPr="0072161E">
              <w:rPr>
                <w:rFonts w:cstheme="minorHAnsi"/>
                <w:lang w:val="es-ES"/>
              </w:rPr>
              <w:t>–</w:t>
            </w:r>
            <w:r w:rsidRPr="00B63ABD">
              <w:rPr>
                <w:rFonts w:asciiTheme="minorHAnsi" w:hAnsiTheme="minorHAnsi" w:cstheme="minorHAnsi"/>
                <w:lang w:val="es-ES"/>
              </w:rPr>
              <w:t xml:space="preserve"> C7/5</w:t>
            </w:r>
            <w:bookmarkEnd w:id="36"/>
          </w:p>
        </w:tc>
        <w:tc>
          <w:tcPr>
            <w:tcW w:w="3649" w:type="dxa"/>
            <w:noWrap/>
            <w:hideMark/>
          </w:tcPr>
          <w:p w14:paraId="702FA65B"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r>
      <w:tr w:rsidR="001E6890" w:rsidRPr="00B63ABD" w14:paraId="53AFA5AC" w14:textId="77777777" w:rsidTr="00F22296">
        <w:trPr>
          <w:trHeight w:val="402"/>
        </w:trPr>
        <w:tc>
          <w:tcPr>
            <w:tcW w:w="2547" w:type="dxa"/>
            <w:tcBorders>
              <w:bottom w:val="single" w:sz="4" w:space="0" w:color="000000" w:themeColor="text1"/>
            </w:tcBorders>
            <w:noWrap/>
            <w:hideMark/>
          </w:tcPr>
          <w:p w14:paraId="056623A9" w14:textId="77777777" w:rsidR="001E6890" w:rsidRPr="00B63ABD" w:rsidRDefault="001E6890" w:rsidP="00F22296">
            <w:pPr>
              <w:overflowPunct/>
              <w:autoSpaceDE/>
              <w:autoSpaceDN/>
              <w:adjustRightInd/>
              <w:spacing w:after="60"/>
              <w:textAlignment w:val="auto"/>
              <w:rPr>
                <w:rFonts w:asciiTheme="minorHAnsi" w:hAnsiTheme="minorHAnsi" w:cstheme="minorHAnsi"/>
                <w:lang w:val="es-ES"/>
              </w:rPr>
            </w:pPr>
            <w:r w:rsidRPr="00B63ABD">
              <w:rPr>
                <w:rFonts w:asciiTheme="minorHAnsi" w:hAnsiTheme="minorHAnsi" w:cstheme="minorHAnsi"/>
                <w:lang w:val="es-ES"/>
              </w:rPr>
              <w:t>Emisiones GEI</w:t>
            </w:r>
          </w:p>
        </w:tc>
        <w:tc>
          <w:tcPr>
            <w:tcW w:w="3402" w:type="dxa"/>
            <w:tcBorders>
              <w:bottom w:val="single" w:sz="4" w:space="0" w:color="000000" w:themeColor="text1"/>
            </w:tcBorders>
            <w:noWrap/>
            <w:hideMark/>
          </w:tcPr>
          <w:p w14:paraId="3A72B0D5"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4394" w:type="dxa"/>
            <w:tcBorders>
              <w:bottom w:val="single" w:sz="4" w:space="0" w:color="000000" w:themeColor="text1"/>
            </w:tcBorders>
            <w:noWrap/>
            <w:hideMark/>
          </w:tcPr>
          <w:p w14:paraId="5CF6BC2F" w14:textId="1CECA53F"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37" w:name="lt_pId225"/>
            <w:r w:rsidRPr="00B63ABD">
              <w:rPr>
                <w:rFonts w:asciiTheme="minorHAnsi" w:hAnsiTheme="minorHAnsi" w:cstheme="minorHAnsi"/>
                <w:lang w:val="es-ES"/>
              </w:rPr>
              <w:t xml:space="preserve">Comisión de Estudio 5 </w:t>
            </w:r>
            <w:r w:rsidR="0072161E" w:rsidRPr="0072161E">
              <w:rPr>
                <w:rFonts w:cstheme="minorHAnsi"/>
                <w:lang w:val="es-ES"/>
              </w:rPr>
              <w:t>–</w:t>
            </w:r>
            <w:r w:rsidRPr="00B63ABD">
              <w:rPr>
                <w:rFonts w:asciiTheme="minorHAnsi" w:hAnsiTheme="minorHAnsi" w:cstheme="minorHAnsi"/>
                <w:lang w:val="es-ES"/>
              </w:rPr>
              <w:t xml:space="preserve"> C9/5</w:t>
            </w:r>
            <w:bookmarkEnd w:id="37"/>
          </w:p>
        </w:tc>
        <w:tc>
          <w:tcPr>
            <w:tcW w:w="3649" w:type="dxa"/>
            <w:tcBorders>
              <w:bottom w:val="single" w:sz="4" w:space="0" w:color="000000" w:themeColor="text1"/>
            </w:tcBorders>
            <w:noWrap/>
            <w:hideMark/>
          </w:tcPr>
          <w:p w14:paraId="009E4AFE" w14:textId="166E4AEE"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38" w:name="lt_pId226"/>
            <w:r w:rsidRPr="00B63ABD">
              <w:rPr>
                <w:rFonts w:asciiTheme="minorHAnsi" w:hAnsiTheme="minorHAnsi" w:cstheme="minorHAnsi"/>
                <w:lang w:val="es-ES"/>
              </w:rPr>
              <w:t xml:space="preserve">Comisión de Estudio 2 </w:t>
            </w:r>
            <w:r w:rsidR="004573BE" w:rsidRPr="004573BE">
              <w:rPr>
                <w:rFonts w:cstheme="minorHAnsi"/>
                <w:lang w:val="es-ES"/>
              </w:rPr>
              <w:t>–</w:t>
            </w:r>
            <w:r w:rsidRPr="00B63ABD">
              <w:rPr>
                <w:rFonts w:asciiTheme="minorHAnsi" w:hAnsiTheme="minorHAnsi" w:cstheme="minorHAnsi"/>
                <w:lang w:val="es-ES"/>
              </w:rPr>
              <w:t xml:space="preserve"> C6/2</w:t>
            </w:r>
            <w:bookmarkEnd w:id="38"/>
          </w:p>
        </w:tc>
      </w:tr>
      <w:tr w:rsidR="001E6890" w:rsidRPr="00C462D9" w14:paraId="6D6713DE" w14:textId="77777777" w:rsidTr="00F22296">
        <w:trPr>
          <w:trHeight w:val="402"/>
        </w:trPr>
        <w:tc>
          <w:tcPr>
            <w:tcW w:w="2547" w:type="dxa"/>
            <w:tcBorders>
              <w:bottom w:val="single" w:sz="12" w:space="0" w:color="auto"/>
            </w:tcBorders>
            <w:noWrap/>
            <w:hideMark/>
          </w:tcPr>
          <w:p w14:paraId="1473A88E" w14:textId="77777777" w:rsidR="001E6890" w:rsidRPr="00B63ABD" w:rsidRDefault="001E6890" w:rsidP="00F22296">
            <w:pPr>
              <w:overflowPunct/>
              <w:autoSpaceDE/>
              <w:autoSpaceDN/>
              <w:adjustRightInd/>
              <w:spacing w:after="60"/>
              <w:textAlignment w:val="auto"/>
              <w:rPr>
                <w:rFonts w:asciiTheme="minorHAnsi" w:hAnsiTheme="minorHAnsi" w:cstheme="minorHAnsi"/>
                <w:lang w:val="es-ES"/>
              </w:rPr>
            </w:pPr>
            <w:r w:rsidRPr="00B63ABD">
              <w:rPr>
                <w:rFonts w:asciiTheme="minorHAnsi" w:hAnsiTheme="minorHAnsi" w:cstheme="minorHAnsi"/>
                <w:lang w:val="es-ES"/>
              </w:rPr>
              <w:t>Aplicaciones de las TIC</w:t>
            </w:r>
          </w:p>
        </w:tc>
        <w:tc>
          <w:tcPr>
            <w:tcW w:w="3402" w:type="dxa"/>
            <w:tcBorders>
              <w:bottom w:val="single" w:sz="12" w:space="0" w:color="auto"/>
            </w:tcBorders>
            <w:noWrap/>
            <w:hideMark/>
          </w:tcPr>
          <w:p w14:paraId="34161233"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39" w:name="lt_pId228"/>
            <w:r w:rsidRPr="00B63ABD">
              <w:rPr>
                <w:rFonts w:asciiTheme="minorHAnsi" w:hAnsiTheme="minorHAnsi" w:cstheme="minorHAnsi"/>
                <w:lang w:val="es-ES"/>
              </w:rPr>
              <w:t>Comisión de Estudio 7</w:t>
            </w:r>
            <w:bookmarkEnd w:id="39"/>
          </w:p>
        </w:tc>
        <w:tc>
          <w:tcPr>
            <w:tcW w:w="4394" w:type="dxa"/>
            <w:tcBorders>
              <w:bottom w:val="single" w:sz="12" w:space="0" w:color="auto"/>
            </w:tcBorders>
            <w:noWrap/>
            <w:hideMark/>
          </w:tcPr>
          <w:p w14:paraId="4DC4F45C" w14:textId="6286E602"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40" w:name="lt_pId229"/>
            <w:r w:rsidRPr="00B63ABD">
              <w:rPr>
                <w:rFonts w:asciiTheme="minorHAnsi" w:hAnsiTheme="minorHAnsi" w:cstheme="minorHAnsi"/>
                <w:lang w:val="es-ES"/>
              </w:rPr>
              <w:t>Comisión de Estudio 5/</w:t>
            </w:r>
            <w:hyperlink r:id="rId24" w:history="1">
              <w:r w:rsidR="00670042" w:rsidRPr="00670042">
                <w:rPr>
                  <w:rStyle w:val="Hyperlink"/>
                  <w:rFonts w:asciiTheme="minorHAnsi" w:hAnsiTheme="minorHAnsi" w:cstheme="minorHAnsi"/>
                  <w:lang w:val="es-ES"/>
                </w:rPr>
                <w:t>Comisión de Estudio 20</w:t>
              </w:r>
            </w:hyperlink>
            <w:bookmarkEnd w:id="40"/>
          </w:p>
        </w:tc>
        <w:tc>
          <w:tcPr>
            <w:tcW w:w="3649" w:type="dxa"/>
            <w:tcBorders>
              <w:bottom w:val="single" w:sz="12" w:space="0" w:color="auto"/>
            </w:tcBorders>
            <w:noWrap/>
            <w:hideMark/>
          </w:tcPr>
          <w:p w14:paraId="17DF525A"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r>
      <w:tr w:rsidR="001E6890" w:rsidRPr="00B7555F" w14:paraId="7FA1D4D9" w14:textId="77777777" w:rsidTr="00F22296">
        <w:trPr>
          <w:trHeight w:val="402"/>
        </w:trPr>
        <w:tc>
          <w:tcPr>
            <w:tcW w:w="2547" w:type="dxa"/>
            <w:vMerge w:val="restart"/>
            <w:tcBorders>
              <w:top w:val="single" w:sz="12" w:space="0" w:color="auto"/>
            </w:tcBorders>
            <w:hideMark/>
          </w:tcPr>
          <w:p w14:paraId="26722F4D" w14:textId="75CBB230"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bookmarkStart w:id="41" w:name="lt_pId230"/>
            <w:r w:rsidRPr="00B63ABD">
              <w:rPr>
                <w:rFonts w:asciiTheme="minorHAnsi" w:hAnsiTheme="minorHAnsi" w:cstheme="minorHAnsi"/>
                <w:b/>
                <w:bCs/>
                <w:lang w:val="es-ES"/>
              </w:rPr>
              <w:t>EVENTOS</w:t>
            </w:r>
            <w:bookmarkEnd w:id="41"/>
          </w:p>
        </w:tc>
        <w:tc>
          <w:tcPr>
            <w:tcW w:w="3402" w:type="dxa"/>
            <w:tcBorders>
              <w:top w:val="single" w:sz="12" w:space="0" w:color="auto"/>
            </w:tcBorders>
            <w:noWrap/>
            <w:hideMark/>
          </w:tcPr>
          <w:p w14:paraId="058D55FF"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4394" w:type="dxa"/>
            <w:tcBorders>
              <w:top w:val="single" w:sz="12" w:space="0" w:color="auto"/>
            </w:tcBorders>
            <w:noWrap/>
            <w:hideMark/>
          </w:tcPr>
          <w:p w14:paraId="1A28D3E2"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r w:rsidRPr="00B63ABD">
              <w:rPr>
                <w:rFonts w:asciiTheme="minorHAnsi" w:hAnsiTheme="minorHAnsi" w:cstheme="minorHAnsi"/>
                <w:lang w:val="es-ES"/>
              </w:rPr>
              <w:t>Simposio sobre las TIC y el cambio climático</w:t>
            </w:r>
          </w:p>
        </w:tc>
        <w:tc>
          <w:tcPr>
            <w:tcW w:w="3649" w:type="dxa"/>
            <w:tcBorders>
              <w:top w:val="single" w:sz="12" w:space="0" w:color="auto"/>
            </w:tcBorders>
            <w:noWrap/>
            <w:hideMark/>
          </w:tcPr>
          <w:p w14:paraId="2B553A14"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r>
      <w:tr w:rsidR="001E6890" w:rsidRPr="00B7555F" w14:paraId="09338BE3" w14:textId="77777777" w:rsidTr="00F22296">
        <w:trPr>
          <w:trHeight w:val="402"/>
        </w:trPr>
        <w:tc>
          <w:tcPr>
            <w:tcW w:w="2547" w:type="dxa"/>
            <w:vMerge/>
            <w:hideMark/>
          </w:tcPr>
          <w:p w14:paraId="7E6F82E3" w14:textId="77777777" w:rsidR="001E6890" w:rsidRPr="00B63ABD" w:rsidRDefault="001E6890" w:rsidP="00F22296">
            <w:pPr>
              <w:overflowPunct/>
              <w:autoSpaceDE/>
              <w:autoSpaceDN/>
              <w:adjustRightInd/>
              <w:spacing w:after="60"/>
              <w:jc w:val="both"/>
              <w:textAlignment w:val="auto"/>
              <w:rPr>
                <w:rFonts w:asciiTheme="minorHAnsi" w:hAnsiTheme="minorHAnsi" w:cstheme="minorHAnsi"/>
                <w:b/>
                <w:bCs/>
                <w:lang w:val="es-ES"/>
              </w:rPr>
            </w:pPr>
          </w:p>
        </w:tc>
        <w:tc>
          <w:tcPr>
            <w:tcW w:w="3402" w:type="dxa"/>
            <w:noWrap/>
            <w:hideMark/>
          </w:tcPr>
          <w:p w14:paraId="16FD3AA0"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4394" w:type="dxa"/>
            <w:noWrap/>
            <w:hideMark/>
          </w:tcPr>
          <w:p w14:paraId="0BBEBEDB" w14:textId="1192D928"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25" w:history="1">
              <w:r w:rsidR="001E6890" w:rsidRPr="00B63ABD">
                <w:rPr>
                  <w:rStyle w:val="Hyperlink"/>
                  <w:rFonts w:asciiTheme="minorHAnsi" w:hAnsiTheme="minorHAnsi" w:cstheme="minorHAnsi"/>
                  <w:lang w:val="es-ES"/>
                </w:rPr>
                <w:t>Semana de las Normas Verdes</w:t>
              </w:r>
            </w:hyperlink>
          </w:p>
        </w:tc>
        <w:tc>
          <w:tcPr>
            <w:tcW w:w="3649" w:type="dxa"/>
            <w:noWrap/>
            <w:hideMark/>
          </w:tcPr>
          <w:p w14:paraId="2FAC89E9"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r>
      <w:tr w:rsidR="001E6890" w:rsidRPr="00B7555F" w14:paraId="5255D182" w14:textId="77777777" w:rsidTr="00F22296">
        <w:trPr>
          <w:trHeight w:val="402"/>
        </w:trPr>
        <w:tc>
          <w:tcPr>
            <w:tcW w:w="2547" w:type="dxa"/>
            <w:vMerge/>
            <w:hideMark/>
          </w:tcPr>
          <w:p w14:paraId="198A2795" w14:textId="77777777" w:rsidR="001E6890" w:rsidRPr="00B63ABD" w:rsidRDefault="001E6890" w:rsidP="00F22296">
            <w:pPr>
              <w:overflowPunct/>
              <w:autoSpaceDE/>
              <w:autoSpaceDN/>
              <w:adjustRightInd/>
              <w:spacing w:after="60"/>
              <w:jc w:val="both"/>
              <w:textAlignment w:val="auto"/>
              <w:rPr>
                <w:rFonts w:asciiTheme="minorHAnsi" w:hAnsiTheme="minorHAnsi" w:cstheme="minorHAnsi"/>
                <w:b/>
                <w:bCs/>
                <w:lang w:val="es-ES"/>
              </w:rPr>
            </w:pPr>
          </w:p>
        </w:tc>
        <w:bookmarkStart w:id="42" w:name="lt_pId233"/>
        <w:tc>
          <w:tcPr>
            <w:tcW w:w="11445" w:type="dxa"/>
            <w:gridSpan w:val="3"/>
            <w:hideMark/>
          </w:tcPr>
          <w:p w14:paraId="641D47BC" w14:textId="78F35876"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r w:rsidRPr="00B63ABD">
              <w:rPr>
                <w:lang w:val="fr-FR"/>
              </w:rPr>
              <w:fldChar w:fldCharType="begin"/>
            </w:r>
            <w:r w:rsidRPr="00B63ABD">
              <w:rPr>
                <w:rFonts w:asciiTheme="minorHAnsi" w:hAnsiTheme="minorHAnsi" w:cstheme="minorHAnsi"/>
                <w:lang w:val="es-ES"/>
              </w:rPr>
              <w:instrText xml:space="preserve"> HYPERLINK "https://www.itu.int/en/ITU-D/Climate-Change/Pages/WSISALC7.aspx" </w:instrText>
            </w:r>
            <w:r w:rsidRPr="00B63ABD">
              <w:rPr>
                <w:lang w:val="fr-FR"/>
              </w:rPr>
              <w:fldChar w:fldCharType="separate"/>
            </w:r>
            <w:r w:rsidRPr="00B63ABD">
              <w:rPr>
                <w:rStyle w:val="Hyperlink"/>
                <w:rFonts w:asciiTheme="minorHAnsi" w:hAnsiTheme="minorHAnsi" w:cstheme="minorHAnsi"/>
                <w:lang w:val="es-ES"/>
              </w:rPr>
              <w:t>CMSI – Línea de Acción 7</w:t>
            </w:r>
            <w:r w:rsidRPr="00B63ABD">
              <w:rPr>
                <w:rStyle w:val="Hyperlink"/>
                <w:rFonts w:cstheme="minorHAnsi"/>
                <w:lang w:val="es-ES"/>
              </w:rPr>
              <w:fldChar w:fldCharType="end"/>
            </w:r>
            <w:r w:rsidRPr="00B63ABD">
              <w:rPr>
                <w:rFonts w:asciiTheme="minorHAnsi" w:hAnsiTheme="minorHAnsi" w:cstheme="minorHAnsi"/>
                <w:lang w:val="es-ES"/>
              </w:rPr>
              <w:t xml:space="preserve"> (ciberecología)</w:t>
            </w:r>
            <w:bookmarkEnd w:id="42"/>
          </w:p>
        </w:tc>
      </w:tr>
      <w:tr w:rsidR="001E6890" w:rsidRPr="00B7555F" w14:paraId="11943A4D" w14:textId="77777777" w:rsidTr="00F22296">
        <w:trPr>
          <w:trHeight w:val="402"/>
        </w:trPr>
        <w:tc>
          <w:tcPr>
            <w:tcW w:w="2547" w:type="dxa"/>
            <w:vMerge/>
            <w:tcBorders>
              <w:bottom w:val="single" w:sz="12" w:space="0" w:color="auto"/>
            </w:tcBorders>
            <w:hideMark/>
          </w:tcPr>
          <w:p w14:paraId="41535CBE" w14:textId="77777777" w:rsidR="001E6890" w:rsidRPr="00B63ABD" w:rsidRDefault="001E6890" w:rsidP="00F22296">
            <w:pPr>
              <w:overflowPunct/>
              <w:autoSpaceDE/>
              <w:autoSpaceDN/>
              <w:adjustRightInd/>
              <w:spacing w:after="60"/>
              <w:jc w:val="both"/>
              <w:textAlignment w:val="auto"/>
              <w:rPr>
                <w:rFonts w:asciiTheme="minorHAnsi" w:hAnsiTheme="minorHAnsi" w:cstheme="minorHAnsi"/>
                <w:b/>
                <w:bCs/>
                <w:lang w:val="es-ES"/>
              </w:rPr>
            </w:pPr>
          </w:p>
        </w:tc>
        <w:tc>
          <w:tcPr>
            <w:tcW w:w="11445" w:type="dxa"/>
            <w:gridSpan w:val="3"/>
            <w:tcBorders>
              <w:bottom w:val="single" w:sz="12" w:space="0" w:color="auto"/>
            </w:tcBorders>
            <w:hideMark/>
          </w:tcPr>
          <w:p w14:paraId="3619A9CF"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r w:rsidRPr="00B63ABD">
              <w:rPr>
                <w:rFonts w:asciiTheme="minorHAnsi" w:hAnsiTheme="minorHAnsi" w:cstheme="minorHAnsi"/>
                <w:lang w:val="es-ES"/>
              </w:rPr>
              <w:t>Foro Mundial de Políticas de Telecomunicaciones/TIC</w:t>
            </w:r>
          </w:p>
        </w:tc>
      </w:tr>
      <w:tr w:rsidR="001E6890" w:rsidRPr="00B7555F" w14:paraId="78BABA50" w14:textId="77777777" w:rsidTr="00F22296">
        <w:trPr>
          <w:trHeight w:val="402"/>
        </w:trPr>
        <w:tc>
          <w:tcPr>
            <w:tcW w:w="2547" w:type="dxa"/>
            <w:vMerge w:val="restart"/>
            <w:tcBorders>
              <w:top w:val="single" w:sz="12" w:space="0" w:color="auto"/>
            </w:tcBorders>
            <w:hideMark/>
          </w:tcPr>
          <w:p w14:paraId="7E8D561D" w14:textId="77777777" w:rsidR="001E6890" w:rsidRPr="00B63ABD" w:rsidRDefault="001E6890" w:rsidP="00F22296">
            <w:pPr>
              <w:keepNext/>
              <w:overflowPunct/>
              <w:autoSpaceDE/>
              <w:autoSpaceDN/>
              <w:adjustRightInd/>
              <w:spacing w:after="60"/>
              <w:jc w:val="center"/>
              <w:textAlignment w:val="auto"/>
              <w:rPr>
                <w:rFonts w:asciiTheme="minorHAnsi" w:hAnsiTheme="minorHAnsi" w:cstheme="minorHAnsi"/>
                <w:b/>
                <w:bCs/>
                <w:lang w:val="es-ES"/>
              </w:rPr>
            </w:pPr>
            <w:r w:rsidRPr="00B63ABD">
              <w:rPr>
                <w:rFonts w:asciiTheme="minorHAnsi" w:hAnsiTheme="minorHAnsi" w:cstheme="minorHAnsi"/>
                <w:b/>
                <w:bCs/>
                <w:lang w:val="es-ES"/>
              </w:rPr>
              <w:lastRenderedPageBreak/>
              <w:t>Asociación con otras organizaciones</w:t>
            </w:r>
          </w:p>
        </w:tc>
        <w:tc>
          <w:tcPr>
            <w:tcW w:w="3402" w:type="dxa"/>
            <w:tcBorders>
              <w:top w:val="single" w:sz="12" w:space="0" w:color="auto"/>
            </w:tcBorders>
            <w:noWrap/>
            <w:hideMark/>
          </w:tcPr>
          <w:p w14:paraId="0F2D94F1" w14:textId="77777777" w:rsidR="001E6890" w:rsidRPr="00B63ABD" w:rsidRDefault="001E6890" w:rsidP="00F22296">
            <w:pPr>
              <w:keepNext/>
              <w:overflowPunct/>
              <w:autoSpaceDE/>
              <w:autoSpaceDN/>
              <w:adjustRightInd/>
              <w:spacing w:after="60"/>
              <w:jc w:val="center"/>
              <w:textAlignment w:val="auto"/>
              <w:rPr>
                <w:rFonts w:asciiTheme="minorHAnsi" w:hAnsiTheme="minorHAnsi" w:cstheme="minorHAnsi"/>
                <w:lang w:val="es-ES"/>
              </w:rPr>
            </w:pPr>
            <w:r w:rsidRPr="00B63ABD">
              <w:rPr>
                <w:rFonts w:asciiTheme="minorHAnsi" w:hAnsiTheme="minorHAnsi" w:cstheme="minorHAnsi"/>
                <w:lang w:val="es-ES"/>
              </w:rPr>
              <w:t>OMM</w:t>
            </w:r>
          </w:p>
        </w:tc>
        <w:tc>
          <w:tcPr>
            <w:tcW w:w="4394" w:type="dxa"/>
            <w:tcBorders>
              <w:top w:val="single" w:sz="12" w:space="0" w:color="auto"/>
            </w:tcBorders>
            <w:noWrap/>
            <w:hideMark/>
          </w:tcPr>
          <w:p w14:paraId="62B7A582" w14:textId="77777777" w:rsidR="001E6890" w:rsidRPr="00B63ABD" w:rsidRDefault="005E2015" w:rsidP="00F22296">
            <w:pPr>
              <w:keepNext/>
              <w:overflowPunct/>
              <w:autoSpaceDE/>
              <w:autoSpaceDN/>
              <w:adjustRightInd/>
              <w:spacing w:after="60"/>
              <w:jc w:val="center"/>
              <w:textAlignment w:val="auto"/>
              <w:rPr>
                <w:rFonts w:asciiTheme="minorHAnsi" w:hAnsiTheme="minorHAnsi" w:cstheme="minorHAnsi"/>
                <w:lang w:val="es-ES"/>
              </w:rPr>
            </w:pPr>
            <w:hyperlink r:id="rId26" w:history="1">
              <w:bookmarkStart w:id="43" w:name="lt_pId237"/>
              <w:r w:rsidR="001E6890" w:rsidRPr="00B63ABD">
                <w:rPr>
                  <w:rStyle w:val="Hyperlink"/>
                  <w:rFonts w:asciiTheme="minorHAnsi" w:hAnsiTheme="minorHAnsi" w:cstheme="minorHAnsi"/>
                  <w:lang w:val="es-ES"/>
                </w:rPr>
                <w:t>U4SSC</w:t>
              </w:r>
              <w:bookmarkEnd w:id="43"/>
            </w:hyperlink>
          </w:p>
        </w:tc>
        <w:tc>
          <w:tcPr>
            <w:tcW w:w="3649" w:type="dxa"/>
            <w:tcBorders>
              <w:top w:val="single" w:sz="12" w:space="0" w:color="auto"/>
            </w:tcBorders>
            <w:noWrap/>
            <w:hideMark/>
          </w:tcPr>
          <w:p w14:paraId="3A5562C4" w14:textId="77777777" w:rsidR="001E6890" w:rsidRPr="00B63ABD" w:rsidRDefault="001E6890" w:rsidP="00F22296">
            <w:pPr>
              <w:keepNext/>
              <w:overflowPunct/>
              <w:autoSpaceDE/>
              <w:autoSpaceDN/>
              <w:adjustRightInd/>
              <w:spacing w:after="60"/>
              <w:jc w:val="center"/>
              <w:textAlignment w:val="auto"/>
              <w:rPr>
                <w:rFonts w:asciiTheme="minorHAnsi" w:hAnsiTheme="minorHAnsi" w:cstheme="minorHAnsi"/>
                <w:lang w:val="es-ES"/>
              </w:rPr>
            </w:pPr>
            <w:r w:rsidRPr="00B63ABD">
              <w:rPr>
                <w:rFonts w:asciiTheme="minorHAnsi" w:hAnsiTheme="minorHAnsi" w:cstheme="minorHAnsi"/>
                <w:lang w:val="es-ES"/>
              </w:rPr>
              <w:t>Alianza Mundial para el Control Estadístico de los Residuos Electrónicos (GESP</w:t>
            </w:r>
          </w:p>
        </w:tc>
      </w:tr>
      <w:tr w:rsidR="001E6890" w:rsidRPr="00B63ABD" w14:paraId="3DF52B10" w14:textId="77777777" w:rsidTr="00F22296">
        <w:trPr>
          <w:trHeight w:val="402"/>
        </w:trPr>
        <w:tc>
          <w:tcPr>
            <w:tcW w:w="2547" w:type="dxa"/>
            <w:vMerge/>
            <w:hideMark/>
          </w:tcPr>
          <w:p w14:paraId="2E8A8959" w14:textId="77777777" w:rsidR="001E6890" w:rsidRPr="00B63ABD" w:rsidRDefault="001E6890" w:rsidP="00F22296">
            <w:pPr>
              <w:keepNext/>
              <w:overflowPunct/>
              <w:autoSpaceDE/>
              <w:autoSpaceDN/>
              <w:adjustRightInd/>
              <w:spacing w:after="60"/>
              <w:jc w:val="center"/>
              <w:textAlignment w:val="auto"/>
              <w:rPr>
                <w:rFonts w:asciiTheme="minorHAnsi" w:hAnsiTheme="minorHAnsi" w:cstheme="minorHAnsi"/>
                <w:b/>
                <w:bCs/>
                <w:lang w:val="es-ES"/>
              </w:rPr>
            </w:pPr>
          </w:p>
        </w:tc>
        <w:tc>
          <w:tcPr>
            <w:tcW w:w="3402" w:type="dxa"/>
            <w:noWrap/>
            <w:hideMark/>
          </w:tcPr>
          <w:p w14:paraId="13C3DF98" w14:textId="77777777" w:rsidR="001E6890" w:rsidRPr="00B63ABD" w:rsidRDefault="001E6890" w:rsidP="00F22296">
            <w:pPr>
              <w:keepNext/>
              <w:overflowPunct/>
              <w:autoSpaceDE/>
              <w:autoSpaceDN/>
              <w:adjustRightInd/>
              <w:spacing w:after="60"/>
              <w:jc w:val="center"/>
              <w:textAlignment w:val="auto"/>
              <w:rPr>
                <w:rFonts w:asciiTheme="minorHAnsi" w:hAnsiTheme="minorHAnsi" w:cstheme="minorHAnsi"/>
                <w:lang w:val="es-ES"/>
              </w:rPr>
            </w:pPr>
            <w:bookmarkStart w:id="44" w:name="lt_pId239"/>
            <w:r w:rsidRPr="00B63ABD">
              <w:rPr>
                <w:rFonts w:asciiTheme="minorHAnsi" w:hAnsiTheme="minorHAnsi" w:cstheme="minorHAnsi"/>
                <w:lang w:val="es-ES"/>
              </w:rPr>
              <w:t>GEO</w:t>
            </w:r>
            <w:bookmarkEnd w:id="44"/>
          </w:p>
        </w:tc>
        <w:tc>
          <w:tcPr>
            <w:tcW w:w="4394" w:type="dxa"/>
            <w:noWrap/>
            <w:hideMark/>
          </w:tcPr>
          <w:p w14:paraId="5C658FE7" w14:textId="77777777" w:rsidR="001E6890" w:rsidRPr="00B63ABD" w:rsidRDefault="001E6890" w:rsidP="00F22296">
            <w:pPr>
              <w:keepNext/>
              <w:overflowPunct/>
              <w:autoSpaceDE/>
              <w:autoSpaceDN/>
              <w:adjustRightInd/>
              <w:spacing w:after="60"/>
              <w:jc w:val="center"/>
              <w:textAlignment w:val="auto"/>
              <w:rPr>
                <w:rFonts w:asciiTheme="minorHAnsi" w:hAnsiTheme="minorHAnsi" w:cstheme="minorHAnsi"/>
                <w:lang w:val="es-ES"/>
              </w:rPr>
            </w:pPr>
          </w:p>
        </w:tc>
        <w:tc>
          <w:tcPr>
            <w:tcW w:w="3649" w:type="dxa"/>
            <w:noWrap/>
          </w:tcPr>
          <w:p w14:paraId="3F4E67E9" w14:textId="77777777" w:rsidR="001E6890" w:rsidRPr="00B63ABD" w:rsidRDefault="001E6890" w:rsidP="00F22296">
            <w:pPr>
              <w:keepNext/>
              <w:overflowPunct/>
              <w:autoSpaceDE/>
              <w:autoSpaceDN/>
              <w:adjustRightInd/>
              <w:spacing w:after="60"/>
              <w:jc w:val="center"/>
              <w:textAlignment w:val="auto"/>
              <w:rPr>
                <w:rFonts w:asciiTheme="minorHAnsi" w:hAnsiTheme="minorHAnsi" w:cstheme="minorHAnsi"/>
                <w:lang w:val="es-ES"/>
              </w:rPr>
            </w:pPr>
            <w:r w:rsidRPr="00B63ABD">
              <w:rPr>
                <w:rFonts w:asciiTheme="minorHAnsi" w:hAnsiTheme="minorHAnsi" w:cstheme="minorHAnsi"/>
                <w:lang w:val="es-ES"/>
              </w:rPr>
              <w:t>Coalición sobre residuos electrónicos</w:t>
            </w:r>
          </w:p>
        </w:tc>
      </w:tr>
      <w:tr w:rsidR="001E6890" w:rsidRPr="00B7555F" w14:paraId="49AD8D0F" w14:textId="77777777" w:rsidTr="00F22296">
        <w:trPr>
          <w:trHeight w:val="402"/>
        </w:trPr>
        <w:tc>
          <w:tcPr>
            <w:tcW w:w="2547" w:type="dxa"/>
            <w:vMerge/>
            <w:hideMark/>
          </w:tcPr>
          <w:p w14:paraId="0181E15A"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p>
        </w:tc>
        <w:tc>
          <w:tcPr>
            <w:tcW w:w="11445" w:type="dxa"/>
            <w:gridSpan w:val="3"/>
            <w:hideMark/>
          </w:tcPr>
          <w:p w14:paraId="6EAEF9AE" w14:textId="165E009F"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r w:rsidRPr="00B63ABD">
              <w:rPr>
                <w:rFonts w:asciiTheme="minorHAnsi" w:hAnsiTheme="minorHAnsi" w:cstheme="minorHAnsi"/>
                <w:lang w:val="es-ES"/>
              </w:rPr>
              <w:t xml:space="preserve">Conferencias de las </w:t>
            </w:r>
            <w:r w:rsidR="00BB2FE0" w:rsidRPr="00B63ABD">
              <w:rPr>
                <w:rFonts w:asciiTheme="minorHAnsi" w:hAnsiTheme="minorHAnsi" w:cstheme="minorHAnsi"/>
                <w:lang w:val="es-ES"/>
              </w:rPr>
              <w:t>Naciones Unidas</w:t>
            </w:r>
            <w:r w:rsidRPr="00B63ABD">
              <w:rPr>
                <w:rFonts w:asciiTheme="minorHAnsi" w:hAnsiTheme="minorHAnsi" w:cstheme="minorHAnsi"/>
                <w:lang w:val="es-ES"/>
              </w:rPr>
              <w:t xml:space="preserve"> sobre el Cambio Climático</w:t>
            </w:r>
          </w:p>
        </w:tc>
      </w:tr>
      <w:tr w:rsidR="001E6890" w:rsidRPr="00B7555F" w14:paraId="519F3F4B" w14:textId="77777777" w:rsidTr="00F22296">
        <w:trPr>
          <w:trHeight w:val="402"/>
        </w:trPr>
        <w:tc>
          <w:tcPr>
            <w:tcW w:w="2547" w:type="dxa"/>
            <w:vMerge/>
            <w:tcBorders>
              <w:bottom w:val="single" w:sz="12" w:space="0" w:color="auto"/>
            </w:tcBorders>
            <w:hideMark/>
          </w:tcPr>
          <w:p w14:paraId="22095FC7"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p>
        </w:tc>
        <w:tc>
          <w:tcPr>
            <w:tcW w:w="11445" w:type="dxa"/>
            <w:gridSpan w:val="3"/>
            <w:tcBorders>
              <w:bottom w:val="single" w:sz="12" w:space="0" w:color="auto"/>
            </w:tcBorders>
            <w:hideMark/>
          </w:tcPr>
          <w:p w14:paraId="5CAC1B46"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45" w:name="lt_pId242"/>
            <w:r w:rsidRPr="00B63ABD">
              <w:rPr>
                <w:rFonts w:asciiTheme="minorHAnsi" w:hAnsiTheme="minorHAnsi" w:cstheme="minorHAnsi"/>
                <w:lang w:val="es-ES"/>
              </w:rPr>
              <w:t>Agenda 2030 de las Naciones Unidas para el Desarrollo Sostenible (ODS 13)</w:t>
            </w:r>
            <w:bookmarkEnd w:id="45"/>
          </w:p>
        </w:tc>
      </w:tr>
      <w:tr w:rsidR="001E6890" w:rsidRPr="00B63ABD" w14:paraId="4B1E59A2" w14:textId="77777777" w:rsidTr="00F22296">
        <w:trPr>
          <w:trHeight w:val="300"/>
        </w:trPr>
        <w:tc>
          <w:tcPr>
            <w:tcW w:w="2547" w:type="dxa"/>
            <w:vMerge w:val="restart"/>
            <w:tcBorders>
              <w:top w:val="single" w:sz="12" w:space="0" w:color="auto"/>
            </w:tcBorders>
            <w:hideMark/>
          </w:tcPr>
          <w:p w14:paraId="654C0B8B"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r w:rsidRPr="00B63ABD">
              <w:rPr>
                <w:rFonts w:asciiTheme="minorHAnsi" w:hAnsiTheme="minorHAnsi" w:cstheme="minorHAnsi"/>
                <w:b/>
                <w:bCs/>
                <w:lang w:val="es-ES"/>
              </w:rPr>
              <w:t>Resoluciones</w:t>
            </w:r>
          </w:p>
        </w:tc>
        <w:tc>
          <w:tcPr>
            <w:tcW w:w="3402" w:type="dxa"/>
            <w:tcBorders>
              <w:top w:val="single" w:sz="12" w:space="0" w:color="auto"/>
            </w:tcBorders>
            <w:noWrap/>
            <w:hideMark/>
          </w:tcPr>
          <w:p w14:paraId="3163B188" w14:textId="3249CD4F"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27" w:history="1">
              <w:bookmarkStart w:id="46" w:name="lt_pId244"/>
              <w:r w:rsidR="001E6890" w:rsidRPr="00B63ABD">
                <w:rPr>
                  <w:rStyle w:val="Hyperlink"/>
                  <w:rFonts w:asciiTheme="minorHAnsi" w:hAnsiTheme="minorHAnsi" w:cstheme="minorHAnsi"/>
                  <w:lang w:val="es-ES"/>
                </w:rPr>
                <w:t>Resolución 60 (AR-19)</w:t>
              </w:r>
              <w:bookmarkEnd w:id="46"/>
            </w:hyperlink>
          </w:p>
        </w:tc>
        <w:tc>
          <w:tcPr>
            <w:tcW w:w="4394" w:type="dxa"/>
            <w:tcBorders>
              <w:top w:val="single" w:sz="12" w:space="0" w:color="auto"/>
            </w:tcBorders>
            <w:noWrap/>
            <w:hideMark/>
          </w:tcPr>
          <w:p w14:paraId="589E86AC" w14:textId="57C246D3"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28" w:history="1">
              <w:bookmarkStart w:id="47" w:name="lt_pId245"/>
              <w:r w:rsidR="001E6890" w:rsidRPr="00B63ABD">
                <w:rPr>
                  <w:rStyle w:val="Hyperlink"/>
                  <w:rFonts w:asciiTheme="minorHAnsi" w:hAnsiTheme="minorHAnsi" w:cstheme="minorHAnsi"/>
                  <w:lang w:val="es-ES"/>
                </w:rPr>
                <w:t>Resolución 73 (Rev. Hammamet, 2016)</w:t>
              </w:r>
              <w:bookmarkEnd w:id="47"/>
            </w:hyperlink>
          </w:p>
        </w:tc>
        <w:tc>
          <w:tcPr>
            <w:tcW w:w="3649" w:type="dxa"/>
            <w:tcBorders>
              <w:top w:val="single" w:sz="12" w:space="0" w:color="auto"/>
            </w:tcBorders>
            <w:noWrap/>
            <w:hideMark/>
          </w:tcPr>
          <w:p w14:paraId="54A14D46" w14:textId="429805F2"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29" w:history="1">
              <w:bookmarkStart w:id="48" w:name="lt_pId246"/>
              <w:r w:rsidR="001E6890" w:rsidRPr="00B63ABD">
                <w:rPr>
                  <w:rStyle w:val="Hyperlink"/>
                  <w:rFonts w:asciiTheme="minorHAnsi" w:hAnsiTheme="minorHAnsi" w:cstheme="minorHAnsi"/>
                  <w:lang w:val="es-ES"/>
                </w:rPr>
                <w:t>Resolución 66 (Rev. Buenos Aires, 2017)</w:t>
              </w:r>
              <w:bookmarkEnd w:id="48"/>
            </w:hyperlink>
          </w:p>
        </w:tc>
      </w:tr>
      <w:tr w:rsidR="001E6890" w:rsidRPr="00B63ABD" w14:paraId="19339C31" w14:textId="77777777" w:rsidTr="00F22296">
        <w:trPr>
          <w:trHeight w:val="315"/>
        </w:trPr>
        <w:tc>
          <w:tcPr>
            <w:tcW w:w="2547" w:type="dxa"/>
            <w:vMerge/>
            <w:tcBorders>
              <w:bottom w:val="single" w:sz="12" w:space="0" w:color="auto"/>
            </w:tcBorders>
            <w:hideMark/>
          </w:tcPr>
          <w:p w14:paraId="66618892"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p>
        </w:tc>
        <w:tc>
          <w:tcPr>
            <w:tcW w:w="3402" w:type="dxa"/>
            <w:tcBorders>
              <w:bottom w:val="single" w:sz="12" w:space="0" w:color="auto"/>
            </w:tcBorders>
            <w:noWrap/>
            <w:hideMark/>
          </w:tcPr>
          <w:p w14:paraId="46C13862" w14:textId="2F42B725"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30" w:history="1">
              <w:bookmarkStart w:id="49" w:name="lt_pId247"/>
              <w:r w:rsidR="001E6890" w:rsidRPr="00B63ABD">
                <w:rPr>
                  <w:rStyle w:val="Hyperlink"/>
                  <w:rFonts w:asciiTheme="minorHAnsi" w:hAnsiTheme="minorHAnsi" w:cstheme="minorHAnsi"/>
                  <w:lang w:val="es-ES"/>
                </w:rPr>
                <w:t>Resolución 61 (</w:t>
              </w:r>
              <w:r w:rsidR="00BB2FE0">
                <w:rPr>
                  <w:rStyle w:val="Hyperlink"/>
                  <w:rFonts w:asciiTheme="minorHAnsi" w:hAnsiTheme="minorHAnsi" w:cstheme="minorHAnsi"/>
                  <w:lang w:val="es-ES"/>
                </w:rPr>
                <w:t>A</w:t>
              </w:r>
              <w:r w:rsidR="001E6890" w:rsidRPr="00B63ABD">
                <w:rPr>
                  <w:rStyle w:val="Hyperlink"/>
                  <w:rFonts w:asciiTheme="minorHAnsi" w:hAnsiTheme="minorHAnsi" w:cstheme="minorHAnsi"/>
                  <w:lang w:val="es-ES"/>
                </w:rPr>
                <w:t>R-19)</w:t>
              </w:r>
              <w:bookmarkEnd w:id="49"/>
            </w:hyperlink>
          </w:p>
        </w:tc>
        <w:tc>
          <w:tcPr>
            <w:tcW w:w="4394" w:type="dxa"/>
            <w:tcBorders>
              <w:bottom w:val="single" w:sz="12" w:space="0" w:color="auto"/>
            </w:tcBorders>
            <w:noWrap/>
            <w:hideMark/>
          </w:tcPr>
          <w:p w14:paraId="7D9CDE4A" w14:textId="4F55CEEA"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31" w:history="1">
              <w:bookmarkStart w:id="50" w:name="lt_pId248"/>
              <w:r w:rsidR="001E6890" w:rsidRPr="00B63ABD">
                <w:rPr>
                  <w:rStyle w:val="Hyperlink"/>
                  <w:rFonts w:asciiTheme="minorHAnsi" w:hAnsiTheme="minorHAnsi" w:cstheme="minorHAnsi"/>
                  <w:lang w:val="es-ES"/>
                </w:rPr>
                <w:t>Resolución 79 (Rev. Hammamet, 2016)</w:t>
              </w:r>
              <w:bookmarkEnd w:id="50"/>
            </w:hyperlink>
          </w:p>
        </w:tc>
        <w:tc>
          <w:tcPr>
            <w:tcW w:w="3649" w:type="dxa"/>
            <w:tcBorders>
              <w:bottom w:val="single" w:sz="12" w:space="0" w:color="auto"/>
            </w:tcBorders>
            <w:noWrap/>
            <w:hideMark/>
          </w:tcPr>
          <w:p w14:paraId="0608C328" w14:textId="0B415C80"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r>
      <w:tr w:rsidR="001E6890" w:rsidRPr="00B63ABD" w14:paraId="009495CD" w14:textId="77777777" w:rsidTr="00F22296">
        <w:trPr>
          <w:trHeight w:val="300"/>
        </w:trPr>
        <w:tc>
          <w:tcPr>
            <w:tcW w:w="2547" w:type="dxa"/>
            <w:vMerge w:val="restart"/>
            <w:tcBorders>
              <w:top w:val="single" w:sz="12" w:space="0" w:color="auto"/>
            </w:tcBorders>
            <w:hideMark/>
          </w:tcPr>
          <w:p w14:paraId="6BFBC24A"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r w:rsidRPr="00B63ABD">
              <w:rPr>
                <w:rFonts w:asciiTheme="minorHAnsi" w:hAnsiTheme="minorHAnsi" w:cstheme="minorHAnsi"/>
                <w:b/>
                <w:bCs/>
                <w:lang w:val="es-ES"/>
              </w:rPr>
              <w:t>Recomendaciones</w:t>
            </w:r>
          </w:p>
        </w:tc>
        <w:bookmarkStart w:id="51" w:name="lt_pId250"/>
        <w:tc>
          <w:tcPr>
            <w:tcW w:w="3402" w:type="dxa"/>
            <w:tcBorders>
              <w:top w:val="single" w:sz="12" w:space="0" w:color="auto"/>
            </w:tcBorders>
            <w:noWrap/>
            <w:hideMark/>
          </w:tcPr>
          <w:p w14:paraId="34597D74" w14:textId="1AFC3B31" w:rsidR="001E6890" w:rsidRPr="00B63ABD" w:rsidRDefault="00394D7B" w:rsidP="00F22296">
            <w:pPr>
              <w:overflowPunct/>
              <w:autoSpaceDE/>
              <w:autoSpaceDN/>
              <w:adjustRightInd/>
              <w:spacing w:after="60"/>
              <w:jc w:val="center"/>
              <w:textAlignment w:val="auto"/>
              <w:rPr>
                <w:rFonts w:asciiTheme="minorHAnsi" w:hAnsiTheme="minorHAnsi" w:cstheme="minorHAnsi"/>
                <w:lang w:val="es-ES"/>
              </w:rPr>
            </w:pPr>
            <w:r w:rsidRPr="00B63ABD">
              <w:rPr>
                <w:rFonts w:cstheme="minorHAnsi"/>
                <w:lang w:val="es-ES"/>
              </w:rPr>
              <w:fldChar w:fldCharType="begin"/>
            </w:r>
            <w:r w:rsidRPr="00B63ABD">
              <w:rPr>
                <w:rFonts w:asciiTheme="minorHAnsi" w:hAnsiTheme="minorHAnsi" w:cstheme="minorHAnsi"/>
                <w:lang w:val="es-ES"/>
              </w:rPr>
              <w:instrText xml:space="preserve"> HYPERLINK "https://www.itu.int/rec/R-REC-RS/es" </w:instrText>
            </w:r>
            <w:r w:rsidRPr="00B63ABD">
              <w:rPr>
                <w:rFonts w:cstheme="minorHAnsi"/>
                <w:lang w:val="es-ES"/>
              </w:rPr>
              <w:fldChar w:fldCharType="separate"/>
            </w:r>
            <w:r w:rsidR="001E6890" w:rsidRPr="00B63ABD">
              <w:rPr>
                <w:rStyle w:val="Hyperlink"/>
                <w:rFonts w:asciiTheme="minorHAnsi" w:hAnsiTheme="minorHAnsi" w:cstheme="minorHAnsi"/>
                <w:lang w:val="es-ES"/>
              </w:rPr>
              <w:t>Serie RS</w:t>
            </w:r>
            <w:r w:rsidRPr="00B63ABD">
              <w:rPr>
                <w:rFonts w:cstheme="minorHAnsi"/>
                <w:lang w:val="es-ES"/>
              </w:rPr>
              <w:fldChar w:fldCharType="end"/>
            </w:r>
            <w:r w:rsidR="001E6890" w:rsidRPr="00B63ABD">
              <w:rPr>
                <w:rFonts w:asciiTheme="minorHAnsi" w:hAnsiTheme="minorHAnsi" w:cstheme="minorHAnsi"/>
                <w:lang w:val="es-ES"/>
              </w:rPr>
              <w:t xml:space="preserve"> </w:t>
            </w:r>
            <w:r w:rsidR="004573BE" w:rsidRPr="004573BE">
              <w:rPr>
                <w:rFonts w:cstheme="minorHAnsi"/>
                <w:lang w:val="es-ES"/>
              </w:rPr>
              <w:t>–</w:t>
            </w:r>
            <w:r w:rsidR="001E6890" w:rsidRPr="00B63ABD">
              <w:rPr>
                <w:rFonts w:asciiTheme="minorHAnsi" w:hAnsiTheme="minorHAnsi" w:cstheme="minorHAnsi"/>
                <w:lang w:val="es-ES"/>
              </w:rPr>
              <w:t xml:space="preserve"> </w:t>
            </w:r>
            <w:bookmarkEnd w:id="51"/>
            <w:r w:rsidR="001E6890" w:rsidRPr="00B63ABD">
              <w:rPr>
                <w:rFonts w:asciiTheme="minorHAnsi" w:hAnsiTheme="minorHAnsi" w:cstheme="minorHAnsi"/>
                <w:lang w:val="es-ES"/>
              </w:rPr>
              <w:t>Teledetección</w:t>
            </w:r>
          </w:p>
        </w:tc>
        <w:tc>
          <w:tcPr>
            <w:tcW w:w="4394" w:type="dxa"/>
            <w:tcBorders>
              <w:top w:val="single" w:sz="12" w:space="0" w:color="auto"/>
            </w:tcBorders>
            <w:noWrap/>
          </w:tcPr>
          <w:p w14:paraId="682EAC9F" w14:textId="3A0A0D50"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32" w:history="1">
              <w:r w:rsidR="001E6890" w:rsidRPr="00B63ABD">
                <w:rPr>
                  <w:rStyle w:val="Hyperlink"/>
                  <w:rFonts w:asciiTheme="minorHAnsi" w:hAnsiTheme="minorHAnsi" w:cstheme="minorHAnsi"/>
                  <w:lang w:val="es-ES"/>
                </w:rPr>
                <w:t>Suplementos y normas en materia de TIC ecológicas</w:t>
              </w:r>
            </w:hyperlink>
          </w:p>
        </w:tc>
        <w:tc>
          <w:tcPr>
            <w:tcW w:w="3649" w:type="dxa"/>
            <w:tcBorders>
              <w:top w:val="single" w:sz="12" w:space="0" w:color="auto"/>
            </w:tcBorders>
            <w:noWrap/>
            <w:hideMark/>
          </w:tcPr>
          <w:p w14:paraId="61A135AA" w14:textId="74BD7215"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33" w:history="1">
              <w:bookmarkStart w:id="52" w:name="lt_pId252"/>
              <w:r w:rsidR="001E6890" w:rsidRPr="00B63ABD">
                <w:rPr>
                  <w:rStyle w:val="Hyperlink"/>
                  <w:rFonts w:asciiTheme="minorHAnsi" w:hAnsiTheme="minorHAnsi" w:cstheme="minorHAnsi"/>
                  <w:lang w:val="es-ES"/>
                </w:rPr>
                <w:t>D.21</w:t>
              </w:r>
              <w:bookmarkEnd w:id="52"/>
            </w:hyperlink>
          </w:p>
        </w:tc>
      </w:tr>
      <w:tr w:rsidR="001E6890" w:rsidRPr="00B7555F" w14:paraId="4B815A6C" w14:textId="77777777" w:rsidTr="00F22296">
        <w:trPr>
          <w:trHeight w:val="315"/>
        </w:trPr>
        <w:tc>
          <w:tcPr>
            <w:tcW w:w="2547" w:type="dxa"/>
            <w:vMerge/>
            <w:tcBorders>
              <w:bottom w:val="single" w:sz="12" w:space="0" w:color="auto"/>
            </w:tcBorders>
            <w:hideMark/>
          </w:tcPr>
          <w:p w14:paraId="5F43812F"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p>
        </w:tc>
        <w:bookmarkStart w:id="53" w:name="lt_pId253"/>
        <w:tc>
          <w:tcPr>
            <w:tcW w:w="3402" w:type="dxa"/>
            <w:tcBorders>
              <w:bottom w:val="single" w:sz="12" w:space="0" w:color="auto"/>
            </w:tcBorders>
            <w:noWrap/>
            <w:hideMark/>
          </w:tcPr>
          <w:p w14:paraId="3BBFCC41" w14:textId="57FC8311" w:rsidR="001E6890" w:rsidRPr="00B63ABD" w:rsidRDefault="00394D7B" w:rsidP="00F22296">
            <w:pPr>
              <w:overflowPunct/>
              <w:autoSpaceDE/>
              <w:autoSpaceDN/>
              <w:adjustRightInd/>
              <w:spacing w:after="60"/>
              <w:jc w:val="center"/>
              <w:textAlignment w:val="auto"/>
              <w:rPr>
                <w:rFonts w:asciiTheme="minorHAnsi" w:hAnsiTheme="minorHAnsi" w:cstheme="minorHAnsi"/>
                <w:lang w:val="es-ES"/>
              </w:rPr>
            </w:pPr>
            <w:r w:rsidRPr="00B63ABD">
              <w:rPr>
                <w:rFonts w:cstheme="minorHAnsi"/>
                <w:lang w:val="es-ES"/>
              </w:rPr>
              <w:fldChar w:fldCharType="begin"/>
            </w:r>
            <w:r w:rsidRPr="00B63ABD">
              <w:rPr>
                <w:rFonts w:asciiTheme="minorHAnsi" w:hAnsiTheme="minorHAnsi" w:cstheme="minorHAnsi"/>
                <w:lang w:val="es-ES"/>
              </w:rPr>
              <w:instrText xml:space="preserve"> HYPERLINK "https://www.itu.int/rec/R-REC-SA/es" </w:instrText>
            </w:r>
            <w:r w:rsidRPr="00B63ABD">
              <w:rPr>
                <w:rFonts w:cstheme="minorHAnsi"/>
                <w:lang w:val="es-ES"/>
              </w:rPr>
              <w:fldChar w:fldCharType="separate"/>
            </w:r>
            <w:r w:rsidR="001E6890" w:rsidRPr="00B63ABD">
              <w:rPr>
                <w:rStyle w:val="Hyperlink"/>
                <w:rFonts w:asciiTheme="minorHAnsi" w:hAnsiTheme="minorHAnsi" w:cstheme="minorHAnsi"/>
                <w:lang w:val="es-ES"/>
              </w:rPr>
              <w:t>Serie SA</w:t>
            </w:r>
            <w:r w:rsidRPr="00B63ABD">
              <w:rPr>
                <w:rFonts w:cstheme="minorHAnsi"/>
                <w:lang w:val="es-ES"/>
              </w:rPr>
              <w:fldChar w:fldCharType="end"/>
            </w:r>
            <w:r w:rsidR="001E6890" w:rsidRPr="00B63ABD">
              <w:rPr>
                <w:rFonts w:asciiTheme="minorHAnsi" w:hAnsiTheme="minorHAnsi" w:cstheme="minorHAnsi"/>
                <w:lang w:val="es-ES"/>
              </w:rPr>
              <w:t xml:space="preserve"> </w:t>
            </w:r>
            <w:r w:rsidR="004573BE" w:rsidRPr="004573BE">
              <w:rPr>
                <w:rFonts w:cstheme="minorHAnsi"/>
                <w:lang w:val="es-ES"/>
              </w:rPr>
              <w:t>–</w:t>
            </w:r>
            <w:r w:rsidR="001E6890" w:rsidRPr="00B63ABD">
              <w:rPr>
                <w:rFonts w:asciiTheme="minorHAnsi" w:hAnsiTheme="minorHAnsi" w:cstheme="minorHAnsi"/>
                <w:lang w:val="es-ES"/>
              </w:rPr>
              <w:t xml:space="preserve"> Aplicaciones espaciales y meteorología</w:t>
            </w:r>
            <w:bookmarkEnd w:id="53"/>
          </w:p>
        </w:tc>
        <w:tc>
          <w:tcPr>
            <w:tcW w:w="4394" w:type="dxa"/>
            <w:tcBorders>
              <w:bottom w:val="single" w:sz="12" w:space="0" w:color="auto"/>
            </w:tcBorders>
            <w:noWrap/>
          </w:tcPr>
          <w:p w14:paraId="480BB94C"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3649" w:type="dxa"/>
            <w:tcBorders>
              <w:bottom w:val="single" w:sz="12" w:space="0" w:color="auto"/>
            </w:tcBorders>
            <w:noWrap/>
            <w:hideMark/>
          </w:tcPr>
          <w:p w14:paraId="04D070BB" w14:textId="658661D4"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r>
      <w:tr w:rsidR="001E6890" w:rsidRPr="00B7555F" w14:paraId="0C0D61ED" w14:textId="77777777" w:rsidTr="00F22296">
        <w:trPr>
          <w:trHeight w:val="600"/>
        </w:trPr>
        <w:tc>
          <w:tcPr>
            <w:tcW w:w="2547" w:type="dxa"/>
            <w:vMerge w:val="restart"/>
            <w:tcBorders>
              <w:top w:val="single" w:sz="12" w:space="0" w:color="auto"/>
            </w:tcBorders>
            <w:hideMark/>
          </w:tcPr>
          <w:p w14:paraId="3C76CCAF"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r w:rsidRPr="00B63ABD">
              <w:rPr>
                <w:rFonts w:asciiTheme="minorHAnsi" w:hAnsiTheme="minorHAnsi" w:cstheme="minorHAnsi"/>
                <w:b/>
                <w:bCs/>
                <w:lang w:val="es-ES"/>
              </w:rPr>
              <w:t>Informes</w:t>
            </w:r>
          </w:p>
        </w:tc>
        <w:bookmarkStart w:id="54" w:name="lt_pId255"/>
        <w:tc>
          <w:tcPr>
            <w:tcW w:w="3402" w:type="dxa"/>
            <w:tcBorders>
              <w:top w:val="single" w:sz="12" w:space="0" w:color="auto"/>
            </w:tcBorders>
            <w:noWrap/>
            <w:hideMark/>
          </w:tcPr>
          <w:p w14:paraId="34971B2F" w14:textId="79B1BDE1" w:rsidR="001E6890" w:rsidRPr="00B63ABD" w:rsidRDefault="00394D7B" w:rsidP="00F22296">
            <w:pPr>
              <w:overflowPunct/>
              <w:autoSpaceDE/>
              <w:autoSpaceDN/>
              <w:adjustRightInd/>
              <w:spacing w:after="60"/>
              <w:jc w:val="center"/>
              <w:textAlignment w:val="auto"/>
              <w:rPr>
                <w:rFonts w:asciiTheme="minorHAnsi" w:hAnsiTheme="minorHAnsi" w:cstheme="minorHAnsi"/>
                <w:lang w:val="es-ES"/>
              </w:rPr>
            </w:pPr>
            <w:r w:rsidRPr="00B63ABD">
              <w:rPr>
                <w:rFonts w:cstheme="minorHAnsi"/>
                <w:lang w:val="es-ES"/>
              </w:rPr>
              <w:fldChar w:fldCharType="begin"/>
            </w:r>
            <w:r w:rsidRPr="00B63ABD">
              <w:rPr>
                <w:rFonts w:asciiTheme="minorHAnsi" w:hAnsiTheme="minorHAnsi" w:cstheme="minorHAnsi"/>
                <w:lang w:val="es-ES"/>
              </w:rPr>
              <w:instrText xml:space="preserve"> HYPERLINK "https://www.itu.int/pub/R-REP-RS/es" </w:instrText>
            </w:r>
            <w:r w:rsidRPr="00B63ABD">
              <w:rPr>
                <w:rFonts w:cstheme="minorHAnsi"/>
                <w:lang w:val="es-ES"/>
              </w:rPr>
              <w:fldChar w:fldCharType="separate"/>
            </w:r>
            <w:r w:rsidR="001E6890" w:rsidRPr="00B63ABD">
              <w:rPr>
                <w:rStyle w:val="Hyperlink"/>
                <w:rFonts w:asciiTheme="minorHAnsi" w:hAnsiTheme="minorHAnsi" w:cstheme="minorHAnsi"/>
                <w:lang w:val="es-ES"/>
              </w:rPr>
              <w:t>Serie RS</w:t>
            </w:r>
            <w:r w:rsidRPr="00B63ABD">
              <w:rPr>
                <w:rFonts w:cstheme="minorHAnsi"/>
                <w:lang w:val="es-ES"/>
              </w:rPr>
              <w:fldChar w:fldCharType="end"/>
            </w:r>
            <w:r w:rsidR="001E6890" w:rsidRPr="00B63ABD">
              <w:rPr>
                <w:rFonts w:asciiTheme="minorHAnsi" w:hAnsiTheme="minorHAnsi" w:cstheme="minorHAnsi"/>
                <w:lang w:val="es-ES"/>
              </w:rPr>
              <w:t xml:space="preserve"> </w:t>
            </w:r>
            <w:r w:rsidR="004573BE" w:rsidRPr="004573BE">
              <w:rPr>
                <w:rFonts w:cstheme="minorHAnsi"/>
                <w:lang w:val="es-ES"/>
              </w:rPr>
              <w:t>–</w:t>
            </w:r>
            <w:r w:rsidR="001E6890" w:rsidRPr="00B63ABD">
              <w:rPr>
                <w:rFonts w:asciiTheme="minorHAnsi" w:hAnsiTheme="minorHAnsi" w:cstheme="minorHAnsi"/>
                <w:lang w:val="es-ES"/>
              </w:rPr>
              <w:t xml:space="preserve"> Teledetección</w:t>
            </w:r>
            <w:bookmarkEnd w:id="54"/>
          </w:p>
        </w:tc>
        <w:tc>
          <w:tcPr>
            <w:tcW w:w="4394" w:type="dxa"/>
            <w:tcBorders>
              <w:top w:val="single" w:sz="12" w:space="0" w:color="auto"/>
            </w:tcBorders>
            <w:hideMark/>
          </w:tcPr>
          <w:p w14:paraId="23FAAA1A" w14:textId="6A7A0663"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34" w:history="1">
              <w:r w:rsidR="001E6890" w:rsidRPr="00B63ABD">
                <w:rPr>
                  <w:rStyle w:val="Hyperlink"/>
                  <w:rFonts w:asciiTheme="minorHAnsi" w:hAnsiTheme="minorHAnsi" w:cstheme="minorHAnsi"/>
                  <w:lang w:val="es-ES"/>
                </w:rPr>
                <w:t>Artículos técnicos e informes</w:t>
              </w:r>
            </w:hyperlink>
          </w:p>
        </w:tc>
        <w:tc>
          <w:tcPr>
            <w:tcW w:w="3649" w:type="dxa"/>
            <w:tcBorders>
              <w:top w:val="single" w:sz="12" w:space="0" w:color="auto"/>
            </w:tcBorders>
            <w:noWrap/>
            <w:hideMark/>
          </w:tcPr>
          <w:p w14:paraId="625C5A9F" w14:textId="30759EDF"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bookmarkStart w:id="55" w:name="lt_pId257"/>
            <w:r w:rsidRPr="00B63ABD">
              <w:rPr>
                <w:rFonts w:asciiTheme="minorHAnsi" w:hAnsiTheme="minorHAnsi" w:cstheme="minorHAnsi"/>
                <w:lang w:val="es-ES"/>
              </w:rPr>
              <w:t xml:space="preserve">Informe </w:t>
            </w:r>
            <w:hyperlink r:id="rId35" w:history="1">
              <w:r w:rsidRPr="00B63ABD">
                <w:rPr>
                  <w:rStyle w:val="Hyperlink"/>
                  <w:rFonts w:asciiTheme="minorHAnsi" w:hAnsiTheme="minorHAnsi" w:cstheme="minorHAnsi"/>
                  <w:lang w:val="es-ES"/>
                </w:rPr>
                <w:t>Final de la C6/2</w:t>
              </w:r>
            </w:hyperlink>
            <w:r w:rsidRPr="00B63ABD">
              <w:rPr>
                <w:rFonts w:asciiTheme="minorHAnsi" w:hAnsiTheme="minorHAnsi" w:cstheme="minorHAnsi"/>
                <w:lang w:val="es-ES"/>
              </w:rPr>
              <w:t xml:space="preserve"> (2017)</w:t>
            </w:r>
            <w:bookmarkEnd w:id="55"/>
          </w:p>
        </w:tc>
      </w:tr>
      <w:tr w:rsidR="001E6890" w:rsidRPr="00B7555F" w14:paraId="3100A8D3" w14:textId="77777777" w:rsidTr="00F22296">
        <w:trPr>
          <w:trHeight w:val="315"/>
        </w:trPr>
        <w:tc>
          <w:tcPr>
            <w:tcW w:w="2547" w:type="dxa"/>
            <w:vMerge/>
            <w:tcBorders>
              <w:bottom w:val="single" w:sz="12" w:space="0" w:color="auto"/>
            </w:tcBorders>
            <w:hideMark/>
          </w:tcPr>
          <w:p w14:paraId="7872849B"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p>
        </w:tc>
        <w:bookmarkStart w:id="56" w:name="lt_pId258"/>
        <w:tc>
          <w:tcPr>
            <w:tcW w:w="3402" w:type="dxa"/>
            <w:tcBorders>
              <w:bottom w:val="single" w:sz="12" w:space="0" w:color="auto"/>
            </w:tcBorders>
            <w:noWrap/>
            <w:hideMark/>
          </w:tcPr>
          <w:p w14:paraId="5C562166" w14:textId="2F9B2FA1" w:rsidR="001E6890" w:rsidRPr="00B63ABD" w:rsidRDefault="00394D7B" w:rsidP="00F22296">
            <w:pPr>
              <w:overflowPunct/>
              <w:autoSpaceDE/>
              <w:autoSpaceDN/>
              <w:adjustRightInd/>
              <w:spacing w:after="60"/>
              <w:jc w:val="center"/>
              <w:textAlignment w:val="auto"/>
              <w:rPr>
                <w:rFonts w:asciiTheme="minorHAnsi" w:hAnsiTheme="minorHAnsi" w:cstheme="minorHAnsi"/>
                <w:lang w:val="es-ES"/>
              </w:rPr>
            </w:pPr>
            <w:r w:rsidRPr="00B63ABD">
              <w:rPr>
                <w:rFonts w:cstheme="minorHAnsi"/>
                <w:lang w:val="es-ES"/>
              </w:rPr>
              <w:fldChar w:fldCharType="begin"/>
            </w:r>
            <w:r w:rsidRPr="00B63ABD">
              <w:rPr>
                <w:rFonts w:asciiTheme="minorHAnsi" w:hAnsiTheme="minorHAnsi" w:cstheme="minorHAnsi"/>
                <w:lang w:val="es-ES"/>
              </w:rPr>
              <w:instrText xml:space="preserve"> HYPERLINK "https://www.itu.int/pub/R-REP-SA/es" </w:instrText>
            </w:r>
            <w:r w:rsidRPr="00B63ABD">
              <w:rPr>
                <w:rFonts w:cstheme="minorHAnsi"/>
                <w:lang w:val="es-ES"/>
              </w:rPr>
              <w:fldChar w:fldCharType="separate"/>
            </w:r>
            <w:r w:rsidR="001E6890" w:rsidRPr="00B63ABD">
              <w:rPr>
                <w:rStyle w:val="Hyperlink"/>
                <w:rFonts w:asciiTheme="minorHAnsi" w:hAnsiTheme="minorHAnsi" w:cstheme="minorHAnsi"/>
                <w:lang w:val="es-ES"/>
              </w:rPr>
              <w:t>Serie SA</w:t>
            </w:r>
            <w:r w:rsidRPr="00B63ABD">
              <w:rPr>
                <w:rFonts w:cstheme="minorHAnsi"/>
                <w:lang w:val="es-ES"/>
              </w:rPr>
              <w:fldChar w:fldCharType="end"/>
            </w:r>
            <w:r w:rsidR="001E6890" w:rsidRPr="00B63ABD">
              <w:rPr>
                <w:rFonts w:asciiTheme="minorHAnsi" w:hAnsiTheme="minorHAnsi" w:cstheme="minorHAnsi"/>
                <w:lang w:val="es-ES"/>
              </w:rPr>
              <w:t xml:space="preserve"> </w:t>
            </w:r>
            <w:r w:rsidR="004573BE" w:rsidRPr="004573BE">
              <w:rPr>
                <w:rFonts w:cstheme="minorHAnsi"/>
                <w:lang w:val="es-ES"/>
              </w:rPr>
              <w:t>–</w:t>
            </w:r>
            <w:r w:rsidR="001E6890" w:rsidRPr="00B63ABD">
              <w:rPr>
                <w:rFonts w:asciiTheme="minorHAnsi" w:hAnsiTheme="minorHAnsi" w:cstheme="minorHAnsi"/>
                <w:lang w:val="es-ES"/>
              </w:rPr>
              <w:t xml:space="preserve"> Aplicaciones espaciales y meteorología</w:t>
            </w:r>
            <w:bookmarkEnd w:id="56"/>
          </w:p>
        </w:tc>
        <w:tc>
          <w:tcPr>
            <w:tcW w:w="4394" w:type="dxa"/>
            <w:tcBorders>
              <w:bottom w:val="single" w:sz="12" w:space="0" w:color="auto"/>
            </w:tcBorders>
            <w:noWrap/>
            <w:hideMark/>
          </w:tcPr>
          <w:p w14:paraId="6F4C1FE4" w14:textId="6A42F530"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c>
          <w:tcPr>
            <w:tcW w:w="3649" w:type="dxa"/>
            <w:tcBorders>
              <w:bottom w:val="single" w:sz="12" w:space="0" w:color="auto"/>
            </w:tcBorders>
            <w:noWrap/>
            <w:hideMark/>
          </w:tcPr>
          <w:p w14:paraId="567065DD" w14:textId="25C5175E" w:rsidR="001E6890" w:rsidRPr="00B63ABD" w:rsidRDefault="001E6890" w:rsidP="00F22296">
            <w:pPr>
              <w:overflowPunct/>
              <w:autoSpaceDE/>
              <w:autoSpaceDN/>
              <w:adjustRightInd/>
              <w:spacing w:after="60"/>
              <w:jc w:val="center"/>
              <w:textAlignment w:val="auto"/>
              <w:rPr>
                <w:rFonts w:asciiTheme="minorHAnsi" w:hAnsiTheme="minorHAnsi" w:cstheme="minorHAnsi"/>
                <w:lang w:val="es-ES"/>
              </w:rPr>
            </w:pPr>
          </w:p>
        </w:tc>
      </w:tr>
      <w:tr w:rsidR="001E6890" w:rsidRPr="00B7555F" w14:paraId="2780486B" w14:textId="77777777" w:rsidTr="00F22296">
        <w:trPr>
          <w:trHeight w:val="615"/>
        </w:trPr>
        <w:tc>
          <w:tcPr>
            <w:tcW w:w="2547" w:type="dxa"/>
            <w:tcBorders>
              <w:top w:val="single" w:sz="12" w:space="0" w:color="auto"/>
              <w:bottom w:val="single" w:sz="12" w:space="0" w:color="auto"/>
            </w:tcBorders>
            <w:hideMark/>
          </w:tcPr>
          <w:p w14:paraId="015982D1"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bookmarkStart w:id="57" w:name="_Hlk31299761"/>
            <w:r w:rsidRPr="00B63ABD">
              <w:rPr>
                <w:rFonts w:asciiTheme="minorHAnsi" w:hAnsiTheme="minorHAnsi" w:cstheme="minorHAnsi"/>
                <w:b/>
                <w:bCs/>
                <w:lang w:val="es-ES"/>
              </w:rPr>
              <w:t>Publicaciones</w:t>
            </w:r>
          </w:p>
        </w:tc>
        <w:tc>
          <w:tcPr>
            <w:tcW w:w="11445" w:type="dxa"/>
            <w:gridSpan w:val="3"/>
            <w:tcBorders>
              <w:top w:val="single" w:sz="12" w:space="0" w:color="auto"/>
              <w:bottom w:val="single" w:sz="12" w:space="0" w:color="auto"/>
            </w:tcBorders>
          </w:tcPr>
          <w:p w14:paraId="61FC4F6F" w14:textId="77777777"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36" w:history="1">
              <w:bookmarkStart w:id="58" w:name="lt_pId260"/>
              <w:r w:rsidR="001E6890" w:rsidRPr="00B63ABD">
                <w:rPr>
                  <w:rStyle w:val="Hyperlink"/>
                  <w:rFonts w:asciiTheme="minorHAnsi" w:hAnsiTheme="minorHAnsi" w:cstheme="minorHAnsi"/>
                  <w:lang w:val="es-ES"/>
                </w:rPr>
                <w:t>https://www.itu.int/en/action/environment-and-climate-change/Pages/latest-reports-and-publications.aspx</w:t>
              </w:r>
              <w:bookmarkEnd w:id="58"/>
            </w:hyperlink>
          </w:p>
        </w:tc>
      </w:tr>
      <w:bookmarkEnd w:id="23"/>
      <w:bookmarkEnd w:id="57"/>
      <w:tr w:rsidR="001E6890" w:rsidRPr="00B7555F" w14:paraId="57AFD519" w14:textId="77777777" w:rsidTr="00F22296">
        <w:trPr>
          <w:trHeight w:val="615"/>
        </w:trPr>
        <w:tc>
          <w:tcPr>
            <w:tcW w:w="2547" w:type="dxa"/>
            <w:tcBorders>
              <w:top w:val="single" w:sz="12" w:space="0" w:color="auto"/>
              <w:bottom w:val="single" w:sz="12" w:space="0" w:color="auto"/>
            </w:tcBorders>
            <w:hideMark/>
          </w:tcPr>
          <w:p w14:paraId="7F66EFCF" w14:textId="77777777" w:rsidR="001E6890" w:rsidRPr="00B63ABD" w:rsidRDefault="001E6890" w:rsidP="00F22296">
            <w:pPr>
              <w:overflowPunct/>
              <w:autoSpaceDE/>
              <w:autoSpaceDN/>
              <w:adjustRightInd/>
              <w:spacing w:after="60"/>
              <w:jc w:val="center"/>
              <w:textAlignment w:val="auto"/>
              <w:rPr>
                <w:rFonts w:asciiTheme="minorHAnsi" w:hAnsiTheme="minorHAnsi" w:cstheme="minorHAnsi"/>
                <w:b/>
                <w:bCs/>
                <w:lang w:val="es-ES"/>
              </w:rPr>
            </w:pPr>
            <w:r w:rsidRPr="00B63ABD">
              <w:rPr>
                <w:rFonts w:asciiTheme="minorHAnsi" w:hAnsiTheme="minorHAnsi" w:cstheme="minorHAnsi"/>
                <w:b/>
                <w:bCs/>
                <w:lang w:val="es-ES"/>
              </w:rPr>
              <w:t>Sitio web</w:t>
            </w:r>
          </w:p>
        </w:tc>
        <w:tc>
          <w:tcPr>
            <w:tcW w:w="11445" w:type="dxa"/>
            <w:gridSpan w:val="3"/>
            <w:tcBorders>
              <w:top w:val="single" w:sz="12" w:space="0" w:color="auto"/>
              <w:bottom w:val="single" w:sz="12" w:space="0" w:color="auto"/>
            </w:tcBorders>
          </w:tcPr>
          <w:p w14:paraId="2B0AC838" w14:textId="77777777" w:rsidR="001E6890" w:rsidRPr="00B63ABD" w:rsidRDefault="005E2015" w:rsidP="00F22296">
            <w:pPr>
              <w:overflowPunct/>
              <w:autoSpaceDE/>
              <w:autoSpaceDN/>
              <w:adjustRightInd/>
              <w:spacing w:after="60"/>
              <w:jc w:val="center"/>
              <w:textAlignment w:val="auto"/>
              <w:rPr>
                <w:rFonts w:asciiTheme="minorHAnsi" w:hAnsiTheme="minorHAnsi" w:cstheme="minorHAnsi"/>
                <w:lang w:val="es-ES"/>
              </w:rPr>
            </w:pPr>
            <w:hyperlink r:id="rId37" w:history="1">
              <w:bookmarkStart w:id="59" w:name="lt_pId262"/>
              <w:r w:rsidR="001E6890" w:rsidRPr="00B63ABD">
                <w:rPr>
                  <w:rStyle w:val="Hyperlink"/>
                  <w:rFonts w:asciiTheme="minorHAnsi" w:hAnsiTheme="minorHAnsi" w:cstheme="minorHAnsi"/>
                  <w:lang w:val="es-ES"/>
                </w:rPr>
                <w:t>https://www.itu.int/en/action/environment-and-climate-change/Pages/default.aspx</w:t>
              </w:r>
              <w:bookmarkEnd w:id="59"/>
            </w:hyperlink>
          </w:p>
        </w:tc>
      </w:tr>
    </w:tbl>
    <w:p w14:paraId="044FA0CA" w14:textId="77777777" w:rsidR="00047694" w:rsidRDefault="00047694">
      <w:pPr>
        <w:jc w:val="center"/>
      </w:pPr>
      <w:r>
        <w:t>______________</w:t>
      </w:r>
    </w:p>
    <w:sectPr w:rsidR="00047694" w:rsidSect="00783AAA">
      <w:headerReference w:type="even" r:id="rId38"/>
      <w:headerReference w:type="default" r:id="rId39"/>
      <w:footerReference w:type="even" r:id="rId40"/>
      <w:footerReference w:type="default" r:id="rId41"/>
      <w:headerReference w:type="first" r:id="rId42"/>
      <w:footerReference w:type="first" r:id="rId43"/>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48974" w14:textId="77777777" w:rsidR="004573BE" w:rsidRDefault="004573BE" w:rsidP="0088106F">
      <w:r>
        <w:separator/>
      </w:r>
    </w:p>
  </w:endnote>
  <w:endnote w:type="continuationSeparator" w:id="0">
    <w:p w14:paraId="2F24B9A6" w14:textId="77777777" w:rsidR="004573BE" w:rsidRDefault="004573BE"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DBB54" w14:textId="77777777" w:rsidR="009B3E63" w:rsidRDefault="009B3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36C3" w14:textId="514B30D0" w:rsidR="004573BE" w:rsidRPr="00161445" w:rsidRDefault="004573BE" w:rsidP="00E70E0E">
    <w:pPr>
      <w:pStyle w:val="Footer"/>
      <w:rPr>
        <w:caps w:val="0"/>
        <w:szCs w:val="16"/>
        <w:lang w:val="es-ES_tradnl"/>
      </w:rPr>
    </w:pPr>
    <w:r w:rsidRPr="00A76E2B">
      <w:rPr>
        <w:caps w:val="0"/>
        <w:szCs w:val="16"/>
      </w:rPr>
      <w:fldChar w:fldCharType="begin"/>
    </w:r>
    <w:r w:rsidRPr="0070206E">
      <w:rPr>
        <w:caps w:val="0"/>
        <w:szCs w:val="16"/>
        <w:lang w:val="es-ES_tradnl"/>
      </w:rPr>
      <w:instrText xml:space="preserve"> FILENAME \p \* MERGEFORMAT </w:instrText>
    </w:r>
    <w:r w:rsidRPr="00A76E2B">
      <w:rPr>
        <w:caps w:val="0"/>
        <w:szCs w:val="16"/>
      </w:rPr>
      <w:fldChar w:fldCharType="separate"/>
    </w:r>
    <w:r w:rsidR="00904805">
      <w:rPr>
        <w:caps w:val="0"/>
        <w:szCs w:val="16"/>
        <w:lang w:val="es-ES_tradnl"/>
      </w:rPr>
      <w:t>P:\ESP\ITU-D\CONF-D\TDAG20\000\005S.docx</w:t>
    </w:r>
    <w:r w:rsidRPr="00A76E2B">
      <w:rPr>
        <w:caps w:val="0"/>
        <w:szCs w:val="16"/>
        <w:lang w:val="en-US"/>
      </w:rPr>
      <w:fldChar w:fldCharType="end"/>
    </w:r>
    <w:r w:rsidRPr="0070206E">
      <w:rPr>
        <w:caps w:val="0"/>
        <w:szCs w:val="16"/>
        <w:lang w:val="es-ES_tradnl"/>
      </w:rPr>
      <w:t xml:space="preserve"> (465652)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2D57" w14:textId="48B06B75" w:rsidR="004573BE" w:rsidRPr="00464C89" w:rsidRDefault="004573BE" w:rsidP="0070206E">
    <w:pPr>
      <w:pStyle w:val="Footer"/>
      <w:rPr>
        <w:caps w:val="0"/>
        <w:szCs w:val="16"/>
        <w:lang w:val="es-ES_tradnl"/>
      </w:rPr>
    </w:pPr>
    <w:r w:rsidRPr="00161445">
      <w:rPr>
        <w:caps w:val="0"/>
        <w:szCs w:val="16"/>
        <w:lang w:val="es-ES_tradnl"/>
      </w:rPr>
      <w:t>P:\ESP\ITU-D\CONF-D\TDAG20\000\005S.docx (465652)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50914" w14:textId="77777777" w:rsidR="004573BE" w:rsidRDefault="004573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CA0B" w14:textId="2A8FD3BC" w:rsidR="004573BE" w:rsidRPr="00161445" w:rsidRDefault="004573BE" w:rsidP="009A6FC4">
    <w:pPr>
      <w:pStyle w:val="Footer"/>
      <w:rPr>
        <w:caps w:val="0"/>
        <w:szCs w:val="16"/>
        <w:lang w:val="es-ES_tradnl"/>
      </w:rPr>
    </w:pPr>
    <w:r w:rsidRPr="00A76E2B">
      <w:rPr>
        <w:caps w:val="0"/>
        <w:szCs w:val="16"/>
      </w:rPr>
      <w:fldChar w:fldCharType="begin"/>
    </w:r>
    <w:r w:rsidRPr="0070206E">
      <w:rPr>
        <w:caps w:val="0"/>
        <w:szCs w:val="16"/>
        <w:lang w:val="es-ES_tradnl"/>
      </w:rPr>
      <w:instrText xml:space="preserve"> FILENAME \p \* MERGEFORMAT </w:instrText>
    </w:r>
    <w:r w:rsidRPr="00A76E2B">
      <w:rPr>
        <w:caps w:val="0"/>
        <w:szCs w:val="16"/>
      </w:rPr>
      <w:fldChar w:fldCharType="separate"/>
    </w:r>
    <w:r w:rsidR="00904805">
      <w:rPr>
        <w:caps w:val="0"/>
        <w:szCs w:val="16"/>
        <w:lang w:val="es-ES_tradnl"/>
      </w:rPr>
      <w:t>P:\ESP\ITU-D\CONF-D\TDAG20\000\005S.docx</w:t>
    </w:r>
    <w:r w:rsidRPr="00A76E2B">
      <w:rPr>
        <w:caps w:val="0"/>
        <w:szCs w:val="16"/>
        <w:lang w:val="en-US"/>
      </w:rPr>
      <w:fldChar w:fldCharType="end"/>
    </w:r>
    <w:r w:rsidRPr="0070206E">
      <w:rPr>
        <w:caps w:val="0"/>
        <w:szCs w:val="16"/>
        <w:lang w:val="es-ES_tradnl"/>
      </w:rPr>
      <w:t xml:space="preserve"> (465652)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F2D5" w14:textId="16EFC51F" w:rsidR="004573BE" w:rsidRPr="006E4AB3" w:rsidRDefault="004573BE" w:rsidP="00F22296">
    <w:pPr>
      <w:pStyle w:val="Footer"/>
      <w:rPr>
        <w:rFonts w:ascii="Calibri" w:hAnsi="Calibri"/>
        <w:caps w:val="0"/>
      </w:rPr>
    </w:pPr>
    <w:r w:rsidRPr="00F22296">
      <w:rPr>
        <w:caps w:val="0"/>
        <w:szCs w:val="16"/>
        <w:lang w:val="es-ES_tradnl"/>
      </w:rPr>
      <w:fldChar w:fldCharType="begin"/>
    </w:r>
    <w:r w:rsidRPr="00407484">
      <w:rPr>
        <w:caps w:val="0"/>
        <w:szCs w:val="16"/>
      </w:rPr>
      <w:instrText xml:space="preserve"> FILENAME \p \* MERGEFORMAT </w:instrText>
    </w:r>
    <w:r w:rsidRPr="00F22296">
      <w:rPr>
        <w:caps w:val="0"/>
        <w:szCs w:val="16"/>
        <w:lang w:val="es-ES_tradnl"/>
      </w:rPr>
      <w:fldChar w:fldCharType="separate"/>
    </w:r>
    <w:r w:rsidR="00904805">
      <w:rPr>
        <w:caps w:val="0"/>
        <w:szCs w:val="16"/>
      </w:rPr>
      <w:t>P:\ESP\ITU-D\CONF-D\TDAG20\000\005S.docx</w:t>
    </w:r>
    <w:r w:rsidRPr="00F22296">
      <w:rPr>
        <w:caps w:val="0"/>
        <w:szCs w:val="16"/>
        <w:lang w:val="es-ES_tradnl"/>
      </w:rPr>
      <w:fldChar w:fldCharType="end"/>
    </w:r>
    <w:r w:rsidRPr="00407484">
      <w:rPr>
        <w:caps w:val="0"/>
        <w:szCs w:val="16"/>
      </w:rPr>
      <w:t xml:space="preserve"> (465652)</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020A6" w14:textId="77777777" w:rsidR="004573BE" w:rsidRDefault="004573BE" w:rsidP="0088106F">
      <w:r>
        <w:separator/>
      </w:r>
    </w:p>
  </w:footnote>
  <w:footnote w:type="continuationSeparator" w:id="0">
    <w:p w14:paraId="53ED22D4" w14:textId="77777777" w:rsidR="004573BE" w:rsidRDefault="004573BE"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78B6" w14:textId="77777777" w:rsidR="009B3E63" w:rsidRDefault="009B3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F1BB" w14:textId="77777777" w:rsidR="004573BE" w:rsidRPr="0092683E" w:rsidRDefault="004573BE" w:rsidP="00161445">
    <w:pPr>
      <w:pStyle w:val="Header"/>
      <w:tabs>
        <w:tab w:val="right" w:pos="14560"/>
      </w:tabs>
      <w:ind w:firstLine="4253"/>
      <w:rPr>
        <w:rFonts w:ascii="Calibri" w:hAnsi="Calibri"/>
        <w:sz w:val="22"/>
        <w:szCs w:val="22"/>
      </w:rPr>
    </w:pPr>
    <w:r w:rsidRPr="00EC2421">
      <w:rPr>
        <w:rFonts w:ascii="Calibri" w:hAnsi="Calibri"/>
        <w:sz w:val="22"/>
        <w:szCs w:val="22"/>
        <w:lang w:val="en-US"/>
      </w:rPr>
      <w:t>TDAG-</w:t>
    </w:r>
    <w:r>
      <w:rPr>
        <w:rFonts w:ascii="Calibri" w:hAnsi="Calibri"/>
        <w:sz w:val="22"/>
        <w:szCs w:val="22"/>
        <w:lang w:val="en-US"/>
      </w:rPr>
      <w:t>20</w:t>
    </w:r>
    <w:r w:rsidRPr="00EC2421">
      <w:rPr>
        <w:rFonts w:ascii="Calibri" w:hAnsi="Calibri"/>
        <w:sz w:val="22"/>
        <w:szCs w:val="22"/>
        <w:lang w:val="en-US"/>
      </w:rPr>
      <w:t>/</w:t>
    </w:r>
    <w:r>
      <w:rPr>
        <w:rFonts w:ascii="Calibri" w:hAnsi="Calibri"/>
        <w:sz w:val="22"/>
        <w:szCs w:val="22"/>
        <w:lang w:val="en-US"/>
      </w:rPr>
      <w:t>5-S</w:t>
    </w:r>
    <w:r w:rsidRPr="00EC2421">
      <w:rPr>
        <w:rFonts w:ascii="Calibri" w:hAnsi="Calibri"/>
        <w:b/>
        <w:bCs/>
        <w:sz w:val="22"/>
        <w:szCs w:val="22"/>
        <w:lang w:val="en-US"/>
      </w:rPr>
      <w:tab/>
    </w:r>
    <w:r w:rsidRPr="00877904">
      <w:rPr>
        <w:rStyle w:val="PageNumber"/>
        <w:sz w:val="22"/>
        <w:szCs w:val="22"/>
        <w:lang w:val="es-ES_tradnl"/>
      </w:rPr>
      <w:t>Página</w:t>
    </w:r>
    <w:r w:rsidRPr="009A6FC4">
      <w:rPr>
        <w:sz w:val="22"/>
        <w:szCs w:val="22"/>
        <w:lang w:val="en-US"/>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Pr>
        <w:rFonts w:ascii="Calibri" w:hAnsi="Calibri"/>
        <w:noProof/>
        <w:sz w:val="22"/>
        <w:szCs w:val="22"/>
      </w:rPr>
      <w:t>3</w:t>
    </w:r>
    <w:r w:rsidRPr="00EC2421">
      <w:rPr>
        <w:rFonts w:ascii="Calibri" w:hAnsi="Calibri"/>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52054" w14:textId="4715E200" w:rsidR="004573BE" w:rsidRPr="009B3E63" w:rsidRDefault="004573BE" w:rsidP="009B3E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9EF5" w14:textId="77777777" w:rsidR="004573BE" w:rsidRDefault="004573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910D" w14:textId="527F9B36" w:rsidR="004573BE" w:rsidRPr="009A6FC4" w:rsidRDefault="004573BE" w:rsidP="00F22296">
    <w:pPr>
      <w:pStyle w:val="Header"/>
      <w:tabs>
        <w:tab w:val="right" w:pos="14560"/>
      </w:tabs>
      <w:ind w:firstLine="6237"/>
      <w:rPr>
        <w:lang w:val="en-US"/>
      </w:rPr>
    </w:pPr>
    <w:r w:rsidRPr="00EC2421">
      <w:rPr>
        <w:rFonts w:ascii="Calibri" w:hAnsi="Calibri"/>
        <w:sz w:val="22"/>
        <w:szCs w:val="22"/>
        <w:lang w:val="en-US"/>
      </w:rPr>
      <w:t>TDAG-</w:t>
    </w:r>
    <w:r>
      <w:rPr>
        <w:rFonts w:ascii="Calibri" w:hAnsi="Calibri"/>
        <w:sz w:val="22"/>
        <w:szCs w:val="22"/>
        <w:lang w:val="en-US"/>
      </w:rPr>
      <w:t>20</w:t>
    </w:r>
    <w:r w:rsidRPr="00EC2421">
      <w:rPr>
        <w:rFonts w:ascii="Calibri" w:hAnsi="Calibri"/>
        <w:sz w:val="22"/>
        <w:szCs w:val="22"/>
        <w:lang w:val="en-US"/>
      </w:rPr>
      <w:t>/</w:t>
    </w:r>
    <w:r>
      <w:rPr>
        <w:rFonts w:ascii="Calibri" w:hAnsi="Calibri"/>
        <w:sz w:val="22"/>
        <w:szCs w:val="22"/>
        <w:lang w:val="en-US"/>
      </w:rPr>
      <w:t>5-S</w:t>
    </w:r>
    <w:r w:rsidRPr="00EC2421">
      <w:rPr>
        <w:rFonts w:ascii="Calibri" w:hAnsi="Calibri"/>
        <w:b/>
        <w:bCs/>
        <w:sz w:val="22"/>
        <w:szCs w:val="22"/>
        <w:lang w:val="en-US"/>
      </w:rPr>
      <w:tab/>
    </w:r>
    <w:r w:rsidRPr="00877904">
      <w:rPr>
        <w:rStyle w:val="PageNumber"/>
        <w:sz w:val="22"/>
        <w:szCs w:val="22"/>
        <w:lang w:val="es-ES_tradnl"/>
      </w:rPr>
      <w:t>Página</w:t>
    </w:r>
    <w:r w:rsidRPr="009A6FC4">
      <w:rPr>
        <w:sz w:val="22"/>
        <w:szCs w:val="22"/>
        <w:lang w:val="en-US"/>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Pr>
        <w:rFonts w:ascii="Calibri" w:hAnsi="Calibri"/>
        <w:sz w:val="22"/>
        <w:szCs w:val="22"/>
      </w:rPr>
      <w:t>7</w:t>
    </w:r>
    <w:r w:rsidRPr="00EC2421">
      <w:rPr>
        <w:rFonts w:ascii="Calibri" w:hAnsi="Calibri"/>
        <w:noProof/>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1679" w14:textId="6DEC9D62" w:rsidR="004573BE" w:rsidRPr="00A977AF" w:rsidRDefault="00A977AF" w:rsidP="00A977AF">
    <w:pPr>
      <w:pStyle w:val="Header"/>
      <w:tabs>
        <w:tab w:val="right" w:pos="14560"/>
      </w:tabs>
      <w:ind w:firstLine="6237"/>
      <w:rPr>
        <w:lang w:val="en-US"/>
      </w:rPr>
    </w:pPr>
    <w:r w:rsidRPr="00EC2421">
      <w:rPr>
        <w:rFonts w:ascii="Calibri" w:hAnsi="Calibri"/>
        <w:sz w:val="22"/>
        <w:szCs w:val="22"/>
        <w:lang w:val="en-US"/>
      </w:rPr>
      <w:t>TDAG-</w:t>
    </w:r>
    <w:r>
      <w:rPr>
        <w:rFonts w:ascii="Calibri" w:hAnsi="Calibri"/>
        <w:sz w:val="22"/>
        <w:szCs w:val="22"/>
        <w:lang w:val="en-US"/>
      </w:rPr>
      <w:t>20</w:t>
    </w:r>
    <w:r w:rsidRPr="00EC2421">
      <w:rPr>
        <w:rFonts w:ascii="Calibri" w:hAnsi="Calibri"/>
        <w:sz w:val="22"/>
        <w:szCs w:val="22"/>
        <w:lang w:val="en-US"/>
      </w:rPr>
      <w:t>/</w:t>
    </w:r>
    <w:r>
      <w:rPr>
        <w:rFonts w:ascii="Calibri" w:hAnsi="Calibri"/>
        <w:sz w:val="22"/>
        <w:szCs w:val="22"/>
        <w:lang w:val="en-US"/>
      </w:rPr>
      <w:t>5-S</w:t>
    </w:r>
    <w:r w:rsidRPr="00EC2421">
      <w:rPr>
        <w:rFonts w:ascii="Calibri" w:hAnsi="Calibri"/>
        <w:b/>
        <w:bCs/>
        <w:sz w:val="22"/>
        <w:szCs w:val="22"/>
        <w:lang w:val="en-US"/>
      </w:rPr>
      <w:tab/>
    </w:r>
    <w:r w:rsidRPr="00877904">
      <w:rPr>
        <w:rStyle w:val="PageNumber"/>
        <w:sz w:val="22"/>
        <w:szCs w:val="22"/>
        <w:lang w:val="es-ES_tradnl"/>
      </w:rPr>
      <w:t>Página</w:t>
    </w:r>
    <w:r w:rsidRPr="009A6FC4">
      <w:rPr>
        <w:sz w:val="22"/>
        <w:szCs w:val="22"/>
        <w:lang w:val="en-US"/>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Pr>
        <w:rFonts w:ascii="Calibri" w:hAnsi="Calibri"/>
        <w:sz w:val="22"/>
        <w:szCs w:val="22"/>
      </w:rPr>
      <w:t>9</w:t>
    </w:r>
    <w:r w:rsidRPr="00EC2421">
      <w:rPr>
        <w:rFonts w:ascii="Calibri" w:hAnsi="Calibri"/>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74FA"/>
    <w:multiLevelType w:val="hybridMultilevel"/>
    <w:tmpl w:val="BEF2C17E"/>
    <w:lvl w:ilvl="0" w:tplc="5436188E">
      <w:start w:val="1"/>
      <w:numFmt w:val="bullet"/>
      <w:lvlText w:val=""/>
      <w:lvlJc w:val="left"/>
      <w:pPr>
        <w:ind w:left="360" w:hanging="360"/>
      </w:pPr>
      <w:rPr>
        <w:rFonts w:ascii="Symbol" w:hAnsi="Symbol" w:hint="default"/>
      </w:rPr>
    </w:lvl>
    <w:lvl w:ilvl="1" w:tplc="88E40D54" w:tentative="1">
      <w:start w:val="1"/>
      <w:numFmt w:val="bullet"/>
      <w:lvlText w:val="o"/>
      <w:lvlJc w:val="left"/>
      <w:pPr>
        <w:ind w:left="1080" w:hanging="360"/>
      </w:pPr>
      <w:rPr>
        <w:rFonts w:ascii="Courier New" w:hAnsi="Courier New" w:cs="Courier New" w:hint="default"/>
      </w:rPr>
    </w:lvl>
    <w:lvl w:ilvl="2" w:tplc="B3926A18" w:tentative="1">
      <w:start w:val="1"/>
      <w:numFmt w:val="bullet"/>
      <w:lvlText w:val=""/>
      <w:lvlJc w:val="left"/>
      <w:pPr>
        <w:ind w:left="1800" w:hanging="360"/>
      </w:pPr>
      <w:rPr>
        <w:rFonts w:ascii="Wingdings" w:hAnsi="Wingdings" w:hint="default"/>
      </w:rPr>
    </w:lvl>
    <w:lvl w:ilvl="3" w:tplc="886AF294" w:tentative="1">
      <w:start w:val="1"/>
      <w:numFmt w:val="bullet"/>
      <w:lvlText w:val=""/>
      <w:lvlJc w:val="left"/>
      <w:pPr>
        <w:ind w:left="2520" w:hanging="360"/>
      </w:pPr>
      <w:rPr>
        <w:rFonts w:ascii="Symbol" w:hAnsi="Symbol" w:hint="default"/>
      </w:rPr>
    </w:lvl>
    <w:lvl w:ilvl="4" w:tplc="D3727BB2" w:tentative="1">
      <w:start w:val="1"/>
      <w:numFmt w:val="bullet"/>
      <w:lvlText w:val="o"/>
      <w:lvlJc w:val="left"/>
      <w:pPr>
        <w:ind w:left="3240" w:hanging="360"/>
      </w:pPr>
      <w:rPr>
        <w:rFonts w:ascii="Courier New" w:hAnsi="Courier New" w:cs="Courier New" w:hint="default"/>
      </w:rPr>
    </w:lvl>
    <w:lvl w:ilvl="5" w:tplc="E4F659BC" w:tentative="1">
      <w:start w:val="1"/>
      <w:numFmt w:val="bullet"/>
      <w:lvlText w:val=""/>
      <w:lvlJc w:val="left"/>
      <w:pPr>
        <w:ind w:left="3960" w:hanging="360"/>
      </w:pPr>
      <w:rPr>
        <w:rFonts w:ascii="Wingdings" w:hAnsi="Wingdings" w:hint="default"/>
      </w:rPr>
    </w:lvl>
    <w:lvl w:ilvl="6" w:tplc="076E6F54" w:tentative="1">
      <w:start w:val="1"/>
      <w:numFmt w:val="bullet"/>
      <w:lvlText w:val=""/>
      <w:lvlJc w:val="left"/>
      <w:pPr>
        <w:ind w:left="4680" w:hanging="360"/>
      </w:pPr>
      <w:rPr>
        <w:rFonts w:ascii="Symbol" w:hAnsi="Symbol" w:hint="default"/>
      </w:rPr>
    </w:lvl>
    <w:lvl w:ilvl="7" w:tplc="76C4BDFC" w:tentative="1">
      <w:start w:val="1"/>
      <w:numFmt w:val="bullet"/>
      <w:lvlText w:val="o"/>
      <w:lvlJc w:val="left"/>
      <w:pPr>
        <w:ind w:left="5400" w:hanging="360"/>
      </w:pPr>
      <w:rPr>
        <w:rFonts w:ascii="Courier New" w:hAnsi="Courier New" w:cs="Courier New" w:hint="default"/>
      </w:rPr>
    </w:lvl>
    <w:lvl w:ilvl="8" w:tplc="EBEA09E0" w:tentative="1">
      <w:start w:val="1"/>
      <w:numFmt w:val="bullet"/>
      <w:lvlText w:val=""/>
      <w:lvlJc w:val="left"/>
      <w:pPr>
        <w:ind w:left="6120" w:hanging="360"/>
      </w:pPr>
      <w:rPr>
        <w:rFonts w:ascii="Wingdings" w:hAnsi="Wingdings" w:hint="default"/>
      </w:rPr>
    </w:lvl>
  </w:abstractNum>
  <w:abstractNum w:abstractNumId="1"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4A1617F"/>
    <w:multiLevelType w:val="hybridMultilevel"/>
    <w:tmpl w:val="45F669EE"/>
    <w:lvl w:ilvl="0" w:tplc="CE9EF9F4">
      <w:start w:val="1"/>
      <w:numFmt w:val="bullet"/>
      <w:lvlText w:val="-"/>
      <w:lvlJc w:val="left"/>
      <w:pPr>
        <w:ind w:left="360" w:hanging="360"/>
      </w:pPr>
      <w:rPr>
        <w:rFonts w:ascii="Calibri" w:hAnsi="Calibri" w:hint="default"/>
      </w:rPr>
    </w:lvl>
    <w:lvl w:ilvl="1" w:tplc="C4103FE8">
      <w:start w:val="1"/>
      <w:numFmt w:val="bullet"/>
      <w:lvlText w:val="o"/>
      <w:lvlJc w:val="left"/>
      <w:pPr>
        <w:ind w:left="1080" w:hanging="360"/>
      </w:pPr>
      <w:rPr>
        <w:rFonts w:ascii="Courier New" w:hAnsi="Courier New" w:cs="Courier New" w:hint="default"/>
      </w:rPr>
    </w:lvl>
    <w:lvl w:ilvl="2" w:tplc="1334FBE0">
      <w:start w:val="1"/>
      <w:numFmt w:val="bullet"/>
      <w:lvlText w:val=""/>
      <w:lvlJc w:val="left"/>
      <w:pPr>
        <w:ind w:left="1800" w:hanging="360"/>
      </w:pPr>
      <w:rPr>
        <w:rFonts w:ascii="Wingdings" w:hAnsi="Wingdings" w:hint="default"/>
      </w:rPr>
    </w:lvl>
    <w:lvl w:ilvl="3" w:tplc="628C2CAA" w:tentative="1">
      <w:start w:val="1"/>
      <w:numFmt w:val="bullet"/>
      <w:lvlText w:val=""/>
      <w:lvlJc w:val="left"/>
      <w:pPr>
        <w:ind w:left="2520" w:hanging="360"/>
      </w:pPr>
      <w:rPr>
        <w:rFonts w:ascii="Symbol" w:hAnsi="Symbol" w:hint="default"/>
      </w:rPr>
    </w:lvl>
    <w:lvl w:ilvl="4" w:tplc="FFFC302A" w:tentative="1">
      <w:start w:val="1"/>
      <w:numFmt w:val="bullet"/>
      <w:lvlText w:val="o"/>
      <w:lvlJc w:val="left"/>
      <w:pPr>
        <w:ind w:left="3240" w:hanging="360"/>
      </w:pPr>
      <w:rPr>
        <w:rFonts w:ascii="Courier New" w:hAnsi="Courier New" w:cs="Courier New" w:hint="default"/>
      </w:rPr>
    </w:lvl>
    <w:lvl w:ilvl="5" w:tplc="368AD3CE" w:tentative="1">
      <w:start w:val="1"/>
      <w:numFmt w:val="bullet"/>
      <w:lvlText w:val=""/>
      <w:lvlJc w:val="left"/>
      <w:pPr>
        <w:ind w:left="3960" w:hanging="360"/>
      </w:pPr>
      <w:rPr>
        <w:rFonts w:ascii="Wingdings" w:hAnsi="Wingdings" w:hint="default"/>
      </w:rPr>
    </w:lvl>
    <w:lvl w:ilvl="6" w:tplc="FC527902" w:tentative="1">
      <w:start w:val="1"/>
      <w:numFmt w:val="bullet"/>
      <w:lvlText w:val=""/>
      <w:lvlJc w:val="left"/>
      <w:pPr>
        <w:ind w:left="4680" w:hanging="360"/>
      </w:pPr>
      <w:rPr>
        <w:rFonts w:ascii="Symbol" w:hAnsi="Symbol" w:hint="default"/>
      </w:rPr>
    </w:lvl>
    <w:lvl w:ilvl="7" w:tplc="AFE21A56" w:tentative="1">
      <w:start w:val="1"/>
      <w:numFmt w:val="bullet"/>
      <w:lvlText w:val="o"/>
      <w:lvlJc w:val="left"/>
      <w:pPr>
        <w:ind w:left="5400" w:hanging="360"/>
      </w:pPr>
      <w:rPr>
        <w:rFonts w:ascii="Courier New" w:hAnsi="Courier New" w:cs="Courier New" w:hint="default"/>
      </w:rPr>
    </w:lvl>
    <w:lvl w:ilvl="8" w:tplc="D88C1CA8"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90"/>
    <w:rsid w:val="000135AE"/>
    <w:rsid w:val="00030D14"/>
    <w:rsid w:val="00033D49"/>
    <w:rsid w:val="00047694"/>
    <w:rsid w:val="000725A1"/>
    <w:rsid w:val="000C0AA7"/>
    <w:rsid w:val="000E7A0A"/>
    <w:rsid w:val="00161445"/>
    <w:rsid w:val="00194CB2"/>
    <w:rsid w:val="001E6890"/>
    <w:rsid w:val="0020239F"/>
    <w:rsid w:val="00206A0C"/>
    <w:rsid w:val="00213302"/>
    <w:rsid w:val="00221C14"/>
    <w:rsid w:val="00225D2E"/>
    <w:rsid w:val="00241CB9"/>
    <w:rsid w:val="002A7FAB"/>
    <w:rsid w:val="002B043E"/>
    <w:rsid w:val="002D4BE6"/>
    <w:rsid w:val="002D6772"/>
    <w:rsid w:val="002E195D"/>
    <w:rsid w:val="002E3BDE"/>
    <w:rsid w:val="002F7753"/>
    <w:rsid w:val="00302736"/>
    <w:rsid w:val="0033649F"/>
    <w:rsid w:val="00360762"/>
    <w:rsid w:val="00390391"/>
    <w:rsid w:val="00394D7B"/>
    <w:rsid w:val="003D4CFB"/>
    <w:rsid w:val="00407484"/>
    <w:rsid w:val="00416FC8"/>
    <w:rsid w:val="004573BE"/>
    <w:rsid w:val="00464C89"/>
    <w:rsid w:val="00482632"/>
    <w:rsid w:val="004B7893"/>
    <w:rsid w:val="004E7861"/>
    <w:rsid w:val="00535C50"/>
    <w:rsid w:val="005557A3"/>
    <w:rsid w:val="005637B9"/>
    <w:rsid w:val="005643DC"/>
    <w:rsid w:val="005E2015"/>
    <w:rsid w:val="00602B27"/>
    <w:rsid w:val="006339E7"/>
    <w:rsid w:val="00635A62"/>
    <w:rsid w:val="00670042"/>
    <w:rsid w:val="006A4415"/>
    <w:rsid w:val="006E4AB3"/>
    <w:rsid w:val="006F39EB"/>
    <w:rsid w:val="0070206E"/>
    <w:rsid w:val="00716777"/>
    <w:rsid w:val="0072161E"/>
    <w:rsid w:val="00783AAA"/>
    <w:rsid w:val="0079204B"/>
    <w:rsid w:val="00796C73"/>
    <w:rsid w:val="007C3061"/>
    <w:rsid w:val="007E471D"/>
    <w:rsid w:val="00835A77"/>
    <w:rsid w:val="0086435F"/>
    <w:rsid w:val="0088106F"/>
    <w:rsid w:val="008C1852"/>
    <w:rsid w:val="008D789A"/>
    <w:rsid w:val="00900B05"/>
    <w:rsid w:val="00904805"/>
    <w:rsid w:val="00917B12"/>
    <w:rsid w:val="009752D2"/>
    <w:rsid w:val="00983B3A"/>
    <w:rsid w:val="00991B13"/>
    <w:rsid w:val="009952F6"/>
    <w:rsid w:val="009A6FC4"/>
    <w:rsid w:val="009B3E63"/>
    <w:rsid w:val="009B712D"/>
    <w:rsid w:val="009C327C"/>
    <w:rsid w:val="009D1BD4"/>
    <w:rsid w:val="00A33516"/>
    <w:rsid w:val="00A87DD9"/>
    <w:rsid w:val="00A977AF"/>
    <w:rsid w:val="00AA076A"/>
    <w:rsid w:val="00AE1BA7"/>
    <w:rsid w:val="00AF563E"/>
    <w:rsid w:val="00B63ABD"/>
    <w:rsid w:val="00B7555F"/>
    <w:rsid w:val="00BA4FB6"/>
    <w:rsid w:val="00BB2FE0"/>
    <w:rsid w:val="00BC7208"/>
    <w:rsid w:val="00C462D9"/>
    <w:rsid w:val="00D16175"/>
    <w:rsid w:val="00D372A5"/>
    <w:rsid w:val="00D9347A"/>
    <w:rsid w:val="00DC6E2F"/>
    <w:rsid w:val="00E17138"/>
    <w:rsid w:val="00E204A0"/>
    <w:rsid w:val="00E236E2"/>
    <w:rsid w:val="00E3519F"/>
    <w:rsid w:val="00E51C72"/>
    <w:rsid w:val="00E70E0E"/>
    <w:rsid w:val="00E734B8"/>
    <w:rsid w:val="00E827C2"/>
    <w:rsid w:val="00E9017E"/>
    <w:rsid w:val="00EB6D19"/>
    <w:rsid w:val="00ED2681"/>
    <w:rsid w:val="00F01E28"/>
    <w:rsid w:val="00F12690"/>
    <w:rsid w:val="00F22296"/>
    <w:rsid w:val="00F44082"/>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5938763"/>
  <w15:docId w15:val="{B757B96B-E04A-4B9D-BD74-71A551DC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header entry,HE,页眉"/>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
    <w:basedOn w:val="DefaultParagraphFont"/>
    <w:unhideWhenUsed/>
    <w:qFormat/>
    <w:rsid w:val="0088106F"/>
    <w:rPr>
      <w:color w:val="0000FF" w:themeColor="hyperlink"/>
      <w:u w:val="single"/>
    </w:rPr>
  </w:style>
  <w:style w:type="paragraph" w:customStyle="1" w:styleId="FirstFooter">
    <w:name w:val="FirstFooter"/>
    <w:basedOn w:val="Footer"/>
    <w:qFormat/>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enumlev1Char">
    <w:name w:val="enumlev1 Char"/>
    <w:link w:val="enumlev1"/>
    <w:rsid w:val="001E6890"/>
    <w:rPr>
      <w:rFonts w:eastAsia="Times New Roman" w:cs="Times New Roman"/>
      <w:sz w:val="24"/>
      <w:szCs w:val="20"/>
      <w:lang w:eastAsia="en-US"/>
    </w:rPr>
  </w:style>
  <w:style w:type="paragraph" w:styleId="ListParagraph">
    <w:name w:val="List Paragraph"/>
    <w:basedOn w:val="Normal"/>
    <w:link w:val="ListParagraphChar"/>
    <w:uiPriority w:val="34"/>
    <w:qFormat/>
    <w:rsid w:val="001E6890"/>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basedOn w:val="DefaultParagraphFont"/>
    <w:link w:val="ListParagraph"/>
    <w:uiPriority w:val="34"/>
    <w:rsid w:val="001E6890"/>
    <w:rPr>
      <w:rFonts w:eastAsia="Times New Roman" w:cs="Times New Roman"/>
      <w:sz w:val="24"/>
      <w:szCs w:val="20"/>
      <w:lang w:val="en-GB" w:eastAsia="en-US"/>
    </w:rPr>
  </w:style>
  <w:style w:type="character" w:customStyle="1" w:styleId="Bold">
    <w:name w:val="Bold"/>
    <w:rsid w:val="001E6890"/>
    <w:rPr>
      <w:b/>
      <w:lang w:val="en-US" w:eastAsia="x-none"/>
    </w:rPr>
  </w:style>
  <w:style w:type="character" w:styleId="UnresolvedMention">
    <w:name w:val="Unresolved Mention"/>
    <w:basedOn w:val="DefaultParagraphFont"/>
    <w:uiPriority w:val="99"/>
    <w:semiHidden/>
    <w:unhideWhenUsed/>
    <w:rsid w:val="00161445"/>
    <w:rPr>
      <w:color w:val="605E5C"/>
      <w:shd w:val="clear" w:color="auto" w:fill="E1DFDD"/>
    </w:rPr>
  </w:style>
  <w:style w:type="character" w:styleId="FollowedHyperlink">
    <w:name w:val="FollowedHyperlink"/>
    <w:basedOn w:val="DefaultParagraphFont"/>
    <w:uiPriority w:val="99"/>
    <w:semiHidden/>
    <w:unhideWhenUsed/>
    <w:rsid w:val="00161445"/>
    <w:rPr>
      <w:color w:val="800080" w:themeColor="followedHyperlink"/>
      <w:u w:val="single"/>
    </w:rPr>
  </w:style>
  <w:style w:type="paragraph" w:styleId="BalloonText">
    <w:name w:val="Balloon Text"/>
    <w:basedOn w:val="Normal"/>
    <w:link w:val="BalloonTextChar"/>
    <w:uiPriority w:val="99"/>
    <w:semiHidden/>
    <w:unhideWhenUsed/>
    <w:rsid w:val="0040748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48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en/ITU-T/ssc/united/Pages/default.aspx" TargetMode="External"/><Relationship Id="rId39" Type="http://schemas.openxmlformats.org/officeDocument/2006/relationships/header" Target="header5.xml"/><Relationship Id="rId21" Type="http://schemas.openxmlformats.org/officeDocument/2006/relationships/hyperlink" Target="https://www.itu.int/es/ITU-T/studygroups/2017-2020/05/Pages/default.aspx" TargetMode="External"/><Relationship Id="rId34" Type="http://schemas.openxmlformats.org/officeDocument/2006/relationships/hyperlink" Target="https://www.itu.int/es/ITU-T/climatechange/Pages/publications.aspx"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itu.int/en/ITU-D/Conferences/WTDC/WTDC17/Documents/WTDC17_final_report_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82-S.pdf" TargetMode="External"/><Relationship Id="rId24" Type="http://schemas.openxmlformats.org/officeDocument/2006/relationships/hyperlink" Target="https://www.itu.int/es/ITU-T/studygroups/2017-2020/20/Pages/default.aspx" TargetMode="External"/><Relationship Id="rId32" Type="http://schemas.openxmlformats.org/officeDocument/2006/relationships/hyperlink" Target="https://www.itu.int/net/ITU-T/lists/standards.aspx?Group=5&amp;Domain=28" TargetMode="External"/><Relationship Id="rId37" Type="http://schemas.openxmlformats.org/officeDocument/2006/relationships/hyperlink" Target="https://www.itu.int/en/action/environment-and-climate-change/Pages/default.aspx"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itu.int/en/ITU-T/focusgroups/ai4ee/Pages/default.aspx" TargetMode="External"/><Relationship Id="rId28" Type="http://schemas.openxmlformats.org/officeDocument/2006/relationships/hyperlink" Target="https://www.itu.int/pub/T-RES-T.73-2016/es" TargetMode="External"/><Relationship Id="rId36" Type="http://schemas.openxmlformats.org/officeDocument/2006/relationships/hyperlink" Target="https://www.itu.int/en/action/environment-and-climate-change/Pages/latest-reports-and-publications.aspx" TargetMode="External"/><Relationship Id="rId10" Type="http://schemas.openxmlformats.org/officeDocument/2006/relationships/hyperlink" Target="https://www.itu.int/en/council/Documents/basic-texts/RES-191-S.pdf" TargetMode="External"/><Relationship Id="rId19" Type="http://schemas.openxmlformats.org/officeDocument/2006/relationships/hyperlink" Target="https://www.itu.int/en/council/Documents/basic-texts/RES-182-s.pdf" TargetMode="External"/><Relationship Id="rId31" Type="http://schemas.openxmlformats.org/officeDocument/2006/relationships/hyperlink" Target="https://www.itu.int/pub/T-RES-T.79-2016/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general-secretariat/Pages/ISCG/default.aspx" TargetMode="External"/><Relationship Id="rId14" Type="http://schemas.openxmlformats.org/officeDocument/2006/relationships/header" Target="header2.xml"/><Relationship Id="rId22" Type="http://schemas.openxmlformats.org/officeDocument/2006/relationships/hyperlink" Target="https://www.itu.int/net4/ITU-D/CDS/sg/index.asp?lg=3&amp;sp=2018&amp;stg=2" TargetMode="External"/><Relationship Id="rId27" Type="http://schemas.openxmlformats.org/officeDocument/2006/relationships/hyperlink" Target="https://www.itu.int/pub/R-RES-R.60/es" TargetMode="External"/><Relationship Id="rId30" Type="http://schemas.openxmlformats.org/officeDocument/2006/relationships/hyperlink" Target="https://www.itu.int/pub/R-RES-R.61/es" TargetMode="External"/><Relationship Id="rId35" Type="http://schemas.openxmlformats.org/officeDocument/2006/relationships/hyperlink" Target="https://www.itu.int/pub/D-STG-SG02.06.1-2017/es" TargetMode="External"/><Relationship Id="rId43"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T17-TSAG-190923-TD-GEN-0589/es" TargetMode="External"/><Relationship Id="rId17" Type="http://schemas.openxmlformats.org/officeDocument/2006/relationships/header" Target="header3.xml"/><Relationship Id="rId25" Type="http://schemas.openxmlformats.org/officeDocument/2006/relationships/hyperlink" Target="https://www.itu.int/en/ITU-T/Workshops-and-Seminars/gsw/Pages/default.aspx" TargetMode="External"/><Relationship Id="rId33" Type="http://schemas.openxmlformats.org/officeDocument/2006/relationships/hyperlink" Target="https://www.itu.int/rec/D-REC-D.21/es" TargetMode="External"/><Relationship Id="rId38" Type="http://schemas.openxmlformats.org/officeDocument/2006/relationships/header" Target="header4.xml"/><Relationship Id="rId20" Type="http://schemas.openxmlformats.org/officeDocument/2006/relationships/hyperlink" Target="https://www.itu.int/en/ITU-R/study-groups/rsg7/Pages/default.aspx" TargetMode="External"/><Relationship Id="rId41"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DC5A-76D7-4F06-8647-677B5230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104</TotalTime>
  <Pages>9</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cp:lastModifiedBy>
  <cp:revision>34</cp:revision>
  <cp:lastPrinted>2020-02-26T13:16:00Z</cp:lastPrinted>
  <dcterms:created xsi:type="dcterms:W3CDTF">2020-02-26T13:02:00Z</dcterms:created>
  <dcterms:modified xsi:type="dcterms:W3CDTF">2020-03-10T10:37:00Z</dcterms:modified>
</cp:coreProperties>
</file>