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92"/>
        <w:tblW w:w="102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7251"/>
        <w:gridCol w:w="2996"/>
      </w:tblGrid>
      <w:tr w:rsidR="0021438F" w:rsidRPr="003B11CA" w14:paraId="7C48CE89" w14:textId="77777777" w:rsidTr="00AB4E7B">
        <w:trPr>
          <w:cantSplit/>
          <w:trHeight w:val="1134"/>
        </w:trPr>
        <w:tc>
          <w:tcPr>
            <w:tcW w:w="7251" w:type="dxa"/>
          </w:tcPr>
          <w:p w14:paraId="6CAC3436" w14:textId="77777777" w:rsidR="0021438F" w:rsidRPr="003B11CA" w:rsidRDefault="0021438F" w:rsidP="003C6056">
            <w:pPr>
              <w:tabs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3B11CA">
              <w:rPr>
                <w:b/>
                <w:sz w:val="32"/>
                <w:szCs w:val="32"/>
                <w:lang w:val="fr-FR"/>
              </w:rPr>
              <w:t>Groupe</w:t>
            </w:r>
            <w:r w:rsidRPr="003B11CA">
              <w:rPr>
                <w:b/>
                <w:bCs/>
                <w:sz w:val="32"/>
                <w:szCs w:val="32"/>
                <w:lang w:val="fr-FR"/>
              </w:rPr>
              <w:t xml:space="preserve"> consultatif pour le développement </w:t>
            </w:r>
            <w:r w:rsidRPr="003B11CA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255BEF75" w14:textId="64BDFBEF" w:rsidR="0021438F" w:rsidRPr="003B11CA" w:rsidRDefault="00D87E6C" w:rsidP="003C6056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3B11CA">
              <w:rPr>
                <w:b/>
                <w:bCs/>
                <w:sz w:val="26"/>
                <w:szCs w:val="26"/>
                <w:lang w:val="fr-FR"/>
              </w:rPr>
              <w:t>2</w:t>
            </w:r>
            <w:r w:rsidR="002577C1" w:rsidRPr="003B11CA">
              <w:rPr>
                <w:b/>
                <w:bCs/>
                <w:sz w:val="26"/>
                <w:szCs w:val="26"/>
                <w:lang w:val="fr-FR"/>
              </w:rPr>
              <w:t>5</w:t>
            </w:r>
            <w:r w:rsidRPr="003B11CA">
              <w:rPr>
                <w:b/>
                <w:bCs/>
                <w:sz w:val="26"/>
                <w:szCs w:val="26"/>
                <w:lang w:val="fr-FR"/>
              </w:rPr>
              <w:t xml:space="preserve">ème réunion, Genève, </w:t>
            </w:r>
            <w:r w:rsidR="002577C1" w:rsidRPr="003B11CA">
              <w:rPr>
                <w:b/>
                <w:bCs/>
                <w:sz w:val="26"/>
                <w:szCs w:val="26"/>
                <w:lang w:val="fr-FR"/>
              </w:rPr>
              <w:t>2</w:t>
            </w:r>
            <w:r w:rsidR="004F7489">
              <w:rPr>
                <w:b/>
                <w:bCs/>
                <w:sz w:val="26"/>
                <w:szCs w:val="26"/>
                <w:lang w:val="fr-FR"/>
              </w:rPr>
              <w:t>-5</w:t>
            </w:r>
            <w:bookmarkStart w:id="0" w:name="_GoBack"/>
            <w:bookmarkEnd w:id="0"/>
            <w:r w:rsidRPr="003B11CA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4F7489">
              <w:rPr>
                <w:b/>
                <w:bCs/>
                <w:sz w:val="26"/>
                <w:szCs w:val="26"/>
                <w:lang w:val="fr-FR"/>
              </w:rPr>
              <w:t>juin</w:t>
            </w:r>
            <w:r w:rsidRPr="003B11CA">
              <w:rPr>
                <w:b/>
                <w:bCs/>
                <w:sz w:val="26"/>
                <w:szCs w:val="26"/>
                <w:lang w:val="fr-FR"/>
              </w:rPr>
              <w:t xml:space="preserve"> 20</w:t>
            </w:r>
            <w:r w:rsidR="00EB44C7" w:rsidRPr="003B11CA">
              <w:rPr>
                <w:b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996" w:type="dxa"/>
          </w:tcPr>
          <w:p w14:paraId="52FE2E73" w14:textId="77777777" w:rsidR="0021438F" w:rsidRPr="003B11CA" w:rsidRDefault="00D87E6C" w:rsidP="003C6056">
            <w:pPr>
              <w:spacing w:before="0"/>
              <w:ind w:right="142"/>
              <w:jc w:val="right"/>
              <w:rPr>
                <w:lang w:val="fr-FR"/>
              </w:rPr>
            </w:pPr>
            <w:r w:rsidRPr="003B11CA">
              <w:rPr>
                <w:noProof/>
                <w:color w:val="3399FF"/>
                <w:lang w:val="fr-FR" w:eastAsia="en-GB"/>
              </w:rPr>
              <w:drawing>
                <wp:inline distT="0" distB="0" distL="0" distR="0" wp14:anchorId="607086FE" wp14:editId="57F7B795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3B11CA" w14:paraId="5E89BD77" w14:textId="77777777" w:rsidTr="000C61E9">
        <w:trPr>
          <w:cantSplit/>
        </w:trPr>
        <w:tc>
          <w:tcPr>
            <w:tcW w:w="7251" w:type="dxa"/>
            <w:tcBorders>
              <w:top w:val="single" w:sz="12" w:space="0" w:color="auto"/>
            </w:tcBorders>
          </w:tcPr>
          <w:p w14:paraId="10285908" w14:textId="77777777" w:rsidR="00683C32" w:rsidRPr="003B11CA" w:rsidRDefault="00683C32" w:rsidP="003C6056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2996" w:type="dxa"/>
            <w:tcBorders>
              <w:top w:val="single" w:sz="12" w:space="0" w:color="auto"/>
            </w:tcBorders>
          </w:tcPr>
          <w:p w14:paraId="76EC33BC" w14:textId="77777777" w:rsidR="00683C32" w:rsidRPr="003B11CA" w:rsidRDefault="00683C32" w:rsidP="003C6056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3B11CA" w14:paraId="6C3F6811" w14:textId="77777777" w:rsidTr="000C61E9">
        <w:trPr>
          <w:cantSplit/>
        </w:trPr>
        <w:tc>
          <w:tcPr>
            <w:tcW w:w="7251" w:type="dxa"/>
          </w:tcPr>
          <w:p w14:paraId="653655F8" w14:textId="77777777" w:rsidR="00683C32" w:rsidRPr="003B11CA" w:rsidRDefault="00683C32" w:rsidP="003C6056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2996" w:type="dxa"/>
          </w:tcPr>
          <w:p w14:paraId="708CFFD4" w14:textId="5FA23114" w:rsidR="00683C32" w:rsidRPr="003B11CA" w:rsidRDefault="00323587" w:rsidP="003C6056">
            <w:pPr>
              <w:spacing w:before="0"/>
              <w:rPr>
                <w:bCs/>
                <w:szCs w:val="24"/>
                <w:lang w:val="fr-FR"/>
              </w:rPr>
            </w:pPr>
            <w:r w:rsidRPr="003B11CA">
              <w:rPr>
                <w:b/>
                <w:bCs/>
                <w:szCs w:val="28"/>
                <w:lang w:val="fr-FR"/>
              </w:rPr>
              <w:t xml:space="preserve">Document </w:t>
            </w:r>
            <w:bookmarkStart w:id="1" w:name="DocRef1"/>
            <w:bookmarkEnd w:id="1"/>
            <w:r w:rsidRPr="003B11CA">
              <w:rPr>
                <w:b/>
                <w:bCs/>
                <w:szCs w:val="28"/>
                <w:lang w:val="fr-FR"/>
              </w:rPr>
              <w:t>TDAG</w:t>
            </w:r>
            <w:r w:rsidR="008F20EB" w:rsidRPr="003B11CA">
              <w:rPr>
                <w:b/>
                <w:bCs/>
                <w:szCs w:val="28"/>
                <w:lang w:val="fr-FR"/>
              </w:rPr>
              <w:t>-</w:t>
            </w:r>
            <w:r w:rsidR="002577C1" w:rsidRPr="003B11CA">
              <w:rPr>
                <w:b/>
                <w:bCs/>
                <w:szCs w:val="28"/>
                <w:lang w:val="fr-FR"/>
              </w:rPr>
              <w:t>20</w:t>
            </w:r>
            <w:r w:rsidRPr="003B11CA">
              <w:rPr>
                <w:b/>
                <w:bCs/>
                <w:szCs w:val="28"/>
                <w:lang w:val="fr-FR"/>
              </w:rPr>
              <w:t>/</w:t>
            </w:r>
            <w:bookmarkStart w:id="2" w:name="DocNo1"/>
            <w:bookmarkEnd w:id="2"/>
            <w:r w:rsidR="00611AAE" w:rsidRPr="003B11CA">
              <w:rPr>
                <w:b/>
                <w:bCs/>
                <w:szCs w:val="28"/>
                <w:lang w:val="fr-FR"/>
              </w:rPr>
              <w:t>5</w:t>
            </w:r>
            <w:r w:rsidRPr="003B11CA">
              <w:rPr>
                <w:b/>
                <w:bCs/>
                <w:szCs w:val="28"/>
                <w:lang w:val="fr-FR"/>
              </w:rPr>
              <w:t>-F</w:t>
            </w:r>
          </w:p>
        </w:tc>
      </w:tr>
      <w:tr w:rsidR="00683C32" w:rsidRPr="003B11CA" w14:paraId="6AAEAE0C" w14:textId="77777777" w:rsidTr="000C61E9">
        <w:trPr>
          <w:cantSplit/>
        </w:trPr>
        <w:tc>
          <w:tcPr>
            <w:tcW w:w="7251" w:type="dxa"/>
          </w:tcPr>
          <w:p w14:paraId="57883E59" w14:textId="77777777" w:rsidR="00683C32" w:rsidRPr="003B11CA" w:rsidRDefault="00683C32" w:rsidP="003C6056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2996" w:type="dxa"/>
          </w:tcPr>
          <w:p w14:paraId="20CCC502" w14:textId="2AE0879C" w:rsidR="00683C32" w:rsidRPr="003B11CA" w:rsidRDefault="00611AAE" w:rsidP="003C6056">
            <w:pPr>
              <w:spacing w:before="0"/>
              <w:rPr>
                <w:b/>
                <w:szCs w:val="24"/>
                <w:lang w:val="fr-FR"/>
              </w:rPr>
            </w:pPr>
            <w:bookmarkStart w:id="3" w:name="CreationDate"/>
            <w:bookmarkEnd w:id="3"/>
            <w:r w:rsidRPr="003B11CA">
              <w:rPr>
                <w:b/>
                <w:bCs/>
                <w:szCs w:val="28"/>
                <w:lang w:val="fr-FR"/>
              </w:rPr>
              <w:t>6 février</w:t>
            </w:r>
            <w:r w:rsidR="00323587" w:rsidRPr="003B11CA">
              <w:rPr>
                <w:b/>
                <w:bCs/>
                <w:szCs w:val="28"/>
                <w:lang w:val="fr-FR"/>
              </w:rPr>
              <w:t xml:space="preserve"> 20</w:t>
            </w:r>
            <w:r w:rsidR="002577C1" w:rsidRPr="003B11CA">
              <w:rPr>
                <w:b/>
                <w:bCs/>
                <w:szCs w:val="28"/>
                <w:lang w:val="fr-FR"/>
              </w:rPr>
              <w:t>20</w:t>
            </w:r>
          </w:p>
        </w:tc>
      </w:tr>
      <w:tr w:rsidR="00683C32" w:rsidRPr="003B11CA" w14:paraId="60A74FAE" w14:textId="77777777" w:rsidTr="000C61E9">
        <w:trPr>
          <w:cantSplit/>
        </w:trPr>
        <w:tc>
          <w:tcPr>
            <w:tcW w:w="7251" w:type="dxa"/>
          </w:tcPr>
          <w:p w14:paraId="4A57F7C6" w14:textId="77777777" w:rsidR="00683C32" w:rsidRPr="003B11CA" w:rsidRDefault="00683C32" w:rsidP="003C6056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2996" w:type="dxa"/>
          </w:tcPr>
          <w:p w14:paraId="2BC9329C" w14:textId="5B05D7FD" w:rsidR="00514D2F" w:rsidRPr="003B11CA" w:rsidRDefault="00323587" w:rsidP="003C6056">
            <w:pPr>
              <w:spacing w:before="0"/>
              <w:rPr>
                <w:szCs w:val="24"/>
                <w:lang w:val="fr-FR"/>
              </w:rPr>
            </w:pPr>
            <w:r w:rsidRPr="003B11CA">
              <w:rPr>
                <w:b/>
                <w:szCs w:val="28"/>
                <w:lang w:val="fr-FR"/>
              </w:rPr>
              <w:t>Original:</w:t>
            </w:r>
            <w:bookmarkStart w:id="4" w:name="Original"/>
            <w:bookmarkEnd w:id="4"/>
            <w:r w:rsidR="00611AAE" w:rsidRPr="003B11CA">
              <w:rPr>
                <w:b/>
                <w:szCs w:val="28"/>
                <w:lang w:val="fr-FR"/>
              </w:rPr>
              <w:t xml:space="preserve"> anglais</w:t>
            </w:r>
          </w:p>
        </w:tc>
      </w:tr>
      <w:tr w:rsidR="00A13162" w:rsidRPr="003B11CA" w14:paraId="1ABD3121" w14:textId="77777777" w:rsidTr="000C61E9">
        <w:trPr>
          <w:cantSplit/>
          <w:trHeight w:val="852"/>
        </w:trPr>
        <w:tc>
          <w:tcPr>
            <w:tcW w:w="10247" w:type="dxa"/>
            <w:gridSpan w:val="2"/>
          </w:tcPr>
          <w:p w14:paraId="0DA8AB38" w14:textId="3A8E48CF" w:rsidR="00A13162" w:rsidRPr="003B11CA" w:rsidRDefault="00611AAE" w:rsidP="003C6056">
            <w:pPr>
              <w:pStyle w:val="Source"/>
              <w:rPr>
                <w:lang w:val="fr-FR"/>
              </w:rPr>
            </w:pPr>
            <w:bookmarkStart w:id="5" w:name="Source"/>
            <w:bookmarkEnd w:id="5"/>
            <w:r w:rsidRPr="003B11CA">
              <w:rPr>
                <w:lang w:val="fr-FR"/>
              </w:rPr>
              <w:t>Président du Groupe de coordination intersectorielle</w:t>
            </w:r>
          </w:p>
        </w:tc>
      </w:tr>
      <w:tr w:rsidR="00AC6F14" w:rsidRPr="003B11CA" w14:paraId="49A43211" w14:textId="77777777" w:rsidTr="000C61E9">
        <w:trPr>
          <w:cantSplit/>
        </w:trPr>
        <w:tc>
          <w:tcPr>
            <w:tcW w:w="10247" w:type="dxa"/>
            <w:gridSpan w:val="2"/>
          </w:tcPr>
          <w:p w14:paraId="671271CA" w14:textId="71788E01" w:rsidR="00AC6F14" w:rsidRPr="003B11CA" w:rsidRDefault="00611AAE" w:rsidP="003C6056">
            <w:pPr>
              <w:pStyle w:val="Title1"/>
              <w:rPr>
                <w:lang w:val="fr-FR"/>
              </w:rPr>
            </w:pPr>
            <w:bookmarkStart w:id="6" w:name="Title"/>
            <w:bookmarkEnd w:id="6"/>
            <w:r w:rsidRPr="003B11CA">
              <w:rPr>
                <w:lang w:val="fr-FR"/>
              </w:rPr>
              <w:t>RAPPORT D</w:t>
            </w:r>
            <w:r w:rsidR="00EA2F1A">
              <w:rPr>
                <w:lang w:val="fr-FR"/>
              </w:rPr>
              <w:t>'</w:t>
            </w:r>
            <w:r w:rsidRPr="003B11CA">
              <w:rPr>
                <w:lang w:val="fr-FR"/>
              </w:rPr>
              <w:t xml:space="preserve">ACTIVITÉ DU GROUPE DE COORDINATION INTERSECTORIELLE </w:t>
            </w:r>
            <w:r w:rsidR="00A76E2B">
              <w:rPr>
                <w:lang w:val="fr-FR"/>
              </w:rPr>
              <w:br/>
            </w:r>
            <w:r w:rsidRPr="003B11CA">
              <w:rPr>
                <w:lang w:val="fr-FR"/>
              </w:rPr>
              <w:t>SUR LES QUESTIONS D</w:t>
            </w:r>
            <w:r w:rsidR="00EA2F1A">
              <w:rPr>
                <w:lang w:val="fr-FR"/>
              </w:rPr>
              <w:t>'</w:t>
            </w:r>
            <w:r w:rsidRPr="003B11CA">
              <w:rPr>
                <w:lang w:val="fr-FR"/>
              </w:rPr>
              <w:t>INTÉRÊT MUTUEL</w:t>
            </w:r>
          </w:p>
        </w:tc>
      </w:tr>
      <w:tr w:rsidR="00A721F4" w:rsidRPr="003B11CA" w14:paraId="115C9E1A" w14:textId="77777777" w:rsidTr="000C61E9">
        <w:trPr>
          <w:cantSplit/>
        </w:trPr>
        <w:tc>
          <w:tcPr>
            <w:tcW w:w="10247" w:type="dxa"/>
            <w:gridSpan w:val="2"/>
            <w:tcBorders>
              <w:bottom w:val="single" w:sz="4" w:space="0" w:color="auto"/>
            </w:tcBorders>
          </w:tcPr>
          <w:p w14:paraId="3B218E4B" w14:textId="77777777" w:rsidR="00A721F4" w:rsidRPr="003B11CA" w:rsidRDefault="00A721F4" w:rsidP="003C6056">
            <w:pPr>
              <w:rPr>
                <w:lang w:val="fr-FR"/>
              </w:rPr>
            </w:pPr>
          </w:p>
        </w:tc>
      </w:tr>
      <w:tr w:rsidR="00A721F4" w:rsidRPr="003B11CA" w14:paraId="4CB51197" w14:textId="77777777" w:rsidTr="000C61E9">
        <w:trPr>
          <w:cantSplit/>
        </w:trPr>
        <w:tc>
          <w:tcPr>
            <w:tcW w:w="10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1088" w14:textId="77777777" w:rsidR="00A721F4" w:rsidRPr="003B11CA" w:rsidRDefault="00156BF6" w:rsidP="003C6056">
            <w:pPr>
              <w:rPr>
                <w:b/>
                <w:bCs/>
                <w:szCs w:val="24"/>
                <w:lang w:val="fr-FR"/>
              </w:rPr>
            </w:pPr>
            <w:r w:rsidRPr="003B11CA">
              <w:rPr>
                <w:b/>
                <w:bCs/>
                <w:szCs w:val="24"/>
                <w:lang w:val="fr-FR"/>
              </w:rPr>
              <w:t>Résumé:</w:t>
            </w:r>
          </w:p>
          <w:p w14:paraId="4DC8F704" w14:textId="3FE6E2E7" w:rsidR="00A721F4" w:rsidRPr="003B11CA" w:rsidRDefault="00611AAE" w:rsidP="003C6056">
            <w:pPr>
              <w:rPr>
                <w:szCs w:val="24"/>
                <w:lang w:val="fr-FR"/>
              </w:rPr>
            </w:pPr>
            <w:r w:rsidRPr="003B11CA">
              <w:rPr>
                <w:szCs w:val="24"/>
                <w:lang w:val="fr-FR"/>
              </w:rPr>
              <w:t>On trouvera dans le présent document un rapport d</w:t>
            </w:r>
            <w:r w:rsidR="00EA2F1A">
              <w:rPr>
                <w:szCs w:val="24"/>
                <w:lang w:val="fr-FR"/>
              </w:rPr>
              <w:t>'</w:t>
            </w:r>
            <w:r w:rsidRPr="003B11CA">
              <w:rPr>
                <w:szCs w:val="24"/>
                <w:lang w:val="fr-FR"/>
              </w:rPr>
              <w:t>activité du Groupe de coordination intersectorielle sur les questions d</w:t>
            </w:r>
            <w:r w:rsidR="00EA2F1A">
              <w:rPr>
                <w:szCs w:val="24"/>
                <w:lang w:val="fr-FR"/>
              </w:rPr>
              <w:t>'</w:t>
            </w:r>
            <w:r w:rsidRPr="003B11CA">
              <w:rPr>
                <w:szCs w:val="24"/>
                <w:lang w:val="fr-FR"/>
              </w:rPr>
              <w:t xml:space="preserve">intérêt mutuel (ISCG), qui met en avant les conclusions de </w:t>
            </w:r>
            <w:r w:rsidR="00A71FEB" w:rsidRPr="003B11CA">
              <w:rPr>
                <w:szCs w:val="24"/>
                <w:lang w:val="fr-FR"/>
              </w:rPr>
              <w:t>l</w:t>
            </w:r>
            <w:r w:rsidRPr="003B11CA">
              <w:rPr>
                <w:szCs w:val="24"/>
                <w:lang w:val="fr-FR"/>
              </w:rPr>
              <w:t xml:space="preserve">a réunion </w:t>
            </w:r>
            <w:r w:rsidR="00A71FEB" w:rsidRPr="003B11CA">
              <w:rPr>
                <w:szCs w:val="24"/>
                <w:lang w:val="fr-FR"/>
              </w:rPr>
              <w:t>du Groupe d</w:t>
            </w:r>
            <w:r w:rsidR="00EA2F1A">
              <w:rPr>
                <w:szCs w:val="24"/>
                <w:lang w:val="fr-FR"/>
              </w:rPr>
              <w:t>'</w:t>
            </w:r>
            <w:r w:rsidRPr="003B11CA">
              <w:rPr>
                <w:szCs w:val="24"/>
                <w:lang w:val="fr-FR"/>
              </w:rPr>
              <w:t>avril 2019</w:t>
            </w:r>
            <w:r w:rsidR="00A71FEB" w:rsidRPr="003B11CA">
              <w:rPr>
                <w:szCs w:val="24"/>
                <w:lang w:val="fr-FR"/>
              </w:rPr>
              <w:t>,</w:t>
            </w:r>
            <w:r w:rsidRPr="003B11CA">
              <w:rPr>
                <w:szCs w:val="24"/>
                <w:lang w:val="fr-FR"/>
              </w:rPr>
              <w:t xml:space="preserve"> ainsi que les activités menées </w:t>
            </w:r>
            <w:r w:rsidR="00A71FEB" w:rsidRPr="003B11CA">
              <w:rPr>
                <w:szCs w:val="24"/>
                <w:lang w:val="fr-FR"/>
              </w:rPr>
              <w:t xml:space="preserve">par le Groupe </w:t>
            </w:r>
            <w:r w:rsidRPr="003B11CA">
              <w:rPr>
                <w:szCs w:val="24"/>
                <w:lang w:val="fr-FR"/>
              </w:rPr>
              <w:t>depuis sa dernière réunion tenue le 25 septembre 2019 à Genève, à l</w:t>
            </w:r>
            <w:r w:rsidR="00EA2F1A">
              <w:rPr>
                <w:szCs w:val="24"/>
                <w:lang w:val="fr-FR"/>
              </w:rPr>
              <w:t>'</w:t>
            </w:r>
            <w:r w:rsidRPr="003B11CA">
              <w:rPr>
                <w:szCs w:val="24"/>
                <w:lang w:val="fr-FR"/>
              </w:rPr>
              <w:t>occasion de la réunion du Groupe consultatif de la normalisation des télécommunications (GCNT).</w:t>
            </w:r>
          </w:p>
          <w:p w14:paraId="31B9247A" w14:textId="77777777" w:rsidR="00A721F4" w:rsidRPr="003B11CA" w:rsidRDefault="00156BF6" w:rsidP="003C6056">
            <w:pPr>
              <w:rPr>
                <w:b/>
                <w:bCs/>
                <w:szCs w:val="24"/>
                <w:lang w:val="fr-FR"/>
              </w:rPr>
            </w:pPr>
            <w:r w:rsidRPr="003B11CA">
              <w:rPr>
                <w:b/>
                <w:bCs/>
                <w:szCs w:val="24"/>
                <w:lang w:val="fr-FR"/>
              </w:rPr>
              <w:t>Suite à donner:</w:t>
            </w:r>
          </w:p>
          <w:p w14:paraId="3BF5BE0C" w14:textId="44E06069" w:rsidR="00611AAE" w:rsidRPr="003B11CA" w:rsidRDefault="00611AAE" w:rsidP="003C6056">
            <w:pPr>
              <w:rPr>
                <w:szCs w:val="24"/>
                <w:lang w:val="fr-FR"/>
              </w:rPr>
            </w:pPr>
            <w:r w:rsidRPr="003B11CA">
              <w:rPr>
                <w:szCs w:val="24"/>
                <w:lang w:val="fr-FR"/>
              </w:rPr>
              <w:t>Le GCDT est invité à prendre note du présent document et à fournir les orientations qu</w:t>
            </w:r>
            <w:r w:rsidR="00EA2F1A">
              <w:rPr>
                <w:szCs w:val="24"/>
                <w:lang w:val="fr-FR"/>
              </w:rPr>
              <w:t>'</w:t>
            </w:r>
            <w:r w:rsidRPr="003B11CA">
              <w:rPr>
                <w:szCs w:val="24"/>
                <w:lang w:val="fr-FR"/>
              </w:rPr>
              <w:t>il jugera nécessaires.</w:t>
            </w:r>
          </w:p>
          <w:p w14:paraId="2A541516" w14:textId="77777777" w:rsidR="00A721F4" w:rsidRPr="003B11CA" w:rsidRDefault="00156BF6" w:rsidP="003C6056">
            <w:pPr>
              <w:rPr>
                <w:b/>
                <w:bCs/>
                <w:szCs w:val="24"/>
                <w:lang w:val="fr-FR"/>
              </w:rPr>
            </w:pPr>
            <w:r w:rsidRPr="003B11CA">
              <w:rPr>
                <w:b/>
                <w:bCs/>
                <w:szCs w:val="24"/>
                <w:lang w:val="fr-FR"/>
              </w:rPr>
              <w:t>Références:</w:t>
            </w:r>
          </w:p>
          <w:p w14:paraId="76B9B080" w14:textId="5759832D" w:rsidR="00A721F4" w:rsidRPr="003B11CA" w:rsidRDefault="00611AAE" w:rsidP="003C6056">
            <w:pPr>
              <w:spacing w:after="120"/>
              <w:rPr>
                <w:lang w:val="fr-FR"/>
              </w:rPr>
            </w:pPr>
            <w:r w:rsidRPr="003B11CA">
              <w:rPr>
                <w:lang w:val="fr-FR"/>
              </w:rPr>
              <w:t>Résolution 191 (Rév. Dubaï, 2018) de la Conférence de plénipotentiaires</w:t>
            </w:r>
          </w:p>
        </w:tc>
      </w:tr>
    </w:tbl>
    <w:p w14:paraId="12C9ECCC" w14:textId="77777777" w:rsidR="002577C1" w:rsidRPr="003B11CA" w:rsidRDefault="002577C1" w:rsidP="003C60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3B11CA">
        <w:rPr>
          <w:lang w:val="fr-FR"/>
        </w:rPr>
        <w:br w:type="page"/>
      </w:r>
    </w:p>
    <w:p w14:paraId="125A0674" w14:textId="38893198" w:rsidR="00611AAE" w:rsidRPr="00A76E2B" w:rsidRDefault="00611AAE" w:rsidP="003C6056">
      <w:pPr>
        <w:pStyle w:val="Heading1"/>
        <w:rPr>
          <w:sz w:val="24"/>
          <w:szCs w:val="24"/>
          <w:lang w:val="fr-FR"/>
        </w:rPr>
      </w:pPr>
      <w:r w:rsidRPr="00A76E2B">
        <w:rPr>
          <w:sz w:val="24"/>
          <w:szCs w:val="24"/>
          <w:lang w:val="fr-FR"/>
        </w:rPr>
        <w:lastRenderedPageBreak/>
        <w:t>1</w:t>
      </w:r>
      <w:r w:rsidRPr="00A76E2B">
        <w:rPr>
          <w:sz w:val="24"/>
          <w:szCs w:val="24"/>
          <w:lang w:val="fr-FR"/>
        </w:rPr>
        <w:tab/>
        <w:t>Rappel</w:t>
      </w:r>
    </w:p>
    <w:p w14:paraId="22B64950" w14:textId="0BCFAC77" w:rsidR="00611AAE" w:rsidRPr="003B11CA" w:rsidRDefault="00611AAE" w:rsidP="003C6056">
      <w:pPr>
        <w:rPr>
          <w:lang w:val="fr-FR"/>
        </w:rPr>
      </w:pPr>
      <w:r w:rsidRPr="003B11CA">
        <w:rPr>
          <w:lang w:val="fr-FR"/>
        </w:rPr>
        <w:t xml:space="preserve">Le </w:t>
      </w:r>
      <w:hyperlink r:id="rId9" w:history="1">
        <w:r w:rsidRPr="003B11CA">
          <w:rPr>
            <w:rStyle w:val="Hyperlink"/>
            <w:lang w:val="fr-FR"/>
          </w:rPr>
          <w:t>Groupe de coordination intersectorielle sur les questions d</w:t>
        </w:r>
        <w:r w:rsidR="00EA2F1A">
          <w:rPr>
            <w:rStyle w:val="Hyperlink"/>
            <w:lang w:val="fr-FR"/>
          </w:rPr>
          <w:t>'</w:t>
        </w:r>
        <w:r w:rsidRPr="003B11CA">
          <w:rPr>
            <w:rStyle w:val="Hyperlink"/>
            <w:lang w:val="fr-FR"/>
          </w:rPr>
          <w:t>intérêt mutuel (ISCG)</w:t>
        </w:r>
      </w:hyperlink>
      <w:r w:rsidRPr="003B11CA">
        <w:rPr>
          <w:lang w:val="fr-FR"/>
        </w:rPr>
        <w:t xml:space="preserve"> a été établi conjointement par le Groupe consultatif des radiocommunications (GCR), le Groupe consultatif de la normalisation des télécommunications (GCNT) et le Groupe consultatif pour le développement des télécommunications (GCDT).</w:t>
      </w:r>
    </w:p>
    <w:p w14:paraId="46274C3E" w14:textId="734F8B4E" w:rsidR="00611AAE" w:rsidRPr="003B11CA" w:rsidRDefault="00611AAE" w:rsidP="003C6056">
      <w:pPr>
        <w:rPr>
          <w:lang w:val="fr-FR"/>
        </w:rPr>
      </w:pPr>
      <w:r w:rsidRPr="003B11CA">
        <w:rPr>
          <w:lang w:val="fr-FR"/>
        </w:rPr>
        <w:t xml:space="preserve">Conformément à la </w:t>
      </w:r>
      <w:hyperlink r:id="rId10" w:history="1">
        <w:r w:rsidRPr="003B11CA">
          <w:rPr>
            <w:rStyle w:val="Hyperlink"/>
            <w:lang w:val="fr-FR"/>
          </w:rPr>
          <w:t>Résolution 191 (Rév. Dubaï, 2018)</w:t>
        </w:r>
      </w:hyperlink>
      <w:r w:rsidRPr="003B11CA">
        <w:rPr>
          <w:lang w:val="fr-FR"/>
        </w:rPr>
        <w:t xml:space="preserve"> de la Conférence de plénipotentiaires, le</w:t>
      </w:r>
      <w:r w:rsidR="00A76E2B">
        <w:rPr>
          <w:lang w:val="fr-FR"/>
        </w:rPr>
        <w:t> </w:t>
      </w:r>
      <w:r w:rsidRPr="003B11CA">
        <w:rPr>
          <w:lang w:val="fr-FR"/>
        </w:rPr>
        <w:t>GC</w:t>
      </w:r>
      <w:r w:rsidR="00A71FEB" w:rsidRPr="003B11CA">
        <w:rPr>
          <w:lang w:val="fr-FR"/>
        </w:rPr>
        <w:t>R</w:t>
      </w:r>
      <w:r w:rsidRPr="003B11CA">
        <w:rPr>
          <w:lang w:val="fr-FR"/>
        </w:rPr>
        <w:t>, le GCNT et le GCDT continuent, par l</w:t>
      </w:r>
      <w:r w:rsidR="00EA2F1A">
        <w:rPr>
          <w:lang w:val="fr-FR"/>
        </w:rPr>
        <w:t>'</w:t>
      </w:r>
      <w:r w:rsidRPr="003B11CA">
        <w:rPr>
          <w:lang w:val="fr-FR"/>
        </w:rPr>
        <w:t>intermédiaire du Groupe ISCG, d</w:t>
      </w:r>
      <w:r w:rsidR="00EA2F1A">
        <w:rPr>
          <w:lang w:val="fr-FR"/>
        </w:rPr>
        <w:t>'</w:t>
      </w:r>
      <w:r w:rsidRPr="003B11CA">
        <w:rPr>
          <w:lang w:val="fr-FR"/>
        </w:rPr>
        <w:t>examiner les activités en cours et les nouvelles activités ainsi que leur répartition entre le Secteur des radiocommunication</w:t>
      </w:r>
      <w:r w:rsidR="00A71FEB" w:rsidRPr="003B11CA">
        <w:rPr>
          <w:lang w:val="fr-FR"/>
        </w:rPr>
        <w:t>s</w:t>
      </w:r>
      <w:r w:rsidRPr="003B11CA">
        <w:rPr>
          <w:lang w:val="fr-FR"/>
        </w:rPr>
        <w:t xml:space="preserve"> (UIT-R), le Secteur de la normalisation des télécommunications (UIT-T) et le Secteur du développement des télécommunications (UIT-D) de l</w:t>
      </w:r>
      <w:r w:rsidR="00EA2F1A">
        <w:rPr>
          <w:lang w:val="fr-FR"/>
        </w:rPr>
        <w:t>'</w:t>
      </w:r>
      <w:r w:rsidRPr="003B11CA">
        <w:rPr>
          <w:lang w:val="fr-FR"/>
        </w:rPr>
        <w:t>UIT, pour approbation par les États Membres de l</w:t>
      </w:r>
      <w:r w:rsidR="00EA2F1A">
        <w:rPr>
          <w:lang w:val="fr-FR"/>
        </w:rPr>
        <w:t>'</w:t>
      </w:r>
      <w:r w:rsidRPr="003B11CA">
        <w:rPr>
          <w:lang w:val="fr-FR"/>
        </w:rPr>
        <w:t>Union, conformément aux procédures d</w:t>
      </w:r>
      <w:r w:rsidR="00EA2F1A">
        <w:rPr>
          <w:lang w:val="fr-FR"/>
        </w:rPr>
        <w:t>'</w:t>
      </w:r>
      <w:r w:rsidRPr="003B11CA">
        <w:rPr>
          <w:lang w:val="fr-FR"/>
        </w:rPr>
        <w:t>approbation des Questions nouvelles ou révisées.</w:t>
      </w:r>
    </w:p>
    <w:p w14:paraId="6CA4B99E" w14:textId="01834E37" w:rsidR="00611AAE" w:rsidRPr="003B11CA" w:rsidRDefault="00611AAE" w:rsidP="003C6056">
      <w:pPr>
        <w:rPr>
          <w:lang w:val="fr-FR"/>
        </w:rPr>
      </w:pPr>
      <w:r w:rsidRPr="003B11CA">
        <w:rPr>
          <w:lang w:val="fr-FR"/>
        </w:rPr>
        <w:t>Le Groupe ISCG identifie les sujets communs aux trois Secteurs et au Secrétariat général, ou au niveau bilatéral, les sujets communs à l</w:t>
      </w:r>
      <w:r w:rsidR="00EA2F1A">
        <w:rPr>
          <w:lang w:val="fr-FR"/>
        </w:rPr>
        <w:t>'</w:t>
      </w:r>
      <w:r w:rsidRPr="003B11CA">
        <w:rPr>
          <w:lang w:val="fr-FR"/>
        </w:rPr>
        <w:t>UIT-D et à l</w:t>
      </w:r>
      <w:r w:rsidR="00EA2F1A">
        <w:rPr>
          <w:lang w:val="fr-FR"/>
        </w:rPr>
        <w:t>'</w:t>
      </w:r>
      <w:r w:rsidRPr="003B11CA">
        <w:rPr>
          <w:lang w:val="fr-FR"/>
        </w:rPr>
        <w:t>UIT-R ou l</w:t>
      </w:r>
      <w:r w:rsidR="00EA2F1A">
        <w:rPr>
          <w:lang w:val="fr-FR"/>
        </w:rPr>
        <w:t>'</w:t>
      </w:r>
      <w:r w:rsidRPr="003B11CA">
        <w:rPr>
          <w:lang w:val="fr-FR"/>
        </w:rPr>
        <w:t xml:space="preserve">UIT-T, et examine une liste actualisée (établie par le Secrétariat) énumérant les domaines intéressant les trois Secteurs et le Secrétariat général, conformément aux </w:t>
      </w:r>
      <w:r w:rsidR="00A71FEB" w:rsidRPr="003B11CA">
        <w:rPr>
          <w:lang w:val="fr-FR"/>
        </w:rPr>
        <w:t>missions confiées par</w:t>
      </w:r>
      <w:r w:rsidRPr="003B11CA">
        <w:rPr>
          <w:lang w:val="fr-FR"/>
        </w:rPr>
        <w:t xml:space="preserve"> chaque assemblée ou conférence de l</w:t>
      </w:r>
      <w:r w:rsidR="00EA2F1A">
        <w:rPr>
          <w:lang w:val="fr-FR"/>
        </w:rPr>
        <w:t>'</w:t>
      </w:r>
      <w:r w:rsidRPr="003B11CA">
        <w:rPr>
          <w:lang w:val="fr-FR"/>
        </w:rPr>
        <w:t>UIT.</w:t>
      </w:r>
    </w:p>
    <w:p w14:paraId="0671CD1A" w14:textId="5F25B113" w:rsidR="00611AAE" w:rsidRPr="003B11CA" w:rsidRDefault="00611AAE" w:rsidP="003C6056">
      <w:pPr>
        <w:rPr>
          <w:lang w:val="fr-FR"/>
        </w:rPr>
      </w:pPr>
      <w:r w:rsidRPr="003B11CA">
        <w:rPr>
          <w:lang w:val="fr-FR"/>
        </w:rPr>
        <w:t>Le Groupe ISCG identifie en outre les mécanismes propres à renforcer la coopération et les activités communes entre les trois Secteurs et le Secrétaire général ou avec chaque Secteur, sur des questions d</w:t>
      </w:r>
      <w:r w:rsidR="00EA2F1A">
        <w:rPr>
          <w:lang w:val="fr-FR"/>
        </w:rPr>
        <w:t>'</w:t>
      </w:r>
      <w:r w:rsidRPr="003B11CA">
        <w:rPr>
          <w:lang w:val="fr-FR"/>
        </w:rPr>
        <w:t>intérêt mutuel.</w:t>
      </w:r>
    </w:p>
    <w:p w14:paraId="56D604BC" w14:textId="5C89726A" w:rsidR="00611AAE" w:rsidRPr="00A76E2B" w:rsidRDefault="00611AAE" w:rsidP="003C6056">
      <w:pPr>
        <w:pStyle w:val="Heading1"/>
        <w:rPr>
          <w:sz w:val="24"/>
          <w:szCs w:val="24"/>
          <w:lang w:val="fr-FR"/>
        </w:rPr>
      </w:pPr>
      <w:r w:rsidRPr="00A76E2B">
        <w:rPr>
          <w:sz w:val="24"/>
          <w:szCs w:val="24"/>
          <w:lang w:val="fr-FR"/>
        </w:rPr>
        <w:t>2</w:t>
      </w:r>
      <w:r w:rsidRPr="00A76E2B">
        <w:rPr>
          <w:sz w:val="24"/>
          <w:szCs w:val="24"/>
          <w:lang w:val="fr-FR"/>
        </w:rPr>
        <w:tab/>
        <w:t>Réunion du Groupe ISCG tenue à l</w:t>
      </w:r>
      <w:r w:rsidR="00EA2F1A">
        <w:rPr>
          <w:sz w:val="24"/>
          <w:szCs w:val="24"/>
          <w:lang w:val="fr-FR"/>
        </w:rPr>
        <w:t>'</w:t>
      </w:r>
      <w:r w:rsidRPr="00A76E2B">
        <w:rPr>
          <w:sz w:val="24"/>
          <w:szCs w:val="24"/>
          <w:lang w:val="fr-FR"/>
        </w:rPr>
        <w:t>occasion de la réunion du GCNT de septembre 2019</w:t>
      </w:r>
    </w:p>
    <w:p w14:paraId="6B80732A" w14:textId="220FB772" w:rsidR="00611AAE" w:rsidRPr="003B11CA" w:rsidRDefault="00611AAE" w:rsidP="003C6056">
      <w:pPr>
        <w:rPr>
          <w:lang w:val="fr-FR"/>
        </w:rPr>
      </w:pPr>
      <w:r w:rsidRPr="003B11CA">
        <w:rPr>
          <w:lang w:val="fr-FR"/>
        </w:rPr>
        <w:t>La précédente réunion du Groupe ISCG a eu lieu le 25 septembre 2019, à l</w:t>
      </w:r>
      <w:r w:rsidR="00EA2F1A">
        <w:rPr>
          <w:lang w:val="fr-FR"/>
        </w:rPr>
        <w:t>'</w:t>
      </w:r>
      <w:r w:rsidRPr="003B11CA">
        <w:rPr>
          <w:lang w:val="fr-FR"/>
        </w:rPr>
        <w:t xml:space="preserve">occasion de la réunion du GCNT (Genève, 23-27 septembre 2019). Le secrétariat a présenté une liste des domaines pouvant présenter un intérêt mutuel pour les trois Secteurs et le Secrétariat général, un tableau de correspondance des Résolutions de la </w:t>
      </w:r>
      <w:r w:rsidR="00A71FEB" w:rsidRPr="003B11CA">
        <w:rPr>
          <w:lang w:val="fr-FR"/>
        </w:rPr>
        <w:t>PP</w:t>
      </w:r>
      <w:r w:rsidRPr="003B11CA">
        <w:rPr>
          <w:lang w:val="fr-FR"/>
        </w:rPr>
        <w:t>, de l</w:t>
      </w:r>
      <w:r w:rsidR="00EA2F1A">
        <w:rPr>
          <w:lang w:val="fr-FR"/>
        </w:rPr>
        <w:t>'</w:t>
      </w:r>
      <w:r w:rsidRPr="003B11CA">
        <w:rPr>
          <w:lang w:val="fr-FR"/>
        </w:rPr>
        <w:t>A</w:t>
      </w:r>
      <w:r w:rsidR="00A71FEB" w:rsidRPr="003B11CA">
        <w:rPr>
          <w:lang w:val="fr-FR"/>
        </w:rPr>
        <w:t>R</w:t>
      </w:r>
      <w:r w:rsidRPr="003B11CA">
        <w:rPr>
          <w:lang w:val="fr-FR"/>
        </w:rPr>
        <w:t>, de l</w:t>
      </w:r>
      <w:r w:rsidR="00EA2F1A">
        <w:rPr>
          <w:lang w:val="fr-FR"/>
        </w:rPr>
        <w:t>'</w:t>
      </w:r>
      <w:r w:rsidRPr="003B11CA">
        <w:rPr>
          <w:lang w:val="fr-FR"/>
        </w:rPr>
        <w:t>A</w:t>
      </w:r>
      <w:r w:rsidR="00413258" w:rsidRPr="003B11CA">
        <w:rPr>
          <w:lang w:val="fr-FR"/>
        </w:rPr>
        <w:t>MNT</w:t>
      </w:r>
      <w:r w:rsidRPr="003B11CA">
        <w:rPr>
          <w:lang w:val="fr-FR"/>
        </w:rPr>
        <w:t xml:space="preserve"> et de la C</w:t>
      </w:r>
      <w:r w:rsidR="00413258" w:rsidRPr="003B11CA">
        <w:rPr>
          <w:lang w:val="fr-FR"/>
        </w:rPr>
        <w:t>MDT,</w:t>
      </w:r>
      <w:r w:rsidRPr="003B11CA">
        <w:rPr>
          <w:lang w:val="fr-FR"/>
        </w:rPr>
        <w:t xml:space="preserve"> ainsi que des tableaux de correspondance des domaines d</w:t>
      </w:r>
      <w:r w:rsidR="00EA2F1A">
        <w:rPr>
          <w:lang w:val="fr-FR"/>
        </w:rPr>
        <w:t>'</w:t>
      </w:r>
      <w:r w:rsidRPr="003B11CA">
        <w:rPr>
          <w:lang w:val="fr-FR"/>
        </w:rPr>
        <w:t>intérêt commun</w:t>
      </w:r>
      <w:r w:rsidR="00413258" w:rsidRPr="003B11CA">
        <w:rPr>
          <w:lang w:val="fr-FR"/>
        </w:rPr>
        <w:t>s</w:t>
      </w:r>
      <w:r w:rsidRPr="003B11CA">
        <w:rPr>
          <w:lang w:val="fr-FR"/>
        </w:rPr>
        <w:t xml:space="preserve"> </w:t>
      </w:r>
      <w:r w:rsidR="00413258" w:rsidRPr="003B11CA">
        <w:rPr>
          <w:lang w:val="fr-FR"/>
        </w:rPr>
        <w:t>pour</w:t>
      </w:r>
      <w:r w:rsidRPr="003B11CA">
        <w:rPr>
          <w:lang w:val="fr-FR"/>
        </w:rPr>
        <w:t xml:space="preserve"> les commissions d</w:t>
      </w:r>
      <w:r w:rsidR="00EA2F1A">
        <w:rPr>
          <w:lang w:val="fr-FR"/>
        </w:rPr>
        <w:t>'</w:t>
      </w:r>
      <w:r w:rsidRPr="003B11CA">
        <w:rPr>
          <w:lang w:val="fr-FR"/>
        </w:rPr>
        <w:t>études de l</w:t>
      </w:r>
      <w:r w:rsidR="00EA2F1A">
        <w:rPr>
          <w:lang w:val="fr-FR"/>
        </w:rPr>
        <w:t>'</w:t>
      </w:r>
      <w:r w:rsidRPr="003B11CA">
        <w:rPr>
          <w:lang w:val="fr-FR"/>
        </w:rPr>
        <w:t>UIT-R, de l</w:t>
      </w:r>
      <w:r w:rsidR="00EA2F1A">
        <w:rPr>
          <w:lang w:val="fr-FR"/>
        </w:rPr>
        <w:t>'</w:t>
      </w:r>
      <w:r w:rsidRPr="003B11CA">
        <w:rPr>
          <w:lang w:val="fr-FR"/>
        </w:rPr>
        <w:t>UIT-T et de l</w:t>
      </w:r>
      <w:r w:rsidR="00EA2F1A">
        <w:rPr>
          <w:lang w:val="fr-FR"/>
        </w:rPr>
        <w:t>'</w:t>
      </w:r>
      <w:r w:rsidRPr="003B11CA">
        <w:rPr>
          <w:lang w:val="fr-FR"/>
        </w:rPr>
        <w:t xml:space="preserve">UIT-D. </w:t>
      </w:r>
    </w:p>
    <w:p w14:paraId="39CF0E6A" w14:textId="450DB1E0" w:rsidR="00611AAE" w:rsidRPr="003B11CA" w:rsidRDefault="00611AAE" w:rsidP="003C6056">
      <w:pPr>
        <w:rPr>
          <w:lang w:val="fr-FR"/>
        </w:rPr>
      </w:pPr>
      <w:r w:rsidRPr="003B11CA">
        <w:rPr>
          <w:lang w:val="fr-FR"/>
        </w:rPr>
        <w:t>Le travail accompli par le Groupe spécial de coordination intersectorie</w:t>
      </w:r>
      <w:r w:rsidR="00413258" w:rsidRPr="003B11CA">
        <w:rPr>
          <w:lang w:val="fr-FR"/>
        </w:rPr>
        <w:t>l</w:t>
      </w:r>
      <w:r w:rsidRPr="003B11CA">
        <w:rPr>
          <w:lang w:val="fr-FR"/>
        </w:rPr>
        <w:t>l</w:t>
      </w:r>
      <w:r w:rsidR="00413258" w:rsidRPr="003B11CA">
        <w:rPr>
          <w:lang w:val="fr-FR"/>
        </w:rPr>
        <w:t>e</w:t>
      </w:r>
      <w:r w:rsidRPr="003B11CA">
        <w:rPr>
          <w:lang w:val="fr-FR"/>
        </w:rPr>
        <w:t xml:space="preserve"> a également été présenté, avec des exemples concrets d</w:t>
      </w:r>
      <w:r w:rsidR="00EA2F1A">
        <w:rPr>
          <w:lang w:val="fr-FR"/>
        </w:rPr>
        <w:t>'</w:t>
      </w:r>
      <w:r w:rsidRPr="003B11CA">
        <w:rPr>
          <w:lang w:val="fr-FR"/>
        </w:rPr>
        <w:t xml:space="preserve">amélioration de la coordination depuis la création de ce Groupe spécial. </w:t>
      </w:r>
    </w:p>
    <w:p w14:paraId="5768D199" w14:textId="77777777" w:rsidR="00611AAE" w:rsidRPr="003B11CA" w:rsidRDefault="00611AAE" w:rsidP="003C6056">
      <w:pPr>
        <w:pStyle w:val="Headingb"/>
        <w:rPr>
          <w:lang w:val="fr-FR"/>
        </w:rPr>
      </w:pPr>
      <w:r w:rsidRPr="003B11CA">
        <w:rPr>
          <w:lang w:val="fr-FR"/>
        </w:rPr>
        <w:t>Les changements climatiques comme thème pilote</w:t>
      </w:r>
    </w:p>
    <w:p w14:paraId="6B3DB34B" w14:textId="5EBB8EA3" w:rsidR="00611AAE" w:rsidRPr="003B11CA" w:rsidRDefault="00611AAE" w:rsidP="003C6056">
      <w:pPr>
        <w:rPr>
          <w:lang w:val="fr-FR"/>
        </w:rPr>
      </w:pPr>
      <w:r w:rsidRPr="003B11CA">
        <w:rPr>
          <w:lang w:val="fr-FR"/>
        </w:rPr>
        <w:t>Les participants à la réunion du Groupe ISCG ont étudié l</w:t>
      </w:r>
      <w:r w:rsidR="00EA2F1A">
        <w:rPr>
          <w:lang w:val="fr-FR"/>
        </w:rPr>
        <w:t>'</w:t>
      </w:r>
      <w:r w:rsidRPr="003B11CA">
        <w:rPr>
          <w:lang w:val="fr-FR"/>
        </w:rPr>
        <w:t>idée d</w:t>
      </w:r>
      <w:r w:rsidR="00EA2F1A">
        <w:rPr>
          <w:lang w:val="fr-FR"/>
        </w:rPr>
        <w:t>'</w:t>
      </w:r>
      <w:r w:rsidRPr="003B11CA">
        <w:rPr>
          <w:lang w:val="fr-FR"/>
        </w:rPr>
        <w:t>identifier des "thèmes pilotes" qui feraient l</w:t>
      </w:r>
      <w:r w:rsidR="00EA2F1A">
        <w:rPr>
          <w:lang w:val="fr-FR"/>
        </w:rPr>
        <w:t>'</w:t>
      </w:r>
      <w:r w:rsidRPr="003B11CA">
        <w:rPr>
          <w:lang w:val="fr-FR"/>
        </w:rPr>
        <w:t>objet d</w:t>
      </w:r>
      <w:r w:rsidR="00EA2F1A">
        <w:rPr>
          <w:lang w:val="fr-FR"/>
        </w:rPr>
        <w:t>'</w:t>
      </w:r>
      <w:r w:rsidRPr="003B11CA">
        <w:rPr>
          <w:lang w:val="fr-FR"/>
        </w:rPr>
        <w:t>une coordination intersectorielle, pour lesquels tous les acteurs (y compris les groupes consultatifs des Secteurs, les commissions d</w:t>
      </w:r>
      <w:r w:rsidR="00EA2F1A">
        <w:rPr>
          <w:lang w:val="fr-FR"/>
        </w:rPr>
        <w:t>'</w:t>
      </w:r>
      <w:r w:rsidRPr="003B11CA">
        <w:rPr>
          <w:lang w:val="fr-FR"/>
        </w:rPr>
        <w:t>études de l</w:t>
      </w:r>
      <w:r w:rsidR="00EA2F1A">
        <w:rPr>
          <w:lang w:val="fr-FR"/>
        </w:rPr>
        <w:t>'</w:t>
      </w:r>
      <w:r w:rsidRPr="003B11CA">
        <w:rPr>
          <w:lang w:val="fr-FR"/>
        </w:rPr>
        <w:t>UIT-R, de l</w:t>
      </w:r>
      <w:r w:rsidR="00EA2F1A">
        <w:rPr>
          <w:lang w:val="fr-FR"/>
        </w:rPr>
        <w:t>'</w:t>
      </w:r>
      <w:r w:rsidRPr="003B11CA">
        <w:rPr>
          <w:lang w:val="fr-FR"/>
        </w:rPr>
        <w:t>UIT-T et de l</w:t>
      </w:r>
      <w:r w:rsidR="00EA2F1A">
        <w:rPr>
          <w:lang w:val="fr-FR"/>
        </w:rPr>
        <w:t>'</w:t>
      </w:r>
      <w:r w:rsidRPr="003B11CA">
        <w:rPr>
          <w:lang w:val="fr-FR"/>
        </w:rPr>
        <w:t>UIT-D, les conseillers des commissions d</w:t>
      </w:r>
      <w:r w:rsidR="00EA2F1A">
        <w:rPr>
          <w:lang w:val="fr-FR"/>
        </w:rPr>
        <w:t>'</w:t>
      </w:r>
      <w:r w:rsidRPr="003B11CA">
        <w:rPr>
          <w:lang w:val="fr-FR"/>
        </w:rPr>
        <w:t>études et le secrétariat) contribueraient à définir des méthodes de collaboration renforcée</w:t>
      </w:r>
      <w:r w:rsidR="00413258" w:rsidRPr="003B11CA">
        <w:rPr>
          <w:lang w:val="fr-FR"/>
        </w:rPr>
        <w:t>,</w:t>
      </w:r>
      <w:r w:rsidRPr="003B11CA">
        <w:rPr>
          <w:lang w:val="fr-FR"/>
        </w:rPr>
        <w:t xml:space="preserve"> afin d</w:t>
      </w:r>
      <w:r w:rsidR="00EA2F1A">
        <w:rPr>
          <w:lang w:val="fr-FR"/>
        </w:rPr>
        <w:t>'</w:t>
      </w:r>
      <w:r w:rsidRPr="003B11CA">
        <w:rPr>
          <w:lang w:val="fr-FR"/>
        </w:rPr>
        <w:t>éviter le</w:t>
      </w:r>
      <w:r w:rsidR="00413258" w:rsidRPr="003B11CA">
        <w:rPr>
          <w:lang w:val="fr-FR"/>
        </w:rPr>
        <w:t>s</w:t>
      </w:r>
      <w:r w:rsidRPr="003B11CA">
        <w:rPr>
          <w:lang w:val="fr-FR"/>
        </w:rPr>
        <w:t xml:space="preserve"> </w:t>
      </w:r>
      <w:r w:rsidR="00413258" w:rsidRPr="003B11CA">
        <w:rPr>
          <w:lang w:val="fr-FR"/>
        </w:rPr>
        <w:t>doublons</w:t>
      </w:r>
      <w:r w:rsidRPr="003B11CA">
        <w:rPr>
          <w:lang w:val="fr-FR"/>
        </w:rPr>
        <w:t xml:space="preserve"> et de </w:t>
      </w:r>
      <w:r w:rsidR="00413258" w:rsidRPr="003B11CA">
        <w:rPr>
          <w:lang w:val="fr-FR"/>
        </w:rPr>
        <w:t>faire des propositions pour la suite des travaux</w:t>
      </w:r>
      <w:r w:rsidRPr="003B11CA">
        <w:rPr>
          <w:lang w:val="fr-FR"/>
        </w:rPr>
        <w:t>.</w:t>
      </w:r>
    </w:p>
    <w:p w14:paraId="391446D9" w14:textId="35C7173F" w:rsidR="00611AAE" w:rsidRPr="003B11CA" w:rsidRDefault="00611AAE" w:rsidP="003C6056">
      <w:pPr>
        <w:rPr>
          <w:lang w:val="fr-FR"/>
        </w:rPr>
      </w:pPr>
      <w:r w:rsidRPr="003B11CA">
        <w:rPr>
          <w:lang w:val="fr-FR"/>
        </w:rPr>
        <w:t>Les participants à la réunion du Groupe ISCG ont adopté "les changements climatiques"</w:t>
      </w:r>
      <w:r w:rsidR="00413258" w:rsidRPr="003B11CA">
        <w:rPr>
          <w:lang w:val="fr-FR"/>
        </w:rPr>
        <w:t xml:space="preserve"> comme thème pilote</w:t>
      </w:r>
      <w:r w:rsidRPr="003B11CA">
        <w:rPr>
          <w:lang w:val="fr-FR"/>
        </w:rPr>
        <w:t xml:space="preserve"> pour lequel tous les Secteurs pourraient apporter leur participation et leur collaboration. </w:t>
      </w:r>
    </w:p>
    <w:p w14:paraId="59EEBD62" w14:textId="7DF2E89D" w:rsidR="00611AAE" w:rsidRPr="003B11CA" w:rsidRDefault="00611AAE" w:rsidP="003C6056">
      <w:pPr>
        <w:rPr>
          <w:lang w:val="fr-FR"/>
        </w:rPr>
      </w:pPr>
      <w:r w:rsidRPr="003B11CA">
        <w:rPr>
          <w:lang w:val="fr-FR"/>
        </w:rPr>
        <w:t>Depuis la réunion du Groupe ISCG de septembre, le secrétariat travaille afin d</w:t>
      </w:r>
      <w:r w:rsidR="00EA2F1A">
        <w:rPr>
          <w:lang w:val="fr-FR"/>
        </w:rPr>
        <w:t>'</w:t>
      </w:r>
      <w:r w:rsidRPr="003B11CA">
        <w:rPr>
          <w:lang w:val="fr-FR"/>
        </w:rPr>
        <w:t xml:space="preserve">identifier </w:t>
      </w:r>
      <w:r w:rsidR="00413258" w:rsidRPr="003B11CA">
        <w:rPr>
          <w:lang w:val="fr-FR"/>
        </w:rPr>
        <w:t>d</w:t>
      </w:r>
      <w:r w:rsidRPr="003B11CA">
        <w:rPr>
          <w:lang w:val="fr-FR"/>
        </w:rPr>
        <w:t>es domaines d</w:t>
      </w:r>
      <w:r w:rsidR="00EA2F1A">
        <w:rPr>
          <w:lang w:val="fr-FR"/>
        </w:rPr>
        <w:t>'</w:t>
      </w:r>
      <w:r w:rsidRPr="003B11CA">
        <w:rPr>
          <w:lang w:val="fr-FR"/>
        </w:rPr>
        <w:t>intérêt mutuel se rapportant aux changements climatiques.</w:t>
      </w:r>
    </w:p>
    <w:p w14:paraId="36E44E8A" w14:textId="64137F03" w:rsidR="00611AAE" w:rsidRPr="003B11CA" w:rsidRDefault="00611AAE" w:rsidP="003C6056">
      <w:pPr>
        <w:rPr>
          <w:lang w:val="fr-FR"/>
        </w:rPr>
      </w:pPr>
      <w:r w:rsidRPr="003B11CA">
        <w:rPr>
          <w:lang w:val="fr-FR"/>
        </w:rPr>
        <w:lastRenderedPageBreak/>
        <w:t>Le secrétariat a tout d</w:t>
      </w:r>
      <w:r w:rsidR="00EA2F1A">
        <w:rPr>
          <w:lang w:val="fr-FR"/>
        </w:rPr>
        <w:t>'</w:t>
      </w:r>
      <w:r w:rsidRPr="003B11CA">
        <w:rPr>
          <w:lang w:val="fr-FR"/>
        </w:rPr>
        <w:t xml:space="preserve">abord examiné la </w:t>
      </w:r>
      <w:hyperlink r:id="rId11" w:history="1">
        <w:r w:rsidRPr="003B11CA">
          <w:rPr>
            <w:rStyle w:val="Hyperlink"/>
            <w:lang w:val="fr-FR"/>
          </w:rPr>
          <w:t>Résolution 182 (Rév. Busan, 2014)</w:t>
        </w:r>
      </w:hyperlink>
      <w:r w:rsidRPr="003B11CA">
        <w:rPr>
          <w:lang w:val="fr-FR"/>
        </w:rPr>
        <w:t xml:space="preserve"> de la Conférence de plénipotentiaires sur le rôle des télécommunications/technologies de l</w:t>
      </w:r>
      <w:r w:rsidR="00EA2F1A">
        <w:rPr>
          <w:lang w:val="fr-FR"/>
        </w:rPr>
        <w:t>'</w:t>
      </w:r>
      <w:r w:rsidRPr="003B11CA">
        <w:rPr>
          <w:lang w:val="fr-FR"/>
        </w:rPr>
        <w:t>information et de la communication en ce qui concerne les changements climatiques et la protection de l</w:t>
      </w:r>
      <w:r w:rsidR="00EA2F1A">
        <w:rPr>
          <w:lang w:val="fr-FR"/>
        </w:rPr>
        <w:t>'</w:t>
      </w:r>
      <w:r w:rsidRPr="003B11CA">
        <w:rPr>
          <w:lang w:val="fr-FR"/>
        </w:rPr>
        <w:t>environnement, puis il a identifié les sous-thèmes ci-après, qui pourraient faire l</w:t>
      </w:r>
      <w:r w:rsidR="00EA2F1A">
        <w:rPr>
          <w:lang w:val="fr-FR"/>
        </w:rPr>
        <w:t>'</w:t>
      </w:r>
      <w:r w:rsidRPr="003B11CA">
        <w:rPr>
          <w:lang w:val="fr-FR"/>
        </w:rPr>
        <w:t>objet d</w:t>
      </w:r>
      <w:r w:rsidR="00EA2F1A">
        <w:rPr>
          <w:lang w:val="fr-FR"/>
        </w:rPr>
        <w:t>'</w:t>
      </w:r>
      <w:r w:rsidRPr="003B11CA">
        <w:rPr>
          <w:lang w:val="fr-FR"/>
        </w:rPr>
        <w:t>activités conjointes entre les trois Secteurs ou à un niveau bilatéral:</w:t>
      </w:r>
    </w:p>
    <w:p w14:paraId="6FA5DA39" w14:textId="51DD35C1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</w:r>
      <w:r w:rsidR="00413258" w:rsidRPr="003B11CA">
        <w:rPr>
          <w:lang w:val="fr-FR"/>
        </w:rPr>
        <w:t>E</w:t>
      </w:r>
      <w:r w:rsidR="00611AAE" w:rsidRPr="003B11CA">
        <w:rPr>
          <w:lang w:val="fr-FR"/>
        </w:rPr>
        <w:t>nvironnement</w:t>
      </w:r>
    </w:p>
    <w:p w14:paraId="48B1B198" w14:textId="4CED4183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</w:r>
      <w:r w:rsidR="00413258" w:rsidRPr="003B11CA">
        <w:rPr>
          <w:lang w:val="fr-FR"/>
        </w:rPr>
        <w:t>D</w:t>
      </w:r>
      <w:r w:rsidR="00611AAE" w:rsidRPr="003B11CA">
        <w:rPr>
          <w:lang w:val="fr-FR"/>
        </w:rPr>
        <w:t>urabilité</w:t>
      </w:r>
    </w:p>
    <w:p w14:paraId="63F6FBD8" w14:textId="58065366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</w:r>
      <w:r w:rsidR="00413258" w:rsidRPr="003B11CA">
        <w:rPr>
          <w:lang w:val="fr-FR"/>
        </w:rPr>
        <w:t>O</w:t>
      </w:r>
      <w:r w:rsidR="00611AAE" w:rsidRPr="003B11CA">
        <w:rPr>
          <w:lang w:val="fr-FR"/>
        </w:rPr>
        <w:t>bservation de la Terre</w:t>
      </w:r>
    </w:p>
    <w:p w14:paraId="15286F54" w14:textId="55C8D256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</w:r>
      <w:r w:rsidR="00413258" w:rsidRPr="003B11CA">
        <w:rPr>
          <w:lang w:val="fr-FR"/>
        </w:rPr>
        <w:t>T</w:t>
      </w:r>
      <w:r w:rsidR="00611AAE" w:rsidRPr="003B11CA">
        <w:rPr>
          <w:lang w:val="fr-FR"/>
        </w:rPr>
        <w:t>élédétection</w:t>
      </w:r>
    </w:p>
    <w:p w14:paraId="4B43A588" w14:textId="152534A7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</w:r>
      <w:r w:rsidR="00413258" w:rsidRPr="003B11CA">
        <w:rPr>
          <w:lang w:val="fr-FR"/>
        </w:rPr>
        <w:t>É</w:t>
      </w:r>
      <w:r w:rsidR="00611AAE" w:rsidRPr="003B11CA">
        <w:rPr>
          <w:lang w:val="fr-FR"/>
        </w:rPr>
        <w:t>nergie</w:t>
      </w:r>
    </w:p>
    <w:p w14:paraId="7D323F33" w14:textId="6F615E96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</w:r>
      <w:r w:rsidR="00413258" w:rsidRPr="003B11CA">
        <w:rPr>
          <w:lang w:val="fr-FR"/>
        </w:rPr>
        <w:t>E</w:t>
      </w:r>
      <w:r w:rsidR="00611AAE" w:rsidRPr="003B11CA">
        <w:rPr>
          <w:lang w:val="fr-FR"/>
        </w:rPr>
        <w:t>au</w:t>
      </w:r>
    </w:p>
    <w:p w14:paraId="0BAF7DD8" w14:textId="22504446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</w:r>
      <w:r w:rsidR="00413258" w:rsidRPr="003B11CA">
        <w:rPr>
          <w:lang w:val="fr-FR"/>
        </w:rPr>
        <w:t>D</w:t>
      </w:r>
      <w:r w:rsidR="00611AAE" w:rsidRPr="003B11CA">
        <w:rPr>
          <w:lang w:val="fr-FR"/>
        </w:rPr>
        <w:t>échets d</w:t>
      </w:r>
      <w:r w:rsidR="00EA2F1A">
        <w:rPr>
          <w:lang w:val="fr-FR"/>
        </w:rPr>
        <w:t>'</w:t>
      </w:r>
      <w:r w:rsidR="00611AAE" w:rsidRPr="003B11CA">
        <w:rPr>
          <w:lang w:val="fr-FR"/>
        </w:rPr>
        <w:t>équipements électriques et électroniques</w:t>
      </w:r>
    </w:p>
    <w:p w14:paraId="667B73C0" w14:textId="52FFAEFC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</w:r>
      <w:r w:rsidR="00413258" w:rsidRPr="003B11CA">
        <w:rPr>
          <w:lang w:val="fr-FR"/>
        </w:rPr>
        <w:t>É</w:t>
      </w:r>
      <w:r w:rsidR="00611AAE" w:rsidRPr="003B11CA">
        <w:rPr>
          <w:lang w:val="fr-FR"/>
        </w:rPr>
        <w:t>conomie circulaire</w:t>
      </w:r>
    </w:p>
    <w:p w14:paraId="29147401" w14:textId="3F67159F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</w:r>
      <w:r w:rsidR="00413258" w:rsidRPr="003B11CA">
        <w:rPr>
          <w:lang w:val="fr-FR"/>
        </w:rPr>
        <w:t>É</w:t>
      </w:r>
      <w:r w:rsidR="00611AAE" w:rsidRPr="003B11CA">
        <w:rPr>
          <w:lang w:val="fr-FR"/>
        </w:rPr>
        <w:t xml:space="preserve">missions </w:t>
      </w:r>
      <w:r w:rsidR="00413258" w:rsidRPr="003B11CA">
        <w:rPr>
          <w:lang w:val="fr-FR"/>
        </w:rPr>
        <w:t xml:space="preserve">mondiales </w:t>
      </w:r>
      <w:r w:rsidR="00611AAE" w:rsidRPr="003B11CA">
        <w:rPr>
          <w:lang w:val="fr-FR"/>
        </w:rPr>
        <w:t>de gaz à effet de serre</w:t>
      </w:r>
    </w:p>
    <w:p w14:paraId="10B30962" w14:textId="755EC995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</w:r>
      <w:r w:rsidR="00413258" w:rsidRPr="003B11CA">
        <w:rPr>
          <w:lang w:val="fr-FR"/>
        </w:rPr>
        <w:t>A</w:t>
      </w:r>
      <w:r w:rsidR="00611AAE" w:rsidRPr="003B11CA">
        <w:rPr>
          <w:lang w:val="fr-FR"/>
        </w:rPr>
        <w:t>pplications TIC.</w:t>
      </w:r>
    </w:p>
    <w:p w14:paraId="3F7B9EDD" w14:textId="3E94507B" w:rsidR="00611AAE" w:rsidRPr="003B11CA" w:rsidRDefault="00611AAE" w:rsidP="003C6056">
      <w:pPr>
        <w:rPr>
          <w:lang w:val="fr-FR"/>
        </w:rPr>
      </w:pPr>
      <w:r w:rsidRPr="003B11CA">
        <w:rPr>
          <w:lang w:val="fr-FR"/>
        </w:rPr>
        <w:t xml:space="preserve">En outre, le secrétariat élabore actuellement un tableau de correspondance </w:t>
      </w:r>
      <w:r w:rsidR="00413258" w:rsidRPr="003B11CA">
        <w:rPr>
          <w:lang w:val="fr-FR"/>
        </w:rPr>
        <w:t>de</w:t>
      </w:r>
      <w:r w:rsidRPr="003B11CA">
        <w:rPr>
          <w:lang w:val="fr-FR"/>
        </w:rPr>
        <w:t xml:space="preserve"> toutes les activités</w:t>
      </w:r>
      <w:r w:rsidR="00A76E2B">
        <w:rPr>
          <w:lang w:val="fr-FR"/>
        </w:rPr>
        <w:t> </w:t>
      </w:r>
      <w:r w:rsidRPr="003B11CA">
        <w:rPr>
          <w:lang w:val="fr-FR"/>
        </w:rPr>
        <w:t>et manifestations liées aux changements climatiques (voir le Tableau 1)</w:t>
      </w:r>
      <w:r w:rsidR="00413258" w:rsidRPr="003B11CA">
        <w:rPr>
          <w:lang w:val="fr-FR"/>
        </w:rPr>
        <w:t xml:space="preserve">, </w:t>
      </w:r>
      <w:r w:rsidRPr="003B11CA">
        <w:rPr>
          <w:lang w:val="fr-FR"/>
        </w:rPr>
        <w:t>qu</w:t>
      </w:r>
      <w:r w:rsidR="00EA2F1A">
        <w:rPr>
          <w:lang w:val="fr-FR"/>
        </w:rPr>
        <w:t>'</w:t>
      </w:r>
      <w:r w:rsidRPr="003B11CA">
        <w:rPr>
          <w:lang w:val="fr-FR"/>
        </w:rPr>
        <w:t>il soumettra</w:t>
      </w:r>
      <w:r w:rsidR="00A76E2B">
        <w:rPr>
          <w:lang w:val="fr-FR"/>
        </w:rPr>
        <w:t> </w:t>
      </w:r>
      <w:r w:rsidRPr="003B11CA">
        <w:rPr>
          <w:lang w:val="fr-FR"/>
        </w:rPr>
        <w:t>à</w:t>
      </w:r>
      <w:r w:rsidR="00A76E2B">
        <w:rPr>
          <w:lang w:val="fr-FR"/>
        </w:rPr>
        <w:t> </w:t>
      </w:r>
      <w:r w:rsidRPr="003B11CA">
        <w:rPr>
          <w:lang w:val="fr-FR"/>
        </w:rPr>
        <w:t>la réunion du Groupe ISCG qui aura lieu à l</w:t>
      </w:r>
      <w:r w:rsidR="00EA2F1A">
        <w:rPr>
          <w:lang w:val="fr-FR"/>
        </w:rPr>
        <w:t>'</w:t>
      </w:r>
      <w:r w:rsidRPr="003B11CA">
        <w:rPr>
          <w:lang w:val="fr-FR"/>
        </w:rPr>
        <w:t>occasion de la réunion du GCDT (Genève,</w:t>
      </w:r>
      <w:r w:rsidR="00A76E2B">
        <w:rPr>
          <w:lang w:val="fr-FR"/>
        </w:rPr>
        <w:t> </w:t>
      </w:r>
      <w:r w:rsidRPr="003B11CA">
        <w:rPr>
          <w:lang w:val="fr-FR"/>
        </w:rPr>
        <w:t>24</w:t>
      </w:r>
      <w:r w:rsidR="003B11CA" w:rsidRPr="003B11CA">
        <w:rPr>
          <w:lang w:val="fr-FR"/>
        </w:rPr>
        <w:noBreakHyphen/>
      </w:r>
      <w:r w:rsidRPr="003B11CA">
        <w:rPr>
          <w:lang w:val="fr-FR"/>
        </w:rPr>
        <w:t>27</w:t>
      </w:r>
      <w:r w:rsidR="003B11CA" w:rsidRPr="003B11CA">
        <w:rPr>
          <w:lang w:val="fr-FR"/>
        </w:rPr>
        <w:t> </w:t>
      </w:r>
      <w:r w:rsidRPr="003B11CA">
        <w:rPr>
          <w:lang w:val="fr-FR"/>
        </w:rPr>
        <w:t>mars</w:t>
      </w:r>
      <w:r w:rsidR="003B11CA" w:rsidRPr="003B11CA">
        <w:rPr>
          <w:lang w:val="fr-FR"/>
        </w:rPr>
        <w:t> </w:t>
      </w:r>
      <w:r w:rsidRPr="003B11CA">
        <w:rPr>
          <w:lang w:val="fr-FR"/>
        </w:rPr>
        <w:t>2020).</w:t>
      </w:r>
    </w:p>
    <w:p w14:paraId="048A48D9" w14:textId="0848044E" w:rsidR="00611AAE" w:rsidRPr="003B11CA" w:rsidRDefault="00611AAE" w:rsidP="003C6056">
      <w:pPr>
        <w:rPr>
          <w:lang w:val="fr-FR"/>
        </w:rPr>
      </w:pPr>
      <w:r w:rsidRPr="003B11CA">
        <w:rPr>
          <w:lang w:val="fr-FR"/>
        </w:rPr>
        <w:t>Toutes les informations concernant le Groupe de coordination intersectorielle sur les questions</w:t>
      </w:r>
      <w:r w:rsidR="00EA2F1A">
        <w:rPr>
          <w:lang w:val="fr-FR"/>
        </w:rPr>
        <w:t> </w:t>
      </w:r>
      <w:r w:rsidRPr="003B11CA">
        <w:rPr>
          <w:lang w:val="fr-FR"/>
        </w:rPr>
        <w:t>d</w:t>
      </w:r>
      <w:r w:rsidR="00EA2F1A">
        <w:rPr>
          <w:lang w:val="fr-FR"/>
        </w:rPr>
        <w:t>'</w:t>
      </w:r>
      <w:r w:rsidRPr="003B11CA">
        <w:rPr>
          <w:lang w:val="fr-FR"/>
        </w:rPr>
        <w:t>intérêt mutuel sont disponibles à l</w:t>
      </w:r>
      <w:r w:rsidR="00EA2F1A">
        <w:rPr>
          <w:lang w:val="fr-FR"/>
        </w:rPr>
        <w:t>'</w:t>
      </w:r>
      <w:r w:rsidRPr="003B11CA">
        <w:rPr>
          <w:lang w:val="fr-FR"/>
        </w:rPr>
        <w:t xml:space="preserve">adresse: </w:t>
      </w:r>
      <w:hyperlink r:id="rId12" w:history="1">
        <w:r w:rsidRPr="003B11CA">
          <w:rPr>
            <w:rStyle w:val="Hyperlink"/>
            <w:lang w:val="fr-FR"/>
          </w:rPr>
          <w:t>https://www.itu.int/en/general-secretariat/Pages/ISCG/default.aspx</w:t>
        </w:r>
      </w:hyperlink>
      <w:r w:rsidRPr="003B11CA">
        <w:rPr>
          <w:lang w:val="fr-FR"/>
        </w:rPr>
        <w:t>.</w:t>
      </w:r>
    </w:p>
    <w:p w14:paraId="48196806" w14:textId="77777777" w:rsidR="00611AAE" w:rsidRPr="003B11CA" w:rsidRDefault="00611AAE" w:rsidP="003C6056">
      <w:pPr>
        <w:pStyle w:val="Headingb"/>
        <w:rPr>
          <w:lang w:val="fr-FR"/>
        </w:rPr>
      </w:pPr>
      <w:r w:rsidRPr="003B11CA">
        <w:rPr>
          <w:lang w:val="fr-FR"/>
        </w:rPr>
        <w:t>Conclusion</w:t>
      </w:r>
    </w:p>
    <w:p w14:paraId="11B89B0E" w14:textId="77777777" w:rsidR="00611AAE" w:rsidRPr="003B11CA" w:rsidRDefault="00611AAE" w:rsidP="003C6056">
      <w:pPr>
        <w:rPr>
          <w:lang w:val="fr-FR"/>
        </w:rPr>
      </w:pPr>
      <w:r w:rsidRPr="003B11CA">
        <w:rPr>
          <w:lang w:val="fr-FR"/>
        </w:rPr>
        <w:t>Le GCDT est invité à examiner le présent document et à soumettre des propositions à la réunion du Groupe ISCG concernant des activités qui pourraient être menées conjointement par tous les Secteurs ou par deux Secteurs ou des mécanismes propres à renforcer la coopération.</w:t>
      </w:r>
    </w:p>
    <w:p w14:paraId="722118A3" w14:textId="7741B0B6" w:rsidR="00611AAE" w:rsidRPr="003B11CA" w:rsidRDefault="00611AAE" w:rsidP="003C6056">
      <w:pPr>
        <w:rPr>
          <w:lang w:val="fr-FR"/>
        </w:rPr>
      </w:pPr>
      <w:r w:rsidRPr="003B11CA">
        <w:rPr>
          <w:lang w:val="fr-FR"/>
        </w:rPr>
        <w:t>Les résultats des discussions tenues à la réunion du GCDT et les contributions soumises par le</w:t>
      </w:r>
      <w:r w:rsidR="00A76E2B">
        <w:rPr>
          <w:lang w:val="fr-FR"/>
        </w:rPr>
        <w:t> </w:t>
      </w:r>
      <w:r w:rsidRPr="003B11CA">
        <w:rPr>
          <w:lang w:val="fr-FR"/>
        </w:rPr>
        <w:t xml:space="preserve">GCNT et le GCR seront présentés à la réunion du Groupe ISCG qui aura lieu le </w:t>
      </w:r>
      <w:r w:rsidRPr="003B11CA">
        <w:rPr>
          <w:b/>
          <w:bCs/>
          <w:lang w:val="fr-FR"/>
        </w:rPr>
        <w:t>jeudi 26 mars de</w:t>
      </w:r>
      <w:r w:rsidR="00A76E2B">
        <w:rPr>
          <w:b/>
          <w:bCs/>
          <w:lang w:val="fr-FR"/>
        </w:rPr>
        <w:t> </w:t>
      </w:r>
      <w:r w:rsidRPr="003B11CA">
        <w:rPr>
          <w:b/>
          <w:bCs/>
          <w:lang w:val="fr-FR"/>
        </w:rPr>
        <w:t>13</w:t>
      </w:r>
      <w:r w:rsidR="00A76E2B">
        <w:rPr>
          <w:b/>
          <w:bCs/>
          <w:lang w:val="fr-FR"/>
        </w:rPr>
        <w:t> </w:t>
      </w:r>
      <w:r w:rsidRPr="003B11CA">
        <w:rPr>
          <w:b/>
          <w:bCs/>
          <w:lang w:val="fr-FR"/>
        </w:rPr>
        <w:t>h</w:t>
      </w:r>
      <w:r w:rsidR="00A76E2B">
        <w:rPr>
          <w:b/>
          <w:bCs/>
          <w:lang w:val="fr-FR"/>
        </w:rPr>
        <w:t> </w:t>
      </w:r>
      <w:r w:rsidRPr="003B11CA">
        <w:rPr>
          <w:b/>
          <w:bCs/>
          <w:lang w:val="fr-FR"/>
        </w:rPr>
        <w:t>30 à 14</w:t>
      </w:r>
      <w:r w:rsidR="00A76E2B">
        <w:rPr>
          <w:b/>
          <w:bCs/>
          <w:lang w:val="fr-FR"/>
        </w:rPr>
        <w:t> </w:t>
      </w:r>
      <w:r w:rsidRPr="003B11CA">
        <w:rPr>
          <w:b/>
          <w:bCs/>
          <w:lang w:val="fr-FR"/>
        </w:rPr>
        <w:t>h</w:t>
      </w:r>
      <w:r w:rsidR="00A76E2B">
        <w:rPr>
          <w:b/>
          <w:bCs/>
          <w:lang w:val="fr-FR"/>
        </w:rPr>
        <w:t> </w:t>
      </w:r>
      <w:r w:rsidRPr="003B11CA">
        <w:rPr>
          <w:b/>
          <w:bCs/>
          <w:lang w:val="fr-FR"/>
        </w:rPr>
        <w:t>30</w:t>
      </w:r>
      <w:r w:rsidRPr="003B11CA">
        <w:rPr>
          <w:lang w:val="fr-FR"/>
        </w:rPr>
        <w:t>.</w:t>
      </w:r>
    </w:p>
    <w:p w14:paraId="7ABB1A06" w14:textId="6165DEC8" w:rsidR="00611AAE" w:rsidRPr="003B11CA" w:rsidRDefault="00611AAE" w:rsidP="003C6056">
      <w:pPr>
        <w:rPr>
          <w:lang w:val="fr-FR"/>
        </w:rPr>
      </w:pPr>
      <w:r w:rsidRPr="003B11CA">
        <w:rPr>
          <w:lang w:val="fr-FR"/>
        </w:rPr>
        <w:t>Le Rapport soumis par le Groupe ISCG à la réunion du GCNT de septembre 2019 (Document</w:t>
      </w:r>
      <w:r w:rsidR="00A76E2B">
        <w:rPr>
          <w:lang w:val="fr-FR"/>
        </w:rPr>
        <w:t> </w:t>
      </w:r>
      <w:hyperlink r:id="rId13" w:history="1">
        <w:r w:rsidRPr="003B11CA">
          <w:rPr>
            <w:rStyle w:val="Hyperlink"/>
            <w:lang w:val="fr-FR"/>
          </w:rPr>
          <w:t>TSAG</w:t>
        </w:r>
        <w:r w:rsidR="003B11CA" w:rsidRPr="003B11CA">
          <w:rPr>
            <w:rStyle w:val="Hyperlink"/>
            <w:lang w:val="fr-FR"/>
          </w:rPr>
          <w:noBreakHyphen/>
        </w:r>
        <w:r w:rsidRPr="003B11CA">
          <w:rPr>
            <w:rStyle w:val="Hyperlink"/>
            <w:lang w:val="fr-FR"/>
          </w:rPr>
          <w:t>TD589</w:t>
        </w:r>
      </w:hyperlink>
      <w:r w:rsidRPr="003B11CA">
        <w:rPr>
          <w:lang w:val="fr-FR"/>
        </w:rPr>
        <w:t>) est disponible sur le site web du GCNT.</w:t>
      </w:r>
    </w:p>
    <w:p w14:paraId="656DED73" w14:textId="77777777" w:rsidR="00611AAE" w:rsidRPr="003B11CA" w:rsidRDefault="00611AAE" w:rsidP="003C6056">
      <w:pPr>
        <w:rPr>
          <w:lang w:val="fr-FR"/>
        </w:rPr>
      </w:pPr>
      <w:r w:rsidRPr="003B11CA">
        <w:rPr>
          <w:lang w:val="fr-FR"/>
        </w:rPr>
        <w:br w:type="page"/>
      </w:r>
    </w:p>
    <w:p w14:paraId="453B39B5" w14:textId="3A89691B" w:rsidR="00611AAE" w:rsidRPr="003B11CA" w:rsidRDefault="00611AAE" w:rsidP="00B06AA0">
      <w:pPr>
        <w:pStyle w:val="Annextitle"/>
        <w:spacing w:before="120"/>
        <w:rPr>
          <w:lang w:val="fr-FR"/>
        </w:rPr>
      </w:pPr>
      <w:r w:rsidRPr="003B11CA">
        <w:rPr>
          <w:lang w:val="fr-FR"/>
        </w:rPr>
        <w:lastRenderedPageBreak/>
        <w:t>A</w:t>
      </w:r>
      <w:r w:rsidR="00A76E2B" w:rsidRPr="003B11CA">
        <w:rPr>
          <w:lang w:val="fr-FR"/>
        </w:rPr>
        <w:t>nnexe</w:t>
      </w:r>
      <w:r w:rsidR="00A76E2B">
        <w:rPr>
          <w:lang w:val="fr-FR"/>
        </w:rPr>
        <w:br/>
      </w:r>
      <w:r w:rsidR="00A76E2B">
        <w:rPr>
          <w:lang w:val="fr-FR"/>
        </w:rPr>
        <w:br/>
        <w:t>I</w:t>
      </w:r>
      <w:r w:rsidR="00A76E2B" w:rsidRPr="003B11CA">
        <w:rPr>
          <w:lang w:val="fr-FR"/>
        </w:rPr>
        <w:t>dentification de possibles domaines d</w:t>
      </w:r>
      <w:r w:rsidR="00EA2F1A">
        <w:rPr>
          <w:lang w:val="fr-FR"/>
        </w:rPr>
        <w:t>'</w:t>
      </w:r>
      <w:r w:rsidR="00A76E2B" w:rsidRPr="003B11CA">
        <w:rPr>
          <w:lang w:val="fr-FR"/>
        </w:rPr>
        <w:t>intérêt mutuel</w:t>
      </w:r>
    </w:p>
    <w:p w14:paraId="0C21A1EF" w14:textId="2E599A63" w:rsidR="00611AAE" w:rsidRPr="00A76E2B" w:rsidRDefault="00611AAE" w:rsidP="003C6056">
      <w:pPr>
        <w:pStyle w:val="Heading1"/>
        <w:rPr>
          <w:sz w:val="24"/>
          <w:szCs w:val="24"/>
          <w:lang w:val="fr-FR"/>
        </w:rPr>
      </w:pPr>
      <w:r w:rsidRPr="00A76E2B">
        <w:rPr>
          <w:sz w:val="24"/>
          <w:szCs w:val="24"/>
          <w:lang w:val="fr-FR"/>
        </w:rPr>
        <w:t>1</w:t>
      </w:r>
      <w:r w:rsidRPr="00A76E2B">
        <w:rPr>
          <w:sz w:val="24"/>
          <w:szCs w:val="24"/>
          <w:lang w:val="fr-FR"/>
        </w:rPr>
        <w:tab/>
        <w:t>Identification de possibles domaines d</w:t>
      </w:r>
      <w:r w:rsidR="00EA2F1A">
        <w:rPr>
          <w:sz w:val="24"/>
          <w:szCs w:val="24"/>
          <w:lang w:val="fr-FR"/>
        </w:rPr>
        <w:t>'</w:t>
      </w:r>
      <w:r w:rsidRPr="00A76E2B">
        <w:rPr>
          <w:sz w:val="24"/>
          <w:szCs w:val="24"/>
          <w:lang w:val="fr-FR"/>
        </w:rPr>
        <w:t>intérêt mutuel</w:t>
      </w:r>
    </w:p>
    <w:p w14:paraId="014E04C0" w14:textId="00A214A0" w:rsidR="00611AAE" w:rsidRPr="003B11CA" w:rsidRDefault="00611AAE" w:rsidP="00A76E2B">
      <w:pPr>
        <w:rPr>
          <w:b/>
          <w:lang w:val="fr-FR"/>
        </w:rPr>
      </w:pPr>
      <w:r w:rsidRPr="003B11CA">
        <w:rPr>
          <w:lang w:val="fr-FR"/>
        </w:rPr>
        <w:t>1.1</w:t>
      </w:r>
      <w:r w:rsidRPr="003B11CA">
        <w:rPr>
          <w:lang w:val="fr-FR"/>
        </w:rPr>
        <w:tab/>
        <w:t>Le secrétariat a identifié les domaines d</w:t>
      </w:r>
      <w:r w:rsidR="00EA2F1A">
        <w:rPr>
          <w:lang w:val="fr-FR"/>
        </w:rPr>
        <w:t>'</w:t>
      </w:r>
      <w:r w:rsidRPr="003B11CA">
        <w:rPr>
          <w:lang w:val="fr-FR"/>
        </w:rPr>
        <w:t>intérêt mutuel ci-après, qui sont des domaines thématiques intéressant le Groupe spécial de coordination intersectorielle (ISC-TF):</w:t>
      </w:r>
    </w:p>
    <w:p w14:paraId="2918F2B2" w14:textId="77777777" w:rsidR="00611AAE" w:rsidRPr="003B11CA" w:rsidRDefault="00611AAE" w:rsidP="003C6056">
      <w:pPr>
        <w:rPr>
          <w:lang w:val="fr-FR"/>
        </w:rPr>
      </w:pPr>
      <w:r w:rsidRPr="003B11CA">
        <w:rPr>
          <w:lang w:val="fr-FR"/>
        </w:rPr>
        <w:t>(domaines de travail)</w:t>
      </w:r>
    </w:p>
    <w:p w14:paraId="3D23724E" w14:textId="4BE1FE86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Accessibilité</w:t>
      </w:r>
    </w:p>
    <w:p w14:paraId="13E4DEF0" w14:textId="4B55A1FA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Intelligence artificielle</w:t>
      </w:r>
    </w:p>
    <w:p w14:paraId="4E4948A5" w14:textId="7C921978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Réduction de l</w:t>
      </w:r>
      <w:r w:rsidR="00EA2F1A">
        <w:rPr>
          <w:lang w:val="fr-FR"/>
        </w:rPr>
        <w:t>'</w:t>
      </w:r>
      <w:r w:rsidR="00611AAE" w:rsidRPr="003B11CA">
        <w:rPr>
          <w:lang w:val="fr-FR"/>
        </w:rPr>
        <w:t>écart en matière de normalisation</w:t>
      </w:r>
    </w:p>
    <w:p w14:paraId="6C74C944" w14:textId="6BE8FCAD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Réseaux communautaires</w:t>
      </w:r>
    </w:p>
    <w:p w14:paraId="575A220C" w14:textId="60BC7526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Télécommunications d</w:t>
      </w:r>
      <w:r w:rsidR="00EA2F1A">
        <w:rPr>
          <w:lang w:val="fr-FR"/>
        </w:rPr>
        <w:t>'</w:t>
      </w:r>
      <w:r w:rsidR="00611AAE" w:rsidRPr="003B11CA">
        <w:rPr>
          <w:lang w:val="fr-FR"/>
        </w:rPr>
        <w:t>urgence</w:t>
      </w:r>
    </w:p>
    <w:p w14:paraId="37D91960" w14:textId="6FB18551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Environnement et villes intelligentes et durables</w:t>
      </w:r>
    </w:p>
    <w:p w14:paraId="1EAF4AC0" w14:textId="29985DEC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Égalité hommes/femmes</w:t>
      </w:r>
    </w:p>
    <w:p w14:paraId="45D3572E" w14:textId="73A674FB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Activités géospatiales</w:t>
      </w:r>
      <w:r w:rsidR="00EA2F1A">
        <w:rPr>
          <w:lang w:val="fr-FR"/>
        </w:rPr>
        <w:t>.</w:t>
      </w:r>
    </w:p>
    <w:p w14:paraId="57C458BA" w14:textId="3ABAA063" w:rsidR="00611AAE" w:rsidRPr="003B11CA" w:rsidRDefault="00611AAE" w:rsidP="003C6056">
      <w:pPr>
        <w:rPr>
          <w:lang w:val="fr-FR"/>
        </w:rPr>
      </w:pPr>
      <w:r w:rsidRPr="003B11CA">
        <w:rPr>
          <w:lang w:val="fr-FR"/>
        </w:rPr>
        <w:t>(services administratifs et services d</w:t>
      </w:r>
      <w:r w:rsidR="00EA2F1A">
        <w:rPr>
          <w:lang w:val="fr-FR"/>
        </w:rPr>
        <w:t>'</w:t>
      </w:r>
      <w:r w:rsidRPr="003B11CA">
        <w:rPr>
          <w:lang w:val="fr-FR"/>
        </w:rPr>
        <w:t>appui)</w:t>
      </w:r>
    </w:p>
    <w:p w14:paraId="228CA952" w14:textId="3D9B90C7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Communications et rédaction du site web</w:t>
      </w:r>
    </w:p>
    <w:p w14:paraId="094868CA" w14:textId="746C7A1A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Nouvelles tendances</w:t>
      </w:r>
    </w:p>
    <w:p w14:paraId="39E8B120" w14:textId="77484FD7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Membres/mobilisation des ressources/PME</w:t>
      </w:r>
    </w:p>
    <w:p w14:paraId="2EDFE4C1" w14:textId="29AD4CE8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Coordination de</w:t>
      </w:r>
      <w:r w:rsidR="00076A94" w:rsidRPr="003B11CA">
        <w:rPr>
          <w:lang w:val="fr-FR"/>
        </w:rPr>
        <w:t>s</w:t>
      </w:r>
      <w:r w:rsidR="00611AAE" w:rsidRPr="003B11CA">
        <w:rPr>
          <w:lang w:val="fr-FR"/>
        </w:rPr>
        <w:t xml:space="preserve"> manifestations.</w:t>
      </w:r>
    </w:p>
    <w:p w14:paraId="5E578891" w14:textId="55C4B908" w:rsidR="00611AAE" w:rsidRPr="003B11CA" w:rsidRDefault="00611AAE" w:rsidP="00A76E2B">
      <w:pPr>
        <w:rPr>
          <w:b/>
          <w:lang w:val="fr-FR"/>
        </w:rPr>
      </w:pPr>
      <w:r w:rsidRPr="003B11CA">
        <w:rPr>
          <w:lang w:val="fr-FR"/>
        </w:rPr>
        <w:t>1.2</w:t>
      </w:r>
      <w:r w:rsidRPr="003B11CA">
        <w:rPr>
          <w:lang w:val="fr-FR"/>
        </w:rPr>
        <w:tab/>
        <w:t>Les domaines d</w:t>
      </w:r>
      <w:r w:rsidR="00EA2F1A">
        <w:rPr>
          <w:lang w:val="fr-FR"/>
        </w:rPr>
        <w:t>'</w:t>
      </w:r>
      <w:r w:rsidRPr="003B11CA">
        <w:rPr>
          <w:lang w:val="fr-FR"/>
        </w:rPr>
        <w:t xml:space="preserve">intérêt mutuel ci-dessous, qui sont traités par des groupes intersectoriels ou des groupes </w:t>
      </w:r>
      <w:r w:rsidR="00076A94" w:rsidRPr="003B11CA">
        <w:rPr>
          <w:lang w:val="fr-FR"/>
        </w:rPr>
        <w:t>spéciaux</w:t>
      </w:r>
      <w:r w:rsidRPr="003B11CA">
        <w:rPr>
          <w:lang w:val="fr-FR"/>
        </w:rPr>
        <w:t>, ont également été identifiés:</w:t>
      </w:r>
    </w:p>
    <w:p w14:paraId="5F1F1551" w14:textId="21BC9B0D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Groupe intersectoriel sur la gouvernance de l</w:t>
      </w:r>
      <w:r w:rsidR="00EA2F1A">
        <w:rPr>
          <w:lang w:val="fr-FR"/>
        </w:rPr>
        <w:t>'</w:t>
      </w:r>
      <w:r w:rsidR="00611AAE" w:rsidRPr="003B11CA">
        <w:rPr>
          <w:lang w:val="fr-FR"/>
        </w:rPr>
        <w:t>Internet</w:t>
      </w:r>
    </w:p>
    <w:p w14:paraId="46819AD1" w14:textId="7DB4AA01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Cybersécurité/instauration de la confiance et de la sécurité dans l</w:t>
      </w:r>
      <w:r w:rsidR="00EA2F1A">
        <w:rPr>
          <w:lang w:val="fr-FR"/>
        </w:rPr>
        <w:t>'</w:t>
      </w:r>
      <w:r w:rsidR="00611AAE" w:rsidRPr="003B11CA">
        <w:rPr>
          <w:lang w:val="fr-FR"/>
        </w:rPr>
        <w:t>utilisation des TIC</w:t>
      </w:r>
    </w:p>
    <w:p w14:paraId="751D2E52" w14:textId="7420FE54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Groupe chargé de réfléchir à de nouvelles sources de recettes (Annexe 2 de la Décision 5 (Rév. Dubaï, 2018) de la Conférence de plénipotentiaires)</w:t>
      </w:r>
    </w:p>
    <w:p w14:paraId="7B86FD4A" w14:textId="4AA1168A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Groupe spécial sur le SMSI/les ODD</w:t>
      </w:r>
    </w:p>
    <w:p w14:paraId="04B009AE" w14:textId="60C64BC1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Examen et évaluation des procédures de traduction</w:t>
      </w:r>
    </w:p>
    <w:p w14:paraId="70700D2F" w14:textId="4D16D25A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 xml:space="preserve">Comité des </w:t>
      </w:r>
      <w:r w:rsidR="00076A94" w:rsidRPr="003B11CA">
        <w:rPr>
          <w:lang w:val="fr-FR"/>
        </w:rPr>
        <w:t>TIC</w:t>
      </w:r>
      <w:r w:rsidR="00611AAE" w:rsidRPr="003B11CA">
        <w:rPr>
          <w:lang w:val="fr-FR"/>
        </w:rPr>
        <w:t xml:space="preserve"> de l</w:t>
      </w:r>
      <w:r w:rsidR="00EA2F1A">
        <w:rPr>
          <w:lang w:val="fr-FR"/>
        </w:rPr>
        <w:t>'</w:t>
      </w:r>
      <w:r w:rsidR="00611AAE" w:rsidRPr="003B11CA">
        <w:rPr>
          <w:lang w:val="fr-FR"/>
        </w:rPr>
        <w:t>UIT (CTIC)</w:t>
      </w:r>
    </w:p>
    <w:p w14:paraId="15B6AE07" w14:textId="6D037B91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Comité de la politique des publications de l</w:t>
      </w:r>
      <w:r w:rsidR="00EA2F1A">
        <w:rPr>
          <w:lang w:val="fr-FR"/>
        </w:rPr>
        <w:t>'</w:t>
      </w:r>
      <w:r w:rsidR="00611AAE" w:rsidRPr="003B11CA">
        <w:rPr>
          <w:lang w:val="fr-FR"/>
        </w:rPr>
        <w:t>UIT (IPPC)</w:t>
      </w:r>
    </w:p>
    <w:p w14:paraId="1C3EF007" w14:textId="0082829A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Commission de direction du projet CRM</w:t>
      </w:r>
    </w:p>
    <w:p w14:paraId="358AF9D6" w14:textId="061DF225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Comité de direction du projet de bâtiment</w:t>
      </w:r>
    </w:p>
    <w:p w14:paraId="2F9F508C" w14:textId="1A646150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Groupe chargé des spécifications du nouveau bâtiment</w:t>
      </w:r>
    </w:p>
    <w:p w14:paraId="0DE1E17B" w14:textId="581C4951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Systèmes de contrôle d</w:t>
      </w:r>
      <w:r w:rsidR="00EA2F1A">
        <w:rPr>
          <w:lang w:val="fr-FR"/>
        </w:rPr>
        <w:t>'</w:t>
      </w:r>
      <w:r w:rsidR="00611AAE" w:rsidRPr="003B11CA">
        <w:rPr>
          <w:lang w:val="fr-FR"/>
        </w:rPr>
        <w:t>accès/gestion d</w:t>
      </w:r>
      <w:r w:rsidR="00EA2F1A">
        <w:rPr>
          <w:lang w:val="fr-FR"/>
        </w:rPr>
        <w:t>'</w:t>
      </w:r>
      <w:r w:rsidR="00611AAE" w:rsidRPr="003B11CA">
        <w:rPr>
          <w:lang w:val="fr-FR"/>
        </w:rPr>
        <w:t>identité sécurisée.</w:t>
      </w:r>
    </w:p>
    <w:p w14:paraId="2D93DE43" w14:textId="5EAC74B6" w:rsidR="00611AAE" w:rsidRPr="003B11CA" w:rsidRDefault="00611AAE" w:rsidP="00A76E2B">
      <w:pPr>
        <w:rPr>
          <w:b/>
          <w:lang w:val="fr-FR"/>
        </w:rPr>
      </w:pPr>
      <w:r w:rsidRPr="003B11CA">
        <w:rPr>
          <w:lang w:val="fr-FR"/>
        </w:rPr>
        <w:t>1.3</w:t>
      </w:r>
      <w:r w:rsidRPr="003B11CA">
        <w:rPr>
          <w:lang w:val="fr-FR"/>
        </w:rPr>
        <w:tab/>
      </w:r>
      <w:r w:rsidR="00076A94" w:rsidRPr="003B11CA">
        <w:rPr>
          <w:lang w:val="fr-FR"/>
        </w:rPr>
        <w:t>La</w:t>
      </w:r>
      <w:r w:rsidRPr="003B11CA">
        <w:rPr>
          <w:lang w:val="fr-FR"/>
        </w:rPr>
        <w:t xml:space="preserve"> mise en correspondance des </w:t>
      </w:r>
      <w:r w:rsidR="00076A94" w:rsidRPr="003B11CA">
        <w:rPr>
          <w:lang w:val="fr-FR"/>
        </w:rPr>
        <w:t>R</w:t>
      </w:r>
      <w:r w:rsidRPr="003B11CA">
        <w:rPr>
          <w:lang w:val="fr-FR"/>
        </w:rPr>
        <w:t>ésolutions de la PP, de l</w:t>
      </w:r>
      <w:r w:rsidR="00EA2F1A">
        <w:rPr>
          <w:lang w:val="fr-FR"/>
        </w:rPr>
        <w:t>'</w:t>
      </w:r>
      <w:r w:rsidRPr="003B11CA">
        <w:rPr>
          <w:lang w:val="fr-FR"/>
        </w:rPr>
        <w:t>AR/CMR, de l</w:t>
      </w:r>
      <w:r w:rsidR="00EA2F1A">
        <w:rPr>
          <w:lang w:val="fr-FR"/>
        </w:rPr>
        <w:t>'</w:t>
      </w:r>
      <w:r w:rsidRPr="003B11CA">
        <w:rPr>
          <w:lang w:val="fr-FR"/>
        </w:rPr>
        <w:t>AMNT et de la</w:t>
      </w:r>
      <w:r w:rsidR="00A76E2B">
        <w:rPr>
          <w:b/>
          <w:lang w:val="fr-FR"/>
        </w:rPr>
        <w:t> </w:t>
      </w:r>
      <w:r w:rsidRPr="003B11CA">
        <w:rPr>
          <w:lang w:val="fr-FR"/>
        </w:rPr>
        <w:t xml:space="preserve">CMDT </w:t>
      </w:r>
      <w:r w:rsidR="00076A94" w:rsidRPr="003B11CA">
        <w:rPr>
          <w:lang w:val="fr-FR"/>
        </w:rPr>
        <w:t>a permis d</w:t>
      </w:r>
      <w:r w:rsidR="00EA2F1A">
        <w:rPr>
          <w:lang w:val="fr-FR"/>
        </w:rPr>
        <w:t>'</w:t>
      </w:r>
      <w:r w:rsidR="00076A94" w:rsidRPr="003B11CA">
        <w:rPr>
          <w:lang w:val="fr-FR"/>
        </w:rPr>
        <w:t xml:space="preserve">établir que les domaines ci-après </w:t>
      </w:r>
      <w:r w:rsidRPr="003B11CA">
        <w:rPr>
          <w:lang w:val="fr-FR"/>
        </w:rPr>
        <w:t>pouva</w:t>
      </w:r>
      <w:r w:rsidR="00076A94" w:rsidRPr="003B11CA">
        <w:rPr>
          <w:lang w:val="fr-FR"/>
        </w:rPr>
        <w:t>ien</w:t>
      </w:r>
      <w:r w:rsidRPr="003B11CA">
        <w:rPr>
          <w:lang w:val="fr-FR"/>
        </w:rPr>
        <w:t>t présenter un intérêt mutuel:</w:t>
      </w:r>
    </w:p>
    <w:p w14:paraId="1CC27B1F" w14:textId="247A70DD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Procédures d</w:t>
      </w:r>
      <w:r w:rsidR="00EA2F1A">
        <w:rPr>
          <w:lang w:val="fr-FR"/>
        </w:rPr>
        <w:t>'</w:t>
      </w:r>
      <w:r w:rsidR="00611AAE" w:rsidRPr="003B11CA">
        <w:rPr>
          <w:lang w:val="fr-FR"/>
        </w:rPr>
        <w:t>appel alternatives</w:t>
      </w:r>
    </w:p>
    <w:p w14:paraId="6BFA1260" w14:textId="47CB26D2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lastRenderedPageBreak/>
        <w:t>–</w:t>
      </w:r>
      <w:r w:rsidR="00611AAE" w:rsidRPr="003B11CA">
        <w:rPr>
          <w:lang w:val="fr-FR"/>
        </w:rPr>
        <w:tab/>
        <w:t>Présence régionale</w:t>
      </w:r>
    </w:p>
    <w:p w14:paraId="739FDCF7" w14:textId="4489E545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Assistance aux pays en développement (y compris aux pays les moins avancés)</w:t>
      </w:r>
    </w:p>
    <w:p w14:paraId="56ECE5BE" w14:textId="5B9943E5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Travaux préparatoires régionaux en vue des conférences</w:t>
      </w:r>
    </w:p>
    <w:p w14:paraId="59368728" w14:textId="0ABB3A71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Accès non discriminatoire</w:t>
      </w:r>
    </w:p>
    <w:p w14:paraId="1BEC0145" w14:textId="613C60C9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Publications de l</w:t>
      </w:r>
      <w:r w:rsidR="00EA2F1A">
        <w:rPr>
          <w:lang w:val="fr-FR"/>
        </w:rPr>
        <w:t>'</w:t>
      </w:r>
      <w:r w:rsidR="00611AAE" w:rsidRPr="003B11CA">
        <w:rPr>
          <w:lang w:val="fr-FR"/>
        </w:rPr>
        <w:t>UIT</w:t>
      </w:r>
    </w:p>
    <w:p w14:paraId="47F97195" w14:textId="4740936B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Égalité hommes/femmes</w:t>
      </w:r>
    </w:p>
    <w:p w14:paraId="47873FD7" w14:textId="07F6ED9B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Plan stratégique</w:t>
      </w:r>
    </w:p>
    <w:p w14:paraId="2AA8E55C" w14:textId="2CFA21CC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Règlement des différends</w:t>
      </w:r>
    </w:p>
    <w:p w14:paraId="2C73D47D" w14:textId="031BE0AA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Planification des conférences</w:t>
      </w:r>
    </w:p>
    <w:p w14:paraId="72AB7F9F" w14:textId="439D1F67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Questions relatives à l</w:t>
      </w:r>
      <w:r w:rsidR="00EA2F1A">
        <w:rPr>
          <w:lang w:val="fr-FR"/>
        </w:rPr>
        <w:t>'</w:t>
      </w:r>
      <w:r w:rsidR="00611AAE" w:rsidRPr="003B11CA">
        <w:rPr>
          <w:lang w:val="fr-FR"/>
        </w:rPr>
        <w:t>Internet (réseaux fondés sur le protocole Internet; questions de politiques publiques internationales ayant trait à l</w:t>
      </w:r>
      <w:r w:rsidR="00EA2F1A">
        <w:rPr>
          <w:lang w:val="fr-FR"/>
        </w:rPr>
        <w:t>'</w:t>
      </w:r>
      <w:r w:rsidR="00611AAE" w:rsidRPr="003B11CA">
        <w:rPr>
          <w:lang w:val="fr-FR"/>
        </w:rPr>
        <w:t>Internet et à la gestion des ressources de l</w:t>
      </w:r>
      <w:r w:rsidR="00EA2F1A">
        <w:rPr>
          <w:lang w:val="fr-FR"/>
        </w:rPr>
        <w:t>'</w:t>
      </w:r>
      <w:r w:rsidR="00611AAE" w:rsidRPr="003B11CA">
        <w:rPr>
          <w:lang w:val="fr-FR"/>
        </w:rPr>
        <w:t>Internet; déploiement et adoption du protocole IPv6; noms de domaine (multilingues) internationalisés</w:t>
      </w:r>
      <w:r w:rsidR="00076A94" w:rsidRPr="003B11CA">
        <w:rPr>
          <w:lang w:val="fr-FR"/>
        </w:rPr>
        <w:t>)</w:t>
      </w:r>
    </w:p>
    <w:p w14:paraId="384BEA27" w14:textId="79010509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Groupes consultatifs des Secteurs</w:t>
      </w:r>
    </w:p>
    <w:p w14:paraId="5362A984" w14:textId="5FD8019C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Réduction de l</w:t>
      </w:r>
      <w:r w:rsidR="00EA2F1A">
        <w:rPr>
          <w:lang w:val="fr-FR"/>
        </w:rPr>
        <w:t>'</w:t>
      </w:r>
      <w:r w:rsidR="00611AAE" w:rsidRPr="003B11CA">
        <w:rPr>
          <w:lang w:val="fr-FR"/>
        </w:rPr>
        <w:t>écart en matière de normalisation (BSG)</w:t>
      </w:r>
    </w:p>
    <w:p w14:paraId="0B0E1482" w14:textId="3FE30EA7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Confiance et (cyber)sécurité, y compris équipes nationales d</w:t>
      </w:r>
      <w:r w:rsidR="00EA2F1A">
        <w:rPr>
          <w:lang w:val="fr-FR"/>
        </w:rPr>
        <w:t>'</w:t>
      </w:r>
      <w:r w:rsidR="00611AAE" w:rsidRPr="003B11CA">
        <w:rPr>
          <w:lang w:val="fr-FR"/>
        </w:rPr>
        <w:t>intervention en cas d</w:t>
      </w:r>
      <w:r w:rsidR="00EA2F1A">
        <w:rPr>
          <w:lang w:val="fr-FR"/>
        </w:rPr>
        <w:t>'</w:t>
      </w:r>
      <w:r w:rsidR="00611AAE" w:rsidRPr="003B11CA">
        <w:rPr>
          <w:lang w:val="fr-FR"/>
        </w:rPr>
        <w:t>incident informatique</w:t>
      </w:r>
    </w:p>
    <w:p w14:paraId="363573C1" w14:textId="52D2F581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Réduction et gestion des risques de catastrophe (y compris opérations de secours, situations d</w:t>
      </w:r>
      <w:r w:rsidR="00EA2F1A">
        <w:rPr>
          <w:lang w:val="fr-FR"/>
        </w:rPr>
        <w:t>'</w:t>
      </w:r>
      <w:r w:rsidR="00611AAE" w:rsidRPr="003B11CA">
        <w:rPr>
          <w:lang w:val="fr-FR"/>
        </w:rPr>
        <w:t>urgence, assistance humanitaire)</w:t>
      </w:r>
    </w:p>
    <w:p w14:paraId="3BA67341" w14:textId="7B58F8A1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Réseaux futurs</w:t>
      </w:r>
    </w:p>
    <w:p w14:paraId="7BA04AAB" w14:textId="4D04EB83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Réduction de la fracture numérique, société de l</w:t>
      </w:r>
      <w:r w:rsidR="00EA2F1A">
        <w:rPr>
          <w:lang w:val="fr-FR"/>
        </w:rPr>
        <w:t>'</w:t>
      </w:r>
      <w:r w:rsidR="00611AAE" w:rsidRPr="003B11CA">
        <w:rPr>
          <w:lang w:val="fr-FR"/>
        </w:rPr>
        <w:t>information inclusive</w:t>
      </w:r>
    </w:p>
    <w:p w14:paraId="4F5D7BF4" w14:textId="130951D6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</w:r>
      <w:r w:rsidR="00076A94" w:rsidRPr="003B11CA">
        <w:rPr>
          <w:lang w:val="fr-FR"/>
        </w:rPr>
        <w:t>Composition</w:t>
      </w:r>
      <w:r w:rsidR="00611AAE" w:rsidRPr="003B11CA">
        <w:rPr>
          <w:lang w:val="fr-FR"/>
        </w:rPr>
        <w:t xml:space="preserve"> des Secteurs (Membres de Secteur, Associés, établissements universitaires)</w:t>
      </w:r>
    </w:p>
    <w:p w14:paraId="506926F7" w14:textId="625278E7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SMSI et ODD</w:t>
      </w:r>
    </w:p>
    <w:p w14:paraId="6D08BE13" w14:textId="24E031D9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Règlement des télécommunications internationales (RTI), aspects réglementaires</w:t>
      </w:r>
    </w:p>
    <w:p w14:paraId="0370D1C5" w14:textId="38734C08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 xml:space="preserve">Utilisation des six langues officielles de </w:t>
      </w:r>
      <w:r w:rsidR="00076A94" w:rsidRPr="003B11CA">
        <w:rPr>
          <w:lang w:val="fr-FR"/>
        </w:rPr>
        <w:t>l</w:t>
      </w:r>
      <w:r w:rsidR="00EA2F1A">
        <w:rPr>
          <w:lang w:val="fr-FR"/>
        </w:rPr>
        <w:t>'</w:t>
      </w:r>
      <w:r w:rsidR="00076A94" w:rsidRPr="003B11CA">
        <w:rPr>
          <w:lang w:val="fr-FR"/>
        </w:rPr>
        <w:t>ONU</w:t>
      </w:r>
    </w:p>
    <w:p w14:paraId="1A2C3794" w14:textId="180ABAC6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 xml:space="preserve">Méthodes de travail électroniques, réunions </w:t>
      </w:r>
      <w:r w:rsidR="00076A94" w:rsidRPr="003B11CA">
        <w:rPr>
          <w:lang w:val="fr-FR"/>
        </w:rPr>
        <w:t>électroniques</w:t>
      </w:r>
    </w:p>
    <w:p w14:paraId="2D5CE768" w14:textId="566A082B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Accessibilité pour les personnes handicapées et les personnes ayant des besoins particuliers</w:t>
      </w:r>
    </w:p>
    <w:p w14:paraId="602654ED" w14:textId="662ED5C3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Champs électromagnétiques</w:t>
      </w:r>
    </w:p>
    <w:p w14:paraId="3994E143" w14:textId="75C1F699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Conformité et interopérabilité</w:t>
      </w:r>
    </w:p>
    <w:p w14:paraId="1F92A707" w14:textId="7CC1819C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Protection en ligne des enfants</w:t>
      </w:r>
    </w:p>
    <w:p w14:paraId="581E694B" w14:textId="6CC7EC6F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Changements climatiques</w:t>
      </w:r>
    </w:p>
    <w:p w14:paraId="21BA5377" w14:textId="6D2E8084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Cybersanté</w:t>
      </w:r>
    </w:p>
    <w:p w14:paraId="0420C151" w14:textId="5D7DC897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Utilisation illicite des TIC/contrefaçon/vol de dispositifs mobiles/(détournement, utilisation abusive des) ressources internationales de télécommunication</w:t>
      </w:r>
    </w:p>
    <w:p w14:paraId="77A50608" w14:textId="39FADC88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Protection des utilisateurs/consommateurs</w:t>
      </w:r>
    </w:p>
    <w:p w14:paraId="10E5574C" w14:textId="42AF54AC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Internet des objets (IoT)</w:t>
      </w:r>
      <w:r w:rsidR="00076A94" w:rsidRPr="003B11CA">
        <w:rPr>
          <w:lang w:val="fr-FR"/>
        </w:rPr>
        <w:t xml:space="preserve">, </w:t>
      </w:r>
      <w:r w:rsidR="00611AAE" w:rsidRPr="003B11CA">
        <w:rPr>
          <w:lang w:val="fr-FR"/>
        </w:rPr>
        <w:t>villes intelligentes</w:t>
      </w:r>
    </w:p>
    <w:p w14:paraId="4952B1C9" w14:textId="60BB2E79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Les jeunes</w:t>
      </w:r>
    </w:p>
    <w:p w14:paraId="047B482F" w14:textId="0778AFCF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Réseaux pilotés par logiciel (SDN)</w:t>
      </w:r>
    </w:p>
    <w:p w14:paraId="088CF697" w14:textId="7CF9F849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lastRenderedPageBreak/>
        <w:t>–</w:t>
      </w:r>
      <w:r w:rsidR="00611AAE" w:rsidRPr="003B11CA">
        <w:rPr>
          <w:lang w:val="fr-FR"/>
        </w:rPr>
        <w:tab/>
        <w:t>Programme Connect 2030/ connectivité large bande</w:t>
      </w:r>
    </w:p>
    <w:p w14:paraId="22DCA539" w14:textId="36210428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Environnement propice aux TIC</w:t>
      </w:r>
    </w:p>
    <w:p w14:paraId="05BB2F30" w14:textId="18E0CA51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Questions relatives aux OTT</w:t>
      </w:r>
    </w:p>
    <w:p w14:paraId="790DEFBE" w14:textId="2A5B1CD0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Réduction des disparités en matière d</w:t>
      </w:r>
      <w:r w:rsidR="00EA2F1A">
        <w:rPr>
          <w:lang w:val="fr-FR"/>
        </w:rPr>
        <w:t>'</w:t>
      </w:r>
      <w:r w:rsidR="00611AAE" w:rsidRPr="003B11CA">
        <w:rPr>
          <w:lang w:val="fr-FR"/>
        </w:rPr>
        <w:t>inclusion financière</w:t>
      </w:r>
    </w:p>
    <w:p w14:paraId="26B34BC7" w14:textId="5C59410D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Bourses</w:t>
      </w:r>
    </w:p>
    <w:p w14:paraId="476EDF98" w14:textId="07461F93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PME</w:t>
      </w:r>
    </w:p>
    <w:p w14:paraId="03849CF2" w14:textId="3B5F06A4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Désignation des présidents et vice-présidents des groupes et commissions</w:t>
      </w:r>
    </w:p>
    <w:p w14:paraId="11859169" w14:textId="66E5A973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Innovation au service de l</w:t>
      </w:r>
      <w:r w:rsidR="00EA2F1A">
        <w:rPr>
          <w:lang w:val="fr-FR"/>
        </w:rPr>
        <w:t>'</w:t>
      </w:r>
      <w:r w:rsidR="00611AAE" w:rsidRPr="003B11CA">
        <w:rPr>
          <w:lang w:val="fr-FR"/>
        </w:rPr>
        <w:t>économie et de la société numériques</w:t>
      </w:r>
    </w:p>
    <w:p w14:paraId="4C28240A" w14:textId="2A1102CB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Recherche et transfert de technologie</w:t>
      </w:r>
    </w:p>
    <w:p w14:paraId="3AFB64A2" w14:textId="77C8E7DD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Principes de taxation, qualité de service</w:t>
      </w:r>
    </w:p>
    <w:p w14:paraId="59505BE3" w14:textId="08C592F4" w:rsidR="00611AAE" w:rsidRPr="003B11CA" w:rsidRDefault="003C6056" w:rsidP="003C6056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IMT-2020/5G, réseaux mobiles.</w:t>
      </w:r>
    </w:p>
    <w:p w14:paraId="7AE206C7" w14:textId="12625F4F" w:rsidR="00611AAE" w:rsidRPr="003B11CA" w:rsidRDefault="00611AAE" w:rsidP="001A635D">
      <w:pPr>
        <w:rPr>
          <w:b/>
          <w:lang w:val="fr-FR"/>
        </w:rPr>
      </w:pPr>
      <w:r w:rsidRPr="003B11CA">
        <w:rPr>
          <w:lang w:val="fr-FR"/>
        </w:rPr>
        <w:t>1.</w:t>
      </w:r>
      <w:r w:rsidR="00AB4E7B" w:rsidRPr="003B11CA">
        <w:rPr>
          <w:lang w:val="fr-FR"/>
        </w:rPr>
        <w:t>4</w:t>
      </w:r>
      <w:r w:rsidRPr="003B11CA">
        <w:rPr>
          <w:lang w:val="fr-FR"/>
        </w:rPr>
        <w:tab/>
        <w:t>Le Groupe ISCG a élaboré la liste révisée des domaines d</w:t>
      </w:r>
      <w:r w:rsidR="00EA2F1A">
        <w:rPr>
          <w:lang w:val="fr-FR"/>
        </w:rPr>
        <w:t>'</w:t>
      </w:r>
      <w:r w:rsidRPr="003B11CA">
        <w:rPr>
          <w:lang w:val="fr-FR"/>
        </w:rPr>
        <w:t>intérêt mutuel, qu</w:t>
      </w:r>
      <w:r w:rsidR="00EA2F1A">
        <w:rPr>
          <w:lang w:val="fr-FR"/>
        </w:rPr>
        <w:t>'</w:t>
      </w:r>
      <w:r w:rsidRPr="003B11CA">
        <w:rPr>
          <w:lang w:val="fr-FR"/>
        </w:rPr>
        <w:t>elle communique ci-après:</w:t>
      </w:r>
    </w:p>
    <w:p w14:paraId="4C2AEF09" w14:textId="77777777" w:rsidR="00611AAE" w:rsidRPr="003B11CA" w:rsidRDefault="00611AAE" w:rsidP="001A635D">
      <w:pPr>
        <w:pStyle w:val="enumlev1"/>
        <w:rPr>
          <w:lang w:val="fr-FR"/>
        </w:rPr>
      </w:pPr>
      <w:r w:rsidRPr="003B11CA">
        <w:rPr>
          <w:lang w:val="fr-FR"/>
        </w:rPr>
        <w:t>1</w:t>
      </w:r>
      <w:r w:rsidRPr="003B11CA">
        <w:rPr>
          <w:lang w:val="fr-FR"/>
        </w:rPr>
        <w:tab/>
        <w:t>Participation</w:t>
      </w:r>
    </w:p>
    <w:p w14:paraId="26211818" w14:textId="03344A29" w:rsidR="00611AAE" w:rsidRPr="003B11CA" w:rsidRDefault="00611AAE" w:rsidP="001A635D">
      <w:pPr>
        <w:pStyle w:val="enumlev2"/>
        <w:tabs>
          <w:tab w:val="clear" w:pos="1191"/>
        </w:tabs>
        <w:rPr>
          <w:lang w:val="fr-FR"/>
        </w:rPr>
      </w:pPr>
      <w:r w:rsidRPr="003B11CA">
        <w:rPr>
          <w:lang w:val="fr-FR"/>
        </w:rPr>
        <w:t>1.1</w:t>
      </w:r>
      <w:r w:rsidR="001A635D">
        <w:rPr>
          <w:lang w:val="fr-FR"/>
        </w:rPr>
        <w:tab/>
      </w:r>
      <w:r w:rsidRPr="003B11CA">
        <w:rPr>
          <w:lang w:val="fr-FR"/>
        </w:rPr>
        <w:t>Participation à distance</w:t>
      </w:r>
    </w:p>
    <w:p w14:paraId="5EA612CE" w14:textId="77777777" w:rsidR="00611AAE" w:rsidRPr="003B11CA" w:rsidRDefault="00611AAE" w:rsidP="001A635D">
      <w:pPr>
        <w:pStyle w:val="enumlev2"/>
        <w:rPr>
          <w:lang w:val="fr-FR"/>
        </w:rPr>
      </w:pPr>
      <w:r w:rsidRPr="003B11CA">
        <w:rPr>
          <w:lang w:val="fr-FR"/>
        </w:rPr>
        <w:t>1.2</w:t>
      </w:r>
      <w:r w:rsidRPr="003B11CA">
        <w:rPr>
          <w:lang w:val="fr-FR"/>
        </w:rPr>
        <w:tab/>
        <w:t>Réunions électroniques, groupes de travail par correspondance électroniques</w:t>
      </w:r>
    </w:p>
    <w:p w14:paraId="242C4A9F" w14:textId="77777777" w:rsidR="00611AAE" w:rsidRPr="003B11CA" w:rsidRDefault="00611AAE" w:rsidP="001A635D">
      <w:pPr>
        <w:pStyle w:val="enumlev2"/>
        <w:rPr>
          <w:lang w:val="fr-FR"/>
        </w:rPr>
      </w:pPr>
      <w:r w:rsidRPr="003B11CA">
        <w:rPr>
          <w:lang w:val="fr-FR"/>
        </w:rPr>
        <w:t>1.3</w:t>
      </w:r>
      <w:r w:rsidRPr="003B11CA">
        <w:rPr>
          <w:lang w:val="fr-FR"/>
        </w:rPr>
        <w:tab/>
        <w:t>Participation accrue des pays en développement</w:t>
      </w:r>
    </w:p>
    <w:p w14:paraId="52376ACF" w14:textId="77777777" w:rsidR="00611AAE" w:rsidRPr="003B11CA" w:rsidRDefault="00611AAE" w:rsidP="001A635D">
      <w:pPr>
        <w:pStyle w:val="enumlev2"/>
        <w:rPr>
          <w:lang w:val="fr-FR"/>
        </w:rPr>
      </w:pPr>
      <w:r w:rsidRPr="003B11CA">
        <w:rPr>
          <w:lang w:val="fr-FR"/>
        </w:rPr>
        <w:t>1.4</w:t>
      </w:r>
      <w:r w:rsidRPr="003B11CA">
        <w:rPr>
          <w:lang w:val="fr-FR"/>
        </w:rPr>
        <w:tab/>
        <w:t>Questions relatives à la participation, y compris les tâches incombant aux Vice</w:t>
      </w:r>
      <w:r w:rsidRPr="003B11CA">
        <w:rPr>
          <w:lang w:val="fr-FR"/>
        </w:rPr>
        <w:noBreakHyphen/>
        <w:t>Présidents</w:t>
      </w:r>
    </w:p>
    <w:p w14:paraId="3309781E" w14:textId="77777777" w:rsidR="00611AAE" w:rsidRPr="003B11CA" w:rsidRDefault="00611AAE" w:rsidP="001A635D">
      <w:pPr>
        <w:pStyle w:val="enumlev2"/>
        <w:rPr>
          <w:lang w:val="fr-FR"/>
        </w:rPr>
      </w:pPr>
      <w:r w:rsidRPr="003B11CA">
        <w:rPr>
          <w:lang w:val="fr-FR"/>
        </w:rPr>
        <w:t>1.5</w:t>
      </w:r>
      <w:r w:rsidRPr="003B11CA">
        <w:rPr>
          <w:lang w:val="fr-FR"/>
        </w:rPr>
        <w:tab/>
        <w:t>Participation des non-membres</w:t>
      </w:r>
    </w:p>
    <w:p w14:paraId="0D51E67A" w14:textId="77777777" w:rsidR="00611AAE" w:rsidRPr="003B11CA" w:rsidRDefault="00611AAE" w:rsidP="001A635D">
      <w:pPr>
        <w:pStyle w:val="enumlev1"/>
        <w:rPr>
          <w:lang w:val="fr-FR"/>
        </w:rPr>
      </w:pPr>
      <w:r w:rsidRPr="003B11CA">
        <w:rPr>
          <w:lang w:val="fr-FR"/>
        </w:rPr>
        <w:t>2</w:t>
      </w:r>
      <w:r w:rsidRPr="003B11CA">
        <w:rPr>
          <w:lang w:val="fr-FR"/>
        </w:rPr>
        <w:tab/>
        <w:t>Traitement des documents</w:t>
      </w:r>
    </w:p>
    <w:p w14:paraId="1A03860D" w14:textId="77777777" w:rsidR="00611AAE" w:rsidRPr="003B11CA" w:rsidRDefault="00611AAE" w:rsidP="001A635D">
      <w:pPr>
        <w:pStyle w:val="enumlev2"/>
        <w:rPr>
          <w:lang w:val="fr-FR"/>
        </w:rPr>
      </w:pPr>
      <w:r w:rsidRPr="003B11CA">
        <w:rPr>
          <w:lang w:val="fr-FR"/>
        </w:rPr>
        <w:t>2.1</w:t>
      </w:r>
      <w:r w:rsidRPr="003B11CA">
        <w:rPr>
          <w:lang w:val="fr-FR"/>
        </w:rPr>
        <w:tab/>
        <w:t>Traitement électronique des documents</w:t>
      </w:r>
    </w:p>
    <w:p w14:paraId="143A6F40" w14:textId="77777777" w:rsidR="00611AAE" w:rsidRPr="003B11CA" w:rsidRDefault="00611AAE" w:rsidP="001A635D">
      <w:pPr>
        <w:pStyle w:val="enumlev2"/>
        <w:rPr>
          <w:lang w:val="fr-FR"/>
        </w:rPr>
      </w:pPr>
      <w:r w:rsidRPr="003B11CA">
        <w:rPr>
          <w:lang w:val="fr-FR"/>
        </w:rPr>
        <w:t>2.2</w:t>
      </w:r>
      <w:r w:rsidRPr="003B11CA">
        <w:rPr>
          <w:lang w:val="fr-FR"/>
        </w:rPr>
        <w:tab/>
        <w:t>Délais pour la soumission des contributions au secrétariat pour suite à donner</w:t>
      </w:r>
    </w:p>
    <w:p w14:paraId="20CAAB84" w14:textId="7D59FDC1" w:rsidR="00611AAE" w:rsidRPr="003B11CA" w:rsidRDefault="00611AAE" w:rsidP="001A635D">
      <w:pPr>
        <w:pStyle w:val="enumlev2"/>
        <w:rPr>
          <w:lang w:val="fr-FR"/>
        </w:rPr>
      </w:pPr>
      <w:r w:rsidRPr="003B11CA">
        <w:rPr>
          <w:lang w:val="fr-FR"/>
        </w:rPr>
        <w:t>2.3</w:t>
      </w:r>
      <w:r w:rsidRPr="003B11CA">
        <w:rPr>
          <w:lang w:val="fr-FR"/>
        </w:rPr>
        <w:tab/>
        <w:t>Accès électronique aux documents, y compris l</w:t>
      </w:r>
      <w:r w:rsidR="00EA2F1A">
        <w:rPr>
          <w:lang w:val="fr-FR"/>
        </w:rPr>
        <w:t>'</w:t>
      </w:r>
      <w:r w:rsidRPr="003B11CA">
        <w:rPr>
          <w:lang w:val="fr-FR"/>
        </w:rPr>
        <w:t>application de la politique en matière d</w:t>
      </w:r>
      <w:r w:rsidR="00EA2F1A">
        <w:rPr>
          <w:lang w:val="fr-FR"/>
        </w:rPr>
        <w:t>'</w:t>
      </w:r>
      <w:r w:rsidRPr="003B11CA">
        <w:rPr>
          <w:lang w:val="fr-FR"/>
        </w:rPr>
        <w:t>accès aux documents adoptée par le Conseil</w:t>
      </w:r>
    </w:p>
    <w:p w14:paraId="1A22A273" w14:textId="77777777" w:rsidR="00611AAE" w:rsidRPr="003B11CA" w:rsidRDefault="00611AAE" w:rsidP="001A635D">
      <w:pPr>
        <w:pStyle w:val="enumlev1"/>
        <w:rPr>
          <w:lang w:val="fr-FR"/>
        </w:rPr>
      </w:pPr>
      <w:r w:rsidRPr="003B11CA">
        <w:rPr>
          <w:lang w:val="fr-FR"/>
        </w:rPr>
        <w:t>3</w:t>
      </w:r>
      <w:r w:rsidRPr="003B11CA">
        <w:rPr>
          <w:lang w:val="fr-FR"/>
        </w:rPr>
        <w:tab/>
        <w:t>Enregistrement</w:t>
      </w:r>
    </w:p>
    <w:p w14:paraId="3DBED1CC" w14:textId="4D319FC3" w:rsidR="00611AAE" w:rsidRPr="003B11CA" w:rsidRDefault="00611AAE" w:rsidP="001A635D">
      <w:pPr>
        <w:pStyle w:val="enumlev2"/>
        <w:rPr>
          <w:lang w:val="fr-FR"/>
        </w:rPr>
      </w:pPr>
      <w:r w:rsidRPr="003B11CA">
        <w:rPr>
          <w:lang w:val="fr-FR"/>
        </w:rPr>
        <w:t>3.1</w:t>
      </w:r>
      <w:r w:rsidRPr="003B11CA">
        <w:rPr>
          <w:lang w:val="fr-FR"/>
        </w:rPr>
        <w:tab/>
        <w:t>Harmonisation de l</w:t>
      </w:r>
      <w:r w:rsidR="00EA2F1A">
        <w:rPr>
          <w:lang w:val="fr-FR"/>
        </w:rPr>
        <w:t>'</w:t>
      </w:r>
      <w:r w:rsidRPr="003B11CA">
        <w:rPr>
          <w:lang w:val="fr-FR"/>
        </w:rPr>
        <w:t>enregistrement</w:t>
      </w:r>
    </w:p>
    <w:p w14:paraId="5C83458A" w14:textId="77777777" w:rsidR="00611AAE" w:rsidRPr="003B11CA" w:rsidRDefault="00611AAE" w:rsidP="001A635D">
      <w:pPr>
        <w:pStyle w:val="enumlev2"/>
        <w:rPr>
          <w:lang w:val="fr-FR"/>
        </w:rPr>
      </w:pPr>
      <w:r w:rsidRPr="003B11CA">
        <w:rPr>
          <w:lang w:val="fr-FR"/>
        </w:rPr>
        <w:t>3.2</w:t>
      </w:r>
      <w:r w:rsidRPr="003B11CA">
        <w:rPr>
          <w:lang w:val="fr-FR"/>
        </w:rPr>
        <w:tab/>
        <w:t>Enregistrement des participants aux réunions, y compris des participants à distance</w:t>
      </w:r>
    </w:p>
    <w:p w14:paraId="330FB572" w14:textId="42F621C5" w:rsidR="00611AAE" w:rsidRPr="003B11CA" w:rsidRDefault="00611AAE" w:rsidP="001A635D">
      <w:pPr>
        <w:pStyle w:val="enumlev1"/>
        <w:rPr>
          <w:lang w:val="fr-FR"/>
        </w:rPr>
      </w:pPr>
      <w:r w:rsidRPr="003B11CA">
        <w:rPr>
          <w:lang w:val="fr-FR"/>
        </w:rPr>
        <w:t>4</w:t>
      </w:r>
      <w:r w:rsidRPr="003B11CA">
        <w:rPr>
          <w:lang w:val="fr-FR"/>
        </w:rPr>
        <w:tab/>
        <w:t>Amélioration des pages web de l</w:t>
      </w:r>
      <w:r w:rsidR="00EA2F1A">
        <w:rPr>
          <w:lang w:val="fr-FR"/>
        </w:rPr>
        <w:t>'</w:t>
      </w:r>
      <w:r w:rsidRPr="003B11CA">
        <w:rPr>
          <w:lang w:val="fr-FR"/>
        </w:rPr>
        <w:t>UIT dans les langues officielles de l</w:t>
      </w:r>
      <w:r w:rsidR="00EA2F1A">
        <w:rPr>
          <w:lang w:val="fr-FR"/>
        </w:rPr>
        <w:t>'</w:t>
      </w:r>
      <w:r w:rsidRPr="003B11CA">
        <w:rPr>
          <w:lang w:val="fr-FR"/>
        </w:rPr>
        <w:t>Union compte tenu des bonnes pratiques</w:t>
      </w:r>
    </w:p>
    <w:p w14:paraId="7CB0A8FB" w14:textId="77777777" w:rsidR="00611AAE" w:rsidRPr="003B11CA" w:rsidRDefault="00611AAE" w:rsidP="001A635D">
      <w:pPr>
        <w:pStyle w:val="enumlev2"/>
        <w:rPr>
          <w:lang w:val="fr-FR"/>
        </w:rPr>
      </w:pPr>
      <w:r w:rsidRPr="003B11CA">
        <w:rPr>
          <w:lang w:val="fr-FR"/>
        </w:rPr>
        <w:t>4.1</w:t>
      </w:r>
      <w:r w:rsidRPr="003B11CA">
        <w:rPr>
          <w:lang w:val="fr-FR"/>
        </w:rPr>
        <w:tab/>
        <w:t>Questions linguistiques</w:t>
      </w:r>
    </w:p>
    <w:p w14:paraId="204FABD5" w14:textId="77777777" w:rsidR="00611AAE" w:rsidRPr="003B11CA" w:rsidRDefault="00611AAE" w:rsidP="001A635D">
      <w:pPr>
        <w:pStyle w:val="enumlev1"/>
        <w:rPr>
          <w:lang w:val="fr-FR"/>
        </w:rPr>
      </w:pPr>
      <w:r w:rsidRPr="003B11CA">
        <w:rPr>
          <w:lang w:val="fr-FR"/>
        </w:rPr>
        <w:t>5</w:t>
      </w:r>
      <w:r w:rsidRPr="003B11CA">
        <w:rPr>
          <w:lang w:val="fr-FR"/>
        </w:rPr>
        <w:tab/>
        <w:t>Planification des réunions</w:t>
      </w:r>
    </w:p>
    <w:p w14:paraId="2B7FCD97" w14:textId="77777777" w:rsidR="00611AAE" w:rsidRPr="003B11CA" w:rsidRDefault="00611AAE" w:rsidP="001A635D">
      <w:pPr>
        <w:pStyle w:val="enumlev2"/>
        <w:rPr>
          <w:lang w:val="fr-FR"/>
        </w:rPr>
      </w:pPr>
      <w:r w:rsidRPr="003B11CA">
        <w:rPr>
          <w:lang w:val="fr-FR"/>
        </w:rPr>
        <w:t>5.1</w:t>
      </w:r>
      <w:r w:rsidRPr="003B11CA">
        <w:rPr>
          <w:lang w:val="fr-FR"/>
        </w:rPr>
        <w:tab/>
        <w:t>Préparation aux conférences et réunions</w:t>
      </w:r>
    </w:p>
    <w:p w14:paraId="60FEF112" w14:textId="59E2F9BE" w:rsidR="00611AAE" w:rsidRPr="003B11CA" w:rsidRDefault="00611AAE" w:rsidP="001A635D">
      <w:pPr>
        <w:pStyle w:val="enumlev2"/>
        <w:rPr>
          <w:lang w:val="fr-FR"/>
        </w:rPr>
      </w:pPr>
      <w:r w:rsidRPr="003B11CA">
        <w:rPr>
          <w:lang w:val="fr-FR"/>
        </w:rPr>
        <w:t>5.2</w:t>
      </w:r>
      <w:r w:rsidRPr="003B11CA">
        <w:rPr>
          <w:lang w:val="fr-FR"/>
        </w:rPr>
        <w:tab/>
        <w:t>Poursuite de l</w:t>
      </w:r>
      <w:r w:rsidR="00EA2F1A">
        <w:rPr>
          <w:lang w:val="fr-FR"/>
        </w:rPr>
        <w:t>'</w:t>
      </w:r>
      <w:r w:rsidRPr="003B11CA">
        <w:rPr>
          <w:lang w:val="fr-FR"/>
        </w:rPr>
        <w:t>amélioration et de l</w:t>
      </w:r>
      <w:r w:rsidR="00EA2F1A">
        <w:rPr>
          <w:lang w:val="fr-FR"/>
        </w:rPr>
        <w:t>'</w:t>
      </w:r>
      <w:r w:rsidRPr="003B11CA">
        <w:rPr>
          <w:lang w:val="fr-FR"/>
        </w:rPr>
        <w:t>optimisation des séminaires/colloques/ateliers/du renforcement des capacités</w:t>
      </w:r>
    </w:p>
    <w:p w14:paraId="2F7329DD" w14:textId="77777777" w:rsidR="00611AAE" w:rsidRPr="003B11CA" w:rsidRDefault="00611AAE" w:rsidP="001A635D">
      <w:pPr>
        <w:pStyle w:val="enumlev2"/>
        <w:rPr>
          <w:lang w:val="fr-FR"/>
        </w:rPr>
      </w:pPr>
      <w:r w:rsidRPr="003B11CA">
        <w:rPr>
          <w:lang w:val="fr-FR"/>
        </w:rPr>
        <w:t>5.3</w:t>
      </w:r>
      <w:r w:rsidRPr="003B11CA">
        <w:rPr>
          <w:lang w:val="fr-FR"/>
        </w:rPr>
        <w:tab/>
        <w:t>Collaboration et coopération concernant les manifestations</w:t>
      </w:r>
    </w:p>
    <w:p w14:paraId="7019D375" w14:textId="2CA6435C" w:rsidR="00611AAE" w:rsidRPr="003B11CA" w:rsidRDefault="00611AAE" w:rsidP="001A635D">
      <w:pPr>
        <w:pStyle w:val="enumlev1"/>
        <w:rPr>
          <w:lang w:val="fr-FR"/>
        </w:rPr>
      </w:pPr>
      <w:r w:rsidRPr="003B11CA">
        <w:rPr>
          <w:lang w:val="fr-FR"/>
        </w:rPr>
        <w:t>6</w:t>
      </w:r>
      <w:r w:rsidRPr="003B11CA">
        <w:rPr>
          <w:lang w:val="fr-FR"/>
        </w:rPr>
        <w:tab/>
        <w:t>Procédures simplifiées d</w:t>
      </w:r>
      <w:r w:rsidR="00EA2F1A">
        <w:rPr>
          <w:lang w:val="fr-FR"/>
        </w:rPr>
        <w:t>'</w:t>
      </w:r>
      <w:r w:rsidRPr="003B11CA">
        <w:rPr>
          <w:lang w:val="fr-FR"/>
        </w:rPr>
        <w:t>établissement d</w:t>
      </w:r>
      <w:r w:rsidR="00EA2F1A">
        <w:rPr>
          <w:lang w:val="fr-FR"/>
        </w:rPr>
        <w:t>'</w:t>
      </w:r>
      <w:r w:rsidRPr="003B11CA">
        <w:rPr>
          <w:lang w:val="fr-FR"/>
        </w:rPr>
        <w:t>un Groupe du Rapporteur intersectoriel (GRI)</w:t>
      </w:r>
    </w:p>
    <w:p w14:paraId="29D216FB" w14:textId="77777777" w:rsidR="00611AAE" w:rsidRPr="003B11CA" w:rsidRDefault="00611AAE" w:rsidP="001A635D">
      <w:pPr>
        <w:pStyle w:val="enumlev2"/>
        <w:rPr>
          <w:lang w:val="fr-FR"/>
        </w:rPr>
      </w:pPr>
      <w:r w:rsidRPr="003B11CA">
        <w:rPr>
          <w:lang w:val="fr-FR"/>
        </w:rPr>
        <w:t>6.1</w:t>
      </w:r>
      <w:r w:rsidRPr="003B11CA">
        <w:rPr>
          <w:lang w:val="fr-FR"/>
        </w:rPr>
        <w:tab/>
        <w:t>Traitement des notes de liaison des Groupes du Rapporteur intersectoriels</w:t>
      </w:r>
    </w:p>
    <w:p w14:paraId="7BC86F2D" w14:textId="77777777" w:rsidR="00611AAE" w:rsidRPr="003B11CA" w:rsidRDefault="00611AAE" w:rsidP="001A635D">
      <w:pPr>
        <w:pStyle w:val="enumlev1"/>
        <w:rPr>
          <w:lang w:val="fr-FR"/>
        </w:rPr>
      </w:pPr>
      <w:r w:rsidRPr="003B11CA">
        <w:rPr>
          <w:lang w:val="fr-FR"/>
        </w:rPr>
        <w:lastRenderedPageBreak/>
        <w:t>7</w:t>
      </w:r>
      <w:r w:rsidRPr="003B11CA">
        <w:rPr>
          <w:lang w:val="fr-FR"/>
        </w:rPr>
        <w:tab/>
        <w:t>Identification des questions techniques présentant un intérêt commun</w:t>
      </w:r>
    </w:p>
    <w:p w14:paraId="535E02F0" w14:textId="315F8061" w:rsidR="00611AAE" w:rsidRPr="003B11CA" w:rsidRDefault="00611AAE" w:rsidP="001A635D">
      <w:pPr>
        <w:pStyle w:val="enumlev1"/>
        <w:rPr>
          <w:lang w:val="fr-FR"/>
        </w:rPr>
      </w:pPr>
      <w:r w:rsidRPr="003B11CA">
        <w:rPr>
          <w:lang w:val="fr-FR"/>
        </w:rPr>
        <w:t>8</w:t>
      </w:r>
      <w:r w:rsidRPr="003B11CA">
        <w:rPr>
          <w:lang w:val="fr-FR"/>
        </w:rPr>
        <w:tab/>
        <w:t>Échange d</w:t>
      </w:r>
      <w:r w:rsidR="00EA2F1A">
        <w:rPr>
          <w:lang w:val="fr-FR"/>
        </w:rPr>
        <w:t>'</w:t>
      </w:r>
      <w:r w:rsidRPr="003B11CA">
        <w:rPr>
          <w:lang w:val="fr-FR"/>
        </w:rPr>
        <w:t>informations sur les activités liées aux études</w:t>
      </w:r>
    </w:p>
    <w:p w14:paraId="58A3991D" w14:textId="379ECA9A" w:rsidR="00611AAE" w:rsidRPr="003B11CA" w:rsidRDefault="00611AAE" w:rsidP="001A635D">
      <w:pPr>
        <w:pStyle w:val="enumlev2"/>
        <w:rPr>
          <w:lang w:val="fr-FR"/>
        </w:rPr>
      </w:pPr>
      <w:r w:rsidRPr="003B11CA">
        <w:rPr>
          <w:lang w:val="fr-FR"/>
        </w:rPr>
        <w:t>8.1</w:t>
      </w:r>
      <w:r w:rsidRPr="003B11CA">
        <w:rPr>
          <w:lang w:val="fr-FR"/>
        </w:rPr>
        <w:tab/>
        <w:t>Amélioration de l</w:t>
      </w:r>
      <w:r w:rsidR="00EA2F1A">
        <w:rPr>
          <w:lang w:val="fr-FR"/>
        </w:rPr>
        <w:t>'</w:t>
      </w:r>
      <w:r w:rsidRPr="003B11CA">
        <w:rPr>
          <w:lang w:val="fr-FR"/>
        </w:rPr>
        <w:t>interaction entre les groupes de travail et les commissions d</w:t>
      </w:r>
      <w:r w:rsidR="00EA2F1A">
        <w:rPr>
          <w:lang w:val="fr-FR"/>
        </w:rPr>
        <w:t>'</w:t>
      </w:r>
      <w:r w:rsidRPr="003B11CA">
        <w:rPr>
          <w:lang w:val="fr-FR"/>
        </w:rPr>
        <w:t>études des différents Secteurs</w:t>
      </w:r>
    </w:p>
    <w:p w14:paraId="1735C4E8" w14:textId="77777777" w:rsidR="00611AAE" w:rsidRPr="003B11CA" w:rsidRDefault="00611AAE" w:rsidP="001A635D">
      <w:pPr>
        <w:pStyle w:val="enumlev1"/>
        <w:rPr>
          <w:lang w:val="fr-FR"/>
        </w:rPr>
      </w:pPr>
      <w:r w:rsidRPr="003B11CA">
        <w:rPr>
          <w:lang w:val="fr-FR"/>
        </w:rPr>
        <w:t>9</w:t>
      </w:r>
      <w:r w:rsidRPr="003B11CA">
        <w:rPr>
          <w:lang w:val="fr-FR"/>
        </w:rPr>
        <w:tab/>
        <w:t>Méthodes de travail (Résolution 1) des trois Secteurs et application des bonnes pratiques</w:t>
      </w:r>
    </w:p>
    <w:p w14:paraId="04CFA3D2" w14:textId="77777777" w:rsidR="00611AAE" w:rsidRPr="003B11CA" w:rsidRDefault="00611AAE" w:rsidP="001A635D">
      <w:pPr>
        <w:pStyle w:val="enumlev1"/>
        <w:rPr>
          <w:lang w:val="fr-FR"/>
        </w:rPr>
      </w:pPr>
      <w:r w:rsidRPr="003B11CA">
        <w:rPr>
          <w:lang w:val="fr-FR"/>
        </w:rPr>
        <w:t>10</w:t>
      </w:r>
      <w:r w:rsidRPr="003B11CA">
        <w:rPr>
          <w:lang w:val="fr-FR"/>
        </w:rPr>
        <w:tab/>
        <w:t>Membres des Secteurs</w:t>
      </w:r>
    </w:p>
    <w:p w14:paraId="2CCC50DC" w14:textId="653271DC" w:rsidR="00611AAE" w:rsidRPr="003B11CA" w:rsidRDefault="00611AAE" w:rsidP="001A635D">
      <w:pPr>
        <w:rPr>
          <w:b/>
          <w:lang w:val="fr-FR"/>
        </w:rPr>
      </w:pPr>
      <w:r w:rsidRPr="003B11CA">
        <w:rPr>
          <w:lang w:val="fr-FR"/>
        </w:rPr>
        <w:t>1.5</w:t>
      </w:r>
      <w:r w:rsidRPr="003B11CA">
        <w:rPr>
          <w:lang w:val="fr-FR"/>
        </w:rPr>
        <w:tab/>
        <w:t>Les questions ci-après présentant un intérêt mutuel pour les trois Secteur</w:t>
      </w:r>
      <w:r w:rsidR="00EA2F1A">
        <w:rPr>
          <w:lang w:val="fr-FR"/>
        </w:rPr>
        <w:t>s</w:t>
      </w:r>
      <w:r w:rsidRPr="003B11CA">
        <w:rPr>
          <w:lang w:val="fr-FR"/>
        </w:rPr>
        <w:t xml:space="preserve"> sont également traitées par un </w:t>
      </w:r>
      <w:r w:rsidR="00076A94" w:rsidRPr="003B11CA">
        <w:rPr>
          <w:lang w:val="fr-FR"/>
        </w:rPr>
        <w:t>G</w:t>
      </w:r>
      <w:r w:rsidRPr="003B11CA">
        <w:rPr>
          <w:lang w:val="fr-FR"/>
        </w:rPr>
        <w:t>roupe de travail du Conseil ou un groupe d</w:t>
      </w:r>
      <w:r w:rsidR="00EA2F1A">
        <w:rPr>
          <w:lang w:val="fr-FR"/>
        </w:rPr>
        <w:t>'</w:t>
      </w:r>
      <w:r w:rsidRPr="003B11CA">
        <w:rPr>
          <w:lang w:val="fr-FR"/>
        </w:rPr>
        <w:t>expert</w:t>
      </w:r>
      <w:r w:rsidR="00076A94" w:rsidRPr="003B11CA">
        <w:rPr>
          <w:lang w:val="fr-FR"/>
        </w:rPr>
        <w:t>s</w:t>
      </w:r>
      <w:r w:rsidRPr="003B11CA">
        <w:rPr>
          <w:lang w:val="fr-FR"/>
        </w:rPr>
        <w:t xml:space="preserve"> existant (ou établi il y a peu):</w:t>
      </w:r>
    </w:p>
    <w:p w14:paraId="3546C9C9" w14:textId="6102A9A6" w:rsidR="00611AAE" w:rsidRPr="003B11CA" w:rsidRDefault="00BF7B35" w:rsidP="00BF7B35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Ressources humaines et ressources financières</w:t>
      </w:r>
    </w:p>
    <w:p w14:paraId="77B7F0E5" w14:textId="4ACDFA23" w:rsidR="00611AAE" w:rsidRPr="003B11CA" w:rsidRDefault="00BF7B35" w:rsidP="00BF7B35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Questions de politiques publiques internationales relatives à l</w:t>
      </w:r>
      <w:r w:rsidR="00EA2F1A">
        <w:rPr>
          <w:lang w:val="fr-FR"/>
        </w:rPr>
        <w:t>'</w:t>
      </w:r>
      <w:r w:rsidR="00611AAE" w:rsidRPr="003B11CA">
        <w:rPr>
          <w:lang w:val="fr-FR"/>
        </w:rPr>
        <w:t>Internet</w:t>
      </w:r>
    </w:p>
    <w:p w14:paraId="66A168F7" w14:textId="0D34B9AB" w:rsidR="00611AAE" w:rsidRPr="003B11CA" w:rsidRDefault="00BF7B35" w:rsidP="00BF7B35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SMSI et ODD</w:t>
      </w:r>
    </w:p>
    <w:p w14:paraId="5944BB99" w14:textId="7A144A7C" w:rsidR="00611AAE" w:rsidRPr="003B11CA" w:rsidRDefault="00BF7B35" w:rsidP="00BF7B35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Protection en ligne des enfant</w:t>
      </w:r>
      <w:r w:rsidR="00076A94" w:rsidRPr="003B11CA">
        <w:rPr>
          <w:lang w:val="fr-FR"/>
        </w:rPr>
        <w:t>s</w:t>
      </w:r>
    </w:p>
    <w:p w14:paraId="3CDDBDB1" w14:textId="75E3207C" w:rsidR="00611AAE" w:rsidRPr="003B11CA" w:rsidRDefault="00BF7B35" w:rsidP="00BF7B35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Utilisation des six langues officielles de l</w:t>
      </w:r>
      <w:r w:rsidR="00EA2F1A">
        <w:rPr>
          <w:lang w:val="fr-FR"/>
        </w:rPr>
        <w:t>'</w:t>
      </w:r>
      <w:r w:rsidR="00611AAE" w:rsidRPr="003B11CA">
        <w:rPr>
          <w:lang w:val="fr-FR"/>
        </w:rPr>
        <w:t>Union</w:t>
      </w:r>
    </w:p>
    <w:p w14:paraId="21C2F25D" w14:textId="7BB61DDB" w:rsidR="00611AAE" w:rsidRPr="003B11CA" w:rsidRDefault="00BF7B35" w:rsidP="00BF7B35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Décision 482 (recouvrement des coûts pour le traitement des fiches de notification des réseaux à satellite)</w:t>
      </w:r>
    </w:p>
    <w:p w14:paraId="4ED8A310" w14:textId="7F660627" w:rsidR="00611AAE" w:rsidRPr="003B11CA" w:rsidRDefault="00BF7B35" w:rsidP="00BF7B35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RTI</w:t>
      </w:r>
    </w:p>
    <w:p w14:paraId="67F48F60" w14:textId="42349A59" w:rsidR="00611AAE" w:rsidRPr="003B11CA" w:rsidRDefault="00BF7B35" w:rsidP="00BF7B35">
      <w:pPr>
        <w:pStyle w:val="enumlev1"/>
        <w:rPr>
          <w:lang w:val="fr-FR"/>
        </w:rPr>
      </w:pPr>
      <w:r w:rsidRPr="003B11CA">
        <w:rPr>
          <w:lang w:val="fr-FR"/>
        </w:rPr>
        <w:t>–</w:t>
      </w:r>
      <w:r w:rsidR="00611AAE" w:rsidRPr="003B11CA">
        <w:rPr>
          <w:lang w:val="fr-FR"/>
        </w:rPr>
        <w:tab/>
        <w:t>Plan stratégique et plan financier de l</w:t>
      </w:r>
      <w:r w:rsidR="00EA2F1A">
        <w:rPr>
          <w:lang w:val="fr-FR"/>
        </w:rPr>
        <w:t>'</w:t>
      </w:r>
      <w:r w:rsidR="00611AAE" w:rsidRPr="003B11CA">
        <w:rPr>
          <w:lang w:val="fr-FR"/>
        </w:rPr>
        <w:t>Union</w:t>
      </w:r>
      <w:r w:rsidR="003C6056" w:rsidRPr="003B11CA">
        <w:rPr>
          <w:lang w:val="fr-FR"/>
        </w:rPr>
        <w:t>.</w:t>
      </w:r>
    </w:p>
    <w:p w14:paraId="2C2D4BAA" w14:textId="77777777" w:rsidR="00611AAE" w:rsidRPr="003B11CA" w:rsidRDefault="00611AAE" w:rsidP="003C6056">
      <w:pPr>
        <w:rPr>
          <w:lang w:val="fr-FR"/>
        </w:rPr>
        <w:sectPr w:rsidR="00611AAE" w:rsidRPr="003B11CA" w:rsidSect="00473791">
          <w:headerReference w:type="default" r:id="rId14"/>
          <w:footerReference w:type="default" r:id="rId15"/>
          <w:footerReference w:type="first" r:id="rId16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  <w:docGrid w:linePitch="326"/>
        </w:sectPr>
      </w:pPr>
    </w:p>
    <w:p w14:paraId="60BC80E9" w14:textId="018718B9" w:rsidR="00611AAE" w:rsidRPr="003B11CA" w:rsidRDefault="00611AAE" w:rsidP="001A635D">
      <w:pPr>
        <w:pStyle w:val="Tabletitle"/>
        <w:spacing w:before="240"/>
        <w:rPr>
          <w:lang w:val="fr-FR"/>
        </w:rPr>
      </w:pPr>
      <w:r w:rsidRPr="003B11CA">
        <w:rPr>
          <w:lang w:val="fr-FR"/>
        </w:rPr>
        <w:lastRenderedPageBreak/>
        <w:t>Mise en correspondance des activités de l</w:t>
      </w:r>
      <w:r w:rsidR="00EA2F1A">
        <w:rPr>
          <w:lang w:val="fr-FR"/>
        </w:rPr>
        <w:t>'</w:t>
      </w:r>
      <w:r w:rsidRPr="003B11CA">
        <w:rPr>
          <w:lang w:val="fr-FR"/>
        </w:rPr>
        <w:t>UIT-R, de l</w:t>
      </w:r>
      <w:r w:rsidR="00EA2F1A">
        <w:rPr>
          <w:lang w:val="fr-FR"/>
        </w:rPr>
        <w:t>'</w:t>
      </w:r>
      <w:r w:rsidRPr="003B11CA">
        <w:rPr>
          <w:lang w:val="fr-FR"/>
        </w:rPr>
        <w:t>UIT-T et de l</w:t>
      </w:r>
      <w:r w:rsidR="00EA2F1A">
        <w:rPr>
          <w:lang w:val="fr-FR"/>
        </w:rPr>
        <w:t>'</w:t>
      </w:r>
      <w:r w:rsidRPr="003B11CA">
        <w:rPr>
          <w:lang w:val="fr-FR"/>
        </w:rPr>
        <w:t>UIT-D liées aux "changements climatiques"</w:t>
      </w:r>
    </w:p>
    <w:p w14:paraId="3AAA67C7" w14:textId="77777777" w:rsidR="00611AAE" w:rsidRPr="003B11CA" w:rsidRDefault="00611AAE" w:rsidP="0053287A">
      <w:pPr>
        <w:pStyle w:val="Tabletitle"/>
        <w:rPr>
          <w:lang w:val="fr-FR"/>
        </w:rPr>
      </w:pPr>
      <w:r w:rsidRPr="003B11CA">
        <w:rPr>
          <w:lang w:val="fr-FR"/>
        </w:rPr>
        <w:t>Tableau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260"/>
        <w:gridCol w:w="4063"/>
        <w:gridCol w:w="3976"/>
      </w:tblGrid>
      <w:tr w:rsidR="00611AAE" w:rsidRPr="003B11CA" w14:paraId="73B59BBC" w14:textId="77777777" w:rsidTr="00EA2F1A">
        <w:trPr>
          <w:trHeight w:val="600"/>
          <w:tblHeader/>
        </w:trPr>
        <w:tc>
          <w:tcPr>
            <w:tcW w:w="2689" w:type="dxa"/>
            <w:hideMark/>
          </w:tcPr>
          <w:p w14:paraId="365BFDCF" w14:textId="611D6036" w:rsidR="00611AAE" w:rsidRPr="003B11CA" w:rsidRDefault="004F7489" w:rsidP="001A635D">
            <w:pPr>
              <w:pStyle w:val="Tablehead"/>
              <w:rPr>
                <w:bCs/>
                <w:lang w:val="fr-FR"/>
              </w:rPr>
            </w:pPr>
            <w:hyperlink r:id="rId17" w:history="1">
              <w:r w:rsidR="00611AAE" w:rsidRPr="003B11CA">
                <w:rPr>
                  <w:rStyle w:val="Hyperlink"/>
                  <w:bCs/>
                  <w:lang w:val="fr-FR"/>
                </w:rPr>
                <w:t>Résolution 182</w:t>
              </w:r>
              <w:r w:rsidR="0053287A" w:rsidRPr="003B11CA">
                <w:rPr>
                  <w:rStyle w:val="Hyperlink"/>
                  <w:bCs/>
                  <w:lang w:val="fr-FR"/>
                </w:rPr>
                <w:t xml:space="preserve"> </w:t>
              </w:r>
              <w:r w:rsidR="00611AAE" w:rsidRPr="003B11CA">
                <w:rPr>
                  <w:rStyle w:val="Hyperlink"/>
                  <w:bCs/>
                  <w:lang w:val="fr-FR"/>
                </w:rPr>
                <w:t>(Rév. Busan</w:t>
              </w:r>
              <w:r w:rsidR="00EA2F1A">
                <w:rPr>
                  <w:rStyle w:val="Hyperlink"/>
                  <w:bCs/>
                  <w:lang w:val="fr-FR"/>
                </w:rPr>
                <w:t>,</w:t>
              </w:r>
              <w:r w:rsidR="00611AAE" w:rsidRPr="003B11CA">
                <w:rPr>
                  <w:rStyle w:val="Hyperlink"/>
                  <w:bCs/>
                  <w:lang w:val="fr-FR"/>
                </w:rPr>
                <w:t xml:space="preserve"> 2014)</w:t>
              </w:r>
            </w:hyperlink>
            <w:r w:rsidR="00611AAE" w:rsidRPr="00EA2F1A">
              <w:rPr>
                <w:bCs/>
                <w:lang w:val="fr-FR"/>
              </w:rPr>
              <w:t xml:space="preserve"> de la PP</w:t>
            </w:r>
          </w:p>
        </w:tc>
        <w:tc>
          <w:tcPr>
            <w:tcW w:w="3260" w:type="dxa"/>
            <w:noWrap/>
            <w:hideMark/>
          </w:tcPr>
          <w:p w14:paraId="0224B0BD" w14:textId="77777777" w:rsidR="00611AAE" w:rsidRPr="003B11CA" w:rsidRDefault="00611AAE" w:rsidP="001A635D">
            <w:pPr>
              <w:pStyle w:val="Tablehead"/>
              <w:rPr>
                <w:bCs/>
                <w:lang w:val="fr-FR"/>
              </w:rPr>
            </w:pPr>
            <w:r w:rsidRPr="003B11CA">
              <w:rPr>
                <w:bCs/>
                <w:lang w:val="fr-FR"/>
              </w:rPr>
              <w:t>RADIOCOMMUNICATION</w:t>
            </w:r>
          </w:p>
        </w:tc>
        <w:tc>
          <w:tcPr>
            <w:tcW w:w="4063" w:type="dxa"/>
            <w:noWrap/>
            <w:hideMark/>
          </w:tcPr>
          <w:p w14:paraId="549D0186" w14:textId="77777777" w:rsidR="00611AAE" w:rsidRPr="003B11CA" w:rsidRDefault="00611AAE" w:rsidP="001A635D">
            <w:pPr>
              <w:pStyle w:val="Tablehead"/>
              <w:rPr>
                <w:bCs/>
                <w:lang w:val="fr-FR"/>
              </w:rPr>
            </w:pPr>
            <w:r w:rsidRPr="003B11CA">
              <w:rPr>
                <w:bCs/>
                <w:lang w:val="fr-FR"/>
              </w:rPr>
              <w:t>NORMALISATION</w:t>
            </w:r>
          </w:p>
        </w:tc>
        <w:tc>
          <w:tcPr>
            <w:tcW w:w="3976" w:type="dxa"/>
            <w:noWrap/>
            <w:hideMark/>
          </w:tcPr>
          <w:p w14:paraId="26505ABC" w14:textId="77777777" w:rsidR="00611AAE" w:rsidRPr="003B11CA" w:rsidRDefault="00611AAE" w:rsidP="001A635D">
            <w:pPr>
              <w:pStyle w:val="Tablehead"/>
              <w:rPr>
                <w:bCs/>
                <w:lang w:val="fr-FR"/>
              </w:rPr>
            </w:pPr>
            <w:r w:rsidRPr="003B11CA">
              <w:rPr>
                <w:bCs/>
                <w:lang w:val="fr-FR"/>
              </w:rPr>
              <w:t>DÉVELOPPEMENT</w:t>
            </w:r>
          </w:p>
        </w:tc>
      </w:tr>
      <w:tr w:rsidR="00611AAE" w:rsidRPr="003B11CA" w14:paraId="4E826411" w14:textId="77777777" w:rsidTr="00EA2F1A">
        <w:trPr>
          <w:trHeight w:val="402"/>
        </w:trPr>
        <w:tc>
          <w:tcPr>
            <w:tcW w:w="2689" w:type="dxa"/>
            <w:noWrap/>
            <w:hideMark/>
          </w:tcPr>
          <w:p w14:paraId="19247967" w14:textId="77777777" w:rsidR="00611AAE" w:rsidRPr="003B11CA" w:rsidRDefault="00611AAE" w:rsidP="001A635D">
            <w:pPr>
              <w:pStyle w:val="Tabletext"/>
              <w:rPr>
                <w:lang w:val="fr-FR"/>
              </w:rPr>
            </w:pPr>
            <w:r w:rsidRPr="003B11CA">
              <w:rPr>
                <w:lang w:val="fr-FR"/>
              </w:rPr>
              <w:t>Environnement</w:t>
            </w:r>
          </w:p>
        </w:tc>
        <w:tc>
          <w:tcPr>
            <w:tcW w:w="3260" w:type="dxa"/>
            <w:noWrap/>
            <w:hideMark/>
          </w:tcPr>
          <w:p w14:paraId="275232DF" w14:textId="51127A76" w:rsidR="00611AAE" w:rsidRPr="003B11CA" w:rsidRDefault="004F7489" w:rsidP="001A635D">
            <w:pPr>
              <w:pStyle w:val="Tabletext"/>
              <w:jc w:val="center"/>
              <w:rPr>
                <w:lang w:val="fr-FR"/>
              </w:rPr>
            </w:pPr>
            <w:hyperlink r:id="rId18" w:history="1">
              <w:r w:rsidR="00611AAE" w:rsidRPr="003B11CA">
                <w:rPr>
                  <w:rStyle w:val="Hyperlink"/>
                  <w:lang w:val="fr-FR"/>
                </w:rPr>
                <w:t>Commission d</w:t>
              </w:r>
              <w:r w:rsidR="00EA2F1A">
                <w:rPr>
                  <w:rStyle w:val="Hyperlink"/>
                  <w:lang w:val="fr-FR"/>
                </w:rPr>
                <w:t>'</w:t>
              </w:r>
              <w:r w:rsidR="00611AAE" w:rsidRPr="003B11CA">
                <w:rPr>
                  <w:rStyle w:val="Hyperlink"/>
                  <w:lang w:val="fr-FR"/>
                </w:rPr>
                <w:t>études 7</w:t>
              </w:r>
            </w:hyperlink>
          </w:p>
        </w:tc>
        <w:tc>
          <w:tcPr>
            <w:tcW w:w="4063" w:type="dxa"/>
            <w:noWrap/>
            <w:hideMark/>
          </w:tcPr>
          <w:p w14:paraId="17764F4F" w14:textId="50CF0EBC" w:rsidR="00611AAE" w:rsidRPr="003B11CA" w:rsidRDefault="004F7489" w:rsidP="001A635D">
            <w:pPr>
              <w:pStyle w:val="Tabletext"/>
              <w:jc w:val="center"/>
              <w:rPr>
                <w:lang w:val="fr-FR"/>
              </w:rPr>
            </w:pPr>
            <w:hyperlink r:id="rId19" w:history="1">
              <w:r w:rsidR="00611AAE" w:rsidRPr="003B11CA">
                <w:rPr>
                  <w:rStyle w:val="Hyperlink"/>
                  <w:lang w:val="fr-FR"/>
                </w:rPr>
                <w:t>Commission d</w:t>
              </w:r>
              <w:r w:rsidR="00EA2F1A">
                <w:rPr>
                  <w:rStyle w:val="Hyperlink"/>
                  <w:lang w:val="fr-FR"/>
                </w:rPr>
                <w:t>'</w:t>
              </w:r>
              <w:r w:rsidR="00611AAE" w:rsidRPr="003B11CA">
                <w:rPr>
                  <w:rStyle w:val="Hyperlink"/>
                  <w:lang w:val="fr-FR"/>
                </w:rPr>
                <w:t>études 5</w:t>
              </w:r>
            </w:hyperlink>
          </w:p>
        </w:tc>
        <w:tc>
          <w:tcPr>
            <w:tcW w:w="3976" w:type="dxa"/>
            <w:noWrap/>
            <w:hideMark/>
          </w:tcPr>
          <w:p w14:paraId="30CD4951" w14:textId="50A00994" w:rsidR="00611AAE" w:rsidRPr="003B11CA" w:rsidRDefault="004F7489" w:rsidP="001A635D">
            <w:pPr>
              <w:pStyle w:val="Tabletext"/>
              <w:jc w:val="center"/>
              <w:rPr>
                <w:lang w:val="fr-FR"/>
              </w:rPr>
            </w:pPr>
            <w:hyperlink r:id="rId20" w:history="1">
              <w:r w:rsidR="00611AAE" w:rsidRPr="003B11CA">
                <w:rPr>
                  <w:rStyle w:val="Hyperlink"/>
                  <w:lang w:val="fr-FR"/>
                </w:rPr>
                <w:t>Commission d</w:t>
              </w:r>
              <w:r w:rsidR="00EA2F1A">
                <w:rPr>
                  <w:rStyle w:val="Hyperlink"/>
                  <w:lang w:val="fr-FR"/>
                </w:rPr>
                <w:t>'</w:t>
              </w:r>
              <w:r w:rsidR="00611AAE" w:rsidRPr="003B11CA">
                <w:rPr>
                  <w:rStyle w:val="Hyperlink"/>
                  <w:lang w:val="fr-FR"/>
                </w:rPr>
                <w:t>études 2</w:t>
              </w:r>
            </w:hyperlink>
          </w:p>
        </w:tc>
      </w:tr>
      <w:tr w:rsidR="00611AAE" w:rsidRPr="003B11CA" w14:paraId="15A1FE72" w14:textId="77777777" w:rsidTr="00EA2F1A">
        <w:trPr>
          <w:trHeight w:val="402"/>
        </w:trPr>
        <w:tc>
          <w:tcPr>
            <w:tcW w:w="2689" w:type="dxa"/>
            <w:noWrap/>
            <w:hideMark/>
          </w:tcPr>
          <w:p w14:paraId="7B45D07D" w14:textId="77777777" w:rsidR="00611AAE" w:rsidRPr="003B11CA" w:rsidRDefault="00611AAE" w:rsidP="001A635D">
            <w:pPr>
              <w:pStyle w:val="Tabletext"/>
              <w:rPr>
                <w:lang w:val="fr-FR"/>
              </w:rPr>
            </w:pPr>
            <w:r w:rsidRPr="003B11CA">
              <w:rPr>
                <w:lang w:val="fr-FR"/>
              </w:rPr>
              <w:t>Durabilité</w:t>
            </w:r>
          </w:p>
        </w:tc>
        <w:tc>
          <w:tcPr>
            <w:tcW w:w="3260" w:type="dxa"/>
            <w:noWrap/>
            <w:hideMark/>
          </w:tcPr>
          <w:p w14:paraId="405C5654" w14:textId="77777777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</w:p>
        </w:tc>
        <w:tc>
          <w:tcPr>
            <w:tcW w:w="4063" w:type="dxa"/>
            <w:noWrap/>
            <w:hideMark/>
          </w:tcPr>
          <w:p w14:paraId="3168A55D" w14:textId="54E32B9A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  <w:r w:rsidRPr="003B11CA">
              <w:rPr>
                <w:lang w:val="fr-FR"/>
              </w:rPr>
              <w:t>Commission d</w:t>
            </w:r>
            <w:r w:rsidR="00EA2F1A">
              <w:rPr>
                <w:lang w:val="fr-FR"/>
              </w:rPr>
              <w:t>'</w:t>
            </w:r>
            <w:r w:rsidRPr="003B11CA">
              <w:rPr>
                <w:lang w:val="fr-FR"/>
              </w:rPr>
              <w:t>études 5</w:t>
            </w:r>
          </w:p>
        </w:tc>
        <w:tc>
          <w:tcPr>
            <w:tcW w:w="3976" w:type="dxa"/>
            <w:noWrap/>
            <w:hideMark/>
          </w:tcPr>
          <w:p w14:paraId="169CBA41" w14:textId="77777777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</w:p>
        </w:tc>
      </w:tr>
      <w:tr w:rsidR="00611AAE" w:rsidRPr="003B11CA" w14:paraId="49F0D944" w14:textId="77777777" w:rsidTr="00EA2F1A">
        <w:trPr>
          <w:trHeight w:val="402"/>
        </w:trPr>
        <w:tc>
          <w:tcPr>
            <w:tcW w:w="2689" w:type="dxa"/>
            <w:noWrap/>
            <w:hideMark/>
          </w:tcPr>
          <w:p w14:paraId="02AB230D" w14:textId="77777777" w:rsidR="00611AAE" w:rsidRPr="003B11CA" w:rsidRDefault="00611AAE" w:rsidP="001A635D">
            <w:pPr>
              <w:pStyle w:val="Tabletext"/>
              <w:rPr>
                <w:lang w:val="fr-FR"/>
              </w:rPr>
            </w:pPr>
            <w:r w:rsidRPr="003B11CA">
              <w:rPr>
                <w:lang w:val="fr-FR"/>
              </w:rPr>
              <w:t>Observation de la Terre</w:t>
            </w:r>
          </w:p>
        </w:tc>
        <w:tc>
          <w:tcPr>
            <w:tcW w:w="3260" w:type="dxa"/>
            <w:noWrap/>
            <w:hideMark/>
          </w:tcPr>
          <w:p w14:paraId="7A6C4FB5" w14:textId="3E7C0CF3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  <w:r w:rsidRPr="003B11CA">
              <w:rPr>
                <w:lang w:val="fr-FR"/>
              </w:rPr>
              <w:t>Commission d</w:t>
            </w:r>
            <w:r w:rsidR="00EA2F1A">
              <w:rPr>
                <w:lang w:val="fr-FR"/>
              </w:rPr>
              <w:t>'</w:t>
            </w:r>
            <w:r w:rsidRPr="003B11CA">
              <w:rPr>
                <w:lang w:val="fr-FR"/>
              </w:rPr>
              <w:t xml:space="preserve">études 7 </w:t>
            </w:r>
            <w:r w:rsidR="00076A94" w:rsidRPr="003B11CA">
              <w:rPr>
                <w:lang w:val="fr-FR"/>
              </w:rPr>
              <w:t>–</w:t>
            </w:r>
            <w:r w:rsidRPr="003B11CA">
              <w:rPr>
                <w:lang w:val="fr-FR"/>
              </w:rPr>
              <w:t xml:space="preserve"> GT 7B</w:t>
            </w:r>
          </w:p>
        </w:tc>
        <w:tc>
          <w:tcPr>
            <w:tcW w:w="4063" w:type="dxa"/>
            <w:noWrap/>
            <w:hideMark/>
          </w:tcPr>
          <w:p w14:paraId="283AD67B" w14:textId="77777777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</w:p>
        </w:tc>
        <w:tc>
          <w:tcPr>
            <w:tcW w:w="3976" w:type="dxa"/>
            <w:noWrap/>
            <w:hideMark/>
          </w:tcPr>
          <w:p w14:paraId="744303AC" w14:textId="657B631E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  <w:r w:rsidRPr="003B11CA">
              <w:rPr>
                <w:lang w:val="fr-FR"/>
              </w:rPr>
              <w:t>Commission d</w:t>
            </w:r>
            <w:r w:rsidR="00EA2F1A">
              <w:rPr>
                <w:lang w:val="fr-FR"/>
              </w:rPr>
              <w:t>'</w:t>
            </w:r>
            <w:r w:rsidRPr="003B11CA">
              <w:rPr>
                <w:lang w:val="fr-FR"/>
              </w:rPr>
              <w:t xml:space="preserve">études 2 </w:t>
            </w:r>
            <w:r w:rsidR="00076A94" w:rsidRPr="003B11CA">
              <w:rPr>
                <w:lang w:val="fr-FR"/>
              </w:rPr>
              <w:t>–</w:t>
            </w:r>
            <w:r w:rsidRPr="003B11CA">
              <w:rPr>
                <w:lang w:val="fr-FR"/>
              </w:rPr>
              <w:t xml:space="preserve"> Q6/2</w:t>
            </w:r>
          </w:p>
        </w:tc>
      </w:tr>
      <w:tr w:rsidR="00611AAE" w:rsidRPr="003B11CA" w14:paraId="62350576" w14:textId="77777777" w:rsidTr="00EA2F1A">
        <w:trPr>
          <w:trHeight w:val="402"/>
        </w:trPr>
        <w:tc>
          <w:tcPr>
            <w:tcW w:w="2689" w:type="dxa"/>
            <w:noWrap/>
            <w:hideMark/>
          </w:tcPr>
          <w:p w14:paraId="37CBE23E" w14:textId="77777777" w:rsidR="00611AAE" w:rsidRPr="003B11CA" w:rsidRDefault="00611AAE" w:rsidP="001A635D">
            <w:pPr>
              <w:pStyle w:val="Tabletext"/>
              <w:rPr>
                <w:lang w:val="fr-FR"/>
              </w:rPr>
            </w:pPr>
            <w:r w:rsidRPr="003B11CA">
              <w:rPr>
                <w:lang w:val="fr-FR"/>
              </w:rPr>
              <w:t>Télédétection</w:t>
            </w:r>
          </w:p>
        </w:tc>
        <w:tc>
          <w:tcPr>
            <w:tcW w:w="3260" w:type="dxa"/>
            <w:noWrap/>
            <w:hideMark/>
          </w:tcPr>
          <w:p w14:paraId="23B32484" w14:textId="2B2F6146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  <w:r w:rsidRPr="003B11CA">
              <w:rPr>
                <w:lang w:val="fr-FR"/>
              </w:rPr>
              <w:t>Commission d</w:t>
            </w:r>
            <w:r w:rsidR="00EA2F1A">
              <w:rPr>
                <w:lang w:val="fr-FR"/>
              </w:rPr>
              <w:t>'</w:t>
            </w:r>
            <w:r w:rsidRPr="003B11CA">
              <w:rPr>
                <w:lang w:val="fr-FR"/>
              </w:rPr>
              <w:t xml:space="preserve">études 7 </w:t>
            </w:r>
            <w:r w:rsidR="00076A94" w:rsidRPr="003B11CA">
              <w:rPr>
                <w:lang w:val="fr-FR"/>
              </w:rPr>
              <w:t>–</w:t>
            </w:r>
            <w:r w:rsidRPr="003B11CA">
              <w:rPr>
                <w:lang w:val="fr-FR"/>
              </w:rPr>
              <w:t xml:space="preserve"> GT 7C</w:t>
            </w:r>
          </w:p>
        </w:tc>
        <w:tc>
          <w:tcPr>
            <w:tcW w:w="4063" w:type="dxa"/>
            <w:noWrap/>
            <w:hideMark/>
          </w:tcPr>
          <w:p w14:paraId="2A8C9413" w14:textId="77777777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</w:p>
        </w:tc>
        <w:tc>
          <w:tcPr>
            <w:tcW w:w="3976" w:type="dxa"/>
            <w:noWrap/>
            <w:hideMark/>
          </w:tcPr>
          <w:p w14:paraId="6E19789D" w14:textId="2BCA670D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  <w:r w:rsidRPr="003B11CA">
              <w:rPr>
                <w:lang w:val="fr-FR"/>
              </w:rPr>
              <w:t>Commission d</w:t>
            </w:r>
            <w:r w:rsidR="00EA2F1A">
              <w:rPr>
                <w:lang w:val="fr-FR"/>
              </w:rPr>
              <w:t>'</w:t>
            </w:r>
            <w:r w:rsidRPr="003B11CA">
              <w:rPr>
                <w:lang w:val="fr-FR"/>
              </w:rPr>
              <w:t xml:space="preserve">études 20 </w:t>
            </w:r>
            <w:r w:rsidR="00076A94" w:rsidRPr="003B11CA">
              <w:rPr>
                <w:lang w:val="fr-FR"/>
              </w:rPr>
              <w:t>–</w:t>
            </w:r>
            <w:r w:rsidRPr="003B11CA">
              <w:rPr>
                <w:lang w:val="fr-FR"/>
              </w:rPr>
              <w:t xml:space="preserve"> Q4/20</w:t>
            </w:r>
          </w:p>
        </w:tc>
      </w:tr>
      <w:tr w:rsidR="00611AAE" w:rsidRPr="003B11CA" w14:paraId="412A7BE7" w14:textId="77777777" w:rsidTr="00EA2F1A">
        <w:trPr>
          <w:trHeight w:val="402"/>
        </w:trPr>
        <w:tc>
          <w:tcPr>
            <w:tcW w:w="2689" w:type="dxa"/>
            <w:noWrap/>
            <w:hideMark/>
          </w:tcPr>
          <w:p w14:paraId="271F6566" w14:textId="4C815EDB" w:rsidR="00611AAE" w:rsidRPr="003B11CA" w:rsidRDefault="001A635D" w:rsidP="001A635D">
            <w:pPr>
              <w:pStyle w:val="Tabletext"/>
              <w:rPr>
                <w:lang w:val="fr-FR"/>
              </w:rPr>
            </w:pPr>
            <w:r w:rsidRPr="003B11CA">
              <w:rPr>
                <w:lang w:val="fr-FR"/>
              </w:rPr>
              <w:t>É</w:t>
            </w:r>
            <w:r w:rsidR="00611AAE" w:rsidRPr="003B11CA">
              <w:rPr>
                <w:lang w:val="fr-FR"/>
              </w:rPr>
              <w:t>nergie</w:t>
            </w:r>
          </w:p>
        </w:tc>
        <w:tc>
          <w:tcPr>
            <w:tcW w:w="3260" w:type="dxa"/>
            <w:noWrap/>
            <w:hideMark/>
          </w:tcPr>
          <w:p w14:paraId="7A81B23F" w14:textId="4681D1DF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  <w:r w:rsidRPr="003B11CA">
              <w:rPr>
                <w:lang w:val="fr-FR"/>
              </w:rPr>
              <w:t>Commission d</w:t>
            </w:r>
            <w:r w:rsidR="00EA2F1A">
              <w:rPr>
                <w:lang w:val="fr-FR"/>
              </w:rPr>
              <w:t>'</w:t>
            </w:r>
            <w:r w:rsidRPr="003B11CA">
              <w:rPr>
                <w:lang w:val="fr-FR"/>
              </w:rPr>
              <w:t>études 7</w:t>
            </w:r>
          </w:p>
        </w:tc>
        <w:tc>
          <w:tcPr>
            <w:tcW w:w="4063" w:type="dxa"/>
            <w:noWrap/>
            <w:hideMark/>
          </w:tcPr>
          <w:p w14:paraId="5CA023EE" w14:textId="78F864C4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  <w:r w:rsidRPr="003B11CA">
              <w:rPr>
                <w:lang w:val="fr-FR"/>
              </w:rPr>
              <w:t>Commission d</w:t>
            </w:r>
            <w:r w:rsidR="00EA2F1A">
              <w:rPr>
                <w:lang w:val="fr-FR"/>
              </w:rPr>
              <w:t>'</w:t>
            </w:r>
            <w:r w:rsidRPr="003B11CA">
              <w:rPr>
                <w:lang w:val="fr-FR"/>
              </w:rPr>
              <w:t xml:space="preserve">études 5 </w:t>
            </w:r>
            <w:r w:rsidR="00076A94" w:rsidRPr="003B11CA">
              <w:rPr>
                <w:lang w:val="fr-FR"/>
              </w:rPr>
              <w:t>–</w:t>
            </w:r>
            <w:r w:rsidRPr="003B11CA">
              <w:rPr>
                <w:lang w:val="fr-FR"/>
              </w:rPr>
              <w:t xml:space="preserve"> Q6/5/</w:t>
            </w:r>
            <w:hyperlink r:id="rId21" w:history="1">
              <w:r w:rsidRPr="003B11CA">
                <w:rPr>
                  <w:rStyle w:val="Hyperlink"/>
                  <w:lang w:val="fr-FR"/>
                </w:rPr>
                <w:t>FG-AI4EE</w:t>
              </w:r>
            </w:hyperlink>
          </w:p>
        </w:tc>
        <w:tc>
          <w:tcPr>
            <w:tcW w:w="3976" w:type="dxa"/>
            <w:noWrap/>
            <w:hideMark/>
          </w:tcPr>
          <w:p w14:paraId="068F43D8" w14:textId="77777777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</w:p>
        </w:tc>
      </w:tr>
      <w:tr w:rsidR="00611AAE" w:rsidRPr="003B11CA" w14:paraId="2A3CF460" w14:textId="77777777" w:rsidTr="00EA2F1A">
        <w:trPr>
          <w:trHeight w:val="402"/>
        </w:trPr>
        <w:tc>
          <w:tcPr>
            <w:tcW w:w="2689" w:type="dxa"/>
            <w:noWrap/>
            <w:hideMark/>
          </w:tcPr>
          <w:p w14:paraId="15E01CDF" w14:textId="77777777" w:rsidR="00611AAE" w:rsidRPr="003B11CA" w:rsidRDefault="00611AAE" w:rsidP="001A635D">
            <w:pPr>
              <w:pStyle w:val="Tabletext"/>
              <w:rPr>
                <w:lang w:val="fr-FR"/>
              </w:rPr>
            </w:pPr>
            <w:r w:rsidRPr="003B11CA">
              <w:rPr>
                <w:lang w:val="fr-FR"/>
              </w:rPr>
              <w:t>Eau</w:t>
            </w:r>
          </w:p>
        </w:tc>
        <w:tc>
          <w:tcPr>
            <w:tcW w:w="3260" w:type="dxa"/>
            <w:noWrap/>
            <w:hideMark/>
          </w:tcPr>
          <w:p w14:paraId="51C04338" w14:textId="77777777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</w:p>
        </w:tc>
        <w:tc>
          <w:tcPr>
            <w:tcW w:w="4063" w:type="dxa"/>
            <w:noWrap/>
            <w:hideMark/>
          </w:tcPr>
          <w:p w14:paraId="57DF9BA0" w14:textId="38A41A80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  <w:r w:rsidRPr="003B11CA">
              <w:rPr>
                <w:lang w:val="fr-FR"/>
              </w:rPr>
              <w:t>Commission d</w:t>
            </w:r>
            <w:r w:rsidR="00EA2F1A">
              <w:rPr>
                <w:lang w:val="fr-FR"/>
              </w:rPr>
              <w:t>'</w:t>
            </w:r>
            <w:r w:rsidRPr="003B11CA">
              <w:rPr>
                <w:lang w:val="fr-FR"/>
              </w:rPr>
              <w:t>études</w:t>
            </w:r>
            <w:r w:rsidR="00076A94" w:rsidRPr="003B11CA">
              <w:rPr>
                <w:lang w:val="fr-FR"/>
              </w:rPr>
              <w:t xml:space="preserve"> </w:t>
            </w:r>
            <w:r w:rsidRPr="003B11CA">
              <w:rPr>
                <w:lang w:val="fr-FR"/>
              </w:rPr>
              <w:t>5</w:t>
            </w:r>
          </w:p>
        </w:tc>
        <w:tc>
          <w:tcPr>
            <w:tcW w:w="3976" w:type="dxa"/>
            <w:noWrap/>
            <w:hideMark/>
          </w:tcPr>
          <w:p w14:paraId="386232A0" w14:textId="77777777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</w:p>
        </w:tc>
      </w:tr>
      <w:tr w:rsidR="00611AAE" w:rsidRPr="003B11CA" w14:paraId="525B6C8A" w14:textId="77777777" w:rsidTr="00EA2F1A">
        <w:trPr>
          <w:trHeight w:val="402"/>
        </w:trPr>
        <w:tc>
          <w:tcPr>
            <w:tcW w:w="2689" w:type="dxa"/>
            <w:noWrap/>
            <w:hideMark/>
          </w:tcPr>
          <w:p w14:paraId="7F77CEF4" w14:textId="3B36C174" w:rsidR="00611AAE" w:rsidRPr="003B11CA" w:rsidRDefault="00611AAE" w:rsidP="001A635D">
            <w:pPr>
              <w:pStyle w:val="Tabletext"/>
              <w:rPr>
                <w:lang w:val="fr-FR"/>
              </w:rPr>
            </w:pPr>
            <w:r w:rsidRPr="003B11CA">
              <w:rPr>
                <w:lang w:val="fr-FR"/>
              </w:rPr>
              <w:t>Déchets d</w:t>
            </w:r>
            <w:r w:rsidR="00EA2F1A">
              <w:rPr>
                <w:lang w:val="fr-FR"/>
              </w:rPr>
              <w:t>'</w:t>
            </w:r>
            <w:r w:rsidRPr="003B11CA">
              <w:rPr>
                <w:lang w:val="fr-FR"/>
              </w:rPr>
              <w:t>équipements électriques et électroniques</w:t>
            </w:r>
          </w:p>
        </w:tc>
        <w:tc>
          <w:tcPr>
            <w:tcW w:w="3260" w:type="dxa"/>
            <w:noWrap/>
            <w:hideMark/>
          </w:tcPr>
          <w:p w14:paraId="324B5CCE" w14:textId="77777777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</w:p>
        </w:tc>
        <w:tc>
          <w:tcPr>
            <w:tcW w:w="4063" w:type="dxa"/>
            <w:noWrap/>
            <w:hideMark/>
          </w:tcPr>
          <w:p w14:paraId="10340F8C" w14:textId="59F4B7AB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  <w:r w:rsidRPr="003B11CA">
              <w:rPr>
                <w:lang w:val="fr-FR"/>
              </w:rPr>
              <w:t>Commission d</w:t>
            </w:r>
            <w:r w:rsidR="00EA2F1A">
              <w:rPr>
                <w:lang w:val="fr-FR"/>
              </w:rPr>
              <w:t>'</w:t>
            </w:r>
            <w:r w:rsidRPr="003B11CA">
              <w:rPr>
                <w:lang w:val="fr-FR"/>
              </w:rPr>
              <w:t>études</w:t>
            </w:r>
            <w:r w:rsidR="00076A94" w:rsidRPr="003B11CA">
              <w:rPr>
                <w:lang w:val="fr-FR"/>
              </w:rPr>
              <w:t xml:space="preserve"> </w:t>
            </w:r>
            <w:r w:rsidRPr="003B11CA">
              <w:rPr>
                <w:lang w:val="fr-FR"/>
              </w:rPr>
              <w:t xml:space="preserve">5 </w:t>
            </w:r>
            <w:r w:rsidR="00076A94" w:rsidRPr="003B11CA">
              <w:rPr>
                <w:lang w:val="fr-FR"/>
              </w:rPr>
              <w:t>–</w:t>
            </w:r>
            <w:r w:rsidRPr="003B11CA">
              <w:rPr>
                <w:lang w:val="fr-FR"/>
              </w:rPr>
              <w:t xml:space="preserve"> Q7/5</w:t>
            </w:r>
          </w:p>
        </w:tc>
        <w:tc>
          <w:tcPr>
            <w:tcW w:w="3976" w:type="dxa"/>
            <w:noWrap/>
            <w:hideMark/>
          </w:tcPr>
          <w:p w14:paraId="384536FD" w14:textId="031B5626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  <w:r w:rsidRPr="003B11CA">
              <w:rPr>
                <w:lang w:val="fr-FR"/>
              </w:rPr>
              <w:t>Commission d</w:t>
            </w:r>
            <w:r w:rsidR="00EA2F1A">
              <w:rPr>
                <w:lang w:val="fr-FR"/>
              </w:rPr>
              <w:t>'</w:t>
            </w:r>
            <w:r w:rsidRPr="003B11CA">
              <w:rPr>
                <w:lang w:val="fr-FR"/>
              </w:rPr>
              <w:t xml:space="preserve">études 2 </w:t>
            </w:r>
            <w:r w:rsidR="00076A94" w:rsidRPr="003B11CA">
              <w:rPr>
                <w:lang w:val="fr-FR"/>
              </w:rPr>
              <w:t>–</w:t>
            </w:r>
            <w:r w:rsidRPr="003B11CA">
              <w:rPr>
                <w:lang w:val="fr-FR"/>
              </w:rPr>
              <w:t xml:space="preserve"> Q6/2</w:t>
            </w:r>
          </w:p>
        </w:tc>
      </w:tr>
      <w:tr w:rsidR="00611AAE" w:rsidRPr="003B11CA" w14:paraId="21C41649" w14:textId="77777777" w:rsidTr="00EA2F1A">
        <w:trPr>
          <w:trHeight w:val="402"/>
        </w:trPr>
        <w:tc>
          <w:tcPr>
            <w:tcW w:w="2689" w:type="dxa"/>
            <w:noWrap/>
            <w:hideMark/>
          </w:tcPr>
          <w:p w14:paraId="185FC1CD" w14:textId="77777777" w:rsidR="00611AAE" w:rsidRPr="003B11CA" w:rsidRDefault="00611AAE" w:rsidP="001A635D">
            <w:pPr>
              <w:pStyle w:val="Tabletext"/>
              <w:rPr>
                <w:lang w:val="fr-FR"/>
              </w:rPr>
            </w:pPr>
            <w:r w:rsidRPr="003B11CA">
              <w:rPr>
                <w:lang w:val="fr-FR"/>
              </w:rPr>
              <w:t>Économie circulaire</w:t>
            </w:r>
          </w:p>
        </w:tc>
        <w:tc>
          <w:tcPr>
            <w:tcW w:w="3260" w:type="dxa"/>
            <w:noWrap/>
            <w:hideMark/>
          </w:tcPr>
          <w:p w14:paraId="2C9A9CE1" w14:textId="77777777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</w:p>
        </w:tc>
        <w:tc>
          <w:tcPr>
            <w:tcW w:w="4063" w:type="dxa"/>
            <w:noWrap/>
            <w:hideMark/>
          </w:tcPr>
          <w:p w14:paraId="4281418C" w14:textId="723AAF8A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  <w:r w:rsidRPr="003B11CA">
              <w:rPr>
                <w:lang w:val="fr-FR"/>
              </w:rPr>
              <w:t>Commission d</w:t>
            </w:r>
            <w:r w:rsidR="00EA2F1A">
              <w:rPr>
                <w:lang w:val="fr-FR"/>
              </w:rPr>
              <w:t>'</w:t>
            </w:r>
            <w:r w:rsidRPr="003B11CA">
              <w:rPr>
                <w:lang w:val="fr-FR"/>
              </w:rPr>
              <w:t>études</w:t>
            </w:r>
            <w:r w:rsidR="00076A94" w:rsidRPr="003B11CA">
              <w:rPr>
                <w:lang w:val="fr-FR"/>
              </w:rPr>
              <w:t xml:space="preserve"> </w:t>
            </w:r>
            <w:r w:rsidRPr="003B11CA">
              <w:rPr>
                <w:lang w:val="fr-FR"/>
              </w:rPr>
              <w:t xml:space="preserve">5 </w:t>
            </w:r>
            <w:r w:rsidR="00076A94" w:rsidRPr="003B11CA">
              <w:rPr>
                <w:lang w:val="fr-FR"/>
              </w:rPr>
              <w:t>–</w:t>
            </w:r>
            <w:r w:rsidRPr="003B11CA">
              <w:rPr>
                <w:lang w:val="fr-FR"/>
              </w:rPr>
              <w:t xml:space="preserve"> Q7/5</w:t>
            </w:r>
          </w:p>
        </w:tc>
        <w:tc>
          <w:tcPr>
            <w:tcW w:w="3976" w:type="dxa"/>
            <w:noWrap/>
            <w:hideMark/>
          </w:tcPr>
          <w:p w14:paraId="73BC8195" w14:textId="77777777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</w:p>
        </w:tc>
      </w:tr>
      <w:tr w:rsidR="00611AAE" w:rsidRPr="003B11CA" w14:paraId="229835FE" w14:textId="77777777" w:rsidTr="00EA2F1A">
        <w:trPr>
          <w:trHeight w:val="402"/>
        </w:trPr>
        <w:tc>
          <w:tcPr>
            <w:tcW w:w="2689" w:type="dxa"/>
            <w:noWrap/>
            <w:hideMark/>
          </w:tcPr>
          <w:p w14:paraId="7A97AA62" w14:textId="77777777" w:rsidR="00611AAE" w:rsidRPr="003B11CA" w:rsidRDefault="00611AAE" w:rsidP="001A635D">
            <w:pPr>
              <w:pStyle w:val="Tabletext"/>
              <w:rPr>
                <w:lang w:val="fr-FR"/>
              </w:rPr>
            </w:pPr>
            <w:r w:rsidRPr="003B11CA">
              <w:rPr>
                <w:lang w:val="fr-FR"/>
              </w:rPr>
              <w:t>Émissions de gaz à effet de serre</w:t>
            </w:r>
          </w:p>
        </w:tc>
        <w:tc>
          <w:tcPr>
            <w:tcW w:w="3260" w:type="dxa"/>
            <w:noWrap/>
            <w:hideMark/>
          </w:tcPr>
          <w:p w14:paraId="277076D3" w14:textId="77777777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</w:p>
        </w:tc>
        <w:tc>
          <w:tcPr>
            <w:tcW w:w="4063" w:type="dxa"/>
            <w:noWrap/>
            <w:hideMark/>
          </w:tcPr>
          <w:p w14:paraId="208B54FF" w14:textId="07319771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  <w:r w:rsidRPr="003B11CA">
              <w:rPr>
                <w:lang w:val="fr-FR"/>
              </w:rPr>
              <w:t>Commission d</w:t>
            </w:r>
            <w:r w:rsidR="00EA2F1A">
              <w:rPr>
                <w:lang w:val="fr-FR"/>
              </w:rPr>
              <w:t>'</w:t>
            </w:r>
            <w:r w:rsidRPr="003B11CA">
              <w:rPr>
                <w:lang w:val="fr-FR"/>
              </w:rPr>
              <w:t>études</w:t>
            </w:r>
            <w:r w:rsidR="00076A94" w:rsidRPr="003B11CA">
              <w:rPr>
                <w:lang w:val="fr-FR"/>
              </w:rPr>
              <w:t xml:space="preserve"> </w:t>
            </w:r>
            <w:r w:rsidRPr="003B11CA">
              <w:rPr>
                <w:lang w:val="fr-FR"/>
              </w:rPr>
              <w:t xml:space="preserve">5 </w:t>
            </w:r>
            <w:r w:rsidR="00076A94" w:rsidRPr="003B11CA">
              <w:rPr>
                <w:lang w:val="fr-FR"/>
              </w:rPr>
              <w:t>–</w:t>
            </w:r>
            <w:r w:rsidRPr="003B11CA">
              <w:rPr>
                <w:lang w:val="fr-FR"/>
              </w:rPr>
              <w:t xml:space="preserve"> Q9/5</w:t>
            </w:r>
          </w:p>
        </w:tc>
        <w:tc>
          <w:tcPr>
            <w:tcW w:w="3976" w:type="dxa"/>
            <w:noWrap/>
            <w:hideMark/>
          </w:tcPr>
          <w:p w14:paraId="1C487409" w14:textId="48A2FB76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  <w:r w:rsidRPr="003B11CA">
              <w:rPr>
                <w:lang w:val="fr-FR"/>
              </w:rPr>
              <w:t>Commission d</w:t>
            </w:r>
            <w:r w:rsidR="00EA2F1A">
              <w:rPr>
                <w:lang w:val="fr-FR"/>
              </w:rPr>
              <w:t>'</w:t>
            </w:r>
            <w:r w:rsidRPr="003B11CA">
              <w:rPr>
                <w:lang w:val="fr-FR"/>
              </w:rPr>
              <w:t xml:space="preserve">études 2 </w:t>
            </w:r>
            <w:r w:rsidR="00076A94" w:rsidRPr="003B11CA">
              <w:rPr>
                <w:lang w:val="fr-FR"/>
              </w:rPr>
              <w:t>–</w:t>
            </w:r>
            <w:r w:rsidRPr="003B11CA">
              <w:rPr>
                <w:lang w:val="fr-FR"/>
              </w:rPr>
              <w:t xml:space="preserve"> Q6/2</w:t>
            </w:r>
          </w:p>
        </w:tc>
      </w:tr>
      <w:tr w:rsidR="00611AAE" w:rsidRPr="003B11CA" w14:paraId="14D5A55C" w14:textId="77777777" w:rsidTr="00EA2F1A">
        <w:trPr>
          <w:trHeight w:val="402"/>
        </w:trPr>
        <w:tc>
          <w:tcPr>
            <w:tcW w:w="2689" w:type="dxa"/>
            <w:noWrap/>
            <w:hideMark/>
          </w:tcPr>
          <w:p w14:paraId="445C1801" w14:textId="6E5CDD4B" w:rsidR="00611AAE" w:rsidRPr="003B11CA" w:rsidRDefault="00611AAE" w:rsidP="001A635D">
            <w:pPr>
              <w:pStyle w:val="Tabletext"/>
              <w:rPr>
                <w:lang w:val="fr-FR"/>
              </w:rPr>
            </w:pPr>
            <w:r w:rsidRPr="003B11CA">
              <w:rPr>
                <w:lang w:val="fr-FR"/>
              </w:rPr>
              <w:t>Applications ICT</w:t>
            </w:r>
          </w:p>
        </w:tc>
        <w:tc>
          <w:tcPr>
            <w:tcW w:w="3260" w:type="dxa"/>
            <w:noWrap/>
            <w:hideMark/>
          </w:tcPr>
          <w:p w14:paraId="1C11CA30" w14:textId="1EC0C067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  <w:r w:rsidRPr="003B11CA">
              <w:rPr>
                <w:lang w:val="fr-FR"/>
              </w:rPr>
              <w:t>Commission d</w:t>
            </w:r>
            <w:r w:rsidR="00EA2F1A">
              <w:rPr>
                <w:lang w:val="fr-FR"/>
              </w:rPr>
              <w:t>'</w:t>
            </w:r>
            <w:r w:rsidRPr="003B11CA">
              <w:rPr>
                <w:lang w:val="fr-FR"/>
              </w:rPr>
              <w:t>études 7</w:t>
            </w:r>
          </w:p>
        </w:tc>
        <w:tc>
          <w:tcPr>
            <w:tcW w:w="4063" w:type="dxa"/>
            <w:noWrap/>
            <w:hideMark/>
          </w:tcPr>
          <w:p w14:paraId="71865586" w14:textId="7D0C41DE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  <w:r w:rsidRPr="003B11CA">
              <w:rPr>
                <w:lang w:val="fr-FR"/>
              </w:rPr>
              <w:t>Commission d</w:t>
            </w:r>
            <w:r w:rsidR="00EA2F1A">
              <w:rPr>
                <w:lang w:val="fr-FR"/>
              </w:rPr>
              <w:t>'</w:t>
            </w:r>
            <w:r w:rsidRPr="003B11CA">
              <w:rPr>
                <w:lang w:val="fr-FR"/>
              </w:rPr>
              <w:t>études 5/</w:t>
            </w:r>
            <w:hyperlink r:id="rId22" w:history="1">
              <w:r w:rsidRPr="003B11CA">
                <w:rPr>
                  <w:rStyle w:val="Hyperlink"/>
                  <w:lang w:val="fr-FR"/>
                </w:rPr>
                <w:t>Commission d</w:t>
              </w:r>
              <w:r w:rsidR="00EA2F1A">
                <w:rPr>
                  <w:rStyle w:val="Hyperlink"/>
                  <w:lang w:val="fr-FR"/>
                </w:rPr>
                <w:t>'</w:t>
              </w:r>
              <w:r w:rsidRPr="003B11CA">
                <w:rPr>
                  <w:rStyle w:val="Hyperlink"/>
                  <w:lang w:val="fr-FR"/>
                </w:rPr>
                <w:t>études 20</w:t>
              </w:r>
            </w:hyperlink>
          </w:p>
        </w:tc>
        <w:tc>
          <w:tcPr>
            <w:tcW w:w="3976" w:type="dxa"/>
            <w:noWrap/>
            <w:hideMark/>
          </w:tcPr>
          <w:p w14:paraId="498BD776" w14:textId="77777777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</w:p>
        </w:tc>
      </w:tr>
      <w:tr w:rsidR="00611AAE" w:rsidRPr="003B11CA" w14:paraId="7E2D2F82" w14:textId="77777777" w:rsidTr="00EA2F1A">
        <w:trPr>
          <w:trHeight w:val="402"/>
        </w:trPr>
        <w:tc>
          <w:tcPr>
            <w:tcW w:w="2689" w:type="dxa"/>
            <w:vMerge w:val="restart"/>
            <w:hideMark/>
          </w:tcPr>
          <w:p w14:paraId="63356594" w14:textId="6034F214" w:rsidR="00611AAE" w:rsidRPr="003B11CA" w:rsidRDefault="00611AAE" w:rsidP="001A635D">
            <w:pPr>
              <w:pStyle w:val="Tabletext"/>
              <w:rPr>
                <w:b/>
                <w:bCs/>
                <w:lang w:val="fr-FR"/>
              </w:rPr>
            </w:pPr>
            <w:r w:rsidRPr="003B11CA">
              <w:rPr>
                <w:b/>
                <w:bCs/>
                <w:lang w:val="fr-FR"/>
              </w:rPr>
              <w:t>MANIFESTATION</w:t>
            </w:r>
            <w:r w:rsidR="00076A94" w:rsidRPr="003B11CA">
              <w:rPr>
                <w:b/>
                <w:bCs/>
                <w:lang w:val="fr-FR"/>
              </w:rPr>
              <w:t>S</w:t>
            </w:r>
          </w:p>
        </w:tc>
        <w:tc>
          <w:tcPr>
            <w:tcW w:w="3260" w:type="dxa"/>
            <w:noWrap/>
            <w:hideMark/>
          </w:tcPr>
          <w:p w14:paraId="1286D096" w14:textId="77777777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</w:p>
        </w:tc>
        <w:tc>
          <w:tcPr>
            <w:tcW w:w="4063" w:type="dxa"/>
            <w:noWrap/>
            <w:hideMark/>
          </w:tcPr>
          <w:p w14:paraId="58FCBA98" w14:textId="77777777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  <w:r w:rsidRPr="003B11CA">
              <w:rPr>
                <w:lang w:val="fr-FR"/>
              </w:rPr>
              <w:t>Colloque sur les TIC et les changements climatiques</w:t>
            </w:r>
          </w:p>
        </w:tc>
        <w:tc>
          <w:tcPr>
            <w:tcW w:w="3976" w:type="dxa"/>
            <w:noWrap/>
            <w:hideMark/>
          </w:tcPr>
          <w:p w14:paraId="728F4A95" w14:textId="77777777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</w:p>
        </w:tc>
      </w:tr>
      <w:tr w:rsidR="00611AAE" w:rsidRPr="003B11CA" w14:paraId="2AD6356A" w14:textId="77777777" w:rsidTr="00EA2F1A">
        <w:trPr>
          <w:trHeight w:val="402"/>
        </w:trPr>
        <w:tc>
          <w:tcPr>
            <w:tcW w:w="2689" w:type="dxa"/>
            <w:vMerge/>
            <w:hideMark/>
          </w:tcPr>
          <w:p w14:paraId="26849852" w14:textId="77777777" w:rsidR="00611AAE" w:rsidRPr="003B11CA" w:rsidRDefault="00611AAE" w:rsidP="001A635D">
            <w:pPr>
              <w:pStyle w:val="Tabletext"/>
              <w:rPr>
                <w:b/>
                <w:bCs/>
                <w:lang w:val="fr-FR"/>
              </w:rPr>
            </w:pPr>
          </w:p>
        </w:tc>
        <w:tc>
          <w:tcPr>
            <w:tcW w:w="3260" w:type="dxa"/>
            <w:noWrap/>
            <w:hideMark/>
          </w:tcPr>
          <w:p w14:paraId="47D452A3" w14:textId="77777777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</w:p>
        </w:tc>
        <w:tc>
          <w:tcPr>
            <w:tcW w:w="4063" w:type="dxa"/>
            <w:noWrap/>
            <w:hideMark/>
          </w:tcPr>
          <w:p w14:paraId="377310AE" w14:textId="77777777" w:rsidR="00611AAE" w:rsidRPr="003B11CA" w:rsidRDefault="004F7489" w:rsidP="001A635D">
            <w:pPr>
              <w:pStyle w:val="Tabletext"/>
              <w:jc w:val="center"/>
              <w:rPr>
                <w:lang w:val="fr-FR"/>
              </w:rPr>
            </w:pPr>
            <w:hyperlink r:id="rId23" w:history="1">
              <w:r w:rsidR="00611AAE" w:rsidRPr="003B11CA">
                <w:rPr>
                  <w:rStyle w:val="Hyperlink"/>
                  <w:lang w:val="fr-FR"/>
                </w:rPr>
                <w:t>Semaine Normes vertes</w:t>
              </w:r>
            </w:hyperlink>
          </w:p>
        </w:tc>
        <w:tc>
          <w:tcPr>
            <w:tcW w:w="3976" w:type="dxa"/>
            <w:noWrap/>
            <w:hideMark/>
          </w:tcPr>
          <w:p w14:paraId="5453B867" w14:textId="77777777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</w:p>
        </w:tc>
      </w:tr>
      <w:tr w:rsidR="00611AAE" w:rsidRPr="003B11CA" w14:paraId="6EEDB895" w14:textId="77777777" w:rsidTr="00EA2F1A">
        <w:trPr>
          <w:trHeight w:val="402"/>
        </w:trPr>
        <w:tc>
          <w:tcPr>
            <w:tcW w:w="2689" w:type="dxa"/>
            <w:vMerge/>
            <w:hideMark/>
          </w:tcPr>
          <w:p w14:paraId="76CBEFDB" w14:textId="77777777" w:rsidR="00611AAE" w:rsidRPr="003B11CA" w:rsidRDefault="00611AAE" w:rsidP="001A635D">
            <w:pPr>
              <w:pStyle w:val="Tabletext"/>
              <w:rPr>
                <w:b/>
                <w:bCs/>
                <w:lang w:val="fr-FR"/>
              </w:rPr>
            </w:pPr>
          </w:p>
        </w:tc>
        <w:tc>
          <w:tcPr>
            <w:tcW w:w="11299" w:type="dxa"/>
            <w:gridSpan w:val="3"/>
            <w:hideMark/>
          </w:tcPr>
          <w:p w14:paraId="08BDA849" w14:textId="77777777" w:rsidR="00611AAE" w:rsidRPr="003B11CA" w:rsidRDefault="004F7489" w:rsidP="001A635D">
            <w:pPr>
              <w:pStyle w:val="Tabletext"/>
              <w:jc w:val="center"/>
              <w:rPr>
                <w:lang w:val="fr-FR"/>
              </w:rPr>
            </w:pPr>
            <w:hyperlink r:id="rId24" w:history="1">
              <w:r w:rsidR="00611AAE" w:rsidRPr="003B11CA">
                <w:rPr>
                  <w:rStyle w:val="Hyperlink"/>
                  <w:lang w:val="fr-FR"/>
                </w:rPr>
                <w:t>SMSI – Grande orientation C7</w:t>
              </w:r>
            </w:hyperlink>
            <w:r w:rsidR="00611AAE" w:rsidRPr="003B11CA">
              <w:rPr>
                <w:lang w:val="fr-FR"/>
              </w:rPr>
              <w:t xml:space="preserve"> (Cyberenvironment)</w:t>
            </w:r>
          </w:p>
        </w:tc>
      </w:tr>
      <w:tr w:rsidR="00611AAE" w:rsidRPr="003B11CA" w14:paraId="10783164" w14:textId="77777777" w:rsidTr="00EA2F1A">
        <w:trPr>
          <w:trHeight w:val="402"/>
        </w:trPr>
        <w:tc>
          <w:tcPr>
            <w:tcW w:w="2689" w:type="dxa"/>
            <w:vMerge/>
            <w:hideMark/>
          </w:tcPr>
          <w:p w14:paraId="30CF1195" w14:textId="77777777" w:rsidR="00611AAE" w:rsidRPr="003B11CA" w:rsidRDefault="00611AAE" w:rsidP="001A635D">
            <w:pPr>
              <w:pStyle w:val="Tabletext"/>
              <w:rPr>
                <w:b/>
                <w:bCs/>
                <w:lang w:val="fr-FR"/>
              </w:rPr>
            </w:pPr>
          </w:p>
        </w:tc>
        <w:tc>
          <w:tcPr>
            <w:tcW w:w="11299" w:type="dxa"/>
            <w:gridSpan w:val="3"/>
            <w:hideMark/>
          </w:tcPr>
          <w:p w14:paraId="12E258DF" w14:textId="77777777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  <w:r w:rsidRPr="003B11CA">
              <w:rPr>
                <w:lang w:val="fr-FR"/>
              </w:rPr>
              <w:t>Forum mondial des politiques de télécommunication/TIC</w:t>
            </w:r>
          </w:p>
        </w:tc>
      </w:tr>
      <w:tr w:rsidR="00611AAE" w:rsidRPr="003B11CA" w14:paraId="5A6A664A" w14:textId="77777777" w:rsidTr="00EA2F1A">
        <w:trPr>
          <w:trHeight w:val="402"/>
        </w:trPr>
        <w:tc>
          <w:tcPr>
            <w:tcW w:w="2689" w:type="dxa"/>
            <w:vMerge w:val="restart"/>
            <w:hideMark/>
          </w:tcPr>
          <w:p w14:paraId="6E0B7CA7" w14:textId="111AEC41" w:rsidR="00611AAE" w:rsidRPr="003B11CA" w:rsidRDefault="00611AAE" w:rsidP="001A635D">
            <w:pPr>
              <w:pStyle w:val="Tabletext"/>
              <w:rPr>
                <w:b/>
                <w:bCs/>
                <w:lang w:val="fr-FR"/>
              </w:rPr>
            </w:pPr>
            <w:r w:rsidRPr="003B11CA">
              <w:rPr>
                <w:b/>
                <w:bCs/>
                <w:lang w:val="fr-FR"/>
              </w:rPr>
              <w:lastRenderedPageBreak/>
              <w:t>Partenariats avec d</w:t>
            </w:r>
            <w:r w:rsidR="00EA2F1A">
              <w:rPr>
                <w:b/>
                <w:bCs/>
                <w:lang w:val="fr-FR"/>
              </w:rPr>
              <w:t>'</w:t>
            </w:r>
            <w:r w:rsidRPr="003B11CA">
              <w:rPr>
                <w:b/>
                <w:bCs/>
                <w:lang w:val="fr-FR"/>
              </w:rPr>
              <w:t>autres organisations</w:t>
            </w:r>
          </w:p>
        </w:tc>
        <w:tc>
          <w:tcPr>
            <w:tcW w:w="3260" w:type="dxa"/>
            <w:noWrap/>
            <w:hideMark/>
          </w:tcPr>
          <w:p w14:paraId="49B9FCC4" w14:textId="77777777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  <w:r w:rsidRPr="003B11CA">
              <w:rPr>
                <w:lang w:val="fr-FR"/>
              </w:rPr>
              <w:t>OMM</w:t>
            </w:r>
          </w:p>
        </w:tc>
        <w:tc>
          <w:tcPr>
            <w:tcW w:w="4063" w:type="dxa"/>
            <w:noWrap/>
            <w:hideMark/>
          </w:tcPr>
          <w:p w14:paraId="7F22CCD5" w14:textId="77777777" w:rsidR="00611AAE" w:rsidRPr="003B11CA" w:rsidRDefault="004F7489" w:rsidP="001A635D">
            <w:pPr>
              <w:pStyle w:val="Tabletext"/>
              <w:jc w:val="center"/>
              <w:rPr>
                <w:lang w:val="fr-FR"/>
              </w:rPr>
            </w:pPr>
            <w:hyperlink r:id="rId25" w:history="1">
              <w:r w:rsidR="00611AAE" w:rsidRPr="003B11CA">
                <w:rPr>
                  <w:rStyle w:val="Hyperlink"/>
                  <w:lang w:val="fr-FR"/>
                </w:rPr>
                <w:t>U4SSC</w:t>
              </w:r>
            </w:hyperlink>
          </w:p>
        </w:tc>
        <w:tc>
          <w:tcPr>
            <w:tcW w:w="3976" w:type="dxa"/>
            <w:noWrap/>
            <w:hideMark/>
          </w:tcPr>
          <w:p w14:paraId="7518FB37" w14:textId="2C399C0D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  <w:r w:rsidRPr="003B11CA">
              <w:rPr>
                <w:lang w:val="fr-FR"/>
              </w:rPr>
              <w:t>Partenariat mondial sur les statistiques relatives aux déchets d</w:t>
            </w:r>
            <w:r w:rsidR="00EA2F1A">
              <w:rPr>
                <w:lang w:val="fr-FR"/>
              </w:rPr>
              <w:t>'</w:t>
            </w:r>
            <w:r w:rsidRPr="003B11CA">
              <w:rPr>
                <w:lang w:val="fr-FR"/>
              </w:rPr>
              <w:t>équipements électriques et électroniques</w:t>
            </w:r>
          </w:p>
        </w:tc>
      </w:tr>
      <w:tr w:rsidR="00611AAE" w:rsidRPr="003B11CA" w14:paraId="60E4597E" w14:textId="77777777" w:rsidTr="00EA2F1A">
        <w:trPr>
          <w:trHeight w:val="402"/>
        </w:trPr>
        <w:tc>
          <w:tcPr>
            <w:tcW w:w="2689" w:type="dxa"/>
            <w:vMerge/>
            <w:hideMark/>
          </w:tcPr>
          <w:p w14:paraId="3EE301B8" w14:textId="77777777" w:rsidR="00611AAE" w:rsidRPr="003B11CA" w:rsidRDefault="00611AAE" w:rsidP="001A635D">
            <w:pPr>
              <w:pStyle w:val="Tabletext"/>
              <w:rPr>
                <w:b/>
                <w:bCs/>
                <w:lang w:val="fr-FR"/>
              </w:rPr>
            </w:pPr>
          </w:p>
        </w:tc>
        <w:tc>
          <w:tcPr>
            <w:tcW w:w="3260" w:type="dxa"/>
            <w:noWrap/>
            <w:hideMark/>
          </w:tcPr>
          <w:p w14:paraId="25C5CBB5" w14:textId="77777777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  <w:r w:rsidRPr="003B11CA">
              <w:rPr>
                <w:lang w:val="fr-FR"/>
              </w:rPr>
              <w:t>GEO</w:t>
            </w:r>
          </w:p>
        </w:tc>
        <w:tc>
          <w:tcPr>
            <w:tcW w:w="4063" w:type="dxa"/>
            <w:noWrap/>
            <w:hideMark/>
          </w:tcPr>
          <w:p w14:paraId="3024ACC1" w14:textId="77777777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</w:p>
        </w:tc>
        <w:tc>
          <w:tcPr>
            <w:tcW w:w="3976" w:type="dxa"/>
            <w:noWrap/>
          </w:tcPr>
          <w:p w14:paraId="0A044554" w14:textId="44DEF8C1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  <w:r w:rsidRPr="003B11CA">
              <w:rPr>
                <w:lang w:val="fr-FR"/>
              </w:rPr>
              <w:t>Coalition contre les déchets d</w:t>
            </w:r>
            <w:r w:rsidR="00EA2F1A">
              <w:rPr>
                <w:lang w:val="fr-FR"/>
              </w:rPr>
              <w:t>'</w:t>
            </w:r>
            <w:r w:rsidRPr="003B11CA">
              <w:rPr>
                <w:lang w:val="fr-FR"/>
              </w:rPr>
              <w:t>équipements électriques et électroniques</w:t>
            </w:r>
          </w:p>
        </w:tc>
      </w:tr>
      <w:tr w:rsidR="00611AAE" w:rsidRPr="003B11CA" w14:paraId="471D2E81" w14:textId="77777777" w:rsidTr="00EA2F1A">
        <w:trPr>
          <w:trHeight w:val="402"/>
        </w:trPr>
        <w:tc>
          <w:tcPr>
            <w:tcW w:w="2689" w:type="dxa"/>
            <w:vMerge/>
            <w:hideMark/>
          </w:tcPr>
          <w:p w14:paraId="334A1688" w14:textId="77777777" w:rsidR="00611AAE" w:rsidRPr="003B11CA" w:rsidRDefault="00611AAE" w:rsidP="001A635D">
            <w:pPr>
              <w:pStyle w:val="Tabletext"/>
              <w:rPr>
                <w:b/>
                <w:bCs/>
                <w:lang w:val="fr-FR"/>
              </w:rPr>
            </w:pPr>
          </w:p>
        </w:tc>
        <w:tc>
          <w:tcPr>
            <w:tcW w:w="11299" w:type="dxa"/>
            <w:gridSpan w:val="3"/>
            <w:hideMark/>
          </w:tcPr>
          <w:p w14:paraId="3C4F3E7E" w14:textId="77777777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  <w:r w:rsidRPr="003B11CA">
              <w:rPr>
                <w:lang w:val="fr-FR"/>
              </w:rPr>
              <w:t>Conférences des Nations Unies sur les changements climatiques</w:t>
            </w:r>
          </w:p>
        </w:tc>
      </w:tr>
      <w:tr w:rsidR="00611AAE" w:rsidRPr="003B11CA" w14:paraId="3C6547F6" w14:textId="77777777" w:rsidTr="00EA2F1A">
        <w:trPr>
          <w:trHeight w:val="402"/>
        </w:trPr>
        <w:tc>
          <w:tcPr>
            <w:tcW w:w="2689" w:type="dxa"/>
            <w:vMerge/>
            <w:hideMark/>
          </w:tcPr>
          <w:p w14:paraId="458DF6AF" w14:textId="77777777" w:rsidR="00611AAE" w:rsidRPr="003B11CA" w:rsidRDefault="00611AAE" w:rsidP="001A635D">
            <w:pPr>
              <w:pStyle w:val="Tabletext"/>
              <w:rPr>
                <w:b/>
                <w:bCs/>
                <w:lang w:val="fr-FR"/>
              </w:rPr>
            </w:pPr>
          </w:p>
        </w:tc>
        <w:tc>
          <w:tcPr>
            <w:tcW w:w="11299" w:type="dxa"/>
            <w:gridSpan w:val="3"/>
            <w:hideMark/>
          </w:tcPr>
          <w:p w14:paraId="723D8006" w14:textId="660F3C70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  <w:r w:rsidRPr="003B11CA">
              <w:rPr>
                <w:lang w:val="fr-FR"/>
              </w:rPr>
              <w:t>Programme de développement durable à l</w:t>
            </w:r>
            <w:r w:rsidR="00EA2F1A">
              <w:rPr>
                <w:lang w:val="fr-FR"/>
              </w:rPr>
              <w:t>'</w:t>
            </w:r>
            <w:r w:rsidRPr="003B11CA">
              <w:rPr>
                <w:lang w:val="fr-FR"/>
              </w:rPr>
              <w:t>horizon 2030 des Nations Unies (ODD</w:t>
            </w:r>
            <w:r w:rsidR="00076A94" w:rsidRPr="003B11CA">
              <w:rPr>
                <w:lang w:val="fr-FR"/>
              </w:rPr>
              <w:t xml:space="preserve"> 13</w:t>
            </w:r>
            <w:r w:rsidRPr="003B11CA">
              <w:rPr>
                <w:lang w:val="fr-FR"/>
              </w:rPr>
              <w:t>)</w:t>
            </w:r>
          </w:p>
        </w:tc>
      </w:tr>
      <w:tr w:rsidR="00611AAE" w:rsidRPr="003B11CA" w14:paraId="6B7A7115" w14:textId="77777777" w:rsidTr="00EA2F1A">
        <w:trPr>
          <w:trHeight w:val="300"/>
        </w:trPr>
        <w:tc>
          <w:tcPr>
            <w:tcW w:w="2689" w:type="dxa"/>
            <w:vMerge w:val="restart"/>
            <w:hideMark/>
          </w:tcPr>
          <w:p w14:paraId="148683DC" w14:textId="77777777" w:rsidR="00611AAE" w:rsidRPr="003B11CA" w:rsidRDefault="00611AAE" w:rsidP="001A635D">
            <w:pPr>
              <w:pStyle w:val="Tabletext"/>
              <w:rPr>
                <w:b/>
                <w:bCs/>
                <w:lang w:val="fr-FR"/>
              </w:rPr>
            </w:pPr>
            <w:r w:rsidRPr="003B11CA">
              <w:rPr>
                <w:b/>
                <w:bCs/>
                <w:lang w:val="fr-FR"/>
              </w:rPr>
              <w:t>Résolutions</w:t>
            </w:r>
          </w:p>
        </w:tc>
        <w:tc>
          <w:tcPr>
            <w:tcW w:w="3260" w:type="dxa"/>
            <w:noWrap/>
            <w:hideMark/>
          </w:tcPr>
          <w:p w14:paraId="077D3A16" w14:textId="7F923698" w:rsidR="00611AAE" w:rsidRPr="003B11CA" w:rsidRDefault="004F7489" w:rsidP="001A635D">
            <w:pPr>
              <w:pStyle w:val="Tabletext"/>
              <w:jc w:val="center"/>
              <w:rPr>
                <w:lang w:val="fr-FR"/>
              </w:rPr>
            </w:pPr>
            <w:hyperlink r:id="rId26" w:history="1">
              <w:r w:rsidR="00611AAE" w:rsidRPr="003B11CA">
                <w:rPr>
                  <w:rStyle w:val="Hyperlink"/>
                  <w:lang w:val="fr-FR"/>
                </w:rPr>
                <w:t>Résolution 60 (AR-19)</w:t>
              </w:r>
            </w:hyperlink>
          </w:p>
        </w:tc>
        <w:tc>
          <w:tcPr>
            <w:tcW w:w="4063" w:type="dxa"/>
            <w:noWrap/>
            <w:hideMark/>
          </w:tcPr>
          <w:p w14:paraId="6A2A0314" w14:textId="516077E4" w:rsidR="00611AAE" w:rsidRPr="003B11CA" w:rsidRDefault="004F7489" w:rsidP="001A635D">
            <w:pPr>
              <w:pStyle w:val="Tabletext"/>
              <w:jc w:val="center"/>
              <w:rPr>
                <w:lang w:val="fr-FR"/>
              </w:rPr>
            </w:pPr>
            <w:hyperlink r:id="rId27" w:history="1">
              <w:r w:rsidR="00611AAE" w:rsidRPr="003B11CA">
                <w:rPr>
                  <w:rStyle w:val="Hyperlink"/>
                  <w:lang w:val="fr-FR"/>
                </w:rPr>
                <w:t>Résolution 73 (Rév.Hammamet, 2016)</w:t>
              </w:r>
            </w:hyperlink>
          </w:p>
        </w:tc>
        <w:tc>
          <w:tcPr>
            <w:tcW w:w="3976" w:type="dxa"/>
            <w:noWrap/>
            <w:hideMark/>
          </w:tcPr>
          <w:p w14:paraId="68C51318" w14:textId="1F27B53C" w:rsidR="00611AAE" w:rsidRPr="003B11CA" w:rsidRDefault="004F7489" w:rsidP="001A635D">
            <w:pPr>
              <w:pStyle w:val="Tabletext"/>
              <w:jc w:val="center"/>
              <w:rPr>
                <w:lang w:val="fr-FR"/>
              </w:rPr>
            </w:pPr>
            <w:hyperlink r:id="rId28" w:history="1">
              <w:r w:rsidR="00611AAE" w:rsidRPr="003B11CA">
                <w:rPr>
                  <w:rStyle w:val="Hyperlink"/>
                  <w:lang w:val="fr-FR"/>
                </w:rPr>
                <w:t>Résolution 66 (Rév.Buenos Aires, 2017)</w:t>
              </w:r>
            </w:hyperlink>
          </w:p>
        </w:tc>
      </w:tr>
      <w:tr w:rsidR="00611AAE" w:rsidRPr="003B11CA" w14:paraId="330BB2C2" w14:textId="77777777" w:rsidTr="00EA2F1A">
        <w:trPr>
          <w:trHeight w:val="315"/>
        </w:trPr>
        <w:tc>
          <w:tcPr>
            <w:tcW w:w="2689" w:type="dxa"/>
            <w:vMerge/>
            <w:hideMark/>
          </w:tcPr>
          <w:p w14:paraId="53512C03" w14:textId="77777777" w:rsidR="00611AAE" w:rsidRPr="003B11CA" w:rsidRDefault="00611AAE" w:rsidP="001A635D">
            <w:pPr>
              <w:pStyle w:val="Tabletext"/>
              <w:rPr>
                <w:b/>
                <w:bCs/>
                <w:lang w:val="fr-FR"/>
              </w:rPr>
            </w:pPr>
          </w:p>
        </w:tc>
        <w:tc>
          <w:tcPr>
            <w:tcW w:w="3260" w:type="dxa"/>
            <w:noWrap/>
            <w:hideMark/>
          </w:tcPr>
          <w:p w14:paraId="6C1252D1" w14:textId="11BC5CB2" w:rsidR="00611AAE" w:rsidRPr="003B11CA" w:rsidRDefault="004F7489" w:rsidP="001A635D">
            <w:pPr>
              <w:pStyle w:val="Tabletext"/>
              <w:jc w:val="center"/>
              <w:rPr>
                <w:lang w:val="fr-FR"/>
              </w:rPr>
            </w:pPr>
            <w:hyperlink r:id="rId29" w:history="1">
              <w:r w:rsidR="00611AAE" w:rsidRPr="003B11CA">
                <w:rPr>
                  <w:rStyle w:val="Hyperlink"/>
                  <w:lang w:val="fr-FR"/>
                </w:rPr>
                <w:t>Résolution 61 (AR-19)</w:t>
              </w:r>
            </w:hyperlink>
          </w:p>
        </w:tc>
        <w:tc>
          <w:tcPr>
            <w:tcW w:w="4063" w:type="dxa"/>
            <w:noWrap/>
            <w:hideMark/>
          </w:tcPr>
          <w:p w14:paraId="16001311" w14:textId="7CE44F66" w:rsidR="00611AAE" w:rsidRPr="003B11CA" w:rsidRDefault="004F7489" w:rsidP="001A635D">
            <w:pPr>
              <w:pStyle w:val="Tabletext"/>
              <w:jc w:val="center"/>
              <w:rPr>
                <w:lang w:val="fr-FR"/>
              </w:rPr>
            </w:pPr>
            <w:hyperlink r:id="rId30" w:history="1">
              <w:r w:rsidR="00611AAE" w:rsidRPr="003B11CA">
                <w:rPr>
                  <w:rStyle w:val="Hyperlink"/>
                  <w:lang w:val="fr-FR"/>
                </w:rPr>
                <w:t>Résolution 79 (Rév.Hammamet, 2016)</w:t>
              </w:r>
            </w:hyperlink>
          </w:p>
        </w:tc>
        <w:tc>
          <w:tcPr>
            <w:tcW w:w="3976" w:type="dxa"/>
            <w:noWrap/>
            <w:hideMark/>
          </w:tcPr>
          <w:p w14:paraId="1BE81F76" w14:textId="4DB666F3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</w:p>
        </w:tc>
      </w:tr>
      <w:tr w:rsidR="00611AAE" w:rsidRPr="003B11CA" w14:paraId="05E16FBB" w14:textId="77777777" w:rsidTr="00EA2F1A">
        <w:trPr>
          <w:trHeight w:val="300"/>
        </w:trPr>
        <w:tc>
          <w:tcPr>
            <w:tcW w:w="2689" w:type="dxa"/>
            <w:vMerge w:val="restart"/>
            <w:hideMark/>
          </w:tcPr>
          <w:p w14:paraId="62D57B7D" w14:textId="77777777" w:rsidR="00611AAE" w:rsidRPr="003B11CA" w:rsidRDefault="00611AAE" w:rsidP="001A635D">
            <w:pPr>
              <w:pStyle w:val="Tabletext"/>
              <w:rPr>
                <w:b/>
                <w:bCs/>
                <w:lang w:val="fr-FR"/>
              </w:rPr>
            </w:pPr>
            <w:r w:rsidRPr="003B11CA">
              <w:rPr>
                <w:b/>
                <w:bCs/>
                <w:lang w:val="fr-FR"/>
              </w:rPr>
              <w:t>Recommandations</w:t>
            </w:r>
          </w:p>
        </w:tc>
        <w:tc>
          <w:tcPr>
            <w:tcW w:w="3260" w:type="dxa"/>
            <w:noWrap/>
            <w:hideMark/>
          </w:tcPr>
          <w:p w14:paraId="32EF6166" w14:textId="732EEE65" w:rsidR="00611AAE" w:rsidRPr="003B11CA" w:rsidRDefault="004F7489" w:rsidP="001A635D">
            <w:pPr>
              <w:pStyle w:val="Tabletext"/>
              <w:jc w:val="center"/>
              <w:rPr>
                <w:lang w:val="fr-FR"/>
              </w:rPr>
            </w:pPr>
            <w:hyperlink r:id="rId31" w:history="1">
              <w:r w:rsidR="00611AAE" w:rsidRPr="003B11CA">
                <w:rPr>
                  <w:rStyle w:val="Hyperlink"/>
                  <w:lang w:val="fr-FR"/>
                </w:rPr>
                <w:t>Série</w:t>
              </w:r>
            </w:hyperlink>
            <w:r w:rsidR="00611AAE" w:rsidRPr="003B11CA">
              <w:rPr>
                <w:rStyle w:val="Hyperlink"/>
                <w:lang w:val="fr-FR"/>
              </w:rPr>
              <w:t xml:space="preserve"> RS</w:t>
            </w:r>
            <w:r w:rsidR="00611AAE" w:rsidRPr="003B11CA">
              <w:rPr>
                <w:lang w:val="fr-FR"/>
              </w:rPr>
              <w:t xml:space="preserve"> </w:t>
            </w:r>
            <w:r w:rsidR="003C6056" w:rsidRPr="003B11CA">
              <w:rPr>
                <w:lang w:val="fr-FR"/>
              </w:rPr>
              <w:t>–</w:t>
            </w:r>
            <w:r w:rsidR="00611AAE" w:rsidRPr="003B11CA">
              <w:rPr>
                <w:lang w:val="fr-FR"/>
              </w:rPr>
              <w:t xml:space="preserve"> Télédétection</w:t>
            </w:r>
          </w:p>
        </w:tc>
        <w:tc>
          <w:tcPr>
            <w:tcW w:w="4063" w:type="dxa"/>
            <w:noWrap/>
          </w:tcPr>
          <w:p w14:paraId="24784A9E" w14:textId="77777777" w:rsidR="00611AAE" w:rsidRPr="003B11CA" w:rsidRDefault="004F7489" w:rsidP="001A635D">
            <w:pPr>
              <w:pStyle w:val="Tabletext"/>
              <w:jc w:val="center"/>
              <w:rPr>
                <w:lang w:val="fr-FR"/>
              </w:rPr>
            </w:pPr>
            <w:hyperlink r:id="rId32" w:history="1">
              <w:r w:rsidR="00611AAE" w:rsidRPr="003B11CA">
                <w:rPr>
                  <w:rStyle w:val="Hyperlink"/>
                  <w:lang w:val="fr-FR"/>
                </w:rPr>
                <w:t>Normes et Suppléments sur les TIC vertes</w:t>
              </w:r>
            </w:hyperlink>
          </w:p>
        </w:tc>
        <w:tc>
          <w:tcPr>
            <w:tcW w:w="3976" w:type="dxa"/>
            <w:noWrap/>
            <w:hideMark/>
          </w:tcPr>
          <w:p w14:paraId="35D34A98" w14:textId="77777777" w:rsidR="00611AAE" w:rsidRPr="003B11CA" w:rsidRDefault="004F7489" w:rsidP="001A635D">
            <w:pPr>
              <w:pStyle w:val="Tabletext"/>
              <w:jc w:val="center"/>
              <w:rPr>
                <w:lang w:val="fr-FR"/>
              </w:rPr>
            </w:pPr>
            <w:hyperlink r:id="rId33" w:history="1">
              <w:r w:rsidR="00611AAE" w:rsidRPr="003B11CA">
                <w:rPr>
                  <w:rStyle w:val="Hyperlink"/>
                  <w:lang w:val="fr-FR"/>
                </w:rPr>
                <w:t>D.21</w:t>
              </w:r>
            </w:hyperlink>
          </w:p>
        </w:tc>
      </w:tr>
      <w:tr w:rsidR="00611AAE" w:rsidRPr="003B11CA" w14:paraId="5783E007" w14:textId="77777777" w:rsidTr="00EA2F1A">
        <w:trPr>
          <w:trHeight w:val="315"/>
        </w:trPr>
        <w:tc>
          <w:tcPr>
            <w:tcW w:w="2689" w:type="dxa"/>
            <w:vMerge/>
            <w:hideMark/>
          </w:tcPr>
          <w:p w14:paraId="3488097D" w14:textId="77777777" w:rsidR="00611AAE" w:rsidRPr="003B11CA" w:rsidRDefault="00611AAE" w:rsidP="001A635D">
            <w:pPr>
              <w:pStyle w:val="Tabletext"/>
              <w:rPr>
                <w:b/>
                <w:bCs/>
                <w:lang w:val="fr-FR"/>
              </w:rPr>
            </w:pPr>
          </w:p>
        </w:tc>
        <w:tc>
          <w:tcPr>
            <w:tcW w:w="3260" w:type="dxa"/>
            <w:noWrap/>
            <w:hideMark/>
          </w:tcPr>
          <w:p w14:paraId="61E0CEDC" w14:textId="49A91370" w:rsidR="00611AAE" w:rsidRPr="003B11CA" w:rsidRDefault="004F7489" w:rsidP="001A635D">
            <w:pPr>
              <w:pStyle w:val="Tabletext"/>
              <w:jc w:val="center"/>
              <w:rPr>
                <w:lang w:val="fr-FR"/>
              </w:rPr>
            </w:pPr>
            <w:hyperlink r:id="rId34" w:history="1">
              <w:r w:rsidR="00611AAE" w:rsidRPr="003B11CA">
                <w:rPr>
                  <w:rStyle w:val="Hyperlink"/>
                  <w:lang w:val="fr-FR"/>
                </w:rPr>
                <w:t>Série SA</w:t>
              </w:r>
            </w:hyperlink>
            <w:r w:rsidR="00611AAE" w:rsidRPr="003B11CA">
              <w:rPr>
                <w:lang w:val="fr-FR"/>
              </w:rPr>
              <w:t xml:space="preserve"> </w:t>
            </w:r>
            <w:r w:rsidR="003C6056" w:rsidRPr="003B11CA">
              <w:rPr>
                <w:lang w:val="fr-FR"/>
              </w:rPr>
              <w:t>–</w:t>
            </w:r>
            <w:r w:rsidR="00611AAE" w:rsidRPr="003B11CA">
              <w:rPr>
                <w:lang w:val="fr-FR"/>
              </w:rPr>
              <w:t xml:space="preserve"> Applications spatiales et météorologie</w:t>
            </w:r>
          </w:p>
        </w:tc>
        <w:tc>
          <w:tcPr>
            <w:tcW w:w="4063" w:type="dxa"/>
            <w:noWrap/>
          </w:tcPr>
          <w:p w14:paraId="086CAE95" w14:textId="77777777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</w:p>
        </w:tc>
        <w:tc>
          <w:tcPr>
            <w:tcW w:w="3976" w:type="dxa"/>
            <w:noWrap/>
            <w:hideMark/>
          </w:tcPr>
          <w:p w14:paraId="4C7249BE" w14:textId="5129DAA9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</w:p>
        </w:tc>
      </w:tr>
      <w:tr w:rsidR="00611AAE" w:rsidRPr="003B11CA" w14:paraId="3A3E6930" w14:textId="77777777" w:rsidTr="00EA2F1A">
        <w:trPr>
          <w:trHeight w:val="600"/>
        </w:trPr>
        <w:tc>
          <w:tcPr>
            <w:tcW w:w="2689" w:type="dxa"/>
            <w:vMerge w:val="restart"/>
            <w:hideMark/>
          </w:tcPr>
          <w:p w14:paraId="79365CDB" w14:textId="77777777" w:rsidR="00611AAE" w:rsidRPr="003B11CA" w:rsidRDefault="00611AAE" w:rsidP="001A635D">
            <w:pPr>
              <w:pStyle w:val="Tabletext"/>
              <w:rPr>
                <w:lang w:val="fr-FR"/>
              </w:rPr>
            </w:pPr>
            <w:r w:rsidRPr="003B11CA">
              <w:rPr>
                <w:lang w:val="fr-FR"/>
              </w:rPr>
              <w:t>Rapports</w:t>
            </w:r>
          </w:p>
        </w:tc>
        <w:tc>
          <w:tcPr>
            <w:tcW w:w="3260" w:type="dxa"/>
            <w:noWrap/>
            <w:hideMark/>
          </w:tcPr>
          <w:p w14:paraId="3595487A" w14:textId="3C6E6056" w:rsidR="00611AAE" w:rsidRPr="003B11CA" w:rsidRDefault="004F7489" w:rsidP="001A635D">
            <w:pPr>
              <w:pStyle w:val="Tabletext"/>
              <w:jc w:val="center"/>
              <w:rPr>
                <w:lang w:val="fr-FR"/>
              </w:rPr>
            </w:pPr>
            <w:hyperlink r:id="rId35" w:history="1">
              <w:r w:rsidR="00611AAE" w:rsidRPr="003B11CA">
                <w:rPr>
                  <w:rStyle w:val="Hyperlink"/>
                  <w:lang w:val="fr-FR"/>
                </w:rPr>
                <w:t>Série</w:t>
              </w:r>
            </w:hyperlink>
            <w:r w:rsidR="00611AAE" w:rsidRPr="003B11CA">
              <w:rPr>
                <w:rStyle w:val="Hyperlink"/>
                <w:lang w:val="fr-FR"/>
              </w:rPr>
              <w:t xml:space="preserve"> RS</w:t>
            </w:r>
            <w:r w:rsidR="00611AAE" w:rsidRPr="003B11CA">
              <w:rPr>
                <w:lang w:val="fr-FR"/>
              </w:rPr>
              <w:t xml:space="preserve"> </w:t>
            </w:r>
            <w:r w:rsidR="003C6056" w:rsidRPr="003B11CA">
              <w:rPr>
                <w:lang w:val="fr-FR"/>
              </w:rPr>
              <w:t>–</w:t>
            </w:r>
            <w:r w:rsidR="00611AAE" w:rsidRPr="003B11CA">
              <w:rPr>
                <w:lang w:val="fr-FR"/>
              </w:rPr>
              <w:t xml:space="preserve"> Télédétection</w:t>
            </w:r>
          </w:p>
        </w:tc>
        <w:tc>
          <w:tcPr>
            <w:tcW w:w="4063" w:type="dxa"/>
            <w:hideMark/>
          </w:tcPr>
          <w:p w14:paraId="3B0A412B" w14:textId="0EF8C4F2" w:rsidR="00611AAE" w:rsidRPr="003B11CA" w:rsidRDefault="004F7489" w:rsidP="001A635D">
            <w:pPr>
              <w:pStyle w:val="Tabletext"/>
              <w:jc w:val="center"/>
              <w:rPr>
                <w:lang w:val="fr-FR"/>
              </w:rPr>
            </w:pPr>
            <w:hyperlink r:id="rId36" w:history="1">
              <w:r w:rsidR="00611AAE" w:rsidRPr="003B11CA">
                <w:rPr>
                  <w:rStyle w:val="Hyperlink"/>
                  <w:lang w:val="fr-FR"/>
                </w:rPr>
                <w:t>Documents et rapports techniques</w:t>
              </w:r>
            </w:hyperlink>
          </w:p>
        </w:tc>
        <w:tc>
          <w:tcPr>
            <w:tcW w:w="3976" w:type="dxa"/>
            <w:noWrap/>
            <w:hideMark/>
          </w:tcPr>
          <w:p w14:paraId="1372E817" w14:textId="191DE9AE" w:rsidR="00611AAE" w:rsidRPr="003B11CA" w:rsidRDefault="004F7489" w:rsidP="001A635D">
            <w:pPr>
              <w:pStyle w:val="Tabletext"/>
              <w:jc w:val="center"/>
              <w:rPr>
                <w:lang w:val="fr-FR"/>
              </w:rPr>
            </w:pPr>
            <w:hyperlink r:id="rId37" w:history="1">
              <w:r w:rsidR="00611AAE" w:rsidRPr="003B11CA">
                <w:rPr>
                  <w:rStyle w:val="Hyperlink"/>
                  <w:lang w:val="fr-FR"/>
                </w:rPr>
                <w:t>Rapport final sur la Question 6/2</w:t>
              </w:r>
            </w:hyperlink>
            <w:r w:rsidR="00611AAE" w:rsidRPr="003B11CA">
              <w:rPr>
                <w:lang w:val="fr-FR"/>
              </w:rPr>
              <w:t xml:space="preserve"> (2017)</w:t>
            </w:r>
          </w:p>
        </w:tc>
      </w:tr>
      <w:tr w:rsidR="00611AAE" w:rsidRPr="003B11CA" w14:paraId="54D1DB12" w14:textId="77777777" w:rsidTr="00EA2F1A">
        <w:trPr>
          <w:trHeight w:val="315"/>
        </w:trPr>
        <w:tc>
          <w:tcPr>
            <w:tcW w:w="2689" w:type="dxa"/>
            <w:vMerge/>
            <w:hideMark/>
          </w:tcPr>
          <w:p w14:paraId="07561E13" w14:textId="77777777" w:rsidR="00611AAE" w:rsidRPr="003B11CA" w:rsidRDefault="00611AAE" w:rsidP="001A635D">
            <w:pPr>
              <w:pStyle w:val="Tabletext"/>
              <w:rPr>
                <w:lang w:val="fr-FR"/>
              </w:rPr>
            </w:pPr>
          </w:p>
        </w:tc>
        <w:tc>
          <w:tcPr>
            <w:tcW w:w="3260" w:type="dxa"/>
            <w:noWrap/>
            <w:hideMark/>
          </w:tcPr>
          <w:p w14:paraId="0DCC64E5" w14:textId="52913C5D" w:rsidR="00611AAE" w:rsidRPr="003B11CA" w:rsidRDefault="004F7489" w:rsidP="001A635D">
            <w:pPr>
              <w:pStyle w:val="Tabletext"/>
              <w:jc w:val="center"/>
              <w:rPr>
                <w:lang w:val="fr-FR"/>
              </w:rPr>
            </w:pPr>
            <w:hyperlink r:id="rId38" w:history="1">
              <w:r w:rsidR="00611AAE" w:rsidRPr="003B11CA">
                <w:rPr>
                  <w:rStyle w:val="Hyperlink"/>
                  <w:lang w:val="fr-FR"/>
                </w:rPr>
                <w:t>Série SA</w:t>
              </w:r>
            </w:hyperlink>
            <w:r w:rsidR="00611AAE" w:rsidRPr="003B11CA">
              <w:rPr>
                <w:lang w:val="fr-FR"/>
              </w:rPr>
              <w:t xml:space="preserve"> </w:t>
            </w:r>
            <w:r w:rsidR="003C6056" w:rsidRPr="003B11CA">
              <w:rPr>
                <w:lang w:val="fr-FR"/>
              </w:rPr>
              <w:t>–</w:t>
            </w:r>
            <w:r w:rsidR="00611AAE" w:rsidRPr="003B11CA">
              <w:rPr>
                <w:lang w:val="fr-FR"/>
              </w:rPr>
              <w:t xml:space="preserve"> Applications spatiales et météorologie</w:t>
            </w:r>
          </w:p>
        </w:tc>
        <w:tc>
          <w:tcPr>
            <w:tcW w:w="4063" w:type="dxa"/>
            <w:noWrap/>
            <w:hideMark/>
          </w:tcPr>
          <w:p w14:paraId="75475C30" w14:textId="28C5A12A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</w:p>
        </w:tc>
        <w:tc>
          <w:tcPr>
            <w:tcW w:w="3976" w:type="dxa"/>
            <w:noWrap/>
            <w:hideMark/>
          </w:tcPr>
          <w:p w14:paraId="4DA883B7" w14:textId="40C498E2" w:rsidR="00611AAE" w:rsidRPr="003B11CA" w:rsidRDefault="00611AAE" w:rsidP="001A635D">
            <w:pPr>
              <w:pStyle w:val="Tabletext"/>
              <w:jc w:val="center"/>
              <w:rPr>
                <w:lang w:val="fr-FR"/>
              </w:rPr>
            </w:pPr>
          </w:p>
        </w:tc>
      </w:tr>
      <w:tr w:rsidR="00611AAE" w:rsidRPr="003B11CA" w14:paraId="52D3381E" w14:textId="77777777" w:rsidTr="00EA2F1A">
        <w:trPr>
          <w:trHeight w:val="615"/>
        </w:trPr>
        <w:tc>
          <w:tcPr>
            <w:tcW w:w="2689" w:type="dxa"/>
            <w:hideMark/>
          </w:tcPr>
          <w:p w14:paraId="11CE2858" w14:textId="77777777" w:rsidR="00611AAE" w:rsidRPr="003B11CA" w:rsidRDefault="00611AAE" w:rsidP="001A635D">
            <w:pPr>
              <w:pStyle w:val="Tabletext"/>
              <w:rPr>
                <w:lang w:val="fr-FR"/>
              </w:rPr>
            </w:pPr>
            <w:bookmarkStart w:id="7" w:name="_Hlk31299761"/>
            <w:r w:rsidRPr="003B11CA">
              <w:rPr>
                <w:lang w:val="fr-FR"/>
              </w:rPr>
              <w:t>Publications</w:t>
            </w:r>
          </w:p>
        </w:tc>
        <w:tc>
          <w:tcPr>
            <w:tcW w:w="11299" w:type="dxa"/>
            <w:gridSpan w:val="3"/>
          </w:tcPr>
          <w:p w14:paraId="2CEE738A" w14:textId="77777777" w:rsidR="00611AAE" w:rsidRPr="003B11CA" w:rsidRDefault="004F7489" w:rsidP="001A635D">
            <w:pPr>
              <w:pStyle w:val="Tabletext"/>
              <w:jc w:val="center"/>
              <w:rPr>
                <w:lang w:val="fr-FR"/>
              </w:rPr>
            </w:pPr>
            <w:hyperlink r:id="rId39" w:history="1">
              <w:r w:rsidR="00611AAE" w:rsidRPr="003B11CA">
                <w:rPr>
                  <w:rStyle w:val="Hyperlink"/>
                  <w:lang w:val="fr-FR"/>
                </w:rPr>
                <w:t>https://www.itu.int/en/action/environment-and-climate-change/Pages/latest-reports-and-publications.aspx</w:t>
              </w:r>
            </w:hyperlink>
          </w:p>
        </w:tc>
      </w:tr>
      <w:bookmarkEnd w:id="7"/>
      <w:tr w:rsidR="00611AAE" w:rsidRPr="003B11CA" w14:paraId="5F4FC09E" w14:textId="77777777" w:rsidTr="00EA2F1A">
        <w:trPr>
          <w:trHeight w:val="615"/>
        </w:trPr>
        <w:tc>
          <w:tcPr>
            <w:tcW w:w="2689" w:type="dxa"/>
            <w:hideMark/>
          </w:tcPr>
          <w:p w14:paraId="0C1CBF94" w14:textId="77777777" w:rsidR="00611AAE" w:rsidRPr="003B11CA" w:rsidRDefault="00611AAE" w:rsidP="001A635D">
            <w:pPr>
              <w:pStyle w:val="Tabletext"/>
              <w:rPr>
                <w:lang w:val="fr-FR"/>
              </w:rPr>
            </w:pPr>
            <w:r w:rsidRPr="003B11CA">
              <w:rPr>
                <w:lang w:val="fr-FR"/>
              </w:rPr>
              <w:t>Page web</w:t>
            </w:r>
          </w:p>
        </w:tc>
        <w:tc>
          <w:tcPr>
            <w:tcW w:w="11299" w:type="dxa"/>
            <w:gridSpan w:val="3"/>
          </w:tcPr>
          <w:p w14:paraId="45EE3ABA" w14:textId="77777777" w:rsidR="00611AAE" w:rsidRPr="003B11CA" w:rsidRDefault="004F7489" w:rsidP="001A635D">
            <w:pPr>
              <w:pStyle w:val="Tabletext"/>
              <w:jc w:val="center"/>
              <w:rPr>
                <w:lang w:val="fr-FR"/>
              </w:rPr>
            </w:pPr>
            <w:hyperlink r:id="rId40" w:history="1">
              <w:r w:rsidR="00611AAE" w:rsidRPr="003B11CA">
                <w:rPr>
                  <w:rStyle w:val="Hyperlink"/>
                  <w:lang w:val="fr-FR"/>
                </w:rPr>
                <w:t>https://www.itu.int/en/action/environment-and-climate-change/Pages/default.aspx</w:t>
              </w:r>
            </w:hyperlink>
          </w:p>
        </w:tc>
      </w:tr>
    </w:tbl>
    <w:p w14:paraId="4EF39CC0" w14:textId="77777777" w:rsidR="002770B1" w:rsidRPr="003B11CA" w:rsidRDefault="003C58BF" w:rsidP="003C6056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jc w:val="center"/>
        <w:rPr>
          <w:lang w:val="fr-FR"/>
        </w:rPr>
      </w:pPr>
      <w:r w:rsidRPr="003B11CA">
        <w:rPr>
          <w:lang w:val="fr-FR"/>
        </w:rPr>
        <w:t>_____________</w:t>
      </w:r>
      <w:r w:rsidR="004122C5" w:rsidRPr="003B11CA">
        <w:rPr>
          <w:lang w:val="fr-FR"/>
        </w:rPr>
        <w:t>_</w:t>
      </w:r>
      <w:r w:rsidR="00922EC1" w:rsidRPr="003B11CA">
        <w:rPr>
          <w:lang w:val="fr-FR"/>
        </w:rPr>
        <w:t>_</w:t>
      </w:r>
    </w:p>
    <w:sectPr w:rsidR="002770B1" w:rsidRPr="003B11CA" w:rsidSect="00076A94">
      <w:headerReference w:type="default" r:id="rId41"/>
      <w:footerReference w:type="default" r:id="rId42"/>
      <w:headerReference w:type="first" r:id="rId43"/>
      <w:footerReference w:type="first" r:id="rId44"/>
      <w:pgSz w:w="16834" w:h="11907" w:orient="landscape" w:code="9"/>
      <w:pgMar w:top="1134" w:right="1418" w:bottom="1134" w:left="1418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4D88F" w14:textId="77777777" w:rsidR="00AB4E7B" w:rsidRDefault="00AB4E7B">
      <w:r>
        <w:separator/>
      </w:r>
    </w:p>
  </w:endnote>
  <w:endnote w:type="continuationSeparator" w:id="0">
    <w:p w14:paraId="52684E7D" w14:textId="77777777" w:rsidR="00AB4E7B" w:rsidRDefault="00AB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A0692" w14:textId="7A19B70D" w:rsidR="00AB4E7B" w:rsidRPr="00A76E2B" w:rsidRDefault="00AB4E7B" w:rsidP="00A525CC">
    <w:pPr>
      <w:pStyle w:val="Footer"/>
      <w:rPr>
        <w:caps w:val="0"/>
        <w:szCs w:val="16"/>
        <w:lang w:val="en-US"/>
      </w:rPr>
    </w:pPr>
    <w:r w:rsidRPr="00A76E2B">
      <w:rPr>
        <w:caps w:val="0"/>
        <w:szCs w:val="16"/>
      </w:rPr>
      <w:fldChar w:fldCharType="begin"/>
    </w:r>
    <w:r w:rsidRPr="00A76E2B">
      <w:rPr>
        <w:caps w:val="0"/>
        <w:szCs w:val="16"/>
        <w:lang w:val="en-US"/>
      </w:rPr>
      <w:instrText xml:space="preserve"> FILENAME \p \* MERGEFORMAT </w:instrText>
    </w:r>
    <w:r w:rsidRPr="00A76E2B">
      <w:rPr>
        <w:caps w:val="0"/>
        <w:szCs w:val="16"/>
      </w:rPr>
      <w:fldChar w:fldCharType="separate"/>
    </w:r>
    <w:r w:rsidR="00B06AA0">
      <w:rPr>
        <w:caps w:val="0"/>
        <w:szCs w:val="16"/>
        <w:lang w:val="en-US"/>
      </w:rPr>
      <w:t>P:\FRA\ITU-D\CONF-D\TDAG20\000\005F.docx</w:t>
    </w:r>
    <w:r w:rsidRPr="00A76E2B">
      <w:rPr>
        <w:caps w:val="0"/>
        <w:szCs w:val="16"/>
        <w:lang w:val="en-US"/>
      </w:rPr>
      <w:fldChar w:fldCharType="end"/>
    </w:r>
    <w:r w:rsidRPr="00A76E2B">
      <w:rPr>
        <w:caps w:val="0"/>
        <w:szCs w:val="16"/>
        <w:lang w:val="en-US"/>
      </w:rPr>
      <w:t xml:space="preserve"> (465652)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55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AB4E7B" w14:paraId="79AE32FA" w14:textId="77777777" w:rsidTr="00AB4E7B">
      <w:tc>
        <w:tcPr>
          <w:tcW w:w="152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D0D1A82" w14:textId="77777777" w:rsidR="00AB4E7B" w:rsidRDefault="00AB4E7B" w:rsidP="00A71FE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ABED441" w14:textId="212286D2" w:rsidR="00AB4E7B" w:rsidRPr="00B6232A" w:rsidRDefault="00AB4E7B" w:rsidP="00A71FE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B6232A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</w:t>
          </w:r>
          <w:r w:rsidRPr="00B6232A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sation</w:t>
          </w:r>
          <w:r w:rsidRPr="00B6232A">
            <w:rPr>
              <w:sz w:val="18"/>
              <w:szCs w:val="18"/>
              <w:lang w:val="en-US"/>
            </w:rPr>
            <w:t>/Entit</w:t>
          </w:r>
          <w:r>
            <w:rPr>
              <w:sz w:val="18"/>
              <w:szCs w:val="18"/>
              <w:lang w:val="en-US"/>
            </w:rPr>
            <w:t>é</w:t>
          </w:r>
          <w:r w:rsidRPr="00B6232A">
            <w:rPr>
              <w:sz w:val="18"/>
              <w:szCs w:val="18"/>
              <w:lang w:val="en-US"/>
            </w:rPr>
            <w:t>:</w:t>
          </w:r>
        </w:p>
      </w:tc>
      <w:tc>
        <w:tcPr>
          <w:tcW w:w="591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5E19216" w14:textId="06E8601E" w:rsidR="00AB4E7B" w:rsidRPr="00B6232A" w:rsidRDefault="00AB4E7B" w:rsidP="00A71FEB">
          <w:pPr>
            <w:pStyle w:val="FirstFooter"/>
            <w:rPr>
              <w:sz w:val="18"/>
              <w:szCs w:val="18"/>
              <w:highlight w:val="yellow"/>
              <w:lang w:val="en-US"/>
            </w:rPr>
          </w:pPr>
          <w:r w:rsidRPr="00B6232A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.</w:t>
          </w:r>
          <w:r w:rsidRPr="00B6232A">
            <w:rPr>
              <w:sz w:val="18"/>
              <w:szCs w:val="18"/>
              <w:lang w:val="en-US"/>
            </w:rPr>
            <w:t xml:space="preserve"> Fabio Bigi</w:t>
          </w:r>
        </w:p>
      </w:tc>
    </w:tr>
    <w:tr w:rsidR="00AB4E7B" w14:paraId="004B6418" w14:textId="77777777" w:rsidTr="00AB4E7B"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2AE68A9F" w14:textId="77777777" w:rsidR="00AB4E7B" w:rsidRDefault="00AB4E7B" w:rsidP="00A71FE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  <w:hideMark/>
        </w:tcPr>
        <w:p w14:paraId="6960BB85" w14:textId="2C5B2CF6" w:rsidR="00AB4E7B" w:rsidRPr="00B6232A" w:rsidRDefault="00AB4E7B" w:rsidP="00A71FE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</w:t>
          </w:r>
          <w:r w:rsidRPr="00B6232A">
            <w:rPr>
              <w:sz w:val="18"/>
              <w:szCs w:val="18"/>
              <w:lang w:val="en-US"/>
            </w:rPr>
            <w:t>:</w:t>
          </w:r>
        </w:p>
      </w:tc>
      <w:tc>
        <w:tcPr>
          <w:tcW w:w="5919" w:type="dxa"/>
          <w:tcBorders>
            <w:top w:val="nil"/>
            <w:left w:val="nil"/>
            <w:bottom w:val="nil"/>
            <w:right w:val="nil"/>
          </w:tcBorders>
          <w:hideMark/>
        </w:tcPr>
        <w:p w14:paraId="3F06BB47" w14:textId="77777777" w:rsidR="00AB4E7B" w:rsidRPr="00B6232A" w:rsidRDefault="004F7489" w:rsidP="00A71FE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AB4E7B" w:rsidRPr="00B6232A">
              <w:rPr>
                <w:rStyle w:val="Hyperlink"/>
                <w:sz w:val="18"/>
                <w:szCs w:val="18"/>
              </w:rPr>
              <w:t>fabio.bigi@virgilio.it</w:t>
            </w:r>
          </w:hyperlink>
          <w:r w:rsidR="00AB4E7B" w:rsidRPr="00B6232A">
            <w:rPr>
              <w:sz w:val="18"/>
              <w:szCs w:val="18"/>
            </w:rPr>
            <w:t xml:space="preserve">  </w:t>
          </w:r>
        </w:p>
      </w:tc>
    </w:tr>
  </w:tbl>
  <w:p w14:paraId="7343093F" w14:textId="75ECAFDC" w:rsidR="00AB4E7B" w:rsidRPr="00ED6CA2" w:rsidRDefault="004F7489" w:rsidP="00A76E2B">
    <w:pPr>
      <w:pStyle w:val="Footer"/>
      <w:spacing w:before="120"/>
      <w:jc w:val="center"/>
      <w:rPr>
        <w:lang w:val="en-GB"/>
      </w:rPr>
    </w:pPr>
    <w:hyperlink r:id="rId2" w:history="1">
      <w:r w:rsidR="00AB4E7B" w:rsidRPr="00A71FEB">
        <w:rPr>
          <w:rStyle w:val="Hyperlink"/>
          <w:sz w:val="20"/>
          <w:lang w:val="en-GB"/>
        </w:rPr>
        <w:t>TDAG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4A92" w14:textId="0A5A5456" w:rsidR="00AB4E7B" w:rsidRPr="00B06AA0" w:rsidRDefault="00AB4E7B" w:rsidP="00A525CC">
    <w:pPr>
      <w:pStyle w:val="Footer"/>
      <w:rPr>
        <w:caps w:val="0"/>
        <w:szCs w:val="16"/>
        <w:lang w:val="en-US"/>
      </w:rPr>
    </w:pPr>
    <w:r w:rsidRPr="00B06AA0">
      <w:rPr>
        <w:caps w:val="0"/>
        <w:szCs w:val="16"/>
      </w:rPr>
      <w:fldChar w:fldCharType="begin"/>
    </w:r>
    <w:r w:rsidRPr="00B06AA0">
      <w:rPr>
        <w:caps w:val="0"/>
        <w:szCs w:val="16"/>
        <w:lang w:val="en-US"/>
      </w:rPr>
      <w:instrText xml:space="preserve"> FILENAME \p \* MERGEFORMAT </w:instrText>
    </w:r>
    <w:r w:rsidRPr="00B06AA0">
      <w:rPr>
        <w:caps w:val="0"/>
        <w:szCs w:val="16"/>
      </w:rPr>
      <w:fldChar w:fldCharType="separate"/>
    </w:r>
    <w:r w:rsidR="00B06AA0">
      <w:rPr>
        <w:caps w:val="0"/>
        <w:szCs w:val="16"/>
        <w:lang w:val="en-US"/>
      </w:rPr>
      <w:t>P:\FRA\ITU-D\CONF-D\TDAG20\000\005F.docx</w:t>
    </w:r>
    <w:r w:rsidRPr="00B06AA0">
      <w:rPr>
        <w:caps w:val="0"/>
        <w:szCs w:val="16"/>
        <w:lang w:val="en-US"/>
      </w:rPr>
      <w:fldChar w:fldCharType="end"/>
    </w:r>
    <w:r w:rsidRPr="00B06AA0">
      <w:rPr>
        <w:caps w:val="0"/>
        <w:szCs w:val="16"/>
        <w:lang w:val="en-US"/>
      </w:rPr>
      <w:t xml:space="preserve"> (465652)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F4884" w14:textId="3A661083" w:rsidR="00AB4E7B" w:rsidRPr="001A635D" w:rsidRDefault="00AB4E7B" w:rsidP="0053287A">
    <w:pPr>
      <w:pStyle w:val="Footer"/>
      <w:rPr>
        <w:szCs w:val="16"/>
      </w:rPr>
    </w:pPr>
    <w:r w:rsidRPr="001A635D">
      <w:rPr>
        <w:szCs w:val="16"/>
      </w:rPr>
      <w:fldChar w:fldCharType="begin"/>
    </w:r>
    <w:r w:rsidRPr="001A635D">
      <w:rPr>
        <w:szCs w:val="16"/>
      </w:rPr>
      <w:instrText xml:space="preserve"> FILENAME \p  \* MERGEFORMAT </w:instrText>
    </w:r>
    <w:r w:rsidRPr="001A635D">
      <w:rPr>
        <w:szCs w:val="16"/>
      </w:rPr>
      <w:fldChar w:fldCharType="separate"/>
    </w:r>
    <w:r w:rsidR="00B06AA0">
      <w:rPr>
        <w:szCs w:val="16"/>
      </w:rPr>
      <w:t>P:\FRA\ITU-D\CONF-D\TDAG20\000\005F.docx</w:t>
    </w:r>
    <w:r w:rsidRPr="001A635D">
      <w:rPr>
        <w:szCs w:val="16"/>
      </w:rPr>
      <w:fldChar w:fldCharType="end"/>
    </w:r>
    <w:r w:rsidRPr="001A635D">
      <w:rPr>
        <w:szCs w:val="16"/>
      </w:rPr>
      <w:t xml:space="preserve"> (465652)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AABE4" w14:textId="77777777" w:rsidR="00AB4E7B" w:rsidRDefault="00AB4E7B">
      <w:r>
        <w:t>____________________</w:t>
      </w:r>
    </w:p>
  </w:footnote>
  <w:footnote w:type="continuationSeparator" w:id="0">
    <w:p w14:paraId="21F47155" w14:textId="77777777" w:rsidR="00AB4E7B" w:rsidRDefault="00AB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BEAF" w14:textId="77777777" w:rsidR="00AB4E7B" w:rsidRPr="006D271A" w:rsidRDefault="00AB4E7B" w:rsidP="00D87E6C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-20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5</w:t>
    </w:r>
    <w:r w:rsidRPr="006D271A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4A83" w14:textId="4A03C596" w:rsidR="00AB4E7B" w:rsidRPr="006D271A" w:rsidRDefault="00AB4E7B" w:rsidP="00B06AA0">
    <w:pPr>
      <w:tabs>
        <w:tab w:val="clear" w:pos="794"/>
        <w:tab w:val="clear" w:pos="1191"/>
        <w:tab w:val="clear" w:pos="1588"/>
        <w:tab w:val="clear" w:pos="1985"/>
        <w:tab w:val="center" w:pos="6804"/>
        <w:tab w:val="left" w:pos="13183"/>
      </w:tabs>
      <w:spacing w:after="240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-20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5</w:t>
    </w:r>
    <w:r w:rsidRPr="006D271A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DCF76" w14:textId="1E9BCFFC" w:rsidR="00AB4E7B" w:rsidRPr="006D271A" w:rsidRDefault="00AB4E7B" w:rsidP="001A635D">
    <w:pPr>
      <w:tabs>
        <w:tab w:val="clear" w:pos="794"/>
        <w:tab w:val="clear" w:pos="1191"/>
        <w:tab w:val="clear" w:pos="1588"/>
        <w:tab w:val="clear" w:pos="1985"/>
        <w:tab w:val="center" w:pos="6804"/>
        <w:tab w:val="left" w:pos="13183"/>
      </w:tabs>
      <w:spacing w:after="240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-20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5</w:t>
    </w:r>
    <w:r w:rsidRPr="006D271A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A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76A94"/>
    <w:rsid w:val="0009225C"/>
    <w:rsid w:val="000A17C4"/>
    <w:rsid w:val="000A36A4"/>
    <w:rsid w:val="000B1EE1"/>
    <w:rsid w:val="000B2352"/>
    <w:rsid w:val="000C61E9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56BF6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35D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438F"/>
    <w:rsid w:val="00217CC3"/>
    <w:rsid w:val="00220AB6"/>
    <w:rsid w:val="0022120F"/>
    <w:rsid w:val="0022754A"/>
    <w:rsid w:val="00236560"/>
    <w:rsid w:val="0023662E"/>
    <w:rsid w:val="00245D0F"/>
    <w:rsid w:val="002548C3"/>
    <w:rsid w:val="002577C1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0682"/>
    <w:rsid w:val="002F2DE0"/>
    <w:rsid w:val="002F5E25"/>
    <w:rsid w:val="0030353C"/>
    <w:rsid w:val="003125C3"/>
    <w:rsid w:val="00312AE6"/>
    <w:rsid w:val="00317D1A"/>
    <w:rsid w:val="003211FF"/>
    <w:rsid w:val="00323587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A37E1"/>
    <w:rsid w:val="003A5AFE"/>
    <w:rsid w:val="003A5D5F"/>
    <w:rsid w:val="003A7FFE"/>
    <w:rsid w:val="003B0A63"/>
    <w:rsid w:val="003B11CA"/>
    <w:rsid w:val="003B50E1"/>
    <w:rsid w:val="003C1746"/>
    <w:rsid w:val="003C2AA9"/>
    <w:rsid w:val="003C58BF"/>
    <w:rsid w:val="003C6056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258"/>
    <w:rsid w:val="00413B78"/>
    <w:rsid w:val="00416DDE"/>
    <w:rsid w:val="0044411E"/>
    <w:rsid w:val="00453435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4F7489"/>
    <w:rsid w:val="00500AD7"/>
    <w:rsid w:val="00502ABF"/>
    <w:rsid w:val="00504DB0"/>
    <w:rsid w:val="00507C35"/>
    <w:rsid w:val="00510735"/>
    <w:rsid w:val="00514D2F"/>
    <w:rsid w:val="0053287A"/>
    <w:rsid w:val="0054420E"/>
    <w:rsid w:val="00544D1B"/>
    <w:rsid w:val="00545DC0"/>
    <w:rsid w:val="00545F6C"/>
    <w:rsid w:val="005477D9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AAE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6460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E6B2B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113B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36BDB"/>
    <w:rsid w:val="008419B1"/>
    <w:rsid w:val="00844A56"/>
    <w:rsid w:val="00845B11"/>
    <w:rsid w:val="00851060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20EB"/>
    <w:rsid w:val="008F71C1"/>
    <w:rsid w:val="00902D41"/>
    <w:rsid w:val="00902F49"/>
    <w:rsid w:val="00914004"/>
    <w:rsid w:val="0092088B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84929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2E4A"/>
    <w:rsid w:val="009F2AEE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454E1"/>
    <w:rsid w:val="00A50CA0"/>
    <w:rsid w:val="00A525CC"/>
    <w:rsid w:val="00A53E7C"/>
    <w:rsid w:val="00A60087"/>
    <w:rsid w:val="00A705E8"/>
    <w:rsid w:val="00A71FEB"/>
    <w:rsid w:val="00A721F4"/>
    <w:rsid w:val="00A76E2B"/>
    <w:rsid w:val="00A9392C"/>
    <w:rsid w:val="00A9462B"/>
    <w:rsid w:val="00A97D59"/>
    <w:rsid w:val="00AA3E09"/>
    <w:rsid w:val="00AA4BEF"/>
    <w:rsid w:val="00AB1659"/>
    <w:rsid w:val="00AB4962"/>
    <w:rsid w:val="00AB4E7B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06AA0"/>
    <w:rsid w:val="00B310F9"/>
    <w:rsid w:val="00B37866"/>
    <w:rsid w:val="00B412FB"/>
    <w:rsid w:val="00B4576B"/>
    <w:rsid w:val="00B46350"/>
    <w:rsid w:val="00B46DF3"/>
    <w:rsid w:val="00B533E9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BF7B35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16B2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468D"/>
    <w:rsid w:val="00D63006"/>
    <w:rsid w:val="00D72301"/>
    <w:rsid w:val="00D87E6C"/>
    <w:rsid w:val="00D90E76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3F"/>
    <w:rsid w:val="00E63B14"/>
    <w:rsid w:val="00E65CA0"/>
    <w:rsid w:val="00E70D9F"/>
    <w:rsid w:val="00E83810"/>
    <w:rsid w:val="00E86933"/>
    <w:rsid w:val="00E9605B"/>
    <w:rsid w:val="00E97298"/>
    <w:rsid w:val="00E97753"/>
    <w:rsid w:val="00EA2F1A"/>
    <w:rsid w:val="00EA7DE7"/>
    <w:rsid w:val="00EB44C7"/>
    <w:rsid w:val="00EB7196"/>
    <w:rsid w:val="00EB7A8A"/>
    <w:rsid w:val="00ED1CCD"/>
    <w:rsid w:val="00EE1BA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7C89"/>
    <w:rsid w:val="00FB3E9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5A7344F"/>
  <w15:docId w15:val="{03D25364-775A-4E47-8028-227C5976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B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849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98492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qFormat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0B1EE1"/>
    <w:pPr>
      <w:tabs>
        <w:tab w:val="clear" w:pos="794"/>
        <w:tab w:val="clear" w:pos="1191"/>
        <w:tab w:val="left" w:pos="1134"/>
        <w:tab w:val="left" w:pos="1871"/>
      </w:tabs>
    </w:pPr>
  </w:style>
  <w:style w:type="paragraph" w:customStyle="1" w:styleId="Default">
    <w:name w:val="Default"/>
    <w:rsid w:val="009849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11A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71F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TSAG-190923-TD-GEN-0589/" TargetMode="External"/><Relationship Id="rId18" Type="http://schemas.openxmlformats.org/officeDocument/2006/relationships/hyperlink" Target="https://www.itu.int/en/ITU-R/study-groups/rsg7/Pages/default.aspx" TargetMode="External"/><Relationship Id="rId26" Type="http://schemas.openxmlformats.org/officeDocument/2006/relationships/hyperlink" Target="https://www.itu.int/pub/R-RES-R.60/fr" TargetMode="External"/><Relationship Id="rId39" Type="http://schemas.openxmlformats.org/officeDocument/2006/relationships/hyperlink" Target="https://www.itu.int/en/action/environment-and-climate-change/Pages/latest-reports-and-publications.aspx" TargetMode="External"/><Relationship Id="rId21" Type="http://schemas.openxmlformats.org/officeDocument/2006/relationships/hyperlink" Target="https://www.itu.int/en/ITU-T/focusgroups/ai4ee/Pages/default.aspx" TargetMode="External"/><Relationship Id="rId34" Type="http://schemas.openxmlformats.org/officeDocument/2006/relationships/hyperlink" Target="https://www.itu.int/rec/R-REC-SA/en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hyperlink" Target="https://www.itu.int/pub/R-RES-R.61/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182-E.pdf" TargetMode="External"/><Relationship Id="rId24" Type="http://schemas.openxmlformats.org/officeDocument/2006/relationships/hyperlink" Target="https://www.itu.int/en/ITU-D/Climate-Change/Pages/WSISALC7.aspx" TargetMode="External"/><Relationship Id="rId32" Type="http://schemas.openxmlformats.org/officeDocument/2006/relationships/hyperlink" Target="https://www.itu.int/net/ITU-T/lists/standards.aspx?Group=5&amp;Domain=28" TargetMode="External"/><Relationship Id="rId37" Type="http://schemas.openxmlformats.org/officeDocument/2006/relationships/hyperlink" Target="https://www.itu.int/pub/D-STG-SG02.06.1-2017/fr" TargetMode="External"/><Relationship Id="rId40" Type="http://schemas.openxmlformats.org/officeDocument/2006/relationships/hyperlink" Target="https://www.itu.int/en/action/environment-and-climate-change/Pages/default.aspx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www.itu.int/en/ITU-T/Workshops-and-Seminars/gsw/Pages/default.aspx" TargetMode="External"/><Relationship Id="rId28" Type="http://schemas.openxmlformats.org/officeDocument/2006/relationships/hyperlink" Target="https://www.itu.int/en/ITU-D/Conferences/WTDC/WTDC17/Documents/WTDC17_final_report_en.pdf" TargetMode="External"/><Relationship Id="rId36" Type="http://schemas.openxmlformats.org/officeDocument/2006/relationships/hyperlink" Target="https://www.itu.int/fr/ITU-T/climatechange/Pages/publications.aspx" TargetMode="External"/><Relationship Id="rId10" Type="http://schemas.openxmlformats.org/officeDocument/2006/relationships/hyperlink" Target="https://www.itu.int/en/council/Documents/basic-texts/RES-191-E.pdf" TargetMode="External"/><Relationship Id="rId19" Type="http://schemas.openxmlformats.org/officeDocument/2006/relationships/hyperlink" Target="https://www.itu.int/fr/ITU-T/studygroups/2017-2020/05/Pages/default.aspx" TargetMode="External"/><Relationship Id="rId31" Type="http://schemas.openxmlformats.org/officeDocument/2006/relationships/hyperlink" Target="https://www.itu.int/rec/R-REC-RS/en" TargetMode="External"/><Relationship Id="rId44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www.itu.int/en/general-secretariat/Pages/ISCG/default.aspx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www.itu.int/fr/ITU-T/studygroups/2017-2020/20/Pages/default.aspx" TargetMode="External"/><Relationship Id="rId27" Type="http://schemas.openxmlformats.org/officeDocument/2006/relationships/hyperlink" Target="https://www.itu.int/pub/T-RES-T.73-2016/fr" TargetMode="External"/><Relationship Id="rId30" Type="http://schemas.openxmlformats.org/officeDocument/2006/relationships/hyperlink" Target="https://www.itu.int/pub/T-RES-T.79-2016/fr" TargetMode="External"/><Relationship Id="rId35" Type="http://schemas.openxmlformats.org/officeDocument/2006/relationships/hyperlink" Target="https://www.itu.int/rec/R-REC-RS/en" TargetMode="External"/><Relationship Id="rId43" Type="http://schemas.openxmlformats.org/officeDocument/2006/relationships/header" Target="header3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itu.int/en/general-secretariat/Pages/ISCG/default.aspx" TargetMode="External"/><Relationship Id="rId17" Type="http://schemas.openxmlformats.org/officeDocument/2006/relationships/hyperlink" Target="https://www.itu.int/en/council/Documents/basic-texts/RES-182-E.pdf" TargetMode="External"/><Relationship Id="rId25" Type="http://schemas.openxmlformats.org/officeDocument/2006/relationships/hyperlink" Target="https://www.itu.int/en/ITU-T/ssc/united/Pages/default.aspx" TargetMode="External"/><Relationship Id="rId33" Type="http://schemas.openxmlformats.org/officeDocument/2006/relationships/hyperlink" Target="https://www.itu.int/rec/D-REC-D.21/en" TargetMode="External"/><Relationship Id="rId38" Type="http://schemas.openxmlformats.org/officeDocument/2006/relationships/hyperlink" Target="https://www.itu.int/rec/R-REC-SA/en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itu.int/net4/ITU-D/CDS/sg/index.asp?lg=2&amp;sp=2018&amp;stg=2" TargetMode="External"/><Relationship Id="rId41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fr/ITU-D/Conferences/TDAG/Pages/TDAG19/default.aspx" TargetMode="External"/><Relationship Id="rId1" Type="http://schemas.openxmlformats.org/officeDocument/2006/relationships/hyperlink" Target="mailto:fabio.bigi@virgili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854D-0FA3-42A8-B685-C6286B3C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PF_TDAG20.dotx</Template>
  <TotalTime>116</TotalTime>
  <Pages>9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16799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Chanavat, Emilie</dc:creator>
  <cp:lastModifiedBy>BDT</cp:lastModifiedBy>
  <cp:revision>12</cp:revision>
  <cp:lastPrinted>2014-11-04T09:22:00Z</cp:lastPrinted>
  <dcterms:created xsi:type="dcterms:W3CDTF">2020-02-24T08:55:00Z</dcterms:created>
  <dcterms:modified xsi:type="dcterms:W3CDTF">2020-03-10T10:36:00Z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