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E3419C" w14:paraId="46441377" w14:textId="77777777" w:rsidTr="00D92762">
        <w:trPr>
          <w:cantSplit/>
          <w:trHeight w:val="1134"/>
        </w:trPr>
        <w:tc>
          <w:tcPr>
            <w:tcW w:w="6663" w:type="dxa"/>
            <w:tcBorders>
              <w:bottom w:val="single" w:sz="12" w:space="0" w:color="auto"/>
            </w:tcBorders>
          </w:tcPr>
          <w:p w14:paraId="3A830B63" w14:textId="77777777" w:rsidR="00D372A5" w:rsidRPr="00E3419C" w:rsidRDefault="00D372A5" w:rsidP="00BC7208">
            <w:pPr>
              <w:rPr>
                <w:b/>
                <w:bCs/>
                <w:sz w:val="32"/>
                <w:szCs w:val="32"/>
                <w:lang w:val="es-ES_tradnl"/>
              </w:rPr>
            </w:pPr>
            <w:bookmarkStart w:id="0" w:name="_GoBack"/>
            <w:r w:rsidRPr="00E3419C">
              <w:rPr>
                <w:rFonts w:cstheme="minorHAnsi"/>
                <w:b/>
                <w:bCs/>
                <w:sz w:val="32"/>
                <w:szCs w:val="32"/>
                <w:lang w:val="es-ES_tradnl"/>
              </w:rPr>
              <w:t>Grupo Asesor de Desarrollo de las Telecomunicaciones (GADT</w:t>
            </w:r>
            <w:r w:rsidRPr="00E3419C">
              <w:rPr>
                <w:b/>
                <w:bCs/>
                <w:sz w:val="32"/>
                <w:szCs w:val="32"/>
                <w:lang w:val="es-ES_tradnl"/>
              </w:rPr>
              <w:t>)</w:t>
            </w:r>
          </w:p>
          <w:p w14:paraId="5058B672" w14:textId="75C8E3F3" w:rsidR="00D372A5" w:rsidRPr="00E3419C" w:rsidRDefault="004E7861" w:rsidP="00AA076A">
            <w:pPr>
              <w:spacing w:before="100" w:after="120"/>
              <w:rPr>
                <w:rFonts w:ascii="Verdana" w:hAnsi="Verdana"/>
                <w:sz w:val="28"/>
                <w:szCs w:val="28"/>
                <w:lang w:val="es-ES_tradnl"/>
              </w:rPr>
            </w:pPr>
            <w:r w:rsidRPr="00E3419C">
              <w:rPr>
                <w:b/>
                <w:bCs/>
                <w:sz w:val="26"/>
                <w:szCs w:val="26"/>
                <w:lang w:val="es-ES_tradnl"/>
              </w:rPr>
              <w:t>2</w:t>
            </w:r>
            <w:r w:rsidR="00740094" w:rsidRPr="00E3419C">
              <w:rPr>
                <w:b/>
                <w:bCs/>
                <w:sz w:val="26"/>
                <w:szCs w:val="26"/>
                <w:lang w:val="es-ES_tradnl"/>
              </w:rPr>
              <w:t>5</w:t>
            </w:r>
            <w:r w:rsidRPr="00E3419C">
              <w:rPr>
                <w:b/>
                <w:bCs/>
                <w:sz w:val="26"/>
                <w:szCs w:val="26"/>
                <w:lang w:val="es-ES_tradnl"/>
              </w:rPr>
              <w:t xml:space="preserve">ª reunión, Ginebra, </w:t>
            </w:r>
            <w:r w:rsidR="00110C54">
              <w:rPr>
                <w:b/>
                <w:bCs/>
                <w:sz w:val="26"/>
                <w:szCs w:val="26"/>
                <w:lang w:val="es-ES_tradnl"/>
              </w:rPr>
              <w:t>2-5</w:t>
            </w:r>
            <w:r w:rsidR="001F301D">
              <w:rPr>
                <w:b/>
                <w:bCs/>
                <w:sz w:val="26"/>
                <w:szCs w:val="26"/>
                <w:lang w:val="es-ES_tradnl"/>
              </w:rPr>
              <w:t xml:space="preserve"> </w:t>
            </w:r>
            <w:r w:rsidRPr="00E3419C">
              <w:rPr>
                <w:b/>
                <w:bCs/>
                <w:sz w:val="26"/>
                <w:szCs w:val="26"/>
                <w:lang w:val="es-ES_tradnl"/>
              </w:rPr>
              <w:t xml:space="preserve">de </w:t>
            </w:r>
            <w:r w:rsidR="00110C54">
              <w:rPr>
                <w:b/>
                <w:bCs/>
                <w:sz w:val="26"/>
                <w:szCs w:val="26"/>
                <w:lang w:val="es-ES_tradnl"/>
              </w:rPr>
              <w:t>junio</w:t>
            </w:r>
            <w:r w:rsidRPr="00E3419C">
              <w:rPr>
                <w:b/>
                <w:bCs/>
                <w:sz w:val="26"/>
                <w:szCs w:val="26"/>
                <w:lang w:val="es-ES_tradnl"/>
              </w:rPr>
              <w:t xml:space="preserve"> de 20</w:t>
            </w:r>
            <w:r w:rsidR="00740094" w:rsidRPr="00E3419C">
              <w:rPr>
                <w:b/>
                <w:bCs/>
                <w:sz w:val="26"/>
                <w:szCs w:val="26"/>
                <w:lang w:val="es-ES_tradnl"/>
              </w:rPr>
              <w:t>20</w:t>
            </w:r>
          </w:p>
        </w:tc>
        <w:tc>
          <w:tcPr>
            <w:tcW w:w="3225" w:type="dxa"/>
            <w:tcBorders>
              <w:bottom w:val="single" w:sz="12" w:space="0" w:color="auto"/>
            </w:tcBorders>
          </w:tcPr>
          <w:p w14:paraId="765C1950" w14:textId="77777777" w:rsidR="00D372A5" w:rsidRPr="00E3419C" w:rsidRDefault="004E7861" w:rsidP="004E7861">
            <w:pPr>
              <w:spacing w:before="40" w:after="80"/>
              <w:ind w:right="142"/>
              <w:jc w:val="right"/>
              <w:rPr>
                <w:lang w:val="es-ES_tradnl"/>
              </w:rPr>
            </w:pPr>
            <w:r w:rsidRPr="00E3419C">
              <w:rPr>
                <w:noProof/>
                <w:color w:val="3399FF"/>
                <w:lang w:val="es-ES_tradnl" w:eastAsia="en-GB"/>
              </w:rPr>
              <w:drawing>
                <wp:inline distT="0" distB="0" distL="0" distR="0" wp14:anchorId="59AF09E5" wp14:editId="2B1B80AB">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E3419C" w14:paraId="44DE2410" w14:textId="77777777" w:rsidTr="004B7893">
        <w:trPr>
          <w:cantSplit/>
        </w:trPr>
        <w:tc>
          <w:tcPr>
            <w:tcW w:w="6663" w:type="dxa"/>
            <w:tcBorders>
              <w:top w:val="single" w:sz="12" w:space="0" w:color="auto"/>
            </w:tcBorders>
          </w:tcPr>
          <w:p w14:paraId="3CAB8A62" w14:textId="77777777" w:rsidR="004B7893" w:rsidRPr="00E3419C" w:rsidRDefault="004B7893" w:rsidP="004B7893">
            <w:pPr>
              <w:spacing w:before="0"/>
              <w:rPr>
                <w:rFonts w:cs="Arial"/>
                <w:b/>
                <w:bCs/>
                <w:sz w:val="20"/>
                <w:lang w:val="es-ES_tradnl"/>
              </w:rPr>
            </w:pPr>
          </w:p>
        </w:tc>
        <w:tc>
          <w:tcPr>
            <w:tcW w:w="3225" w:type="dxa"/>
            <w:tcBorders>
              <w:top w:val="single" w:sz="12" w:space="0" w:color="auto"/>
            </w:tcBorders>
          </w:tcPr>
          <w:p w14:paraId="1BE89663" w14:textId="77777777" w:rsidR="004B7893" w:rsidRPr="00E3419C" w:rsidRDefault="004B7893" w:rsidP="004B7893">
            <w:pPr>
              <w:spacing w:before="0"/>
              <w:rPr>
                <w:b/>
                <w:bCs/>
                <w:sz w:val="20"/>
                <w:lang w:val="es-ES_tradnl"/>
              </w:rPr>
            </w:pPr>
          </w:p>
        </w:tc>
      </w:tr>
      <w:tr w:rsidR="004B7893" w:rsidRPr="00E3419C" w14:paraId="7E565643" w14:textId="77777777" w:rsidTr="004B7893">
        <w:trPr>
          <w:cantSplit/>
        </w:trPr>
        <w:tc>
          <w:tcPr>
            <w:tcW w:w="6663" w:type="dxa"/>
          </w:tcPr>
          <w:p w14:paraId="191A5A53" w14:textId="77777777" w:rsidR="004B7893" w:rsidRPr="00E3419C" w:rsidRDefault="004B7893" w:rsidP="004B7893">
            <w:pPr>
              <w:pStyle w:val="Committee"/>
              <w:spacing w:before="0"/>
              <w:rPr>
                <w:b w:val="0"/>
                <w:lang w:val="es-ES_tradnl"/>
              </w:rPr>
            </w:pPr>
          </w:p>
        </w:tc>
        <w:tc>
          <w:tcPr>
            <w:tcW w:w="3225" w:type="dxa"/>
          </w:tcPr>
          <w:p w14:paraId="2307D3D5" w14:textId="07F6B05D" w:rsidR="004B7893" w:rsidRPr="00E3419C" w:rsidRDefault="005637B9" w:rsidP="00AA076A">
            <w:pPr>
              <w:spacing w:before="0"/>
              <w:rPr>
                <w:bCs/>
                <w:lang w:val="es-ES_tradnl"/>
              </w:rPr>
            </w:pPr>
            <w:r w:rsidRPr="00E3419C">
              <w:rPr>
                <w:b/>
                <w:bCs/>
                <w:lang w:val="es-ES_tradnl"/>
              </w:rPr>
              <w:t xml:space="preserve">Documento </w:t>
            </w:r>
            <w:bookmarkStart w:id="1" w:name="DocRef1"/>
            <w:bookmarkEnd w:id="1"/>
            <w:r w:rsidRPr="00E3419C">
              <w:rPr>
                <w:b/>
                <w:bCs/>
                <w:lang w:val="es-ES_tradnl"/>
              </w:rPr>
              <w:t>TDAG</w:t>
            </w:r>
            <w:r w:rsidR="00602B27" w:rsidRPr="00E3419C">
              <w:rPr>
                <w:b/>
                <w:bCs/>
                <w:lang w:val="es-ES_tradnl"/>
              </w:rPr>
              <w:t>-</w:t>
            </w:r>
            <w:r w:rsidR="00AA076A" w:rsidRPr="00E3419C">
              <w:rPr>
                <w:b/>
                <w:bCs/>
                <w:lang w:val="es-ES_tradnl"/>
              </w:rPr>
              <w:t>20</w:t>
            </w:r>
            <w:r w:rsidRPr="00E3419C">
              <w:rPr>
                <w:b/>
                <w:bCs/>
                <w:lang w:val="es-ES_tradnl"/>
              </w:rPr>
              <w:t>/</w:t>
            </w:r>
            <w:bookmarkStart w:id="2" w:name="DocNo1"/>
            <w:bookmarkEnd w:id="2"/>
            <w:r w:rsidR="00740094" w:rsidRPr="00E3419C">
              <w:rPr>
                <w:b/>
                <w:bCs/>
                <w:lang w:val="es-ES_tradnl"/>
              </w:rPr>
              <w:t>3</w:t>
            </w:r>
            <w:r w:rsidRPr="00E3419C">
              <w:rPr>
                <w:b/>
                <w:bCs/>
                <w:lang w:val="es-ES_tradnl"/>
              </w:rPr>
              <w:t>-S</w:t>
            </w:r>
          </w:p>
        </w:tc>
      </w:tr>
      <w:tr w:rsidR="004B7893" w:rsidRPr="00E3419C" w14:paraId="5E3C2D27" w14:textId="77777777" w:rsidTr="004B7893">
        <w:trPr>
          <w:cantSplit/>
        </w:trPr>
        <w:tc>
          <w:tcPr>
            <w:tcW w:w="6663" w:type="dxa"/>
          </w:tcPr>
          <w:p w14:paraId="513837E8" w14:textId="77777777" w:rsidR="004B7893" w:rsidRPr="00E3419C" w:rsidRDefault="004B7893" w:rsidP="004B7893">
            <w:pPr>
              <w:spacing w:before="0"/>
              <w:rPr>
                <w:b/>
                <w:bCs/>
                <w:smallCaps/>
                <w:lang w:val="es-ES_tradnl"/>
              </w:rPr>
            </w:pPr>
          </w:p>
        </w:tc>
        <w:tc>
          <w:tcPr>
            <w:tcW w:w="3225" w:type="dxa"/>
          </w:tcPr>
          <w:p w14:paraId="74C5AAF3" w14:textId="435B382D" w:rsidR="004B7893" w:rsidRPr="00E3419C" w:rsidRDefault="004C7578" w:rsidP="00AA076A">
            <w:pPr>
              <w:spacing w:before="0"/>
              <w:rPr>
                <w:b/>
                <w:lang w:val="es-ES_tradnl"/>
              </w:rPr>
            </w:pPr>
            <w:bookmarkStart w:id="3" w:name="CreationDate"/>
            <w:bookmarkEnd w:id="3"/>
            <w:r w:rsidRPr="00E3419C">
              <w:rPr>
                <w:b/>
                <w:bCs/>
                <w:szCs w:val="28"/>
                <w:lang w:val="es-ES_tradnl"/>
              </w:rPr>
              <w:t>5 de febrero de</w:t>
            </w:r>
            <w:r w:rsidR="00BC7208" w:rsidRPr="00E3419C">
              <w:rPr>
                <w:b/>
                <w:bCs/>
                <w:szCs w:val="28"/>
                <w:lang w:val="es-ES_tradnl"/>
              </w:rPr>
              <w:t xml:space="preserve"> 20</w:t>
            </w:r>
            <w:r w:rsidR="00AA076A" w:rsidRPr="00E3419C">
              <w:rPr>
                <w:b/>
                <w:bCs/>
                <w:szCs w:val="28"/>
                <w:lang w:val="es-ES_tradnl"/>
              </w:rPr>
              <w:t>20</w:t>
            </w:r>
          </w:p>
        </w:tc>
      </w:tr>
      <w:tr w:rsidR="004B7893" w:rsidRPr="00E3419C" w14:paraId="3B2A03D4" w14:textId="77777777" w:rsidTr="004B7893">
        <w:trPr>
          <w:cantSplit/>
        </w:trPr>
        <w:tc>
          <w:tcPr>
            <w:tcW w:w="6663" w:type="dxa"/>
          </w:tcPr>
          <w:p w14:paraId="459D1B31" w14:textId="77777777" w:rsidR="004B7893" w:rsidRPr="00E3419C" w:rsidRDefault="004B7893" w:rsidP="004B7893">
            <w:pPr>
              <w:spacing w:before="0"/>
              <w:rPr>
                <w:b/>
                <w:bCs/>
                <w:smallCaps/>
                <w:lang w:val="es-ES_tradnl"/>
              </w:rPr>
            </w:pPr>
          </w:p>
        </w:tc>
        <w:tc>
          <w:tcPr>
            <w:tcW w:w="3225" w:type="dxa"/>
          </w:tcPr>
          <w:p w14:paraId="37290177" w14:textId="20ABBC8B" w:rsidR="004B7893" w:rsidRPr="00E3419C" w:rsidRDefault="005637B9" w:rsidP="004B7893">
            <w:pPr>
              <w:spacing w:before="0"/>
              <w:rPr>
                <w:szCs w:val="24"/>
                <w:lang w:val="es-ES_tradnl"/>
              </w:rPr>
            </w:pPr>
            <w:r w:rsidRPr="00E3419C">
              <w:rPr>
                <w:b/>
                <w:lang w:val="es-ES_tradnl"/>
              </w:rPr>
              <w:t>Original:</w:t>
            </w:r>
            <w:bookmarkStart w:id="4" w:name="Original"/>
            <w:bookmarkEnd w:id="4"/>
            <w:r w:rsidRPr="00E3419C">
              <w:rPr>
                <w:b/>
                <w:lang w:val="es-ES_tradnl"/>
              </w:rPr>
              <w:t xml:space="preserve"> </w:t>
            </w:r>
            <w:r w:rsidR="00740094" w:rsidRPr="00E3419C">
              <w:rPr>
                <w:b/>
                <w:lang w:val="es-ES_tradnl"/>
              </w:rPr>
              <w:t>inglés</w:t>
            </w:r>
          </w:p>
        </w:tc>
      </w:tr>
      <w:tr w:rsidR="004B7893" w:rsidRPr="00E3419C" w14:paraId="4DEDD108" w14:textId="77777777" w:rsidTr="004B7893">
        <w:trPr>
          <w:cantSplit/>
          <w:trHeight w:val="852"/>
        </w:trPr>
        <w:tc>
          <w:tcPr>
            <w:tcW w:w="9888" w:type="dxa"/>
            <w:gridSpan w:val="2"/>
          </w:tcPr>
          <w:p w14:paraId="55E1AE70" w14:textId="32184F57" w:rsidR="004B7893" w:rsidRPr="00E3419C" w:rsidRDefault="004C7578" w:rsidP="004B7893">
            <w:pPr>
              <w:pStyle w:val="Source"/>
              <w:rPr>
                <w:szCs w:val="28"/>
                <w:lang w:val="es-ES_tradnl"/>
              </w:rPr>
            </w:pPr>
            <w:bookmarkStart w:id="5" w:name="Source"/>
            <w:bookmarkEnd w:id="5"/>
            <w:r w:rsidRPr="00E3419C">
              <w:rPr>
                <w:lang w:val="es-ES_tradnl"/>
              </w:rPr>
              <w:t>Directora de la Oficina de Desarrollo de las Telecomunicaciones</w:t>
            </w:r>
          </w:p>
        </w:tc>
      </w:tr>
      <w:tr w:rsidR="004B7893" w:rsidRPr="00E3419C" w14:paraId="3AA6DCCE" w14:textId="77777777" w:rsidTr="004B7893">
        <w:trPr>
          <w:cantSplit/>
        </w:trPr>
        <w:tc>
          <w:tcPr>
            <w:tcW w:w="9888" w:type="dxa"/>
            <w:gridSpan w:val="2"/>
          </w:tcPr>
          <w:p w14:paraId="377911A6" w14:textId="794F6C6A" w:rsidR="004B7893" w:rsidRPr="00E3419C" w:rsidRDefault="004C7578" w:rsidP="004B7893">
            <w:pPr>
              <w:pStyle w:val="Title1"/>
              <w:rPr>
                <w:bCs/>
                <w:szCs w:val="28"/>
                <w:lang w:val="es-ES_tradnl"/>
              </w:rPr>
            </w:pPr>
            <w:bookmarkStart w:id="6" w:name="Title"/>
            <w:bookmarkEnd w:id="6"/>
            <w:r w:rsidRPr="00E3419C">
              <w:rPr>
                <w:lang w:val="es-ES_tradnl"/>
              </w:rPr>
              <w:t xml:space="preserve">CONTRIBUCIÓN DEL UIT-D A LA APLICACIÓN DE LOS RESULTADOS </w:t>
            </w:r>
            <w:r w:rsidRPr="00E3419C">
              <w:rPr>
                <w:lang w:val="es-ES_tradnl"/>
              </w:rPr>
              <w:br/>
              <w:t>DE LA CMSI Y LA AGENDA 2030 PARA EL DESARROLLO SOSTENIBLE</w:t>
            </w:r>
          </w:p>
        </w:tc>
      </w:tr>
      <w:tr w:rsidR="004B7893" w:rsidRPr="00E3419C" w14:paraId="572C4503" w14:textId="77777777" w:rsidTr="004B7893">
        <w:trPr>
          <w:cantSplit/>
        </w:trPr>
        <w:tc>
          <w:tcPr>
            <w:tcW w:w="9888" w:type="dxa"/>
            <w:gridSpan w:val="2"/>
            <w:tcBorders>
              <w:bottom w:val="single" w:sz="4" w:space="0" w:color="auto"/>
            </w:tcBorders>
          </w:tcPr>
          <w:p w14:paraId="2E7199F6" w14:textId="77777777" w:rsidR="004B7893" w:rsidRPr="00E3419C" w:rsidRDefault="004B7893" w:rsidP="00BC7208">
            <w:pPr>
              <w:rPr>
                <w:lang w:val="es-ES_tradnl"/>
              </w:rPr>
            </w:pPr>
          </w:p>
        </w:tc>
      </w:tr>
      <w:tr w:rsidR="004B7893" w:rsidRPr="00E3419C" w14:paraId="1DB5F023" w14:textId="77777777"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14:paraId="58606B57" w14:textId="77777777" w:rsidR="004B7893" w:rsidRPr="00E3419C" w:rsidRDefault="004B7893" w:rsidP="004B7893">
            <w:pPr>
              <w:spacing w:before="240"/>
              <w:rPr>
                <w:b/>
                <w:bCs/>
                <w:lang w:val="es-ES_tradnl"/>
              </w:rPr>
            </w:pPr>
            <w:r w:rsidRPr="00E3419C">
              <w:rPr>
                <w:b/>
                <w:bCs/>
                <w:lang w:val="es-ES_tradnl"/>
              </w:rPr>
              <w:t>Resumen:</w:t>
            </w:r>
          </w:p>
          <w:p w14:paraId="0602CDFD" w14:textId="74D1FF56" w:rsidR="004B7893" w:rsidRPr="00E3419C" w:rsidRDefault="00740094" w:rsidP="00740094">
            <w:pPr>
              <w:rPr>
                <w:b/>
                <w:bCs/>
                <w:lang w:val="es-ES_tradnl"/>
              </w:rPr>
            </w:pPr>
            <w:r w:rsidRPr="00E3419C">
              <w:rPr>
                <w:lang w:val="es-ES_tradnl"/>
              </w:rPr>
              <w:t>En este documento se proporciona información actualizada sobre la contribución del Sector de Desarrollo de las Telecomunicaciones de la UIT (UIT-D) a la aplicación de los resultados de la Cumbre Mundial sobre la Sociedad de la Información (CMSI) y la Agenda 2030 para el Desarrollo Sostenible</w:t>
            </w:r>
            <w:r w:rsidRPr="00E3419C">
              <w:rPr>
                <w:rFonts w:cs="Garamond"/>
                <w:lang w:val="es-ES_tradnl"/>
              </w:rPr>
              <w:t>.</w:t>
            </w:r>
          </w:p>
          <w:p w14:paraId="34A50D2C" w14:textId="2BFA7EF0" w:rsidR="004B7893" w:rsidRPr="00E3419C" w:rsidRDefault="004B7893" w:rsidP="004B7893">
            <w:pPr>
              <w:rPr>
                <w:b/>
                <w:bCs/>
                <w:lang w:val="es-ES_tradnl"/>
              </w:rPr>
            </w:pPr>
            <w:r w:rsidRPr="00E3419C">
              <w:rPr>
                <w:b/>
                <w:bCs/>
                <w:lang w:val="es-ES_tradnl"/>
              </w:rPr>
              <w:t>Acción solicitada:</w:t>
            </w:r>
          </w:p>
          <w:p w14:paraId="3AF7158B" w14:textId="4D787F4D" w:rsidR="004B7893" w:rsidRPr="00E3419C" w:rsidRDefault="00740094" w:rsidP="004B7893">
            <w:pPr>
              <w:rPr>
                <w:b/>
                <w:bCs/>
                <w:lang w:val="es-ES_tradnl"/>
              </w:rPr>
            </w:pPr>
            <w:r w:rsidRPr="00E3419C">
              <w:rPr>
                <w:szCs w:val="24"/>
                <w:lang w:val="es-ES_tradnl"/>
              </w:rPr>
              <w:t>Se invita al GADT a tomar nota de este documento y a facilitar las orientaciones que estime oportunas.</w:t>
            </w:r>
          </w:p>
          <w:p w14:paraId="3402570E" w14:textId="77777777" w:rsidR="004B7893" w:rsidRPr="00E3419C" w:rsidRDefault="004B7893" w:rsidP="004B7893">
            <w:pPr>
              <w:rPr>
                <w:b/>
                <w:bCs/>
                <w:lang w:val="es-ES_tradnl"/>
              </w:rPr>
            </w:pPr>
            <w:r w:rsidRPr="00E3419C">
              <w:rPr>
                <w:b/>
                <w:bCs/>
                <w:lang w:val="es-ES_tradnl"/>
              </w:rPr>
              <w:t>Referencias:</w:t>
            </w:r>
          </w:p>
          <w:p w14:paraId="58D27A98" w14:textId="2644799F" w:rsidR="004B7893" w:rsidRPr="00E3419C" w:rsidRDefault="00740094" w:rsidP="00740094">
            <w:pPr>
              <w:spacing w:after="120"/>
              <w:rPr>
                <w:b/>
                <w:bCs/>
                <w:lang w:val="es-ES_tradnl"/>
              </w:rPr>
            </w:pPr>
            <w:r w:rsidRPr="00E3419C">
              <w:rPr>
                <w:lang w:val="es-ES_tradnl"/>
              </w:rPr>
              <w:t>Resolución 30 (Rev. Buenos Aires, 2017) de la Conferencia Mundial de Desarrollo de las Telecomunicaciones (CMDT), Resolución 140 (Rev. Dubái, 2018) de la Conferencia de Plenipotenciarios (PP) y Resolución 1332 (Rev. 2016) del Consejo de la UIT.</w:t>
            </w:r>
          </w:p>
        </w:tc>
      </w:tr>
    </w:tbl>
    <w:p w14:paraId="67CA3D2A" w14:textId="77777777" w:rsidR="00835A77" w:rsidRPr="00E3419C" w:rsidRDefault="00835A77" w:rsidP="00BC7208">
      <w:pPr>
        <w:rPr>
          <w:lang w:val="es-ES_tradnl"/>
        </w:rPr>
      </w:pPr>
    </w:p>
    <w:p w14:paraId="78EACC89" w14:textId="77777777" w:rsidR="00AA076A" w:rsidRPr="00E3419C" w:rsidRDefault="00AA076A" w:rsidP="00991B13">
      <w:pPr>
        <w:rPr>
          <w:lang w:val="es-ES_tradnl"/>
        </w:rPr>
      </w:pPr>
    </w:p>
    <w:p w14:paraId="62B5AEAF" w14:textId="77777777" w:rsidR="00AA076A" w:rsidRPr="00E3419C" w:rsidRDefault="00AA076A">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E3419C">
        <w:rPr>
          <w:lang w:val="es-ES_tradnl"/>
        </w:rPr>
        <w:br w:type="page"/>
      </w:r>
    </w:p>
    <w:p w14:paraId="39C45614" w14:textId="77777777" w:rsidR="004C7578" w:rsidRPr="00E3419C" w:rsidRDefault="004C7578" w:rsidP="00740094">
      <w:pPr>
        <w:pStyle w:val="Headingb"/>
        <w:rPr>
          <w:lang w:val="es-ES_tradnl"/>
        </w:rPr>
      </w:pPr>
      <w:r w:rsidRPr="00E3419C">
        <w:rPr>
          <w:lang w:val="es-ES_tradnl"/>
        </w:rPr>
        <w:lastRenderedPageBreak/>
        <w:t>Introducción</w:t>
      </w:r>
    </w:p>
    <w:p w14:paraId="3C26FF47" w14:textId="5EFC6B5E" w:rsidR="004C7578" w:rsidRPr="00E3419C" w:rsidRDefault="004C7578" w:rsidP="00904C8E">
      <w:pPr>
        <w:rPr>
          <w:lang w:val="es-ES_tradnl"/>
        </w:rPr>
      </w:pPr>
      <w:bookmarkStart w:id="7" w:name="lt_pId026"/>
      <w:r w:rsidRPr="00E3419C">
        <w:rPr>
          <w:lang w:val="es-ES_tradnl"/>
        </w:rPr>
        <w:t>1</w:t>
      </w:r>
      <w:r w:rsidRPr="00E3419C">
        <w:rPr>
          <w:lang w:val="es-ES_tradnl"/>
        </w:rPr>
        <w:tab/>
        <w:t xml:space="preserve">En la </w:t>
      </w:r>
      <w:bookmarkEnd w:id="7"/>
      <w:r w:rsidRPr="00E3419C">
        <w:fldChar w:fldCharType="begin"/>
      </w:r>
      <w:r w:rsidRPr="00E3419C">
        <w:rPr>
          <w:lang w:val="es-ES_tradnl"/>
        </w:rPr>
        <w:instrText xml:space="preserve"> HYPERLINK "https://www.itu.int/web/pp-18/es/" </w:instrText>
      </w:r>
      <w:r w:rsidRPr="00E3419C">
        <w:fldChar w:fldCharType="separate"/>
      </w:r>
      <w:r w:rsidRPr="00E3419C">
        <w:rPr>
          <w:rStyle w:val="Hyperlink"/>
          <w:lang w:val="es-ES_tradnl"/>
        </w:rPr>
        <w:t>Conferencia de Plenipotenciarios de la UIT</w:t>
      </w:r>
      <w:r w:rsidRPr="00E3419C">
        <w:rPr>
          <w:rStyle w:val="Hyperlink"/>
          <w:lang w:val="es-ES_tradnl"/>
        </w:rPr>
        <w:fldChar w:fldCharType="end"/>
      </w:r>
      <w:r w:rsidRPr="00E3419C">
        <w:rPr>
          <w:lang w:val="es-ES_tradnl"/>
        </w:rPr>
        <w:t xml:space="preserve">, que se celebró en Dubái (Emiratos Árabes Unidos), del 29 de octubre al 16 de noviembre de 2018, volvió a confirmarse el mandato de la UIT y su contribución a la aplicación de las Líneas de Acción de la Cumbre Mundial sobre la Sociedad de la Información (CMSI) y al logro de los Objetivos de Desarrollo Sostenible (ODS). En la </w:t>
      </w:r>
      <w:hyperlink r:id="rId9" w:history="1">
        <w:r w:rsidR="000E58DA" w:rsidRPr="00E3419C">
          <w:rPr>
            <w:rStyle w:val="Hyperlink"/>
            <w:lang w:val="es-ES_tradnl"/>
          </w:rPr>
          <w:t>Conferencia Mundial de Desarrollo de las Telecomunicaciones</w:t>
        </w:r>
      </w:hyperlink>
      <w:r w:rsidR="000E58DA" w:rsidRPr="00E3419C">
        <w:rPr>
          <w:lang w:val="es-ES_tradnl"/>
        </w:rPr>
        <w:t xml:space="preserve"> </w:t>
      </w:r>
      <w:r w:rsidRPr="00E3419C">
        <w:rPr>
          <w:lang w:val="es-ES_tradnl"/>
        </w:rPr>
        <w:t>(CMDT-17), celebrada del 9 al 20 de octubre de 2017 en Buenos Aires (Argentina), se establecieron claros vínculos entre los objetivos, resultados y productos del UIT-D, así como las líneas de acción de la CMSI y los objetivos y las metas de desarrollo sostenible pertinentes (Anexo 1). Mediante el análisis de las Cuestiones de las Comisiones de Estudio del UIT-D y las líneas de acción de la CMSI y los ODS se ofrece orientación adicional sobre la contribución de esas Comisiones de Estudio a los procesos de la CMSI y los ODS (Anexo 2). A tal efecto, todas las acciones llevadas a cabo por el UIT-D contribuyen al logro de los</w:t>
      </w:r>
      <w:r w:rsidR="000E58DA" w:rsidRPr="00E3419C">
        <w:rPr>
          <w:lang w:val="es-ES_tradnl"/>
        </w:rPr>
        <w:t> </w:t>
      </w:r>
      <w:r w:rsidRPr="00E3419C">
        <w:rPr>
          <w:lang w:val="es-ES_tradnl"/>
        </w:rPr>
        <w:t>ODS y al cumplimiento de los objetivos de la CMSI. Se comunican de manera periódica a los Miembros de la UIT por conducto del GADT, los foros de desarrollo regional y el Grupo de Trabajo del Consejo sobre la CMSI (GTC-CMSI).</w:t>
      </w:r>
    </w:p>
    <w:p w14:paraId="3F1C219B" w14:textId="52B5B88D" w:rsidR="004C7578" w:rsidRPr="00E3419C" w:rsidRDefault="004C7578" w:rsidP="006A3EF0">
      <w:pPr>
        <w:rPr>
          <w:lang w:val="es-ES_tradnl"/>
        </w:rPr>
      </w:pPr>
      <w:r w:rsidRPr="00E3419C">
        <w:rPr>
          <w:szCs w:val="24"/>
          <w:lang w:val="es-ES_tradnl"/>
        </w:rPr>
        <w:t>2</w:t>
      </w:r>
      <w:r w:rsidRPr="00E3419C">
        <w:rPr>
          <w:szCs w:val="24"/>
          <w:lang w:val="es-ES_tradnl"/>
        </w:rPr>
        <w:tab/>
      </w:r>
      <w:bookmarkStart w:id="8" w:name="lt_pId032"/>
      <w:r w:rsidRPr="00E3419C">
        <w:rPr>
          <w:szCs w:val="24"/>
          <w:lang w:val="es-ES_tradnl"/>
        </w:rPr>
        <w:t xml:space="preserve">Las principales actividades emprendidas por la BDT constituyen una gran parte de la presentación de informes anuales mediante la </w:t>
      </w:r>
      <w:r w:rsidRPr="00E3419C">
        <w:rPr>
          <w:i/>
          <w:iCs/>
          <w:szCs w:val="24"/>
          <w:lang w:val="es-ES_tradnl"/>
        </w:rPr>
        <w:t>Contribución de la UIT a la aplicación de los resultados de la CMSI</w:t>
      </w:r>
      <w:r w:rsidRPr="00E3419C">
        <w:rPr>
          <w:szCs w:val="24"/>
          <w:lang w:val="es-ES_tradnl"/>
        </w:rPr>
        <w:t xml:space="preserve">. La edición de 2019 de este informe está disponible en </w:t>
      </w:r>
      <w:hyperlink r:id="rId10" w:history="1">
        <w:r w:rsidR="000E58DA" w:rsidRPr="00E3419C">
          <w:rPr>
            <w:rStyle w:val="Hyperlink"/>
            <w:szCs w:val="24"/>
            <w:lang w:val="es-ES_tradnl"/>
          </w:rPr>
          <w:t>https://www.itu.int/en/itu-wsis/Pages/Contribution.aspx</w:t>
        </w:r>
      </w:hyperlink>
      <w:r w:rsidRPr="00E3419C">
        <w:rPr>
          <w:szCs w:val="24"/>
          <w:lang w:val="es-ES_tradnl"/>
        </w:rPr>
        <w:t>.</w:t>
      </w:r>
      <w:bookmarkEnd w:id="8"/>
    </w:p>
    <w:p w14:paraId="354216D8" w14:textId="5373110C" w:rsidR="004C7578" w:rsidRPr="00E3419C" w:rsidRDefault="004C7578" w:rsidP="00597F4C">
      <w:pPr>
        <w:keepNext/>
        <w:tabs>
          <w:tab w:val="clear" w:pos="794"/>
          <w:tab w:val="clear" w:pos="1191"/>
          <w:tab w:val="clear" w:pos="1588"/>
          <w:tab w:val="clear" w:pos="1985"/>
          <w:tab w:val="left" w:pos="567"/>
        </w:tabs>
        <w:spacing w:after="120"/>
        <w:rPr>
          <w:rFonts w:cstheme="minorHAnsi"/>
          <w:b/>
          <w:szCs w:val="24"/>
          <w:lang w:val="es-ES_tradnl"/>
        </w:rPr>
      </w:pPr>
      <w:r w:rsidRPr="00E3419C">
        <w:rPr>
          <w:rFonts w:cstheme="minorHAnsi"/>
          <w:b/>
          <w:szCs w:val="24"/>
          <w:lang w:val="es-ES_tradnl"/>
        </w:rPr>
        <w:t>Medidas específicas de la BDT relacionadas con la CMSI y los ODS</w:t>
      </w:r>
    </w:p>
    <w:p w14:paraId="437326A6" w14:textId="7018D4A7" w:rsidR="004C7578" w:rsidRPr="00E3419C" w:rsidRDefault="000261EF" w:rsidP="000261EF">
      <w:pPr>
        <w:rPr>
          <w:rFonts w:cstheme="minorHAnsi"/>
          <w:szCs w:val="24"/>
          <w:lang w:val="es-ES_tradnl"/>
        </w:rPr>
      </w:pPr>
      <w:r w:rsidRPr="00E3419C">
        <w:rPr>
          <w:lang w:val="es-ES_tradnl"/>
        </w:rPr>
        <w:t>3</w:t>
      </w:r>
      <w:r w:rsidRPr="00E3419C">
        <w:rPr>
          <w:lang w:val="es-ES_tradnl"/>
        </w:rPr>
        <w:tab/>
      </w:r>
      <w:r w:rsidR="004C7578" w:rsidRPr="00E3419C">
        <w:rPr>
          <w:rFonts w:cstheme="minorHAnsi"/>
          <w:szCs w:val="24"/>
          <w:lang w:val="es-ES_tradnl"/>
        </w:rPr>
        <w:t>De conformidad con las resoluciones de la Conferencia de Plenipotenciarios en su Resolución 140 (Rev. Dubái, 2018) y la Resolución 30 (Rev. Buenos Aires, 2017) de la CMDT, la BDT ha contribuido a la aplicación de los resultados de la CMSI y la Agenda 2030 para el Desarrollo Sostenible de la siguiente manera:</w:t>
      </w:r>
    </w:p>
    <w:p w14:paraId="339E8167" w14:textId="46823D36" w:rsidR="004C7578" w:rsidRPr="00E3419C" w:rsidRDefault="000261EF" w:rsidP="000261EF">
      <w:pPr>
        <w:pStyle w:val="enumlev1"/>
        <w:rPr>
          <w:lang w:val="es-ES_tradnl"/>
        </w:rPr>
      </w:pPr>
      <w:r w:rsidRPr="00E3419C">
        <w:rPr>
          <w:bCs/>
          <w:lang w:val="es-ES_tradnl"/>
        </w:rPr>
        <w:t>a)</w:t>
      </w:r>
      <w:r w:rsidRPr="00E3419C">
        <w:rPr>
          <w:bCs/>
          <w:lang w:val="es-ES_tradnl"/>
        </w:rPr>
        <w:tab/>
      </w:r>
      <w:r w:rsidR="004C7578" w:rsidRPr="00E3419C">
        <w:rPr>
          <w:b/>
          <w:lang w:val="es-ES_tradnl"/>
        </w:rPr>
        <w:t xml:space="preserve">Facilitación de las líneas de acción de la CMSI: </w:t>
      </w:r>
      <w:r w:rsidR="004C7578" w:rsidRPr="00E3419C">
        <w:rPr>
          <w:lang w:val="es-ES_tradnl"/>
        </w:rPr>
        <w:t>En nombre de la UIT, la BDT ha desempeñado la función de coordinadora y facilitadora de las Líneas de acción C2 (Infraestructura de la información y la comunicación) y C6 (Entorno habilitador). La BDT también ha realizado varias actividades en el marco de la Línea de Acción C5 de la CMSI (Fomento de la confianza y la seguridad en la utilización de las TIC), en la que la UIT es la única facilitadora. En 2019, las líneas de acción de la CMSI se actualizaron a petición de los miembros.</w:t>
      </w:r>
    </w:p>
    <w:p w14:paraId="62D710C0" w14:textId="6473AFDE" w:rsidR="004C7578" w:rsidRPr="00E3419C" w:rsidRDefault="000261EF" w:rsidP="000261EF">
      <w:pPr>
        <w:pStyle w:val="enumlev1"/>
        <w:rPr>
          <w:rFonts w:cstheme="minorHAnsi"/>
          <w:szCs w:val="24"/>
          <w:lang w:val="es-ES_tradnl"/>
        </w:rPr>
      </w:pPr>
      <w:r w:rsidRPr="00E3419C">
        <w:rPr>
          <w:lang w:val="es-ES_tradnl"/>
        </w:rPr>
        <w:tab/>
      </w:r>
      <w:r w:rsidR="004C7578" w:rsidRPr="00E3419C">
        <w:rPr>
          <w:rFonts w:cstheme="minorHAnsi"/>
          <w:szCs w:val="24"/>
          <w:lang w:val="es-ES_tradnl"/>
        </w:rPr>
        <w:t>En coordinación con el Programa de las Naciones Unidas para el Desarrollo (PNUD) y la Organización de las Naciones Unidas para la Educación, la Ciencia y la Cultura (UNESCO), la</w:t>
      </w:r>
      <w:r w:rsidR="000E58DA" w:rsidRPr="00E3419C">
        <w:rPr>
          <w:rFonts w:cstheme="minorHAnsi"/>
          <w:szCs w:val="24"/>
          <w:lang w:val="es-ES_tradnl"/>
        </w:rPr>
        <w:t> </w:t>
      </w:r>
      <w:r w:rsidR="004C7578" w:rsidRPr="00E3419C">
        <w:rPr>
          <w:rFonts w:cstheme="minorHAnsi"/>
          <w:szCs w:val="24"/>
          <w:lang w:val="es-ES_tradnl"/>
        </w:rPr>
        <w:t>BDT ha desempeñado asimismo la función de centro de coordinación provisional de la Línea de Acción C4 de la CMSI (Creación de capacidad). La Oficina ha actuado como coordinadora oficial de la UIT para la mayoría de las líneas de acción de la CMSI, incluidas las líneas C1, C3, C4, C7 y C11, para las que la UIT es cofacilitadora, y la línea C9, en la que la UIT es parte asociada.</w:t>
      </w:r>
    </w:p>
    <w:p w14:paraId="6FAA88C3" w14:textId="161BB3C0" w:rsidR="004C7578" w:rsidRPr="00E3419C" w:rsidRDefault="000261EF" w:rsidP="000261EF">
      <w:pPr>
        <w:pStyle w:val="enumlev1"/>
        <w:rPr>
          <w:rFonts w:eastAsia="SimSun" w:cstheme="minorHAnsi"/>
          <w:bCs/>
          <w:szCs w:val="24"/>
          <w:lang w:val="es-ES_tradnl"/>
        </w:rPr>
      </w:pPr>
      <w:r w:rsidRPr="00E3419C">
        <w:rPr>
          <w:rFonts w:cstheme="minorHAnsi"/>
          <w:szCs w:val="24"/>
          <w:lang w:val="es-ES_tradnl"/>
        </w:rPr>
        <w:t>b)</w:t>
      </w:r>
      <w:r w:rsidRPr="00E3419C">
        <w:rPr>
          <w:rFonts w:cstheme="minorHAnsi"/>
          <w:szCs w:val="24"/>
          <w:lang w:val="es-ES_tradnl"/>
        </w:rPr>
        <w:tab/>
      </w:r>
      <w:r w:rsidR="004C7578" w:rsidRPr="00E3419C">
        <w:rPr>
          <w:rFonts w:cstheme="minorHAnsi"/>
          <w:b/>
          <w:szCs w:val="24"/>
          <w:lang w:val="es-ES_tradnl"/>
        </w:rPr>
        <w:t xml:space="preserve">Asociación para la Medición de las TIC para el Desarrollo: </w:t>
      </w:r>
      <w:r w:rsidR="004C7578" w:rsidRPr="00E3419C">
        <w:rPr>
          <w:rFonts w:cstheme="minorHAnsi"/>
          <w:bCs/>
          <w:szCs w:val="24"/>
          <w:lang w:val="es-ES_tradnl"/>
        </w:rPr>
        <w:t>La BDT sigue coordinando la Asociación para la Medición de las TIC para el Desarrollo, iniciativa internacional de múltiples interesados destinada a mejorar la disponibilidad y la calidad de los datos e indicadores sobre las TIC. La Asociación participa activamente en la supervisión del cumplimiento de los Objetivos de Desarrollo Sostenible. Varias metas relativas a los ODS guardan relación con las TIC y la tecnología, de ahí la necesidad de tener en cuenta indicadores específicos de las TIC en las actividades de supervisión</w:t>
      </w:r>
      <w:r w:rsidR="004C7578" w:rsidRPr="00E3419C">
        <w:rPr>
          <w:rFonts w:eastAsia="SimSun" w:cstheme="minorHAnsi"/>
          <w:bCs/>
          <w:szCs w:val="24"/>
          <w:lang w:val="es-ES_tradnl"/>
        </w:rPr>
        <w:t>.</w:t>
      </w:r>
    </w:p>
    <w:p w14:paraId="7C4D9A12" w14:textId="256DC800" w:rsidR="004C7578" w:rsidRPr="00E3419C" w:rsidRDefault="000261EF" w:rsidP="000261EF">
      <w:pPr>
        <w:pStyle w:val="enumlev1"/>
        <w:rPr>
          <w:rFonts w:eastAsia="SimSun" w:cstheme="minorHAnsi"/>
          <w:szCs w:val="24"/>
          <w:lang w:val="es-ES_tradnl"/>
        </w:rPr>
      </w:pPr>
      <w:r w:rsidRPr="00E3419C">
        <w:rPr>
          <w:rFonts w:eastAsia="SimSun" w:cstheme="minorHAnsi"/>
          <w:bCs/>
          <w:szCs w:val="24"/>
          <w:lang w:val="es-ES_tradnl"/>
        </w:rPr>
        <w:lastRenderedPageBreak/>
        <w:tab/>
      </w:r>
      <w:r w:rsidR="004C7578" w:rsidRPr="00E3419C">
        <w:rPr>
          <w:rFonts w:eastAsia="SimSun" w:cstheme="minorHAnsi"/>
          <w:szCs w:val="24"/>
          <w:lang w:val="es-ES_tradnl"/>
        </w:rPr>
        <w:t>El marco mundial relativo a los indicadores de los ODS, que permite supervisar los avances que se registren, determinar posibles dificultades y proporcionar orientaciones a los responsables de formular políticas, abarca 231 indicadores. Sin embargo, sólo siete de ellos son indicadores de las TIC, que comprenden seis metas relativas a los Objetivos de Desarrollo Sostenible 4, 5, 9 y 17. La UIT recopila y da a conocer cinco de los siete indicadores.</w:t>
      </w:r>
    </w:p>
    <w:p w14:paraId="481CA0D8" w14:textId="3DCA5FB7" w:rsidR="004C7578" w:rsidRPr="00E3419C" w:rsidRDefault="000261EF" w:rsidP="000261EF">
      <w:pPr>
        <w:pStyle w:val="enumlev1"/>
        <w:rPr>
          <w:rFonts w:eastAsia="SimSun" w:cstheme="minorHAnsi"/>
          <w:szCs w:val="24"/>
          <w:lang w:val="es-ES_tradnl"/>
        </w:rPr>
      </w:pPr>
      <w:r w:rsidRPr="00E3419C">
        <w:rPr>
          <w:rFonts w:eastAsia="SimSun" w:cstheme="minorHAnsi"/>
          <w:szCs w:val="24"/>
          <w:lang w:val="es-ES_tradnl"/>
        </w:rPr>
        <w:tab/>
      </w:r>
      <w:r w:rsidR="004C7578" w:rsidRPr="00E3419C">
        <w:rPr>
          <w:rFonts w:eastAsia="SimSun" w:cstheme="minorHAnsi"/>
          <w:szCs w:val="24"/>
          <w:lang w:val="es-ES_tradnl"/>
        </w:rPr>
        <w:t>Conviene evaluar y supervisar todas las esferas en las que las TIC desempeñarán una función de interés. A tal efecto, el Grupo de Tareas Especiales sobre las TIC para los ODS, dirigido conjuntamente por la UIT y el Departamento de Asuntos Económicos y Sociales de las Naciones Unidas, elaboró una lista temática de 26 indicadores</w:t>
      </w:r>
      <w:r w:rsidR="004C7578" w:rsidRPr="00E3419C">
        <w:rPr>
          <w:rStyle w:val="FootnoteReference"/>
          <w:rFonts w:eastAsia="SimSun" w:cstheme="minorHAnsi"/>
          <w:szCs w:val="24"/>
          <w:lang w:val="es-ES_tradnl"/>
        </w:rPr>
        <w:footnoteReference w:id="1"/>
      </w:r>
      <w:r w:rsidR="004C7578" w:rsidRPr="00E3419C">
        <w:rPr>
          <w:rFonts w:eastAsia="SimSun" w:cstheme="minorHAnsi"/>
          <w:szCs w:val="24"/>
          <w:lang w:val="es-ES_tradnl"/>
        </w:rPr>
        <w:t xml:space="preserve"> de las TIC que pueden utilizarse para evaluar la disponibilidad y utilización de las TIC en sectores pertinentes referentes a los ODS que no están incluidos en el marco mundial relativo a los indicadores</w:t>
      </w:r>
      <w:r w:rsidR="005F0A9D" w:rsidRPr="00E3419C">
        <w:rPr>
          <w:rFonts w:eastAsia="SimSun" w:cstheme="minorHAnsi"/>
          <w:szCs w:val="24"/>
          <w:lang w:val="es-ES_tradnl"/>
        </w:rPr>
        <w:t> </w:t>
      </w:r>
      <w:r w:rsidR="004C7578" w:rsidRPr="00E3419C">
        <w:rPr>
          <w:rFonts w:eastAsia="SimSun" w:cstheme="minorHAnsi"/>
          <w:szCs w:val="24"/>
          <w:lang w:val="es-ES_tradnl"/>
        </w:rPr>
        <w:t>de los ODS. Los 26 indicadores de TIC guardan relación con 27 metas relativas a 11 Objetivos. En el marco de la citada asociación se ha refrendado la lista temática, que se ha presentado al 51º per</w:t>
      </w:r>
      <w:r w:rsidR="009648A1" w:rsidRPr="00E3419C">
        <w:rPr>
          <w:rFonts w:eastAsia="SimSun" w:cstheme="minorHAnsi"/>
          <w:szCs w:val="24"/>
          <w:lang w:val="es-ES_tradnl"/>
        </w:rPr>
        <w:t>i</w:t>
      </w:r>
      <w:r w:rsidR="004C7578" w:rsidRPr="00E3419C">
        <w:rPr>
          <w:rFonts w:eastAsia="SimSun" w:cstheme="minorHAnsi"/>
          <w:szCs w:val="24"/>
          <w:lang w:val="es-ES_tradnl"/>
        </w:rPr>
        <w:t>odo de sesiones de la Comisión de Estadística de las Naciones Unidas, cuya celebración está prevista para marzo de 2020. Se pide a la Comisión que haga suya la lista temática de indicadores de las TIC para supervisar los avances que se registren con respecto a la aplicación de la Agenda 2030.</w:t>
      </w:r>
    </w:p>
    <w:p w14:paraId="0D536580" w14:textId="17FFFDEB" w:rsidR="004C7578" w:rsidRPr="00E3419C" w:rsidRDefault="000261EF" w:rsidP="000261EF">
      <w:pPr>
        <w:pStyle w:val="enumlev1"/>
        <w:rPr>
          <w:rFonts w:cstheme="minorHAnsi"/>
          <w:szCs w:val="24"/>
          <w:lang w:val="es-ES_tradnl"/>
        </w:rPr>
      </w:pPr>
      <w:r w:rsidRPr="00E3419C">
        <w:rPr>
          <w:rFonts w:eastAsia="SimSun" w:cstheme="minorHAnsi"/>
          <w:szCs w:val="24"/>
          <w:lang w:val="es-ES_tradnl"/>
        </w:rPr>
        <w:tab/>
      </w:r>
      <w:r w:rsidR="004C7578" w:rsidRPr="00E3419C">
        <w:rPr>
          <w:rFonts w:cstheme="minorHAnsi"/>
          <w:b/>
          <w:szCs w:val="24"/>
          <w:lang w:val="es-ES_tradnl"/>
        </w:rPr>
        <w:t xml:space="preserve">Medición: </w:t>
      </w:r>
      <w:r w:rsidR="004C7578" w:rsidRPr="00E3419C">
        <w:rPr>
          <w:rFonts w:cstheme="minorHAnsi"/>
          <w:bCs/>
          <w:szCs w:val="24"/>
          <w:lang w:val="es-ES_tradnl"/>
        </w:rPr>
        <w:t>En consonancia con los resultados de la CMSI, la BDT sigue facilitando el debate internacional sobre la medición de las TIC para el desarrollo. En 2019 la BDT publicó el informe "</w:t>
      </w:r>
      <w:r w:rsidR="004C7578" w:rsidRPr="00E3419C">
        <w:rPr>
          <w:rFonts w:cstheme="minorHAnsi"/>
          <w:bCs/>
          <w:i/>
          <w:iCs/>
          <w:szCs w:val="24"/>
          <w:lang w:val="es-ES_tradnl"/>
        </w:rPr>
        <w:t>Measuring digital development</w:t>
      </w:r>
      <w:r w:rsidR="004C7578" w:rsidRPr="00E3419C">
        <w:rPr>
          <w:rFonts w:cstheme="minorHAnsi"/>
          <w:bCs/>
          <w:szCs w:val="24"/>
          <w:lang w:val="es-ES_tradnl"/>
        </w:rPr>
        <w:t>" (Medición del desarrollo digital: hechos y cifras en 2019). Esta primera publicación de la nueva serie de la UIT sobre medición del desarrollo digital ofrece una visión general de los indicadores más importantes de las TIC, incluidas estimaciones para 2019. El Simposio Mundial de Indicadores de las Telecomunicaciones/TIC (SMIT) es el principal foro mundial para la medición de las telecomunicaciones y la sociedad de la información. El SMIT-20 se celebrará en Ginebra (Suiza) del 15 al 17 de abril de 2020</w:t>
      </w:r>
      <w:r w:rsidR="004C7578" w:rsidRPr="00E3419C">
        <w:rPr>
          <w:rFonts w:cstheme="minorHAnsi"/>
          <w:szCs w:val="24"/>
          <w:lang w:val="es-ES_tradnl"/>
        </w:rPr>
        <w:t>.</w:t>
      </w:r>
    </w:p>
    <w:p w14:paraId="5369899C" w14:textId="5589E921" w:rsidR="004C7578" w:rsidRPr="00E3419C" w:rsidRDefault="000261EF" w:rsidP="000261EF">
      <w:pPr>
        <w:pStyle w:val="enumlev1"/>
        <w:rPr>
          <w:rFonts w:cstheme="minorHAnsi"/>
          <w:bCs/>
          <w:szCs w:val="24"/>
          <w:lang w:val="es-ES_tradnl"/>
        </w:rPr>
      </w:pPr>
      <w:r w:rsidRPr="00E3419C">
        <w:rPr>
          <w:rFonts w:cstheme="minorHAnsi"/>
          <w:szCs w:val="24"/>
          <w:lang w:val="es-ES_tradnl"/>
        </w:rPr>
        <w:t>c)</w:t>
      </w:r>
      <w:r w:rsidRPr="00E3419C">
        <w:rPr>
          <w:rFonts w:cstheme="minorHAnsi"/>
          <w:szCs w:val="24"/>
          <w:lang w:val="es-ES_tradnl"/>
        </w:rPr>
        <w:tab/>
      </w:r>
      <w:r w:rsidR="004C7578" w:rsidRPr="00E3419C">
        <w:rPr>
          <w:rFonts w:cstheme="minorHAnsi"/>
          <w:b/>
          <w:szCs w:val="24"/>
          <w:lang w:val="es-ES_tradnl"/>
        </w:rPr>
        <w:t>Foro de la CMSI:</w:t>
      </w:r>
      <w:r w:rsidR="004C7578" w:rsidRPr="00E3419C">
        <w:rPr>
          <w:rFonts w:cstheme="minorHAnsi"/>
          <w:bCs/>
          <w:szCs w:val="24"/>
          <w:lang w:val="es-ES_tradnl"/>
        </w:rPr>
        <w:t xml:space="preserve"> La BDT contribuyó al proceso preparatorio y a la organización de la edición de 2019 del Foro de la CMSI, celebrada del 8 al 12 de abril, y dirigió varias corrientes temáticas del Foro, al tiempo que fomentó el establecimiento de asociaciones y la generación de proyectos, tal como se presenta en el </w:t>
      </w:r>
      <w:hyperlink r:id="rId11" w:history="1">
        <w:r w:rsidR="00D26DAB" w:rsidRPr="00E3419C">
          <w:rPr>
            <w:rStyle w:val="Hyperlink"/>
            <w:rFonts w:cstheme="minorHAnsi"/>
            <w:bCs/>
            <w:szCs w:val="24"/>
            <w:lang w:val="es-ES_tradnl"/>
          </w:rPr>
          <w:t>documento final</w:t>
        </w:r>
      </w:hyperlink>
      <w:r w:rsidR="004C7578" w:rsidRPr="00E3419C">
        <w:rPr>
          <w:rFonts w:cstheme="minorHAnsi"/>
          <w:bCs/>
          <w:szCs w:val="24"/>
          <w:lang w:val="es-ES_tradnl"/>
        </w:rPr>
        <w:t>. En 2020, el programa del Foro de la CMSI, que se celebrará del 6 al 9 de abril en Ginebra (Suiza), también se beneficiará de una serie de reuniones coordinadas por la BDT, en particular las que se enumeran a continuación</w:t>
      </w:r>
      <w:r w:rsidR="004C7578" w:rsidRPr="00E3419C">
        <w:rPr>
          <w:szCs w:val="24"/>
          <w:lang w:val="es-ES_tradnl"/>
        </w:rPr>
        <w:t>:</w:t>
      </w:r>
    </w:p>
    <w:p w14:paraId="12D102A9" w14:textId="5614C474" w:rsidR="004C7578" w:rsidRPr="00E3419C" w:rsidRDefault="000261EF" w:rsidP="000261EF">
      <w:pPr>
        <w:pStyle w:val="enumlev2"/>
        <w:rPr>
          <w:lang w:val="es-ES_tradnl"/>
        </w:rPr>
      </w:pPr>
      <w:r w:rsidRPr="00E3419C">
        <w:rPr>
          <w:lang w:val="es-ES_tradnl"/>
        </w:rPr>
        <w:t>–</w:t>
      </w:r>
      <w:r w:rsidRPr="00E3419C">
        <w:rPr>
          <w:lang w:val="es-ES_tradnl"/>
        </w:rPr>
        <w:tab/>
      </w:r>
      <w:r w:rsidR="004C7578" w:rsidRPr="00E3419C">
        <w:rPr>
          <w:lang w:val="es-ES_tradnl"/>
        </w:rPr>
        <w:t>Reuniones de Facilitación de las Líneas de Acción de la CMSI:</w:t>
      </w:r>
    </w:p>
    <w:p w14:paraId="775FD0D4" w14:textId="754783D7" w:rsidR="004C7578" w:rsidRPr="00E3419C" w:rsidRDefault="000261EF" w:rsidP="000261EF">
      <w:pPr>
        <w:pStyle w:val="enumlev3"/>
        <w:rPr>
          <w:lang w:val="es-ES_tradnl"/>
        </w:rPr>
      </w:pPr>
      <w:r w:rsidRPr="00E3419C">
        <w:rPr>
          <w:lang w:val="es-ES_tradnl"/>
        </w:rPr>
        <w:t>•</w:t>
      </w:r>
      <w:r w:rsidRPr="00E3419C">
        <w:rPr>
          <w:lang w:val="es-ES_tradnl"/>
        </w:rPr>
        <w:tab/>
      </w:r>
      <w:bookmarkStart w:id="10" w:name="lt_pId061"/>
      <w:r w:rsidR="004C7578" w:rsidRPr="00E3419C">
        <w:rPr>
          <w:lang w:val="es-ES_tradnl"/>
        </w:rPr>
        <w:t>CMSI LA C2:</w:t>
      </w:r>
      <w:bookmarkEnd w:id="10"/>
      <w:r w:rsidR="004C7578" w:rsidRPr="00E3419C">
        <w:rPr>
          <w:lang w:val="es-ES_tradnl"/>
        </w:rPr>
        <w:t xml:space="preserve"> </w:t>
      </w:r>
      <w:bookmarkStart w:id="11" w:name="lt_pId062"/>
      <w:r w:rsidR="004C7578" w:rsidRPr="00E3419C">
        <w:rPr>
          <w:lang w:val="es-ES_tradnl"/>
        </w:rPr>
        <w:t>Infraestructura de TIC</w:t>
      </w:r>
    </w:p>
    <w:p w14:paraId="31DB4123" w14:textId="0B1BF13C" w:rsidR="004C7578" w:rsidRPr="00E3419C" w:rsidRDefault="000261EF" w:rsidP="000261EF">
      <w:pPr>
        <w:pStyle w:val="enumlev3"/>
        <w:rPr>
          <w:lang w:val="es-ES_tradnl"/>
        </w:rPr>
      </w:pPr>
      <w:r w:rsidRPr="00E3419C">
        <w:rPr>
          <w:lang w:val="es-ES_tradnl"/>
        </w:rPr>
        <w:t>•</w:t>
      </w:r>
      <w:r w:rsidRPr="00E3419C">
        <w:rPr>
          <w:lang w:val="es-ES_tradnl"/>
        </w:rPr>
        <w:tab/>
      </w:r>
      <w:r w:rsidR="004C7578" w:rsidRPr="00E3419C">
        <w:rPr>
          <w:lang w:val="es-ES_tradnl"/>
        </w:rPr>
        <w:t>CMSI LA C4:</w:t>
      </w:r>
      <w:bookmarkEnd w:id="11"/>
      <w:r w:rsidR="004C7578" w:rsidRPr="00E3419C">
        <w:rPr>
          <w:lang w:val="es-ES_tradnl"/>
        </w:rPr>
        <w:t xml:space="preserve"> Capacitación</w:t>
      </w:r>
    </w:p>
    <w:p w14:paraId="435EB9C0" w14:textId="2E6A326D" w:rsidR="004C7578" w:rsidRPr="00E3419C" w:rsidRDefault="000261EF" w:rsidP="000261EF">
      <w:pPr>
        <w:pStyle w:val="enumlev3"/>
        <w:rPr>
          <w:lang w:val="es-ES_tradnl"/>
        </w:rPr>
      </w:pPr>
      <w:r w:rsidRPr="00E3419C">
        <w:rPr>
          <w:lang w:val="es-ES_tradnl"/>
        </w:rPr>
        <w:t>•</w:t>
      </w:r>
      <w:r w:rsidRPr="00E3419C">
        <w:rPr>
          <w:lang w:val="es-ES_tradnl"/>
        </w:rPr>
        <w:tab/>
      </w:r>
      <w:bookmarkStart w:id="12" w:name="lt_pId064"/>
      <w:r w:rsidR="004C7578" w:rsidRPr="00E3419C">
        <w:rPr>
          <w:lang w:val="es-ES_tradnl"/>
        </w:rPr>
        <w:t>CMSI LA C5:</w:t>
      </w:r>
      <w:bookmarkEnd w:id="12"/>
      <w:r w:rsidR="004C7578" w:rsidRPr="00E3419C">
        <w:rPr>
          <w:lang w:val="es-ES_tradnl"/>
        </w:rPr>
        <w:t xml:space="preserve"> </w:t>
      </w:r>
      <w:bookmarkStart w:id="13" w:name="lt_pId065"/>
      <w:r w:rsidR="004C7578" w:rsidRPr="00E3419C">
        <w:rPr>
          <w:lang w:val="es-ES_tradnl"/>
        </w:rPr>
        <w:t>Ciberseguridad (función en calidad de contribuyente, bajo la coordinación de SPM)</w:t>
      </w:r>
      <w:bookmarkEnd w:id="13"/>
    </w:p>
    <w:p w14:paraId="2408D304" w14:textId="0FAA5936" w:rsidR="004C7578" w:rsidRPr="00E3419C" w:rsidRDefault="000261EF" w:rsidP="000261EF">
      <w:pPr>
        <w:pStyle w:val="enumlev3"/>
        <w:rPr>
          <w:lang w:val="es-ES_tradnl"/>
        </w:rPr>
      </w:pPr>
      <w:r w:rsidRPr="00E3419C">
        <w:rPr>
          <w:lang w:val="es-ES_tradnl"/>
        </w:rPr>
        <w:t>•</w:t>
      </w:r>
      <w:r w:rsidRPr="00E3419C">
        <w:rPr>
          <w:lang w:val="es-ES_tradnl"/>
        </w:rPr>
        <w:tab/>
      </w:r>
      <w:bookmarkStart w:id="14" w:name="lt_pId066"/>
      <w:r w:rsidR="004C7578" w:rsidRPr="00E3419C">
        <w:rPr>
          <w:lang w:val="es-ES_tradnl"/>
        </w:rPr>
        <w:t>CMSI LA C6:</w:t>
      </w:r>
      <w:bookmarkEnd w:id="14"/>
      <w:r w:rsidR="004C7578" w:rsidRPr="00E3419C">
        <w:rPr>
          <w:lang w:val="es-ES_tradnl"/>
        </w:rPr>
        <w:t xml:space="preserve"> Entorno habilitador</w:t>
      </w:r>
    </w:p>
    <w:p w14:paraId="0194193F" w14:textId="547AF5D9" w:rsidR="004C7578" w:rsidRPr="00E3419C" w:rsidRDefault="000261EF" w:rsidP="000261EF">
      <w:pPr>
        <w:pStyle w:val="enumlev3"/>
        <w:rPr>
          <w:lang w:val="es-ES_tradnl"/>
        </w:rPr>
      </w:pPr>
      <w:r w:rsidRPr="00E3419C">
        <w:rPr>
          <w:lang w:val="es-ES_tradnl"/>
        </w:rPr>
        <w:t>•</w:t>
      </w:r>
      <w:r w:rsidRPr="00E3419C">
        <w:rPr>
          <w:lang w:val="es-ES_tradnl"/>
        </w:rPr>
        <w:tab/>
      </w:r>
      <w:bookmarkStart w:id="15" w:name="lt_pId068"/>
      <w:r w:rsidR="004C7578" w:rsidRPr="00E3419C">
        <w:rPr>
          <w:lang w:val="es-ES_tradnl"/>
        </w:rPr>
        <w:t>CMSI LA C7:</w:t>
      </w:r>
      <w:bookmarkEnd w:id="15"/>
      <w:r w:rsidR="004C7578" w:rsidRPr="00E3419C">
        <w:rPr>
          <w:lang w:val="es-ES_tradnl"/>
        </w:rPr>
        <w:t xml:space="preserve"> Residuos electrónicos (UIT/PNUMA)</w:t>
      </w:r>
    </w:p>
    <w:p w14:paraId="299942BB" w14:textId="5034A421" w:rsidR="004C7578" w:rsidRPr="00E3419C" w:rsidRDefault="000261EF" w:rsidP="000261EF">
      <w:pPr>
        <w:pStyle w:val="enumlev3"/>
        <w:rPr>
          <w:lang w:val="es-ES_tradnl"/>
        </w:rPr>
      </w:pPr>
      <w:r w:rsidRPr="00E3419C">
        <w:rPr>
          <w:lang w:val="es-ES_tradnl"/>
        </w:rPr>
        <w:lastRenderedPageBreak/>
        <w:t>•</w:t>
      </w:r>
      <w:r w:rsidRPr="00E3419C">
        <w:rPr>
          <w:lang w:val="es-ES_tradnl"/>
        </w:rPr>
        <w:tab/>
      </w:r>
      <w:bookmarkStart w:id="16" w:name="lt_pId070"/>
      <w:r w:rsidR="004C7578" w:rsidRPr="00E3419C">
        <w:rPr>
          <w:lang w:val="es-ES_tradnl"/>
        </w:rPr>
        <w:t>CMSI LA C7:</w:t>
      </w:r>
      <w:bookmarkEnd w:id="16"/>
      <w:r w:rsidR="004C7578" w:rsidRPr="00E3419C">
        <w:rPr>
          <w:lang w:val="es-ES_tradnl"/>
        </w:rPr>
        <w:t xml:space="preserve"> </w:t>
      </w:r>
      <w:bookmarkStart w:id="17" w:name="lt_pId071"/>
      <w:r w:rsidR="004C7578" w:rsidRPr="00E3419C">
        <w:rPr>
          <w:lang w:val="es-ES_tradnl"/>
        </w:rPr>
        <w:t>Ciberecología (UIT/OMM)</w:t>
      </w:r>
      <w:bookmarkEnd w:id="17"/>
    </w:p>
    <w:p w14:paraId="77A1C64A" w14:textId="2A734E46" w:rsidR="004C7578" w:rsidRPr="00E3419C" w:rsidRDefault="000261EF" w:rsidP="000261EF">
      <w:pPr>
        <w:pStyle w:val="enumlev3"/>
        <w:rPr>
          <w:lang w:val="es-ES_tradnl"/>
        </w:rPr>
      </w:pPr>
      <w:r w:rsidRPr="00E3419C">
        <w:rPr>
          <w:lang w:val="es-ES_tradnl"/>
        </w:rPr>
        <w:t>•</w:t>
      </w:r>
      <w:r w:rsidRPr="00E3419C">
        <w:rPr>
          <w:lang w:val="es-ES_tradnl"/>
        </w:rPr>
        <w:tab/>
      </w:r>
      <w:bookmarkStart w:id="18" w:name="lt_pId072"/>
      <w:r w:rsidR="004C7578" w:rsidRPr="00E3419C">
        <w:rPr>
          <w:lang w:val="es-ES_tradnl"/>
        </w:rPr>
        <w:t>CMSI LA C7:</w:t>
      </w:r>
      <w:bookmarkEnd w:id="18"/>
      <w:r w:rsidR="004C7578" w:rsidRPr="00E3419C">
        <w:rPr>
          <w:lang w:val="es-ES_tradnl"/>
        </w:rPr>
        <w:t xml:space="preserve"> </w:t>
      </w:r>
      <w:bookmarkStart w:id="19" w:name="lt_pId073"/>
      <w:r w:rsidR="004C7578" w:rsidRPr="00E3419C">
        <w:rPr>
          <w:lang w:val="es-ES_tradnl"/>
        </w:rPr>
        <w:t>Ciberagricultura (UIT/FAO)</w:t>
      </w:r>
      <w:bookmarkEnd w:id="19"/>
    </w:p>
    <w:p w14:paraId="1440FFBB" w14:textId="66708E03" w:rsidR="004C7578" w:rsidRPr="00E3419C" w:rsidRDefault="000261EF" w:rsidP="000261EF">
      <w:pPr>
        <w:pStyle w:val="enumlev3"/>
        <w:rPr>
          <w:lang w:val="es-ES_tradnl"/>
        </w:rPr>
      </w:pPr>
      <w:r w:rsidRPr="00E3419C">
        <w:rPr>
          <w:lang w:val="es-ES_tradnl"/>
        </w:rPr>
        <w:t>•</w:t>
      </w:r>
      <w:r w:rsidRPr="00E3419C">
        <w:rPr>
          <w:lang w:val="es-ES_tradnl"/>
        </w:rPr>
        <w:tab/>
      </w:r>
      <w:bookmarkStart w:id="20" w:name="lt_pId074"/>
      <w:r w:rsidR="004C7578" w:rsidRPr="00E3419C">
        <w:rPr>
          <w:lang w:val="es-ES_tradnl"/>
        </w:rPr>
        <w:t>CMSI LA C7:</w:t>
      </w:r>
      <w:bookmarkEnd w:id="20"/>
      <w:r w:rsidR="004C7578" w:rsidRPr="00E3419C">
        <w:rPr>
          <w:lang w:val="es-ES_tradnl"/>
        </w:rPr>
        <w:t xml:space="preserve"> </w:t>
      </w:r>
      <w:bookmarkStart w:id="21" w:name="lt_pId075"/>
      <w:r w:rsidR="004C7578" w:rsidRPr="00E3419C">
        <w:rPr>
          <w:lang w:val="es-ES_tradnl"/>
        </w:rPr>
        <w:t>Cibersalud (UIT/OMS)</w:t>
      </w:r>
      <w:bookmarkEnd w:id="21"/>
    </w:p>
    <w:p w14:paraId="1C9F67F3" w14:textId="77777777" w:rsidR="004C7578" w:rsidRPr="00E3419C" w:rsidRDefault="004C7578" w:rsidP="000261EF">
      <w:pPr>
        <w:pStyle w:val="enumlev2"/>
        <w:rPr>
          <w:lang w:val="es-ES_tradnl"/>
        </w:rPr>
      </w:pPr>
      <w:bookmarkStart w:id="22" w:name="lt_pId076"/>
      <w:r w:rsidRPr="00E3419C">
        <w:rPr>
          <w:lang w:val="es-ES_tradnl"/>
        </w:rPr>
        <w:t>–</w:t>
      </w:r>
      <w:r w:rsidRPr="00E3419C">
        <w:rPr>
          <w:lang w:val="es-ES_tradnl"/>
        </w:rPr>
        <w:tab/>
      </w:r>
      <w:bookmarkEnd w:id="22"/>
      <w:r w:rsidRPr="00E3419C">
        <w:rPr>
          <w:lang w:val="es-ES_tradnl"/>
        </w:rPr>
        <w:t>Diálogos de alto nivel:</w:t>
      </w:r>
    </w:p>
    <w:p w14:paraId="2A63A5E7" w14:textId="77777777" w:rsidR="004C7578" w:rsidRPr="00E3419C" w:rsidRDefault="004C7578" w:rsidP="000261EF">
      <w:pPr>
        <w:pStyle w:val="enumlev3"/>
        <w:rPr>
          <w:szCs w:val="24"/>
          <w:lang w:val="es-ES_tradnl"/>
        </w:rPr>
      </w:pPr>
      <w:bookmarkStart w:id="23" w:name="lt_pId078"/>
      <w:r w:rsidRPr="00E3419C">
        <w:rPr>
          <w:lang w:val="es-ES_tradnl"/>
        </w:rPr>
        <w:t>•</w:t>
      </w:r>
      <w:r w:rsidRPr="00E3419C">
        <w:rPr>
          <w:lang w:val="es-ES_tradnl"/>
        </w:rPr>
        <w:tab/>
        <w:t>Salvamento de vidas humanas mediante las TIC</w:t>
      </w:r>
    </w:p>
    <w:p w14:paraId="4BE0537A" w14:textId="3A3A103E" w:rsidR="004C7578" w:rsidRPr="00E3419C" w:rsidRDefault="000261EF" w:rsidP="000261EF">
      <w:pPr>
        <w:pStyle w:val="enumlev2"/>
        <w:rPr>
          <w:lang w:val="es-ES_tradnl"/>
        </w:rPr>
      </w:pPr>
      <w:bookmarkStart w:id="24" w:name="lt_pId079"/>
      <w:bookmarkEnd w:id="23"/>
      <w:r w:rsidRPr="00E3419C">
        <w:rPr>
          <w:lang w:val="es-ES_tradnl"/>
        </w:rPr>
        <w:t>–</w:t>
      </w:r>
      <w:r w:rsidRPr="00E3419C">
        <w:rPr>
          <w:lang w:val="es-ES_tradnl"/>
        </w:rPr>
        <w:tab/>
      </w:r>
      <w:r w:rsidR="004C7578" w:rsidRPr="00E3419C">
        <w:rPr>
          <w:lang w:val="es-ES_tradnl"/>
        </w:rPr>
        <w:t>Reunión anual de la Alianza para la medición de las TIC para el desarrollo</w:t>
      </w:r>
      <w:bookmarkEnd w:id="24"/>
    </w:p>
    <w:p w14:paraId="77EF50E0" w14:textId="77777777" w:rsidR="004C7578" w:rsidRPr="00E3419C" w:rsidRDefault="004C7578" w:rsidP="000261EF">
      <w:pPr>
        <w:pStyle w:val="enumlev2"/>
        <w:rPr>
          <w:lang w:val="es-ES_tradnl"/>
        </w:rPr>
      </w:pPr>
      <w:r w:rsidRPr="00E3419C">
        <w:rPr>
          <w:lang w:val="es-ES_tradnl"/>
        </w:rPr>
        <w:t>–</w:t>
      </w:r>
      <w:r w:rsidRPr="00E3419C">
        <w:rPr>
          <w:lang w:val="es-ES_tradnl"/>
        </w:rPr>
        <w:tab/>
        <w:t>Vías especiales en materia de:</w:t>
      </w:r>
    </w:p>
    <w:p w14:paraId="32FE8E3F" w14:textId="422DC67D" w:rsidR="004C7578" w:rsidRPr="00E3419C" w:rsidRDefault="004C7578" w:rsidP="000261EF">
      <w:pPr>
        <w:pStyle w:val="enumlev3"/>
        <w:rPr>
          <w:lang w:val="es-ES_tradnl"/>
        </w:rPr>
      </w:pPr>
      <w:bookmarkStart w:id="25" w:name="lt_pId080"/>
      <w:r w:rsidRPr="00E3419C">
        <w:rPr>
          <w:lang w:val="es-ES_tradnl"/>
        </w:rPr>
        <w:t>•</w:t>
      </w:r>
      <w:r w:rsidRPr="00E3419C">
        <w:rPr>
          <w:lang w:val="es-ES_tradnl"/>
        </w:rPr>
        <w:tab/>
      </w:r>
      <w:r w:rsidR="00FB6F4D" w:rsidRPr="00E3419C">
        <w:rPr>
          <w:lang w:val="es-ES_tradnl"/>
        </w:rPr>
        <w:t>I</w:t>
      </w:r>
      <w:r w:rsidRPr="00E3419C">
        <w:rPr>
          <w:lang w:val="es-ES_tradnl"/>
        </w:rPr>
        <w:t xml:space="preserve">nnovación en el marco del </w:t>
      </w:r>
      <w:bookmarkEnd w:id="25"/>
      <w:r w:rsidRPr="00E3419C">
        <w:rPr>
          <w:lang w:val="es-ES_tradnl"/>
        </w:rPr>
        <w:t>Foro de la CMSI</w:t>
      </w:r>
      <w:r w:rsidR="00FB6F4D" w:rsidRPr="00E3419C">
        <w:rPr>
          <w:lang w:val="es-ES_tradnl"/>
        </w:rPr>
        <w:t>.</w:t>
      </w:r>
    </w:p>
    <w:p w14:paraId="6AA3DDE0" w14:textId="0C65BCEC" w:rsidR="004C7578" w:rsidRPr="00E3419C" w:rsidRDefault="004C7578" w:rsidP="000261EF">
      <w:pPr>
        <w:pStyle w:val="enumlev3"/>
        <w:rPr>
          <w:szCs w:val="24"/>
          <w:lang w:val="es-ES_tradnl"/>
        </w:rPr>
      </w:pPr>
      <w:r w:rsidRPr="00E3419C">
        <w:rPr>
          <w:lang w:val="es-ES_tradnl"/>
        </w:rPr>
        <w:t>•</w:t>
      </w:r>
      <w:r w:rsidRPr="00E3419C">
        <w:rPr>
          <w:lang w:val="es-ES_tradnl"/>
        </w:rPr>
        <w:tab/>
      </w:r>
      <w:r w:rsidR="00FB6F4D" w:rsidRPr="00E3419C">
        <w:rPr>
          <w:lang w:val="es-ES_tradnl"/>
        </w:rPr>
        <w:t>D</w:t>
      </w:r>
      <w:r w:rsidRPr="00E3419C">
        <w:rPr>
          <w:lang w:val="es-ES_tradnl"/>
        </w:rPr>
        <w:t>eportes</w:t>
      </w:r>
      <w:r w:rsidR="00FB6F4D" w:rsidRPr="00E3419C">
        <w:rPr>
          <w:lang w:val="es-ES_tradnl"/>
        </w:rPr>
        <w:t>.</w:t>
      </w:r>
    </w:p>
    <w:p w14:paraId="2B83D628" w14:textId="5B6EFF93" w:rsidR="004C7578" w:rsidRPr="00E3419C" w:rsidRDefault="004C7578" w:rsidP="000261EF">
      <w:pPr>
        <w:pStyle w:val="enumlev3"/>
        <w:rPr>
          <w:lang w:val="es-ES_tradnl"/>
        </w:rPr>
      </w:pPr>
      <w:r w:rsidRPr="00E3419C">
        <w:rPr>
          <w:lang w:val="es-ES_tradnl"/>
        </w:rPr>
        <w:t>•</w:t>
      </w:r>
      <w:r w:rsidRPr="00E3419C">
        <w:rPr>
          <w:szCs w:val="24"/>
          <w:lang w:val="es-ES_tradnl"/>
        </w:rPr>
        <w:tab/>
      </w:r>
      <w:r w:rsidR="00FB6F4D" w:rsidRPr="00E3419C">
        <w:rPr>
          <w:szCs w:val="24"/>
          <w:lang w:val="es-ES_tradnl"/>
        </w:rPr>
        <w:t>A</w:t>
      </w:r>
      <w:r w:rsidRPr="00E3419C">
        <w:rPr>
          <w:szCs w:val="24"/>
          <w:lang w:val="es-ES_tradnl"/>
        </w:rPr>
        <w:t>ccesibilidad</w:t>
      </w:r>
      <w:r w:rsidR="00FB6F4D" w:rsidRPr="00E3419C">
        <w:rPr>
          <w:szCs w:val="24"/>
          <w:lang w:val="es-ES_tradnl"/>
        </w:rPr>
        <w:t>.</w:t>
      </w:r>
    </w:p>
    <w:p w14:paraId="66EC0787" w14:textId="77777777" w:rsidR="004C7578" w:rsidRPr="00E3419C" w:rsidRDefault="004C7578" w:rsidP="000261EF">
      <w:pPr>
        <w:rPr>
          <w:lang w:val="es-ES_tradnl"/>
        </w:rPr>
      </w:pPr>
      <w:r w:rsidRPr="00E3419C">
        <w:rPr>
          <w:lang w:val="es-ES_tradnl"/>
        </w:rPr>
        <w:t>Por otro lado, la BDT organizará varios talleres y reuniones temáticas sobre igualdad de género, protección de la infancia en línea, conectividad de las escuelas, radiodifusión y competencias digitales, entre otros temas. También contribuirá a una serie de diálogos interactivos de alto nivel, a las reuniones de facilitación de las líneas de acción de la CMSI LA C1 (Función de los gobiernos), C11 (Cooperación internacional), C7 (Ciberciencia, ciberaprendizaje y cibergobierno) y a la reunión de facilitadores de las líneas de acción de la CMSI.</w:t>
      </w:r>
    </w:p>
    <w:p w14:paraId="07E9A4AE" w14:textId="3766B118" w:rsidR="004C7578" w:rsidRPr="00E3419C" w:rsidRDefault="004C7578" w:rsidP="000261EF">
      <w:pPr>
        <w:pStyle w:val="enumlev1"/>
        <w:rPr>
          <w:lang w:val="es-ES_tradnl"/>
        </w:rPr>
      </w:pPr>
      <w:r w:rsidRPr="00E3419C">
        <w:rPr>
          <w:lang w:val="es-ES_tradnl"/>
        </w:rPr>
        <w:t>d</w:t>
      </w:r>
      <w:r w:rsidR="000261EF" w:rsidRPr="00E3419C">
        <w:rPr>
          <w:lang w:val="es-ES_tradnl"/>
        </w:rPr>
        <w:t>)</w:t>
      </w:r>
      <w:r w:rsidRPr="00E3419C">
        <w:rPr>
          <w:lang w:val="es-ES_tradnl"/>
        </w:rPr>
        <w:tab/>
      </w:r>
      <w:r w:rsidRPr="00E3419C">
        <w:rPr>
          <w:b/>
          <w:bCs/>
          <w:lang w:val="es-ES_tradnl"/>
        </w:rPr>
        <w:t>Premios de la CMSI</w:t>
      </w:r>
      <w:r w:rsidRPr="00E3419C">
        <w:rPr>
          <w:lang w:val="es-ES_tradnl"/>
        </w:rPr>
        <w:t>: La BDT sigue desempeñando una función importante en el marco de la comisión de examen del proceso de concesión de premios de la CMSI y en las actividades de seguimiento relacionadas con la creación de asociaciones y el intercambio de prácticas idóneas. Cada año se conceden 18 premios de la CMSI, con reconocimiento especial a los ganadores por su contribución a las líneas de acción de la CMSI en calidad de facilitadores. En 2020, se han examinado más de 800 proyectos de TIC para facilitar el cumplimiento de los ODS y se han presentado para la fase de votación, gracias a la contribución de la BDT.</w:t>
      </w:r>
    </w:p>
    <w:p w14:paraId="295F6A80" w14:textId="4B62EBFA" w:rsidR="004C7578" w:rsidRPr="00E3419C" w:rsidRDefault="000261EF" w:rsidP="000261EF">
      <w:pPr>
        <w:pStyle w:val="enumlev1"/>
        <w:rPr>
          <w:lang w:val="es-ES_tradnl"/>
        </w:rPr>
      </w:pPr>
      <w:r w:rsidRPr="00E3419C">
        <w:rPr>
          <w:lang w:val="es-ES_tradnl"/>
        </w:rPr>
        <w:t>e)</w:t>
      </w:r>
      <w:r w:rsidRPr="00E3419C">
        <w:rPr>
          <w:lang w:val="es-ES_tradnl"/>
        </w:rPr>
        <w:tab/>
      </w:r>
      <w:r w:rsidR="004C7578" w:rsidRPr="00E3419C">
        <w:rPr>
          <w:b/>
          <w:bCs/>
          <w:lang w:val="es-ES_tradnl"/>
        </w:rPr>
        <w:t>Comisiones de Estudio del UIT-D</w:t>
      </w:r>
      <w:r w:rsidR="004C7578" w:rsidRPr="00E3419C">
        <w:rPr>
          <w:lang w:val="es-ES_tradnl"/>
        </w:rPr>
        <w:t>: Tras la celebración de la CMDT-17, las Cuestiones de las Comisiones de Estudio del UIT-D se han clasificado con arreglo a las líneas de acción de la</w:t>
      </w:r>
      <w:r w:rsidRPr="00E3419C">
        <w:rPr>
          <w:lang w:val="es-ES_tradnl"/>
        </w:rPr>
        <w:t> </w:t>
      </w:r>
      <w:r w:rsidR="004C7578" w:rsidRPr="00E3419C">
        <w:rPr>
          <w:lang w:val="es-ES_tradnl"/>
        </w:rPr>
        <w:t>CMSI y a los ODS, a fin de proporcionar nuevas orientaciones sobre la forma en que esas Comisiones de Estudio pueden contribuir a ambos procesos (véase el Anexo 2). Las Comisiones de Estudio del UIT-D valoran el útil contenido que comparten los interesados en la plataforma de la CMSI y las oportunidades existentes para la divulgación y el intercambio de información para los diversos interesados que participan en el proceso de la CMSI.</w:t>
      </w:r>
    </w:p>
    <w:p w14:paraId="4C856852" w14:textId="40EA3BF2" w:rsidR="004C7578" w:rsidRPr="00E3419C" w:rsidRDefault="000261EF" w:rsidP="000261EF">
      <w:pPr>
        <w:pStyle w:val="enumlev1"/>
        <w:rPr>
          <w:lang w:val="es-ES_tradnl"/>
        </w:rPr>
      </w:pPr>
      <w:r w:rsidRPr="00E3419C">
        <w:rPr>
          <w:lang w:val="es-ES_tradnl"/>
        </w:rPr>
        <w:tab/>
      </w:r>
      <w:r w:rsidR="004C7578" w:rsidRPr="00E3419C">
        <w:rPr>
          <w:lang w:val="es-ES_tradnl"/>
        </w:rPr>
        <w:t>En las reuniones de los Grupos de Relator de las Comisiones de Estudio 1 y 2 del UIT-D, celebradas del 23 de septiembre al 18 de octubre de 2019 en Ginebra, la BDT elaboró un documento (</w:t>
      </w:r>
      <w:hyperlink r:id="rId12" w:history="1">
        <w:r w:rsidR="00FB6F4D" w:rsidRPr="00E3419C">
          <w:rPr>
            <w:rStyle w:val="Hyperlink"/>
            <w:bCs/>
            <w:lang w:val="es-ES_tradnl"/>
          </w:rPr>
          <w:t>SG1RGQ/258</w:t>
        </w:r>
      </w:hyperlink>
      <w:r w:rsidR="00FB6F4D" w:rsidRPr="00E3419C">
        <w:rPr>
          <w:bCs/>
          <w:lang w:val="es-ES_tradnl"/>
        </w:rPr>
        <w:t xml:space="preserve"> y </w:t>
      </w:r>
      <w:hyperlink r:id="rId13" w:history="1">
        <w:r w:rsidR="00FB6F4D" w:rsidRPr="00E3419C">
          <w:rPr>
            <w:rStyle w:val="Hyperlink"/>
            <w:bCs/>
            <w:lang w:val="es-ES_tradnl"/>
          </w:rPr>
          <w:t>SG2RGQ/167</w:t>
        </w:r>
      </w:hyperlink>
      <w:r w:rsidR="004C7578" w:rsidRPr="00E3419C">
        <w:rPr>
          <w:lang w:val="es-ES_tradnl"/>
        </w:rPr>
        <w:t>) en el que examinan más a fondo las ventajas y posibles medidas futuras en materia de colaboración entre esas Comisiones de Estudio y la plataforma de la CMSI. Dicho documento sirve de complemento a otro elaborado previamente (</w:t>
      </w:r>
      <w:hyperlink r:id="rId14" w:history="1">
        <w:r w:rsidR="00FB6F4D" w:rsidRPr="00E3419C">
          <w:rPr>
            <w:rStyle w:val="Hyperlink"/>
            <w:bCs/>
            <w:lang w:val="es-ES_tradnl"/>
          </w:rPr>
          <w:t>1/207</w:t>
        </w:r>
      </w:hyperlink>
      <w:r w:rsidR="00FB6F4D" w:rsidRPr="00E3419C">
        <w:rPr>
          <w:bCs/>
          <w:lang w:val="es-ES_tradnl"/>
        </w:rPr>
        <w:t xml:space="preserve"> y </w:t>
      </w:r>
      <w:hyperlink r:id="rId15" w:history="1">
        <w:r w:rsidR="00FB6F4D" w:rsidRPr="00E3419C">
          <w:rPr>
            <w:rStyle w:val="Hyperlink"/>
            <w:bCs/>
            <w:lang w:val="es-ES_tradnl"/>
          </w:rPr>
          <w:t>2/190</w:t>
        </w:r>
      </w:hyperlink>
      <w:r w:rsidR="004C7578" w:rsidRPr="00E3419C">
        <w:rPr>
          <w:lang w:val="es-ES_tradnl"/>
        </w:rPr>
        <w:t>), en el que se examinan posibles vínculos entre los proyectos relativos a los ganadores y campeones de los premios de la CMSI en 2018 y 2019 y las Cuestiones de las Comisiones de Estudio 1 y 2 del UIT-D. En el nuevo documento se destaca la utilidad de la base de datos sobre el Inventario de la CMSI y se invita a los miembros de las Comisiones de Estudio a que estudiaran los proyectos de esta base de datos para armonizar los trabajos en curso y los resultados previstos.</w:t>
      </w:r>
    </w:p>
    <w:p w14:paraId="34FFF7FE" w14:textId="7CE614E2" w:rsidR="004C7578" w:rsidRPr="00E3419C" w:rsidRDefault="000261EF" w:rsidP="000261EF">
      <w:pPr>
        <w:pStyle w:val="enumlev1"/>
        <w:rPr>
          <w:lang w:val="es-ES_tradnl"/>
        </w:rPr>
      </w:pPr>
      <w:r w:rsidRPr="00E3419C">
        <w:rPr>
          <w:lang w:val="es-ES_tradnl"/>
        </w:rPr>
        <w:lastRenderedPageBreak/>
        <w:tab/>
      </w:r>
      <w:r w:rsidR="004C7578" w:rsidRPr="00E3419C">
        <w:rPr>
          <w:lang w:val="es-ES_tradnl"/>
        </w:rPr>
        <w:t>Habida cuenta de ello, en el Foro de 2020 de la CMSI se celebrará una reunión relativa a la labor de las Comisiones de Estudio del UIT-D con objeto de fomentar las oportunidades de colaboración con la plataforma de la CMSI. Además, los presidentes, vicepresidentes y relatores y vicerrelatores de ambas Comisiones de Estudio del UIT-D participarán como oradores y contribuyentes en todas las reuniones, incluidas las relativas a las líneas de acción de la CMSI, a fin de promover los resultados de sus Comisiones de Estudio.</w:t>
      </w:r>
    </w:p>
    <w:p w14:paraId="5AD99BD2" w14:textId="2E3368FD" w:rsidR="004C7578" w:rsidRPr="00E3419C" w:rsidRDefault="000261EF" w:rsidP="000261EF">
      <w:pPr>
        <w:pStyle w:val="enumlev1"/>
        <w:rPr>
          <w:lang w:val="es-ES_tradnl"/>
        </w:rPr>
      </w:pPr>
      <w:r w:rsidRPr="00E3419C">
        <w:rPr>
          <w:lang w:val="es-ES_tradnl"/>
        </w:rPr>
        <w:t>f)</w:t>
      </w:r>
      <w:r w:rsidRPr="00E3419C">
        <w:rPr>
          <w:lang w:val="es-ES_tradnl"/>
        </w:rPr>
        <w:tab/>
      </w:r>
      <w:r w:rsidR="004C7578" w:rsidRPr="00E3419C">
        <w:rPr>
          <w:b/>
          <w:bCs/>
          <w:lang w:val="es-ES_tradnl"/>
        </w:rPr>
        <w:t>Iniciativas especiales</w:t>
      </w:r>
      <w:r w:rsidR="004C7578" w:rsidRPr="00E3419C">
        <w:rPr>
          <w:lang w:val="es-ES_tradnl"/>
        </w:rPr>
        <w:t>: La BDT sigue apoyando un conjunto de iniciativas especiales para fomentar las asociaciones a las que se ha atribuido carácter prioritario, de conformidad con los resultados de la CMSI y la Agenda 2030 para el Desarrollo Sostenible. Entre ellas figuran la Comisión sobre la Banda Ancha para el Desarrollo Sostenible y la Alianza Mundial EQUAL. En 2019, la UIT y UNICEF (Fondo de las Naciones Unidas para la Infancia) aunaron esfuerzos para dotar de conexión Internet a todos los centros escolares para</w:t>
      </w:r>
      <w:r w:rsidR="009648A1" w:rsidRPr="00E3419C">
        <w:rPr>
          <w:lang w:val="es-ES_tradnl"/>
        </w:rPr>
        <w:t> </w:t>
      </w:r>
      <w:r w:rsidR="004C7578" w:rsidRPr="00E3419C">
        <w:rPr>
          <w:lang w:val="es-ES_tradnl"/>
        </w:rPr>
        <w:t>2030, y pusieron en marcha una iniciativa especial denominada "</w:t>
      </w:r>
      <w:hyperlink r:id="rId16" w:history="1">
        <w:r w:rsidR="002A39EB" w:rsidRPr="00E3419C">
          <w:rPr>
            <w:rStyle w:val="Hyperlink"/>
            <w:lang w:val="es-ES_tradnl"/>
          </w:rPr>
          <w:t xml:space="preserve">GIGA </w:t>
        </w:r>
        <w:r w:rsidR="00E74E83" w:rsidRPr="00E3419C">
          <w:rPr>
            <w:rStyle w:val="Hyperlink"/>
            <w:lang w:val="es-ES_tradnl"/>
          </w:rPr>
          <w:t>–</w:t>
        </w:r>
        <w:r w:rsidR="002A39EB" w:rsidRPr="00E3419C">
          <w:rPr>
            <w:rStyle w:val="Hyperlink"/>
            <w:lang w:val="es-ES_tradnl"/>
          </w:rPr>
          <w:t xml:space="preserve"> Conexión de todos los centros escolares a Internet</w:t>
        </w:r>
      </w:hyperlink>
      <w:r w:rsidR="004C7578" w:rsidRPr="00E3419C">
        <w:rPr>
          <w:lang w:val="es-ES_tradnl"/>
        </w:rPr>
        <w:t>". Dicha iniciativa tiene por objeto poner alcance de los jóvenes las ventajas que brinda la conectividad a fin de facilitar su acceso a recursos y oportunidades educativos.</w:t>
      </w:r>
    </w:p>
    <w:p w14:paraId="693BAB3E" w14:textId="03E92084" w:rsidR="004C7578" w:rsidRPr="00E3419C" w:rsidRDefault="000261EF" w:rsidP="000261EF">
      <w:pPr>
        <w:pStyle w:val="enumlev1"/>
        <w:rPr>
          <w:lang w:val="es-ES_tradnl"/>
        </w:rPr>
      </w:pPr>
      <w:r w:rsidRPr="00E3419C">
        <w:rPr>
          <w:lang w:val="es-ES_tradnl"/>
        </w:rPr>
        <w:t>g)</w:t>
      </w:r>
      <w:r w:rsidRPr="00E3419C">
        <w:rPr>
          <w:lang w:val="es-ES_tradnl"/>
        </w:rPr>
        <w:tab/>
      </w:r>
      <w:r w:rsidR="004C7578" w:rsidRPr="00E3419C">
        <w:rPr>
          <w:b/>
          <w:bCs/>
          <w:lang w:val="es-ES_tradnl"/>
        </w:rPr>
        <w:t>Cumplimiento de los objetivos de la CMSI y de los ODS a escala regional</w:t>
      </w:r>
      <w:r w:rsidR="004C7578" w:rsidRPr="00E3419C">
        <w:rPr>
          <w:lang w:val="es-ES_tradnl"/>
        </w:rPr>
        <w:t>: De conformidad con la Resolución 140 (Rev. Dubái, 2018) de la Conferencia de Plenipotenciarios, las Oficinas regionales de la UIT siguen adoptando medidas para fortalecer la coordinación y la colaboración a escala regional con las comisiones económicas regionales de las Naciones Unidas y los Grupos Regionales de Desarrollo Sostenible de las Naciones Unidas, así como con todos los organismos de las Naciones Unidas (en particular los que actúan como facilitadores de las líneas de acción de la CMSI) y otras organizaciones regionales pertinentes, en particular en el ámbito de las telecomunicaciones/TIC.</w:t>
      </w:r>
    </w:p>
    <w:p w14:paraId="31254F34" w14:textId="43F85BF6" w:rsidR="004C7578" w:rsidRPr="00E3419C" w:rsidRDefault="000261EF" w:rsidP="000261EF">
      <w:pPr>
        <w:pStyle w:val="enumlev1"/>
        <w:rPr>
          <w:lang w:val="es-ES_tradnl"/>
        </w:rPr>
      </w:pPr>
      <w:r w:rsidRPr="00E3419C">
        <w:rPr>
          <w:lang w:val="es-ES_tradnl"/>
        </w:rPr>
        <w:tab/>
      </w:r>
      <w:r w:rsidR="004C7578" w:rsidRPr="00E3419C">
        <w:rPr>
          <w:lang w:val="es-ES_tradnl"/>
        </w:rPr>
        <w:t>Las oficinas regionales de la UIT siguen contribuyendo de manera eficaz a las reuniones de los mecanismos de coordinación regional de las Naciones Unidas y de los Grupos Regionales de Desarrollo Sostenible de las Naciones Unidas, a fin de fomentar la función habilitadora de las TIC con respecto a los ODS, adaptarse a los nuevos procesos del sistema de las Naciones Unidas para el desarrollo, determinar posibles formas de incorporar las TIC a los marcos de asistencia de las Naciones Unidas para el desarrollo sostenible y los proyectos ejecutados por organismos afines, e impulsar asociaciones estratégicas con homólogos regionales en el sistema de las Naciones Unidas y otras partes interesadas pertinentes. Con objeto de seguir fomentando las asociaciones para que todas las personas tengan acceso a Internet, y a la luz de la aplicación de diversas iniciativas regionales, la UIT, el ACNUR y la GSMA copatrocinaron una reunión en el marco del primer Foro Mundial sobre los Refugiados celebrada en diciembre de 2019, en la que se examinaron los problemas relacionados con la prestación de servicios de conectividad a refugiados, personas desplazadas y comunidades de acogida.</w:t>
      </w:r>
    </w:p>
    <w:p w14:paraId="7F5C4405" w14:textId="6DB7D63F" w:rsidR="004C7578" w:rsidRPr="00E3419C" w:rsidRDefault="00204513" w:rsidP="00204513">
      <w:pPr>
        <w:pStyle w:val="enumlev1"/>
        <w:rPr>
          <w:lang w:val="es-ES_tradnl"/>
        </w:rPr>
      </w:pPr>
      <w:r w:rsidRPr="00E3419C">
        <w:rPr>
          <w:lang w:val="es-ES_tradnl"/>
        </w:rPr>
        <w:tab/>
      </w:r>
      <w:r w:rsidR="004C7578" w:rsidRPr="00E3419C">
        <w:rPr>
          <w:lang w:val="es-ES_tradnl"/>
        </w:rPr>
        <w:t>Sobre la base del proceso de supervisión de los planes nacionales de desarrollo sostenible y los exámenes voluntarios a escala nacional relativos a los ODS que llevan a cabo los Estados Miembros, se despliegan esfuerzos ininterrumpidos para fomentar la función de las TIC en la planificación estratégica de los países.</w:t>
      </w:r>
    </w:p>
    <w:p w14:paraId="5348B487" w14:textId="40A417DD" w:rsidR="004C7578" w:rsidRPr="00E3419C" w:rsidRDefault="00204513" w:rsidP="00A5709F">
      <w:pPr>
        <w:pStyle w:val="enumlev1"/>
        <w:keepLines/>
        <w:rPr>
          <w:lang w:val="es-ES_tradnl"/>
        </w:rPr>
      </w:pPr>
      <w:r w:rsidRPr="00E3419C">
        <w:rPr>
          <w:lang w:val="es-ES_tradnl"/>
        </w:rPr>
        <w:lastRenderedPageBreak/>
        <w:tab/>
      </w:r>
      <w:r w:rsidR="004C7578" w:rsidRPr="00E3419C">
        <w:rPr>
          <w:lang w:val="es-ES_tradnl"/>
        </w:rPr>
        <w:t>Las oficinas regionales de la UIT siguen contribuyendo a la serie de Foros Regionales de las Naciones Unidas para el Desarrollo Sostenible que se celebran anualmente en seis regiones. En 2019 se organizaron varias reuniones temáticas, intervenciones específicas y exposiciones con el fin de forjar asociaciones de varias partes interesadas y avanzar en la aplicación de las TIC en proyectos e iniciativas sobre desarrollo sostenible, y armonizar las líneas de acción de la CMSI y los ODS. También se ha previsto para 2020 la celebración de un conjunto de foros regionales de las Naciones Unidas sobre desarrollo sostenible, en particular:</w:t>
      </w:r>
    </w:p>
    <w:p w14:paraId="3DED5336" w14:textId="29D107CD" w:rsidR="004C7578" w:rsidRPr="00E3419C" w:rsidRDefault="00204513" w:rsidP="00772AEF">
      <w:pPr>
        <w:pStyle w:val="enumlev2"/>
        <w:rPr>
          <w:lang w:val="es-ES_tradnl"/>
        </w:rPr>
      </w:pPr>
      <w:r w:rsidRPr="00E3419C">
        <w:rPr>
          <w:lang w:val="es-ES_tradnl"/>
        </w:rPr>
        <w:t>–</w:t>
      </w:r>
      <w:r w:rsidRPr="00E3419C">
        <w:rPr>
          <w:lang w:val="es-ES_tradnl"/>
        </w:rPr>
        <w:tab/>
      </w:r>
      <w:hyperlink r:id="rId17" w:history="1">
        <w:r w:rsidRPr="00E3419C">
          <w:rPr>
            <w:rStyle w:val="Hyperlink"/>
            <w:lang w:val="es-ES_tradnl"/>
          </w:rPr>
          <w:t>CEA: 6ª reunión del Foro Regional de África sobre desarrollo sostenible</w:t>
        </w:r>
      </w:hyperlink>
      <w:r w:rsidR="00772AEF" w:rsidRPr="00E3419C">
        <w:rPr>
          <w:lang w:val="es-ES_tradnl"/>
        </w:rPr>
        <w:br/>
      </w:r>
      <w:r w:rsidR="004C7578" w:rsidRPr="00E3419C">
        <w:rPr>
          <w:lang w:val="es-ES_tradnl"/>
        </w:rPr>
        <w:t>24-27 de febrero de 2020, Victoria Falls Town, Zimbabwe.</w:t>
      </w:r>
    </w:p>
    <w:p w14:paraId="549E14EF" w14:textId="7842F052" w:rsidR="004C7578" w:rsidRPr="00E3419C" w:rsidRDefault="00772AEF" w:rsidP="00772AEF">
      <w:pPr>
        <w:pStyle w:val="enumlev2"/>
        <w:rPr>
          <w:lang w:val="es-ES_tradnl"/>
        </w:rPr>
      </w:pPr>
      <w:r w:rsidRPr="00E3419C">
        <w:rPr>
          <w:lang w:val="es-ES_tradnl"/>
        </w:rPr>
        <w:t>–</w:t>
      </w:r>
      <w:r w:rsidRPr="00E3419C">
        <w:rPr>
          <w:lang w:val="es-ES_tradnl"/>
        </w:rPr>
        <w:tab/>
      </w:r>
      <w:hyperlink r:id="rId18" w:history="1">
        <w:r w:rsidRPr="00E3419C">
          <w:rPr>
            <w:rStyle w:val="Hyperlink"/>
            <w:lang w:val="es-ES_tradnl"/>
          </w:rPr>
          <w:t>CEPE: 3ª reunión del Foro Regional sobre desarrollo sostenible para la región de la CEPE</w:t>
        </w:r>
      </w:hyperlink>
      <w:r w:rsidRPr="00E3419C">
        <w:rPr>
          <w:lang w:val="es-ES_tradnl"/>
        </w:rPr>
        <w:br/>
      </w:r>
      <w:r w:rsidR="004C7578" w:rsidRPr="00E3419C">
        <w:rPr>
          <w:lang w:val="es-ES_tradnl"/>
        </w:rPr>
        <w:t>19</w:t>
      </w:r>
      <w:r w:rsidR="002C4555" w:rsidRPr="00E3419C">
        <w:rPr>
          <w:lang w:val="es-ES_tradnl"/>
        </w:rPr>
        <w:t>-</w:t>
      </w:r>
      <w:r w:rsidR="004C7578" w:rsidRPr="00E3419C">
        <w:rPr>
          <w:lang w:val="es-ES_tradnl"/>
        </w:rPr>
        <w:t>20 de marzo de 2020, Ginebra (Suiza).</w:t>
      </w:r>
    </w:p>
    <w:p w14:paraId="4761B0E0" w14:textId="567898DF" w:rsidR="004C7578" w:rsidRPr="00E3419C" w:rsidRDefault="00772AEF" w:rsidP="00772AEF">
      <w:pPr>
        <w:pStyle w:val="enumlev2"/>
        <w:rPr>
          <w:lang w:val="es-ES_tradnl"/>
        </w:rPr>
      </w:pPr>
      <w:r w:rsidRPr="00E3419C">
        <w:rPr>
          <w:lang w:val="es-ES_tradnl"/>
        </w:rPr>
        <w:t>–</w:t>
      </w:r>
      <w:r w:rsidRPr="00E3419C">
        <w:rPr>
          <w:lang w:val="es-ES_tradnl"/>
        </w:rPr>
        <w:tab/>
      </w:r>
      <w:hyperlink r:id="rId19" w:history="1">
        <w:r w:rsidRPr="00E3419C">
          <w:rPr>
            <w:rStyle w:val="Hyperlink"/>
            <w:lang w:val="es-ES_tradnl"/>
          </w:rPr>
          <w:t>CESPAP: 7ª reunión del Foro Asia-Pacífico sobre desarrollo sostenible</w:t>
        </w:r>
      </w:hyperlink>
      <w:r w:rsidRPr="00E3419C">
        <w:rPr>
          <w:lang w:val="es-ES_tradnl"/>
        </w:rPr>
        <w:br/>
      </w:r>
      <w:r w:rsidR="004C7578" w:rsidRPr="00E3419C">
        <w:rPr>
          <w:lang w:val="es-ES_tradnl"/>
        </w:rPr>
        <w:t>25</w:t>
      </w:r>
      <w:r w:rsidR="002C4555" w:rsidRPr="00E3419C">
        <w:rPr>
          <w:lang w:val="es-ES_tradnl"/>
        </w:rPr>
        <w:t>-</w:t>
      </w:r>
      <w:r w:rsidR="004C7578" w:rsidRPr="00E3419C">
        <w:rPr>
          <w:lang w:val="es-ES_tradnl"/>
        </w:rPr>
        <w:t>27 de marzo de 2020, Bangkok (Tailandia).</w:t>
      </w:r>
    </w:p>
    <w:p w14:paraId="09CB645C" w14:textId="3100C614" w:rsidR="004C7578" w:rsidRPr="00E3419C" w:rsidRDefault="00772AEF" w:rsidP="00B01794">
      <w:pPr>
        <w:pStyle w:val="enumlev2"/>
        <w:rPr>
          <w:lang w:val="es-ES_tradnl"/>
        </w:rPr>
      </w:pPr>
      <w:r w:rsidRPr="00E3419C">
        <w:rPr>
          <w:lang w:val="es-ES_tradnl"/>
        </w:rPr>
        <w:t>–</w:t>
      </w:r>
      <w:r w:rsidRPr="00E3419C">
        <w:rPr>
          <w:lang w:val="es-ES_tradnl"/>
        </w:rPr>
        <w:tab/>
      </w:r>
      <w:hyperlink r:id="rId20" w:history="1">
        <w:r w:rsidR="00B01794" w:rsidRPr="00E3419C">
          <w:rPr>
            <w:rStyle w:val="Hyperlink"/>
            <w:lang w:val="es-ES_tradnl"/>
          </w:rPr>
          <w:t>CEPAL: 4ª reunión del Foro de los países de América Latina y el Caribe sobre desarrollo sostenible</w:t>
        </w:r>
      </w:hyperlink>
      <w:r w:rsidR="00B01794" w:rsidRPr="00E3419C">
        <w:rPr>
          <w:lang w:val="es-ES_tradnl"/>
        </w:rPr>
        <w:br/>
      </w:r>
      <w:r w:rsidR="004C7578" w:rsidRPr="00E3419C">
        <w:rPr>
          <w:lang w:val="es-ES_tradnl"/>
        </w:rPr>
        <w:t>28</w:t>
      </w:r>
      <w:r w:rsidR="002C4555" w:rsidRPr="00E3419C">
        <w:rPr>
          <w:lang w:val="es-ES_tradnl"/>
        </w:rPr>
        <w:t>-</w:t>
      </w:r>
      <w:r w:rsidR="004C7578" w:rsidRPr="00E3419C">
        <w:rPr>
          <w:lang w:val="es-ES_tradnl"/>
        </w:rPr>
        <w:t xml:space="preserve"> 31 de marzo de 2020, La Habana (Cuba).</w:t>
      </w:r>
    </w:p>
    <w:p w14:paraId="576E3CB8" w14:textId="16A4334F" w:rsidR="004C7578" w:rsidRPr="00E3419C" w:rsidRDefault="00B01794" w:rsidP="00B01794">
      <w:pPr>
        <w:pStyle w:val="enumlev2"/>
        <w:rPr>
          <w:rFonts w:cstheme="minorHAnsi"/>
          <w:szCs w:val="24"/>
          <w:lang w:val="es-ES_tradnl"/>
        </w:rPr>
      </w:pPr>
      <w:r w:rsidRPr="00E3419C">
        <w:rPr>
          <w:lang w:val="es-ES_tradnl"/>
        </w:rPr>
        <w:t>–</w:t>
      </w:r>
      <w:r w:rsidRPr="00E3419C">
        <w:rPr>
          <w:lang w:val="es-ES_tradnl"/>
        </w:rPr>
        <w:tab/>
      </w:r>
      <w:hyperlink r:id="rId21" w:history="1">
        <w:r w:rsidRPr="00E3419C">
          <w:rPr>
            <w:rStyle w:val="Hyperlink"/>
            <w:lang w:val="es-ES_tradnl"/>
          </w:rPr>
          <w:t>CESPAO: 7ª reunión del Foro Árabe para el Desarrollo Sostenible de 2020</w:t>
        </w:r>
      </w:hyperlink>
      <w:r w:rsidRPr="00E3419C">
        <w:rPr>
          <w:lang w:val="es-ES_tradnl"/>
        </w:rPr>
        <w:br/>
      </w:r>
      <w:r w:rsidR="004C7578" w:rsidRPr="00E3419C">
        <w:rPr>
          <w:lang w:val="es-ES_tradnl"/>
        </w:rPr>
        <w:t>7-9 de abril de 2020, Beirut, Líbano</w:t>
      </w:r>
      <w:r w:rsidR="004C7578" w:rsidRPr="00E3419C">
        <w:rPr>
          <w:rFonts w:cstheme="minorHAnsi"/>
          <w:szCs w:val="24"/>
          <w:lang w:val="es-ES_tradnl"/>
        </w:rPr>
        <w:t>.</w:t>
      </w:r>
    </w:p>
    <w:p w14:paraId="3B1C346A" w14:textId="2141EC93" w:rsidR="004C7578" w:rsidRPr="00E3419C" w:rsidRDefault="00B01794" w:rsidP="00B01794">
      <w:pPr>
        <w:pStyle w:val="enumlev1"/>
        <w:rPr>
          <w:lang w:val="es-ES_tradnl"/>
        </w:rPr>
      </w:pPr>
      <w:r w:rsidRPr="00E3419C">
        <w:rPr>
          <w:lang w:val="es-ES_tradnl"/>
        </w:rPr>
        <w:tab/>
      </w:r>
      <w:r w:rsidR="004C7578" w:rsidRPr="00E3419C">
        <w:rPr>
          <w:lang w:val="es-ES_tradnl"/>
        </w:rPr>
        <w:t>Además de las contribuciones periódicas de las oficinas regionales de la UIT a esas reuniones, se han programado intervenciones especiales con el fin de subrayar la importancia de armonizar los procesos de la CMSI y los ODS, incluida su aplicación, como se pide en la Resolución 70/125 de la Asamblea General de las Naciones Unidas.</w:t>
      </w:r>
    </w:p>
    <w:p w14:paraId="44138A9E" w14:textId="3B5E3D42" w:rsidR="004C7578" w:rsidRPr="00E3419C" w:rsidRDefault="00B01794" w:rsidP="00B01794">
      <w:pPr>
        <w:pStyle w:val="enumlev1"/>
        <w:rPr>
          <w:lang w:val="es-ES_tradnl"/>
        </w:rPr>
      </w:pPr>
      <w:r w:rsidRPr="00E3419C">
        <w:rPr>
          <w:lang w:val="es-ES_tradnl"/>
        </w:rPr>
        <w:tab/>
      </w:r>
      <w:r w:rsidR="004C7578" w:rsidRPr="00E3419C">
        <w:rPr>
          <w:lang w:val="es-ES_tradnl"/>
        </w:rPr>
        <w:t>La Organización Internacional del Trabajo (OIT) y la Unión Internacional de Telecomunicaciones (UIT), con el apoyo de la Unión Africana (UA), colaboraron en el marco de la Iniciativa mundial sobre empleo decente para los jóvenes en el desarrollo del enfoque sobre creación de empleo juvenil en la economía digital "Fomento del empleo decente y mejora de las competencias de los jóvenes en la economía digital de África". Se celebrará una sesión de información y aumento de la concienciación como actividad complementaria de la sexta reunión del Foro Regional de África sobre desarrollo sostenible, que tendrá lugar del 24 al 27 de febrero de 2020 en Victoria Falls Town (Zimbabwe).</w:t>
      </w:r>
    </w:p>
    <w:p w14:paraId="3CB9AD82" w14:textId="534F4634" w:rsidR="004C7578" w:rsidRPr="00E3419C" w:rsidRDefault="00B01794" w:rsidP="00B01794">
      <w:pPr>
        <w:pStyle w:val="enumlev1"/>
        <w:rPr>
          <w:lang w:val="es-ES_tradnl"/>
        </w:rPr>
      </w:pPr>
      <w:r w:rsidRPr="00E3419C">
        <w:rPr>
          <w:lang w:val="es-ES_tradnl"/>
        </w:rPr>
        <w:tab/>
      </w:r>
      <w:r w:rsidR="004C7578" w:rsidRPr="00E3419C">
        <w:rPr>
          <w:lang w:val="es-ES_tradnl"/>
        </w:rPr>
        <w:t xml:space="preserve">En el marco de la colaboración con CESPAO, se organizó el </w:t>
      </w:r>
      <w:hyperlink r:id="rId22" w:history="1">
        <w:r w:rsidRPr="00E3419C">
          <w:rPr>
            <w:rStyle w:val="Hyperlink"/>
            <w:lang w:val="es-ES_tradnl"/>
          </w:rPr>
          <w:t xml:space="preserve">Foro </w:t>
        </w:r>
        <w:r w:rsidR="009B23F4" w:rsidRPr="00E3419C">
          <w:rPr>
            <w:rStyle w:val="Hyperlink"/>
            <w:lang w:val="es-ES_tradnl"/>
          </w:rPr>
          <w:t>Á</w:t>
        </w:r>
        <w:r w:rsidRPr="00E3419C">
          <w:rPr>
            <w:rStyle w:val="Hyperlink"/>
            <w:lang w:val="es-ES_tradnl"/>
          </w:rPr>
          <w:t>rabe de Alto Nivel sobre la Cumbre Mundial sobre la Sociedad de la Información (CMSI) y la Agenda 2030 sobre Desarrollo Sostenible</w:t>
        </w:r>
      </w:hyperlink>
      <w:r w:rsidR="004C7578" w:rsidRPr="00E3419C">
        <w:rPr>
          <w:lang w:val="es-ES_tradnl"/>
        </w:rPr>
        <w:t>. El evento tuvo por objeto arrojar luz sobre la necesidad de fomentar la colaboración entre todos los interesados para facilitar el cumplimiento de la Agenda 2030 para el Desarrollo Sostenible y los ODS en la región árabe.</w:t>
      </w:r>
    </w:p>
    <w:p w14:paraId="3A423376" w14:textId="45558134" w:rsidR="004C7578" w:rsidRPr="00E3419C" w:rsidRDefault="00B01794" w:rsidP="00E74E83">
      <w:pPr>
        <w:pStyle w:val="enumlev1"/>
        <w:keepNext/>
        <w:rPr>
          <w:lang w:val="es-ES_tradnl"/>
        </w:rPr>
      </w:pPr>
      <w:r w:rsidRPr="00E3419C">
        <w:rPr>
          <w:lang w:val="es-ES_tradnl"/>
        </w:rPr>
        <w:lastRenderedPageBreak/>
        <w:tab/>
      </w:r>
      <w:r w:rsidR="004C7578" w:rsidRPr="00E3419C">
        <w:rPr>
          <w:lang w:val="es-ES_tradnl"/>
        </w:rPr>
        <w:t>La Oficina Regional de la UIT para los Estados Árabes organizó dos reuniones en el marco del evento del Foro de Alto Nivel:</w:t>
      </w:r>
    </w:p>
    <w:p w14:paraId="18BD0A8A" w14:textId="0061493E" w:rsidR="004C7578" w:rsidRPr="00E3419C" w:rsidRDefault="00545DED" w:rsidP="00E74E83">
      <w:pPr>
        <w:pStyle w:val="enumlev2"/>
        <w:keepLines/>
        <w:rPr>
          <w:lang w:val="es-ES_tradnl"/>
        </w:rPr>
      </w:pPr>
      <w:r w:rsidRPr="00E3419C">
        <w:rPr>
          <w:lang w:val="es-ES_tradnl"/>
        </w:rPr>
        <w:t>–</w:t>
      </w:r>
      <w:r w:rsidRPr="00E3419C">
        <w:rPr>
          <w:lang w:val="es-ES_tradnl"/>
        </w:rPr>
        <w:tab/>
      </w:r>
      <w:r w:rsidR="004C7578" w:rsidRPr="00E3419C">
        <w:rPr>
          <w:lang w:val="es-ES_tradnl"/>
        </w:rPr>
        <w:t>Reunión sobre las Ciudades inteligentes y la Nueva Agenda Urbana: en la sesión se presentaron las Ciudades Inteligentes y Sostenibles como enfoque para aplicar la Nueva Agenda Urbana y se compartieron los trabajos de la UIT sobre dichas ciudades inteligentes, la IoT y los indicadores clave de rendimiento, con objeto de evaluar el grado de evolución de las ciudades a un modelo inteligente y sostenible. En la reunión se presentó el proyecto de Ciudades Inteligentes de Beirut, llevado a cabo por OGERO, así como la iniciativa regional de la UIT sobre IoT, las Ciudades Inteligentes y los macrodatos.</w:t>
      </w:r>
    </w:p>
    <w:p w14:paraId="274A0D5A" w14:textId="34607D81" w:rsidR="004C7578" w:rsidRPr="00E3419C" w:rsidRDefault="00545DED" w:rsidP="00545DED">
      <w:pPr>
        <w:pStyle w:val="enumlev2"/>
        <w:rPr>
          <w:rFonts w:cstheme="minorHAnsi"/>
          <w:szCs w:val="24"/>
          <w:lang w:val="es-ES_tradnl"/>
        </w:rPr>
      </w:pPr>
      <w:r w:rsidRPr="00E3419C">
        <w:rPr>
          <w:lang w:val="es-ES_tradnl"/>
        </w:rPr>
        <w:t>–</w:t>
      </w:r>
      <w:r w:rsidRPr="00E3419C">
        <w:rPr>
          <w:lang w:val="es-ES_tradnl"/>
        </w:rPr>
        <w:tab/>
      </w:r>
      <w:r w:rsidR="004C7578" w:rsidRPr="00E3419C">
        <w:rPr>
          <w:rFonts w:cstheme="minorHAnsi"/>
          <w:szCs w:val="24"/>
          <w:lang w:val="es-ES_tradnl"/>
        </w:rPr>
        <w:t>Reunión sobre ciberseguridad en la región árabe: se informó de la Agenda sobre Ciberseguridad Global de la UIT (GCA) y el Programa de Ciberseguridad de la BDT y se fomentó la confianza y la seguridad en la utilización de las telecomunicaciones/tecnologías de la información y la comunicación (TIC), la protección de las infraestructuras de información fundamentales y se debatieron aspectos y retos fundamentales de la ciberseguridad en la Región Árabe. Por otro lado, se promovió la iniciativa regional de la UIT sobre confianza y seguridad en la utilización de las telecomunicaciones/tecnologías de la información y la comunicación</w:t>
      </w:r>
      <w:r w:rsidRPr="00E3419C">
        <w:rPr>
          <w:rFonts w:cstheme="minorHAnsi"/>
          <w:szCs w:val="24"/>
          <w:lang w:val="es-ES_tradnl"/>
        </w:rPr>
        <w:t> </w:t>
      </w:r>
      <w:r w:rsidR="004C7578" w:rsidRPr="00E3419C">
        <w:rPr>
          <w:rFonts w:cstheme="minorHAnsi"/>
          <w:szCs w:val="24"/>
          <w:lang w:val="es-ES_tradnl"/>
        </w:rPr>
        <w:t>(TIC).</w:t>
      </w:r>
    </w:p>
    <w:p w14:paraId="5EEEF888" w14:textId="509EF823" w:rsidR="004C7578" w:rsidRPr="00E3419C" w:rsidRDefault="00545DED" w:rsidP="00545DED">
      <w:pPr>
        <w:pStyle w:val="enumlev1"/>
        <w:rPr>
          <w:lang w:val="es-ES_tradnl"/>
        </w:rPr>
      </w:pPr>
      <w:r w:rsidRPr="00E3419C">
        <w:rPr>
          <w:lang w:val="es-ES_tradnl"/>
        </w:rPr>
        <w:tab/>
      </w:r>
      <w:r w:rsidR="004C7578" w:rsidRPr="00E3419C">
        <w:rPr>
          <w:lang w:val="es-ES_tradnl"/>
        </w:rPr>
        <w:t xml:space="preserve">En 2019 se organizaron cuatro foros de desarrollo regional (FDR) de la UIT (véase el </w:t>
      </w:r>
      <w:hyperlink r:id="rId23" w:history="1">
        <w:r w:rsidR="009B23F4" w:rsidRPr="00E3419C">
          <w:rPr>
            <w:rStyle w:val="Hyperlink"/>
            <w:lang w:val="es-ES_tradnl"/>
          </w:rPr>
          <w:t>sitio</w:t>
        </w:r>
        <w:r w:rsidR="00E74E83" w:rsidRPr="00E3419C">
          <w:rPr>
            <w:rStyle w:val="Hyperlink"/>
            <w:lang w:val="es-ES_tradnl"/>
          </w:rPr>
          <w:t> </w:t>
        </w:r>
        <w:r w:rsidR="009B23F4" w:rsidRPr="00E3419C">
          <w:rPr>
            <w:rStyle w:val="Hyperlink"/>
            <w:lang w:val="es-ES_tradnl"/>
          </w:rPr>
          <w:t>web</w:t>
        </w:r>
      </w:hyperlink>
      <w:r w:rsidR="009B23F4" w:rsidRPr="00E3419C">
        <w:rPr>
          <w:lang w:val="es-ES_tradnl"/>
        </w:rPr>
        <w:t xml:space="preserve"> </w:t>
      </w:r>
      <w:r w:rsidR="004C7578" w:rsidRPr="00E3419C">
        <w:rPr>
          <w:lang w:val="es-ES_tradnl"/>
        </w:rPr>
        <w:t>a tal efecto), a saber:</w:t>
      </w:r>
    </w:p>
    <w:p w14:paraId="10C15426" w14:textId="73632A58" w:rsidR="004C7578" w:rsidRPr="00E3419C" w:rsidRDefault="00545DED" w:rsidP="00545DED">
      <w:pPr>
        <w:pStyle w:val="enumlev2"/>
        <w:rPr>
          <w:lang w:val="es-ES_tradnl"/>
        </w:rPr>
      </w:pPr>
      <w:r w:rsidRPr="00E3419C">
        <w:rPr>
          <w:lang w:val="es-ES_tradnl"/>
        </w:rPr>
        <w:t>•</w:t>
      </w:r>
      <w:r w:rsidRPr="00E3419C">
        <w:rPr>
          <w:lang w:val="es-ES_tradnl"/>
        </w:rPr>
        <w:tab/>
      </w:r>
      <w:r w:rsidR="004C7578" w:rsidRPr="00E3419C">
        <w:rPr>
          <w:lang w:val="es-ES_tradnl"/>
        </w:rPr>
        <w:t>El Foro de Desarrollo Regional de la UIT para los Estados Árabes, que tuvo lugar el</w:t>
      </w:r>
      <w:r w:rsidR="009B23F4" w:rsidRPr="00E3419C">
        <w:rPr>
          <w:lang w:val="es-ES_tradnl"/>
        </w:rPr>
        <w:t> </w:t>
      </w:r>
      <w:r w:rsidR="004C7578" w:rsidRPr="00E3419C">
        <w:rPr>
          <w:lang w:val="es-ES_tradnl"/>
        </w:rPr>
        <w:t>19</w:t>
      </w:r>
      <w:r w:rsidR="009B23F4" w:rsidRPr="00E3419C">
        <w:rPr>
          <w:lang w:val="es-ES_tradnl"/>
        </w:rPr>
        <w:t> </w:t>
      </w:r>
      <w:r w:rsidR="004C7578" w:rsidRPr="00E3419C">
        <w:rPr>
          <w:lang w:val="es-ES_tradnl"/>
        </w:rPr>
        <w:t>de marzo de 2019 en Beirut (Líbano), en el marco del Foro Árabe de Alto Nivel sobre la</w:t>
      </w:r>
      <w:r w:rsidRPr="00E3419C">
        <w:rPr>
          <w:lang w:val="es-ES_tradnl"/>
        </w:rPr>
        <w:t> </w:t>
      </w:r>
      <w:r w:rsidR="004C7578" w:rsidRPr="00E3419C">
        <w:rPr>
          <w:lang w:val="es-ES_tradnl"/>
        </w:rPr>
        <w:t>CMSI y los ODS, organizado por la CESPAO.</w:t>
      </w:r>
    </w:p>
    <w:p w14:paraId="63C5E801" w14:textId="6F1C617A" w:rsidR="004C7578" w:rsidRPr="00E3419C" w:rsidRDefault="00545DED" w:rsidP="00545DED">
      <w:pPr>
        <w:pStyle w:val="enumlev2"/>
        <w:rPr>
          <w:rFonts w:cstheme="minorHAnsi"/>
          <w:szCs w:val="24"/>
          <w:lang w:val="es-ES_tradnl"/>
        </w:rPr>
      </w:pPr>
      <w:r w:rsidRPr="00E3419C">
        <w:rPr>
          <w:lang w:val="es-ES_tradnl"/>
        </w:rPr>
        <w:t>•</w:t>
      </w:r>
      <w:r w:rsidRPr="00E3419C">
        <w:rPr>
          <w:lang w:val="es-ES_tradnl"/>
        </w:rPr>
        <w:tab/>
      </w:r>
      <w:r w:rsidR="004C7578" w:rsidRPr="00E3419C">
        <w:rPr>
          <w:rFonts w:cstheme="minorHAnsi"/>
          <w:szCs w:val="24"/>
          <w:lang w:val="es-ES_tradnl"/>
        </w:rPr>
        <w:t>El Foro de Desarrollo Regional de la UIT para las Américas, que tuvo lugar el</w:t>
      </w:r>
      <w:r w:rsidR="009B23F4" w:rsidRPr="00E3419C">
        <w:rPr>
          <w:rFonts w:cstheme="minorHAnsi"/>
          <w:szCs w:val="24"/>
          <w:lang w:val="es-ES_tradnl"/>
        </w:rPr>
        <w:t> </w:t>
      </w:r>
      <w:r w:rsidR="004C7578" w:rsidRPr="00E3419C">
        <w:rPr>
          <w:rFonts w:cstheme="minorHAnsi"/>
          <w:szCs w:val="24"/>
          <w:lang w:val="es-ES_tradnl"/>
        </w:rPr>
        <w:t>30</w:t>
      </w:r>
      <w:r w:rsidR="009B23F4" w:rsidRPr="00E3419C">
        <w:rPr>
          <w:rFonts w:cstheme="minorHAnsi"/>
          <w:szCs w:val="24"/>
          <w:lang w:val="es-ES_tradnl"/>
        </w:rPr>
        <w:t> </w:t>
      </w:r>
      <w:r w:rsidR="004C7578" w:rsidRPr="00E3419C">
        <w:rPr>
          <w:rFonts w:cstheme="minorHAnsi"/>
          <w:szCs w:val="24"/>
          <w:lang w:val="es-ES_tradnl"/>
        </w:rPr>
        <w:t>de</w:t>
      </w:r>
      <w:r w:rsidR="009B23F4" w:rsidRPr="00E3419C">
        <w:rPr>
          <w:rFonts w:cstheme="minorHAnsi"/>
          <w:szCs w:val="24"/>
          <w:lang w:val="es-ES_tradnl"/>
        </w:rPr>
        <w:t> </w:t>
      </w:r>
      <w:r w:rsidR="004C7578" w:rsidRPr="00E3419C">
        <w:rPr>
          <w:rFonts w:cstheme="minorHAnsi"/>
          <w:szCs w:val="24"/>
          <w:lang w:val="es-ES_tradnl"/>
        </w:rPr>
        <w:t>septiembre de 2019 en Asunción (Paraguay).</w:t>
      </w:r>
    </w:p>
    <w:p w14:paraId="3A626307" w14:textId="47612CDB" w:rsidR="004C7578" w:rsidRPr="00E3419C" w:rsidRDefault="00545DED" w:rsidP="00545DED">
      <w:pPr>
        <w:pStyle w:val="enumlev2"/>
        <w:rPr>
          <w:rFonts w:cstheme="minorHAnsi"/>
          <w:szCs w:val="24"/>
          <w:lang w:val="es-ES_tradnl"/>
        </w:rPr>
      </w:pPr>
      <w:r w:rsidRPr="00E3419C">
        <w:rPr>
          <w:rFonts w:cstheme="minorHAnsi"/>
          <w:szCs w:val="24"/>
          <w:lang w:val="es-ES_tradnl"/>
        </w:rPr>
        <w:t>•</w:t>
      </w:r>
      <w:r w:rsidRPr="00E3419C">
        <w:rPr>
          <w:rFonts w:cstheme="minorHAnsi"/>
          <w:szCs w:val="24"/>
          <w:lang w:val="es-ES_tradnl"/>
        </w:rPr>
        <w:tab/>
      </w:r>
      <w:r w:rsidR="004C7578" w:rsidRPr="00E3419C">
        <w:rPr>
          <w:rFonts w:cstheme="minorHAnsi"/>
          <w:szCs w:val="24"/>
          <w:lang w:val="es-ES_tradnl"/>
        </w:rPr>
        <w:t>El Foro de Desarrollo Regional de la UIT para la Comunidad de Estados Independientes (CEI), que tuvo lugar del 2 al 3 de octubre de 2019 en Bishkek (República de Kirguistán).</w:t>
      </w:r>
    </w:p>
    <w:p w14:paraId="6B7DD643" w14:textId="281CEEC4" w:rsidR="004C7578" w:rsidRPr="00E3419C" w:rsidRDefault="00545DED" w:rsidP="00545DED">
      <w:pPr>
        <w:pStyle w:val="enumlev2"/>
        <w:rPr>
          <w:rFonts w:cstheme="minorHAnsi"/>
          <w:bCs/>
          <w:szCs w:val="24"/>
          <w:lang w:val="es-ES_tradnl"/>
        </w:rPr>
      </w:pPr>
      <w:r w:rsidRPr="00E3419C">
        <w:rPr>
          <w:rFonts w:cstheme="minorHAnsi"/>
          <w:szCs w:val="24"/>
          <w:lang w:val="es-ES_tradnl"/>
        </w:rPr>
        <w:t>•</w:t>
      </w:r>
      <w:r w:rsidRPr="00E3419C">
        <w:rPr>
          <w:rFonts w:cstheme="minorHAnsi"/>
          <w:szCs w:val="24"/>
          <w:lang w:val="es-ES_tradnl"/>
        </w:rPr>
        <w:tab/>
      </w:r>
      <w:r w:rsidR="004C7578" w:rsidRPr="00E3419C">
        <w:rPr>
          <w:rFonts w:cstheme="minorHAnsi"/>
          <w:szCs w:val="24"/>
          <w:lang w:val="es-ES_tradnl"/>
        </w:rPr>
        <w:t>El Foro de Desarrollo Regional de la UIT para Europa, que tuvo lugar el 6 de mayo de</w:t>
      </w:r>
      <w:r w:rsidRPr="00E3419C">
        <w:rPr>
          <w:rFonts w:cstheme="minorHAnsi"/>
          <w:szCs w:val="24"/>
          <w:lang w:val="es-ES_tradnl"/>
        </w:rPr>
        <w:t> </w:t>
      </w:r>
      <w:r w:rsidR="004C7578" w:rsidRPr="00E3419C">
        <w:rPr>
          <w:rFonts w:cstheme="minorHAnsi"/>
          <w:szCs w:val="24"/>
          <w:lang w:val="es-ES_tradnl"/>
        </w:rPr>
        <w:t>2019 en Roma (Italia).</w:t>
      </w:r>
    </w:p>
    <w:p w14:paraId="52156D48" w14:textId="18717800" w:rsidR="004C7578" w:rsidRPr="00E3419C" w:rsidRDefault="00545DED" w:rsidP="00545DED">
      <w:pPr>
        <w:pStyle w:val="enumlev1"/>
        <w:rPr>
          <w:lang w:val="es-ES_tradnl"/>
        </w:rPr>
      </w:pPr>
      <w:r w:rsidRPr="00E3419C">
        <w:rPr>
          <w:lang w:val="es-ES_tradnl"/>
        </w:rPr>
        <w:tab/>
      </w:r>
      <w:r w:rsidR="004C7578" w:rsidRPr="00E3419C">
        <w:rPr>
          <w:lang w:val="es-ES_tradnl"/>
        </w:rPr>
        <w:t xml:space="preserve">Los foros constituyeron una plataforma abierta </w:t>
      </w:r>
      <w:r w:rsidR="004F7EDF" w:rsidRPr="00E3419C">
        <w:rPr>
          <w:lang w:val="es-ES_tradnl"/>
        </w:rPr>
        <w:t xml:space="preserve">para </w:t>
      </w:r>
      <w:r w:rsidR="004C7578" w:rsidRPr="00E3419C">
        <w:rPr>
          <w:lang w:val="es-ES_tradnl"/>
        </w:rPr>
        <w:t>establecer asociaciones y coordinar la aplicación de las iniciativas regionales aprobadas por la CMDT-17 y tuvieron por objeto contribuir a la aplicación de las líneas de acción de la CMSI y al logro de los ODS. En consonancia con las recomendaciones del GADT-19, en el orden del día de los foros regionales figuraron cuestiones relativas a la aplicación de la CMSI y los ODS. Los foros siguen facilitando la participación de interesados a escala regional, el establecimiento de asociaciones y la colaboración de organizaciones a escalas regional e internacional, así como de organismos de las Naciones Unidas. Se ha previsto la celebración de una nueva serie de foros regionales de desarrollo en 2020.</w:t>
      </w:r>
    </w:p>
    <w:p w14:paraId="6198F46B" w14:textId="77777777" w:rsidR="00E74E83" w:rsidRPr="00E3419C" w:rsidRDefault="00E74E83">
      <w:pPr>
        <w:tabs>
          <w:tab w:val="clear" w:pos="794"/>
          <w:tab w:val="clear" w:pos="1191"/>
          <w:tab w:val="clear" w:pos="1588"/>
          <w:tab w:val="clear" w:pos="1985"/>
        </w:tabs>
        <w:overflowPunct/>
        <w:autoSpaceDE/>
        <w:autoSpaceDN/>
        <w:adjustRightInd/>
        <w:spacing w:before="0" w:after="200" w:line="276" w:lineRule="auto"/>
        <w:textAlignment w:val="auto"/>
        <w:rPr>
          <w:b/>
          <w:lang w:val="es-ES_tradnl"/>
        </w:rPr>
      </w:pPr>
      <w:r w:rsidRPr="00E3419C">
        <w:rPr>
          <w:lang w:val="es-ES_tradnl"/>
        </w:rPr>
        <w:br w:type="page"/>
      </w:r>
    </w:p>
    <w:p w14:paraId="1B0E3B20" w14:textId="25E1C6EB" w:rsidR="004C7578" w:rsidRPr="00E3419C" w:rsidRDefault="004C7578" w:rsidP="0047170E">
      <w:pPr>
        <w:pStyle w:val="Headingb"/>
        <w:rPr>
          <w:lang w:val="es-ES_tradnl"/>
        </w:rPr>
      </w:pPr>
      <w:r w:rsidRPr="00E3419C">
        <w:rPr>
          <w:lang w:val="es-ES_tradnl"/>
        </w:rPr>
        <w:lastRenderedPageBreak/>
        <w:t>Conclusiones</w:t>
      </w:r>
    </w:p>
    <w:p w14:paraId="0BFEF78C" w14:textId="77777777" w:rsidR="004C7578" w:rsidRPr="00E3419C" w:rsidRDefault="004C7578" w:rsidP="00926ABA">
      <w:pPr>
        <w:rPr>
          <w:szCs w:val="24"/>
          <w:lang w:val="es-ES_tradnl"/>
        </w:rPr>
      </w:pPr>
      <w:r w:rsidRPr="00E3419C">
        <w:rPr>
          <w:lang w:val="es-ES_tradnl"/>
        </w:rPr>
        <w:t>4</w:t>
      </w:r>
      <w:r w:rsidRPr="00E3419C">
        <w:rPr>
          <w:lang w:val="es-ES_tradnl"/>
        </w:rPr>
        <w:tab/>
      </w:r>
      <w:r w:rsidRPr="00E3419C">
        <w:rPr>
          <w:szCs w:val="24"/>
          <w:lang w:val="es-ES_tradnl"/>
        </w:rPr>
        <w:t>Se invita a los miembros de la UIT a implicarse activamente en las actividades de la BDT que contribuyen a la implementación de los resultados de la CMSI y de la Agenda 2030 para el Desarrollo Sostenible, de acuerdo con lo dispuesto por la CMDT-17.</w:t>
      </w:r>
    </w:p>
    <w:p w14:paraId="4F6B5CD2" w14:textId="77777777" w:rsidR="004C7578" w:rsidRPr="00E3419C" w:rsidRDefault="004C7578" w:rsidP="00926ABA">
      <w:pPr>
        <w:rPr>
          <w:szCs w:val="24"/>
          <w:lang w:val="es-ES_tradnl"/>
        </w:rPr>
      </w:pPr>
      <w:bookmarkStart w:id="26" w:name="lt_pId108"/>
      <w:r w:rsidRPr="00E3419C">
        <w:rPr>
          <w:szCs w:val="24"/>
          <w:lang w:val="es-ES_tradnl"/>
        </w:rPr>
        <w:t>5</w:t>
      </w:r>
      <w:r w:rsidRPr="00E3419C">
        <w:rPr>
          <w:szCs w:val="24"/>
          <w:lang w:val="es-ES_tradnl"/>
        </w:rPr>
        <w:tab/>
        <w:t>Se invita a los miembros de la UIT a participar activamente en el proceso preparatorio relacionados con los Foros de la CMSI, los Inventarios de la CMSI y los Premios de la CMSI.</w:t>
      </w:r>
      <w:bookmarkEnd w:id="26"/>
    </w:p>
    <w:p w14:paraId="64D4CF82" w14:textId="77777777" w:rsidR="004C7578" w:rsidRPr="00E3419C" w:rsidRDefault="004C7578" w:rsidP="00926ABA">
      <w:pPr>
        <w:rPr>
          <w:szCs w:val="24"/>
          <w:lang w:val="es-ES_tradnl"/>
        </w:rPr>
      </w:pPr>
      <w:bookmarkStart w:id="27" w:name="lt_pId109"/>
      <w:r w:rsidRPr="00E3419C">
        <w:rPr>
          <w:szCs w:val="24"/>
          <w:lang w:val="es-ES_tradnl"/>
        </w:rPr>
        <w:t>6</w:t>
      </w:r>
      <w:r w:rsidRPr="00E3419C">
        <w:rPr>
          <w:szCs w:val="24"/>
          <w:lang w:val="es-ES_tradnl"/>
        </w:rPr>
        <w:tab/>
        <w:t>En el plano nacional, se alienta a los miembros de la UIT a integrar las TIC en los planes de desarrollo sostenible y los marcos de asistencia de las Naciones Unidas, y a estudiar la prestación de apoyo a los esfuerzos de la UIT para lograr resultados en relación con las TIC para los ODS a través del enfoque "Unidos en la acción" de las Naciones Unidas, teniendo presentes las competencias básicas y el mandato de la UIT.</w:t>
      </w:r>
      <w:bookmarkEnd w:id="27"/>
    </w:p>
    <w:p w14:paraId="5329ABA8" w14:textId="77777777" w:rsidR="004C7578" w:rsidRPr="00E3419C" w:rsidRDefault="004C7578" w:rsidP="00125EF6">
      <w:pPr>
        <w:rPr>
          <w:szCs w:val="24"/>
          <w:lang w:val="es-ES_tradnl"/>
        </w:rPr>
      </w:pPr>
      <w:bookmarkStart w:id="28" w:name="lt_pId110"/>
      <w:r w:rsidRPr="00E3419C">
        <w:rPr>
          <w:szCs w:val="24"/>
          <w:lang w:val="es-ES_tradnl"/>
        </w:rPr>
        <w:t>7</w:t>
      </w:r>
      <w:r w:rsidRPr="00E3419C">
        <w:rPr>
          <w:szCs w:val="24"/>
          <w:lang w:val="es-ES_tradnl"/>
        </w:rPr>
        <w:tab/>
        <w:t>Se invita a los Estados Miembros a fortalecer sus capacidades para recopilar estadísticas e indicadores para la medición de los ODS.</w:t>
      </w:r>
      <w:bookmarkEnd w:id="28"/>
    </w:p>
    <w:p w14:paraId="00AB286C" w14:textId="77777777" w:rsidR="004C7578" w:rsidRPr="00E3419C" w:rsidRDefault="004C7578" w:rsidP="00125EF6">
      <w:pPr>
        <w:rPr>
          <w:szCs w:val="24"/>
          <w:lang w:val="es-ES_tradnl"/>
        </w:rPr>
      </w:pPr>
      <w:bookmarkStart w:id="29" w:name="lt_pId111"/>
      <w:r w:rsidRPr="00E3419C">
        <w:rPr>
          <w:szCs w:val="24"/>
          <w:lang w:val="es-ES_tradnl"/>
        </w:rPr>
        <w:t>8</w:t>
      </w:r>
      <w:r w:rsidRPr="00E3419C">
        <w:rPr>
          <w:szCs w:val="24"/>
          <w:lang w:val="es-ES_tradnl"/>
        </w:rPr>
        <w:tab/>
        <w:t>En el plano regional se invita a todas las partes interesadas a implicarse en los preparativos de los foros regionales de desarrollo, los foros de las Naciones Unidas sobre Desarrollo Sostenible, los eventos regionales CMSI/ODS concretos y otros eventos, destacando la importancia de las TIC para los ODS y la armonización de los procesos de la CMSI y de los ODS, teniendo en cuenta los resultados de la CMDT-17.</w:t>
      </w:r>
      <w:bookmarkStart w:id="30" w:name="lt_pId112"/>
      <w:bookmarkEnd w:id="29"/>
    </w:p>
    <w:p w14:paraId="413A6949" w14:textId="77777777" w:rsidR="004C7578" w:rsidRPr="00E3419C" w:rsidRDefault="004C7578" w:rsidP="00125EF6">
      <w:pPr>
        <w:rPr>
          <w:szCs w:val="24"/>
          <w:lang w:val="es-ES_tradnl"/>
        </w:rPr>
      </w:pPr>
      <w:r w:rsidRPr="00E3419C">
        <w:rPr>
          <w:szCs w:val="24"/>
          <w:lang w:val="es-ES_tradnl"/>
        </w:rPr>
        <w:t>9</w:t>
      </w:r>
      <w:r w:rsidRPr="00E3419C">
        <w:rPr>
          <w:szCs w:val="24"/>
          <w:lang w:val="es-ES_tradnl"/>
        </w:rPr>
        <w:tab/>
        <w:t>Se invita a los miembros de la UIT a participar activamente en las actividades de la BDT con el fin de constituir alianzas y contribuir a la aplicación de los resultados de la CMSI y al logro de los ODS, incluyendo la implementación de las iniciativas regionales aprobadas por la CMDT-17; esto incluye facilitar la implicación de las partes interesadas de otros sectores distintos del de las TIC/telecomunicaciones.</w:t>
      </w:r>
      <w:bookmarkEnd w:id="30"/>
    </w:p>
    <w:p w14:paraId="78E5FC3F" w14:textId="77777777" w:rsidR="004C7578" w:rsidRPr="00E3419C" w:rsidRDefault="004C7578" w:rsidP="00125EF6">
      <w:pPr>
        <w:rPr>
          <w:szCs w:val="24"/>
          <w:lang w:val="es-ES_tradnl"/>
        </w:rPr>
      </w:pPr>
      <w:bookmarkStart w:id="31" w:name="lt_pId114"/>
      <w:r w:rsidRPr="00E3419C">
        <w:rPr>
          <w:szCs w:val="24"/>
          <w:lang w:val="es-ES_tradnl"/>
        </w:rPr>
        <w:t>10</w:t>
      </w:r>
      <w:r w:rsidRPr="00E3419C">
        <w:rPr>
          <w:szCs w:val="24"/>
          <w:lang w:val="es-ES_tradnl"/>
        </w:rPr>
        <w:tab/>
        <w:t>Se alienta a los miembros de la UIT a aprovechar la asistencia prestada a los países en el campo de la transformación digital que fomenta el crecimiento sostenible de la economía digital, así como los avances en la implementación de las líneas de acción de la CMSI y el logro de los ODS.</w:t>
      </w:r>
      <w:bookmarkEnd w:id="31"/>
    </w:p>
    <w:p w14:paraId="2A0AE351" w14:textId="77777777" w:rsidR="004C7578" w:rsidRPr="00E3419C" w:rsidRDefault="004C7578" w:rsidP="00125EF6">
      <w:pPr>
        <w:rPr>
          <w:szCs w:val="24"/>
          <w:lang w:val="es-ES_tradnl"/>
        </w:rPr>
      </w:pPr>
      <w:bookmarkStart w:id="32" w:name="lt_pId115"/>
      <w:r w:rsidRPr="00E3419C">
        <w:rPr>
          <w:szCs w:val="24"/>
          <w:lang w:val="es-ES_tradnl"/>
        </w:rPr>
        <w:t>11</w:t>
      </w:r>
      <w:r w:rsidRPr="00E3419C">
        <w:rPr>
          <w:szCs w:val="24"/>
          <w:lang w:val="es-ES_tradnl"/>
        </w:rPr>
        <w:tab/>
        <w:t>Se invita a los miembros de la UIT a que presenten contribuciones al Grupo Asesor de Desarrollo de las Telecomunicaciones y a las Comisiones de Estudio pertinentes del UIT-D, cuando proceda, y colaboren con el GTC-CMSI para la puesta en práctica de los resultados de la CMSI en el marco del mandato de la UIT, habida cuenta de la Agenda 2030 para el Desarrollo Sostenible.</w:t>
      </w:r>
      <w:bookmarkEnd w:id="32"/>
    </w:p>
    <w:p w14:paraId="7EBF5996" w14:textId="77777777" w:rsidR="004C7578" w:rsidRPr="00E3419C" w:rsidRDefault="004C7578" w:rsidP="00926ABA">
      <w:pPr>
        <w:tabs>
          <w:tab w:val="clear" w:pos="794"/>
          <w:tab w:val="clear" w:pos="1191"/>
          <w:tab w:val="clear" w:pos="1588"/>
          <w:tab w:val="clear" w:pos="1985"/>
          <w:tab w:val="left" w:pos="567"/>
        </w:tabs>
        <w:spacing w:line="480" w:lineRule="auto"/>
        <w:rPr>
          <w:lang w:val="es-ES_tradnl"/>
        </w:rPr>
      </w:pPr>
    </w:p>
    <w:p w14:paraId="0DDCD46B" w14:textId="77777777" w:rsidR="004C7578" w:rsidRPr="00E3419C" w:rsidRDefault="004C7578" w:rsidP="00926ABA">
      <w:pPr>
        <w:spacing w:line="480" w:lineRule="auto"/>
        <w:rPr>
          <w:lang w:val="es-ES_tradnl"/>
        </w:rPr>
        <w:sectPr w:rsidR="004C7578" w:rsidRPr="00E3419C" w:rsidSect="009B7EAF">
          <w:headerReference w:type="default" r:id="rId24"/>
          <w:footerReference w:type="default" r:id="rId25"/>
          <w:footerReference w:type="first" r:id="rId26"/>
          <w:pgSz w:w="11906" w:h="16838" w:code="9"/>
          <w:pgMar w:top="1418" w:right="1134" w:bottom="1418" w:left="1134" w:header="709" w:footer="709" w:gutter="0"/>
          <w:cols w:space="708"/>
          <w:titlePg/>
          <w:docGrid w:linePitch="360"/>
        </w:sectPr>
      </w:pPr>
    </w:p>
    <w:p w14:paraId="71BD83BA" w14:textId="77777777" w:rsidR="00A518E4" w:rsidRPr="00E3419C" w:rsidRDefault="00F54CFC" w:rsidP="00A518E4">
      <w:pPr>
        <w:pStyle w:val="AnnexNo"/>
        <w:spacing w:before="0" w:after="120"/>
        <w:rPr>
          <w:lang w:val="es-ES_tradnl"/>
        </w:rPr>
      </w:pPr>
      <w:r w:rsidRPr="00E3419C">
        <w:rPr>
          <w:lang w:val="es-ES_tradnl"/>
        </w:rPr>
        <w:lastRenderedPageBreak/>
        <w:t>ANEX</w:t>
      </w:r>
      <w:r w:rsidR="00DC0E27" w:rsidRPr="00E3419C">
        <w:rPr>
          <w:lang w:val="es-ES_tradnl"/>
        </w:rPr>
        <w:t>O</w:t>
      </w:r>
      <w:r w:rsidRPr="00E3419C">
        <w:rPr>
          <w:lang w:val="es-ES_tradnl"/>
        </w:rPr>
        <w:t xml:space="preserve"> 1</w:t>
      </w:r>
    </w:p>
    <w:p w14:paraId="2E76E664" w14:textId="0E737AE6" w:rsidR="00DC0E27" w:rsidRPr="00E3419C" w:rsidRDefault="00DC0E27" w:rsidP="00DC0E27">
      <w:pPr>
        <w:pStyle w:val="Annextitle"/>
        <w:spacing w:before="0" w:after="120"/>
        <w:rPr>
          <w:lang w:val="es-ES_tradnl"/>
        </w:rPr>
      </w:pPr>
      <w:r w:rsidRPr="00E3419C">
        <w:rPr>
          <w:sz w:val="24"/>
          <w:szCs w:val="18"/>
          <w:lang w:val="es-ES_tradnl"/>
        </w:rPr>
        <w:t xml:space="preserve">Contribución del UIT-D al Plan Estratégico de la UIT para 2020-2023: </w:t>
      </w:r>
      <w:r w:rsidRPr="00E3419C">
        <w:rPr>
          <w:sz w:val="24"/>
          <w:szCs w:val="18"/>
          <w:lang w:val="es-ES_tradnl"/>
        </w:rPr>
        <w:br/>
        <w:t>objetivos, resultados, ODS y Líneas de Acción de la CMSI</w:t>
      </w:r>
    </w:p>
    <w:tbl>
      <w:tblPr>
        <w:tblStyle w:val="GridTable4-Accent31"/>
        <w:tblW w:w="15174" w:type="dxa"/>
        <w:jc w:val="center"/>
        <w:tblLayout w:type="fixed"/>
        <w:tblLook w:val="06A0" w:firstRow="1" w:lastRow="0" w:firstColumn="1" w:lastColumn="0" w:noHBand="1" w:noVBand="1"/>
      </w:tblPr>
      <w:tblGrid>
        <w:gridCol w:w="421"/>
        <w:gridCol w:w="3969"/>
        <w:gridCol w:w="3564"/>
        <w:gridCol w:w="3540"/>
        <w:gridCol w:w="3680"/>
      </w:tblGrid>
      <w:tr w:rsidR="00DC0E27" w:rsidRPr="00E3419C" w14:paraId="185EC007" w14:textId="77777777" w:rsidTr="0009027B">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421" w:type="dxa"/>
            <w:shd w:val="clear" w:color="auto" w:fill="4F81BD"/>
            <w:textDirection w:val="btLr"/>
          </w:tcPr>
          <w:p w14:paraId="227167EA" w14:textId="77777777" w:rsidR="00DC0E27" w:rsidRPr="00E3419C" w:rsidRDefault="00DC0E27" w:rsidP="0009027B">
            <w:pPr>
              <w:tabs>
                <w:tab w:val="clear" w:pos="794"/>
                <w:tab w:val="clear" w:pos="1191"/>
                <w:tab w:val="clear" w:pos="1588"/>
                <w:tab w:val="clear" w:pos="1985"/>
                <w:tab w:val="left" w:pos="1134"/>
                <w:tab w:val="left" w:pos="1871"/>
                <w:tab w:val="left" w:pos="2268"/>
              </w:tabs>
              <w:spacing w:before="40" w:after="40"/>
              <w:ind w:left="113" w:right="113"/>
              <w:jc w:val="center"/>
              <w:rPr>
                <w:rFonts w:eastAsia="Calibri" w:cs="Arial"/>
                <w:color w:val="4F81BD" w:themeColor="accent1"/>
                <w:sz w:val="15"/>
                <w:szCs w:val="15"/>
                <w:lang w:val="es-ES_tradnl"/>
              </w:rPr>
            </w:pPr>
            <w:r w:rsidRPr="00E3419C">
              <w:rPr>
                <w:rFonts w:eastAsia="Calibri" w:cs="Arial"/>
                <w:color w:val="FFFFFF" w:themeColor="background1"/>
                <w:sz w:val="15"/>
                <w:szCs w:val="15"/>
                <w:lang w:val="es-ES_tradnl"/>
              </w:rPr>
              <w:t>Objetivos</w:t>
            </w:r>
          </w:p>
        </w:tc>
        <w:tc>
          <w:tcPr>
            <w:tcW w:w="3969" w:type="dxa"/>
            <w:shd w:val="clear" w:color="auto" w:fill="4F81BD"/>
          </w:tcPr>
          <w:p w14:paraId="73AC50D3" w14:textId="77777777" w:rsidR="00DC0E27" w:rsidRPr="00E3419C" w:rsidRDefault="00DC0E27" w:rsidP="0009027B">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E3419C">
              <w:rPr>
                <w:rFonts w:eastAsia="Calibri" w:cs="Arial"/>
                <w:spacing w:val="-2"/>
                <w:sz w:val="15"/>
                <w:szCs w:val="15"/>
                <w:lang w:val="es-ES_tradnl"/>
              </w:rPr>
              <w:t xml:space="preserve">D.1 Coordinación: Fomentar la cooperación internacional </w:t>
            </w:r>
            <w:r w:rsidRPr="00E3419C">
              <w:rPr>
                <w:rFonts w:eastAsia="Calibri" w:cs="Arial"/>
                <w:spacing w:val="-2"/>
                <w:sz w:val="15"/>
                <w:szCs w:val="15"/>
                <w:lang w:val="es-ES_tradnl"/>
              </w:rPr>
              <w:br/>
              <w:t xml:space="preserve">y el acuerdo para las cuestiones de desarrollo de las telecomunicaciones/TIC </w:t>
            </w:r>
          </w:p>
        </w:tc>
        <w:tc>
          <w:tcPr>
            <w:tcW w:w="3564" w:type="dxa"/>
            <w:shd w:val="clear" w:color="auto" w:fill="4F81BD"/>
          </w:tcPr>
          <w:p w14:paraId="34A5A02B" w14:textId="77777777" w:rsidR="00DC0E27" w:rsidRPr="00E3419C" w:rsidRDefault="00DC0E27" w:rsidP="0009027B">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E3419C">
              <w:rPr>
                <w:rFonts w:eastAsia="Calibri" w:cs="Arial"/>
                <w:spacing w:val="-2"/>
                <w:sz w:val="15"/>
                <w:szCs w:val="15"/>
                <w:lang w:val="es-ES_tradnl"/>
              </w:rPr>
              <w:t xml:space="preserve">D.2 Infraestructura de telecomunicaciones/TIC moderna y segura: Fomentar el desarrollo de la infraestructura y los servicios, incluida la instauración de la confianza y la seguridad en el uso de las telecomunicaciones/TIC </w:t>
            </w:r>
          </w:p>
        </w:tc>
        <w:tc>
          <w:tcPr>
            <w:tcW w:w="3540" w:type="dxa"/>
            <w:shd w:val="clear" w:color="auto" w:fill="4F81BD"/>
          </w:tcPr>
          <w:p w14:paraId="50FE72A7" w14:textId="77777777" w:rsidR="00DC0E27" w:rsidRPr="00E3419C" w:rsidRDefault="00DC0E27" w:rsidP="0009027B">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E3419C">
              <w:rPr>
                <w:rFonts w:eastAsia="Calibri" w:cs="Arial"/>
                <w:spacing w:val="-2"/>
                <w:sz w:val="15"/>
                <w:szCs w:val="15"/>
                <w:lang w:val="es-ES_tradnl"/>
              </w:rPr>
              <w:t xml:space="preserve">D.3 Entorno habilitador: Fomentar un entorno político y reglamentario habilitador que propicie el Desarrollo Sostenible de las telecomunicaciones/TIC </w:t>
            </w:r>
          </w:p>
        </w:tc>
        <w:tc>
          <w:tcPr>
            <w:tcW w:w="3680" w:type="dxa"/>
            <w:shd w:val="clear" w:color="auto" w:fill="4F81BD"/>
          </w:tcPr>
          <w:p w14:paraId="4C815320" w14:textId="77777777" w:rsidR="00DC0E27" w:rsidRPr="00E3419C" w:rsidRDefault="00DC0E27" w:rsidP="0009027B">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E3419C">
              <w:rPr>
                <w:rFonts w:eastAsia="Calibri" w:cs="Arial"/>
                <w:spacing w:val="-2"/>
                <w:sz w:val="15"/>
                <w:szCs w:val="15"/>
                <w:lang w:val="es-ES_tradnl"/>
              </w:rPr>
              <w:t>D.4 Sociedad digital integradora: Fomentar el desarrollo y la utilización de las telecomunicaciones/TIC y aplicaciones a fin de empoderar a las personas y a las sociedades para el desarrollo sostenible</w:t>
            </w:r>
          </w:p>
        </w:tc>
      </w:tr>
      <w:tr w:rsidR="00DC0E27" w:rsidRPr="00E3419C" w14:paraId="0BD17211" w14:textId="77777777" w:rsidTr="0009027B">
        <w:trPr>
          <w:cantSplit/>
          <w:jc w:val="center"/>
        </w:trPr>
        <w:tc>
          <w:tcPr>
            <w:cnfStyle w:val="001000000000" w:firstRow="0" w:lastRow="0" w:firstColumn="1" w:lastColumn="0" w:oddVBand="0" w:evenVBand="0" w:oddHBand="0" w:evenHBand="0" w:firstRowFirstColumn="0" w:firstRowLastColumn="0" w:lastRowFirstColumn="0" w:lastRowLastColumn="0"/>
            <w:tcW w:w="421" w:type="dxa"/>
            <w:textDirection w:val="btLr"/>
          </w:tcPr>
          <w:p w14:paraId="05F99860" w14:textId="77777777" w:rsidR="00DC0E27" w:rsidRPr="00E3419C" w:rsidRDefault="00DC0E27" w:rsidP="0009027B">
            <w:pPr>
              <w:spacing w:before="0"/>
              <w:ind w:left="113" w:right="113"/>
              <w:jc w:val="center"/>
              <w:rPr>
                <w:rFonts w:eastAsia="Calibri" w:cs="Arial"/>
                <w:color w:val="4F81BD" w:themeColor="accent1"/>
                <w:sz w:val="15"/>
                <w:szCs w:val="15"/>
                <w:lang w:val="es-ES_tradnl"/>
              </w:rPr>
            </w:pPr>
            <w:r w:rsidRPr="00E3419C">
              <w:rPr>
                <w:rFonts w:eastAsia="Calibri" w:cs="Arial"/>
                <w:color w:val="4F81BD" w:themeColor="accent1"/>
                <w:sz w:val="15"/>
                <w:szCs w:val="15"/>
                <w:lang w:val="es-ES_tradnl"/>
              </w:rPr>
              <w:t>Resultados</w:t>
            </w:r>
          </w:p>
        </w:tc>
        <w:tc>
          <w:tcPr>
            <w:tcW w:w="3969" w:type="dxa"/>
          </w:tcPr>
          <w:p w14:paraId="53574775" w14:textId="77777777" w:rsidR="00DC0E27" w:rsidRPr="00E3419C" w:rsidRDefault="00DC0E27" w:rsidP="0009027B">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E3419C">
              <w:rPr>
                <w:rFonts w:eastAsia="Calibri" w:cs="Arial"/>
                <w:b/>
                <w:bCs/>
                <w:color w:val="4F81BD" w:themeColor="accent1"/>
                <w:spacing w:val="-2"/>
                <w:sz w:val="15"/>
                <w:szCs w:val="15"/>
                <w:lang w:val="es-ES_tradnl"/>
              </w:rPr>
              <w:t>D.1-1</w:t>
            </w:r>
            <w:r w:rsidRPr="00E3419C">
              <w:rPr>
                <w:rFonts w:eastAsia="Calibri" w:cs="Arial"/>
                <w:spacing w:val="-2"/>
                <w:sz w:val="15"/>
                <w:szCs w:val="15"/>
                <w:lang w:val="es-ES_tradnl"/>
              </w:rPr>
              <w:t>: Proceso de examen mejorado y mayor nivel de acuerdo sobre la contribución del UIT-D al proyecto de Plan Estratégico de la UIT, la Declaración de la Conferencia Mundial de Desarrollo de las Telecomunicaciones (CMDT) y el Plan de Acción de la CMDT.</w:t>
            </w:r>
          </w:p>
          <w:p w14:paraId="565D3044" w14:textId="77777777" w:rsidR="00DC0E27" w:rsidRPr="00E3419C" w:rsidRDefault="00DC0E27" w:rsidP="0009027B">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pacing w:val="-2"/>
                <w:sz w:val="15"/>
                <w:szCs w:val="15"/>
                <w:lang w:val="es-ES_tradnl" w:eastAsia="zh-CN"/>
              </w:rPr>
            </w:pPr>
            <w:r w:rsidRPr="00E3419C">
              <w:rPr>
                <w:rFonts w:eastAsia="Calibri" w:cs="Arial"/>
                <w:color w:val="10662B"/>
                <w:sz w:val="15"/>
                <w:szCs w:val="15"/>
                <w:lang w:val="es-ES_tradnl"/>
              </w:rPr>
              <w:t>Contribuye al logro de los Objetivos 1, 3, 5, 10, 16 y 17 de los ODS.</w:t>
            </w:r>
          </w:p>
          <w:p w14:paraId="50117599" w14:textId="77777777" w:rsidR="00DC0E27" w:rsidRPr="00E3419C" w:rsidRDefault="00DC0E27" w:rsidP="0009027B">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b/>
                <w:bCs/>
                <w:color w:val="C0504D"/>
                <w:spacing w:val="-2"/>
                <w:sz w:val="15"/>
                <w:szCs w:val="15"/>
                <w:lang w:val="es-ES_tradnl" w:eastAsia="zh-CN"/>
              </w:rPr>
            </w:pPr>
            <w:r w:rsidRPr="00E3419C">
              <w:rPr>
                <w:rFonts w:eastAsia="Calibri" w:cs="Arial"/>
                <w:color w:val="C0504D"/>
                <w:spacing w:val="-2"/>
                <w:sz w:val="15"/>
                <w:szCs w:val="15"/>
                <w:lang w:val="es-ES_tradnl" w:eastAsia="zh-CN"/>
              </w:rPr>
              <w:t>Contribuye a facilitar la implementación de las Líneas de Acción C1 y C11</w:t>
            </w:r>
            <w:r w:rsidRPr="00E3419C">
              <w:rPr>
                <w:color w:val="C0504D"/>
                <w:spacing w:val="-2"/>
                <w:sz w:val="15"/>
                <w:szCs w:val="15"/>
                <w:lang w:val="es-ES_tradnl"/>
              </w:rPr>
              <w:t xml:space="preserve"> </w:t>
            </w:r>
            <w:r w:rsidRPr="00E3419C">
              <w:rPr>
                <w:rFonts w:eastAsia="Calibri" w:cs="Arial"/>
                <w:color w:val="C0504D"/>
                <w:spacing w:val="-2"/>
                <w:sz w:val="15"/>
                <w:szCs w:val="15"/>
                <w:lang w:val="es-ES_tradnl" w:eastAsia="zh-CN"/>
              </w:rPr>
              <w:t>de la CMSI.</w:t>
            </w:r>
          </w:p>
          <w:p w14:paraId="48D940B4" w14:textId="77777777" w:rsidR="00DC0E27" w:rsidRPr="00E3419C" w:rsidRDefault="00DC0E27" w:rsidP="0009027B">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E3419C">
              <w:rPr>
                <w:rFonts w:eastAsia="Calibri" w:cs="Arial"/>
                <w:b/>
                <w:bCs/>
                <w:color w:val="4F81BD" w:themeColor="accent1"/>
                <w:spacing w:val="-2"/>
                <w:sz w:val="15"/>
                <w:szCs w:val="15"/>
                <w:lang w:val="es-ES_tradnl"/>
              </w:rPr>
              <w:t>D.1-2</w:t>
            </w:r>
            <w:r w:rsidRPr="00E3419C">
              <w:rPr>
                <w:rFonts w:eastAsia="Calibri" w:cs="Arial"/>
                <w:spacing w:val="-2"/>
                <w:sz w:val="15"/>
                <w:szCs w:val="15"/>
                <w:lang w:val="es-ES_tradnl"/>
              </w:rPr>
              <w:t>: Evaluación de la implementación de los Planes de Acción de la CMDT y de la CMSI.</w:t>
            </w:r>
          </w:p>
          <w:p w14:paraId="5194163A" w14:textId="77777777" w:rsidR="00DC0E27" w:rsidRPr="00E3419C" w:rsidRDefault="00DC0E27" w:rsidP="0009027B">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pacing w:val="-2"/>
                <w:sz w:val="15"/>
                <w:szCs w:val="15"/>
                <w:lang w:val="es-ES_tradnl" w:eastAsia="zh-CN"/>
              </w:rPr>
            </w:pPr>
            <w:r w:rsidRPr="00E3419C">
              <w:rPr>
                <w:rFonts w:eastAsia="Calibri" w:cs="Arial"/>
                <w:color w:val="10662B"/>
                <w:spacing w:val="-2"/>
                <w:sz w:val="15"/>
                <w:szCs w:val="15"/>
                <w:lang w:val="es-ES_tradnl" w:eastAsia="zh-CN"/>
              </w:rPr>
              <w:t>Contribuye al logro de los Objetivos 1, 3, 5, 10, 16 y 17 de los ODS.</w:t>
            </w:r>
          </w:p>
          <w:p w14:paraId="39258AEF" w14:textId="77777777" w:rsidR="00DC0E27" w:rsidRPr="00E3419C" w:rsidRDefault="00DC0E27" w:rsidP="0009027B">
            <w:pPr>
              <w:spacing w:before="20" w:after="20"/>
              <w:cnfStyle w:val="000000000000" w:firstRow="0" w:lastRow="0" w:firstColumn="0" w:lastColumn="0" w:oddVBand="0" w:evenVBand="0" w:oddHBand="0" w:evenHBand="0" w:firstRowFirstColumn="0" w:firstRowLastColumn="0" w:lastRowFirstColumn="0" w:lastRowLastColumn="0"/>
              <w:rPr>
                <w:rFonts w:eastAsia="Calibri" w:cs="Arial"/>
                <w:color w:val="C0504D"/>
                <w:spacing w:val="-2"/>
                <w:sz w:val="15"/>
                <w:szCs w:val="15"/>
                <w:lang w:val="es-ES_tradnl" w:eastAsia="zh-CN"/>
              </w:rPr>
            </w:pPr>
            <w:r w:rsidRPr="00E3419C">
              <w:rPr>
                <w:rFonts w:eastAsia="Calibri" w:cs="Arial"/>
                <w:color w:val="C0504D"/>
                <w:spacing w:val="-2"/>
                <w:sz w:val="15"/>
                <w:szCs w:val="15"/>
                <w:lang w:val="es-ES_tradnl" w:eastAsia="zh-CN"/>
              </w:rPr>
              <w:t>Contribuye a facilitar la implementación de las Líneas de Acción C1 y C11 de la CMSI.</w:t>
            </w:r>
          </w:p>
          <w:p w14:paraId="704FC0D2" w14:textId="77777777" w:rsidR="00DC0E27" w:rsidRPr="00E3419C" w:rsidRDefault="00DC0E27" w:rsidP="0009027B">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E3419C">
              <w:rPr>
                <w:rFonts w:eastAsia="Calibri" w:cs="Arial"/>
                <w:b/>
                <w:bCs/>
                <w:color w:val="4F81BD" w:themeColor="accent1"/>
                <w:spacing w:val="-2"/>
                <w:sz w:val="15"/>
                <w:szCs w:val="15"/>
                <w:lang w:val="es-ES_tradnl"/>
              </w:rPr>
              <w:t>D.1-3</w:t>
            </w:r>
            <w:r w:rsidRPr="00E3419C">
              <w:rPr>
                <w:rFonts w:eastAsia="Calibri" w:cs="Arial"/>
                <w:spacing w:val="-2"/>
                <w:sz w:val="15"/>
                <w:szCs w:val="15"/>
                <w:lang w:val="es-ES_tradnl"/>
              </w:rPr>
              <w:t>: Mejora del intercambio de conocimientos, del diálogo y las asociaciones entre Estados Miembros, Miembros de Sector, Asociados, Instituciones Académicas y otras partes interesadas sobre las cuestiones de telecomunicaciones/TIC.</w:t>
            </w:r>
          </w:p>
          <w:p w14:paraId="3EA53BDD" w14:textId="77777777" w:rsidR="00DC0E27" w:rsidRPr="00E3419C" w:rsidRDefault="00DC0E27" w:rsidP="0009027B">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pacing w:val="-2"/>
                <w:sz w:val="15"/>
                <w:szCs w:val="15"/>
                <w:lang w:val="es-ES_tradnl" w:eastAsia="zh-CN"/>
              </w:rPr>
            </w:pPr>
            <w:r w:rsidRPr="00E3419C">
              <w:rPr>
                <w:rFonts w:eastAsia="Calibri" w:cs="Arial"/>
                <w:color w:val="10662B"/>
                <w:spacing w:val="-2"/>
                <w:sz w:val="15"/>
                <w:szCs w:val="15"/>
                <w:lang w:val="es-ES_tradnl" w:eastAsia="zh-CN"/>
              </w:rPr>
              <w:t>Contribuye al logro de los Objetivos 1, 3, 5, 10, 16 y 17 de los ODS.</w:t>
            </w:r>
          </w:p>
          <w:p w14:paraId="63F665A0" w14:textId="77777777" w:rsidR="00DC0E27" w:rsidRPr="00E3419C" w:rsidRDefault="00DC0E27" w:rsidP="0009027B">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C0504D"/>
                <w:spacing w:val="-2"/>
                <w:sz w:val="15"/>
                <w:szCs w:val="15"/>
                <w:lang w:val="es-ES_tradnl" w:eastAsia="zh-CN"/>
              </w:rPr>
            </w:pPr>
            <w:r w:rsidRPr="00E3419C">
              <w:rPr>
                <w:rFonts w:eastAsia="Calibri" w:cs="Arial"/>
                <w:color w:val="C0504D"/>
                <w:spacing w:val="-2"/>
                <w:sz w:val="15"/>
                <w:szCs w:val="15"/>
                <w:lang w:val="es-ES_tradnl" w:eastAsia="zh-CN"/>
              </w:rPr>
              <w:t>Contribuye a facilitar la implementación de las Líneas de Acción C1 y C11 de la CMSI.</w:t>
            </w:r>
          </w:p>
          <w:p w14:paraId="7EA58AE1" w14:textId="77777777" w:rsidR="00DC0E27" w:rsidRPr="00E3419C" w:rsidRDefault="00DC0E27" w:rsidP="0009027B">
            <w:pPr>
              <w:pStyle w:val="Tabletext"/>
              <w:cnfStyle w:val="000000000000" w:firstRow="0" w:lastRow="0" w:firstColumn="0" w:lastColumn="0" w:oddVBand="0" w:evenVBand="0" w:oddHBand="0" w:evenHBand="0" w:firstRowFirstColumn="0" w:firstRowLastColumn="0" w:lastRowFirstColumn="0" w:lastRowLastColumn="0"/>
              <w:rPr>
                <w:rFonts w:eastAsia="Calibri"/>
                <w:spacing w:val="-2"/>
                <w:sz w:val="15"/>
                <w:szCs w:val="15"/>
                <w:lang w:val="es-ES_tradnl"/>
              </w:rPr>
            </w:pPr>
            <w:r w:rsidRPr="00E3419C">
              <w:rPr>
                <w:rFonts w:eastAsia="Calibri"/>
                <w:b/>
                <w:bCs/>
                <w:color w:val="4F81BD" w:themeColor="accent1"/>
                <w:spacing w:val="-2"/>
                <w:sz w:val="15"/>
                <w:szCs w:val="15"/>
                <w:lang w:val="es-ES_tradnl"/>
              </w:rPr>
              <w:t>D.1-4</w:t>
            </w:r>
            <w:r w:rsidRPr="00E3419C">
              <w:rPr>
                <w:rFonts w:eastAsia="Calibri"/>
                <w:spacing w:val="-2"/>
                <w:sz w:val="15"/>
                <w:szCs w:val="15"/>
                <w:lang w:val="es-ES_tradnl"/>
              </w:rPr>
              <w:t>: Mejor procesamiento y ejecución de los proyectos e Iniciativas Regionales de desarrollo de las telecomunicaciones/TIC.</w:t>
            </w:r>
          </w:p>
          <w:p w14:paraId="2FCDDF30" w14:textId="77777777" w:rsidR="00DC0E27" w:rsidRPr="00E3419C" w:rsidRDefault="00DC0E27" w:rsidP="0009027B">
            <w:pPr>
              <w:pStyle w:val="Tabletext"/>
              <w:cnfStyle w:val="000000000000" w:firstRow="0" w:lastRow="0" w:firstColumn="0" w:lastColumn="0" w:oddVBand="0" w:evenVBand="0" w:oddHBand="0" w:evenHBand="0" w:firstRowFirstColumn="0" w:firstRowLastColumn="0" w:lastRowFirstColumn="0" w:lastRowLastColumn="0"/>
              <w:rPr>
                <w:rFonts w:eastAsia="Calibri" w:cs="Arial"/>
                <w:color w:val="10662B"/>
                <w:spacing w:val="-2"/>
                <w:sz w:val="15"/>
                <w:szCs w:val="15"/>
                <w:lang w:val="es-ES_tradnl" w:eastAsia="zh-CN"/>
              </w:rPr>
            </w:pPr>
            <w:r w:rsidRPr="00E3419C">
              <w:rPr>
                <w:rFonts w:eastAsia="Calibri" w:cs="Arial"/>
                <w:color w:val="10662B"/>
                <w:spacing w:val="-2"/>
                <w:sz w:val="15"/>
                <w:szCs w:val="15"/>
                <w:lang w:val="es-ES_tradnl" w:eastAsia="zh-CN"/>
              </w:rPr>
              <w:t>Contribuye al logro de los Objetivos 1 y 17 de los ODS.</w:t>
            </w:r>
          </w:p>
          <w:p w14:paraId="07F7FB40" w14:textId="77777777" w:rsidR="00DC0E27" w:rsidRPr="00E3419C" w:rsidRDefault="00DC0E27" w:rsidP="0009027B">
            <w:pPr>
              <w:pStyle w:val="Tabletext"/>
              <w:cnfStyle w:val="000000000000" w:firstRow="0" w:lastRow="0" w:firstColumn="0" w:lastColumn="0" w:oddVBand="0" w:evenVBand="0" w:oddHBand="0" w:evenHBand="0" w:firstRowFirstColumn="0" w:firstRowLastColumn="0" w:lastRowFirstColumn="0" w:lastRowLastColumn="0"/>
              <w:rPr>
                <w:rFonts w:eastAsia="Calibri"/>
                <w:color w:val="C0504D"/>
                <w:spacing w:val="-2"/>
                <w:sz w:val="15"/>
                <w:szCs w:val="15"/>
                <w:lang w:val="es-ES_tradnl"/>
              </w:rPr>
            </w:pPr>
            <w:r w:rsidRPr="00E3419C">
              <w:rPr>
                <w:rFonts w:eastAsia="Calibri" w:cs="Arial"/>
                <w:color w:val="C0504D"/>
                <w:spacing w:val="-2"/>
                <w:sz w:val="15"/>
                <w:szCs w:val="15"/>
                <w:lang w:val="es-ES_tradnl" w:eastAsia="zh-CN"/>
              </w:rPr>
              <w:t>Contribuye a facilitar la implementación de las Líneas de Acción C1 y C11 de la CMSI.</w:t>
            </w:r>
          </w:p>
          <w:p w14:paraId="4F6E6C50" w14:textId="77777777" w:rsidR="00DC0E27" w:rsidRPr="00E3419C" w:rsidRDefault="00DC0E27" w:rsidP="0009027B">
            <w:pPr>
              <w:spacing w:before="40" w:after="40"/>
              <w:cnfStyle w:val="000000000000" w:firstRow="0" w:lastRow="0" w:firstColumn="0" w:lastColumn="0" w:oddVBand="0" w:evenVBand="0" w:oddHBand="0" w:evenHBand="0" w:firstRowFirstColumn="0" w:firstRowLastColumn="0" w:lastRowFirstColumn="0" w:lastRowLastColumn="0"/>
              <w:rPr>
                <w:rFonts w:eastAsia="Calibri"/>
                <w:spacing w:val="-2"/>
                <w:sz w:val="15"/>
                <w:szCs w:val="15"/>
                <w:lang w:val="es-ES_tradnl"/>
              </w:rPr>
            </w:pPr>
            <w:r w:rsidRPr="00E3419C">
              <w:rPr>
                <w:rFonts w:eastAsia="Calibri"/>
                <w:b/>
                <w:bCs/>
                <w:color w:val="4F81BD" w:themeColor="accent1"/>
                <w:spacing w:val="-2"/>
                <w:sz w:val="15"/>
                <w:szCs w:val="15"/>
                <w:lang w:val="es-ES_tradnl"/>
              </w:rPr>
              <w:t>D.1-5</w:t>
            </w:r>
            <w:r w:rsidRPr="00E3419C">
              <w:rPr>
                <w:rFonts w:eastAsia="Calibri"/>
                <w:spacing w:val="-2"/>
                <w:sz w:val="15"/>
                <w:szCs w:val="15"/>
                <w:lang w:val="es-ES_tradnl"/>
              </w:rPr>
              <w:t>: Facilitación de los acuerdos de cooperación para programas de desarrollo de las telecomunicaciones/TIC entre los Estados Miembros y entre los Estados Miembros y otras partes interesadas del ecosistema de las TIC a instancias de los Estados Miembros de la UIT implicados.</w:t>
            </w:r>
          </w:p>
          <w:p w14:paraId="5A3E1D64" w14:textId="77777777" w:rsidR="00DC0E27" w:rsidRPr="00E3419C" w:rsidRDefault="00DC0E27" w:rsidP="0009027B">
            <w:pPr>
              <w:pStyle w:val="Tabletext"/>
              <w:cnfStyle w:val="000000000000" w:firstRow="0" w:lastRow="0" w:firstColumn="0" w:lastColumn="0" w:oddVBand="0" w:evenVBand="0" w:oddHBand="0" w:evenHBand="0" w:firstRowFirstColumn="0" w:firstRowLastColumn="0" w:lastRowFirstColumn="0" w:lastRowLastColumn="0"/>
              <w:rPr>
                <w:rFonts w:eastAsia="Calibri" w:cs="Arial"/>
                <w:color w:val="10662B"/>
                <w:spacing w:val="-2"/>
                <w:sz w:val="15"/>
                <w:szCs w:val="15"/>
                <w:lang w:val="es-ES_tradnl" w:eastAsia="zh-CN"/>
              </w:rPr>
            </w:pPr>
            <w:r w:rsidRPr="00E3419C">
              <w:rPr>
                <w:rFonts w:eastAsia="Calibri" w:cs="Arial"/>
                <w:color w:val="10662B"/>
                <w:spacing w:val="-2"/>
                <w:sz w:val="15"/>
                <w:szCs w:val="15"/>
                <w:lang w:val="es-ES_tradnl" w:eastAsia="zh-CN"/>
              </w:rPr>
              <w:t>Contribuye al logro de los Objetivos 1 y 17 de los ODS.</w:t>
            </w:r>
          </w:p>
          <w:p w14:paraId="1BFA677D" w14:textId="77777777" w:rsidR="00DC0E27" w:rsidRPr="00E3419C" w:rsidRDefault="00DC0E27" w:rsidP="0009027B">
            <w:pPr>
              <w:spacing w:before="20" w:after="20"/>
              <w:cnfStyle w:val="000000000000" w:firstRow="0" w:lastRow="0" w:firstColumn="0" w:lastColumn="0" w:oddVBand="0" w:evenVBand="0" w:oddHBand="0" w:evenHBand="0" w:firstRowFirstColumn="0" w:firstRowLastColumn="0" w:lastRowFirstColumn="0" w:lastRowLastColumn="0"/>
              <w:rPr>
                <w:rFonts w:eastAsia="Calibri" w:cs="Arial"/>
                <w:color w:val="ED7D31"/>
                <w:spacing w:val="-2"/>
                <w:sz w:val="15"/>
                <w:szCs w:val="15"/>
                <w:lang w:val="es-ES_tradnl" w:eastAsia="zh-CN"/>
              </w:rPr>
            </w:pPr>
            <w:r w:rsidRPr="00E3419C">
              <w:rPr>
                <w:rFonts w:eastAsia="Calibri" w:cs="Arial"/>
                <w:color w:val="C0504D"/>
                <w:spacing w:val="-2"/>
                <w:sz w:val="15"/>
                <w:szCs w:val="15"/>
                <w:lang w:val="es-ES_tradnl" w:eastAsia="zh-CN"/>
              </w:rPr>
              <w:t>Contribuye a facilitar la implementación de las Líneas de Acción C1 y C11 de la CMSI.</w:t>
            </w:r>
          </w:p>
        </w:tc>
        <w:tc>
          <w:tcPr>
            <w:tcW w:w="3564" w:type="dxa"/>
          </w:tcPr>
          <w:p w14:paraId="7060D7EF" w14:textId="77777777" w:rsidR="00DC0E27" w:rsidRPr="00E3419C" w:rsidRDefault="00DC0E27" w:rsidP="0009027B">
            <w:pPr>
              <w:spacing w:before="20" w:after="20"/>
              <w:ind w:right="-57"/>
              <w:cnfStyle w:val="000000000000" w:firstRow="0"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E3419C">
              <w:rPr>
                <w:rFonts w:eastAsia="Calibri" w:cs="Arial"/>
                <w:b/>
                <w:bCs/>
                <w:color w:val="4F81BD" w:themeColor="accent1"/>
                <w:spacing w:val="-2"/>
                <w:sz w:val="15"/>
                <w:szCs w:val="15"/>
                <w:lang w:val="es-ES_tradnl"/>
              </w:rPr>
              <w:t>D.2-1</w:t>
            </w:r>
            <w:r w:rsidRPr="00E3419C">
              <w:rPr>
                <w:rFonts w:eastAsia="Calibri" w:cs="Arial"/>
                <w:spacing w:val="-2"/>
                <w:sz w:val="15"/>
                <w:szCs w:val="15"/>
                <w:lang w:val="es-ES_tradnl"/>
              </w:rPr>
              <w:t>: Mayor capacidad de los miembros de la UIT para poner a disposición infraestructuras y servicios de telecomunicaciones/TIC robustos.</w:t>
            </w:r>
          </w:p>
          <w:p w14:paraId="4E48EE80" w14:textId="77777777" w:rsidR="00DC0E27" w:rsidRPr="00E3419C" w:rsidRDefault="00DC0E27" w:rsidP="0009027B">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pacing w:val="-2"/>
                <w:sz w:val="15"/>
                <w:szCs w:val="15"/>
                <w:lang w:val="es-ES_tradnl" w:eastAsia="zh-CN"/>
              </w:rPr>
            </w:pPr>
            <w:r w:rsidRPr="00E3419C">
              <w:rPr>
                <w:rFonts w:eastAsia="Calibri" w:cs="Arial"/>
                <w:color w:val="10662B"/>
                <w:spacing w:val="-2"/>
                <w:sz w:val="15"/>
                <w:szCs w:val="15"/>
                <w:lang w:val="es-ES_tradnl" w:eastAsia="zh-CN"/>
              </w:rPr>
              <w:t>Contribuye al logro de los Objetivos 1, 3, 5, 8, 9, 10, 11, 16 y 17 de los ODS.</w:t>
            </w:r>
          </w:p>
          <w:p w14:paraId="5EF275F2" w14:textId="77777777" w:rsidR="00DC0E27" w:rsidRPr="00E3419C" w:rsidRDefault="00DC0E27" w:rsidP="0009027B">
            <w:pPr>
              <w:spacing w:before="20" w:after="20"/>
              <w:ind w:right="-57"/>
              <w:cnfStyle w:val="000000000000" w:firstRow="0"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E3419C">
              <w:rPr>
                <w:rFonts w:eastAsia="Calibri" w:cs="Arial"/>
                <w:color w:val="C0504D"/>
                <w:spacing w:val="-2"/>
                <w:sz w:val="15"/>
                <w:szCs w:val="15"/>
                <w:lang w:val="es-ES_tradnl" w:eastAsia="zh-CN"/>
              </w:rPr>
              <w:t>Contribuye a facilitar la implementación de las Líneas de Acción C1, C2, C3, C9 y C11 de la CMSI.</w:t>
            </w:r>
          </w:p>
          <w:p w14:paraId="16A3AFC4" w14:textId="77777777" w:rsidR="00DC0E27" w:rsidRPr="00E3419C" w:rsidRDefault="00DC0E27" w:rsidP="0009027B">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E3419C">
              <w:rPr>
                <w:rFonts w:eastAsia="Calibri" w:cs="Arial"/>
                <w:b/>
                <w:bCs/>
                <w:color w:val="4F81BD" w:themeColor="accent1"/>
                <w:spacing w:val="-2"/>
                <w:sz w:val="15"/>
                <w:szCs w:val="15"/>
                <w:lang w:val="es-ES_tradnl"/>
              </w:rPr>
              <w:t>D.2-2</w:t>
            </w:r>
            <w:r w:rsidRPr="00E3419C">
              <w:rPr>
                <w:rFonts w:eastAsia="Calibri" w:cs="Arial"/>
                <w:spacing w:val="-2"/>
                <w:sz w:val="15"/>
                <w:szCs w:val="15"/>
                <w:lang w:val="es-ES_tradnl"/>
              </w:rPr>
              <w:t>: Fortalecimiento de la capacidad de los Estados Miembros para compartir información, encontrar soluciones y responder de manera efectiva a las ciberamenazas, y para desarrollar y poner en práctica estrategias y capacidades nacionales, incluidas actividades de capacitación y fomento de la cooperación nacional, regional e internacional a fin de aumentar el compromiso de los Estados Miembros y los actores pertinentes.</w:t>
            </w:r>
          </w:p>
          <w:p w14:paraId="209AA66E" w14:textId="77777777" w:rsidR="00DC0E27" w:rsidRPr="00E3419C" w:rsidRDefault="00DC0E27" w:rsidP="0009027B">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pacing w:val="-2"/>
                <w:sz w:val="15"/>
                <w:szCs w:val="15"/>
                <w:lang w:val="es-ES_tradnl" w:eastAsia="zh-CN"/>
              </w:rPr>
            </w:pPr>
            <w:r w:rsidRPr="00E3419C">
              <w:rPr>
                <w:rFonts w:eastAsia="Calibri" w:cs="Arial"/>
                <w:color w:val="10662B"/>
                <w:spacing w:val="-2"/>
                <w:sz w:val="15"/>
                <w:szCs w:val="15"/>
                <w:lang w:val="es-ES_tradnl" w:eastAsia="zh-CN"/>
              </w:rPr>
              <w:t>Contribuye al logro de los Objetivos 4, 9, 11, 16 y 17 de los ODS.</w:t>
            </w:r>
          </w:p>
          <w:p w14:paraId="67EF9496" w14:textId="77777777" w:rsidR="00DC0E27" w:rsidRPr="00E3419C" w:rsidRDefault="00DC0E27" w:rsidP="0009027B">
            <w:pPr>
              <w:spacing w:before="20" w:after="20"/>
              <w:cnfStyle w:val="000000000000" w:firstRow="0" w:lastRow="0" w:firstColumn="0" w:lastColumn="0" w:oddVBand="0" w:evenVBand="0" w:oddHBand="0" w:evenHBand="0" w:firstRowFirstColumn="0" w:firstRowLastColumn="0" w:lastRowFirstColumn="0" w:lastRowLastColumn="0"/>
              <w:rPr>
                <w:rFonts w:eastAsia="Calibri" w:cs="Arial"/>
                <w:color w:val="C0504D"/>
                <w:spacing w:val="-2"/>
                <w:sz w:val="15"/>
                <w:szCs w:val="15"/>
                <w:lang w:val="es-ES_tradnl" w:eastAsia="zh-CN"/>
              </w:rPr>
            </w:pPr>
            <w:r w:rsidRPr="00E3419C">
              <w:rPr>
                <w:rFonts w:eastAsia="Calibri" w:cs="Arial"/>
                <w:color w:val="C0504D"/>
                <w:spacing w:val="-2"/>
                <w:sz w:val="15"/>
                <w:szCs w:val="15"/>
                <w:lang w:val="es-ES_tradnl" w:eastAsia="zh-CN"/>
              </w:rPr>
              <w:t>Contribuye a facilitar la implementación de la Línea de Acción C5 de la CMSI.</w:t>
            </w:r>
          </w:p>
          <w:p w14:paraId="6D243B65" w14:textId="77777777" w:rsidR="00DC0E27" w:rsidRPr="00E3419C" w:rsidRDefault="00DC0E27" w:rsidP="0009027B">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E3419C">
              <w:rPr>
                <w:rFonts w:eastAsia="Calibri" w:cs="Arial"/>
                <w:b/>
                <w:bCs/>
                <w:color w:val="4F81BD" w:themeColor="accent1"/>
                <w:spacing w:val="-2"/>
                <w:sz w:val="15"/>
                <w:szCs w:val="15"/>
                <w:lang w:val="es-ES_tradnl"/>
              </w:rPr>
              <w:t>D.2-3</w:t>
            </w:r>
            <w:r w:rsidRPr="00E3419C">
              <w:rPr>
                <w:rFonts w:eastAsia="Calibri" w:cs="Arial"/>
                <w:spacing w:val="-2"/>
                <w:sz w:val="15"/>
                <w:szCs w:val="15"/>
                <w:lang w:val="es-ES_tradnl"/>
              </w:rPr>
              <w:t>: Mayor capacidad de los Estados Miembros para aprovechar las telecomunicaciones/TIC en la reducción y la gestión del riesgo de catástrofe, con el fin de garantizar la disponibilidad de las telecomunicaciones de emergencia y apoyar la cooperación en esta esfera.</w:t>
            </w:r>
          </w:p>
          <w:p w14:paraId="22078A07" w14:textId="77777777" w:rsidR="00DC0E27" w:rsidRPr="00E3419C" w:rsidRDefault="00DC0E27" w:rsidP="0009027B">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pacing w:val="-2"/>
                <w:sz w:val="15"/>
                <w:szCs w:val="15"/>
                <w:lang w:val="es-ES_tradnl" w:eastAsia="zh-CN"/>
              </w:rPr>
            </w:pPr>
            <w:r w:rsidRPr="00E3419C">
              <w:rPr>
                <w:rFonts w:eastAsia="Calibri" w:cs="Arial"/>
                <w:color w:val="10662B"/>
                <w:spacing w:val="-2"/>
                <w:sz w:val="15"/>
                <w:szCs w:val="15"/>
                <w:lang w:val="es-ES_tradnl" w:eastAsia="zh-CN"/>
              </w:rPr>
              <w:t>Contribuye al logro de los Objetivos 1, 3, 5, 11, y 13 de los ODS.</w:t>
            </w:r>
          </w:p>
          <w:p w14:paraId="1646FD98" w14:textId="77777777" w:rsidR="00DC0E27" w:rsidRPr="00E3419C" w:rsidRDefault="00DC0E27" w:rsidP="0009027B">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E3419C">
              <w:rPr>
                <w:rFonts w:eastAsia="Calibri" w:cs="Arial"/>
                <w:color w:val="C0504D"/>
                <w:spacing w:val="-2"/>
                <w:sz w:val="15"/>
                <w:szCs w:val="15"/>
                <w:lang w:val="es-ES_tradnl" w:eastAsia="zh-CN"/>
              </w:rPr>
              <w:t>Contribuye a facilitar la implementación de las Líneas de Acción C2 y C7 de la CMSI.</w:t>
            </w:r>
          </w:p>
        </w:tc>
        <w:tc>
          <w:tcPr>
            <w:tcW w:w="3540" w:type="dxa"/>
          </w:tcPr>
          <w:p w14:paraId="3C7B7BE6" w14:textId="77777777" w:rsidR="00DC0E27" w:rsidRPr="00E3419C" w:rsidRDefault="00DC0E27" w:rsidP="0009027B">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E3419C">
              <w:rPr>
                <w:rFonts w:eastAsia="Calibri" w:cs="Arial"/>
                <w:b/>
                <w:bCs/>
                <w:color w:val="4F81BD" w:themeColor="accent1"/>
                <w:spacing w:val="-2"/>
                <w:sz w:val="15"/>
                <w:szCs w:val="15"/>
                <w:lang w:val="es-ES_tradnl"/>
              </w:rPr>
              <w:t>D.3-1</w:t>
            </w:r>
            <w:r w:rsidRPr="00E3419C">
              <w:rPr>
                <w:rFonts w:eastAsia="Calibri" w:cs="Arial"/>
                <w:spacing w:val="-2"/>
                <w:sz w:val="15"/>
                <w:szCs w:val="15"/>
                <w:lang w:val="es-ES_tradnl"/>
              </w:rPr>
              <w:t>: Mayor capacidad de los Estados Miembros para mejorar sus marcos políticos, jurídicos y reglamentarios habilitadores que sean propicios para el desarrollo de las telecomunicaciones/TIC.</w:t>
            </w:r>
          </w:p>
          <w:p w14:paraId="684CEB90" w14:textId="77777777" w:rsidR="00DC0E27" w:rsidRPr="00E3419C" w:rsidRDefault="00DC0E27" w:rsidP="0009027B">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pacing w:val="-2"/>
                <w:sz w:val="15"/>
                <w:szCs w:val="15"/>
                <w:lang w:val="es-ES_tradnl" w:eastAsia="zh-CN"/>
              </w:rPr>
            </w:pPr>
            <w:r w:rsidRPr="00E3419C">
              <w:rPr>
                <w:rFonts w:eastAsia="Calibri" w:cs="Arial"/>
                <w:color w:val="10662B"/>
                <w:spacing w:val="-2"/>
                <w:sz w:val="15"/>
                <w:szCs w:val="15"/>
                <w:lang w:val="es-ES_tradnl" w:eastAsia="zh-CN"/>
              </w:rPr>
              <w:t>Contribuye al logro de los Objetivos 2, 4, 5, 8, 9, 10, 11, 16 y 17 de los ODS.</w:t>
            </w:r>
          </w:p>
          <w:p w14:paraId="69F5D850" w14:textId="77777777" w:rsidR="00DC0E27" w:rsidRPr="00E3419C" w:rsidRDefault="00DC0E27" w:rsidP="0009027B">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C0504D"/>
                <w:spacing w:val="-2"/>
                <w:sz w:val="15"/>
                <w:szCs w:val="15"/>
                <w:lang w:val="es-ES_tradnl" w:eastAsia="zh-CN"/>
              </w:rPr>
            </w:pPr>
            <w:r w:rsidRPr="00E3419C">
              <w:rPr>
                <w:rFonts w:eastAsia="Calibri" w:cs="Arial"/>
                <w:color w:val="C0504D"/>
                <w:spacing w:val="-2"/>
                <w:sz w:val="15"/>
                <w:szCs w:val="15"/>
                <w:lang w:val="es-ES_tradnl" w:eastAsia="zh-CN"/>
              </w:rPr>
              <w:t>Contribuye a facilitar la implementación de la Línea de Acción C6 de la CMSI.</w:t>
            </w:r>
          </w:p>
          <w:p w14:paraId="17786F93" w14:textId="77777777" w:rsidR="00DC0E27" w:rsidRPr="00E3419C" w:rsidRDefault="00DC0E27" w:rsidP="0009027B">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E3419C">
              <w:rPr>
                <w:rFonts w:eastAsia="Calibri" w:cs="Arial"/>
                <w:b/>
                <w:bCs/>
                <w:color w:val="4F81BD" w:themeColor="accent1"/>
                <w:spacing w:val="-2"/>
                <w:sz w:val="15"/>
                <w:szCs w:val="15"/>
                <w:lang w:val="es-ES_tradnl"/>
              </w:rPr>
              <w:t>D.3-2</w:t>
            </w:r>
            <w:r w:rsidRPr="00E3419C">
              <w:rPr>
                <w:rFonts w:eastAsia="Calibri" w:cs="Arial"/>
                <w:b/>
                <w:bCs/>
                <w:color w:val="1F497D" w:themeColor="text2"/>
                <w:spacing w:val="-2"/>
                <w:sz w:val="15"/>
                <w:szCs w:val="15"/>
                <w:lang w:val="es-ES_tradnl"/>
              </w:rPr>
              <w:t>:</w:t>
            </w:r>
            <w:r w:rsidRPr="00E3419C">
              <w:rPr>
                <w:rFonts w:eastAsia="Calibri" w:cs="Arial"/>
                <w:color w:val="1F497D" w:themeColor="text2"/>
                <w:spacing w:val="-2"/>
                <w:sz w:val="15"/>
                <w:szCs w:val="15"/>
                <w:lang w:val="es-ES_tradnl"/>
              </w:rPr>
              <w:t xml:space="preserve"> </w:t>
            </w:r>
            <w:r w:rsidRPr="00E3419C">
              <w:rPr>
                <w:rFonts w:eastAsia="Calibri" w:cs="Arial"/>
                <w:spacing w:val="-2"/>
                <w:sz w:val="15"/>
                <w:szCs w:val="15"/>
                <w:lang w:val="es-ES_tradnl"/>
              </w:rPr>
              <w:t>Mayor capacidad de los Estados Miembros para producir estadísticas de telecomunicaciones/TIC de alta calidad y comparables a escala internacional que reflejen la evolución y las tendencias de las telecomunicaciones/TIC sobre la base de normas y métodos concertados.</w:t>
            </w:r>
          </w:p>
          <w:p w14:paraId="025D0D35" w14:textId="77777777" w:rsidR="00DC0E27" w:rsidRPr="00E3419C" w:rsidRDefault="00DC0E27" w:rsidP="0009027B">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pacing w:val="-2"/>
                <w:sz w:val="15"/>
                <w:szCs w:val="15"/>
                <w:lang w:val="es-ES_tradnl" w:eastAsia="zh-CN"/>
              </w:rPr>
            </w:pPr>
            <w:r w:rsidRPr="00E3419C">
              <w:rPr>
                <w:rFonts w:eastAsia="Calibri" w:cs="Arial"/>
                <w:color w:val="10662B"/>
                <w:spacing w:val="-2"/>
                <w:sz w:val="15"/>
                <w:szCs w:val="15"/>
                <w:lang w:val="es-ES_tradnl" w:eastAsia="zh-CN"/>
              </w:rPr>
              <w:t>Contribuye al logro de los Objetivos 1-17 de los ODS.</w:t>
            </w:r>
          </w:p>
          <w:p w14:paraId="46D06393" w14:textId="77777777" w:rsidR="00DC0E27" w:rsidRPr="00E3419C" w:rsidRDefault="00DC0E27" w:rsidP="0009027B">
            <w:pPr>
              <w:spacing w:before="20" w:after="20"/>
              <w:cnfStyle w:val="000000000000" w:firstRow="0" w:lastRow="0" w:firstColumn="0" w:lastColumn="0" w:oddVBand="0" w:evenVBand="0" w:oddHBand="0" w:evenHBand="0" w:firstRowFirstColumn="0" w:firstRowLastColumn="0" w:lastRowFirstColumn="0" w:lastRowLastColumn="0"/>
              <w:rPr>
                <w:rFonts w:eastAsia="Calibri" w:cs="Arial"/>
                <w:color w:val="C0504D"/>
                <w:spacing w:val="-2"/>
                <w:sz w:val="15"/>
                <w:szCs w:val="15"/>
                <w:lang w:val="es-ES_tradnl" w:eastAsia="zh-CN"/>
              </w:rPr>
            </w:pPr>
            <w:r w:rsidRPr="00E3419C">
              <w:rPr>
                <w:rFonts w:eastAsia="Calibri" w:cs="Arial"/>
                <w:color w:val="C0504D"/>
                <w:spacing w:val="-2"/>
                <w:sz w:val="15"/>
                <w:szCs w:val="15"/>
                <w:lang w:val="es-ES_tradnl" w:eastAsia="zh-CN"/>
              </w:rPr>
              <w:t>Contribuye a facilitar la implementación de las Líneas de Acción C1-C11 de la CMSI.</w:t>
            </w:r>
          </w:p>
          <w:p w14:paraId="4388D685" w14:textId="77777777" w:rsidR="00DC0E27" w:rsidRPr="00E3419C" w:rsidRDefault="00DC0E27" w:rsidP="0009027B">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E3419C">
              <w:rPr>
                <w:rFonts w:eastAsia="Calibri" w:cs="Arial"/>
                <w:b/>
                <w:bCs/>
                <w:color w:val="4F81BD" w:themeColor="accent1"/>
                <w:spacing w:val="-2"/>
                <w:sz w:val="15"/>
                <w:szCs w:val="15"/>
                <w:lang w:val="es-ES_tradnl"/>
              </w:rPr>
              <w:t>D.3-3</w:t>
            </w:r>
            <w:r w:rsidRPr="00E3419C">
              <w:rPr>
                <w:rFonts w:eastAsia="Calibri" w:cs="Arial"/>
                <w:spacing w:val="-2"/>
                <w:sz w:val="15"/>
                <w:szCs w:val="15"/>
                <w:lang w:val="es-ES_tradnl"/>
              </w:rPr>
              <w:t>: Mayor capacidad humana e institucional de los Miembros de la UIT para aprovechar plenamente el potencial de las telecomunicaciones/TIC.</w:t>
            </w:r>
          </w:p>
          <w:p w14:paraId="739A8E2C" w14:textId="77777777" w:rsidR="00DC0E27" w:rsidRPr="00E3419C" w:rsidRDefault="00DC0E27" w:rsidP="0009027B">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pacing w:val="-2"/>
                <w:sz w:val="15"/>
                <w:szCs w:val="15"/>
                <w:lang w:val="es-ES_tradnl" w:eastAsia="zh-CN"/>
              </w:rPr>
            </w:pPr>
            <w:r w:rsidRPr="00E3419C">
              <w:rPr>
                <w:rFonts w:eastAsia="Calibri" w:cs="Arial"/>
                <w:color w:val="10662B"/>
                <w:spacing w:val="-2"/>
                <w:sz w:val="15"/>
                <w:szCs w:val="15"/>
                <w:lang w:val="es-ES_tradnl" w:eastAsia="zh-CN"/>
              </w:rPr>
              <w:t>Contribuye al logro de los Objetivos 1, 2, 3, 4, 5, 6, 12, 13, 14, 16 y 17 de los ODS.</w:t>
            </w:r>
          </w:p>
          <w:p w14:paraId="0B4D105E" w14:textId="77777777" w:rsidR="00DC0E27" w:rsidRPr="00E3419C" w:rsidRDefault="00DC0E27" w:rsidP="0009027B">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C0504D"/>
                <w:spacing w:val="-2"/>
                <w:sz w:val="15"/>
                <w:szCs w:val="15"/>
                <w:lang w:val="es-ES_tradnl" w:eastAsia="zh-CN"/>
              </w:rPr>
            </w:pPr>
            <w:r w:rsidRPr="00E3419C">
              <w:rPr>
                <w:rFonts w:eastAsia="Calibri" w:cs="Arial"/>
                <w:color w:val="C0504D"/>
                <w:spacing w:val="-2"/>
                <w:sz w:val="15"/>
                <w:szCs w:val="15"/>
                <w:lang w:val="es-ES_tradnl" w:eastAsia="zh-CN"/>
              </w:rPr>
              <w:t>Contribuye a facilitar la implementación de la Línea de Acción C4 de la CMSI.</w:t>
            </w:r>
          </w:p>
          <w:p w14:paraId="2679ACA8" w14:textId="77777777" w:rsidR="00DC0E27" w:rsidRPr="00E3419C" w:rsidRDefault="00DC0E27" w:rsidP="0009027B">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E3419C">
              <w:rPr>
                <w:rFonts w:eastAsia="Calibri" w:cs="Arial"/>
                <w:b/>
                <w:bCs/>
                <w:color w:val="4F81BD" w:themeColor="accent1"/>
                <w:spacing w:val="-2"/>
                <w:sz w:val="15"/>
                <w:szCs w:val="15"/>
                <w:lang w:val="es-ES_tradnl"/>
              </w:rPr>
              <w:t xml:space="preserve">D.3-4: </w:t>
            </w:r>
            <w:r w:rsidRPr="00E3419C">
              <w:rPr>
                <w:rFonts w:eastAsia="Calibri" w:cs="Arial"/>
                <w:spacing w:val="-2"/>
                <w:sz w:val="15"/>
                <w:szCs w:val="15"/>
                <w:lang w:val="es-ES_tradnl"/>
              </w:rPr>
              <w:t>Mayor capacidad de los Miembros de la UIT para integrar la innovación de las telecomunicaciones/TIC en los programas nacionales de desarrollo y elaborar estrategias de promoción de iniciativas innovadoras, incluso mediante asociaciones públicas, privadas y público-privadas.</w:t>
            </w:r>
          </w:p>
          <w:p w14:paraId="24E17FF3" w14:textId="77777777" w:rsidR="00DC0E27" w:rsidRPr="00E3419C" w:rsidRDefault="00DC0E27" w:rsidP="0009027B">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pacing w:val="-2"/>
                <w:sz w:val="15"/>
                <w:szCs w:val="15"/>
                <w:lang w:val="es-ES_tradnl" w:eastAsia="zh-CN"/>
              </w:rPr>
            </w:pPr>
            <w:r w:rsidRPr="00E3419C">
              <w:rPr>
                <w:rFonts w:eastAsia="Calibri" w:cs="Arial"/>
                <w:color w:val="10662B"/>
                <w:spacing w:val="-2"/>
                <w:sz w:val="15"/>
                <w:szCs w:val="15"/>
                <w:lang w:val="es-ES_tradnl" w:eastAsia="zh-CN"/>
              </w:rPr>
              <w:t>Contribuye al logro de los Objetivos 1, 2, 3, 4, 5, 9, 12, 16 y 17 de los ODS.</w:t>
            </w:r>
          </w:p>
          <w:p w14:paraId="79F65BB9" w14:textId="77777777" w:rsidR="00DC0E27" w:rsidRPr="00E3419C" w:rsidRDefault="00DC0E27" w:rsidP="0009027B">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E3419C">
              <w:rPr>
                <w:rFonts w:eastAsia="Calibri" w:cs="Arial"/>
                <w:color w:val="C0504D"/>
                <w:spacing w:val="-2"/>
                <w:sz w:val="15"/>
                <w:szCs w:val="15"/>
                <w:lang w:val="es-ES_tradnl" w:eastAsia="zh-CN"/>
              </w:rPr>
              <w:t>Contribuye a facilitar la implementación de las Líneas de Acción C1, C2, C3, C4, C5, C6, C7 y C11 de la CMSI.</w:t>
            </w:r>
          </w:p>
        </w:tc>
        <w:tc>
          <w:tcPr>
            <w:tcW w:w="3680" w:type="dxa"/>
          </w:tcPr>
          <w:p w14:paraId="7B29CF39" w14:textId="77777777" w:rsidR="00DC0E27" w:rsidRPr="00E3419C" w:rsidRDefault="00DC0E27" w:rsidP="0009027B">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E3419C">
              <w:rPr>
                <w:rFonts w:eastAsia="Calibri" w:cs="Arial"/>
                <w:b/>
                <w:bCs/>
                <w:color w:val="4F81BD" w:themeColor="accent1"/>
                <w:spacing w:val="-2"/>
                <w:sz w:val="15"/>
                <w:szCs w:val="15"/>
                <w:lang w:val="es-ES_tradnl"/>
              </w:rPr>
              <w:t>D-4-1</w:t>
            </w:r>
            <w:r w:rsidRPr="00E3419C">
              <w:rPr>
                <w:rFonts w:eastAsia="Calibri" w:cs="Arial"/>
                <w:spacing w:val="-2"/>
                <w:sz w:val="15"/>
                <w:szCs w:val="15"/>
                <w:lang w:val="es-ES_tradnl"/>
              </w:rPr>
              <w:t>: Mejora del acceso y la utilización de las telecomunicaciones/TIC en los países menos adelantados (PMA), los pequeños Estados insulares en desarrollo (PEID), los países en desarrollo sin litoral (PDSL) y los países con economías en transición.</w:t>
            </w:r>
          </w:p>
          <w:p w14:paraId="0DFFCA33" w14:textId="77777777" w:rsidR="00DC0E27" w:rsidRPr="00E3419C" w:rsidRDefault="00DC0E27" w:rsidP="0009027B">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pacing w:val="-2"/>
                <w:sz w:val="15"/>
                <w:szCs w:val="15"/>
                <w:lang w:val="es-ES_tradnl" w:eastAsia="zh-CN"/>
              </w:rPr>
            </w:pPr>
            <w:r w:rsidRPr="00E3419C">
              <w:rPr>
                <w:rFonts w:eastAsia="Calibri" w:cs="Arial"/>
                <w:color w:val="10662B"/>
                <w:spacing w:val="-2"/>
                <w:sz w:val="15"/>
                <w:szCs w:val="15"/>
                <w:lang w:val="es-ES_tradnl" w:eastAsia="zh-CN"/>
              </w:rPr>
              <w:t>Contribuye al logro de los Objetivos 1, 3, 7, 8, 9, 11, 13 y 17 de los ODS.</w:t>
            </w:r>
          </w:p>
          <w:p w14:paraId="28FCD02F" w14:textId="77777777" w:rsidR="00DC0E27" w:rsidRPr="00E3419C" w:rsidRDefault="00DC0E27" w:rsidP="0009027B">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C0504D"/>
                <w:spacing w:val="-2"/>
                <w:sz w:val="15"/>
                <w:szCs w:val="15"/>
                <w:lang w:val="es-ES_tradnl"/>
              </w:rPr>
            </w:pPr>
            <w:r w:rsidRPr="00E3419C">
              <w:rPr>
                <w:rFonts w:eastAsia="Calibri" w:cs="Arial"/>
                <w:color w:val="C0504D"/>
                <w:spacing w:val="-2"/>
                <w:sz w:val="15"/>
                <w:szCs w:val="15"/>
                <w:lang w:val="es-ES_tradnl" w:eastAsia="zh-CN"/>
              </w:rPr>
              <w:t>Contribuye a facilitar la implementación de las Líneas de Acción C2, C6 y C7 de la CMSI.</w:t>
            </w:r>
          </w:p>
          <w:p w14:paraId="05CB63C2" w14:textId="77777777" w:rsidR="00DC0E27" w:rsidRPr="00E3419C" w:rsidRDefault="00DC0E27" w:rsidP="0009027B">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E3419C">
              <w:rPr>
                <w:rFonts w:eastAsia="Calibri" w:cs="Arial"/>
                <w:b/>
                <w:bCs/>
                <w:color w:val="4F81BD" w:themeColor="accent1"/>
                <w:spacing w:val="-2"/>
                <w:sz w:val="15"/>
                <w:szCs w:val="15"/>
                <w:lang w:val="es-ES_tradnl"/>
              </w:rPr>
              <w:t>D.4-2</w:t>
            </w:r>
            <w:r w:rsidRPr="00E3419C">
              <w:rPr>
                <w:rFonts w:eastAsia="Calibri" w:cs="Arial"/>
                <w:spacing w:val="-2"/>
                <w:sz w:val="15"/>
                <w:szCs w:val="15"/>
                <w:lang w:val="es-ES_tradnl"/>
              </w:rPr>
              <w:t>: Mayor capacidad de los miembros de la UIT para acelerar el desarrollo socioeconómico aprovechando y utilizando nuevas tecnologías y servicios y aplicaciones de telecomunicaciones/TIC.</w:t>
            </w:r>
          </w:p>
          <w:p w14:paraId="66BEC44B" w14:textId="77777777" w:rsidR="00DC0E27" w:rsidRPr="00E3419C" w:rsidRDefault="00DC0E27" w:rsidP="0009027B">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pacing w:val="-2"/>
                <w:sz w:val="15"/>
                <w:szCs w:val="15"/>
                <w:lang w:val="es-ES_tradnl" w:eastAsia="zh-CN"/>
              </w:rPr>
            </w:pPr>
            <w:r w:rsidRPr="00E3419C">
              <w:rPr>
                <w:rFonts w:eastAsia="Calibri" w:cs="Arial"/>
                <w:color w:val="10662B"/>
                <w:spacing w:val="-2"/>
                <w:sz w:val="15"/>
                <w:szCs w:val="15"/>
                <w:lang w:val="es-ES_tradnl" w:eastAsia="zh-CN"/>
              </w:rPr>
              <w:t>Contribuye al logro de los Objetivos 2, 3, 4, 6, 7 y 11 de los ODS.</w:t>
            </w:r>
          </w:p>
          <w:p w14:paraId="3F7D61A4" w14:textId="77777777" w:rsidR="00DC0E27" w:rsidRPr="00E3419C" w:rsidRDefault="00DC0E27" w:rsidP="0009027B">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C0504D"/>
                <w:spacing w:val="-2"/>
                <w:sz w:val="15"/>
                <w:szCs w:val="15"/>
                <w:lang w:val="es-ES_tradnl" w:eastAsia="zh-CN"/>
              </w:rPr>
            </w:pPr>
            <w:r w:rsidRPr="00E3419C">
              <w:rPr>
                <w:rFonts w:eastAsia="Calibri" w:cs="Arial"/>
                <w:color w:val="C0504D"/>
                <w:spacing w:val="-2"/>
                <w:sz w:val="15"/>
                <w:szCs w:val="15"/>
                <w:lang w:val="es-ES_tradnl" w:eastAsia="zh-CN"/>
              </w:rPr>
              <w:t>Contribuye a facilitar la implementación de la Línea de Acción C7 de la CMSI.</w:t>
            </w:r>
          </w:p>
          <w:p w14:paraId="481795BD" w14:textId="77777777" w:rsidR="00DC0E27" w:rsidRPr="00E3419C" w:rsidRDefault="00DC0E27" w:rsidP="0009027B">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E3419C">
              <w:rPr>
                <w:rFonts w:eastAsia="Calibri" w:cs="Arial"/>
                <w:b/>
                <w:bCs/>
                <w:color w:val="4F81BD" w:themeColor="accent1"/>
                <w:spacing w:val="-2"/>
                <w:sz w:val="15"/>
                <w:szCs w:val="15"/>
                <w:lang w:val="es-ES_tradnl"/>
              </w:rPr>
              <w:t>D.4-3</w:t>
            </w:r>
            <w:r w:rsidRPr="00E3419C">
              <w:rPr>
                <w:rFonts w:eastAsia="Calibri" w:cs="Arial"/>
                <w:spacing w:val="-2"/>
                <w:sz w:val="15"/>
                <w:szCs w:val="15"/>
                <w:lang w:val="es-ES_tradnl"/>
              </w:rPr>
              <w:t>:</w:t>
            </w:r>
            <w:r w:rsidRPr="00E3419C">
              <w:rPr>
                <w:rFonts w:eastAsia="Calibri" w:cs="Arial"/>
                <w:b/>
                <w:bCs/>
                <w:spacing w:val="-2"/>
                <w:sz w:val="15"/>
                <w:szCs w:val="15"/>
                <w:lang w:val="es-ES_tradnl"/>
              </w:rPr>
              <w:t xml:space="preserve"> </w:t>
            </w:r>
            <w:r w:rsidRPr="00E3419C">
              <w:rPr>
                <w:rFonts w:eastAsia="Calibri" w:cs="Arial"/>
                <w:spacing w:val="-2"/>
                <w:sz w:val="15"/>
                <w:szCs w:val="15"/>
                <w:lang w:val="es-ES_tradnl"/>
              </w:rPr>
              <w:t>Mayor capacidad de los miembros de la UIT para elaborar estrategias, políticas y prácticas en pro de la inclusión digital, en particular destinadas al empoderamiento de las mujeres y las niñas, las personas con discapacidad y las personas con necesidades especiales.</w:t>
            </w:r>
          </w:p>
          <w:p w14:paraId="4BD8403D" w14:textId="77777777" w:rsidR="00DC0E27" w:rsidRPr="00E3419C" w:rsidRDefault="00DC0E27" w:rsidP="0009027B">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pacing w:val="-2"/>
                <w:sz w:val="15"/>
                <w:szCs w:val="15"/>
                <w:lang w:val="es-ES_tradnl" w:eastAsia="zh-CN"/>
              </w:rPr>
            </w:pPr>
            <w:r w:rsidRPr="00E3419C">
              <w:rPr>
                <w:rFonts w:eastAsia="Calibri" w:cs="Arial"/>
                <w:color w:val="10662B"/>
                <w:spacing w:val="-2"/>
                <w:sz w:val="15"/>
                <w:szCs w:val="15"/>
                <w:lang w:val="es-ES_tradnl" w:eastAsia="zh-CN"/>
              </w:rPr>
              <w:t>Contribuye al logro de los Objetivos 4, 5, 8, 10 y 17 de los ODS.</w:t>
            </w:r>
          </w:p>
          <w:p w14:paraId="42253010" w14:textId="77777777" w:rsidR="00DC0E27" w:rsidRPr="00E3419C" w:rsidRDefault="00DC0E27" w:rsidP="0009027B">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C0504D"/>
                <w:spacing w:val="-2"/>
                <w:sz w:val="15"/>
                <w:szCs w:val="15"/>
                <w:lang w:val="es-ES_tradnl"/>
              </w:rPr>
            </w:pPr>
            <w:r w:rsidRPr="00E3419C">
              <w:rPr>
                <w:rFonts w:eastAsia="Calibri" w:cs="Arial"/>
                <w:color w:val="C0504D"/>
                <w:spacing w:val="-2"/>
                <w:sz w:val="15"/>
                <w:szCs w:val="15"/>
                <w:lang w:val="es-ES_tradnl" w:eastAsia="zh-CN"/>
              </w:rPr>
              <w:t>Contribuye a facilitar la implementación de las Líneas de Acción C1, C2, C3, C4, C5, C6, C7, C8 y C9 de la CMSI.</w:t>
            </w:r>
          </w:p>
          <w:p w14:paraId="27B1AFBA" w14:textId="77777777" w:rsidR="00DC0E27" w:rsidRPr="00E3419C" w:rsidRDefault="00DC0E27" w:rsidP="0009027B">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E3419C">
              <w:rPr>
                <w:rFonts w:eastAsia="Calibri" w:cs="Arial"/>
                <w:b/>
                <w:bCs/>
                <w:color w:val="4F81BD" w:themeColor="accent1"/>
                <w:spacing w:val="-2"/>
                <w:sz w:val="15"/>
                <w:szCs w:val="15"/>
                <w:lang w:val="es-ES_tradnl"/>
              </w:rPr>
              <w:t>D.4-4</w:t>
            </w:r>
            <w:r w:rsidRPr="00E3419C">
              <w:rPr>
                <w:rFonts w:eastAsia="Calibri" w:cs="Arial"/>
                <w:spacing w:val="-2"/>
                <w:sz w:val="15"/>
                <w:szCs w:val="15"/>
                <w:lang w:val="es-ES_tradnl"/>
              </w:rPr>
              <w:t>: Mayor capacidad de los miembros de la UIT para elaborar estrategias y soluciones de telecomunicaciones/TIC en materia de adaptación al cambio climático y mitigación del mismo y de utilización de energías verdes/renovables.</w:t>
            </w:r>
          </w:p>
          <w:p w14:paraId="66AF4B35" w14:textId="77777777" w:rsidR="00DC0E27" w:rsidRPr="00E3419C" w:rsidRDefault="00DC0E27" w:rsidP="0009027B">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pacing w:val="-2"/>
                <w:sz w:val="15"/>
                <w:szCs w:val="15"/>
                <w:lang w:val="es-ES_tradnl" w:eastAsia="zh-CN"/>
              </w:rPr>
            </w:pPr>
            <w:r w:rsidRPr="00E3419C">
              <w:rPr>
                <w:rFonts w:eastAsia="Calibri" w:cs="Arial"/>
                <w:color w:val="10662B"/>
                <w:spacing w:val="-2"/>
                <w:sz w:val="15"/>
                <w:szCs w:val="15"/>
                <w:lang w:val="es-ES_tradnl" w:eastAsia="zh-CN"/>
              </w:rPr>
              <w:t>Contribuye al logro de los Objetivos 3, 5, 11, 12 y 13 de los ODS.</w:t>
            </w:r>
          </w:p>
          <w:p w14:paraId="6DE52BE2" w14:textId="77777777" w:rsidR="00DC0E27" w:rsidRPr="00E3419C" w:rsidRDefault="00DC0E27" w:rsidP="0009027B">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spacing w:val="-2"/>
                <w:sz w:val="15"/>
                <w:szCs w:val="15"/>
                <w:lang w:val="es-ES_tradnl"/>
              </w:rPr>
            </w:pPr>
            <w:r w:rsidRPr="00E3419C">
              <w:rPr>
                <w:rFonts w:eastAsia="Calibri" w:cs="Arial"/>
                <w:color w:val="C0504D"/>
                <w:spacing w:val="-2"/>
                <w:sz w:val="15"/>
                <w:szCs w:val="15"/>
                <w:lang w:val="es-ES_tradnl" w:eastAsia="zh-CN"/>
              </w:rPr>
              <w:t>Contribuye a facilitar la implementación de la Línea de Acción C7 de la CMSI.</w:t>
            </w:r>
          </w:p>
        </w:tc>
      </w:tr>
    </w:tbl>
    <w:p w14:paraId="2035D9D6" w14:textId="77777777" w:rsidR="00DC0E27" w:rsidRPr="00E3419C" w:rsidRDefault="00DC0E27" w:rsidP="00DC0E27">
      <w:pPr>
        <w:pStyle w:val="AnnexNo"/>
        <w:spacing w:before="240" w:after="0"/>
        <w:rPr>
          <w:lang w:val="es-ES_tradnl"/>
        </w:rPr>
      </w:pPr>
      <w:r w:rsidRPr="00E3419C">
        <w:rPr>
          <w:lang w:val="es-ES_tradnl"/>
        </w:rPr>
        <w:lastRenderedPageBreak/>
        <w:t>ANEXO 2</w:t>
      </w:r>
    </w:p>
    <w:p w14:paraId="1582C072" w14:textId="12D4D9CC" w:rsidR="00DC0E27" w:rsidRPr="00892100" w:rsidRDefault="00DC0E27" w:rsidP="00892100">
      <w:pPr>
        <w:pStyle w:val="Annextitle"/>
        <w:spacing w:before="120" w:after="120"/>
        <w:rPr>
          <w:sz w:val="24"/>
          <w:szCs w:val="18"/>
          <w:lang w:val="es-ES_tradnl"/>
        </w:rPr>
      </w:pPr>
      <w:r w:rsidRPr="00E3419C">
        <w:rPr>
          <w:sz w:val="24"/>
          <w:szCs w:val="18"/>
          <w:lang w:val="es-ES_tradnl"/>
        </w:rPr>
        <w:t xml:space="preserve">Cuestiones de las Comisiones de Estudio del UIT-D (2018-2021) y contribución a </w:t>
      </w:r>
      <w:r w:rsidRPr="00E3419C">
        <w:rPr>
          <w:sz w:val="24"/>
          <w:szCs w:val="18"/>
          <w:lang w:val="es-ES_tradnl"/>
        </w:rPr>
        <w:br/>
        <w:t>la implementación de las líneas de acción de la CMSI y el logro de los ODS</w:t>
      </w:r>
    </w:p>
    <w:tbl>
      <w:tblPr>
        <w:tblStyle w:val="TableGrid"/>
        <w:tblW w:w="15168" w:type="dxa"/>
        <w:tblInd w:w="-709" w:type="dxa"/>
        <w:tblLook w:val="04A0" w:firstRow="1" w:lastRow="0" w:firstColumn="1" w:lastColumn="0" w:noHBand="0" w:noVBand="1"/>
      </w:tblPr>
      <w:tblGrid>
        <w:gridCol w:w="3828"/>
        <w:gridCol w:w="3402"/>
        <w:gridCol w:w="709"/>
        <w:gridCol w:w="3827"/>
        <w:gridCol w:w="3402"/>
      </w:tblGrid>
      <w:tr w:rsidR="00DC0E27" w:rsidRPr="00E3419C" w14:paraId="5781D438" w14:textId="77777777" w:rsidTr="0009027B">
        <w:tc>
          <w:tcPr>
            <w:tcW w:w="7230" w:type="dxa"/>
            <w:gridSpan w:val="2"/>
            <w:tcBorders>
              <w:top w:val="nil"/>
              <w:left w:val="nil"/>
              <w:bottom w:val="single" w:sz="4" w:space="0" w:color="auto"/>
              <w:right w:val="nil"/>
            </w:tcBorders>
          </w:tcPr>
          <w:p w14:paraId="541D8D62" w14:textId="77777777" w:rsidR="00DC0E27" w:rsidRPr="00E3419C" w:rsidRDefault="00DC0E27" w:rsidP="0009027B">
            <w:pPr>
              <w:jc w:val="center"/>
              <w:rPr>
                <w:lang w:val="es-ES_tradnl"/>
              </w:rPr>
            </w:pPr>
            <w:r w:rsidRPr="00E3419C">
              <w:rPr>
                <w:b/>
                <w:bCs/>
                <w:color w:val="1F497D" w:themeColor="text2"/>
                <w:lang w:val="es-ES_tradnl"/>
              </w:rPr>
              <w:t>Comisión de Estudio 1: Entorno propicio para el desarrollo</w:t>
            </w:r>
            <w:r w:rsidRPr="00E3419C">
              <w:rPr>
                <w:b/>
                <w:bCs/>
                <w:color w:val="1F497D" w:themeColor="text2"/>
                <w:lang w:val="es-ES_tradnl"/>
              </w:rPr>
              <w:br/>
              <w:t>de las telecomunicaciones/TIC</w:t>
            </w:r>
          </w:p>
        </w:tc>
        <w:tc>
          <w:tcPr>
            <w:tcW w:w="709" w:type="dxa"/>
            <w:tcBorders>
              <w:top w:val="nil"/>
              <w:left w:val="nil"/>
              <w:bottom w:val="nil"/>
              <w:right w:val="nil"/>
            </w:tcBorders>
          </w:tcPr>
          <w:p w14:paraId="0CC5DCBE" w14:textId="77777777" w:rsidR="00DC0E27" w:rsidRPr="00E3419C" w:rsidRDefault="00DC0E27" w:rsidP="0009027B">
            <w:pPr>
              <w:jc w:val="center"/>
              <w:rPr>
                <w:szCs w:val="24"/>
                <w:lang w:val="es-ES_tradnl"/>
              </w:rPr>
            </w:pPr>
          </w:p>
        </w:tc>
        <w:tc>
          <w:tcPr>
            <w:tcW w:w="7229" w:type="dxa"/>
            <w:gridSpan w:val="2"/>
            <w:tcBorders>
              <w:top w:val="nil"/>
              <w:left w:val="nil"/>
              <w:bottom w:val="single" w:sz="4" w:space="0" w:color="auto"/>
              <w:right w:val="nil"/>
            </w:tcBorders>
          </w:tcPr>
          <w:p w14:paraId="1DB22D55" w14:textId="77777777" w:rsidR="00DC0E27" w:rsidRPr="00E3419C" w:rsidRDefault="00DC0E27" w:rsidP="0009027B">
            <w:pPr>
              <w:spacing w:after="120"/>
              <w:jc w:val="center"/>
              <w:rPr>
                <w:szCs w:val="24"/>
                <w:lang w:val="es-ES_tradnl"/>
              </w:rPr>
            </w:pPr>
            <w:r w:rsidRPr="00E3419C">
              <w:rPr>
                <w:b/>
                <w:bCs/>
                <w:color w:val="1F497D" w:themeColor="text2"/>
                <w:lang w:val="es-ES_tradnl"/>
              </w:rPr>
              <w:t>Comisión de Estudio 2: Servicios y aplicaciones de TIC en pro</w:t>
            </w:r>
            <w:r w:rsidRPr="00E3419C">
              <w:rPr>
                <w:b/>
                <w:bCs/>
                <w:color w:val="1F497D" w:themeColor="text2"/>
                <w:lang w:val="es-ES_tradnl"/>
              </w:rPr>
              <w:br/>
              <w:t>del desarrollo sostenible</w:t>
            </w:r>
          </w:p>
        </w:tc>
      </w:tr>
      <w:tr w:rsidR="00DC0E27" w:rsidRPr="00E3419C" w14:paraId="0221789C" w14:textId="77777777" w:rsidTr="0009027B">
        <w:tc>
          <w:tcPr>
            <w:tcW w:w="3828" w:type="dxa"/>
            <w:tcBorders>
              <w:top w:val="single" w:sz="4" w:space="0" w:color="auto"/>
            </w:tcBorders>
          </w:tcPr>
          <w:p w14:paraId="2AB746FB" w14:textId="77777777" w:rsidR="00DC0E27" w:rsidRPr="00E3419C" w:rsidRDefault="00DC0E27" w:rsidP="0009027B">
            <w:pPr>
              <w:pStyle w:val="Tablehead"/>
              <w:jc w:val="left"/>
              <w:rPr>
                <w:sz w:val="18"/>
                <w:szCs w:val="16"/>
                <w:lang w:val="es-ES_tradnl"/>
              </w:rPr>
            </w:pPr>
            <w:r w:rsidRPr="00E3419C">
              <w:rPr>
                <w:lang w:val="es-ES_tradnl"/>
              </w:rPr>
              <w:t>Cuestión</w:t>
            </w:r>
          </w:p>
        </w:tc>
        <w:tc>
          <w:tcPr>
            <w:tcW w:w="3402" w:type="dxa"/>
            <w:tcBorders>
              <w:top w:val="single" w:sz="4" w:space="0" w:color="auto"/>
              <w:right w:val="single" w:sz="4" w:space="0" w:color="auto"/>
            </w:tcBorders>
          </w:tcPr>
          <w:p w14:paraId="542ACE78" w14:textId="77777777" w:rsidR="00DC0E27" w:rsidRPr="00E3419C" w:rsidRDefault="00DC0E27" w:rsidP="0009027B">
            <w:pPr>
              <w:pStyle w:val="Tablehead"/>
              <w:jc w:val="left"/>
              <w:rPr>
                <w:sz w:val="18"/>
                <w:szCs w:val="16"/>
                <w:lang w:val="es-ES_tradnl"/>
              </w:rPr>
            </w:pPr>
            <w:r w:rsidRPr="00E3419C">
              <w:rPr>
                <w:sz w:val="18"/>
                <w:szCs w:val="18"/>
                <w:lang w:val="es-ES_tradnl"/>
              </w:rPr>
              <w:t>ODS y Líneas de Acción de la CMSI correspondientes</w:t>
            </w:r>
          </w:p>
        </w:tc>
        <w:tc>
          <w:tcPr>
            <w:tcW w:w="709" w:type="dxa"/>
            <w:tcBorders>
              <w:top w:val="nil"/>
              <w:left w:val="single" w:sz="4" w:space="0" w:color="auto"/>
              <w:bottom w:val="nil"/>
              <w:right w:val="single" w:sz="4" w:space="0" w:color="auto"/>
            </w:tcBorders>
          </w:tcPr>
          <w:p w14:paraId="093FAFC8" w14:textId="77777777" w:rsidR="00DC0E27" w:rsidRPr="00E3419C" w:rsidRDefault="00DC0E27" w:rsidP="0009027B">
            <w:pPr>
              <w:jc w:val="center"/>
              <w:rPr>
                <w:sz w:val="18"/>
                <w:szCs w:val="16"/>
                <w:lang w:val="es-ES_tradnl"/>
              </w:rPr>
            </w:pPr>
          </w:p>
        </w:tc>
        <w:tc>
          <w:tcPr>
            <w:tcW w:w="3827" w:type="dxa"/>
            <w:tcBorders>
              <w:top w:val="single" w:sz="4" w:space="0" w:color="auto"/>
              <w:left w:val="single" w:sz="4" w:space="0" w:color="auto"/>
            </w:tcBorders>
          </w:tcPr>
          <w:p w14:paraId="6B474B7E" w14:textId="77777777" w:rsidR="00DC0E27" w:rsidRPr="00E3419C" w:rsidRDefault="00DC0E27" w:rsidP="0009027B">
            <w:pPr>
              <w:pStyle w:val="Tablehead"/>
              <w:jc w:val="left"/>
              <w:rPr>
                <w:sz w:val="18"/>
                <w:szCs w:val="16"/>
                <w:lang w:val="es-ES_tradnl"/>
              </w:rPr>
            </w:pPr>
            <w:r w:rsidRPr="00E3419C">
              <w:rPr>
                <w:lang w:val="es-ES_tradnl"/>
              </w:rPr>
              <w:t>Cuestión</w:t>
            </w:r>
          </w:p>
        </w:tc>
        <w:tc>
          <w:tcPr>
            <w:tcW w:w="3402" w:type="dxa"/>
            <w:tcBorders>
              <w:top w:val="single" w:sz="4" w:space="0" w:color="auto"/>
            </w:tcBorders>
            <w:tcMar>
              <w:right w:w="0" w:type="dxa"/>
            </w:tcMar>
          </w:tcPr>
          <w:p w14:paraId="292817B0" w14:textId="77777777" w:rsidR="00DC0E27" w:rsidRPr="00E3419C" w:rsidRDefault="00DC0E27" w:rsidP="0009027B">
            <w:pPr>
              <w:pStyle w:val="Tablehead"/>
              <w:jc w:val="left"/>
              <w:rPr>
                <w:sz w:val="18"/>
                <w:szCs w:val="18"/>
                <w:lang w:val="es-ES_tradnl"/>
              </w:rPr>
            </w:pPr>
            <w:r w:rsidRPr="00E3419C">
              <w:rPr>
                <w:sz w:val="18"/>
                <w:szCs w:val="18"/>
                <w:lang w:val="es-ES_tradnl"/>
              </w:rPr>
              <w:t>ODS y Líneas de Acción de la CMSI correspondientes</w:t>
            </w:r>
          </w:p>
        </w:tc>
      </w:tr>
      <w:tr w:rsidR="00DC0E27" w:rsidRPr="00E3419C" w14:paraId="376933DA" w14:textId="77777777" w:rsidTr="0009027B">
        <w:tc>
          <w:tcPr>
            <w:tcW w:w="3828" w:type="dxa"/>
            <w:shd w:val="clear" w:color="auto" w:fill="auto"/>
          </w:tcPr>
          <w:p w14:paraId="591C9897" w14:textId="77777777" w:rsidR="00DC0E27" w:rsidRPr="00E3419C" w:rsidRDefault="00DC0E27" w:rsidP="0009027B">
            <w:pPr>
              <w:pStyle w:val="Tabletext"/>
              <w:rPr>
                <w:sz w:val="16"/>
                <w:szCs w:val="14"/>
                <w:lang w:val="es-ES_tradnl"/>
              </w:rPr>
            </w:pPr>
            <w:r w:rsidRPr="00E3419C">
              <w:rPr>
                <w:sz w:val="16"/>
                <w:szCs w:val="16"/>
                <w:lang w:val="es-ES_tradnl"/>
              </w:rPr>
              <w:t>C1/1: Estrategias y políticas para el despliegue de la banda ancha en los países en desarrollo</w:t>
            </w:r>
          </w:p>
        </w:tc>
        <w:tc>
          <w:tcPr>
            <w:tcW w:w="3402" w:type="dxa"/>
            <w:tcBorders>
              <w:right w:val="single" w:sz="4" w:space="0" w:color="auto"/>
            </w:tcBorders>
          </w:tcPr>
          <w:p w14:paraId="3916C13C" w14:textId="77777777" w:rsidR="00DC0E27" w:rsidRPr="00E3419C" w:rsidRDefault="00DC0E27" w:rsidP="0009027B">
            <w:pPr>
              <w:pStyle w:val="Tabletext"/>
              <w:tabs>
                <w:tab w:val="clear" w:pos="2268"/>
              </w:tabs>
              <w:spacing w:before="0" w:after="0"/>
              <w:rPr>
                <w:sz w:val="18"/>
                <w:szCs w:val="16"/>
                <w:lang w:val="es-ES_tradnl"/>
              </w:rPr>
            </w:pPr>
            <w:r w:rsidRPr="00E3419C">
              <w:rPr>
                <w:noProof/>
                <w:lang w:val="es-ES_tradnl" w:eastAsia="zh-CN"/>
              </w:rPr>
              <w:drawing>
                <wp:inline distT="0" distB="0" distL="0" distR="0" wp14:anchorId="0DC9B873" wp14:editId="0EB5CCCD">
                  <wp:extent cx="367200" cy="40680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67200" cy="406800"/>
                          </a:xfrm>
                          <a:prstGeom prst="rect">
                            <a:avLst/>
                          </a:prstGeom>
                        </pic:spPr>
                      </pic:pic>
                    </a:graphicData>
                  </a:graphic>
                </wp:inline>
              </w:drawing>
            </w:r>
            <w:r w:rsidRPr="00E3419C">
              <w:rPr>
                <w:noProof/>
                <w:lang w:val="es-ES_tradnl" w:eastAsia="zh-CN"/>
              </w:rPr>
              <w:drawing>
                <wp:inline distT="0" distB="0" distL="0" distR="0" wp14:anchorId="6F7E90B6" wp14:editId="658297D1">
                  <wp:extent cx="367200" cy="40680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67200" cy="406800"/>
                          </a:xfrm>
                          <a:prstGeom prst="rect">
                            <a:avLst/>
                          </a:prstGeom>
                        </pic:spPr>
                      </pic:pic>
                    </a:graphicData>
                  </a:graphic>
                </wp:inline>
              </w:drawing>
            </w:r>
            <w:r w:rsidRPr="00E3419C">
              <w:rPr>
                <w:noProof/>
                <w:lang w:val="es-ES_tradnl" w:eastAsia="zh-CN"/>
              </w:rPr>
              <w:drawing>
                <wp:inline distT="0" distB="0" distL="0" distR="0" wp14:anchorId="5E0716F3" wp14:editId="510842F1">
                  <wp:extent cx="367200" cy="40680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67200" cy="406800"/>
                          </a:xfrm>
                          <a:prstGeom prst="rect">
                            <a:avLst/>
                          </a:prstGeom>
                        </pic:spPr>
                      </pic:pic>
                    </a:graphicData>
                  </a:graphic>
                </wp:inline>
              </w:drawing>
            </w:r>
            <w:r w:rsidRPr="00E3419C">
              <w:rPr>
                <w:sz w:val="18"/>
                <w:szCs w:val="16"/>
                <w:lang w:val="es-ES_tradnl"/>
              </w:rPr>
              <w:tab/>
            </w:r>
            <w:r w:rsidRPr="00E3419C">
              <w:rPr>
                <w:noProof/>
                <w:sz w:val="18"/>
                <w:szCs w:val="16"/>
                <w:lang w:val="es-ES_tradnl" w:eastAsia="zh-CN"/>
              </w:rPr>
              <w:drawing>
                <wp:inline distT="0" distB="0" distL="0" distR="0" wp14:anchorId="44FCE926" wp14:editId="3589293A">
                  <wp:extent cx="374400" cy="403200"/>
                  <wp:effectExtent l="0" t="0" r="6985" b="0"/>
                  <wp:docPr id="209" name="Picture 209" descr="C:\Users\Cormierr\AppData\Local\Microsoft\Windows\INetCache\Content.Wor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ormierr\AppData\Local\Microsoft\Windows\INetCache\Content.Word\C2.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r w:rsidRPr="00E3419C">
              <w:rPr>
                <w:noProof/>
                <w:sz w:val="18"/>
                <w:szCs w:val="16"/>
                <w:lang w:val="es-ES_tradnl" w:eastAsia="zh-CN"/>
              </w:rPr>
              <w:drawing>
                <wp:inline distT="0" distB="0" distL="0" distR="0" wp14:anchorId="69FF686A" wp14:editId="06559C41">
                  <wp:extent cx="374400" cy="403200"/>
                  <wp:effectExtent l="0" t="0" r="6985" b="0"/>
                  <wp:docPr id="210" name="Picture 210" descr="C:\Users\Cormierr\AppData\Local\Microsoft\Windows\INetCache\Content.Word\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ormierr\AppData\Local\Microsoft\Windows\INetCache\Content.Word\C6.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c>
          <w:tcPr>
            <w:tcW w:w="709" w:type="dxa"/>
            <w:tcBorders>
              <w:top w:val="nil"/>
              <w:left w:val="single" w:sz="4" w:space="0" w:color="auto"/>
              <w:bottom w:val="nil"/>
              <w:right w:val="single" w:sz="4" w:space="0" w:color="auto"/>
            </w:tcBorders>
          </w:tcPr>
          <w:p w14:paraId="38FFE640" w14:textId="77777777" w:rsidR="00DC0E27" w:rsidRPr="00E3419C" w:rsidRDefault="00DC0E27" w:rsidP="0009027B">
            <w:pPr>
              <w:jc w:val="center"/>
              <w:rPr>
                <w:szCs w:val="24"/>
                <w:lang w:val="es-ES_tradnl"/>
              </w:rPr>
            </w:pPr>
          </w:p>
        </w:tc>
        <w:tc>
          <w:tcPr>
            <w:tcW w:w="3827" w:type="dxa"/>
            <w:shd w:val="clear" w:color="auto" w:fill="auto"/>
          </w:tcPr>
          <w:p w14:paraId="4C30FBB8" w14:textId="77777777" w:rsidR="00DC0E27" w:rsidRPr="00E3419C" w:rsidRDefault="00DC0E27" w:rsidP="0009027B">
            <w:pPr>
              <w:pStyle w:val="Tabletext"/>
              <w:rPr>
                <w:sz w:val="16"/>
                <w:szCs w:val="14"/>
                <w:lang w:val="es-ES_tradnl"/>
              </w:rPr>
            </w:pPr>
            <w:r w:rsidRPr="00E3419C">
              <w:rPr>
                <w:sz w:val="16"/>
                <w:szCs w:val="16"/>
                <w:lang w:val="es-ES_tradnl"/>
              </w:rPr>
              <w:t>C1/2: Creación de ciudades y sociedades inteligentes: utilización de las TIC en pro del desarrollo socioeconómico sostenible</w:t>
            </w:r>
          </w:p>
        </w:tc>
        <w:tc>
          <w:tcPr>
            <w:tcW w:w="3402" w:type="dxa"/>
            <w:tcMar>
              <w:right w:w="0" w:type="dxa"/>
            </w:tcMar>
          </w:tcPr>
          <w:p w14:paraId="0E358CDA" w14:textId="77777777" w:rsidR="00DC0E27" w:rsidRPr="00E3419C" w:rsidRDefault="00DC0E27" w:rsidP="0009027B">
            <w:pPr>
              <w:pStyle w:val="Tabletext"/>
              <w:tabs>
                <w:tab w:val="clear" w:pos="2268"/>
                <w:tab w:val="clear" w:pos="2552"/>
                <w:tab w:val="clear" w:pos="2835"/>
                <w:tab w:val="clear" w:pos="3119"/>
                <w:tab w:val="clear" w:pos="3402"/>
                <w:tab w:val="left" w:pos="2551"/>
              </w:tabs>
              <w:ind w:right="885"/>
              <w:rPr>
                <w:sz w:val="18"/>
                <w:szCs w:val="16"/>
                <w:lang w:val="es-ES_tradnl"/>
              </w:rPr>
            </w:pPr>
            <w:r w:rsidRPr="00E3419C">
              <w:rPr>
                <w:noProof/>
                <w:lang w:val="es-ES_tradnl" w:eastAsia="zh-CN"/>
              </w:rPr>
              <w:drawing>
                <wp:inline distT="0" distB="0" distL="0" distR="0" wp14:anchorId="1D5812C0" wp14:editId="56D41EE0">
                  <wp:extent cx="370800" cy="40680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70800" cy="406800"/>
                          </a:xfrm>
                          <a:prstGeom prst="rect">
                            <a:avLst/>
                          </a:prstGeom>
                        </pic:spPr>
                      </pic:pic>
                    </a:graphicData>
                  </a:graphic>
                </wp:inline>
              </w:drawing>
            </w:r>
            <w:r w:rsidRPr="00E3419C">
              <w:rPr>
                <w:noProof/>
                <w:lang w:val="es-ES_tradnl" w:eastAsia="zh-CN"/>
              </w:rPr>
              <w:drawing>
                <wp:inline distT="0" distB="0" distL="0" distR="0" wp14:anchorId="22B14A06" wp14:editId="06718912">
                  <wp:extent cx="370800" cy="40680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70800" cy="406800"/>
                          </a:xfrm>
                          <a:prstGeom prst="rect">
                            <a:avLst/>
                          </a:prstGeom>
                        </pic:spPr>
                      </pic:pic>
                    </a:graphicData>
                  </a:graphic>
                </wp:inline>
              </w:drawing>
            </w:r>
            <w:r w:rsidRPr="00E3419C">
              <w:rPr>
                <w:noProof/>
                <w:lang w:val="es-ES_tradnl" w:eastAsia="zh-CN"/>
              </w:rPr>
              <w:drawing>
                <wp:inline distT="0" distB="0" distL="0" distR="0" wp14:anchorId="4CA4368E" wp14:editId="52CDB635">
                  <wp:extent cx="370800" cy="4068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70800" cy="406800"/>
                          </a:xfrm>
                          <a:prstGeom prst="rect">
                            <a:avLst/>
                          </a:prstGeom>
                        </pic:spPr>
                      </pic:pic>
                    </a:graphicData>
                  </a:graphic>
                </wp:inline>
              </w:drawing>
            </w:r>
            <w:r w:rsidRPr="00E3419C">
              <w:rPr>
                <w:noProof/>
                <w:lang w:val="es-ES_tradnl" w:eastAsia="zh-CN"/>
              </w:rPr>
              <w:drawing>
                <wp:inline distT="0" distB="0" distL="0" distR="0" wp14:anchorId="38D3FA2D" wp14:editId="373171E8">
                  <wp:extent cx="370800" cy="4068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0800" cy="406800"/>
                          </a:xfrm>
                          <a:prstGeom prst="rect">
                            <a:avLst/>
                          </a:prstGeom>
                        </pic:spPr>
                      </pic:pic>
                    </a:graphicData>
                  </a:graphic>
                </wp:inline>
              </w:drawing>
            </w:r>
            <w:r w:rsidRPr="00E3419C">
              <w:rPr>
                <w:noProof/>
                <w:lang w:val="es-ES_tradnl" w:eastAsia="zh-CN"/>
              </w:rPr>
              <w:t xml:space="preserve"> </w:t>
            </w:r>
            <w:r w:rsidRPr="00E3419C">
              <w:rPr>
                <w:noProof/>
                <w:lang w:val="es-ES_tradnl" w:eastAsia="zh-CN"/>
              </w:rPr>
              <w:tab/>
            </w:r>
            <w:r w:rsidRPr="00E3419C">
              <w:rPr>
                <w:noProof/>
                <w:sz w:val="18"/>
                <w:szCs w:val="16"/>
                <w:lang w:val="es-ES_tradnl" w:eastAsia="zh-CN"/>
              </w:rPr>
              <w:drawing>
                <wp:inline distT="0" distB="0" distL="0" distR="0" wp14:anchorId="7EEB97C9" wp14:editId="2F2AF74D">
                  <wp:extent cx="370800" cy="406800"/>
                  <wp:effectExtent l="0" t="0" r="0" b="0"/>
                  <wp:docPr id="215" name="Picture 215" descr="C:\Users\Cormierr\AppData\Local\Microsoft\Windows\INetCache\Content.Word\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Cormierr\AppData\Local\Microsoft\Windows\INetCache\Content.Word\C7.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0800" cy="406800"/>
                          </a:xfrm>
                          <a:prstGeom prst="rect">
                            <a:avLst/>
                          </a:prstGeom>
                          <a:noFill/>
                          <a:ln>
                            <a:noFill/>
                          </a:ln>
                        </pic:spPr>
                      </pic:pic>
                    </a:graphicData>
                  </a:graphic>
                </wp:inline>
              </w:drawing>
            </w:r>
          </w:p>
        </w:tc>
      </w:tr>
      <w:tr w:rsidR="00DC0E27" w:rsidRPr="00E3419C" w14:paraId="4E079EE1" w14:textId="77777777" w:rsidTr="0009027B">
        <w:tc>
          <w:tcPr>
            <w:tcW w:w="3828" w:type="dxa"/>
            <w:shd w:val="clear" w:color="auto" w:fill="auto"/>
          </w:tcPr>
          <w:p w14:paraId="59F715EC" w14:textId="77777777" w:rsidR="00DC0E27" w:rsidRPr="00E3419C" w:rsidRDefault="00DC0E27" w:rsidP="0009027B">
            <w:pPr>
              <w:pStyle w:val="Tabletext"/>
              <w:rPr>
                <w:sz w:val="16"/>
                <w:szCs w:val="14"/>
                <w:lang w:val="es-ES_tradnl"/>
              </w:rPr>
            </w:pPr>
            <w:r w:rsidRPr="00E3419C">
              <w:rPr>
                <w:sz w:val="16"/>
                <w:szCs w:val="16"/>
                <w:lang w:val="es-ES_tradnl"/>
              </w:rPr>
              <w:t>C2/1: Estrategias, políticas, reglamentación y métodos para la transición y adopción de la radiodifusión digital e implantación de nuevos servicios</w:t>
            </w:r>
          </w:p>
        </w:tc>
        <w:tc>
          <w:tcPr>
            <w:tcW w:w="3402" w:type="dxa"/>
            <w:tcBorders>
              <w:right w:val="single" w:sz="4" w:space="0" w:color="auto"/>
            </w:tcBorders>
          </w:tcPr>
          <w:p w14:paraId="7710F5DE" w14:textId="77777777" w:rsidR="00DC0E27" w:rsidRPr="00E3419C" w:rsidRDefault="00DC0E27" w:rsidP="0009027B">
            <w:pPr>
              <w:pStyle w:val="Tabletext"/>
              <w:rPr>
                <w:sz w:val="18"/>
                <w:szCs w:val="16"/>
                <w:lang w:val="es-ES_tradnl"/>
              </w:rPr>
            </w:pPr>
            <w:r w:rsidRPr="00E3419C">
              <w:rPr>
                <w:noProof/>
                <w:lang w:val="es-ES_tradnl" w:eastAsia="zh-CN"/>
              </w:rPr>
              <w:drawing>
                <wp:inline distT="0" distB="0" distL="0" distR="0" wp14:anchorId="1E5E136D" wp14:editId="1A1BF6E5">
                  <wp:extent cx="374400" cy="403200"/>
                  <wp:effectExtent l="0" t="0" r="6985"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74400" cy="403200"/>
                          </a:xfrm>
                          <a:prstGeom prst="rect">
                            <a:avLst/>
                          </a:prstGeom>
                        </pic:spPr>
                      </pic:pic>
                    </a:graphicData>
                  </a:graphic>
                </wp:inline>
              </w:drawing>
            </w:r>
            <w:r w:rsidRPr="00E3419C">
              <w:rPr>
                <w:noProof/>
                <w:lang w:val="es-ES_tradnl" w:eastAsia="zh-CN"/>
              </w:rPr>
              <w:drawing>
                <wp:inline distT="0" distB="0" distL="0" distR="0" wp14:anchorId="3DDB6ECE" wp14:editId="2636B6D8">
                  <wp:extent cx="374400" cy="403200"/>
                  <wp:effectExtent l="0" t="0" r="6985"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74400" cy="403200"/>
                          </a:xfrm>
                          <a:prstGeom prst="rect">
                            <a:avLst/>
                          </a:prstGeom>
                        </pic:spPr>
                      </pic:pic>
                    </a:graphicData>
                  </a:graphic>
                </wp:inline>
              </w:drawing>
            </w:r>
            <w:r w:rsidRPr="00E3419C">
              <w:rPr>
                <w:noProof/>
                <w:lang w:val="es-ES_tradnl" w:eastAsia="zh-CN"/>
              </w:rPr>
              <w:tab/>
            </w:r>
            <w:r w:rsidRPr="00E3419C">
              <w:rPr>
                <w:noProof/>
                <w:lang w:val="es-ES_tradnl" w:eastAsia="zh-CN"/>
              </w:rPr>
              <w:tab/>
            </w:r>
            <w:r w:rsidRPr="00E3419C">
              <w:rPr>
                <w:noProof/>
                <w:lang w:val="es-ES_tradnl" w:eastAsia="zh-CN"/>
              </w:rPr>
              <w:tab/>
            </w:r>
            <w:r w:rsidRPr="00E3419C">
              <w:rPr>
                <w:noProof/>
                <w:lang w:val="es-ES_tradnl" w:eastAsia="zh-CN"/>
              </w:rPr>
              <w:tab/>
            </w:r>
            <w:r w:rsidRPr="00E3419C">
              <w:rPr>
                <w:noProof/>
                <w:lang w:val="es-ES_tradnl" w:eastAsia="zh-CN"/>
              </w:rPr>
              <w:tab/>
            </w:r>
            <w:r w:rsidRPr="00E3419C">
              <w:rPr>
                <w:noProof/>
                <w:sz w:val="18"/>
                <w:szCs w:val="16"/>
                <w:lang w:val="es-ES_tradnl" w:eastAsia="zh-CN"/>
              </w:rPr>
              <w:drawing>
                <wp:inline distT="0" distB="0" distL="0" distR="0" wp14:anchorId="1C11466D" wp14:editId="5DC781C9">
                  <wp:extent cx="374400" cy="403200"/>
                  <wp:effectExtent l="0" t="0" r="6985" b="0"/>
                  <wp:docPr id="218" name="Picture 218" descr="C:\Users\Cormierr\AppData\Local\Microsoft\Windows\INetCache\Content.Wor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ormierr\AppData\Local\Microsoft\Windows\INetCache\Content.Word\C2.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c>
          <w:tcPr>
            <w:tcW w:w="709" w:type="dxa"/>
            <w:tcBorders>
              <w:top w:val="nil"/>
              <w:left w:val="single" w:sz="4" w:space="0" w:color="auto"/>
              <w:bottom w:val="nil"/>
              <w:right w:val="single" w:sz="4" w:space="0" w:color="auto"/>
            </w:tcBorders>
          </w:tcPr>
          <w:p w14:paraId="60B53E82" w14:textId="77777777" w:rsidR="00DC0E27" w:rsidRPr="00E3419C" w:rsidRDefault="00DC0E27" w:rsidP="0009027B">
            <w:pPr>
              <w:jc w:val="center"/>
              <w:rPr>
                <w:szCs w:val="24"/>
                <w:lang w:val="es-ES_tradnl"/>
              </w:rPr>
            </w:pPr>
          </w:p>
        </w:tc>
        <w:tc>
          <w:tcPr>
            <w:tcW w:w="3827" w:type="dxa"/>
            <w:shd w:val="clear" w:color="auto" w:fill="auto"/>
          </w:tcPr>
          <w:p w14:paraId="242BDA9E" w14:textId="77777777" w:rsidR="00DC0E27" w:rsidRPr="00E3419C" w:rsidRDefault="00DC0E27" w:rsidP="0009027B">
            <w:pPr>
              <w:pStyle w:val="Tabletext"/>
              <w:rPr>
                <w:sz w:val="16"/>
                <w:szCs w:val="14"/>
                <w:lang w:val="es-ES_tradnl"/>
              </w:rPr>
            </w:pPr>
            <w:r w:rsidRPr="00E3419C">
              <w:rPr>
                <w:sz w:val="16"/>
                <w:szCs w:val="16"/>
                <w:lang w:val="es-ES_tradnl"/>
              </w:rPr>
              <w:t>C2/2: Telecomunicaciones/TIC para la cibersalud</w:t>
            </w:r>
          </w:p>
        </w:tc>
        <w:tc>
          <w:tcPr>
            <w:tcW w:w="3402" w:type="dxa"/>
            <w:tcMar>
              <w:right w:w="0" w:type="dxa"/>
            </w:tcMar>
          </w:tcPr>
          <w:p w14:paraId="416EADA0" w14:textId="77777777" w:rsidR="00DC0E27" w:rsidRPr="00E3419C" w:rsidRDefault="00DC0E27" w:rsidP="0009027B">
            <w:pPr>
              <w:pStyle w:val="Tabletext"/>
              <w:rPr>
                <w:sz w:val="18"/>
                <w:szCs w:val="16"/>
                <w:lang w:val="es-ES_tradnl"/>
              </w:rPr>
            </w:pPr>
            <w:r w:rsidRPr="00E3419C">
              <w:rPr>
                <w:noProof/>
                <w:lang w:val="es-ES_tradnl" w:eastAsia="zh-CN"/>
              </w:rPr>
              <w:drawing>
                <wp:inline distT="0" distB="0" distL="0" distR="0" wp14:anchorId="49CAF315" wp14:editId="09DC3829">
                  <wp:extent cx="374400" cy="403200"/>
                  <wp:effectExtent l="0" t="0" r="6985"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74400" cy="403200"/>
                          </a:xfrm>
                          <a:prstGeom prst="rect">
                            <a:avLst/>
                          </a:prstGeom>
                        </pic:spPr>
                      </pic:pic>
                    </a:graphicData>
                  </a:graphic>
                </wp:inline>
              </w:drawing>
            </w:r>
            <w:r w:rsidRPr="00E3419C">
              <w:rPr>
                <w:noProof/>
                <w:lang w:val="es-ES_tradnl" w:eastAsia="zh-CN"/>
              </w:rPr>
              <w:drawing>
                <wp:inline distT="0" distB="0" distL="0" distR="0" wp14:anchorId="606333F7" wp14:editId="58CD77FA">
                  <wp:extent cx="374400" cy="403200"/>
                  <wp:effectExtent l="0" t="0" r="6985"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74400" cy="403200"/>
                          </a:xfrm>
                          <a:prstGeom prst="rect">
                            <a:avLst/>
                          </a:prstGeom>
                        </pic:spPr>
                      </pic:pic>
                    </a:graphicData>
                  </a:graphic>
                </wp:inline>
              </w:drawing>
            </w:r>
            <w:r w:rsidRPr="00E3419C">
              <w:rPr>
                <w:noProof/>
                <w:lang w:val="es-ES_tradnl" w:eastAsia="zh-CN"/>
              </w:rPr>
              <w:t xml:space="preserve"> </w:t>
            </w:r>
            <w:r w:rsidRPr="00E3419C">
              <w:rPr>
                <w:noProof/>
                <w:sz w:val="18"/>
                <w:szCs w:val="16"/>
                <w:lang w:val="es-ES_tradnl" w:eastAsia="zh-CN"/>
              </w:rPr>
              <w:tab/>
            </w:r>
            <w:r w:rsidRPr="00E3419C">
              <w:rPr>
                <w:noProof/>
                <w:sz w:val="18"/>
                <w:szCs w:val="16"/>
                <w:lang w:val="es-ES_tradnl" w:eastAsia="zh-CN"/>
              </w:rPr>
              <w:tab/>
            </w:r>
            <w:r w:rsidRPr="00E3419C">
              <w:rPr>
                <w:noProof/>
                <w:sz w:val="18"/>
                <w:szCs w:val="16"/>
                <w:lang w:val="es-ES_tradnl" w:eastAsia="zh-CN"/>
              </w:rPr>
              <w:tab/>
            </w:r>
            <w:r w:rsidRPr="00E3419C">
              <w:rPr>
                <w:noProof/>
                <w:sz w:val="18"/>
                <w:szCs w:val="16"/>
                <w:lang w:val="es-ES_tradnl" w:eastAsia="zh-CN"/>
              </w:rPr>
              <w:drawing>
                <wp:inline distT="0" distB="0" distL="0" distR="0" wp14:anchorId="5D808537" wp14:editId="26836F31">
                  <wp:extent cx="374400" cy="403200"/>
                  <wp:effectExtent l="0" t="0" r="6985" b="0"/>
                  <wp:docPr id="221" name="Picture 221" descr="C:\Users\Cormierr\AppData\Local\Microsoft\Windows\INetCache\Content.Wor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ormierr\AppData\Local\Microsoft\Windows\INetCache\Content.Word\C2.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r w:rsidRPr="00E3419C">
              <w:rPr>
                <w:noProof/>
                <w:sz w:val="18"/>
                <w:szCs w:val="16"/>
                <w:lang w:val="es-ES_tradnl" w:eastAsia="zh-CN"/>
              </w:rPr>
              <w:drawing>
                <wp:inline distT="0" distB="0" distL="0" distR="0" wp14:anchorId="1B4D66F9" wp14:editId="03740C78">
                  <wp:extent cx="374400" cy="403200"/>
                  <wp:effectExtent l="0" t="0" r="6985" b="0"/>
                  <wp:docPr id="222" name="Picture 222" descr="C:\Users\Cormierr\AppData\Local\Microsoft\Windows\INetCache\Content.Word\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Cormierr\AppData\Local\Microsoft\Windows\INetCache\Content.Word\C7.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r>
      <w:tr w:rsidR="00DC0E27" w:rsidRPr="00E3419C" w14:paraId="09EE9921" w14:textId="77777777" w:rsidTr="0009027B">
        <w:tc>
          <w:tcPr>
            <w:tcW w:w="3828" w:type="dxa"/>
            <w:shd w:val="clear" w:color="auto" w:fill="auto"/>
          </w:tcPr>
          <w:p w14:paraId="1566E9B8" w14:textId="77777777" w:rsidR="00DC0E27" w:rsidRPr="00E3419C" w:rsidRDefault="00DC0E27" w:rsidP="0009027B">
            <w:pPr>
              <w:pStyle w:val="Tabletext"/>
              <w:rPr>
                <w:sz w:val="16"/>
                <w:szCs w:val="14"/>
                <w:lang w:val="es-ES_tradnl"/>
              </w:rPr>
            </w:pPr>
            <w:r w:rsidRPr="00E3419C">
              <w:rPr>
                <w:sz w:val="16"/>
                <w:szCs w:val="16"/>
                <w:lang w:val="es-ES_tradnl"/>
              </w:rPr>
              <w:t>C3/1: Nuevas tecnologías, incluida la computación en la nube, los servicios móviles y los servicios superpuestos (OTT): retos, oportunidades e impacto económico y político para los países en desarrollo</w:t>
            </w:r>
          </w:p>
        </w:tc>
        <w:tc>
          <w:tcPr>
            <w:tcW w:w="3402" w:type="dxa"/>
            <w:tcBorders>
              <w:right w:val="single" w:sz="4" w:space="0" w:color="auto"/>
            </w:tcBorders>
          </w:tcPr>
          <w:p w14:paraId="2820F25D" w14:textId="77777777" w:rsidR="00DC0E27" w:rsidRPr="00E3419C" w:rsidRDefault="00DC0E27" w:rsidP="0009027B">
            <w:pPr>
              <w:pStyle w:val="Tabletext"/>
              <w:rPr>
                <w:noProof/>
                <w:lang w:val="es-ES_tradnl" w:eastAsia="zh-CN"/>
              </w:rPr>
            </w:pPr>
            <w:r w:rsidRPr="00E3419C">
              <w:rPr>
                <w:noProof/>
                <w:lang w:val="es-ES_tradnl" w:eastAsia="zh-CN"/>
              </w:rPr>
              <w:drawing>
                <wp:inline distT="0" distB="0" distL="0" distR="0" wp14:anchorId="160EF8F1" wp14:editId="5770E282">
                  <wp:extent cx="374400" cy="403200"/>
                  <wp:effectExtent l="0" t="0" r="6985"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74400" cy="403200"/>
                          </a:xfrm>
                          <a:prstGeom prst="rect">
                            <a:avLst/>
                          </a:prstGeom>
                        </pic:spPr>
                      </pic:pic>
                    </a:graphicData>
                  </a:graphic>
                </wp:inline>
              </w:drawing>
            </w:r>
            <w:r w:rsidRPr="00E3419C">
              <w:rPr>
                <w:noProof/>
                <w:lang w:val="es-ES_tradnl" w:eastAsia="zh-CN"/>
              </w:rPr>
              <w:drawing>
                <wp:inline distT="0" distB="0" distL="0" distR="0" wp14:anchorId="20AE6E78" wp14:editId="5ED0B1E1">
                  <wp:extent cx="374400" cy="403200"/>
                  <wp:effectExtent l="0" t="0" r="6985"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74400" cy="403200"/>
                          </a:xfrm>
                          <a:prstGeom prst="rect">
                            <a:avLst/>
                          </a:prstGeom>
                        </pic:spPr>
                      </pic:pic>
                    </a:graphicData>
                  </a:graphic>
                </wp:inline>
              </w:drawing>
            </w:r>
            <w:r w:rsidRPr="00E3419C">
              <w:rPr>
                <w:noProof/>
                <w:lang w:val="es-ES_tradnl" w:eastAsia="zh-CN"/>
              </w:rPr>
              <w:drawing>
                <wp:inline distT="0" distB="0" distL="0" distR="0" wp14:anchorId="0744FF1A" wp14:editId="7CFB2D4F">
                  <wp:extent cx="374400" cy="403200"/>
                  <wp:effectExtent l="0" t="0" r="6985"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74400" cy="403200"/>
                          </a:xfrm>
                          <a:prstGeom prst="rect">
                            <a:avLst/>
                          </a:prstGeom>
                        </pic:spPr>
                      </pic:pic>
                    </a:graphicData>
                  </a:graphic>
                </wp:inline>
              </w:drawing>
            </w:r>
            <w:r w:rsidRPr="00E3419C">
              <w:rPr>
                <w:noProof/>
                <w:lang w:val="es-ES_tradnl" w:eastAsia="zh-CN"/>
              </w:rPr>
              <w:drawing>
                <wp:inline distT="0" distB="0" distL="0" distR="0" wp14:anchorId="4B0617A0" wp14:editId="43C52C91">
                  <wp:extent cx="373380" cy="424282"/>
                  <wp:effectExtent l="0" t="0" r="7620" b="0"/>
                  <wp:docPr id="226" name="Picture 226" descr="C:\Users\Cormierr\AppData\Local\Microsoft\Windows\INetCache\Content.Word\OD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Cormierr\AppData\Local\Microsoft\Windows\INetCache\Content.Word\ODD12.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80544" cy="432423"/>
                          </a:xfrm>
                          <a:prstGeom prst="rect">
                            <a:avLst/>
                          </a:prstGeom>
                          <a:noFill/>
                          <a:ln>
                            <a:noFill/>
                          </a:ln>
                        </pic:spPr>
                      </pic:pic>
                    </a:graphicData>
                  </a:graphic>
                </wp:inline>
              </w:drawing>
            </w:r>
          </w:p>
          <w:p w14:paraId="12FEAE4F" w14:textId="77777777" w:rsidR="00DC0E27" w:rsidRPr="00E3419C" w:rsidRDefault="00DC0E27" w:rsidP="0009027B">
            <w:pPr>
              <w:pStyle w:val="Tabletext"/>
              <w:jc w:val="right"/>
              <w:rPr>
                <w:sz w:val="18"/>
                <w:szCs w:val="16"/>
                <w:lang w:val="es-ES_tradnl"/>
              </w:rPr>
            </w:pPr>
            <w:r w:rsidRPr="00E3419C">
              <w:rPr>
                <w:noProof/>
                <w:sz w:val="18"/>
                <w:szCs w:val="16"/>
                <w:lang w:val="es-ES_tradnl" w:eastAsia="zh-CN"/>
              </w:rPr>
              <w:tab/>
            </w:r>
            <w:r w:rsidRPr="00E3419C">
              <w:rPr>
                <w:noProof/>
                <w:sz w:val="18"/>
                <w:szCs w:val="16"/>
                <w:lang w:val="es-ES_tradnl" w:eastAsia="zh-CN"/>
              </w:rPr>
              <w:tab/>
            </w:r>
            <w:r w:rsidRPr="00E3419C">
              <w:rPr>
                <w:noProof/>
                <w:sz w:val="18"/>
                <w:szCs w:val="16"/>
                <w:lang w:val="es-ES_tradnl" w:eastAsia="zh-CN"/>
              </w:rPr>
              <w:tab/>
            </w:r>
            <w:r w:rsidRPr="00E3419C">
              <w:rPr>
                <w:noProof/>
                <w:sz w:val="18"/>
                <w:szCs w:val="16"/>
                <w:lang w:val="es-ES_tradnl" w:eastAsia="zh-CN"/>
              </w:rPr>
              <w:tab/>
            </w:r>
            <w:r w:rsidRPr="00E3419C">
              <w:rPr>
                <w:noProof/>
                <w:sz w:val="18"/>
                <w:szCs w:val="16"/>
                <w:lang w:val="es-ES_tradnl" w:eastAsia="zh-CN"/>
              </w:rPr>
              <w:drawing>
                <wp:inline distT="0" distB="0" distL="0" distR="0" wp14:anchorId="7E4B8F8A" wp14:editId="33CE8B4F">
                  <wp:extent cx="374400" cy="403200"/>
                  <wp:effectExtent l="0" t="0" r="6985" b="0"/>
                  <wp:docPr id="227" name="Picture 227" descr="C:\Users\Cormierr\AppData\Local\Microsoft\Windows\INetCache\Content.Wor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ormierr\AppData\Local\Microsoft\Windows\INetCache\Content.Word\C2.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r w:rsidRPr="00E3419C">
              <w:rPr>
                <w:noProof/>
                <w:sz w:val="18"/>
                <w:szCs w:val="16"/>
                <w:lang w:val="es-ES_tradnl" w:eastAsia="zh-CN"/>
              </w:rPr>
              <w:drawing>
                <wp:inline distT="0" distB="0" distL="0" distR="0" wp14:anchorId="15C31803" wp14:editId="787CFB69">
                  <wp:extent cx="374400" cy="403200"/>
                  <wp:effectExtent l="0" t="0" r="6985" b="0"/>
                  <wp:docPr id="228" name="Picture 228" descr="C:\Users\Cormierr\AppData\Local\Microsoft\Windows\INetCache\Content.Word\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ormierr\AppData\Local\Microsoft\Windows\INetCache\Content.Word\C6.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r w:rsidRPr="00E3419C">
              <w:rPr>
                <w:noProof/>
                <w:sz w:val="18"/>
                <w:szCs w:val="16"/>
                <w:lang w:val="es-ES_tradnl" w:eastAsia="zh-CN"/>
              </w:rPr>
              <w:drawing>
                <wp:inline distT="0" distB="0" distL="0" distR="0" wp14:anchorId="6DC5E08E" wp14:editId="5B4499B3">
                  <wp:extent cx="374400" cy="403200"/>
                  <wp:effectExtent l="0" t="0" r="6985" b="0"/>
                  <wp:docPr id="229" name="Picture 229" descr="C:\Users\Cormierr\AppData\Local\Microsoft\Windows\INetCache\Content.Word\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Cormierr\AppData\Local\Microsoft\Windows\INetCache\Content.Word\C7.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c>
          <w:tcPr>
            <w:tcW w:w="709" w:type="dxa"/>
            <w:tcBorders>
              <w:top w:val="nil"/>
              <w:left w:val="single" w:sz="4" w:space="0" w:color="auto"/>
              <w:bottom w:val="nil"/>
              <w:right w:val="single" w:sz="4" w:space="0" w:color="auto"/>
            </w:tcBorders>
          </w:tcPr>
          <w:p w14:paraId="4F71BBFA" w14:textId="77777777" w:rsidR="00DC0E27" w:rsidRPr="00E3419C" w:rsidRDefault="00DC0E27" w:rsidP="0009027B">
            <w:pPr>
              <w:jc w:val="center"/>
              <w:rPr>
                <w:szCs w:val="24"/>
                <w:lang w:val="es-ES_tradnl"/>
              </w:rPr>
            </w:pPr>
          </w:p>
        </w:tc>
        <w:tc>
          <w:tcPr>
            <w:tcW w:w="3827" w:type="dxa"/>
            <w:shd w:val="clear" w:color="auto" w:fill="auto"/>
          </w:tcPr>
          <w:p w14:paraId="59455743" w14:textId="77777777" w:rsidR="00DC0E27" w:rsidRPr="00E3419C" w:rsidRDefault="00DC0E27" w:rsidP="0009027B">
            <w:pPr>
              <w:pStyle w:val="Tabletext"/>
              <w:rPr>
                <w:sz w:val="16"/>
                <w:szCs w:val="14"/>
                <w:lang w:val="es-ES_tradnl"/>
              </w:rPr>
            </w:pPr>
            <w:r w:rsidRPr="00E3419C">
              <w:rPr>
                <w:sz w:val="16"/>
                <w:szCs w:val="16"/>
                <w:lang w:val="es-ES_tradnl"/>
              </w:rPr>
              <w:t>C3/2: Seguridad en las redes de información y comunicación: prácticas óptimas para el desarrollo de una cultura de ciberseguridad</w:t>
            </w:r>
          </w:p>
        </w:tc>
        <w:tc>
          <w:tcPr>
            <w:tcW w:w="3402" w:type="dxa"/>
            <w:tcMar>
              <w:right w:w="0" w:type="dxa"/>
            </w:tcMar>
          </w:tcPr>
          <w:p w14:paraId="54317F54" w14:textId="77777777" w:rsidR="00DC0E27" w:rsidRPr="00E3419C" w:rsidRDefault="00DC0E27" w:rsidP="0009027B">
            <w:pPr>
              <w:pStyle w:val="Tabletext"/>
              <w:rPr>
                <w:sz w:val="18"/>
                <w:szCs w:val="16"/>
                <w:lang w:val="es-ES_tradnl"/>
              </w:rPr>
            </w:pPr>
            <w:r w:rsidRPr="00E3419C">
              <w:rPr>
                <w:noProof/>
                <w:lang w:val="es-ES_tradnl" w:eastAsia="zh-CN"/>
              </w:rPr>
              <w:drawing>
                <wp:inline distT="0" distB="0" distL="0" distR="0" wp14:anchorId="71C95A71" wp14:editId="549F88E7">
                  <wp:extent cx="374400" cy="403200"/>
                  <wp:effectExtent l="0" t="0" r="6985"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74400" cy="403200"/>
                          </a:xfrm>
                          <a:prstGeom prst="rect">
                            <a:avLst/>
                          </a:prstGeom>
                        </pic:spPr>
                      </pic:pic>
                    </a:graphicData>
                  </a:graphic>
                </wp:inline>
              </w:drawing>
            </w:r>
            <w:r w:rsidRPr="00E3419C">
              <w:rPr>
                <w:noProof/>
                <w:lang w:val="es-ES_tradnl" w:eastAsia="zh-CN"/>
              </w:rPr>
              <w:drawing>
                <wp:inline distT="0" distB="0" distL="0" distR="0" wp14:anchorId="0753D678" wp14:editId="36577730">
                  <wp:extent cx="374400" cy="403200"/>
                  <wp:effectExtent l="0" t="0" r="6985"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74400" cy="403200"/>
                          </a:xfrm>
                          <a:prstGeom prst="rect">
                            <a:avLst/>
                          </a:prstGeom>
                        </pic:spPr>
                      </pic:pic>
                    </a:graphicData>
                  </a:graphic>
                </wp:inline>
              </w:drawing>
            </w:r>
            <w:r w:rsidRPr="00E3419C">
              <w:rPr>
                <w:noProof/>
                <w:lang w:val="es-ES_tradnl" w:eastAsia="zh-CN"/>
              </w:rPr>
              <w:drawing>
                <wp:inline distT="0" distB="0" distL="0" distR="0" wp14:anchorId="54842BC0" wp14:editId="6D8F513E">
                  <wp:extent cx="374400" cy="403200"/>
                  <wp:effectExtent l="0" t="0" r="6985"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4400" cy="403200"/>
                          </a:xfrm>
                          <a:prstGeom prst="rect">
                            <a:avLst/>
                          </a:prstGeom>
                        </pic:spPr>
                      </pic:pic>
                    </a:graphicData>
                  </a:graphic>
                </wp:inline>
              </w:drawing>
            </w:r>
            <w:r w:rsidRPr="00E3419C">
              <w:rPr>
                <w:sz w:val="18"/>
                <w:szCs w:val="16"/>
                <w:lang w:val="es-ES_tradnl"/>
              </w:rPr>
              <w:tab/>
            </w:r>
            <w:r w:rsidRPr="00E3419C">
              <w:rPr>
                <w:sz w:val="18"/>
                <w:szCs w:val="16"/>
                <w:lang w:val="es-ES_tradnl"/>
              </w:rPr>
              <w:tab/>
            </w:r>
            <w:r w:rsidRPr="00E3419C">
              <w:rPr>
                <w:sz w:val="18"/>
                <w:szCs w:val="16"/>
                <w:lang w:val="es-ES_tradnl"/>
              </w:rPr>
              <w:tab/>
            </w:r>
            <w:r w:rsidRPr="00E3419C">
              <w:rPr>
                <w:noProof/>
                <w:lang w:val="es-ES_tradnl" w:eastAsia="zh-CN"/>
              </w:rPr>
              <w:drawing>
                <wp:inline distT="0" distB="0" distL="0" distR="0" wp14:anchorId="2E2CB854" wp14:editId="04A82B49">
                  <wp:extent cx="373834" cy="402590"/>
                  <wp:effectExtent l="0" t="0" r="762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81524" cy="410872"/>
                          </a:xfrm>
                          <a:prstGeom prst="rect">
                            <a:avLst/>
                          </a:prstGeom>
                        </pic:spPr>
                      </pic:pic>
                    </a:graphicData>
                  </a:graphic>
                </wp:inline>
              </w:drawing>
            </w:r>
          </w:p>
        </w:tc>
      </w:tr>
      <w:tr w:rsidR="00DC0E27" w:rsidRPr="00E3419C" w14:paraId="135E2807" w14:textId="77777777" w:rsidTr="0009027B">
        <w:tc>
          <w:tcPr>
            <w:tcW w:w="3828" w:type="dxa"/>
            <w:shd w:val="clear" w:color="auto" w:fill="auto"/>
          </w:tcPr>
          <w:p w14:paraId="217531C6" w14:textId="77777777" w:rsidR="00DC0E27" w:rsidRPr="00E3419C" w:rsidRDefault="00DC0E27" w:rsidP="0009027B">
            <w:pPr>
              <w:pStyle w:val="Tabletext"/>
              <w:rPr>
                <w:sz w:val="16"/>
                <w:szCs w:val="14"/>
                <w:lang w:val="es-ES_tradnl"/>
              </w:rPr>
            </w:pPr>
            <w:r w:rsidRPr="00E3419C">
              <w:rPr>
                <w:sz w:val="16"/>
                <w:szCs w:val="16"/>
                <w:lang w:val="es-ES_tradnl"/>
              </w:rPr>
              <w:t>C4/1: Políticas económicas y métodos de determinación de costos de los servicios relativos a las redes nacionales de telecomunicaciones/TIC</w:t>
            </w:r>
          </w:p>
        </w:tc>
        <w:tc>
          <w:tcPr>
            <w:tcW w:w="3402" w:type="dxa"/>
            <w:tcBorders>
              <w:right w:val="single" w:sz="4" w:space="0" w:color="auto"/>
            </w:tcBorders>
          </w:tcPr>
          <w:p w14:paraId="280347E8" w14:textId="77777777" w:rsidR="00DC0E27" w:rsidRPr="00E3419C" w:rsidRDefault="00DC0E27" w:rsidP="0009027B">
            <w:pPr>
              <w:pStyle w:val="Tabletext"/>
              <w:rPr>
                <w:sz w:val="18"/>
                <w:szCs w:val="16"/>
                <w:lang w:val="es-ES_tradnl"/>
              </w:rPr>
            </w:pPr>
            <w:r w:rsidRPr="00E3419C">
              <w:rPr>
                <w:noProof/>
                <w:lang w:val="es-ES_tradnl" w:eastAsia="zh-CN"/>
              </w:rPr>
              <w:drawing>
                <wp:inline distT="0" distB="0" distL="0" distR="0" wp14:anchorId="42914EE9" wp14:editId="5B8D0DBF">
                  <wp:extent cx="374400" cy="403200"/>
                  <wp:effectExtent l="0" t="0" r="6985"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74400" cy="403200"/>
                          </a:xfrm>
                          <a:prstGeom prst="rect">
                            <a:avLst/>
                          </a:prstGeom>
                        </pic:spPr>
                      </pic:pic>
                    </a:graphicData>
                  </a:graphic>
                </wp:inline>
              </w:drawing>
            </w:r>
            <w:r w:rsidRPr="00E3419C">
              <w:rPr>
                <w:noProof/>
                <w:lang w:val="es-ES_tradnl" w:eastAsia="zh-CN"/>
              </w:rPr>
              <w:drawing>
                <wp:inline distT="0" distB="0" distL="0" distR="0" wp14:anchorId="4D552EB4" wp14:editId="57ED92D2">
                  <wp:extent cx="374400" cy="403200"/>
                  <wp:effectExtent l="0" t="0" r="6985"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74400" cy="403200"/>
                          </a:xfrm>
                          <a:prstGeom prst="rect">
                            <a:avLst/>
                          </a:prstGeom>
                        </pic:spPr>
                      </pic:pic>
                    </a:graphicData>
                  </a:graphic>
                </wp:inline>
              </w:drawing>
            </w:r>
            <w:r w:rsidRPr="00E3419C">
              <w:rPr>
                <w:noProof/>
                <w:lang w:val="es-ES_tradnl" w:eastAsia="zh-CN"/>
              </w:rPr>
              <w:drawing>
                <wp:inline distT="0" distB="0" distL="0" distR="0" wp14:anchorId="50265D8D" wp14:editId="6ADFCD33">
                  <wp:extent cx="374400" cy="403200"/>
                  <wp:effectExtent l="0" t="0" r="6985"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4400" cy="403200"/>
                          </a:xfrm>
                          <a:prstGeom prst="rect">
                            <a:avLst/>
                          </a:prstGeom>
                        </pic:spPr>
                      </pic:pic>
                    </a:graphicData>
                  </a:graphic>
                </wp:inline>
              </w:drawing>
            </w:r>
            <w:r w:rsidRPr="00E3419C">
              <w:rPr>
                <w:sz w:val="18"/>
                <w:szCs w:val="16"/>
                <w:lang w:val="es-ES_tradnl"/>
              </w:rPr>
              <w:tab/>
            </w:r>
            <w:r w:rsidRPr="00E3419C">
              <w:rPr>
                <w:sz w:val="18"/>
                <w:szCs w:val="16"/>
                <w:lang w:val="es-ES_tradnl"/>
              </w:rPr>
              <w:tab/>
            </w:r>
            <w:r w:rsidRPr="00E3419C">
              <w:rPr>
                <w:sz w:val="18"/>
                <w:szCs w:val="16"/>
                <w:lang w:val="es-ES_tradnl"/>
              </w:rPr>
              <w:tab/>
            </w:r>
            <w:r w:rsidRPr="00E3419C">
              <w:rPr>
                <w:noProof/>
                <w:sz w:val="18"/>
                <w:szCs w:val="16"/>
                <w:lang w:val="es-ES_tradnl" w:eastAsia="zh-CN"/>
              </w:rPr>
              <w:drawing>
                <wp:inline distT="0" distB="0" distL="0" distR="0" wp14:anchorId="26D01BB5" wp14:editId="18C3C41A">
                  <wp:extent cx="374400" cy="403200"/>
                  <wp:effectExtent l="0" t="0" r="6985" b="0"/>
                  <wp:docPr id="237" name="Picture 237" descr="C:\Users\Cormierr\AppData\Local\Microsoft\Windows\INetCache\Content.Word\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ormierr\AppData\Local\Microsoft\Windows\INetCache\Content.Word\C6.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c>
          <w:tcPr>
            <w:tcW w:w="709" w:type="dxa"/>
            <w:tcBorders>
              <w:top w:val="nil"/>
              <w:left w:val="single" w:sz="4" w:space="0" w:color="auto"/>
              <w:bottom w:val="nil"/>
              <w:right w:val="single" w:sz="4" w:space="0" w:color="auto"/>
            </w:tcBorders>
          </w:tcPr>
          <w:p w14:paraId="20EA53FE" w14:textId="77777777" w:rsidR="00DC0E27" w:rsidRPr="00E3419C" w:rsidRDefault="00DC0E27" w:rsidP="0009027B">
            <w:pPr>
              <w:jc w:val="center"/>
              <w:rPr>
                <w:szCs w:val="24"/>
                <w:lang w:val="es-ES_tradnl"/>
              </w:rPr>
            </w:pPr>
          </w:p>
        </w:tc>
        <w:tc>
          <w:tcPr>
            <w:tcW w:w="3827" w:type="dxa"/>
            <w:shd w:val="clear" w:color="auto" w:fill="auto"/>
          </w:tcPr>
          <w:p w14:paraId="58A50067" w14:textId="77777777" w:rsidR="00DC0E27" w:rsidRPr="00E3419C" w:rsidRDefault="00DC0E27" w:rsidP="0009027B">
            <w:pPr>
              <w:pStyle w:val="Tabletext"/>
              <w:rPr>
                <w:sz w:val="16"/>
                <w:szCs w:val="14"/>
                <w:lang w:val="es-ES_tradnl"/>
              </w:rPr>
            </w:pPr>
            <w:r w:rsidRPr="00E3419C">
              <w:rPr>
                <w:sz w:val="16"/>
                <w:szCs w:val="16"/>
                <w:lang w:val="es-ES_tradnl"/>
              </w:rPr>
              <w:t>C4/2: Asistencia a los países en desarrollo para la aplicación de programas de conformidad e interoperabilidad (C+I) y la lucha contra la falsificación de equipos TIC y el robo de dispositivos móviles</w:t>
            </w:r>
          </w:p>
        </w:tc>
        <w:tc>
          <w:tcPr>
            <w:tcW w:w="3402" w:type="dxa"/>
            <w:tcMar>
              <w:right w:w="0" w:type="dxa"/>
            </w:tcMar>
          </w:tcPr>
          <w:p w14:paraId="4D0D540C" w14:textId="77777777" w:rsidR="00DC0E27" w:rsidRPr="00E3419C" w:rsidRDefault="00DC0E27" w:rsidP="0009027B">
            <w:pPr>
              <w:pStyle w:val="Tabletext"/>
              <w:rPr>
                <w:sz w:val="18"/>
                <w:szCs w:val="16"/>
                <w:lang w:val="es-ES_tradnl"/>
              </w:rPr>
            </w:pPr>
            <w:r w:rsidRPr="00E3419C">
              <w:rPr>
                <w:noProof/>
                <w:lang w:val="es-ES_tradnl" w:eastAsia="zh-CN"/>
              </w:rPr>
              <w:drawing>
                <wp:inline distT="0" distB="0" distL="0" distR="0" wp14:anchorId="2946C8A7" wp14:editId="1B8C72C8">
                  <wp:extent cx="374400" cy="403200"/>
                  <wp:effectExtent l="0" t="0" r="6985"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74400" cy="403200"/>
                          </a:xfrm>
                          <a:prstGeom prst="rect">
                            <a:avLst/>
                          </a:prstGeom>
                        </pic:spPr>
                      </pic:pic>
                    </a:graphicData>
                  </a:graphic>
                </wp:inline>
              </w:drawing>
            </w:r>
            <w:r w:rsidRPr="00E3419C">
              <w:rPr>
                <w:noProof/>
                <w:lang w:val="es-ES_tradnl" w:eastAsia="zh-CN"/>
              </w:rPr>
              <w:drawing>
                <wp:inline distT="0" distB="0" distL="0" distR="0" wp14:anchorId="761C1A66" wp14:editId="2F2DC0A7">
                  <wp:extent cx="374400" cy="403200"/>
                  <wp:effectExtent l="0" t="0" r="6985"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74400" cy="403200"/>
                          </a:xfrm>
                          <a:prstGeom prst="rect">
                            <a:avLst/>
                          </a:prstGeom>
                        </pic:spPr>
                      </pic:pic>
                    </a:graphicData>
                  </a:graphic>
                </wp:inline>
              </w:drawing>
            </w:r>
            <w:r w:rsidRPr="00E3419C">
              <w:rPr>
                <w:noProof/>
                <w:lang w:val="es-ES_tradnl" w:eastAsia="zh-CN"/>
              </w:rPr>
              <w:drawing>
                <wp:inline distT="0" distB="0" distL="0" distR="0" wp14:anchorId="09449B6A" wp14:editId="280AF5B2">
                  <wp:extent cx="374400" cy="403200"/>
                  <wp:effectExtent l="0" t="0" r="6985"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4400" cy="403200"/>
                          </a:xfrm>
                          <a:prstGeom prst="rect">
                            <a:avLst/>
                          </a:prstGeom>
                        </pic:spPr>
                      </pic:pic>
                    </a:graphicData>
                  </a:graphic>
                </wp:inline>
              </w:drawing>
            </w:r>
            <w:r w:rsidRPr="00E3419C">
              <w:rPr>
                <w:sz w:val="18"/>
                <w:szCs w:val="16"/>
                <w:lang w:val="es-ES_tradnl"/>
              </w:rPr>
              <w:tab/>
            </w:r>
            <w:r w:rsidRPr="00E3419C">
              <w:rPr>
                <w:sz w:val="18"/>
                <w:szCs w:val="16"/>
                <w:lang w:val="es-ES_tradnl"/>
              </w:rPr>
              <w:tab/>
            </w:r>
            <w:r w:rsidRPr="00E3419C">
              <w:rPr>
                <w:sz w:val="18"/>
                <w:szCs w:val="16"/>
                <w:lang w:val="es-ES_tradnl"/>
              </w:rPr>
              <w:tab/>
            </w:r>
            <w:r w:rsidRPr="00E3419C">
              <w:rPr>
                <w:noProof/>
                <w:sz w:val="18"/>
                <w:szCs w:val="16"/>
                <w:lang w:val="es-ES_tradnl" w:eastAsia="zh-CN"/>
              </w:rPr>
              <w:drawing>
                <wp:inline distT="0" distB="0" distL="0" distR="0" wp14:anchorId="47806C61" wp14:editId="24CAA05A">
                  <wp:extent cx="374400" cy="403200"/>
                  <wp:effectExtent l="0" t="0" r="6985" b="0"/>
                  <wp:docPr id="241" name="Picture 241" descr="C:\Users\Cormierr\AppData\Local\Microsoft\Windows\INetCache\Content.Wor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ormierr\AppData\Local\Microsoft\Windows\INetCache\Content.Word\C2.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r>
      <w:tr w:rsidR="00DC0E27" w:rsidRPr="00E3419C" w14:paraId="3173D2BF" w14:textId="77777777" w:rsidTr="0009027B">
        <w:tc>
          <w:tcPr>
            <w:tcW w:w="3828" w:type="dxa"/>
            <w:shd w:val="clear" w:color="auto" w:fill="auto"/>
          </w:tcPr>
          <w:p w14:paraId="1E325BF4" w14:textId="77777777" w:rsidR="00DC0E27" w:rsidRPr="00E3419C" w:rsidRDefault="00DC0E27" w:rsidP="0009027B">
            <w:pPr>
              <w:pStyle w:val="Tabletext"/>
              <w:rPr>
                <w:sz w:val="16"/>
                <w:szCs w:val="14"/>
                <w:lang w:val="es-ES_tradnl"/>
              </w:rPr>
            </w:pPr>
            <w:r w:rsidRPr="00E3419C">
              <w:rPr>
                <w:sz w:val="16"/>
                <w:szCs w:val="16"/>
                <w:lang w:val="es-ES_tradnl"/>
              </w:rPr>
              <w:t>C5/1: Telecomunicaciones/TIC para las zonas rurales y distantes</w:t>
            </w:r>
          </w:p>
        </w:tc>
        <w:tc>
          <w:tcPr>
            <w:tcW w:w="3402" w:type="dxa"/>
            <w:tcBorders>
              <w:right w:val="single" w:sz="4" w:space="0" w:color="auto"/>
            </w:tcBorders>
          </w:tcPr>
          <w:p w14:paraId="0CFE5717" w14:textId="77777777" w:rsidR="00DC0E27" w:rsidRPr="00E3419C" w:rsidRDefault="00DC0E27" w:rsidP="0009027B">
            <w:pPr>
              <w:pStyle w:val="Tabletext"/>
              <w:rPr>
                <w:sz w:val="18"/>
                <w:szCs w:val="16"/>
                <w:lang w:val="es-ES_tradnl"/>
              </w:rPr>
            </w:pPr>
            <w:r w:rsidRPr="00E3419C">
              <w:rPr>
                <w:noProof/>
                <w:lang w:val="es-ES_tradnl" w:eastAsia="zh-CN"/>
              </w:rPr>
              <w:drawing>
                <wp:inline distT="0" distB="0" distL="0" distR="0" wp14:anchorId="0C7671BE" wp14:editId="36F63FB8">
                  <wp:extent cx="374400" cy="403200"/>
                  <wp:effectExtent l="0" t="0" r="6985"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74400" cy="403200"/>
                          </a:xfrm>
                          <a:prstGeom prst="rect">
                            <a:avLst/>
                          </a:prstGeom>
                        </pic:spPr>
                      </pic:pic>
                    </a:graphicData>
                  </a:graphic>
                </wp:inline>
              </w:drawing>
            </w:r>
            <w:r w:rsidRPr="00E3419C">
              <w:rPr>
                <w:noProof/>
                <w:lang w:val="es-ES_tradnl" w:eastAsia="zh-CN"/>
              </w:rPr>
              <w:drawing>
                <wp:inline distT="0" distB="0" distL="0" distR="0" wp14:anchorId="1FF74A71" wp14:editId="6CEF874C">
                  <wp:extent cx="374400" cy="403200"/>
                  <wp:effectExtent l="0" t="0" r="6985"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74400" cy="403200"/>
                          </a:xfrm>
                          <a:prstGeom prst="rect">
                            <a:avLst/>
                          </a:prstGeom>
                        </pic:spPr>
                      </pic:pic>
                    </a:graphicData>
                  </a:graphic>
                </wp:inline>
              </w:drawing>
            </w:r>
            <w:r w:rsidRPr="00E3419C">
              <w:rPr>
                <w:noProof/>
                <w:lang w:val="es-ES_tradnl" w:eastAsia="zh-CN"/>
              </w:rPr>
              <w:drawing>
                <wp:inline distT="0" distB="0" distL="0" distR="0" wp14:anchorId="3C265BEE" wp14:editId="26A193E7">
                  <wp:extent cx="374400" cy="403200"/>
                  <wp:effectExtent l="0" t="0" r="6985"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4400" cy="403200"/>
                          </a:xfrm>
                          <a:prstGeom prst="rect">
                            <a:avLst/>
                          </a:prstGeom>
                        </pic:spPr>
                      </pic:pic>
                    </a:graphicData>
                  </a:graphic>
                </wp:inline>
              </w:drawing>
            </w:r>
            <w:r w:rsidRPr="00E3419C">
              <w:rPr>
                <w:noProof/>
                <w:sz w:val="18"/>
                <w:szCs w:val="16"/>
                <w:lang w:val="es-ES_tradnl" w:eastAsia="zh-CN"/>
              </w:rPr>
              <w:tab/>
            </w:r>
            <w:r w:rsidRPr="00E3419C">
              <w:rPr>
                <w:noProof/>
                <w:sz w:val="18"/>
                <w:szCs w:val="16"/>
                <w:lang w:val="es-ES_tradnl" w:eastAsia="zh-CN"/>
              </w:rPr>
              <w:drawing>
                <wp:inline distT="0" distB="0" distL="0" distR="0" wp14:anchorId="1FB3C19D" wp14:editId="4E175C75">
                  <wp:extent cx="374400" cy="403200"/>
                  <wp:effectExtent l="0" t="0" r="6985" b="0"/>
                  <wp:docPr id="245" name="Picture 245" descr="C:\Users\Cormierr\AppData\Local\Microsoft\Windows\INetCache\Content.Wor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ormierr\AppData\Local\Microsoft\Windows\INetCache\Content.Word\C2.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r w:rsidRPr="00E3419C">
              <w:rPr>
                <w:noProof/>
                <w:sz w:val="18"/>
                <w:szCs w:val="16"/>
                <w:lang w:val="es-ES_tradnl" w:eastAsia="zh-CN"/>
              </w:rPr>
              <w:drawing>
                <wp:inline distT="0" distB="0" distL="0" distR="0" wp14:anchorId="7142C5B9" wp14:editId="29A84684">
                  <wp:extent cx="374400" cy="403200"/>
                  <wp:effectExtent l="0" t="0" r="6985" b="0"/>
                  <wp:docPr id="246" name="Picture 246" descr="C:\Users\Cormierr\AppData\Local\Microsoft\Windows\INetCache\Content.Word\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ormierr\AppData\Local\Microsoft\Windows\INetCache\Content.Word\C6.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c>
          <w:tcPr>
            <w:tcW w:w="709" w:type="dxa"/>
            <w:tcBorders>
              <w:top w:val="nil"/>
              <w:left w:val="single" w:sz="4" w:space="0" w:color="auto"/>
              <w:bottom w:val="nil"/>
              <w:right w:val="single" w:sz="4" w:space="0" w:color="auto"/>
            </w:tcBorders>
          </w:tcPr>
          <w:p w14:paraId="145FD0B8" w14:textId="77777777" w:rsidR="00DC0E27" w:rsidRPr="00E3419C" w:rsidRDefault="00DC0E27" w:rsidP="0009027B">
            <w:pPr>
              <w:jc w:val="center"/>
              <w:rPr>
                <w:szCs w:val="24"/>
                <w:lang w:val="es-ES_tradnl"/>
              </w:rPr>
            </w:pPr>
          </w:p>
        </w:tc>
        <w:tc>
          <w:tcPr>
            <w:tcW w:w="3827" w:type="dxa"/>
            <w:shd w:val="clear" w:color="auto" w:fill="auto"/>
          </w:tcPr>
          <w:p w14:paraId="3AD6E1A2" w14:textId="77777777" w:rsidR="00DC0E27" w:rsidRPr="00E3419C" w:rsidRDefault="00DC0E27" w:rsidP="0009027B">
            <w:pPr>
              <w:pStyle w:val="Tabletext"/>
              <w:rPr>
                <w:sz w:val="16"/>
                <w:szCs w:val="14"/>
                <w:lang w:val="es-ES_tradnl"/>
              </w:rPr>
            </w:pPr>
            <w:r w:rsidRPr="00E3419C">
              <w:rPr>
                <w:sz w:val="16"/>
                <w:szCs w:val="16"/>
                <w:lang w:val="es-ES_tradnl"/>
              </w:rPr>
              <w:t>C5/2: Utilización de las telecomunicaciones/TIC para la reducción del riesgo de catástrofes y su gestión</w:t>
            </w:r>
          </w:p>
        </w:tc>
        <w:tc>
          <w:tcPr>
            <w:tcW w:w="3402" w:type="dxa"/>
            <w:tcMar>
              <w:right w:w="0" w:type="dxa"/>
            </w:tcMar>
          </w:tcPr>
          <w:p w14:paraId="609AE5EE" w14:textId="77777777" w:rsidR="00DC0E27" w:rsidRPr="00E3419C" w:rsidRDefault="00DC0E27" w:rsidP="0009027B">
            <w:pPr>
              <w:pStyle w:val="Tabletext"/>
              <w:rPr>
                <w:sz w:val="18"/>
                <w:szCs w:val="16"/>
                <w:lang w:val="es-ES_tradnl"/>
              </w:rPr>
            </w:pPr>
            <w:r w:rsidRPr="00E3419C">
              <w:rPr>
                <w:noProof/>
                <w:lang w:val="es-ES_tradnl" w:eastAsia="zh-CN"/>
              </w:rPr>
              <w:drawing>
                <wp:inline distT="0" distB="0" distL="0" distR="0" wp14:anchorId="37A5F69E" wp14:editId="74F2DBDE">
                  <wp:extent cx="374400" cy="403200"/>
                  <wp:effectExtent l="0" t="0" r="6985"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4400" cy="403200"/>
                          </a:xfrm>
                          <a:prstGeom prst="rect">
                            <a:avLst/>
                          </a:prstGeom>
                        </pic:spPr>
                      </pic:pic>
                    </a:graphicData>
                  </a:graphic>
                </wp:inline>
              </w:drawing>
            </w:r>
            <w:r w:rsidRPr="00E3419C">
              <w:rPr>
                <w:noProof/>
                <w:lang w:val="es-ES_tradnl" w:eastAsia="zh-CN"/>
              </w:rPr>
              <w:drawing>
                <wp:inline distT="0" distB="0" distL="0" distR="0" wp14:anchorId="23E9D700" wp14:editId="5CE9DE82">
                  <wp:extent cx="374400" cy="403200"/>
                  <wp:effectExtent l="0" t="0" r="6985"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74400" cy="403200"/>
                          </a:xfrm>
                          <a:prstGeom prst="rect">
                            <a:avLst/>
                          </a:prstGeom>
                        </pic:spPr>
                      </pic:pic>
                    </a:graphicData>
                  </a:graphic>
                </wp:inline>
              </w:drawing>
            </w:r>
            <w:r w:rsidRPr="00E3419C">
              <w:rPr>
                <w:noProof/>
                <w:sz w:val="18"/>
                <w:szCs w:val="16"/>
                <w:lang w:val="es-ES_tradnl" w:eastAsia="zh-CN"/>
              </w:rPr>
              <w:tab/>
            </w:r>
            <w:r w:rsidRPr="00E3419C">
              <w:rPr>
                <w:noProof/>
                <w:sz w:val="18"/>
                <w:szCs w:val="16"/>
                <w:lang w:val="es-ES_tradnl" w:eastAsia="zh-CN"/>
              </w:rPr>
              <w:tab/>
            </w:r>
            <w:r w:rsidRPr="00E3419C">
              <w:rPr>
                <w:noProof/>
                <w:sz w:val="18"/>
                <w:szCs w:val="16"/>
                <w:lang w:val="es-ES_tradnl" w:eastAsia="zh-CN"/>
              </w:rPr>
              <w:tab/>
            </w:r>
            <w:r w:rsidRPr="00E3419C">
              <w:rPr>
                <w:noProof/>
                <w:sz w:val="18"/>
                <w:szCs w:val="16"/>
                <w:lang w:val="es-ES_tradnl" w:eastAsia="zh-CN"/>
              </w:rPr>
              <w:drawing>
                <wp:inline distT="0" distB="0" distL="0" distR="0" wp14:anchorId="130A1452" wp14:editId="04BA4145">
                  <wp:extent cx="374400" cy="403200"/>
                  <wp:effectExtent l="0" t="0" r="6985" b="0"/>
                  <wp:docPr id="249" name="Picture 249" descr="C:\Users\Cormierr\AppData\Local\Microsoft\Windows\INetCache\Content.Wor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ormierr\AppData\Local\Microsoft\Windows\INetCache\Content.Word\C2.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r w:rsidRPr="00E3419C">
              <w:rPr>
                <w:noProof/>
                <w:sz w:val="18"/>
                <w:szCs w:val="16"/>
                <w:lang w:val="es-ES_tradnl" w:eastAsia="zh-CN"/>
              </w:rPr>
              <w:drawing>
                <wp:inline distT="0" distB="0" distL="0" distR="0" wp14:anchorId="78669F5F" wp14:editId="13FCFF44">
                  <wp:extent cx="374400" cy="403200"/>
                  <wp:effectExtent l="0" t="0" r="6985" b="0"/>
                  <wp:docPr id="250" name="Picture 250" descr="C:\Users\Cormierr\AppData\Local\Microsoft\Windows\INetCache\Content.Word\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Cormierr\AppData\Local\Microsoft\Windows\INetCache\Content.Word\C7.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r>
      <w:tr w:rsidR="00DC0E27" w:rsidRPr="00E3419C" w14:paraId="034A4979" w14:textId="77777777" w:rsidTr="0009027B">
        <w:tc>
          <w:tcPr>
            <w:tcW w:w="3828" w:type="dxa"/>
            <w:shd w:val="clear" w:color="auto" w:fill="auto"/>
          </w:tcPr>
          <w:p w14:paraId="4368C9D2" w14:textId="77777777" w:rsidR="00DC0E27" w:rsidRPr="00E3419C" w:rsidRDefault="00DC0E27" w:rsidP="0009027B">
            <w:pPr>
              <w:pStyle w:val="Tabletext"/>
              <w:rPr>
                <w:sz w:val="16"/>
                <w:szCs w:val="14"/>
                <w:lang w:val="es-ES_tradnl"/>
              </w:rPr>
            </w:pPr>
            <w:r w:rsidRPr="00E3419C">
              <w:rPr>
                <w:sz w:val="16"/>
                <w:szCs w:val="16"/>
                <w:lang w:val="es-ES_tradnl"/>
              </w:rPr>
              <w:t>C6/1: Información, protección y derechos del consumidor: leyes, reglamentación, fundamentos económicos, redes de consumidores</w:t>
            </w:r>
          </w:p>
        </w:tc>
        <w:tc>
          <w:tcPr>
            <w:tcW w:w="3402" w:type="dxa"/>
            <w:tcBorders>
              <w:right w:val="single" w:sz="4" w:space="0" w:color="auto"/>
            </w:tcBorders>
          </w:tcPr>
          <w:p w14:paraId="26134E5D" w14:textId="77777777" w:rsidR="00DC0E27" w:rsidRPr="00E3419C" w:rsidRDefault="00DC0E27" w:rsidP="0009027B">
            <w:pPr>
              <w:pStyle w:val="Tabletext"/>
              <w:tabs>
                <w:tab w:val="clear" w:pos="567"/>
                <w:tab w:val="clear" w:pos="851"/>
                <w:tab w:val="clear" w:pos="1134"/>
                <w:tab w:val="clear" w:pos="1418"/>
                <w:tab w:val="clear" w:pos="1701"/>
                <w:tab w:val="clear" w:pos="1985"/>
                <w:tab w:val="clear" w:pos="2268"/>
                <w:tab w:val="left" w:pos="1995"/>
              </w:tabs>
              <w:rPr>
                <w:sz w:val="18"/>
                <w:szCs w:val="16"/>
                <w:lang w:val="es-ES_tradnl"/>
              </w:rPr>
            </w:pPr>
            <w:r w:rsidRPr="00E3419C">
              <w:rPr>
                <w:noProof/>
                <w:lang w:val="es-ES_tradnl" w:eastAsia="zh-CN"/>
              </w:rPr>
              <w:drawing>
                <wp:inline distT="0" distB="0" distL="0" distR="0" wp14:anchorId="6BD9A200" wp14:editId="1728D316">
                  <wp:extent cx="374400" cy="403200"/>
                  <wp:effectExtent l="0" t="0" r="6985"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74400" cy="403200"/>
                          </a:xfrm>
                          <a:prstGeom prst="rect">
                            <a:avLst/>
                          </a:prstGeom>
                        </pic:spPr>
                      </pic:pic>
                    </a:graphicData>
                  </a:graphic>
                </wp:inline>
              </w:drawing>
            </w:r>
            <w:r w:rsidRPr="00E3419C">
              <w:rPr>
                <w:noProof/>
                <w:lang w:val="es-ES_tradnl" w:eastAsia="zh-CN"/>
              </w:rPr>
              <w:drawing>
                <wp:inline distT="0" distB="0" distL="0" distR="0" wp14:anchorId="1436BADA" wp14:editId="12AAF818">
                  <wp:extent cx="374400" cy="403200"/>
                  <wp:effectExtent l="0" t="0" r="6985"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74400" cy="403200"/>
                          </a:xfrm>
                          <a:prstGeom prst="rect">
                            <a:avLst/>
                          </a:prstGeom>
                        </pic:spPr>
                      </pic:pic>
                    </a:graphicData>
                  </a:graphic>
                </wp:inline>
              </w:drawing>
            </w:r>
            <w:r w:rsidRPr="00E3419C">
              <w:rPr>
                <w:noProof/>
                <w:lang w:val="es-ES_tradnl" w:eastAsia="zh-CN"/>
              </w:rPr>
              <w:drawing>
                <wp:inline distT="0" distB="0" distL="0" distR="0" wp14:anchorId="43FC5B5A" wp14:editId="43497319">
                  <wp:extent cx="374400" cy="403200"/>
                  <wp:effectExtent l="0" t="0" r="6985" b="0"/>
                  <wp:docPr id="253" name="Picture 253" descr="C:\Users\Cormierr\AppData\Local\Microsoft\Windows\INetCache\Content.Word\OD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Cormierr\AppData\Local\Microsoft\Windows\INetCache\Content.Word\ODD12.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r w:rsidRPr="00E3419C">
              <w:rPr>
                <w:sz w:val="18"/>
                <w:szCs w:val="16"/>
                <w:lang w:val="es-ES_tradnl"/>
              </w:rPr>
              <w:tab/>
            </w:r>
            <w:r w:rsidRPr="00E3419C">
              <w:rPr>
                <w:noProof/>
                <w:sz w:val="18"/>
                <w:szCs w:val="16"/>
                <w:lang w:val="es-ES_tradnl"/>
              </w:rPr>
              <w:drawing>
                <wp:inline distT="0" distB="0" distL="0" distR="0" wp14:anchorId="73D15308" wp14:editId="406B48A7">
                  <wp:extent cx="375920" cy="370205"/>
                  <wp:effectExtent l="0" t="0" r="5080" b="0"/>
                  <wp:docPr id="254" name="Picture 254" descr="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75920" cy="370205"/>
                          </a:xfrm>
                          <a:prstGeom prst="rect">
                            <a:avLst/>
                          </a:prstGeom>
                          <a:noFill/>
                          <a:ln>
                            <a:noFill/>
                          </a:ln>
                        </pic:spPr>
                      </pic:pic>
                    </a:graphicData>
                  </a:graphic>
                </wp:inline>
              </w:drawing>
            </w:r>
            <w:r w:rsidRPr="00E3419C">
              <w:rPr>
                <w:noProof/>
                <w:sz w:val="18"/>
                <w:szCs w:val="16"/>
                <w:lang w:val="es-ES_tradnl" w:eastAsia="zh-CN"/>
              </w:rPr>
              <w:drawing>
                <wp:inline distT="0" distB="0" distL="0" distR="0" wp14:anchorId="6ECEF420" wp14:editId="14785814">
                  <wp:extent cx="367200" cy="396000"/>
                  <wp:effectExtent l="0" t="0" r="0" b="4445"/>
                  <wp:docPr id="255" name="Picture 255" descr="C:\Users\Cormierr\AppData\Local\Microsoft\Windows\INetCache\Content.Word\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ormierr\AppData\Local\Microsoft\Windows\INetCache\Content.Word\C6.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7200" cy="396000"/>
                          </a:xfrm>
                          <a:prstGeom prst="rect">
                            <a:avLst/>
                          </a:prstGeom>
                          <a:noFill/>
                          <a:ln>
                            <a:noFill/>
                          </a:ln>
                        </pic:spPr>
                      </pic:pic>
                    </a:graphicData>
                  </a:graphic>
                </wp:inline>
              </w:drawing>
            </w:r>
          </w:p>
        </w:tc>
        <w:tc>
          <w:tcPr>
            <w:tcW w:w="709" w:type="dxa"/>
            <w:tcBorders>
              <w:top w:val="nil"/>
              <w:left w:val="single" w:sz="4" w:space="0" w:color="auto"/>
              <w:bottom w:val="nil"/>
              <w:right w:val="single" w:sz="4" w:space="0" w:color="auto"/>
            </w:tcBorders>
          </w:tcPr>
          <w:p w14:paraId="4DB20DCA" w14:textId="77777777" w:rsidR="00DC0E27" w:rsidRPr="00E3419C" w:rsidRDefault="00DC0E27" w:rsidP="0009027B">
            <w:pPr>
              <w:jc w:val="center"/>
              <w:rPr>
                <w:szCs w:val="24"/>
                <w:lang w:val="es-ES_tradnl"/>
              </w:rPr>
            </w:pPr>
          </w:p>
        </w:tc>
        <w:tc>
          <w:tcPr>
            <w:tcW w:w="3827" w:type="dxa"/>
            <w:shd w:val="clear" w:color="auto" w:fill="auto"/>
          </w:tcPr>
          <w:p w14:paraId="42C7ED94" w14:textId="77777777" w:rsidR="00DC0E27" w:rsidRPr="00E3419C" w:rsidRDefault="00DC0E27" w:rsidP="0009027B">
            <w:pPr>
              <w:pStyle w:val="Tabletext"/>
              <w:rPr>
                <w:sz w:val="16"/>
                <w:szCs w:val="14"/>
                <w:lang w:val="es-ES_tradnl"/>
              </w:rPr>
            </w:pPr>
            <w:r w:rsidRPr="00E3419C">
              <w:rPr>
                <w:sz w:val="16"/>
                <w:szCs w:val="16"/>
                <w:lang w:val="es-ES_tradnl"/>
              </w:rPr>
              <w:t>C6/2: Las TIC y el medio ambiente</w:t>
            </w:r>
          </w:p>
        </w:tc>
        <w:tc>
          <w:tcPr>
            <w:tcW w:w="3402" w:type="dxa"/>
            <w:tcMar>
              <w:right w:w="0" w:type="dxa"/>
            </w:tcMar>
          </w:tcPr>
          <w:p w14:paraId="0AF20F86" w14:textId="77777777" w:rsidR="00DC0E27" w:rsidRPr="00E3419C" w:rsidRDefault="00DC0E27" w:rsidP="0009027B">
            <w:pPr>
              <w:pStyle w:val="Tabletext"/>
              <w:tabs>
                <w:tab w:val="clear" w:pos="567"/>
                <w:tab w:val="clear" w:pos="851"/>
                <w:tab w:val="clear" w:pos="1134"/>
                <w:tab w:val="clear" w:pos="1418"/>
                <w:tab w:val="clear" w:pos="1701"/>
                <w:tab w:val="clear" w:pos="1985"/>
                <w:tab w:val="clear" w:pos="2268"/>
                <w:tab w:val="left" w:pos="2160"/>
              </w:tabs>
              <w:rPr>
                <w:sz w:val="18"/>
                <w:szCs w:val="16"/>
                <w:lang w:val="es-ES_tradnl"/>
              </w:rPr>
            </w:pPr>
            <w:r w:rsidRPr="00E3419C">
              <w:rPr>
                <w:noProof/>
                <w:lang w:val="es-ES_tradnl" w:eastAsia="zh-CN"/>
              </w:rPr>
              <w:drawing>
                <wp:inline distT="0" distB="0" distL="0" distR="0" wp14:anchorId="67D7B2D5" wp14:editId="58F47EBA">
                  <wp:extent cx="374400" cy="403200"/>
                  <wp:effectExtent l="0" t="0" r="6985"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4400" cy="403200"/>
                          </a:xfrm>
                          <a:prstGeom prst="rect">
                            <a:avLst/>
                          </a:prstGeom>
                        </pic:spPr>
                      </pic:pic>
                    </a:graphicData>
                  </a:graphic>
                </wp:inline>
              </w:drawing>
            </w:r>
            <w:r w:rsidRPr="00E3419C">
              <w:rPr>
                <w:noProof/>
                <w:sz w:val="18"/>
                <w:szCs w:val="16"/>
                <w:lang w:val="es-ES_tradnl" w:eastAsia="zh-CN"/>
              </w:rPr>
              <w:tab/>
            </w:r>
            <w:r w:rsidRPr="00E3419C">
              <w:rPr>
                <w:noProof/>
                <w:sz w:val="18"/>
                <w:szCs w:val="16"/>
                <w:lang w:val="es-ES_tradnl" w:eastAsia="zh-CN"/>
              </w:rPr>
              <w:tab/>
            </w:r>
            <w:r w:rsidRPr="00E3419C">
              <w:rPr>
                <w:noProof/>
                <w:sz w:val="18"/>
                <w:szCs w:val="16"/>
                <w:lang w:val="es-ES_tradnl" w:eastAsia="zh-CN"/>
              </w:rPr>
              <w:drawing>
                <wp:inline distT="0" distB="0" distL="0" distR="0" wp14:anchorId="36AE8E3F" wp14:editId="6193D735">
                  <wp:extent cx="374400" cy="403200"/>
                  <wp:effectExtent l="0" t="0" r="6985" b="0"/>
                  <wp:docPr id="257" name="Picture 257" descr="C:\Users\Cormierr\AppData\Local\Microsoft\Windows\INetCache\Content.Word\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Cormierr\AppData\Local\Microsoft\Windows\INetCache\Content.Word\C7.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4400" cy="403200"/>
                          </a:xfrm>
                          <a:prstGeom prst="rect">
                            <a:avLst/>
                          </a:prstGeom>
                          <a:noFill/>
                          <a:ln>
                            <a:noFill/>
                          </a:ln>
                        </pic:spPr>
                      </pic:pic>
                    </a:graphicData>
                  </a:graphic>
                </wp:inline>
              </w:drawing>
            </w:r>
          </w:p>
        </w:tc>
      </w:tr>
      <w:tr w:rsidR="00DC0E27" w:rsidRPr="00E3419C" w14:paraId="32EDBAC6" w14:textId="77777777" w:rsidTr="0009027B">
        <w:tc>
          <w:tcPr>
            <w:tcW w:w="3828" w:type="dxa"/>
            <w:shd w:val="clear" w:color="auto" w:fill="auto"/>
          </w:tcPr>
          <w:p w14:paraId="53F14680" w14:textId="77777777" w:rsidR="00DC0E27" w:rsidRPr="00E3419C" w:rsidRDefault="00DC0E27" w:rsidP="0009027B">
            <w:pPr>
              <w:pStyle w:val="Tabletext"/>
              <w:rPr>
                <w:sz w:val="16"/>
                <w:szCs w:val="14"/>
                <w:lang w:val="es-ES_tradnl"/>
              </w:rPr>
            </w:pPr>
            <w:r w:rsidRPr="00E3419C">
              <w:rPr>
                <w:sz w:val="16"/>
                <w:szCs w:val="16"/>
                <w:lang w:val="es-ES_tradnl"/>
              </w:rPr>
              <w:t>C7/1: Acceso a los servicios de telecomunicaciones/TIC para las personas con discapacidad y otras personas con necesidades especiales</w:t>
            </w:r>
          </w:p>
        </w:tc>
        <w:tc>
          <w:tcPr>
            <w:tcW w:w="3402" w:type="dxa"/>
            <w:tcBorders>
              <w:right w:val="single" w:sz="4" w:space="0" w:color="auto"/>
            </w:tcBorders>
          </w:tcPr>
          <w:p w14:paraId="6A2A8866" w14:textId="77777777" w:rsidR="00DC0E27" w:rsidRPr="00E3419C" w:rsidRDefault="00DC0E27" w:rsidP="0009027B">
            <w:pPr>
              <w:pStyle w:val="Tabletext"/>
              <w:rPr>
                <w:sz w:val="18"/>
                <w:szCs w:val="16"/>
                <w:lang w:val="es-ES_tradnl"/>
              </w:rPr>
            </w:pPr>
            <w:r w:rsidRPr="00E3419C">
              <w:rPr>
                <w:noProof/>
                <w:lang w:val="es-ES_tradnl" w:eastAsia="zh-CN"/>
              </w:rPr>
              <w:drawing>
                <wp:inline distT="0" distB="0" distL="0" distR="0" wp14:anchorId="7FB401AA" wp14:editId="37B0C8CD">
                  <wp:extent cx="374400" cy="403200"/>
                  <wp:effectExtent l="0" t="0" r="6985"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74400" cy="403200"/>
                          </a:xfrm>
                          <a:prstGeom prst="rect">
                            <a:avLst/>
                          </a:prstGeom>
                        </pic:spPr>
                      </pic:pic>
                    </a:graphicData>
                  </a:graphic>
                </wp:inline>
              </w:drawing>
            </w:r>
            <w:r w:rsidRPr="00E3419C">
              <w:rPr>
                <w:noProof/>
                <w:sz w:val="18"/>
                <w:szCs w:val="16"/>
                <w:lang w:val="es-ES_tradnl"/>
              </w:rPr>
              <w:drawing>
                <wp:inline distT="0" distB="0" distL="0" distR="0" wp14:anchorId="141425A2" wp14:editId="63F4846D">
                  <wp:extent cx="375920" cy="387350"/>
                  <wp:effectExtent l="0" t="0" r="5080" b="0"/>
                  <wp:docPr id="259" name="Picture 259" descr="OD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DD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75920" cy="387350"/>
                          </a:xfrm>
                          <a:prstGeom prst="rect">
                            <a:avLst/>
                          </a:prstGeom>
                          <a:noFill/>
                          <a:ln>
                            <a:noFill/>
                          </a:ln>
                        </pic:spPr>
                      </pic:pic>
                    </a:graphicData>
                  </a:graphic>
                </wp:inline>
              </w:drawing>
            </w:r>
            <w:r w:rsidRPr="00E3419C">
              <w:rPr>
                <w:sz w:val="18"/>
                <w:szCs w:val="16"/>
                <w:lang w:val="es-ES_tradnl"/>
              </w:rPr>
              <w:tab/>
            </w:r>
            <w:r w:rsidRPr="00E3419C">
              <w:rPr>
                <w:noProof/>
                <w:sz w:val="18"/>
                <w:szCs w:val="16"/>
                <w:lang w:val="es-ES_tradnl"/>
              </w:rPr>
              <w:drawing>
                <wp:inline distT="0" distB="0" distL="0" distR="0" wp14:anchorId="36893BDD" wp14:editId="49CA6733">
                  <wp:extent cx="370205" cy="381635"/>
                  <wp:effectExtent l="0" t="0" r="0" b="0"/>
                  <wp:docPr id="260" name="Picture 260" descr="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0205" cy="381635"/>
                          </a:xfrm>
                          <a:prstGeom prst="rect">
                            <a:avLst/>
                          </a:prstGeom>
                          <a:noFill/>
                          <a:ln>
                            <a:noFill/>
                          </a:ln>
                        </pic:spPr>
                      </pic:pic>
                    </a:graphicData>
                  </a:graphic>
                </wp:inline>
              </w:drawing>
            </w:r>
            <w:r w:rsidRPr="00E3419C">
              <w:rPr>
                <w:noProof/>
                <w:sz w:val="18"/>
                <w:szCs w:val="16"/>
                <w:lang w:val="es-ES_tradnl"/>
              </w:rPr>
              <w:drawing>
                <wp:inline distT="0" distB="0" distL="0" distR="0" wp14:anchorId="74E5E82A" wp14:editId="33088EE4">
                  <wp:extent cx="370205" cy="370205"/>
                  <wp:effectExtent l="0" t="0" r="0" b="0"/>
                  <wp:docPr id="261" name="Picture 261" descr="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70205" cy="370205"/>
                          </a:xfrm>
                          <a:prstGeom prst="rect">
                            <a:avLst/>
                          </a:prstGeom>
                          <a:noFill/>
                          <a:ln>
                            <a:noFill/>
                          </a:ln>
                        </pic:spPr>
                      </pic:pic>
                    </a:graphicData>
                  </a:graphic>
                </wp:inline>
              </w:drawing>
            </w:r>
            <w:r w:rsidRPr="00E3419C">
              <w:rPr>
                <w:noProof/>
                <w:sz w:val="18"/>
                <w:szCs w:val="16"/>
                <w:lang w:val="es-ES_tradnl" w:eastAsia="zh-CN"/>
              </w:rPr>
              <w:drawing>
                <wp:inline distT="0" distB="0" distL="0" distR="0" wp14:anchorId="6A5E8F93" wp14:editId="48B6F6EF">
                  <wp:extent cx="365760" cy="393895"/>
                  <wp:effectExtent l="0" t="0" r="0" b="6350"/>
                  <wp:docPr id="262" name="Picture 262" descr="C:\Users\Cormierr\AppData\Local\Microsoft\Windows\INetCache\Content.Word\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Cormierr\AppData\Local\Microsoft\Windows\INetCache\Content.Word\C7.p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69359" cy="397771"/>
                          </a:xfrm>
                          <a:prstGeom prst="rect">
                            <a:avLst/>
                          </a:prstGeom>
                          <a:noFill/>
                          <a:ln>
                            <a:noFill/>
                          </a:ln>
                        </pic:spPr>
                      </pic:pic>
                    </a:graphicData>
                  </a:graphic>
                </wp:inline>
              </w:drawing>
            </w:r>
          </w:p>
        </w:tc>
        <w:tc>
          <w:tcPr>
            <w:tcW w:w="709" w:type="dxa"/>
            <w:tcBorders>
              <w:top w:val="nil"/>
              <w:left w:val="single" w:sz="4" w:space="0" w:color="auto"/>
              <w:bottom w:val="nil"/>
              <w:right w:val="single" w:sz="4" w:space="0" w:color="auto"/>
            </w:tcBorders>
          </w:tcPr>
          <w:p w14:paraId="7CBF911C" w14:textId="77777777" w:rsidR="00DC0E27" w:rsidRPr="00E3419C" w:rsidRDefault="00DC0E27" w:rsidP="0009027B">
            <w:pPr>
              <w:jc w:val="center"/>
              <w:rPr>
                <w:szCs w:val="24"/>
                <w:lang w:val="es-ES_tradnl"/>
              </w:rPr>
            </w:pPr>
          </w:p>
        </w:tc>
        <w:tc>
          <w:tcPr>
            <w:tcW w:w="3827" w:type="dxa"/>
            <w:shd w:val="clear" w:color="auto" w:fill="auto"/>
          </w:tcPr>
          <w:p w14:paraId="5C2EDA21" w14:textId="77777777" w:rsidR="00DC0E27" w:rsidRPr="00E3419C" w:rsidRDefault="00DC0E27" w:rsidP="0009027B">
            <w:pPr>
              <w:pStyle w:val="Tabletext"/>
              <w:rPr>
                <w:sz w:val="16"/>
                <w:szCs w:val="14"/>
                <w:lang w:val="es-ES_tradnl"/>
              </w:rPr>
            </w:pPr>
            <w:r w:rsidRPr="00E3419C">
              <w:rPr>
                <w:sz w:val="16"/>
                <w:szCs w:val="16"/>
                <w:lang w:val="es-ES_tradnl"/>
              </w:rPr>
              <w:t>C7/2: Estrategias y políticas relativas a la exposición de las personas a los campos electromagnéticos</w:t>
            </w:r>
          </w:p>
        </w:tc>
        <w:tc>
          <w:tcPr>
            <w:tcW w:w="3402" w:type="dxa"/>
            <w:tcMar>
              <w:right w:w="0" w:type="dxa"/>
            </w:tcMar>
          </w:tcPr>
          <w:p w14:paraId="0C7300AE" w14:textId="77777777" w:rsidR="00DC0E27" w:rsidRPr="00E3419C" w:rsidRDefault="00DC0E27" w:rsidP="0009027B">
            <w:pPr>
              <w:pStyle w:val="Tabletext"/>
              <w:rPr>
                <w:sz w:val="18"/>
                <w:szCs w:val="16"/>
                <w:lang w:val="es-ES_tradnl"/>
              </w:rPr>
            </w:pPr>
            <w:r w:rsidRPr="00E3419C">
              <w:rPr>
                <w:noProof/>
                <w:lang w:val="es-ES_tradnl" w:eastAsia="zh-CN"/>
              </w:rPr>
              <w:drawing>
                <wp:inline distT="0" distB="0" distL="0" distR="0" wp14:anchorId="2E2C0452" wp14:editId="69AE7AEE">
                  <wp:extent cx="374400" cy="403200"/>
                  <wp:effectExtent l="0" t="0" r="6985"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74400" cy="403200"/>
                          </a:xfrm>
                          <a:prstGeom prst="rect">
                            <a:avLst/>
                          </a:prstGeom>
                        </pic:spPr>
                      </pic:pic>
                    </a:graphicData>
                  </a:graphic>
                </wp:inline>
              </w:drawing>
            </w:r>
            <w:r w:rsidRPr="00E3419C">
              <w:rPr>
                <w:noProof/>
                <w:lang w:val="es-ES_tradnl" w:eastAsia="zh-CN"/>
              </w:rPr>
              <w:drawing>
                <wp:inline distT="0" distB="0" distL="0" distR="0" wp14:anchorId="65AEDEB1" wp14:editId="00A20B2A">
                  <wp:extent cx="374400" cy="403200"/>
                  <wp:effectExtent l="0" t="0" r="6985"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4400" cy="403200"/>
                          </a:xfrm>
                          <a:prstGeom prst="rect">
                            <a:avLst/>
                          </a:prstGeom>
                        </pic:spPr>
                      </pic:pic>
                    </a:graphicData>
                  </a:graphic>
                </wp:inline>
              </w:drawing>
            </w:r>
            <w:r w:rsidRPr="00E3419C">
              <w:rPr>
                <w:sz w:val="18"/>
                <w:szCs w:val="16"/>
                <w:lang w:val="es-ES_tradnl"/>
              </w:rPr>
              <w:t xml:space="preserve"> </w:t>
            </w:r>
            <w:r w:rsidRPr="00E3419C">
              <w:rPr>
                <w:noProof/>
                <w:lang w:val="es-ES_tradnl" w:eastAsia="zh-CN"/>
              </w:rPr>
              <w:tab/>
            </w:r>
            <w:r w:rsidRPr="00E3419C">
              <w:rPr>
                <w:noProof/>
                <w:lang w:val="es-ES_tradnl" w:eastAsia="zh-CN"/>
              </w:rPr>
              <w:tab/>
            </w:r>
            <w:r w:rsidRPr="00E3419C">
              <w:rPr>
                <w:noProof/>
                <w:lang w:val="es-ES_tradnl" w:eastAsia="zh-CN"/>
              </w:rPr>
              <w:tab/>
            </w:r>
            <w:r w:rsidRPr="00E3419C">
              <w:rPr>
                <w:noProof/>
                <w:lang w:val="es-ES_tradnl" w:eastAsia="zh-CN"/>
              </w:rPr>
              <w:tab/>
            </w:r>
            <w:r w:rsidRPr="00E3419C">
              <w:rPr>
                <w:noProof/>
                <w:lang w:val="es-ES_tradnl" w:eastAsia="zh-CN"/>
              </w:rPr>
              <w:tab/>
            </w:r>
            <w:r w:rsidRPr="00E3419C">
              <w:rPr>
                <w:noProof/>
                <w:lang w:val="es-ES_tradnl" w:eastAsia="zh-CN"/>
              </w:rPr>
              <w:drawing>
                <wp:inline distT="0" distB="0" distL="0" distR="0" wp14:anchorId="6392FC15" wp14:editId="18DDA9D1">
                  <wp:extent cx="374400" cy="403200"/>
                  <wp:effectExtent l="0" t="0" r="6985"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74400" cy="403200"/>
                          </a:xfrm>
                          <a:prstGeom prst="rect">
                            <a:avLst/>
                          </a:prstGeom>
                        </pic:spPr>
                      </pic:pic>
                    </a:graphicData>
                  </a:graphic>
                </wp:inline>
              </w:drawing>
            </w:r>
          </w:p>
        </w:tc>
      </w:tr>
    </w:tbl>
    <w:p w14:paraId="6C850683" w14:textId="77777777" w:rsidR="00892100" w:rsidRDefault="00892100" w:rsidP="00411C49">
      <w:pPr>
        <w:pStyle w:val="Reasons"/>
      </w:pPr>
    </w:p>
    <w:p w14:paraId="4657D0FE" w14:textId="77777777" w:rsidR="00892100" w:rsidRDefault="00892100">
      <w:pPr>
        <w:jc w:val="center"/>
      </w:pPr>
      <w:r>
        <w:t>______________</w:t>
      </w:r>
      <w:bookmarkEnd w:id="0"/>
    </w:p>
    <w:sectPr w:rsidR="00892100" w:rsidSect="00DC0E27">
      <w:headerReference w:type="even" r:id="rId51"/>
      <w:headerReference w:type="default" r:id="rId52"/>
      <w:footerReference w:type="even" r:id="rId53"/>
      <w:footerReference w:type="default" r:id="rId54"/>
      <w:headerReference w:type="first" r:id="rId55"/>
      <w:footerReference w:type="first" r:id="rId56"/>
      <w:pgSz w:w="16838" w:h="11906" w:orient="landscape"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E1B50" w14:textId="77777777" w:rsidR="004C7578" w:rsidRDefault="004C7578" w:rsidP="0088106F">
      <w:r>
        <w:separator/>
      </w:r>
    </w:p>
  </w:endnote>
  <w:endnote w:type="continuationSeparator" w:id="0">
    <w:p w14:paraId="3C2A40B9" w14:textId="77777777" w:rsidR="004C7578" w:rsidRDefault="004C7578"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8E1DD" w14:textId="727695F1" w:rsidR="00FF4386" w:rsidRPr="00FF4386" w:rsidRDefault="00FF4386" w:rsidP="00FF4386">
    <w:pPr>
      <w:pStyle w:val="Footer"/>
      <w:rPr>
        <w:szCs w:val="16"/>
        <w:lang w:val="en-GB"/>
      </w:rPr>
    </w:pPr>
    <w:r w:rsidRPr="00A518E4">
      <w:rPr>
        <w:szCs w:val="16"/>
        <w:lang w:val="en-GB"/>
      </w:rPr>
      <w:fldChar w:fldCharType="begin"/>
    </w:r>
    <w:r w:rsidRPr="00A518E4">
      <w:rPr>
        <w:szCs w:val="16"/>
        <w:lang w:val="en-GB"/>
      </w:rPr>
      <w:instrText xml:space="preserve"> FILENAME \p  \* MERGEFORMAT </w:instrText>
    </w:r>
    <w:r w:rsidRPr="00A518E4">
      <w:rPr>
        <w:szCs w:val="16"/>
        <w:lang w:val="en-GB"/>
      </w:rPr>
      <w:fldChar w:fldCharType="separate"/>
    </w:r>
    <w:r w:rsidR="00D26DAB">
      <w:rPr>
        <w:szCs w:val="16"/>
        <w:lang w:val="en-GB"/>
      </w:rPr>
      <w:t>P:\ESP\ITU-D\CONF-D\TDAG20\000\003S.docx</w:t>
    </w:r>
    <w:r w:rsidRPr="00A518E4">
      <w:rPr>
        <w:szCs w:val="16"/>
        <w:lang w:val="en-GB"/>
      </w:rPr>
      <w:fldChar w:fldCharType="end"/>
    </w:r>
    <w:r w:rsidRPr="00A518E4">
      <w:rPr>
        <w:szCs w:val="16"/>
        <w:lang w:val="en-GB"/>
      </w:rPr>
      <w:t xml:space="preserve"> (465650)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134"/>
      <w:gridCol w:w="2552"/>
      <w:gridCol w:w="6237"/>
    </w:tblGrid>
    <w:tr w:rsidR="004C7578" w:rsidRPr="00E3419C" w14:paraId="7BDC8FD2" w14:textId="77777777" w:rsidTr="00926ABA">
      <w:tc>
        <w:tcPr>
          <w:tcW w:w="1134" w:type="dxa"/>
          <w:tcBorders>
            <w:top w:val="single" w:sz="4" w:space="0" w:color="000000"/>
          </w:tcBorders>
          <w:shd w:val="clear" w:color="auto" w:fill="auto"/>
        </w:tcPr>
        <w:p w14:paraId="33545552" w14:textId="77777777" w:rsidR="004C7578" w:rsidRPr="007C5749" w:rsidRDefault="004C7578" w:rsidP="009D1BD4">
          <w:pPr>
            <w:pStyle w:val="FirstFooter"/>
            <w:tabs>
              <w:tab w:val="left" w:pos="1559"/>
              <w:tab w:val="left" w:pos="3828"/>
            </w:tabs>
            <w:rPr>
              <w:sz w:val="18"/>
              <w:szCs w:val="18"/>
              <w:lang w:val="es-ES_tradnl"/>
            </w:rPr>
          </w:pPr>
          <w:r w:rsidRPr="007C5749">
            <w:rPr>
              <w:sz w:val="18"/>
              <w:szCs w:val="18"/>
              <w:lang w:val="es-ES_tradnl"/>
            </w:rPr>
            <w:t>Contacto:</w:t>
          </w:r>
        </w:p>
      </w:tc>
      <w:tc>
        <w:tcPr>
          <w:tcW w:w="2552" w:type="dxa"/>
          <w:tcBorders>
            <w:top w:val="single" w:sz="4" w:space="0" w:color="000000"/>
          </w:tcBorders>
          <w:shd w:val="clear" w:color="auto" w:fill="auto"/>
        </w:tcPr>
        <w:p w14:paraId="4559F5DE" w14:textId="77777777" w:rsidR="004C7578" w:rsidRPr="007C5749" w:rsidRDefault="004C7578" w:rsidP="009D1BD4">
          <w:pPr>
            <w:pStyle w:val="FirstFooter"/>
            <w:tabs>
              <w:tab w:val="left" w:pos="2302"/>
            </w:tabs>
            <w:ind w:left="2302" w:hanging="2302"/>
            <w:rPr>
              <w:sz w:val="18"/>
              <w:szCs w:val="18"/>
              <w:lang w:val="es-ES_tradnl"/>
            </w:rPr>
          </w:pPr>
          <w:r w:rsidRPr="007C5749">
            <w:rPr>
              <w:sz w:val="18"/>
              <w:szCs w:val="18"/>
              <w:lang w:val="es-ES_tradnl"/>
            </w:rPr>
            <w:t>Nombre/Organización/Entidad:</w:t>
          </w:r>
        </w:p>
      </w:tc>
      <w:tc>
        <w:tcPr>
          <w:tcW w:w="6237" w:type="dxa"/>
          <w:tcBorders>
            <w:top w:val="single" w:sz="4" w:space="0" w:color="000000"/>
          </w:tcBorders>
          <w:shd w:val="clear" w:color="auto" w:fill="auto"/>
        </w:tcPr>
        <w:p w14:paraId="273A1FA4" w14:textId="77777777" w:rsidR="004C7578" w:rsidRPr="007C5749" w:rsidRDefault="004C7578" w:rsidP="009D1BD4">
          <w:pPr>
            <w:pStyle w:val="FirstFooter"/>
            <w:tabs>
              <w:tab w:val="left" w:pos="2302"/>
            </w:tabs>
            <w:ind w:left="2302" w:hanging="2302"/>
            <w:rPr>
              <w:sz w:val="18"/>
              <w:szCs w:val="18"/>
              <w:lang w:val="es-ES_tradnl"/>
            </w:rPr>
          </w:pPr>
          <w:r w:rsidRPr="007C5749">
            <w:rPr>
              <w:sz w:val="18"/>
              <w:szCs w:val="18"/>
              <w:lang w:val="es-ES_tradnl"/>
            </w:rPr>
            <w:t>Sr. Jaroslaw Ponder, Jefe de la Oficina de la UIT para Europa</w:t>
          </w:r>
        </w:p>
      </w:tc>
    </w:tr>
    <w:tr w:rsidR="004C7578" w:rsidRPr="00D143D1" w14:paraId="0053D76F" w14:textId="77777777" w:rsidTr="00904C8E">
      <w:tc>
        <w:tcPr>
          <w:tcW w:w="1134" w:type="dxa"/>
          <w:shd w:val="clear" w:color="auto" w:fill="auto"/>
          <w:vAlign w:val="center"/>
        </w:tcPr>
        <w:p w14:paraId="578662CC" w14:textId="77777777" w:rsidR="004C7578" w:rsidRPr="007C5749" w:rsidRDefault="004C7578" w:rsidP="00904C8E">
          <w:pPr>
            <w:pStyle w:val="FirstFooter"/>
            <w:tabs>
              <w:tab w:val="left" w:pos="1559"/>
              <w:tab w:val="left" w:pos="3828"/>
            </w:tabs>
            <w:rPr>
              <w:sz w:val="20"/>
              <w:lang w:val="es-ES_tradnl"/>
            </w:rPr>
          </w:pPr>
        </w:p>
      </w:tc>
      <w:tc>
        <w:tcPr>
          <w:tcW w:w="2552" w:type="dxa"/>
          <w:shd w:val="clear" w:color="auto" w:fill="auto"/>
          <w:vAlign w:val="center"/>
        </w:tcPr>
        <w:p w14:paraId="59892185" w14:textId="77777777" w:rsidR="004C7578" w:rsidRPr="007C5749" w:rsidRDefault="004C7578" w:rsidP="00904C8E">
          <w:pPr>
            <w:pStyle w:val="FirstFooter"/>
            <w:tabs>
              <w:tab w:val="left" w:pos="2302"/>
            </w:tabs>
            <w:rPr>
              <w:sz w:val="18"/>
              <w:szCs w:val="18"/>
              <w:lang w:val="es-ES_tradnl"/>
            </w:rPr>
          </w:pPr>
          <w:r w:rsidRPr="007C5749">
            <w:rPr>
              <w:sz w:val="18"/>
              <w:szCs w:val="18"/>
              <w:lang w:val="es-ES_tradnl"/>
            </w:rPr>
            <w:t>Teléfono:</w:t>
          </w:r>
        </w:p>
      </w:tc>
      <w:tc>
        <w:tcPr>
          <w:tcW w:w="6237" w:type="dxa"/>
          <w:shd w:val="clear" w:color="auto" w:fill="auto"/>
          <w:vAlign w:val="center"/>
        </w:tcPr>
        <w:p w14:paraId="7CD7DD5B" w14:textId="77777777" w:rsidR="004C7578" w:rsidRPr="007C5749" w:rsidRDefault="004C7578" w:rsidP="00904C8E">
          <w:pPr>
            <w:pStyle w:val="FirstFooter"/>
            <w:tabs>
              <w:tab w:val="left" w:pos="2302"/>
            </w:tabs>
            <w:rPr>
              <w:sz w:val="18"/>
              <w:szCs w:val="18"/>
              <w:lang w:val="es-ES_tradnl"/>
            </w:rPr>
          </w:pPr>
          <w:r w:rsidRPr="007C5749">
            <w:rPr>
              <w:sz w:val="18"/>
              <w:szCs w:val="18"/>
              <w:lang w:val="es-ES_tradnl"/>
            </w:rPr>
            <w:t>+41 22 730 6065</w:t>
          </w:r>
        </w:p>
      </w:tc>
    </w:tr>
    <w:tr w:rsidR="004C7578" w:rsidRPr="00D143D1" w14:paraId="6D917D30" w14:textId="77777777" w:rsidTr="00904C8E">
      <w:tc>
        <w:tcPr>
          <w:tcW w:w="1134" w:type="dxa"/>
          <w:shd w:val="clear" w:color="auto" w:fill="auto"/>
        </w:tcPr>
        <w:p w14:paraId="2B7C7C0A" w14:textId="77777777" w:rsidR="004C7578" w:rsidRPr="007C5749" w:rsidRDefault="004C7578" w:rsidP="009D1BD4">
          <w:pPr>
            <w:pStyle w:val="FirstFooter"/>
            <w:tabs>
              <w:tab w:val="left" w:pos="1559"/>
              <w:tab w:val="left" w:pos="3828"/>
            </w:tabs>
            <w:rPr>
              <w:sz w:val="20"/>
              <w:lang w:val="es-ES_tradnl"/>
            </w:rPr>
          </w:pPr>
        </w:p>
      </w:tc>
      <w:tc>
        <w:tcPr>
          <w:tcW w:w="2552" w:type="dxa"/>
          <w:shd w:val="clear" w:color="auto" w:fill="auto"/>
        </w:tcPr>
        <w:p w14:paraId="61AF66BF" w14:textId="77777777" w:rsidR="004C7578" w:rsidRPr="007C5749" w:rsidRDefault="004C7578" w:rsidP="00904C8E">
          <w:pPr>
            <w:pStyle w:val="FirstFooter"/>
            <w:tabs>
              <w:tab w:val="left" w:pos="2302"/>
            </w:tabs>
            <w:rPr>
              <w:sz w:val="18"/>
              <w:szCs w:val="18"/>
              <w:lang w:val="es-ES_tradnl"/>
            </w:rPr>
          </w:pPr>
          <w:r w:rsidRPr="007C5749">
            <w:rPr>
              <w:sz w:val="18"/>
              <w:szCs w:val="18"/>
              <w:lang w:val="es-ES_tradnl"/>
            </w:rPr>
            <w:t>Correo-e:</w:t>
          </w:r>
        </w:p>
      </w:tc>
      <w:tc>
        <w:tcPr>
          <w:tcW w:w="6237" w:type="dxa"/>
          <w:shd w:val="clear" w:color="auto" w:fill="auto"/>
        </w:tcPr>
        <w:p w14:paraId="210590D2" w14:textId="77777777" w:rsidR="004C7578" w:rsidRPr="007C5749" w:rsidRDefault="001F301D" w:rsidP="00904C8E">
          <w:pPr>
            <w:pStyle w:val="FirstFooter"/>
            <w:tabs>
              <w:tab w:val="left" w:pos="2302"/>
            </w:tabs>
            <w:rPr>
              <w:sz w:val="18"/>
              <w:szCs w:val="18"/>
              <w:lang w:val="es-ES_tradnl"/>
            </w:rPr>
          </w:pPr>
          <w:hyperlink r:id="rId1" w:history="1">
            <w:r w:rsidR="004C7578" w:rsidRPr="007C5749">
              <w:rPr>
                <w:rStyle w:val="Hyperlink"/>
                <w:sz w:val="18"/>
                <w:szCs w:val="18"/>
                <w:lang w:val="es-ES_tradnl"/>
              </w:rPr>
              <w:t>jaroslaw.ponder@itu.int</w:t>
            </w:r>
          </w:hyperlink>
        </w:p>
      </w:tc>
    </w:tr>
  </w:tbl>
  <w:p w14:paraId="017C7D6C" w14:textId="77777777" w:rsidR="004C7578" w:rsidRPr="00904C8E" w:rsidRDefault="001F301D" w:rsidP="00904C8E">
    <w:pPr>
      <w:tabs>
        <w:tab w:val="clear" w:pos="794"/>
        <w:tab w:val="clear" w:pos="1191"/>
        <w:tab w:val="clear" w:pos="1588"/>
        <w:tab w:val="clear" w:pos="1985"/>
        <w:tab w:val="left" w:pos="5954"/>
        <w:tab w:val="right" w:pos="9639"/>
      </w:tabs>
      <w:jc w:val="center"/>
    </w:pPr>
    <w:hyperlink r:id="rId2" w:history="1">
      <w:r w:rsidR="004C7578">
        <w:rPr>
          <w:rFonts w:ascii="Calibri" w:hAnsi="Calibri"/>
          <w:color w:val="0000FF"/>
          <w:sz w:val="18"/>
          <w:szCs w:val="18"/>
          <w:u w:val="single"/>
        </w:rPr>
        <w:t>GADT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6B278" w14:textId="77777777" w:rsidR="00AA076A" w:rsidRDefault="00AA07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F832A" w14:textId="5A435CB0" w:rsidR="00A518E4" w:rsidRPr="00A518E4" w:rsidRDefault="00A518E4" w:rsidP="00A518E4">
    <w:pPr>
      <w:pStyle w:val="Footer"/>
      <w:rPr>
        <w:szCs w:val="16"/>
      </w:rPr>
    </w:pPr>
    <w:r w:rsidRPr="00A518E4">
      <w:rPr>
        <w:szCs w:val="16"/>
        <w:lang w:val="en-GB"/>
      </w:rPr>
      <w:fldChar w:fldCharType="begin"/>
    </w:r>
    <w:r w:rsidRPr="00A518E4">
      <w:rPr>
        <w:szCs w:val="16"/>
      </w:rPr>
      <w:instrText xml:space="preserve"> FILENAME \p  \* MERGEFORMAT </w:instrText>
    </w:r>
    <w:r w:rsidRPr="00A518E4">
      <w:rPr>
        <w:szCs w:val="16"/>
        <w:lang w:val="en-GB"/>
      </w:rPr>
      <w:fldChar w:fldCharType="separate"/>
    </w:r>
    <w:r w:rsidR="00D26DAB">
      <w:rPr>
        <w:szCs w:val="16"/>
      </w:rPr>
      <w:t>P:\ESP\ITU-D\CONF-D\TDAG20\000\003S.docx</w:t>
    </w:r>
    <w:r w:rsidRPr="00A518E4">
      <w:rPr>
        <w:szCs w:val="16"/>
        <w:lang w:val="en-GB"/>
      </w:rPr>
      <w:fldChar w:fldCharType="end"/>
    </w:r>
    <w:r w:rsidRPr="00A518E4">
      <w:rPr>
        <w:szCs w:val="16"/>
      </w:rPr>
      <w:t xml:space="preserve"> (465650)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59090" w14:textId="0D418055" w:rsidR="006E4AB3" w:rsidRPr="00A518E4" w:rsidRDefault="00A518E4" w:rsidP="00A518E4">
    <w:pPr>
      <w:pStyle w:val="Footer"/>
      <w:rPr>
        <w:szCs w:val="16"/>
      </w:rPr>
    </w:pPr>
    <w:r w:rsidRPr="00A518E4">
      <w:rPr>
        <w:szCs w:val="16"/>
        <w:lang w:val="en-GB"/>
      </w:rPr>
      <w:fldChar w:fldCharType="begin"/>
    </w:r>
    <w:r w:rsidRPr="00A518E4">
      <w:rPr>
        <w:szCs w:val="16"/>
      </w:rPr>
      <w:instrText xml:space="preserve"> FILENAME \p  \* MERGEFORMAT </w:instrText>
    </w:r>
    <w:r w:rsidRPr="00A518E4">
      <w:rPr>
        <w:szCs w:val="16"/>
        <w:lang w:val="en-GB"/>
      </w:rPr>
      <w:fldChar w:fldCharType="separate"/>
    </w:r>
    <w:r w:rsidR="00D26DAB">
      <w:rPr>
        <w:szCs w:val="16"/>
      </w:rPr>
      <w:t>P:\ESP\ITU-D\CONF-D\TDAG20\000\003S.docx</w:t>
    </w:r>
    <w:r w:rsidRPr="00A518E4">
      <w:rPr>
        <w:szCs w:val="16"/>
        <w:lang w:val="en-GB"/>
      </w:rPr>
      <w:fldChar w:fldCharType="end"/>
    </w:r>
    <w:r w:rsidRPr="00A518E4">
      <w:rPr>
        <w:szCs w:val="16"/>
      </w:rPr>
      <w:t xml:space="preserve"> (465650)</w:t>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D3EE2" w14:textId="77777777" w:rsidR="004C7578" w:rsidRDefault="004C7578" w:rsidP="0088106F">
      <w:r>
        <w:separator/>
      </w:r>
    </w:p>
  </w:footnote>
  <w:footnote w:type="continuationSeparator" w:id="0">
    <w:p w14:paraId="6048C125" w14:textId="77777777" w:rsidR="004C7578" w:rsidRDefault="004C7578" w:rsidP="0088106F">
      <w:r>
        <w:continuationSeparator/>
      </w:r>
    </w:p>
  </w:footnote>
  <w:footnote w:id="1">
    <w:p w14:paraId="6C957965" w14:textId="7F42BAA2" w:rsidR="004C7578" w:rsidRPr="004C7578" w:rsidRDefault="004C7578">
      <w:pPr>
        <w:pStyle w:val="FootnoteText"/>
      </w:pPr>
      <w:r>
        <w:rPr>
          <w:rStyle w:val="FootnoteReference"/>
        </w:rPr>
        <w:footnoteRef/>
      </w:r>
      <w:bookmarkStart w:id="9" w:name="lt_pId197"/>
      <w:r w:rsidR="00A518E4">
        <w:tab/>
      </w:r>
      <w:r w:rsidRPr="000E58DA">
        <w:rPr>
          <w:spacing w:val="-4"/>
          <w:sz w:val="20"/>
        </w:rPr>
        <w:t>Véase</w:t>
      </w:r>
      <w:r w:rsidRPr="00AD69B7">
        <w:rPr>
          <w:spacing w:val="-4"/>
          <w:sz w:val="20"/>
        </w:rPr>
        <w:t xml:space="preserve"> </w:t>
      </w:r>
      <w:hyperlink r:id="rId1" w:history="1">
        <w:r w:rsidRPr="00AD69B7">
          <w:rPr>
            <w:rStyle w:val="Hyperlink"/>
            <w:spacing w:val="-4"/>
            <w:sz w:val="20"/>
          </w:rPr>
          <w:t>https://www.itu.int/en/ITU-D/Statistics/Documents/intlcoop/partnership/Thematic_ICT_indicators_for_the_SDGs.pdf</w:t>
        </w:r>
      </w:hyperlink>
      <w:bookmarkEnd w:id="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F1007" w14:textId="35C11DC5" w:rsidR="004C7578" w:rsidRPr="009A6FC4" w:rsidRDefault="004C7578" w:rsidP="00926ABA">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w:t>
    </w:r>
    <w:r w:rsidR="00E74E83">
      <w:rPr>
        <w:sz w:val="22"/>
        <w:szCs w:val="22"/>
        <w:lang w:val="en-US"/>
      </w:rPr>
      <w:t>20</w:t>
    </w:r>
    <w:r w:rsidRPr="003D4CFB">
      <w:rPr>
        <w:sz w:val="22"/>
        <w:szCs w:val="22"/>
        <w:lang w:val="en-US"/>
      </w:rPr>
      <w:t>/</w:t>
    </w:r>
    <w:r>
      <w:rPr>
        <w:sz w:val="22"/>
        <w:szCs w:val="22"/>
        <w:lang w:val="en-US"/>
      </w:rPr>
      <w:t>3</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noProof/>
        <w:sz w:val="22"/>
        <w:szCs w:val="22"/>
        <w:lang w:val="en-US"/>
      </w:rPr>
      <w:t>7</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FD944" w14:textId="77777777" w:rsidR="00AA076A" w:rsidRDefault="00AA0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7FE13" w14:textId="3E42615A" w:rsidR="009A6FC4" w:rsidRPr="00A518E4" w:rsidRDefault="00A518E4" w:rsidP="00A518E4">
    <w:pPr>
      <w:tabs>
        <w:tab w:val="clear" w:pos="794"/>
        <w:tab w:val="clear" w:pos="1191"/>
        <w:tab w:val="clear" w:pos="1588"/>
        <w:tab w:val="clear" w:pos="1985"/>
        <w:tab w:val="center" w:pos="7088"/>
        <w:tab w:val="right" w:pos="13997"/>
      </w:tabs>
      <w:ind w:right="1"/>
      <w:rPr>
        <w:smallCaps/>
        <w:spacing w:val="24"/>
        <w:sz w:val="22"/>
        <w:szCs w:val="22"/>
        <w:lang w:val="de-CH"/>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3</w:t>
    </w:r>
    <w:r w:rsidRPr="006D271A">
      <w:rPr>
        <w:sz w:val="22"/>
        <w:szCs w:val="22"/>
        <w:lang w:val="de-CH"/>
      </w:rPr>
      <w:t>-</w:t>
    </w:r>
    <w:r>
      <w:rPr>
        <w:sz w:val="22"/>
        <w:szCs w:val="22"/>
        <w:lang w:val="de-CH"/>
      </w:rPr>
      <w:t>S</w:t>
    </w:r>
    <w:r w:rsidRPr="006D271A">
      <w:rPr>
        <w:sz w:val="22"/>
        <w:szCs w:val="22"/>
        <w:lang w:val="de-CH"/>
      </w:rPr>
      <w:tab/>
    </w:r>
    <w:r w:rsidR="00CC3EBB" w:rsidRPr="00877904">
      <w:rPr>
        <w:rStyle w:val="PageNumber"/>
        <w:sz w:val="22"/>
        <w:szCs w:val="22"/>
        <w:lang w:val="es-ES_tradnl"/>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10</w:t>
    </w:r>
    <w:r w:rsidRPr="00972BCD">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4DA0D" w14:textId="69E5F699" w:rsidR="00AA076A" w:rsidRPr="00A518E4" w:rsidRDefault="00A518E4" w:rsidP="00A518E4">
    <w:pPr>
      <w:tabs>
        <w:tab w:val="clear" w:pos="794"/>
        <w:tab w:val="clear" w:pos="1191"/>
        <w:tab w:val="clear" w:pos="1588"/>
        <w:tab w:val="clear" w:pos="1985"/>
        <w:tab w:val="center" w:pos="7088"/>
        <w:tab w:val="right" w:pos="13997"/>
      </w:tabs>
      <w:ind w:right="1"/>
      <w:rPr>
        <w:smallCaps/>
        <w:spacing w:val="24"/>
        <w:sz w:val="22"/>
        <w:szCs w:val="22"/>
        <w:lang w:val="de-CH"/>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3</w:t>
    </w:r>
    <w:r w:rsidRPr="006D271A">
      <w:rPr>
        <w:sz w:val="22"/>
        <w:szCs w:val="22"/>
        <w:lang w:val="de-CH"/>
      </w:rPr>
      <w:t>-</w:t>
    </w:r>
    <w:r>
      <w:rPr>
        <w:sz w:val="22"/>
        <w:szCs w:val="22"/>
        <w:lang w:val="de-CH"/>
      </w:rPr>
      <w:t>S</w:t>
    </w:r>
    <w:r w:rsidRPr="006D271A">
      <w:rPr>
        <w:sz w:val="22"/>
        <w:szCs w:val="22"/>
        <w:lang w:val="de-CH"/>
      </w:rPr>
      <w:tab/>
    </w:r>
    <w:r w:rsidR="00CC3EBB" w:rsidRPr="00877904">
      <w:rPr>
        <w:rStyle w:val="PageNumber"/>
        <w:sz w:val="22"/>
        <w:szCs w:val="22"/>
        <w:lang w:val="es-ES_tradnl"/>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10</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9192A"/>
    <w:multiLevelType w:val="hybridMultilevel"/>
    <w:tmpl w:val="1F88FF60"/>
    <w:lvl w:ilvl="0" w:tplc="49C4563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E3561"/>
    <w:multiLevelType w:val="hybridMultilevel"/>
    <w:tmpl w:val="B706147E"/>
    <w:lvl w:ilvl="0" w:tplc="6B68ECF8">
      <w:start w:val="1"/>
      <w:numFmt w:val="decimal"/>
      <w:pStyle w:val="normalWSIS"/>
      <w:lvlText w:val="%1."/>
      <w:lvlJc w:val="left"/>
      <w:pPr>
        <w:ind w:left="502" w:hanging="360"/>
      </w:pPr>
      <w:rPr>
        <w:rFonts w:ascii="Calibri" w:hAnsi="Calibri" w:cstheme="majorBidi" w:hint="default"/>
        <w:b w:val="0"/>
        <w:bCs w:val="0"/>
        <w:i w:val="0"/>
        <w:iCs w:val="0"/>
        <w:color w:val="auto"/>
        <w:sz w:val="24"/>
        <w:szCs w:val="24"/>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04090001">
      <w:start w:val="1"/>
      <w:numFmt w:val="bullet"/>
      <w:lvlText w:val=""/>
      <w:lvlJc w:val="left"/>
      <w:pPr>
        <w:ind w:left="888" w:hanging="435"/>
      </w:pPr>
      <w:rPr>
        <w:rFonts w:ascii="Symbol" w:hAnsi="Symbol" w:hint="default"/>
        <w:color w:val="auto"/>
      </w:rPr>
    </w:lvl>
    <w:lvl w:ilvl="6" w:tplc="04090001">
      <w:start w:val="1"/>
      <w:numFmt w:val="bullet"/>
      <w:lvlText w:val=""/>
      <w:lvlJc w:val="left"/>
      <w:pPr>
        <w:ind w:left="1353" w:hanging="360"/>
      </w:pPr>
      <w:rPr>
        <w:rFonts w:ascii="Symbol" w:hAnsi="Symbol" w:hint="default"/>
      </w:r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2" w15:restartNumberingAfterBreak="0">
    <w:nsid w:val="4C151417"/>
    <w:multiLevelType w:val="hybridMultilevel"/>
    <w:tmpl w:val="D2B2A310"/>
    <w:lvl w:ilvl="0" w:tplc="04090001">
      <w:start w:val="1"/>
      <w:numFmt w:val="bullet"/>
      <w:lvlText w:val=""/>
      <w:lvlJc w:val="left"/>
      <w:pPr>
        <w:ind w:left="1407" w:hanging="360"/>
      </w:pPr>
      <w:rPr>
        <w:rFonts w:ascii="Symbol" w:hAnsi="Symbol" w:hint="default"/>
      </w:rPr>
    </w:lvl>
    <w:lvl w:ilvl="1" w:tplc="04090003" w:tentative="1">
      <w:start w:val="1"/>
      <w:numFmt w:val="bullet"/>
      <w:lvlText w:val="o"/>
      <w:lvlJc w:val="left"/>
      <w:pPr>
        <w:ind w:left="2127" w:hanging="360"/>
      </w:pPr>
      <w:rPr>
        <w:rFonts w:ascii="Courier New" w:hAnsi="Courier New" w:cs="Courier New" w:hint="default"/>
      </w:rPr>
    </w:lvl>
    <w:lvl w:ilvl="2" w:tplc="04090005" w:tentative="1">
      <w:start w:val="1"/>
      <w:numFmt w:val="bullet"/>
      <w:lvlText w:val=""/>
      <w:lvlJc w:val="left"/>
      <w:pPr>
        <w:ind w:left="2847" w:hanging="360"/>
      </w:pPr>
      <w:rPr>
        <w:rFonts w:ascii="Wingdings" w:hAnsi="Wingdings" w:hint="default"/>
      </w:rPr>
    </w:lvl>
    <w:lvl w:ilvl="3" w:tplc="04090001" w:tentative="1">
      <w:start w:val="1"/>
      <w:numFmt w:val="bullet"/>
      <w:lvlText w:val=""/>
      <w:lvlJc w:val="left"/>
      <w:pPr>
        <w:ind w:left="3567" w:hanging="360"/>
      </w:pPr>
      <w:rPr>
        <w:rFonts w:ascii="Symbol" w:hAnsi="Symbol" w:hint="default"/>
      </w:rPr>
    </w:lvl>
    <w:lvl w:ilvl="4" w:tplc="04090003" w:tentative="1">
      <w:start w:val="1"/>
      <w:numFmt w:val="bullet"/>
      <w:lvlText w:val="o"/>
      <w:lvlJc w:val="left"/>
      <w:pPr>
        <w:ind w:left="4287" w:hanging="360"/>
      </w:pPr>
      <w:rPr>
        <w:rFonts w:ascii="Courier New" w:hAnsi="Courier New" w:cs="Courier New" w:hint="default"/>
      </w:rPr>
    </w:lvl>
    <w:lvl w:ilvl="5" w:tplc="04090005" w:tentative="1">
      <w:start w:val="1"/>
      <w:numFmt w:val="bullet"/>
      <w:lvlText w:val=""/>
      <w:lvlJc w:val="left"/>
      <w:pPr>
        <w:ind w:left="5007" w:hanging="360"/>
      </w:pPr>
      <w:rPr>
        <w:rFonts w:ascii="Wingdings" w:hAnsi="Wingdings" w:hint="default"/>
      </w:rPr>
    </w:lvl>
    <w:lvl w:ilvl="6" w:tplc="04090001" w:tentative="1">
      <w:start w:val="1"/>
      <w:numFmt w:val="bullet"/>
      <w:lvlText w:val=""/>
      <w:lvlJc w:val="left"/>
      <w:pPr>
        <w:ind w:left="5727" w:hanging="360"/>
      </w:pPr>
      <w:rPr>
        <w:rFonts w:ascii="Symbol" w:hAnsi="Symbol" w:hint="default"/>
      </w:rPr>
    </w:lvl>
    <w:lvl w:ilvl="7" w:tplc="04090003" w:tentative="1">
      <w:start w:val="1"/>
      <w:numFmt w:val="bullet"/>
      <w:lvlText w:val="o"/>
      <w:lvlJc w:val="left"/>
      <w:pPr>
        <w:ind w:left="6447" w:hanging="360"/>
      </w:pPr>
      <w:rPr>
        <w:rFonts w:ascii="Courier New" w:hAnsi="Courier New" w:cs="Courier New" w:hint="default"/>
      </w:rPr>
    </w:lvl>
    <w:lvl w:ilvl="8" w:tplc="04090005" w:tentative="1">
      <w:start w:val="1"/>
      <w:numFmt w:val="bullet"/>
      <w:lvlText w:val=""/>
      <w:lvlJc w:val="left"/>
      <w:pPr>
        <w:ind w:left="7167" w:hanging="360"/>
      </w:pPr>
      <w:rPr>
        <w:rFonts w:ascii="Wingdings" w:hAnsi="Wingdings" w:hint="default"/>
      </w:rPr>
    </w:lvl>
  </w:abstractNum>
  <w:abstractNum w:abstractNumId="3" w15:restartNumberingAfterBreak="0">
    <w:nsid w:val="6C210226"/>
    <w:multiLevelType w:val="hybridMultilevel"/>
    <w:tmpl w:val="4B462672"/>
    <w:lvl w:ilvl="0" w:tplc="0809000F">
      <w:start w:val="1"/>
      <w:numFmt w:val="decimal"/>
      <w:lvlText w:val="%1."/>
      <w:lvlJc w:val="left"/>
      <w:pPr>
        <w:ind w:left="360" w:hanging="360"/>
      </w:pPr>
      <w:rPr>
        <w:rFonts w:hint="default"/>
        <w:b w:val="0"/>
        <w:bCs w:val="0"/>
        <w:i w:val="0"/>
        <w:iCs w:val="0"/>
        <w:color w:val="auto"/>
        <w:sz w:val="24"/>
        <w:szCs w:val="24"/>
        <w:lang w:val="en-US"/>
      </w:rPr>
    </w:lvl>
    <w:lvl w:ilvl="1" w:tplc="04090019">
      <w:start w:val="1"/>
      <w:numFmt w:val="lowerLetter"/>
      <w:lvlText w:val="%2."/>
      <w:lvlJc w:val="left"/>
      <w:pPr>
        <w:ind w:left="-2389" w:hanging="360"/>
      </w:pPr>
    </w:lvl>
    <w:lvl w:ilvl="2" w:tplc="0409001B">
      <w:start w:val="1"/>
      <w:numFmt w:val="lowerRoman"/>
      <w:lvlText w:val="%3."/>
      <w:lvlJc w:val="right"/>
      <w:pPr>
        <w:ind w:left="-1669" w:hanging="180"/>
      </w:pPr>
    </w:lvl>
    <w:lvl w:ilvl="3" w:tplc="0409000F">
      <w:start w:val="1"/>
      <w:numFmt w:val="decimal"/>
      <w:lvlText w:val="%4."/>
      <w:lvlJc w:val="left"/>
      <w:pPr>
        <w:ind w:left="-949" w:hanging="360"/>
      </w:pPr>
    </w:lvl>
    <w:lvl w:ilvl="4" w:tplc="04090019">
      <w:start w:val="1"/>
      <w:numFmt w:val="lowerLetter"/>
      <w:lvlText w:val="%5."/>
      <w:lvlJc w:val="left"/>
      <w:pPr>
        <w:ind w:left="-229" w:hanging="360"/>
      </w:pPr>
    </w:lvl>
    <w:lvl w:ilvl="5" w:tplc="04090001">
      <w:start w:val="1"/>
      <w:numFmt w:val="bullet"/>
      <w:lvlText w:val=""/>
      <w:lvlJc w:val="left"/>
      <w:pPr>
        <w:ind w:left="746" w:hanging="435"/>
      </w:pPr>
      <w:rPr>
        <w:rFonts w:ascii="Symbol" w:hAnsi="Symbol" w:hint="default"/>
        <w:color w:val="auto"/>
      </w:rPr>
    </w:lvl>
    <w:lvl w:ilvl="6" w:tplc="04090001">
      <w:start w:val="1"/>
      <w:numFmt w:val="bullet"/>
      <w:lvlText w:val=""/>
      <w:lvlJc w:val="left"/>
      <w:pPr>
        <w:ind w:left="1211" w:hanging="360"/>
      </w:pPr>
      <w:rPr>
        <w:rFonts w:ascii="Symbol" w:hAnsi="Symbol" w:hint="default"/>
      </w:rPr>
    </w:lvl>
    <w:lvl w:ilvl="7" w:tplc="04090019">
      <w:start w:val="1"/>
      <w:numFmt w:val="lowerLetter"/>
      <w:lvlText w:val="%8."/>
      <w:lvlJc w:val="left"/>
      <w:pPr>
        <w:ind w:left="1931" w:hanging="360"/>
      </w:pPr>
    </w:lvl>
    <w:lvl w:ilvl="8" w:tplc="0409001B">
      <w:start w:val="1"/>
      <w:numFmt w:val="lowerRoman"/>
      <w:lvlText w:val="%9."/>
      <w:lvlJc w:val="right"/>
      <w:pPr>
        <w:ind w:left="265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78"/>
    <w:rsid w:val="00006363"/>
    <w:rsid w:val="000135AE"/>
    <w:rsid w:val="000255BB"/>
    <w:rsid w:val="000261EF"/>
    <w:rsid w:val="00030833"/>
    <w:rsid w:val="00033D49"/>
    <w:rsid w:val="000725A1"/>
    <w:rsid w:val="000C0AA7"/>
    <w:rsid w:val="000E58DA"/>
    <w:rsid w:val="000E7A0A"/>
    <w:rsid w:val="00110C54"/>
    <w:rsid w:val="00194CB2"/>
    <w:rsid w:val="001F301D"/>
    <w:rsid w:val="00204513"/>
    <w:rsid w:val="00213302"/>
    <w:rsid w:val="00221C14"/>
    <w:rsid w:val="00225D2E"/>
    <w:rsid w:val="00241CB9"/>
    <w:rsid w:val="00297FA2"/>
    <w:rsid w:val="002A39EB"/>
    <w:rsid w:val="002A7FAB"/>
    <w:rsid w:val="002C4555"/>
    <w:rsid w:val="002D4BE6"/>
    <w:rsid w:val="002D6772"/>
    <w:rsid w:val="00302736"/>
    <w:rsid w:val="00321BE6"/>
    <w:rsid w:val="00330D9D"/>
    <w:rsid w:val="0033649F"/>
    <w:rsid w:val="00360762"/>
    <w:rsid w:val="00390391"/>
    <w:rsid w:val="003D2B17"/>
    <w:rsid w:val="003D4CFB"/>
    <w:rsid w:val="003E6BCC"/>
    <w:rsid w:val="00412CC8"/>
    <w:rsid w:val="00482632"/>
    <w:rsid w:val="004B7893"/>
    <w:rsid w:val="004C7578"/>
    <w:rsid w:val="004E7861"/>
    <w:rsid w:val="004F7EDF"/>
    <w:rsid w:val="00535C50"/>
    <w:rsid w:val="00545DED"/>
    <w:rsid w:val="005557A3"/>
    <w:rsid w:val="005637B9"/>
    <w:rsid w:val="005643DC"/>
    <w:rsid w:val="005F0A9D"/>
    <w:rsid w:val="00602B27"/>
    <w:rsid w:val="006339E7"/>
    <w:rsid w:val="00635A62"/>
    <w:rsid w:val="006650C3"/>
    <w:rsid w:val="006919C3"/>
    <w:rsid w:val="006E4AB3"/>
    <w:rsid w:val="006F39EB"/>
    <w:rsid w:val="00740094"/>
    <w:rsid w:val="00772AEF"/>
    <w:rsid w:val="007C3061"/>
    <w:rsid w:val="007E471D"/>
    <w:rsid w:val="0080066B"/>
    <w:rsid w:val="00835A77"/>
    <w:rsid w:val="0086435F"/>
    <w:rsid w:val="0088106F"/>
    <w:rsid w:val="00892100"/>
    <w:rsid w:val="008C1852"/>
    <w:rsid w:val="008D789A"/>
    <w:rsid w:val="00917B12"/>
    <w:rsid w:val="009648A1"/>
    <w:rsid w:val="009752D2"/>
    <w:rsid w:val="00991B13"/>
    <w:rsid w:val="009952F6"/>
    <w:rsid w:val="009A6FC4"/>
    <w:rsid w:val="009B23F4"/>
    <w:rsid w:val="009C4F6F"/>
    <w:rsid w:val="009D1BD4"/>
    <w:rsid w:val="00A33516"/>
    <w:rsid w:val="00A518E4"/>
    <w:rsid w:val="00A5709F"/>
    <w:rsid w:val="00A87DD9"/>
    <w:rsid w:val="00AA076A"/>
    <w:rsid w:val="00AE1BA7"/>
    <w:rsid w:val="00AF563E"/>
    <w:rsid w:val="00B01794"/>
    <w:rsid w:val="00B078B5"/>
    <w:rsid w:val="00BC7208"/>
    <w:rsid w:val="00CC3EBB"/>
    <w:rsid w:val="00D16175"/>
    <w:rsid w:val="00D26DAB"/>
    <w:rsid w:val="00D372A5"/>
    <w:rsid w:val="00DC0E27"/>
    <w:rsid w:val="00E17138"/>
    <w:rsid w:val="00E204A0"/>
    <w:rsid w:val="00E3419C"/>
    <w:rsid w:val="00E3519F"/>
    <w:rsid w:val="00E51C72"/>
    <w:rsid w:val="00E74E83"/>
    <w:rsid w:val="00E827C2"/>
    <w:rsid w:val="00EB6D19"/>
    <w:rsid w:val="00ED2681"/>
    <w:rsid w:val="00F01E28"/>
    <w:rsid w:val="00F12690"/>
    <w:rsid w:val="00F51D4A"/>
    <w:rsid w:val="00F54CFC"/>
    <w:rsid w:val="00FA67A2"/>
    <w:rsid w:val="00FB6F4D"/>
    <w:rsid w:val="00FD3A29"/>
    <w:rsid w:val="00FF4386"/>
    <w:rsid w:val="00FF4F9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827006"/>
  <w15:docId w15:val="{C9897762-CB8E-4B58-A845-E7DF9037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E27"/>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link w:val="HeadingbChar"/>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customStyle="1" w:styleId="HeadingbChar">
    <w:name w:val="Heading_b Char"/>
    <w:basedOn w:val="DefaultParagraphFont"/>
    <w:link w:val="Headingb"/>
    <w:locked/>
    <w:rsid w:val="004C7578"/>
    <w:rPr>
      <w:rFonts w:eastAsia="Times New Roman" w:cs="Times New Roman"/>
      <w:b/>
      <w:sz w:val="24"/>
      <w:szCs w:val="20"/>
      <w:lang w:eastAsia="en-US"/>
    </w:rPr>
  </w:style>
  <w:style w:type="table" w:customStyle="1" w:styleId="GridTable4-Accent31">
    <w:name w:val="Grid Table 4 - Accent 31"/>
    <w:basedOn w:val="TableNormal"/>
    <w:uiPriority w:val="49"/>
    <w:rsid w:val="004C7578"/>
    <w:pPr>
      <w:spacing w:after="0" w:line="240" w:lineRule="auto"/>
    </w:pPr>
    <w:rPr>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normalWSIS">
    <w:name w:val="normal WSIS"/>
    <w:basedOn w:val="ListParagraph"/>
    <w:qFormat/>
    <w:rsid w:val="004C7578"/>
    <w:pPr>
      <w:numPr>
        <w:numId w:val="1"/>
      </w:numPr>
      <w:tabs>
        <w:tab w:val="clear" w:pos="794"/>
        <w:tab w:val="clear" w:pos="1191"/>
        <w:tab w:val="clear" w:pos="1588"/>
        <w:tab w:val="clear" w:pos="1985"/>
        <w:tab w:val="num" w:pos="360"/>
        <w:tab w:val="left" w:pos="426"/>
      </w:tabs>
      <w:overflowPunct/>
      <w:autoSpaceDE/>
      <w:autoSpaceDN/>
      <w:adjustRightInd/>
      <w:spacing w:after="200"/>
      <w:ind w:left="720" w:firstLine="0"/>
      <w:contextualSpacing w:val="0"/>
      <w:jc w:val="both"/>
      <w:textAlignment w:val="auto"/>
    </w:pPr>
    <w:rPr>
      <w:rFonts w:ascii="Calibri" w:eastAsia="SimSun" w:hAnsi="Calibri" w:cs="Arial"/>
      <w:sz w:val="20"/>
      <w:lang w:val="en-US" w:eastAsia="zh-CN"/>
    </w:rPr>
  </w:style>
  <w:style w:type="paragraph" w:styleId="ListParagraph">
    <w:name w:val="List Paragraph"/>
    <w:aliases w:val="List Paragraph1,Recommendation,List Paragraph11"/>
    <w:basedOn w:val="Normal"/>
    <w:link w:val="ListParagraphChar"/>
    <w:uiPriority w:val="34"/>
    <w:qFormat/>
    <w:rsid w:val="004C7578"/>
    <w:pPr>
      <w:ind w:left="720"/>
      <w:contextualSpacing/>
    </w:pPr>
  </w:style>
  <w:style w:type="character" w:customStyle="1" w:styleId="ListParagraphChar">
    <w:name w:val="List Paragraph Char"/>
    <w:aliases w:val="List Paragraph1 Char,Recommendation Char,List Paragraph11 Char"/>
    <w:basedOn w:val="DefaultParagraphFont"/>
    <w:link w:val="ListParagraph"/>
    <w:uiPriority w:val="34"/>
    <w:locked/>
    <w:rsid w:val="004C7578"/>
    <w:rPr>
      <w:rFonts w:eastAsia="Times New Roman" w:cs="Times New Roman"/>
      <w:sz w:val="24"/>
      <w:szCs w:val="20"/>
      <w:lang w:eastAsia="en-US"/>
    </w:rPr>
  </w:style>
  <w:style w:type="character" w:styleId="FollowedHyperlink">
    <w:name w:val="FollowedHyperlink"/>
    <w:basedOn w:val="DefaultParagraphFont"/>
    <w:uiPriority w:val="99"/>
    <w:semiHidden/>
    <w:unhideWhenUsed/>
    <w:rsid w:val="00740094"/>
    <w:rPr>
      <w:color w:val="800080" w:themeColor="followedHyperlink"/>
      <w:u w:val="single"/>
    </w:rPr>
  </w:style>
  <w:style w:type="character" w:styleId="UnresolvedMention">
    <w:name w:val="Unresolved Mention"/>
    <w:basedOn w:val="DefaultParagraphFont"/>
    <w:uiPriority w:val="99"/>
    <w:semiHidden/>
    <w:unhideWhenUsed/>
    <w:rsid w:val="00204513"/>
    <w:rPr>
      <w:color w:val="605E5C"/>
      <w:shd w:val="clear" w:color="auto" w:fill="E1DFDD"/>
    </w:rPr>
  </w:style>
  <w:style w:type="table" w:customStyle="1" w:styleId="TableGrid1">
    <w:name w:val="Table Grid1"/>
    <w:basedOn w:val="TableNormal"/>
    <w:next w:val="TableGrid"/>
    <w:uiPriority w:val="59"/>
    <w:rsid w:val="00F54CFC"/>
    <w:pPr>
      <w:spacing w:after="0" w:line="240" w:lineRule="auto"/>
    </w:pPr>
    <w:rPr>
      <w:rFonts w:ascii="CG Times" w:eastAsia="Times New Roman" w:hAnsi="CG Times"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2">
    <w:name w:val="Grid Table 4 - Accent 12"/>
    <w:basedOn w:val="TableNormal"/>
    <w:uiPriority w:val="49"/>
    <w:rsid w:val="00F54CFC"/>
    <w:pPr>
      <w:spacing w:after="0" w:line="240" w:lineRule="auto"/>
    </w:pPr>
    <w:rPr>
      <w:rFonts w:eastAsia="Calibri"/>
      <w:lang w:val="en-U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SG02.RGQ-C-0167/en" TargetMode="External"/><Relationship Id="rId18" Type="http://schemas.openxmlformats.org/officeDocument/2006/relationships/hyperlink" Target="http://www.unece.org/rfsd2020.html" TargetMode="External"/><Relationship Id="rId26" Type="http://schemas.openxmlformats.org/officeDocument/2006/relationships/footer" Target="footer2.xml"/><Relationship Id="rId39" Type="http://schemas.openxmlformats.org/officeDocument/2006/relationships/image" Target="media/image14.png"/><Relationship Id="rId21" Type="http://schemas.openxmlformats.org/officeDocument/2006/relationships/hyperlink" Target="http://forus-international.org/es/eventos/escwa-7th-session-of-the-arab-forum-for-sustainable-development-2020" TargetMode="External"/><Relationship Id="rId34" Type="http://schemas.openxmlformats.org/officeDocument/2006/relationships/image" Target="media/image9.png"/><Relationship Id="rId42" Type="http://schemas.openxmlformats.org/officeDocument/2006/relationships/image" Target="media/image17.png"/><Relationship Id="rId47" Type="http://schemas.openxmlformats.org/officeDocument/2006/relationships/image" Target="media/image22.png"/><Relationship Id="rId50" Type="http://schemas.openxmlformats.org/officeDocument/2006/relationships/image" Target="media/image25.png"/><Relationship Id="rId55"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D/Initiatives/GIGA/Pages/default.aspx" TargetMode="External"/><Relationship Id="rId29" Type="http://schemas.openxmlformats.org/officeDocument/2006/relationships/image" Target="media/image4.png"/><Relationship Id="rId11" Type="http://schemas.openxmlformats.org/officeDocument/2006/relationships/hyperlink" Target="https://www.itu.int/net4/wsis/forum/2019/es/Home/Outcomes" TargetMode="External"/><Relationship Id="rId24" Type="http://schemas.openxmlformats.org/officeDocument/2006/relationships/header" Target="header1.xml"/><Relationship Id="rId32" Type="http://schemas.openxmlformats.org/officeDocument/2006/relationships/image" Target="media/image7.png"/><Relationship Id="rId37" Type="http://schemas.openxmlformats.org/officeDocument/2006/relationships/image" Target="media/image12.png"/><Relationship Id="rId40" Type="http://schemas.openxmlformats.org/officeDocument/2006/relationships/image" Target="media/image15.png"/><Relationship Id="rId45" Type="http://schemas.openxmlformats.org/officeDocument/2006/relationships/image" Target="media/image20.png"/><Relationship Id="rId53" Type="http://schemas.openxmlformats.org/officeDocument/2006/relationships/footer" Target="footer3.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unescap.org/apfsd/7/" TargetMode="External"/><Relationship Id="rId4" Type="http://schemas.openxmlformats.org/officeDocument/2006/relationships/settings" Target="settings.xml"/><Relationship Id="rId9" Type="http://schemas.openxmlformats.org/officeDocument/2006/relationships/hyperlink" Target="https://www.itu.int/es/ITU-D/Conferences/WTDC/WTDC17/Pages/default.aspx" TargetMode="External"/><Relationship Id="rId14" Type="http://schemas.openxmlformats.org/officeDocument/2006/relationships/hyperlink" Target="https://www.itu.int/md/d18-sg01-c-0207" TargetMode="External"/><Relationship Id="rId22" Type="http://schemas.openxmlformats.org/officeDocument/2006/relationships/hyperlink" Target="https://www.unescwa.org/events/arab-forum-wsis-sdgs-2019"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image" Target="media/image10.png"/><Relationship Id="rId43" Type="http://schemas.openxmlformats.org/officeDocument/2006/relationships/image" Target="media/image18.png"/><Relationship Id="rId48" Type="http://schemas.openxmlformats.org/officeDocument/2006/relationships/image" Target="media/image23.png"/><Relationship Id="rId56" Type="http://schemas.openxmlformats.org/officeDocument/2006/relationships/footer" Target="footer5.xml"/><Relationship Id="rId8" Type="http://schemas.openxmlformats.org/officeDocument/2006/relationships/image" Target="media/image1.jpe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itu.int/md/D18-SG01.RGQ-C-0258/en" TargetMode="External"/><Relationship Id="rId17" Type="http://schemas.openxmlformats.org/officeDocument/2006/relationships/hyperlink" Target="https://www.uneca.org/arfsd2020" TargetMode="External"/><Relationship Id="rId25" Type="http://schemas.openxmlformats.org/officeDocument/2006/relationships/footer" Target="footer1.xml"/><Relationship Id="rId33" Type="http://schemas.openxmlformats.org/officeDocument/2006/relationships/image" Target="media/image8.png"/><Relationship Id="rId38" Type="http://schemas.openxmlformats.org/officeDocument/2006/relationships/image" Target="media/image13.png"/><Relationship Id="rId46" Type="http://schemas.openxmlformats.org/officeDocument/2006/relationships/image" Target="media/image21.png"/><Relationship Id="rId20" Type="http://schemas.openxmlformats.org/officeDocument/2006/relationships/hyperlink" Target="https://foroalc2030.cepal.org/2019/es" TargetMode="External"/><Relationship Id="rId41" Type="http://schemas.openxmlformats.org/officeDocument/2006/relationships/image" Target="media/image16.png"/><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18-sg02-c-0190" TargetMode="External"/><Relationship Id="rId23" Type="http://schemas.openxmlformats.org/officeDocument/2006/relationships/hyperlink" Target="https://www.itu.int/es/ITU-D/Pages/rdf_2019.aspx" TargetMode="External"/><Relationship Id="rId28" Type="http://schemas.openxmlformats.org/officeDocument/2006/relationships/image" Target="media/image3.png"/><Relationship Id="rId36" Type="http://schemas.openxmlformats.org/officeDocument/2006/relationships/image" Target="media/image11.png"/><Relationship Id="rId49" Type="http://schemas.openxmlformats.org/officeDocument/2006/relationships/image" Target="media/image24.png"/><Relationship Id="rId57" Type="http://schemas.openxmlformats.org/officeDocument/2006/relationships/fontTable" Target="fontTable.xml"/><Relationship Id="rId10" Type="http://schemas.openxmlformats.org/officeDocument/2006/relationships/hyperlink" Target="https://www.itu.int/en/itu-wsis/Pages/Contribution.aspx" TargetMode="External"/><Relationship Id="rId31" Type="http://schemas.openxmlformats.org/officeDocument/2006/relationships/image" Target="media/image6.png"/><Relationship Id="rId44" Type="http://schemas.openxmlformats.org/officeDocument/2006/relationships/image" Target="media/image19.png"/><Relationship Id="rId5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file:///\\blue\dfs\pool\TRAD\S\ITU-D\CONF-D\TDAG18\000\jaroslaw.ponder@itu.int"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itu.int/en/ITU-D/Conferences/TDAG/Pages/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Statistics/Documents/intlcoop/partnership/Thematic_ICT_indicators_for_the_SDG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67438-3A25-499D-8832-E28475E65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PS_TDAG20.dotx</Template>
  <TotalTime>207</TotalTime>
  <Pages>10</Pages>
  <Words>4910</Words>
  <Characters>27989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32834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Spanish1</dc:creator>
  <cp:keywords/>
  <dc:description/>
  <cp:lastModifiedBy>BDT</cp:lastModifiedBy>
  <cp:revision>38</cp:revision>
  <cp:lastPrinted>2020-02-24T14:18:00Z</cp:lastPrinted>
  <dcterms:created xsi:type="dcterms:W3CDTF">2020-02-24T10:47:00Z</dcterms:created>
  <dcterms:modified xsi:type="dcterms:W3CDTF">2020-03-10T10:25:00Z</dcterms:modified>
</cp:coreProperties>
</file>