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1D431E" w14:paraId="3A4CA5F3" w14:textId="77777777" w:rsidTr="00794672">
        <w:trPr>
          <w:cantSplit/>
          <w:trHeight w:val="1134"/>
        </w:trPr>
        <w:tc>
          <w:tcPr>
            <w:tcW w:w="6663" w:type="dxa"/>
            <w:tcBorders>
              <w:bottom w:val="single" w:sz="12" w:space="0" w:color="auto"/>
            </w:tcBorders>
          </w:tcPr>
          <w:p w14:paraId="7F50A52D" w14:textId="77777777" w:rsidR="00D372A5" w:rsidRPr="001D431E" w:rsidRDefault="00D372A5" w:rsidP="00BC7208">
            <w:pPr>
              <w:rPr>
                <w:rFonts w:cstheme="minorHAnsi"/>
                <w:b/>
                <w:bCs/>
                <w:sz w:val="32"/>
                <w:szCs w:val="32"/>
                <w:lang w:val="es-ES"/>
              </w:rPr>
            </w:pPr>
            <w:r w:rsidRPr="001D431E">
              <w:rPr>
                <w:rFonts w:cstheme="minorHAnsi"/>
                <w:b/>
                <w:bCs/>
                <w:sz w:val="32"/>
                <w:szCs w:val="32"/>
                <w:lang w:val="es-ES"/>
              </w:rPr>
              <w:t>Grupo Asesor de Desarrollo de las Telecomunicaciones (GADT)</w:t>
            </w:r>
          </w:p>
          <w:p w14:paraId="53DDA85B" w14:textId="77777777" w:rsidR="00D372A5" w:rsidRPr="001D431E" w:rsidRDefault="004E7861" w:rsidP="00AA076A">
            <w:pPr>
              <w:spacing w:before="100" w:after="120"/>
              <w:rPr>
                <w:rFonts w:cstheme="minorHAnsi"/>
                <w:sz w:val="28"/>
                <w:szCs w:val="28"/>
                <w:lang w:val="es-ES"/>
              </w:rPr>
            </w:pPr>
            <w:r w:rsidRPr="001D431E">
              <w:rPr>
                <w:rFonts w:cstheme="minorHAnsi"/>
                <w:b/>
                <w:bCs/>
                <w:sz w:val="26"/>
                <w:szCs w:val="26"/>
                <w:lang w:val="es-ES"/>
              </w:rPr>
              <w:t>2</w:t>
            </w:r>
            <w:r w:rsidR="00FF5493" w:rsidRPr="001D431E">
              <w:rPr>
                <w:rFonts w:cstheme="minorHAnsi"/>
                <w:b/>
                <w:bCs/>
                <w:sz w:val="26"/>
                <w:szCs w:val="26"/>
                <w:lang w:val="es-ES"/>
              </w:rPr>
              <w:t>5</w:t>
            </w:r>
            <w:r w:rsidRPr="001D431E">
              <w:rPr>
                <w:rFonts w:cstheme="minorHAnsi"/>
                <w:b/>
                <w:bCs/>
                <w:sz w:val="26"/>
                <w:szCs w:val="26"/>
                <w:lang w:val="es-ES"/>
              </w:rPr>
              <w:t xml:space="preserve">ª reunión, Ginebra, </w:t>
            </w:r>
            <w:r w:rsidR="00AA076A" w:rsidRPr="001D431E">
              <w:rPr>
                <w:rFonts w:cstheme="minorHAnsi"/>
                <w:b/>
                <w:bCs/>
                <w:sz w:val="26"/>
                <w:szCs w:val="26"/>
                <w:lang w:val="es-ES"/>
              </w:rPr>
              <w:t>24</w:t>
            </w:r>
            <w:r w:rsidRPr="001D431E">
              <w:rPr>
                <w:rFonts w:cstheme="minorHAnsi"/>
                <w:b/>
                <w:bCs/>
                <w:sz w:val="26"/>
                <w:szCs w:val="26"/>
                <w:lang w:val="es-ES"/>
              </w:rPr>
              <w:t>-</w:t>
            </w:r>
            <w:r w:rsidR="00AA076A" w:rsidRPr="001D431E">
              <w:rPr>
                <w:rFonts w:cstheme="minorHAnsi"/>
                <w:b/>
                <w:bCs/>
                <w:sz w:val="26"/>
                <w:szCs w:val="26"/>
                <w:lang w:val="es-ES"/>
              </w:rPr>
              <w:t>27</w:t>
            </w:r>
            <w:r w:rsidRPr="001D431E">
              <w:rPr>
                <w:rFonts w:cstheme="minorHAnsi"/>
                <w:b/>
                <w:bCs/>
                <w:sz w:val="26"/>
                <w:szCs w:val="26"/>
                <w:lang w:val="es-ES"/>
              </w:rPr>
              <w:t xml:space="preserve"> de </w:t>
            </w:r>
            <w:r w:rsidR="00AA076A" w:rsidRPr="001D431E">
              <w:rPr>
                <w:rFonts w:cstheme="minorHAnsi"/>
                <w:b/>
                <w:bCs/>
                <w:sz w:val="26"/>
                <w:szCs w:val="26"/>
                <w:lang w:val="es-ES"/>
              </w:rPr>
              <w:t>marzo</w:t>
            </w:r>
            <w:r w:rsidRPr="001D431E">
              <w:rPr>
                <w:rFonts w:cstheme="minorHAnsi"/>
                <w:b/>
                <w:bCs/>
                <w:sz w:val="26"/>
                <w:szCs w:val="26"/>
                <w:lang w:val="es-ES"/>
              </w:rPr>
              <w:t xml:space="preserve"> de 2019</w:t>
            </w:r>
          </w:p>
        </w:tc>
        <w:tc>
          <w:tcPr>
            <w:tcW w:w="3225" w:type="dxa"/>
            <w:tcBorders>
              <w:bottom w:val="single" w:sz="12" w:space="0" w:color="auto"/>
            </w:tcBorders>
          </w:tcPr>
          <w:p w14:paraId="79909262" w14:textId="77777777" w:rsidR="00D372A5" w:rsidRPr="001D431E" w:rsidRDefault="004E7861" w:rsidP="004E7861">
            <w:pPr>
              <w:spacing w:before="40" w:after="80"/>
              <w:ind w:right="142"/>
              <w:jc w:val="right"/>
              <w:rPr>
                <w:rFonts w:cstheme="minorHAnsi"/>
                <w:lang w:val="es-ES"/>
              </w:rPr>
            </w:pPr>
            <w:r w:rsidRPr="001D431E">
              <w:rPr>
                <w:rFonts w:cstheme="minorHAnsi"/>
                <w:noProof/>
                <w:color w:val="3399FF"/>
                <w:lang w:val="es-ES" w:eastAsia="en-GB"/>
              </w:rPr>
              <w:drawing>
                <wp:inline distT="0" distB="0" distL="0" distR="0" wp14:anchorId="4D4C6D9B" wp14:editId="0815B6F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1D431E" w14:paraId="2A2D9AAC" w14:textId="77777777" w:rsidTr="004B7893">
        <w:trPr>
          <w:cantSplit/>
        </w:trPr>
        <w:tc>
          <w:tcPr>
            <w:tcW w:w="6663" w:type="dxa"/>
            <w:tcBorders>
              <w:top w:val="single" w:sz="12" w:space="0" w:color="auto"/>
            </w:tcBorders>
          </w:tcPr>
          <w:p w14:paraId="298727EE" w14:textId="77777777" w:rsidR="004B7893" w:rsidRPr="001D431E" w:rsidRDefault="004B7893" w:rsidP="004B7893">
            <w:pPr>
              <w:spacing w:before="0"/>
              <w:rPr>
                <w:rFonts w:cstheme="minorHAnsi"/>
                <w:b/>
                <w:bCs/>
                <w:sz w:val="20"/>
                <w:lang w:val="es-ES"/>
              </w:rPr>
            </w:pPr>
          </w:p>
        </w:tc>
        <w:tc>
          <w:tcPr>
            <w:tcW w:w="3225" w:type="dxa"/>
            <w:tcBorders>
              <w:top w:val="single" w:sz="12" w:space="0" w:color="auto"/>
            </w:tcBorders>
          </w:tcPr>
          <w:p w14:paraId="4113A855" w14:textId="77777777" w:rsidR="004B7893" w:rsidRPr="001D431E" w:rsidRDefault="004B7893" w:rsidP="004B7893">
            <w:pPr>
              <w:spacing w:before="0"/>
              <w:rPr>
                <w:rFonts w:cstheme="minorHAnsi"/>
                <w:b/>
                <w:bCs/>
                <w:sz w:val="20"/>
                <w:lang w:val="es-ES"/>
              </w:rPr>
            </w:pPr>
          </w:p>
        </w:tc>
      </w:tr>
      <w:tr w:rsidR="00C1021F" w:rsidRPr="001D431E" w14:paraId="0CA02A3F" w14:textId="77777777" w:rsidTr="004B7893">
        <w:trPr>
          <w:cantSplit/>
        </w:trPr>
        <w:tc>
          <w:tcPr>
            <w:tcW w:w="6663" w:type="dxa"/>
          </w:tcPr>
          <w:p w14:paraId="32939180" w14:textId="77777777" w:rsidR="00C1021F" w:rsidRPr="001D431E" w:rsidRDefault="00C1021F" w:rsidP="00C1021F">
            <w:pPr>
              <w:pStyle w:val="Committee"/>
              <w:spacing w:before="0"/>
              <w:rPr>
                <w:rFonts w:cstheme="minorHAnsi"/>
                <w:b w:val="0"/>
                <w:lang w:val="es-ES"/>
              </w:rPr>
            </w:pPr>
          </w:p>
        </w:tc>
        <w:tc>
          <w:tcPr>
            <w:tcW w:w="3225" w:type="dxa"/>
          </w:tcPr>
          <w:p w14:paraId="6241AD3F" w14:textId="0AB47670" w:rsidR="00C1021F" w:rsidRPr="001D431E" w:rsidRDefault="00C1021F" w:rsidP="00C1021F">
            <w:pPr>
              <w:spacing w:before="0"/>
              <w:rPr>
                <w:rFonts w:cstheme="minorHAnsi"/>
                <w:bCs/>
                <w:lang w:val="es-ES"/>
              </w:rPr>
            </w:pPr>
            <w:r w:rsidRPr="001D431E">
              <w:rPr>
                <w:rFonts w:cstheme="minorHAnsi"/>
                <w:b/>
                <w:bCs/>
                <w:lang w:val="es-ES"/>
              </w:rPr>
              <w:t xml:space="preserve">Documento </w:t>
            </w:r>
            <w:bookmarkStart w:id="0" w:name="DocRef1"/>
            <w:bookmarkEnd w:id="0"/>
            <w:r w:rsidRPr="001D431E">
              <w:rPr>
                <w:rFonts w:cstheme="minorHAnsi"/>
                <w:b/>
                <w:bCs/>
                <w:lang w:val="es-ES"/>
              </w:rPr>
              <w:t>TDAG-20/</w:t>
            </w:r>
            <w:bookmarkStart w:id="1" w:name="DocNo1"/>
            <w:bookmarkEnd w:id="1"/>
            <w:r w:rsidRPr="001D431E">
              <w:rPr>
                <w:rFonts w:cstheme="minorHAnsi"/>
                <w:b/>
                <w:bCs/>
                <w:lang w:val="es-ES"/>
              </w:rPr>
              <w:t>2-S</w:t>
            </w:r>
          </w:p>
        </w:tc>
      </w:tr>
      <w:tr w:rsidR="00C1021F" w:rsidRPr="001D431E" w14:paraId="7A747FDF" w14:textId="77777777" w:rsidTr="004B7893">
        <w:trPr>
          <w:cantSplit/>
        </w:trPr>
        <w:tc>
          <w:tcPr>
            <w:tcW w:w="6663" w:type="dxa"/>
          </w:tcPr>
          <w:p w14:paraId="77817CFD" w14:textId="77777777" w:rsidR="00C1021F" w:rsidRPr="00007CB9" w:rsidRDefault="00C1021F" w:rsidP="00C1021F">
            <w:pPr>
              <w:spacing w:before="0"/>
              <w:rPr>
                <w:rFonts w:cstheme="minorHAnsi"/>
                <w:b/>
                <w:bCs/>
                <w:smallCaps/>
                <w:lang w:val="es-ES"/>
              </w:rPr>
            </w:pPr>
          </w:p>
        </w:tc>
        <w:tc>
          <w:tcPr>
            <w:tcW w:w="3225" w:type="dxa"/>
          </w:tcPr>
          <w:p w14:paraId="3DA4E867" w14:textId="2B52EB01" w:rsidR="00C1021F" w:rsidRPr="00007CB9" w:rsidRDefault="00007CB9" w:rsidP="00C1021F">
            <w:pPr>
              <w:spacing w:before="0"/>
              <w:rPr>
                <w:rFonts w:cstheme="minorHAnsi"/>
                <w:b/>
                <w:lang w:val="es-ES"/>
              </w:rPr>
            </w:pPr>
            <w:bookmarkStart w:id="2" w:name="CreationDate"/>
            <w:bookmarkEnd w:id="2"/>
            <w:r w:rsidRPr="00007CB9">
              <w:rPr>
                <w:rFonts w:cstheme="minorHAnsi"/>
                <w:b/>
                <w:bCs/>
                <w:szCs w:val="28"/>
                <w:lang w:val="es-ES"/>
              </w:rPr>
              <w:t>2</w:t>
            </w:r>
            <w:r w:rsidR="00C1021F" w:rsidRPr="00007CB9">
              <w:rPr>
                <w:rFonts w:cstheme="minorHAnsi"/>
                <w:b/>
                <w:bCs/>
                <w:szCs w:val="28"/>
                <w:lang w:val="es-ES"/>
              </w:rPr>
              <w:t xml:space="preserve"> de </w:t>
            </w:r>
            <w:r w:rsidRPr="00007CB9">
              <w:rPr>
                <w:rFonts w:cstheme="minorHAnsi"/>
                <w:b/>
                <w:bCs/>
                <w:szCs w:val="28"/>
                <w:lang w:val="es-ES"/>
              </w:rPr>
              <w:t>marzo</w:t>
            </w:r>
            <w:r w:rsidR="00C1021F" w:rsidRPr="00007CB9">
              <w:rPr>
                <w:rFonts w:cstheme="minorHAnsi"/>
                <w:b/>
                <w:bCs/>
                <w:szCs w:val="28"/>
                <w:lang w:val="es-ES"/>
              </w:rPr>
              <w:t xml:space="preserve"> de 2020</w:t>
            </w:r>
          </w:p>
        </w:tc>
      </w:tr>
      <w:tr w:rsidR="00C1021F" w:rsidRPr="001D431E" w14:paraId="2032B297" w14:textId="77777777" w:rsidTr="004B7893">
        <w:trPr>
          <w:cantSplit/>
        </w:trPr>
        <w:tc>
          <w:tcPr>
            <w:tcW w:w="6663" w:type="dxa"/>
          </w:tcPr>
          <w:p w14:paraId="625A80A6" w14:textId="77777777" w:rsidR="00C1021F" w:rsidRPr="001D431E" w:rsidRDefault="00C1021F" w:rsidP="00C1021F">
            <w:pPr>
              <w:spacing w:before="0"/>
              <w:rPr>
                <w:rFonts w:cstheme="minorHAnsi"/>
                <w:b/>
                <w:bCs/>
                <w:smallCaps/>
                <w:lang w:val="es-ES"/>
              </w:rPr>
            </w:pPr>
          </w:p>
        </w:tc>
        <w:tc>
          <w:tcPr>
            <w:tcW w:w="3225" w:type="dxa"/>
          </w:tcPr>
          <w:p w14:paraId="45065D36" w14:textId="33F6858A" w:rsidR="00C1021F" w:rsidRPr="001D431E" w:rsidRDefault="00C1021F" w:rsidP="00C1021F">
            <w:pPr>
              <w:spacing w:before="0"/>
              <w:rPr>
                <w:rFonts w:cstheme="minorHAnsi"/>
                <w:szCs w:val="24"/>
                <w:lang w:val="es-ES"/>
              </w:rPr>
            </w:pPr>
            <w:r w:rsidRPr="001D431E">
              <w:rPr>
                <w:rFonts w:cstheme="minorHAnsi"/>
                <w:b/>
                <w:lang w:val="es-ES"/>
              </w:rPr>
              <w:t>Original:</w:t>
            </w:r>
            <w:bookmarkStart w:id="3" w:name="Original"/>
            <w:bookmarkEnd w:id="3"/>
            <w:r w:rsidRPr="001D431E">
              <w:rPr>
                <w:rFonts w:cstheme="minorHAnsi"/>
                <w:b/>
                <w:lang w:val="es-ES"/>
              </w:rPr>
              <w:t xml:space="preserve"> inglés</w:t>
            </w:r>
          </w:p>
        </w:tc>
      </w:tr>
      <w:tr w:rsidR="004B7893" w:rsidRPr="00BD1F0A" w14:paraId="3CBAE538" w14:textId="77777777" w:rsidTr="004B7893">
        <w:trPr>
          <w:cantSplit/>
          <w:trHeight w:val="852"/>
        </w:trPr>
        <w:tc>
          <w:tcPr>
            <w:tcW w:w="9888" w:type="dxa"/>
            <w:gridSpan w:val="2"/>
          </w:tcPr>
          <w:p w14:paraId="53FA19C1" w14:textId="5B010F4B" w:rsidR="004B7893" w:rsidRPr="001D431E" w:rsidRDefault="00C1021F" w:rsidP="004B7893">
            <w:pPr>
              <w:pStyle w:val="Source"/>
              <w:rPr>
                <w:rFonts w:cstheme="minorHAnsi"/>
                <w:szCs w:val="28"/>
                <w:lang w:val="es-ES"/>
              </w:rPr>
            </w:pPr>
            <w:bookmarkStart w:id="4" w:name="Source"/>
            <w:bookmarkEnd w:id="4"/>
            <w:r w:rsidRPr="001D431E">
              <w:rPr>
                <w:rFonts w:cstheme="minorHAnsi"/>
                <w:lang w:val="es-ES"/>
              </w:rPr>
              <w:t>Directora de la Oficina de Desarrollo de las Telecomunicaciones</w:t>
            </w:r>
          </w:p>
        </w:tc>
      </w:tr>
      <w:tr w:rsidR="004B7893" w:rsidRPr="00BD1F0A" w14:paraId="1BEB457A" w14:textId="77777777" w:rsidTr="004B7893">
        <w:trPr>
          <w:cantSplit/>
        </w:trPr>
        <w:tc>
          <w:tcPr>
            <w:tcW w:w="9888" w:type="dxa"/>
            <w:gridSpan w:val="2"/>
          </w:tcPr>
          <w:p w14:paraId="68F86298" w14:textId="04134F93" w:rsidR="004B7893" w:rsidRPr="001D431E" w:rsidRDefault="00C1021F" w:rsidP="004B7893">
            <w:pPr>
              <w:pStyle w:val="Title1"/>
              <w:rPr>
                <w:rFonts w:cstheme="minorHAnsi"/>
                <w:bCs/>
                <w:szCs w:val="28"/>
                <w:lang w:val="es-ES"/>
              </w:rPr>
            </w:pPr>
            <w:bookmarkStart w:id="5" w:name="Title"/>
            <w:bookmarkEnd w:id="5"/>
            <w:r w:rsidRPr="001D431E">
              <w:rPr>
                <w:rFonts w:cstheme="minorHAnsi"/>
                <w:bCs/>
                <w:lang w:val="es-ES"/>
              </w:rPr>
              <w:t xml:space="preserve">INFORME SOBRE LOS AVANCES EN LA EJECUCIÓN DEL PLAN DE ACCIÓN </w:t>
            </w:r>
            <w:r w:rsidRPr="001D431E">
              <w:rPr>
                <w:rFonts w:cstheme="minorHAnsi"/>
                <w:bCs/>
                <w:lang w:val="es-ES"/>
              </w:rPr>
              <w:br/>
              <w:t>DE BUENOS AIRES DE 2019</w:t>
            </w:r>
          </w:p>
        </w:tc>
      </w:tr>
      <w:tr w:rsidR="004B7893" w:rsidRPr="00BD1F0A" w14:paraId="278C7D75" w14:textId="77777777" w:rsidTr="004B7893">
        <w:trPr>
          <w:cantSplit/>
        </w:trPr>
        <w:tc>
          <w:tcPr>
            <w:tcW w:w="9888" w:type="dxa"/>
            <w:gridSpan w:val="2"/>
            <w:tcBorders>
              <w:bottom w:val="single" w:sz="4" w:space="0" w:color="auto"/>
            </w:tcBorders>
          </w:tcPr>
          <w:p w14:paraId="2BD50E25" w14:textId="77777777" w:rsidR="004B7893" w:rsidRPr="001D431E" w:rsidRDefault="004B7893" w:rsidP="00794672">
            <w:pPr>
              <w:spacing w:before="0"/>
              <w:rPr>
                <w:rFonts w:cstheme="minorHAnsi"/>
                <w:lang w:val="es-ES"/>
              </w:rPr>
            </w:pPr>
          </w:p>
        </w:tc>
      </w:tr>
      <w:tr w:rsidR="004B7893" w:rsidRPr="00BD1F0A" w14:paraId="2294695D" w14:textId="77777777"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14:paraId="22ACBDE1" w14:textId="77777777" w:rsidR="00C1021F" w:rsidRPr="001D431E" w:rsidRDefault="00C1021F" w:rsidP="00C1021F">
            <w:pPr>
              <w:spacing w:before="240"/>
              <w:rPr>
                <w:rFonts w:cstheme="minorHAnsi"/>
                <w:b/>
                <w:bCs/>
                <w:szCs w:val="24"/>
                <w:lang w:val="es-ES"/>
              </w:rPr>
            </w:pPr>
            <w:r w:rsidRPr="001D431E">
              <w:rPr>
                <w:rFonts w:cstheme="minorHAnsi"/>
                <w:b/>
                <w:bCs/>
                <w:szCs w:val="24"/>
                <w:lang w:val="es-ES"/>
              </w:rPr>
              <w:t>Resumen:</w:t>
            </w:r>
          </w:p>
          <w:p w14:paraId="57FD21A0" w14:textId="7027B663" w:rsidR="00C1021F" w:rsidRPr="001D431E" w:rsidRDefault="00C1021F" w:rsidP="00C1021F">
            <w:pPr>
              <w:rPr>
                <w:rFonts w:cstheme="minorHAnsi"/>
                <w:color w:val="000000" w:themeColor="text1"/>
                <w:lang w:val="es-ES"/>
              </w:rPr>
            </w:pPr>
            <w:r w:rsidRPr="001D431E">
              <w:rPr>
                <w:rFonts w:cstheme="minorHAnsi"/>
                <w:lang w:val="es-ES"/>
              </w:rPr>
              <w:t xml:space="preserve">En 2019 la BDT inició su transformación en una Oficina más pertinente y capaz de evolucionar tan rápidamente como el entorno de desarrollo al que sirve; una Oficina que responda efectivamente a las necesidades de los Estados Miembros y los Miembros de Sector y que pueda demostrar su influencia y sus resultados: una BDT adaptada a su misión. Tras una amplia serie de consultas internas, la BDT ha adoptado nuevos métodos de trabajo innovadores, sentando las bases que garantizarán una ejecución más eficaz del </w:t>
            </w:r>
            <w:hyperlink r:id="rId9" w:history="1">
              <w:r w:rsidRPr="004C2190">
                <w:rPr>
                  <w:rStyle w:val="Hyperlink"/>
                  <w:rFonts w:cstheme="minorHAnsi"/>
                  <w:lang w:val="es-ES"/>
                </w:rPr>
                <w:t>Plan de Acción de Buenos Aires</w:t>
              </w:r>
            </w:hyperlink>
            <w:r w:rsidRPr="004C2190">
              <w:rPr>
                <w:lang w:val="es-ES"/>
              </w:rPr>
              <w:t xml:space="preserve">. </w:t>
            </w:r>
            <w:r w:rsidRPr="001D431E">
              <w:rPr>
                <w:rFonts w:cstheme="minorHAnsi"/>
                <w:szCs w:val="24"/>
                <w:shd w:val="clear" w:color="auto" w:fill="FFFFFF"/>
                <w:lang w:val="es-ES"/>
              </w:rPr>
              <w:t>En este Informe se da cuenta de los principales resultados logrados en 2019 en cada área temática prioritaria en el marco del progreso hacia la implementación del Plan de Acción de Buenos Aires.</w:t>
            </w:r>
          </w:p>
          <w:p w14:paraId="24FFDC81" w14:textId="77777777" w:rsidR="00C1021F" w:rsidRPr="001D431E" w:rsidRDefault="00C1021F" w:rsidP="00C1021F">
            <w:pPr>
              <w:rPr>
                <w:rFonts w:cstheme="minorHAnsi"/>
                <w:b/>
                <w:bCs/>
                <w:szCs w:val="24"/>
                <w:lang w:val="es-ES"/>
              </w:rPr>
            </w:pPr>
            <w:r w:rsidRPr="001D431E">
              <w:rPr>
                <w:rFonts w:cstheme="minorHAnsi"/>
                <w:b/>
                <w:bCs/>
                <w:lang w:val="es-ES"/>
              </w:rPr>
              <w:t>Acción solicitada:</w:t>
            </w:r>
          </w:p>
          <w:p w14:paraId="06BB117D" w14:textId="77777777" w:rsidR="00C1021F" w:rsidRPr="001D431E" w:rsidRDefault="00C1021F" w:rsidP="00C1021F">
            <w:pPr>
              <w:rPr>
                <w:rFonts w:cstheme="minorHAnsi"/>
                <w:szCs w:val="24"/>
                <w:lang w:val="es-ES"/>
              </w:rPr>
            </w:pPr>
            <w:r w:rsidRPr="001D431E">
              <w:rPr>
                <w:rFonts w:cstheme="minorHAnsi"/>
                <w:szCs w:val="24"/>
                <w:lang w:val="es-ES"/>
              </w:rPr>
              <w:t>Se invita al GADT a examinar el Informe y formular los comentarios que estime convenientes.</w:t>
            </w:r>
          </w:p>
          <w:p w14:paraId="519AACF8" w14:textId="77777777" w:rsidR="00C1021F" w:rsidRPr="001D431E" w:rsidRDefault="00C1021F" w:rsidP="00C1021F">
            <w:pPr>
              <w:rPr>
                <w:rFonts w:cstheme="minorHAnsi"/>
                <w:b/>
                <w:bCs/>
                <w:szCs w:val="24"/>
                <w:lang w:val="es-ES"/>
              </w:rPr>
            </w:pPr>
            <w:r w:rsidRPr="001D431E">
              <w:rPr>
                <w:rFonts w:cstheme="minorHAnsi"/>
                <w:b/>
                <w:bCs/>
                <w:szCs w:val="24"/>
                <w:lang w:val="es-ES"/>
              </w:rPr>
              <w:t>Referencias:</w:t>
            </w:r>
          </w:p>
          <w:p w14:paraId="78BDC0A5" w14:textId="5D3E4F4E" w:rsidR="004B7893" w:rsidRPr="001D431E" w:rsidRDefault="00C1021F" w:rsidP="00D5529D">
            <w:pPr>
              <w:spacing w:after="120"/>
              <w:rPr>
                <w:rFonts w:cstheme="minorHAnsi"/>
                <w:b/>
                <w:bCs/>
                <w:lang w:val="es-ES"/>
              </w:rPr>
            </w:pPr>
            <w:r w:rsidRPr="001D431E">
              <w:rPr>
                <w:rFonts w:cstheme="minorHAnsi"/>
                <w:lang w:val="es-ES"/>
              </w:rPr>
              <w:t>Plan de Acción de Buenos Aires de la CMDT-17</w:t>
            </w:r>
          </w:p>
        </w:tc>
      </w:tr>
    </w:tbl>
    <w:p w14:paraId="530C91F1" w14:textId="77777777" w:rsidR="00C1021F" w:rsidRPr="001D431E" w:rsidRDefault="00C1021F" w:rsidP="004F002A">
      <w:pPr>
        <w:pStyle w:val="Headingb"/>
        <w:rPr>
          <w:lang w:val="es-ES"/>
        </w:rPr>
      </w:pPr>
      <w:r w:rsidRPr="001D431E">
        <w:rPr>
          <w:lang w:val="es-ES"/>
        </w:rPr>
        <w:t>Introducción</w:t>
      </w:r>
    </w:p>
    <w:p w14:paraId="2447B03B" w14:textId="592ABE89" w:rsidR="00C1021F" w:rsidRPr="001D431E" w:rsidRDefault="00C1021F" w:rsidP="004F002A">
      <w:pPr>
        <w:rPr>
          <w:color w:val="000000" w:themeColor="text1"/>
          <w:lang w:val="es-ES"/>
        </w:rPr>
      </w:pPr>
      <w:r w:rsidRPr="001D431E">
        <w:rPr>
          <w:lang w:val="es-ES"/>
        </w:rPr>
        <w:t xml:space="preserve">En 2019 la BDT inició su transformación en una Oficina más pertinente y capaz de evolucionar tan rápidamente como el entorno de desarrollo al que sirve; una Oficina que responda efectivamente a las necesidades de los Estados Miembros y los Miembros de Sector y que pueda demostrar su influencia y sus resultados: una BDT adaptada a su misión. Tras una amplia serie de consultas internas, la BDT ha adoptado nuevos métodos de trabajo innovadores, sentando las bases que garantizarán una ejecución más eficaz del </w:t>
      </w:r>
      <w:hyperlink r:id="rId10" w:history="1">
        <w:r w:rsidRPr="004C2190">
          <w:rPr>
            <w:rStyle w:val="Hyperlink"/>
            <w:rFonts w:cstheme="minorHAnsi"/>
            <w:lang w:val="es-ES"/>
          </w:rPr>
          <w:t>Plan de Acción de Buenos Aires</w:t>
        </w:r>
      </w:hyperlink>
      <w:r w:rsidRPr="004C2190">
        <w:rPr>
          <w:lang w:val="es-ES"/>
        </w:rPr>
        <w:t>.</w:t>
      </w:r>
    </w:p>
    <w:p w14:paraId="6D408D90" w14:textId="77777777" w:rsidR="00C1021F" w:rsidRPr="001D431E" w:rsidRDefault="00C1021F" w:rsidP="00C1021F">
      <w:pPr>
        <w:rPr>
          <w:rFonts w:cstheme="minorHAnsi"/>
          <w:color w:val="000000" w:themeColor="text1"/>
          <w:lang w:val="es-ES"/>
        </w:rPr>
      </w:pPr>
      <w:r w:rsidRPr="001D431E">
        <w:rPr>
          <w:rFonts w:cstheme="minorHAnsi"/>
          <w:color w:val="000000" w:themeColor="text1"/>
          <w:lang w:val="es-ES"/>
        </w:rPr>
        <w:t>La transformación de la BDT es un proceso participativo y consultivo abierto que depende en gran medida de la retroalimentación y el debate con Estados Miembros y Miembros de Sector. Este proceso consultivo ha contribuido a racionalizar las prioridades y metas, acelerando la capacidad de respuesta de la BDT al tiempo que intensifica su influencia</w:t>
      </w:r>
      <w:r w:rsidRPr="001D431E">
        <w:rPr>
          <w:rFonts w:cstheme="minorHAnsi"/>
          <w:szCs w:val="24"/>
          <w:lang w:val="es-ES"/>
        </w:rPr>
        <w:t>.</w:t>
      </w:r>
    </w:p>
    <w:p w14:paraId="6083CE1D" w14:textId="6AF99867" w:rsidR="00C1021F" w:rsidRPr="001D431E" w:rsidRDefault="00C1021F" w:rsidP="00D5529D">
      <w:pPr>
        <w:keepNext/>
        <w:keepLines/>
        <w:rPr>
          <w:i/>
          <w:iCs/>
          <w:lang w:val="es-ES"/>
        </w:rPr>
      </w:pPr>
      <w:r w:rsidRPr="001D431E">
        <w:rPr>
          <w:lang w:val="es-ES"/>
        </w:rPr>
        <w:lastRenderedPageBreak/>
        <w:t xml:space="preserve">Los esfuerzos de la BDT por lograr la transformación digital a través de una conectividad positiva se centran en las personas y en escuchar a las personas a las que la BDT intenta llegar para descubrir lo que necesitan a fin de mejorar sus vidas. La BDT quiere ofrecer servicios que tengan una utilidad real para las personas. </w:t>
      </w:r>
    </w:p>
    <w:p w14:paraId="3B8711AA" w14:textId="77777777" w:rsidR="00C1021F" w:rsidRPr="001D431E" w:rsidRDefault="00C1021F" w:rsidP="00C1021F">
      <w:pPr>
        <w:rPr>
          <w:rFonts w:cstheme="minorHAnsi"/>
          <w:szCs w:val="24"/>
          <w:lang w:val="es-ES"/>
        </w:rPr>
      </w:pPr>
      <w:r w:rsidRPr="001D431E">
        <w:rPr>
          <w:rFonts w:cstheme="minorHAnsi"/>
          <w:szCs w:val="24"/>
          <w:lang w:val="es-ES"/>
        </w:rPr>
        <w:t>Para ello la BDT ha adoptado un enfoque basado en grupos temáticos, definidos por los programas del Plan de Acción de Buenos Aires, que perfilarán las prioridades temáticas de la BDT, y su influencia en el desarrollo de las TIC, al tiempo que facilitan la coordinación y la sinergia entre los programas, los proyectos y las iniciativas.</w:t>
      </w:r>
    </w:p>
    <w:p w14:paraId="47BD8C83" w14:textId="77777777" w:rsidR="00C1021F" w:rsidRPr="001D431E" w:rsidRDefault="00C1021F" w:rsidP="00C1021F">
      <w:pPr>
        <w:rPr>
          <w:rFonts w:cstheme="minorHAnsi"/>
          <w:szCs w:val="24"/>
          <w:lang w:val="es-ES"/>
        </w:rPr>
      </w:pPr>
      <w:r w:rsidRPr="001D431E">
        <w:rPr>
          <w:rFonts w:cstheme="minorHAnsi"/>
          <w:szCs w:val="24"/>
          <w:lang w:val="es-ES"/>
        </w:rPr>
        <w:t>Además, la organización del programa de trabajo en torno a prioridades temáticas contribuirá a la consecución de:</w:t>
      </w:r>
    </w:p>
    <w:p w14:paraId="4DC44AB1" w14:textId="4AE1D475" w:rsidR="00C1021F" w:rsidRPr="001D431E" w:rsidRDefault="00794672" w:rsidP="00794672">
      <w:pPr>
        <w:pStyle w:val="enumlev1"/>
        <w:rPr>
          <w:rFonts w:eastAsia="Calibri"/>
          <w:lang w:val="es-ES"/>
        </w:rPr>
      </w:pPr>
      <w:r w:rsidRPr="001D431E">
        <w:rPr>
          <w:rFonts w:eastAsia="Calibri"/>
          <w:lang w:val="es-ES"/>
        </w:rPr>
        <w:t>–</w:t>
      </w:r>
      <w:r w:rsidRPr="001D431E">
        <w:rPr>
          <w:rFonts w:eastAsia="Calibri"/>
          <w:lang w:val="es-ES"/>
        </w:rPr>
        <w:tab/>
      </w:r>
      <w:r w:rsidR="00C1021F" w:rsidRPr="001D431E">
        <w:rPr>
          <w:rFonts w:eastAsia="Calibri"/>
          <w:lang w:val="es-ES"/>
        </w:rPr>
        <w:t>Las metas y objetivos de la CMDT-17;</w:t>
      </w:r>
    </w:p>
    <w:p w14:paraId="7E723E9D" w14:textId="2D0B2812" w:rsidR="00C1021F" w:rsidRPr="001D431E" w:rsidRDefault="00794672" w:rsidP="00794672">
      <w:pPr>
        <w:pStyle w:val="enumlev1"/>
        <w:rPr>
          <w:rFonts w:eastAsia="Calibri"/>
          <w:lang w:val="es-ES"/>
        </w:rPr>
      </w:pPr>
      <w:r w:rsidRPr="001D431E">
        <w:rPr>
          <w:rFonts w:eastAsia="Calibri"/>
          <w:lang w:val="es-ES"/>
        </w:rPr>
        <w:t>–</w:t>
      </w:r>
      <w:r w:rsidRPr="001D431E">
        <w:rPr>
          <w:rFonts w:eastAsia="Calibri"/>
          <w:lang w:val="es-ES"/>
        </w:rPr>
        <w:tab/>
      </w:r>
      <w:r w:rsidR="00C1021F" w:rsidRPr="001D431E">
        <w:rPr>
          <w:rFonts w:eastAsia="Calibri"/>
          <w:lang w:val="es-ES"/>
        </w:rPr>
        <w:t>La Agenda Conectar 2030; y</w:t>
      </w:r>
    </w:p>
    <w:p w14:paraId="7FD916D3" w14:textId="200D003A" w:rsidR="00C1021F" w:rsidRPr="001D431E" w:rsidRDefault="00794672" w:rsidP="00794672">
      <w:pPr>
        <w:pStyle w:val="enumlev1"/>
        <w:rPr>
          <w:rFonts w:eastAsia="Calibri"/>
          <w:lang w:val="es-ES"/>
        </w:rPr>
      </w:pPr>
      <w:r w:rsidRPr="001D431E">
        <w:rPr>
          <w:rFonts w:eastAsia="Calibri"/>
          <w:lang w:val="es-ES"/>
        </w:rPr>
        <w:t>–</w:t>
      </w:r>
      <w:r w:rsidRPr="001D431E">
        <w:rPr>
          <w:rFonts w:eastAsia="Calibri"/>
          <w:lang w:val="es-ES"/>
        </w:rPr>
        <w:tab/>
      </w:r>
      <w:r w:rsidR="00C1021F" w:rsidRPr="001D431E">
        <w:rPr>
          <w:rFonts w:eastAsia="Calibri"/>
          <w:lang w:val="es-ES"/>
        </w:rPr>
        <w:t>La Agenda 2030 para el desarrollo sostenible.</w:t>
      </w:r>
    </w:p>
    <w:p w14:paraId="464D9E5A" w14:textId="13C41F3D" w:rsidR="00C1021F" w:rsidRPr="001D431E" w:rsidRDefault="00C1021F" w:rsidP="00C1021F">
      <w:pPr>
        <w:rPr>
          <w:rFonts w:cstheme="minorHAnsi"/>
          <w:szCs w:val="24"/>
          <w:shd w:val="clear" w:color="auto" w:fill="FFFFFF"/>
          <w:lang w:val="es-ES"/>
        </w:rPr>
      </w:pPr>
      <w:r w:rsidRPr="001D431E">
        <w:rPr>
          <w:rFonts w:cstheme="minorHAnsi"/>
          <w:szCs w:val="24"/>
          <w:shd w:val="clear" w:color="auto" w:fill="FFFFFF"/>
          <w:lang w:val="es-ES"/>
        </w:rPr>
        <w:t xml:space="preserve">Para garantizar la implementación efectiva y eficaz del programa de trabajo de la BDT, la Oficina ha ampliado el alcance de su gestión basada en resultados (GBR), introducida en </w:t>
      </w:r>
      <w:bookmarkStart w:id="6" w:name="_GoBack"/>
      <w:r w:rsidR="00BD1F0A">
        <w:rPr>
          <w:rFonts w:cstheme="minorHAnsi"/>
          <w:szCs w:val="24"/>
          <w:shd w:val="clear" w:color="auto" w:fill="FFFFFF"/>
          <w:lang w:val="es-ES"/>
        </w:rPr>
        <w:t>2006</w:t>
      </w:r>
      <w:bookmarkEnd w:id="6"/>
      <w:r w:rsidRPr="001D431E">
        <w:rPr>
          <w:rFonts w:cstheme="minorHAnsi"/>
          <w:szCs w:val="24"/>
          <w:shd w:val="clear" w:color="auto" w:fill="FFFFFF"/>
          <w:lang w:val="es-ES"/>
        </w:rPr>
        <w:t xml:space="preserve">, para abarcar tanto la planificación como la ejecución. Para ello se ha desarrollado una teoría del cambio completa para cada prioridad temática de la BDT que sirva de guía para la ejecución del programa de trabajo y de herramienta para supervisar los avances hacia una conectividad positiva. </w:t>
      </w:r>
    </w:p>
    <w:p w14:paraId="2AC0CCB8" w14:textId="6186E572" w:rsidR="00C1021F" w:rsidRPr="001D431E" w:rsidRDefault="00C1021F" w:rsidP="00C1021F">
      <w:pPr>
        <w:rPr>
          <w:rFonts w:cstheme="minorHAnsi"/>
          <w:szCs w:val="24"/>
          <w:shd w:val="clear" w:color="auto" w:fill="FFFFFF"/>
          <w:lang w:val="es-ES"/>
        </w:rPr>
      </w:pPr>
      <w:r w:rsidRPr="001D431E">
        <w:rPr>
          <w:rFonts w:cstheme="minorHAnsi"/>
          <w:szCs w:val="24"/>
          <w:shd w:val="clear" w:color="auto" w:fill="FFFFFF"/>
          <w:lang w:val="es-ES"/>
        </w:rPr>
        <w:t xml:space="preserve">La BDT ha hecho progresos notables con el desarrollo de un marco GBR completo, que comprende </w:t>
      </w:r>
      <w:r w:rsidR="00794672" w:rsidRPr="001D431E">
        <w:rPr>
          <w:rFonts w:cstheme="minorHAnsi"/>
          <w:szCs w:val="24"/>
          <w:shd w:val="clear" w:color="auto" w:fill="FFFFFF"/>
          <w:lang w:val="es-ES"/>
        </w:rPr>
        <w:t>todos los bloques</w:t>
      </w:r>
      <w:r w:rsidRPr="001D431E">
        <w:rPr>
          <w:rFonts w:cstheme="minorHAnsi"/>
          <w:szCs w:val="24"/>
          <w:shd w:val="clear" w:color="auto" w:fill="FFFFFF"/>
          <w:lang w:val="es-ES"/>
        </w:rPr>
        <w:t xml:space="preserve"> de teoría del cambio subyacentes, como son: </w:t>
      </w:r>
    </w:p>
    <w:p w14:paraId="417A8982" w14:textId="541B5EDC" w:rsidR="00C1021F" w:rsidRPr="001D431E" w:rsidRDefault="00794672" w:rsidP="00794672">
      <w:pPr>
        <w:pStyle w:val="enumlev1"/>
        <w:rPr>
          <w:shd w:val="clear" w:color="auto" w:fill="FFFFFF"/>
          <w:lang w:val="es-ES"/>
        </w:rPr>
      </w:pPr>
      <w:r w:rsidRPr="001D431E">
        <w:rPr>
          <w:shd w:val="clear" w:color="auto" w:fill="FFFFFF"/>
          <w:lang w:val="es-ES"/>
        </w:rPr>
        <w:t>i)</w:t>
      </w:r>
      <w:r w:rsidRPr="001D431E">
        <w:rPr>
          <w:shd w:val="clear" w:color="auto" w:fill="FFFFFF"/>
          <w:lang w:val="es-ES"/>
        </w:rPr>
        <w:tab/>
      </w:r>
      <w:r w:rsidR="00C1021F" w:rsidRPr="001D431E">
        <w:rPr>
          <w:shd w:val="clear" w:color="auto" w:fill="FFFFFF"/>
          <w:lang w:val="es-ES"/>
        </w:rPr>
        <w:t>Las sendas de eficacia, que siguen los flujos de actividad temática para identificar los resultados logrados, los receptores beneficiados, los cambios de capacidad de la población receptora y la modificación de los comportamientos resultante</w:t>
      </w:r>
      <w:r w:rsidR="009E0EC1">
        <w:rPr>
          <w:shd w:val="clear" w:color="auto" w:fill="FFFFFF"/>
          <w:lang w:val="es-ES"/>
        </w:rPr>
        <w:t>s</w:t>
      </w:r>
      <w:r w:rsidR="00C1021F" w:rsidRPr="001D431E">
        <w:rPr>
          <w:shd w:val="clear" w:color="auto" w:fill="FFFFFF"/>
          <w:lang w:val="es-ES"/>
        </w:rPr>
        <w:t>, que se traduce</w:t>
      </w:r>
      <w:r w:rsidR="009E0EC1">
        <w:rPr>
          <w:shd w:val="clear" w:color="auto" w:fill="FFFFFF"/>
          <w:lang w:val="es-ES"/>
        </w:rPr>
        <w:t>n</w:t>
      </w:r>
      <w:r w:rsidR="00C1021F" w:rsidRPr="001D431E">
        <w:rPr>
          <w:shd w:val="clear" w:color="auto" w:fill="FFFFFF"/>
          <w:lang w:val="es-ES"/>
        </w:rPr>
        <w:t xml:space="preserve"> en una mayor influencia</w:t>
      </w:r>
      <w:r w:rsidR="00335FE3" w:rsidRPr="001D431E">
        <w:rPr>
          <w:shd w:val="clear" w:color="auto" w:fill="FFFFFF"/>
          <w:lang w:val="es-ES"/>
        </w:rPr>
        <w:t>.</w:t>
      </w:r>
    </w:p>
    <w:p w14:paraId="14FA11D4" w14:textId="2AE540EA" w:rsidR="00C1021F" w:rsidRPr="001D431E" w:rsidRDefault="00335FE3" w:rsidP="00335FE3">
      <w:pPr>
        <w:pStyle w:val="enumlev1"/>
        <w:ind w:right="-143"/>
        <w:rPr>
          <w:shd w:val="clear" w:color="auto" w:fill="FFFFFF"/>
          <w:lang w:val="es-ES"/>
        </w:rPr>
      </w:pPr>
      <w:r w:rsidRPr="001D431E">
        <w:rPr>
          <w:shd w:val="clear" w:color="auto" w:fill="FFFFFF"/>
          <w:lang w:val="es-ES"/>
        </w:rPr>
        <w:t>ii)</w:t>
      </w:r>
      <w:r w:rsidRPr="001D431E">
        <w:rPr>
          <w:shd w:val="clear" w:color="auto" w:fill="FFFFFF"/>
          <w:lang w:val="es-ES"/>
        </w:rPr>
        <w:tab/>
      </w:r>
      <w:r w:rsidR="00C1021F" w:rsidRPr="001D431E">
        <w:rPr>
          <w:spacing w:val="-2"/>
          <w:shd w:val="clear" w:color="auto" w:fill="FFFFFF"/>
          <w:lang w:val="es-ES"/>
        </w:rPr>
        <w:t>La articulación de supuestos subyacentes y riesgos operativos, que permiten determinar d</w:t>
      </w:r>
      <w:r w:rsidR="009E0EC1">
        <w:rPr>
          <w:spacing w:val="-2"/>
          <w:shd w:val="clear" w:color="auto" w:fill="FFFFFF"/>
          <w:lang w:val="es-ES"/>
        </w:rPr>
        <w:t>ó</w:t>
      </w:r>
      <w:r w:rsidR="00C1021F" w:rsidRPr="001D431E">
        <w:rPr>
          <w:spacing w:val="-2"/>
          <w:shd w:val="clear" w:color="auto" w:fill="FFFFFF"/>
          <w:lang w:val="es-ES"/>
        </w:rPr>
        <w:t>nde se estanca o bloquea el progreso y, a partir de esa información, reaccionar y ajustar los supuestos de planificación iniciales del programa de trabajo para volver a ponerlo en marcha</w:t>
      </w:r>
      <w:r w:rsidRPr="001D431E">
        <w:rPr>
          <w:spacing w:val="-2"/>
          <w:shd w:val="clear" w:color="auto" w:fill="FFFFFF"/>
          <w:lang w:val="es-ES"/>
        </w:rPr>
        <w:t>.</w:t>
      </w:r>
      <w:r w:rsidR="00C1021F" w:rsidRPr="001D431E">
        <w:rPr>
          <w:shd w:val="clear" w:color="auto" w:fill="FFFFFF"/>
          <w:lang w:val="es-ES"/>
        </w:rPr>
        <w:t xml:space="preserve"> </w:t>
      </w:r>
    </w:p>
    <w:p w14:paraId="588A9E13" w14:textId="497B498D" w:rsidR="00C1021F" w:rsidRPr="001D431E" w:rsidRDefault="00335FE3" w:rsidP="00335FE3">
      <w:pPr>
        <w:pStyle w:val="enumlev1"/>
        <w:rPr>
          <w:rFonts w:cstheme="minorHAnsi"/>
          <w:shd w:val="clear" w:color="auto" w:fill="FFFFFF"/>
          <w:lang w:val="es-ES"/>
        </w:rPr>
      </w:pPr>
      <w:r w:rsidRPr="001D431E">
        <w:rPr>
          <w:shd w:val="clear" w:color="auto" w:fill="FFFFFF"/>
          <w:lang w:val="es-ES"/>
        </w:rPr>
        <w:t>iii)</w:t>
      </w:r>
      <w:r w:rsidRPr="001D431E">
        <w:rPr>
          <w:shd w:val="clear" w:color="auto" w:fill="FFFFFF"/>
          <w:lang w:val="es-ES"/>
        </w:rPr>
        <w:tab/>
      </w:r>
      <w:r w:rsidR="00C1021F" w:rsidRPr="001D431E">
        <w:rPr>
          <w:shd w:val="clear" w:color="auto" w:fill="FFFFFF"/>
          <w:lang w:val="es-ES"/>
        </w:rPr>
        <w:t>Los indicadores fundamentales de rendimiento (IFR) SMART, que son herramientas para medir y registrar cualitativa, cuantitativa y constantemente los avances en la consecución de las</w:t>
      </w:r>
      <w:r w:rsidR="00C1021F" w:rsidRPr="001D431E">
        <w:rPr>
          <w:rFonts w:cstheme="minorHAnsi"/>
          <w:shd w:val="clear" w:color="auto" w:fill="FFFFFF"/>
          <w:lang w:val="es-ES"/>
        </w:rPr>
        <w:t xml:space="preserve"> metas temáticas a medio y largo plazo definidas. </w:t>
      </w:r>
    </w:p>
    <w:p w14:paraId="58DF113F" w14:textId="77777777" w:rsidR="00C1021F" w:rsidRPr="001D431E" w:rsidRDefault="00C1021F" w:rsidP="00C1021F">
      <w:pPr>
        <w:rPr>
          <w:rFonts w:cstheme="minorHAnsi"/>
          <w:szCs w:val="24"/>
          <w:shd w:val="clear" w:color="auto" w:fill="FFFFFF"/>
          <w:lang w:val="es-ES"/>
        </w:rPr>
      </w:pPr>
      <w:r w:rsidRPr="001D431E">
        <w:rPr>
          <w:rFonts w:cstheme="minorHAnsi"/>
          <w:szCs w:val="24"/>
          <w:shd w:val="clear" w:color="auto" w:fill="FFFFFF"/>
          <w:lang w:val="es-ES"/>
        </w:rPr>
        <w:t>El enfoque GBR también resalta la necesidad de que la BDT se asocie con un amplio abanico de interesados, incluidos otros organismos de las Naciones Unidas, organismos de financiación, Estados Miembros y Miembros de Sector, tanto para reducir los riesgos como para aumentar el alcance y la influencia definidos en las sendas de eficacia. Este marco GBR completo mejorará notablemente los servicios y permitirá a la BDT demostrar y dar cuenta de su influencia y del valor que aporta a la vida de las personas.</w:t>
      </w:r>
    </w:p>
    <w:p w14:paraId="00A58FA2" w14:textId="77777777" w:rsidR="00C1021F" w:rsidRPr="001D431E" w:rsidRDefault="00C1021F" w:rsidP="00C1021F">
      <w:pPr>
        <w:rPr>
          <w:rFonts w:cstheme="minorHAnsi"/>
          <w:szCs w:val="24"/>
          <w:shd w:val="clear" w:color="auto" w:fill="FFFFFF"/>
          <w:lang w:val="es-ES"/>
        </w:rPr>
      </w:pPr>
      <w:r w:rsidRPr="001D431E">
        <w:rPr>
          <w:rFonts w:cstheme="minorHAnsi"/>
          <w:szCs w:val="24"/>
          <w:shd w:val="clear" w:color="auto" w:fill="FFFFFF"/>
          <w:lang w:val="es-ES"/>
        </w:rPr>
        <w:t>En este Informe se da cuenta de los principales resultados logrados en 2019 en cada área temática prioritaria en el marco del progreso hacia la implementación del Plan de Acción de Buenos Aires.</w:t>
      </w:r>
    </w:p>
    <w:p w14:paraId="6A83E2FC" w14:textId="37F81B0A" w:rsidR="00C1021F" w:rsidRDefault="00C1021F" w:rsidP="00C1021F">
      <w:pPr>
        <w:rPr>
          <w:rFonts w:cstheme="minorHAnsi"/>
          <w:szCs w:val="24"/>
          <w:shd w:val="clear" w:color="auto" w:fill="FFFFFF"/>
          <w:lang w:val="es-ES"/>
        </w:rPr>
      </w:pPr>
      <w:r w:rsidRPr="001D431E">
        <w:rPr>
          <w:rFonts w:cstheme="minorHAnsi"/>
          <w:szCs w:val="24"/>
          <w:shd w:val="clear" w:color="auto" w:fill="FFFFFF"/>
          <w:lang w:val="es-ES"/>
        </w:rPr>
        <w:t>Con este telón de fondo, en 2020 la BDT seguirá centrándose en las prioridades temáticas del Plan de Acción de Buenos Aires para lograr un efecto sostenible y avanzar en la transformación digital para todos en 2020 y en adelante. Además, el año 202</w:t>
      </w:r>
      <w:r w:rsidR="009E0EC1">
        <w:rPr>
          <w:rFonts w:cstheme="minorHAnsi"/>
          <w:szCs w:val="24"/>
          <w:shd w:val="clear" w:color="auto" w:fill="FFFFFF"/>
          <w:lang w:val="es-ES"/>
        </w:rPr>
        <w:t>0</w:t>
      </w:r>
      <w:r w:rsidRPr="001D431E">
        <w:rPr>
          <w:rFonts w:cstheme="minorHAnsi"/>
          <w:szCs w:val="24"/>
          <w:shd w:val="clear" w:color="auto" w:fill="FFFFFF"/>
          <w:lang w:val="es-ES"/>
        </w:rPr>
        <w:t xml:space="preserve"> ofrecerá la oportunidad de aprovechar la adopción de nuevas tecnologías y de desarrollar y ampliar las metodologías existentes e inspirar a otros por medio de prácticas idóneas.</w:t>
      </w:r>
    </w:p>
    <w:p w14:paraId="60A7D309" w14:textId="77777777" w:rsidR="00C1021F" w:rsidRPr="0080599E" w:rsidRDefault="00C1021F" w:rsidP="004C2190">
      <w:pPr>
        <w:pStyle w:val="Title4"/>
        <w:rPr>
          <w:lang w:val="es-ES"/>
        </w:rPr>
      </w:pPr>
      <w:r w:rsidRPr="001D431E">
        <w:rPr>
          <w:lang w:val="es-ES"/>
        </w:rPr>
        <w:lastRenderedPageBreak/>
        <w:t xml:space="preserve">INFORME SOBRE </w:t>
      </w:r>
      <w:r w:rsidRPr="0080599E">
        <w:rPr>
          <w:lang w:val="es-ES"/>
        </w:rPr>
        <w:t>LOS AVANCES EN 2019</w:t>
      </w:r>
    </w:p>
    <w:p w14:paraId="2157DE62" w14:textId="64373D7E" w:rsidR="00C1021F" w:rsidRPr="009E0EC1" w:rsidRDefault="00C1021F" w:rsidP="004147EB">
      <w:pPr>
        <w:pStyle w:val="Heading1"/>
        <w:rPr>
          <w:lang w:val="es-ES"/>
        </w:rPr>
      </w:pPr>
      <w:r w:rsidRPr="009E0EC1">
        <w:rPr>
          <w:lang w:val="es-ES"/>
        </w:rPr>
        <w:t>1</w:t>
      </w:r>
      <w:r w:rsidRPr="009E0EC1">
        <w:rPr>
          <w:lang w:val="es-ES"/>
        </w:rPr>
        <w:tab/>
        <w:t>Capacitación: creación de una sociedad digitalmente competente</w:t>
      </w:r>
    </w:p>
    <w:p w14:paraId="42FB0E79" w14:textId="77777777" w:rsidR="00C1021F" w:rsidRPr="009E0EC1" w:rsidRDefault="00C1021F" w:rsidP="004147EB">
      <w:pPr>
        <w:pStyle w:val="Heading2"/>
        <w:rPr>
          <w:lang w:val="es-ES"/>
        </w:rPr>
      </w:pPr>
      <w:r w:rsidRPr="009E0EC1">
        <w:rPr>
          <w:lang w:val="es-ES"/>
        </w:rPr>
        <w:t>1.1</w:t>
      </w:r>
      <w:r w:rsidRPr="009E0EC1">
        <w:rPr>
          <w:lang w:val="es-ES"/>
        </w:rPr>
        <w:tab/>
        <w:t>Nuevo diseño de la plataforma de la Academia de la UIT</w:t>
      </w:r>
    </w:p>
    <w:p w14:paraId="34670CA1" w14:textId="2ACCC5C9" w:rsidR="00C1021F" w:rsidRPr="0080599E" w:rsidRDefault="00C1021F" w:rsidP="004F002A">
      <w:pPr>
        <w:rPr>
          <w:lang w:val="es-ES"/>
        </w:rPr>
      </w:pPr>
      <w:r w:rsidRPr="0080599E">
        <w:rPr>
          <w:lang w:val="es-ES"/>
        </w:rPr>
        <w:t xml:space="preserve">El </w:t>
      </w:r>
      <w:hyperlink r:id="rId11" w:history="1">
        <w:r w:rsidRPr="0080599E">
          <w:rPr>
            <w:rStyle w:val="Hyperlink"/>
            <w:rFonts w:cstheme="minorHAnsi"/>
            <w:spacing w:val="-2"/>
            <w:lang w:val="es-ES"/>
          </w:rPr>
          <w:t>portal de la Academia de la UIT</w:t>
        </w:r>
      </w:hyperlink>
      <w:r w:rsidRPr="0080599E">
        <w:rPr>
          <w:lang w:val="es-ES"/>
        </w:rPr>
        <w:t xml:space="preserve"> fue diseñado de nuevo para facilitar un acceso más seguro y sencillo a las actividades de capacitación, cursos y talleres de la UIT en materia de tecnologías de la información y la comunicación y de desarrollo digital. </w:t>
      </w:r>
      <w:r w:rsidRPr="0003357B">
        <w:rPr>
          <w:lang w:val="es-ES"/>
        </w:rPr>
        <w:t>La gama de formación abarca desde programas generales para responsables de la formulación de políticas y reguladores gubernamentales y planes de estudio profesionales centrados en los aspectos comerciales para altos ejecutivos y gestores de TIC, hasta programas especializados para el personal técnico y de explotación y programas académicos acreditados. Del mismo modo, el portal de la Academia de la</w:t>
      </w:r>
      <w:r w:rsidR="00F52BA4">
        <w:rPr>
          <w:lang w:val="es-ES"/>
        </w:rPr>
        <w:t> </w:t>
      </w:r>
      <w:r w:rsidRPr="0003357B">
        <w:rPr>
          <w:lang w:val="es-ES"/>
        </w:rPr>
        <w:t>UIT se ha convertido en una herramienta para la inclusión digital, dada la integración de ofertas de formación sobre accesibilidad a las TIC y cursos dirigidos a comunidades indígenas y marginadas</w:t>
      </w:r>
      <w:r w:rsidRPr="0080599E">
        <w:rPr>
          <w:lang w:val="es-ES"/>
        </w:rPr>
        <w:t>.</w:t>
      </w:r>
    </w:p>
    <w:p w14:paraId="705C39B4" w14:textId="29D72FA5" w:rsidR="00C1021F" w:rsidRPr="0080599E" w:rsidRDefault="00C1021F" w:rsidP="004F002A">
      <w:pPr>
        <w:rPr>
          <w:lang w:val="es-ES"/>
        </w:rPr>
      </w:pPr>
      <w:r w:rsidRPr="0080599E">
        <w:rPr>
          <w:lang w:val="es-ES"/>
        </w:rPr>
        <w:t>La Academia de la UIT registró 2 000 nuevos usuarios en 2019. En total, 10 200 usuarios de 61</w:t>
      </w:r>
      <w:r w:rsidR="00F52BA4">
        <w:rPr>
          <w:lang w:val="es-ES"/>
        </w:rPr>
        <w:t> </w:t>
      </w:r>
      <w:r w:rsidRPr="0080599E">
        <w:rPr>
          <w:lang w:val="es-ES"/>
        </w:rPr>
        <w:t xml:space="preserve">países ya utilizan la plataforma Academia de la UIT. </w:t>
      </w:r>
    </w:p>
    <w:p w14:paraId="1D1E9798" w14:textId="363EEFB4" w:rsidR="00C1021F" w:rsidRPr="009E0EC1" w:rsidRDefault="00C1021F" w:rsidP="004147EB">
      <w:pPr>
        <w:pStyle w:val="Heading2"/>
        <w:rPr>
          <w:lang w:val="es-ES"/>
        </w:rPr>
      </w:pPr>
      <w:r w:rsidRPr="009E0EC1">
        <w:rPr>
          <w:lang w:val="es-ES"/>
        </w:rPr>
        <w:t>1.2</w:t>
      </w:r>
      <w:r w:rsidRPr="009E0EC1">
        <w:rPr>
          <w:lang w:val="es-ES"/>
        </w:rPr>
        <w:tab/>
        <w:t>Red de Centros de Excelencia</w:t>
      </w:r>
    </w:p>
    <w:p w14:paraId="39AA5698" w14:textId="1D2A274D" w:rsidR="00C1021F" w:rsidRPr="0080599E" w:rsidRDefault="00C1021F" w:rsidP="004F002A">
      <w:pPr>
        <w:rPr>
          <w:lang w:val="es-ES"/>
        </w:rPr>
      </w:pPr>
      <w:r w:rsidRPr="0080599E">
        <w:rPr>
          <w:lang w:val="es-ES"/>
        </w:rPr>
        <w:t xml:space="preserve">En enero de 2019 se inició el nuevo ciclo del programa red de Centros de Excelencia (CoE) de la UIT. En total se seleccionaron 29 instituciones de todo el mundo, que serán los Centros de Excelencia de la UIT hasta diciembre de 2022. Tras la ronda inicial de reuniones del Comité de Dirección, los CoE </w:t>
      </w:r>
      <w:r w:rsidR="004147EB" w:rsidRPr="0080599E">
        <w:rPr>
          <w:lang w:val="es-ES"/>
        </w:rPr>
        <w:t>definieron</w:t>
      </w:r>
      <w:r w:rsidRPr="0080599E">
        <w:rPr>
          <w:lang w:val="es-ES"/>
        </w:rPr>
        <w:t xml:space="preserve"> </w:t>
      </w:r>
      <w:r w:rsidR="00C60282">
        <w:rPr>
          <w:lang w:val="es-ES"/>
        </w:rPr>
        <w:t>1</w:t>
      </w:r>
      <w:r w:rsidRPr="0080599E">
        <w:rPr>
          <w:lang w:val="es-ES"/>
        </w:rPr>
        <w:t>5 esferas de formación prioritarias, que abarcan temas como la banda ancha fina e inalámbrica, la ciberseguridad, la economía digital, la Internet de las cosas (IoT), la gestión del espectro, la innovación y la creación empresarial, la política y la reglamentación. En 2019, durante su</w:t>
      </w:r>
      <w:r w:rsidR="00F52BA4">
        <w:rPr>
          <w:lang w:val="es-ES"/>
        </w:rPr>
        <w:t> </w:t>
      </w:r>
      <w:r w:rsidRPr="0080599E">
        <w:rPr>
          <w:lang w:val="es-ES"/>
        </w:rPr>
        <w:t>primer año de funcionamiento, se impartieron más de 90</w:t>
      </w:r>
      <w:r w:rsidR="004147EB" w:rsidRPr="0080599E">
        <w:rPr>
          <w:lang w:val="es-ES"/>
        </w:rPr>
        <w:t> </w:t>
      </w:r>
      <w:r w:rsidRPr="0080599E">
        <w:rPr>
          <w:lang w:val="es-ES"/>
        </w:rPr>
        <w:t>cursos certificados a más de</w:t>
      </w:r>
      <w:r w:rsidR="00F52BA4">
        <w:rPr>
          <w:lang w:val="es-ES"/>
        </w:rPr>
        <w:t xml:space="preserve"> </w:t>
      </w:r>
      <w:r w:rsidRPr="0080599E">
        <w:rPr>
          <w:lang w:val="es-ES"/>
        </w:rPr>
        <w:t>2</w:t>
      </w:r>
      <w:r w:rsidR="00F52BA4">
        <w:rPr>
          <w:lang w:val="es-ES"/>
        </w:rPr>
        <w:t> </w:t>
      </w:r>
      <w:r w:rsidRPr="0080599E">
        <w:rPr>
          <w:lang w:val="es-ES"/>
        </w:rPr>
        <w:t>100</w:t>
      </w:r>
      <w:r w:rsidR="00F52BA4">
        <w:rPr>
          <w:lang w:val="es-ES"/>
        </w:rPr>
        <w:t xml:space="preserve"> </w:t>
      </w:r>
      <w:r w:rsidRPr="0080599E">
        <w:rPr>
          <w:lang w:val="es-ES"/>
        </w:rPr>
        <w:t>participantes de todo el mundo.</w:t>
      </w:r>
    </w:p>
    <w:p w14:paraId="56C8DDC8" w14:textId="77777777" w:rsidR="00C1021F" w:rsidRPr="009E0EC1" w:rsidRDefault="00C1021F" w:rsidP="004147EB">
      <w:pPr>
        <w:pStyle w:val="Heading2"/>
        <w:rPr>
          <w:lang w:val="es-ES"/>
        </w:rPr>
      </w:pPr>
      <w:r w:rsidRPr="009E0EC1">
        <w:rPr>
          <w:lang w:val="es-ES"/>
        </w:rPr>
        <w:t>1.3</w:t>
      </w:r>
      <w:r w:rsidRPr="009E0EC1">
        <w:rPr>
          <w:lang w:val="es-ES"/>
        </w:rPr>
        <w:tab/>
        <w:t>2ª reunión de la Asociación de Instituciones Académicas de la UIT</w:t>
      </w:r>
    </w:p>
    <w:p w14:paraId="72F13651" w14:textId="29FC8482" w:rsidR="00C1021F" w:rsidRPr="0080599E" w:rsidRDefault="00C1021F" w:rsidP="004F002A">
      <w:pPr>
        <w:rPr>
          <w:shd w:val="clear" w:color="auto" w:fill="FFFFFF"/>
          <w:lang w:val="es-ES"/>
        </w:rPr>
      </w:pPr>
      <w:r w:rsidRPr="0080599E">
        <w:rPr>
          <w:shd w:val="clear" w:color="auto" w:fill="FFFFFF"/>
          <w:lang w:val="es-ES"/>
        </w:rPr>
        <w:t xml:space="preserve">La 2ª </w:t>
      </w:r>
      <w:hyperlink r:id="rId12" w:history="1">
        <w:r w:rsidRPr="009F1BCF">
          <w:rPr>
            <w:rStyle w:val="Hyperlink"/>
            <w:shd w:val="clear" w:color="auto" w:fill="FFFFFF"/>
            <w:lang w:val="es-ES"/>
          </w:rPr>
          <w:t>reunión</w:t>
        </w:r>
      </w:hyperlink>
      <w:r w:rsidRPr="0080599E">
        <w:rPr>
          <w:shd w:val="clear" w:color="auto" w:fill="FFFFFF"/>
          <w:lang w:val="es-ES"/>
        </w:rPr>
        <w:t xml:space="preserve"> de la Asociación de Instituciones Académicas de la UIT tuvo lugar en Atlanta, Georgia, Estados Unidos de América, en diciembre, bajo el lema </w:t>
      </w:r>
      <w:r w:rsidRPr="0080599E">
        <w:rPr>
          <w:i/>
          <w:iCs/>
          <w:shd w:val="clear" w:color="auto" w:fill="FFFFFF"/>
          <w:lang w:val="es-ES"/>
        </w:rPr>
        <w:t>Desarrollar las calificaciones para la era digital</w:t>
      </w:r>
      <w:r w:rsidRPr="0080599E">
        <w:rPr>
          <w:shd w:val="clear" w:color="auto" w:fill="FFFFFF"/>
          <w:lang w:val="es-ES"/>
        </w:rPr>
        <w:t>. Reunió a representantes de universidades e instituciones de enseñanza superior de todo el mundo interesadas en el tema de las tecnologías digitales.</w:t>
      </w:r>
    </w:p>
    <w:p w14:paraId="2ABDBA83" w14:textId="77777777" w:rsidR="00C1021F" w:rsidRPr="0080599E" w:rsidRDefault="00C1021F" w:rsidP="004F002A">
      <w:pPr>
        <w:rPr>
          <w:lang w:val="es-ES"/>
        </w:rPr>
      </w:pPr>
      <w:r w:rsidRPr="0080599E">
        <w:rPr>
          <w:shd w:val="clear" w:color="auto" w:fill="FFFFFF"/>
          <w:lang w:val="es-ES"/>
        </w:rPr>
        <w:t>Durante los debates, los participantes resaltaron la necesidad de que las universidades aumenten la oferta de nuevos cursos acelerando los procesos de toma de decisiones y reduciendo la burocracia, en particular en las instituciones académicas públicas financiadas por el Estado. Los debates y las conclusiones de esta reunión de dos días proporcionaron material para la reflexión acerca del papel de las universidades en la economía digital y de la forma en que las asociaciones con organizaciones como la UIT pueden fortalecer aún más ese papel. Los participantes alentaron a la UIT a considerar la posibilidad de crear grupos de reflexión regionales o mundiales acogidos por instituciones académicas, y a que ofrezca más oportunidades para que las universidades desempeñen funciones de asesoramiento en actividades específicas de la UIT</w:t>
      </w:r>
      <w:r w:rsidRPr="0080599E">
        <w:rPr>
          <w:lang w:val="es-ES"/>
        </w:rPr>
        <w:t>.</w:t>
      </w:r>
    </w:p>
    <w:p w14:paraId="4BA8FB72" w14:textId="77777777" w:rsidR="00C1021F" w:rsidRPr="009E0EC1" w:rsidRDefault="00C1021F" w:rsidP="004147EB">
      <w:pPr>
        <w:pStyle w:val="Heading2"/>
        <w:rPr>
          <w:lang w:val="es-ES"/>
        </w:rPr>
      </w:pPr>
      <w:r w:rsidRPr="009E0EC1">
        <w:rPr>
          <w:lang w:val="es-ES"/>
        </w:rPr>
        <w:lastRenderedPageBreak/>
        <w:t>1.4</w:t>
      </w:r>
      <w:r w:rsidRPr="009E0EC1">
        <w:rPr>
          <w:lang w:val="es-ES"/>
        </w:rPr>
        <w:tab/>
        <w:t>Iniciativa de centros de transformación digital</w:t>
      </w:r>
    </w:p>
    <w:p w14:paraId="2CC325AC" w14:textId="77777777" w:rsidR="00C1021F" w:rsidRPr="0080599E" w:rsidRDefault="00C1021F" w:rsidP="004C2190">
      <w:pPr>
        <w:keepNext/>
        <w:keepLines/>
        <w:rPr>
          <w:lang w:val="es-ES"/>
        </w:rPr>
      </w:pPr>
      <w:r w:rsidRPr="0080599E">
        <w:rPr>
          <w:lang w:val="es-ES"/>
        </w:rPr>
        <w:t>Se puso en marcha la primera fase de la Iniciativa de centros de transformación digital (CTD) (</w:t>
      </w:r>
      <w:r w:rsidRPr="0080599E">
        <w:rPr>
          <w:i/>
          <w:iCs/>
          <w:lang w:val="es-ES"/>
        </w:rPr>
        <w:t>Empoderar a las comunidades, cerrar la brecha de las calificaciones digitales</w:t>
      </w:r>
      <w:r w:rsidRPr="0080599E">
        <w:rPr>
          <w:lang w:val="es-ES"/>
        </w:rPr>
        <w:t>) en asociación con Cisco. Esta nueva red mundial de centros acelerará la adopción de las tecnologías digitales por la población e impulsará la capacidad de los jóvenes empresarios y de las PYMES para el éxito. Este proyecto, centrado en las personas, acelerará la transformación digital llegando al corazón de las comunidades para empoderar a la población con las competencias digitales que necesitan para prosperar. La UIT y Cisco son los socios fundadores e invitan a nuevos socios a unirse para cerrar la brecha de las calificaciones digitales.</w:t>
      </w:r>
    </w:p>
    <w:p w14:paraId="5589087B" w14:textId="0CCC8345" w:rsidR="00C1021F" w:rsidRPr="009E0EC1" w:rsidRDefault="00C1021F" w:rsidP="004C2190">
      <w:pPr>
        <w:pStyle w:val="Heading2"/>
        <w:rPr>
          <w:lang w:val="es-ES"/>
        </w:rPr>
      </w:pPr>
      <w:r w:rsidRPr="009E0EC1">
        <w:rPr>
          <w:lang w:val="es-ES"/>
        </w:rPr>
        <w:t>1.5</w:t>
      </w:r>
      <w:r w:rsidRPr="009E0EC1">
        <w:rPr>
          <w:lang w:val="es-ES"/>
        </w:rPr>
        <w:tab/>
        <w:t>Digital Skills Insights 2019</w:t>
      </w:r>
    </w:p>
    <w:p w14:paraId="05173E17" w14:textId="75327B1A" w:rsidR="00C1021F" w:rsidRPr="0080599E" w:rsidRDefault="00C1021F" w:rsidP="00C1021F">
      <w:pPr>
        <w:overflowPunct/>
        <w:autoSpaceDE/>
        <w:autoSpaceDN/>
        <w:adjustRightInd/>
        <w:spacing w:line="252" w:lineRule="auto"/>
        <w:textAlignment w:val="auto"/>
        <w:rPr>
          <w:rFonts w:cstheme="minorHAnsi"/>
          <w:spacing w:val="-2"/>
          <w:lang w:val="es-ES"/>
        </w:rPr>
      </w:pPr>
      <w:r w:rsidRPr="0080599E">
        <w:rPr>
          <w:rFonts w:cstheme="minorHAnsi"/>
          <w:spacing w:val="-2"/>
          <w:lang w:val="es-ES"/>
        </w:rPr>
        <w:t>La tercer</w:t>
      </w:r>
      <w:r w:rsidR="00C60282">
        <w:rPr>
          <w:rFonts w:cstheme="minorHAnsi"/>
          <w:spacing w:val="-2"/>
          <w:lang w:val="es-ES"/>
        </w:rPr>
        <w:t>a</w:t>
      </w:r>
      <w:r w:rsidRPr="0080599E">
        <w:rPr>
          <w:rFonts w:cstheme="minorHAnsi"/>
          <w:spacing w:val="-2"/>
          <w:lang w:val="es-ES"/>
        </w:rPr>
        <w:t xml:space="preserve"> edición de esta </w:t>
      </w:r>
      <w:hyperlink r:id="rId13" w:history="1">
        <w:r w:rsidRPr="0080599E">
          <w:rPr>
            <w:rStyle w:val="Hyperlink"/>
            <w:rFonts w:cstheme="minorHAnsi"/>
            <w:spacing w:val="-2"/>
            <w:lang w:val="es-ES"/>
          </w:rPr>
          <w:t>publicación</w:t>
        </w:r>
      </w:hyperlink>
      <w:r w:rsidRPr="0080599E">
        <w:rPr>
          <w:rFonts w:cstheme="minorHAnsi"/>
          <w:spacing w:val="-2"/>
          <w:lang w:val="es-ES"/>
        </w:rPr>
        <w:t xml:space="preserve"> (anteriormente titulada </w:t>
      </w:r>
      <w:r w:rsidRPr="0080599E">
        <w:rPr>
          <w:rFonts w:cstheme="minorHAnsi"/>
          <w:i/>
          <w:iCs/>
          <w:spacing w:val="-2"/>
          <w:lang w:val="es-ES"/>
        </w:rPr>
        <w:t>Creación de capacidades en un entorno de TIC en evolución</w:t>
      </w:r>
      <w:r w:rsidRPr="0080599E">
        <w:rPr>
          <w:rFonts w:cstheme="minorHAnsi"/>
          <w:spacing w:val="-2"/>
          <w:lang w:val="es-ES"/>
        </w:rPr>
        <w:t>) se presentó en agosto e incluye ocho artículos de expertos internacionales, adoptando un enfoque crítico y analítico respecto del tema de la capacitación y el desarrollo de competencias digitales. La primera serie de artículos ofrece una amplia visión general del debate sobre los marcos de alfabetización digital, los nuevos métodos de enseñanza y el aprendizaje en relación con los avances digitales, así como los nuevos conceptos e iniciativas de capacitación en la era digital. La segunda serie de artículos muestra ejemplos concretos de las repercusiones de las nuevas tecnologías en relación con las carencias de calificaciones y el desarrollo de competencias en determinados países en desarrollo.</w:t>
      </w:r>
    </w:p>
    <w:p w14:paraId="67B59EF1" w14:textId="1CD499FA" w:rsidR="00C1021F" w:rsidRPr="00D5529D" w:rsidRDefault="00C1021F" w:rsidP="004C2190">
      <w:pPr>
        <w:pStyle w:val="Heading2"/>
        <w:rPr>
          <w:lang w:val="es-ES"/>
        </w:rPr>
      </w:pPr>
      <w:r w:rsidRPr="00D5529D">
        <w:rPr>
          <w:lang w:val="es-ES"/>
        </w:rPr>
        <w:t>1.6</w:t>
      </w:r>
      <w:r w:rsidRPr="00D5529D">
        <w:rPr>
          <w:lang w:val="es-ES"/>
        </w:rPr>
        <w:tab/>
        <w:t>Campaña UIT-OIT sobre habilidades digitales</w:t>
      </w:r>
    </w:p>
    <w:p w14:paraId="3D9F724C" w14:textId="0E1779CD" w:rsidR="00C1021F" w:rsidRPr="0080599E" w:rsidRDefault="00C1021F" w:rsidP="00C1021F">
      <w:pPr>
        <w:overflowPunct/>
        <w:autoSpaceDE/>
        <w:autoSpaceDN/>
        <w:adjustRightInd/>
        <w:spacing w:line="252" w:lineRule="auto"/>
        <w:textAlignment w:val="auto"/>
        <w:rPr>
          <w:rFonts w:cstheme="minorHAnsi"/>
          <w:spacing w:val="-2"/>
          <w:lang w:val="es-ES"/>
        </w:rPr>
      </w:pPr>
      <w:r w:rsidRPr="0080599E">
        <w:rPr>
          <w:rFonts w:cstheme="minorHAnsi"/>
          <w:spacing w:val="-2"/>
          <w:lang w:val="es-ES"/>
        </w:rPr>
        <w:t xml:space="preserve">La UIT siguió al frente de la </w:t>
      </w:r>
      <w:hyperlink r:id="rId14" w:history="1">
        <w:r w:rsidRPr="0080599E">
          <w:rPr>
            <w:rStyle w:val="Hyperlink"/>
            <w:rFonts w:cstheme="minorHAnsi"/>
            <w:spacing w:val="-2"/>
            <w:lang w:val="es-ES"/>
          </w:rPr>
          <w:t>Campaña sobre habilidades digitales</w:t>
        </w:r>
      </w:hyperlink>
      <w:r w:rsidRPr="0080599E">
        <w:rPr>
          <w:rFonts w:cstheme="minorHAnsi"/>
          <w:spacing w:val="-2"/>
          <w:lang w:val="es-ES"/>
        </w:rPr>
        <w:t>, que se lanzó en 2016 como una de las ocho prioridades temáticas de la iniciativa global de la OIT para el empleo decente de los jóvenes. La campaña trata de dotar a las mujeres y hombres jóvenes de las calificaciones necesarias para los empleos digitales de la actualidad y del mañana. En 2019 la campaña había recibido compromisos para formar hasta 2030 a más de 15 millones de jóvenes con calificaciones digitales transferibles, lo que supone más del triple del objetivo inicial de 5 millones de personas.</w:t>
      </w:r>
    </w:p>
    <w:p w14:paraId="28F092EB" w14:textId="2323D03B" w:rsidR="00C1021F" w:rsidRPr="009E0EC1" w:rsidRDefault="00C1021F" w:rsidP="004147EB">
      <w:pPr>
        <w:pStyle w:val="Heading2"/>
        <w:rPr>
          <w:lang w:val="es-ES"/>
        </w:rPr>
      </w:pPr>
      <w:r w:rsidRPr="009E0EC1">
        <w:rPr>
          <w:lang w:val="es-ES"/>
        </w:rPr>
        <w:t>1.7</w:t>
      </w:r>
      <w:r w:rsidRPr="009E0EC1">
        <w:rPr>
          <w:lang w:val="es-ES"/>
        </w:rPr>
        <w:tab/>
        <w:t>Capacitación a nivel nacional</w:t>
      </w:r>
    </w:p>
    <w:p w14:paraId="30411BE3" w14:textId="77777777" w:rsidR="00C1021F" w:rsidRPr="0080599E" w:rsidRDefault="00C1021F" w:rsidP="00C1021F">
      <w:pPr>
        <w:rPr>
          <w:rFonts w:cstheme="minorHAnsi"/>
          <w:spacing w:val="-2"/>
          <w:lang w:val="es-ES"/>
        </w:rPr>
      </w:pPr>
      <w:r w:rsidRPr="0080599E">
        <w:rPr>
          <w:rFonts w:eastAsia="Calibri" w:cstheme="minorHAnsi"/>
          <w:spacing w:val="-2"/>
          <w:lang w:val="es-ES"/>
        </w:rPr>
        <w:t xml:space="preserve">Se impartió formación certificada al Gobierno de Eritrea sobre tecnologías avanzadas, itinerancia y dinero móvil. </w:t>
      </w:r>
    </w:p>
    <w:p w14:paraId="4CD79720" w14:textId="01A88AE2" w:rsidR="00C1021F" w:rsidRPr="0080599E" w:rsidRDefault="00C1021F" w:rsidP="00C1021F">
      <w:pPr>
        <w:rPr>
          <w:rFonts w:cstheme="minorHAnsi"/>
          <w:spacing w:val="-2"/>
          <w:lang w:val="es-ES"/>
        </w:rPr>
      </w:pPr>
      <w:r w:rsidRPr="0080599E">
        <w:rPr>
          <w:rFonts w:eastAsia="Calibri" w:cstheme="minorHAnsi"/>
          <w:spacing w:val="-2"/>
          <w:szCs w:val="24"/>
          <w:lang w:val="es-ES"/>
        </w:rPr>
        <w:t>Se prestó asistencia específica a Burundi, impartiéndose formación a dos nacionales en el Centro de Excelencia de la UIT en Yaundé, Camerún, sobre banda ancha y en Kampala, Uganda</w:t>
      </w:r>
      <w:r w:rsidR="00C80719">
        <w:rPr>
          <w:rFonts w:eastAsia="Calibri" w:cstheme="minorHAnsi"/>
          <w:spacing w:val="-2"/>
          <w:szCs w:val="24"/>
          <w:lang w:val="es-ES"/>
        </w:rPr>
        <w:t>,</w:t>
      </w:r>
      <w:r w:rsidRPr="0080599E">
        <w:rPr>
          <w:rFonts w:eastAsia="Calibri" w:cstheme="minorHAnsi"/>
          <w:spacing w:val="-2"/>
          <w:szCs w:val="24"/>
          <w:lang w:val="es-ES"/>
        </w:rPr>
        <w:t xml:space="preserve"> en un simulacro de ciberseguridad. También se prestó asistencia a Kirguistán. </w:t>
      </w:r>
    </w:p>
    <w:p w14:paraId="05CD814B" w14:textId="03BDE508" w:rsidR="00C1021F" w:rsidRPr="009E0EC1" w:rsidRDefault="00C1021F" w:rsidP="004C2190">
      <w:pPr>
        <w:pStyle w:val="Heading2"/>
        <w:rPr>
          <w:lang w:val="es-ES"/>
        </w:rPr>
      </w:pPr>
      <w:r w:rsidRPr="009E0EC1">
        <w:rPr>
          <w:lang w:val="es-ES"/>
        </w:rPr>
        <w:t>1.8</w:t>
      </w:r>
      <w:r w:rsidRPr="009E0EC1">
        <w:rPr>
          <w:lang w:val="es-ES"/>
        </w:rPr>
        <w:tab/>
        <w:t>Capacitación a nivel regional</w:t>
      </w:r>
    </w:p>
    <w:p w14:paraId="37E5C57B" w14:textId="77777777" w:rsidR="00C1021F" w:rsidRPr="0080599E" w:rsidRDefault="00C1021F" w:rsidP="00C1021F">
      <w:pPr>
        <w:overflowPunct/>
        <w:autoSpaceDE/>
        <w:autoSpaceDN/>
        <w:adjustRightInd/>
        <w:spacing w:line="252" w:lineRule="auto"/>
        <w:textAlignment w:val="auto"/>
        <w:rPr>
          <w:rFonts w:eastAsia="Calibri" w:cstheme="minorHAnsi"/>
          <w:spacing w:val="-2"/>
          <w:lang w:val="es-ES"/>
        </w:rPr>
      </w:pPr>
      <w:r w:rsidRPr="0080599E">
        <w:rPr>
          <w:rFonts w:eastAsia="Calibri" w:cstheme="minorHAnsi"/>
          <w:spacing w:val="-2"/>
          <w:lang w:val="es-ES"/>
        </w:rPr>
        <w:t>Países de la región de los Estados Árabes recibieron formación en comunicaciones por satélite (coorganizada con la ITSO), 5G (coorganizada con la GSMA) y gobernanza de Internet (coorganizada con la ICANN, ISOC, RIPE NCC y la Diplo foundation).</w:t>
      </w:r>
    </w:p>
    <w:p w14:paraId="04D5D21C" w14:textId="77777777" w:rsidR="00C1021F" w:rsidRPr="0080599E" w:rsidRDefault="00C1021F" w:rsidP="00D5529D">
      <w:pPr>
        <w:spacing w:after="120"/>
        <w:rPr>
          <w:rFonts w:eastAsia="Calibri" w:cstheme="minorHAnsi"/>
          <w:spacing w:val="-2"/>
          <w:lang w:val="es-ES"/>
        </w:rPr>
      </w:pPr>
      <w:r w:rsidRPr="0080599E">
        <w:rPr>
          <w:rFonts w:cstheme="minorHAnsi"/>
          <w:spacing w:val="-2"/>
          <w:lang w:val="es-ES"/>
        </w:rPr>
        <w:t>En el marco del programa de políticas digitales para sensibilizar a los funcionarios en materia de utilización de las TIC en el Caribe se proporcionaron orientaciones a los funcionarios sobre definición de políticas, leyes y reglamentación.</w:t>
      </w:r>
    </w:p>
    <w:tbl>
      <w:tblPr>
        <w:tblStyle w:val="TableGrid1"/>
        <w:tblW w:w="0" w:type="auto"/>
        <w:tblLook w:val="04A0" w:firstRow="1" w:lastRow="0" w:firstColumn="1" w:lastColumn="0" w:noHBand="0" w:noVBand="1"/>
      </w:tblPr>
      <w:tblGrid>
        <w:gridCol w:w="9628"/>
      </w:tblGrid>
      <w:tr w:rsidR="00C1021F" w:rsidRPr="00BD1F0A" w14:paraId="1709D70B" w14:textId="77777777" w:rsidTr="00D5529D">
        <w:tc>
          <w:tcPr>
            <w:tcW w:w="9628" w:type="dxa"/>
          </w:tcPr>
          <w:p w14:paraId="471351E9" w14:textId="77777777" w:rsidR="00C1021F" w:rsidRPr="00D5529D" w:rsidRDefault="00C1021F" w:rsidP="00D5529D">
            <w:pPr>
              <w:pStyle w:val="Headingb"/>
              <w:rPr>
                <w:rFonts w:ascii="Calibri" w:hAnsi="Calibri"/>
                <w:lang w:val="es-ES"/>
              </w:rPr>
            </w:pPr>
            <w:r w:rsidRPr="00D5529D">
              <w:rPr>
                <w:rFonts w:ascii="Calibri" w:hAnsi="Calibri"/>
                <w:lang w:val="es-ES"/>
              </w:rPr>
              <w:lastRenderedPageBreak/>
              <w:t>INICIATIVAS REGIONALES</w:t>
            </w:r>
          </w:p>
          <w:p w14:paraId="4B3A2725" w14:textId="77777777" w:rsidR="00C1021F" w:rsidRPr="0080599E" w:rsidRDefault="00C1021F" w:rsidP="00F52BA4">
            <w:pPr>
              <w:keepNext/>
              <w:keepLines/>
              <w:rPr>
                <w:rFonts w:asciiTheme="minorHAnsi" w:eastAsia="Calibri" w:hAnsiTheme="minorHAnsi" w:cstheme="minorHAnsi"/>
                <w:spacing w:val="-2"/>
                <w:szCs w:val="24"/>
                <w:u w:val="single"/>
                <w:lang w:val="es-ES"/>
              </w:rPr>
            </w:pPr>
            <w:r w:rsidRPr="0080599E">
              <w:rPr>
                <w:rFonts w:asciiTheme="minorHAnsi" w:hAnsiTheme="minorHAnsi" w:cstheme="minorHAnsi"/>
                <w:spacing w:val="-2"/>
                <w:lang w:val="es-ES"/>
              </w:rPr>
              <w:t xml:space="preserve">África: </w:t>
            </w:r>
            <w:r w:rsidRPr="0080599E">
              <w:rPr>
                <w:rFonts w:asciiTheme="minorHAnsi" w:hAnsiTheme="minorHAnsi" w:cstheme="minorHAnsi"/>
                <w:spacing w:val="-2"/>
                <w:u w:val="single"/>
                <w:lang w:val="es-ES"/>
              </w:rPr>
              <w:t>fortalecimiento de la capacitación personal e institucional</w:t>
            </w:r>
          </w:p>
          <w:p w14:paraId="10FC8592" w14:textId="7784B847" w:rsidR="00C1021F" w:rsidRPr="0080599E" w:rsidRDefault="00200B71" w:rsidP="00F52BA4">
            <w:pPr>
              <w:pStyle w:val="enumlev1"/>
              <w:keepNext/>
              <w:keepLines/>
              <w:rPr>
                <w:rFonts w:asciiTheme="minorHAnsi" w:eastAsia="Calibri" w:hAnsiTheme="minorHAnsi" w:cstheme="minorHAnsi"/>
                <w:spacing w:val="-2"/>
                <w:lang w:val="es-ES"/>
              </w:rPr>
            </w:pPr>
            <w:r w:rsidRPr="0080599E">
              <w:rPr>
                <w:rFonts w:asciiTheme="minorHAnsi" w:eastAsia="Calibri" w:hAnsiTheme="minorHAnsi" w:cstheme="minorHAnsi"/>
                <w:spacing w:val="-2"/>
                <w:lang w:val="es-ES"/>
              </w:rPr>
              <w:t>•</w:t>
            </w:r>
            <w:r w:rsidRPr="0080599E">
              <w:rPr>
                <w:rFonts w:asciiTheme="minorHAnsi" w:eastAsia="Calibri" w:hAnsiTheme="minorHAnsi" w:cstheme="minorHAnsi"/>
                <w:spacing w:val="-2"/>
                <w:lang w:val="es-ES"/>
              </w:rPr>
              <w:tab/>
            </w:r>
            <w:r w:rsidR="00C1021F" w:rsidRPr="0080599E">
              <w:rPr>
                <w:rFonts w:asciiTheme="minorHAnsi" w:eastAsia="Calibri" w:hAnsiTheme="minorHAnsi" w:cstheme="minorHAnsi"/>
                <w:spacing w:val="-2"/>
                <w:lang w:val="es-ES"/>
              </w:rPr>
              <w:t xml:space="preserve">532 niñas aprendieron a codificar en una serie de talleres de la Iniciativa </w:t>
            </w:r>
            <w:r w:rsidR="00C1021F" w:rsidRPr="00C80719">
              <w:rPr>
                <w:rFonts w:asciiTheme="minorHAnsi" w:eastAsia="Calibri" w:hAnsiTheme="minorHAnsi" w:cstheme="minorHAnsi"/>
                <w:i/>
                <w:iCs/>
                <w:spacing w:val="-2"/>
                <w:lang w:val="es-ES"/>
              </w:rPr>
              <w:t>African Girls can Code</w:t>
            </w:r>
            <w:r w:rsidR="008C6AF3" w:rsidRPr="008C6AF3">
              <w:rPr>
                <w:rFonts w:asciiTheme="minorHAnsi" w:eastAsia="Calibri" w:hAnsiTheme="minorHAnsi" w:cstheme="minorHAnsi"/>
                <w:spacing w:val="-2"/>
                <w:lang w:val="es-ES"/>
              </w:rPr>
              <w:t>.</w:t>
            </w:r>
          </w:p>
          <w:p w14:paraId="429CDE52" w14:textId="01A91AE9" w:rsidR="00C1021F" w:rsidRPr="0080599E" w:rsidRDefault="00200B71" w:rsidP="0091715A">
            <w:pPr>
              <w:pStyle w:val="enumlev1"/>
              <w:keepNext/>
              <w:keepLines/>
              <w:widowControl w:val="0"/>
              <w:spacing w:after="120"/>
              <w:rPr>
                <w:rFonts w:eastAsia="Calibri"/>
                <w:spacing w:val="-2"/>
                <w:lang w:val="es-ES"/>
              </w:rPr>
            </w:pPr>
            <w:r w:rsidRPr="0080599E">
              <w:rPr>
                <w:rFonts w:asciiTheme="minorHAnsi" w:eastAsia="Calibri" w:hAnsiTheme="minorHAnsi" w:cstheme="minorHAnsi"/>
                <w:spacing w:val="-2"/>
                <w:lang w:val="es-ES"/>
              </w:rPr>
              <w:t>•</w:t>
            </w:r>
            <w:r w:rsidRPr="0080599E">
              <w:rPr>
                <w:rFonts w:asciiTheme="minorHAnsi" w:eastAsia="Calibri" w:hAnsiTheme="minorHAnsi" w:cstheme="minorHAnsi"/>
                <w:spacing w:val="-2"/>
                <w:lang w:val="es-ES"/>
              </w:rPr>
              <w:tab/>
            </w:r>
            <w:r w:rsidR="00C1021F" w:rsidRPr="0080599E">
              <w:rPr>
                <w:rFonts w:asciiTheme="minorHAnsi" w:eastAsia="Calibri" w:hAnsiTheme="minorHAnsi" w:cstheme="minorHAnsi"/>
                <w:spacing w:val="-2"/>
                <w:lang w:val="es-ES"/>
              </w:rPr>
              <w:t xml:space="preserve">El programa UIT-OIT para impulsar los empleos decentes y mejorar las calificaciones </w:t>
            </w:r>
            <w:r w:rsidRPr="0080599E">
              <w:rPr>
                <w:rFonts w:asciiTheme="minorHAnsi" w:eastAsia="Calibri" w:hAnsiTheme="minorHAnsi" w:cstheme="minorHAnsi"/>
                <w:spacing w:val="-2"/>
                <w:lang w:val="es-ES"/>
              </w:rPr>
              <w:t>digitales</w:t>
            </w:r>
            <w:r w:rsidR="00C1021F" w:rsidRPr="0080599E">
              <w:rPr>
                <w:rFonts w:asciiTheme="minorHAnsi" w:eastAsia="Calibri" w:hAnsiTheme="minorHAnsi" w:cstheme="minorHAnsi"/>
                <w:spacing w:val="-2"/>
                <w:lang w:val="es-ES"/>
              </w:rPr>
              <w:t xml:space="preserve"> para los jóvenes en la economía digital de África fue elaborado por y para los jóvenes en África.</w:t>
            </w:r>
          </w:p>
        </w:tc>
      </w:tr>
    </w:tbl>
    <w:p w14:paraId="6F8B8002" w14:textId="60FE56D5" w:rsidR="00C1021F" w:rsidRPr="009E0EC1" w:rsidRDefault="00C1021F" w:rsidP="004147EB">
      <w:pPr>
        <w:pStyle w:val="Heading1"/>
        <w:rPr>
          <w:lang w:val="es-ES"/>
        </w:rPr>
      </w:pPr>
      <w:r w:rsidRPr="009E0EC1">
        <w:rPr>
          <w:lang w:val="es-ES"/>
        </w:rPr>
        <w:t>2</w:t>
      </w:r>
      <w:r w:rsidRPr="009E0EC1">
        <w:rPr>
          <w:lang w:val="es-ES"/>
        </w:rPr>
        <w:tab/>
        <w:t>Ciberseguridad: crear un ciberespacio fiable para todos</w:t>
      </w:r>
    </w:p>
    <w:p w14:paraId="55BAC3B6" w14:textId="2FF83B0E" w:rsidR="00C1021F" w:rsidRPr="009E0EC1" w:rsidRDefault="00C1021F" w:rsidP="004147EB">
      <w:pPr>
        <w:pStyle w:val="Heading2"/>
        <w:rPr>
          <w:lang w:val="es-ES"/>
        </w:rPr>
      </w:pPr>
      <w:r w:rsidRPr="009E0EC1">
        <w:rPr>
          <w:lang w:val="es-ES"/>
        </w:rPr>
        <w:t>2.1</w:t>
      </w:r>
      <w:r w:rsidRPr="009E0EC1">
        <w:rPr>
          <w:lang w:val="es-ES"/>
        </w:rPr>
        <w:tab/>
        <w:t>Índice de Ciberseguridad Global de la UIT (ICG)</w:t>
      </w:r>
    </w:p>
    <w:p w14:paraId="78F30809" w14:textId="77777777" w:rsidR="00C1021F" w:rsidRPr="001D431E" w:rsidRDefault="00C1021F" w:rsidP="00C1021F">
      <w:pPr>
        <w:rPr>
          <w:rFonts w:cstheme="minorHAnsi"/>
          <w:szCs w:val="24"/>
          <w:shd w:val="clear" w:color="auto" w:fill="FFFFFF"/>
          <w:lang w:val="es-ES"/>
        </w:rPr>
      </w:pPr>
      <w:r w:rsidRPr="001D431E">
        <w:rPr>
          <w:rFonts w:cstheme="minorHAnsi"/>
          <w:szCs w:val="24"/>
          <w:shd w:val="clear" w:color="auto" w:fill="FFFFFF"/>
          <w:lang w:val="es-ES"/>
        </w:rPr>
        <w:t xml:space="preserve">El tercer </w:t>
      </w:r>
      <w:bookmarkStart w:id="7" w:name="_Hlk31803356"/>
      <w:r w:rsidRPr="001D431E">
        <w:rPr>
          <w:rFonts w:cstheme="minorHAnsi"/>
          <w:szCs w:val="24"/>
          <w:shd w:val="clear" w:color="auto" w:fill="FFFFFF"/>
          <w:lang w:val="es-ES"/>
        </w:rPr>
        <w:fldChar w:fldCharType="begin"/>
      </w:r>
      <w:r w:rsidRPr="001D431E">
        <w:rPr>
          <w:rFonts w:cstheme="minorHAnsi"/>
          <w:szCs w:val="24"/>
          <w:shd w:val="clear" w:color="auto" w:fill="FFFFFF"/>
          <w:lang w:val="es-ES"/>
        </w:rPr>
        <w:instrText xml:space="preserve"> HYPERLINK "https://www.itu.int/en/ITU-D/Cybersecurity/Pages/global-cybersecurity-index.aspx" </w:instrText>
      </w:r>
      <w:r w:rsidRPr="001D431E">
        <w:rPr>
          <w:rFonts w:cstheme="minorHAnsi"/>
          <w:szCs w:val="24"/>
          <w:shd w:val="clear" w:color="auto" w:fill="FFFFFF"/>
          <w:lang w:val="es-ES"/>
        </w:rPr>
        <w:fldChar w:fldCharType="separate"/>
      </w:r>
      <w:r w:rsidRPr="001D431E">
        <w:rPr>
          <w:rStyle w:val="Hyperlink"/>
          <w:rFonts w:cstheme="minorHAnsi"/>
          <w:szCs w:val="24"/>
          <w:shd w:val="clear" w:color="auto" w:fill="FFFFFF"/>
          <w:lang w:val="es-ES"/>
        </w:rPr>
        <w:t>Índice de Ciberseguridad Global de la UIT</w:t>
      </w:r>
      <w:r w:rsidRPr="001D431E">
        <w:rPr>
          <w:rFonts w:cstheme="minorHAnsi"/>
          <w:szCs w:val="24"/>
          <w:shd w:val="clear" w:color="auto" w:fill="FFFFFF"/>
          <w:lang w:val="es-ES"/>
        </w:rPr>
        <w:fldChar w:fldCharType="end"/>
      </w:r>
      <w:r w:rsidRPr="001D431E">
        <w:rPr>
          <w:rFonts w:cstheme="minorHAnsi"/>
          <w:szCs w:val="24"/>
          <w:shd w:val="clear" w:color="auto" w:fill="FFFFFF"/>
          <w:lang w:val="es-ES"/>
        </w:rPr>
        <w:t xml:space="preserve"> (ICG) muestra una mejora considerable del compromiso para con la ciberseguridad en todo el mundo. La mayoría de países dispone de estrategias, planes o políticas nacionales de ciberseguridad, de equipos de intervención y de legislación específica para contrarrestar las amenazas. Al mismo tiempo, hay grandes diferencias de una región a otra. Además, hay importantes divergencias entre muchos países en términos de conocimientos, incluidas la legislación en materia de ciberdelincuencia, las estrategias nacionales de ciberseguridad, los equipos de intervención en caso de emergencia informática (EIEI), la sensibilización y la capacitación para la generalización de las estrategias, las capacidades y programas en el ámbito de la ciberseguridad</w:t>
      </w:r>
      <w:bookmarkEnd w:id="7"/>
      <w:r w:rsidRPr="001D431E">
        <w:rPr>
          <w:rFonts w:cstheme="minorHAnsi"/>
          <w:szCs w:val="24"/>
          <w:shd w:val="clear" w:color="auto" w:fill="FFFFFF"/>
          <w:lang w:val="es-ES"/>
        </w:rPr>
        <w:t xml:space="preserve">. </w:t>
      </w:r>
    </w:p>
    <w:p w14:paraId="1E884931" w14:textId="77777777" w:rsidR="00C1021F" w:rsidRPr="001D431E" w:rsidRDefault="00C1021F" w:rsidP="00C1021F">
      <w:pPr>
        <w:rPr>
          <w:rFonts w:cstheme="minorHAnsi"/>
          <w:szCs w:val="24"/>
          <w:shd w:val="clear" w:color="auto" w:fill="FFFFFF"/>
          <w:lang w:val="es-ES"/>
        </w:rPr>
      </w:pPr>
      <w:r w:rsidRPr="001D431E">
        <w:rPr>
          <w:rFonts w:cstheme="minorHAnsi"/>
          <w:szCs w:val="24"/>
          <w:shd w:val="clear" w:color="auto" w:fill="FFFFFF"/>
          <w:lang w:val="es-ES"/>
        </w:rPr>
        <w:t>Se ha iniciado la cuarta versión de la encuesta del Índice de Ciberseguridad Global con un cuestionario y una metodología mejorados.</w:t>
      </w:r>
    </w:p>
    <w:p w14:paraId="6D6CA375" w14:textId="185625EA" w:rsidR="00C1021F" w:rsidRPr="009E0EC1" w:rsidRDefault="00C1021F" w:rsidP="004147EB">
      <w:pPr>
        <w:pStyle w:val="Heading2"/>
        <w:rPr>
          <w:lang w:val="es-ES"/>
        </w:rPr>
      </w:pPr>
      <w:r w:rsidRPr="009E0EC1">
        <w:rPr>
          <w:lang w:val="es-ES"/>
        </w:rPr>
        <w:t>2.2</w:t>
      </w:r>
      <w:r w:rsidRPr="009E0EC1">
        <w:rPr>
          <w:lang w:val="es-ES"/>
        </w:rPr>
        <w:tab/>
        <w:t>Protección de la Infancia en Línea (PIeL)</w:t>
      </w:r>
    </w:p>
    <w:p w14:paraId="7BC7A45B" w14:textId="65CCB448" w:rsidR="00C1021F" w:rsidRPr="001D431E" w:rsidRDefault="00C1021F" w:rsidP="00C1021F">
      <w:pPr>
        <w:rPr>
          <w:rFonts w:cstheme="minorHAnsi"/>
          <w:lang w:val="es-ES"/>
        </w:rPr>
      </w:pPr>
      <w:r w:rsidRPr="001D431E">
        <w:rPr>
          <w:rFonts w:cstheme="minorHAnsi"/>
          <w:lang w:val="es-ES"/>
        </w:rPr>
        <w:t xml:space="preserve">Un grupo de trabajo multipartito de expertos, formado por más de 50 organizaciones y expertos, ha empezado a revisar las </w:t>
      </w:r>
      <w:hyperlink r:id="rId15" w:history="1">
        <w:r w:rsidRPr="00D5529D">
          <w:rPr>
            <w:rStyle w:val="Hyperlink"/>
            <w:lang w:val="es-ES"/>
          </w:rPr>
          <w:t>Directrices para la Protección de la Infancia en Línea</w:t>
        </w:r>
      </w:hyperlink>
      <w:r w:rsidRPr="001D431E">
        <w:rPr>
          <w:rFonts w:cstheme="minorHAnsi"/>
          <w:lang w:val="es-ES"/>
        </w:rPr>
        <w:t xml:space="preserve">, </w:t>
      </w:r>
      <w:r w:rsidR="00200B71" w:rsidRPr="001D431E">
        <w:rPr>
          <w:rFonts w:cstheme="minorHAnsi"/>
          <w:lang w:val="es-ES"/>
        </w:rPr>
        <w:t>publicadas</w:t>
      </w:r>
      <w:r w:rsidRPr="001D431E">
        <w:rPr>
          <w:rFonts w:cstheme="minorHAnsi"/>
          <w:lang w:val="es-ES"/>
        </w:rPr>
        <w:t xml:space="preserve"> por primera vez en 2009.</w:t>
      </w:r>
    </w:p>
    <w:p w14:paraId="34F923C8" w14:textId="77777777" w:rsidR="00C1021F" w:rsidRPr="001D431E" w:rsidRDefault="00C1021F" w:rsidP="00C1021F">
      <w:pPr>
        <w:rPr>
          <w:rFonts w:eastAsia="Calibri" w:cstheme="minorHAnsi"/>
          <w:lang w:val="es-ES"/>
        </w:rPr>
      </w:pPr>
      <w:r w:rsidRPr="001D431E">
        <w:rPr>
          <w:rFonts w:cstheme="minorHAnsi"/>
          <w:lang w:val="es-ES"/>
        </w:rPr>
        <w:t>En 2019 se invirtieron esfuerzos regionales importantes para abordar los problemas de la seguridad de la infancia en línea. En África se empezó a hablar de la implementación de marcos estratégicos nacionales en Chad, Kenya, Malawi y Rwanda. Concretamente, en el Foro Regional PIeL, celebrado en Ghana, que reunió a una amplia gama de expertos para analizar las eventuales soluciones y medidas que se pueden adoptar, se abordaron varios temas relativos a la protección de la infancia en línea en África. Uno de los resultados del Foro es que la Oficina Regional de la UIT para África coordina las celebraciones del Día de una Internet más segura en África que se lleven a cabo en esa región. En la Región Asia-Pacífico se prestó asistencia al desarrollo del Marco regional de la ASEAN para la Protección de la Infancia en Línea en coordinación con otros socios, como</w:t>
      </w:r>
      <w:r w:rsidRPr="001D431E">
        <w:rPr>
          <w:rFonts w:cstheme="minorHAnsi"/>
          <w:color w:val="000000"/>
          <w:lang w:val="es-ES"/>
        </w:rPr>
        <w:t xml:space="preserve"> TELSOM/TELMIN. El marco regional se basa en las Directrices PIeL. Se llevaron a cabo otras actividades en Europa como parte de la Iniciativa Regional para aumentar la confianza y seguridad en la utilización de las TIC</w:t>
      </w:r>
      <w:r w:rsidRPr="001D431E">
        <w:rPr>
          <w:rFonts w:eastAsia="Calibri" w:cstheme="minorHAnsi"/>
          <w:lang w:val="es-ES"/>
        </w:rPr>
        <w:t>.</w:t>
      </w:r>
    </w:p>
    <w:p w14:paraId="54DE78B6" w14:textId="77777777" w:rsidR="00C1021F" w:rsidRPr="001D431E" w:rsidRDefault="00C1021F" w:rsidP="00C1021F">
      <w:pPr>
        <w:rPr>
          <w:rFonts w:cstheme="minorHAnsi"/>
          <w:szCs w:val="24"/>
          <w:lang w:val="es-ES"/>
        </w:rPr>
      </w:pPr>
      <w:r w:rsidRPr="001D431E">
        <w:rPr>
          <w:rFonts w:cstheme="minorHAnsi"/>
          <w:szCs w:val="24"/>
          <w:lang w:val="es-ES"/>
        </w:rPr>
        <w:t xml:space="preserve">El </w:t>
      </w:r>
      <w:hyperlink r:id="rId16" w:history="1">
        <w:r w:rsidRPr="001D431E">
          <w:rPr>
            <w:rStyle w:val="Hyperlink"/>
            <w:rFonts w:cstheme="minorHAnsi"/>
            <w:szCs w:val="24"/>
            <w:lang w:val="es-ES"/>
          </w:rPr>
          <w:t>Grupo de Trabajo del Consejo</w:t>
        </w:r>
      </w:hyperlink>
      <w:r w:rsidRPr="001D431E">
        <w:rPr>
          <w:rFonts w:cstheme="minorHAnsi"/>
          <w:szCs w:val="24"/>
          <w:lang w:val="es-ES"/>
        </w:rPr>
        <w:t xml:space="preserve"> sobre la PIeL se reúne dos veces al año. Este Grupo ofrece a todos los grupos interesados, desde gobiernos y organizaciones internacionales e intergubernamentales al sector privado, pasando por la sociedad civil, considerar, debatir, examinar y formular acciones y políticas que permitan proteger mejor a los niños en línea.</w:t>
      </w:r>
    </w:p>
    <w:p w14:paraId="75C9BBC6" w14:textId="77777777" w:rsidR="00C1021F" w:rsidRPr="001D431E" w:rsidRDefault="00C1021F" w:rsidP="00C1021F">
      <w:pPr>
        <w:rPr>
          <w:rFonts w:cstheme="minorHAnsi"/>
          <w:lang w:val="es-ES"/>
        </w:rPr>
      </w:pPr>
      <w:r w:rsidRPr="001D431E">
        <w:rPr>
          <w:rFonts w:cstheme="minorHAnsi"/>
          <w:szCs w:val="24"/>
          <w:lang w:val="es-ES"/>
        </w:rPr>
        <w:lastRenderedPageBreak/>
        <w:t xml:space="preserve">Como complemento y refuerzo de los trabajos sobre las Directrices PIeL y el programa de trabajo en curso, la UIT se ocupa también de la Secretaría de la Comisión de la Banda Ancha para el Desarrollo Sostenible. Esta Comisión se creó hace casi 10 años, bajo la égida de las Naciones Unidas, para fomentar el papel de la tecnología como motor del desarrollo global. Sus Grupos de Trabajo especializados se centran en temas urgentes. El Grupo de Trabajo sobre seguridad de la infancia en línea, dirigido por la </w:t>
      </w:r>
      <w:r w:rsidRPr="00680EE0">
        <w:rPr>
          <w:rFonts w:cstheme="minorHAnsi"/>
          <w:i/>
          <w:iCs/>
          <w:szCs w:val="24"/>
          <w:lang w:val="es-ES"/>
        </w:rPr>
        <w:t>World Childhood Foundation</w:t>
      </w:r>
      <w:r w:rsidRPr="001D431E">
        <w:rPr>
          <w:rFonts w:cstheme="minorHAnsi"/>
          <w:szCs w:val="24"/>
          <w:lang w:val="es-ES"/>
        </w:rPr>
        <w:t xml:space="preserve"> y Zain, publicó su </w:t>
      </w:r>
      <w:hyperlink r:id="rId17" w:history="1">
        <w:r w:rsidRPr="001D431E">
          <w:rPr>
            <w:rStyle w:val="Hyperlink"/>
            <w:rFonts w:cstheme="minorHAnsi"/>
            <w:szCs w:val="24"/>
            <w:lang w:val="es-ES"/>
          </w:rPr>
          <w:t>informe</w:t>
        </w:r>
      </w:hyperlink>
      <w:r w:rsidRPr="001D431E">
        <w:rPr>
          <w:rFonts w:cstheme="minorHAnsi"/>
          <w:szCs w:val="24"/>
          <w:lang w:val="es-ES"/>
        </w:rPr>
        <w:t xml:space="preserve"> completo en Nueva York en octubre de</w:t>
      </w:r>
      <w:r w:rsidRPr="001D431E">
        <w:rPr>
          <w:rFonts w:cstheme="minorHAnsi"/>
          <w:lang w:val="es-ES"/>
        </w:rPr>
        <w:t xml:space="preserve"> 2019. Las Directrices PIeL sirvieron de referencia y se toman como base para la implementación de las recomendaciones del Informe.</w:t>
      </w:r>
    </w:p>
    <w:p w14:paraId="57359D14" w14:textId="62ACD19A" w:rsidR="00C1021F" w:rsidRPr="009E0EC1" w:rsidRDefault="00C1021F" w:rsidP="004147EB">
      <w:pPr>
        <w:pStyle w:val="Heading2"/>
        <w:rPr>
          <w:lang w:val="es-ES"/>
        </w:rPr>
      </w:pPr>
      <w:r w:rsidRPr="009E0EC1">
        <w:rPr>
          <w:lang w:val="es-ES"/>
        </w:rPr>
        <w:t>2.3</w:t>
      </w:r>
      <w:r w:rsidRPr="009E0EC1">
        <w:rPr>
          <w:lang w:val="es-ES"/>
        </w:rPr>
        <w:tab/>
        <w:t>Intervención en caso de incidente</w:t>
      </w:r>
    </w:p>
    <w:p w14:paraId="43C6EF2C" w14:textId="1AF1FF0D" w:rsidR="00200B71" w:rsidRPr="001D431E" w:rsidRDefault="00200B71" w:rsidP="0080599E">
      <w:pPr>
        <w:pStyle w:val="enumlev1"/>
        <w:rPr>
          <w:lang w:val="es-ES"/>
        </w:rPr>
      </w:pPr>
      <w:r w:rsidRPr="001D431E">
        <w:rPr>
          <w:bCs/>
          <w:lang w:val="es-ES"/>
        </w:rPr>
        <w:t>–</w:t>
      </w:r>
      <w:r w:rsidRPr="001D431E">
        <w:rPr>
          <w:bCs/>
          <w:lang w:val="es-ES"/>
        </w:rPr>
        <w:tab/>
      </w:r>
      <w:r w:rsidR="00C1021F" w:rsidRPr="001D431E">
        <w:rPr>
          <w:bCs/>
          <w:lang w:val="es-ES"/>
        </w:rPr>
        <w:t xml:space="preserve">Se iniciaron cuatro proyectos EIII cuya implementación sigue en curso en </w:t>
      </w:r>
      <w:r w:rsidR="00C1021F" w:rsidRPr="001D431E">
        <w:rPr>
          <w:lang w:val="es-ES"/>
        </w:rPr>
        <w:t>Botswana, Burundi, Gambia y Malawi. En Kenya está en curso la mejora del EIII existente (que se completará en 2020).</w:t>
      </w:r>
    </w:p>
    <w:p w14:paraId="417526E9" w14:textId="533AC292" w:rsidR="00200B71" w:rsidRPr="001D431E" w:rsidRDefault="00200B71" w:rsidP="0080599E">
      <w:pPr>
        <w:pStyle w:val="enumlev1"/>
        <w:rPr>
          <w:lang w:val="es-ES"/>
        </w:rPr>
      </w:pPr>
      <w:r w:rsidRPr="001D431E">
        <w:rPr>
          <w:bCs/>
          <w:lang w:val="es-ES"/>
        </w:rPr>
        <w:t>–</w:t>
      </w:r>
      <w:r w:rsidRPr="001D431E">
        <w:rPr>
          <w:bCs/>
          <w:lang w:val="es-ES"/>
        </w:rPr>
        <w:tab/>
      </w:r>
      <w:r w:rsidR="00C1021F" w:rsidRPr="001D431E">
        <w:rPr>
          <w:lang w:val="es-ES"/>
        </w:rPr>
        <w:t xml:space="preserve">A través del proyecto </w:t>
      </w:r>
      <w:r w:rsidR="00C1021F" w:rsidRPr="001D431E">
        <w:rPr>
          <w:i/>
          <w:iCs/>
          <w:lang w:val="es-ES"/>
        </w:rPr>
        <w:t xml:space="preserve">Implementación de servicios EIII y capacidades </w:t>
      </w:r>
      <w:r w:rsidR="001D431E" w:rsidRPr="001D431E">
        <w:rPr>
          <w:i/>
          <w:iCs/>
          <w:lang w:val="es-ES"/>
        </w:rPr>
        <w:t xml:space="preserve">conexas </w:t>
      </w:r>
      <w:r w:rsidR="001D431E" w:rsidRPr="001D431E">
        <w:rPr>
          <w:lang w:val="es-ES"/>
        </w:rPr>
        <w:t>se</w:t>
      </w:r>
      <w:r w:rsidR="00C1021F" w:rsidRPr="001D431E">
        <w:rPr>
          <w:lang w:val="es-ES"/>
        </w:rPr>
        <w:t xml:space="preserve"> está prestando asistencia al Estado de Palestina para crear y desplegar las capacidades técnicas para el funcionamiento del EIII, así como las formaciones correspondientes.</w:t>
      </w:r>
    </w:p>
    <w:p w14:paraId="2478626E" w14:textId="466295A1" w:rsidR="00C1021F" w:rsidRPr="001D431E" w:rsidRDefault="00200B71" w:rsidP="0080599E">
      <w:pPr>
        <w:pStyle w:val="enumlev1"/>
        <w:rPr>
          <w:lang w:val="es-ES"/>
        </w:rPr>
      </w:pPr>
      <w:r w:rsidRPr="001D431E">
        <w:rPr>
          <w:bCs/>
          <w:lang w:val="es-ES"/>
        </w:rPr>
        <w:t>–</w:t>
      </w:r>
      <w:r w:rsidRPr="001D431E">
        <w:rPr>
          <w:bCs/>
          <w:lang w:val="es-ES"/>
        </w:rPr>
        <w:tab/>
      </w:r>
      <w:r w:rsidR="00C1021F" w:rsidRPr="001D431E">
        <w:rPr>
          <w:rFonts w:eastAsia="Calibri"/>
          <w:lang w:val="es-ES"/>
        </w:rPr>
        <w:t xml:space="preserve">Kiribati y las Islas Salomón recibieron asistencia para la definición de sus estrategias nacionales de ciberseguridad. Se impartió capacitación en materia de EIII a Papúa Nueva Guinea y Vanuatu en el marco del proyecto </w:t>
      </w:r>
      <w:hyperlink r:id="rId18" w:history="1">
        <w:r w:rsidR="00C1021F" w:rsidRPr="001D431E">
          <w:rPr>
            <w:rStyle w:val="Hyperlink"/>
            <w:rFonts w:eastAsia="Calibri" w:cstheme="minorHAnsi"/>
            <w:lang w:val="es-ES"/>
          </w:rPr>
          <w:t>UIT-</w:t>
        </w:r>
        <w:proofErr w:type="spellStart"/>
        <w:r w:rsidR="00C1021F" w:rsidRPr="001D431E">
          <w:rPr>
            <w:rStyle w:val="Hyperlink"/>
            <w:rFonts w:eastAsia="Calibri" w:cstheme="minorHAnsi"/>
            <w:lang w:val="es-ES"/>
          </w:rPr>
          <w:t>DoCA</w:t>
        </w:r>
        <w:proofErr w:type="spellEnd"/>
      </w:hyperlink>
      <w:r w:rsidR="00C1021F" w:rsidRPr="001D431E">
        <w:rPr>
          <w:rFonts w:eastAsia="Calibri"/>
          <w:lang w:val="es-ES"/>
        </w:rPr>
        <w:t>.</w:t>
      </w:r>
    </w:p>
    <w:p w14:paraId="3964D354" w14:textId="5576603A" w:rsidR="00C1021F" w:rsidRPr="009E0EC1" w:rsidRDefault="00C1021F" w:rsidP="004147EB">
      <w:pPr>
        <w:pStyle w:val="Heading2"/>
        <w:rPr>
          <w:lang w:val="es-ES"/>
        </w:rPr>
      </w:pPr>
      <w:r w:rsidRPr="009E0EC1">
        <w:rPr>
          <w:lang w:val="es-ES"/>
        </w:rPr>
        <w:t>2.4</w:t>
      </w:r>
      <w:r w:rsidRPr="009E0EC1">
        <w:rPr>
          <w:lang w:val="es-ES"/>
        </w:rPr>
        <w:tab/>
        <w:t>Capacitación</w:t>
      </w:r>
    </w:p>
    <w:p w14:paraId="4F7A7C73" w14:textId="77777777" w:rsidR="00200B71" w:rsidRPr="001D431E" w:rsidRDefault="00200B71" w:rsidP="0080599E">
      <w:pPr>
        <w:pStyle w:val="enumlev1"/>
        <w:rPr>
          <w:rFonts w:eastAsia="Calibri"/>
          <w:lang w:val="es-ES"/>
        </w:rPr>
      </w:pPr>
      <w:r w:rsidRPr="001D431E">
        <w:rPr>
          <w:bCs/>
          <w:szCs w:val="24"/>
          <w:lang w:val="es-ES"/>
        </w:rPr>
        <w:t>–</w:t>
      </w:r>
      <w:r w:rsidRPr="001D431E">
        <w:rPr>
          <w:bCs/>
          <w:szCs w:val="24"/>
          <w:lang w:val="es-ES"/>
        </w:rPr>
        <w:tab/>
      </w:r>
      <w:r w:rsidR="00C1021F" w:rsidRPr="001D431E">
        <w:rPr>
          <w:rFonts w:eastAsia="Calibri"/>
          <w:lang w:val="es-ES"/>
        </w:rPr>
        <w:t>Se llevó a cabo un cibersimulacro interregional (CEI y Asia-Pacífico) en Malasia.</w:t>
      </w:r>
    </w:p>
    <w:p w14:paraId="10803014" w14:textId="77777777" w:rsidR="00200B71" w:rsidRPr="001D431E" w:rsidRDefault="00200B71" w:rsidP="0080599E">
      <w:pPr>
        <w:pStyle w:val="enumlev1"/>
        <w:rPr>
          <w:szCs w:val="24"/>
          <w:lang w:val="es-ES"/>
        </w:rPr>
      </w:pPr>
      <w:r w:rsidRPr="001D431E">
        <w:rPr>
          <w:bCs/>
          <w:szCs w:val="24"/>
          <w:lang w:val="es-ES"/>
        </w:rPr>
        <w:t>–</w:t>
      </w:r>
      <w:r w:rsidRPr="001D431E">
        <w:rPr>
          <w:bCs/>
          <w:szCs w:val="24"/>
          <w:lang w:val="es-ES"/>
        </w:rPr>
        <w:tab/>
      </w:r>
      <w:r w:rsidR="00C1021F" w:rsidRPr="001D431E">
        <w:rPr>
          <w:szCs w:val="24"/>
          <w:lang w:val="es-ES"/>
        </w:rPr>
        <w:t>Se llevó a cabo un cibersimulacro en la región de África, organizado en Uganda.</w:t>
      </w:r>
    </w:p>
    <w:p w14:paraId="764E4299" w14:textId="39567866" w:rsidR="00200B71" w:rsidRPr="001D431E" w:rsidRDefault="00200B71" w:rsidP="0080599E">
      <w:pPr>
        <w:pStyle w:val="enumlev1"/>
        <w:rPr>
          <w:rFonts w:eastAsia="Calibri"/>
          <w:lang w:val="es-ES"/>
        </w:rPr>
      </w:pPr>
      <w:r w:rsidRPr="001D431E">
        <w:rPr>
          <w:bCs/>
          <w:szCs w:val="24"/>
          <w:lang w:val="es-ES"/>
        </w:rPr>
        <w:t>–</w:t>
      </w:r>
      <w:r w:rsidRPr="001D431E">
        <w:rPr>
          <w:bCs/>
          <w:szCs w:val="24"/>
          <w:lang w:val="es-ES"/>
        </w:rPr>
        <w:tab/>
      </w:r>
      <w:r w:rsidR="00C1021F" w:rsidRPr="001D431E">
        <w:rPr>
          <w:lang w:val="es-ES"/>
        </w:rPr>
        <w:t>Se llevó a cabo un cibersimulacro en la región de los Estados Árabes, organizado en Omán, para garantizar la continuidad de los esfuerzos colectivos para contrarrestar las ciberamenazas entre los equipos de intervención en caso de incidente informático nacionales.</w:t>
      </w:r>
    </w:p>
    <w:p w14:paraId="07EB6B80" w14:textId="77777777" w:rsidR="00200B71" w:rsidRPr="001D431E" w:rsidRDefault="00200B71" w:rsidP="0080599E">
      <w:pPr>
        <w:pStyle w:val="enumlev1"/>
        <w:rPr>
          <w:rFonts w:eastAsia="Calibri"/>
          <w:lang w:val="es-ES"/>
        </w:rPr>
      </w:pPr>
      <w:r w:rsidRPr="001D431E">
        <w:rPr>
          <w:bCs/>
          <w:szCs w:val="24"/>
          <w:lang w:val="es-ES"/>
        </w:rPr>
        <w:t>–</w:t>
      </w:r>
      <w:r w:rsidRPr="001D431E">
        <w:rPr>
          <w:bCs/>
          <w:szCs w:val="24"/>
          <w:lang w:val="es-ES"/>
        </w:rPr>
        <w:tab/>
      </w:r>
      <w:r w:rsidR="00C1021F" w:rsidRPr="001D431E">
        <w:rPr>
          <w:rFonts w:eastAsia="Calibri"/>
          <w:lang w:val="es-ES"/>
        </w:rPr>
        <w:t>Se organizó en Rumania un cibersimulacro para la región de Europa en el marco de la presidencia de la UE de Rumania en 2019.</w:t>
      </w:r>
    </w:p>
    <w:p w14:paraId="20B99B3C" w14:textId="5E457A44" w:rsidR="00C1021F" w:rsidRPr="001D431E" w:rsidRDefault="00200B71" w:rsidP="0080599E">
      <w:pPr>
        <w:pStyle w:val="enumlev1"/>
        <w:rPr>
          <w:rFonts w:eastAsia="Calibri"/>
          <w:lang w:val="es-ES"/>
        </w:rPr>
      </w:pPr>
      <w:r w:rsidRPr="001D431E">
        <w:rPr>
          <w:bCs/>
          <w:szCs w:val="24"/>
          <w:lang w:val="es-ES"/>
        </w:rPr>
        <w:t>–</w:t>
      </w:r>
      <w:r w:rsidRPr="001D431E">
        <w:rPr>
          <w:bCs/>
          <w:szCs w:val="24"/>
          <w:lang w:val="es-ES"/>
        </w:rPr>
        <w:tab/>
      </w:r>
      <w:r w:rsidR="00C1021F" w:rsidRPr="001D431E">
        <w:rPr>
          <w:lang w:val="es-ES"/>
        </w:rPr>
        <w:t>Por invitación de la Presidencia del G20, la UIT ejerció de socio experto en seguridad en la economía digital, una de las prioridades del Grupo Especial sobre Economía Digital de</w:t>
      </w:r>
      <w:r w:rsidR="00F52BA4">
        <w:rPr>
          <w:lang w:val="es-ES"/>
        </w:rPr>
        <w:t>l </w:t>
      </w:r>
      <w:r w:rsidR="00C1021F" w:rsidRPr="001D431E">
        <w:rPr>
          <w:lang w:val="es-ES"/>
        </w:rPr>
        <w:t>G20.</w:t>
      </w:r>
    </w:p>
    <w:p w14:paraId="0B8518C7" w14:textId="77777777" w:rsidR="00C1021F" w:rsidRPr="009E0EC1" w:rsidRDefault="00C1021F" w:rsidP="004147EB">
      <w:pPr>
        <w:pStyle w:val="Heading2"/>
        <w:rPr>
          <w:lang w:val="es-ES"/>
        </w:rPr>
      </w:pPr>
      <w:r w:rsidRPr="009E0EC1">
        <w:rPr>
          <w:lang w:val="es-ES"/>
        </w:rPr>
        <w:t>2.5</w:t>
      </w:r>
      <w:r w:rsidRPr="009E0EC1">
        <w:rPr>
          <w:lang w:val="es-ES"/>
        </w:rPr>
        <w:tab/>
        <w:t>Estrategias nacionales de ciberseguridad</w:t>
      </w:r>
    </w:p>
    <w:p w14:paraId="35111F4E" w14:textId="77777777" w:rsidR="00200B71" w:rsidRPr="001D431E" w:rsidRDefault="00C1021F" w:rsidP="00200B71">
      <w:pPr>
        <w:rPr>
          <w:rFonts w:cstheme="minorHAnsi"/>
          <w:bCs/>
          <w:lang w:val="es-ES"/>
        </w:rPr>
      </w:pPr>
      <w:r w:rsidRPr="001D431E">
        <w:rPr>
          <w:rFonts w:eastAsia="Calibri" w:cstheme="minorHAnsi"/>
          <w:lang w:val="es-ES"/>
        </w:rPr>
        <w:t xml:space="preserve">La </w:t>
      </w:r>
      <w:hyperlink r:id="rId19" w:history="1">
        <w:r w:rsidRPr="001D431E">
          <w:rPr>
            <w:rStyle w:val="Hyperlink"/>
            <w:rFonts w:cstheme="minorHAnsi"/>
            <w:bCs/>
            <w:lang w:val="es-ES"/>
          </w:rPr>
          <w:t>Guía de la UIT</w:t>
        </w:r>
      </w:hyperlink>
      <w:r w:rsidRPr="001D431E">
        <w:rPr>
          <w:rFonts w:cstheme="minorHAnsi"/>
          <w:bCs/>
          <w:lang w:val="es-ES"/>
        </w:rPr>
        <w:t xml:space="preserve"> sobre estrategias nacionales de ciberseguridad es una guía de prácticas idóneas que utilizan países de todas las regiones. Concretamente:</w:t>
      </w:r>
    </w:p>
    <w:p w14:paraId="00A0B416" w14:textId="6CEAB98B" w:rsidR="00C1021F" w:rsidRPr="001D431E" w:rsidRDefault="00200B71" w:rsidP="0080599E">
      <w:pPr>
        <w:pStyle w:val="enumlev1"/>
        <w:rPr>
          <w:bCs/>
          <w:lang w:val="es-ES"/>
        </w:rPr>
      </w:pPr>
      <w:r w:rsidRPr="001D431E">
        <w:rPr>
          <w:bCs/>
          <w:szCs w:val="24"/>
          <w:lang w:val="es-ES"/>
        </w:rPr>
        <w:t>–</w:t>
      </w:r>
      <w:r w:rsidRPr="001D431E">
        <w:rPr>
          <w:bCs/>
          <w:szCs w:val="24"/>
          <w:lang w:val="es-ES"/>
        </w:rPr>
        <w:tab/>
      </w:r>
      <w:r w:rsidR="00C1021F" w:rsidRPr="001D431E">
        <w:rPr>
          <w:rFonts w:eastAsia="Calibri"/>
          <w:lang w:val="es-ES"/>
        </w:rPr>
        <w:t xml:space="preserve">El Ministerio de Informática y la Agencia de Ciberseguridad de Indonesia acogieron un taller regional en Yakarta dedicado a las estrategias de ciberseguridad. El último día los participantes </w:t>
      </w:r>
      <w:r w:rsidR="00C1021F" w:rsidRPr="001D431E">
        <w:rPr>
          <w:lang w:val="es-ES"/>
        </w:rPr>
        <w:t>abordaron</w:t>
      </w:r>
      <w:r w:rsidR="00C1021F" w:rsidRPr="001D431E">
        <w:rPr>
          <w:rFonts w:eastAsia="Calibri"/>
          <w:lang w:val="es-ES"/>
        </w:rPr>
        <w:t xml:space="preserve"> la reglamentación general de protección de datos. </w:t>
      </w:r>
    </w:p>
    <w:p w14:paraId="30295F46" w14:textId="6A567A2D" w:rsidR="00C1021F" w:rsidRPr="001D431E" w:rsidRDefault="00200B71" w:rsidP="0080599E">
      <w:pPr>
        <w:pStyle w:val="enumlev1"/>
        <w:rPr>
          <w:rFonts w:eastAsia="Calibri"/>
          <w:lang w:val="es-ES"/>
        </w:rPr>
      </w:pPr>
      <w:r w:rsidRPr="001D431E">
        <w:rPr>
          <w:bCs/>
          <w:szCs w:val="24"/>
          <w:lang w:val="es-ES"/>
        </w:rPr>
        <w:t>–</w:t>
      </w:r>
      <w:r w:rsidRPr="001D431E">
        <w:rPr>
          <w:bCs/>
          <w:szCs w:val="24"/>
          <w:lang w:val="es-ES"/>
        </w:rPr>
        <w:tab/>
      </w:r>
      <w:r w:rsidR="00C1021F" w:rsidRPr="001D431E">
        <w:rPr>
          <w:lang w:val="es-ES"/>
        </w:rPr>
        <w:t>En Macedonia se dedicó un taller regional a la mejora de las estrategias nacionales en cinco países</w:t>
      </w:r>
      <w:r w:rsidR="00C1021F" w:rsidRPr="001D431E">
        <w:rPr>
          <w:rFonts w:eastAsia="Calibri"/>
          <w:lang w:val="es-ES"/>
        </w:rPr>
        <w:t xml:space="preserve"> de los Balcanes.</w:t>
      </w:r>
    </w:p>
    <w:p w14:paraId="3E38CB82" w14:textId="0CF2CD27" w:rsidR="00C1021F" w:rsidRPr="001D431E" w:rsidRDefault="00200B71" w:rsidP="0080599E">
      <w:pPr>
        <w:pStyle w:val="enumlev1"/>
        <w:rPr>
          <w:rFonts w:eastAsia="Calibri"/>
          <w:lang w:val="es-ES"/>
        </w:rPr>
      </w:pPr>
      <w:r w:rsidRPr="001D431E">
        <w:rPr>
          <w:bCs/>
          <w:szCs w:val="24"/>
          <w:lang w:val="es-ES"/>
        </w:rPr>
        <w:t>–</w:t>
      </w:r>
      <w:r w:rsidRPr="001D431E">
        <w:rPr>
          <w:bCs/>
          <w:szCs w:val="24"/>
          <w:lang w:val="es-ES"/>
        </w:rPr>
        <w:tab/>
      </w:r>
      <w:r w:rsidR="00C1021F" w:rsidRPr="001D431E">
        <w:rPr>
          <w:rFonts w:eastAsia="Calibri"/>
          <w:lang w:val="es-ES"/>
        </w:rPr>
        <w:t xml:space="preserve">Túnez acogió un taller regional dedicado a la mejora de las estrategias nacionales de los países de </w:t>
      </w:r>
      <w:r w:rsidR="00C1021F" w:rsidRPr="001D431E">
        <w:rPr>
          <w:lang w:val="es-ES"/>
        </w:rPr>
        <w:t>África</w:t>
      </w:r>
      <w:r w:rsidR="00C1021F" w:rsidRPr="001D431E">
        <w:rPr>
          <w:rFonts w:eastAsia="Calibri"/>
          <w:lang w:val="es-ES"/>
        </w:rPr>
        <w:t xml:space="preserve"> y los Estados Árabes en el que participaron activamente 20 países (el 32%</w:t>
      </w:r>
      <w:r w:rsidR="00680EE0">
        <w:rPr>
          <w:rFonts w:eastAsia="Calibri"/>
          <w:lang w:val="es-ES"/>
        </w:rPr>
        <w:t> </w:t>
      </w:r>
      <w:r w:rsidR="00C1021F" w:rsidRPr="001D431E">
        <w:rPr>
          <w:rFonts w:eastAsia="Calibri"/>
          <w:lang w:val="es-ES"/>
        </w:rPr>
        <w:t>de los asistentes fueron mujeres).</w:t>
      </w:r>
    </w:p>
    <w:p w14:paraId="23E41FB8" w14:textId="3410ECDE" w:rsidR="00C1021F" w:rsidRDefault="00F52BA4" w:rsidP="0091715A">
      <w:pPr>
        <w:pStyle w:val="enumlev1"/>
        <w:spacing w:after="120"/>
        <w:rPr>
          <w:lang w:val="es-ES"/>
        </w:rPr>
      </w:pPr>
      <w:r w:rsidRPr="00F52BA4">
        <w:rPr>
          <w:bCs/>
          <w:szCs w:val="24"/>
          <w:lang w:val="es-ES"/>
        </w:rPr>
        <w:lastRenderedPageBreak/>
        <w:t>–</w:t>
      </w:r>
      <w:r w:rsidR="00200B71" w:rsidRPr="001D431E">
        <w:rPr>
          <w:bCs/>
          <w:szCs w:val="24"/>
          <w:lang w:val="es-ES"/>
        </w:rPr>
        <w:tab/>
      </w:r>
      <w:r w:rsidR="00C1021F" w:rsidRPr="001D431E">
        <w:rPr>
          <w:bCs/>
          <w:lang w:val="es-ES"/>
        </w:rPr>
        <w:t xml:space="preserve">Tres países recibieron asistencia directa para la definición y revisión de sus estrategias </w:t>
      </w:r>
      <w:r w:rsidR="00C1021F" w:rsidRPr="001D431E">
        <w:rPr>
          <w:lang w:val="es-ES"/>
        </w:rPr>
        <w:t>nacionales</w:t>
      </w:r>
      <w:r w:rsidR="00C1021F" w:rsidRPr="001D431E">
        <w:rPr>
          <w:bCs/>
          <w:lang w:val="es-ES"/>
        </w:rPr>
        <w:t xml:space="preserve"> de ciberseguridad utilizando la Guía</w:t>
      </w:r>
      <w:r w:rsidR="00C1021F" w:rsidRPr="001D431E">
        <w:rPr>
          <w:lang w:val="es-ES"/>
        </w:rPr>
        <w:t>.</w:t>
      </w:r>
    </w:p>
    <w:tbl>
      <w:tblPr>
        <w:tblStyle w:val="TableGrid"/>
        <w:tblW w:w="0" w:type="auto"/>
        <w:tblLook w:val="04A0" w:firstRow="1" w:lastRow="0" w:firstColumn="1" w:lastColumn="0" w:noHBand="0" w:noVBand="1"/>
      </w:tblPr>
      <w:tblGrid>
        <w:gridCol w:w="9628"/>
      </w:tblGrid>
      <w:tr w:rsidR="00C1021F" w:rsidRPr="00BD1F0A" w14:paraId="08D18DDE" w14:textId="77777777" w:rsidTr="00F52BA4">
        <w:tc>
          <w:tcPr>
            <w:tcW w:w="9628" w:type="dxa"/>
            <w:shd w:val="clear" w:color="auto" w:fill="FFFFFF" w:themeFill="background1"/>
          </w:tcPr>
          <w:p w14:paraId="302E9D28" w14:textId="77777777" w:rsidR="00C1021F" w:rsidRPr="0091715A" w:rsidRDefault="00C1021F" w:rsidP="0091715A">
            <w:pPr>
              <w:pStyle w:val="Headingb"/>
              <w:rPr>
                <w:rFonts w:ascii="Calibri" w:hAnsi="Calibri"/>
                <w:lang w:val="es-ES"/>
              </w:rPr>
            </w:pPr>
            <w:r w:rsidRPr="0091715A">
              <w:rPr>
                <w:rFonts w:ascii="Calibri" w:hAnsi="Calibri"/>
                <w:lang w:val="es-ES"/>
              </w:rPr>
              <w:t>INICIATIVAS REGIONALES</w:t>
            </w:r>
          </w:p>
          <w:p w14:paraId="074FD46A" w14:textId="77777777" w:rsidR="00C1021F" w:rsidRPr="001D431E" w:rsidRDefault="00C1021F" w:rsidP="0091715A">
            <w:pPr>
              <w:widowControl w:val="0"/>
              <w:rPr>
                <w:rFonts w:asciiTheme="minorHAnsi" w:eastAsia="Calibri" w:hAnsiTheme="minorHAnsi" w:cstheme="minorHAnsi"/>
                <w:lang w:val="es-ES"/>
              </w:rPr>
            </w:pPr>
            <w:r w:rsidRPr="001D431E">
              <w:rPr>
                <w:rFonts w:asciiTheme="minorHAnsi" w:eastAsia="Calibri" w:hAnsiTheme="minorHAnsi" w:cstheme="minorHAnsi"/>
                <w:lang w:val="es-ES"/>
              </w:rPr>
              <w:t xml:space="preserve">África: </w:t>
            </w:r>
            <w:r w:rsidRPr="001D431E">
              <w:rPr>
                <w:rFonts w:asciiTheme="minorHAnsi" w:eastAsia="Calibri" w:hAnsiTheme="minorHAnsi" w:cstheme="minorHAnsi"/>
                <w:u w:val="single"/>
                <w:lang w:val="es-ES"/>
              </w:rPr>
              <w:t>Creación de confianza y seguridad en la utilización de las telecomunicaciones/tecnologías de la información y la comunicación</w:t>
            </w:r>
          </w:p>
          <w:p w14:paraId="1C948D10" w14:textId="6046F3A1" w:rsidR="00C1021F" w:rsidRPr="0080599E" w:rsidRDefault="0080599E" w:rsidP="0091715A">
            <w:pPr>
              <w:pStyle w:val="enumlev1"/>
              <w:widowControl w:val="0"/>
              <w:rPr>
                <w:rFonts w:asciiTheme="minorHAnsi" w:hAnsiTheme="minorHAnsi" w:cstheme="minorHAnsi"/>
                <w:bCs/>
                <w:lang w:val="es-ES"/>
              </w:rPr>
            </w:pPr>
            <w:r w:rsidRPr="001D431E">
              <w:rPr>
                <w:rFonts w:cstheme="minorHAnsi"/>
                <w:lang w:val="es-ES"/>
              </w:rPr>
              <w:t>•</w:t>
            </w:r>
            <w:r w:rsidRPr="001D431E">
              <w:rPr>
                <w:rFonts w:asciiTheme="minorHAnsi" w:hAnsiTheme="minorHAnsi" w:cstheme="minorHAnsi"/>
                <w:lang w:val="es-ES"/>
              </w:rPr>
              <w:tab/>
            </w:r>
            <w:r w:rsidR="00C1021F" w:rsidRPr="0080599E">
              <w:rPr>
                <w:rFonts w:asciiTheme="minorHAnsi" w:hAnsiTheme="minorHAnsi" w:cstheme="minorHAnsi"/>
                <w:shd w:val="clear" w:color="auto" w:fill="FFFFFF"/>
                <w:lang w:val="es-ES"/>
              </w:rPr>
              <w:t xml:space="preserve">Se celebraron en Chad y Liberia talleres de evaluación de la operatividad de los Equipos de </w:t>
            </w:r>
            <w:r w:rsidR="00C1021F" w:rsidRPr="0080599E">
              <w:rPr>
                <w:rFonts w:asciiTheme="minorHAnsi" w:hAnsiTheme="minorHAnsi" w:cstheme="minorHAnsi"/>
                <w:bCs/>
                <w:lang w:val="es-ES"/>
              </w:rPr>
              <w:t xml:space="preserve">respuesta en caso de incidente informático (EIII). </w:t>
            </w:r>
          </w:p>
          <w:p w14:paraId="09F45088" w14:textId="3F7FEE7C" w:rsidR="00C1021F" w:rsidRPr="0080599E" w:rsidRDefault="0080599E" w:rsidP="0091715A">
            <w:pPr>
              <w:pStyle w:val="enumlev1"/>
              <w:widowControl w:val="0"/>
              <w:rPr>
                <w:rFonts w:asciiTheme="minorHAnsi" w:hAnsiTheme="minorHAnsi" w:cstheme="minorHAnsi"/>
                <w:lang w:val="es-ES"/>
              </w:rPr>
            </w:pPr>
            <w:r w:rsidRPr="001D431E">
              <w:rPr>
                <w:rFonts w:cstheme="minorHAnsi"/>
                <w:lang w:val="es-ES"/>
              </w:rPr>
              <w:t>•</w:t>
            </w:r>
            <w:r w:rsidRPr="001D431E">
              <w:rPr>
                <w:rFonts w:asciiTheme="minorHAnsi" w:hAnsiTheme="minorHAnsi" w:cstheme="minorHAnsi"/>
                <w:lang w:val="es-ES"/>
              </w:rPr>
              <w:tab/>
            </w:r>
            <w:r w:rsidR="00C1021F" w:rsidRPr="0080599E">
              <w:rPr>
                <w:rFonts w:asciiTheme="minorHAnsi" w:hAnsiTheme="minorHAnsi" w:cstheme="minorHAnsi"/>
                <w:lang w:val="es-ES"/>
              </w:rPr>
              <w:t xml:space="preserve">Las partes interesadas del EIII de Gambia recibieron formación en materia del funcionamiento del EIII. </w:t>
            </w:r>
          </w:p>
          <w:p w14:paraId="7CC22597" w14:textId="096D172B" w:rsidR="00C1021F" w:rsidRPr="0080599E" w:rsidRDefault="0080599E" w:rsidP="0091715A">
            <w:pPr>
              <w:pStyle w:val="enumlev1"/>
              <w:widowControl w:val="0"/>
              <w:rPr>
                <w:rFonts w:asciiTheme="minorHAnsi" w:hAnsiTheme="minorHAnsi" w:cstheme="minorHAnsi"/>
                <w:lang w:val="es-ES"/>
              </w:rPr>
            </w:pPr>
            <w:r w:rsidRPr="001D431E">
              <w:rPr>
                <w:rFonts w:cstheme="minorHAnsi"/>
                <w:lang w:val="es-ES"/>
              </w:rPr>
              <w:t>•</w:t>
            </w:r>
            <w:r w:rsidRPr="001D431E">
              <w:rPr>
                <w:rFonts w:asciiTheme="minorHAnsi" w:hAnsiTheme="minorHAnsi" w:cstheme="minorHAnsi"/>
                <w:lang w:val="es-ES"/>
              </w:rPr>
              <w:tab/>
            </w:r>
            <w:r w:rsidR="00C1021F" w:rsidRPr="0080599E">
              <w:rPr>
                <w:rFonts w:asciiTheme="minorHAnsi" w:hAnsiTheme="minorHAnsi" w:cstheme="minorHAnsi"/>
                <w:lang w:val="es-ES"/>
              </w:rPr>
              <w:t xml:space="preserve">En asociación con la consultora sobre riesgos Deloitte, se llevó a cabo un examen del panorama de ciberseguridad para Cote d’Ivoire, incluidas las conclusiones del Índice de Ciberseguridad Global de la UIT. El examen ayudó al país a identificar iniciativas de ciberseguridad prioritarias para mejorar su situación en </w:t>
            </w:r>
            <w:r w:rsidR="00680EE0">
              <w:rPr>
                <w:rFonts w:asciiTheme="minorHAnsi" w:hAnsiTheme="minorHAnsi" w:cstheme="minorHAnsi"/>
                <w:lang w:val="es-ES"/>
              </w:rPr>
              <w:t xml:space="preserve">la </w:t>
            </w:r>
            <w:r w:rsidR="00C1021F" w:rsidRPr="0080599E">
              <w:rPr>
                <w:rFonts w:asciiTheme="minorHAnsi" w:hAnsiTheme="minorHAnsi" w:cstheme="minorHAnsi"/>
                <w:lang w:val="es-ES"/>
              </w:rPr>
              <w:t>materia.</w:t>
            </w:r>
          </w:p>
          <w:p w14:paraId="3F29128C" w14:textId="77777777" w:rsidR="00C1021F" w:rsidRPr="001D431E" w:rsidRDefault="00C1021F" w:rsidP="0091715A">
            <w:pPr>
              <w:widowControl w:val="0"/>
              <w:rPr>
                <w:rFonts w:asciiTheme="minorHAnsi" w:hAnsiTheme="minorHAnsi" w:cstheme="minorHAnsi"/>
                <w:u w:val="single"/>
                <w:lang w:val="es-ES"/>
              </w:rPr>
            </w:pPr>
            <w:r w:rsidRPr="001D431E">
              <w:rPr>
                <w:rFonts w:asciiTheme="minorHAnsi" w:hAnsiTheme="minorHAnsi" w:cstheme="minorHAnsi"/>
                <w:lang w:val="es-ES"/>
              </w:rPr>
              <w:t xml:space="preserve">Estados Árabes: </w:t>
            </w:r>
            <w:r w:rsidRPr="001D431E">
              <w:rPr>
                <w:rFonts w:asciiTheme="minorHAnsi" w:hAnsiTheme="minorHAnsi" w:cstheme="minorHAnsi"/>
                <w:u w:val="single"/>
                <w:lang w:val="es-ES"/>
              </w:rPr>
              <w:t>Confianza y seguridad en la utilización de las telecomunicaciones/TIC</w:t>
            </w:r>
          </w:p>
          <w:p w14:paraId="25B94A52" w14:textId="108897E9" w:rsidR="00C1021F" w:rsidRPr="001D431E" w:rsidRDefault="00200B71" w:rsidP="0091715A">
            <w:pPr>
              <w:pStyle w:val="enumlev1"/>
              <w:widowControl w:val="0"/>
              <w:rPr>
                <w:rFonts w:asciiTheme="minorHAnsi" w:hAnsiTheme="minorHAnsi" w:cstheme="minorHAnsi"/>
                <w:lang w:val="es-ES"/>
              </w:rPr>
            </w:pPr>
            <w:r w:rsidRPr="001D431E">
              <w:rPr>
                <w:rFonts w:cstheme="minorHAnsi"/>
                <w:lang w:val="es-ES"/>
              </w:rPr>
              <w:t>•</w:t>
            </w:r>
            <w:r w:rsidRPr="001D431E">
              <w:rPr>
                <w:rFonts w:asciiTheme="minorHAnsi" w:hAnsiTheme="minorHAnsi" w:cstheme="minorHAnsi"/>
                <w:lang w:val="es-ES"/>
              </w:rPr>
              <w:tab/>
            </w:r>
            <w:r w:rsidR="00C1021F" w:rsidRPr="001D431E">
              <w:rPr>
                <w:rFonts w:asciiTheme="minorHAnsi" w:hAnsiTheme="minorHAnsi" w:cstheme="minorHAnsi"/>
                <w:lang w:val="es-ES"/>
              </w:rPr>
              <w:t xml:space="preserve">Durante la Semana Regional de la Ciberseguridad en la región de los Estados Árabes, el Centro de Ciberseguridad de la Región Árabe de la UIT (CCRA-UIT) promovió la compartición de información y la capacitación en ciberseguridad. Esta Semana ofreció a expertos en TIC y ciberseguridad del sector público de la región la oportunidad de reunirse con las partes interesadas pertinentes y debatir acerca de las amenazas, la evolución, las oportunidades y retos de la ciberseguridad. </w:t>
            </w:r>
          </w:p>
          <w:p w14:paraId="5064EDE0" w14:textId="072D9F74" w:rsidR="00C1021F" w:rsidRPr="001D431E" w:rsidRDefault="00200B71" w:rsidP="0091715A">
            <w:pPr>
              <w:pStyle w:val="enumlev1"/>
              <w:widowControl w:val="0"/>
              <w:rPr>
                <w:rFonts w:asciiTheme="minorHAnsi" w:hAnsiTheme="minorHAnsi" w:cstheme="minorHAnsi"/>
                <w:lang w:val="es-ES"/>
              </w:rPr>
            </w:pPr>
            <w:r w:rsidRPr="001D431E">
              <w:rPr>
                <w:rFonts w:cstheme="minorHAnsi"/>
                <w:lang w:val="es-ES"/>
              </w:rPr>
              <w:t>•</w:t>
            </w:r>
            <w:r w:rsidRPr="001D431E">
              <w:rPr>
                <w:rFonts w:asciiTheme="minorHAnsi" w:hAnsiTheme="minorHAnsi" w:cstheme="minorHAnsi"/>
                <w:lang w:val="es-ES"/>
              </w:rPr>
              <w:tab/>
            </w:r>
            <w:r w:rsidR="00C1021F" w:rsidRPr="001D431E">
              <w:rPr>
                <w:rFonts w:asciiTheme="minorHAnsi" w:hAnsiTheme="minorHAnsi" w:cstheme="minorHAnsi"/>
                <w:lang w:val="es-ES"/>
              </w:rPr>
              <w:t>Se impartió capacitación y se prestó asistencia técnica a Sudán a fin de mejorar su estrategia de protección de las infraestructuras de información esenciales.</w:t>
            </w:r>
          </w:p>
          <w:p w14:paraId="10179643" w14:textId="77777777" w:rsidR="00200B71" w:rsidRPr="001D431E" w:rsidRDefault="00C1021F" w:rsidP="0091715A">
            <w:pPr>
              <w:widowControl w:val="0"/>
              <w:rPr>
                <w:rFonts w:asciiTheme="minorHAnsi" w:eastAsia="Calibri" w:hAnsiTheme="minorHAnsi" w:cstheme="minorHAnsi"/>
                <w:u w:val="single"/>
                <w:lang w:val="es-ES"/>
              </w:rPr>
            </w:pPr>
            <w:r w:rsidRPr="001D431E">
              <w:rPr>
                <w:rFonts w:asciiTheme="minorHAnsi" w:eastAsia="Calibri" w:hAnsiTheme="minorHAnsi" w:cstheme="minorHAnsi"/>
                <w:lang w:val="es-ES"/>
              </w:rPr>
              <w:t xml:space="preserve">Europa: </w:t>
            </w:r>
            <w:r w:rsidRPr="001D431E">
              <w:rPr>
                <w:rFonts w:asciiTheme="minorHAnsi" w:eastAsia="Calibri" w:hAnsiTheme="minorHAnsi" w:cstheme="minorHAnsi"/>
                <w:u w:val="single"/>
                <w:lang w:val="es-ES"/>
              </w:rPr>
              <w:t>Aumento de la confianza y fiabilidad en la utilización de las TIC</w:t>
            </w:r>
          </w:p>
          <w:p w14:paraId="553BB5F1" w14:textId="48B1333E" w:rsidR="00C1021F" w:rsidRPr="001D431E" w:rsidRDefault="00200B71" w:rsidP="0091715A">
            <w:pPr>
              <w:pStyle w:val="enumlev1"/>
              <w:keepNext/>
              <w:keepLines/>
              <w:widowControl w:val="0"/>
              <w:rPr>
                <w:rFonts w:asciiTheme="minorHAnsi" w:eastAsia="Calibri" w:hAnsiTheme="minorHAnsi" w:cstheme="minorHAnsi"/>
                <w:u w:val="single"/>
                <w:lang w:val="es-ES"/>
              </w:rPr>
            </w:pPr>
            <w:r w:rsidRPr="001D431E">
              <w:rPr>
                <w:rFonts w:eastAsia="Calibri" w:cstheme="minorHAnsi"/>
                <w:lang w:val="es-ES"/>
              </w:rPr>
              <w:t>•</w:t>
            </w:r>
            <w:r w:rsidRPr="001D431E">
              <w:rPr>
                <w:rFonts w:asciiTheme="minorHAnsi" w:eastAsia="Calibri" w:hAnsiTheme="minorHAnsi" w:cstheme="minorHAnsi"/>
                <w:lang w:val="es-ES"/>
              </w:rPr>
              <w:tab/>
            </w:r>
            <w:r w:rsidR="00C1021F" w:rsidRPr="001D431E">
              <w:rPr>
                <w:rFonts w:asciiTheme="minorHAnsi" w:eastAsia="Calibri" w:hAnsiTheme="minorHAnsi" w:cstheme="minorHAnsi"/>
                <w:lang w:val="es-ES"/>
              </w:rPr>
              <w:t xml:space="preserve">Se celebró en Chisinau, Moldova, la Semana de la Ciberseguridad de Moldova con el apoyo de la UIT. Esta conferencia ofreció oportunidades de creación de redes de contactos y una plataforma </w:t>
            </w:r>
            <w:r w:rsidR="00C1021F" w:rsidRPr="001D431E">
              <w:rPr>
                <w:rFonts w:asciiTheme="minorHAnsi" w:hAnsiTheme="minorHAnsi" w:cstheme="minorHAnsi"/>
                <w:lang w:val="es-ES"/>
              </w:rPr>
              <w:t>para</w:t>
            </w:r>
            <w:r w:rsidR="00C1021F" w:rsidRPr="001D431E">
              <w:rPr>
                <w:rFonts w:asciiTheme="minorHAnsi" w:eastAsia="Calibri" w:hAnsiTheme="minorHAnsi" w:cstheme="minorHAnsi"/>
                <w:lang w:val="es-ES"/>
              </w:rPr>
              <w:t xml:space="preserve"> el intercambio de ideas, el debate y la colaboración para la definición de estrategias y </w:t>
            </w:r>
            <w:r w:rsidR="00C1021F" w:rsidRPr="0080599E">
              <w:rPr>
                <w:rFonts w:asciiTheme="minorHAnsi" w:hAnsiTheme="minorHAnsi" w:cstheme="minorHAnsi"/>
                <w:lang w:val="es-ES"/>
              </w:rPr>
              <w:t>soluciones</w:t>
            </w:r>
            <w:r w:rsidR="00C1021F" w:rsidRPr="001D431E">
              <w:rPr>
                <w:rFonts w:asciiTheme="minorHAnsi" w:eastAsia="Calibri" w:hAnsiTheme="minorHAnsi" w:cstheme="minorHAnsi"/>
                <w:lang w:val="es-ES"/>
              </w:rPr>
              <w:t xml:space="preserve"> globales de ciberseguridad a través de la innovación</w:t>
            </w:r>
            <w:r w:rsidR="00C1021F" w:rsidRPr="001D431E">
              <w:rPr>
                <w:rFonts w:asciiTheme="minorHAnsi" w:hAnsiTheme="minorHAnsi" w:cstheme="minorHAnsi"/>
                <w:szCs w:val="24"/>
                <w:shd w:val="clear" w:color="auto" w:fill="FFFFFF"/>
                <w:lang w:val="es-ES"/>
              </w:rPr>
              <w:t>.</w:t>
            </w:r>
          </w:p>
          <w:p w14:paraId="3B37FD8C" w14:textId="77777777" w:rsidR="00200B71" w:rsidRPr="001D431E" w:rsidRDefault="00200B71" w:rsidP="0091715A">
            <w:pPr>
              <w:pStyle w:val="enumlev1"/>
              <w:keepNext/>
              <w:keepLines/>
              <w:widowControl w:val="0"/>
              <w:rPr>
                <w:rFonts w:asciiTheme="minorHAnsi" w:hAnsiTheme="minorHAnsi" w:cstheme="minorHAnsi"/>
                <w:bdr w:val="none" w:sz="0" w:space="0" w:color="auto" w:frame="1"/>
                <w:lang w:val="es-ES" w:eastAsia="en-GB"/>
              </w:rPr>
            </w:pPr>
            <w:r w:rsidRPr="001D431E">
              <w:rPr>
                <w:rFonts w:eastAsia="Calibri" w:cstheme="minorHAnsi"/>
                <w:lang w:val="es-ES"/>
              </w:rPr>
              <w:t>•</w:t>
            </w:r>
            <w:r w:rsidRPr="001D431E">
              <w:rPr>
                <w:rFonts w:asciiTheme="minorHAnsi" w:eastAsia="Calibri" w:hAnsiTheme="minorHAnsi" w:cstheme="minorHAnsi"/>
                <w:lang w:val="es-ES"/>
              </w:rPr>
              <w:tab/>
            </w:r>
            <w:r w:rsidR="00C1021F" w:rsidRPr="001D431E">
              <w:rPr>
                <w:rFonts w:asciiTheme="minorHAnsi" w:eastAsia="Calibri" w:hAnsiTheme="minorHAnsi" w:cstheme="minorHAnsi"/>
                <w:lang w:val="es-ES"/>
              </w:rPr>
              <w:t xml:space="preserve">Se celebró el Cyber Shield 2019 en Ankara, Turquía, con el apoyo de la UIT. El evento ofreció una oportunidad única de participar en numerosas actividades técnicas en materia de ciberseguridad. Los principales objetivos fueron aumentar la capacidad de respuesta frente a incidentes y los niveles de preparación, aumentar la comprensión mutua de los ciberriesgos y los </w:t>
            </w:r>
            <w:r w:rsidR="00C1021F" w:rsidRPr="001D431E">
              <w:rPr>
                <w:rFonts w:asciiTheme="minorHAnsi" w:hAnsiTheme="minorHAnsi" w:cstheme="minorHAnsi"/>
                <w:lang w:val="es-ES"/>
              </w:rPr>
              <w:t>efectos</w:t>
            </w:r>
            <w:r w:rsidR="00C1021F" w:rsidRPr="001D431E">
              <w:rPr>
                <w:rFonts w:asciiTheme="minorHAnsi" w:eastAsia="Calibri" w:hAnsiTheme="minorHAnsi" w:cstheme="minorHAnsi"/>
                <w:lang w:val="es-ES"/>
              </w:rPr>
              <w:t xml:space="preserve"> asociados, y garantizar un esfuerzo de colaboración constante entre las partes interesadas en la seguridad cibernética internacional, especialmente los equipos nacionales de intervención en caso de emergencia informática (EIEI), a fin de mitigar las ciberamenazas</w:t>
            </w:r>
            <w:r w:rsidR="00C1021F" w:rsidRPr="001D431E">
              <w:rPr>
                <w:rFonts w:asciiTheme="minorHAnsi" w:hAnsiTheme="minorHAnsi" w:cstheme="minorHAnsi"/>
                <w:bdr w:val="none" w:sz="0" w:space="0" w:color="auto" w:frame="1"/>
                <w:lang w:val="es-ES" w:eastAsia="en-GB"/>
              </w:rPr>
              <w:t xml:space="preserve">. </w:t>
            </w:r>
          </w:p>
          <w:p w14:paraId="4F86FE2B" w14:textId="316E15AD" w:rsidR="00C1021F" w:rsidRPr="001D431E" w:rsidRDefault="00200B71" w:rsidP="0091715A">
            <w:pPr>
              <w:pStyle w:val="enumlev1"/>
              <w:keepNext/>
              <w:keepLines/>
              <w:widowControl w:val="0"/>
              <w:rPr>
                <w:rFonts w:asciiTheme="minorHAnsi" w:hAnsiTheme="minorHAnsi" w:cstheme="minorHAnsi"/>
                <w:lang w:val="es-ES" w:eastAsia="en-GB"/>
              </w:rPr>
            </w:pPr>
            <w:r w:rsidRPr="001D431E">
              <w:rPr>
                <w:rFonts w:cstheme="minorHAnsi"/>
                <w:bdr w:val="none" w:sz="0" w:space="0" w:color="auto" w:frame="1"/>
                <w:lang w:val="es-ES"/>
              </w:rPr>
              <w:t>•</w:t>
            </w:r>
            <w:r w:rsidRPr="001D431E">
              <w:rPr>
                <w:rFonts w:asciiTheme="minorHAnsi" w:hAnsiTheme="minorHAnsi" w:cstheme="minorHAnsi"/>
                <w:bdr w:val="none" w:sz="0" w:space="0" w:color="auto" w:frame="1"/>
                <w:lang w:val="es-ES"/>
              </w:rPr>
              <w:tab/>
            </w:r>
            <w:r w:rsidR="00C1021F" w:rsidRPr="001D431E">
              <w:rPr>
                <w:rFonts w:asciiTheme="minorHAnsi" w:eastAsia="Calibri" w:hAnsiTheme="minorHAnsi" w:cstheme="minorHAnsi"/>
                <w:lang w:val="es-ES"/>
              </w:rPr>
              <w:t>Se lograron avances en la esfera de la protección de la infancia en línea: se coorganizó en Varsovia, Polonia, una conferencia internacional para Europa sobre la seguridad de los niños y los jóvenes en línea; se redactó un estudio nacional sobre los enfoques nacionales para mantener la seguridad de los jóvenes y los niños en línea, que se sometió a examen y consultas con los países, y se prestó asistencia a Georgia y Ucrania en la formulación de una estrategia nacional sobre la protección de la infancia en línea.</w:t>
            </w:r>
          </w:p>
        </w:tc>
      </w:tr>
    </w:tbl>
    <w:p w14:paraId="090B88F0" w14:textId="77777777" w:rsidR="0091715A" w:rsidRPr="009E0EC1" w:rsidRDefault="0091715A" w:rsidP="0091715A">
      <w:pPr>
        <w:spacing w:before="0"/>
        <w:rPr>
          <w:lang w:val="es-ES"/>
        </w:rPr>
      </w:pPr>
    </w:p>
    <w:tbl>
      <w:tblPr>
        <w:tblStyle w:val="TableGrid"/>
        <w:tblW w:w="0" w:type="auto"/>
        <w:tblLook w:val="04A0" w:firstRow="1" w:lastRow="0" w:firstColumn="1" w:lastColumn="0" w:noHBand="0" w:noVBand="1"/>
      </w:tblPr>
      <w:tblGrid>
        <w:gridCol w:w="9628"/>
      </w:tblGrid>
      <w:tr w:rsidR="00C1021F" w:rsidRPr="00BD1F0A" w14:paraId="2F39BBBD" w14:textId="77777777" w:rsidTr="0091715A">
        <w:tc>
          <w:tcPr>
            <w:tcW w:w="9628" w:type="dxa"/>
          </w:tcPr>
          <w:p w14:paraId="229A05C6" w14:textId="77777777" w:rsidR="00C1021F" w:rsidRPr="0091715A" w:rsidRDefault="00C1021F" w:rsidP="0091715A">
            <w:pPr>
              <w:pStyle w:val="Headingb"/>
              <w:rPr>
                <w:rFonts w:ascii="Calibri" w:hAnsi="Calibri"/>
                <w:lang w:val="es-ES"/>
              </w:rPr>
            </w:pPr>
            <w:r w:rsidRPr="0091715A">
              <w:rPr>
                <w:rFonts w:ascii="Calibri" w:hAnsi="Calibri"/>
                <w:lang w:val="es-ES"/>
              </w:rPr>
              <w:lastRenderedPageBreak/>
              <w:t>COMISIONES DE ESTUDIO</w:t>
            </w:r>
          </w:p>
          <w:p w14:paraId="09DC392D" w14:textId="77777777" w:rsidR="00C1021F" w:rsidRPr="0091715A" w:rsidRDefault="00C1021F" w:rsidP="0091715A">
            <w:pPr>
              <w:rPr>
                <w:rFonts w:asciiTheme="minorHAnsi" w:hAnsiTheme="minorHAnsi"/>
                <w:lang w:val="es-ES"/>
              </w:rPr>
            </w:pPr>
            <w:r w:rsidRPr="0091715A">
              <w:rPr>
                <w:rFonts w:asciiTheme="minorHAnsi" w:hAnsiTheme="minorHAnsi"/>
                <w:lang w:val="es-ES"/>
              </w:rPr>
              <w:t>Comisión de Estudio 2 del UIT-D (2018 - 2021): Cuestión 3/2: Seguridad en las redes de información y comunicación: prácticas óptimas para el desarrollo de una cultura de ciberseguridad.</w:t>
            </w:r>
          </w:p>
          <w:p w14:paraId="608A2852" w14:textId="77777777" w:rsidR="00C1021F" w:rsidRPr="001D431E" w:rsidRDefault="00C1021F" w:rsidP="0091715A">
            <w:pPr>
              <w:spacing w:after="120"/>
              <w:rPr>
                <w:lang w:val="es-ES"/>
              </w:rPr>
            </w:pPr>
            <w:r w:rsidRPr="0091715A">
              <w:rPr>
                <w:rFonts w:asciiTheme="minorHAnsi" w:hAnsiTheme="minorHAnsi"/>
                <w:lang w:val="es-ES"/>
              </w:rPr>
              <w:t>Comisión de Estudio 17 del UIT-T: Seguridad.</w:t>
            </w:r>
          </w:p>
        </w:tc>
      </w:tr>
    </w:tbl>
    <w:p w14:paraId="54E4155B" w14:textId="0775886D" w:rsidR="00C1021F" w:rsidRPr="009E0EC1" w:rsidRDefault="00C1021F" w:rsidP="001D793B">
      <w:pPr>
        <w:pStyle w:val="Heading1"/>
        <w:rPr>
          <w:lang w:val="es-ES"/>
        </w:rPr>
      </w:pPr>
      <w:r w:rsidRPr="009E0EC1">
        <w:rPr>
          <w:lang w:val="es-ES"/>
        </w:rPr>
        <w:t>3</w:t>
      </w:r>
      <w:r w:rsidRPr="009E0EC1">
        <w:rPr>
          <w:lang w:val="es-ES"/>
        </w:rPr>
        <w:tab/>
        <w:t>Inclusión digital: crear políticas inclusivas para un acceso equitativo a las TIC</w:t>
      </w:r>
    </w:p>
    <w:p w14:paraId="4D1419C7" w14:textId="30B790BC" w:rsidR="00C1021F" w:rsidRPr="009E0EC1" w:rsidRDefault="00C1021F" w:rsidP="004147EB">
      <w:pPr>
        <w:pStyle w:val="Heading2"/>
        <w:rPr>
          <w:lang w:val="es-ES"/>
        </w:rPr>
      </w:pPr>
      <w:r w:rsidRPr="009E0EC1">
        <w:rPr>
          <w:lang w:val="es-ES"/>
        </w:rPr>
        <w:t>3.1</w:t>
      </w:r>
      <w:r w:rsidRPr="009E0EC1">
        <w:rPr>
          <w:lang w:val="es-ES"/>
        </w:rPr>
        <w:tab/>
        <w:t xml:space="preserve">Programa Internet </w:t>
      </w:r>
      <w:r w:rsidR="00E5255C">
        <w:rPr>
          <w:lang w:val="es-ES"/>
        </w:rPr>
        <w:t>para</w:t>
      </w:r>
      <w:r w:rsidRPr="009E0EC1">
        <w:rPr>
          <w:lang w:val="es-ES"/>
        </w:rPr>
        <w:t xml:space="preserve"> tod@s</w:t>
      </w:r>
    </w:p>
    <w:p w14:paraId="172DB958" w14:textId="30A0B58A" w:rsidR="00C1021F" w:rsidRPr="001D431E" w:rsidRDefault="00C1021F" w:rsidP="00C1021F">
      <w:pPr>
        <w:rPr>
          <w:rFonts w:cstheme="minorHAnsi"/>
          <w:bCs/>
          <w:szCs w:val="24"/>
          <w:lang w:val="es-ES"/>
        </w:rPr>
      </w:pPr>
      <w:r w:rsidRPr="001D431E">
        <w:rPr>
          <w:rFonts w:cstheme="minorHAnsi"/>
          <w:bCs/>
          <w:szCs w:val="24"/>
          <w:lang w:val="es-ES"/>
        </w:rPr>
        <w:t xml:space="preserve">El programa de accesibilidad a la web </w:t>
      </w:r>
      <w:hyperlink r:id="rId20" w:history="1">
        <w:r w:rsidRPr="001D431E">
          <w:rPr>
            <w:rStyle w:val="Hyperlink"/>
            <w:rFonts w:cstheme="minorHAnsi"/>
            <w:bCs/>
            <w:szCs w:val="24"/>
            <w:lang w:val="es-ES"/>
          </w:rPr>
          <w:t xml:space="preserve">Internet para </w:t>
        </w:r>
        <w:proofErr w:type="spellStart"/>
        <w:r w:rsidRPr="001D431E">
          <w:rPr>
            <w:rStyle w:val="Hyperlink"/>
            <w:rFonts w:cstheme="minorHAnsi"/>
            <w:bCs/>
            <w:szCs w:val="24"/>
            <w:lang w:val="es-ES"/>
          </w:rPr>
          <w:t>tod@s</w:t>
        </w:r>
        <w:proofErr w:type="spellEnd"/>
      </w:hyperlink>
      <w:r w:rsidRPr="001D431E">
        <w:rPr>
          <w:rFonts w:cstheme="minorHAnsi"/>
          <w:bCs/>
          <w:szCs w:val="24"/>
          <w:lang w:val="es-ES"/>
        </w:rPr>
        <w:t xml:space="preserve"> se implementó con éxito en Guyana, reforzando la capacidad del país para crear contenido digital accesible, además de diseñar, crear y mantener sitios web públicos en </w:t>
      </w:r>
      <w:r w:rsidR="00A131B5" w:rsidRPr="001D431E">
        <w:rPr>
          <w:rFonts w:cstheme="minorHAnsi"/>
          <w:bCs/>
          <w:szCs w:val="24"/>
          <w:lang w:val="es-ES"/>
        </w:rPr>
        <w:t>formato</w:t>
      </w:r>
      <w:r w:rsidRPr="001D431E">
        <w:rPr>
          <w:rFonts w:cstheme="minorHAnsi"/>
          <w:bCs/>
          <w:szCs w:val="24"/>
          <w:lang w:val="es-ES"/>
        </w:rPr>
        <w:t xml:space="preserve"> accesible. </w:t>
      </w:r>
    </w:p>
    <w:p w14:paraId="502C1479" w14:textId="77777777" w:rsidR="00C1021F" w:rsidRPr="009E0EC1" w:rsidRDefault="00C1021F" w:rsidP="004147EB">
      <w:pPr>
        <w:pStyle w:val="Heading2"/>
        <w:rPr>
          <w:lang w:val="es-ES"/>
        </w:rPr>
      </w:pPr>
      <w:r w:rsidRPr="009E0EC1">
        <w:rPr>
          <w:lang w:val="es-ES"/>
        </w:rPr>
        <w:t>3.2</w:t>
      </w:r>
      <w:r w:rsidRPr="009E0EC1">
        <w:rPr>
          <w:lang w:val="es-ES"/>
        </w:rPr>
        <w:tab/>
        <w:t>TIC accesibles para todos en las regiones</w:t>
      </w:r>
    </w:p>
    <w:p w14:paraId="461A45F1" w14:textId="7B6B0CC8" w:rsidR="00C1021F" w:rsidRPr="001D431E" w:rsidRDefault="00C1021F" w:rsidP="00C1021F">
      <w:pPr>
        <w:tabs>
          <w:tab w:val="clear" w:pos="794"/>
          <w:tab w:val="clear" w:pos="1191"/>
          <w:tab w:val="clear" w:pos="1588"/>
          <w:tab w:val="clear" w:pos="1985"/>
        </w:tabs>
        <w:overflowPunct/>
        <w:autoSpaceDE/>
        <w:autoSpaceDN/>
        <w:adjustRightInd/>
        <w:rPr>
          <w:rFonts w:cstheme="minorHAnsi"/>
          <w:sz w:val="22"/>
          <w:lang w:val="es-ES" w:eastAsia="en-GB"/>
        </w:rPr>
      </w:pPr>
      <w:r w:rsidRPr="001D431E">
        <w:rPr>
          <w:rFonts w:cstheme="minorHAnsi"/>
          <w:bCs/>
          <w:szCs w:val="24"/>
          <w:lang w:val="es-ES"/>
        </w:rPr>
        <w:t xml:space="preserve">Se celebraron eventos </w:t>
      </w:r>
      <w:r w:rsidRPr="001D431E">
        <w:rPr>
          <w:rFonts w:cstheme="minorHAnsi"/>
          <w:bCs/>
          <w:i/>
          <w:iCs/>
          <w:szCs w:val="24"/>
          <w:lang w:val="es-ES"/>
        </w:rPr>
        <w:t xml:space="preserve">TIC accesibles para todos </w:t>
      </w:r>
      <w:r w:rsidRPr="001D431E">
        <w:rPr>
          <w:rFonts w:cstheme="minorHAnsi"/>
          <w:bCs/>
          <w:szCs w:val="24"/>
          <w:lang w:val="es-ES"/>
        </w:rPr>
        <w:t xml:space="preserve">en Ecuador y Malta. En ambos se llevaron a cabo sesiones de compartición de conocimientos sobre los fundamentos de la accesibilidad a las TIC con el objetivo de desarrollar y fortalecer la capacidad regional en temas, definiciones y </w:t>
      </w:r>
      <w:r w:rsidR="00A131B5" w:rsidRPr="001D431E">
        <w:rPr>
          <w:rFonts w:cstheme="minorHAnsi"/>
          <w:bCs/>
          <w:szCs w:val="24"/>
          <w:lang w:val="es-ES"/>
        </w:rPr>
        <w:t>tendencias</w:t>
      </w:r>
      <w:r w:rsidRPr="001D431E">
        <w:rPr>
          <w:rFonts w:cstheme="minorHAnsi"/>
          <w:bCs/>
          <w:szCs w:val="24"/>
          <w:lang w:val="es-ES"/>
        </w:rPr>
        <w:t xml:space="preserve"> de accesibilidad a las TIC y de sensibilizar respecto de los importantes recursos que la UIT pone a disposición a fin de definir y aplicar políticas y estrategias de accesibilidad a las TIC a nivel nacional y regional. Responsables de políticas y otros interesados nacionales validaron sus conocimientos y experiencia mejorados en la esfera de la accesibilidad a las TIC y recibieron una certificación en la materia.</w:t>
      </w:r>
    </w:p>
    <w:p w14:paraId="78F9FC2C" w14:textId="77777777" w:rsidR="00C1021F" w:rsidRPr="001D431E" w:rsidRDefault="00C1021F" w:rsidP="00C4604C">
      <w:pPr>
        <w:rPr>
          <w:lang w:val="es-ES"/>
        </w:rPr>
      </w:pPr>
      <w:r w:rsidRPr="001D431E">
        <w:rPr>
          <w:lang w:val="es-ES"/>
        </w:rPr>
        <w:t xml:space="preserve">Como preparación para ambos eventos se organizaron concursos regionales para crear y desarrollar aplicaciones de TIC móviles de ayuda a las personas con discapacidad. </w:t>
      </w:r>
    </w:p>
    <w:p w14:paraId="294C2B15" w14:textId="77777777" w:rsidR="00C1021F" w:rsidRPr="009E0EC1" w:rsidRDefault="00C1021F" w:rsidP="004147EB">
      <w:pPr>
        <w:pStyle w:val="Heading2"/>
        <w:rPr>
          <w:lang w:val="es-ES"/>
        </w:rPr>
      </w:pPr>
      <w:r w:rsidRPr="009E0EC1">
        <w:rPr>
          <w:lang w:val="es-ES"/>
        </w:rPr>
        <w:t>3.3</w:t>
      </w:r>
      <w:r w:rsidRPr="009E0EC1">
        <w:rPr>
          <w:lang w:val="es-ES"/>
        </w:rPr>
        <w:tab/>
        <w:t>Día Internacional de las Niñas en las TIC</w:t>
      </w:r>
    </w:p>
    <w:p w14:paraId="6A1D8B49" w14:textId="77777777" w:rsidR="00C1021F" w:rsidRPr="001D431E" w:rsidRDefault="00C1021F" w:rsidP="00C1021F">
      <w:pPr>
        <w:rPr>
          <w:rFonts w:cstheme="minorHAnsi"/>
          <w:bCs/>
          <w:szCs w:val="24"/>
          <w:lang w:val="es-ES"/>
        </w:rPr>
      </w:pPr>
      <w:r w:rsidRPr="001D431E">
        <w:rPr>
          <w:rFonts w:cstheme="minorHAnsi"/>
          <w:bCs/>
          <w:szCs w:val="24"/>
          <w:lang w:val="es-ES"/>
        </w:rPr>
        <w:t xml:space="preserve">Más de 100 países de todo el mundo celebraron el </w:t>
      </w:r>
      <w:hyperlink r:id="rId21" w:history="1">
        <w:r w:rsidRPr="001D431E">
          <w:rPr>
            <w:rStyle w:val="Hyperlink"/>
            <w:rFonts w:cstheme="minorHAnsi"/>
            <w:bCs/>
            <w:szCs w:val="24"/>
            <w:lang w:val="es-ES"/>
          </w:rPr>
          <w:t>Día de las Niñas en las TIC</w:t>
        </w:r>
      </w:hyperlink>
      <w:r w:rsidRPr="001D431E">
        <w:rPr>
          <w:rFonts w:cstheme="minorHAnsi"/>
          <w:bCs/>
          <w:szCs w:val="24"/>
          <w:lang w:val="es-ES"/>
        </w:rPr>
        <w:t xml:space="preserve"> en 2019. Por primera vez las celebraciones se llevaron a Addis Abeba, Etiopía, donde la UIT y la Unión Africana incitaron a las niñas y jóvenes a cursar estudios y desarrollar carreras en las TIC. </w:t>
      </w:r>
    </w:p>
    <w:p w14:paraId="0A755460" w14:textId="77777777" w:rsidR="00C1021F" w:rsidRPr="009E0EC1" w:rsidRDefault="00C1021F" w:rsidP="004147EB">
      <w:pPr>
        <w:pStyle w:val="Heading2"/>
        <w:rPr>
          <w:lang w:val="es-ES"/>
        </w:rPr>
      </w:pPr>
      <w:r w:rsidRPr="009E0EC1">
        <w:rPr>
          <w:lang w:val="es-ES"/>
        </w:rPr>
        <w:t>3.4</w:t>
      </w:r>
      <w:r w:rsidRPr="009E0EC1">
        <w:rPr>
          <w:lang w:val="es-ES"/>
        </w:rPr>
        <w:tab/>
        <w:t>Iniciativa African Girls Can Code</w:t>
      </w:r>
    </w:p>
    <w:p w14:paraId="5232AD15" w14:textId="77777777" w:rsidR="00C1021F" w:rsidRPr="001D431E" w:rsidRDefault="00C1021F" w:rsidP="00C1021F">
      <w:pPr>
        <w:rPr>
          <w:rFonts w:cstheme="minorHAnsi"/>
          <w:lang w:val="es-ES"/>
        </w:rPr>
      </w:pPr>
      <w:r w:rsidRPr="001D431E">
        <w:rPr>
          <w:rFonts w:cstheme="minorHAnsi"/>
          <w:bCs/>
          <w:szCs w:val="24"/>
          <w:lang w:val="es-ES"/>
        </w:rPr>
        <w:t xml:space="preserve">Más de quinientas niñas (532) participaron en los talleres de codificación impartidos en el marco de la Iniciativa </w:t>
      </w:r>
      <w:hyperlink r:id="rId22" w:history="1">
        <w:proofErr w:type="spellStart"/>
        <w:r w:rsidRPr="001D431E">
          <w:rPr>
            <w:rStyle w:val="Hyperlink"/>
            <w:rFonts w:cstheme="minorHAnsi"/>
            <w:bCs/>
            <w:szCs w:val="24"/>
            <w:lang w:val="es-ES"/>
          </w:rPr>
          <w:t>African</w:t>
        </w:r>
        <w:proofErr w:type="spellEnd"/>
        <w:r w:rsidRPr="001D431E">
          <w:rPr>
            <w:rStyle w:val="Hyperlink"/>
            <w:rFonts w:cstheme="minorHAnsi"/>
            <w:bCs/>
            <w:szCs w:val="24"/>
            <w:lang w:val="es-ES"/>
          </w:rPr>
          <w:t xml:space="preserve"> </w:t>
        </w:r>
        <w:proofErr w:type="spellStart"/>
        <w:r w:rsidRPr="001D431E">
          <w:rPr>
            <w:rStyle w:val="Hyperlink"/>
            <w:rFonts w:cstheme="minorHAnsi"/>
            <w:bCs/>
            <w:szCs w:val="24"/>
            <w:lang w:val="es-ES"/>
          </w:rPr>
          <w:t>Girls</w:t>
        </w:r>
        <w:proofErr w:type="spellEnd"/>
        <w:r w:rsidRPr="001D431E">
          <w:rPr>
            <w:rStyle w:val="Hyperlink"/>
            <w:rFonts w:cstheme="minorHAnsi"/>
            <w:bCs/>
            <w:szCs w:val="24"/>
            <w:lang w:val="es-ES"/>
          </w:rPr>
          <w:t xml:space="preserve"> can </w:t>
        </w:r>
        <w:proofErr w:type="spellStart"/>
        <w:r w:rsidRPr="001D431E">
          <w:rPr>
            <w:rStyle w:val="Hyperlink"/>
            <w:rFonts w:cstheme="minorHAnsi"/>
            <w:bCs/>
            <w:szCs w:val="24"/>
            <w:lang w:val="es-ES"/>
          </w:rPr>
          <w:t>Code</w:t>
        </w:r>
        <w:proofErr w:type="spellEnd"/>
      </w:hyperlink>
      <w:r w:rsidRPr="001D431E">
        <w:rPr>
          <w:rFonts w:cstheme="minorHAnsi"/>
          <w:bCs/>
          <w:szCs w:val="24"/>
          <w:lang w:val="es-ES"/>
        </w:rPr>
        <w:t xml:space="preserve"> de la UIT, la Unión Africana y ONU Mujeres, con la ayuda financiera de la UIT y la Embajada del Reino de Dinamarca en Etiopía</w:t>
      </w:r>
      <w:r w:rsidRPr="001D431E">
        <w:rPr>
          <w:rFonts w:cstheme="minorHAnsi"/>
          <w:i/>
          <w:lang w:val="es-ES"/>
        </w:rPr>
        <w:t>.</w:t>
      </w:r>
    </w:p>
    <w:p w14:paraId="7D26E008" w14:textId="77777777" w:rsidR="00C1021F" w:rsidRPr="009E0EC1" w:rsidRDefault="00C1021F" w:rsidP="004147EB">
      <w:pPr>
        <w:pStyle w:val="Heading2"/>
        <w:rPr>
          <w:lang w:val="es-ES"/>
        </w:rPr>
      </w:pPr>
      <w:r w:rsidRPr="009E0EC1">
        <w:rPr>
          <w:lang w:val="es-ES"/>
        </w:rPr>
        <w:t>3.5</w:t>
      </w:r>
      <w:r w:rsidRPr="009E0EC1">
        <w:rPr>
          <w:lang w:val="es-ES"/>
        </w:rPr>
        <w:tab/>
        <w:t xml:space="preserve">Iniciativa Americas Girls Can Code </w:t>
      </w:r>
    </w:p>
    <w:p w14:paraId="576D9834" w14:textId="77777777" w:rsidR="00C1021F" w:rsidRPr="001D431E" w:rsidRDefault="00C1021F" w:rsidP="00C1021F">
      <w:pPr>
        <w:rPr>
          <w:rFonts w:eastAsia="SimSun" w:cstheme="minorHAnsi"/>
          <w:szCs w:val="24"/>
          <w:lang w:val="es-ES"/>
        </w:rPr>
      </w:pPr>
      <w:r w:rsidRPr="001D431E">
        <w:rPr>
          <w:rFonts w:cstheme="minorHAnsi"/>
          <w:bCs/>
          <w:szCs w:val="24"/>
          <w:lang w:val="es-ES"/>
        </w:rPr>
        <w:t xml:space="preserve">Gracias a la Iniciativa </w:t>
      </w:r>
      <w:hyperlink r:id="rId23" w:history="1">
        <w:proofErr w:type="spellStart"/>
        <w:r w:rsidRPr="001D431E">
          <w:rPr>
            <w:rStyle w:val="Hyperlink"/>
            <w:rFonts w:cstheme="minorHAnsi"/>
            <w:bCs/>
            <w:szCs w:val="24"/>
            <w:lang w:val="es-ES"/>
          </w:rPr>
          <w:t>Americas</w:t>
        </w:r>
        <w:proofErr w:type="spellEnd"/>
        <w:r w:rsidRPr="001D431E">
          <w:rPr>
            <w:rStyle w:val="Hyperlink"/>
            <w:rFonts w:cstheme="minorHAnsi"/>
            <w:bCs/>
            <w:szCs w:val="24"/>
            <w:lang w:val="es-ES"/>
          </w:rPr>
          <w:t xml:space="preserve"> </w:t>
        </w:r>
        <w:proofErr w:type="spellStart"/>
        <w:r w:rsidRPr="001D431E">
          <w:rPr>
            <w:rStyle w:val="Hyperlink"/>
            <w:rFonts w:cstheme="minorHAnsi"/>
            <w:bCs/>
            <w:szCs w:val="24"/>
            <w:lang w:val="es-ES"/>
          </w:rPr>
          <w:t>Girls</w:t>
        </w:r>
        <w:proofErr w:type="spellEnd"/>
        <w:r w:rsidRPr="001D431E">
          <w:rPr>
            <w:rStyle w:val="Hyperlink"/>
            <w:rFonts w:cstheme="minorHAnsi"/>
            <w:bCs/>
            <w:szCs w:val="24"/>
            <w:lang w:val="es-ES"/>
          </w:rPr>
          <w:t xml:space="preserve"> Can </w:t>
        </w:r>
        <w:proofErr w:type="spellStart"/>
        <w:r w:rsidRPr="001D431E">
          <w:rPr>
            <w:rStyle w:val="Hyperlink"/>
            <w:rFonts w:cstheme="minorHAnsi"/>
            <w:bCs/>
            <w:szCs w:val="24"/>
            <w:lang w:val="es-ES"/>
          </w:rPr>
          <w:t>Code</w:t>
        </w:r>
        <w:proofErr w:type="spellEnd"/>
      </w:hyperlink>
      <w:r w:rsidRPr="001D431E">
        <w:rPr>
          <w:rFonts w:cstheme="minorHAnsi"/>
          <w:bCs/>
          <w:szCs w:val="24"/>
          <w:lang w:val="es-ES"/>
        </w:rPr>
        <w:t xml:space="preserve"> 300 niñas aprendieron a codificar en una serie de talleres organizados con el apoyo de ONU Mujeres, el Instituto Federal Brasileño,</w:t>
      </w:r>
      <w:r w:rsidRPr="001D431E">
        <w:rPr>
          <w:rFonts w:eastAsia="SimSun" w:cstheme="minorHAnsi"/>
          <w:szCs w:val="24"/>
          <w:lang w:val="es-ES"/>
        </w:rPr>
        <w:t xml:space="preserve"> ANATEL, SERPRO, el Municipio de Campinas, la Universidad de Brasilia, UNICEPLAC y el Grupo Mujeres de Brasil, entre otros.</w:t>
      </w:r>
    </w:p>
    <w:p w14:paraId="2274E220" w14:textId="03FB6C1E" w:rsidR="00C1021F" w:rsidRPr="009E0EC1" w:rsidRDefault="00C1021F" w:rsidP="004147EB">
      <w:pPr>
        <w:pStyle w:val="Heading2"/>
        <w:rPr>
          <w:lang w:val="es-ES"/>
        </w:rPr>
      </w:pPr>
      <w:r w:rsidRPr="009E0EC1">
        <w:rPr>
          <w:lang w:val="es-ES"/>
        </w:rPr>
        <w:lastRenderedPageBreak/>
        <w:t>3.6</w:t>
      </w:r>
      <w:r w:rsidRPr="009E0EC1">
        <w:rPr>
          <w:lang w:val="es-ES"/>
        </w:rPr>
        <w:tab/>
        <w:t>Empresarias EQUALS en ITU Telecom World 2019</w:t>
      </w:r>
    </w:p>
    <w:p w14:paraId="7913BA4A" w14:textId="77777777" w:rsidR="00C1021F" w:rsidRPr="001D431E" w:rsidRDefault="00C1021F" w:rsidP="0091715A">
      <w:pPr>
        <w:keepNext/>
        <w:keepLines/>
        <w:snapToGrid w:val="0"/>
        <w:spacing w:after="120"/>
        <w:rPr>
          <w:rFonts w:eastAsia="SimSun" w:cstheme="minorHAnsi"/>
          <w:szCs w:val="24"/>
          <w:lang w:val="es-ES"/>
        </w:rPr>
      </w:pPr>
      <w:r w:rsidRPr="001D431E">
        <w:rPr>
          <w:rFonts w:cstheme="minorHAnsi"/>
          <w:szCs w:val="24"/>
          <w:lang w:val="es-ES"/>
        </w:rPr>
        <w:t>De las 140 solicitudes recibidas, se concedieron becas a24 pequeñas y medianas empresas (PYME) lideradas por mujeres para asistir a ITU Telecom World 2019, celebrado en Budapest, Hungría. El objetivo era equilibrar la participación de hombres y mujeres y fomentar el espíritu empresarial de las mujeres en el sector. Estas mujeres talentosas procedían de horizontes tan diversos como la sanidad, la educación, el comercio electrónico, la ciberseguridad y los servicios de TI. Esta experiencia dio a conocer a las PYME seleccionadas, a los países en desarrollo que representan y contribuyó a cerrar la brecha digital de género. Esta iniciativa es uno de los resultados de EQUALS, la Alianza Mundial para el cierre de la brecha digital de género</w:t>
      </w:r>
      <w:r w:rsidRPr="001D431E">
        <w:rPr>
          <w:rStyle w:val="FootnoteReference"/>
          <w:rFonts w:cstheme="minorHAnsi"/>
          <w:szCs w:val="24"/>
          <w:lang w:val="es-ES"/>
        </w:rPr>
        <w:footnoteReference w:id="1"/>
      </w:r>
      <w:r w:rsidRPr="001D431E">
        <w:rPr>
          <w:rFonts w:cstheme="minorHAnsi"/>
          <w:szCs w:val="24"/>
          <w:lang w:val="es-ES"/>
        </w:rPr>
        <w:t>.</w:t>
      </w:r>
    </w:p>
    <w:p w14:paraId="04DEB2D4" w14:textId="5DE79E8D" w:rsidR="00C1021F" w:rsidRPr="009E0EC1" w:rsidRDefault="00C1021F" w:rsidP="004147EB">
      <w:pPr>
        <w:pStyle w:val="Heading2"/>
        <w:rPr>
          <w:lang w:val="es-ES"/>
        </w:rPr>
      </w:pPr>
      <w:r w:rsidRPr="009E0EC1">
        <w:rPr>
          <w:lang w:val="es-ES"/>
        </w:rPr>
        <w:t>3.7</w:t>
      </w:r>
      <w:r w:rsidRPr="009E0EC1">
        <w:rPr>
          <w:lang w:val="es-ES"/>
        </w:rPr>
        <w:tab/>
        <w:t xml:space="preserve">Premios </w:t>
      </w:r>
      <w:r w:rsidR="00C4604C" w:rsidRPr="009E0EC1">
        <w:rPr>
          <w:lang w:val="es-ES"/>
        </w:rPr>
        <w:t>"</w:t>
      </w:r>
      <w:r w:rsidRPr="009E0EC1">
        <w:rPr>
          <w:lang w:val="es-ES"/>
        </w:rPr>
        <w:t>EQUALS in Tech</w:t>
      </w:r>
      <w:r w:rsidR="00C4604C" w:rsidRPr="009E0EC1">
        <w:rPr>
          <w:lang w:val="es-ES"/>
        </w:rPr>
        <w:t>"</w:t>
      </w:r>
    </w:p>
    <w:p w14:paraId="6E7F31ED" w14:textId="1C9A5033" w:rsidR="00C1021F" w:rsidRPr="001D431E" w:rsidRDefault="00C1021F" w:rsidP="00C1021F">
      <w:pPr>
        <w:shd w:val="clear" w:color="auto" w:fill="FFFFFF"/>
        <w:spacing w:after="120"/>
        <w:rPr>
          <w:rFonts w:cstheme="minorHAnsi"/>
          <w:color w:val="212121"/>
          <w:sz w:val="22"/>
          <w:lang w:val="es-ES" w:eastAsia="zh-CN"/>
        </w:rPr>
      </w:pPr>
      <w:r w:rsidRPr="001D431E">
        <w:rPr>
          <w:rFonts w:cstheme="minorHAnsi"/>
          <w:color w:val="212121"/>
          <w:lang w:val="es-ES"/>
        </w:rPr>
        <w:t>La sexta edición anual de los </w:t>
      </w:r>
      <w:hyperlink r:id="rId24" w:history="1">
        <w:r w:rsidRPr="001D431E">
          <w:rPr>
            <w:rFonts w:cstheme="minorHAnsi"/>
            <w:color w:val="0000FF" w:themeColor="hyperlink"/>
            <w:u w:val="single"/>
            <w:lang w:val="es-ES"/>
          </w:rPr>
          <w:t xml:space="preserve">Premios EQUALS in </w:t>
        </w:r>
        <w:proofErr w:type="spellStart"/>
        <w:r w:rsidRPr="001D431E">
          <w:rPr>
            <w:rFonts w:cstheme="minorHAnsi"/>
            <w:color w:val="0000FF" w:themeColor="hyperlink"/>
            <w:u w:val="single"/>
            <w:lang w:val="es-ES"/>
          </w:rPr>
          <w:t>Tech</w:t>
        </w:r>
        <w:proofErr w:type="spellEnd"/>
      </w:hyperlink>
      <w:r w:rsidRPr="001D431E">
        <w:rPr>
          <w:rFonts w:cstheme="minorHAnsi"/>
          <w:color w:val="212121"/>
          <w:lang w:val="es-ES"/>
        </w:rPr>
        <w:t> (anteriormente </w:t>
      </w:r>
      <w:r w:rsidRPr="001D431E">
        <w:rPr>
          <w:rFonts w:cstheme="minorHAnsi"/>
          <w:color w:val="0000FF" w:themeColor="hyperlink"/>
          <w:spacing w:val="-4"/>
          <w:u w:val="single"/>
          <w:lang w:val="es-ES"/>
        </w:rPr>
        <w:t>Premios GEM-TECH</w:t>
      </w:r>
      <w:r w:rsidRPr="001D431E">
        <w:rPr>
          <w:rFonts w:cstheme="minorHAnsi"/>
          <w:color w:val="212121"/>
          <w:lang w:val="es-ES"/>
        </w:rPr>
        <w:t>) tuvo lugar en Alemania en el marco del Foro sobre la Gobernanza de Internet. Las partes interesadas presentaron más de 200 nominaciones de 68 países. El país con más nominaciones fue Nigeria, seguido de Estados Unidos de América, Argentina, Pakistán y Reino Unido.</w:t>
      </w:r>
    </w:p>
    <w:p w14:paraId="20AB32CE" w14:textId="1FE1622E" w:rsidR="00C1021F" w:rsidRPr="001D431E" w:rsidRDefault="00C1021F" w:rsidP="00C1021F">
      <w:pPr>
        <w:shd w:val="clear" w:color="auto" w:fill="FFFFFF"/>
        <w:spacing w:after="120"/>
        <w:rPr>
          <w:rFonts w:cstheme="minorHAnsi"/>
          <w:color w:val="212121"/>
          <w:lang w:val="es-ES"/>
        </w:rPr>
      </w:pPr>
      <w:r w:rsidRPr="001D431E">
        <w:rPr>
          <w:rFonts w:cstheme="minorHAnsi"/>
          <w:color w:val="212121"/>
          <w:lang w:val="es-ES"/>
        </w:rPr>
        <w:t xml:space="preserve">De los 15 finalistas procedentes de 12 países, se designaron cinco ganadores de los Premios EQUALS in Tech en las categorías, Acceso, Competencias, </w:t>
      </w:r>
      <w:r w:rsidR="00B4623C">
        <w:rPr>
          <w:rFonts w:cstheme="minorHAnsi"/>
          <w:color w:val="212121"/>
          <w:lang w:val="es-ES"/>
        </w:rPr>
        <w:t>I</w:t>
      </w:r>
      <w:r w:rsidRPr="001D431E">
        <w:rPr>
          <w:rFonts w:cstheme="minorHAnsi"/>
          <w:color w:val="212121"/>
          <w:lang w:val="es-ES"/>
        </w:rPr>
        <w:t>nvestigación y Liderazgo I y II. El establecimiento de los Premios fue posible gracias a la colaboración de la Oficina Federal de Comunicaciones de Suiza (OFCOM) y la Internet Society, con el apoyo de Inmarsat.</w:t>
      </w:r>
    </w:p>
    <w:p w14:paraId="62C8DD47" w14:textId="3BFE7A0C" w:rsidR="00C1021F" w:rsidRPr="0091715A" w:rsidRDefault="00C1021F" w:rsidP="004147EB">
      <w:pPr>
        <w:pStyle w:val="Heading2"/>
        <w:rPr>
          <w:lang w:val="es-ES"/>
        </w:rPr>
      </w:pPr>
      <w:r w:rsidRPr="0091715A">
        <w:rPr>
          <w:lang w:val="es-ES"/>
        </w:rPr>
        <w:t>3.8</w:t>
      </w:r>
      <w:r w:rsidRPr="0091715A">
        <w:rPr>
          <w:lang w:val="es-ES"/>
        </w:rPr>
        <w:tab/>
        <w:t>Herramienta para la escucha segura UIT-OMS</w:t>
      </w:r>
    </w:p>
    <w:p w14:paraId="4EDDE1D5" w14:textId="0A080EBF" w:rsidR="00C1021F" w:rsidRPr="001D431E" w:rsidRDefault="00C1021F" w:rsidP="00C1021F">
      <w:pPr>
        <w:rPr>
          <w:rFonts w:cstheme="minorHAnsi"/>
          <w:szCs w:val="24"/>
          <w:shd w:val="clear" w:color="auto" w:fill="FFFFFF"/>
          <w:lang w:val="es-ES"/>
        </w:rPr>
      </w:pPr>
      <w:r w:rsidRPr="001D431E">
        <w:rPr>
          <w:rFonts w:cstheme="minorHAnsi"/>
          <w:szCs w:val="24"/>
          <w:shd w:val="clear" w:color="auto" w:fill="FFFFFF"/>
          <w:lang w:val="es-ES"/>
        </w:rPr>
        <w:t xml:space="preserve">La </w:t>
      </w:r>
      <w:hyperlink r:id="rId25" w:history="1">
        <w:r w:rsidRPr="001D431E">
          <w:rPr>
            <w:rStyle w:val="Hyperlink"/>
            <w:rFonts w:cstheme="minorHAnsi"/>
            <w:szCs w:val="24"/>
            <w:shd w:val="clear" w:color="auto" w:fill="FFFFFF"/>
            <w:lang w:val="es-ES"/>
          </w:rPr>
          <w:t>herramienta para dispositivos y sistemas de escucha seguros</w:t>
        </w:r>
      </w:hyperlink>
      <w:r w:rsidRPr="001D431E">
        <w:rPr>
          <w:rFonts w:cstheme="minorHAnsi"/>
          <w:szCs w:val="24"/>
          <w:shd w:val="clear" w:color="auto" w:fill="FFFFFF"/>
          <w:lang w:val="es-ES"/>
        </w:rPr>
        <w:t xml:space="preserve"> fue publicada por la UIT y la OMS en apoyo de la aplicación de la norma mundial H.870 de la OMS-UIT-T como respuesta al aumento de la pérdida de audición, en particular en la población más joven, así como a la amenaza que para la audición suponen las prácticas y dispositivos de escucha no seguros. Esta herramienta da orientaciones prácticas a los países, la industria, el sector privado y la sociedad civil. </w:t>
      </w:r>
    </w:p>
    <w:p w14:paraId="312D7794" w14:textId="77777777" w:rsidR="00C1021F" w:rsidRPr="009E0EC1" w:rsidRDefault="00C1021F" w:rsidP="004147EB">
      <w:pPr>
        <w:pStyle w:val="Heading2"/>
        <w:rPr>
          <w:lang w:val="es-ES"/>
        </w:rPr>
      </w:pPr>
      <w:r w:rsidRPr="009E0EC1">
        <w:rPr>
          <w:lang w:val="es-ES"/>
        </w:rPr>
        <w:t>3.9</w:t>
      </w:r>
      <w:r w:rsidRPr="009E0EC1">
        <w:rPr>
          <w:lang w:val="es-ES"/>
        </w:rPr>
        <w:tab/>
        <w:t>Empoderamiento de pueblos indígenas</w:t>
      </w:r>
    </w:p>
    <w:p w14:paraId="38514261" w14:textId="083B45BB" w:rsidR="00C1021F" w:rsidRPr="001D431E" w:rsidRDefault="00C1021F" w:rsidP="00C4604C">
      <w:pPr>
        <w:rPr>
          <w:lang w:val="es-ES"/>
        </w:rPr>
      </w:pPr>
      <w:r w:rsidRPr="001D431E">
        <w:rPr>
          <w:lang w:val="es-ES"/>
        </w:rPr>
        <w:t xml:space="preserve">Para empoderar a los pueblos y comunidades indígenas mediante la tecnología, se han organizado </w:t>
      </w:r>
      <w:hyperlink r:id="rId26" w:history="1">
        <w:r w:rsidRPr="001D431E">
          <w:rPr>
            <w:rStyle w:val="Hyperlink"/>
            <w:rFonts w:cstheme="minorHAnsi"/>
            <w:lang w:val="es-ES"/>
          </w:rPr>
          <w:t>cursos de capacitación para comunidades indígenas</w:t>
        </w:r>
      </w:hyperlink>
      <w:r w:rsidRPr="001D431E">
        <w:rPr>
          <w:lang w:val="es-ES"/>
        </w:rPr>
        <w:t>, adaptados a sus necesidades y temas de interés específicos. En estas formaciones se tienen en cuenta la autosostenibilidad y el patrimonio cultural.</w:t>
      </w:r>
    </w:p>
    <w:p w14:paraId="206C665F" w14:textId="77777777" w:rsidR="00C1021F" w:rsidRPr="0091715A" w:rsidRDefault="00C1021F" w:rsidP="004147EB">
      <w:pPr>
        <w:pStyle w:val="Heading2"/>
        <w:rPr>
          <w:lang w:val="es-ES"/>
        </w:rPr>
      </w:pPr>
      <w:r w:rsidRPr="0091715A">
        <w:rPr>
          <w:lang w:val="es-ES"/>
        </w:rPr>
        <w:lastRenderedPageBreak/>
        <w:t>3.10</w:t>
      </w:r>
      <w:r w:rsidRPr="0091715A">
        <w:rPr>
          <w:lang w:val="es-ES"/>
        </w:rPr>
        <w:tab/>
        <w:t>Consulta UIT-OIT-UA a los jóvenes</w:t>
      </w:r>
    </w:p>
    <w:p w14:paraId="79A009E6" w14:textId="670C1659" w:rsidR="00C1021F" w:rsidRPr="001D431E" w:rsidRDefault="00C1021F" w:rsidP="00C1021F">
      <w:pPr>
        <w:rPr>
          <w:rFonts w:eastAsia="Calibri" w:cstheme="minorHAnsi"/>
          <w:lang w:val="es-ES"/>
        </w:rPr>
      </w:pPr>
      <w:r w:rsidRPr="001D431E">
        <w:rPr>
          <w:rFonts w:eastAsia="Calibri" w:cstheme="minorHAnsi"/>
          <w:lang w:val="es-ES"/>
        </w:rPr>
        <w:t>Se consultó a los jóvenes c</w:t>
      </w:r>
      <w:r w:rsidR="00B4623C">
        <w:rPr>
          <w:rFonts w:eastAsia="Calibri" w:cstheme="minorHAnsi"/>
          <w:lang w:val="es-ES"/>
        </w:rPr>
        <w:t>ó</w:t>
      </w:r>
      <w:r w:rsidRPr="001D431E">
        <w:rPr>
          <w:rFonts w:eastAsia="Calibri" w:cstheme="minorHAnsi"/>
          <w:lang w:val="es-ES"/>
        </w:rPr>
        <w:t>mo aumentar sus competencias digitales en el marco del AfriLabs celebrado en Addis Abeba, Etiopía, en noviembre. Este evento se organizó dentro del programa Impulsar los empleos decentes y mejorar las calificaciones digitales para los jóvenes en la economía digital de África de la UIT-OIT, con el apoyo de la Unión Africana.</w:t>
      </w:r>
    </w:p>
    <w:p w14:paraId="0BA8B006" w14:textId="77777777" w:rsidR="00C1021F" w:rsidRPr="009E0EC1" w:rsidRDefault="00C1021F" w:rsidP="004147EB">
      <w:pPr>
        <w:pStyle w:val="Heading2"/>
        <w:rPr>
          <w:lang w:val="es-ES"/>
        </w:rPr>
      </w:pPr>
      <w:r w:rsidRPr="009E0EC1">
        <w:rPr>
          <w:lang w:val="es-ES"/>
        </w:rPr>
        <w:t>3.11</w:t>
      </w:r>
      <w:r w:rsidRPr="009E0EC1">
        <w:rPr>
          <w:lang w:val="es-ES"/>
        </w:rPr>
        <w:tab/>
        <w:t>Semana de la Inclusión Digital UIT-UNESCO para los Estados Árabes</w:t>
      </w:r>
    </w:p>
    <w:p w14:paraId="61758635" w14:textId="5DBC9BD7" w:rsidR="00C1021F" w:rsidRPr="001D431E" w:rsidRDefault="00C1021F" w:rsidP="0091715A">
      <w:pPr>
        <w:overflowPunct/>
        <w:autoSpaceDE/>
        <w:autoSpaceDN/>
        <w:adjustRightInd/>
        <w:spacing w:after="120"/>
        <w:textAlignment w:val="auto"/>
        <w:rPr>
          <w:rFonts w:cstheme="minorHAnsi"/>
          <w:szCs w:val="24"/>
          <w:shd w:val="clear" w:color="auto" w:fill="FFFFFF"/>
          <w:lang w:val="es-ES"/>
        </w:rPr>
      </w:pPr>
      <w:r w:rsidRPr="001D431E">
        <w:rPr>
          <w:rFonts w:cstheme="minorHAnsi"/>
          <w:szCs w:val="24"/>
          <w:shd w:val="clear" w:color="auto" w:fill="FFFFFF"/>
          <w:lang w:val="es-ES"/>
        </w:rPr>
        <w:t xml:space="preserve">Durante la cuarta </w:t>
      </w:r>
      <w:hyperlink r:id="rId27" w:history="1">
        <w:r w:rsidRPr="001D431E">
          <w:rPr>
            <w:rStyle w:val="Hyperlink"/>
            <w:rFonts w:cstheme="minorHAnsi"/>
            <w:szCs w:val="24"/>
            <w:shd w:val="clear" w:color="auto" w:fill="FFFFFF"/>
            <w:lang w:val="es-ES"/>
          </w:rPr>
          <w:t>Semana de la Inclusión Digital</w:t>
        </w:r>
      </w:hyperlink>
      <w:r w:rsidRPr="001D431E">
        <w:rPr>
          <w:rFonts w:cstheme="minorHAnsi"/>
          <w:szCs w:val="24"/>
          <w:shd w:val="clear" w:color="auto" w:fill="FFFFFF"/>
          <w:lang w:val="es-ES"/>
        </w:rPr>
        <w:t xml:space="preserve"> de la UIT-UNESCO para los Estados Árabes, que se celebra cada año, se organizaron varias actividades para aumentar la inclusión digital. Entre ellas se prestó asistencia a los países para la definición de políticas de accesibilidad a las TIC, se empoderó a innovadores en aplicaciones de macrodatos para la inclusión digital, se impartieron formaciones de alfabetización financiera digital a niños, se mostraron ejemplos de logros alcanzados por personas con discapacidad y se fomentó la innovación en macrodatos para enfermedades no contagiosas.</w:t>
      </w:r>
    </w:p>
    <w:tbl>
      <w:tblPr>
        <w:tblStyle w:val="TableGrid2"/>
        <w:tblW w:w="0" w:type="auto"/>
        <w:tblLook w:val="04A0" w:firstRow="1" w:lastRow="0" w:firstColumn="1" w:lastColumn="0" w:noHBand="0" w:noVBand="1"/>
      </w:tblPr>
      <w:tblGrid>
        <w:gridCol w:w="9628"/>
      </w:tblGrid>
      <w:tr w:rsidR="00C1021F" w:rsidRPr="00007CB9" w14:paraId="7532DCA3" w14:textId="77777777" w:rsidTr="00794672">
        <w:tc>
          <w:tcPr>
            <w:tcW w:w="9628" w:type="dxa"/>
          </w:tcPr>
          <w:p w14:paraId="4D6FA2CF" w14:textId="77777777" w:rsidR="00C1021F" w:rsidRPr="0091715A" w:rsidRDefault="00C1021F" w:rsidP="0091715A">
            <w:pPr>
              <w:pStyle w:val="Headingb"/>
              <w:rPr>
                <w:rFonts w:ascii="Calibri" w:hAnsi="Calibri"/>
                <w:lang w:val="es-ES"/>
              </w:rPr>
            </w:pPr>
            <w:r w:rsidRPr="0091715A">
              <w:rPr>
                <w:rFonts w:ascii="Calibri" w:hAnsi="Calibri"/>
                <w:lang w:val="es-ES"/>
              </w:rPr>
              <w:t>INICIATIVAS REGIONALES</w:t>
            </w:r>
          </w:p>
          <w:p w14:paraId="4EC5C2A1" w14:textId="77777777" w:rsidR="00C1021F" w:rsidRPr="001D431E" w:rsidRDefault="00C1021F" w:rsidP="00794672">
            <w:pPr>
              <w:keepNext/>
              <w:tabs>
                <w:tab w:val="clear" w:pos="794"/>
                <w:tab w:val="clear" w:pos="1191"/>
                <w:tab w:val="clear" w:pos="1588"/>
                <w:tab w:val="clear" w:pos="1985"/>
              </w:tabs>
              <w:rPr>
                <w:rFonts w:asciiTheme="minorHAnsi" w:eastAsia="Calibri" w:hAnsiTheme="minorHAnsi" w:cstheme="minorHAnsi"/>
                <w:lang w:val="es-ES"/>
              </w:rPr>
            </w:pPr>
            <w:r w:rsidRPr="001D431E">
              <w:rPr>
                <w:rFonts w:asciiTheme="minorHAnsi" w:eastAsia="Calibri" w:hAnsiTheme="minorHAnsi" w:cstheme="minorHAnsi"/>
                <w:lang w:val="es-ES"/>
              </w:rPr>
              <w:t xml:space="preserve">Asia-Pacífico: </w:t>
            </w:r>
            <w:r w:rsidRPr="001D431E">
              <w:rPr>
                <w:rFonts w:asciiTheme="minorHAnsi" w:eastAsia="Calibri" w:hAnsiTheme="minorHAnsi" w:cstheme="minorHAnsi"/>
                <w:u w:val="single"/>
                <w:lang w:val="es-ES"/>
              </w:rPr>
              <w:t>Aprovechar las tecnologías de la información y la comunicación en pro de la economía digital y una sociedad digital integradora</w:t>
            </w:r>
          </w:p>
          <w:p w14:paraId="13C875C1" w14:textId="7C0E1955" w:rsidR="00C1021F" w:rsidRPr="001D431E" w:rsidRDefault="00C1021F" w:rsidP="00794672">
            <w:pPr>
              <w:tabs>
                <w:tab w:val="clear" w:pos="794"/>
                <w:tab w:val="clear" w:pos="1191"/>
                <w:tab w:val="clear" w:pos="1588"/>
                <w:tab w:val="clear" w:pos="1985"/>
              </w:tabs>
              <w:overflowPunct/>
              <w:textAlignment w:val="auto"/>
              <w:rPr>
                <w:rFonts w:asciiTheme="minorHAnsi" w:eastAsia="Calibri" w:hAnsiTheme="minorHAnsi" w:cstheme="minorHAnsi"/>
                <w:lang w:val="es-ES"/>
              </w:rPr>
            </w:pPr>
            <w:r w:rsidRPr="001D431E">
              <w:rPr>
                <w:rFonts w:asciiTheme="minorHAnsi" w:eastAsia="Calibri" w:hAnsiTheme="minorHAnsi" w:cstheme="minorHAnsi"/>
                <w:lang w:val="es-ES"/>
              </w:rPr>
              <w:t xml:space="preserve">En la región se celebraron más de 80 eventos para conmemorar el Día de las Niñas en las TIC. En Tailandia, por ejemplo, se impartió formación a niñas y jóvenes en Agritech, en asociación con el Gobierno, organismos de las Naciones Unidas, </w:t>
            </w:r>
            <w:r w:rsidR="00A131B5" w:rsidRPr="001D431E">
              <w:rPr>
                <w:rFonts w:asciiTheme="minorHAnsi" w:eastAsia="Calibri" w:hAnsiTheme="minorHAnsi" w:cstheme="minorHAnsi"/>
                <w:lang w:val="es-ES"/>
              </w:rPr>
              <w:t>Instituciones</w:t>
            </w:r>
            <w:r w:rsidRPr="001D431E">
              <w:rPr>
                <w:rFonts w:asciiTheme="minorHAnsi" w:eastAsia="Calibri" w:hAnsiTheme="minorHAnsi" w:cstheme="minorHAnsi"/>
                <w:lang w:val="es-ES"/>
              </w:rPr>
              <w:t xml:space="preserve"> Académicas y la industria, como parte de un programa en curso, lanzado en 2017 para aumentar las oportunidades laborales de las niñas y las mujeres jóvenes en Tailandia.</w:t>
            </w:r>
          </w:p>
          <w:p w14:paraId="0C5A29BC" w14:textId="77777777" w:rsidR="00C1021F" w:rsidRPr="001D431E" w:rsidRDefault="00C1021F" w:rsidP="00794672">
            <w:pPr>
              <w:keepNext/>
              <w:rPr>
                <w:rFonts w:asciiTheme="minorHAnsi" w:eastAsia="Calibri" w:hAnsiTheme="minorHAnsi" w:cstheme="minorHAnsi"/>
                <w:lang w:val="es-ES"/>
              </w:rPr>
            </w:pPr>
            <w:r w:rsidRPr="001D431E">
              <w:rPr>
                <w:rFonts w:asciiTheme="minorHAnsi" w:eastAsia="Calibri" w:hAnsiTheme="minorHAnsi" w:cstheme="minorHAnsi"/>
                <w:lang w:val="es-ES"/>
              </w:rPr>
              <w:t xml:space="preserve">Américas: </w:t>
            </w:r>
            <w:r w:rsidRPr="001D431E">
              <w:rPr>
                <w:rFonts w:asciiTheme="minorHAnsi" w:eastAsia="Calibri" w:hAnsiTheme="minorHAnsi" w:cstheme="minorHAnsi"/>
                <w:u w:val="single"/>
                <w:lang w:val="es-ES"/>
              </w:rPr>
              <w:t>Accesibilidad y asequibilidad para una Región Américas incluyente y sostenible</w:t>
            </w:r>
          </w:p>
          <w:p w14:paraId="79FFC2BF" w14:textId="77777777" w:rsidR="00C1021F" w:rsidRPr="001D431E" w:rsidRDefault="00C1021F" w:rsidP="00794672">
            <w:pPr>
              <w:rPr>
                <w:rFonts w:asciiTheme="minorHAnsi" w:hAnsiTheme="minorHAnsi" w:cstheme="minorHAnsi"/>
                <w:lang w:val="es-ES"/>
              </w:rPr>
            </w:pPr>
            <w:r w:rsidRPr="001D431E">
              <w:rPr>
                <w:rFonts w:asciiTheme="minorHAnsi" w:hAnsiTheme="minorHAnsi" w:cstheme="minorHAnsi"/>
                <w:szCs w:val="24"/>
                <w:lang w:val="es-ES"/>
              </w:rPr>
              <w:t>La UIT facilitó equipos para personas con deficiencias visuales de Dominica en el marco de la Política de acceso universal para personas con discapacidad de Dominica. Los equipos facilitados fueron tabletas Apple iPad Air, lectores en directo HumanWare Victor (nueva generación) y ordenadores HP EliteOne 800 G5 All-in-One especialmente adaptados. La asistencia colaborativa empodera a las personas con discapacidad y aumenta la integración y la igualdad</w:t>
            </w:r>
            <w:r w:rsidRPr="001D431E">
              <w:rPr>
                <w:rFonts w:asciiTheme="minorHAnsi" w:hAnsiTheme="minorHAnsi" w:cstheme="minorHAnsi"/>
                <w:lang w:val="es-ES"/>
              </w:rPr>
              <w:t xml:space="preserve">. </w:t>
            </w:r>
          </w:p>
          <w:p w14:paraId="63DF1517" w14:textId="77777777" w:rsidR="00C1021F" w:rsidRPr="001D431E" w:rsidRDefault="00C1021F" w:rsidP="00794672">
            <w:pPr>
              <w:keepNext/>
              <w:rPr>
                <w:rFonts w:asciiTheme="minorHAnsi" w:hAnsiTheme="minorHAnsi" w:cstheme="minorHAnsi"/>
                <w:u w:val="single"/>
                <w:lang w:val="es-ES"/>
              </w:rPr>
            </w:pPr>
            <w:r w:rsidRPr="001D431E">
              <w:rPr>
                <w:rFonts w:asciiTheme="minorHAnsi" w:hAnsiTheme="minorHAnsi" w:cstheme="minorHAnsi"/>
                <w:bCs/>
                <w:lang w:val="es-ES"/>
              </w:rPr>
              <w:t>Europa</w:t>
            </w:r>
            <w:r w:rsidRPr="001D431E">
              <w:rPr>
                <w:rFonts w:asciiTheme="minorHAnsi" w:hAnsiTheme="minorHAnsi" w:cstheme="minorHAnsi"/>
                <w:lang w:val="es-ES"/>
              </w:rPr>
              <w:t xml:space="preserve">: </w:t>
            </w:r>
            <w:r w:rsidRPr="001D431E">
              <w:rPr>
                <w:rFonts w:asciiTheme="minorHAnsi" w:hAnsiTheme="minorHAnsi" w:cstheme="minorHAnsi"/>
                <w:u w:val="single"/>
                <w:lang w:val="es-ES"/>
              </w:rPr>
              <w:t>Accesibilidad, asequibilidad y desarrollo de calificaciones para todos a fin de asegurar la inclusión digital y el desarrollo sostenible</w:t>
            </w:r>
          </w:p>
          <w:p w14:paraId="09988428" w14:textId="77777777" w:rsidR="00200B71" w:rsidRPr="001D431E" w:rsidRDefault="00C1021F" w:rsidP="00200B71">
            <w:pPr>
              <w:rPr>
                <w:rFonts w:asciiTheme="minorHAnsi" w:hAnsiTheme="minorHAnsi" w:cstheme="minorHAnsi"/>
                <w:lang w:val="es-ES"/>
              </w:rPr>
            </w:pPr>
            <w:r w:rsidRPr="001D431E">
              <w:rPr>
                <w:rFonts w:asciiTheme="minorHAnsi" w:hAnsiTheme="minorHAnsi" w:cstheme="minorHAnsi"/>
                <w:lang w:val="es-ES"/>
              </w:rPr>
              <w:t>Gracias al compromiso de más de 200 partes interesadas se promovió en la región un cursillo en línea autogestionado sobre accesibilidad a las TIC.</w:t>
            </w:r>
          </w:p>
          <w:p w14:paraId="280F2DDD" w14:textId="1C7B3E7C" w:rsidR="00C1021F" w:rsidRPr="0080599E" w:rsidRDefault="00200B71" w:rsidP="0080599E">
            <w:pPr>
              <w:pStyle w:val="enumlev1"/>
              <w:rPr>
                <w:rFonts w:asciiTheme="minorHAnsi" w:hAnsiTheme="minorHAnsi" w:cstheme="minorHAnsi"/>
                <w:lang w:val="es-ES"/>
              </w:rPr>
            </w:pPr>
            <w:r w:rsidRPr="0080599E">
              <w:rPr>
                <w:rFonts w:asciiTheme="minorHAnsi" w:hAnsiTheme="minorHAnsi" w:cstheme="minorHAnsi"/>
                <w:lang w:val="es-ES"/>
              </w:rPr>
              <w:t>•</w:t>
            </w:r>
            <w:r w:rsidRPr="0080599E">
              <w:rPr>
                <w:rFonts w:asciiTheme="minorHAnsi" w:hAnsiTheme="minorHAnsi" w:cstheme="minorHAnsi"/>
                <w:lang w:val="es-ES"/>
              </w:rPr>
              <w:tab/>
            </w:r>
            <w:r w:rsidR="00C1021F" w:rsidRPr="0080599E">
              <w:rPr>
                <w:rFonts w:asciiTheme="minorHAnsi" w:hAnsiTheme="minorHAnsi" w:cstheme="minorHAnsi"/>
                <w:lang w:val="es-ES"/>
              </w:rPr>
              <w:t xml:space="preserve">Se organizó un concurso regional sobre </w:t>
            </w:r>
            <w:hyperlink r:id="rId28" w:history="1">
              <w:r w:rsidR="00C1021F" w:rsidRPr="00BD1F0A">
                <w:rPr>
                  <w:rStyle w:val="Hyperlink"/>
                  <w:rFonts w:asciiTheme="minorHAnsi" w:hAnsiTheme="minorHAnsi" w:cstheme="minorHAnsi"/>
                  <w:szCs w:val="24"/>
                  <w:shd w:val="clear" w:color="auto" w:fill="FFFFFF"/>
                  <w:lang w:val="es-ES"/>
                </w:rPr>
                <w:t>Soluciones digitales innovadoras para una Europa accesible</w:t>
              </w:r>
              <w:r w:rsidR="00C1021F" w:rsidRPr="009F1BCF">
                <w:rPr>
                  <w:rFonts w:asciiTheme="minorHAnsi" w:hAnsiTheme="minorHAnsi" w:cstheme="minorHAnsi"/>
                  <w:lang w:val="es-ES"/>
                </w:rPr>
                <w:t xml:space="preserve"> </w:t>
              </w:r>
              <w:r w:rsidR="00C1021F" w:rsidRPr="0080599E">
                <w:rPr>
                  <w:rFonts w:asciiTheme="minorHAnsi" w:hAnsiTheme="minorHAnsi" w:cstheme="minorHAnsi"/>
                  <w:lang w:val="es-ES"/>
                </w:rPr>
                <w:t>en el que participaron más de 80 nuevas empresas</w:t>
              </w:r>
            </w:hyperlink>
            <w:r w:rsidR="00C1021F" w:rsidRPr="0080599E">
              <w:rPr>
                <w:rFonts w:asciiTheme="minorHAnsi" w:hAnsiTheme="minorHAnsi" w:cstheme="minorHAnsi"/>
                <w:lang w:val="es-ES"/>
              </w:rPr>
              <w:t>.</w:t>
            </w:r>
          </w:p>
          <w:p w14:paraId="695F5146" w14:textId="5F98BCCE" w:rsidR="00C1021F" w:rsidRPr="0080599E" w:rsidRDefault="00200B71" w:rsidP="0080599E">
            <w:pPr>
              <w:pStyle w:val="enumlev1"/>
              <w:rPr>
                <w:rFonts w:asciiTheme="minorHAnsi" w:hAnsiTheme="minorHAnsi" w:cstheme="minorHAnsi"/>
                <w:szCs w:val="24"/>
                <w:lang w:val="es-ES"/>
              </w:rPr>
            </w:pPr>
            <w:r w:rsidRPr="0080599E">
              <w:rPr>
                <w:rFonts w:asciiTheme="minorHAnsi" w:hAnsiTheme="minorHAnsi" w:cstheme="minorHAnsi"/>
                <w:szCs w:val="24"/>
                <w:lang w:val="es-ES"/>
              </w:rPr>
              <w:t>•</w:t>
            </w:r>
            <w:r w:rsidRPr="0080599E">
              <w:rPr>
                <w:rFonts w:asciiTheme="minorHAnsi" w:hAnsiTheme="minorHAnsi" w:cstheme="minorHAnsi"/>
                <w:szCs w:val="24"/>
                <w:lang w:val="es-ES"/>
              </w:rPr>
              <w:tab/>
            </w:r>
            <w:r w:rsidR="00C1021F" w:rsidRPr="0080599E">
              <w:rPr>
                <w:rFonts w:asciiTheme="minorHAnsi" w:hAnsiTheme="minorHAnsi" w:cstheme="minorHAnsi"/>
                <w:szCs w:val="24"/>
                <w:lang w:val="es-ES"/>
              </w:rPr>
              <w:t>Se presentaron artículos sobre accesibilidad a las TIC a fin de avanzar los trabajos al respecto en los ámbitos de la inteligencia artificial, la radiodifusión, las normas y las adquisiciones.</w:t>
            </w:r>
          </w:p>
          <w:p w14:paraId="08BDD86E" w14:textId="11FE19C0" w:rsidR="00C1021F" w:rsidRPr="0080599E" w:rsidRDefault="00200B71" w:rsidP="0080599E">
            <w:pPr>
              <w:pStyle w:val="enumlev1"/>
              <w:rPr>
                <w:rFonts w:asciiTheme="minorHAnsi" w:hAnsiTheme="minorHAnsi" w:cstheme="minorHAnsi"/>
                <w:szCs w:val="24"/>
                <w:lang w:val="es-ES"/>
              </w:rPr>
            </w:pPr>
            <w:r w:rsidRPr="0080599E">
              <w:rPr>
                <w:rFonts w:asciiTheme="minorHAnsi" w:hAnsiTheme="minorHAnsi" w:cstheme="minorHAnsi"/>
                <w:lang w:val="es-ES"/>
              </w:rPr>
              <w:t>•</w:t>
            </w:r>
            <w:r w:rsidRPr="0080599E">
              <w:rPr>
                <w:rFonts w:asciiTheme="minorHAnsi" w:hAnsiTheme="minorHAnsi" w:cstheme="minorHAnsi"/>
                <w:lang w:val="es-ES"/>
              </w:rPr>
              <w:tab/>
            </w:r>
            <w:r w:rsidR="00C1021F" w:rsidRPr="0080599E">
              <w:rPr>
                <w:rFonts w:asciiTheme="minorHAnsi" w:hAnsiTheme="minorHAnsi" w:cstheme="minorHAnsi"/>
                <w:lang w:val="es-ES"/>
              </w:rPr>
              <w:t>Se</w:t>
            </w:r>
            <w:r w:rsidR="00C1021F" w:rsidRPr="0080599E">
              <w:rPr>
                <w:rFonts w:asciiTheme="minorHAnsi" w:hAnsiTheme="minorHAnsi" w:cstheme="minorHAnsi"/>
                <w:szCs w:val="24"/>
                <w:lang w:val="es-ES"/>
              </w:rPr>
              <w:t xml:space="preserve"> promovió en toda Europa la base de datos GARI para aumentar </w:t>
            </w:r>
            <w:r w:rsidR="00794672" w:rsidRPr="0080599E">
              <w:rPr>
                <w:rFonts w:asciiTheme="minorHAnsi" w:hAnsiTheme="minorHAnsi" w:cstheme="minorHAnsi"/>
                <w:szCs w:val="24"/>
                <w:lang w:val="es-ES"/>
              </w:rPr>
              <w:t>el conocimiento</w:t>
            </w:r>
            <w:r w:rsidR="00C1021F" w:rsidRPr="0080599E">
              <w:rPr>
                <w:rFonts w:asciiTheme="minorHAnsi" w:hAnsiTheme="minorHAnsi" w:cstheme="minorHAnsi"/>
                <w:szCs w:val="24"/>
                <w:lang w:val="es-ES"/>
              </w:rPr>
              <w:t xml:space="preserve"> sobre las funcionalidades de accesibilidad de los dispositivos móviles. </w:t>
            </w:r>
          </w:p>
          <w:p w14:paraId="762499F2" w14:textId="00190F80" w:rsidR="00C1021F" w:rsidRPr="001D431E" w:rsidRDefault="00200B71" w:rsidP="0091715A">
            <w:pPr>
              <w:pStyle w:val="enumlev1"/>
              <w:spacing w:after="120"/>
              <w:rPr>
                <w:color w:val="444444"/>
                <w:lang w:val="es-ES"/>
              </w:rPr>
            </w:pPr>
            <w:r w:rsidRPr="0080599E">
              <w:rPr>
                <w:rFonts w:asciiTheme="minorHAnsi" w:hAnsiTheme="minorHAnsi" w:cstheme="minorHAnsi"/>
                <w:szCs w:val="24"/>
                <w:lang w:val="es-ES"/>
              </w:rPr>
              <w:t>•</w:t>
            </w:r>
            <w:r w:rsidRPr="0080599E">
              <w:rPr>
                <w:rFonts w:asciiTheme="minorHAnsi" w:hAnsiTheme="minorHAnsi" w:cstheme="minorHAnsi"/>
                <w:szCs w:val="24"/>
                <w:lang w:val="es-ES"/>
              </w:rPr>
              <w:tab/>
            </w:r>
            <w:r w:rsidR="00C1021F" w:rsidRPr="0080599E">
              <w:rPr>
                <w:rFonts w:asciiTheme="minorHAnsi" w:hAnsiTheme="minorHAnsi" w:cstheme="minorHAnsi"/>
                <w:szCs w:val="24"/>
                <w:lang w:val="es-ES"/>
              </w:rPr>
              <w:t xml:space="preserve">Se preparó el estudio regional </w:t>
            </w:r>
            <w:r w:rsidR="00C1021F" w:rsidRPr="0080599E">
              <w:rPr>
                <w:rFonts w:asciiTheme="minorHAnsi" w:hAnsiTheme="minorHAnsi" w:cstheme="minorHAnsi"/>
                <w:i/>
                <w:iCs/>
                <w:szCs w:val="24"/>
                <w:lang w:val="es-ES"/>
              </w:rPr>
              <w:t>ICT Empowered Generation Equality</w:t>
            </w:r>
            <w:r w:rsidR="00C1021F" w:rsidRPr="0080599E">
              <w:rPr>
                <w:rFonts w:asciiTheme="minorHAnsi" w:hAnsiTheme="minorHAnsi" w:cstheme="minorHAnsi"/>
                <w:szCs w:val="24"/>
                <w:lang w:val="es-ES"/>
              </w:rPr>
              <w:t xml:space="preserve"> para su revisión y consulta con los socios de las Naciones Unidas.</w:t>
            </w:r>
            <w:r w:rsidR="00C1021F" w:rsidRPr="001D431E">
              <w:rPr>
                <w:lang w:val="es-ES"/>
              </w:rPr>
              <w:t xml:space="preserve"> </w:t>
            </w:r>
          </w:p>
        </w:tc>
      </w:tr>
    </w:tbl>
    <w:p w14:paraId="3B473FA4" w14:textId="77777777" w:rsidR="00C1021F" w:rsidRPr="00F52BA4" w:rsidRDefault="00C1021F" w:rsidP="0091715A">
      <w:pPr>
        <w:shd w:val="clear" w:color="auto" w:fill="FFFFFF"/>
        <w:tabs>
          <w:tab w:val="clear" w:pos="794"/>
          <w:tab w:val="clear" w:pos="1191"/>
          <w:tab w:val="clear" w:pos="1588"/>
          <w:tab w:val="clear" w:pos="1985"/>
        </w:tabs>
        <w:overflowPunct/>
        <w:autoSpaceDE/>
        <w:autoSpaceDN/>
        <w:adjustRightInd/>
        <w:spacing w:before="0"/>
        <w:rPr>
          <w:rFonts w:cstheme="minorHAnsi"/>
          <w:spacing w:val="-2"/>
          <w:szCs w:val="24"/>
          <w:lang w:val="es-ES"/>
        </w:rPr>
      </w:pPr>
    </w:p>
    <w:tbl>
      <w:tblPr>
        <w:tblStyle w:val="TableGrid2"/>
        <w:tblW w:w="0" w:type="auto"/>
        <w:tblLook w:val="04A0" w:firstRow="1" w:lastRow="0" w:firstColumn="1" w:lastColumn="0" w:noHBand="0" w:noVBand="1"/>
      </w:tblPr>
      <w:tblGrid>
        <w:gridCol w:w="9628"/>
      </w:tblGrid>
      <w:tr w:rsidR="00C1021F" w:rsidRPr="00BD1F0A" w14:paraId="40994552" w14:textId="77777777" w:rsidTr="00794672">
        <w:tc>
          <w:tcPr>
            <w:tcW w:w="9629" w:type="dxa"/>
          </w:tcPr>
          <w:p w14:paraId="37615C1B" w14:textId="77777777" w:rsidR="00C1021F" w:rsidRPr="0091715A" w:rsidRDefault="00C1021F" w:rsidP="0091715A">
            <w:pPr>
              <w:pStyle w:val="Headingb"/>
              <w:rPr>
                <w:rFonts w:ascii="Calibri" w:hAnsi="Calibri"/>
                <w:lang w:val="es-ES"/>
              </w:rPr>
            </w:pPr>
            <w:r w:rsidRPr="0091715A">
              <w:rPr>
                <w:rFonts w:ascii="Calibri" w:hAnsi="Calibri"/>
                <w:lang w:val="es-ES"/>
              </w:rPr>
              <w:lastRenderedPageBreak/>
              <w:t>COMISIONES DE ESTUDIO</w:t>
            </w:r>
          </w:p>
          <w:p w14:paraId="2D17565F" w14:textId="5DE95045" w:rsidR="00C1021F" w:rsidRPr="00F52BA4" w:rsidRDefault="00C1021F" w:rsidP="00F52BA4">
            <w:pPr>
              <w:keepNext/>
              <w:keepLines/>
              <w:shd w:val="clear" w:color="auto" w:fill="FFFFFF" w:themeFill="background1"/>
              <w:tabs>
                <w:tab w:val="clear" w:pos="794"/>
                <w:tab w:val="clear" w:pos="1191"/>
                <w:tab w:val="clear" w:pos="1588"/>
                <w:tab w:val="clear" w:pos="1985"/>
              </w:tabs>
              <w:overflowPunct/>
              <w:autoSpaceDE/>
              <w:autoSpaceDN/>
              <w:adjustRightInd/>
              <w:rPr>
                <w:rFonts w:asciiTheme="minorHAnsi" w:hAnsiTheme="minorHAnsi" w:cstheme="minorHAnsi"/>
                <w:lang w:val="es-ES"/>
              </w:rPr>
            </w:pPr>
            <w:r w:rsidRPr="00F52BA4">
              <w:rPr>
                <w:rFonts w:asciiTheme="minorHAnsi" w:hAnsiTheme="minorHAnsi" w:cstheme="minorHAnsi"/>
                <w:lang w:val="es-ES"/>
              </w:rPr>
              <w:t>La Cuestión 7/1:</w:t>
            </w:r>
            <w:hyperlink r:id="rId29" w:history="1">
              <w:r w:rsidRPr="00F52BA4">
                <w:rPr>
                  <w:rStyle w:val="Hyperlink"/>
                  <w:rFonts w:asciiTheme="minorHAnsi" w:hAnsiTheme="minorHAnsi" w:cstheme="minorHAnsi"/>
                  <w:lang w:val="es-ES"/>
                </w:rPr>
                <w:t xml:space="preserve"> </w:t>
              </w:r>
              <w:r w:rsidRPr="00F52BA4">
                <w:rPr>
                  <w:rStyle w:val="Hyperlink"/>
                  <w:rFonts w:asciiTheme="minorHAnsi" w:hAnsiTheme="minorHAnsi" w:cstheme="minorHAnsi"/>
                  <w:i/>
                  <w:iCs/>
                  <w:lang w:val="es-ES"/>
                </w:rPr>
                <w:t>Acceso a los servicios de telecomunicaciones/TIC para las personas con discapacidad y otras personas con necesidades especiales</w:t>
              </w:r>
            </w:hyperlink>
            <w:r w:rsidRPr="00F52BA4">
              <w:rPr>
                <w:rFonts w:asciiTheme="minorHAnsi" w:hAnsiTheme="minorHAnsi" w:cstheme="minorHAnsi"/>
                <w:lang w:val="es-ES"/>
              </w:rPr>
              <w:t xml:space="preserve"> de la Comisión de Estudio 1 definió y acordó un plan de trabajo que se centrará en la aplicación de las políticas y prácticas de la UIT en materia de accesibilidad a las TIC, incluidas la educación inclusiva y la accesibilidad a la web. </w:t>
            </w:r>
          </w:p>
          <w:p w14:paraId="735936D4" w14:textId="56530A44" w:rsidR="00C1021F" w:rsidRPr="00F52BA4" w:rsidRDefault="00C1021F" w:rsidP="00E54D4C">
            <w:pPr>
              <w:spacing w:after="120"/>
              <w:rPr>
                <w:rFonts w:asciiTheme="minorHAnsi" w:hAnsiTheme="minorHAnsi" w:cstheme="minorHAnsi"/>
                <w:szCs w:val="24"/>
                <w:lang w:val="es-ES"/>
              </w:rPr>
            </w:pPr>
            <w:r w:rsidRPr="00F52BA4">
              <w:rPr>
                <w:rFonts w:asciiTheme="minorHAnsi" w:hAnsiTheme="minorHAnsi" w:cstheme="minorHAnsi"/>
                <w:szCs w:val="24"/>
                <w:lang w:val="es-ES"/>
              </w:rPr>
              <w:t>Se celebró una sesión de información sobre fundamentos de la accesibilidad a las TIC para un grupo de participantes del Grupo de Relator de la CE</w:t>
            </w:r>
            <w:r w:rsidR="00C15FD2">
              <w:rPr>
                <w:rFonts w:asciiTheme="minorHAnsi" w:hAnsiTheme="minorHAnsi" w:cstheme="minorHAnsi"/>
                <w:szCs w:val="24"/>
                <w:lang w:val="es-ES"/>
              </w:rPr>
              <w:t xml:space="preserve"> </w:t>
            </w:r>
            <w:r w:rsidRPr="00F52BA4">
              <w:rPr>
                <w:rFonts w:asciiTheme="minorHAnsi" w:hAnsiTheme="minorHAnsi" w:cstheme="minorHAnsi"/>
                <w:szCs w:val="24"/>
                <w:lang w:val="es-ES"/>
              </w:rPr>
              <w:t xml:space="preserve">1 del UIT-D el 3 de octubre de 2019, que ayudó a los Estados Miembros de la UIT a comprender las definiciones clave y las tendencias de las políticas y estrategias de accesibilidad a las TIC; a identificar las necesidades de accesibilidad digital, y a considerar la accesibilidad a las TIC como una oportunidad empresarial, además de reconocer los beneficios que aporta a todos los interesados. También se animó a los participantes a inscribirse a dos cursos, uno sobre </w:t>
            </w:r>
            <w:hyperlink r:id="rId30" w:history="1">
              <w:r w:rsidRPr="00F52BA4">
                <w:rPr>
                  <w:rFonts w:asciiTheme="minorHAnsi" w:hAnsiTheme="minorHAnsi" w:cstheme="minorHAnsi"/>
                  <w:color w:val="0000FF" w:themeColor="hyperlink"/>
                  <w:szCs w:val="24"/>
                  <w:u w:val="single"/>
                  <w:lang w:val="es-ES"/>
                </w:rPr>
                <w:t>Accesibilidad a las TIC</w:t>
              </w:r>
            </w:hyperlink>
            <w:r w:rsidRPr="00F52BA4">
              <w:rPr>
                <w:rFonts w:asciiTheme="minorHAnsi" w:hAnsiTheme="minorHAnsi" w:cstheme="minorHAnsi"/>
                <w:szCs w:val="24"/>
                <w:lang w:val="es-ES"/>
              </w:rPr>
              <w:t xml:space="preserve"> y otro sobre </w:t>
            </w:r>
            <w:hyperlink r:id="rId31" w:history="1">
              <w:r w:rsidRPr="00F52BA4">
                <w:rPr>
                  <w:rFonts w:asciiTheme="minorHAnsi" w:hAnsiTheme="minorHAnsi" w:cstheme="minorHAnsi"/>
                  <w:color w:val="0000FF" w:themeColor="hyperlink"/>
                  <w:szCs w:val="24"/>
                  <w:u w:val="single"/>
                  <w:lang w:val="es-ES"/>
                </w:rPr>
                <w:t>Accesibilidad a la web</w:t>
              </w:r>
            </w:hyperlink>
            <w:r w:rsidRPr="00F52BA4">
              <w:rPr>
                <w:rFonts w:asciiTheme="minorHAnsi" w:hAnsiTheme="minorHAnsi" w:cstheme="minorHAnsi"/>
                <w:color w:val="0000FF" w:themeColor="hyperlink"/>
                <w:szCs w:val="24"/>
                <w:u w:val="single"/>
                <w:lang w:val="es-ES"/>
              </w:rPr>
              <w:t>,</w:t>
            </w:r>
            <w:r w:rsidRPr="00F52BA4">
              <w:rPr>
                <w:rFonts w:asciiTheme="minorHAnsi" w:hAnsiTheme="minorHAnsi" w:cstheme="minorHAnsi"/>
                <w:szCs w:val="24"/>
                <w:lang w:val="es-ES"/>
              </w:rPr>
              <w:t xml:space="preserve"> disponibles en la </w:t>
            </w:r>
            <w:hyperlink r:id="rId32" w:history="1">
              <w:r w:rsidRPr="00F52BA4">
                <w:rPr>
                  <w:rFonts w:asciiTheme="minorHAnsi" w:hAnsiTheme="minorHAnsi" w:cstheme="minorHAnsi"/>
                  <w:color w:val="0000FF" w:themeColor="hyperlink"/>
                  <w:szCs w:val="24"/>
                  <w:u w:val="single"/>
                  <w:lang w:val="es-ES"/>
                </w:rPr>
                <w:t>Academia de la UIT</w:t>
              </w:r>
            </w:hyperlink>
            <w:r w:rsidRPr="00F52BA4">
              <w:rPr>
                <w:rFonts w:asciiTheme="minorHAnsi" w:hAnsiTheme="minorHAnsi" w:cstheme="minorHAnsi"/>
                <w:szCs w:val="24"/>
                <w:lang w:val="es-ES"/>
              </w:rPr>
              <w:t>. También se hizo una demostración práctica de la Academia de la UIT revisada.</w:t>
            </w:r>
          </w:p>
        </w:tc>
      </w:tr>
    </w:tbl>
    <w:p w14:paraId="5305409E" w14:textId="21916D4D" w:rsidR="00C1021F" w:rsidRPr="009E0EC1" w:rsidRDefault="00C1021F" w:rsidP="00C4604C">
      <w:pPr>
        <w:pStyle w:val="Heading1"/>
        <w:rPr>
          <w:lang w:val="es-ES"/>
        </w:rPr>
      </w:pPr>
      <w:r w:rsidRPr="009E0EC1">
        <w:rPr>
          <w:lang w:val="es-ES"/>
        </w:rPr>
        <w:t>4</w:t>
      </w:r>
      <w:r w:rsidRPr="009E0EC1">
        <w:rPr>
          <w:lang w:val="es-ES"/>
        </w:rPr>
        <w:tab/>
        <w:t xml:space="preserve">Ecosistemas de innovación digital: acelerar los ecosistemas de innovación para la transformación digital </w:t>
      </w:r>
    </w:p>
    <w:p w14:paraId="0B8CC179" w14:textId="77777777" w:rsidR="00C1021F" w:rsidRPr="009E0EC1" w:rsidRDefault="00C1021F" w:rsidP="004147EB">
      <w:pPr>
        <w:pStyle w:val="Heading2"/>
        <w:rPr>
          <w:lang w:val="es-ES"/>
        </w:rPr>
      </w:pPr>
      <w:r w:rsidRPr="009E0EC1">
        <w:rPr>
          <w:lang w:val="es-ES"/>
        </w:rPr>
        <w:t>4.1</w:t>
      </w:r>
      <w:r w:rsidRPr="009E0EC1">
        <w:rPr>
          <w:lang w:val="es-ES"/>
        </w:rPr>
        <w:tab/>
        <w:t>Concursos de innovación</w:t>
      </w:r>
    </w:p>
    <w:p w14:paraId="31E6EACB" w14:textId="1B248F5B" w:rsidR="00C1021F" w:rsidRPr="00F52BA4" w:rsidRDefault="00C1021F" w:rsidP="00C1021F">
      <w:pPr>
        <w:overflowPunct/>
        <w:autoSpaceDE/>
        <w:autoSpaceDN/>
        <w:adjustRightInd/>
        <w:spacing w:line="252" w:lineRule="auto"/>
        <w:textAlignment w:val="auto"/>
        <w:rPr>
          <w:rFonts w:cstheme="minorHAnsi"/>
          <w:szCs w:val="24"/>
          <w:lang w:val="es-ES"/>
        </w:rPr>
      </w:pPr>
      <w:r w:rsidRPr="00F52BA4">
        <w:rPr>
          <w:rFonts w:cstheme="minorHAnsi"/>
          <w:szCs w:val="24"/>
          <w:lang w:val="es-ES"/>
        </w:rPr>
        <w:t xml:space="preserve">Los </w:t>
      </w:r>
      <w:hyperlink r:id="rId33" w:history="1">
        <w:r w:rsidRPr="00F52BA4">
          <w:rPr>
            <w:rStyle w:val="Hyperlink"/>
            <w:rFonts w:cstheme="minorHAnsi"/>
            <w:szCs w:val="24"/>
            <w:lang w:val="es-ES"/>
          </w:rPr>
          <w:t>concursos de innovación</w:t>
        </w:r>
      </w:hyperlink>
      <w:r w:rsidRPr="00F52BA4">
        <w:rPr>
          <w:rFonts w:cstheme="minorHAnsi"/>
          <w:szCs w:val="24"/>
          <w:lang w:val="es-ES"/>
        </w:rPr>
        <w:t xml:space="preserve"> son una plataforma abierta donde cualquiera puede presentar sus ideas y proyectos en pro de la transformación digital de personas, comunidades y sociedades a través de la innovación. En 2019 uno de los ganadores de Sudáfrica, una empresa tecnológica con sede en Durban, recibió el reconocimiento a su excelencia con ocasión de ITU Telecom World 2019, Budapest, Hungría. La empresa recibió 1,5 millones USD para replicar su trabajo en otras ciudades de la zona de Durban y recibió un compromiso de </w:t>
      </w:r>
      <w:r w:rsidR="004721EA">
        <w:rPr>
          <w:rFonts w:cstheme="minorHAnsi"/>
          <w:szCs w:val="24"/>
          <w:lang w:val="es-ES"/>
        </w:rPr>
        <w:t>"</w:t>
      </w:r>
      <w:r w:rsidRPr="00F52BA4">
        <w:rPr>
          <w:rFonts w:cstheme="minorHAnsi"/>
          <w:szCs w:val="24"/>
          <w:lang w:val="es-ES"/>
        </w:rPr>
        <w:t>financiación global</w:t>
      </w:r>
      <w:r w:rsidR="004721EA">
        <w:rPr>
          <w:rFonts w:cstheme="minorHAnsi"/>
          <w:szCs w:val="24"/>
          <w:lang w:val="es-ES"/>
        </w:rPr>
        <w:t>"</w:t>
      </w:r>
      <w:r w:rsidRPr="00F52BA4">
        <w:rPr>
          <w:rFonts w:cstheme="minorHAnsi"/>
          <w:szCs w:val="24"/>
          <w:lang w:val="es-ES"/>
        </w:rPr>
        <w:t xml:space="preserve"> de casi 10</w:t>
      </w:r>
      <w:r w:rsidR="00794672" w:rsidRPr="00F52BA4">
        <w:rPr>
          <w:rFonts w:cstheme="minorHAnsi"/>
          <w:szCs w:val="24"/>
          <w:lang w:val="es-ES"/>
        </w:rPr>
        <w:t> </w:t>
      </w:r>
      <w:r w:rsidRPr="00F52BA4">
        <w:rPr>
          <w:rFonts w:cstheme="minorHAnsi"/>
          <w:szCs w:val="24"/>
          <w:lang w:val="es-ES"/>
        </w:rPr>
        <w:t>millones USD para comercializar sus innovaciones.</w:t>
      </w:r>
    </w:p>
    <w:p w14:paraId="02CA2B31" w14:textId="631AE74E" w:rsidR="00C1021F" w:rsidRPr="009E0EC1" w:rsidRDefault="00C1021F" w:rsidP="004147EB">
      <w:pPr>
        <w:pStyle w:val="Heading2"/>
        <w:rPr>
          <w:lang w:val="es-ES"/>
        </w:rPr>
      </w:pPr>
      <w:r w:rsidRPr="009E0EC1">
        <w:rPr>
          <w:lang w:val="es-ES"/>
        </w:rPr>
        <w:t>4.2</w:t>
      </w:r>
      <w:r w:rsidRPr="009E0EC1">
        <w:rPr>
          <w:lang w:val="es-ES"/>
        </w:rPr>
        <w:tab/>
        <w:t xml:space="preserve">Foros de innovación </w:t>
      </w:r>
    </w:p>
    <w:p w14:paraId="20E7A82E" w14:textId="77777777" w:rsidR="00C1021F" w:rsidRPr="00F52BA4" w:rsidRDefault="00C1021F" w:rsidP="00F52BA4">
      <w:pPr>
        <w:overflowPunct/>
        <w:autoSpaceDE/>
        <w:autoSpaceDN/>
        <w:adjustRightInd/>
        <w:spacing w:line="252" w:lineRule="auto"/>
        <w:ind w:right="-1"/>
        <w:textAlignment w:val="auto"/>
        <w:rPr>
          <w:rFonts w:cstheme="minorHAnsi"/>
          <w:szCs w:val="24"/>
          <w:lang w:val="es-ES"/>
        </w:rPr>
      </w:pPr>
      <w:r w:rsidRPr="00F52BA4">
        <w:rPr>
          <w:rFonts w:cstheme="minorHAnsi"/>
          <w:szCs w:val="24"/>
          <w:lang w:val="es-ES"/>
        </w:rPr>
        <w:t>En los Foros Regionales de Innovación celebrados en las regiones de los Estados Árabes y África (Brazzaville y El Cairo), responsables de políticas, académicos, innovadores y creadores de ecosistemas de 16 países debatieron acerca de la creación de ecosistemas ágiles y colaborativos favorables a la innovación digital. Los participantes en los foros de innovación disponen ahora de las herramientas y conocimientos necesarios para considerar las políticas y programas de TIC desde la perspectiva de los pilares de innovación que favorecen la creación empresarial y la innovación digital.</w:t>
      </w:r>
    </w:p>
    <w:p w14:paraId="722BBB16" w14:textId="1A288E5A" w:rsidR="00C1021F" w:rsidRPr="009E0EC1" w:rsidRDefault="00C1021F" w:rsidP="004147EB">
      <w:pPr>
        <w:pStyle w:val="Heading2"/>
        <w:rPr>
          <w:lang w:val="es-ES"/>
        </w:rPr>
      </w:pPr>
      <w:r w:rsidRPr="009E0EC1">
        <w:rPr>
          <w:lang w:val="es-ES"/>
        </w:rPr>
        <w:t>4.3</w:t>
      </w:r>
      <w:r w:rsidRPr="009E0EC1">
        <w:rPr>
          <w:lang w:val="es-ES"/>
        </w:rPr>
        <w:tab/>
        <w:t>Compartición de conocimientos sobre innovación</w:t>
      </w:r>
    </w:p>
    <w:p w14:paraId="12B52BB0" w14:textId="1E30738A" w:rsidR="00C1021F" w:rsidRPr="00F52BA4" w:rsidRDefault="00C1021F" w:rsidP="00C1021F">
      <w:pPr>
        <w:overflowPunct/>
        <w:autoSpaceDE/>
        <w:autoSpaceDN/>
        <w:adjustRightInd/>
        <w:spacing w:line="252" w:lineRule="auto"/>
        <w:textAlignment w:val="auto"/>
        <w:rPr>
          <w:rFonts w:cstheme="minorHAnsi"/>
          <w:szCs w:val="24"/>
          <w:lang w:val="es-ES"/>
        </w:rPr>
      </w:pPr>
      <w:r w:rsidRPr="00F52BA4">
        <w:rPr>
          <w:rFonts w:cstheme="minorHAnsi"/>
          <w:szCs w:val="24"/>
          <w:lang w:val="es-ES"/>
        </w:rPr>
        <w:t>Los ganadores de los concursos de innovación de la UIT presentaron sus propuestas en el Foro de Jóvenes Líderes de TIC, celebrado en Busán, República de Corea, y asistieron a un curso intensivo para desarrollar aún más sus ideas. El Foro disponía de un espacio donde los jóvenes innovadores en TIC podían crear redes de contactos, conocerse y enriquecer sus ideas innovadoras para crear comunidades inteligentes.</w:t>
      </w:r>
    </w:p>
    <w:p w14:paraId="4B59B99B" w14:textId="649C53F3" w:rsidR="00C1021F" w:rsidRPr="00F52BA4" w:rsidRDefault="00C1021F" w:rsidP="0091715A">
      <w:pPr>
        <w:rPr>
          <w:lang w:val="es-ES"/>
        </w:rPr>
      </w:pPr>
      <w:r w:rsidRPr="00F52BA4">
        <w:rPr>
          <w:lang w:val="es-ES"/>
        </w:rPr>
        <w:t>Una asociación con el programa de nuevas empresas del Gobierno de Hungría (</w:t>
      </w:r>
      <w:hyperlink r:id="rId34" w:history="1">
        <w:r w:rsidRPr="00F52BA4">
          <w:rPr>
            <w:rStyle w:val="Hyperlink"/>
            <w:rFonts w:cstheme="minorHAnsi"/>
            <w:szCs w:val="24"/>
            <w:lang w:val="es-ES"/>
          </w:rPr>
          <w:t>INPUT</w:t>
        </w:r>
      </w:hyperlink>
      <w:r w:rsidRPr="00F52BA4">
        <w:rPr>
          <w:lang w:val="es-ES"/>
        </w:rPr>
        <w:t>) di</w:t>
      </w:r>
      <w:r w:rsidR="004721EA">
        <w:rPr>
          <w:lang w:val="es-ES"/>
        </w:rPr>
        <w:t>o</w:t>
      </w:r>
      <w:r w:rsidRPr="00F52BA4">
        <w:rPr>
          <w:lang w:val="es-ES"/>
        </w:rPr>
        <w:t xml:space="preserve"> a los ganadores de los concursos de innovación de la UIT </w:t>
      </w:r>
      <w:r w:rsidR="00794672" w:rsidRPr="00F52BA4">
        <w:rPr>
          <w:lang w:val="es-ES"/>
        </w:rPr>
        <w:t>la oportunidad</w:t>
      </w:r>
      <w:r w:rsidRPr="00F52BA4">
        <w:rPr>
          <w:lang w:val="es-ES"/>
        </w:rPr>
        <w:t xml:space="preserve"> de conocer y crear redes de </w:t>
      </w:r>
      <w:r w:rsidRPr="00F52BA4">
        <w:rPr>
          <w:lang w:val="es-ES"/>
        </w:rPr>
        <w:lastRenderedPageBreak/>
        <w:t xml:space="preserve">contactos con otros ecosistemas de los Estados Miembros en el marco de ITU Telecom World 2019, Budapest, Hungría. </w:t>
      </w:r>
    </w:p>
    <w:p w14:paraId="4C3251C4" w14:textId="25B38089" w:rsidR="00C1021F" w:rsidRPr="00F52BA4" w:rsidRDefault="00C1021F" w:rsidP="00C1021F">
      <w:pPr>
        <w:overflowPunct/>
        <w:autoSpaceDE/>
        <w:autoSpaceDN/>
        <w:adjustRightInd/>
        <w:spacing w:line="252" w:lineRule="auto"/>
        <w:textAlignment w:val="auto"/>
        <w:rPr>
          <w:rFonts w:cstheme="minorHAnsi"/>
          <w:szCs w:val="24"/>
          <w:lang w:val="es-ES"/>
        </w:rPr>
      </w:pPr>
      <w:r w:rsidRPr="00F52BA4">
        <w:rPr>
          <w:rFonts w:cstheme="minorHAnsi"/>
          <w:szCs w:val="24"/>
          <w:lang w:val="es-ES"/>
        </w:rPr>
        <w:t xml:space="preserve">En marco de la </w:t>
      </w:r>
      <w:hyperlink r:id="rId35" w:anchor="agenda" w:history="1">
        <w:r w:rsidRPr="00F52BA4">
          <w:rPr>
            <w:rStyle w:val="Hyperlink"/>
            <w:rFonts w:cstheme="minorHAnsi"/>
            <w:szCs w:val="24"/>
            <w:lang w:val="es-ES"/>
          </w:rPr>
          <w:t>Vía de la innovación de la CMSI</w:t>
        </w:r>
      </w:hyperlink>
      <w:r w:rsidRPr="00F52BA4">
        <w:rPr>
          <w:rFonts w:cstheme="minorHAnsi"/>
          <w:szCs w:val="24"/>
          <w:lang w:val="es-ES"/>
        </w:rPr>
        <w:t xml:space="preserve"> se organizaron tres reuniones para abordar las tendencias tecnológicas que aceleran la transformación digital, la compartición de experiencias nacionales y la cultura de la innovación como medio de acelerar la consecución de los ODS. </w:t>
      </w:r>
    </w:p>
    <w:p w14:paraId="4177999B" w14:textId="77777777" w:rsidR="00C1021F" w:rsidRPr="009E0EC1" w:rsidRDefault="00C1021F" w:rsidP="004147EB">
      <w:pPr>
        <w:pStyle w:val="Heading2"/>
        <w:rPr>
          <w:lang w:val="es-ES"/>
        </w:rPr>
      </w:pPr>
      <w:r w:rsidRPr="009E0EC1">
        <w:rPr>
          <w:lang w:val="es-ES"/>
        </w:rPr>
        <w:t>4.4</w:t>
      </w:r>
      <w:r w:rsidRPr="009E0EC1">
        <w:rPr>
          <w:lang w:val="es-ES"/>
        </w:rPr>
        <w:tab/>
        <w:t>Evaluación y perfiles de innovación, asesoría asistencial en proyectos de innovación</w:t>
      </w:r>
    </w:p>
    <w:p w14:paraId="244C9B23" w14:textId="43CD392B" w:rsidR="00C1021F" w:rsidRPr="00F52BA4" w:rsidRDefault="00C1021F" w:rsidP="00C1021F">
      <w:pPr>
        <w:overflowPunct/>
        <w:autoSpaceDE/>
        <w:autoSpaceDN/>
        <w:adjustRightInd/>
        <w:rPr>
          <w:rFonts w:cstheme="minorHAnsi"/>
          <w:szCs w:val="24"/>
          <w:lang w:val="es-ES"/>
        </w:rPr>
      </w:pPr>
      <w:r w:rsidRPr="00F52BA4">
        <w:rPr>
          <w:rFonts w:cstheme="minorHAnsi"/>
          <w:szCs w:val="24"/>
          <w:lang w:val="es-ES"/>
        </w:rPr>
        <w:t>Se prestó asistencia técnica a Malí, Montenegro, Níger y Filipinas para la evaluación de perfiles de innovación digital nacionales a fin de determinar las oportunidades y retos a que se enfrentan sus ecosistemas de innovación digital.</w:t>
      </w:r>
    </w:p>
    <w:p w14:paraId="29E860AA" w14:textId="06F5B1D6" w:rsidR="00C1021F" w:rsidRPr="00F52BA4" w:rsidRDefault="00C1021F" w:rsidP="004721EA">
      <w:pPr>
        <w:overflowPunct/>
        <w:autoSpaceDE/>
        <w:autoSpaceDN/>
        <w:adjustRightInd/>
        <w:rPr>
          <w:rFonts w:cstheme="minorHAnsi"/>
          <w:spacing w:val="-2"/>
          <w:lang w:val="es-ES"/>
        </w:rPr>
      </w:pPr>
      <w:r w:rsidRPr="00F52BA4">
        <w:rPr>
          <w:rFonts w:cstheme="minorHAnsi"/>
          <w:lang w:val="es-ES"/>
        </w:rPr>
        <w:t>La BDT sigue prestando ayuda a la República de Sudáfrica en la definición de proyectos de ecosistema noveles a fin de acelerar la transformación digital de sectores clave de la economía. Se alcanzó un gran hito con la firma de un acuerdo de cooperación entre la República de Sudáfrica y la</w:t>
      </w:r>
      <w:r w:rsidR="00F52BA4" w:rsidRPr="00F52BA4">
        <w:rPr>
          <w:rFonts w:cstheme="minorHAnsi"/>
          <w:lang w:val="es-ES"/>
        </w:rPr>
        <w:t> </w:t>
      </w:r>
      <w:r w:rsidRPr="00F52BA4">
        <w:rPr>
          <w:rFonts w:cstheme="minorHAnsi"/>
          <w:lang w:val="es-ES"/>
        </w:rPr>
        <w:t>UIT.</w:t>
      </w:r>
    </w:p>
    <w:tbl>
      <w:tblPr>
        <w:tblStyle w:val="TableGrid"/>
        <w:tblW w:w="0" w:type="auto"/>
        <w:tblLook w:val="04A0" w:firstRow="1" w:lastRow="0" w:firstColumn="1" w:lastColumn="0" w:noHBand="0" w:noVBand="1"/>
      </w:tblPr>
      <w:tblGrid>
        <w:gridCol w:w="9628"/>
      </w:tblGrid>
      <w:tr w:rsidR="00C1021F" w:rsidRPr="00BD1F0A" w14:paraId="388F7869" w14:textId="77777777" w:rsidTr="00794672">
        <w:tc>
          <w:tcPr>
            <w:tcW w:w="9628" w:type="dxa"/>
          </w:tcPr>
          <w:p w14:paraId="3965A36D" w14:textId="77777777" w:rsidR="00C1021F" w:rsidRPr="0091715A" w:rsidRDefault="00C1021F" w:rsidP="0091715A">
            <w:pPr>
              <w:pStyle w:val="Headingb"/>
              <w:spacing w:before="120"/>
              <w:rPr>
                <w:rFonts w:ascii="Calibri" w:hAnsi="Calibri"/>
                <w:lang w:val="es-ES"/>
              </w:rPr>
            </w:pPr>
            <w:r w:rsidRPr="0091715A">
              <w:rPr>
                <w:rFonts w:ascii="Calibri" w:hAnsi="Calibri"/>
                <w:lang w:val="es-ES"/>
              </w:rPr>
              <w:lastRenderedPageBreak/>
              <w:t>INICIATIVAS REGIONALES</w:t>
            </w:r>
          </w:p>
          <w:p w14:paraId="0B3B5EB9" w14:textId="77777777" w:rsidR="00C1021F" w:rsidRPr="009219FC" w:rsidRDefault="00C1021F" w:rsidP="00794672">
            <w:pPr>
              <w:widowControl w:val="0"/>
              <w:rPr>
                <w:rFonts w:asciiTheme="minorHAnsi" w:hAnsiTheme="minorHAnsi" w:cstheme="minorHAnsi"/>
                <w:szCs w:val="24"/>
                <w:lang w:val="es-ES"/>
              </w:rPr>
            </w:pPr>
            <w:r w:rsidRPr="009219FC">
              <w:rPr>
                <w:rFonts w:asciiTheme="minorHAnsi" w:eastAsia="Calibri" w:hAnsiTheme="minorHAnsi" w:cstheme="minorHAnsi"/>
                <w:szCs w:val="24"/>
                <w:lang w:val="es-ES"/>
              </w:rPr>
              <w:t xml:space="preserve">África: </w:t>
            </w:r>
            <w:r w:rsidRPr="009219FC">
              <w:rPr>
                <w:rFonts w:asciiTheme="minorHAnsi" w:eastAsia="Calibri" w:hAnsiTheme="minorHAnsi" w:cstheme="minorHAnsi"/>
                <w:szCs w:val="24"/>
                <w:u w:val="single"/>
                <w:lang w:val="es-ES"/>
              </w:rPr>
              <w:t>Creación de economías digitales y fomento de la innovación en África</w:t>
            </w:r>
          </w:p>
          <w:p w14:paraId="7FAD95AD" w14:textId="13B50B5C" w:rsidR="00C1021F" w:rsidRPr="009219FC" w:rsidRDefault="00200B71" w:rsidP="0080599E">
            <w:pPr>
              <w:pStyle w:val="enumlev1"/>
              <w:rPr>
                <w:rFonts w:asciiTheme="minorHAnsi" w:hAnsiTheme="minorHAnsi" w:cstheme="minorHAnsi"/>
                <w:szCs w:val="24"/>
                <w:lang w:val="es-ES"/>
              </w:rPr>
            </w:pPr>
            <w:r w:rsidRPr="009219FC">
              <w:rPr>
                <w:rFonts w:asciiTheme="minorHAnsi" w:hAnsiTheme="minorHAnsi" w:cstheme="minorHAnsi"/>
                <w:szCs w:val="24"/>
                <w:lang w:val="es-ES"/>
              </w:rPr>
              <w:t>•</w:t>
            </w:r>
            <w:r w:rsidRPr="009219FC">
              <w:rPr>
                <w:rFonts w:asciiTheme="minorHAnsi" w:hAnsiTheme="minorHAnsi" w:cstheme="minorHAnsi"/>
                <w:szCs w:val="24"/>
                <w:lang w:val="es-ES"/>
              </w:rPr>
              <w:tab/>
            </w:r>
            <w:r w:rsidR="00C1021F" w:rsidRPr="009219FC">
              <w:rPr>
                <w:rFonts w:asciiTheme="minorHAnsi" w:hAnsiTheme="minorHAnsi" w:cstheme="minorHAnsi"/>
                <w:szCs w:val="24"/>
                <w:lang w:val="es-ES"/>
              </w:rPr>
              <w:t>Se garantizó la financiación para crear el primer centro de desarrollo de ecosistemas, también conocido como Centro Africano de Transformación Digital para Sudáfrica.</w:t>
            </w:r>
          </w:p>
          <w:p w14:paraId="426E3CAC" w14:textId="54A537E5" w:rsidR="00200B71" w:rsidRPr="009219FC" w:rsidRDefault="0080599E" w:rsidP="0080599E">
            <w:pPr>
              <w:pStyle w:val="enumlev1"/>
              <w:rPr>
                <w:rFonts w:asciiTheme="minorHAnsi" w:hAnsiTheme="minorHAnsi" w:cstheme="minorHAnsi"/>
                <w:szCs w:val="24"/>
                <w:lang w:val="es-ES"/>
              </w:rPr>
            </w:pPr>
            <w:r w:rsidRPr="009219FC">
              <w:rPr>
                <w:rFonts w:asciiTheme="minorHAnsi" w:hAnsiTheme="minorHAnsi" w:cstheme="minorHAnsi"/>
                <w:szCs w:val="24"/>
                <w:lang w:val="es-ES"/>
              </w:rPr>
              <w:t>•</w:t>
            </w:r>
            <w:r w:rsidRPr="009219FC">
              <w:rPr>
                <w:rFonts w:asciiTheme="minorHAnsi" w:hAnsiTheme="minorHAnsi" w:cstheme="minorHAnsi"/>
                <w:szCs w:val="24"/>
                <w:lang w:val="es-ES"/>
              </w:rPr>
              <w:tab/>
            </w:r>
            <w:r w:rsidR="00C1021F" w:rsidRPr="009219FC">
              <w:rPr>
                <w:rFonts w:asciiTheme="minorHAnsi" w:hAnsiTheme="minorHAnsi" w:cstheme="minorHAnsi"/>
                <w:szCs w:val="24"/>
                <w:lang w:val="es-ES"/>
              </w:rPr>
              <w:t>A través de amplios procesos consultivos con múltiples interesados del sector académico, empresarios, redes de apoyo empresarial y los sectores financiero, público y privado, la BDT prestó asistencia técnica para el desarrollo de perfiles de innovación digital en Malí y Níger.</w:t>
            </w:r>
          </w:p>
          <w:p w14:paraId="50F9770D" w14:textId="31013EB3" w:rsidR="00C1021F" w:rsidRPr="009219FC" w:rsidRDefault="00200B71" w:rsidP="0080599E">
            <w:pPr>
              <w:pStyle w:val="enumlev1"/>
              <w:rPr>
                <w:rFonts w:asciiTheme="minorHAnsi" w:hAnsiTheme="minorHAnsi" w:cstheme="minorHAnsi"/>
                <w:szCs w:val="24"/>
                <w:lang w:val="es-ES"/>
              </w:rPr>
            </w:pPr>
            <w:r w:rsidRPr="009219FC">
              <w:rPr>
                <w:rFonts w:asciiTheme="minorHAnsi" w:hAnsiTheme="minorHAnsi" w:cstheme="minorHAnsi"/>
                <w:szCs w:val="24"/>
                <w:lang w:val="es-ES"/>
              </w:rPr>
              <w:t>•</w:t>
            </w:r>
            <w:r w:rsidRPr="009219FC">
              <w:rPr>
                <w:rFonts w:asciiTheme="minorHAnsi" w:hAnsiTheme="minorHAnsi" w:cstheme="minorHAnsi"/>
                <w:szCs w:val="24"/>
                <w:lang w:val="es-ES"/>
              </w:rPr>
              <w:tab/>
            </w:r>
            <w:r w:rsidR="00C1021F" w:rsidRPr="009219FC">
              <w:rPr>
                <w:rFonts w:asciiTheme="minorHAnsi" w:hAnsiTheme="minorHAnsi" w:cstheme="minorHAnsi"/>
                <w:szCs w:val="24"/>
                <w:lang w:val="es-ES"/>
              </w:rPr>
              <w:t xml:space="preserve">El </w:t>
            </w:r>
            <w:hyperlink r:id="rId36" w:history="1">
              <w:r w:rsidR="00C1021F" w:rsidRPr="009219FC">
                <w:rPr>
                  <w:rStyle w:val="Hyperlink"/>
                  <w:rFonts w:asciiTheme="minorHAnsi" w:hAnsiTheme="minorHAnsi" w:cstheme="minorHAnsi"/>
                  <w:szCs w:val="24"/>
                  <w:lang w:val="es-ES"/>
                </w:rPr>
                <w:t>Examen por país del ecosistema de innovación centrada en las TIC de Kenya</w:t>
              </w:r>
            </w:hyperlink>
            <w:r w:rsidR="00C1021F" w:rsidRPr="009219FC">
              <w:rPr>
                <w:rFonts w:asciiTheme="minorHAnsi" w:hAnsiTheme="minorHAnsi" w:cstheme="minorHAnsi"/>
                <w:szCs w:val="24"/>
                <w:lang w:val="es-ES"/>
              </w:rPr>
              <w:t xml:space="preserve"> ofrece un análisis completo y recomendaciones para la integración de políticas y programas de innovación y creación empresarial digital en las futuras políticas de TIC.</w:t>
            </w:r>
          </w:p>
          <w:p w14:paraId="0D5918E0" w14:textId="08006788" w:rsidR="00C1021F" w:rsidRPr="009219FC" w:rsidRDefault="00200B71" w:rsidP="0080599E">
            <w:pPr>
              <w:pStyle w:val="enumlev1"/>
              <w:rPr>
                <w:rFonts w:asciiTheme="minorHAnsi" w:hAnsiTheme="minorHAnsi" w:cstheme="minorHAnsi"/>
                <w:szCs w:val="24"/>
                <w:lang w:val="es-ES"/>
              </w:rPr>
            </w:pPr>
            <w:r w:rsidRPr="009219FC">
              <w:rPr>
                <w:rFonts w:asciiTheme="minorHAnsi" w:hAnsiTheme="minorHAnsi" w:cstheme="minorHAnsi"/>
                <w:szCs w:val="24"/>
                <w:lang w:val="es-ES"/>
              </w:rPr>
              <w:t>•</w:t>
            </w:r>
            <w:r w:rsidRPr="009219FC">
              <w:rPr>
                <w:rFonts w:asciiTheme="minorHAnsi" w:hAnsiTheme="minorHAnsi" w:cstheme="minorHAnsi"/>
                <w:szCs w:val="24"/>
                <w:lang w:val="es-ES"/>
              </w:rPr>
              <w:tab/>
            </w:r>
            <w:r w:rsidR="00C1021F" w:rsidRPr="009219FC">
              <w:rPr>
                <w:rFonts w:asciiTheme="minorHAnsi" w:hAnsiTheme="minorHAnsi" w:cstheme="minorHAnsi"/>
                <w:szCs w:val="24"/>
                <w:lang w:val="es-ES"/>
              </w:rPr>
              <w:t xml:space="preserve">Se impartieron sesiones de capacitación en creación de ecosistemas de innovación y creación empresarial a organizaciones públicas y privadas, universidades e institutos de investigación de la República del Congo. </w:t>
            </w:r>
          </w:p>
          <w:p w14:paraId="2E1BF31D" w14:textId="77777777" w:rsidR="00C1021F" w:rsidRPr="009219FC" w:rsidRDefault="00C1021F" w:rsidP="00794672">
            <w:pPr>
              <w:widowControl w:val="0"/>
              <w:rPr>
                <w:rFonts w:asciiTheme="minorHAnsi" w:hAnsiTheme="minorHAnsi" w:cstheme="minorHAnsi"/>
                <w:szCs w:val="24"/>
                <w:lang w:val="es-ES"/>
              </w:rPr>
            </w:pPr>
            <w:r w:rsidRPr="009219FC">
              <w:rPr>
                <w:rFonts w:asciiTheme="minorHAnsi" w:hAnsiTheme="minorHAnsi" w:cstheme="minorHAnsi"/>
                <w:szCs w:val="24"/>
                <w:lang w:val="es-ES"/>
              </w:rPr>
              <w:t xml:space="preserve">Estados Árabes: </w:t>
            </w:r>
            <w:r w:rsidRPr="009219FC">
              <w:rPr>
                <w:rFonts w:asciiTheme="minorHAnsi" w:hAnsiTheme="minorHAnsi" w:cstheme="minorHAnsi"/>
                <w:szCs w:val="24"/>
                <w:u w:val="single"/>
                <w:lang w:val="es-ES"/>
              </w:rPr>
              <w:t>Innovación y espíritu emprendedor:</w:t>
            </w:r>
          </w:p>
          <w:p w14:paraId="014A59AF" w14:textId="2504E9BB" w:rsidR="00C1021F" w:rsidRPr="009219FC" w:rsidRDefault="00200B71" w:rsidP="0080599E">
            <w:pPr>
              <w:pStyle w:val="enumlev1"/>
              <w:rPr>
                <w:rFonts w:asciiTheme="minorHAnsi" w:hAnsiTheme="minorHAnsi" w:cstheme="minorHAnsi"/>
                <w:szCs w:val="24"/>
                <w:lang w:val="es-ES"/>
              </w:rPr>
            </w:pPr>
            <w:r w:rsidRPr="009219FC">
              <w:rPr>
                <w:rFonts w:asciiTheme="minorHAnsi" w:hAnsiTheme="minorHAnsi" w:cstheme="minorHAnsi"/>
                <w:szCs w:val="24"/>
                <w:lang w:val="es-ES"/>
              </w:rPr>
              <w:t>•</w:t>
            </w:r>
            <w:r w:rsidRPr="009219FC">
              <w:rPr>
                <w:rFonts w:asciiTheme="minorHAnsi" w:hAnsiTheme="minorHAnsi" w:cstheme="minorHAnsi"/>
                <w:szCs w:val="24"/>
                <w:lang w:val="es-ES"/>
              </w:rPr>
              <w:tab/>
            </w:r>
            <w:r w:rsidR="00C1021F" w:rsidRPr="009219FC">
              <w:rPr>
                <w:rFonts w:asciiTheme="minorHAnsi" w:hAnsiTheme="minorHAnsi" w:cstheme="minorHAnsi"/>
                <w:szCs w:val="24"/>
                <w:lang w:val="es-ES"/>
              </w:rPr>
              <w:t>Se facilitaron a gestores de incubadoras y otros interesados del ecosistema de Djibouti y Mauritania métodos y herramientas de apoyo al crecimiento y la creación empresarial. Se presentaron y debatieron los grandes principios y prácticas idóneas de la incubación de empresas.</w:t>
            </w:r>
          </w:p>
          <w:p w14:paraId="1C5F4041" w14:textId="129082E2" w:rsidR="00C1021F" w:rsidRPr="009219FC" w:rsidRDefault="00200B71" w:rsidP="0080599E">
            <w:pPr>
              <w:pStyle w:val="enumlev1"/>
              <w:rPr>
                <w:rFonts w:asciiTheme="minorHAnsi" w:hAnsiTheme="minorHAnsi" w:cstheme="minorHAnsi"/>
                <w:szCs w:val="24"/>
                <w:lang w:val="es-ES"/>
              </w:rPr>
            </w:pPr>
            <w:r w:rsidRPr="009219FC">
              <w:rPr>
                <w:rFonts w:asciiTheme="minorHAnsi" w:hAnsiTheme="minorHAnsi" w:cstheme="minorHAnsi"/>
                <w:szCs w:val="24"/>
                <w:lang w:val="es-ES"/>
              </w:rPr>
              <w:t>•</w:t>
            </w:r>
            <w:r w:rsidRPr="009219FC">
              <w:rPr>
                <w:rFonts w:asciiTheme="minorHAnsi" w:hAnsiTheme="minorHAnsi" w:cstheme="minorHAnsi"/>
                <w:szCs w:val="24"/>
                <w:lang w:val="es-ES"/>
              </w:rPr>
              <w:tab/>
            </w:r>
            <w:r w:rsidR="00C1021F" w:rsidRPr="009219FC">
              <w:rPr>
                <w:rFonts w:asciiTheme="minorHAnsi" w:hAnsiTheme="minorHAnsi" w:cstheme="minorHAnsi"/>
                <w:szCs w:val="24"/>
                <w:lang w:val="es-ES"/>
              </w:rPr>
              <w:t xml:space="preserve">Se impartieron sesiones de capacitación en creación de ecosistemas de </w:t>
            </w:r>
            <w:r w:rsidR="00A131B5" w:rsidRPr="009219FC">
              <w:rPr>
                <w:rFonts w:asciiTheme="minorHAnsi" w:hAnsiTheme="minorHAnsi" w:cstheme="minorHAnsi"/>
                <w:szCs w:val="24"/>
                <w:lang w:val="es-ES"/>
              </w:rPr>
              <w:t>innovación</w:t>
            </w:r>
            <w:r w:rsidR="00C1021F" w:rsidRPr="009219FC">
              <w:rPr>
                <w:rFonts w:asciiTheme="minorHAnsi" w:hAnsiTheme="minorHAnsi" w:cstheme="minorHAnsi"/>
                <w:szCs w:val="24"/>
                <w:lang w:val="es-ES"/>
              </w:rPr>
              <w:t xml:space="preserve"> y creación empresarial a organizaciones públicas y privadas, universidades e institutos de investigación de Egipto. </w:t>
            </w:r>
          </w:p>
          <w:p w14:paraId="0D30C181" w14:textId="77777777" w:rsidR="00C1021F" w:rsidRPr="009219FC" w:rsidRDefault="00C1021F" w:rsidP="009219FC">
            <w:pPr>
              <w:keepNext/>
              <w:keepLines/>
              <w:widowControl w:val="0"/>
              <w:rPr>
                <w:rFonts w:asciiTheme="minorHAnsi" w:hAnsiTheme="minorHAnsi" w:cstheme="minorHAnsi"/>
                <w:szCs w:val="24"/>
                <w:u w:val="single"/>
                <w:lang w:val="es-ES"/>
              </w:rPr>
            </w:pPr>
            <w:r w:rsidRPr="009219FC">
              <w:rPr>
                <w:rFonts w:asciiTheme="minorHAnsi" w:hAnsiTheme="minorHAnsi" w:cstheme="minorHAnsi"/>
                <w:szCs w:val="24"/>
                <w:lang w:val="es-ES"/>
              </w:rPr>
              <w:t xml:space="preserve">Américas: </w:t>
            </w:r>
            <w:r w:rsidRPr="009219FC">
              <w:rPr>
                <w:rFonts w:asciiTheme="minorHAnsi" w:hAnsiTheme="minorHAnsi" w:cstheme="minorHAnsi"/>
                <w:szCs w:val="24"/>
                <w:u w:val="single"/>
                <w:lang w:val="es-ES"/>
              </w:rPr>
              <w:t>Desarrollo de la economía digital, las ciudades y comunidades inteligentes e Internet de las cosas, promoviendo la innovación</w:t>
            </w:r>
          </w:p>
          <w:p w14:paraId="227C2035" w14:textId="0C99AFAE" w:rsidR="00C1021F" w:rsidRPr="009219FC" w:rsidRDefault="00200B71" w:rsidP="009219FC">
            <w:pPr>
              <w:pStyle w:val="enumlev1"/>
              <w:keepNext/>
              <w:keepLines/>
              <w:rPr>
                <w:rFonts w:asciiTheme="minorHAnsi" w:hAnsiTheme="minorHAnsi" w:cstheme="minorHAnsi"/>
                <w:color w:val="444444"/>
                <w:szCs w:val="24"/>
                <w:lang w:val="es-ES"/>
              </w:rPr>
            </w:pPr>
            <w:r w:rsidRPr="009219FC">
              <w:rPr>
                <w:rFonts w:asciiTheme="minorHAnsi" w:hAnsiTheme="minorHAnsi" w:cstheme="minorHAnsi"/>
                <w:szCs w:val="24"/>
                <w:lang w:val="es-ES"/>
              </w:rPr>
              <w:t>•</w:t>
            </w:r>
            <w:r w:rsidRPr="009219FC">
              <w:rPr>
                <w:rFonts w:asciiTheme="minorHAnsi" w:hAnsiTheme="minorHAnsi" w:cstheme="minorHAnsi"/>
                <w:szCs w:val="24"/>
                <w:lang w:val="es-ES"/>
              </w:rPr>
              <w:tab/>
            </w:r>
            <w:r w:rsidR="00C1021F" w:rsidRPr="009219FC">
              <w:rPr>
                <w:rFonts w:asciiTheme="minorHAnsi" w:hAnsiTheme="minorHAnsi" w:cstheme="minorHAnsi"/>
                <w:szCs w:val="24"/>
                <w:lang w:val="es-ES"/>
              </w:rPr>
              <w:t xml:space="preserve">Se organizó en Uruguay la </w:t>
            </w:r>
            <w:hyperlink r:id="rId37" w:history="1">
              <w:r w:rsidR="00C1021F" w:rsidRPr="009219FC">
                <w:rPr>
                  <w:rStyle w:val="Hyperlink"/>
                  <w:rFonts w:asciiTheme="minorHAnsi" w:hAnsiTheme="minorHAnsi" w:cstheme="minorHAnsi"/>
                  <w:i/>
                  <w:iCs/>
                  <w:szCs w:val="24"/>
                  <w:lang w:val="es-ES"/>
                </w:rPr>
                <w:t>Semana de Innovación de las TIC en las Américas</w:t>
              </w:r>
            </w:hyperlink>
            <w:r w:rsidR="00C1021F" w:rsidRPr="009219FC">
              <w:rPr>
                <w:rFonts w:asciiTheme="minorHAnsi" w:hAnsiTheme="minorHAnsi" w:cstheme="minorHAnsi"/>
                <w:szCs w:val="24"/>
                <w:lang w:val="es-ES"/>
              </w:rPr>
              <w:t xml:space="preserve">, dedicada al tema </w:t>
            </w:r>
            <w:r w:rsidR="00C1021F" w:rsidRPr="009219FC">
              <w:rPr>
                <w:rFonts w:asciiTheme="minorHAnsi" w:hAnsiTheme="minorHAnsi" w:cstheme="minorHAnsi"/>
                <w:i/>
                <w:iCs/>
                <w:szCs w:val="24"/>
                <w:lang w:val="es-ES"/>
              </w:rPr>
              <w:t>Comunidades rurales inteligentes</w:t>
            </w:r>
            <w:r w:rsidR="00C1021F" w:rsidRPr="009219FC">
              <w:rPr>
                <w:rFonts w:asciiTheme="minorHAnsi" w:hAnsiTheme="minorHAnsi" w:cstheme="minorHAnsi"/>
                <w:szCs w:val="24"/>
                <w:lang w:val="es-ES"/>
              </w:rPr>
              <w:t xml:space="preserve">. Los análisis y debates se centraron en la adopción y utilización de nuevas tecnologías para crear un sector agrícola sólido y responsable que permita crear en el futuro comunidades rurales inteligentes. </w:t>
            </w:r>
          </w:p>
          <w:p w14:paraId="389AF5A4" w14:textId="77777777" w:rsidR="00200B71" w:rsidRPr="009219FC" w:rsidRDefault="00C1021F" w:rsidP="00200B71">
            <w:pPr>
              <w:pStyle w:val="NormalWeb"/>
              <w:keepNext/>
              <w:keepLines/>
              <w:widowControl w:val="0"/>
              <w:shd w:val="clear" w:color="auto" w:fill="FFFFFF"/>
              <w:overflowPunct w:val="0"/>
              <w:autoSpaceDE w:val="0"/>
              <w:autoSpaceDN w:val="0"/>
              <w:adjustRightInd w:val="0"/>
              <w:spacing w:before="120" w:beforeAutospacing="0" w:after="0" w:afterAutospacing="0"/>
              <w:textAlignment w:val="baseline"/>
              <w:rPr>
                <w:rFonts w:asciiTheme="minorHAnsi" w:hAnsiTheme="minorHAnsi" w:cstheme="minorHAnsi"/>
                <w:u w:val="single"/>
                <w:lang w:val="es-ES"/>
              </w:rPr>
            </w:pPr>
            <w:r w:rsidRPr="009219FC">
              <w:rPr>
                <w:rFonts w:asciiTheme="minorHAnsi" w:hAnsiTheme="minorHAnsi" w:cstheme="minorHAnsi"/>
                <w:lang w:val="es-ES"/>
              </w:rPr>
              <w:t xml:space="preserve">Europa: </w:t>
            </w:r>
            <w:r w:rsidRPr="009219FC">
              <w:rPr>
                <w:rFonts w:asciiTheme="minorHAnsi" w:hAnsiTheme="minorHAnsi" w:cstheme="minorHAnsi"/>
                <w:u w:val="single"/>
                <w:lang w:val="es-ES"/>
              </w:rPr>
              <w:t>Ecosistemas de innovación centrados en las TIC</w:t>
            </w:r>
          </w:p>
          <w:p w14:paraId="1DF0C3AD" w14:textId="42F16631" w:rsidR="00C1021F" w:rsidRPr="009219FC" w:rsidRDefault="006A1FD8" w:rsidP="0080599E">
            <w:pPr>
              <w:pStyle w:val="enumlev1"/>
              <w:rPr>
                <w:rFonts w:asciiTheme="minorHAnsi" w:hAnsiTheme="minorHAnsi" w:cstheme="minorHAnsi"/>
                <w:spacing w:val="-2"/>
                <w:szCs w:val="24"/>
                <w:u w:val="single"/>
                <w:lang w:val="es-ES"/>
              </w:rPr>
            </w:pPr>
            <w:r w:rsidRPr="009219FC">
              <w:rPr>
                <w:rFonts w:asciiTheme="minorHAnsi" w:hAnsiTheme="minorHAnsi" w:cstheme="minorHAnsi"/>
                <w:szCs w:val="24"/>
                <w:lang w:val="es-ES"/>
              </w:rPr>
              <w:t>•</w:t>
            </w:r>
            <w:r w:rsidRPr="009219FC">
              <w:rPr>
                <w:rFonts w:asciiTheme="minorHAnsi" w:hAnsiTheme="minorHAnsi" w:cstheme="minorHAnsi"/>
                <w:szCs w:val="24"/>
                <w:lang w:val="es-ES"/>
              </w:rPr>
              <w:tab/>
            </w:r>
            <w:r w:rsidR="00C1021F" w:rsidRPr="009219FC">
              <w:rPr>
                <w:rFonts w:asciiTheme="minorHAnsi" w:hAnsiTheme="minorHAnsi" w:cstheme="minorHAnsi"/>
                <w:szCs w:val="24"/>
                <w:lang w:val="es-ES"/>
              </w:rPr>
              <w:t>En el marco de los preparativos de un proyecto nacional se finalizó el Perfil de innovación digital de Montenegro.</w:t>
            </w:r>
            <w:r w:rsidR="00C1021F" w:rsidRPr="009219FC">
              <w:rPr>
                <w:rFonts w:asciiTheme="minorHAnsi" w:hAnsiTheme="minorHAnsi" w:cstheme="minorHAnsi"/>
                <w:spacing w:val="-2"/>
                <w:szCs w:val="24"/>
                <w:lang w:val="es-ES"/>
              </w:rPr>
              <w:t xml:space="preserve"> </w:t>
            </w:r>
          </w:p>
        </w:tc>
      </w:tr>
    </w:tbl>
    <w:p w14:paraId="730B2AF2" w14:textId="77777777" w:rsidR="00C1021F" w:rsidRPr="001D431E" w:rsidRDefault="00C1021F" w:rsidP="0091715A">
      <w:pPr>
        <w:spacing w:before="0"/>
        <w:rPr>
          <w:lang w:val="es-ES"/>
        </w:rPr>
      </w:pPr>
    </w:p>
    <w:tbl>
      <w:tblPr>
        <w:tblStyle w:val="TableGrid"/>
        <w:tblW w:w="0" w:type="auto"/>
        <w:tblLook w:val="04A0" w:firstRow="1" w:lastRow="0" w:firstColumn="1" w:lastColumn="0" w:noHBand="0" w:noVBand="1"/>
      </w:tblPr>
      <w:tblGrid>
        <w:gridCol w:w="9628"/>
      </w:tblGrid>
      <w:tr w:rsidR="00C1021F" w:rsidRPr="00BD1F0A" w14:paraId="79968641" w14:textId="77777777" w:rsidTr="00794672">
        <w:trPr>
          <w:cantSplit/>
        </w:trPr>
        <w:tc>
          <w:tcPr>
            <w:tcW w:w="9629" w:type="dxa"/>
          </w:tcPr>
          <w:p w14:paraId="0E7B837F" w14:textId="77777777" w:rsidR="00C1021F" w:rsidRPr="0091715A" w:rsidRDefault="00C1021F" w:rsidP="0091715A">
            <w:pPr>
              <w:pStyle w:val="Headingb"/>
              <w:rPr>
                <w:rFonts w:ascii="Calibri" w:hAnsi="Calibri"/>
                <w:lang w:val="es-ES"/>
              </w:rPr>
            </w:pPr>
            <w:r w:rsidRPr="0091715A">
              <w:rPr>
                <w:rFonts w:ascii="Calibri" w:hAnsi="Calibri"/>
                <w:lang w:val="es-ES"/>
              </w:rPr>
              <w:lastRenderedPageBreak/>
              <w:t>COMISIONES DE ESTUDIO</w:t>
            </w:r>
          </w:p>
          <w:p w14:paraId="33706319" w14:textId="77777777" w:rsidR="00C1021F" w:rsidRPr="001D431E" w:rsidRDefault="00C1021F" w:rsidP="00794672">
            <w:pPr>
              <w:widowControl w:val="0"/>
              <w:spacing w:after="120"/>
              <w:rPr>
                <w:rFonts w:asciiTheme="minorHAnsi" w:hAnsiTheme="minorHAnsi" w:cstheme="minorHAnsi"/>
                <w:lang w:val="es-ES"/>
              </w:rPr>
            </w:pPr>
            <w:r w:rsidRPr="001D431E">
              <w:rPr>
                <w:rFonts w:asciiTheme="minorHAnsi" w:hAnsiTheme="minorHAnsi" w:cstheme="minorHAnsi"/>
                <w:lang w:val="es-ES"/>
              </w:rPr>
              <w:t xml:space="preserve">El Informe del evento </w:t>
            </w:r>
            <w:r w:rsidRPr="001D431E">
              <w:rPr>
                <w:rFonts w:asciiTheme="minorHAnsi" w:hAnsiTheme="minorHAnsi" w:cstheme="minorHAnsi"/>
                <w:i/>
                <w:iCs/>
                <w:lang w:val="es-ES"/>
              </w:rPr>
              <w:t xml:space="preserve">Semana de la Innovación de las TIC </w:t>
            </w:r>
            <w:r w:rsidRPr="001D431E">
              <w:rPr>
                <w:rFonts w:asciiTheme="minorHAnsi" w:hAnsiTheme="minorHAnsi" w:cstheme="minorHAnsi"/>
                <w:lang w:val="es-ES"/>
              </w:rPr>
              <w:t>se presentó como contribución a los trabajos de los Grupos de Relator de la Comisión de Estudio 2 del UIT-D (</w:t>
            </w:r>
            <w:hyperlink r:id="rId38" w:history="1">
              <w:r w:rsidRPr="00BD1F0A">
                <w:rPr>
                  <w:rStyle w:val="Hyperlink"/>
                  <w:rFonts w:asciiTheme="minorHAnsi" w:hAnsiTheme="minorHAnsi" w:cstheme="minorHAnsi"/>
                  <w:lang w:val="es-ES"/>
                </w:rPr>
                <w:t>C</w:t>
              </w:r>
              <w:r w:rsidRPr="001D431E">
                <w:rPr>
                  <w:rStyle w:val="Hyperlink"/>
                  <w:rFonts w:asciiTheme="minorHAnsi" w:hAnsiTheme="minorHAnsi" w:cstheme="minorHAnsi"/>
                  <w:lang w:val="es-ES"/>
                </w:rPr>
                <w:t>uestión 1/2</w:t>
              </w:r>
            </w:hyperlink>
            <w:r w:rsidRPr="001D431E">
              <w:rPr>
                <w:rFonts w:asciiTheme="minorHAnsi" w:hAnsiTheme="minorHAnsi" w:cstheme="minorHAnsi"/>
                <w:lang w:val="es-ES"/>
              </w:rPr>
              <w:t xml:space="preserve"> </w:t>
            </w:r>
            <w:r w:rsidRPr="001D431E">
              <w:rPr>
                <w:rFonts w:asciiTheme="minorHAnsi" w:hAnsiTheme="minorHAnsi" w:cstheme="minorHAnsi"/>
                <w:i/>
                <w:iCs/>
                <w:lang w:val="es-ES"/>
              </w:rPr>
              <w:t>Creación de ciudades y sociedades inteligentes: utilización de las tecnologías de la información y la comunicación en pro del desarrollo socioeconómico sostenible)</w:t>
            </w:r>
            <w:r w:rsidRPr="001D431E">
              <w:rPr>
                <w:rFonts w:asciiTheme="minorHAnsi" w:hAnsiTheme="minorHAnsi" w:cstheme="minorHAnsi"/>
                <w:lang w:val="es-ES"/>
              </w:rPr>
              <w:t>.</w:t>
            </w:r>
          </w:p>
        </w:tc>
      </w:tr>
    </w:tbl>
    <w:p w14:paraId="1EA95317" w14:textId="4818C178" w:rsidR="00C1021F" w:rsidRPr="009E0EC1" w:rsidRDefault="00C1021F" w:rsidP="001D793B">
      <w:pPr>
        <w:pStyle w:val="Heading1"/>
        <w:rPr>
          <w:lang w:val="es-ES"/>
        </w:rPr>
      </w:pPr>
      <w:r w:rsidRPr="009E0EC1">
        <w:rPr>
          <w:lang w:val="es-ES"/>
        </w:rPr>
        <w:t>5</w:t>
      </w:r>
      <w:r w:rsidRPr="009E0EC1">
        <w:rPr>
          <w:lang w:val="es-ES"/>
        </w:rPr>
        <w:tab/>
        <w:t xml:space="preserve">Servicios y aplicaciones digitales: Crear estrategias digitales </w:t>
      </w:r>
      <w:r w:rsidR="001D793B" w:rsidRPr="009E0EC1">
        <w:rPr>
          <w:lang w:val="es-ES"/>
        </w:rPr>
        <w:t>transformadoras</w:t>
      </w:r>
      <w:r w:rsidRPr="009E0EC1">
        <w:rPr>
          <w:lang w:val="es-ES"/>
        </w:rPr>
        <w:t xml:space="preserve"> y servicios de aplicación</w:t>
      </w:r>
    </w:p>
    <w:p w14:paraId="60E56D59" w14:textId="77777777" w:rsidR="00C1021F" w:rsidRPr="009E0EC1" w:rsidRDefault="00C1021F" w:rsidP="004147EB">
      <w:pPr>
        <w:pStyle w:val="Heading2"/>
        <w:rPr>
          <w:lang w:val="es-ES"/>
        </w:rPr>
      </w:pPr>
      <w:r w:rsidRPr="009E0EC1">
        <w:rPr>
          <w:lang w:val="es-ES"/>
        </w:rPr>
        <w:t>5.1</w:t>
      </w:r>
      <w:r w:rsidRPr="009E0EC1">
        <w:rPr>
          <w:lang w:val="es-ES"/>
        </w:rPr>
        <w:tab/>
        <w:t>Expansión de la salud digital</w:t>
      </w:r>
    </w:p>
    <w:p w14:paraId="5CA0E0EC" w14:textId="57A52E04" w:rsidR="00C1021F" w:rsidRPr="001D431E" w:rsidRDefault="00C1021F" w:rsidP="00C1021F">
      <w:pPr>
        <w:rPr>
          <w:rFonts w:eastAsia="Calibri" w:cstheme="minorHAnsi"/>
          <w:lang w:val="es-ES"/>
        </w:rPr>
      </w:pPr>
      <w:r w:rsidRPr="001D431E">
        <w:rPr>
          <w:rFonts w:cstheme="minorHAnsi"/>
          <w:bCs/>
          <w:lang w:val="es-ES"/>
        </w:rPr>
        <w:t xml:space="preserve">Va en aumento la repercusión de la Iniciativa </w:t>
      </w:r>
      <w:hyperlink r:id="rId39" w:history="1">
        <w:r w:rsidRPr="001D431E">
          <w:rPr>
            <w:rStyle w:val="Hyperlink"/>
            <w:rFonts w:cstheme="minorHAnsi"/>
            <w:bCs/>
            <w:lang w:val="es-ES"/>
          </w:rPr>
          <w:t xml:space="preserve">Be </w:t>
        </w:r>
        <w:proofErr w:type="spellStart"/>
        <w:r w:rsidRPr="001D431E">
          <w:rPr>
            <w:rStyle w:val="Hyperlink"/>
            <w:rFonts w:cstheme="minorHAnsi"/>
            <w:bCs/>
            <w:lang w:val="es-ES"/>
          </w:rPr>
          <w:t>He@lthy</w:t>
        </w:r>
        <w:proofErr w:type="spellEnd"/>
        <w:r w:rsidRPr="001D431E">
          <w:rPr>
            <w:rStyle w:val="Hyperlink"/>
            <w:rFonts w:cstheme="minorHAnsi"/>
            <w:bCs/>
            <w:lang w:val="es-ES"/>
          </w:rPr>
          <w:t>, Be Mobile</w:t>
        </w:r>
      </w:hyperlink>
      <w:r w:rsidRPr="001D431E">
        <w:rPr>
          <w:rFonts w:cstheme="minorHAnsi"/>
          <w:bCs/>
          <w:lang w:val="es-ES"/>
        </w:rPr>
        <w:t xml:space="preserve"> de la UIT-OMS, que ya colabora con 11 países contra problemas tan diversos como el cáncer cervical, la diabetes y el consumo de tabaco. En total, los beneficiarios de este programa ascienden a 3,5 millones de personas. Entre los resultados de la Iniciativa</w:t>
      </w:r>
      <w:r w:rsidRPr="001D431E">
        <w:rPr>
          <w:rFonts w:cstheme="minorHAnsi"/>
          <w:lang w:val="es-ES"/>
        </w:rPr>
        <w:t xml:space="preserve"> </w:t>
      </w:r>
      <w:r w:rsidRPr="001D431E">
        <w:rPr>
          <w:rFonts w:cstheme="minorHAnsi"/>
          <w:bCs/>
          <w:lang w:val="es-ES"/>
        </w:rPr>
        <w:t>Be He@lthy, Be Mobile pueden citarse los 1,8</w:t>
      </w:r>
      <w:r w:rsidR="00D85016">
        <w:rPr>
          <w:rFonts w:cstheme="minorHAnsi"/>
          <w:bCs/>
          <w:lang w:val="es-ES"/>
        </w:rPr>
        <w:t> </w:t>
      </w:r>
      <w:r w:rsidRPr="001D431E">
        <w:rPr>
          <w:rFonts w:cstheme="minorHAnsi"/>
          <w:bCs/>
          <w:lang w:val="es-ES"/>
        </w:rPr>
        <w:t>millones USD aportados por tres socios</w:t>
      </w:r>
      <w:r w:rsidRPr="001D431E">
        <w:rPr>
          <w:rFonts w:eastAsia="Calibri" w:cstheme="minorHAnsi"/>
          <w:lang w:val="es-ES"/>
        </w:rPr>
        <w:t xml:space="preserve"> (Roche, Discovery/Vitality, Santen); el constante apoyo prestado a Egipto, India, Filipinas, Senegal y Túnez; la reciente implementación en Burkina Faso y Sudán, y un nuevo proyecto en Senegal para detectar la retinopatía diabética mediante inteligencia artificial.</w:t>
      </w:r>
    </w:p>
    <w:p w14:paraId="22E1A5A9" w14:textId="06885355" w:rsidR="00C1021F" w:rsidRPr="001D431E" w:rsidRDefault="00C1021F" w:rsidP="00C1021F">
      <w:pPr>
        <w:rPr>
          <w:rFonts w:eastAsia="Calibri" w:cstheme="minorHAnsi"/>
          <w:lang w:val="es-ES"/>
        </w:rPr>
      </w:pPr>
      <w:r w:rsidRPr="001D431E">
        <w:rPr>
          <w:rFonts w:cstheme="minorHAnsi"/>
          <w:lang w:val="es-ES"/>
        </w:rPr>
        <w:t xml:space="preserve">Se ha publicado el </w:t>
      </w:r>
      <w:hyperlink r:id="rId40" w:history="1">
        <w:r w:rsidRPr="001D431E">
          <w:rPr>
            <w:rStyle w:val="Hyperlink"/>
            <w:rFonts w:cstheme="minorHAnsi"/>
            <w:lang w:val="es-ES"/>
          </w:rPr>
          <w:t>Manual</w:t>
        </w:r>
      </w:hyperlink>
      <w:r w:rsidRPr="001D431E">
        <w:rPr>
          <w:rFonts w:cstheme="minorHAnsi"/>
          <w:i/>
          <w:iCs/>
          <w:lang w:val="es-ES"/>
        </w:rPr>
        <w:t xml:space="preserve"> </w:t>
      </w:r>
      <w:proofErr w:type="spellStart"/>
      <w:r w:rsidRPr="001D431E">
        <w:rPr>
          <w:rFonts w:cstheme="minorHAnsi"/>
          <w:i/>
          <w:iCs/>
          <w:lang w:val="es-ES"/>
        </w:rPr>
        <w:t>How</w:t>
      </w:r>
      <w:proofErr w:type="spellEnd"/>
      <w:r w:rsidRPr="001D431E">
        <w:rPr>
          <w:rFonts w:cstheme="minorHAnsi"/>
          <w:i/>
          <w:iCs/>
          <w:lang w:val="es-ES"/>
        </w:rPr>
        <w:t xml:space="preserve"> </w:t>
      </w:r>
      <w:proofErr w:type="spellStart"/>
      <w:r w:rsidRPr="001D431E">
        <w:rPr>
          <w:rFonts w:cstheme="minorHAnsi"/>
          <w:i/>
          <w:iCs/>
          <w:lang w:val="es-ES"/>
        </w:rPr>
        <w:t>to</w:t>
      </w:r>
      <w:proofErr w:type="spellEnd"/>
      <w:r w:rsidRPr="001D431E">
        <w:rPr>
          <w:rFonts w:cstheme="minorHAnsi"/>
          <w:i/>
          <w:iCs/>
          <w:lang w:val="es-ES"/>
        </w:rPr>
        <w:t xml:space="preserve"> </w:t>
      </w:r>
      <w:proofErr w:type="spellStart"/>
      <w:r w:rsidRPr="001D431E">
        <w:rPr>
          <w:rFonts w:cstheme="minorHAnsi"/>
          <w:i/>
          <w:iCs/>
          <w:lang w:val="es-ES"/>
        </w:rPr>
        <w:t>implement</w:t>
      </w:r>
      <w:proofErr w:type="spellEnd"/>
      <w:r w:rsidRPr="001D431E">
        <w:rPr>
          <w:rFonts w:cstheme="minorHAnsi"/>
          <w:i/>
          <w:iCs/>
          <w:lang w:val="es-ES"/>
        </w:rPr>
        <w:t xml:space="preserve"> </w:t>
      </w:r>
      <w:proofErr w:type="spellStart"/>
      <w:r w:rsidRPr="001D431E">
        <w:rPr>
          <w:rFonts w:cstheme="minorHAnsi"/>
          <w:i/>
          <w:iCs/>
          <w:lang w:val="es-ES"/>
        </w:rPr>
        <w:t>mTB-Tobacco</w:t>
      </w:r>
      <w:proofErr w:type="spellEnd"/>
      <w:r w:rsidRPr="001D431E">
        <w:rPr>
          <w:rFonts w:cstheme="minorHAnsi"/>
          <w:lang w:val="es-ES"/>
        </w:rPr>
        <w:t xml:space="preserve"> y se ha creado una herramienta al respecto. Además, se ha creado, junto con la Unión Europea y la OMS, un</w:t>
      </w:r>
      <w:r w:rsidRPr="001D431E">
        <w:rPr>
          <w:rFonts w:cstheme="minorHAnsi"/>
          <w:bCs/>
          <w:lang w:val="es-ES"/>
        </w:rPr>
        <w:t xml:space="preserve"> </w:t>
      </w:r>
      <w:hyperlink r:id="rId41" w:history="1">
        <w:r w:rsidRPr="001D431E">
          <w:rPr>
            <w:rStyle w:val="Hyperlink"/>
            <w:rFonts w:cstheme="minorHAnsi"/>
            <w:lang w:val="es-ES"/>
          </w:rPr>
          <w:t>Centro de Innovación en Salud-m</w:t>
        </w:r>
      </w:hyperlink>
      <w:r w:rsidRPr="001D431E">
        <w:rPr>
          <w:rFonts w:cstheme="minorHAnsi"/>
          <w:lang w:val="es-ES"/>
        </w:rPr>
        <w:t xml:space="preserve"> para la región de Europa, que servirá de plataforma para compartir prácticas idóneas y como centro de referencia donde obtener orientaciones para la implementación y expansión de</w:t>
      </w:r>
      <w:r w:rsidR="00D85016">
        <w:rPr>
          <w:rFonts w:cstheme="minorHAnsi"/>
          <w:lang w:val="es-ES"/>
        </w:rPr>
        <w:t xml:space="preserve"> </w:t>
      </w:r>
      <w:r w:rsidRPr="001D431E">
        <w:rPr>
          <w:rFonts w:cstheme="minorHAnsi"/>
          <w:lang w:val="es-ES"/>
        </w:rPr>
        <w:t>la salud móvil</w:t>
      </w:r>
      <w:r w:rsidRPr="001D431E">
        <w:rPr>
          <w:rFonts w:eastAsia="Calibri" w:cstheme="minorHAnsi"/>
          <w:lang w:val="es-ES"/>
        </w:rPr>
        <w:t>.</w:t>
      </w:r>
    </w:p>
    <w:p w14:paraId="459D1BC3" w14:textId="77777777" w:rsidR="00C1021F" w:rsidRPr="009E0EC1" w:rsidRDefault="00C1021F" w:rsidP="004147EB">
      <w:pPr>
        <w:pStyle w:val="Heading2"/>
        <w:rPr>
          <w:lang w:val="es-ES"/>
        </w:rPr>
      </w:pPr>
      <w:r w:rsidRPr="009E0EC1">
        <w:rPr>
          <w:lang w:val="es-ES"/>
        </w:rPr>
        <w:t>5.2</w:t>
      </w:r>
      <w:r w:rsidRPr="009E0EC1">
        <w:rPr>
          <w:lang w:val="es-ES"/>
        </w:rPr>
        <w:tab/>
        <w:t>Creación de aldeas inteligentes</w:t>
      </w:r>
    </w:p>
    <w:p w14:paraId="373ED9BD" w14:textId="77777777" w:rsidR="00C1021F" w:rsidRPr="001D431E" w:rsidRDefault="00C1021F" w:rsidP="00C1021F">
      <w:pPr>
        <w:rPr>
          <w:rFonts w:cstheme="minorHAnsi"/>
          <w:bCs/>
          <w:lang w:val="es-ES"/>
        </w:rPr>
      </w:pPr>
      <w:r w:rsidRPr="001D431E">
        <w:rPr>
          <w:rFonts w:cstheme="minorHAnsi"/>
          <w:bCs/>
          <w:lang w:val="es-ES"/>
        </w:rPr>
        <w:t xml:space="preserve">El </w:t>
      </w:r>
      <w:hyperlink r:id="rId42" w:history="1">
        <w:r w:rsidRPr="001D431E">
          <w:rPr>
            <w:rStyle w:val="Hyperlink"/>
            <w:rFonts w:cstheme="minorHAnsi"/>
            <w:bCs/>
            <w:lang w:val="es-ES"/>
          </w:rPr>
          <w:t>proyecto Aldeas Inteligentes</w:t>
        </w:r>
      </w:hyperlink>
      <w:r w:rsidRPr="001D431E">
        <w:rPr>
          <w:rFonts w:cstheme="minorHAnsi"/>
          <w:bCs/>
          <w:lang w:val="es-ES"/>
        </w:rPr>
        <w:t xml:space="preserve"> tiene por objetivo conectar zonas remotas de Níger a Internet, para lo que se ha establecido una colaboración entre la UIT y la </w:t>
      </w:r>
      <w:hyperlink r:id="rId43" w:history="1">
        <w:r w:rsidRPr="001D431E">
          <w:rPr>
            <w:rStyle w:val="Hyperlink"/>
            <w:rFonts w:cstheme="minorHAnsi"/>
            <w:bCs/>
            <w:lang w:val="es-ES"/>
          </w:rPr>
          <w:t>Agencia Nacional para la Sociedad de la Información (ANSI)</w:t>
        </w:r>
      </w:hyperlink>
      <w:r w:rsidRPr="001D431E">
        <w:rPr>
          <w:rFonts w:cstheme="minorHAnsi"/>
          <w:bCs/>
          <w:lang w:val="es-ES"/>
        </w:rPr>
        <w:t xml:space="preserve"> u otras organizaciones. Además, la UIT y la Digital Impact Alliance (DIAL) han definido una metodología para el proyecto Aldeas Inteligentes en Níger destinada a establecer una infraestructura digital transectorial adoptando un enfoque gubernamental global, gracias al que los servicios se prestarán de manera más integrada y coordinada.</w:t>
      </w:r>
    </w:p>
    <w:p w14:paraId="0133EF98" w14:textId="78C2F19B" w:rsidR="00C1021F" w:rsidRPr="009E0EC1" w:rsidRDefault="00C1021F" w:rsidP="004147EB">
      <w:pPr>
        <w:pStyle w:val="Heading2"/>
        <w:rPr>
          <w:lang w:val="es-ES"/>
        </w:rPr>
      </w:pPr>
      <w:r w:rsidRPr="009E0EC1">
        <w:rPr>
          <w:lang w:val="es-ES"/>
        </w:rPr>
        <w:t>5.3</w:t>
      </w:r>
      <w:r w:rsidRPr="009E0EC1">
        <w:rPr>
          <w:lang w:val="es-ES"/>
        </w:rPr>
        <w:tab/>
        <w:t>Elaboración de estrategias digitales sectoriales nacionales</w:t>
      </w:r>
    </w:p>
    <w:p w14:paraId="407B5C15" w14:textId="77777777" w:rsidR="00C1021F" w:rsidRPr="001D431E" w:rsidRDefault="00C1021F" w:rsidP="00C1021F">
      <w:pPr>
        <w:overflowPunct/>
        <w:autoSpaceDE/>
        <w:autoSpaceDN/>
        <w:adjustRightInd/>
        <w:spacing w:line="252" w:lineRule="auto"/>
        <w:textAlignment w:val="auto"/>
        <w:rPr>
          <w:rFonts w:cstheme="minorHAnsi"/>
          <w:szCs w:val="24"/>
          <w:lang w:val="es-ES"/>
        </w:rPr>
      </w:pPr>
      <w:r w:rsidRPr="001D431E">
        <w:rPr>
          <w:rFonts w:cstheme="minorHAnsi"/>
          <w:szCs w:val="24"/>
          <w:lang w:val="es-ES"/>
        </w:rPr>
        <w:t>Varios países han definido sus estrategias y planes digitales nacionales para la agricultura y los servicios gubernamentales a través de procesos multipartitos en los que han participado los sectores público y privado.</w:t>
      </w:r>
    </w:p>
    <w:p w14:paraId="57885E81" w14:textId="69BBBF6B" w:rsidR="00C1021F" w:rsidRPr="009E0EC1" w:rsidRDefault="00C1021F" w:rsidP="004147EB">
      <w:pPr>
        <w:pStyle w:val="Heading2"/>
        <w:rPr>
          <w:lang w:val="es-ES"/>
        </w:rPr>
      </w:pPr>
      <w:r w:rsidRPr="009E0EC1">
        <w:rPr>
          <w:lang w:val="es-ES"/>
        </w:rPr>
        <w:t>5.4</w:t>
      </w:r>
      <w:r w:rsidRPr="009E0EC1">
        <w:rPr>
          <w:lang w:val="es-ES"/>
        </w:rPr>
        <w:tab/>
        <w:t>Capacitación en servicios digitales</w:t>
      </w:r>
    </w:p>
    <w:p w14:paraId="259E6E1B" w14:textId="77777777" w:rsidR="00C1021F" w:rsidRPr="001D431E" w:rsidRDefault="00C1021F" w:rsidP="00C1021F">
      <w:pPr>
        <w:overflowPunct/>
        <w:autoSpaceDE/>
        <w:autoSpaceDN/>
        <w:adjustRightInd/>
        <w:spacing w:line="252" w:lineRule="auto"/>
        <w:textAlignment w:val="auto"/>
        <w:rPr>
          <w:rFonts w:cstheme="minorHAnsi"/>
          <w:szCs w:val="24"/>
          <w:lang w:val="es-ES"/>
        </w:rPr>
      </w:pPr>
      <w:r w:rsidRPr="001D431E">
        <w:rPr>
          <w:rFonts w:cstheme="minorHAnsi"/>
          <w:szCs w:val="24"/>
          <w:lang w:val="es-ES"/>
        </w:rPr>
        <w:t xml:space="preserve">La UIT y la Oficina Regional de la OMS en África elaboraron un programa digital en el que se basa la formación en salud digital impartida a fin de desplegar la salud digital en los países de la región, y que también ofreció los representantes de los ministerios de sanidad y de TIC la ocasión de compartir experiencias y lecciones extraídas de la implementación de servicios digitales en sus respectivos países. </w:t>
      </w:r>
    </w:p>
    <w:p w14:paraId="49F2C339" w14:textId="77777777" w:rsidR="00C1021F" w:rsidRPr="009E0EC1" w:rsidRDefault="00C1021F" w:rsidP="004147EB">
      <w:pPr>
        <w:pStyle w:val="Heading2"/>
        <w:rPr>
          <w:lang w:val="es-ES"/>
        </w:rPr>
      </w:pPr>
      <w:r w:rsidRPr="009E0EC1">
        <w:rPr>
          <w:lang w:val="es-ES"/>
        </w:rPr>
        <w:lastRenderedPageBreak/>
        <w:t>5.5</w:t>
      </w:r>
      <w:r w:rsidRPr="009E0EC1">
        <w:rPr>
          <w:lang w:val="es-ES"/>
        </w:rPr>
        <w:tab/>
        <w:t>Ciudades y asentamientos humanos sostenibles</w:t>
      </w:r>
    </w:p>
    <w:p w14:paraId="01382B24" w14:textId="77777777" w:rsidR="00C1021F" w:rsidRPr="001D431E" w:rsidRDefault="00C1021F" w:rsidP="00C1021F">
      <w:pPr>
        <w:spacing w:line="252" w:lineRule="auto"/>
        <w:rPr>
          <w:rFonts w:eastAsia="Calibri" w:cstheme="minorHAnsi"/>
          <w:lang w:val="es-ES"/>
        </w:rPr>
      </w:pPr>
      <w:r w:rsidRPr="001D431E">
        <w:rPr>
          <w:rFonts w:eastAsia="Calibri" w:cstheme="minorHAnsi"/>
          <w:lang w:val="es-ES"/>
        </w:rPr>
        <w:t>La Oficina Regional para África de la UIT organizó un taller sobre la Sociedad inteligente en África Meridional, celebrado en Dar es Salaam, Tanzanía, para ampliar la comprensión de los conceptos, requisitos y oportunidades que ofrecen nuevas tecnologías como la IoT, la IA y los macrodatos para las comunidades inteligentes en países de la Comunidad para el Desarrollo del África Meridional (SADC).</w:t>
      </w:r>
    </w:p>
    <w:p w14:paraId="62DBB7DA" w14:textId="77777777" w:rsidR="00C1021F" w:rsidRPr="009E0EC1" w:rsidRDefault="00C1021F" w:rsidP="004147EB">
      <w:pPr>
        <w:pStyle w:val="Heading2"/>
        <w:rPr>
          <w:lang w:val="es-ES"/>
        </w:rPr>
      </w:pPr>
      <w:r w:rsidRPr="009E0EC1">
        <w:rPr>
          <w:lang w:val="es-ES"/>
        </w:rPr>
        <w:t>5.6</w:t>
      </w:r>
      <w:r w:rsidRPr="009E0EC1">
        <w:rPr>
          <w:lang w:val="es-ES"/>
        </w:rPr>
        <w:tab/>
        <w:t>Colaboración con la FAO</w:t>
      </w:r>
    </w:p>
    <w:p w14:paraId="222913BE" w14:textId="4FC6DFB7" w:rsidR="00C1021F" w:rsidRPr="001D431E" w:rsidRDefault="00C1021F" w:rsidP="00C1021F">
      <w:pPr>
        <w:spacing w:line="252" w:lineRule="auto"/>
        <w:rPr>
          <w:rFonts w:cstheme="minorHAnsi"/>
          <w:szCs w:val="24"/>
          <w:lang w:val="es-ES"/>
        </w:rPr>
      </w:pPr>
      <w:r w:rsidRPr="001D431E">
        <w:rPr>
          <w:rFonts w:cstheme="minorHAnsi"/>
          <w:color w:val="333333"/>
          <w:szCs w:val="24"/>
          <w:lang w:val="es-ES"/>
        </w:rPr>
        <w:t xml:space="preserve">La UIT está intensificando su colaboración con la FAO tras la firma de un acuerdo de cooperación en 2019. La UIT y la FAO trabajan de consuno para prestar asistencia a varios países en desarrollo e implementar estrategias y planes de agricultura digital para crear capacidad e identificar las esferas prioritarias para la inversión digital a fin de alcanzar los objetivos del sector agrícola. La UIT también está colaborando con la FAO en apoyo de la creación empresarial, la inversión y el </w:t>
      </w:r>
      <w:r w:rsidR="006A1FD8" w:rsidRPr="001D431E">
        <w:rPr>
          <w:rFonts w:cstheme="minorHAnsi"/>
          <w:color w:val="333333"/>
          <w:szCs w:val="24"/>
          <w:lang w:val="es-ES"/>
        </w:rPr>
        <w:t>comercio</w:t>
      </w:r>
      <w:r w:rsidRPr="001D431E">
        <w:rPr>
          <w:rFonts w:cstheme="minorHAnsi"/>
          <w:color w:val="333333"/>
          <w:szCs w:val="24"/>
          <w:lang w:val="es-ES"/>
        </w:rPr>
        <w:t xml:space="preserve"> rurales en Papúa Nueva</w:t>
      </w:r>
      <w:r w:rsidRPr="001D431E">
        <w:rPr>
          <w:rFonts w:cstheme="minorHAnsi"/>
          <w:lang w:val="es-ES"/>
        </w:rPr>
        <w:t xml:space="preserve"> Guinea y la Iniciativa Aldeas Inteligentes en Níger. Se han publicado con la FAO varios Informes sobre agricultura digital y la utilización de tecnologías digitales y de vanguardia, por ejemplo, cadena de bloques, macrodatos, etc., en la agricultura. Además, la UIT ha recibido una invitación para integrar el Comité Asesor del Consejo Digital para la Alimentación y la Agricultura, que ayudará a los gobiernos a identificar y maximizar el potencial de la digitalización y crear, ampliar y proteger el acceso de los agricultores a las tecnologías digitales</w:t>
      </w:r>
      <w:r w:rsidRPr="001D431E">
        <w:rPr>
          <w:rFonts w:cstheme="minorHAnsi"/>
          <w:szCs w:val="24"/>
          <w:lang w:val="es-ES"/>
        </w:rPr>
        <w:t>.</w:t>
      </w:r>
    </w:p>
    <w:p w14:paraId="1CE73465" w14:textId="77777777" w:rsidR="00C1021F" w:rsidRPr="009E0EC1" w:rsidRDefault="00C1021F" w:rsidP="004147EB">
      <w:pPr>
        <w:pStyle w:val="Heading2"/>
        <w:rPr>
          <w:lang w:val="es-ES"/>
        </w:rPr>
      </w:pPr>
      <w:r w:rsidRPr="009E0EC1">
        <w:rPr>
          <w:lang w:val="es-ES"/>
        </w:rPr>
        <w:t>5.7</w:t>
      </w:r>
      <w:r w:rsidRPr="009E0EC1">
        <w:rPr>
          <w:lang w:val="es-ES"/>
        </w:rPr>
        <w:tab/>
        <w:t>Bienes públicos digitales (BPD)</w:t>
      </w:r>
    </w:p>
    <w:p w14:paraId="6CD1CE65" w14:textId="77777777" w:rsidR="00C1021F" w:rsidRPr="001D431E" w:rsidRDefault="00C1021F" w:rsidP="00C1021F">
      <w:pPr>
        <w:overflowPunct/>
        <w:autoSpaceDE/>
        <w:autoSpaceDN/>
        <w:adjustRightInd/>
        <w:textAlignment w:val="auto"/>
        <w:rPr>
          <w:rFonts w:eastAsia="Calibri" w:cstheme="minorHAnsi"/>
          <w:lang w:val="es-ES"/>
        </w:rPr>
      </w:pPr>
      <w:r w:rsidRPr="001D431E">
        <w:rPr>
          <w:rFonts w:cstheme="minorHAnsi"/>
          <w:color w:val="333333"/>
          <w:szCs w:val="24"/>
          <w:lang w:val="es-ES"/>
        </w:rPr>
        <w:t xml:space="preserve">La UIT también está facilitando orientación en el marco de la adopción de enfoques gubernamentales globales para la inversión en infraestructura digital compartida que pueda acelerar la expansión de los servicios digitales de manera más barata y rentable. Además, asesora sobre cómo coordinar la inversión en bienes públicos digitales de manera propicia para la transformación digital y la consecución de los ODS. En </w:t>
      </w:r>
      <w:hyperlink r:id="rId44" w:history="1">
        <w:r w:rsidRPr="001D431E">
          <w:rPr>
            <w:rStyle w:val="Hyperlink"/>
            <w:rFonts w:cstheme="minorHAnsi"/>
            <w:i/>
            <w:iCs/>
            <w:szCs w:val="24"/>
            <w:lang w:val="es-ES"/>
          </w:rPr>
          <w:t xml:space="preserve">SDG Digital </w:t>
        </w:r>
        <w:proofErr w:type="spellStart"/>
        <w:r w:rsidRPr="001D431E">
          <w:rPr>
            <w:rStyle w:val="Hyperlink"/>
            <w:rFonts w:cstheme="minorHAnsi"/>
            <w:i/>
            <w:iCs/>
            <w:szCs w:val="24"/>
            <w:lang w:val="es-ES"/>
          </w:rPr>
          <w:t>Investment</w:t>
        </w:r>
        <w:proofErr w:type="spellEnd"/>
        <w:r w:rsidRPr="001D431E">
          <w:rPr>
            <w:rStyle w:val="Hyperlink"/>
            <w:rFonts w:cstheme="minorHAnsi"/>
            <w:i/>
            <w:iCs/>
            <w:szCs w:val="24"/>
            <w:lang w:val="es-ES"/>
          </w:rPr>
          <w:t xml:space="preserve"> Framework</w:t>
        </w:r>
      </w:hyperlink>
      <w:r w:rsidRPr="001D431E">
        <w:rPr>
          <w:rStyle w:val="Hyperlink"/>
          <w:rFonts w:cstheme="minorHAnsi"/>
          <w:i/>
          <w:iCs/>
          <w:szCs w:val="24"/>
          <w:lang w:val="es-ES"/>
        </w:rPr>
        <w:t>,</w:t>
      </w:r>
      <w:r w:rsidRPr="001D431E">
        <w:rPr>
          <w:rFonts w:cstheme="minorHAnsi"/>
          <w:color w:val="333333"/>
          <w:szCs w:val="24"/>
          <w:lang w:val="es-ES"/>
        </w:rPr>
        <w:t xml:space="preserve"> publicado por la UIT y la Digital Impact Alliance (DIAL) se presenta un enfoque gubernamental global.</w:t>
      </w:r>
    </w:p>
    <w:p w14:paraId="47E7F260" w14:textId="77777777" w:rsidR="00C1021F" w:rsidRPr="001D431E" w:rsidRDefault="00C1021F" w:rsidP="00E54D4C">
      <w:pPr>
        <w:spacing w:before="0" w:line="252" w:lineRule="auto"/>
        <w:rPr>
          <w:rFonts w:cstheme="minorHAnsi"/>
          <w:highlight w:val="yellow"/>
          <w:lang w:val="es-ES"/>
        </w:rPr>
      </w:pPr>
    </w:p>
    <w:tbl>
      <w:tblPr>
        <w:tblStyle w:val="TableGrid3"/>
        <w:tblW w:w="0" w:type="auto"/>
        <w:tblLook w:val="04A0" w:firstRow="1" w:lastRow="0" w:firstColumn="1" w:lastColumn="0" w:noHBand="0" w:noVBand="1"/>
      </w:tblPr>
      <w:tblGrid>
        <w:gridCol w:w="9628"/>
      </w:tblGrid>
      <w:tr w:rsidR="00C1021F" w:rsidRPr="00BD1F0A" w14:paraId="7F7B2E4A" w14:textId="77777777" w:rsidTr="00794672">
        <w:tc>
          <w:tcPr>
            <w:tcW w:w="9639" w:type="dxa"/>
          </w:tcPr>
          <w:p w14:paraId="284A261E" w14:textId="77777777" w:rsidR="00C1021F" w:rsidRPr="009219FC" w:rsidRDefault="00C1021F" w:rsidP="009219FC">
            <w:pPr>
              <w:keepNext/>
              <w:keepLines/>
              <w:widowControl w:val="0"/>
              <w:rPr>
                <w:rFonts w:asciiTheme="minorHAnsi" w:hAnsiTheme="minorHAnsi" w:cstheme="minorHAnsi"/>
                <w:b/>
                <w:lang w:val="es-ES"/>
              </w:rPr>
            </w:pPr>
            <w:r w:rsidRPr="009219FC">
              <w:rPr>
                <w:rFonts w:asciiTheme="minorHAnsi" w:hAnsiTheme="minorHAnsi" w:cstheme="minorHAnsi"/>
                <w:b/>
                <w:lang w:val="es-ES"/>
              </w:rPr>
              <w:lastRenderedPageBreak/>
              <w:t>INICIATIVAS REGIONALES</w:t>
            </w:r>
          </w:p>
          <w:p w14:paraId="3FA50D30" w14:textId="77777777" w:rsidR="00C1021F" w:rsidRPr="009219FC" w:rsidRDefault="00C1021F" w:rsidP="009219FC">
            <w:pPr>
              <w:keepNext/>
              <w:keepLines/>
              <w:widowControl w:val="0"/>
              <w:overflowPunct/>
              <w:textAlignment w:val="auto"/>
              <w:rPr>
                <w:rFonts w:asciiTheme="minorHAnsi" w:hAnsiTheme="minorHAnsi" w:cstheme="minorHAnsi"/>
                <w:szCs w:val="24"/>
                <w:lang w:val="es-ES"/>
              </w:rPr>
            </w:pPr>
            <w:r w:rsidRPr="009219FC">
              <w:rPr>
                <w:rFonts w:asciiTheme="minorHAnsi" w:eastAsia="Calibri" w:hAnsiTheme="minorHAnsi" w:cstheme="minorHAnsi"/>
                <w:szCs w:val="24"/>
                <w:lang w:val="es-ES"/>
              </w:rPr>
              <w:t xml:space="preserve">África: </w:t>
            </w:r>
            <w:r w:rsidRPr="009219FC">
              <w:rPr>
                <w:rFonts w:asciiTheme="minorHAnsi" w:eastAsia="Calibri" w:hAnsiTheme="minorHAnsi" w:cstheme="minorHAnsi"/>
                <w:szCs w:val="24"/>
                <w:u w:val="single"/>
                <w:lang w:val="es-ES"/>
              </w:rPr>
              <w:t>Creación de economías digitales y fomento de la innovación en África</w:t>
            </w:r>
          </w:p>
          <w:p w14:paraId="39F7BE6F" w14:textId="534B7665" w:rsidR="00C1021F" w:rsidRPr="009219FC" w:rsidRDefault="006A1FD8" w:rsidP="009219FC">
            <w:pPr>
              <w:pStyle w:val="enumlev1"/>
              <w:keepNext/>
              <w:keepLines/>
              <w:widowControl w:val="0"/>
              <w:rPr>
                <w:rFonts w:asciiTheme="minorHAnsi" w:hAnsiTheme="minorHAnsi" w:cstheme="minorHAnsi"/>
                <w:lang w:val="es-ES"/>
              </w:rPr>
            </w:pPr>
            <w:r w:rsidRPr="009219FC">
              <w:rPr>
                <w:rFonts w:asciiTheme="minorHAnsi" w:eastAsia="Calibri" w:hAnsiTheme="minorHAnsi" w:cstheme="minorHAnsi"/>
                <w:lang w:val="es-ES"/>
              </w:rPr>
              <w:t>•</w:t>
            </w:r>
            <w:r w:rsidRPr="009219FC">
              <w:rPr>
                <w:rFonts w:asciiTheme="minorHAnsi" w:eastAsia="Calibri" w:hAnsiTheme="minorHAnsi" w:cstheme="minorHAnsi"/>
                <w:lang w:val="es-ES"/>
              </w:rPr>
              <w:tab/>
            </w:r>
            <w:r w:rsidR="00C1021F" w:rsidRPr="009219FC">
              <w:rPr>
                <w:rFonts w:asciiTheme="minorHAnsi" w:hAnsiTheme="minorHAnsi" w:cstheme="minorHAnsi"/>
                <w:lang w:val="es-ES"/>
              </w:rPr>
              <w:t>Se</w:t>
            </w:r>
            <w:r w:rsidR="00C1021F" w:rsidRPr="009219FC">
              <w:rPr>
                <w:rFonts w:asciiTheme="minorHAnsi" w:eastAsia="Calibri" w:hAnsiTheme="minorHAnsi" w:cstheme="minorHAnsi"/>
                <w:lang w:val="es-ES"/>
              </w:rPr>
              <w:t xml:space="preserve"> lanzó el proyecto conjunto de la UIT y la OMS</w:t>
            </w:r>
            <w:r w:rsidR="00C1021F" w:rsidRPr="009219FC">
              <w:rPr>
                <w:rFonts w:asciiTheme="minorHAnsi" w:hAnsiTheme="minorHAnsi" w:cstheme="minorHAnsi"/>
                <w:lang w:val="es-ES"/>
              </w:rPr>
              <w:t xml:space="preserve"> </w:t>
            </w:r>
            <w:r w:rsidR="00C1021F" w:rsidRPr="009219FC">
              <w:rPr>
                <w:rFonts w:asciiTheme="minorHAnsi" w:eastAsiaTheme="minorEastAsia" w:hAnsiTheme="minorHAnsi" w:cstheme="minorHAnsi"/>
                <w:i/>
                <w:iCs/>
                <w:lang w:val="es-ES" w:eastAsia="zh-CN"/>
              </w:rPr>
              <w:t>Using digital health services to accelerate SDGs in the Africa region</w:t>
            </w:r>
            <w:r w:rsidR="00C1021F" w:rsidRPr="009219FC">
              <w:rPr>
                <w:rFonts w:asciiTheme="minorHAnsi" w:eastAsiaTheme="minorEastAsia" w:hAnsiTheme="minorHAnsi" w:cstheme="minorHAnsi"/>
                <w:lang w:val="es-ES" w:eastAsia="zh-CN"/>
              </w:rPr>
              <w:t xml:space="preserve"> para ayudar a los países a utilizar plena y sosteniblemente las TIC en la prestación de servicios sanitarios a fin de mejorar la salud personal y de la población y garantizar el bienestar y una vida saludable para todos en la región de África</w:t>
            </w:r>
            <w:r w:rsidR="00C1021F" w:rsidRPr="009219FC">
              <w:rPr>
                <w:rFonts w:asciiTheme="minorHAnsi" w:hAnsiTheme="minorHAnsi" w:cstheme="minorHAnsi"/>
                <w:lang w:val="es-ES"/>
              </w:rPr>
              <w:t>.</w:t>
            </w:r>
          </w:p>
          <w:p w14:paraId="7051738D" w14:textId="77777777" w:rsidR="00C1021F" w:rsidRPr="009219FC" w:rsidRDefault="00C1021F" w:rsidP="009219FC">
            <w:pPr>
              <w:keepNext/>
              <w:keepLines/>
              <w:widowControl w:val="0"/>
              <w:tabs>
                <w:tab w:val="clear" w:pos="794"/>
                <w:tab w:val="clear" w:pos="1191"/>
                <w:tab w:val="clear" w:pos="1588"/>
                <w:tab w:val="clear" w:pos="1985"/>
              </w:tabs>
              <w:overflowPunct/>
              <w:textAlignment w:val="auto"/>
              <w:rPr>
                <w:rFonts w:asciiTheme="minorHAnsi" w:eastAsia="Calibri" w:hAnsiTheme="minorHAnsi" w:cstheme="minorHAnsi"/>
                <w:szCs w:val="24"/>
                <w:lang w:val="es-ES"/>
              </w:rPr>
            </w:pPr>
            <w:r w:rsidRPr="009219FC">
              <w:rPr>
                <w:rFonts w:asciiTheme="minorHAnsi" w:eastAsia="Calibri" w:hAnsiTheme="minorHAnsi" w:cstheme="minorHAnsi"/>
                <w:szCs w:val="24"/>
                <w:lang w:val="es-ES"/>
              </w:rPr>
              <w:t xml:space="preserve">Asia-Pacífico: </w:t>
            </w:r>
            <w:r w:rsidRPr="009219FC">
              <w:rPr>
                <w:rFonts w:asciiTheme="minorHAnsi" w:eastAsia="Calibri" w:hAnsiTheme="minorHAnsi" w:cstheme="minorHAnsi"/>
                <w:szCs w:val="24"/>
                <w:u w:val="single"/>
                <w:lang w:val="es-ES"/>
              </w:rPr>
              <w:t>Aprovechar las TIC en pro de la economía digital y una sociedad digital integradora</w:t>
            </w:r>
          </w:p>
          <w:p w14:paraId="7FCAD025" w14:textId="1109EDA4" w:rsidR="00C1021F" w:rsidRPr="009219FC" w:rsidRDefault="006A1FD8" w:rsidP="009219FC">
            <w:pPr>
              <w:pStyle w:val="enumlev1"/>
              <w:keepNext/>
              <w:keepLines/>
              <w:widowControl w:val="0"/>
              <w:rPr>
                <w:rFonts w:asciiTheme="minorHAnsi" w:eastAsia="Calibri" w:hAnsiTheme="minorHAnsi" w:cstheme="minorHAnsi"/>
                <w:szCs w:val="24"/>
                <w:lang w:val="es-ES"/>
              </w:rPr>
            </w:pPr>
            <w:r w:rsidRPr="009219FC">
              <w:rPr>
                <w:rFonts w:asciiTheme="minorHAnsi" w:eastAsia="Calibri" w:hAnsiTheme="minorHAnsi" w:cstheme="minorHAnsi"/>
                <w:szCs w:val="24"/>
                <w:lang w:val="es-ES"/>
              </w:rPr>
              <w:t>•</w:t>
            </w:r>
            <w:r w:rsidRPr="009219FC">
              <w:rPr>
                <w:rFonts w:asciiTheme="minorHAnsi" w:eastAsia="Calibri" w:hAnsiTheme="minorHAnsi" w:cstheme="minorHAnsi"/>
                <w:szCs w:val="24"/>
                <w:lang w:val="es-ES"/>
              </w:rPr>
              <w:tab/>
            </w:r>
            <w:r w:rsidR="00C1021F" w:rsidRPr="009219FC">
              <w:rPr>
                <w:rFonts w:asciiTheme="minorHAnsi" w:eastAsia="Calibri" w:hAnsiTheme="minorHAnsi" w:cstheme="minorHAnsi"/>
                <w:szCs w:val="24"/>
                <w:lang w:val="es-ES"/>
              </w:rPr>
              <w:t xml:space="preserve">Ciberagricultura: En asociación con la FAO, la UIT apoyó la adopción de una estrategia de </w:t>
            </w:r>
            <w:r w:rsidR="00C1021F" w:rsidRPr="009219FC">
              <w:rPr>
                <w:rFonts w:asciiTheme="minorHAnsi" w:eastAsiaTheme="minorEastAsia" w:hAnsiTheme="minorHAnsi" w:cstheme="minorHAnsi"/>
                <w:lang w:val="es-ES" w:eastAsia="zh-CN"/>
              </w:rPr>
              <w:t>ciberagricultura</w:t>
            </w:r>
            <w:r w:rsidR="00C1021F" w:rsidRPr="009219FC">
              <w:rPr>
                <w:rFonts w:asciiTheme="minorHAnsi" w:eastAsia="Calibri" w:hAnsiTheme="minorHAnsi" w:cstheme="minorHAnsi"/>
                <w:szCs w:val="24"/>
                <w:lang w:val="es-ES"/>
              </w:rPr>
              <w:t xml:space="preserve"> en Mongolia; la implementación de aplicaciones móviles en Papúa Nueva Guinea; la preparación de dos estudios de caso sobre la cadena de bloques y los macrodatos, y actividades de capacitación en Papúa Nueva Guinea y Mongolia. También se finalizó un proyecto común de las </w:t>
            </w:r>
            <w:r w:rsidR="00C1021F" w:rsidRPr="009219FC">
              <w:rPr>
                <w:rFonts w:asciiTheme="minorHAnsi" w:hAnsiTheme="minorHAnsi" w:cstheme="minorHAnsi"/>
                <w:lang w:val="es-ES"/>
              </w:rPr>
              <w:t>Naciones</w:t>
            </w:r>
            <w:r w:rsidR="00C1021F" w:rsidRPr="009219FC">
              <w:rPr>
                <w:rFonts w:asciiTheme="minorHAnsi" w:eastAsia="Calibri" w:hAnsiTheme="minorHAnsi" w:cstheme="minorHAnsi"/>
                <w:szCs w:val="24"/>
                <w:lang w:val="es-ES"/>
              </w:rPr>
              <w:t xml:space="preserve"> Unidas, liderado por la FAO, en pro de la agricultura en zonas de Papúa Nueva Guinea.</w:t>
            </w:r>
          </w:p>
          <w:p w14:paraId="22A01940" w14:textId="44EE641A" w:rsidR="00C1021F" w:rsidRPr="009219FC" w:rsidRDefault="006A1FD8" w:rsidP="009219FC">
            <w:pPr>
              <w:pStyle w:val="enumlev1"/>
              <w:keepNext/>
              <w:keepLines/>
              <w:widowControl w:val="0"/>
              <w:rPr>
                <w:rFonts w:asciiTheme="minorHAnsi" w:eastAsia="Calibri" w:hAnsiTheme="minorHAnsi" w:cstheme="minorHAnsi"/>
                <w:szCs w:val="24"/>
                <w:lang w:val="es-ES"/>
              </w:rPr>
            </w:pPr>
            <w:r w:rsidRPr="009219FC">
              <w:rPr>
                <w:rFonts w:asciiTheme="minorHAnsi" w:eastAsia="Calibri" w:hAnsiTheme="minorHAnsi" w:cstheme="minorHAnsi"/>
                <w:szCs w:val="24"/>
                <w:lang w:val="es-ES"/>
              </w:rPr>
              <w:t>•</w:t>
            </w:r>
            <w:r w:rsidRPr="009219FC">
              <w:rPr>
                <w:rFonts w:asciiTheme="minorHAnsi" w:eastAsia="Calibri" w:hAnsiTheme="minorHAnsi" w:cstheme="minorHAnsi"/>
                <w:szCs w:val="24"/>
                <w:lang w:val="es-ES"/>
              </w:rPr>
              <w:tab/>
            </w:r>
            <w:r w:rsidR="00C1021F" w:rsidRPr="009219FC">
              <w:rPr>
                <w:rFonts w:asciiTheme="minorHAnsi" w:eastAsia="Calibri" w:hAnsiTheme="minorHAnsi" w:cstheme="minorHAnsi"/>
                <w:szCs w:val="24"/>
                <w:lang w:val="es-ES"/>
              </w:rPr>
              <w:t xml:space="preserve">Cibergobierno: se prestó asistencia a Papúa Nueva Guinea y Vanuatu para el fortalecimiento de sus marcos de </w:t>
            </w:r>
            <w:r w:rsidR="00C1021F" w:rsidRPr="009219FC">
              <w:rPr>
                <w:rFonts w:asciiTheme="minorHAnsi" w:hAnsiTheme="minorHAnsi" w:cstheme="minorHAnsi"/>
                <w:lang w:val="es-ES"/>
              </w:rPr>
              <w:t>gobierno</w:t>
            </w:r>
            <w:r w:rsidR="00C1021F" w:rsidRPr="009219FC">
              <w:rPr>
                <w:rFonts w:asciiTheme="minorHAnsi" w:eastAsia="Calibri" w:hAnsiTheme="minorHAnsi" w:cstheme="minorHAnsi"/>
                <w:szCs w:val="24"/>
                <w:lang w:val="es-ES"/>
              </w:rPr>
              <w:t xml:space="preserve"> digital.</w:t>
            </w:r>
          </w:p>
          <w:p w14:paraId="72F55ED3" w14:textId="1ACF31D4" w:rsidR="00C1021F" w:rsidRPr="009219FC" w:rsidRDefault="006A1FD8" w:rsidP="009219FC">
            <w:pPr>
              <w:pStyle w:val="enumlev1"/>
              <w:keepNext/>
              <w:keepLines/>
              <w:widowControl w:val="0"/>
              <w:rPr>
                <w:rFonts w:asciiTheme="minorHAnsi" w:eastAsia="Calibri" w:hAnsiTheme="minorHAnsi" w:cstheme="minorHAnsi"/>
                <w:szCs w:val="24"/>
                <w:lang w:val="es-ES"/>
              </w:rPr>
            </w:pPr>
            <w:r w:rsidRPr="009219FC">
              <w:rPr>
                <w:rFonts w:asciiTheme="minorHAnsi" w:eastAsia="Calibri" w:hAnsiTheme="minorHAnsi" w:cstheme="minorHAnsi"/>
                <w:szCs w:val="24"/>
                <w:lang w:val="es-ES"/>
              </w:rPr>
              <w:t>•</w:t>
            </w:r>
            <w:r w:rsidRPr="009219FC">
              <w:rPr>
                <w:rFonts w:asciiTheme="minorHAnsi" w:eastAsia="Calibri" w:hAnsiTheme="minorHAnsi" w:cstheme="minorHAnsi"/>
                <w:szCs w:val="24"/>
                <w:lang w:val="es-ES"/>
              </w:rPr>
              <w:tab/>
            </w:r>
            <w:r w:rsidR="00C1021F" w:rsidRPr="009219FC">
              <w:rPr>
                <w:rFonts w:asciiTheme="minorHAnsi" w:eastAsia="Calibri" w:hAnsiTheme="minorHAnsi" w:cstheme="minorHAnsi"/>
                <w:szCs w:val="24"/>
                <w:lang w:val="es-ES"/>
              </w:rPr>
              <w:t xml:space="preserve">A través de formaciones y talleres se dieron a conocer aplicaciones para las ciudades </w:t>
            </w:r>
            <w:r w:rsidR="00C1021F" w:rsidRPr="009219FC">
              <w:rPr>
                <w:rFonts w:asciiTheme="minorHAnsi" w:eastAsiaTheme="minorEastAsia" w:hAnsiTheme="minorHAnsi" w:cstheme="minorHAnsi"/>
                <w:lang w:val="es-ES" w:eastAsia="zh-CN"/>
              </w:rPr>
              <w:t>inteligentes</w:t>
            </w:r>
            <w:r w:rsidR="00C1021F" w:rsidRPr="009219FC">
              <w:rPr>
                <w:rFonts w:asciiTheme="minorHAnsi" w:eastAsia="Calibri" w:hAnsiTheme="minorHAnsi" w:cstheme="minorHAnsi"/>
                <w:szCs w:val="24"/>
                <w:lang w:val="es-ES"/>
              </w:rPr>
              <w:t xml:space="preserve">, el gobierno digital y </w:t>
            </w:r>
            <w:r w:rsidR="00C1021F" w:rsidRPr="009219FC">
              <w:rPr>
                <w:rFonts w:asciiTheme="minorHAnsi" w:hAnsiTheme="minorHAnsi" w:cstheme="minorHAnsi"/>
                <w:lang w:val="es-ES"/>
              </w:rPr>
              <w:t>aplicaciones</w:t>
            </w:r>
            <w:r w:rsidR="00C1021F" w:rsidRPr="009219FC">
              <w:rPr>
                <w:rFonts w:asciiTheme="minorHAnsi" w:eastAsia="Calibri" w:hAnsiTheme="minorHAnsi" w:cstheme="minorHAnsi"/>
                <w:szCs w:val="24"/>
                <w:lang w:val="es-ES"/>
              </w:rPr>
              <w:t xml:space="preserve"> de la IoT.</w:t>
            </w:r>
          </w:p>
          <w:p w14:paraId="4A43B5CB" w14:textId="77777777" w:rsidR="00C1021F" w:rsidRPr="009219FC" w:rsidRDefault="00C1021F" w:rsidP="009219FC">
            <w:pPr>
              <w:keepNext/>
              <w:keepLines/>
              <w:widowControl w:val="0"/>
              <w:tabs>
                <w:tab w:val="clear" w:pos="794"/>
                <w:tab w:val="clear" w:pos="1191"/>
                <w:tab w:val="clear" w:pos="1588"/>
                <w:tab w:val="clear" w:pos="1985"/>
              </w:tabs>
              <w:overflowPunct/>
              <w:textAlignment w:val="auto"/>
              <w:rPr>
                <w:rFonts w:asciiTheme="minorHAnsi" w:eastAsia="Calibri" w:hAnsiTheme="minorHAnsi" w:cstheme="minorHAnsi"/>
                <w:szCs w:val="24"/>
                <w:lang w:val="es-ES"/>
              </w:rPr>
            </w:pPr>
            <w:r w:rsidRPr="009219FC">
              <w:rPr>
                <w:rFonts w:asciiTheme="minorHAnsi" w:eastAsia="Calibri" w:hAnsiTheme="minorHAnsi" w:cstheme="minorHAnsi"/>
                <w:szCs w:val="24"/>
                <w:lang w:val="es-ES"/>
              </w:rPr>
              <w:t xml:space="preserve">Europa: </w:t>
            </w:r>
            <w:r w:rsidRPr="009219FC">
              <w:rPr>
                <w:rFonts w:asciiTheme="minorHAnsi" w:eastAsia="Calibri" w:hAnsiTheme="minorHAnsi" w:cstheme="minorHAnsi"/>
                <w:szCs w:val="24"/>
                <w:u w:val="single"/>
                <w:lang w:val="es-ES"/>
              </w:rPr>
              <w:t>Un enfoque orientado al ciudadano en el desarrollo de servicios para las administraciones nacionales</w:t>
            </w:r>
            <w:r w:rsidRPr="009219FC">
              <w:rPr>
                <w:rFonts w:asciiTheme="minorHAnsi" w:eastAsia="Calibri" w:hAnsiTheme="minorHAnsi" w:cstheme="minorHAnsi"/>
                <w:szCs w:val="24"/>
                <w:lang w:val="es-ES"/>
              </w:rPr>
              <w:t xml:space="preserve"> </w:t>
            </w:r>
          </w:p>
          <w:p w14:paraId="22A21160" w14:textId="19B7444C" w:rsidR="00C1021F" w:rsidRPr="009219FC" w:rsidRDefault="006A1FD8" w:rsidP="009219FC">
            <w:pPr>
              <w:pStyle w:val="enumlev1"/>
              <w:keepNext/>
              <w:keepLines/>
              <w:rPr>
                <w:rFonts w:asciiTheme="minorHAnsi" w:eastAsia="Calibri" w:hAnsiTheme="minorHAnsi" w:cstheme="minorHAnsi"/>
                <w:szCs w:val="24"/>
                <w:lang w:val="es-ES"/>
              </w:rPr>
            </w:pPr>
            <w:r w:rsidRPr="009219FC">
              <w:rPr>
                <w:rFonts w:asciiTheme="minorHAnsi" w:eastAsia="Calibri" w:hAnsiTheme="minorHAnsi" w:cstheme="minorHAnsi"/>
                <w:szCs w:val="24"/>
                <w:lang w:val="es-ES"/>
              </w:rPr>
              <w:t>•</w:t>
            </w:r>
            <w:r w:rsidRPr="009219FC">
              <w:rPr>
                <w:rFonts w:asciiTheme="minorHAnsi" w:eastAsia="Calibri" w:hAnsiTheme="minorHAnsi" w:cstheme="minorHAnsi"/>
                <w:szCs w:val="24"/>
                <w:lang w:val="es-ES"/>
              </w:rPr>
              <w:tab/>
            </w:r>
            <w:r w:rsidR="00C1021F" w:rsidRPr="009219FC">
              <w:rPr>
                <w:rFonts w:asciiTheme="minorHAnsi" w:eastAsia="Calibri" w:hAnsiTheme="minorHAnsi" w:cstheme="minorHAnsi"/>
                <w:szCs w:val="24"/>
                <w:lang w:val="es-ES"/>
              </w:rPr>
              <w:t xml:space="preserve">Se </w:t>
            </w:r>
            <w:r w:rsidR="00C1021F" w:rsidRPr="009219FC">
              <w:rPr>
                <w:rFonts w:asciiTheme="minorHAnsi" w:eastAsiaTheme="minorEastAsia" w:hAnsiTheme="minorHAnsi" w:cstheme="minorHAnsi"/>
                <w:lang w:val="es-ES" w:eastAsia="zh-CN"/>
              </w:rPr>
              <w:t>celebró</w:t>
            </w:r>
            <w:r w:rsidR="00C1021F" w:rsidRPr="009219FC">
              <w:rPr>
                <w:rFonts w:asciiTheme="minorHAnsi" w:eastAsia="Calibri" w:hAnsiTheme="minorHAnsi" w:cstheme="minorHAnsi"/>
                <w:szCs w:val="24"/>
                <w:lang w:val="es-ES"/>
              </w:rPr>
              <w:t xml:space="preserve"> en Ginebra un taller sobre mejora de la vida humana a través de los ciberservicios a fin de abordar las tecnologías y servicios emergentes, incluidas la IA y la accesibilidad a las TIC. </w:t>
            </w:r>
          </w:p>
          <w:p w14:paraId="3E81678B" w14:textId="26C3C684" w:rsidR="00C1021F" w:rsidRPr="009219FC" w:rsidRDefault="006A1FD8" w:rsidP="009219FC">
            <w:pPr>
              <w:pStyle w:val="enumlev1"/>
              <w:keepNext/>
              <w:keepLines/>
              <w:rPr>
                <w:rFonts w:asciiTheme="minorHAnsi" w:eastAsia="Calibri" w:hAnsiTheme="minorHAnsi" w:cstheme="minorHAnsi"/>
                <w:szCs w:val="24"/>
                <w:lang w:val="es-ES"/>
              </w:rPr>
            </w:pPr>
            <w:r w:rsidRPr="009219FC">
              <w:rPr>
                <w:rFonts w:asciiTheme="minorHAnsi" w:eastAsia="Calibri" w:hAnsiTheme="minorHAnsi" w:cstheme="minorHAnsi"/>
                <w:szCs w:val="24"/>
                <w:lang w:val="es-ES"/>
              </w:rPr>
              <w:t>•</w:t>
            </w:r>
            <w:r w:rsidRPr="009219FC">
              <w:rPr>
                <w:rFonts w:asciiTheme="minorHAnsi" w:eastAsia="Calibri" w:hAnsiTheme="minorHAnsi" w:cstheme="minorHAnsi"/>
                <w:szCs w:val="24"/>
                <w:lang w:val="es-ES"/>
              </w:rPr>
              <w:tab/>
            </w:r>
            <w:r w:rsidR="00C1021F" w:rsidRPr="009219FC">
              <w:rPr>
                <w:rFonts w:asciiTheme="minorHAnsi" w:eastAsia="Calibri" w:hAnsiTheme="minorHAnsi" w:cstheme="minorHAnsi"/>
                <w:szCs w:val="24"/>
                <w:lang w:val="es-ES"/>
              </w:rPr>
              <w:t xml:space="preserve">Se reforzó la cooperación entre la UIT y la FAO en una sesión especial dedicada a las estrategias de agricultura digital </w:t>
            </w:r>
            <w:r w:rsidR="00C1021F" w:rsidRPr="009219FC">
              <w:rPr>
                <w:rFonts w:asciiTheme="minorHAnsi" w:hAnsiTheme="minorHAnsi" w:cstheme="minorHAnsi"/>
                <w:lang w:val="es-ES"/>
              </w:rPr>
              <w:t>organizada</w:t>
            </w:r>
            <w:r w:rsidR="00C1021F" w:rsidRPr="009219FC">
              <w:rPr>
                <w:rFonts w:asciiTheme="minorHAnsi" w:eastAsia="Calibri" w:hAnsiTheme="minorHAnsi" w:cstheme="minorHAnsi"/>
                <w:szCs w:val="24"/>
                <w:lang w:val="es-ES"/>
              </w:rPr>
              <w:t xml:space="preserve"> en el merco de ITU Telecom World 2019, Budapest, Hungría.</w:t>
            </w:r>
          </w:p>
          <w:p w14:paraId="056E06E8" w14:textId="3FA3848E" w:rsidR="00C1021F" w:rsidRPr="009219FC" w:rsidRDefault="006A1FD8" w:rsidP="009219FC">
            <w:pPr>
              <w:pStyle w:val="enumlev1"/>
              <w:keepNext/>
              <w:keepLines/>
              <w:rPr>
                <w:rFonts w:asciiTheme="minorHAnsi" w:eastAsia="Calibri" w:hAnsiTheme="minorHAnsi" w:cstheme="minorHAnsi"/>
                <w:szCs w:val="24"/>
                <w:lang w:val="es-ES"/>
              </w:rPr>
            </w:pPr>
            <w:r w:rsidRPr="009219FC">
              <w:rPr>
                <w:rFonts w:asciiTheme="minorHAnsi" w:eastAsia="Calibri" w:hAnsiTheme="minorHAnsi" w:cstheme="minorHAnsi"/>
                <w:szCs w:val="24"/>
                <w:lang w:val="es-ES"/>
              </w:rPr>
              <w:t>•</w:t>
            </w:r>
            <w:r w:rsidRPr="009219FC">
              <w:rPr>
                <w:rFonts w:asciiTheme="minorHAnsi" w:eastAsia="Calibri" w:hAnsiTheme="minorHAnsi" w:cstheme="minorHAnsi"/>
                <w:szCs w:val="24"/>
                <w:lang w:val="es-ES"/>
              </w:rPr>
              <w:tab/>
            </w:r>
            <w:r w:rsidR="00C1021F" w:rsidRPr="009219FC">
              <w:rPr>
                <w:rFonts w:asciiTheme="minorHAnsi" w:eastAsia="Calibri" w:hAnsiTheme="minorHAnsi" w:cstheme="minorHAnsi"/>
                <w:szCs w:val="24"/>
                <w:lang w:val="es-ES"/>
              </w:rPr>
              <w:t xml:space="preserve">Se prepararon estudios regionales sobre estrategias nacionales para la agricultura digital, que se </w:t>
            </w:r>
            <w:r w:rsidR="00C1021F" w:rsidRPr="009219FC">
              <w:rPr>
                <w:rFonts w:asciiTheme="minorHAnsi" w:eastAsiaTheme="minorEastAsia" w:hAnsiTheme="minorHAnsi" w:cstheme="minorHAnsi"/>
                <w:lang w:val="es-ES" w:eastAsia="zh-CN"/>
              </w:rPr>
              <w:t>sometieron</w:t>
            </w:r>
            <w:r w:rsidR="00C1021F" w:rsidRPr="009219FC">
              <w:rPr>
                <w:rFonts w:asciiTheme="minorHAnsi" w:eastAsia="Calibri" w:hAnsiTheme="minorHAnsi" w:cstheme="minorHAnsi"/>
                <w:szCs w:val="24"/>
                <w:lang w:val="es-ES"/>
              </w:rPr>
              <w:t xml:space="preserve"> al examen de los </w:t>
            </w:r>
            <w:r w:rsidR="00C1021F" w:rsidRPr="009219FC">
              <w:rPr>
                <w:rFonts w:asciiTheme="minorHAnsi" w:hAnsiTheme="minorHAnsi" w:cstheme="minorHAnsi"/>
                <w:lang w:val="es-ES"/>
              </w:rPr>
              <w:t>Estados</w:t>
            </w:r>
            <w:r w:rsidR="00C1021F" w:rsidRPr="009219FC">
              <w:rPr>
                <w:rFonts w:asciiTheme="minorHAnsi" w:eastAsia="Calibri" w:hAnsiTheme="minorHAnsi" w:cstheme="minorHAnsi"/>
                <w:szCs w:val="24"/>
                <w:lang w:val="es-ES"/>
              </w:rPr>
              <w:t xml:space="preserve"> Miembros concernidos. </w:t>
            </w:r>
          </w:p>
          <w:p w14:paraId="690BA9BA" w14:textId="7F2103D0" w:rsidR="00C1021F" w:rsidRPr="009219FC" w:rsidRDefault="006A1FD8" w:rsidP="009219FC">
            <w:pPr>
              <w:pStyle w:val="enumlev1"/>
              <w:keepNext/>
              <w:keepLines/>
              <w:rPr>
                <w:rFonts w:asciiTheme="minorHAnsi" w:eastAsia="Calibri" w:hAnsiTheme="minorHAnsi" w:cstheme="minorHAnsi"/>
                <w:sz w:val="22"/>
                <w:szCs w:val="22"/>
                <w:lang w:val="es-ES"/>
              </w:rPr>
            </w:pPr>
            <w:r w:rsidRPr="009219FC">
              <w:rPr>
                <w:rFonts w:asciiTheme="minorHAnsi" w:eastAsia="Calibri" w:hAnsiTheme="minorHAnsi" w:cstheme="minorHAnsi"/>
                <w:szCs w:val="24"/>
                <w:lang w:val="es-ES"/>
              </w:rPr>
              <w:t>•</w:t>
            </w:r>
            <w:r w:rsidRPr="009219FC">
              <w:rPr>
                <w:rFonts w:asciiTheme="minorHAnsi" w:eastAsia="Calibri" w:hAnsiTheme="minorHAnsi" w:cstheme="minorHAnsi"/>
                <w:szCs w:val="24"/>
                <w:lang w:val="es-ES"/>
              </w:rPr>
              <w:tab/>
            </w:r>
            <w:r w:rsidR="00C1021F" w:rsidRPr="009219FC">
              <w:rPr>
                <w:rFonts w:asciiTheme="minorHAnsi" w:eastAsia="Calibri" w:hAnsiTheme="minorHAnsi" w:cstheme="minorHAnsi"/>
                <w:szCs w:val="24"/>
                <w:lang w:val="es-ES"/>
              </w:rPr>
              <w:t xml:space="preserve">Se celebró en </w:t>
            </w:r>
            <w:r w:rsidR="00C1021F" w:rsidRPr="009219FC">
              <w:rPr>
                <w:rFonts w:asciiTheme="minorHAnsi" w:eastAsiaTheme="minorEastAsia" w:hAnsiTheme="minorHAnsi" w:cstheme="minorHAnsi"/>
                <w:lang w:val="es-ES" w:eastAsia="zh-CN"/>
              </w:rPr>
              <w:t>Praga</w:t>
            </w:r>
            <w:r w:rsidR="00C1021F" w:rsidRPr="009219FC">
              <w:rPr>
                <w:rFonts w:asciiTheme="minorHAnsi" w:eastAsia="Calibri" w:hAnsiTheme="minorHAnsi" w:cstheme="minorHAnsi"/>
                <w:szCs w:val="24"/>
                <w:lang w:val="es-ES"/>
              </w:rPr>
              <w:t xml:space="preserve">, República Checa, un evento de intercambio de conocimientos sobre la promoción de ecosistemas de nuevas </w:t>
            </w:r>
            <w:r w:rsidR="00C1021F" w:rsidRPr="009219FC">
              <w:rPr>
                <w:rFonts w:asciiTheme="minorHAnsi" w:hAnsiTheme="minorHAnsi" w:cstheme="minorHAnsi"/>
                <w:lang w:val="es-ES"/>
              </w:rPr>
              <w:t>empresas</w:t>
            </w:r>
            <w:r w:rsidR="00C1021F" w:rsidRPr="009219FC">
              <w:rPr>
                <w:rFonts w:asciiTheme="minorHAnsi" w:eastAsia="Calibri" w:hAnsiTheme="minorHAnsi" w:cstheme="minorHAnsi"/>
                <w:szCs w:val="24"/>
                <w:lang w:val="es-ES"/>
              </w:rPr>
              <w:t xml:space="preserve"> tecnológicas.</w:t>
            </w:r>
          </w:p>
        </w:tc>
      </w:tr>
    </w:tbl>
    <w:p w14:paraId="33ABD866" w14:textId="77777777" w:rsidR="00C1021F" w:rsidRPr="009219FC" w:rsidRDefault="00C1021F" w:rsidP="00C1021F">
      <w:pPr>
        <w:shd w:val="clear" w:color="auto" w:fill="FFFFFF" w:themeFill="background1"/>
        <w:tabs>
          <w:tab w:val="clear" w:pos="794"/>
          <w:tab w:val="clear" w:pos="1191"/>
          <w:tab w:val="clear" w:pos="1588"/>
          <w:tab w:val="clear" w:pos="1985"/>
        </w:tabs>
        <w:overflowPunct/>
        <w:autoSpaceDE/>
        <w:autoSpaceDN/>
        <w:adjustRightInd/>
        <w:textAlignment w:val="auto"/>
        <w:rPr>
          <w:rFonts w:cstheme="minorHAnsi"/>
          <w:szCs w:val="24"/>
          <w:lang w:val="es-ES"/>
        </w:rPr>
      </w:pPr>
    </w:p>
    <w:tbl>
      <w:tblPr>
        <w:tblStyle w:val="TableGrid3"/>
        <w:tblW w:w="0" w:type="auto"/>
        <w:tblLook w:val="04A0" w:firstRow="1" w:lastRow="0" w:firstColumn="1" w:lastColumn="0" w:noHBand="0" w:noVBand="1"/>
      </w:tblPr>
      <w:tblGrid>
        <w:gridCol w:w="9628"/>
      </w:tblGrid>
      <w:tr w:rsidR="00C1021F" w:rsidRPr="00BD1F0A" w14:paraId="1C5240C9" w14:textId="77777777" w:rsidTr="00794672">
        <w:tc>
          <w:tcPr>
            <w:tcW w:w="9629" w:type="dxa"/>
          </w:tcPr>
          <w:p w14:paraId="6299A349" w14:textId="77777777" w:rsidR="00C1021F" w:rsidRPr="009219FC" w:rsidRDefault="00C1021F" w:rsidP="009219FC">
            <w:pPr>
              <w:keepNext/>
              <w:keepLines/>
              <w:shd w:val="clear" w:color="auto" w:fill="FFFFFF" w:themeFill="background1"/>
              <w:tabs>
                <w:tab w:val="clear" w:pos="794"/>
                <w:tab w:val="clear" w:pos="1191"/>
                <w:tab w:val="clear" w:pos="1588"/>
                <w:tab w:val="clear" w:pos="1985"/>
              </w:tabs>
              <w:overflowPunct/>
              <w:autoSpaceDE/>
              <w:autoSpaceDN/>
              <w:adjustRightInd/>
              <w:textAlignment w:val="auto"/>
              <w:rPr>
                <w:rFonts w:asciiTheme="minorHAnsi" w:hAnsiTheme="minorHAnsi" w:cstheme="minorHAnsi"/>
                <w:b/>
                <w:szCs w:val="24"/>
                <w:lang w:val="es-ES"/>
              </w:rPr>
            </w:pPr>
            <w:r w:rsidRPr="009219FC">
              <w:rPr>
                <w:rFonts w:asciiTheme="minorHAnsi" w:hAnsiTheme="minorHAnsi" w:cstheme="minorHAnsi"/>
                <w:b/>
                <w:szCs w:val="24"/>
                <w:lang w:val="es-ES"/>
              </w:rPr>
              <w:lastRenderedPageBreak/>
              <w:t>COMISIONES DE ESTUDIO</w:t>
            </w:r>
          </w:p>
          <w:p w14:paraId="3B1A0661" w14:textId="309C46AA" w:rsidR="00C1021F" w:rsidRPr="009219FC" w:rsidRDefault="006A1FD8" w:rsidP="009219FC">
            <w:pPr>
              <w:pStyle w:val="enumlev1"/>
              <w:keepNext/>
              <w:keepLines/>
              <w:rPr>
                <w:rFonts w:asciiTheme="minorHAnsi" w:eastAsia="Calibri" w:hAnsiTheme="minorHAnsi" w:cstheme="minorHAnsi"/>
                <w:szCs w:val="24"/>
                <w:lang w:val="es-ES"/>
              </w:rPr>
            </w:pPr>
            <w:r w:rsidRPr="009219FC">
              <w:rPr>
                <w:rFonts w:asciiTheme="minorHAnsi" w:eastAsia="Calibri" w:hAnsiTheme="minorHAnsi" w:cstheme="minorHAnsi"/>
                <w:szCs w:val="24"/>
                <w:lang w:val="es-ES"/>
              </w:rPr>
              <w:t>•</w:t>
            </w:r>
            <w:r w:rsidRPr="009219FC">
              <w:rPr>
                <w:rFonts w:asciiTheme="minorHAnsi" w:eastAsia="Calibri" w:hAnsiTheme="minorHAnsi" w:cstheme="minorHAnsi"/>
                <w:szCs w:val="24"/>
                <w:lang w:val="es-ES"/>
              </w:rPr>
              <w:tab/>
            </w:r>
            <w:r w:rsidR="00C1021F" w:rsidRPr="009219FC">
              <w:rPr>
                <w:rFonts w:asciiTheme="minorHAnsi" w:eastAsia="Calibri" w:hAnsiTheme="minorHAnsi" w:cstheme="minorHAnsi"/>
                <w:szCs w:val="24"/>
                <w:lang w:val="es-ES"/>
              </w:rPr>
              <w:t>Se publicó un resultado anual sobre un enfoque global para la creación de ciudades inteligentes (</w:t>
            </w:r>
            <w:hyperlink r:id="rId45" w:history="1">
              <w:r w:rsidR="00C1021F" w:rsidRPr="009219FC">
                <w:rPr>
                  <w:rStyle w:val="Hyperlink"/>
                  <w:rFonts w:asciiTheme="minorHAnsi" w:eastAsia="Calibri" w:hAnsiTheme="minorHAnsi" w:cstheme="minorHAnsi"/>
                  <w:szCs w:val="24"/>
                  <w:lang w:val="es-ES"/>
                </w:rPr>
                <w:t>C</w:t>
              </w:r>
              <w:r w:rsidR="00C1021F" w:rsidRPr="009219FC">
                <w:rPr>
                  <w:rStyle w:val="Hyperlink"/>
                  <w:rFonts w:asciiTheme="minorHAnsi" w:eastAsia="Calibri" w:hAnsiTheme="minorHAnsi" w:cstheme="minorHAnsi"/>
                  <w:lang w:val="es-ES"/>
                </w:rPr>
                <w:t>uestión</w:t>
              </w:r>
              <w:r w:rsidR="00C1021F" w:rsidRPr="009219FC">
                <w:rPr>
                  <w:rStyle w:val="Hyperlink"/>
                  <w:rFonts w:asciiTheme="minorHAnsi" w:eastAsia="Calibri" w:hAnsiTheme="minorHAnsi" w:cstheme="minorHAnsi"/>
                  <w:szCs w:val="24"/>
                  <w:lang w:val="es-ES"/>
                </w:rPr>
                <w:t xml:space="preserve"> 1/2</w:t>
              </w:r>
            </w:hyperlink>
            <w:r w:rsidR="00C1021F" w:rsidRPr="009219FC">
              <w:rPr>
                <w:rFonts w:asciiTheme="minorHAnsi" w:eastAsia="Calibri" w:hAnsiTheme="minorHAnsi" w:cstheme="minorHAnsi"/>
                <w:szCs w:val="24"/>
                <w:lang w:val="es-ES"/>
              </w:rPr>
              <w:t xml:space="preserve">: </w:t>
            </w:r>
            <w:r w:rsidR="00C1021F" w:rsidRPr="009219FC">
              <w:rPr>
                <w:rFonts w:asciiTheme="minorHAnsi" w:eastAsia="Calibri" w:hAnsiTheme="minorHAnsi" w:cstheme="minorHAnsi"/>
                <w:i/>
                <w:iCs/>
                <w:szCs w:val="24"/>
                <w:lang w:val="es-ES"/>
              </w:rPr>
              <w:t>Creac</w:t>
            </w:r>
            <w:r w:rsidR="00C1021F" w:rsidRPr="009219FC">
              <w:rPr>
                <w:rFonts w:asciiTheme="minorHAnsi" w:eastAsia="Calibri" w:hAnsiTheme="minorHAnsi" w:cstheme="minorHAnsi"/>
                <w:i/>
                <w:iCs/>
                <w:lang w:val="es-ES"/>
              </w:rPr>
              <w:t xml:space="preserve">ión de ciudades y </w:t>
            </w:r>
            <w:r w:rsidR="00C1021F" w:rsidRPr="009219FC">
              <w:rPr>
                <w:rFonts w:asciiTheme="minorHAnsi" w:hAnsiTheme="minorHAnsi" w:cstheme="minorHAnsi"/>
                <w:lang w:val="es-ES"/>
              </w:rPr>
              <w:t>sociedades</w:t>
            </w:r>
            <w:r w:rsidR="00C1021F" w:rsidRPr="009219FC">
              <w:rPr>
                <w:rFonts w:asciiTheme="minorHAnsi" w:eastAsia="Calibri" w:hAnsiTheme="minorHAnsi" w:cstheme="minorHAnsi"/>
                <w:i/>
                <w:iCs/>
                <w:lang w:val="es-ES"/>
              </w:rPr>
              <w:t xml:space="preserve"> inteligentes: utilización de</w:t>
            </w:r>
            <w:r w:rsidRPr="009219FC">
              <w:rPr>
                <w:rFonts w:asciiTheme="minorHAnsi" w:eastAsia="Calibri" w:hAnsiTheme="minorHAnsi" w:cstheme="minorHAnsi"/>
                <w:i/>
                <w:iCs/>
                <w:lang w:val="es-ES"/>
              </w:rPr>
              <w:t xml:space="preserve"> </w:t>
            </w:r>
            <w:r w:rsidR="00C1021F" w:rsidRPr="009219FC">
              <w:rPr>
                <w:rFonts w:asciiTheme="minorHAnsi" w:eastAsia="Calibri" w:hAnsiTheme="minorHAnsi" w:cstheme="minorHAnsi"/>
                <w:i/>
                <w:iCs/>
                <w:lang w:val="es-ES"/>
              </w:rPr>
              <w:t>las tecnologías de la información y la comunicación en pro del desarrollo socioeconómico sostenible</w:t>
            </w:r>
            <w:r w:rsidR="00C1021F" w:rsidRPr="009219FC">
              <w:rPr>
                <w:rFonts w:asciiTheme="minorHAnsi" w:eastAsia="Calibri" w:hAnsiTheme="minorHAnsi" w:cstheme="minorHAnsi"/>
                <w:szCs w:val="24"/>
                <w:lang w:val="es-ES"/>
              </w:rPr>
              <w:t xml:space="preserve">). También se propone un ejemplo de arquitectura de ciudad inteligente basado en los conceptos de diseño fundamentales, así como un resumen de los estudios de caso de países seleccionados sobre ciudades </w:t>
            </w:r>
            <w:r w:rsidR="00C1021F" w:rsidRPr="009219FC">
              <w:rPr>
                <w:rFonts w:asciiTheme="minorHAnsi" w:eastAsiaTheme="minorEastAsia" w:hAnsiTheme="minorHAnsi" w:cstheme="minorHAnsi"/>
                <w:lang w:val="es-ES" w:eastAsia="zh-CN"/>
              </w:rPr>
              <w:t>inteligentes</w:t>
            </w:r>
            <w:r w:rsidR="00C1021F" w:rsidRPr="009219FC">
              <w:rPr>
                <w:rFonts w:asciiTheme="minorHAnsi" w:eastAsia="Calibri" w:hAnsiTheme="minorHAnsi" w:cstheme="minorHAnsi"/>
                <w:szCs w:val="24"/>
                <w:lang w:val="es-ES"/>
              </w:rPr>
              <w:t xml:space="preserve">. Esta </w:t>
            </w:r>
            <w:r w:rsidR="00C1021F" w:rsidRPr="009219FC">
              <w:rPr>
                <w:rFonts w:asciiTheme="minorHAnsi" w:hAnsiTheme="minorHAnsi" w:cstheme="minorHAnsi"/>
                <w:lang w:val="es-ES"/>
              </w:rPr>
              <w:t>publicación</w:t>
            </w:r>
            <w:r w:rsidR="00C1021F" w:rsidRPr="009219FC">
              <w:rPr>
                <w:rFonts w:asciiTheme="minorHAnsi" w:eastAsia="Calibri" w:hAnsiTheme="minorHAnsi" w:cstheme="minorHAnsi"/>
                <w:szCs w:val="24"/>
                <w:lang w:val="es-ES"/>
              </w:rPr>
              <w:t xml:space="preserve"> puede consultarse en el siguiente </w:t>
            </w:r>
            <w:hyperlink r:id="rId46" w:history="1">
              <w:r w:rsidR="00C1021F" w:rsidRPr="009219FC">
                <w:rPr>
                  <w:rStyle w:val="Hyperlink"/>
                  <w:rFonts w:asciiTheme="minorHAnsi" w:eastAsia="Calibri" w:hAnsiTheme="minorHAnsi" w:cstheme="minorHAnsi"/>
                  <w:szCs w:val="24"/>
                  <w:lang w:val="es-ES"/>
                </w:rPr>
                <w:t>e</w:t>
              </w:r>
              <w:r w:rsidR="00C1021F" w:rsidRPr="009219FC">
                <w:rPr>
                  <w:rStyle w:val="Hyperlink"/>
                  <w:rFonts w:asciiTheme="minorHAnsi" w:eastAsia="Calibri" w:hAnsiTheme="minorHAnsi" w:cstheme="minorHAnsi"/>
                  <w:lang w:val="es-ES"/>
                </w:rPr>
                <w:t>nlace</w:t>
              </w:r>
            </w:hyperlink>
            <w:r w:rsidR="00C1021F" w:rsidRPr="009219FC">
              <w:rPr>
                <w:rFonts w:asciiTheme="minorHAnsi" w:eastAsia="Calibri" w:hAnsiTheme="minorHAnsi" w:cstheme="minorHAnsi"/>
                <w:szCs w:val="24"/>
                <w:lang w:val="es-ES"/>
              </w:rPr>
              <w:t>.</w:t>
            </w:r>
          </w:p>
          <w:p w14:paraId="70738F6D" w14:textId="02309941" w:rsidR="00C1021F" w:rsidRPr="009219FC" w:rsidRDefault="006A1FD8" w:rsidP="009219FC">
            <w:pPr>
              <w:pStyle w:val="enumlev1"/>
              <w:keepNext/>
              <w:keepLines/>
              <w:rPr>
                <w:rFonts w:asciiTheme="minorHAnsi" w:hAnsiTheme="minorHAnsi" w:cstheme="minorHAnsi"/>
                <w:szCs w:val="24"/>
                <w:lang w:val="es-ES"/>
              </w:rPr>
            </w:pPr>
            <w:r w:rsidRPr="009219FC">
              <w:rPr>
                <w:rFonts w:asciiTheme="minorHAnsi" w:hAnsiTheme="minorHAnsi" w:cstheme="minorHAnsi"/>
                <w:lang w:val="es-ES"/>
              </w:rPr>
              <w:t>•</w:t>
            </w:r>
            <w:r w:rsidRPr="009219FC">
              <w:rPr>
                <w:rFonts w:asciiTheme="minorHAnsi" w:hAnsiTheme="minorHAnsi" w:cstheme="minorHAnsi"/>
                <w:lang w:val="es-ES"/>
              </w:rPr>
              <w:tab/>
            </w:r>
            <w:r w:rsidR="00C1021F" w:rsidRPr="009219FC">
              <w:rPr>
                <w:rFonts w:asciiTheme="minorHAnsi" w:hAnsiTheme="minorHAnsi" w:cstheme="minorHAnsi"/>
                <w:lang w:val="es-ES"/>
              </w:rPr>
              <w:t>Se organizó un taller sobre nuevas tecnologías de comunicación para la cibersalud, incluidos los aspectos socieconómicos, en colaboración con la Comisión de Estudio 2 del</w:t>
            </w:r>
            <w:r w:rsidR="009219FC" w:rsidRPr="009219FC">
              <w:rPr>
                <w:rFonts w:asciiTheme="minorHAnsi" w:hAnsiTheme="minorHAnsi" w:cstheme="minorHAnsi"/>
                <w:lang w:val="es-ES"/>
              </w:rPr>
              <w:t> </w:t>
            </w:r>
            <w:r w:rsidR="00C1021F" w:rsidRPr="009219FC">
              <w:rPr>
                <w:rFonts w:asciiTheme="minorHAnsi" w:hAnsiTheme="minorHAnsi" w:cstheme="minorHAnsi"/>
                <w:lang w:val="es-ES"/>
              </w:rPr>
              <w:t xml:space="preserve">UIT-D (Cuestión 2/2: </w:t>
            </w:r>
            <w:r w:rsidR="00C1021F" w:rsidRPr="009219FC">
              <w:rPr>
                <w:rFonts w:asciiTheme="minorHAnsi" w:hAnsiTheme="minorHAnsi" w:cstheme="minorHAnsi"/>
                <w:i/>
                <w:iCs/>
                <w:lang w:val="es-ES"/>
              </w:rPr>
              <w:t>Telecomunicaciones/TIC para la cibersalud</w:t>
            </w:r>
            <w:r w:rsidR="00C1021F" w:rsidRPr="009219FC">
              <w:rPr>
                <w:rFonts w:asciiTheme="minorHAnsi" w:hAnsiTheme="minorHAnsi" w:cstheme="minorHAnsi"/>
                <w:lang w:val="es-ES"/>
              </w:rPr>
              <w:t xml:space="preserve">). En este evento se estudiaron ejemplos de nuevas tecnologías para la cibersalud y se debatió acerca de los retos que plantea su adopción a gran escala y cómo pueden vencerse. El contenido del taller y sus conclusiones se utilizarán como </w:t>
            </w:r>
            <w:r w:rsidR="00C1021F" w:rsidRPr="009219FC">
              <w:rPr>
                <w:rFonts w:asciiTheme="minorHAnsi" w:eastAsiaTheme="minorEastAsia" w:hAnsiTheme="minorHAnsi" w:cstheme="minorHAnsi"/>
                <w:lang w:val="es-ES" w:eastAsia="zh-CN"/>
              </w:rPr>
              <w:t>contribución</w:t>
            </w:r>
            <w:r w:rsidR="00C1021F" w:rsidRPr="009219FC">
              <w:rPr>
                <w:rFonts w:asciiTheme="minorHAnsi" w:hAnsiTheme="minorHAnsi" w:cstheme="minorHAnsi"/>
                <w:lang w:val="es-ES"/>
              </w:rPr>
              <w:t xml:space="preserve"> para el Informe final de la Cuestión</w:t>
            </w:r>
            <w:r w:rsidR="00C1021F" w:rsidRPr="009219FC">
              <w:rPr>
                <w:rFonts w:asciiTheme="minorHAnsi" w:eastAsia="Calibri" w:hAnsiTheme="minorHAnsi" w:cstheme="minorHAnsi"/>
                <w:lang w:val="es-ES"/>
              </w:rPr>
              <w:t xml:space="preserve"> 2/2. Pueden consultarse el programa y las ponencias del taller en el siguiente </w:t>
            </w:r>
            <w:hyperlink r:id="rId47" w:history="1">
              <w:r w:rsidR="00C1021F" w:rsidRPr="009219FC">
                <w:rPr>
                  <w:rStyle w:val="Hyperlink"/>
                  <w:rFonts w:asciiTheme="minorHAnsi" w:eastAsia="Calibri" w:hAnsiTheme="minorHAnsi" w:cstheme="minorHAnsi"/>
                  <w:lang w:val="es-ES"/>
                </w:rPr>
                <w:t>enlace</w:t>
              </w:r>
            </w:hyperlink>
            <w:r w:rsidR="00C1021F" w:rsidRPr="009219FC">
              <w:rPr>
                <w:rFonts w:asciiTheme="minorHAnsi" w:eastAsia="Calibri" w:hAnsiTheme="minorHAnsi" w:cstheme="minorHAnsi"/>
                <w:lang w:val="es-ES"/>
              </w:rPr>
              <w:t>.</w:t>
            </w:r>
          </w:p>
        </w:tc>
      </w:tr>
    </w:tbl>
    <w:p w14:paraId="1A8C1FFC" w14:textId="62AB4C4D" w:rsidR="00C1021F" w:rsidRPr="009E0EC1" w:rsidRDefault="00C1021F" w:rsidP="001D793B">
      <w:pPr>
        <w:pStyle w:val="Heading1"/>
        <w:rPr>
          <w:lang w:val="es-ES"/>
        </w:rPr>
      </w:pPr>
      <w:r w:rsidRPr="009E0EC1">
        <w:rPr>
          <w:lang w:val="es-ES"/>
        </w:rPr>
        <w:t>6</w:t>
      </w:r>
      <w:r w:rsidRPr="009E0EC1">
        <w:rPr>
          <w:lang w:val="es-ES"/>
        </w:rPr>
        <w:tab/>
        <w:t xml:space="preserve">Telecomunicaciones de emergencia: crear infraestructuras de TIC resistentes a las catástrofes para reducir las pérdidas económicas y de vidas </w:t>
      </w:r>
    </w:p>
    <w:p w14:paraId="0CB3CC89" w14:textId="77777777" w:rsidR="00C1021F" w:rsidRPr="009E0EC1" w:rsidRDefault="00C1021F" w:rsidP="004147EB">
      <w:pPr>
        <w:pStyle w:val="Heading2"/>
        <w:rPr>
          <w:lang w:val="es-ES"/>
        </w:rPr>
      </w:pPr>
      <w:r w:rsidRPr="009E0EC1">
        <w:rPr>
          <w:lang w:val="es-ES"/>
        </w:rPr>
        <w:t>6.1</w:t>
      </w:r>
      <w:r w:rsidRPr="009E0EC1">
        <w:rPr>
          <w:lang w:val="es-ES"/>
        </w:rPr>
        <w:tab/>
        <w:t>Directrices de la UIT</w:t>
      </w:r>
    </w:p>
    <w:p w14:paraId="68BA49E8" w14:textId="0493AF22" w:rsidR="00C1021F" w:rsidRPr="001D431E" w:rsidRDefault="00C1021F" w:rsidP="00C1021F">
      <w:pPr>
        <w:overflowPunct/>
        <w:autoSpaceDE/>
        <w:autoSpaceDN/>
        <w:adjustRightInd/>
        <w:spacing w:line="252" w:lineRule="auto"/>
        <w:textAlignment w:val="auto"/>
        <w:rPr>
          <w:rFonts w:cstheme="minorHAnsi"/>
          <w:lang w:val="es-ES"/>
        </w:rPr>
      </w:pPr>
      <w:r w:rsidRPr="001D431E">
        <w:rPr>
          <w:rFonts w:cstheme="minorHAnsi"/>
          <w:bCs/>
          <w:lang w:val="es-ES"/>
        </w:rPr>
        <w:t xml:space="preserve">Las </w:t>
      </w:r>
      <w:hyperlink r:id="rId48" w:history="1">
        <w:r w:rsidRPr="001D431E">
          <w:rPr>
            <w:rFonts w:cstheme="minorHAnsi"/>
            <w:bCs/>
            <w:color w:val="0000FF" w:themeColor="hyperlink"/>
            <w:u w:val="single"/>
            <w:lang w:val="es-ES"/>
          </w:rPr>
          <w:t>Directrices de la UIT para los planes nacionales de telecomunicaciones de emergencia</w:t>
        </w:r>
      </w:hyperlink>
      <w:r w:rsidRPr="001D431E">
        <w:rPr>
          <w:rFonts w:cstheme="minorHAnsi"/>
          <w:bCs/>
          <w:lang w:val="es-ES"/>
        </w:rPr>
        <w:t xml:space="preserve"> tienen por objetivo ayudar a las autoridades y responsables de políticas nacionales a elaborar marcos claros, flexibles y de fácil aplicación para permitir y facilitar la utilización continua de las redes y servicios de TIC en todas las fases de la gestión de catástrofes. En 2019 se empezaron a definir los planes nacionales de telecomunicaciones de emergencia de</w:t>
      </w:r>
      <w:r w:rsidRPr="001D431E">
        <w:rPr>
          <w:rFonts w:cstheme="minorHAnsi"/>
          <w:lang w:val="es-ES"/>
        </w:rPr>
        <w:t xml:space="preserve"> Bolivia, </w:t>
      </w:r>
      <w:r w:rsidR="006A1FD8" w:rsidRPr="001D431E">
        <w:rPr>
          <w:rFonts w:cstheme="minorHAnsi"/>
          <w:lang w:val="es-ES"/>
        </w:rPr>
        <w:t>República</w:t>
      </w:r>
      <w:r w:rsidRPr="001D431E">
        <w:rPr>
          <w:rFonts w:cstheme="minorHAnsi"/>
          <w:lang w:val="es-ES"/>
        </w:rPr>
        <w:t xml:space="preserve"> Dominicana y Guatemala en la región de Américas y de Papúa Nueva Guinea, Islas Salomón, Samoa y Vanuatu en la región Asia-Pacífico. La implementación de esos planes contribuirá a la creación de infraestructuras nacionales de TIC resistentes a las catástrofes determinando las capacidades de TIC necesarias para las operaciones de emergencia y definiendo un marco de gobernanza de las funciones y responsabilidades a fin de reducir las pérdidas económicas y de vidas. Las Directrices se elaboraron siguiendo un proceso multipartito en el que participaron los Estados Miembros de la UIT, los Miembros de Sector, entidades de TIC del sector privado y los organismos pertinentes de las Naciones Unidas, incluido el Consorcio de telecomunicaciones en situaciones de emergencia</w:t>
      </w:r>
      <w:r w:rsidR="009219FC">
        <w:rPr>
          <w:rFonts w:cstheme="minorHAnsi"/>
          <w:lang w:val="es-ES"/>
        </w:rPr>
        <w:t> </w:t>
      </w:r>
      <w:r w:rsidRPr="001D431E">
        <w:rPr>
          <w:rFonts w:cstheme="minorHAnsi"/>
          <w:lang w:val="es-ES"/>
        </w:rPr>
        <w:t xml:space="preserve">(ETC). </w:t>
      </w:r>
    </w:p>
    <w:p w14:paraId="4DB23494" w14:textId="77777777" w:rsidR="00C1021F" w:rsidRPr="009E0EC1" w:rsidRDefault="00C1021F" w:rsidP="004147EB">
      <w:pPr>
        <w:pStyle w:val="Heading2"/>
        <w:rPr>
          <w:lang w:val="es-ES"/>
        </w:rPr>
      </w:pPr>
      <w:r w:rsidRPr="009E0EC1">
        <w:rPr>
          <w:lang w:val="es-ES"/>
        </w:rPr>
        <w:t>6.2</w:t>
      </w:r>
      <w:r w:rsidRPr="009E0EC1">
        <w:rPr>
          <w:lang w:val="es-ES"/>
        </w:rPr>
        <w:tab/>
        <w:t>Comunicaciones de emergencia en caso de catástrofe</w:t>
      </w:r>
    </w:p>
    <w:p w14:paraId="4897EFCD" w14:textId="2F51511F" w:rsidR="00C1021F" w:rsidRPr="001D431E" w:rsidRDefault="00C1021F" w:rsidP="00C1021F">
      <w:pPr>
        <w:rPr>
          <w:rFonts w:cstheme="minorHAnsi"/>
          <w:bCs/>
          <w:lang w:val="es-ES"/>
        </w:rPr>
      </w:pPr>
      <w:r w:rsidRPr="001D431E">
        <w:rPr>
          <w:rFonts w:cstheme="minorHAnsi"/>
          <w:lang w:val="es-ES"/>
        </w:rPr>
        <w:t>La UIT facilitó equipos de telecomunicaciones a Mozambique y Zimbabwe a fin de paliar los efectos del ciclón Idai, que causó un gran desastre en el sudeste de África, afectando a</w:t>
      </w:r>
      <w:r w:rsidR="00373F51">
        <w:rPr>
          <w:rFonts w:cstheme="minorHAnsi"/>
          <w:lang w:val="es-ES"/>
        </w:rPr>
        <w:t xml:space="preserve"> cientos de </w:t>
      </w:r>
      <w:r w:rsidRPr="001D431E">
        <w:rPr>
          <w:rFonts w:cstheme="minorHAnsi"/>
          <w:lang w:val="es-ES"/>
        </w:rPr>
        <w:t>miles, si no millones, de personas. La UIT también facilitó equipos de satélite a Bahamas tras la devastación causada por el huracán Dorian y prestó su apoyo a la Carta de conectividad en caso de crisis (CCC) siguiendo los procedimientos de importación del Consorcio de telecomunicaciones en situaciones de emergencia (ETC).</w:t>
      </w:r>
    </w:p>
    <w:p w14:paraId="07D763BE" w14:textId="77777777" w:rsidR="00C1021F" w:rsidRPr="009E0EC1" w:rsidRDefault="00C1021F" w:rsidP="004147EB">
      <w:pPr>
        <w:pStyle w:val="Heading2"/>
        <w:rPr>
          <w:lang w:val="es-ES"/>
        </w:rPr>
      </w:pPr>
      <w:r w:rsidRPr="009E0EC1">
        <w:rPr>
          <w:lang w:val="es-ES"/>
        </w:rPr>
        <w:lastRenderedPageBreak/>
        <w:t>6.3</w:t>
      </w:r>
      <w:r w:rsidRPr="009E0EC1">
        <w:rPr>
          <w:lang w:val="es-ES"/>
        </w:rPr>
        <w:tab/>
        <w:t>Lista de la UIT de respuesta ante emergencias</w:t>
      </w:r>
    </w:p>
    <w:p w14:paraId="6D1A2273" w14:textId="77777777" w:rsidR="00C1021F" w:rsidRPr="001D431E" w:rsidRDefault="00C1021F" w:rsidP="00C1021F">
      <w:pPr>
        <w:rPr>
          <w:rFonts w:cstheme="minorHAnsi"/>
          <w:bCs/>
          <w:lang w:val="es-ES"/>
        </w:rPr>
      </w:pPr>
      <w:r w:rsidRPr="001D431E">
        <w:rPr>
          <w:rFonts w:cstheme="minorHAnsi"/>
          <w:bCs/>
          <w:lang w:val="es-ES"/>
        </w:rPr>
        <w:t xml:space="preserve">Para responder a la creciente demanda de prestación de equipos y servicios de telecomunicaciones de emergencia en caso de catástrofe, la UIT lanzó la Iniciativa Lista de la UIT de telecomunicaciones de emergencia. Se seleccionará y formará al personal de la UIT adecuado en el despliegue y uso de los actuales (y futuros) equipos de telecomunicaciones de la UIT a fin de que puedan asistir al Consorcio de telecomunicaciones en situaciones de emergencia en su trabajo </w:t>
      </w:r>
      <w:r w:rsidRPr="001D431E">
        <w:rPr>
          <w:rFonts w:cstheme="minorHAnsi"/>
          <w:bCs/>
          <w:i/>
          <w:iCs/>
          <w:lang w:val="es-ES"/>
        </w:rPr>
        <w:t xml:space="preserve">in situ </w:t>
      </w:r>
      <w:r w:rsidRPr="001D431E">
        <w:rPr>
          <w:rFonts w:cstheme="minorHAnsi"/>
          <w:bCs/>
          <w:lang w:val="es-ES"/>
        </w:rPr>
        <w:t>como coordinadores con las autoridades y partes interesadas nacionales para la importación y la concesión de licencias a equipos de telecomunicaciones.</w:t>
      </w:r>
    </w:p>
    <w:p w14:paraId="1EA878FC" w14:textId="77777777" w:rsidR="00C1021F" w:rsidRPr="009E0EC1" w:rsidRDefault="00C1021F" w:rsidP="004147EB">
      <w:pPr>
        <w:pStyle w:val="Heading2"/>
        <w:rPr>
          <w:lang w:val="es-ES"/>
        </w:rPr>
      </w:pPr>
      <w:r w:rsidRPr="009E0EC1">
        <w:rPr>
          <w:lang w:val="es-ES"/>
        </w:rPr>
        <w:t>6.4</w:t>
      </w:r>
      <w:r w:rsidRPr="009E0EC1">
        <w:rPr>
          <w:lang w:val="es-ES"/>
        </w:rPr>
        <w:tab/>
        <w:t>Carta de conectividad en caso de crisis</w:t>
      </w:r>
    </w:p>
    <w:p w14:paraId="403621E8" w14:textId="77777777" w:rsidR="00C1021F" w:rsidRPr="001D431E" w:rsidRDefault="00C1021F" w:rsidP="00C1021F">
      <w:pPr>
        <w:rPr>
          <w:rFonts w:cstheme="minorHAnsi"/>
          <w:bCs/>
          <w:lang w:val="es-ES"/>
        </w:rPr>
      </w:pPr>
      <w:r w:rsidRPr="001D431E">
        <w:rPr>
          <w:rFonts w:cstheme="minorHAnsi"/>
          <w:bCs/>
          <w:lang w:val="es-ES"/>
        </w:rPr>
        <w:t xml:space="preserve">Para ampliar la labor de la UIT en materia de telecomunicaciones de emergencia y contribuir y mejorar la coordinación con la comunidad humanitaria y de comunicaciones por satélite, la UIT se adhirió a la </w:t>
      </w:r>
      <w:hyperlink r:id="rId49" w:history="1">
        <w:r w:rsidRPr="001D431E">
          <w:rPr>
            <w:rStyle w:val="Hyperlink"/>
            <w:rFonts w:cstheme="minorHAnsi"/>
            <w:bCs/>
            <w:lang w:val="es-ES"/>
          </w:rPr>
          <w:t>Carta de conectividad en caso de crisis (CCC)</w:t>
        </w:r>
      </w:hyperlink>
      <w:r w:rsidRPr="001D431E">
        <w:rPr>
          <w:rFonts w:cstheme="minorHAnsi"/>
          <w:bCs/>
          <w:lang w:val="es-ES"/>
        </w:rPr>
        <w:t xml:space="preserve"> como miembro principal. La CCC es un mecanismo creado por la industria de comunicaciones por satélite y las organizaciones humanitarias para que las comunicaciones por satélite estén más fácilmente disponibles para las operaciones humanitarias y las comunidades afectadas por las catástrofes. La Carta es una iniciativa de la Asociación de Operadores de Satélites EMEA</w:t>
      </w:r>
      <w:r w:rsidRPr="001D431E">
        <w:rPr>
          <w:rFonts w:cstheme="minorHAnsi"/>
          <w:lang w:val="es-ES"/>
        </w:rPr>
        <w:t xml:space="preserve"> (ESOA) y el Foro Mundial VSAT (GVF) y sus miembros en coordinación con la Oficina de las Naciones Unidas de Coordinación de Asuntos Humanitarios (OCHA) y el Consorcio de telecomunicaciones en situaciones de emergencia (ETC), gestionado por el Programa Mundial de Alimentos (PMA).</w:t>
      </w:r>
    </w:p>
    <w:p w14:paraId="77BF8A42" w14:textId="77777777" w:rsidR="00C1021F" w:rsidRPr="009E0EC1" w:rsidRDefault="00C1021F" w:rsidP="004147EB">
      <w:pPr>
        <w:pStyle w:val="Heading2"/>
        <w:rPr>
          <w:lang w:val="es-ES"/>
        </w:rPr>
      </w:pPr>
      <w:r w:rsidRPr="009E0EC1">
        <w:rPr>
          <w:lang w:val="es-ES"/>
        </w:rPr>
        <w:t>6.5</w:t>
      </w:r>
      <w:r w:rsidRPr="009E0EC1">
        <w:rPr>
          <w:lang w:val="es-ES"/>
        </w:rPr>
        <w:tab/>
        <w:t>GET-19</w:t>
      </w:r>
    </w:p>
    <w:p w14:paraId="0A280309" w14:textId="34498E53" w:rsidR="00C1021F" w:rsidRPr="001D431E" w:rsidRDefault="00C1021F" w:rsidP="00C1021F">
      <w:pPr>
        <w:rPr>
          <w:rFonts w:cstheme="minorHAnsi"/>
          <w:lang w:val="es-ES"/>
        </w:rPr>
      </w:pPr>
      <w:r w:rsidRPr="001D431E">
        <w:rPr>
          <w:rFonts w:cstheme="minorHAnsi"/>
          <w:bCs/>
          <w:lang w:val="es-ES"/>
        </w:rPr>
        <w:t xml:space="preserve">El </w:t>
      </w:r>
      <w:hyperlink r:id="rId50" w:history="1">
        <w:r w:rsidRPr="001D431E">
          <w:rPr>
            <w:rStyle w:val="Hyperlink"/>
            <w:rFonts w:cstheme="minorHAnsi"/>
            <w:bCs/>
            <w:lang w:val="es-ES"/>
          </w:rPr>
          <w:t>3</w:t>
        </w:r>
        <w:r w:rsidRPr="00C4604C">
          <w:rPr>
            <w:rStyle w:val="Hyperlink"/>
            <w:rFonts w:cstheme="minorHAnsi"/>
            <w:bCs/>
            <w:vertAlign w:val="superscript"/>
            <w:lang w:val="es-ES"/>
          </w:rPr>
          <w:t>er</w:t>
        </w:r>
        <w:r w:rsidRPr="001D431E">
          <w:rPr>
            <w:rStyle w:val="Hyperlink"/>
            <w:rFonts w:cstheme="minorHAnsi"/>
            <w:bCs/>
            <w:lang w:val="es-ES"/>
          </w:rPr>
          <w:t xml:space="preserve"> Foro Mundial sobre Telecomunicaciones de Emergencia</w:t>
        </w:r>
      </w:hyperlink>
      <w:r w:rsidRPr="001D431E">
        <w:rPr>
          <w:rFonts w:cstheme="minorHAnsi"/>
          <w:bCs/>
          <w:lang w:val="es-ES"/>
        </w:rPr>
        <w:t xml:space="preserve"> (GET-19) se celebró en Mauricio y en él se destacaron la importancia de los sistemas de vigilancia y alerta temprana y las necesidades y oportunidades de asociación y cooperación. Se abordaron también los retos y oportunidades que ofrece la tecnología en el contexto humanitario. Por primera vez se organizaron simulaciones que resaltaron la necesidad de</w:t>
      </w:r>
      <w:r w:rsidR="00E76F0A">
        <w:rPr>
          <w:rFonts w:cstheme="minorHAnsi"/>
          <w:bCs/>
          <w:lang w:val="es-ES"/>
        </w:rPr>
        <w:t xml:space="preserve"> </w:t>
      </w:r>
      <w:r w:rsidRPr="001D431E">
        <w:rPr>
          <w:rFonts w:cstheme="minorHAnsi"/>
          <w:bCs/>
          <w:lang w:val="es-ES"/>
        </w:rPr>
        <w:t>una mejor preparación a fin de adoptar las medidas adecuadas en caso de catástrofe. Estas simulaciones, organizadas en cooperación con el Programa Mundial de Alimentos, ilustraron el potencial que alberga la tecnología para salvar vidas y dejaron patente la importancia de la coordinación y la cooperación, así como de la normalización de los procedimientos operativos en caso de catástrofe</w:t>
      </w:r>
      <w:r w:rsidRPr="001D431E">
        <w:rPr>
          <w:rFonts w:cstheme="minorHAnsi"/>
          <w:lang w:val="es-ES"/>
        </w:rPr>
        <w:t xml:space="preserve">. </w:t>
      </w:r>
    </w:p>
    <w:p w14:paraId="3C0929E4" w14:textId="77777777" w:rsidR="00C1021F" w:rsidRPr="009E0EC1" w:rsidRDefault="00C1021F" w:rsidP="004147EB">
      <w:pPr>
        <w:pStyle w:val="Heading2"/>
        <w:rPr>
          <w:lang w:val="es-ES"/>
        </w:rPr>
      </w:pPr>
      <w:r w:rsidRPr="009E0EC1">
        <w:rPr>
          <w:lang w:val="es-ES"/>
        </w:rPr>
        <w:t>6.6</w:t>
      </w:r>
      <w:r w:rsidRPr="009E0EC1">
        <w:rPr>
          <w:lang w:val="es-ES"/>
        </w:rPr>
        <w:tab/>
        <w:t>Iniciativa Mapa de conectividad en caso de catástrofe</w:t>
      </w:r>
    </w:p>
    <w:p w14:paraId="4698DD74" w14:textId="77777777" w:rsidR="00C1021F" w:rsidRPr="001D431E" w:rsidRDefault="00C1021F" w:rsidP="00C1021F">
      <w:pPr>
        <w:rPr>
          <w:rFonts w:cstheme="minorHAnsi"/>
          <w:lang w:val="es-ES"/>
        </w:rPr>
      </w:pPr>
      <w:r w:rsidRPr="001D431E">
        <w:rPr>
          <w:rFonts w:cstheme="minorHAnsi"/>
          <w:lang w:val="es-ES"/>
        </w:rPr>
        <w:t xml:space="preserve">En colaboración con el Consorcio de telecomunicaciones en situaciones de emergencia y NetJope, la UIT lanzó la Iniciativa Mapa de conectividad en caso de catástrofe, que facilitará información sobre el tipo, nivel y calidad de la conectividad disponible </w:t>
      </w:r>
      <w:r w:rsidRPr="001D431E">
        <w:rPr>
          <w:rFonts w:cstheme="minorHAnsi"/>
          <w:i/>
          <w:iCs/>
          <w:lang w:val="es-ES"/>
        </w:rPr>
        <w:t>in situ</w:t>
      </w:r>
      <w:r w:rsidRPr="001D431E">
        <w:rPr>
          <w:rFonts w:cstheme="minorHAnsi"/>
          <w:lang w:val="es-ES"/>
        </w:rPr>
        <w:t>. Los mapas utilizarán información de distintas fuentes, incluidos operadores de redes móviles y Facebook, entre otros, para orientar en tiempo casi real a los equipos de socorro nacionales y organizaciones humanitarias en sus operaciones de socorro.</w:t>
      </w:r>
    </w:p>
    <w:p w14:paraId="71748BDF" w14:textId="77777777" w:rsidR="00C1021F" w:rsidRPr="001D431E" w:rsidRDefault="00C1021F" w:rsidP="00C1021F">
      <w:pPr>
        <w:pStyle w:val="NormalWeb"/>
        <w:shd w:val="clear" w:color="auto" w:fill="FFFFFF"/>
        <w:spacing w:before="120" w:beforeAutospacing="0" w:after="0" w:afterAutospacing="0"/>
        <w:textAlignment w:val="baseline"/>
        <w:rPr>
          <w:rFonts w:asciiTheme="minorHAnsi" w:hAnsiTheme="minorHAnsi" w:cstheme="minorHAnsi"/>
          <w:color w:val="444444"/>
          <w:lang w:val="es-ES"/>
        </w:rPr>
      </w:pPr>
    </w:p>
    <w:tbl>
      <w:tblPr>
        <w:tblStyle w:val="TableGrid"/>
        <w:tblW w:w="0" w:type="auto"/>
        <w:tblLook w:val="04A0" w:firstRow="1" w:lastRow="0" w:firstColumn="1" w:lastColumn="0" w:noHBand="0" w:noVBand="1"/>
      </w:tblPr>
      <w:tblGrid>
        <w:gridCol w:w="9628"/>
      </w:tblGrid>
      <w:tr w:rsidR="00C1021F" w:rsidRPr="00BD1F0A" w14:paraId="62BECEC4" w14:textId="77777777" w:rsidTr="00794672">
        <w:tc>
          <w:tcPr>
            <w:tcW w:w="9629" w:type="dxa"/>
          </w:tcPr>
          <w:p w14:paraId="1F26D6F6" w14:textId="77777777" w:rsidR="00C1021F" w:rsidRPr="001D431E" w:rsidRDefault="00C1021F" w:rsidP="009219FC">
            <w:pPr>
              <w:keepNext/>
              <w:rPr>
                <w:rFonts w:asciiTheme="minorHAnsi" w:hAnsiTheme="minorHAnsi" w:cstheme="minorHAnsi"/>
                <w:b/>
                <w:lang w:val="es-ES"/>
              </w:rPr>
            </w:pPr>
            <w:r w:rsidRPr="001D431E">
              <w:rPr>
                <w:rFonts w:asciiTheme="minorHAnsi" w:hAnsiTheme="minorHAnsi" w:cstheme="minorHAnsi"/>
                <w:b/>
                <w:lang w:val="es-ES"/>
              </w:rPr>
              <w:lastRenderedPageBreak/>
              <w:t>INICIATIVAS REGIONALES</w:t>
            </w:r>
          </w:p>
          <w:p w14:paraId="3011530A" w14:textId="77777777" w:rsidR="00C1021F" w:rsidRPr="001D431E" w:rsidRDefault="00C1021F" w:rsidP="009219FC">
            <w:pPr>
              <w:keepNext/>
              <w:rPr>
                <w:rFonts w:asciiTheme="minorHAnsi" w:hAnsiTheme="minorHAnsi" w:cstheme="minorHAnsi"/>
                <w:b/>
                <w:lang w:val="es-ES"/>
              </w:rPr>
            </w:pPr>
            <w:r w:rsidRPr="001D431E">
              <w:rPr>
                <w:rFonts w:asciiTheme="minorHAnsi" w:hAnsiTheme="minorHAnsi" w:cstheme="minorHAnsi"/>
                <w:lang w:val="es-ES"/>
              </w:rPr>
              <w:t>Américas:</w:t>
            </w:r>
            <w:r w:rsidRPr="001D431E">
              <w:rPr>
                <w:rFonts w:asciiTheme="minorHAnsi" w:hAnsiTheme="minorHAnsi" w:cstheme="minorHAnsi"/>
                <w:b/>
                <w:lang w:val="es-ES"/>
              </w:rPr>
              <w:t xml:space="preserve"> </w:t>
            </w:r>
            <w:r w:rsidRPr="001D431E">
              <w:rPr>
                <w:rFonts w:asciiTheme="minorHAnsi" w:hAnsiTheme="minorHAnsi" w:cstheme="minorHAnsi"/>
                <w:bCs/>
                <w:u w:val="single"/>
                <w:lang w:val="es-ES"/>
              </w:rPr>
              <w:t>Comunicaciones para la reducción y la gestión del riesgo de catástrofes</w:t>
            </w:r>
          </w:p>
          <w:p w14:paraId="23AB7EE7" w14:textId="4B7B25A9" w:rsidR="00C1021F" w:rsidRPr="00E54D4C" w:rsidRDefault="006A1FD8" w:rsidP="009219FC">
            <w:pPr>
              <w:pStyle w:val="enumlev1"/>
              <w:keepNext/>
              <w:rPr>
                <w:rFonts w:asciiTheme="minorHAnsi" w:hAnsiTheme="minorHAnsi" w:cstheme="minorHAnsi"/>
                <w:lang w:val="es-ES"/>
              </w:rPr>
            </w:pPr>
            <w:r w:rsidRPr="001D431E">
              <w:rPr>
                <w:lang w:val="es-ES"/>
              </w:rPr>
              <w:t>•</w:t>
            </w:r>
            <w:r w:rsidRPr="001D431E">
              <w:rPr>
                <w:lang w:val="es-ES"/>
              </w:rPr>
              <w:tab/>
            </w:r>
            <w:r w:rsidR="00C1021F" w:rsidRPr="00E54D4C">
              <w:rPr>
                <w:rFonts w:asciiTheme="minorHAnsi" w:hAnsiTheme="minorHAnsi" w:cstheme="minorHAnsi"/>
                <w:lang w:val="es-ES"/>
              </w:rPr>
              <w:t xml:space="preserve">Se puso en marcha el proyecto para la utilización de TIC en caso de emergencia y de catástrofe en el Caribe, conocido como </w:t>
            </w:r>
            <w:hyperlink r:id="rId51" w:history="1">
              <w:r w:rsidR="00C1021F" w:rsidRPr="00E54D4C">
                <w:rPr>
                  <w:rStyle w:val="Hyperlink"/>
                  <w:rFonts w:asciiTheme="minorHAnsi" w:hAnsiTheme="minorHAnsi" w:cstheme="minorHAnsi"/>
                  <w:lang w:val="es-ES"/>
                </w:rPr>
                <w:t>proyecto WINLINK 2000</w:t>
              </w:r>
            </w:hyperlink>
            <w:r w:rsidR="00C1021F" w:rsidRPr="00E54D4C">
              <w:rPr>
                <w:rFonts w:asciiTheme="minorHAnsi" w:hAnsiTheme="minorHAnsi" w:cstheme="minorHAnsi"/>
                <w:lang w:val="es-ES"/>
              </w:rPr>
              <w:t>, para ayudar a Antigua y Barbuda, Barbados, Dominica, Granada, Guyana, Jamaica y Saint Kitts y Nevis a mejorar sus capacidades de telecomunicaciones de emergencia y sus operaciones de emergencia y en caso de catástrofe para salvar vidas.</w:t>
            </w:r>
          </w:p>
          <w:p w14:paraId="05301659" w14:textId="41DD4578" w:rsidR="00C1021F" w:rsidRPr="00E54D4C" w:rsidRDefault="006A1FD8" w:rsidP="00E54D4C">
            <w:pPr>
              <w:pStyle w:val="enumlev1"/>
              <w:rPr>
                <w:rFonts w:asciiTheme="minorHAnsi" w:hAnsiTheme="minorHAnsi" w:cstheme="minorHAnsi"/>
                <w:lang w:val="es-ES"/>
              </w:rPr>
            </w:pPr>
            <w:r w:rsidRPr="00E54D4C">
              <w:rPr>
                <w:rFonts w:asciiTheme="minorHAnsi" w:hAnsiTheme="minorHAnsi" w:cstheme="minorHAnsi"/>
                <w:lang w:val="es-ES"/>
              </w:rPr>
              <w:t>•</w:t>
            </w:r>
            <w:r w:rsidRPr="00E54D4C">
              <w:rPr>
                <w:rFonts w:asciiTheme="minorHAnsi" w:hAnsiTheme="minorHAnsi" w:cstheme="minorHAnsi"/>
                <w:lang w:val="es-ES"/>
              </w:rPr>
              <w:tab/>
            </w:r>
            <w:r w:rsidR="00C1021F" w:rsidRPr="00E54D4C">
              <w:rPr>
                <w:rFonts w:asciiTheme="minorHAnsi" w:hAnsiTheme="minorHAnsi" w:cstheme="minorHAnsi"/>
                <w:lang w:val="es-ES"/>
              </w:rPr>
              <w:t xml:space="preserve">En el marco del despliegue de equipos de telecomunicaciones de emergencia en Bahamas tras el huracán Dorian, la UIT colaboró con la Autoridad de Competencia y Regulación de Servicios Públicos (URCA) y otros interesados para proporcionar servicios Internet y otros servicios de conectividad a los residentes de las zonas afectadas. </w:t>
            </w:r>
          </w:p>
          <w:p w14:paraId="20D6112D" w14:textId="60BEF1D2" w:rsidR="00C1021F" w:rsidRPr="00E54D4C" w:rsidRDefault="006A1FD8" w:rsidP="00E54D4C">
            <w:pPr>
              <w:pStyle w:val="enumlev1"/>
              <w:rPr>
                <w:rFonts w:asciiTheme="minorHAnsi" w:hAnsiTheme="minorHAnsi" w:cstheme="minorHAnsi"/>
                <w:szCs w:val="24"/>
                <w:lang w:val="es-ES"/>
              </w:rPr>
            </w:pPr>
            <w:r w:rsidRPr="00E54D4C">
              <w:rPr>
                <w:rFonts w:asciiTheme="minorHAnsi" w:hAnsiTheme="minorHAnsi" w:cstheme="minorHAnsi"/>
                <w:lang w:val="es-ES"/>
              </w:rPr>
              <w:t>•</w:t>
            </w:r>
            <w:r w:rsidRPr="00E54D4C">
              <w:rPr>
                <w:rFonts w:asciiTheme="minorHAnsi" w:hAnsiTheme="minorHAnsi" w:cstheme="minorHAnsi"/>
                <w:lang w:val="es-ES"/>
              </w:rPr>
              <w:tab/>
            </w:r>
            <w:r w:rsidR="00C1021F" w:rsidRPr="00E54D4C">
              <w:rPr>
                <w:rFonts w:asciiTheme="minorHAnsi" w:hAnsiTheme="minorHAnsi" w:cstheme="minorHAnsi"/>
                <w:lang w:val="es-ES"/>
              </w:rPr>
              <w:t>Se creó la aplicación Virtual Vision, que es una plataforma de comunicaciones en tiempo real para la gestión de catástrofes. Ayuda a mantener comunicaciones directas en tiempo real antes, durante y después de una catástrofe. La aplicación se probó en Bahamas a principios de diciembre</w:t>
            </w:r>
            <w:r w:rsidR="00C1021F" w:rsidRPr="00E54D4C">
              <w:rPr>
                <w:rFonts w:asciiTheme="minorHAnsi" w:eastAsia="SimSun" w:hAnsiTheme="minorHAnsi" w:cstheme="minorHAnsi"/>
                <w:szCs w:val="24"/>
                <w:lang w:val="es-ES" w:eastAsia="zh-CN"/>
              </w:rPr>
              <w:t>.</w:t>
            </w:r>
          </w:p>
          <w:p w14:paraId="4F5DB1B4" w14:textId="77777777" w:rsidR="00C1021F" w:rsidRPr="001D431E" w:rsidRDefault="00C1021F" w:rsidP="00794672">
            <w:pPr>
              <w:rPr>
                <w:rFonts w:asciiTheme="minorHAnsi" w:hAnsiTheme="minorHAnsi" w:cstheme="minorHAnsi"/>
                <w:lang w:val="es-ES"/>
              </w:rPr>
            </w:pPr>
            <w:r w:rsidRPr="001D431E">
              <w:rPr>
                <w:rFonts w:asciiTheme="minorHAnsi" w:hAnsiTheme="minorHAnsi" w:cstheme="minorHAnsi"/>
                <w:lang w:val="es-ES"/>
              </w:rPr>
              <w:t xml:space="preserve">Estados Árabes: </w:t>
            </w:r>
            <w:r w:rsidRPr="001D431E">
              <w:rPr>
                <w:rFonts w:asciiTheme="minorHAnsi" w:hAnsiTheme="minorHAnsi" w:cstheme="minorHAnsi"/>
                <w:u w:val="single"/>
                <w:lang w:val="es-ES"/>
              </w:rPr>
              <w:t>Medio ambiente, cambio climático y telecomunicaciones de emergencia</w:t>
            </w:r>
          </w:p>
          <w:p w14:paraId="587735BC" w14:textId="184FEE57" w:rsidR="00C1021F" w:rsidRPr="001D431E" w:rsidRDefault="006A1FD8" w:rsidP="00E54D4C">
            <w:pPr>
              <w:pStyle w:val="enumlev1"/>
              <w:rPr>
                <w:rFonts w:asciiTheme="minorHAnsi" w:hAnsiTheme="minorHAnsi" w:cstheme="minorHAnsi"/>
                <w:lang w:val="es-ES"/>
              </w:rPr>
            </w:pPr>
            <w:r w:rsidRPr="001D431E">
              <w:rPr>
                <w:rFonts w:cstheme="minorHAnsi"/>
                <w:lang w:val="es-ES"/>
              </w:rPr>
              <w:t>•</w:t>
            </w:r>
            <w:r w:rsidRPr="001D431E">
              <w:rPr>
                <w:rFonts w:cstheme="minorHAnsi"/>
                <w:lang w:val="es-ES"/>
              </w:rPr>
              <w:tab/>
            </w:r>
            <w:r w:rsidR="00C1021F" w:rsidRPr="001D431E">
              <w:rPr>
                <w:rFonts w:asciiTheme="minorHAnsi" w:hAnsiTheme="minorHAnsi" w:cstheme="minorHAnsi"/>
                <w:lang w:val="es-ES"/>
              </w:rPr>
              <w:t xml:space="preserve">Se celebró una serie de formaciones y talleres sobre reducción y gestión del riesgo de catástrofes y la </w:t>
            </w:r>
            <w:r w:rsidR="00C1021F" w:rsidRPr="00E54D4C">
              <w:rPr>
                <w:rFonts w:asciiTheme="minorHAnsi" w:hAnsiTheme="minorHAnsi" w:cstheme="minorHAnsi"/>
                <w:lang w:val="es-ES"/>
              </w:rPr>
              <w:t>utilización</w:t>
            </w:r>
            <w:r w:rsidR="00C1021F" w:rsidRPr="001D431E">
              <w:rPr>
                <w:rFonts w:asciiTheme="minorHAnsi" w:hAnsiTheme="minorHAnsi" w:cstheme="minorHAnsi"/>
                <w:lang w:val="es-ES"/>
              </w:rPr>
              <w:t xml:space="preserve"> de tecnologías modernas para la vigilancia y alerta temprana en la región de los Estados Árabes.</w:t>
            </w:r>
          </w:p>
          <w:p w14:paraId="705543FC" w14:textId="77777777" w:rsidR="00C1021F" w:rsidRPr="001D431E" w:rsidRDefault="00C1021F" w:rsidP="00794672">
            <w:pPr>
              <w:tabs>
                <w:tab w:val="clear" w:pos="794"/>
                <w:tab w:val="clear" w:pos="1191"/>
                <w:tab w:val="clear" w:pos="1588"/>
                <w:tab w:val="clear" w:pos="1985"/>
              </w:tabs>
              <w:overflowPunct/>
              <w:autoSpaceDE/>
              <w:autoSpaceDN/>
              <w:adjustRightInd/>
              <w:spacing w:line="240" w:lineRule="atLeast"/>
              <w:contextualSpacing/>
              <w:textAlignment w:val="auto"/>
              <w:rPr>
                <w:rFonts w:asciiTheme="minorHAnsi" w:hAnsiTheme="minorHAnsi" w:cstheme="minorHAnsi"/>
                <w:lang w:val="es-ES"/>
              </w:rPr>
            </w:pPr>
            <w:r w:rsidRPr="001D431E">
              <w:rPr>
                <w:rFonts w:asciiTheme="minorHAnsi" w:hAnsiTheme="minorHAnsi" w:cstheme="minorHAnsi"/>
                <w:lang w:val="es-ES"/>
              </w:rPr>
              <w:t xml:space="preserve">Asia-Pacífico: </w:t>
            </w:r>
            <w:r w:rsidRPr="001D431E">
              <w:rPr>
                <w:rFonts w:asciiTheme="minorHAnsi" w:hAnsiTheme="minorHAnsi" w:cstheme="minorHAnsi"/>
                <w:u w:val="single"/>
                <w:lang w:val="es-ES"/>
              </w:rPr>
              <w:t>Contribuir a un ecosistema de TIC seguro y resiliente</w:t>
            </w:r>
          </w:p>
          <w:p w14:paraId="121E20D2" w14:textId="4D774C68" w:rsidR="00C1021F" w:rsidRPr="001D431E" w:rsidRDefault="006A1FD8" w:rsidP="00E54D4C">
            <w:pPr>
              <w:pStyle w:val="enumlev1"/>
              <w:rPr>
                <w:rFonts w:asciiTheme="minorHAnsi" w:hAnsiTheme="minorHAnsi" w:cstheme="minorHAnsi"/>
                <w:lang w:val="es-ES"/>
              </w:rPr>
            </w:pPr>
            <w:r w:rsidRPr="001D431E">
              <w:rPr>
                <w:rFonts w:cstheme="minorHAnsi"/>
                <w:lang w:val="es-ES"/>
              </w:rPr>
              <w:t>•</w:t>
            </w:r>
            <w:r w:rsidRPr="001D431E">
              <w:rPr>
                <w:rFonts w:cstheme="minorHAnsi"/>
                <w:lang w:val="es-ES"/>
              </w:rPr>
              <w:tab/>
            </w:r>
            <w:r w:rsidR="00C1021F" w:rsidRPr="001D431E">
              <w:rPr>
                <w:rFonts w:asciiTheme="minorHAnsi" w:hAnsiTheme="minorHAnsi" w:cstheme="minorHAnsi"/>
                <w:lang w:val="es-ES"/>
              </w:rPr>
              <w:t>Se inició un proyecto con DoCA de capacitación y refuerzo de la planificación nacional de telecomunicaciones de emergencia en Papúa Nueva Guinea, Samoa, Islas Salomón y Vanuatu. Se elaboraron planes nacionales de telecomunicaciones de emergencia para estas islas del Pacífico en consulta con el Consorcio de telecomunicaciones en situaciones de emergencia (ETC).</w:t>
            </w:r>
          </w:p>
          <w:p w14:paraId="28DDDEF3" w14:textId="74BB1296" w:rsidR="00C1021F" w:rsidRPr="001D431E" w:rsidRDefault="006A1FD8" w:rsidP="00E54D4C">
            <w:pPr>
              <w:pStyle w:val="enumlev1"/>
              <w:rPr>
                <w:rFonts w:asciiTheme="minorHAnsi" w:hAnsiTheme="minorHAnsi" w:cstheme="minorHAnsi"/>
                <w:lang w:val="es-ES"/>
              </w:rPr>
            </w:pPr>
            <w:r w:rsidRPr="001D431E">
              <w:rPr>
                <w:rFonts w:cstheme="minorHAnsi"/>
                <w:lang w:val="es-ES"/>
              </w:rPr>
              <w:t>•</w:t>
            </w:r>
            <w:r w:rsidRPr="001D431E">
              <w:rPr>
                <w:rFonts w:cstheme="minorHAnsi"/>
                <w:lang w:val="es-ES"/>
              </w:rPr>
              <w:tab/>
            </w:r>
            <w:r w:rsidR="00C1021F" w:rsidRPr="001D431E">
              <w:rPr>
                <w:rFonts w:asciiTheme="minorHAnsi" w:hAnsiTheme="minorHAnsi" w:cstheme="minorHAnsi"/>
                <w:lang w:val="es-ES"/>
              </w:rPr>
              <w:t>Se enviaron a Islas Salomón terminales de red de área global de banda ancha (BGAN) en respuesta al vertido de crudo en Isla Rennell.</w:t>
            </w:r>
          </w:p>
        </w:tc>
      </w:tr>
    </w:tbl>
    <w:p w14:paraId="4D0F21C6" w14:textId="77777777" w:rsidR="00C1021F" w:rsidRPr="001D431E" w:rsidRDefault="00C1021F" w:rsidP="00C1021F">
      <w:pPr>
        <w:pStyle w:val="NormalWeb"/>
        <w:shd w:val="clear" w:color="auto" w:fill="FFFFFF"/>
        <w:spacing w:before="120" w:beforeAutospacing="0" w:after="0" w:afterAutospacing="0"/>
        <w:textAlignment w:val="baseline"/>
        <w:rPr>
          <w:rFonts w:asciiTheme="minorHAnsi" w:hAnsiTheme="minorHAnsi" w:cstheme="minorHAnsi"/>
          <w:lang w:val="es-ES"/>
        </w:rPr>
      </w:pPr>
    </w:p>
    <w:tbl>
      <w:tblPr>
        <w:tblStyle w:val="TableGrid"/>
        <w:tblW w:w="0" w:type="auto"/>
        <w:tblLook w:val="04A0" w:firstRow="1" w:lastRow="0" w:firstColumn="1" w:lastColumn="0" w:noHBand="0" w:noVBand="1"/>
      </w:tblPr>
      <w:tblGrid>
        <w:gridCol w:w="9628"/>
      </w:tblGrid>
      <w:tr w:rsidR="00C1021F" w:rsidRPr="00BD1F0A" w14:paraId="3DD07182" w14:textId="77777777" w:rsidTr="00794672">
        <w:tc>
          <w:tcPr>
            <w:tcW w:w="9629" w:type="dxa"/>
          </w:tcPr>
          <w:p w14:paraId="588F8A56" w14:textId="77777777" w:rsidR="00C1021F" w:rsidRPr="001D431E" w:rsidRDefault="00C1021F" w:rsidP="009219FC">
            <w:pPr>
              <w:pStyle w:val="NormalWeb"/>
              <w:shd w:val="clear" w:color="auto" w:fill="FFFFFF"/>
              <w:spacing w:before="120" w:beforeAutospacing="0" w:after="0" w:afterAutospacing="0"/>
              <w:textAlignment w:val="baseline"/>
              <w:rPr>
                <w:rFonts w:asciiTheme="minorHAnsi" w:hAnsiTheme="minorHAnsi" w:cstheme="minorHAnsi"/>
                <w:b/>
                <w:bCs/>
                <w:lang w:val="es-ES"/>
              </w:rPr>
            </w:pPr>
            <w:r w:rsidRPr="001D431E">
              <w:rPr>
                <w:rFonts w:asciiTheme="minorHAnsi" w:hAnsiTheme="minorHAnsi" w:cstheme="minorHAnsi"/>
                <w:b/>
                <w:bCs/>
                <w:lang w:val="es-ES"/>
              </w:rPr>
              <w:t>COMISIONES DE ESTUDIO</w:t>
            </w:r>
          </w:p>
          <w:p w14:paraId="15BAE42E" w14:textId="77777777" w:rsidR="00C1021F" w:rsidRPr="001D431E" w:rsidRDefault="00C1021F" w:rsidP="009219FC">
            <w:pPr>
              <w:pStyle w:val="NormalWeb"/>
              <w:shd w:val="clear" w:color="auto" w:fill="FFFFFF"/>
              <w:spacing w:before="120" w:beforeAutospacing="0" w:after="120" w:afterAutospacing="0"/>
              <w:textAlignment w:val="baseline"/>
              <w:rPr>
                <w:rFonts w:asciiTheme="minorHAnsi" w:hAnsiTheme="minorHAnsi" w:cstheme="minorHAnsi"/>
                <w:lang w:val="es-ES"/>
              </w:rPr>
            </w:pPr>
            <w:r w:rsidRPr="001D431E">
              <w:rPr>
                <w:rFonts w:asciiTheme="minorHAnsi" w:hAnsiTheme="minorHAnsi" w:cstheme="minorHAnsi"/>
                <w:szCs w:val="20"/>
                <w:lang w:val="es-ES"/>
              </w:rPr>
              <w:t xml:space="preserve">Se organizó un taller sobre </w:t>
            </w:r>
            <w:r w:rsidRPr="001D431E">
              <w:rPr>
                <w:rFonts w:asciiTheme="minorHAnsi" w:hAnsiTheme="minorHAnsi" w:cstheme="minorHAnsi"/>
                <w:i/>
                <w:iCs/>
                <w:szCs w:val="20"/>
                <w:lang w:val="es-ES"/>
              </w:rPr>
              <w:t xml:space="preserve">Realización de simulacros y ejercicios de comunicaciones de emergencia a nivel nacional: Directrices para pequeños Estados insulares en desarrollo (PEID) y países menos adelantados (PMA) </w:t>
            </w:r>
            <w:r w:rsidRPr="001D431E">
              <w:rPr>
                <w:rFonts w:asciiTheme="minorHAnsi" w:hAnsiTheme="minorHAnsi" w:cstheme="minorHAnsi"/>
                <w:szCs w:val="20"/>
                <w:lang w:val="es-ES"/>
              </w:rPr>
              <w:t xml:space="preserve">junto con la Comisión de Estudio 2 (Cuestión 5/2 </w:t>
            </w:r>
            <w:r w:rsidRPr="001D431E">
              <w:rPr>
                <w:rFonts w:asciiTheme="minorHAnsi" w:hAnsiTheme="minorHAnsi" w:cstheme="minorHAnsi"/>
                <w:i/>
                <w:iCs/>
                <w:szCs w:val="20"/>
                <w:lang w:val="es-ES"/>
              </w:rPr>
              <w:t>Utilización de las telecomunicaciones/TIC para la reducción del riesgo de catástrofes y su gestión</w:t>
            </w:r>
            <w:r w:rsidRPr="001D431E">
              <w:rPr>
                <w:rFonts w:asciiTheme="minorHAnsi" w:hAnsiTheme="minorHAnsi" w:cstheme="minorHAnsi"/>
                <w:szCs w:val="20"/>
                <w:lang w:val="es-ES"/>
              </w:rPr>
              <w:t>). En este evento se puso de manifiesto la importancia que reviste realizar simulacros de telecomunicaciones de emergencia a nivel nacional para probar y perfeccionar la preparación a fin de intervenir puntualmente cuando ocurre una catástrofe. El contenido intercambiado y las lecciones extraídas del taller pueden utilizarse como contribución para un resultado anual y el Informe final de la Cuestión</w:t>
            </w:r>
            <w:r w:rsidRPr="001D431E">
              <w:rPr>
                <w:rFonts w:asciiTheme="minorHAnsi" w:eastAsia="Calibri" w:hAnsiTheme="minorHAnsi" w:cstheme="minorHAnsi"/>
                <w:lang w:val="es-ES"/>
              </w:rPr>
              <w:t xml:space="preserve"> 5/2. Puede accederse al programa y las ponencias del taller en el siguiente </w:t>
            </w:r>
            <w:hyperlink r:id="rId52" w:history="1">
              <w:r w:rsidRPr="001D431E">
                <w:rPr>
                  <w:rStyle w:val="Hyperlink"/>
                  <w:rFonts w:asciiTheme="minorHAnsi" w:eastAsia="Calibri" w:hAnsiTheme="minorHAnsi" w:cstheme="minorHAnsi"/>
                  <w:lang w:val="es-ES"/>
                </w:rPr>
                <w:t>enlace</w:t>
              </w:r>
            </w:hyperlink>
            <w:r w:rsidRPr="001D431E">
              <w:rPr>
                <w:rFonts w:asciiTheme="minorHAnsi" w:eastAsia="Calibri" w:hAnsiTheme="minorHAnsi" w:cstheme="minorHAnsi"/>
                <w:lang w:val="es-ES"/>
              </w:rPr>
              <w:t>.</w:t>
            </w:r>
          </w:p>
        </w:tc>
      </w:tr>
    </w:tbl>
    <w:p w14:paraId="009F55EE" w14:textId="39C40D27" w:rsidR="00C1021F" w:rsidRPr="009E0EC1" w:rsidRDefault="00C1021F" w:rsidP="001D793B">
      <w:pPr>
        <w:pStyle w:val="Heading1"/>
        <w:rPr>
          <w:lang w:val="es-ES"/>
        </w:rPr>
      </w:pPr>
      <w:r w:rsidRPr="009E0EC1">
        <w:rPr>
          <w:lang w:val="es-ES"/>
        </w:rPr>
        <w:lastRenderedPageBreak/>
        <w:t>7</w:t>
      </w:r>
      <w:r w:rsidRPr="009E0EC1">
        <w:rPr>
          <w:lang w:val="es-ES"/>
        </w:rPr>
        <w:tab/>
        <w:t xml:space="preserve">Medio ambiente: crear una economía circular para los equipos de TIC </w:t>
      </w:r>
    </w:p>
    <w:p w14:paraId="7BB04CCC" w14:textId="77777777" w:rsidR="00C1021F" w:rsidRPr="009E0EC1" w:rsidRDefault="00C1021F" w:rsidP="004147EB">
      <w:pPr>
        <w:pStyle w:val="Heading2"/>
        <w:rPr>
          <w:lang w:val="es-ES"/>
        </w:rPr>
      </w:pPr>
      <w:r w:rsidRPr="009E0EC1">
        <w:rPr>
          <w:lang w:val="es-ES"/>
        </w:rPr>
        <w:t>7.1</w:t>
      </w:r>
      <w:r w:rsidRPr="009E0EC1">
        <w:rPr>
          <w:lang w:val="es-ES"/>
        </w:rPr>
        <w:tab/>
        <w:t>Alianza Mundial para el Control Estadístico de los Residuos Electrónicos</w:t>
      </w:r>
    </w:p>
    <w:p w14:paraId="357F16F0" w14:textId="177EDD77" w:rsidR="00C1021F" w:rsidRPr="001D431E" w:rsidRDefault="00C1021F" w:rsidP="00C1021F">
      <w:pPr>
        <w:rPr>
          <w:rFonts w:cstheme="minorHAnsi"/>
          <w:lang w:val="es-ES"/>
        </w:rPr>
      </w:pPr>
      <w:r w:rsidRPr="001D431E">
        <w:rPr>
          <w:rFonts w:cstheme="minorHAnsi"/>
          <w:lang w:val="es-ES"/>
        </w:rPr>
        <w:t xml:space="preserve">La Alianza Mundial para el Control Estadístico de los Residuos Electrónicos (AMCERE), fundada en 2017 por la UIT, la Universidad de las Naciones Unidas (UNU) y la Asociación </w:t>
      </w:r>
      <w:r w:rsidR="006A1FD8" w:rsidRPr="001D431E">
        <w:rPr>
          <w:rFonts w:cstheme="minorHAnsi"/>
          <w:lang w:val="es-ES"/>
        </w:rPr>
        <w:t>Internacional</w:t>
      </w:r>
      <w:r w:rsidRPr="001D431E">
        <w:rPr>
          <w:rFonts w:cstheme="minorHAnsi"/>
          <w:lang w:val="es-ES"/>
        </w:rPr>
        <w:t xml:space="preserve"> de residuos Sólidos (ISWA), puso en marcha el portal en línea de código abierto </w:t>
      </w:r>
      <w:hyperlink r:id="rId53" w:history="1">
        <w:r w:rsidRPr="001D431E">
          <w:rPr>
            <w:rStyle w:val="Hyperlink"/>
            <w:rFonts w:cstheme="minorHAnsi"/>
            <w:lang w:val="es-ES"/>
          </w:rPr>
          <w:t>globalewaste.org</w:t>
        </w:r>
      </w:hyperlink>
      <w:r w:rsidRPr="001D431E">
        <w:rPr>
          <w:rFonts w:cstheme="minorHAnsi"/>
          <w:lang w:val="es-ES"/>
        </w:rPr>
        <w:t xml:space="preserve"> donde se publican datos y estadísticas de residuos electrónicos. En este sitio web pueden encontrarse también más de 150 publicaciones sobre residuos-e de diversos organismos de las Naciones Unidas. La UIT y sus socios de la AMCERE han preparado el informe </w:t>
      </w:r>
      <w:r w:rsidR="00E76F0A">
        <w:rPr>
          <w:rFonts w:cstheme="minorHAnsi"/>
          <w:lang w:val="es-ES"/>
        </w:rPr>
        <w:t>"</w:t>
      </w:r>
      <w:r w:rsidRPr="001D431E">
        <w:rPr>
          <w:rFonts w:cstheme="minorHAnsi"/>
          <w:lang w:val="es-ES"/>
        </w:rPr>
        <w:t>Global E-waste Monitor 2020</w:t>
      </w:r>
      <w:r w:rsidR="00E76F0A">
        <w:rPr>
          <w:rFonts w:cstheme="minorHAnsi"/>
          <w:lang w:val="es-ES"/>
        </w:rPr>
        <w:t>"</w:t>
      </w:r>
      <w:r w:rsidRPr="001D431E">
        <w:rPr>
          <w:rFonts w:cstheme="minorHAnsi"/>
          <w:lang w:val="es-ES"/>
        </w:rPr>
        <w:t xml:space="preserve"> (que se publicará en 2020) para sensibilizar acerca del creciente problema que suponen los residuos-e ofreciendo un análisis completo de las estadísticas de residuos-e a nivel mundial que ayuda a entender e interpretar los datos. Se están preparando informes semejantes de ámbito regional en América Latina, los Estados Árabes y la Comunidad de Estados Independientes.</w:t>
      </w:r>
    </w:p>
    <w:p w14:paraId="679FB8B2" w14:textId="77777777" w:rsidR="00C1021F" w:rsidRPr="009E0EC1" w:rsidRDefault="00C1021F" w:rsidP="004147EB">
      <w:pPr>
        <w:pStyle w:val="Heading2"/>
        <w:rPr>
          <w:lang w:val="es-ES"/>
        </w:rPr>
      </w:pPr>
      <w:r w:rsidRPr="009E0EC1">
        <w:rPr>
          <w:lang w:val="es-ES"/>
        </w:rPr>
        <w:t>7.2</w:t>
      </w:r>
      <w:r w:rsidRPr="009E0EC1">
        <w:rPr>
          <w:lang w:val="es-ES"/>
        </w:rPr>
        <w:tab/>
        <w:t xml:space="preserve">Políticas nacionales de gestión de residuos-e </w:t>
      </w:r>
    </w:p>
    <w:p w14:paraId="757D77C0" w14:textId="67631E88" w:rsidR="00C1021F" w:rsidRPr="001D431E" w:rsidRDefault="00C1021F" w:rsidP="00C1021F">
      <w:pPr>
        <w:jc w:val="both"/>
        <w:rPr>
          <w:rFonts w:cstheme="minorHAnsi"/>
          <w:lang w:val="es-ES"/>
        </w:rPr>
      </w:pPr>
      <w:r w:rsidRPr="001D431E">
        <w:rPr>
          <w:rFonts w:cstheme="minorHAnsi"/>
          <w:lang w:val="es-ES"/>
        </w:rPr>
        <w:t xml:space="preserve">La ayuda para la definición de políticas nacionales de gestión de residuos-e ganó peso en 2019 dentro del programa de residuos-e de la UIT tras las solicitudes formuladas por los Estados Miembros. En Namibia en 2019 se celebró un breve taller de evaluación de residuos-e y </w:t>
      </w:r>
      <w:r w:rsidR="00E76F0A">
        <w:rPr>
          <w:rFonts w:cstheme="minorHAnsi"/>
          <w:lang w:val="es-ES"/>
        </w:rPr>
        <w:t xml:space="preserve">una </w:t>
      </w:r>
      <w:r w:rsidRPr="001D431E">
        <w:rPr>
          <w:rFonts w:cstheme="minorHAnsi"/>
          <w:lang w:val="es-ES"/>
        </w:rPr>
        <w:t xml:space="preserve">consulta con las partes implicadas a nivel nacional que permitió preparar un proyecto de política para someterlo a consultas. </w:t>
      </w:r>
    </w:p>
    <w:p w14:paraId="696800F3" w14:textId="31395A00" w:rsidR="00C1021F" w:rsidRPr="009E0EC1" w:rsidRDefault="00C1021F" w:rsidP="004147EB">
      <w:pPr>
        <w:pStyle w:val="Heading2"/>
        <w:rPr>
          <w:lang w:val="es-ES"/>
        </w:rPr>
      </w:pPr>
      <w:r w:rsidRPr="009E0EC1">
        <w:rPr>
          <w:lang w:val="es-ES"/>
        </w:rPr>
        <w:t>7.3</w:t>
      </w:r>
      <w:r w:rsidRPr="009E0EC1">
        <w:rPr>
          <w:lang w:val="es-ES"/>
        </w:rPr>
        <w:tab/>
        <w:t>Taller sobre estadísticas de residuos-e</w:t>
      </w:r>
    </w:p>
    <w:p w14:paraId="55F96263" w14:textId="77777777" w:rsidR="00C1021F" w:rsidRPr="001D431E" w:rsidRDefault="00C1021F" w:rsidP="00C1021F">
      <w:pPr>
        <w:rPr>
          <w:rFonts w:cstheme="minorHAnsi"/>
          <w:lang w:val="es-ES"/>
        </w:rPr>
      </w:pPr>
      <w:r w:rsidRPr="001D431E">
        <w:rPr>
          <w:rFonts w:cstheme="minorHAnsi"/>
          <w:lang w:val="es-ES"/>
        </w:rPr>
        <w:t xml:space="preserve">La UIT colaboró con la Organización para las Comunicaciones de África Oriental (EACO) para organizar formaciones sobre estadísticas de residuos-e en Kampala, Uganda. En el taller, que forma parte de las actividades de capacitación de la AMCERE, se impartió formación sobre los principales componentes de la política y la legislación en materia de residuos-e y sobre medición de los residuos-e mediante la recopilación y mejora de datos y estimaciones de residuos-e. </w:t>
      </w:r>
    </w:p>
    <w:p w14:paraId="5B405052" w14:textId="77777777" w:rsidR="00C1021F" w:rsidRPr="009E0EC1" w:rsidRDefault="00C1021F" w:rsidP="004147EB">
      <w:pPr>
        <w:pStyle w:val="Heading2"/>
        <w:rPr>
          <w:lang w:val="es-ES"/>
        </w:rPr>
      </w:pPr>
      <w:r w:rsidRPr="009E0EC1">
        <w:rPr>
          <w:lang w:val="es-ES"/>
        </w:rPr>
        <w:t>7.4</w:t>
      </w:r>
      <w:r w:rsidRPr="009E0EC1">
        <w:rPr>
          <w:lang w:val="es-ES"/>
        </w:rPr>
        <w:tab/>
        <w:t xml:space="preserve">Proyecto de electrónica circular </w:t>
      </w:r>
    </w:p>
    <w:p w14:paraId="4D564A42" w14:textId="1A1AD321" w:rsidR="00C1021F" w:rsidRPr="001D431E" w:rsidRDefault="00C1021F" w:rsidP="00C1021F">
      <w:pPr>
        <w:overflowPunct/>
        <w:autoSpaceDE/>
        <w:spacing w:line="252" w:lineRule="auto"/>
        <w:rPr>
          <w:rFonts w:cstheme="minorHAnsi"/>
          <w:szCs w:val="24"/>
          <w:lang w:val="es-ES"/>
        </w:rPr>
      </w:pPr>
      <w:r w:rsidRPr="001D431E">
        <w:rPr>
          <w:rFonts w:cstheme="minorHAnsi"/>
          <w:lang w:val="es-ES"/>
        </w:rPr>
        <w:t>La UIT se sumó a una nueva colaboración, iniciada en diciembre de 2019, con el Foro Económico Mundial (WEF), el Consejo Empresarial Mundial de Desarrollo Sostenible, la Alianza Empresarial Responsable, la Alianza para Acelerar la Economía Circular y el Consejo de Electrónica Ecológica para crear una alianza industrial pro economía circular para los productos electrónicos. Esta colaboración pretende modificar las condiciones de la industria electrónica a fin de contribuir a la consecución de los ODS aplicando los principios de la economía circular; cohesionar la identificación, evaluación, comunicación y despliegue de las soluciones colaborativas; crear una plataforma en la que compartir las lecciones extraídas, prácticas idóneas, ejemplos y perspectivas regionales; estimular la intervención en los puntos prioritarios a fin de reunir a las personas adecuadas en el lugar adecuado y tratar los temas adecuados para eliminar obstáculos comunes, y vincular los debates estratégicos y técnicos, mundiales y locales y que atañen al sector privado, el sector público y la sociedad civil.</w:t>
      </w:r>
      <w:r w:rsidRPr="001D431E">
        <w:rPr>
          <w:rFonts w:cstheme="minorHAnsi"/>
          <w:szCs w:val="24"/>
          <w:lang w:val="es-ES"/>
        </w:rPr>
        <w:t xml:space="preserve"> </w:t>
      </w:r>
    </w:p>
    <w:p w14:paraId="026B921C" w14:textId="77777777" w:rsidR="00C1021F" w:rsidRPr="009E0EC1" w:rsidRDefault="00C1021F" w:rsidP="006F4F77">
      <w:pPr>
        <w:pStyle w:val="Heading2"/>
        <w:rPr>
          <w:lang w:val="es-ES"/>
        </w:rPr>
      </w:pPr>
      <w:r w:rsidRPr="009E0EC1">
        <w:rPr>
          <w:lang w:val="es-ES"/>
        </w:rPr>
        <w:t>7.5</w:t>
      </w:r>
      <w:r w:rsidRPr="009E0EC1">
        <w:rPr>
          <w:lang w:val="es-ES"/>
        </w:rPr>
        <w:tab/>
        <w:t>Coalición sobre Residuos Electrónicos de las Naciones Unidas</w:t>
      </w:r>
    </w:p>
    <w:p w14:paraId="73D0DE43" w14:textId="77777777" w:rsidR="00C1021F" w:rsidRPr="001D431E" w:rsidRDefault="00C1021F" w:rsidP="00C1021F">
      <w:pPr>
        <w:overflowPunct/>
        <w:autoSpaceDE/>
        <w:spacing w:line="252" w:lineRule="auto"/>
        <w:rPr>
          <w:rFonts w:cstheme="minorHAnsi"/>
          <w:lang w:val="es-ES"/>
        </w:rPr>
      </w:pPr>
      <w:r w:rsidRPr="001D431E">
        <w:rPr>
          <w:rFonts w:cstheme="minorHAnsi"/>
          <w:lang w:val="es-ES"/>
        </w:rPr>
        <w:t xml:space="preserve">La </w:t>
      </w:r>
      <w:hyperlink r:id="rId54" w:history="1">
        <w:r w:rsidRPr="001D431E">
          <w:rPr>
            <w:rStyle w:val="Hyperlink"/>
            <w:rFonts w:cstheme="minorHAnsi"/>
            <w:lang w:val="es-ES"/>
          </w:rPr>
          <w:t>Coalición sobre Residuos Electrónicos de las Naciones Unidas</w:t>
        </w:r>
      </w:hyperlink>
      <w:r w:rsidRPr="001D431E">
        <w:rPr>
          <w:rFonts w:cstheme="minorHAnsi"/>
          <w:lang w:val="es-ES"/>
        </w:rPr>
        <w:t xml:space="preserve"> es un grupo formado por agencias, programas y organismos de las Naciones Unidas que comparte una visión para vencer el </w:t>
      </w:r>
      <w:r w:rsidRPr="001D431E">
        <w:rPr>
          <w:rFonts w:cstheme="minorHAnsi"/>
          <w:lang w:val="es-ES"/>
        </w:rPr>
        <w:lastRenderedPageBreak/>
        <w:t>reto que plantean los residuos-e a nivel mundial. La UIT desempeñó un papel clave a la hora de reunir a esas entidades y, en último término, formar la Coalición. En 2019 la Coalición celebró una reunión en Bonn, Alemania, con representantes de varios países, socios internacionales y entidades del sector privado a fin de presentar y obtener información sobre la misión, la perspectiva y la estructura de gobernanza de esta nueva colaboración entre organismos de las Naciones Unidas en torno al tema de los residuos-e.</w:t>
      </w:r>
    </w:p>
    <w:p w14:paraId="2EEBA2FC" w14:textId="77777777" w:rsidR="00C1021F" w:rsidRPr="001D431E" w:rsidRDefault="00C1021F" w:rsidP="009219FC">
      <w:pPr>
        <w:pStyle w:val="NormalWeb"/>
        <w:shd w:val="clear" w:color="auto" w:fill="FFFFFF"/>
        <w:spacing w:before="0" w:beforeAutospacing="0" w:after="0" w:afterAutospacing="0"/>
        <w:textAlignment w:val="baseline"/>
        <w:rPr>
          <w:rFonts w:asciiTheme="minorHAnsi" w:hAnsiTheme="minorHAnsi" w:cstheme="minorHAnsi"/>
          <w:color w:val="444444"/>
          <w:lang w:val="es-ES"/>
        </w:rPr>
      </w:pPr>
    </w:p>
    <w:tbl>
      <w:tblPr>
        <w:tblStyle w:val="TableGrid"/>
        <w:tblW w:w="0" w:type="auto"/>
        <w:tblLook w:val="04A0" w:firstRow="1" w:lastRow="0" w:firstColumn="1" w:lastColumn="0" w:noHBand="0" w:noVBand="1"/>
      </w:tblPr>
      <w:tblGrid>
        <w:gridCol w:w="9628"/>
      </w:tblGrid>
      <w:tr w:rsidR="00C1021F" w:rsidRPr="00BD1F0A" w14:paraId="17BAA6C1" w14:textId="77777777" w:rsidTr="00794672">
        <w:tc>
          <w:tcPr>
            <w:tcW w:w="9629" w:type="dxa"/>
          </w:tcPr>
          <w:p w14:paraId="20D864A8" w14:textId="77777777" w:rsidR="00C1021F" w:rsidRPr="001D431E" w:rsidRDefault="00C1021F" w:rsidP="006A1FD8">
            <w:pPr>
              <w:keepNext/>
              <w:keepLines/>
              <w:rPr>
                <w:rFonts w:asciiTheme="minorHAnsi" w:hAnsiTheme="minorHAnsi" w:cstheme="minorHAnsi"/>
                <w:b/>
                <w:lang w:val="es-ES"/>
              </w:rPr>
            </w:pPr>
            <w:r w:rsidRPr="001D431E">
              <w:rPr>
                <w:rFonts w:asciiTheme="minorHAnsi" w:hAnsiTheme="minorHAnsi" w:cstheme="minorHAnsi"/>
                <w:b/>
                <w:lang w:val="es-ES"/>
              </w:rPr>
              <w:t>INICIATIVAS REGIONALES</w:t>
            </w:r>
          </w:p>
          <w:p w14:paraId="289A42F8" w14:textId="77777777" w:rsidR="00C1021F" w:rsidRPr="001D431E" w:rsidRDefault="00C1021F" w:rsidP="00794672">
            <w:pPr>
              <w:keepNext/>
              <w:rPr>
                <w:rFonts w:asciiTheme="minorHAnsi" w:hAnsiTheme="minorHAnsi" w:cstheme="minorHAnsi"/>
                <w:lang w:val="es-ES"/>
              </w:rPr>
            </w:pPr>
            <w:r w:rsidRPr="001D431E">
              <w:rPr>
                <w:rFonts w:asciiTheme="minorHAnsi" w:hAnsiTheme="minorHAnsi" w:cstheme="minorHAnsi"/>
                <w:lang w:val="es-ES"/>
              </w:rPr>
              <w:t xml:space="preserve">Américas: </w:t>
            </w:r>
            <w:r w:rsidRPr="001D431E">
              <w:rPr>
                <w:rFonts w:asciiTheme="minorHAnsi" w:hAnsiTheme="minorHAnsi" w:cstheme="minorHAnsi"/>
                <w:u w:val="single"/>
                <w:lang w:val="es-ES"/>
              </w:rPr>
              <w:t>Comunicaciones para la reducción y la gestión del riesgo de catástrofes</w:t>
            </w:r>
          </w:p>
          <w:p w14:paraId="4107F7F0" w14:textId="1BBD21AE" w:rsidR="00C1021F" w:rsidRPr="001D431E" w:rsidRDefault="006A1FD8" w:rsidP="00E54D4C">
            <w:pPr>
              <w:pStyle w:val="enumlev1"/>
              <w:rPr>
                <w:rFonts w:asciiTheme="minorHAnsi" w:hAnsiTheme="minorHAnsi" w:cstheme="minorHAnsi"/>
                <w:lang w:val="es-ES"/>
              </w:rPr>
            </w:pPr>
            <w:r w:rsidRPr="001D431E">
              <w:rPr>
                <w:rFonts w:cstheme="minorHAnsi"/>
                <w:lang w:val="es-ES"/>
              </w:rPr>
              <w:t>•</w:t>
            </w:r>
            <w:r w:rsidRPr="001D431E">
              <w:rPr>
                <w:rFonts w:cstheme="minorHAnsi"/>
                <w:lang w:val="es-ES"/>
              </w:rPr>
              <w:tab/>
            </w:r>
            <w:r w:rsidR="00C1021F" w:rsidRPr="001D431E">
              <w:rPr>
                <w:rFonts w:asciiTheme="minorHAnsi" w:hAnsiTheme="minorHAnsi" w:cstheme="minorHAnsi"/>
                <w:lang w:val="es-ES"/>
              </w:rPr>
              <w:t>En el marco de la conmemoración del Día de las Niñas en las TIC de 2019 en el Caribe, se pusieron de manifiesto las consecuencias negativas del cambio climático plantando árboles en muchos colegios, en colaboración con los reguladores locales, los Ministerios de Educación y ONG.</w:t>
            </w:r>
          </w:p>
          <w:p w14:paraId="69BF95D7" w14:textId="77777777" w:rsidR="00C1021F" w:rsidRPr="001D431E" w:rsidRDefault="00C1021F" w:rsidP="00794672">
            <w:pPr>
              <w:keepNext/>
              <w:rPr>
                <w:rFonts w:asciiTheme="minorHAnsi" w:hAnsiTheme="minorHAnsi" w:cstheme="minorHAnsi"/>
                <w:lang w:val="es-ES"/>
              </w:rPr>
            </w:pPr>
            <w:r w:rsidRPr="001D431E">
              <w:rPr>
                <w:rFonts w:asciiTheme="minorHAnsi" w:hAnsiTheme="minorHAnsi" w:cstheme="minorHAnsi"/>
                <w:lang w:val="es-ES"/>
              </w:rPr>
              <w:t xml:space="preserve">Estados Árabes: </w:t>
            </w:r>
            <w:r w:rsidRPr="001D431E">
              <w:rPr>
                <w:rFonts w:asciiTheme="minorHAnsi" w:hAnsiTheme="minorHAnsi" w:cstheme="minorHAnsi"/>
                <w:u w:val="single"/>
                <w:lang w:val="es-ES"/>
              </w:rPr>
              <w:t>Medio ambiente, cambio climático y telecomunicaciones de emergencia</w:t>
            </w:r>
          </w:p>
          <w:p w14:paraId="75E44945" w14:textId="322D9BA8" w:rsidR="00C1021F" w:rsidRPr="001D431E" w:rsidRDefault="006A1FD8" w:rsidP="00E54D4C">
            <w:pPr>
              <w:pStyle w:val="enumlev1"/>
              <w:rPr>
                <w:rFonts w:asciiTheme="minorHAnsi" w:hAnsiTheme="minorHAnsi" w:cstheme="minorHAnsi"/>
                <w:szCs w:val="24"/>
                <w:lang w:val="es-ES"/>
              </w:rPr>
            </w:pPr>
            <w:r w:rsidRPr="001D431E">
              <w:rPr>
                <w:rFonts w:cstheme="minorHAnsi"/>
                <w:szCs w:val="24"/>
                <w:lang w:val="es-ES"/>
              </w:rPr>
              <w:t>•</w:t>
            </w:r>
            <w:r w:rsidRPr="001D431E">
              <w:rPr>
                <w:rFonts w:cstheme="minorHAnsi"/>
                <w:lang w:val="es-ES"/>
              </w:rPr>
              <w:tab/>
            </w:r>
            <w:r w:rsidR="00C1021F" w:rsidRPr="001D431E">
              <w:rPr>
                <w:rFonts w:asciiTheme="minorHAnsi" w:hAnsiTheme="minorHAnsi" w:cstheme="minorHAnsi"/>
                <w:szCs w:val="24"/>
                <w:lang w:val="es-ES"/>
              </w:rPr>
              <w:t xml:space="preserve">Se puso en marcha en 2019 el proyecto </w:t>
            </w:r>
            <w:r w:rsidR="00D27AFA">
              <w:rPr>
                <w:rFonts w:asciiTheme="minorHAnsi" w:hAnsiTheme="minorHAnsi" w:cstheme="minorHAnsi"/>
                <w:szCs w:val="24"/>
                <w:lang w:val="es-ES"/>
              </w:rPr>
              <w:t>"</w:t>
            </w:r>
            <w:r w:rsidR="00C1021F" w:rsidRPr="001D431E">
              <w:rPr>
                <w:rFonts w:asciiTheme="minorHAnsi" w:hAnsiTheme="minorHAnsi" w:cstheme="minorHAnsi"/>
                <w:szCs w:val="24"/>
                <w:lang w:val="es-ES"/>
              </w:rPr>
              <w:t>E-waste Monitor</w:t>
            </w:r>
            <w:r w:rsidR="00D27AFA">
              <w:rPr>
                <w:rFonts w:asciiTheme="minorHAnsi" w:hAnsiTheme="minorHAnsi" w:cstheme="minorHAnsi"/>
                <w:szCs w:val="24"/>
                <w:lang w:val="es-ES"/>
              </w:rPr>
              <w:t>"</w:t>
            </w:r>
            <w:r w:rsidR="00C1021F" w:rsidRPr="001D431E">
              <w:rPr>
                <w:rFonts w:asciiTheme="minorHAnsi" w:hAnsiTheme="minorHAnsi" w:cstheme="minorHAnsi"/>
                <w:szCs w:val="24"/>
                <w:lang w:val="es-ES"/>
              </w:rPr>
              <w:t xml:space="preserve"> en la región de los Estados Árabes a fin de recopilar y mejorar las estadísticas de residuos-e en la región. Este proyecto mejorará la </w:t>
            </w:r>
            <w:r w:rsidR="00C1021F" w:rsidRPr="00E54D4C">
              <w:rPr>
                <w:rFonts w:asciiTheme="minorHAnsi" w:hAnsiTheme="minorHAnsi" w:cstheme="minorHAnsi"/>
                <w:lang w:val="es-ES"/>
              </w:rPr>
              <w:t>disponibilidad</w:t>
            </w:r>
            <w:r w:rsidR="00C1021F" w:rsidRPr="001D431E">
              <w:rPr>
                <w:rFonts w:asciiTheme="minorHAnsi" w:hAnsiTheme="minorHAnsi" w:cstheme="minorHAnsi"/>
                <w:szCs w:val="24"/>
                <w:lang w:val="es-ES"/>
              </w:rPr>
              <w:t xml:space="preserve"> y calidad de los datos, la disponibilidad de políticas y reglamentos y la información pública mediante talleres de capacitación. También se comunicarán los datos sobre residuos-e a los responsables de política, los medios de comunicación y demás partes interesadas. </w:t>
            </w:r>
          </w:p>
          <w:p w14:paraId="51DBD90C" w14:textId="77777777" w:rsidR="00C1021F" w:rsidRPr="001D431E" w:rsidRDefault="00C1021F" w:rsidP="00794672">
            <w:pPr>
              <w:keepNext/>
              <w:rPr>
                <w:rFonts w:asciiTheme="minorHAnsi" w:hAnsiTheme="minorHAnsi" w:cstheme="minorHAnsi"/>
                <w:lang w:val="es-ES"/>
              </w:rPr>
            </w:pPr>
            <w:r w:rsidRPr="001D431E">
              <w:rPr>
                <w:rFonts w:asciiTheme="minorHAnsi" w:hAnsiTheme="minorHAnsi" w:cstheme="minorHAnsi"/>
                <w:lang w:val="es-ES"/>
              </w:rPr>
              <w:t xml:space="preserve">Asia-Pacífico: </w:t>
            </w:r>
            <w:r w:rsidRPr="001D431E">
              <w:rPr>
                <w:rFonts w:asciiTheme="minorHAnsi" w:hAnsiTheme="minorHAnsi" w:cstheme="minorHAnsi"/>
                <w:u w:val="single"/>
                <w:lang w:val="es-ES"/>
              </w:rPr>
              <w:t>Contribuir a un ecosistema de TIC seguro y resiliente</w:t>
            </w:r>
          </w:p>
          <w:p w14:paraId="7A227A4C" w14:textId="6EDCFBF8" w:rsidR="00C1021F" w:rsidRPr="001D431E" w:rsidRDefault="006A1FD8" w:rsidP="00E54D4C">
            <w:pPr>
              <w:pStyle w:val="enumlev1"/>
              <w:rPr>
                <w:rFonts w:asciiTheme="minorHAnsi" w:hAnsiTheme="minorHAnsi" w:cstheme="minorHAnsi"/>
                <w:lang w:val="es-ES"/>
              </w:rPr>
            </w:pPr>
            <w:r w:rsidRPr="001D431E">
              <w:rPr>
                <w:rFonts w:cstheme="minorHAnsi"/>
                <w:lang w:val="es-ES"/>
              </w:rPr>
              <w:t>•</w:t>
            </w:r>
            <w:r w:rsidRPr="001D431E">
              <w:rPr>
                <w:rFonts w:cstheme="minorHAnsi"/>
                <w:lang w:val="es-ES"/>
              </w:rPr>
              <w:tab/>
            </w:r>
            <w:r w:rsidR="00C1021F" w:rsidRPr="001D431E">
              <w:rPr>
                <w:rFonts w:asciiTheme="minorHAnsi" w:hAnsiTheme="minorHAnsi" w:cstheme="minorHAnsi"/>
                <w:lang w:val="es-ES"/>
              </w:rPr>
              <w:t>El taller sobre sensibilización política en materia de residuos-e, celebrado en Hyderabad, India, fue coorganizado por agencias clave del Gobierno indio, la UNU, la OIT, la OMS y el PNUMA. El taller sirvió para sensibilizar, capacitar y formular recomendaciones sobre los futuros trabajos en materia de residuos-e en India.</w:t>
            </w:r>
          </w:p>
        </w:tc>
      </w:tr>
    </w:tbl>
    <w:p w14:paraId="6E9BF860" w14:textId="77777777" w:rsidR="00C1021F" w:rsidRPr="001D431E" w:rsidRDefault="00C1021F" w:rsidP="009219FC">
      <w:pPr>
        <w:pStyle w:val="NormalWeb"/>
        <w:shd w:val="clear" w:color="auto" w:fill="FFFFFF"/>
        <w:spacing w:before="0" w:beforeAutospacing="0" w:after="0" w:afterAutospacing="0"/>
        <w:textAlignment w:val="baseline"/>
        <w:rPr>
          <w:rFonts w:asciiTheme="minorHAnsi" w:hAnsiTheme="minorHAnsi" w:cstheme="minorHAnsi"/>
          <w:lang w:val="es-ES"/>
        </w:rPr>
      </w:pPr>
    </w:p>
    <w:tbl>
      <w:tblPr>
        <w:tblStyle w:val="TableGrid"/>
        <w:tblW w:w="0" w:type="auto"/>
        <w:tblLook w:val="04A0" w:firstRow="1" w:lastRow="0" w:firstColumn="1" w:lastColumn="0" w:noHBand="0" w:noVBand="1"/>
      </w:tblPr>
      <w:tblGrid>
        <w:gridCol w:w="9628"/>
      </w:tblGrid>
      <w:tr w:rsidR="00C1021F" w:rsidRPr="00BD1F0A" w14:paraId="133EB491" w14:textId="77777777" w:rsidTr="00794672">
        <w:tc>
          <w:tcPr>
            <w:tcW w:w="9629" w:type="dxa"/>
          </w:tcPr>
          <w:p w14:paraId="709478E7" w14:textId="77777777" w:rsidR="00C1021F" w:rsidRPr="001D431E" w:rsidRDefault="00C1021F" w:rsidP="00794672">
            <w:pPr>
              <w:pStyle w:val="NormalWeb"/>
              <w:keepNext/>
              <w:shd w:val="clear" w:color="auto" w:fill="FFFFFF"/>
              <w:spacing w:before="120" w:beforeAutospacing="0" w:after="0" w:afterAutospacing="0"/>
              <w:textAlignment w:val="baseline"/>
              <w:rPr>
                <w:rFonts w:asciiTheme="minorHAnsi" w:hAnsiTheme="minorHAnsi" w:cstheme="minorHAnsi"/>
                <w:b/>
                <w:bCs/>
                <w:lang w:val="es-ES"/>
              </w:rPr>
            </w:pPr>
            <w:r w:rsidRPr="001D431E">
              <w:rPr>
                <w:rFonts w:asciiTheme="minorHAnsi" w:hAnsiTheme="minorHAnsi" w:cstheme="minorHAnsi"/>
                <w:b/>
                <w:bCs/>
                <w:lang w:val="es-ES"/>
              </w:rPr>
              <w:t>COMISIONES DE ESTUDIO</w:t>
            </w:r>
          </w:p>
          <w:p w14:paraId="0AEF23D7" w14:textId="77777777" w:rsidR="00C1021F" w:rsidRPr="001D431E" w:rsidRDefault="00C1021F" w:rsidP="00794672">
            <w:pPr>
              <w:pStyle w:val="NormalWeb"/>
              <w:keepNext/>
              <w:shd w:val="clear" w:color="auto" w:fill="FFFFFF"/>
              <w:spacing w:before="120" w:beforeAutospacing="0" w:after="120" w:afterAutospacing="0"/>
              <w:textAlignment w:val="baseline"/>
              <w:rPr>
                <w:rFonts w:asciiTheme="minorHAnsi" w:hAnsiTheme="minorHAnsi" w:cstheme="minorHAnsi"/>
                <w:lang w:val="es-ES"/>
              </w:rPr>
            </w:pPr>
            <w:r w:rsidRPr="001D431E">
              <w:rPr>
                <w:rFonts w:asciiTheme="minorHAnsi" w:eastAsia="Calibri" w:hAnsiTheme="minorHAnsi" w:cstheme="minorHAnsi"/>
                <w:lang w:val="es-ES"/>
              </w:rPr>
              <w:t xml:space="preserve">En el marco de las actividades de la Comisión de Estudio 2 del UIT-D (Cuestión 6/2 </w:t>
            </w:r>
            <w:r w:rsidRPr="001D431E">
              <w:rPr>
                <w:rFonts w:asciiTheme="minorHAnsi" w:eastAsia="Calibri" w:hAnsiTheme="minorHAnsi" w:cstheme="minorHAnsi"/>
                <w:i/>
                <w:iCs/>
                <w:lang w:val="es-ES"/>
              </w:rPr>
              <w:t>TIC y medio ambiente</w:t>
            </w:r>
            <w:r w:rsidRPr="001D431E">
              <w:rPr>
                <w:rFonts w:asciiTheme="minorHAnsi" w:eastAsia="Calibri" w:hAnsiTheme="minorHAnsi" w:cstheme="minorHAnsi"/>
                <w:lang w:val="es-ES"/>
              </w:rPr>
              <w:t xml:space="preserve">) se celebró, el 15 de octubre, un taller sobre TIC de vanguardia para la acción climática. Este taller reunió a actores de los sectores interesados en el desarrollo de TIC de vanguardia, como los macrodatos y la observación de la Tierra en el contexto de la acción climática. Los participantes debatieron acerca del papel de estas nuevas TIC y cómo pueden aplicarse a la adaptación al cambio climático y su mitigación y seguimiento. El contenido y las conclusiones del taller servirán de contribución para el Informe final de la Cuestión 6/2. El programa y las ponencias del taller pueden consultarse en el siguiente </w:t>
            </w:r>
            <w:hyperlink r:id="rId55" w:history="1">
              <w:r w:rsidRPr="001D431E">
                <w:rPr>
                  <w:rStyle w:val="Hyperlink"/>
                  <w:rFonts w:asciiTheme="minorHAnsi" w:eastAsia="Calibri" w:hAnsiTheme="minorHAnsi" w:cstheme="minorHAnsi"/>
                  <w:lang w:val="es-ES"/>
                </w:rPr>
                <w:t>enlace</w:t>
              </w:r>
            </w:hyperlink>
            <w:r w:rsidRPr="001D431E">
              <w:rPr>
                <w:rFonts w:asciiTheme="minorHAnsi" w:eastAsia="Calibri" w:hAnsiTheme="minorHAnsi" w:cstheme="minorHAnsi"/>
                <w:lang w:val="es-ES"/>
              </w:rPr>
              <w:t>.</w:t>
            </w:r>
          </w:p>
        </w:tc>
      </w:tr>
    </w:tbl>
    <w:p w14:paraId="67A1E0C3" w14:textId="77F82643" w:rsidR="00C1021F" w:rsidRPr="009E0EC1" w:rsidRDefault="00C1021F" w:rsidP="00C4604C">
      <w:pPr>
        <w:pStyle w:val="Heading1"/>
        <w:rPr>
          <w:lang w:val="es-ES"/>
        </w:rPr>
      </w:pPr>
      <w:r w:rsidRPr="009E0EC1">
        <w:rPr>
          <w:lang w:val="es-ES"/>
        </w:rPr>
        <w:t>8</w:t>
      </w:r>
      <w:r w:rsidRPr="009E0EC1">
        <w:rPr>
          <w:lang w:val="es-ES"/>
        </w:rPr>
        <w:tab/>
        <w:t>Redes e infraestructura digital: poner la conectividad fiable a disposición de todos</w:t>
      </w:r>
    </w:p>
    <w:p w14:paraId="48387A9F" w14:textId="77777777" w:rsidR="00C1021F" w:rsidRPr="009E0EC1" w:rsidRDefault="00C1021F" w:rsidP="006F4F77">
      <w:pPr>
        <w:pStyle w:val="Heading2"/>
        <w:rPr>
          <w:lang w:val="es-ES"/>
        </w:rPr>
      </w:pPr>
      <w:r w:rsidRPr="009E0EC1">
        <w:rPr>
          <w:lang w:val="es-ES"/>
        </w:rPr>
        <w:t>8.1</w:t>
      </w:r>
      <w:r w:rsidRPr="009E0EC1">
        <w:rPr>
          <w:lang w:val="es-ES"/>
        </w:rPr>
        <w:tab/>
        <w:t>Mapas de banda ancha de la UIT</w:t>
      </w:r>
    </w:p>
    <w:p w14:paraId="39C5012D" w14:textId="52038A7C" w:rsidR="00C1021F" w:rsidRPr="00E54D4C" w:rsidRDefault="00C1021F" w:rsidP="00C1021F">
      <w:pPr>
        <w:rPr>
          <w:rFonts w:cstheme="minorHAnsi"/>
          <w:bCs/>
          <w:spacing w:val="-3"/>
          <w:lang w:val="es-ES"/>
        </w:rPr>
      </w:pPr>
      <w:r w:rsidRPr="00E54D4C">
        <w:rPr>
          <w:rFonts w:cstheme="minorHAnsi"/>
          <w:bCs/>
          <w:spacing w:val="-3"/>
          <w:lang w:val="es-ES"/>
        </w:rPr>
        <w:t xml:space="preserve">Se han mejorado los </w:t>
      </w:r>
      <w:hyperlink r:id="rId56" w:history="1">
        <w:r w:rsidRPr="00E54D4C">
          <w:rPr>
            <w:rStyle w:val="Hyperlink"/>
            <w:rFonts w:cstheme="minorHAnsi"/>
            <w:bCs/>
            <w:spacing w:val="-3"/>
            <w:lang w:val="es-ES"/>
          </w:rPr>
          <w:t>mapas de banda ancha</w:t>
        </w:r>
      </w:hyperlink>
      <w:r w:rsidRPr="00E54D4C">
        <w:rPr>
          <w:rFonts w:cstheme="minorHAnsi"/>
          <w:bCs/>
          <w:spacing w:val="-3"/>
          <w:lang w:val="es-ES"/>
        </w:rPr>
        <w:t xml:space="preserve"> de la UIT para facilitar la comprensión de la infraestructura de redes, y las oportunidades de inversión que ofrece, a fin de hacer un inventario de </w:t>
      </w:r>
      <w:r w:rsidRPr="00E54D4C">
        <w:rPr>
          <w:rFonts w:cstheme="minorHAnsi"/>
          <w:bCs/>
          <w:spacing w:val="-3"/>
          <w:lang w:val="es-ES"/>
        </w:rPr>
        <w:lastRenderedPageBreak/>
        <w:t>la conectividad a nivel mundial. Los mapas ofrecen información de más de 440 operadores y 24 000</w:t>
      </w:r>
      <w:r w:rsidR="00D27AFA">
        <w:rPr>
          <w:rFonts w:cstheme="minorHAnsi"/>
          <w:bCs/>
          <w:spacing w:val="-3"/>
          <w:lang w:val="es-ES"/>
        </w:rPr>
        <w:t> </w:t>
      </w:r>
      <w:r w:rsidRPr="00E54D4C">
        <w:rPr>
          <w:rFonts w:cstheme="minorHAnsi"/>
          <w:bCs/>
          <w:spacing w:val="-3"/>
          <w:lang w:val="es-ES"/>
        </w:rPr>
        <w:t xml:space="preserve">puntos de acceso de todo el mundo. </w:t>
      </w:r>
    </w:p>
    <w:p w14:paraId="55CAE5E6" w14:textId="77777777" w:rsidR="00C1021F" w:rsidRPr="009E0EC1" w:rsidRDefault="00C1021F" w:rsidP="006F4F77">
      <w:pPr>
        <w:pStyle w:val="Heading2"/>
        <w:rPr>
          <w:lang w:val="es-ES"/>
        </w:rPr>
      </w:pPr>
      <w:r w:rsidRPr="009E0EC1">
        <w:rPr>
          <w:lang w:val="es-ES"/>
        </w:rPr>
        <w:t>8.2</w:t>
      </w:r>
      <w:r w:rsidRPr="009E0EC1">
        <w:rPr>
          <w:lang w:val="es-ES"/>
        </w:rPr>
        <w:tab/>
        <w:t>Herramienta de planificación empresarial para el despliegue de la infraestructura</w:t>
      </w:r>
    </w:p>
    <w:p w14:paraId="63E29E7D" w14:textId="77777777" w:rsidR="00C1021F" w:rsidRPr="00E54D4C" w:rsidRDefault="00C1021F" w:rsidP="00C1021F">
      <w:pPr>
        <w:rPr>
          <w:rFonts w:cstheme="minorHAnsi"/>
          <w:bCs/>
          <w:spacing w:val="-3"/>
          <w:lang w:val="es-ES"/>
        </w:rPr>
      </w:pPr>
      <w:r w:rsidRPr="00E54D4C">
        <w:rPr>
          <w:rFonts w:cstheme="minorHAnsi"/>
          <w:bCs/>
          <w:spacing w:val="-3"/>
          <w:lang w:val="es-ES"/>
        </w:rPr>
        <w:t xml:space="preserve">La </w:t>
      </w:r>
      <w:hyperlink r:id="rId57" w:history="1">
        <w:r w:rsidRPr="00E54D4C">
          <w:rPr>
            <w:rStyle w:val="Hyperlink"/>
            <w:rFonts w:cstheme="minorHAnsi"/>
            <w:bCs/>
            <w:spacing w:val="-3"/>
            <w:lang w:val="es-ES"/>
          </w:rPr>
          <w:t>Herramienta de planificación empresarial para la infraestructura de TIC</w:t>
        </w:r>
      </w:hyperlink>
      <w:r w:rsidRPr="00E54D4C">
        <w:rPr>
          <w:rFonts w:cstheme="minorHAnsi"/>
          <w:bCs/>
          <w:spacing w:val="-3"/>
          <w:lang w:val="es-ES"/>
        </w:rPr>
        <w:t xml:space="preserve"> de la UIT ofrece a los reguladores y responsables de políticas una metodología clara y práctica para la evaluación económica precisa de la instalación de infraestructura de banda ancha y los planes de despliegue propuestos.</w:t>
      </w:r>
    </w:p>
    <w:p w14:paraId="07E71DDF" w14:textId="77777777" w:rsidR="00C1021F" w:rsidRPr="00E54D4C" w:rsidRDefault="00C1021F" w:rsidP="00C1021F">
      <w:pPr>
        <w:rPr>
          <w:rFonts w:cstheme="minorHAnsi"/>
          <w:bCs/>
          <w:spacing w:val="-3"/>
          <w:lang w:val="es-ES"/>
        </w:rPr>
      </w:pPr>
      <w:r w:rsidRPr="00E54D4C">
        <w:rPr>
          <w:rFonts w:cstheme="minorHAnsi"/>
          <w:bCs/>
          <w:spacing w:val="-3"/>
          <w:lang w:val="es-ES"/>
        </w:rPr>
        <w:t>La herramienta es un manual práctico para reguladores y responsables de políticas que desean ampliar el despliegue de redes de banda ancha y el acceso a las mismas. En ella se tratan elementos clave para la planificación empresarial satisfactoria del despliegue de infraestructuras de TIC; se presentan y explican las prácticas idóneas en materia de instalación de infraestructura y planes de despliegue, así como la evaluación de su viabilidad económica, para facilitar la toma de decisiones. Se presentan ejemplos cuantitativos de los proyectos más deseados, como la construcción de redes dorsales de fibra óptica, redes inalámbricas de banda ancha (incluida la 4G) y redes de acceso de fibra hasta el hogar (FTTH).</w:t>
      </w:r>
    </w:p>
    <w:p w14:paraId="48719C2C" w14:textId="77777777" w:rsidR="00C1021F" w:rsidRPr="009E0EC1" w:rsidRDefault="00C1021F" w:rsidP="006F4F77">
      <w:pPr>
        <w:pStyle w:val="Heading2"/>
        <w:rPr>
          <w:lang w:val="es-ES"/>
        </w:rPr>
      </w:pPr>
      <w:r w:rsidRPr="009E0EC1">
        <w:rPr>
          <w:lang w:val="es-ES"/>
        </w:rPr>
        <w:t>8.3</w:t>
      </w:r>
      <w:r w:rsidRPr="009E0EC1">
        <w:rPr>
          <w:lang w:val="es-ES"/>
        </w:rPr>
        <w:tab/>
        <w:t>Proyecto de conectividad del último kilómetro</w:t>
      </w:r>
    </w:p>
    <w:p w14:paraId="49812B9C" w14:textId="77777777" w:rsidR="00C1021F" w:rsidRPr="00E54D4C" w:rsidRDefault="00C1021F" w:rsidP="00E54D4C">
      <w:pPr>
        <w:ind w:right="-1"/>
        <w:rPr>
          <w:rFonts w:cstheme="minorHAnsi"/>
          <w:bCs/>
          <w:spacing w:val="-3"/>
          <w:lang w:val="es-ES"/>
        </w:rPr>
      </w:pPr>
      <w:r w:rsidRPr="00E54D4C">
        <w:rPr>
          <w:rFonts w:cstheme="minorHAnsi"/>
          <w:bCs/>
          <w:spacing w:val="-3"/>
          <w:lang w:val="es-ES"/>
        </w:rPr>
        <w:t xml:space="preserve">El </w:t>
      </w:r>
      <w:hyperlink r:id="rId58" w:history="1">
        <w:r w:rsidRPr="00E54D4C">
          <w:rPr>
            <w:rStyle w:val="Hyperlink"/>
            <w:rFonts w:cstheme="minorHAnsi"/>
            <w:bCs/>
            <w:spacing w:val="-3"/>
            <w:lang w:val="es-ES"/>
          </w:rPr>
          <w:t>proyect</w:t>
        </w:r>
      </w:hyperlink>
      <w:r w:rsidRPr="00E54D4C">
        <w:rPr>
          <w:rStyle w:val="Hyperlink"/>
          <w:rFonts w:cstheme="minorHAnsi"/>
          <w:bCs/>
          <w:spacing w:val="-3"/>
          <w:lang w:val="es-ES"/>
        </w:rPr>
        <w:t>o</w:t>
      </w:r>
      <w:r w:rsidRPr="00E54D4C">
        <w:rPr>
          <w:rFonts w:cstheme="minorHAnsi"/>
          <w:bCs/>
          <w:spacing w:val="-3"/>
          <w:lang w:val="es-ES"/>
        </w:rPr>
        <w:t xml:space="preserve"> de conectividad del último kilómetro se lanzó para definir nuevas estrategias colaborativas que garanticen una conectividad universal positiva para todas las personas. A través de este proyecto los socios podrán compartir recursos y adoptar enfoques globales que consideran la banda ancha como un servicio público básico y una herramienta para el desarrollo socioeconómico. </w:t>
      </w:r>
    </w:p>
    <w:p w14:paraId="7B72E186" w14:textId="77777777" w:rsidR="00C1021F" w:rsidRPr="009E0EC1" w:rsidRDefault="00C1021F" w:rsidP="006F4F77">
      <w:pPr>
        <w:pStyle w:val="Heading2"/>
        <w:rPr>
          <w:lang w:val="es-ES"/>
        </w:rPr>
      </w:pPr>
      <w:r w:rsidRPr="009E0EC1">
        <w:rPr>
          <w:lang w:val="es-ES"/>
        </w:rPr>
        <w:t>8.4</w:t>
      </w:r>
      <w:r w:rsidRPr="009E0EC1">
        <w:rPr>
          <w:lang w:val="es-ES"/>
        </w:rPr>
        <w:tab/>
        <w:t>GIGA</w:t>
      </w:r>
    </w:p>
    <w:p w14:paraId="0142DA6E" w14:textId="1AE38F08" w:rsidR="00C1021F" w:rsidRPr="001D431E" w:rsidRDefault="00C1021F" w:rsidP="00C1021F">
      <w:pPr>
        <w:rPr>
          <w:rFonts w:cstheme="minorHAnsi"/>
          <w:bCs/>
          <w:spacing w:val="-2"/>
          <w:lang w:val="es-ES"/>
        </w:rPr>
      </w:pPr>
      <w:r w:rsidRPr="00E54D4C">
        <w:rPr>
          <w:rFonts w:cstheme="minorHAnsi"/>
          <w:bCs/>
          <w:spacing w:val="-3"/>
          <w:lang w:val="es-ES"/>
        </w:rPr>
        <w:t>El proyecto de conectividad escolar de la UIT-UNICEF, lanzado por la Asamblea General de las Naciones Unidas, tiene por objeto facilitar la conectividad de todas las escuelas del mundo. Alrededor de 3</w:t>
      </w:r>
      <w:r w:rsidR="00C4604C">
        <w:rPr>
          <w:rFonts w:cstheme="minorHAnsi"/>
          <w:bCs/>
          <w:spacing w:val="-3"/>
          <w:lang w:val="es-ES"/>
        </w:rPr>
        <w:t> </w:t>
      </w:r>
      <w:r w:rsidRPr="00E54D4C">
        <w:rPr>
          <w:rFonts w:cstheme="minorHAnsi"/>
          <w:bCs/>
          <w:spacing w:val="-3"/>
          <w:lang w:val="es-ES"/>
        </w:rPr>
        <w:t>700 millones de personas, de las cuales 360 millones son jóvenes, no disponen de acceso a Internet. Ello impide a niños y jóvenes aprovechar las ventajas que brinda la información en línea y merma su capacidad para aprender y desarrollarse plenamente. La supresión de la brecha digital requiere cooperación, liderazgo e innovación a escala mundial en los planos financiero y tecnológico</w:t>
      </w:r>
      <w:r w:rsidRPr="001D431E">
        <w:rPr>
          <w:rFonts w:cstheme="minorHAnsi"/>
          <w:bCs/>
          <w:spacing w:val="-2"/>
          <w:lang w:val="es-ES"/>
        </w:rPr>
        <w:t xml:space="preserve">. </w:t>
      </w:r>
    </w:p>
    <w:p w14:paraId="7CC24E1A" w14:textId="51198D47" w:rsidR="00C1021F" w:rsidRPr="001D431E" w:rsidRDefault="00C1021F" w:rsidP="00C1021F">
      <w:pPr>
        <w:rPr>
          <w:rFonts w:cstheme="minorHAnsi"/>
          <w:bCs/>
          <w:spacing w:val="-2"/>
          <w:lang w:val="es-ES"/>
        </w:rPr>
      </w:pPr>
      <w:r w:rsidRPr="001D431E">
        <w:rPr>
          <w:rFonts w:cstheme="minorHAnsi"/>
          <w:bCs/>
          <w:spacing w:val="-2"/>
          <w:lang w:val="es-ES"/>
        </w:rPr>
        <w:t xml:space="preserve">La </w:t>
      </w:r>
      <w:hyperlink r:id="rId59" w:history="1">
        <w:r w:rsidRPr="001D431E">
          <w:rPr>
            <w:rStyle w:val="Hyperlink"/>
            <w:rFonts w:cstheme="minorHAnsi"/>
            <w:bCs/>
            <w:spacing w:val="-2"/>
            <w:lang w:val="es-ES"/>
          </w:rPr>
          <w:t>Iniciativa GIGA</w:t>
        </w:r>
      </w:hyperlink>
      <w:r w:rsidRPr="001D431E">
        <w:rPr>
          <w:rFonts w:cstheme="minorHAnsi"/>
          <w:bCs/>
          <w:spacing w:val="-2"/>
          <w:lang w:val="es-ES"/>
        </w:rPr>
        <w:t xml:space="preserve"> se articula en torno a cuatro pilares: trazar mapas de conectividad escolar y utilizarlos para ilustrar la demanda de conectividad, y emplear nuevas tecnologías para crear un mapa en tiempo real de la ubicación de las distintas escuelas y su nivel de conectividad; financiar una oferta común que incorpore la demanda de conectividad en las escuelas (agrupada en varios países) y cree un modelo de previsión de costos que favorezca la asequibilidad de la conectividad; proporcionar conexión a Internet a todas las escuelas y crear un sistema de control que permita supervisar el nivel y la calidad de la conectividad facilitada por los proveedores de servicios de Internet; dotar a los jóvenes de competencias mediante la inversión y la ampliación de soluciones de código abierto, que –junto con la conectividad– se pondrán a disposición de niños, docentes y administradores.</w:t>
      </w:r>
    </w:p>
    <w:p w14:paraId="453B38BA" w14:textId="6CE4A8C9" w:rsidR="00C1021F" w:rsidRPr="009E0EC1" w:rsidRDefault="00C1021F" w:rsidP="006F4F77">
      <w:pPr>
        <w:pStyle w:val="Heading2"/>
        <w:rPr>
          <w:lang w:val="es-ES"/>
        </w:rPr>
      </w:pPr>
      <w:r w:rsidRPr="009E0EC1">
        <w:rPr>
          <w:lang w:val="es-ES"/>
        </w:rPr>
        <w:t>8.5</w:t>
      </w:r>
      <w:r w:rsidRPr="009E0EC1">
        <w:rPr>
          <w:lang w:val="es-ES"/>
        </w:rPr>
        <w:tab/>
        <w:t xml:space="preserve">Proyecto UIT-MUST Centro de experiencia en IPv6 e IoT </w:t>
      </w:r>
    </w:p>
    <w:p w14:paraId="0BFC1190" w14:textId="77777777" w:rsidR="00C1021F" w:rsidRPr="001D431E" w:rsidRDefault="00C1021F" w:rsidP="00C1021F">
      <w:pPr>
        <w:rPr>
          <w:rFonts w:cstheme="minorHAnsi"/>
          <w:bCs/>
          <w:spacing w:val="-2"/>
          <w:lang w:val="es-ES"/>
        </w:rPr>
      </w:pPr>
      <w:r w:rsidRPr="001D431E">
        <w:rPr>
          <w:rFonts w:cstheme="minorHAnsi"/>
          <w:bCs/>
          <w:spacing w:val="-2"/>
          <w:lang w:val="es-ES"/>
        </w:rPr>
        <w:t xml:space="preserve">El objetivo principal del proyecto UIT-MUST (Universidad de Ciencia y Tecnología de Malasia) es ayudar a los Estados Miembros en la transición armoniosa de IPv4 (Protocolo Internet versión 4) a IPv6 (Protocolo Internet versión 6) para la infraestructura de Internet de las cosas (IoT), el IPv6 por redes 5G, el IPv6 para Industry 4.0, el despliegue de servicios y aplicaciones y la sensibilización </w:t>
      </w:r>
      <w:r w:rsidRPr="001D431E">
        <w:rPr>
          <w:rFonts w:cstheme="minorHAnsi"/>
          <w:bCs/>
          <w:spacing w:val="-2"/>
          <w:lang w:val="es-ES"/>
        </w:rPr>
        <w:lastRenderedPageBreak/>
        <w:t xml:space="preserve">mediante la prestación de asistencia técnica, formaciones y/o talleres. En este contexto se organizaron varios talleres y formaciones en 2019. </w:t>
      </w:r>
    </w:p>
    <w:p w14:paraId="603A7A8E" w14:textId="77777777" w:rsidR="00C1021F" w:rsidRPr="009E0EC1" w:rsidRDefault="00C1021F" w:rsidP="006F4F77">
      <w:pPr>
        <w:pStyle w:val="Heading2"/>
        <w:rPr>
          <w:lang w:val="es-ES"/>
        </w:rPr>
      </w:pPr>
      <w:r w:rsidRPr="009E0EC1">
        <w:rPr>
          <w:lang w:val="es-ES"/>
        </w:rPr>
        <w:t>8.6</w:t>
      </w:r>
      <w:r w:rsidRPr="009E0EC1">
        <w:rPr>
          <w:lang w:val="es-ES"/>
        </w:rPr>
        <w:tab/>
        <w:t xml:space="preserve">Banda ancha para la conectividad rural </w:t>
      </w:r>
    </w:p>
    <w:p w14:paraId="3E7C9119" w14:textId="3E1184AA" w:rsidR="00C1021F" w:rsidRPr="001D431E" w:rsidRDefault="00C1021F" w:rsidP="00C1021F">
      <w:pPr>
        <w:rPr>
          <w:rFonts w:cstheme="minorHAnsi"/>
          <w:bCs/>
          <w:spacing w:val="-2"/>
          <w:lang w:val="es-ES"/>
        </w:rPr>
      </w:pPr>
      <w:r w:rsidRPr="001D431E">
        <w:rPr>
          <w:rFonts w:eastAsia="Calibri" w:cstheme="minorHAnsi"/>
          <w:spacing w:val="-2"/>
          <w:lang w:val="es-ES"/>
        </w:rPr>
        <w:t xml:space="preserve">En el marco del </w:t>
      </w:r>
      <w:r w:rsidR="006A1FD8" w:rsidRPr="001D431E">
        <w:rPr>
          <w:rFonts w:eastAsia="Calibri" w:cstheme="minorHAnsi"/>
          <w:spacing w:val="-2"/>
          <w:lang w:val="es-ES"/>
        </w:rPr>
        <w:t>proyecto de</w:t>
      </w:r>
      <w:r w:rsidRPr="001D431E">
        <w:rPr>
          <w:rFonts w:eastAsia="Calibri" w:cstheme="minorHAnsi"/>
          <w:spacing w:val="-2"/>
          <w:lang w:val="es-ES"/>
        </w:rPr>
        <w:t xml:space="preserve"> la UIT/McCaw Foundation para países de la región de África, la UIT siguió implementando la conectividad inalámbrica en banda ancha a </w:t>
      </w:r>
      <w:r w:rsidR="00011EA6">
        <w:rPr>
          <w:rFonts w:eastAsia="Calibri" w:cstheme="minorHAnsi"/>
          <w:spacing w:val="-2"/>
          <w:lang w:val="es-ES"/>
        </w:rPr>
        <w:t>I</w:t>
      </w:r>
      <w:r w:rsidRPr="001D431E">
        <w:rPr>
          <w:rFonts w:eastAsia="Calibri" w:cstheme="minorHAnsi"/>
          <w:spacing w:val="-2"/>
          <w:lang w:val="es-ES"/>
        </w:rPr>
        <w:t xml:space="preserve">nternet y creando aplicaciones de TIC para ofrecer acceso digital gratuito o a bajo coste a las escuelas y hospitales, además de a las poblaciones mal abastecidas de zonas rurales y remotas. En </w:t>
      </w:r>
      <w:r w:rsidRPr="001D431E">
        <w:rPr>
          <w:rFonts w:cstheme="minorHAnsi"/>
          <w:bCs/>
          <w:spacing w:val="-2"/>
          <w:lang w:val="es-ES"/>
        </w:rPr>
        <w:t>Djibouti, por ejemplo, se conectaron 18</w:t>
      </w:r>
      <w:r w:rsidR="00D27AFA">
        <w:rPr>
          <w:rFonts w:cstheme="minorHAnsi"/>
          <w:bCs/>
          <w:spacing w:val="-2"/>
          <w:lang w:val="es-ES"/>
        </w:rPr>
        <w:t> </w:t>
      </w:r>
      <w:r w:rsidRPr="001D431E">
        <w:rPr>
          <w:rFonts w:cstheme="minorHAnsi"/>
          <w:bCs/>
          <w:spacing w:val="-2"/>
          <w:lang w:val="es-ES"/>
        </w:rPr>
        <w:t xml:space="preserve">emplazamientos, además de 62 escuelas primarias y secundarias y 15 hospitales y clínicas, a Internet de banda ancha. </w:t>
      </w:r>
    </w:p>
    <w:p w14:paraId="4BD73B0E" w14:textId="5C4DB428" w:rsidR="00C1021F" w:rsidRPr="009E0EC1" w:rsidRDefault="00C1021F" w:rsidP="006F4F77">
      <w:pPr>
        <w:pStyle w:val="Heading2"/>
        <w:rPr>
          <w:lang w:val="es-ES"/>
        </w:rPr>
      </w:pPr>
      <w:r w:rsidRPr="009E0EC1">
        <w:rPr>
          <w:lang w:val="es-ES"/>
        </w:rPr>
        <w:t>8.7</w:t>
      </w:r>
      <w:r w:rsidRPr="009E0EC1">
        <w:rPr>
          <w:lang w:val="es-ES"/>
        </w:rPr>
        <w:tab/>
        <w:t>Iniciativa política y reglamentaria para el África digital (PRIDA)</w:t>
      </w:r>
    </w:p>
    <w:p w14:paraId="1B017329" w14:textId="77777777" w:rsidR="00C1021F" w:rsidRPr="001D431E" w:rsidRDefault="00C1021F" w:rsidP="00C1021F">
      <w:pPr>
        <w:rPr>
          <w:rFonts w:eastAsia="Calibri" w:cstheme="minorHAnsi"/>
          <w:spacing w:val="-2"/>
          <w:lang w:val="es-ES"/>
        </w:rPr>
      </w:pPr>
      <w:r w:rsidRPr="001D431E">
        <w:rPr>
          <w:rFonts w:cstheme="minorHAnsi"/>
          <w:spacing w:val="-2"/>
          <w:lang w:val="es-ES"/>
        </w:rPr>
        <w:t xml:space="preserve">Esta iniciativa política y reglamentaria para África se lanzó a fin de promover el acceso universal y asequible a la banda ancha inalámbrica en toda la región de África con el objetivo de obtener los beneficios que aportarán los servicios Internet. Esta ambiciosa iniciativa se ejecutará durante 3 años y medio en el marco de un </w:t>
      </w:r>
      <w:hyperlink r:id="rId60" w:history="1">
        <w:r w:rsidRPr="001D431E">
          <w:rPr>
            <w:rStyle w:val="Hyperlink"/>
            <w:rFonts w:eastAsia="Calibri" w:cstheme="minorHAnsi"/>
            <w:spacing w:val="-2"/>
            <w:lang w:val="es-ES"/>
          </w:rPr>
          <w:t xml:space="preserve">proyecto </w:t>
        </w:r>
        <w:proofErr w:type="spellStart"/>
        <w:r w:rsidRPr="001D431E">
          <w:rPr>
            <w:rStyle w:val="Hyperlink"/>
            <w:rFonts w:eastAsia="Calibri" w:cstheme="minorHAnsi"/>
            <w:spacing w:val="-2"/>
            <w:lang w:val="es-ES"/>
          </w:rPr>
          <w:t>multipartito</w:t>
        </w:r>
        <w:proofErr w:type="spellEnd"/>
      </w:hyperlink>
      <w:r w:rsidRPr="001D431E">
        <w:rPr>
          <w:rFonts w:eastAsia="Calibri" w:cstheme="minorHAnsi"/>
          <w:spacing w:val="-2"/>
          <w:lang w:val="es-ES"/>
        </w:rPr>
        <w:t xml:space="preserve"> de la Unión Europea, la Unión Africana y la UIT.</w:t>
      </w:r>
    </w:p>
    <w:p w14:paraId="21ABB507" w14:textId="2C055ACB" w:rsidR="00C1021F" w:rsidRPr="009E0EC1" w:rsidRDefault="00C1021F" w:rsidP="006F4F77">
      <w:pPr>
        <w:pStyle w:val="Heading2"/>
        <w:rPr>
          <w:lang w:val="es-ES"/>
        </w:rPr>
      </w:pPr>
      <w:r w:rsidRPr="009E0EC1">
        <w:rPr>
          <w:lang w:val="es-ES"/>
        </w:rPr>
        <w:t>8.8</w:t>
      </w:r>
      <w:r w:rsidRPr="009E0EC1">
        <w:rPr>
          <w:lang w:val="es-ES"/>
        </w:rPr>
        <w:tab/>
        <w:t xml:space="preserve">Redes de conformidad e interoperabilidad </w:t>
      </w:r>
    </w:p>
    <w:p w14:paraId="534C8BCF" w14:textId="1C0EE2A5" w:rsidR="00C1021F" w:rsidRPr="001D431E" w:rsidRDefault="00C1021F" w:rsidP="00C1021F">
      <w:pPr>
        <w:rPr>
          <w:rFonts w:cstheme="minorHAnsi"/>
          <w:spacing w:val="-2"/>
          <w:lang w:val="es-ES"/>
        </w:rPr>
      </w:pPr>
      <w:r w:rsidRPr="001D431E">
        <w:rPr>
          <w:rFonts w:eastAsia="Calibri" w:cstheme="minorHAnsi"/>
          <w:spacing w:val="-2"/>
          <w:lang w:val="es-ES"/>
        </w:rPr>
        <w:t>Se aumentaron las competencias en tasa de absorción específica, radiofrecuencias, frecuencias electromagnéticas y televisión digital terrenal a través de formaciones en materia de conformidad e interoperabilid</w:t>
      </w:r>
      <w:r w:rsidR="00A131B5">
        <w:rPr>
          <w:rFonts w:eastAsia="Calibri" w:cstheme="minorHAnsi"/>
          <w:spacing w:val="-2"/>
          <w:lang w:val="es-ES"/>
        </w:rPr>
        <w:t>a</w:t>
      </w:r>
      <w:r w:rsidRPr="001D431E">
        <w:rPr>
          <w:rFonts w:eastAsia="Calibri" w:cstheme="minorHAnsi"/>
          <w:spacing w:val="-2"/>
          <w:lang w:val="es-ES"/>
        </w:rPr>
        <w:t xml:space="preserve">d impartidas en países anglófonos y francófonos. </w:t>
      </w:r>
    </w:p>
    <w:p w14:paraId="3A9C5BDE" w14:textId="77777777" w:rsidR="00C1021F" w:rsidRPr="009E0EC1" w:rsidRDefault="00C1021F" w:rsidP="006F4F77">
      <w:pPr>
        <w:pStyle w:val="Heading2"/>
        <w:rPr>
          <w:lang w:val="es-ES"/>
        </w:rPr>
      </w:pPr>
      <w:r w:rsidRPr="009E0EC1">
        <w:rPr>
          <w:lang w:val="es-ES"/>
        </w:rPr>
        <w:t>8.9</w:t>
      </w:r>
      <w:r w:rsidRPr="009E0EC1">
        <w:rPr>
          <w:lang w:val="es-ES"/>
        </w:rPr>
        <w:tab/>
        <w:t>RESOLUCIÓN 9 (Rev. Buenos Aires, 2017) DE LA CMDT</w:t>
      </w:r>
    </w:p>
    <w:p w14:paraId="1B7D1B0F" w14:textId="0D100614" w:rsidR="00C1021F" w:rsidRPr="001D431E" w:rsidRDefault="00C1021F" w:rsidP="00C1021F">
      <w:pPr>
        <w:rPr>
          <w:rFonts w:cstheme="minorHAnsi"/>
          <w:spacing w:val="-2"/>
          <w:szCs w:val="24"/>
          <w:lang w:val="es-ES"/>
        </w:rPr>
      </w:pPr>
      <w:r w:rsidRPr="001D431E">
        <w:rPr>
          <w:rFonts w:cstheme="minorHAnsi"/>
          <w:spacing w:val="-2"/>
          <w:szCs w:val="24"/>
          <w:lang w:val="es-ES"/>
        </w:rPr>
        <w:t>En el siguiente cuadro se resumen las actividades realizadas por la UIT en aplicación de la Resolución</w:t>
      </w:r>
      <w:r w:rsidR="00C4604C">
        <w:rPr>
          <w:rFonts w:cstheme="minorHAnsi"/>
          <w:spacing w:val="-2"/>
          <w:szCs w:val="24"/>
          <w:lang w:val="es-ES"/>
        </w:rPr>
        <w:t> </w:t>
      </w:r>
      <w:r w:rsidRPr="001D431E">
        <w:rPr>
          <w:rFonts w:cstheme="minorHAnsi"/>
          <w:spacing w:val="-2"/>
          <w:szCs w:val="24"/>
          <w:lang w:val="es-ES"/>
        </w:rPr>
        <w:t xml:space="preserve">9. Se desglosan por temas las actividades de asistencia realizadas y su número. En el Documento </w:t>
      </w:r>
      <w:hyperlink r:id="rId61" w:history="1">
        <w:r w:rsidRPr="001D431E">
          <w:rPr>
            <w:rStyle w:val="Hyperlink"/>
            <w:rFonts w:cstheme="minorHAnsi"/>
            <w:spacing w:val="-2"/>
            <w:szCs w:val="24"/>
            <w:lang w:val="es-ES"/>
          </w:rPr>
          <w:t>TDAG-20/INF/3</w:t>
        </w:r>
      </w:hyperlink>
      <w:r w:rsidRPr="001D431E">
        <w:rPr>
          <w:rFonts w:cstheme="minorHAnsi"/>
          <w:spacing w:val="-2"/>
          <w:szCs w:val="24"/>
          <w:lang w:val="es-ES"/>
        </w:rPr>
        <w:t xml:space="preserve"> se resume la asistencia prestada a los Estados Miembros en materia de gestión del espectro, por regiones.</w:t>
      </w:r>
    </w:p>
    <w:p w14:paraId="2983C5E6" w14:textId="77777777" w:rsidR="00C1021F" w:rsidRPr="001D431E" w:rsidRDefault="00C1021F" w:rsidP="00C1021F">
      <w:pPr>
        <w:tabs>
          <w:tab w:val="clear" w:pos="794"/>
          <w:tab w:val="clear" w:pos="1191"/>
          <w:tab w:val="clear" w:pos="1588"/>
          <w:tab w:val="clear" w:pos="1985"/>
          <w:tab w:val="left" w:pos="567"/>
        </w:tabs>
        <w:spacing w:before="60"/>
        <w:jc w:val="both"/>
        <w:rPr>
          <w:rFonts w:cstheme="minorHAnsi"/>
          <w:bCs/>
          <w:iCs/>
          <w:spacing w:val="-2"/>
          <w:szCs w:val="24"/>
          <w:lang w:val="es-ES"/>
        </w:rPr>
      </w:pPr>
    </w:p>
    <w:tbl>
      <w:tblPr>
        <w:tblStyle w:val="TableGrid6"/>
        <w:tblW w:w="0" w:type="auto"/>
        <w:tblLook w:val="04A0" w:firstRow="1" w:lastRow="0" w:firstColumn="1" w:lastColumn="0" w:noHBand="0" w:noVBand="1"/>
      </w:tblPr>
      <w:tblGrid>
        <w:gridCol w:w="7650"/>
        <w:gridCol w:w="1700"/>
      </w:tblGrid>
      <w:tr w:rsidR="00C1021F" w:rsidRPr="009219FC" w14:paraId="3664C7FA" w14:textId="77777777" w:rsidTr="00E54D4C">
        <w:tc>
          <w:tcPr>
            <w:tcW w:w="7650" w:type="dxa"/>
          </w:tcPr>
          <w:p w14:paraId="3F4BCBEA" w14:textId="77777777" w:rsidR="00C1021F" w:rsidRPr="009219FC" w:rsidRDefault="00C1021F" w:rsidP="009219FC">
            <w:pPr>
              <w:pStyle w:val="Tablehead"/>
              <w:keepLines/>
              <w:spacing w:before="40" w:after="40"/>
              <w:rPr>
                <w:rFonts w:asciiTheme="minorHAnsi" w:hAnsiTheme="minorHAnsi" w:cstheme="minorHAnsi"/>
                <w:sz w:val="24"/>
                <w:szCs w:val="24"/>
                <w:lang w:val="es-ES"/>
              </w:rPr>
            </w:pPr>
            <w:r w:rsidRPr="009219FC">
              <w:rPr>
                <w:rFonts w:asciiTheme="minorHAnsi" w:hAnsiTheme="minorHAnsi" w:cstheme="minorHAnsi"/>
                <w:sz w:val="24"/>
                <w:szCs w:val="24"/>
                <w:lang w:val="es-ES"/>
              </w:rPr>
              <w:lastRenderedPageBreak/>
              <w:t>Tema</w:t>
            </w:r>
          </w:p>
        </w:tc>
        <w:tc>
          <w:tcPr>
            <w:tcW w:w="1700" w:type="dxa"/>
          </w:tcPr>
          <w:p w14:paraId="59DAB529" w14:textId="77777777" w:rsidR="00C1021F" w:rsidRPr="009219FC" w:rsidRDefault="00C1021F" w:rsidP="009219FC">
            <w:pPr>
              <w:pStyle w:val="Tablehead"/>
              <w:keepLines/>
              <w:spacing w:before="40" w:after="40"/>
              <w:rPr>
                <w:rFonts w:asciiTheme="minorHAnsi" w:hAnsiTheme="minorHAnsi" w:cstheme="minorHAnsi"/>
                <w:sz w:val="24"/>
                <w:szCs w:val="24"/>
                <w:lang w:val="es-ES"/>
              </w:rPr>
            </w:pPr>
            <w:r w:rsidRPr="009219FC">
              <w:rPr>
                <w:rFonts w:asciiTheme="minorHAnsi" w:hAnsiTheme="minorHAnsi" w:cstheme="minorHAnsi"/>
                <w:sz w:val="24"/>
                <w:szCs w:val="24"/>
                <w:lang w:val="es-ES"/>
              </w:rPr>
              <w:t>Número de actividades</w:t>
            </w:r>
          </w:p>
        </w:tc>
      </w:tr>
      <w:tr w:rsidR="00C1021F" w:rsidRPr="009219FC" w14:paraId="5EAE5093" w14:textId="77777777" w:rsidTr="00E54D4C">
        <w:tc>
          <w:tcPr>
            <w:tcW w:w="7650" w:type="dxa"/>
          </w:tcPr>
          <w:p w14:paraId="535892BE" w14:textId="3301CF9B" w:rsidR="00C1021F" w:rsidRPr="009219FC" w:rsidRDefault="00E54D4C" w:rsidP="009219F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4"/>
              </w:tabs>
              <w:ind w:left="452" w:hanging="425"/>
              <w:rPr>
                <w:rFonts w:asciiTheme="minorHAnsi" w:hAnsiTheme="minorHAnsi" w:cstheme="minorHAnsi"/>
                <w:sz w:val="24"/>
                <w:szCs w:val="24"/>
                <w:lang w:val="es-ES"/>
              </w:rPr>
            </w:pPr>
            <w:r w:rsidRPr="009219FC">
              <w:rPr>
                <w:rFonts w:asciiTheme="minorHAnsi" w:hAnsiTheme="minorHAnsi" w:cstheme="minorHAnsi"/>
                <w:sz w:val="24"/>
                <w:szCs w:val="24"/>
                <w:lang w:val="es-ES"/>
              </w:rPr>
              <w:t>1</w:t>
            </w:r>
            <w:r w:rsidRPr="004F002A">
              <w:rPr>
                <w:rFonts w:asciiTheme="minorHAnsi" w:hAnsiTheme="minorHAnsi"/>
                <w:sz w:val="24"/>
                <w:szCs w:val="24"/>
                <w:lang w:val="es-ES"/>
              </w:rPr>
              <w:tab/>
            </w:r>
            <w:r w:rsidR="00C1021F" w:rsidRPr="009219FC">
              <w:rPr>
                <w:rFonts w:asciiTheme="minorHAnsi" w:hAnsiTheme="minorHAnsi" w:cstheme="minorHAnsi"/>
                <w:sz w:val="24"/>
                <w:szCs w:val="24"/>
                <w:lang w:val="es-ES"/>
              </w:rPr>
              <w:t>Asistencia en la sensibilización de los legisladores nacionales acerca de la importancia de la gestión eficaz del espectro de frecuencias para el desarrollo económico y social del país.</w:t>
            </w:r>
          </w:p>
        </w:tc>
        <w:tc>
          <w:tcPr>
            <w:tcW w:w="1700" w:type="dxa"/>
          </w:tcPr>
          <w:p w14:paraId="08026376" w14:textId="77777777" w:rsidR="00C1021F" w:rsidRPr="009219FC" w:rsidRDefault="00C1021F" w:rsidP="009219FC">
            <w:pPr>
              <w:pStyle w:val="Tabletext"/>
              <w:keepNext/>
              <w:keepLines/>
              <w:jc w:val="center"/>
              <w:rPr>
                <w:rFonts w:asciiTheme="minorHAnsi" w:hAnsiTheme="minorHAnsi" w:cstheme="minorHAnsi"/>
                <w:sz w:val="24"/>
                <w:szCs w:val="24"/>
                <w:lang w:val="es-ES"/>
              </w:rPr>
            </w:pPr>
            <w:r w:rsidRPr="009219FC">
              <w:rPr>
                <w:rFonts w:asciiTheme="minorHAnsi" w:hAnsiTheme="minorHAnsi" w:cstheme="minorHAnsi"/>
                <w:sz w:val="24"/>
                <w:szCs w:val="24"/>
                <w:lang w:val="es-ES"/>
              </w:rPr>
              <w:t>19</w:t>
            </w:r>
          </w:p>
        </w:tc>
      </w:tr>
      <w:tr w:rsidR="00C1021F" w:rsidRPr="009219FC" w14:paraId="27091299" w14:textId="77777777" w:rsidTr="00E54D4C">
        <w:trPr>
          <w:trHeight w:val="221"/>
        </w:trPr>
        <w:tc>
          <w:tcPr>
            <w:tcW w:w="7650" w:type="dxa"/>
          </w:tcPr>
          <w:p w14:paraId="605605C5" w14:textId="464E9CD6" w:rsidR="00C1021F" w:rsidRPr="009219FC" w:rsidRDefault="00E54D4C" w:rsidP="009219F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4"/>
              </w:tabs>
              <w:ind w:left="452" w:hanging="425"/>
              <w:rPr>
                <w:rFonts w:asciiTheme="minorHAnsi" w:hAnsiTheme="minorHAnsi" w:cstheme="minorHAnsi"/>
                <w:b/>
                <w:sz w:val="24"/>
                <w:szCs w:val="24"/>
                <w:lang w:val="es-ES"/>
              </w:rPr>
            </w:pPr>
            <w:r w:rsidRPr="009219FC">
              <w:rPr>
                <w:rFonts w:asciiTheme="minorHAnsi" w:hAnsiTheme="minorHAnsi"/>
                <w:sz w:val="24"/>
                <w:szCs w:val="24"/>
                <w:lang w:val="es-ES_tradnl"/>
              </w:rPr>
              <w:t>2</w:t>
            </w:r>
            <w:r w:rsidRPr="009219FC">
              <w:rPr>
                <w:rFonts w:asciiTheme="minorHAnsi" w:hAnsiTheme="minorHAnsi"/>
                <w:sz w:val="24"/>
                <w:szCs w:val="24"/>
                <w:lang w:val="es-ES_tradnl"/>
              </w:rPr>
              <w:tab/>
            </w:r>
            <w:r w:rsidR="00C1021F" w:rsidRPr="009219FC">
              <w:rPr>
                <w:rFonts w:asciiTheme="minorHAnsi" w:hAnsiTheme="minorHAnsi"/>
                <w:sz w:val="24"/>
                <w:szCs w:val="24"/>
                <w:lang w:val="es-ES_tradnl"/>
              </w:rPr>
              <w:t>Capacitación</w:t>
            </w:r>
            <w:r w:rsidR="00C1021F" w:rsidRPr="009219FC">
              <w:rPr>
                <w:rFonts w:asciiTheme="minorHAnsi" w:hAnsiTheme="minorHAnsi" w:cstheme="minorHAnsi"/>
                <w:sz w:val="24"/>
                <w:szCs w:val="24"/>
                <w:lang w:val="es-ES"/>
              </w:rPr>
              <w:t xml:space="preserve"> y divulgación de la documentación disponible en la UIT.</w:t>
            </w:r>
          </w:p>
        </w:tc>
        <w:tc>
          <w:tcPr>
            <w:tcW w:w="1700" w:type="dxa"/>
          </w:tcPr>
          <w:p w14:paraId="5F2845C2" w14:textId="77777777" w:rsidR="00C1021F" w:rsidRPr="009219FC" w:rsidRDefault="00C1021F" w:rsidP="009219FC">
            <w:pPr>
              <w:pStyle w:val="Tabletext"/>
              <w:keepNext/>
              <w:keepLines/>
              <w:jc w:val="center"/>
              <w:rPr>
                <w:rFonts w:asciiTheme="minorHAnsi" w:hAnsiTheme="minorHAnsi" w:cstheme="minorHAnsi"/>
                <w:sz w:val="24"/>
                <w:szCs w:val="24"/>
                <w:lang w:val="es-ES"/>
              </w:rPr>
            </w:pPr>
            <w:r w:rsidRPr="009219FC">
              <w:rPr>
                <w:rFonts w:asciiTheme="minorHAnsi" w:hAnsiTheme="minorHAnsi" w:cstheme="minorHAnsi"/>
                <w:sz w:val="24"/>
                <w:szCs w:val="24"/>
                <w:lang w:val="es-ES"/>
              </w:rPr>
              <w:t>22</w:t>
            </w:r>
          </w:p>
        </w:tc>
      </w:tr>
      <w:tr w:rsidR="00C1021F" w:rsidRPr="009219FC" w14:paraId="5DAD6FC4" w14:textId="77777777" w:rsidTr="00E54D4C">
        <w:tc>
          <w:tcPr>
            <w:tcW w:w="7650" w:type="dxa"/>
          </w:tcPr>
          <w:p w14:paraId="221B395F" w14:textId="449753AF" w:rsidR="00C1021F" w:rsidRPr="009219FC" w:rsidRDefault="00E54D4C" w:rsidP="009219F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4"/>
              </w:tabs>
              <w:ind w:left="452" w:hanging="425"/>
              <w:rPr>
                <w:rFonts w:asciiTheme="minorHAnsi" w:hAnsiTheme="minorHAnsi" w:cstheme="minorHAnsi"/>
                <w:sz w:val="24"/>
                <w:szCs w:val="24"/>
                <w:lang w:val="es-ES"/>
              </w:rPr>
            </w:pPr>
            <w:r w:rsidRPr="009219FC">
              <w:rPr>
                <w:rFonts w:asciiTheme="minorHAnsi" w:hAnsiTheme="minorHAnsi" w:cstheme="minorHAnsi"/>
                <w:sz w:val="24"/>
                <w:szCs w:val="24"/>
                <w:lang w:val="es-ES"/>
              </w:rPr>
              <w:t>3</w:t>
            </w:r>
            <w:r w:rsidRPr="009219FC">
              <w:rPr>
                <w:rFonts w:asciiTheme="minorHAnsi" w:hAnsiTheme="minorHAnsi" w:cstheme="minorHAnsi"/>
                <w:sz w:val="24"/>
                <w:szCs w:val="24"/>
                <w:lang w:val="es-ES"/>
              </w:rPr>
              <w:tab/>
            </w:r>
            <w:r w:rsidR="00C1021F" w:rsidRPr="009219FC">
              <w:rPr>
                <w:rFonts w:asciiTheme="minorHAnsi" w:hAnsiTheme="minorHAnsi" w:cstheme="minorHAnsi"/>
                <w:sz w:val="24"/>
                <w:szCs w:val="24"/>
                <w:lang w:val="es-ES"/>
              </w:rPr>
              <w:t xml:space="preserve">Ayuda para el establecimiento de metodologías que permitan la elaboración de </w:t>
            </w:r>
            <w:r w:rsidR="00C1021F" w:rsidRPr="009219FC">
              <w:rPr>
                <w:rFonts w:asciiTheme="minorHAnsi" w:hAnsiTheme="minorHAnsi"/>
                <w:sz w:val="24"/>
                <w:szCs w:val="24"/>
                <w:lang w:val="es-ES_tradnl"/>
              </w:rPr>
              <w:t>Cuadros</w:t>
            </w:r>
            <w:r w:rsidR="00C1021F" w:rsidRPr="009219FC">
              <w:rPr>
                <w:rFonts w:asciiTheme="minorHAnsi" w:hAnsiTheme="minorHAnsi" w:cstheme="minorHAnsi"/>
                <w:sz w:val="24"/>
                <w:szCs w:val="24"/>
                <w:lang w:val="es-ES"/>
              </w:rPr>
              <w:t xml:space="preserve"> nacionales de atribución de bandas de frecuencias y de redistribución del espectro</w:t>
            </w:r>
          </w:p>
        </w:tc>
        <w:tc>
          <w:tcPr>
            <w:tcW w:w="1700" w:type="dxa"/>
          </w:tcPr>
          <w:p w14:paraId="0974B76C" w14:textId="77777777" w:rsidR="00C1021F" w:rsidRPr="009219FC" w:rsidRDefault="00C1021F" w:rsidP="009219FC">
            <w:pPr>
              <w:pStyle w:val="Tabletext"/>
              <w:keepNext/>
              <w:keepLines/>
              <w:jc w:val="center"/>
              <w:rPr>
                <w:rFonts w:asciiTheme="minorHAnsi" w:hAnsiTheme="minorHAnsi" w:cstheme="minorHAnsi"/>
                <w:sz w:val="24"/>
                <w:szCs w:val="24"/>
                <w:lang w:val="es-ES"/>
              </w:rPr>
            </w:pPr>
            <w:r w:rsidRPr="009219FC">
              <w:rPr>
                <w:rFonts w:asciiTheme="minorHAnsi" w:hAnsiTheme="minorHAnsi" w:cstheme="minorHAnsi"/>
                <w:sz w:val="24"/>
                <w:szCs w:val="24"/>
                <w:lang w:val="es-ES"/>
              </w:rPr>
              <w:t>10</w:t>
            </w:r>
          </w:p>
        </w:tc>
      </w:tr>
      <w:tr w:rsidR="00C1021F" w:rsidRPr="009219FC" w14:paraId="7B9FC105" w14:textId="77777777" w:rsidTr="00E54D4C">
        <w:tc>
          <w:tcPr>
            <w:tcW w:w="7650" w:type="dxa"/>
          </w:tcPr>
          <w:p w14:paraId="61A5A19F" w14:textId="4354DBE8" w:rsidR="00C1021F" w:rsidRPr="009219FC" w:rsidRDefault="00E54D4C" w:rsidP="009219F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4"/>
              </w:tabs>
              <w:ind w:left="452" w:hanging="425"/>
              <w:rPr>
                <w:rFonts w:asciiTheme="minorHAnsi" w:hAnsiTheme="minorHAnsi"/>
                <w:sz w:val="24"/>
                <w:szCs w:val="24"/>
                <w:lang w:val="es-ES_tradnl"/>
              </w:rPr>
            </w:pPr>
            <w:r w:rsidRPr="009219FC">
              <w:rPr>
                <w:rFonts w:asciiTheme="minorHAnsi" w:hAnsiTheme="minorHAnsi"/>
                <w:sz w:val="24"/>
                <w:szCs w:val="24"/>
                <w:lang w:val="es-ES_tradnl"/>
              </w:rPr>
              <w:t>4</w:t>
            </w:r>
            <w:r w:rsidRPr="009219FC">
              <w:rPr>
                <w:rFonts w:asciiTheme="minorHAnsi" w:hAnsiTheme="minorHAnsi"/>
                <w:sz w:val="24"/>
                <w:szCs w:val="24"/>
                <w:lang w:val="es-ES_tradnl"/>
              </w:rPr>
              <w:tab/>
            </w:r>
            <w:r w:rsidR="00C1021F" w:rsidRPr="009219FC">
              <w:rPr>
                <w:rFonts w:asciiTheme="minorHAnsi" w:hAnsiTheme="minorHAnsi"/>
                <w:sz w:val="24"/>
                <w:szCs w:val="24"/>
                <w:lang w:val="es-ES_tradnl"/>
              </w:rPr>
              <w:t>Ayuda para la creación de sistemas automatizados de gestión y control de las frecuencias</w:t>
            </w:r>
          </w:p>
        </w:tc>
        <w:tc>
          <w:tcPr>
            <w:tcW w:w="1700" w:type="dxa"/>
          </w:tcPr>
          <w:p w14:paraId="2A362E6C" w14:textId="77777777" w:rsidR="00C1021F" w:rsidRPr="009219FC" w:rsidRDefault="00C1021F" w:rsidP="009219FC">
            <w:pPr>
              <w:pStyle w:val="Tabletext"/>
              <w:keepNext/>
              <w:keepLines/>
              <w:jc w:val="center"/>
              <w:rPr>
                <w:rFonts w:asciiTheme="minorHAnsi" w:hAnsiTheme="minorHAnsi" w:cstheme="minorHAnsi"/>
                <w:sz w:val="24"/>
                <w:szCs w:val="24"/>
                <w:lang w:val="es-ES"/>
              </w:rPr>
            </w:pPr>
            <w:r w:rsidRPr="009219FC">
              <w:rPr>
                <w:rFonts w:asciiTheme="minorHAnsi" w:hAnsiTheme="minorHAnsi" w:cstheme="minorHAnsi"/>
                <w:sz w:val="24"/>
                <w:szCs w:val="24"/>
                <w:lang w:val="es-ES"/>
              </w:rPr>
              <w:t>8</w:t>
            </w:r>
          </w:p>
        </w:tc>
      </w:tr>
      <w:tr w:rsidR="00C1021F" w:rsidRPr="009219FC" w14:paraId="43FBF43E" w14:textId="77777777" w:rsidTr="00E54D4C">
        <w:tc>
          <w:tcPr>
            <w:tcW w:w="7650" w:type="dxa"/>
          </w:tcPr>
          <w:p w14:paraId="3ABCCA36" w14:textId="755A4D58" w:rsidR="00C1021F" w:rsidRPr="009219FC" w:rsidRDefault="00E54D4C" w:rsidP="009219F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4"/>
              </w:tabs>
              <w:ind w:left="452" w:hanging="425"/>
              <w:rPr>
                <w:rFonts w:asciiTheme="minorHAnsi" w:hAnsiTheme="minorHAnsi"/>
                <w:sz w:val="24"/>
                <w:szCs w:val="24"/>
                <w:lang w:val="es-ES_tradnl"/>
              </w:rPr>
            </w:pPr>
            <w:r w:rsidRPr="009219FC">
              <w:rPr>
                <w:rFonts w:asciiTheme="minorHAnsi" w:hAnsiTheme="minorHAnsi"/>
                <w:sz w:val="24"/>
                <w:szCs w:val="24"/>
                <w:lang w:val="es-ES_tradnl"/>
              </w:rPr>
              <w:t>5</w:t>
            </w:r>
            <w:r w:rsidRPr="009219FC">
              <w:rPr>
                <w:rFonts w:asciiTheme="minorHAnsi" w:hAnsiTheme="minorHAnsi"/>
                <w:sz w:val="24"/>
                <w:szCs w:val="24"/>
                <w:lang w:val="es-ES_tradnl"/>
              </w:rPr>
              <w:tab/>
            </w:r>
            <w:r w:rsidR="00C1021F" w:rsidRPr="009219FC">
              <w:rPr>
                <w:rFonts w:asciiTheme="minorHAnsi" w:hAnsiTheme="minorHAnsi"/>
                <w:sz w:val="24"/>
                <w:szCs w:val="24"/>
                <w:lang w:val="es-ES_tradnl"/>
              </w:rPr>
              <w:t>Aspectos económicos y financieros de la gestión del espectro de frecuencias</w:t>
            </w:r>
          </w:p>
        </w:tc>
        <w:tc>
          <w:tcPr>
            <w:tcW w:w="1700" w:type="dxa"/>
          </w:tcPr>
          <w:p w14:paraId="77A65AF2" w14:textId="77777777" w:rsidR="00C1021F" w:rsidRPr="009219FC" w:rsidRDefault="00C1021F" w:rsidP="009219FC">
            <w:pPr>
              <w:pStyle w:val="Tabletext"/>
              <w:keepNext/>
              <w:keepLines/>
              <w:jc w:val="center"/>
              <w:rPr>
                <w:rFonts w:asciiTheme="minorHAnsi" w:hAnsiTheme="minorHAnsi" w:cstheme="minorHAnsi"/>
                <w:sz w:val="24"/>
                <w:szCs w:val="24"/>
                <w:lang w:val="es-ES"/>
              </w:rPr>
            </w:pPr>
            <w:r w:rsidRPr="009219FC">
              <w:rPr>
                <w:rFonts w:asciiTheme="minorHAnsi" w:hAnsiTheme="minorHAnsi" w:cstheme="minorHAnsi"/>
                <w:sz w:val="24"/>
                <w:szCs w:val="24"/>
                <w:lang w:val="es-ES"/>
              </w:rPr>
              <w:t>12</w:t>
            </w:r>
          </w:p>
        </w:tc>
      </w:tr>
      <w:tr w:rsidR="00C1021F" w:rsidRPr="009219FC" w14:paraId="4F3378E6" w14:textId="77777777" w:rsidTr="00E54D4C">
        <w:tc>
          <w:tcPr>
            <w:tcW w:w="7650" w:type="dxa"/>
          </w:tcPr>
          <w:p w14:paraId="33D5D1F4" w14:textId="178A9957" w:rsidR="00C1021F" w:rsidRPr="009219FC" w:rsidRDefault="00E54D4C" w:rsidP="009219F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4"/>
              </w:tabs>
              <w:ind w:left="452" w:hanging="425"/>
              <w:rPr>
                <w:rFonts w:asciiTheme="minorHAnsi" w:hAnsiTheme="minorHAnsi"/>
                <w:sz w:val="24"/>
                <w:szCs w:val="24"/>
                <w:lang w:val="es-ES_tradnl"/>
              </w:rPr>
            </w:pPr>
            <w:r w:rsidRPr="009219FC">
              <w:rPr>
                <w:rFonts w:asciiTheme="minorHAnsi" w:hAnsiTheme="minorHAnsi"/>
                <w:sz w:val="24"/>
                <w:szCs w:val="24"/>
                <w:lang w:val="es-ES_tradnl"/>
              </w:rPr>
              <w:t>6</w:t>
            </w:r>
            <w:r w:rsidRPr="009219FC">
              <w:rPr>
                <w:rFonts w:asciiTheme="minorHAnsi" w:hAnsiTheme="minorHAnsi"/>
                <w:sz w:val="24"/>
                <w:szCs w:val="24"/>
                <w:lang w:val="es-ES_tradnl"/>
              </w:rPr>
              <w:tab/>
            </w:r>
            <w:r w:rsidR="00C1021F" w:rsidRPr="009219FC">
              <w:rPr>
                <w:rFonts w:asciiTheme="minorHAnsi" w:hAnsiTheme="minorHAnsi"/>
                <w:sz w:val="24"/>
                <w:szCs w:val="24"/>
                <w:lang w:val="es-ES_tradnl"/>
              </w:rPr>
              <w:t>Ayuda para la preparación de las Conferencias Mundiales de Radiocomunicaciones (CMR) y el seguimiento y aplicación de sus decisiones</w:t>
            </w:r>
          </w:p>
        </w:tc>
        <w:tc>
          <w:tcPr>
            <w:tcW w:w="1700" w:type="dxa"/>
          </w:tcPr>
          <w:p w14:paraId="2CE458E8" w14:textId="77777777" w:rsidR="00C1021F" w:rsidRPr="009219FC" w:rsidRDefault="00C1021F" w:rsidP="009219FC">
            <w:pPr>
              <w:pStyle w:val="Tabletext"/>
              <w:keepNext/>
              <w:keepLines/>
              <w:jc w:val="center"/>
              <w:rPr>
                <w:rFonts w:asciiTheme="minorHAnsi" w:hAnsiTheme="minorHAnsi" w:cstheme="minorHAnsi"/>
                <w:sz w:val="24"/>
                <w:szCs w:val="24"/>
                <w:lang w:val="es-ES"/>
              </w:rPr>
            </w:pPr>
            <w:r w:rsidRPr="009219FC">
              <w:rPr>
                <w:rFonts w:asciiTheme="minorHAnsi" w:hAnsiTheme="minorHAnsi" w:cstheme="minorHAnsi"/>
                <w:sz w:val="24"/>
                <w:szCs w:val="24"/>
                <w:lang w:val="es-ES"/>
              </w:rPr>
              <w:t>18</w:t>
            </w:r>
          </w:p>
        </w:tc>
      </w:tr>
      <w:tr w:rsidR="00C1021F" w:rsidRPr="009219FC" w14:paraId="58C23320" w14:textId="77777777" w:rsidTr="00E54D4C">
        <w:tc>
          <w:tcPr>
            <w:tcW w:w="7650" w:type="dxa"/>
          </w:tcPr>
          <w:p w14:paraId="04B1E760" w14:textId="3B1F22B9" w:rsidR="00C1021F" w:rsidRPr="009219FC" w:rsidRDefault="00E54D4C" w:rsidP="009219F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4"/>
              </w:tabs>
              <w:ind w:left="452" w:hanging="425"/>
              <w:rPr>
                <w:rFonts w:asciiTheme="minorHAnsi" w:hAnsiTheme="minorHAnsi"/>
                <w:sz w:val="24"/>
                <w:szCs w:val="24"/>
                <w:lang w:val="es-ES_tradnl"/>
              </w:rPr>
            </w:pPr>
            <w:r w:rsidRPr="009219FC">
              <w:rPr>
                <w:rFonts w:asciiTheme="minorHAnsi" w:hAnsiTheme="minorHAnsi"/>
                <w:sz w:val="24"/>
                <w:szCs w:val="24"/>
                <w:lang w:val="es-ES_tradnl"/>
              </w:rPr>
              <w:t>7</w:t>
            </w:r>
            <w:r w:rsidRPr="009219FC">
              <w:rPr>
                <w:rFonts w:asciiTheme="minorHAnsi" w:hAnsiTheme="minorHAnsi"/>
                <w:sz w:val="24"/>
                <w:szCs w:val="24"/>
                <w:lang w:val="es-ES_tradnl"/>
              </w:rPr>
              <w:tab/>
            </w:r>
            <w:r w:rsidR="00C1021F" w:rsidRPr="009219FC">
              <w:rPr>
                <w:rFonts w:asciiTheme="minorHAnsi" w:hAnsiTheme="minorHAnsi"/>
                <w:sz w:val="24"/>
                <w:szCs w:val="24"/>
                <w:lang w:val="es-ES_tradnl"/>
              </w:rPr>
              <w:t>Ayuda a la participación en los trabajos de las Comisiones de Estudio pertinentes del UIT-R y de sus Grupos de Trabajo</w:t>
            </w:r>
          </w:p>
        </w:tc>
        <w:tc>
          <w:tcPr>
            <w:tcW w:w="1700" w:type="dxa"/>
          </w:tcPr>
          <w:p w14:paraId="3805FCDB" w14:textId="77777777" w:rsidR="00C1021F" w:rsidRPr="009219FC" w:rsidRDefault="00C1021F" w:rsidP="009219FC">
            <w:pPr>
              <w:pStyle w:val="Tabletext"/>
              <w:keepNext/>
              <w:keepLines/>
              <w:jc w:val="center"/>
              <w:rPr>
                <w:rFonts w:asciiTheme="minorHAnsi" w:hAnsiTheme="minorHAnsi" w:cstheme="minorHAnsi"/>
                <w:sz w:val="24"/>
                <w:szCs w:val="24"/>
                <w:lang w:val="es-ES"/>
              </w:rPr>
            </w:pPr>
            <w:r w:rsidRPr="009219FC">
              <w:rPr>
                <w:rFonts w:asciiTheme="minorHAnsi" w:hAnsiTheme="minorHAnsi" w:cstheme="minorHAnsi"/>
                <w:sz w:val="24"/>
                <w:szCs w:val="24"/>
                <w:lang w:val="es-ES"/>
              </w:rPr>
              <w:t>5</w:t>
            </w:r>
          </w:p>
        </w:tc>
      </w:tr>
      <w:tr w:rsidR="00C1021F" w:rsidRPr="009219FC" w14:paraId="0254250A" w14:textId="77777777" w:rsidTr="00E54D4C">
        <w:tc>
          <w:tcPr>
            <w:tcW w:w="7650" w:type="dxa"/>
          </w:tcPr>
          <w:p w14:paraId="2D303D19" w14:textId="4523CBC8" w:rsidR="00C1021F" w:rsidRPr="009219FC" w:rsidRDefault="00E54D4C" w:rsidP="009219F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4"/>
              </w:tabs>
              <w:ind w:left="452" w:hanging="425"/>
              <w:rPr>
                <w:rFonts w:asciiTheme="minorHAnsi" w:hAnsiTheme="minorHAnsi"/>
                <w:sz w:val="24"/>
                <w:szCs w:val="24"/>
                <w:lang w:val="es-ES_tradnl"/>
              </w:rPr>
            </w:pPr>
            <w:r w:rsidRPr="009219FC">
              <w:rPr>
                <w:rFonts w:asciiTheme="minorHAnsi" w:hAnsiTheme="minorHAnsi"/>
                <w:sz w:val="24"/>
                <w:szCs w:val="24"/>
                <w:lang w:val="es-ES_tradnl"/>
              </w:rPr>
              <w:t>8</w:t>
            </w:r>
            <w:r w:rsidRPr="009219FC">
              <w:rPr>
                <w:rFonts w:asciiTheme="minorHAnsi" w:hAnsiTheme="minorHAnsi"/>
                <w:sz w:val="24"/>
                <w:szCs w:val="24"/>
                <w:lang w:val="es-ES_tradnl"/>
              </w:rPr>
              <w:tab/>
            </w:r>
            <w:r w:rsidR="00C1021F" w:rsidRPr="009219FC">
              <w:rPr>
                <w:rFonts w:asciiTheme="minorHAnsi" w:hAnsiTheme="minorHAnsi"/>
                <w:sz w:val="24"/>
                <w:szCs w:val="24"/>
                <w:lang w:val="es-ES_tradnl"/>
              </w:rPr>
              <w:t>Transición a la radiodifusión digital terrenal de televisión</w:t>
            </w:r>
          </w:p>
        </w:tc>
        <w:tc>
          <w:tcPr>
            <w:tcW w:w="1700" w:type="dxa"/>
          </w:tcPr>
          <w:p w14:paraId="2EA4C631" w14:textId="77777777" w:rsidR="00C1021F" w:rsidRPr="009219FC" w:rsidRDefault="00C1021F" w:rsidP="009219FC">
            <w:pPr>
              <w:pStyle w:val="Tabletext"/>
              <w:keepNext/>
              <w:keepLines/>
              <w:jc w:val="center"/>
              <w:rPr>
                <w:rFonts w:asciiTheme="minorHAnsi" w:hAnsiTheme="minorHAnsi" w:cstheme="minorHAnsi"/>
                <w:sz w:val="24"/>
                <w:szCs w:val="24"/>
                <w:lang w:val="es-ES"/>
              </w:rPr>
            </w:pPr>
            <w:r w:rsidRPr="009219FC">
              <w:rPr>
                <w:rFonts w:asciiTheme="minorHAnsi" w:hAnsiTheme="minorHAnsi" w:cstheme="minorHAnsi"/>
                <w:sz w:val="24"/>
                <w:szCs w:val="24"/>
                <w:lang w:val="es-ES"/>
              </w:rPr>
              <w:t>12</w:t>
            </w:r>
          </w:p>
        </w:tc>
      </w:tr>
      <w:tr w:rsidR="00C1021F" w:rsidRPr="009219FC" w14:paraId="4C2C9F68" w14:textId="77777777" w:rsidTr="00E54D4C">
        <w:tc>
          <w:tcPr>
            <w:tcW w:w="7650" w:type="dxa"/>
          </w:tcPr>
          <w:p w14:paraId="711D9EF0" w14:textId="7DC57E79" w:rsidR="00C1021F" w:rsidRPr="009219FC" w:rsidRDefault="00E54D4C" w:rsidP="009219F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4"/>
              </w:tabs>
              <w:ind w:left="452" w:hanging="425"/>
              <w:rPr>
                <w:rFonts w:asciiTheme="minorHAnsi" w:hAnsiTheme="minorHAnsi"/>
                <w:sz w:val="24"/>
                <w:szCs w:val="24"/>
                <w:lang w:val="es-ES_tradnl"/>
              </w:rPr>
            </w:pPr>
            <w:r w:rsidRPr="009219FC">
              <w:rPr>
                <w:rFonts w:asciiTheme="minorHAnsi" w:hAnsiTheme="minorHAnsi"/>
                <w:sz w:val="24"/>
                <w:szCs w:val="24"/>
                <w:lang w:val="es-ES_tradnl"/>
              </w:rPr>
              <w:t>9</w:t>
            </w:r>
            <w:r w:rsidRPr="009219FC">
              <w:rPr>
                <w:rFonts w:asciiTheme="minorHAnsi" w:hAnsiTheme="minorHAnsi"/>
                <w:sz w:val="24"/>
                <w:szCs w:val="24"/>
                <w:lang w:val="es-ES_tradnl"/>
              </w:rPr>
              <w:tab/>
            </w:r>
            <w:r w:rsidR="00C1021F" w:rsidRPr="009219FC">
              <w:rPr>
                <w:rFonts w:asciiTheme="minorHAnsi" w:hAnsiTheme="minorHAnsi"/>
                <w:sz w:val="24"/>
                <w:szCs w:val="24"/>
                <w:lang w:val="es-ES_tradnl"/>
              </w:rPr>
              <w:t>Asistencia en la determinación de las formas más eficaces de utilizar el dividendo digital</w:t>
            </w:r>
          </w:p>
        </w:tc>
        <w:tc>
          <w:tcPr>
            <w:tcW w:w="1700" w:type="dxa"/>
          </w:tcPr>
          <w:p w14:paraId="186740C6" w14:textId="77777777" w:rsidR="00C1021F" w:rsidRPr="009219FC" w:rsidRDefault="00C1021F" w:rsidP="009219FC">
            <w:pPr>
              <w:pStyle w:val="Tabletext"/>
              <w:keepNext/>
              <w:keepLines/>
              <w:jc w:val="center"/>
              <w:rPr>
                <w:rFonts w:asciiTheme="minorHAnsi" w:hAnsiTheme="minorHAnsi" w:cstheme="minorHAnsi"/>
                <w:sz w:val="24"/>
                <w:szCs w:val="24"/>
                <w:lang w:val="es-ES"/>
              </w:rPr>
            </w:pPr>
            <w:r w:rsidRPr="009219FC">
              <w:rPr>
                <w:rFonts w:asciiTheme="minorHAnsi" w:hAnsiTheme="minorHAnsi" w:cstheme="minorHAnsi"/>
                <w:sz w:val="24"/>
                <w:szCs w:val="24"/>
                <w:lang w:val="es-ES"/>
              </w:rPr>
              <w:t>8</w:t>
            </w:r>
          </w:p>
        </w:tc>
      </w:tr>
      <w:tr w:rsidR="00C1021F" w:rsidRPr="009219FC" w14:paraId="724D98A1" w14:textId="77777777" w:rsidTr="00E54D4C">
        <w:tc>
          <w:tcPr>
            <w:tcW w:w="7650" w:type="dxa"/>
          </w:tcPr>
          <w:p w14:paraId="66EC2A73" w14:textId="089DFB9A" w:rsidR="00C1021F" w:rsidRPr="009219FC" w:rsidRDefault="00E54D4C" w:rsidP="009219F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4"/>
              </w:tabs>
              <w:ind w:left="452" w:hanging="425"/>
              <w:rPr>
                <w:rFonts w:asciiTheme="minorHAnsi" w:hAnsiTheme="minorHAnsi"/>
                <w:sz w:val="24"/>
                <w:szCs w:val="24"/>
                <w:lang w:val="es-ES_tradnl"/>
              </w:rPr>
            </w:pPr>
            <w:r w:rsidRPr="009219FC">
              <w:rPr>
                <w:rFonts w:asciiTheme="minorHAnsi" w:hAnsiTheme="minorHAnsi"/>
                <w:sz w:val="24"/>
                <w:szCs w:val="24"/>
                <w:lang w:val="es-ES_tradnl"/>
              </w:rPr>
              <w:t>10</w:t>
            </w:r>
            <w:r w:rsidRPr="009219FC">
              <w:rPr>
                <w:rFonts w:asciiTheme="minorHAnsi" w:hAnsiTheme="minorHAnsi"/>
                <w:sz w:val="24"/>
                <w:szCs w:val="24"/>
                <w:lang w:val="es-ES_tradnl"/>
              </w:rPr>
              <w:tab/>
            </w:r>
            <w:r w:rsidR="00C1021F" w:rsidRPr="009219FC">
              <w:rPr>
                <w:rFonts w:asciiTheme="minorHAnsi" w:hAnsiTheme="minorHAnsi"/>
                <w:sz w:val="24"/>
                <w:szCs w:val="24"/>
                <w:lang w:val="es-ES_tradnl"/>
              </w:rPr>
              <w:t>Nuevas tecnologías y modalidades de utilización del espectro</w:t>
            </w:r>
          </w:p>
        </w:tc>
        <w:tc>
          <w:tcPr>
            <w:tcW w:w="1700" w:type="dxa"/>
          </w:tcPr>
          <w:p w14:paraId="0D257D89" w14:textId="77777777" w:rsidR="00C1021F" w:rsidRPr="009219FC" w:rsidRDefault="00C1021F" w:rsidP="009219FC">
            <w:pPr>
              <w:pStyle w:val="Tabletext"/>
              <w:keepNext/>
              <w:keepLines/>
              <w:jc w:val="center"/>
              <w:rPr>
                <w:rFonts w:asciiTheme="minorHAnsi" w:hAnsiTheme="minorHAnsi" w:cstheme="minorHAnsi"/>
                <w:sz w:val="24"/>
                <w:szCs w:val="24"/>
                <w:lang w:val="es-ES"/>
              </w:rPr>
            </w:pPr>
            <w:r w:rsidRPr="009219FC">
              <w:rPr>
                <w:rFonts w:asciiTheme="minorHAnsi" w:hAnsiTheme="minorHAnsi" w:cstheme="minorHAnsi"/>
                <w:sz w:val="24"/>
                <w:szCs w:val="24"/>
                <w:lang w:val="es-ES"/>
              </w:rPr>
              <w:t>17</w:t>
            </w:r>
          </w:p>
        </w:tc>
      </w:tr>
      <w:tr w:rsidR="00C1021F" w:rsidRPr="009219FC" w14:paraId="0EBDF947" w14:textId="77777777" w:rsidTr="00E54D4C">
        <w:tc>
          <w:tcPr>
            <w:tcW w:w="7650" w:type="dxa"/>
          </w:tcPr>
          <w:p w14:paraId="25E54A9B" w14:textId="08C05FA3" w:rsidR="00C1021F" w:rsidRPr="009219FC" w:rsidRDefault="00E54D4C" w:rsidP="009219F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4"/>
              </w:tabs>
              <w:ind w:left="452" w:hanging="425"/>
              <w:rPr>
                <w:rFonts w:asciiTheme="minorHAnsi" w:hAnsiTheme="minorHAnsi"/>
                <w:sz w:val="24"/>
                <w:szCs w:val="24"/>
                <w:lang w:val="es-ES_tradnl"/>
              </w:rPr>
            </w:pPr>
            <w:r w:rsidRPr="009219FC">
              <w:rPr>
                <w:rFonts w:asciiTheme="minorHAnsi" w:hAnsiTheme="minorHAnsi"/>
                <w:sz w:val="24"/>
                <w:szCs w:val="24"/>
                <w:lang w:val="es-ES_tradnl"/>
              </w:rPr>
              <w:t>11</w:t>
            </w:r>
            <w:r w:rsidRPr="009219FC">
              <w:rPr>
                <w:rFonts w:asciiTheme="minorHAnsi" w:hAnsiTheme="minorHAnsi"/>
                <w:sz w:val="24"/>
                <w:szCs w:val="24"/>
                <w:lang w:val="es-ES_tradnl"/>
              </w:rPr>
              <w:tab/>
            </w:r>
            <w:r w:rsidR="00C1021F" w:rsidRPr="009219FC">
              <w:rPr>
                <w:rFonts w:asciiTheme="minorHAnsi" w:hAnsiTheme="minorHAnsi"/>
                <w:sz w:val="24"/>
                <w:szCs w:val="24"/>
                <w:lang w:val="es-ES_tradnl"/>
              </w:rPr>
              <w:t>Métodos innovadores de concesión de licencias del espectro</w:t>
            </w:r>
          </w:p>
        </w:tc>
        <w:tc>
          <w:tcPr>
            <w:tcW w:w="1700" w:type="dxa"/>
          </w:tcPr>
          <w:p w14:paraId="686BE85C" w14:textId="77777777" w:rsidR="00C1021F" w:rsidRPr="009219FC" w:rsidRDefault="00C1021F" w:rsidP="009219FC">
            <w:pPr>
              <w:pStyle w:val="Tabletext"/>
              <w:keepNext/>
              <w:keepLines/>
              <w:jc w:val="center"/>
              <w:rPr>
                <w:rFonts w:asciiTheme="minorHAnsi" w:hAnsiTheme="minorHAnsi" w:cstheme="minorHAnsi"/>
                <w:sz w:val="24"/>
                <w:szCs w:val="24"/>
                <w:lang w:val="es-ES"/>
              </w:rPr>
            </w:pPr>
            <w:r w:rsidRPr="009219FC">
              <w:rPr>
                <w:rFonts w:asciiTheme="minorHAnsi" w:hAnsiTheme="minorHAnsi" w:cstheme="minorHAnsi"/>
                <w:sz w:val="24"/>
                <w:szCs w:val="24"/>
                <w:lang w:val="es-ES"/>
              </w:rPr>
              <w:t>7</w:t>
            </w:r>
          </w:p>
        </w:tc>
      </w:tr>
      <w:tr w:rsidR="00C1021F" w:rsidRPr="009219FC" w14:paraId="74A6C1D3" w14:textId="77777777" w:rsidTr="00E54D4C">
        <w:tc>
          <w:tcPr>
            <w:tcW w:w="7650" w:type="dxa"/>
          </w:tcPr>
          <w:p w14:paraId="2910C2D4" w14:textId="79A8A889" w:rsidR="00C1021F" w:rsidRPr="009219FC" w:rsidRDefault="00E54D4C" w:rsidP="009219F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4"/>
              </w:tabs>
              <w:ind w:left="452" w:hanging="425"/>
              <w:rPr>
                <w:rFonts w:asciiTheme="minorHAnsi" w:hAnsiTheme="minorHAnsi"/>
                <w:sz w:val="24"/>
                <w:szCs w:val="24"/>
                <w:lang w:val="es-ES_tradnl"/>
              </w:rPr>
            </w:pPr>
            <w:r w:rsidRPr="009219FC">
              <w:rPr>
                <w:rFonts w:asciiTheme="minorHAnsi" w:hAnsiTheme="minorHAnsi"/>
                <w:sz w:val="24"/>
                <w:szCs w:val="24"/>
                <w:lang w:val="es-ES_tradnl"/>
              </w:rPr>
              <w:t>12</w:t>
            </w:r>
            <w:r w:rsidRPr="009219FC">
              <w:rPr>
                <w:rFonts w:asciiTheme="minorHAnsi" w:hAnsiTheme="minorHAnsi"/>
                <w:sz w:val="24"/>
                <w:szCs w:val="24"/>
                <w:lang w:val="es-ES_tradnl"/>
              </w:rPr>
              <w:tab/>
            </w:r>
            <w:r w:rsidR="00C1021F" w:rsidRPr="009219FC">
              <w:rPr>
                <w:rFonts w:asciiTheme="minorHAnsi" w:hAnsiTheme="minorHAnsi"/>
                <w:sz w:val="24"/>
                <w:szCs w:val="24"/>
                <w:lang w:val="es-ES_tradnl"/>
              </w:rPr>
              <w:t>Prestación de asistencia en caso de interferencia causada por dispositivos que no funcionan con arreglo a las atribuciones nacionales de espectro</w:t>
            </w:r>
          </w:p>
        </w:tc>
        <w:tc>
          <w:tcPr>
            <w:tcW w:w="1700" w:type="dxa"/>
          </w:tcPr>
          <w:p w14:paraId="030F150A" w14:textId="77777777" w:rsidR="00C1021F" w:rsidRPr="009219FC" w:rsidRDefault="00C1021F" w:rsidP="009219FC">
            <w:pPr>
              <w:pStyle w:val="Tabletext"/>
              <w:keepNext/>
              <w:keepLines/>
              <w:jc w:val="center"/>
              <w:rPr>
                <w:rFonts w:asciiTheme="minorHAnsi" w:hAnsiTheme="minorHAnsi" w:cstheme="minorHAnsi"/>
                <w:sz w:val="24"/>
                <w:szCs w:val="24"/>
                <w:lang w:val="es-ES"/>
              </w:rPr>
            </w:pPr>
            <w:r w:rsidRPr="009219FC">
              <w:rPr>
                <w:rFonts w:asciiTheme="minorHAnsi" w:hAnsiTheme="minorHAnsi" w:cstheme="minorHAnsi"/>
                <w:sz w:val="24"/>
                <w:szCs w:val="24"/>
                <w:lang w:val="es-ES"/>
              </w:rPr>
              <w:t>2</w:t>
            </w:r>
          </w:p>
        </w:tc>
      </w:tr>
      <w:tr w:rsidR="00C1021F" w:rsidRPr="009219FC" w14:paraId="74F226D6" w14:textId="77777777" w:rsidTr="00E54D4C">
        <w:tc>
          <w:tcPr>
            <w:tcW w:w="7650" w:type="dxa"/>
          </w:tcPr>
          <w:p w14:paraId="3C66A767" w14:textId="06F112C6" w:rsidR="00C1021F" w:rsidRPr="009219FC" w:rsidRDefault="00E54D4C" w:rsidP="009219F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4"/>
              </w:tabs>
              <w:ind w:left="452" w:hanging="425"/>
              <w:rPr>
                <w:rFonts w:asciiTheme="minorHAnsi" w:hAnsiTheme="minorHAnsi"/>
                <w:sz w:val="24"/>
                <w:szCs w:val="24"/>
                <w:lang w:val="es-ES_tradnl"/>
              </w:rPr>
            </w:pPr>
            <w:r w:rsidRPr="009219FC">
              <w:rPr>
                <w:rFonts w:asciiTheme="minorHAnsi" w:hAnsiTheme="minorHAnsi"/>
                <w:sz w:val="24"/>
                <w:szCs w:val="24"/>
                <w:lang w:val="es-ES_tradnl"/>
              </w:rPr>
              <w:t>13</w:t>
            </w:r>
            <w:r w:rsidRPr="009219FC">
              <w:rPr>
                <w:rFonts w:asciiTheme="minorHAnsi" w:hAnsiTheme="minorHAnsi"/>
                <w:sz w:val="24"/>
                <w:szCs w:val="24"/>
                <w:lang w:val="es-ES_tradnl"/>
              </w:rPr>
              <w:tab/>
            </w:r>
            <w:r w:rsidR="00C1021F" w:rsidRPr="009219FC">
              <w:rPr>
                <w:rFonts w:asciiTheme="minorHAnsi" w:hAnsiTheme="minorHAnsi"/>
                <w:sz w:val="24"/>
                <w:szCs w:val="24"/>
                <w:lang w:val="es-ES_tradnl"/>
              </w:rPr>
              <w:t>Prestación de asistencia para resolver la interferencia causada por la propagación anómala de las ondas radioeléctricas</w:t>
            </w:r>
          </w:p>
        </w:tc>
        <w:tc>
          <w:tcPr>
            <w:tcW w:w="1700" w:type="dxa"/>
          </w:tcPr>
          <w:p w14:paraId="4930EC9D" w14:textId="77777777" w:rsidR="00C1021F" w:rsidRPr="009219FC" w:rsidRDefault="00C1021F" w:rsidP="009219FC">
            <w:pPr>
              <w:pStyle w:val="Tabletext"/>
              <w:keepNext/>
              <w:keepLines/>
              <w:jc w:val="center"/>
              <w:rPr>
                <w:rFonts w:asciiTheme="minorHAnsi" w:hAnsiTheme="minorHAnsi" w:cstheme="minorHAnsi"/>
                <w:sz w:val="24"/>
                <w:szCs w:val="24"/>
                <w:lang w:val="es-ES"/>
              </w:rPr>
            </w:pPr>
            <w:r w:rsidRPr="009219FC">
              <w:rPr>
                <w:rFonts w:asciiTheme="minorHAnsi" w:hAnsiTheme="minorHAnsi" w:cstheme="minorHAnsi"/>
                <w:sz w:val="24"/>
                <w:szCs w:val="24"/>
                <w:lang w:val="es-ES"/>
              </w:rPr>
              <w:t>0</w:t>
            </w:r>
          </w:p>
        </w:tc>
      </w:tr>
      <w:tr w:rsidR="00C1021F" w:rsidRPr="009219FC" w14:paraId="48BF56D0" w14:textId="77777777" w:rsidTr="00E54D4C">
        <w:tc>
          <w:tcPr>
            <w:tcW w:w="7650" w:type="dxa"/>
          </w:tcPr>
          <w:p w14:paraId="08C8DDDA" w14:textId="46A6BA70" w:rsidR="00C1021F" w:rsidRPr="009219FC" w:rsidRDefault="00E54D4C" w:rsidP="009219F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24"/>
              </w:tabs>
              <w:ind w:left="452" w:hanging="425"/>
              <w:rPr>
                <w:rFonts w:asciiTheme="minorHAnsi" w:hAnsiTheme="minorHAnsi"/>
                <w:sz w:val="24"/>
                <w:szCs w:val="24"/>
                <w:lang w:val="es-ES_tradnl"/>
              </w:rPr>
            </w:pPr>
            <w:r w:rsidRPr="009219FC">
              <w:rPr>
                <w:rFonts w:asciiTheme="minorHAnsi" w:hAnsiTheme="minorHAnsi"/>
                <w:sz w:val="24"/>
                <w:szCs w:val="24"/>
                <w:lang w:val="es-ES_tradnl"/>
              </w:rPr>
              <w:t>14</w:t>
            </w:r>
            <w:r w:rsidRPr="009219FC">
              <w:rPr>
                <w:rFonts w:asciiTheme="minorHAnsi" w:hAnsiTheme="minorHAnsi"/>
                <w:sz w:val="24"/>
                <w:szCs w:val="24"/>
                <w:lang w:val="es-ES_tradnl"/>
              </w:rPr>
              <w:tab/>
            </w:r>
            <w:r w:rsidR="00C1021F" w:rsidRPr="009219FC">
              <w:rPr>
                <w:rFonts w:asciiTheme="minorHAnsi" w:hAnsiTheme="minorHAnsi"/>
                <w:sz w:val="24"/>
                <w:szCs w:val="24"/>
                <w:lang w:val="es-ES_tradnl"/>
              </w:rPr>
              <w:t>Desarrollo del SMS4DC y formación al respecto.</w:t>
            </w:r>
          </w:p>
        </w:tc>
        <w:tc>
          <w:tcPr>
            <w:tcW w:w="1700" w:type="dxa"/>
          </w:tcPr>
          <w:p w14:paraId="1CF39C49" w14:textId="77777777" w:rsidR="00C1021F" w:rsidRPr="009219FC" w:rsidRDefault="00C1021F" w:rsidP="009219FC">
            <w:pPr>
              <w:pStyle w:val="Tabletext"/>
              <w:keepNext/>
              <w:keepLines/>
              <w:jc w:val="center"/>
              <w:rPr>
                <w:rFonts w:asciiTheme="minorHAnsi" w:hAnsiTheme="minorHAnsi" w:cstheme="minorHAnsi"/>
                <w:sz w:val="24"/>
                <w:szCs w:val="24"/>
                <w:lang w:val="es-ES"/>
              </w:rPr>
            </w:pPr>
            <w:r w:rsidRPr="009219FC">
              <w:rPr>
                <w:rFonts w:asciiTheme="minorHAnsi" w:hAnsiTheme="minorHAnsi" w:cstheme="minorHAnsi"/>
                <w:sz w:val="24"/>
                <w:szCs w:val="24"/>
                <w:lang w:val="es-ES"/>
              </w:rPr>
              <w:t>7</w:t>
            </w:r>
          </w:p>
        </w:tc>
      </w:tr>
      <w:tr w:rsidR="00C1021F" w:rsidRPr="009219FC" w14:paraId="47B68608" w14:textId="77777777" w:rsidTr="00E54D4C">
        <w:tc>
          <w:tcPr>
            <w:tcW w:w="7650" w:type="dxa"/>
          </w:tcPr>
          <w:p w14:paraId="6F724F8A" w14:textId="77777777" w:rsidR="00C1021F" w:rsidRPr="009219FC" w:rsidRDefault="00C1021F" w:rsidP="009219FC">
            <w:pPr>
              <w:pStyle w:val="Tabletext"/>
              <w:keepNext/>
              <w:keepLines/>
              <w:tabs>
                <w:tab w:val="clear" w:pos="284"/>
                <w:tab w:val="left" w:pos="452"/>
              </w:tabs>
              <w:rPr>
                <w:rFonts w:asciiTheme="minorHAnsi" w:hAnsiTheme="minorHAnsi" w:cstheme="minorHAnsi"/>
                <w:sz w:val="24"/>
                <w:szCs w:val="24"/>
                <w:lang w:val="es-ES"/>
              </w:rPr>
            </w:pPr>
            <w:r w:rsidRPr="009219FC">
              <w:rPr>
                <w:rFonts w:asciiTheme="minorHAnsi" w:hAnsiTheme="minorHAnsi" w:cstheme="minorHAnsi"/>
                <w:sz w:val="24"/>
                <w:szCs w:val="24"/>
                <w:lang w:val="es-ES"/>
              </w:rPr>
              <w:tab/>
              <w:t>Total</w:t>
            </w:r>
          </w:p>
        </w:tc>
        <w:tc>
          <w:tcPr>
            <w:tcW w:w="1700" w:type="dxa"/>
          </w:tcPr>
          <w:p w14:paraId="0F624324" w14:textId="77777777" w:rsidR="00C1021F" w:rsidRPr="009219FC" w:rsidRDefault="00C1021F" w:rsidP="009219FC">
            <w:pPr>
              <w:pStyle w:val="Tabletext"/>
              <w:keepNext/>
              <w:keepLines/>
              <w:jc w:val="center"/>
              <w:rPr>
                <w:rFonts w:asciiTheme="minorHAnsi" w:hAnsiTheme="minorHAnsi" w:cstheme="minorHAnsi"/>
                <w:sz w:val="24"/>
                <w:szCs w:val="24"/>
                <w:lang w:val="es-ES"/>
              </w:rPr>
            </w:pPr>
            <w:r w:rsidRPr="009219FC">
              <w:rPr>
                <w:rFonts w:asciiTheme="minorHAnsi" w:hAnsiTheme="minorHAnsi" w:cstheme="minorHAnsi"/>
                <w:sz w:val="24"/>
                <w:szCs w:val="24"/>
                <w:lang w:val="es-ES"/>
              </w:rPr>
              <w:t>147</w:t>
            </w:r>
          </w:p>
        </w:tc>
      </w:tr>
    </w:tbl>
    <w:p w14:paraId="4040C576" w14:textId="3AC5D3C8" w:rsidR="00C1021F" w:rsidRPr="004C2190" w:rsidRDefault="00C1021F" w:rsidP="00200B71">
      <w:pPr>
        <w:pStyle w:val="Heading2"/>
      </w:pPr>
      <w:r w:rsidRPr="004C2190">
        <w:t>8.10</w:t>
      </w:r>
      <w:r w:rsidRPr="004C2190">
        <w:tab/>
        <w:t>Redes inalámbricas de banda ancha</w:t>
      </w:r>
    </w:p>
    <w:p w14:paraId="0FE41091" w14:textId="77777777" w:rsidR="00C1021F" w:rsidRPr="001D431E" w:rsidRDefault="00C1021F" w:rsidP="00C1021F">
      <w:pPr>
        <w:rPr>
          <w:rFonts w:eastAsia="Calibri" w:cstheme="minorHAnsi"/>
          <w:lang w:val="es-ES"/>
        </w:rPr>
      </w:pPr>
      <w:r w:rsidRPr="001D431E">
        <w:rPr>
          <w:rFonts w:eastAsia="Calibri" w:cstheme="minorHAnsi"/>
          <w:lang w:val="es-ES"/>
        </w:rPr>
        <w:t xml:space="preserve">En el marco del proyecto de la UIT/McCaw Foundation para países de la región de África, se dotaron 14 escuelas de Burkina Faso con redes y equipos informáticos y conexión a Internet para permitir la introducción de la enseñanza electrónica en el sistema educativo. </w:t>
      </w:r>
    </w:p>
    <w:p w14:paraId="3B5C5634" w14:textId="77777777" w:rsidR="00C1021F" w:rsidRPr="001D431E" w:rsidRDefault="00C1021F" w:rsidP="00E54D4C">
      <w:pPr>
        <w:spacing w:before="0"/>
        <w:rPr>
          <w:rFonts w:cstheme="minorHAnsi"/>
          <w:color w:val="444444"/>
          <w:lang w:val="es-ES"/>
        </w:rPr>
      </w:pPr>
    </w:p>
    <w:tbl>
      <w:tblPr>
        <w:tblStyle w:val="TableGrid4"/>
        <w:tblW w:w="0" w:type="auto"/>
        <w:tblLook w:val="04A0" w:firstRow="1" w:lastRow="0" w:firstColumn="1" w:lastColumn="0" w:noHBand="0" w:noVBand="1"/>
      </w:tblPr>
      <w:tblGrid>
        <w:gridCol w:w="9628"/>
      </w:tblGrid>
      <w:tr w:rsidR="00C1021F" w:rsidRPr="00BD1F0A" w14:paraId="5F3E390C" w14:textId="77777777" w:rsidTr="009219FC">
        <w:tc>
          <w:tcPr>
            <w:tcW w:w="9628" w:type="dxa"/>
            <w:tcBorders>
              <w:bottom w:val="single" w:sz="4" w:space="0" w:color="auto"/>
            </w:tcBorders>
          </w:tcPr>
          <w:p w14:paraId="6063E653" w14:textId="55C4A96E" w:rsidR="00C1021F" w:rsidRPr="001D431E" w:rsidRDefault="00D27AFA" w:rsidP="009219FC">
            <w:pPr>
              <w:keepNext/>
              <w:keepLines/>
              <w:rPr>
                <w:rFonts w:asciiTheme="minorHAnsi" w:hAnsiTheme="minorHAnsi" w:cstheme="minorHAnsi"/>
                <w:b/>
                <w:spacing w:val="2"/>
                <w:lang w:val="es-ES"/>
              </w:rPr>
            </w:pPr>
            <w:r>
              <w:rPr>
                <w:rFonts w:asciiTheme="minorHAnsi" w:hAnsiTheme="minorHAnsi" w:cstheme="minorHAnsi"/>
                <w:b/>
                <w:spacing w:val="2"/>
                <w:lang w:val="es-ES"/>
              </w:rPr>
              <w:lastRenderedPageBreak/>
              <w:t>INICIATIVAS REGIONALES</w:t>
            </w:r>
          </w:p>
          <w:p w14:paraId="7387EB65" w14:textId="77777777" w:rsidR="00C1021F" w:rsidRPr="001D431E" w:rsidRDefault="00C1021F" w:rsidP="009219FC">
            <w:pPr>
              <w:keepNext/>
              <w:keepLines/>
              <w:rPr>
                <w:rFonts w:asciiTheme="minorHAnsi" w:hAnsiTheme="minorHAnsi" w:cstheme="minorHAnsi"/>
                <w:spacing w:val="2"/>
                <w:lang w:val="es-ES"/>
              </w:rPr>
            </w:pPr>
            <w:r w:rsidRPr="001D431E">
              <w:rPr>
                <w:rFonts w:asciiTheme="minorHAnsi" w:eastAsia="Calibri" w:hAnsiTheme="minorHAnsi" w:cstheme="minorHAnsi"/>
                <w:spacing w:val="2"/>
                <w:lang w:val="es-ES"/>
              </w:rPr>
              <w:t xml:space="preserve">África: </w:t>
            </w:r>
            <w:r w:rsidRPr="001D431E">
              <w:rPr>
                <w:rFonts w:asciiTheme="minorHAnsi" w:eastAsia="Calibri" w:hAnsiTheme="minorHAnsi" w:cstheme="minorHAnsi"/>
                <w:spacing w:val="2"/>
                <w:u w:val="single"/>
                <w:lang w:val="es-ES"/>
              </w:rPr>
              <w:t>Creación de economías digitales y fomento de la innovación en África</w:t>
            </w:r>
          </w:p>
          <w:p w14:paraId="405E7B73" w14:textId="5D446FF7" w:rsidR="00C1021F" w:rsidRPr="00E54D4C" w:rsidRDefault="008762F6" w:rsidP="009219FC">
            <w:pPr>
              <w:pStyle w:val="enumlev1"/>
              <w:keepNext/>
              <w:keepLines/>
              <w:rPr>
                <w:rFonts w:asciiTheme="minorHAnsi" w:eastAsia="Calibri" w:hAnsiTheme="minorHAnsi" w:cstheme="minorHAnsi"/>
                <w:lang w:val="es-ES"/>
              </w:rPr>
            </w:pPr>
            <w:r w:rsidRPr="001D431E">
              <w:rPr>
                <w:rFonts w:eastAsia="Calibri"/>
                <w:lang w:val="es-ES"/>
              </w:rPr>
              <w:t>•</w:t>
            </w:r>
            <w:r w:rsidRPr="00E54D4C">
              <w:rPr>
                <w:rFonts w:asciiTheme="minorHAnsi" w:eastAsia="Calibri" w:hAnsiTheme="minorHAnsi" w:cstheme="minorHAnsi"/>
                <w:lang w:val="es-ES"/>
              </w:rPr>
              <w:tab/>
            </w:r>
            <w:r w:rsidR="00C1021F" w:rsidRPr="00E54D4C">
              <w:rPr>
                <w:rFonts w:asciiTheme="minorHAnsi" w:eastAsia="Calibri" w:hAnsiTheme="minorHAnsi" w:cstheme="minorHAnsi"/>
                <w:lang w:val="es-ES"/>
              </w:rPr>
              <w:t xml:space="preserve">El primer </w:t>
            </w:r>
            <w:hyperlink r:id="rId62" w:history="1">
              <w:r w:rsidR="00C1021F" w:rsidRPr="00E54D4C">
                <w:rPr>
                  <w:rStyle w:val="Hyperlink"/>
                  <w:rFonts w:asciiTheme="minorHAnsi" w:eastAsia="Calibri" w:hAnsiTheme="minorHAnsi" w:cstheme="minorHAnsi"/>
                  <w:spacing w:val="2"/>
                  <w:lang w:val="es-ES"/>
                </w:rPr>
                <w:t>Foro Mundial sobre los Refugiados</w:t>
              </w:r>
            </w:hyperlink>
            <w:r w:rsidR="00C1021F" w:rsidRPr="00E54D4C">
              <w:rPr>
                <w:rFonts w:asciiTheme="minorHAnsi" w:eastAsia="Calibri" w:hAnsiTheme="minorHAnsi" w:cstheme="minorHAnsi"/>
                <w:lang w:val="es-ES"/>
              </w:rPr>
              <w:t xml:space="preserve"> se celebró en Ginebra en diciembre. La UIT, el ACNUR y la GSMA copatrocinaron una sesión en la que se examinaron los problemas relacionados con la prestación de servicios de conectividad a refugiados, personas </w:t>
            </w:r>
            <w:r w:rsidR="00C1021F" w:rsidRPr="00E54D4C">
              <w:rPr>
                <w:rFonts w:asciiTheme="minorHAnsi" w:hAnsiTheme="minorHAnsi" w:cstheme="minorHAnsi"/>
                <w:szCs w:val="24"/>
                <w:lang w:val="es-ES"/>
              </w:rPr>
              <w:t>desplazadas</w:t>
            </w:r>
            <w:r w:rsidR="00C1021F" w:rsidRPr="00E54D4C">
              <w:rPr>
                <w:rFonts w:asciiTheme="minorHAnsi" w:eastAsia="Calibri" w:hAnsiTheme="minorHAnsi" w:cstheme="minorHAnsi"/>
                <w:lang w:val="es-ES"/>
              </w:rPr>
              <w:t xml:space="preserve"> y comunidades de acogida</w:t>
            </w:r>
            <w:r w:rsidR="00D553B4">
              <w:rPr>
                <w:rFonts w:asciiTheme="minorHAnsi" w:eastAsia="Calibri" w:hAnsiTheme="minorHAnsi" w:cstheme="minorHAnsi"/>
                <w:lang w:val="es-ES"/>
              </w:rPr>
              <w:t xml:space="preserve"> ex</w:t>
            </w:r>
            <w:r w:rsidR="00C1021F" w:rsidRPr="00E54D4C">
              <w:rPr>
                <w:rFonts w:asciiTheme="minorHAnsi" w:eastAsia="Calibri" w:hAnsiTheme="minorHAnsi" w:cstheme="minorHAnsi"/>
                <w:lang w:val="es-ES"/>
              </w:rPr>
              <w:t xml:space="preserve">ploraron los retos que plantea dar conectividad a los refugiados, los desplazados y las comunidades que los acogen. Con este evento culminó una estrecha colaboración para futuros programas y proyectos nacionales sobre conectividad positiva para refugiados y comunidades de acogida en África. </w:t>
            </w:r>
          </w:p>
          <w:p w14:paraId="03B2CB10" w14:textId="77777777" w:rsidR="00C1021F" w:rsidRPr="001D431E" w:rsidRDefault="00C1021F" w:rsidP="009219FC">
            <w:pPr>
              <w:rPr>
                <w:rFonts w:asciiTheme="minorHAnsi" w:eastAsia="Calibri" w:hAnsiTheme="minorHAnsi" w:cstheme="minorHAnsi"/>
                <w:spacing w:val="2"/>
                <w:lang w:val="es-ES"/>
              </w:rPr>
            </w:pPr>
            <w:r w:rsidRPr="001D431E">
              <w:rPr>
                <w:rFonts w:asciiTheme="minorHAnsi" w:eastAsia="Calibri" w:hAnsiTheme="minorHAnsi" w:cstheme="minorHAnsi"/>
                <w:spacing w:val="2"/>
                <w:lang w:val="es-ES"/>
              </w:rPr>
              <w:t xml:space="preserve">Asia-Pacífico: </w:t>
            </w:r>
            <w:r w:rsidRPr="001D431E">
              <w:rPr>
                <w:rFonts w:asciiTheme="minorHAnsi" w:eastAsia="Calibri" w:hAnsiTheme="minorHAnsi" w:cstheme="minorHAnsi"/>
                <w:spacing w:val="2"/>
                <w:u w:val="single"/>
                <w:lang w:val="es-ES"/>
              </w:rPr>
              <w:t>Fomentar el desarrollo de infraestructuras para mejorar la conectividad digital</w:t>
            </w:r>
          </w:p>
          <w:p w14:paraId="7D24E7F2" w14:textId="1B285C9E" w:rsidR="00C1021F" w:rsidRPr="001D431E" w:rsidRDefault="008762F6" w:rsidP="009219FC">
            <w:pPr>
              <w:pStyle w:val="enumlev1"/>
              <w:rPr>
                <w:rFonts w:asciiTheme="minorHAnsi" w:eastAsia="Calibri" w:hAnsiTheme="minorHAnsi" w:cstheme="minorHAnsi"/>
                <w:spacing w:val="2"/>
                <w:lang w:val="es-ES"/>
              </w:rPr>
            </w:pPr>
            <w:r w:rsidRPr="001D431E">
              <w:rPr>
                <w:rFonts w:eastAsia="Calibri" w:cstheme="minorHAnsi"/>
                <w:spacing w:val="2"/>
                <w:lang w:val="es-ES"/>
              </w:rPr>
              <w:t>•</w:t>
            </w:r>
            <w:r w:rsidRPr="001D431E">
              <w:rPr>
                <w:rFonts w:eastAsia="Calibri" w:cstheme="minorHAnsi"/>
                <w:spacing w:val="2"/>
                <w:lang w:val="es-ES"/>
              </w:rPr>
              <w:tab/>
            </w:r>
            <w:r w:rsidR="00C1021F" w:rsidRPr="001D431E">
              <w:rPr>
                <w:rFonts w:asciiTheme="minorHAnsi" w:eastAsia="Calibri" w:hAnsiTheme="minorHAnsi" w:cstheme="minorHAnsi"/>
                <w:spacing w:val="2"/>
                <w:lang w:val="es-ES"/>
              </w:rPr>
              <w:t xml:space="preserve">En el marco del proyecto de conectividad por satélite, la UIT facilitó 35 equipos de </w:t>
            </w:r>
            <w:r w:rsidR="00C1021F" w:rsidRPr="00E54D4C">
              <w:rPr>
                <w:rFonts w:asciiTheme="minorHAnsi" w:eastAsia="Calibri" w:hAnsiTheme="minorHAnsi" w:cstheme="minorHAnsi"/>
                <w:lang w:val="es-ES"/>
              </w:rPr>
              <w:t>conectividad</w:t>
            </w:r>
            <w:r w:rsidR="00C1021F" w:rsidRPr="001D431E">
              <w:rPr>
                <w:rFonts w:asciiTheme="minorHAnsi" w:eastAsia="Calibri" w:hAnsiTheme="minorHAnsi" w:cstheme="minorHAnsi"/>
                <w:spacing w:val="2"/>
                <w:lang w:val="es-ES"/>
              </w:rPr>
              <w:t xml:space="preserve"> por satélite en banda Ku a siete países insulares del Pacífico (Fiji, Kiribati, Papúa </w:t>
            </w:r>
            <w:r w:rsidR="00C1021F" w:rsidRPr="001D431E">
              <w:rPr>
                <w:rFonts w:asciiTheme="minorHAnsi" w:hAnsiTheme="minorHAnsi" w:cstheme="minorHAnsi"/>
                <w:spacing w:val="2"/>
                <w:szCs w:val="24"/>
                <w:lang w:val="es-ES"/>
              </w:rPr>
              <w:t>Nueva</w:t>
            </w:r>
            <w:r w:rsidR="00C1021F" w:rsidRPr="001D431E">
              <w:rPr>
                <w:rFonts w:asciiTheme="minorHAnsi" w:eastAsia="Calibri" w:hAnsiTheme="minorHAnsi" w:cstheme="minorHAnsi"/>
                <w:spacing w:val="2"/>
                <w:lang w:val="es-ES"/>
              </w:rPr>
              <w:t xml:space="preserve"> Guinea, Samoa, Tonga, Tuvalu y Vanuatu). Estos equipos se desplegaron en zonas remotas. </w:t>
            </w:r>
          </w:p>
          <w:p w14:paraId="0BE32587" w14:textId="7675D8EF" w:rsidR="00C1021F" w:rsidRPr="001D431E" w:rsidRDefault="008762F6" w:rsidP="009219FC">
            <w:pPr>
              <w:pStyle w:val="enumlev1"/>
              <w:rPr>
                <w:rFonts w:asciiTheme="minorHAnsi" w:eastAsia="Calibri" w:hAnsiTheme="minorHAnsi" w:cstheme="minorHAnsi"/>
                <w:spacing w:val="2"/>
                <w:lang w:val="es-ES"/>
              </w:rPr>
            </w:pPr>
            <w:r w:rsidRPr="001D431E">
              <w:rPr>
                <w:rFonts w:eastAsia="Calibri" w:cstheme="minorHAnsi"/>
                <w:spacing w:val="2"/>
                <w:lang w:val="es-ES"/>
              </w:rPr>
              <w:t>•</w:t>
            </w:r>
            <w:r w:rsidRPr="001D431E">
              <w:rPr>
                <w:rFonts w:eastAsia="Calibri" w:cstheme="minorHAnsi"/>
                <w:spacing w:val="2"/>
                <w:lang w:val="es-ES"/>
              </w:rPr>
              <w:tab/>
            </w:r>
            <w:r w:rsidR="00C1021F" w:rsidRPr="001D431E">
              <w:rPr>
                <w:rFonts w:asciiTheme="minorHAnsi" w:eastAsia="Calibri" w:hAnsiTheme="minorHAnsi" w:cstheme="minorHAnsi"/>
                <w:spacing w:val="2"/>
                <w:lang w:val="es-ES"/>
              </w:rPr>
              <w:t xml:space="preserve">Se prestó asistencia especializada a Mongolia a fin de revisar su régimen nacional de </w:t>
            </w:r>
            <w:r w:rsidR="00C1021F" w:rsidRPr="001D431E">
              <w:rPr>
                <w:rFonts w:asciiTheme="minorHAnsi" w:hAnsiTheme="minorHAnsi" w:cstheme="minorHAnsi"/>
                <w:spacing w:val="2"/>
                <w:szCs w:val="24"/>
                <w:lang w:val="es-ES"/>
              </w:rPr>
              <w:t>tasación</w:t>
            </w:r>
            <w:r w:rsidR="00C1021F" w:rsidRPr="001D431E">
              <w:rPr>
                <w:rFonts w:asciiTheme="minorHAnsi" w:eastAsia="Calibri" w:hAnsiTheme="minorHAnsi" w:cstheme="minorHAnsi"/>
                <w:spacing w:val="2"/>
                <w:lang w:val="es-ES"/>
              </w:rPr>
              <w:t xml:space="preserve"> del espectro de radiofrecuencias. Se definió una nueva fórmula para el cálculo de las </w:t>
            </w:r>
            <w:r w:rsidR="00C1021F" w:rsidRPr="00E54D4C">
              <w:rPr>
                <w:rFonts w:asciiTheme="minorHAnsi" w:eastAsia="Calibri" w:hAnsiTheme="minorHAnsi" w:cstheme="minorHAnsi"/>
                <w:lang w:val="es-ES"/>
              </w:rPr>
              <w:t>tasas</w:t>
            </w:r>
            <w:r w:rsidR="00C1021F" w:rsidRPr="001D431E">
              <w:rPr>
                <w:rFonts w:asciiTheme="minorHAnsi" w:eastAsia="Calibri" w:hAnsiTheme="minorHAnsi" w:cstheme="minorHAnsi"/>
                <w:spacing w:val="2"/>
                <w:lang w:val="es-ES"/>
              </w:rPr>
              <w:t xml:space="preserve"> a fin de compensar los efectos de la inflación y fomentar la utilización innovadora de este recurso.</w:t>
            </w:r>
          </w:p>
          <w:p w14:paraId="24237433" w14:textId="22104A3A" w:rsidR="00C1021F" w:rsidRPr="001D431E" w:rsidRDefault="008762F6" w:rsidP="009219FC">
            <w:pPr>
              <w:pStyle w:val="enumlev1"/>
              <w:rPr>
                <w:rFonts w:asciiTheme="minorHAnsi" w:eastAsia="Calibri" w:hAnsiTheme="minorHAnsi" w:cstheme="minorHAnsi"/>
                <w:spacing w:val="2"/>
                <w:lang w:val="es-ES"/>
              </w:rPr>
            </w:pPr>
            <w:r w:rsidRPr="001D431E">
              <w:rPr>
                <w:rFonts w:eastAsia="Calibri" w:cstheme="minorHAnsi"/>
                <w:spacing w:val="2"/>
                <w:lang w:val="es-ES"/>
              </w:rPr>
              <w:t>•</w:t>
            </w:r>
            <w:r w:rsidRPr="001D431E">
              <w:rPr>
                <w:rFonts w:eastAsia="Calibri" w:cstheme="minorHAnsi"/>
                <w:spacing w:val="2"/>
                <w:lang w:val="es-ES"/>
              </w:rPr>
              <w:tab/>
            </w:r>
            <w:r w:rsidR="00C1021F" w:rsidRPr="001D431E">
              <w:rPr>
                <w:rFonts w:asciiTheme="minorHAnsi" w:eastAsia="Calibri" w:hAnsiTheme="minorHAnsi" w:cstheme="minorHAnsi"/>
                <w:spacing w:val="2"/>
                <w:lang w:val="es-ES"/>
              </w:rPr>
              <w:t xml:space="preserve">Se prestó asistencia a las Islas Salomón y Vanuatu para definir su régimen nacional de </w:t>
            </w:r>
            <w:r w:rsidR="00C1021F" w:rsidRPr="00E54D4C">
              <w:rPr>
                <w:rFonts w:asciiTheme="minorHAnsi" w:eastAsia="Calibri" w:hAnsiTheme="minorHAnsi" w:cstheme="minorHAnsi"/>
                <w:lang w:val="es-ES"/>
              </w:rPr>
              <w:t>homologación</w:t>
            </w:r>
            <w:r w:rsidR="00C1021F" w:rsidRPr="001D431E">
              <w:rPr>
                <w:rFonts w:asciiTheme="minorHAnsi" w:eastAsia="Calibri" w:hAnsiTheme="minorHAnsi" w:cstheme="minorHAnsi"/>
                <w:spacing w:val="2"/>
                <w:lang w:val="es-ES"/>
              </w:rPr>
              <w:t xml:space="preserve"> de dispositivos inalámbricos de corto alcance</w:t>
            </w:r>
          </w:p>
          <w:p w14:paraId="7F2D9F4A" w14:textId="65FC6138" w:rsidR="00C1021F" w:rsidRPr="001D431E" w:rsidRDefault="008762F6" w:rsidP="009219FC">
            <w:pPr>
              <w:pStyle w:val="enumlev1"/>
              <w:rPr>
                <w:rFonts w:asciiTheme="minorHAnsi" w:eastAsia="Calibri" w:hAnsiTheme="minorHAnsi" w:cstheme="minorHAnsi"/>
                <w:spacing w:val="2"/>
                <w:lang w:val="es-ES"/>
              </w:rPr>
            </w:pPr>
            <w:r w:rsidRPr="001D431E">
              <w:rPr>
                <w:rFonts w:eastAsia="Calibri" w:cstheme="minorHAnsi"/>
                <w:spacing w:val="2"/>
                <w:lang w:val="es-ES"/>
              </w:rPr>
              <w:t>•</w:t>
            </w:r>
            <w:r w:rsidRPr="001D431E">
              <w:rPr>
                <w:rFonts w:eastAsia="Calibri" w:cstheme="minorHAnsi"/>
                <w:spacing w:val="2"/>
                <w:lang w:val="es-ES"/>
              </w:rPr>
              <w:tab/>
            </w:r>
            <w:r w:rsidR="00C1021F" w:rsidRPr="001D431E">
              <w:rPr>
                <w:rFonts w:asciiTheme="minorHAnsi" w:eastAsia="Calibri" w:hAnsiTheme="minorHAnsi" w:cstheme="minorHAnsi"/>
                <w:spacing w:val="2"/>
                <w:lang w:val="es-ES"/>
              </w:rPr>
              <w:t xml:space="preserve">Se celebraron más de 15 talleres y formaciones de sensibilización y capacitación en gestión del </w:t>
            </w:r>
            <w:r w:rsidR="00C1021F" w:rsidRPr="00E54D4C">
              <w:rPr>
                <w:rFonts w:asciiTheme="minorHAnsi" w:eastAsia="Calibri" w:hAnsiTheme="minorHAnsi" w:cstheme="minorHAnsi"/>
                <w:lang w:val="es-ES"/>
              </w:rPr>
              <w:t>espectro</w:t>
            </w:r>
            <w:r w:rsidR="00C1021F" w:rsidRPr="001D431E">
              <w:rPr>
                <w:rFonts w:asciiTheme="minorHAnsi" w:eastAsia="Calibri" w:hAnsiTheme="minorHAnsi" w:cstheme="minorHAnsi"/>
                <w:spacing w:val="2"/>
                <w:lang w:val="es-ES"/>
              </w:rPr>
              <w:t>, IA, DLT, banda ancha, 5G, conformidad e interoperabilidad, NGN, planificación y seguridad móvil, seguridad de la IoT, transformación digital y radiodifusión, entre otras cosas.</w:t>
            </w:r>
          </w:p>
          <w:p w14:paraId="1444E720" w14:textId="1E2A8C7E" w:rsidR="00C1021F" w:rsidRPr="001D431E" w:rsidRDefault="008762F6" w:rsidP="009219FC">
            <w:pPr>
              <w:pStyle w:val="enumlev1"/>
              <w:rPr>
                <w:rFonts w:asciiTheme="minorHAnsi" w:eastAsia="Calibri" w:hAnsiTheme="minorHAnsi" w:cstheme="minorHAnsi"/>
                <w:spacing w:val="2"/>
                <w:lang w:val="es-ES"/>
              </w:rPr>
            </w:pPr>
            <w:r w:rsidRPr="001D431E">
              <w:rPr>
                <w:rFonts w:eastAsia="Calibri" w:cstheme="minorHAnsi"/>
                <w:spacing w:val="2"/>
                <w:lang w:val="es-ES"/>
              </w:rPr>
              <w:t>•</w:t>
            </w:r>
            <w:r w:rsidRPr="001D431E">
              <w:rPr>
                <w:rFonts w:eastAsia="Calibri" w:cstheme="minorHAnsi"/>
                <w:spacing w:val="2"/>
                <w:lang w:val="es-ES"/>
              </w:rPr>
              <w:tab/>
            </w:r>
            <w:r w:rsidR="00C1021F" w:rsidRPr="001D431E">
              <w:rPr>
                <w:rFonts w:asciiTheme="minorHAnsi" w:eastAsia="Calibri" w:hAnsiTheme="minorHAnsi" w:cstheme="minorHAnsi"/>
                <w:spacing w:val="2"/>
                <w:lang w:val="es-ES"/>
              </w:rPr>
              <w:t xml:space="preserve">Se </w:t>
            </w:r>
            <w:r w:rsidR="00C1021F" w:rsidRPr="00E54D4C">
              <w:rPr>
                <w:rFonts w:asciiTheme="minorHAnsi" w:eastAsia="Calibri" w:hAnsiTheme="minorHAnsi" w:cstheme="minorHAnsi"/>
                <w:lang w:val="es-ES"/>
              </w:rPr>
              <w:t>impartió</w:t>
            </w:r>
            <w:r w:rsidR="00C1021F" w:rsidRPr="001D431E">
              <w:rPr>
                <w:rFonts w:asciiTheme="minorHAnsi" w:eastAsia="Calibri" w:hAnsiTheme="minorHAnsi" w:cstheme="minorHAnsi"/>
                <w:spacing w:val="2"/>
                <w:lang w:val="es-ES"/>
              </w:rPr>
              <w:t xml:space="preserve"> una formación técnica sobre el Sistema de gestión del espectro para países en desarrollo (SMS4DC) en Vientiane, RPD Lao.</w:t>
            </w:r>
          </w:p>
          <w:p w14:paraId="3263793D" w14:textId="615C8DDF" w:rsidR="00C1021F" w:rsidRPr="001D431E" w:rsidRDefault="008762F6" w:rsidP="009219FC">
            <w:pPr>
              <w:pStyle w:val="enumlev1"/>
              <w:rPr>
                <w:rFonts w:asciiTheme="minorHAnsi" w:eastAsia="Calibri" w:hAnsiTheme="minorHAnsi" w:cstheme="minorHAnsi"/>
                <w:spacing w:val="2"/>
                <w:lang w:val="es-ES"/>
              </w:rPr>
            </w:pPr>
            <w:r w:rsidRPr="001D431E">
              <w:rPr>
                <w:rFonts w:eastAsia="Calibri" w:cstheme="minorHAnsi"/>
                <w:spacing w:val="2"/>
                <w:lang w:val="es-ES"/>
              </w:rPr>
              <w:t>•</w:t>
            </w:r>
            <w:r w:rsidRPr="001D431E">
              <w:rPr>
                <w:rFonts w:eastAsia="Calibri" w:cstheme="minorHAnsi"/>
                <w:spacing w:val="2"/>
                <w:lang w:val="es-ES"/>
              </w:rPr>
              <w:tab/>
            </w:r>
            <w:r w:rsidR="00C1021F" w:rsidRPr="001D431E">
              <w:rPr>
                <w:rFonts w:asciiTheme="minorHAnsi" w:eastAsia="Calibri" w:hAnsiTheme="minorHAnsi" w:cstheme="minorHAnsi"/>
                <w:spacing w:val="2"/>
                <w:lang w:val="es-ES"/>
              </w:rPr>
              <w:t xml:space="preserve">Se prestó asistencia a Viet Nam en la modificación de su legislación nacional en materia de </w:t>
            </w:r>
            <w:r w:rsidR="00C1021F" w:rsidRPr="00E54D4C">
              <w:rPr>
                <w:rFonts w:asciiTheme="minorHAnsi" w:eastAsia="Calibri" w:hAnsiTheme="minorHAnsi" w:cstheme="minorHAnsi"/>
                <w:lang w:val="es-ES"/>
              </w:rPr>
              <w:t>frecuencias</w:t>
            </w:r>
            <w:r w:rsidR="00C1021F" w:rsidRPr="001D431E">
              <w:rPr>
                <w:rFonts w:asciiTheme="minorHAnsi" w:eastAsia="Calibri" w:hAnsiTheme="minorHAnsi" w:cstheme="minorHAnsi"/>
                <w:spacing w:val="2"/>
                <w:lang w:val="es-ES"/>
              </w:rPr>
              <w:t xml:space="preserve"> y la correspondiente enmienda de las leyes de telecomunicaciones. En el marco del estudio se elaboró también una hoja de ruta de espectro para las IMT.</w:t>
            </w:r>
          </w:p>
          <w:p w14:paraId="2D2EDEFF" w14:textId="77777777" w:rsidR="00C1021F" w:rsidRPr="001D431E" w:rsidRDefault="00C1021F" w:rsidP="009219FC">
            <w:pPr>
              <w:keepNext/>
              <w:keepLines/>
              <w:rPr>
                <w:rFonts w:asciiTheme="minorHAnsi" w:eastAsia="Calibri" w:hAnsiTheme="minorHAnsi" w:cstheme="minorHAnsi"/>
                <w:spacing w:val="2"/>
                <w:lang w:val="es-ES"/>
              </w:rPr>
            </w:pPr>
            <w:r w:rsidRPr="001D431E">
              <w:rPr>
                <w:rFonts w:asciiTheme="minorHAnsi" w:eastAsia="Calibri" w:hAnsiTheme="minorHAnsi" w:cstheme="minorHAnsi"/>
                <w:spacing w:val="2"/>
                <w:lang w:val="es-ES"/>
              </w:rPr>
              <w:t xml:space="preserve">Américas: </w:t>
            </w:r>
            <w:r w:rsidRPr="001D431E">
              <w:rPr>
                <w:rFonts w:asciiTheme="minorHAnsi" w:eastAsia="Calibri" w:hAnsiTheme="minorHAnsi" w:cstheme="minorHAnsi"/>
                <w:spacing w:val="2"/>
                <w:u w:val="single"/>
                <w:lang w:val="es-ES"/>
              </w:rPr>
              <w:t>Gestión del espectro y transición a la radiodifusión digital</w:t>
            </w:r>
            <w:r w:rsidRPr="001D431E">
              <w:rPr>
                <w:rFonts w:asciiTheme="minorHAnsi" w:eastAsia="Calibri" w:hAnsiTheme="minorHAnsi" w:cstheme="minorHAnsi"/>
                <w:spacing w:val="2"/>
                <w:lang w:val="es-ES"/>
              </w:rPr>
              <w:t xml:space="preserve"> </w:t>
            </w:r>
          </w:p>
          <w:p w14:paraId="7A2D9B33" w14:textId="4914D27F" w:rsidR="00C1021F" w:rsidRPr="001D431E" w:rsidRDefault="008762F6" w:rsidP="009219FC">
            <w:pPr>
              <w:pStyle w:val="enumlev1"/>
              <w:keepNext/>
              <w:keepLines/>
              <w:rPr>
                <w:rFonts w:asciiTheme="minorHAnsi" w:eastAsia="Calibri" w:hAnsiTheme="minorHAnsi" w:cstheme="minorHAnsi"/>
                <w:spacing w:val="2"/>
                <w:lang w:val="es-ES"/>
              </w:rPr>
            </w:pPr>
            <w:r w:rsidRPr="001D431E">
              <w:rPr>
                <w:rFonts w:eastAsia="Calibri" w:cstheme="minorHAnsi"/>
                <w:spacing w:val="2"/>
                <w:lang w:val="es-ES"/>
              </w:rPr>
              <w:t>•</w:t>
            </w:r>
            <w:r w:rsidRPr="001D431E">
              <w:rPr>
                <w:rFonts w:asciiTheme="minorHAnsi" w:eastAsia="Calibri" w:hAnsiTheme="minorHAnsi" w:cstheme="minorHAnsi"/>
                <w:spacing w:val="2"/>
                <w:lang w:val="es-ES"/>
              </w:rPr>
              <w:tab/>
            </w:r>
            <w:r w:rsidR="00C1021F" w:rsidRPr="001D431E">
              <w:rPr>
                <w:rFonts w:asciiTheme="minorHAnsi" w:eastAsia="Calibri" w:hAnsiTheme="minorHAnsi" w:cstheme="minorHAnsi"/>
                <w:spacing w:val="2"/>
                <w:lang w:val="es-ES"/>
              </w:rPr>
              <w:t xml:space="preserve">Se organizó un seminario regional de formación en gestión del espectro en el Caribe para </w:t>
            </w:r>
            <w:r w:rsidR="00C1021F" w:rsidRPr="00E54D4C">
              <w:rPr>
                <w:rFonts w:asciiTheme="minorHAnsi" w:eastAsia="Calibri" w:hAnsiTheme="minorHAnsi" w:cstheme="minorHAnsi"/>
                <w:lang w:val="es-ES"/>
              </w:rPr>
              <w:t>mejorar</w:t>
            </w:r>
            <w:r w:rsidR="00C1021F" w:rsidRPr="001D431E">
              <w:rPr>
                <w:rFonts w:asciiTheme="minorHAnsi" w:eastAsia="Calibri" w:hAnsiTheme="minorHAnsi" w:cstheme="minorHAnsi"/>
                <w:spacing w:val="2"/>
                <w:lang w:val="es-ES"/>
              </w:rPr>
              <w:t xml:space="preserve"> el nivel y la velocidad de la conectividad a las TIC en los países de la región. </w:t>
            </w:r>
          </w:p>
          <w:p w14:paraId="42A7E711" w14:textId="229AE472" w:rsidR="00C1021F" w:rsidRPr="001D431E" w:rsidRDefault="008762F6" w:rsidP="009219FC">
            <w:pPr>
              <w:pStyle w:val="enumlev1"/>
              <w:keepNext/>
              <w:keepLines/>
              <w:rPr>
                <w:rFonts w:asciiTheme="minorHAnsi" w:eastAsia="Calibri" w:hAnsiTheme="minorHAnsi" w:cstheme="minorHAnsi"/>
                <w:spacing w:val="2"/>
                <w:lang w:val="es-ES"/>
              </w:rPr>
            </w:pPr>
            <w:r w:rsidRPr="001D431E">
              <w:rPr>
                <w:rFonts w:eastAsia="Calibri" w:cstheme="minorHAnsi"/>
                <w:spacing w:val="2"/>
                <w:lang w:val="es-ES"/>
              </w:rPr>
              <w:t>•</w:t>
            </w:r>
            <w:r w:rsidRPr="001D431E">
              <w:rPr>
                <w:rFonts w:asciiTheme="minorHAnsi" w:eastAsia="Calibri" w:hAnsiTheme="minorHAnsi" w:cstheme="minorHAnsi"/>
                <w:spacing w:val="2"/>
                <w:lang w:val="es-ES"/>
              </w:rPr>
              <w:tab/>
            </w:r>
            <w:r w:rsidR="00C1021F" w:rsidRPr="001D431E">
              <w:rPr>
                <w:rFonts w:asciiTheme="minorHAnsi" w:eastAsia="Calibri" w:hAnsiTheme="minorHAnsi" w:cstheme="minorHAnsi"/>
                <w:spacing w:val="2"/>
                <w:lang w:val="es-ES"/>
              </w:rPr>
              <w:t xml:space="preserve">Se </w:t>
            </w:r>
            <w:r w:rsidR="00C1021F" w:rsidRPr="00E54D4C">
              <w:rPr>
                <w:rFonts w:asciiTheme="minorHAnsi" w:eastAsia="Calibri" w:hAnsiTheme="minorHAnsi" w:cstheme="minorHAnsi"/>
                <w:lang w:val="es-ES"/>
              </w:rPr>
              <w:t>prestó</w:t>
            </w:r>
            <w:r w:rsidR="00C1021F" w:rsidRPr="001D431E">
              <w:rPr>
                <w:rFonts w:asciiTheme="minorHAnsi" w:eastAsia="Calibri" w:hAnsiTheme="minorHAnsi" w:cstheme="minorHAnsi"/>
                <w:spacing w:val="2"/>
                <w:lang w:val="es-ES"/>
              </w:rPr>
              <w:t xml:space="preserve"> asistencia técnica y especializada al Ministerio de Ciencia, Energía y Tecnología y la </w:t>
            </w:r>
            <w:r w:rsidR="00C1021F" w:rsidRPr="001D431E">
              <w:rPr>
                <w:rFonts w:asciiTheme="minorHAnsi" w:hAnsiTheme="minorHAnsi" w:cstheme="minorHAnsi"/>
                <w:spacing w:val="2"/>
                <w:szCs w:val="24"/>
                <w:lang w:val="es-ES"/>
              </w:rPr>
              <w:t>Autoridad</w:t>
            </w:r>
            <w:r w:rsidR="00C1021F" w:rsidRPr="001D431E">
              <w:rPr>
                <w:rFonts w:asciiTheme="minorHAnsi" w:eastAsia="Calibri" w:hAnsiTheme="minorHAnsi" w:cstheme="minorHAnsi"/>
                <w:spacing w:val="2"/>
                <w:lang w:val="es-ES"/>
              </w:rPr>
              <w:t xml:space="preserve"> de Gestión del Espectro de Jamaica para la definición de un marco nacional de licencias de espectro a fin de mejorar la conectividad a las TIC en el país. </w:t>
            </w:r>
          </w:p>
          <w:p w14:paraId="4AAB7D47" w14:textId="77777777" w:rsidR="009219FC" w:rsidRDefault="009219FC" w:rsidP="009219FC">
            <w:pPr>
              <w:keepNext/>
              <w:keepLines/>
              <w:rPr>
                <w:rFonts w:asciiTheme="minorHAnsi" w:eastAsia="Calibri" w:hAnsiTheme="minorHAnsi" w:cstheme="minorHAnsi"/>
                <w:spacing w:val="2"/>
                <w:lang w:val="es-ES"/>
              </w:rPr>
            </w:pPr>
          </w:p>
          <w:p w14:paraId="6E0FC7AF" w14:textId="77777777" w:rsidR="009219FC" w:rsidRDefault="009219FC" w:rsidP="009219FC">
            <w:pPr>
              <w:keepNext/>
              <w:keepLines/>
              <w:rPr>
                <w:rFonts w:asciiTheme="minorHAnsi" w:eastAsia="Calibri" w:hAnsiTheme="minorHAnsi" w:cstheme="minorHAnsi"/>
                <w:spacing w:val="2"/>
                <w:lang w:val="es-ES"/>
              </w:rPr>
            </w:pPr>
          </w:p>
          <w:p w14:paraId="53EC7AF0" w14:textId="77777777" w:rsidR="009219FC" w:rsidRDefault="009219FC" w:rsidP="009219FC">
            <w:pPr>
              <w:keepNext/>
              <w:keepLines/>
              <w:rPr>
                <w:rFonts w:asciiTheme="minorHAnsi" w:eastAsia="Calibri" w:hAnsiTheme="minorHAnsi" w:cstheme="minorHAnsi"/>
                <w:spacing w:val="2"/>
                <w:lang w:val="es-ES"/>
              </w:rPr>
            </w:pPr>
          </w:p>
          <w:p w14:paraId="3E58549D" w14:textId="6E6C830D" w:rsidR="00C1021F" w:rsidRPr="001D431E" w:rsidRDefault="00C1021F" w:rsidP="009219FC">
            <w:pPr>
              <w:keepNext/>
              <w:keepLines/>
              <w:rPr>
                <w:rFonts w:asciiTheme="minorHAnsi" w:eastAsia="Calibri" w:hAnsiTheme="minorHAnsi" w:cstheme="minorHAnsi"/>
                <w:spacing w:val="2"/>
                <w:lang w:val="es-ES"/>
              </w:rPr>
            </w:pPr>
            <w:r w:rsidRPr="001D431E">
              <w:rPr>
                <w:rFonts w:asciiTheme="minorHAnsi" w:eastAsia="Calibri" w:hAnsiTheme="minorHAnsi" w:cstheme="minorHAnsi"/>
                <w:spacing w:val="2"/>
                <w:lang w:val="es-ES"/>
              </w:rPr>
              <w:lastRenderedPageBreak/>
              <w:t xml:space="preserve">Europa: </w:t>
            </w:r>
            <w:r w:rsidRPr="001D431E">
              <w:rPr>
                <w:rFonts w:asciiTheme="minorHAnsi" w:eastAsia="Calibri" w:hAnsiTheme="minorHAnsi" w:cstheme="minorHAnsi"/>
                <w:spacing w:val="2"/>
                <w:u w:val="single"/>
                <w:lang w:val="es-ES"/>
              </w:rPr>
              <w:t>Infraestructura de banda ancha, radiodifusión y gestión del espectro</w:t>
            </w:r>
          </w:p>
          <w:p w14:paraId="5DB2D1EA" w14:textId="07AC4E70" w:rsidR="00C1021F" w:rsidRPr="001D431E" w:rsidRDefault="008762F6" w:rsidP="009219FC">
            <w:pPr>
              <w:pStyle w:val="enumlev1"/>
              <w:rPr>
                <w:rFonts w:asciiTheme="minorHAnsi" w:eastAsia="Calibri" w:hAnsiTheme="minorHAnsi" w:cstheme="minorHAnsi"/>
                <w:spacing w:val="2"/>
                <w:lang w:val="es-ES"/>
              </w:rPr>
            </w:pPr>
            <w:r w:rsidRPr="001D431E">
              <w:rPr>
                <w:rFonts w:eastAsia="Calibri" w:cstheme="minorHAnsi"/>
                <w:spacing w:val="2"/>
                <w:lang w:val="es-ES"/>
              </w:rPr>
              <w:t>•</w:t>
            </w:r>
            <w:r w:rsidRPr="001D431E">
              <w:rPr>
                <w:rFonts w:asciiTheme="minorHAnsi" w:eastAsia="Calibri" w:hAnsiTheme="minorHAnsi" w:cstheme="minorHAnsi"/>
                <w:spacing w:val="2"/>
                <w:lang w:val="es-ES"/>
              </w:rPr>
              <w:tab/>
            </w:r>
            <w:r w:rsidR="00C1021F" w:rsidRPr="001D431E">
              <w:rPr>
                <w:rFonts w:asciiTheme="minorHAnsi" w:eastAsia="Calibri" w:hAnsiTheme="minorHAnsi" w:cstheme="minorHAnsi"/>
                <w:spacing w:val="2"/>
                <w:lang w:val="es-ES"/>
              </w:rPr>
              <w:t>En Minsk, Belarús, se celebró la tercera Conferencia anual de gestión del espectro de la región CEI y CEE, además de un taller de la UIT sobre cómo mantener comunicaciones sin interferencias con la tecnología actual.</w:t>
            </w:r>
          </w:p>
          <w:p w14:paraId="302BF7C4" w14:textId="48A2C57D" w:rsidR="00C1021F" w:rsidRPr="001D431E" w:rsidRDefault="008762F6" w:rsidP="009219FC">
            <w:pPr>
              <w:pStyle w:val="enumlev1"/>
              <w:rPr>
                <w:rFonts w:asciiTheme="minorHAnsi" w:eastAsia="Calibri" w:hAnsiTheme="minorHAnsi" w:cstheme="minorHAnsi"/>
                <w:spacing w:val="2"/>
                <w:lang w:val="es-ES"/>
              </w:rPr>
            </w:pPr>
            <w:r w:rsidRPr="001D431E">
              <w:rPr>
                <w:rFonts w:eastAsia="Calibri" w:cstheme="minorHAnsi"/>
                <w:spacing w:val="2"/>
                <w:lang w:val="es-ES"/>
              </w:rPr>
              <w:t>•</w:t>
            </w:r>
            <w:r w:rsidRPr="001D431E">
              <w:rPr>
                <w:rFonts w:asciiTheme="minorHAnsi" w:eastAsia="Calibri" w:hAnsiTheme="minorHAnsi" w:cstheme="minorHAnsi"/>
                <w:spacing w:val="2"/>
                <w:lang w:val="es-ES"/>
              </w:rPr>
              <w:tab/>
            </w:r>
            <w:r w:rsidR="00C1021F" w:rsidRPr="001D431E">
              <w:rPr>
                <w:rFonts w:asciiTheme="minorHAnsi" w:eastAsia="Calibri" w:hAnsiTheme="minorHAnsi" w:cstheme="minorHAnsi"/>
                <w:spacing w:val="2"/>
                <w:lang w:val="es-ES"/>
              </w:rPr>
              <w:t xml:space="preserve">Se organizó una serie de talleres y seminarios sobre el futuro de la televisión y la cartografía de las </w:t>
            </w:r>
            <w:r w:rsidR="00C1021F" w:rsidRPr="001D431E">
              <w:rPr>
                <w:rFonts w:asciiTheme="minorHAnsi" w:hAnsiTheme="minorHAnsi" w:cstheme="minorHAnsi"/>
                <w:spacing w:val="2"/>
                <w:szCs w:val="24"/>
                <w:lang w:val="es-ES"/>
              </w:rPr>
              <w:t>infraestructuras</w:t>
            </w:r>
            <w:r w:rsidR="00C1021F" w:rsidRPr="001D431E">
              <w:rPr>
                <w:rFonts w:asciiTheme="minorHAnsi" w:eastAsia="Calibri" w:hAnsiTheme="minorHAnsi" w:cstheme="minorHAnsi"/>
                <w:spacing w:val="2"/>
                <w:lang w:val="es-ES"/>
              </w:rPr>
              <w:t xml:space="preserve"> y servicios terrenales de banda ancha, la economía digital y las radiocomunicaciones. </w:t>
            </w:r>
          </w:p>
          <w:p w14:paraId="21CCFA6A" w14:textId="702CDCF1" w:rsidR="00C1021F" w:rsidRPr="001D431E" w:rsidRDefault="008762F6" w:rsidP="009219FC">
            <w:pPr>
              <w:pStyle w:val="enumlev1"/>
              <w:rPr>
                <w:rFonts w:asciiTheme="minorHAnsi" w:eastAsia="Calibri" w:hAnsiTheme="minorHAnsi" w:cstheme="minorHAnsi"/>
                <w:spacing w:val="2"/>
                <w:lang w:val="es-ES"/>
              </w:rPr>
            </w:pPr>
            <w:r w:rsidRPr="001D431E">
              <w:rPr>
                <w:rFonts w:eastAsia="Calibri" w:cstheme="minorHAnsi"/>
                <w:spacing w:val="2"/>
                <w:lang w:val="es-ES"/>
              </w:rPr>
              <w:t>•</w:t>
            </w:r>
            <w:r w:rsidRPr="001D431E">
              <w:rPr>
                <w:rFonts w:asciiTheme="minorHAnsi" w:eastAsia="Calibri" w:hAnsiTheme="minorHAnsi" w:cstheme="minorHAnsi"/>
                <w:spacing w:val="2"/>
                <w:lang w:val="es-ES"/>
              </w:rPr>
              <w:tab/>
            </w:r>
            <w:r w:rsidR="00C1021F" w:rsidRPr="001D431E">
              <w:rPr>
                <w:rFonts w:asciiTheme="minorHAnsi" w:eastAsia="Calibri" w:hAnsiTheme="minorHAnsi" w:cstheme="minorHAnsi"/>
                <w:spacing w:val="2"/>
                <w:lang w:val="es-ES"/>
              </w:rPr>
              <w:t xml:space="preserve">Se celebró una reunión sobre la tecnología 5G para los Estados bálticos en Riga, Estonia, con el </w:t>
            </w:r>
            <w:r w:rsidR="00C1021F" w:rsidRPr="00E54D4C">
              <w:rPr>
                <w:rFonts w:asciiTheme="minorHAnsi" w:eastAsia="Calibri" w:hAnsiTheme="minorHAnsi" w:cstheme="minorHAnsi"/>
                <w:lang w:val="es-ES"/>
              </w:rPr>
              <w:t>apoyo</w:t>
            </w:r>
            <w:r w:rsidR="00C1021F" w:rsidRPr="001D431E">
              <w:rPr>
                <w:rFonts w:asciiTheme="minorHAnsi" w:eastAsia="Calibri" w:hAnsiTheme="minorHAnsi" w:cstheme="minorHAnsi"/>
                <w:spacing w:val="2"/>
                <w:lang w:val="es-ES"/>
              </w:rPr>
              <w:t xml:space="preserve"> de la UIT como plataforma subregional de cooperación.</w:t>
            </w:r>
          </w:p>
          <w:p w14:paraId="4FAF70AD" w14:textId="1BF402DD" w:rsidR="00C1021F" w:rsidRPr="001D431E" w:rsidRDefault="008762F6" w:rsidP="009219FC">
            <w:pPr>
              <w:pStyle w:val="enumlev1"/>
              <w:rPr>
                <w:rFonts w:asciiTheme="minorHAnsi" w:eastAsia="Calibri" w:hAnsiTheme="minorHAnsi" w:cstheme="minorHAnsi"/>
                <w:spacing w:val="2"/>
                <w:lang w:val="es-ES"/>
              </w:rPr>
            </w:pPr>
            <w:r w:rsidRPr="001D431E">
              <w:rPr>
                <w:rFonts w:eastAsia="Calibri" w:cstheme="minorHAnsi"/>
                <w:spacing w:val="2"/>
                <w:lang w:val="es-ES"/>
              </w:rPr>
              <w:t>•</w:t>
            </w:r>
            <w:r w:rsidRPr="001D431E">
              <w:rPr>
                <w:rFonts w:asciiTheme="minorHAnsi" w:eastAsia="Calibri" w:hAnsiTheme="minorHAnsi" w:cstheme="minorHAnsi"/>
                <w:spacing w:val="2"/>
                <w:lang w:val="es-ES"/>
              </w:rPr>
              <w:tab/>
            </w:r>
            <w:r w:rsidR="00C1021F" w:rsidRPr="001D431E">
              <w:rPr>
                <w:rFonts w:asciiTheme="minorHAnsi" w:eastAsia="Calibri" w:hAnsiTheme="minorHAnsi" w:cstheme="minorHAnsi"/>
                <w:spacing w:val="2"/>
                <w:lang w:val="es-ES"/>
              </w:rPr>
              <w:t xml:space="preserve">Se lanzó una iniciativa de compromiso especial regional para mejorar los datos destinados a los </w:t>
            </w:r>
            <w:r w:rsidR="00C1021F" w:rsidRPr="00E54D4C">
              <w:rPr>
                <w:rFonts w:asciiTheme="minorHAnsi" w:eastAsia="Calibri" w:hAnsiTheme="minorHAnsi" w:cstheme="minorHAnsi"/>
                <w:lang w:val="es-ES"/>
              </w:rPr>
              <w:t>mapas</w:t>
            </w:r>
            <w:r w:rsidR="00C1021F" w:rsidRPr="001D431E">
              <w:rPr>
                <w:rFonts w:asciiTheme="minorHAnsi" w:eastAsia="Calibri" w:hAnsiTheme="minorHAnsi" w:cstheme="minorHAnsi"/>
                <w:spacing w:val="2"/>
                <w:lang w:val="es-ES"/>
              </w:rPr>
              <w:t xml:space="preserve"> interactivos de transmisión de la UIT.</w:t>
            </w:r>
            <w:r w:rsidR="000D125A" w:rsidRPr="001D431E">
              <w:rPr>
                <w:rFonts w:asciiTheme="minorHAnsi" w:eastAsia="Calibri" w:hAnsiTheme="minorHAnsi" w:cstheme="minorHAnsi"/>
                <w:spacing w:val="2"/>
                <w:lang w:val="es-ES"/>
              </w:rPr>
              <w:t xml:space="preserve"> </w:t>
            </w:r>
          </w:p>
          <w:p w14:paraId="18827138" w14:textId="5EDE9E42" w:rsidR="00C1021F" w:rsidRPr="001D431E" w:rsidRDefault="008762F6" w:rsidP="009219FC">
            <w:pPr>
              <w:pStyle w:val="enumlev1"/>
              <w:rPr>
                <w:rFonts w:asciiTheme="minorHAnsi" w:hAnsiTheme="minorHAnsi" w:cstheme="minorHAnsi"/>
                <w:color w:val="444444"/>
                <w:spacing w:val="2"/>
                <w:lang w:val="es-ES"/>
              </w:rPr>
            </w:pPr>
            <w:r w:rsidRPr="001D431E">
              <w:rPr>
                <w:rFonts w:eastAsia="Calibri" w:cstheme="minorHAnsi"/>
                <w:spacing w:val="2"/>
                <w:lang w:val="es-ES"/>
              </w:rPr>
              <w:t>•</w:t>
            </w:r>
            <w:r w:rsidRPr="001D431E">
              <w:rPr>
                <w:rFonts w:asciiTheme="minorHAnsi" w:eastAsia="Calibri" w:hAnsiTheme="minorHAnsi" w:cstheme="minorHAnsi"/>
                <w:spacing w:val="2"/>
                <w:lang w:val="es-ES"/>
              </w:rPr>
              <w:tab/>
            </w:r>
            <w:r w:rsidR="00C1021F" w:rsidRPr="001D431E">
              <w:rPr>
                <w:rFonts w:asciiTheme="minorHAnsi" w:eastAsia="Calibri" w:hAnsiTheme="minorHAnsi" w:cstheme="minorHAnsi"/>
                <w:spacing w:val="2"/>
                <w:lang w:val="es-ES"/>
              </w:rPr>
              <w:t xml:space="preserve">Se preparó un proyecto de iniciativa regional para </w:t>
            </w:r>
            <w:r w:rsidR="00C1021F" w:rsidRPr="001D431E">
              <w:rPr>
                <w:rFonts w:asciiTheme="minorHAnsi" w:eastAsia="Calibri" w:hAnsiTheme="minorHAnsi" w:cstheme="minorHAnsi"/>
                <w:i/>
                <w:iCs/>
                <w:spacing w:val="2"/>
                <w:lang w:val="es-ES"/>
              </w:rPr>
              <w:t>promover la inversión en sistemas de cartografía de la infraestructura de banda ancha en Europa Oriental y Meridional</w:t>
            </w:r>
            <w:r w:rsidR="00C1021F" w:rsidRPr="001D431E">
              <w:rPr>
                <w:rFonts w:asciiTheme="minorHAnsi" w:eastAsia="Calibri" w:hAnsiTheme="minorHAnsi" w:cstheme="minorHAnsi"/>
                <w:spacing w:val="2"/>
                <w:lang w:val="es-ES"/>
              </w:rPr>
              <w:t>.</w:t>
            </w:r>
          </w:p>
        </w:tc>
      </w:tr>
      <w:tr w:rsidR="00C1021F" w:rsidRPr="00BD1F0A" w14:paraId="138F393E" w14:textId="77777777" w:rsidTr="009219FC">
        <w:tc>
          <w:tcPr>
            <w:tcW w:w="9628" w:type="dxa"/>
            <w:tcBorders>
              <w:top w:val="single" w:sz="4" w:space="0" w:color="auto"/>
              <w:left w:val="nil"/>
              <w:bottom w:val="single" w:sz="4" w:space="0" w:color="auto"/>
              <w:right w:val="nil"/>
            </w:tcBorders>
          </w:tcPr>
          <w:p w14:paraId="43183AA9" w14:textId="75F5E599" w:rsidR="00C1021F" w:rsidRPr="001D431E" w:rsidRDefault="00C1021F" w:rsidP="009219FC">
            <w:pPr>
              <w:widowControl w:val="0"/>
              <w:shd w:val="clear" w:color="auto" w:fill="FFFFFF" w:themeFill="background1"/>
              <w:tabs>
                <w:tab w:val="clear" w:pos="794"/>
                <w:tab w:val="clear" w:pos="1191"/>
                <w:tab w:val="clear" w:pos="1588"/>
                <w:tab w:val="clear" w:pos="1985"/>
              </w:tabs>
              <w:overflowPunct/>
              <w:autoSpaceDE/>
              <w:autoSpaceDN/>
              <w:adjustRightInd/>
              <w:spacing w:after="120"/>
              <w:rPr>
                <w:rFonts w:asciiTheme="minorHAnsi" w:hAnsiTheme="minorHAnsi" w:cstheme="minorHAnsi"/>
                <w:spacing w:val="-2"/>
                <w:szCs w:val="24"/>
                <w:lang w:val="es-ES"/>
              </w:rPr>
            </w:pPr>
          </w:p>
        </w:tc>
      </w:tr>
      <w:tr w:rsidR="009219FC" w:rsidRPr="001D431E" w14:paraId="7CAC1A1C" w14:textId="77777777" w:rsidTr="009219FC">
        <w:tc>
          <w:tcPr>
            <w:tcW w:w="9628" w:type="dxa"/>
            <w:tcBorders>
              <w:top w:val="single" w:sz="4" w:space="0" w:color="auto"/>
            </w:tcBorders>
          </w:tcPr>
          <w:p w14:paraId="4E479BE0" w14:textId="77777777" w:rsidR="009219FC" w:rsidRPr="001D431E" w:rsidRDefault="009219FC" w:rsidP="004F002A">
            <w:pPr>
              <w:widowControl w:val="0"/>
              <w:shd w:val="clear" w:color="auto" w:fill="FFFFFF" w:themeFill="background1"/>
              <w:tabs>
                <w:tab w:val="clear" w:pos="794"/>
                <w:tab w:val="clear" w:pos="1191"/>
                <w:tab w:val="clear" w:pos="1588"/>
                <w:tab w:val="clear" w:pos="1985"/>
              </w:tabs>
              <w:overflowPunct/>
              <w:autoSpaceDE/>
              <w:autoSpaceDN/>
              <w:adjustRightInd/>
              <w:rPr>
                <w:rFonts w:asciiTheme="minorHAnsi" w:hAnsiTheme="minorHAnsi" w:cstheme="minorHAnsi"/>
                <w:b/>
                <w:bCs/>
                <w:spacing w:val="2"/>
                <w:szCs w:val="24"/>
                <w:lang w:val="es-ES"/>
              </w:rPr>
            </w:pPr>
            <w:r w:rsidRPr="001D431E">
              <w:rPr>
                <w:rFonts w:asciiTheme="minorHAnsi" w:hAnsiTheme="minorHAnsi" w:cstheme="minorHAnsi"/>
                <w:b/>
                <w:bCs/>
                <w:spacing w:val="2"/>
                <w:szCs w:val="24"/>
                <w:lang w:val="es-ES"/>
              </w:rPr>
              <w:t>COMISIONES DE ESTUDIO</w:t>
            </w:r>
          </w:p>
          <w:p w14:paraId="2C33CCCC" w14:textId="77777777" w:rsidR="009219FC" w:rsidRPr="001D431E" w:rsidRDefault="009219FC" w:rsidP="004F002A">
            <w:pPr>
              <w:widowControl w:val="0"/>
              <w:rPr>
                <w:rFonts w:asciiTheme="minorHAnsi" w:eastAsia="Calibri" w:hAnsiTheme="minorHAnsi" w:cstheme="minorHAnsi"/>
                <w:spacing w:val="2"/>
                <w:lang w:val="es-ES"/>
              </w:rPr>
            </w:pPr>
            <w:r w:rsidRPr="001D431E">
              <w:rPr>
                <w:rFonts w:asciiTheme="minorHAnsi" w:eastAsia="Calibri" w:hAnsiTheme="minorHAnsi" w:cstheme="minorHAnsi"/>
                <w:spacing w:val="2"/>
                <w:lang w:val="es-ES"/>
              </w:rPr>
              <w:t xml:space="preserve">Durante la reunión de la Comisión de Estudio 1 del UIT-D se presentó el </w:t>
            </w:r>
            <w:r w:rsidRPr="001D431E">
              <w:rPr>
                <w:rFonts w:asciiTheme="minorHAnsi" w:eastAsia="Calibri" w:hAnsiTheme="minorHAnsi" w:cstheme="minorHAnsi"/>
                <w:b/>
                <w:bCs/>
                <w:spacing w:val="2"/>
                <w:lang w:val="es-ES"/>
              </w:rPr>
              <w:t xml:space="preserve">primer producto anual de las Comisiones de Estudio del UIT-D, </w:t>
            </w:r>
            <w:r w:rsidRPr="001D431E">
              <w:rPr>
                <w:rFonts w:asciiTheme="minorHAnsi" w:eastAsia="Calibri" w:hAnsiTheme="minorHAnsi" w:cstheme="minorHAnsi"/>
                <w:spacing w:val="2"/>
                <w:lang w:val="es-ES"/>
              </w:rPr>
              <w:t>titulado</w:t>
            </w:r>
            <w:r w:rsidRPr="001D431E">
              <w:rPr>
                <w:rFonts w:asciiTheme="minorHAnsi" w:eastAsiaTheme="minorEastAsia" w:hAnsiTheme="minorHAnsi" w:cstheme="minorHAnsi"/>
                <w:spacing w:val="2"/>
                <w:lang w:val="es-ES"/>
              </w:rPr>
              <w:t xml:space="preserve"> </w:t>
            </w:r>
            <w:hyperlink r:id="rId63">
              <w:r w:rsidRPr="001D431E">
                <w:rPr>
                  <w:rStyle w:val="Hyperlink"/>
                  <w:rFonts w:asciiTheme="minorHAnsi" w:eastAsiaTheme="minorEastAsia" w:hAnsiTheme="minorHAnsi" w:cstheme="minorHAnsi"/>
                  <w:spacing w:val="2"/>
                  <w:lang w:val="es-ES"/>
                </w:rPr>
                <w:t>Tendencias de las nuevas tecnologías, servicios y aplicaciones de radiodifusión</w:t>
              </w:r>
            </w:hyperlink>
            <w:r w:rsidRPr="001D431E">
              <w:rPr>
                <w:rFonts w:asciiTheme="minorHAnsi" w:eastAsiaTheme="minorEastAsia" w:hAnsiTheme="minorHAnsi" w:cstheme="minorHAnsi"/>
                <w:spacing w:val="2"/>
                <w:lang w:val="es-ES"/>
              </w:rPr>
              <w:t xml:space="preserve"> (Cuestión 2/1). En este producto se presentan las últimas tendencias en radiodifusión, incluidas las nuevas hipótesis de servicio basadas en las tecnologías más modernas. Se destaca también el trabajo que se realiza en el UIT-T y en otros eventos, así como las consecuencias económicas y reglamentarias para los usuarios, las partes interesadas y los organismos de reglamentación</w:t>
            </w:r>
            <w:r w:rsidRPr="001D431E">
              <w:rPr>
                <w:rFonts w:asciiTheme="minorHAnsi" w:eastAsia="Calibri" w:hAnsiTheme="minorHAnsi" w:cstheme="minorHAnsi"/>
                <w:spacing w:val="2"/>
                <w:lang w:val="es-ES"/>
              </w:rPr>
              <w:t>.</w:t>
            </w:r>
          </w:p>
          <w:p w14:paraId="5A448194" w14:textId="01752758" w:rsidR="009219FC" w:rsidRPr="001D431E" w:rsidRDefault="009219FC" w:rsidP="004F002A">
            <w:pPr>
              <w:widowControl w:val="0"/>
              <w:rPr>
                <w:rFonts w:asciiTheme="minorHAnsi" w:eastAsia="Calibri" w:hAnsiTheme="minorHAnsi" w:cstheme="minorHAnsi"/>
                <w:spacing w:val="2"/>
                <w:lang w:val="es-ES"/>
              </w:rPr>
            </w:pPr>
            <w:r w:rsidRPr="001D431E">
              <w:rPr>
                <w:rFonts w:asciiTheme="minorHAnsi" w:hAnsiTheme="minorHAnsi" w:cstheme="minorHAnsi"/>
                <w:spacing w:val="2"/>
                <w:lang w:val="es-ES"/>
              </w:rPr>
              <w:t xml:space="preserve">En paralelo a las reuniones de Grupos de Relator de la Comisión de Estudio 1 del UIT-D se celebraron dos talleres en septiembre de 2019 en los que se llegó a conclusiones interesantes. En el </w:t>
            </w:r>
            <w:hyperlink r:id="rId64">
              <w:r w:rsidRPr="001D431E">
                <w:rPr>
                  <w:rStyle w:val="Hyperlink"/>
                  <w:rFonts w:asciiTheme="minorHAnsi" w:hAnsiTheme="minorHAnsi" w:cstheme="minorHAnsi"/>
                  <w:spacing w:val="2"/>
                  <w:lang w:val="es-ES"/>
                </w:rPr>
                <w:t>taller sobre conectividad rural</w:t>
              </w:r>
            </w:hyperlink>
            <w:r w:rsidRPr="001D431E">
              <w:rPr>
                <w:rFonts w:asciiTheme="minorHAnsi" w:hAnsiTheme="minorHAnsi" w:cstheme="minorHAnsi"/>
                <w:spacing w:val="2"/>
                <w:lang w:val="es-ES"/>
              </w:rPr>
              <w:t xml:space="preserve"> se plantearon los principales retos, por ejemplo, los costes</w:t>
            </w:r>
            <w:r w:rsidR="00C412C7">
              <w:rPr>
                <w:rFonts w:asciiTheme="minorHAnsi" w:hAnsiTheme="minorHAnsi" w:cstheme="minorHAnsi"/>
                <w:spacing w:val="2"/>
                <w:lang w:val="es-ES"/>
              </w:rPr>
              <w:t>,</w:t>
            </w:r>
            <w:r w:rsidRPr="001D431E">
              <w:rPr>
                <w:rFonts w:asciiTheme="minorHAnsi" w:hAnsiTheme="minorHAnsi" w:cstheme="minorHAnsi"/>
                <w:spacing w:val="2"/>
                <w:lang w:val="es-ES"/>
              </w:rPr>
              <w:t xml:space="preserve"> que plantea la conexión en las zonas rurales, señalando que el principal obstáculo para conectar a los que todavía no están conectados no son, como podría pensarse, ni el espectro ni la cobertura. En el </w:t>
            </w:r>
            <w:hyperlink r:id="rId65">
              <w:r w:rsidRPr="001D431E">
                <w:rPr>
                  <w:rStyle w:val="Hyperlink"/>
                  <w:rFonts w:asciiTheme="minorHAnsi" w:hAnsiTheme="minorHAnsi" w:cstheme="minorHAnsi"/>
                  <w:spacing w:val="2"/>
                  <w:lang w:val="es-ES"/>
                </w:rPr>
                <w:t>taller sobre la implementación de proyectos de banda ancha</w:t>
              </w:r>
            </w:hyperlink>
            <w:r w:rsidRPr="001D431E">
              <w:rPr>
                <w:rFonts w:asciiTheme="minorHAnsi" w:hAnsiTheme="minorHAnsi" w:cstheme="minorHAnsi"/>
                <w:spacing w:val="2"/>
                <w:lang w:val="es-ES"/>
              </w:rPr>
              <w:t xml:space="preserve"> se presentaron pruebas del éxito cosechado por esos proyectos, así como los problemas que afrontaron, en todas las zonas geográficas. Las ponencias pueden consultarse en los sitios web de los respectivos talleres.</w:t>
            </w:r>
          </w:p>
          <w:p w14:paraId="112BF1F2" w14:textId="77777777" w:rsidR="009219FC" w:rsidRPr="001D431E" w:rsidRDefault="009219FC" w:rsidP="004F002A">
            <w:pPr>
              <w:widowControl w:val="0"/>
              <w:rPr>
                <w:rFonts w:asciiTheme="minorHAnsi" w:hAnsiTheme="minorHAnsi" w:cstheme="minorHAnsi"/>
                <w:spacing w:val="2"/>
                <w:lang w:val="es-ES"/>
              </w:rPr>
            </w:pPr>
            <w:r w:rsidRPr="001D431E">
              <w:rPr>
                <w:rFonts w:asciiTheme="minorHAnsi" w:hAnsiTheme="minorHAnsi" w:cstheme="minorHAnsi"/>
                <w:spacing w:val="2"/>
                <w:lang w:val="es-ES"/>
              </w:rPr>
              <w:t xml:space="preserve">Se organizó con la Comisión de Estudio 2 del UIT-D (Cuestión 4/2 </w:t>
            </w:r>
            <w:r w:rsidRPr="001D431E">
              <w:rPr>
                <w:rFonts w:asciiTheme="minorHAnsi" w:hAnsiTheme="minorHAnsi" w:cstheme="minorHAnsi"/>
                <w:i/>
                <w:iCs/>
                <w:spacing w:val="2"/>
                <w:lang w:val="es-ES"/>
              </w:rPr>
              <w:t>Asistencia a los países en desarrollo para la aplicación de programas de conformidad e interoperabilidad y la lucha contra la falsificación de equipos de tecnologías de la información y la comunicación y el robo de dispositivos móviles</w:t>
            </w:r>
            <w:r w:rsidRPr="001D431E">
              <w:rPr>
                <w:rFonts w:asciiTheme="minorHAnsi" w:hAnsiTheme="minorHAnsi" w:cstheme="minorHAnsi"/>
                <w:spacing w:val="2"/>
                <w:lang w:val="es-ES"/>
              </w:rPr>
              <w:t>)</w:t>
            </w:r>
            <w:r w:rsidRPr="001D431E">
              <w:rPr>
                <w:rFonts w:asciiTheme="minorHAnsi" w:hAnsiTheme="minorHAnsi" w:cstheme="minorHAnsi"/>
                <w:i/>
                <w:iCs/>
                <w:spacing w:val="2"/>
                <w:lang w:val="es-ES"/>
              </w:rPr>
              <w:t xml:space="preserve"> </w:t>
            </w:r>
            <w:r w:rsidRPr="001D431E">
              <w:rPr>
                <w:rFonts w:asciiTheme="minorHAnsi" w:hAnsiTheme="minorHAnsi" w:cstheme="minorHAnsi"/>
                <w:spacing w:val="2"/>
                <w:lang w:val="es-ES"/>
              </w:rPr>
              <w:t xml:space="preserve">un taller sobre </w:t>
            </w:r>
            <w:r w:rsidRPr="001D431E">
              <w:rPr>
                <w:rFonts w:asciiTheme="minorHAnsi" w:hAnsiTheme="minorHAnsi" w:cstheme="minorHAnsi"/>
                <w:i/>
                <w:iCs/>
                <w:spacing w:val="2"/>
                <w:lang w:val="es-ES"/>
              </w:rPr>
              <w:t>Conformidad e interoperabilidad de TIC: retos para los países en desarrollo</w:t>
            </w:r>
            <w:r w:rsidRPr="001D431E">
              <w:rPr>
                <w:rFonts w:asciiTheme="minorHAnsi" w:hAnsiTheme="minorHAnsi" w:cstheme="minorHAnsi"/>
                <w:spacing w:val="2"/>
                <w:lang w:val="es-ES"/>
              </w:rPr>
              <w:t>. En este evento se consideraron y propusieron soluciones para los siguientes temas: productos de TIC para la consecución de los ODS, colaboración innovadora y nuevas tecnologías (en particular IoT). El contenido y las conclusiones del taller servirán de contribución para el Informe final de la Cuestión</w:t>
            </w:r>
            <w:r w:rsidRPr="001D431E">
              <w:rPr>
                <w:rFonts w:asciiTheme="minorHAnsi" w:eastAsia="Calibri" w:hAnsiTheme="minorHAnsi" w:cstheme="minorHAnsi"/>
                <w:spacing w:val="2"/>
                <w:lang w:val="es-ES"/>
              </w:rPr>
              <w:t xml:space="preserve"> 4/2. Pueden consultarse el programa y las ponencias del taller en el siguiente </w:t>
            </w:r>
            <w:hyperlink r:id="rId66" w:history="1">
              <w:r w:rsidRPr="001D431E">
                <w:rPr>
                  <w:rStyle w:val="Hyperlink"/>
                  <w:rFonts w:asciiTheme="minorHAnsi" w:eastAsia="Calibri" w:hAnsiTheme="minorHAnsi" w:cstheme="minorHAnsi"/>
                  <w:spacing w:val="2"/>
                  <w:lang w:val="es-ES"/>
                </w:rPr>
                <w:t>enlace</w:t>
              </w:r>
            </w:hyperlink>
            <w:r w:rsidRPr="001D431E">
              <w:rPr>
                <w:rFonts w:asciiTheme="minorHAnsi" w:eastAsia="Calibri" w:hAnsiTheme="minorHAnsi" w:cstheme="minorHAnsi"/>
                <w:spacing w:val="2"/>
                <w:lang w:val="es-ES"/>
              </w:rPr>
              <w:t>.</w:t>
            </w:r>
          </w:p>
          <w:p w14:paraId="5DED88F5" w14:textId="77777777" w:rsidR="009219FC" w:rsidRPr="001D431E" w:rsidRDefault="009219FC" w:rsidP="004F002A">
            <w:pPr>
              <w:keepNext/>
              <w:keepLines/>
              <w:widowControl w:val="0"/>
              <w:shd w:val="clear" w:color="auto" w:fill="FFFFFF" w:themeFill="background1"/>
              <w:tabs>
                <w:tab w:val="clear" w:pos="794"/>
                <w:tab w:val="clear" w:pos="1191"/>
                <w:tab w:val="clear" w:pos="1588"/>
                <w:tab w:val="clear" w:pos="1985"/>
              </w:tabs>
              <w:overflowPunct/>
              <w:autoSpaceDE/>
              <w:autoSpaceDN/>
              <w:adjustRightInd/>
              <w:spacing w:after="120"/>
              <w:rPr>
                <w:rFonts w:asciiTheme="minorHAnsi" w:hAnsiTheme="minorHAnsi" w:cstheme="minorHAnsi"/>
                <w:spacing w:val="-2"/>
                <w:szCs w:val="24"/>
                <w:lang w:val="es-ES"/>
              </w:rPr>
            </w:pPr>
            <w:r w:rsidRPr="001D431E">
              <w:rPr>
                <w:rFonts w:asciiTheme="minorHAnsi" w:eastAsia="Calibri" w:hAnsiTheme="minorHAnsi" w:cstheme="minorHAnsi"/>
                <w:spacing w:val="-2"/>
                <w:lang w:val="es-ES"/>
              </w:rPr>
              <w:lastRenderedPageBreak/>
              <w:t>El tutorial sobre IA y nuevas tecnologías</w:t>
            </w:r>
            <w:r w:rsidRPr="001D431E">
              <w:rPr>
                <w:rFonts w:asciiTheme="minorHAnsi" w:hAnsiTheme="minorHAnsi" w:cstheme="minorHAnsi"/>
                <w:spacing w:val="-2"/>
                <w:lang w:val="es-ES"/>
              </w:rPr>
              <w:t xml:space="preserve"> (</w:t>
            </w:r>
            <w:hyperlink r:id="rId67" w:history="1">
              <w:r w:rsidRPr="001D431E">
                <w:rPr>
                  <w:rStyle w:val="Hyperlink"/>
                  <w:rFonts w:asciiTheme="minorHAnsi" w:eastAsiaTheme="minorEastAsia" w:hAnsiTheme="minorHAnsi" w:cstheme="minorHAnsi"/>
                  <w:spacing w:val="-2"/>
                  <w:lang w:val="es-ES"/>
                </w:rPr>
                <w:t>https://www.itu.int/en/ITU-D/Study-Groups/2018-2021/Pages/meetings/tutorial_AI_oct19.aspx</w:t>
              </w:r>
            </w:hyperlink>
            <w:r w:rsidRPr="001D431E">
              <w:rPr>
                <w:rFonts w:asciiTheme="minorHAnsi" w:eastAsia="Calibri" w:hAnsiTheme="minorHAnsi" w:cstheme="minorHAnsi"/>
                <w:spacing w:val="-2"/>
                <w:lang w:val="es-ES"/>
              </w:rPr>
              <w:t xml:space="preserve">), celebrado en la UIT con ocasión de las reuniones de Grupos de Relator de las Comisiones de Estudio del UIT-D, permitió a los Estados Miembros de la UIT, los Miembros de Sector y el personal de la UIT conocer más detalladamente lo que es y lo que no es la IA, así como los retos que plantea y las oportunidades que ofrece. Se presentaron las ponencias de formadores y oradores de Instituciones Académicas, el sector privado y organismos estatales, y en los debates se plantearon algunas cuestiones sobre derechos de propiedad intelectual, ética y responsabilidad que aún están por resolver. Pueden consultarse las ponencias en este </w:t>
            </w:r>
            <w:hyperlink r:id="rId68">
              <w:r w:rsidRPr="001D431E">
                <w:rPr>
                  <w:rStyle w:val="Hyperlink"/>
                  <w:rFonts w:asciiTheme="minorHAnsi" w:eastAsia="Calibri" w:hAnsiTheme="minorHAnsi" w:cstheme="minorHAnsi"/>
                  <w:spacing w:val="-2"/>
                  <w:lang w:val="es-ES"/>
                </w:rPr>
                <w:t>sitio web</w:t>
              </w:r>
            </w:hyperlink>
            <w:r w:rsidRPr="001D431E">
              <w:rPr>
                <w:rFonts w:asciiTheme="minorHAnsi" w:eastAsia="Calibri" w:hAnsiTheme="minorHAnsi" w:cstheme="minorHAnsi"/>
                <w:spacing w:val="-2"/>
                <w:lang w:val="es-ES"/>
              </w:rPr>
              <w:t xml:space="preserve">. </w:t>
            </w:r>
          </w:p>
        </w:tc>
      </w:tr>
    </w:tbl>
    <w:p w14:paraId="7893BCD0" w14:textId="525A6111" w:rsidR="00C1021F" w:rsidRPr="009E0EC1" w:rsidRDefault="00C1021F" w:rsidP="00C4604C">
      <w:pPr>
        <w:pStyle w:val="Heading1"/>
        <w:rPr>
          <w:lang w:val="es-ES"/>
        </w:rPr>
      </w:pPr>
      <w:r w:rsidRPr="009E0EC1">
        <w:rPr>
          <w:lang w:val="es-ES"/>
        </w:rPr>
        <w:lastRenderedPageBreak/>
        <w:t>9</w:t>
      </w:r>
      <w:r w:rsidRPr="009E0EC1">
        <w:rPr>
          <w:lang w:val="es-ES"/>
        </w:rPr>
        <w:tab/>
        <w:t xml:space="preserve">Política y reglamentación: marcos políticos y reglamentarios favorables al desarrollo del mercado digital y el bienestar del usuario </w:t>
      </w:r>
    </w:p>
    <w:p w14:paraId="56BF67BB" w14:textId="77777777" w:rsidR="00C1021F" w:rsidRPr="009E0EC1" w:rsidRDefault="00C1021F" w:rsidP="004C2190">
      <w:pPr>
        <w:pStyle w:val="Heading2"/>
        <w:rPr>
          <w:lang w:val="es-ES"/>
        </w:rPr>
      </w:pPr>
      <w:r w:rsidRPr="009E0EC1">
        <w:rPr>
          <w:lang w:val="es-ES"/>
        </w:rPr>
        <w:t>9.1</w:t>
      </w:r>
      <w:r w:rsidRPr="009E0EC1">
        <w:rPr>
          <w:lang w:val="es-ES"/>
        </w:rPr>
        <w:tab/>
        <w:t>GSR-19</w:t>
      </w:r>
    </w:p>
    <w:p w14:paraId="07FB47A1" w14:textId="04A987ED" w:rsidR="00C1021F" w:rsidRPr="001D431E" w:rsidRDefault="00C1021F" w:rsidP="009219FC">
      <w:pPr>
        <w:rPr>
          <w:rFonts w:cstheme="minorHAnsi"/>
          <w:lang w:val="es-ES"/>
        </w:rPr>
      </w:pPr>
      <w:r w:rsidRPr="001D431E">
        <w:rPr>
          <w:rFonts w:cstheme="minorHAnsi"/>
          <w:lang w:val="es-ES"/>
        </w:rPr>
        <w:t xml:space="preserve">La 19ª edición del </w:t>
      </w:r>
      <w:hyperlink r:id="rId69" w:history="1">
        <w:r w:rsidRPr="001D431E">
          <w:rPr>
            <w:rFonts w:cstheme="minorHAnsi"/>
            <w:color w:val="0000FF" w:themeColor="hyperlink"/>
            <w:u w:val="single"/>
            <w:lang w:val="es-ES"/>
          </w:rPr>
          <w:t>Simposio Mundial para Organismos Reguladores (GSR-19)</w:t>
        </w:r>
      </w:hyperlink>
      <w:r w:rsidRPr="001D431E">
        <w:rPr>
          <w:rFonts w:cstheme="minorHAnsi"/>
          <w:lang w:val="es-ES"/>
        </w:rPr>
        <w:t>, celebrado en Port</w:t>
      </w:r>
      <w:r w:rsidR="00C412C7">
        <w:rPr>
          <w:rFonts w:cstheme="minorHAnsi"/>
          <w:lang w:val="es-ES"/>
        </w:rPr>
        <w:t> </w:t>
      </w:r>
      <w:r w:rsidRPr="001D431E">
        <w:rPr>
          <w:rFonts w:cstheme="minorHAnsi"/>
          <w:lang w:val="es-ES"/>
        </w:rPr>
        <w:t xml:space="preserve">Vila, Vanuatu, del 9 al 12 de julio, contó con más de 325 participantes, entre los que se encontraban ministros gubernamentales, jefes de organismos reguladores y altos ejecutivos de la industria de más de 64 países. Presidido por el Sr. Brian Winji, Presidente del Organismo Regulador de las Telecomunicaciones, las Radiocomunicaciones y la Radiodifusión de la República de Vanuatu, el tema del GSR-19 fue </w:t>
      </w:r>
      <w:r w:rsidRPr="001D431E">
        <w:rPr>
          <w:rFonts w:cstheme="minorHAnsi"/>
          <w:i/>
          <w:iCs/>
          <w:lang w:val="es-ES"/>
        </w:rPr>
        <w:t>Conectividad inclusiva: el futuro de la reglamentación</w:t>
      </w:r>
      <w:r w:rsidRPr="001D431E">
        <w:rPr>
          <w:rFonts w:cstheme="minorHAnsi"/>
          <w:lang w:val="es-ES"/>
        </w:rPr>
        <w:t xml:space="preserve">. El GSR-19 adoptó las Directrices de prácticas idóneas para acelerar la conectividad digital para todos. Estas directrices favorecen la ampliación de las redes del último kilómetro que permiten a todo el mundo participar en la economía digital y disfrutar de la transformación digital. </w:t>
      </w:r>
    </w:p>
    <w:p w14:paraId="4DF7A508" w14:textId="77777777" w:rsidR="00C1021F" w:rsidRPr="009E0EC1" w:rsidRDefault="00C1021F" w:rsidP="004C2190">
      <w:pPr>
        <w:pStyle w:val="Heading2"/>
        <w:rPr>
          <w:lang w:val="es-ES"/>
        </w:rPr>
      </w:pPr>
      <w:r w:rsidRPr="009E0EC1">
        <w:rPr>
          <w:lang w:val="es-ES"/>
        </w:rPr>
        <w:t>9.2</w:t>
      </w:r>
      <w:r w:rsidRPr="009E0EC1">
        <w:rPr>
          <w:lang w:val="es-ES"/>
        </w:rPr>
        <w:tab/>
        <w:t>Consecuencias positivas de la banda ancha</w:t>
      </w:r>
    </w:p>
    <w:p w14:paraId="308310EE" w14:textId="1F487E58" w:rsidR="00C1021F" w:rsidRPr="001D431E" w:rsidRDefault="00C1021F" w:rsidP="00C1021F">
      <w:pPr>
        <w:rPr>
          <w:rFonts w:cstheme="minorHAnsi"/>
          <w:lang w:val="es-ES"/>
        </w:rPr>
      </w:pPr>
      <w:r w:rsidRPr="001D431E">
        <w:rPr>
          <w:rFonts w:cstheme="minorHAnsi"/>
          <w:lang w:val="es-ES"/>
        </w:rPr>
        <w:t xml:space="preserve">En una serie de informes se cuantifican las consecuencias económicas positivas de la banda ancha, la transformación digital y la influencia de la reglamentación de las TIC tanto a </w:t>
      </w:r>
      <w:hyperlink r:id="rId70" w:history="1">
        <w:r w:rsidRPr="001D431E">
          <w:rPr>
            <w:rStyle w:val="Hyperlink"/>
            <w:rFonts w:cstheme="minorHAnsi"/>
            <w:lang w:val="es-ES"/>
          </w:rPr>
          <w:t>nivel regional como mundial</w:t>
        </w:r>
      </w:hyperlink>
      <w:r w:rsidRPr="001D431E">
        <w:rPr>
          <w:rFonts w:cstheme="minorHAnsi"/>
          <w:lang w:val="es-ES"/>
        </w:rPr>
        <w:t>.</w:t>
      </w:r>
      <w:r w:rsidRPr="001D431E">
        <w:rPr>
          <w:rFonts w:cstheme="minorHAnsi"/>
          <w:bCs/>
          <w:lang w:val="es-ES"/>
        </w:rPr>
        <w:t xml:space="preserve"> Los principales resultados de la modelización econométrica por regiones sugiere que un aumento del 10 % de la penetración de la banda ancha móvil generaría un aumento del 2,5% del PIB </w:t>
      </w:r>
      <w:r w:rsidRPr="001D431E">
        <w:rPr>
          <w:rFonts w:cstheme="minorHAnsi"/>
          <w:bCs/>
          <w:i/>
          <w:iCs/>
          <w:lang w:val="es-ES"/>
        </w:rPr>
        <w:t xml:space="preserve">per </w:t>
      </w:r>
      <w:proofErr w:type="spellStart"/>
      <w:r w:rsidRPr="001D431E">
        <w:rPr>
          <w:rFonts w:cstheme="minorHAnsi"/>
          <w:bCs/>
          <w:i/>
          <w:iCs/>
          <w:lang w:val="es-ES"/>
        </w:rPr>
        <w:t>capita</w:t>
      </w:r>
      <w:proofErr w:type="spellEnd"/>
      <w:r w:rsidRPr="001D431E">
        <w:rPr>
          <w:rFonts w:cstheme="minorHAnsi"/>
          <w:bCs/>
          <w:i/>
          <w:iCs/>
          <w:lang w:val="es-ES"/>
        </w:rPr>
        <w:t xml:space="preserve"> </w:t>
      </w:r>
      <w:r w:rsidRPr="001D431E">
        <w:rPr>
          <w:rFonts w:cstheme="minorHAnsi"/>
          <w:bCs/>
          <w:lang w:val="es-ES"/>
        </w:rPr>
        <w:t xml:space="preserve">en la </w:t>
      </w:r>
      <w:hyperlink r:id="rId71" w:history="1">
        <w:r w:rsidRPr="001D431E">
          <w:rPr>
            <w:rStyle w:val="Hyperlink"/>
            <w:rFonts w:cstheme="minorHAnsi"/>
            <w:bCs/>
            <w:lang w:val="es-ES"/>
          </w:rPr>
          <w:t>región de África</w:t>
        </w:r>
      </w:hyperlink>
      <w:r w:rsidRPr="001D431E">
        <w:rPr>
          <w:rFonts w:cstheme="minorHAnsi"/>
          <w:bCs/>
          <w:lang w:val="es-ES"/>
        </w:rPr>
        <w:t>, del</w:t>
      </w:r>
      <w:r w:rsidRPr="001D431E">
        <w:rPr>
          <w:rFonts w:cstheme="minorHAnsi"/>
          <w:lang w:val="es-ES"/>
        </w:rPr>
        <w:t xml:space="preserve"> 1,9% en la</w:t>
      </w:r>
      <w:r w:rsidRPr="001D431E">
        <w:rPr>
          <w:rFonts w:cstheme="minorHAnsi"/>
          <w:bCs/>
          <w:lang w:val="es-ES"/>
        </w:rPr>
        <w:t xml:space="preserve"> </w:t>
      </w:r>
      <w:hyperlink r:id="rId72" w:history="1">
        <w:r w:rsidRPr="001D431E">
          <w:rPr>
            <w:rStyle w:val="Hyperlink"/>
            <w:rFonts w:cstheme="minorHAnsi"/>
            <w:bCs/>
            <w:lang w:val="es-ES"/>
          </w:rPr>
          <w:t>región de Américas</w:t>
        </w:r>
      </w:hyperlink>
      <w:r w:rsidRPr="001D431E">
        <w:rPr>
          <w:rFonts w:cstheme="minorHAnsi"/>
          <w:bCs/>
          <w:lang w:val="es-ES"/>
        </w:rPr>
        <w:t xml:space="preserve">, del </w:t>
      </w:r>
      <w:r w:rsidRPr="001D431E">
        <w:rPr>
          <w:rFonts w:cstheme="minorHAnsi"/>
          <w:lang w:val="es-ES"/>
        </w:rPr>
        <w:t>1,81% en la región de los Estados Árabes, del</w:t>
      </w:r>
      <w:r w:rsidRPr="001D431E">
        <w:rPr>
          <w:rFonts w:cstheme="minorHAnsi"/>
          <w:bCs/>
          <w:lang w:val="es-ES"/>
        </w:rPr>
        <w:t xml:space="preserve"> 0,51% en la región</w:t>
      </w:r>
      <w:r w:rsidRPr="001D431E">
        <w:rPr>
          <w:rFonts w:cstheme="minorHAnsi"/>
          <w:lang w:val="es-ES"/>
        </w:rPr>
        <w:t xml:space="preserve"> </w:t>
      </w:r>
      <w:hyperlink r:id="rId73" w:history="1">
        <w:r w:rsidRPr="001D431E">
          <w:rPr>
            <w:rStyle w:val="Hyperlink"/>
            <w:rFonts w:cstheme="minorHAnsi"/>
            <w:bCs/>
            <w:lang w:val="es-ES"/>
          </w:rPr>
          <w:t>Asia-Pacífico</w:t>
        </w:r>
      </w:hyperlink>
      <w:r w:rsidRPr="001D431E">
        <w:rPr>
          <w:rFonts w:cstheme="minorHAnsi"/>
          <w:lang w:val="es-ES"/>
        </w:rPr>
        <w:t>, del 1,25% en la CEI y del 2,1% en Europa. Además, los estudios regionales llegan a la conclusión de que la fijación de precios sigue siendo un factor clave para la adopción de la banda ancha. Una reducción de los precios del 10% propiciaría una aceleración de la adopción en más del 3% en África y las Américas.</w:t>
      </w:r>
    </w:p>
    <w:p w14:paraId="2F2D38F4" w14:textId="77777777" w:rsidR="00C1021F" w:rsidRPr="001D431E" w:rsidRDefault="00C1021F" w:rsidP="00C1021F">
      <w:pPr>
        <w:rPr>
          <w:rFonts w:cstheme="minorHAnsi"/>
          <w:lang w:val="es-ES"/>
        </w:rPr>
      </w:pPr>
      <w:r w:rsidRPr="001D431E">
        <w:rPr>
          <w:rFonts w:cstheme="minorHAnsi"/>
          <w:lang w:val="es-ES"/>
        </w:rPr>
        <w:t xml:space="preserve">El Informe del Grupo de Trabajo de la Comisión de la Banda Ancha sobre la Infraestructura Digital Moonshot para África, titulado </w:t>
      </w:r>
      <w:hyperlink r:id="rId74" w:history="1">
        <w:proofErr w:type="spellStart"/>
        <w:r w:rsidRPr="001D431E">
          <w:rPr>
            <w:rStyle w:val="Hyperlink"/>
            <w:rFonts w:cstheme="minorHAnsi"/>
            <w:i/>
            <w:lang w:val="es-ES"/>
          </w:rPr>
          <w:t>Connecting</w:t>
        </w:r>
        <w:proofErr w:type="spellEnd"/>
        <w:r w:rsidRPr="001D431E">
          <w:rPr>
            <w:rStyle w:val="Hyperlink"/>
            <w:rFonts w:cstheme="minorHAnsi"/>
            <w:i/>
            <w:lang w:val="es-ES"/>
          </w:rPr>
          <w:t xml:space="preserve"> </w:t>
        </w:r>
        <w:proofErr w:type="spellStart"/>
        <w:r w:rsidRPr="001D431E">
          <w:rPr>
            <w:rStyle w:val="Hyperlink"/>
            <w:rFonts w:cstheme="minorHAnsi"/>
            <w:i/>
            <w:lang w:val="es-ES"/>
          </w:rPr>
          <w:t>Africa</w:t>
        </w:r>
        <w:proofErr w:type="spellEnd"/>
        <w:r w:rsidRPr="001D431E">
          <w:rPr>
            <w:rStyle w:val="Hyperlink"/>
            <w:rFonts w:cstheme="minorHAnsi"/>
            <w:i/>
            <w:lang w:val="es-ES"/>
          </w:rPr>
          <w:t xml:space="preserve"> </w:t>
        </w:r>
        <w:proofErr w:type="spellStart"/>
        <w:r w:rsidRPr="001D431E">
          <w:rPr>
            <w:rStyle w:val="Hyperlink"/>
            <w:rFonts w:cstheme="minorHAnsi"/>
            <w:i/>
            <w:lang w:val="es-ES"/>
          </w:rPr>
          <w:t>Through</w:t>
        </w:r>
        <w:proofErr w:type="spellEnd"/>
        <w:r w:rsidRPr="001D431E">
          <w:rPr>
            <w:rStyle w:val="Hyperlink"/>
            <w:rFonts w:cstheme="minorHAnsi"/>
            <w:i/>
            <w:lang w:val="es-ES"/>
          </w:rPr>
          <w:t xml:space="preserve"> </w:t>
        </w:r>
        <w:proofErr w:type="spellStart"/>
        <w:r w:rsidRPr="001D431E">
          <w:rPr>
            <w:rStyle w:val="Hyperlink"/>
            <w:rFonts w:cstheme="minorHAnsi"/>
            <w:i/>
            <w:lang w:val="es-ES"/>
          </w:rPr>
          <w:t>Broadband</w:t>
        </w:r>
        <w:proofErr w:type="spellEnd"/>
        <w:r w:rsidRPr="001D431E">
          <w:rPr>
            <w:rStyle w:val="Hyperlink"/>
            <w:rFonts w:cstheme="minorHAnsi"/>
            <w:i/>
            <w:lang w:val="es-ES"/>
          </w:rPr>
          <w:t xml:space="preserve"> A strategy for doubling connectivity by 2021 and reaching universal access by 2030,</w:t>
        </w:r>
        <w:r w:rsidRPr="001D431E">
          <w:rPr>
            <w:rStyle w:val="Hyperlink"/>
            <w:rFonts w:cstheme="minorHAnsi"/>
            <w:lang w:val="es-ES"/>
          </w:rPr>
          <w:t xml:space="preserve"> </w:t>
        </w:r>
      </w:hyperlink>
      <w:r w:rsidRPr="001D431E">
        <w:rPr>
          <w:rFonts w:cstheme="minorHAnsi"/>
          <w:lang w:val="es-ES"/>
        </w:rPr>
        <w:t>contó con importantes contribuciones de la UIT. Este informe intenta cuantificar el coste del cierre de la brecha de banda ancha en África y contiene una hoja de ruta y un plan de acción para alcanzar la conectividad a la banda ancha universal en la región antes de 2030.</w:t>
      </w:r>
    </w:p>
    <w:p w14:paraId="74EEAED8" w14:textId="77777777" w:rsidR="00C1021F" w:rsidRPr="009E0EC1" w:rsidRDefault="00C1021F" w:rsidP="006F4F77">
      <w:pPr>
        <w:pStyle w:val="Heading2"/>
        <w:rPr>
          <w:lang w:val="es-ES"/>
        </w:rPr>
      </w:pPr>
      <w:r w:rsidRPr="009E0EC1">
        <w:rPr>
          <w:lang w:val="es-ES"/>
        </w:rPr>
        <w:t>9.3</w:t>
      </w:r>
      <w:r w:rsidRPr="009E0EC1">
        <w:rPr>
          <w:lang w:val="es-ES"/>
        </w:rPr>
        <w:tab/>
        <w:t>ICT Regulatory Tracker y el Informe Global ICT regulatory outlook de la UIT</w:t>
      </w:r>
    </w:p>
    <w:p w14:paraId="03B69C3E" w14:textId="77777777" w:rsidR="00C1021F" w:rsidRPr="001D431E" w:rsidRDefault="00C1021F" w:rsidP="00C1021F">
      <w:pPr>
        <w:rPr>
          <w:rFonts w:cstheme="minorHAnsi"/>
          <w:szCs w:val="24"/>
          <w:lang w:val="es-ES"/>
        </w:rPr>
      </w:pPr>
      <w:r w:rsidRPr="001D431E">
        <w:rPr>
          <w:rFonts w:cstheme="minorHAnsi"/>
          <w:color w:val="333333"/>
          <w:szCs w:val="24"/>
          <w:shd w:val="clear" w:color="auto" w:fill="FFFFFF"/>
          <w:lang w:val="es-ES"/>
        </w:rPr>
        <w:t xml:space="preserve">El </w:t>
      </w:r>
      <w:hyperlink r:id="rId75" w:anchor="/tracker-by-country/regulatory-tracker/2018" w:history="1">
        <w:r w:rsidRPr="001D431E">
          <w:rPr>
            <w:rStyle w:val="Hyperlink"/>
            <w:rFonts w:cstheme="minorHAnsi"/>
            <w:szCs w:val="24"/>
            <w:shd w:val="clear" w:color="auto" w:fill="FFFFFF"/>
            <w:lang w:val="es-ES"/>
          </w:rPr>
          <w:t xml:space="preserve">ICT </w:t>
        </w:r>
        <w:proofErr w:type="spellStart"/>
        <w:r w:rsidRPr="001D431E">
          <w:rPr>
            <w:rStyle w:val="Hyperlink"/>
            <w:rFonts w:cstheme="minorHAnsi"/>
            <w:szCs w:val="24"/>
            <w:shd w:val="clear" w:color="auto" w:fill="FFFFFF"/>
            <w:lang w:val="es-ES"/>
          </w:rPr>
          <w:t>Regulatory</w:t>
        </w:r>
        <w:proofErr w:type="spellEnd"/>
        <w:r w:rsidRPr="001D431E">
          <w:rPr>
            <w:rStyle w:val="Hyperlink"/>
            <w:rFonts w:cstheme="minorHAnsi"/>
            <w:szCs w:val="24"/>
            <w:shd w:val="clear" w:color="auto" w:fill="FFFFFF"/>
            <w:lang w:val="es-ES"/>
          </w:rPr>
          <w:t xml:space="preserve"> </w:t>
        </w:r>
        <w:proofErr w:type="spellStart"/>
        <w:r w:rsidRPr="001D431E">
          <w:rPr>
            <w:rStyle w:val="Hyperlink"/>
            <w:rFonts w:cstheme="minorHAnsi"/>
            <w:szCs w:val="24"/>
            <w:shd w:val="clear" w:color="auto" w:fill="FFFFFF"/>
            <w:lang w:val="es-ES"/>
          </w:rPr>
          <w:t>Tracker</w:t>
        </w:r>
        <w:proofErr w:type="spellEnd"/>
      </w:hyperlink>
      <w:r w:rsidRPr="001D431E">
        <w:rPr>
          <w:rFonts w:cstheme="minorHAnsi"/>
          <w:color w:val="333333"/>
          <w:szCs w:val="24"/>
          <w:shd w:val="clear" w:color="auto" w:fill="FFFFFF"/>
          <w:lang w:val="es-ES"/>
        </w:rPr>
        <w:t xml:space="preserve"> de la UIT tiene por objetivo sustentar las grandes decisiones políticas. Contiene 50 indicadores, divididos en cuatro pilares: autoridad reglamentaria, mandato </w:t>
      </w:r>
      <w:r w:rsidRPr="001D431E">
        <w:rPr>
          <w:rFonts w:cstheme="minorHAnsi"/>
          <w:color w:val="333333"/>
          <w:szCs w:val="24"/>
          <w:shd w:val="clear" w:color="auto" w:fill="FFFFFF"/>
          <w:lang w:val="es-ES"/>
        </w:rPr>
        <w:lastRenderedPageBreak/>
        <w:t xml:space="preserve">reglamentario, régimen reglamentario y marcos de competencia. Contiene datos correspondientes al periodo comprendido entre 2007 y </w:t>
      </w:r>
      <w:r w:rsidRPr="001D431E">
        <w:rPr>
          <w:rFonts w:cstheme="minorHAnsi"/>
          <w:szCs w:val="24"/>
          <w:lang w:val="es-ES"/>
        </w:rPr>
        <w:t xml:space="preserve">2018. </w:t>
      </w:r>
    </w:p>
    <w:p w14:paraId="0F94AF19" w14:textId="77777777" w:rsidR="00C1021F" w:rsidRPr="009E0EC1" w:rsidRDefault="00C1021F" w:rsidP="006F4F77">
      <w:pPr>
        <w:pStyle w:val="Heading2"/>
        <w:rPr>
          <w:lang w:val="es-ES"/>
        </w:rPr>
      </w:pPr>
      <w:r w:rsidRPr="009E0EC1">
        <w:rPr>
          <w:lang w:val="es-ES"/>
        </w:rPr>
        <w:t>9.4</w:t>
      </w:r>
      <w:r w:rsidRPr="009E0EC1">
        <w:rPr>
          <w:lang w:val="es-ES"/>
        </w:rPr>
        <w:tab/>
        <w:t xml:space="preserve">Herramientas y referencias colaborativas para la reglamentación </w:t>
      </w:r>
    </w:p>
    <w:p w14:paraId="560E0AE0" w14:textId="77777777" w:rsidR="00C1021F" w:rsidRPr="001D431E" w:rsidRDefault="00C1021F" w:rsidP="00C1021F">
      <w:pPr>
        <w:rPr>
          <w:rFonts w:cstheme="minorHAnsi"/>
          <w:lang w:val="es-ES"/>
        </w:rPr>
      </w:pPr>
      <w:r w:rsidRPr="001D431E">
        <w:rPr>
          <w:rFonts w:cstheme="minorHAnsi"/>
          <w:lang w:val="es-ES"/>
        </w:rPr>
        <w:t xml:space="preserve">En el GSR-19 se presentó </w:t>
      </w:r>
      <w:hyperlink r:id="rId76" w:history="1">
        <w:r w:rsidRPr="001D431E">
          <w:rPr>
            <w:rStyle w:val="Hyperlink"/>
            <w:rFonts w:cstheme="minorHAnsi"/>
            <w:lang w:val="es-ES"/>
          </w:rPr>
          <w:t xml:space="preserve">G5 </w:t>
        </w:r>
        <w:proofErr w:type="spellStart"/>
        <w:r w:rsidRPr="001D431E">
          <w:rPr>
            <w:rStyle w:val="Hyperlink"/>
            <w:rFonts w:cstheme="minorHAnsi"/>
            <w:lang w:val="es-ES"/>
          </w:rPr>
          <w:t>Benchmark</w:t>
        </w:r>
        <w:proofErr w:type="spellEnd"/>
      </w:hyperlink>
      <w:r w:rsidRPr="001D431E">
        <w:rPr>
          <w:rStyle w:val="Hyperlink"/>
          <w:rFonts w:cstheme="minorHAnsi"/>
          <w:lang w:val="es-ES"/>
        </w:rPr>
        <w:t>,</w:t>
      </w:r>
      <w:r w:rsidRPr="001D431E">
        <w:rPr>
          <w:rFonts w:cstheme="minorHAnsi"/>
          <w:lang w:val="es-ES"/>
        </w:rPr>
        <w:t xml:space="preserve"> una nueva herramienta que modeliza configuraciones y herramientas reglamentarias y propone soluciones colaborativas transectoriales para acelerar la regulación efectiva en pro de la transformación digital. Basada en una sólida metodología y datos de peso, destaca las carencias de los marcos políticos en vigor, en lo que respecta a la transformación digital, y ofrece una hoja de ruta para la reforma reglamentaria. G5 Benchmark contiene datos de 80 países de todas las regiones correspondientes al periodo 2018-2019. De acuerdo con el análisis basado en Benchmark y el ICT Regulatory Tracker, nueve de cada 10 países todavía regula las TIC como un sector económico independiente. Los 16 países de vanguardia han llegado a la regulación colaborativa de quinta generación y disponen ya de marcos reglamentarios con visión de futuro que propician la transformación digital de sus economías. La región líder en este aspecto es Europa, pues 10 de esos 16 países pertenecen a la región. Los seis países no europeos que ya se consideran G5 son Brasil, Canadá, Kenya, Marruecos, Japón y Singapur. </w:t>
      </w:r>
    </w:p>
    <w:p w14:paraId="73C42770" w14:textId="77777777" w:rsidR="00C1021F" w:rsidRPr="009E0EC1" w:rsidRDefault="00C1021F" w:rsidP="006F4F77">
      <w:pPr>
        <w:pStyle w:val="Heading2"/>
        <w:rPr>
          <w:lang w:val="es-ES"/>
        </w:rPr>
      </w:pPr>
      <w:r w:rsidRPr="009E0EC1">
        <w:rPr>
          <w:lang w:val="es-ES"/>
        </w:rPr>
        <w:t>9.5</w:t>
      </w:r>
      <w:r w:rsidRPr="009E0EC1">
        <w:rPr>
          <w:lang w:val="es-ES"/>
        </w:rPr>
        <w:tab/>
        <w:t>Formación en reglamentación</w:t>
      </w:r>
    </w:p>
    <w:p w14:paraId="4729DB63" w14:textId="77777777" w:rsidR="00C1021F" w:rsidRPr="001D431E" w:rsidRDefault="00C1021F" w:rsidP="00C1021F">
      <w:pPr>
        <w:rPr>
          <w:rFonts w:cstheme="minorHAnsi"/>
          <w:lang w:val="es-ES"/>
        </w:rPr>
      </w:pPr>
      <w:r w:rsidRPr="001D431E">
        <w:rPr>
          <w:rFonts w:cstheme="minorHAnsi"/>
          <w:lang w:val="es-ES"/>
        </w:rPr>
        <w:t xml:space="preserve">Se celebró una serie de sesiones de formación para reguladores sobre política y reglamentación digitales y evolución del mercado, y enfoques reglamentarios colaborativos para la transformación digital. </w:t>
      </w:r>
    </w:p>
    <w:p w14:paraId="2BD24DCB" w14:textId="4ECF1613" w:rsidR="00C1021F" w:rsidRPr="001D431E" w:rsidRDefault="00C1021F" w:rsidP="00C1021F">
      <w:pPr>
        <w:rPr>
          <w:rFonts w:cstheme="minorHAnsi"/>
          <w:bCs/>
          <w:lang w:val="es-ES"/>
        </w:rPr>
      </w:pPr>
      <w:r w:rsidRPr="001D431E">
        <w:rPr>
          <w:rFonts w:cstheme="minorHAnsi"/>
          <w:lang w:val="es-ES"/>
        </w:rPr>
        <w:t xml:space="preserve">En el marco de la Academia de la UIT, durante el GSR-19 la GSMA ofreció una sesión de formación </w:t>
      </w:r>
      <w:r w:rsidR="00467DE6">
        <w:rPr>
          <w:rFonts w:cstheme="minorHAnsi"/>
          <w:lang w:val="es-ES"/>
        </w:rPr>
        <w:t>"</w:t>
      </w:r>
      <w:r w:rsidRPr="001D431E">
        <w:rPr>
          <w:rFonts w:cstheme="minorHAnsi"/>
          <w:lang w:val="es-ES"/>
        </w:rPr>
        <w:t>de prueba</w:t>
      </w:r>
      <w:r w:rsidR="00467DE6">
        <w:rPr>
          <w:rFonts w:cstheme="minorHAnsi"/>
          <w:lang w:val="es-ES"/>
        </w:rPr>
        <w:t>"</w:t>
      </w:r>
      <w:r w:rsidRPr="001D431E">
        <w:rPr>
          <w:rFonts w:cstheme="minorHAnsi"/>
          <w:lang w:val="es-ES"/>
        </w:rPr>
        <w:t xml:space="preserve"> para responsables políticos y reguladores sobre la política de competencia en el sector de las TIC/móvil. En la sesión se realizó una introducción sobre este tema de medio día de duración, basada en el contenido del curso de dos días de duración, titulado </w:t>
      </w:r>
      <w:r w:rsidRPr="001D431E">
        <w:rPr>
          <w:rFonts w:cstheme="minorHAnsi"/>
          <w:i/>
          <w:iCs/>
          <w:lang w:val="es-ES"/>
        </w:rPr>
        <w:t>Política de competencia en la era digital</w:t>
      </w:r>
      <w:r w:rsidRPr="001D431E">
        <w:rPr>
          <w:rFonts w:cstheme="minorHAnsi"/>
          <w:lang w:val="es-ES"/>
        </w:rPr>
        <w:t>, organizado oficialmente por la Academia de Telecomunicaciones del Rino Unido, que se ofreció más adelante como curso en línea en 2019 a los responsables políticos y a los reguladores a través de la Academia de la UIT.</w:t>
      </w:r>
    </w:p>
    <w:p w14:paraId="3DFF1CA5" w14:textId="77777777" w:rsidR="00C1021F" w:rsidRPr="001D431E" w:rsidRDefault="00C1021F" w:rsidP="00C1021F">
      <w:pPr>
        <w:rPr>
          <w:rFonts w:cstheme="minorHAnsi"/>
          <w:lang w:val="es-ES"/>
        </w:rPr>
      </w:pPr>
      <w:r w:rsidRPr="001D431E">
        <w:rPr>
          <w:rFonts w:cstheme="minorHAnsi"/>
          <w:bCs/>
          <w:lang w:val="es-ES"/>
        </w:rPr>
        <w:t xml:space="preserve">La UIT, el USTTI y el Grupo del Banco Mundial (GBM) colaboraron en la impartición de una formación sobre prácticas idóneas reglamentarias en Nairobi, Kenya, destinada a funcionarios de Eswatini, Etiopía, Kenya, Somalia, Sudán del Sur y Sierra Leona. Con el importante apoyo de la Autoridad de Comunicaciones de Kenya y la Unión Africana de Telecomunicaciones (UAT), en el programa de tres días se abordaron el papel del regulador de comunicaciones independiente, los marcos de licencias y las prácticas idóneas reglamentarias que aceleran la inversión. </w:t>
      </w:r>
    </w:p>
    <w:p w14:paraId="7EFAACBF" w14:textId="77777777" w:rsidR="00C1021F" w:rsidRPr="009E0EC1" w:rsidRDefault="00C1021F" w:rsidP="001D793B">
      <w:pPr>
        <w:pStyle w:val="Heading2"/>
        <w:rPr>
          <w:lang w:val="es-ES"/>
        </w:rPr>
      </w:pPr>
      <w:r w:rsidRPr="009E0EC1">
        <w:rPr>
          <w:lang w:val="es-ES"/>
        </w:rPr>
        <w:t>9.6</w:t>
      </w:r>
      <w:r w:rsidRPr="009E0EC1">
        <w:rPr>
          <w:lang w:val="es-ES"/>
        </w:rPr>
        <w:tab/>
        <w:t>Protección del consumidor</w:t>
      </w:r>
    </w:p>
    <w:p w14:paraId="71C20E2D" w14:textId="3254DF4E" w:rsidR="00C1021F" w:rsidRPr="001D431E" w:rsidRDefault="00C1021F" w:rsidP="00C1021F">
      <w:pPr>
        <w:rPr>
          <w:rFonts w:eastAsia="Calibri" w:cstheme="minorHAnsi"/>
          <w:szCs w:val="24"/>
          <w:lang w:val="es-ES"/>
        </w:rPr>
      </w:pPr>
      <w:r w:rsidRPr="001D431E">
        <w:rPr>
          <w:rFonts w:eastAsia="Calibri" w:cstheme="minorHAnsi"/>
          <w:szCs w:val="24"/>
          <w:lang w:val="es-ES"/>
        </w:rPr>
        <w:t xml:space="preserve">El </w:t>
      </w:r>
      <w:r w:rsidRPr="001D431E">
        <w:rPr>
          <w:rFonts w:eastAsia="Calibri" w:cstheme="minorHAnsi"/>
          <w:i/>
          <w:iCs/>
          <w:szCs w:val="24"/>
          <w:lang w:val="es-ES"/>
        </w:rPr>
        <w:t>Digital Consumer Forum for Africa 2019,</w:t>
      </w:r>
      <w:r w:rsidRPr="001D431E">
        <w:rPr>
          <w:rFonts w:eastAsia="Calibri" w:cstheme="minorHAnsi"/>
          <w:szCs w:val="24"/>
          <w:lang w:val="es-ES"/>
        </w:rPr>
        <w:t xml:space="preserve"> centrado en la protección de datos, la privacidad del consumidor, la confianza y la seguridad, se celebró en Eswatini y en él se adoptaron algunas recomendaciones y directrices de prácticas idóneas para los políticos y reguladores de la región de África. El Foro fue precedido de un taller sobre enfoques colaborativos de protección del </w:t>
      </w:r>
      <w:r w:rsidR="00841CD0" w:rsidRPr="001D431E">
        <w:rPr>
          <w:rFonts w:eastAsia="Calibri" w:cstheme="minorHAnsi"/>
          <w:szCs w:val="24"/>
          <w:lang w:val="es-ES"/>
        </w:rPr>
        <w:t>consumidor</w:t>
      </w:r>
      <w:r w:rsidRPr="001D431E">
        <w:rPr>
          <w:rFonts w:eastAsia="Calibri" w:cstheme="minorHAnsi"/>
          <w:szCs w:val="24"/>
          <w:lang w:val="es-ES"/>
        </w:rPr>
        <w:t xml:space="preserve"> para la inclusión financiera digital, que contó con la participación de representantes del sector financiero, de seguros, gobiernos locales e instituciones académicas, entre otros. </w:t>
      </w:r>
    </w:p>
    <w:p w14:paraId="3CA6B8AD" w14:textId="77777777" w:rsidR="00C1021F" w:rsidRPr="009E0EC1" w:rsidRDefault="00C1021F" w:rsidP="001D793B">
      <w:pPr>
        <w:pStyle w:val="Heading2"/>
        <w:rPr>
          <w:lang w:val="es-ES"/>
        </w:rPr>
      </w:pPr>
      <w:r w:rsidRPr="009E0EC1">
        <w:rPr>
          <w:lang w:val="es-ES"/>
        </w:rPr>
        <w:t>9.7</w:t>
      </w:r>
      <w:r w:rsidRPr="009E0EC1">
        <w:rPr>
          <w:lang w:val="es-ES"/>
        </w:rPr>
        <w:tab/>
        <w:t>Iniciativa Mundial para la Inclusión Financiera (FIGI)</w:t>
      </w:r>
    </w:p>
    <w:p w14:paraId="6307A714" w14:textId="6C00BFB6" w:rsidR="00C1021F" w:rsidRPr="001D431E" w:rsidRDefault="00C1021F" w:rsidP="00C1021F">
      <w:pPr>
        <w:rPr>
          <w:rFonts w:cstheme="minorHAnsi"/>
          <w:color w:val="000000"/>
          <w:szCs w:val="24"/>
          <w:lang w:val="es-ES"/>
        </w:rPr>
      </w:pPr>
      <w:r w:rsidRPr="001D431E">
        <w:rPr>
          <w:rFonts w:eastAsia="Calibri" w:cstheme="minorHAnsi"/>
          <w:szCs w:val="24"/>
          <w:lang w:val="es-ES"/>
        </w:rPr>
        <w:t xml:space="preserve">Se prestó asistencia para el aprovechamiento de las TIC para la inclusión financiera digital a China, Egipto y México en el marco de la Iniciativa Mundial para la Inclusión Financiera, iniciativa de </w:t>
      </w:r>
      <w:r w:rsidRPr="001D431E">
        <w:rPr>
          <w:rFonts w:eastAsia="Calibri" w:cstheme="minorHAnsi"/>
          <w:szCs w:val="24"/>
          <w:lang w:val="es-ES"/>
        </w:rPr>
        <w:lastRenderedPageBreak/>
        <w:t>3</w:t>
      </w:r>
      <w:r w:rsidR="002D25B8">
        <w:rPr>
          <w:rFonts w:eastAsia="Calibri" w:cstheme="minorHAnsi"/>
          <w:szCs w:val="24"/>
          <w:lang w:val="es-ES"/>
        </w:rPr>
        <w:t> </w:t>
      </w:r>
      <w:r w:rsidRPr="001D431E">
        <w:rPr>
          <w:rFonts w:eastAsia="Calibri" w:cstheme="minorHAnsi"/>
          <w:szCs w:val="24"/>
          <w:lang w:val="es-ES"/>
        </w:rPr>
        <w:t xml:space="preserve">años liderada por la UIT, el Grupo del Banco Mundial </w:t>
      </w:r>
      <w:r w:rsidR="001D316C" w:rsidRPr="001D431E">
        <w:rPr>
          <w:rFonts w:eastAsia="Calibri" w:cstheme="minorHAnsi"/>
          <w:szCs w:val="24"/>
          <w:lang w:val="es-ES"/>
        </w:rPr>
        <w:t>y el</w:t>
      </w:r>
      <w:r w:rsidRPr="001D431E">
        <w:rPr>
          <w:rFonts w:eastAsia="Calibri" w:cstheme="minorHAnsi"/>
          <w:szCs w:val="24"/>
          <w:lang w:val="es-ES"/>
        </w:rPr>
        <w:t xml:space="preserve"> Comité de Pagos e Infraestructuras de Mercado (CPMI), con el apoyo de la Fundación Bill &amp; Melinda Gates. Las actividades se centraron en la realización de un análisis de carencias en Egipto para detecta</w:t>
      </w:r>
      <w:r w:rsidR="00DE4CD9">
        <w:rPr>
          <w:rFonts w:eastAsia="Calibri" w:cstheme="minorHAnsi"/>
          <w:szCs w:val="24"/>
          <w:lang w:val="es-ES"/>
        </w:rPr>
        <w:t>r</w:t>
      </w:r>
      <w:r w:rsidRPr="001D431E">
        <w:rPr>
          <w:rFonts w:eastAsia="Calibri" w:cstheme="minorHAnsi"/>
          <w:szCs w:val="24"/>
          <w:lang w:val="es-ES"/>
        </w:rPr>
        <w:t xml:space="preserve"> la necesidad de promover una infraestructura segura y resiliente para las TIC; la cartografía de la infraestructura en México; la definición de proyectos piloto para aprovechar las TIC a fin de utilizar los servicios financieros digitales para erradicar la pobreza en China, y la definición y puesta en marcha de mecanismos reglamentarios colaborativos que sustenten el enfoque de gobierno global en México</w:t>
      </w:r>
      <w:r w:rsidRPr="001D431E">
        <w:rPr>
          <w:rFonts w:cstheme="minorHAnsi"/>
          <w:color w:val="000000"/>
          <w:szCs w:val="24"/>
          <w:lang w:val="es-ES"/>
        </w:rPr>
        <w:t>.</w:t>
      </w:r>
    </w:p>
    <w:p w14:paraId="37A18920" w14:textId="77777777" w:rsidR="00C1021F" w:rsidRPr="009E0EC1" w:rsidRDefault="00C1021F" w:rsidP="00200B71">
      <w:pPr>
        <w:pStyle w:val="Heading2"/>
        <w:rPr>
          <w:lang w:val="es-ES"/>
        </w:rPr>
      </w:pPr>
      <w:r w:rsidRPr="009E0EC1">
        <w:rPr>
          <w:lang w:val="es-ES"/>
        </w:rPr>
        <w:t>9.8</w:t>
      </w:r>
      <w:r w:rsidRPr="009E0EC1">
        <w:rPr>
          <w:lang w:val="es-ES"/>
        </w:rPr>
        <w:tab/>
        <w:t>Recomendaciones del Grupo Especial sobre Economía Digital de la Unión Europea/Unión Africana</w:t>
      </w:r>
    </w:p>
    <w:p w14:paraId="4B1668D1" w14:textId="77777777" w:rsidR="00C1021F" w:rsidRPr="001D431E" w:rsidRDefault="00C1021F" w:rsidP="00C1021F">
      <w:pPr>
        <w:rPr>
          <w:rFonts w:eastAsia="Calibri" w:cstheme="minorHAnsi"/>
          <w:szCs w:val="24"/>
          <w:lang w:val="es-ES"/>
        </w:rPr>
      </w:pPr>
      <w:r w:rsidRPr="001D431E">
        <w:rPr>
          <w:rFonts w:eastAsia="Calibri" w:cstheme="minorHAnsi"/>
          <w:szCs w:val="24"/>
          <w:lang w:val="es-ES"/>
        </w:rPr>
        <w:t xml:space="preserve">En tanto que miembro activo del </w:t>
      </w:r>
      <w:hyperlink r:id="rId77" w:history="1">
        <w:r w:rsidRPr="001D431E">
          <w:rPr>
            <w:rStyle w:val="Hyperlink"/>
            <w:rFonts w:eastAsia="Calibri" w:cstheme="minorHAnsi"/>
            <w:szCs w:val="24"/>
            <w:lang w:val="es-ES"/>
          </w:rPr>
          <w:t>Grupo Especial sobre Economía Digital de la UE-UA (DETF)</w:t>
        </w:r>
      </w:hyperlink>
      <w:r w:rsidRPr="001D431E">
        <w:rPr>
          <w:rFonts w:eastAsia="Calibri" w:cstheme="minorHAnsi"/>
          <w:szCs w:val="24"/>
          <w:lang w:val="es-ES"/>
        </w:rPr>
        <w:t>, la UIT participó en la definición de una perspectiva común, una serie de principios comunes acordados y una lista de recomendaciones y acciones políticas, que se recogen en un informe destinado a eliminar los principales obstáculos que afronta la región de África a la hora de desarrollar la economía y la sociedad digitales. Las recomendaciones más importantes son: acelerar el acceso universal a la banda ancha asequible; garantizar la formación básica para todos para poder prosperar en la era digital; mejorar el entorno empresarial y facilitar el acceso a los servicios financieros y de apoyo para acelerar la creación de empresas digitales, y acelerar la adopción de servicios-e y el desarrollo de la economía digital para la consecución de los Objetivos de Desarrollo Sostenible. Estas recomendaciones y contribuciones se comunicaron también a la Comisión de la Unión Africana para el desarrollo de la Estrategia de transformación digital de la Unión Africana.</w:t>
      </w:r>
    </w:p>
    <w:p w14:paraId="35BFEBC0" w14:textId="704AB8F7" w:rsidR="00C1021F" w:rsidRPr="009E0EC1" w:rsidRDefault="00C1021F" w:rsidP="001D793B">
      <w:pPr>
        <w:pStyle w:val="Heading2"/>
        <w:rPr>
          <w:lang w:val="es-ES"/>
        </w:rPr>
      </w:pPr>
      <w:r w:rsidRPr="009E0EC1">
        <w:rPr>
          <w:lang w:val="es-ES"/>
        </w:rPr>
        <w:t>9.9</w:t>
      </w:r>
      <w:r w:rsidRPr="009E0EC1">
        <w:rPr>
          <w:lang w:val="es-ES"/>
        </w:rPr>
        <w:tab/>
        <w:t>Asistencia directa</w:t>
      </w:r>
    </w:p>
    <w:p w14:paraId="1EC3E5B7" w14:textId="77777777" w:rsidR="00C1021F" w:rsidRPr="001D431E" w:rsidRDefault="00C1021F" w:rsidP="00C1021F">
      <w:pPr>
        <w:rPr>
          <w:rFonts w:cstheme="minorHAnsi"/>
          <w:lang w:val="es-ES"/>
        </w:rPr>
      </w:pPr>
      <w:r w:rsidRPr="001D431E">
        <w:rPr>
          <w:rFonts w:eastAsia="Calibri" w:cstheme="minorHAnsi"/>
          <w:szCs w:val="24"/>
          <w:lang w:val="es-ES"/>
        </w:rPr>
        <w:t xml:space="preserve">Se prestó una asistencia específica para los países lusófonos en Santo Tomé y Príncipe sobre calidad de servicio de redes y numeración, se prestó también asistencia directa a Santo Tomé y Príncipe con la realización de un estudio tarifario, y se organizó una formación. </w:t>
      </w:r>
    </w:p>
    <w:p w14:paraId="5C506376" w14:textId="77777777" w:rsidR="00C1021F" w:rsidRPr="001D431E" w:rsidRDefault="00C1021F" w:rsidP="00C1021F">
      <w:pPr>
        <w:rPr>
          <w:rFonts w:cstheme="minorHAnsi"/>
          <w:lang w:val="es-ES"/>
        </w:rPr>
      </w:pPr>
      <w:r w:rsidRPr="001D431E">
        <w:rPr>
          <w:rFonts w:eastAsia="Calibri" w:cstheme="minorHAnsi"/>
          <w:szCs w:val="24"/>
          <w:lang w:val="es-ES"/>
        </w:rPr>
        <w:t xml:space="preserve">Se prestó asistencia directa a la República Democrática del Congo sobre la obligación de servicio universal nacional y se celebró un taller sobre numeración en Kinshasa. </w:t>
      </w:r>
    </w:p>
    <w:p w14:paraId="130498BC" w14:textId="77777777" w:rsidR="00C1021F" w:rsidRPr="001D431E" w:rsidRDefault="00C1021F" w:rsidP="00C1021F">
      <w:pPr>
        <w:rPr>
          <w:rFonts w:cstheme="minorHAnsi"/>
          <w:color w:val="444444"/>
          <w:lang w:val="es-ES"/>
        </w:rPr>
      </w:pPr>
    </w:p>
    <w:tbl>
      <w:tblPr>
        <w:tblStyle w:val="TableGrid5"/>
        <w:tblW w:w="0" w:type="auto"/>
        <w:tblLook w:val="04A0" w:firstRow="1" w:lastRow="0" w:firstColumn="1" w:lastColumn="0" w:noHBand="0" w:noVBand="1"/>
      </w:tblPr>
      <w:tblGrid>
        <w:gridCol w:w="9628"/>
      </w:tblGrid>
      <w:tr w:rsidR="00C1021F" w:rsidRPr="00BD1F0A" w14:paraId="12AB1EA6" w14:textId="77777777" w:rsidTr="00794672">
        <w:tc>
          <w:tcPr>
            <w:tcW w:w="9629" w:type="dxa"/>
          </w:tcPr>
          <w:p w14:paraId="3264293B" w14:textId="77777777" w:rsidR="00C1021F" w:rsidRPr="001D431E" w:rsidRDefault="00C1021F" w:rsidP="00794672">
            <w:pPr>
              <w:keepNext/>
              <w:rPr>
                <w:rFonts w:asciiTheme="minorHAnsi" w:hAnsiTheme="minorHAnsi" w:cstheme="minorHAnsi"/>
                <w:b/>
                <w:bCs/>
                <w:lang w:val="es-ES"/>
              </w:rPr>
            </w:pPr>
            <w:r w:rsidRPr="001D431E">
              <w:rPr>
                <w:rFonts w:asciiTheme="minorHAnsi" w:hAnsiTheme="minorHAnsi" w:cstheme="minorHAnsi"/>
                <w:b/>
                <w:bCs/>
                <w:lang w:val="es-ES"/>
              </w:rPr>
              <w:t>INICIATIVAS REGIONALES</w:t>
            </w:r>
          </w:p>
          <w:p w14:paraId="478E9A78" w14:textId="77777777" w:rsidR="00C1021F" w:rsidRPr="001D431E" w:rsidRDefault="00C1021F" w:rsidP="00794672">
            <w:pPr>
              <w:keepNext/>
              <w:rPr>
                <w:rFonts w:asciiTheme="minorHAnsi" w:eastAsia="Calibri" w:hAnsiTheme="minorHAnsi" w:cstheme="minorHAnsi"/>
                <w:lang w:val="es-ES"/>
              </w:rPr>
            </w:pPr>
            <w:r w:rsidRPr="001D431E">
              <w:rPr>
                <w:rFonts w:asciiTheme="minorHAnsi" w:eastAsia="Calibri" w:hAnsiTheme="minorHAnsi" w:cstheme="minorHAnsi"/>
                <w:lang w:val="es-ES"/>
              </w:rPr>
              <w:t xml:space="preserve">Asia-Pacífico: </w:t>
            </w:r>
            <w:r w:rsidRPr="001D431E">
              <w:rPr>
                <w:rFonts w:asciiTheme="minorHAnsi" w:eastAsia="Calibri" w:hAnsiTheme="minorHAnsi" w:cstheme="minorHAnsi"/>
                <w:u w:val="single"/>
                <w:lang w:val="es-ES"/>
              </w:rPr>
              <w:t>Entornos políticos y reglamentarios habilitadores</w:t>
            </w:r>
          </w:p>
          <w:p w14:paraId="44C8C5DC" w14:textId="77777777" w:rsidR="00C1021F" w:rsidRPr="001D431E" w:rsidRDefault="00C1021F" w:rsidP="00794672">
            <w:pPr>
              <w:rPr>
                <w:rFonts w:asciiTheme="minorHAnsi" w:eastAsia="Calibri" w:hAnsiTheme="minorHAnsi" w:cstheme="minorHAnsi"/>
                <w:lang w:val="es-ES"/>
              </w:rPr>
            </w:pPr>
            <w:r w:rsidRPr="001D431E">
              <w:rPr>
                <w:rFonts w:asciiTheme="minorHAnsi" w:eastAsia="Calibri" w:hAnsiTheme="minorHAnsi" w:cstheme="minorHAnsi"/>
                <w:lang w:val="es-ES"/>
              </w:rPr>
              <w:t>Los Ministros de la ASEAN adoptaron marcos sobre la USO 2.0 y la protección de la infancia en línea, con el apoyo de la UIT.</w:t>
            </w:r>
          </w:p>
          <w:p w14:paraId="655B61B6" w14:textId="77777777" w:rsidR="00C1021F" w:rsidRPr="001D431E" w:rsidRDefault="00C1021F" w:rsidP="00794672">
            <w:pPr>
              <w:rPr>
                <w:rFonts w:asciiTheme="minorHAnsi" w:eastAsia="Calibri" w:hAnsiTheme="minorHAnsi" w:cstheme="minorHAnsi"/>
                <w:lang w:val="es-ES"/>
              </w:rPr>
            </w:pPr>
            <w:r w:rsidRPr="001D431E">
              <w:rPr>
                <w:rFonts w:asciiTheme="minorHAnsi" w:eastAsia="Calibri" w:hAnsiTheme="minorHAnsi" w:cstheme="minorHAnsi"/>
                <w:lang w:val="es-ES"/>
              </w:rPr>
              <w:t xml:space="preserve">Se prestó asistencia específica a las Islas Salomón para la revisión de la legislación en materia de telecomunicaciones. </w:t>
            </w:r>
          </w:p>
          <w:p w14:paraId="7DC06652" w14:textId="77777777" w:rsidR="00C1021F" w:rsidRPr="001D431E" w:rsidRDefault="00C1021F" w:rsidP="00794672">
            <w:pPr>
              <w:keepNext/>
              <w:rPr>
                <w:rFonts w:asciiTheme="minorHAnsi" w:eastAsia="Calibri" w:hAnsiTheme="minorHAnsi" w:cstheme="minorHAnsi"/>
                <w:u w:val="single"/>
                <w:lang w:val="es-ES"/>
              </w:rPr>
            </w:pPr>
            <w:r w:rsidRPr="001D431E">
              <w:rPr>
                <w:rFonts w:asciiTheme="minorHAnsi" w:eastAsia="Calibri" w:hAnsiTheme="minorHAnsi" w:cstheme="minorHAnsi"/>
                <w:lang w:val="es-ES"/>
              </w:rPr>
              <w:t xml:space="preserve">Europa: </w:t>
            </w:r>
            <w:r w:rsidRPr="001D431E">
              <w:rPr>
                <w:rFonts w:asciiTheme="minorHAnsi" w:eastAsia="Calibri" w:hAnsiTheme="minorHAnsi" w:cstheme="minorHAnsi"/>
                <w:u w:val="single"/>
                <w:lang w:val="es-ES"/>
              </w:rPr>
              <w:t>Infraestructura de banda ancha, radiodifusión y gestión del espectro</w:t>
            </w:r>
          </w:p>
          <w:p w14:paraId="59224482" w14:textId="77777777" w:rsidR="00C1021F" w:rsidRPr="001D431E" w:rsidRDefault="00C1021F" w:rsidP="00794672">
            <w:pPr>
              <w:spacing w:after="120"/>
              <w:rPr>
                <w:rFonts w:asciiTheme="minorHAnsi" w:eastAsia="Calibri" w:hAnsiTheme="minorHAnsi" w:cstheme="minorHAnsi"/>
                <w:szCs w:val="24"/>
                <w:lang w:val="es-ES"/>
              </w:rPr>
            </w:pPr>
            <w:r w:rsidRPr="001D431E">
              <w:rPr>
                <w:rFonts w:asciiTheme="minorHAnsi" w:eastAsia="Calibri" w:hAnsiTheme="minorHAnsi" w:cstheme="minorHAnsi"/>
                <w:lang w:val="es-ES"/>
              </w:rPr>
              <w:t>Se prestó asistencia técnica a dos países: se preparó un plan nacional para el desarrollo de la banda ancha en 2020-2025 para Albania y se elaboró un documento político especial sobre desarrollo de la infraestructura de TIC e inversión para Macedonia del Norte.</w:t>
            </w:r>
          </w:p>
        </w:tc>
      </w:tr>
    </w:tbl>
    <w:p w14:paraId="49C37D9A" w14:textId="77777777" w:rsidR="00C1021F" w:rsidRPr="001D431E" w:rsidRDefault="00C1021F" w:rsidP="00C1021F">
      <w:pPr>
        <w:shd w:val="clear" w:color="auto" w:fill="FFFFFF"/>
        <w:tabs>
          <w:tab w:val="clear" w:pos="794"/>
          <w:tab w:val="clear" w:pos="1191"/>
          <w:tab w:val="clear" w:pos="1588"/>
          <w:tab w:val="clear" w:pos="1985"/>
        </w:tabs>
        <w:overflowPunct/>
        <w:autoSpaceDE/>
        <w:autoSpaceDN/>
        <w:adjustRightInd/>
        <w:rPr>
          <w:rFonts w:cstheme="minorHAnsi"/>
          <w:szCs w:val="24"/>
          <w:lang w:val="es-ES"/>
        </w:rPr>
      </w:pPr>
    </w:p>
    <w:tbl>
      <w:tblPr>
        <w:tblStyle w:val="TableGrid5"/>
        <w:tblW w:w="0" w:type="auto"/>
        <w:tblLook w:val="04A0" w:firstRow="1" w:lastRow="0" w:firstColumn="1" w:lastColumn="0" w:noHBand="0" w:noVBand="1"/>
      </w:tblPr>
      <w:tblGrid>
        <w:gridCol w:w="9628"/>
      </w:tblGrid>
      <w:tr w:rsidR="00C1021F" w:rsidRPr="00BD1F0A" w14:paraId="662ED6D8" w14:textId="77777777" w:rsidTr="00794672">
        <w:tc>
          <w:tcPr>
            <w:tcW w:w="9629" w:type="dxa"/>
          </w:tcPr>
          <w:p w14:paraId="6BB658BB" w14:textId="77777777" w:rsidR="00C1021F" w:rsidRPr="001D431E" w:rsidRDefault="00C1021F" w:rsidP="00794672">
            <w:pPr>
              <w:keepNext/>
              <w:shd w:val="clear" w:color="auto" w:fill="FFFFFF" w:themeFill="background1"/>
              <w:tabs>
                <w:tab w:val="clear" w:pos="794"/>
                <w:tab w:val="clear" w:pos="1191"/>
                <w:tab w:val="clear" w:pos="1588"/>
                <w:tab w:val="clear" w:pos="1985"/>
              </w:tabs>
              <w:overflowPunct/>
              <w:autoSpaceDE/>
              <w:autoSpaceDN/>
              <w:adjustRightInd/>
              <w:rPr>
                <w:rFonts w:asciiTheme="minorHAnsi" w:hAnsiTheme="minorHAnsi" w:cstheme="minorHAnsi"/>
                <w:b/>
                <w:bCs/>
                <w:spacing w:val="-2"/>
                <w:szCs w:val="24"/>
                <w:lang w:val="es-ES"/>
              </w:rPr>
            </w:pPr>
            <w:r w:rsidRPr="001D431E">
              <w:rPr>
                <w:rFonts w:asciiTheme="minorHAnsi" w:hAnsiTheme="minorHAnsi" w:cstheme="minorHAnsi"/>
                <w:b/>
                <w:bCs/>
                <w:spacing w:val="-2"/>
                <w:szCs w:val="24"/>
                <w:lang w:val="es-ES"/>
              </w:rPr>
              <w:lastRenderedPageBreak/>
              <w:t>COMISIONES DE ESTUDIO</w:t>
            </w:r>
          </w:p>
          <w:p w14:paraId="4D76EB54" w14:textId="2B418FEA" w:rsidR="00C1021F" w:rsidRPr="001D431E" w:rsidRDefault="00C1021F" w:rsidP="00794672">
            <w:pPr>
              <w:keepNext/>
              <w:shd w:val="clear" w:color="auto" w:fill="FFFFFF" w:themeFill="background1"/>
              <w:spacing w:after="120"/>
              <w:rPr>
                <w:rFonts w:asciiTheme="minorHAnsi" w:hAnsiTheme="minorHAnsi" w:cstheme="minorHAnsi"/>
                <w:spacing w:val="-2"/>
                <w:lang w:val="es-ES"/>
              </w:rPr>
            </w:pPr>
            <w:r w:rsidRPr="001D431E">
              <w:rPr>
                <w:rFonts w:asciiTheme="minorHAnsi" w:hAnsiTheme="minorHAnsi" w:cstheme="minorHAnsi"/>
                <w:spacing w:val="-2"/>
                <w:lang w:val="es-ES"/>
              </w:rPr>
              <w:t xml:space="preserve">Los Estados Miembros de la UIT, los Miembros de Sector y expertos compartieron sus perspectivas sobre la </w:t>
            </w:r>
            <w:r w:rsidRPr="001D431E">
              <w:rPr>
                <w:rFonts w:asciiTheme="minorHAnsi" w:hAnsiTheme="minorHAnsi" w:cstheme="minorHAnsi"/>
                <w:i/>
                <w:iCs/>
                <w:spacing w:val="-2"/>
                <w:lang w:val="es-ES"/>
              </w:rPr>
              <w:t>Reglamentación y repercusiones económicas de los OTT</w:t>
            </w:r>
            <w:r w:rsidRPr="001D431E">
              <w:rPr>
                <w:rFonts w:asciiTheme="minorHAnsi" w:hAnsiTheme="minorHAnsi" w:cstheme="minorHAnsi"/>
                <w:b/>
                <w:bCs/>
                <w:spacing w:val="-2"/>
                <w:lang w:val="es-ES"/>
              </w:rPr>
              <w:t xml:space="preserve"> </w:t>
            </w:r>
            <w:r w:rsidRPr="001D431E">
              <w:rPr>
                <w:rFonts w:asciiTheme="minorHAnsi" w:hAnsiTheme="minorHAnsi" w:cstheme="minorHAnsi"/>
                <w:spacing w:val="-2"/>
                <w:lang w:val="es-ES"/>
              </w:rPr>
              <w:t xml:space="preserve">durante las reuniones de los Grupos de Relator de la Comisión de Estudio 1 del UIT-D celebradas en octubre. Estas opiniones y contenidos alimentarán el trabajo de los Grupos de Relator sobre la </w:t>
            </w:r>
            <w:hyperlink r:id="rId78" w:history="1">
              <w:r w:rsidRPr="001D431E">
                <w:rPr>
                  <w:rStyle w:val="Hyperlink"/>
                  <w:rFonts w:asciiTheme="minorHAnsi" w:hAnsiTheme="minorHAnsi" w:cstheme="minorHAnsi"/>
                  <w:spacing w:val="-2"/>
                  <w:lang w:val="es-ES"/>
                </w:rPr>
                <w:t>Cuestión</w:t>
              </w:r>
              <w:r w:rsidR="00094166">
                <w:rPr>
                  <w:rStyle w:val="Hyperlink"/>
                  <w:rFonts w:asciiTheme="minorHAnsi" w:hAnsiTheme="minorHAnsi" w:cstheme="minorHAnsi"/>
                  <w:spacing w:val="-2"/>
                  <w:lang w:val="es-ES"/>
                </w:rPr>
                <w:t> </w:t>
              </w:r>
              <w:r w:rsidRPr="001D431E">
                <w:rPr>
                  <w:rStyle w:val="Hyperlink"/>
                  <w:rFonts w:asciiTheme="minorHAnsi" w:hAnsiTheme="minorHAnsi" w:cstheme="minorHAnsi"/>
                  <w:spacing w:val="-2"/>
                  <w:lang w:val="es-ES"/>
                </w:rPr>
                <w:t>3/1</w:t>
              </w:r>
            </w:hyperlink>
            <w:r w:rsidRPr="001D431E">
              <w:rPr>
                <w:rFonts w:asciiTheme="minorHAnsi" w:hAnsiTheme="minorHAnsi" w:cstheme="minorHAnsi"/>
                <w:spacing w:val="-2"/>
                <w:lang w:val="es-ES"/>
              </w:rPr>
              <w:t xml:space="preserve"> (</w:t>
            </w:r>
            <w:r w:rsidRPr="001D431E">
              <w:rPr>
                <w:rFonts w:asciiTheme="minorHAnsi" w:hAnsiTheme="minorHAnsi" w:cstheme="minorHAnsi"/>
                <w:i/>
                <w:iCs/>
                <w:spacing w:val="-2"/>
                <w:lang w:val="es-ES"/>
              </w:rPr>
              <w:t>Nuevas tecnologías, incluida la computación en la nube, los servicios móviles y los OTT: retos, oportunidades e impacto económico y político para los países en desarrollo</w:t>
            </w:r>
            <w:r w:rsidRPr="001D431E">
              <w:rPr>
                <w:rFonts w:asciiTheme="minorHAnsi" w:hAnsiTheme="minorHAnsi" w:cstheme="minorHAnsi"/>
                <w:spacing w:val="-2"/>
                <w:lang w:val="es-ES"/>
              </w:rPr>
              <w:t xml:space="preserve">) y la </w:t>
            </w:r>
            <w:hyperlink r:id="rId79" w:history="1">
              <w:r w:rsidRPr="001D431E">
                <w:rPr>
                  <w:rStyle w:val="Hyperlink"/>
                  <w:rFonts w:asciiTheme="minorHAnsi" w:hAnsiTheme="minorHAnsi" w:cstheme="minorHAnsi"/>
                  <w:spacing w:val="-2"/>
                  <w:lang w:val="es-ES"/>
                </w:rPr>
                <w:t>Cuestión 4/1</w:t>
              </w:r>
            </w:hyperlink>
            <w:r w:rsidRPr="001D431E">
              <w:rPr>
                <w:rFonts w:asciiTheme="minorHAnsi" w:hAnsiTheme="minorHAnsi" w:cstheme="minorHAnsi"/>
                <w:spacing w:val="-2"/>
                <w:lang w:val="es-ES"/>
              </w:rPr>
              <w:t xml:space="preserve"> (</w:t>
            </w:r>
            <w:r w:rsidRPr="001D431E">
              <w:rPr>
                <w:rFonts w:asciiTheme="minorHAnsi" w:hAnsiTheme="minorHAnsi" w:cstheme="minorHAnsi"/>
                <w:i/>
                <w:iCs/>
                <w:spacing w:val="-2"/>
                <w:lang w:val="es-ES"/>
              </w:rPr>
              <w:t>Políticas económicas y métodos de determinación de costos de los servicios relativos a las redes nacionales de telecomunicaciones/TIC</w:t>
            </w:r>
            <w:r w:rsidRPr="001D431E">
              <w:rPr>
                <w:rFonts w:asciiTheme="minorHAnsi" w:hAnsiTheme="minorHAnsi" w:cstheme="minorHAnsi"/>
                <w:spacing w:val="-2"/>
                <w:lang w:val="es-ES"/>
              </w:rPr>
              <w:t xml:space="preserve">) para la elaboración de un producto anual conjunto para las reunión de la Comisión de Estudio 1 del UIT-D de febrero de 2020. Las ponencias y artículos pueden consultarse en el </w:t>
            </w:r>
            <w:hyperlink r:id="rId80">
              <w:r w:rsidRPr="001D431E">
                <w:rPr>
                  <w:rStyle w:val="Hyperlink"/>
                  <w:rFonts w:asciiTheme="minorHAnsi" w:hAnsiTheme="minorHAnsi" w:cstheme="minorHAnsi"/>
                  <w:spacing w:val="-2"/>
                  <w:lang w:val="es-ES"/>
                </w:rPr>
                <w:t>sitio web del taller</w:t>
              </w:r>
            </w:hyperlink>
            <w:r w:rsidRPr="001D431E">
              <w:rPr>
                <w:rFonts w:asciiTheme="minorHAnsi" w:hAnsiTheme="minorHAnsi" w:cstheme="minorHAnsi"/>
                <w:spacing w:val="-2"/>
                <w:lang w:val="es-ES"/>
              </w:rPr>
              <w:t>.</w:t>
            </w:r>
          </w:p>
        </w:tc>
      </w:tr>
    </w:tbl>
    <w:p w14:paraId="2DF51ACD" w14:textId="0D3ABDA2" w:rsidR="00C1021F" w:rsidRPr="009E0EC1" w:rsidRDefault="00C1021F" w:rsidP="001D793B">
      <w:pPr>
        <w:pStyle w:val="Heading1"/>
        <w:rPr>
          <w:lang w:val="es-ES"/>
        </w:rPr>
      </w:pPr>
      <w:r w:rsidRPr="009E0EC1">
        <w:rPr>
          <w:lang w:val="es-ES"/>
        </w:rPr>
        <w:t>10</w:t>
      </w:r>
      <w:r w:rsidRPr="009E0EC1">
        <w:rPr>
          <w:lang w:val="es-ES"/>
        </w:rPr>
        <w:tab/>
        <w:t>Estadísticas: ayudar a los países a adoptar políticas de TIC basada</w:t>
      </w:r>
      <w:r w:rsidR="00094166">
        <w:rPr>
          <w:lang w:val="es-ES"/>
        </w:rPr>
        <w:t>s</w:t>
      </w:r>
      <w:r w:rsidRPr="009E0EC1">
        <w:rPr>
          <w:lang w:val="es-ES"/>
        </w:rPr>
        <w:t xml:space="preserve"> en pruebas para una sociedad digitalmente inclusiva</w:t>
      </w:r>
    </w:p>
    <w:p w14:paraId="2F11E764" w14:textId="77777777" w:rsidR="00C1021F" w:rsidRPr="00BD1F0A" w:rsidRDefault="00C1021F" w:rsidP="001D793B">
      <w:pPr>
        <w:pStyle w:val="Heading2"/>
        <w:rPr>
          <w:lang w:val="es-ES"/>
        </w:rPr>
      </w:pPr>
      <w:r w:rsidRPr="00BD1F0A">
        <w:rPr>
          <w:lang w:val="es-ES"/>
        </w:rPr>
        <w:t>10.1</w:t>
      </w:r>
      <w:r w:rsidRPr="00BD1F0A">
        <w:rPr>
          <w:lang w:val="es-ES"/>
        </w:rPr>
        <w:tab/>
        <w:t xml:space="preserve">Serie </w:t>
      </w:r>
      <w:proofErr w:type="spellStart"/>
      <w:r w:rsidRPr="00BD1F0A">
        <w:rPr>
          <w:lang w:val="es-ES"/>
        </w:rPr>
        <w:t>Measuring</w:t>
      </w:r>
      <w:proofErr w:type="spellEnd"/>
      <w:r w:rsidRPr="00BD1F0A">
        <w:rPr>
          <w:lang w:val="es-ES"/>
        </w:rPr>
        <w:t xml:space="preserve"> Digital </w:t>
      </w:r>
      <w:proofErr w:type="spellStart"/>
      <w:r w:rsidRPr="00BD1F0A">
        <w:rPr>
          <w:lang w:val="es-ES"/>
        </w:rPr>
        <w:t>Development</w:t>
      </w:r>
      <w:proofErr w:type="spellEnd"/>
    </w:p>
    <w:p w14:paraId="5CE6B4A7" w14:textId="73808E57" w:rsidR="00C1021F" w:rsidRPr="001D431E" w:rsidRDefault="00C1021F" w:rsidP="00C1021F">
      <w:pPr>
        <w:rPr>
          <w:rFonts w:cstheme="minorHAnsi"/>
          <w:spacing w:val="-2"/>
          <w:szCs w:val="24"/>
          <w:shd w:val="clear" w:color="auto" w:fill="FFFFFF"/>
          <w:lang w:val="es-ES"/>
        </w:rPr>
      </w:pPr>
      <w:r w:rsidRPr="001D431E">
        <w:rPr>
          <w:rFonts w:cstheme="minorHAnsi"/>
          <w:spacing w:val="-2"/>
          <w:lang w:val="es-ES"/>
        </w:rPr>
        <w:t xml:space="preserve">La serie de publicaciones estadísticas y analíticas </w:t>
      </w:r>
      <w:r w:rsidRPr="001D431E">
        <w:rPr>
          <w:rFonts w:cstheme="minorHAnsi"/>
          <w:i/>
          <w:iCs/>
          <w:spacing w:val="-2"/>
          <w:lang w:val="es-ES"/>
        </w:rPr>
        <w:t>Measuring Digital Development</w:t>
      </w:r>
      <w:r w:rsidRPr="001D431E">
        <w:rPr>
          <w:rFonts w:cstheme="minorHAnsi"/>
          <w:spacing w:val="-2"/>
          <w:lang w:val="es-ES"/>
        </w:rPr>
        <w:t xml:space="preserve"> se inició en 2019. La primera publicación –</w:t>
      </w:r>
      <w:proofErr w:type="spellStart"/>
      <w:r w:rsidR="00BD3764">
        <w:fldChar w:fldCharType="begin"/>
      </w:r>
      <w:r w:rsidR="00BD3764" w:rsidRPr="00BD1F0A">
        <w:rPr>
          <w:lang w:val="es-ES"/>
        </w:rPr>
        <w:instrText xml:space="preserve"> HYPERLINK "https://www.itu.int/en/ITU-D/Statistics/Pages/facts/default.aspx" </w:instrText>
      </w:r>
      <w:r w:rsidR="00BD3764">
        <w:fldChar w:fldCharType="separate"/>
      </w:r>
      <w:r w:rsidRPr="001D431E">
        <w:rPr>
          <w:rStyle w:val="Hyperlink"/>
          <w:rFonts w:cstheme="minorHAnsi"/>
          <w:spacing w:val="-2"/>
          <w:lang w:val="es-ES"/>
        </w:rPr>
        <w:t>Facts</w:t>
      </w:r>
      <w:proofErr w:type="spellEnd"/>
      <w:r w:rsidRPr="001D431E">
        <w:rPr>
          <w:rStyle w:val="Hyperlink"/>
          <w:rFonts w:cstheme="minorHAnsi"/>
          <w:spacing w:val="-2"/>
          <w:lang w:val="es-ES"/>
        </w:rPr>
        <w:t xml:space="preserve"> and Figures</w:t>
      </w:r>
      <w:r w:rsidR="00BD3764">
        <w:rPr>
          <w:rStyle w:val="Hyperlink"/>
          <w:rFonts w:cstheme="minorHAnsi"/>
          <w:spacing w:val="-2"/>
          <w:lang w:val="es-ES"/>
        </w:rPr>
        <w:fldChar w:fldCharType="end"/>
      </w:r>
      <w:r w:rsidRPr="001D431E">
        <w:rPr>
          <w:rStyle w:val="Hyperlink"/>
          <w:rFonts w:cstheme="minorHAnsi"/>
          <w:spacing w:val="-2"/>
          <w:lang w:val="es-ES"/>
        </w:rPr>
        <w:t xml:space="preserve"> 2019</w:t>
      </w:r>
      <w:r w:rsidRPr="001D431E">
        <w:rPr>
          <w:rFonts w:cstheme="minorHAnsi"/>
          <w:spacing w:val="-2"/>
          <w:lang w:val="es-ES"/>
        </w:rPr>
        <w:t>– ofrece una instantánea de los principales indicadores de TIC y las estimaciones de la UIT para 2019. Los resultados muestran, entre otras cosas, que más de la mitad de las mujeres del mundo (</w:t>
      </w:r>
      <w:r w:rsidR="00803BB4">
        <w:rPr>
          <w:rFonts w:cstheme="minorHAnsi"/>
          <w:spacing w:val="-2"/>
          <w:lang w:val="es-ES"/>
        </w:rPr>
        <w:t>52%</w:t>
      </w:r>
      <w:r w:rsidRPr="001D431E">
        <w:rPr>
          <w:rFonts w:cstheme="minorHAnsi"/>
          <w:spacing w:val="-2"/>
          <w:lang w:val="es-ES"/>
        </w:rPr>
        <w:t>) sigue sin utilizar Internet, por oposición al 42</w:t>
      </w:r>
      <w:r w:rsidR="00803BB4">
        <w:rPr>
          <w:rFonts w:cstheme="minorHAnsi"/>
          <w:spacing w:val="-2"/>
          <w:lang w:val="es-ES"/>
        </w:rPr>
        <w:t xml:space="preserve">% </w:t>
      </w:r>
      <w:r w:rsidRPr="001D431E">
        <w:rPr>
          <w:rFonts w:cstheme="minorHAnsi"/>
          <w:spacing w:val="-2"/>
          <w:lang w:val="es-ES"/>
        </w:rPr>
        <w:t>de los hombres</w:t>
      </w:r>
      <w:r w:rsidRPr="001D431E">
        <w:rPr>
          <w:rFonts w:cstheme="minorHAnsi"/>
          <w:spacing w:val="-2"/>
          <w:szCs w:val="24"/>
          <w:shd w:val="clear" w:color="auto" w:fill="FFFFFF"/>
          <w:lang w:val="es-ES"/>
        </w:rPr>
        <w:t>.</w:t>
      </w:r>
    </w:p>
    <w:p w14:paraId="19AD55E5" w14:textId="11514878" w:rsidR="00C1021F" w:rsidRPr="009E0EC1" w:rsidRDefault="00C1021F" w:rsidP="001D793B">
      <w:pPr>
        <w:pStyle w:val="Heading2"/>
        <w:rPr>
          <w:lang w:val="es-ES"/>
        </w:rPr>
      </w:pPr>
      <w:r w:rsidRPr="009E0EC1">
        <w:rPr>
          <w:lang w:val="es-ES"/>
        </w:rPr>
        <w:t>10.2</w:t>
      </w:r>
      <w:r w:rsidRPr="009E0EC1">
        <w:rPr>
          <w:lang w:val="es-ES"/>
        </w:rPr>
        <w:tab/>
        <w:t>Capacitación en estadística</w:t>
      </w:r>
    </w:p>
    <w:p w14:paraId="29C4E2E5" w14:textId="277F2B7F" w:rsidR="00C1021F" w:rsidRPr="001D431E" w:rsidRDefault="00C1021F" w:rsidP="00841CD0">
      <w:pPr>
        <w:ind w:right="-143"/>
        <w:rPr>
          <w:rFonts w:cstheme="minorHAnsi"/>
          <w:spacing w:val="-2"/>
          <w:lang w:val="es-ES"/>
        </w:rPr>
      </w:pPr>
      <w:r w:rsidRPr="001D431E">
        <w:rPr>
          <w:rFonts w:cstheme="minorHAnsi"/>
          <w:spacing w:val="-2"/>
          <w:lang w:val="es-ES"/>
        </w:rPr>
        <w:t>Se celebró en Tashkent, Uzbekistán, un taller sobre estadísticas de TIC dirigido a funcionarios de</w:t>
      </w:r>
      <w:r w:rsidR="00CA7310" w:rsidRPr="001D431E">
        <w:rPr>
          <w:rFonts w:cstheme="minorHAnsi"/>
          <w:spacing w:val="-2"/>
          <w:lang w:val="es-ES"/>
        </w:rPr>
        <w:t xml:space="preserve"> </w:t>
      </w:r>
      <w:r w:rsidRPr="001D431E">
        <w:rPr>
          <w:rFonts w:cstheme="minorHAnsi"/>
          <w:spacing w:val="-2"/>
          <w:lang w:val="es-ES"/>
        </w:rPr>
        <w:t xml:space="preserve">los institutos nacionales de estadística y coordinadores de estadísticas de TIC de los ministerios de comunicaciones y reguladores de los países de las regiones CEI y de los Estados </w:t>
      </w:r>
      <w:r w:rsidR="00CA7310" w:rsidRPr="001D431E">
        <w:rPr>
          <w:rFonts w:cstheme="minorHAnsi"/>
          <w:spacing w:val="-2"/>
          <w:lang w:val="es-ES"/>
        </w:rPr>
        <w:t>Árabes. S</w:t>
      </w:r>
      <w:r w:rsidRPr="001D431E">
        <w:rPr>
          <w:rFonts w:cstheme="minorHAnsi"/>
          <w:spacing w:val="-2"/>
          <w:lang w:val="es-ES"/>
        </w:rPr>
        <w:t xml:space="preserve">e impartió un taller similar en la región de África. El objetivo de los talleres era reforzar la capacidad de los países de esas regiones para elaborar estadísticas nacionales y definir indicadores de telecomunicaciones y TIC siguiendo las normas internacionales, con especial hincapié en las estadísticas incluidas en la base de datos de indicadores mundiales de telecomunicaciones/TIC (WTI) de la UIT. </w:t>
      </w:r>
    </w:p>
    <w:p w14:paraId="01414795" w14:textId="7655CD7A" w:rsidR="00C1021F" w:rsidRPr="009E0EC1" w:rsidRDefault="00C1021F" w:rsidP="001D793B">
      <w:pPr>
        <w:pStyle w:val="Heading2"/>
        <w:rPr>
          <w:lang w:val="es-ES"/>
        </w:rPr>
      </w:pPr>
      <w:r w:rsidRPr="009E0EC1">
        <w:rPr>
          <w:lang w:val="es-ES"/>
        </w:rPr>
        <w:t>10.3</w:t>
      </w:r>
      <w:r w:rsidRPr="009E0EC1">
        <w:rPr>
          <w:lang w:val="es-ES"/>
        </w:rPr>
        <w:tab/>
        <w:t>Reuniones de los Grupos de Expertos en estadística</w:t>
      </w:r>
    </w:p>
    <w:p w14:paraId="4063D12E" w14:textId="198DD26C" w:rsidR="00C1021F" w:rsidRPr="001D431E" w:rsidRDefault="00C1021F" w:rsidP="00C1021F">
      <w:pPr>
        <w:rPr>
          <w:rFonts w:cstheme="minorHAnsi"/>
          <w:spacing w:val="-2"/>
          <w:lang w:val="es-ES"/>
        </w:rPr>
      </w:pPr>
      <w:r w:rsidRPr="001D431E">
        <w:rPr>
          <w:rFonts w:cstheme="minorHAnsi"/>
          <w:spacing w:val="-2"/>
          <w:lang w:val="es-ES"/>
        </w:rPr>
        <w:t xml:space="preserve">La </w:t>
      </w:r>
      <w:hyperlink r:id="rId81" w:history="1">
        <w:r w:rsidRPr="001D431E">
          <w:rPr>
            <w:rStyle w:val="Hyperlink"/>
            <w:rFonts w:cstheme="minorHAnsi"/>
            <w:spacing w:val="-2"/>
            <w:lang w:val="es-ES"/>
          </w:rPr>
          <w:t>10ª reunión del Grupo de Expertos sobre Indicadores de Telecomunicaciones/TIC (GEIT) de la UIT</w:t>
        </w:r>
      </w:hyperlink>
      <w:r w:rsidRPr="001D431E">
        <w:rPr>
          <w:rFonts w:cstheme="minorHAnsi"/>
          <w:spacing w:val="-2"/>
          <w:lang w:val="es-ES"/>
        </w:rPr>
        <w:t xml:space="preserve"> se celebró en Ginebra, Suiza, los días 17 y 18 de septiembre de 2019 y fue seguida de la </w:t>
      </w:r>
      <w:hyperlink r:id="rId82" w:history="1">
        <w:r w:rsidRPr="001D431E">
          <w:rPr>
            <w:rStyle w:val="Hyperlink"/>
            <w:rFonts w:cstheme="minorHAnsi"/>
            <w:spacing w:val="-2"/>
            <w:lang w:val="es-ES"/>
          </w:rPr>
          <w:t>7ª</w:t>
        </w:r>
        <w:r w:rsidR="001D316C" w:rsidRPr="001D431E">
          <w:rPr>
            <w:rStyle w:val="Hyperlink"/>
            <w:rFonts w:cstheme="minorHAnsi"/>
            <w:spacing w:val="-2"/>
            <w:lang w:val="es-ES"/>
          </w:rPr>
          <w:t> </w:t>
        </w:r>
        <w:r w:rsidRPr="001D431E">
          <w:rPr>
            <w:rStyle w:val="Hyperlink"/>
            <w:rFonts w:cstheme="minorHAnsi"/>
            <w:spacing w:val="-2"/>
            <w:lang w:val="es-ES"/>
          </w:rPr>
          <w:t>reunión del Grupo de Expertos sobre Indicadores de TIC en el hogar (GEH)</w:t>
        </w:r>
      </w:hyperlink>
      <w:r w:rsidRPr="001D431E">
        <w:rPr>
          <w:rFonts w:cstheme="minorHAnsi"/>
          <w:spacing w:val="-2"/>
          <w:lang w:val="es-ES"/>
        </w:rPr>
        <w:t xml:space="preserve"> los días 19 y 20 de septiembre de 2019. Asistieron a esas reuniones cerca de 130 participantes, incluidos expertos de los reguladores, operadores de telecomunicaciones, ministerios e institutos nacionales de estadística de 64 países, así como de los Miembros del Sector UIT-D, otros organismos de las Naciones Unidas y organizaciones regionales </w:t>
      </w:r>
    </w:p>
    <w:p w14:paraId="505CB870" w14:textId="02199715" w:rsidR="00C1021F" w:rsidRPr="001D431E" w:rsidRDefault="00C1021F" w:rsidP="00C1021F">
      <w:pPr>
        <w:rPr>
          <w:rFonts w:cstheme="minorHAnsi"/>
          <w:spacing w:val="-2"/>
          <w:lang w:val="es-ES"/>
        </w:rPr>
      </w:pPr>
      <w:r w:rsidRPr="001D431E">
        <w:rPr>
          <w:rFonts w:cstheme="minorHAnsi"/>
          <w:spacing w:val="-2"/>
          <w:lang w:val="es-ES"/>
        </w:rPr>
        <w:t xml:space="preserve">El programa del GEIT abordó los siguientes temas: indicadores de calidad de servicio (QoS); metodología de medición del tráfico Internet de banda ancha fina; indicadores de itinerancia internacional; indicadores </w:t>
      </w:r>
      <w:r w:rsidR="00A131B5">
        <w:rPr>
          <w:rFonts w:cstheme="minorHAnsi"/>
          <w:spacing w:val="-2"/>
          <w:lang w:val="es-ES"/>
        </w:rPr>
        <w:t>d</w:t>
      </w:r>
      <w:r w:rsidRPr="001D431E">
        <w:rPr>
          <w:rFonts w:cstheme="minorHAnsi"/>
          <w:spacing w:val="-2"/>
          <w:lang w:val="es-ES"/>
        </w:rPr>
        <w:t xml:space="preserve">e precios; indicadores de atribución/asignación del espectro, y revisión del Manual de la UIT sobre Indicadores de Telecomunicaciones. La reunión del GEH se dedicó a la mejora de la medición de las competencias de TIC y de los usuarios de Internet; la revisión del Manual de la UIT para la medición del uso y el acceso a las TIC por los hogares y las personas, y un </w:t>
      </w:r>
      <w:r w:rsidRPr="001D431E">
        <w:rPr>
          <w:rFonts w:cstheme="minorHAnsi"/>
          <w:spacing w:val="-2"/>
          <w:lang w:val="es-ES"/>
        </w:rPr>
        <w:lastRenderedPageBreak/>
        <w:t xml:space="preserve">modelo de cuestionario sobre TIC para los hogares y los correspondientes módulos temáticos. En las reuniones se llegó a un acuerdo sobre la manera de avanzar en los trabajos sobre estos temas. </w:t>
      </w:r>
    </w:p>
    <w:p w14:paraId="101C871E" w14:textId="4C3BC227" w:rsidR="00C1021F" w:rsidRPr="009E0EC1" w:rsidRDefault="00C1021F" w:rsidP="001D793B">
      <w:pPr>
        <w:pStyle w:val="Heading2"/>
        <w:rPr>
          <w:lang w:val="es-ES"/>
        </w:rPr>
      </w:pPr>
      <w:r w:rsidRPr="009E0EC1">
        <w:rPr>
          <w:lang w:val="es-ES"/>
        </w:rPr>
        <w:t>10.4</w:t>
      </w:r>
      <w:r w:rsidRPr="009E0EC1">
        <w:rPr>
          <w:lang w:val="es-ES"/>
        </w:rPr>
        <w:tab/>
        <w:t>Alianza para la Medición de las TIC para el Desarrollo</w:t>
      </w:r>
    </w:p>
    <w:p w14:paraId="317848FD" w14:textId="16CB8A10" w:rsidR="00C1021F" w:rsidRPr="001D431E" w:rsidRDefault="00C1021F" w:rsidP="00C1021F">
      <w:pPr>
        <w:rPr>
          <w:rFonts w:cstheme="minorHAnsi"/>
          <w:spacing w:val="-2"/>
          <w:lang w:val="es-ES"/>
        </w:rPr>
      </w:pPr>
      <w:r w:rsidRPr="001D431E">
        <w:rPr>
          <w:rFonts w:cstheme="minorHAnsi"/>
          <w:spacing w:val="-2"/>
          <w:lang w:val="es-ES"/>
        </w:rPr>
        <w:t xml:space="preserve">La UIT sigue participando activamente en la Alianza para la Medición de las TIC para el Desarrollo y, junto con la UNCTAD y el ISU, es uno de los tres miembros que forman su Comité de Dirección. En 2019 la Alianza prosiguió su seguimiento activo de los Objetivos de Desarrollo Sostenible (ODS) a través del Grupo de Tareas Especiales sobre las TIC para los ODS, liderado por la UIT y el DAESNU. En el marco del Foro de la CMSI de 2019, la Alianza organizó una </w:t>
      </w:r>
      <w:r w:rsidR="00CA7310" w:rsidRPr="001D431E">
        <w:rPr>
          <w:rFonts w:cstheme="minorHAnsi"/>
          <w:spacing w:val="-2"/>
          <w:lang w:val="es-ES"/>
        </w:rPr>
        <w:t>sesión sobre</w:t>
      </w:r>
      <w:r w:rsidRPr="001D431E">
        <w:rPr>
          <w:rFonts w:cstheme="minorHAnsi"/>
          <w:spacing w:val="-2"/>
          <w:lang w:val="es-ES"/>
        </w:rPr>
        <w:t xml:space="preserve"> </w:t>
      </w:r>
      <w:r w:rsidRPr="001D431E">
        <w:rPr>
          <w:rFonts w:cstheme="minorHAnsi"/>
          <w:i/>
          <w:iCs/>
          <w:spacing w:val="-2"/>
          <w:lang w:val="es-ES"/>
        </w:rPr>
        <w:t>Medición del progreso hacia los ODS mediante indicadores de TIC</w:t>
      </w:r>
      <w:r w:rsidRPr="001D431E">
        <w:rPr>
          <w:rFonts w:cstheme="minorHAnsi"/>
          <w:spacing w:val="-2"/>
          <w:lang w:val="es-ES"/>
        </w:rPr>
        <w:t xml:space="preserve">, en la que se habló de los avances realizados por el Grupo de Tareas Espaciales y se presentó un proyecto de lista temática de indicadores de TIC, que los países pueden utilizar para medir la disponibilidad de las TIC y su utilización en sectores pertinentes para los ODS que no se contemplan en el marco global de indicadores para los ODS. Esta lista comprende 26 indicadores de </w:t>
      </w:r>
      <w:r w:rsidR="00CA7310" w:rsidRPr="001D431E">
        <w:rPr>
          <w:rFonts w:cstheme="minorHAnsi"/>
          <w:spacing w:val="-2"/>
          <w:lang w:val="es-ES"/>
        </w:rPr>
        <w:t>TIC,</w:t>
      </w:r>
      <w:r w:rsidRPr="001D431E">
        <w:rPr>
          <w:rFonts w:cstheme="minorHAnsi"/>
          <w:spacing w:val="-2"/>
          <w:lang w:val="es-ES"/>
        </w:rPr>
        <w:t xml:space="preserve"> relacionados con 27 metas correspondientes a 11 Objetivos. Estos indicadores se examinaron y acordaron en un </w:t>
      </w:r>
      <w:r w:rsidR="00CA7310" w:rsidRPr="001D431E">
        <w:rPr>
          <w:rFonts w:cstheme="minorHAnsi"/>
          <w:spacing w:val="-2"/>
          <w:lang w:val="es-ES"/>
        </w:rPr>
        <w:t>proceso</w:t>
      </w:r>
      <w:r w:rsidRPr="001D431E">
        <w:rPr>
          <w:rFonts w:cstheme="minorHAnsi"/>
          <w:spacing w:val="-2"/>
          <w:lang w:val="es-ES"/>
        </w:rPr>
        <w:t xml:space="preserve"> </w:t>
      </w:r>
      <w:r w:rsidR="00CA7310" w:rsidRPr="001D431E">
        <w:rPr>
          <w:rFonts w:cstheme="minorHAnsi"/>
          <w:spacing w:val="-2"/>
          <w:lang w:val="es-ES"/>
        </w:rPr>
        <w:t>d</w:t>
      </w:r>
      <w:r w:rsidRPr="001D431E">
        <w:rPr>
          <w:rFonts w:cstheme="minorHAnsi"/>
          <w:spacing w:val="-2"/>
          <w:lang w:val="es-ES"/>
        </w:rPr>
        <w:t xml:space="preserve">e consultas en el que participaron gobiernos y </w:t>
      </w:r>
      <w:r w:rsidR="00CA7310" w:rsidRPr="001D431E">
        <w:rPr>
          <w:rFonts w:cstheme="minorHAnsi"/>
          <w:spacing w:val="-2"/>
          <w:lang w:val="es-ES"/>
        </w:rPr>
        <w:t>organizaciones</w:t>
      </w:r>
      <w:r w:rsidRPr="001D431E">
        <w:rPr>
          <w:rFonts w:cstheme="minorHAnsi"/>
          <w:spacing w:val="-2"/>
          <w:lang w:val="es-ES"/>
        </w:rPr>
        <w:t xml:space="preserve"> internacionales. La lista final se presentará a la </w:t>
      </w:r>
      <w:r w:rsidR="00CA7310" w:rsidRPr="001D431E">
        <w:rPr>
          <w:rFonts w:cstheme="minorHAnsi"/>
          <w:spacing w:val="-2"/>
          <w:lang w:val="es-ES"/>
        </w:rPr>
        <w:t>aprobación</w:t>
      </w:r>
      <w:r w:rsidRPr="001D431E">
        <w:rPr>
          <w:rFonts w:cstheme="minorHAnsi"/>
          <w:spacing w:val="-2"/>
          <w:lang w:val="es-ES"/>
        </w:rPr>
        <w:t xml:space="preserve"> de la Comisión de Estadística de las Naciones Unidas (UNSC) en su 51ª reunión en marzo de 2020.</w:t>
      </w:r>
    </w:p>
    <w:p w14:paraId="6E94E980" w14:textId="77777777" w:rsidR="00C1021F" w:rsidRPr="001D431E" w:rsidRDefault="00C1021F" w:rsidP="00841CD0">
      <w:pPr>
        <w:pStyle w:val="NormalWeb"/>
        <w:shd w:val="clear" w:color="auto" w:fill="FFFFFF"/>
        <w:spacing w:before="0" w:beforeAutospacing="0" w:after="0" w:afterAutospacing="0"/>
        <w:textAlignment w:val="baseline"/>
        <w:rPr>
          <w:rFonts w:asciiTheme="minorHAnsi" w:hAnsiTheme="minorHAnsi" w:cstheme="minorHAnsi"/>
          <w:spacing w:val="-2"/>
          <w:lang w:val="es-ES"/>
        </w:rPr>
      </w:pPr>
    </w:p>
    <w:tbl>
      <w:tblPr>
        <w:tblStyle w:val="TableGrid"/>
        <w:tblW w:w="0" w:type="auto"/>
        <w:tblLook w:val="04A0" w:firstRow="1" w:lastRow="0" w:firstColumn="1" w:lastColumn="0" w:noHBand="0" w:noVBand="1"/>
      </w:tblPr>
      <w:tblGrid>
        <w:gridCol w:w="9628"/>
      </w:tblGrid>
      <w:tr w:rsidR="00C1021F" w:rsidRPr="00BD1F0A" w14:paraId="43927044" w14:textId="77777777" w:rsidTr="00794672">
        <w:tc>
          <w:tcPr>
            <w:tcW w:w="9629" w:type="dxa"/>
          </w:tcPr>
          <w:p w14:paraId="61CEBA4D" w14:textId="77777777" w:rsidR="00C1021F" w:rsidRPr="001D431E" w:rsidRDefault="00C1021F" w:rsidP="001D316C">
            <w:pPr>
              <w:keepNext/>
              <w:keepLines/>
              <w:rPr>
                <w:rFonts w:asciiTheme="minorHAnsi" w:hAnsiTheme="minorHAnsi" w:cstheme="minorHAnsi"/>
                <w:b/>
                <w:bCs/>
                <w:spacing w:val="-2"/>
                <w:lang w:val="es-ES"/>
              </w:rPr>
            </w:pPr>
            <w:r w:rsidRPr="001D431E">
              <w:rPr>
                <w:rFonts w:asciiTheme="minorHAnsi" w:hAnsiTheme="minorHAnsi" w:cstheme="minorHAnsi"/>
                <w:b/>
                <w:bCs/>
                <w:spacing w:val="-2"/>
                <w:lang w:val="es-ES"/>
              </w:rPr>
              <w:t>COMISIONES DE ESTUDIO</w:t>
            </w:r>
          </w:p>
          <w:p w14:paraId="52CDFDE7" w14:textId="097C09B2" w:rsidR="00C1021F" w:rsidRPr="001D431E" w:rsidRDefault="00C1021F" w:rsidP="001D316C">
            <w:pPr>
              <w:keepNext/>
              <w:keepLines/>
              <w:spacing w:after="120"/>
              <w:rPr>
                <w:rFonts w:asciiTheme="minorHAnsi" w:hAnsiTheme="minorHAnsi" w:cstheme="minorHAnsi"/>
                <w:spacing w:val="-2"/>
                <w:lang w:val="es-ES"/>
              </w:rPr>
            </w:pPr>
            <w:r w:rsidRPr="001D431E">
              <w:rPr>
                <w:rFonts w:asciiTheme="minorHAnsi" w:hAnsiTheme="minorHAnsi" w:cstheme="minorHAnsi"/>
                <w:spacing w:val="-2"/>
                <w:lang w:val="es-ES"/>
              </w:rPr>
              <w:t xml:space="preserve">Siguiendo las directivas de los </w:t>
            </w:r>
            <w:r w:rsidR="00CA7310" w:rsidRPr="001D431E">
              <w:rPr>
                <w:rFonts w:asciiTheme="minorHAnsi" w:hAnsiTheme="minorHAnsi" w:cstheme="minorHAnsi"/>
                <w:spacing w:val="-2"/>
                <w:lang w:val="es-ES"/>
              </w:rPr>
              <w:t>Estados</w:t>
            </w:r>
            <w:r w:rsidRPr="001D431E">
              <w:rPr>
                <w:rFonts w:asciiTheme="minorHAnsi" w:hAnsiTheme="minorHAnsi" w:cstheme="minorHAnsi"/>
                <w:spacing w:val="-2"/>
                <w:lang w:val="es-ES"/>
              </w:rPr>
              <w:t xml:space="preserve"> Miembros de la UIT y de los Miembros de Sector, se han tomado medidas concretas en la coordinación de actividades estadísticas entre las Comisiones de Estudio del UIT-D y el Grupo de Expertos sobre indicadores de Telecomunicaciones/TIC (GEIT) y el Grupo de Expertos sobre indicadores de TIC en los hogares (GEH). Los expertos y miembros del equipo de dirección participan en las reuniones de otros grupos y elaboran informes sobre los temas de interés común. También, por primera vez, se han intercambiado Declaraciones de Coordinación entre los grupos. Esta colaboración contribuye a la aplicación de la Resolución 131 (Rev. Dubái, 2018) de la Conferencia de Plenipotenciarios de la UIT y la Resolución 8 (Rev. Buenos Aires, 2017) de la CMDT y tiene por objetivo el intercambio de información</w:t>
            </w:r>
            <w:r w:rsidRPr="001D431E">
              <w:rPr>
                <w:rFonts w:asciiTheme="minorHAnsi" w:hAnsiTheme="minorHAnsi" w:cstheme="minorHAnsi"/>
                <w:color w:val="000000"/>
                <w:spacing w:val="-2"/>
                <w:szCs w:val="19"/>
                <w:lang w:val="es-ES"/>
              </w:rPr>
              <w:t>.</w:t>
            </w:r>
          </w:p>
        </w:tc>
      </w:tr>
    </w:tbl>
    <w:p w14:paraId="63E9C960" w14:textId="2B9424BE" w:rsidR="00C1021F" w:rsidRPr="009E0EC1" w:rsidRDefault="00C1021F" w:rsidP="00C4604C">
      <w:pPr>
        <w:pStyle w:val="Heading1"/>
        <w:rPr>
          <w:lang w:val="es-ES"/>
        </w:rPr>
      </w:pPr>
      <w:r w:rsidRPr="009E0EC1">
        <w:rPr>
          <w:lang w:val="es-ES"/>
        </w:rPr>
        <w:t>11</w:t>
      </w:r>
      <w:r w:rsidRPr="009E0EC1">
        <w:rPr>
          <w:lang w:val="es-ES"/>
        </w:rPr>
        <w:tab/>
        <w:t>Trabajos de las Comisiones de Estudio</w:t>
      </w:r>
    </w:p>
    <w:p w14:paraId="1ADF5E90" w14:textId="77777777" w:rsidR="00C1021F" w:rsidRPr="009E0EC1" w:rsidRDefault="00C1021F" w:rsidP="001D793B">
      <w:pPr>
        <w:pStyle w:val="Heading2"/>
        <w:rPr>
          <w:lang w:val="es-ES"/>
        </w:rPr>
      </w:pPr>
      <w:r w:rsidRPr="009E0EC1">
        <w:rPr>
          <w:lang w:val="es-ES"/>
        </w:rPr>
        <w:t>11.1</w:t>
      </w:r>
      <w:r w:rsidRPr="009E0EC1">
        <w:rPr>
          <w:lang w:val="es-ES"/>
        </w:rPr>
        <w:tab/>
        <w:t>Comisiones de Estudio 1 y 2 del UIT-D: resultados anuales</w:t>
      </w:r>
    </w:p>
    <w:p w14:paraId="063B895E" w14:textId="77777777" w:rsidR="00C1021F" w:rsidRPr="001D431E" w:rsidRDefault="00C1021F" w:rsidP="00C1021F">
      <w:pPr>
        <w:rPr>
          <w:rFonts w:cstheme="minorHAnsi"/>
          <w:spacing w:val="-2"/>
          <w:lang w:val="es-ES"/>
        </w:rPr>
      </w:pPr>
      <w:r w:rsidRPr="001D431E">
        <w:rPr>
          <w:rFonts w:eastAsia="Calibri" w:cstheme="minorHAnsi"/>
          <w:spacing w:val="-2"/>
          <w:lang w:val="es-ES"/>
        </w:rPr>
        <w:t>Con ocasión de las reuniones anuales de las Comisiones de Estudio del UIT-D se publicaron dos resultados anuales:</w:t>
      </w:r>
    </w:p>
    <w:p w14:paraId="35118077" w14:textId="0513E7C6" w:rsidR="00C1021F" w:rsidRPr="001D431E" w:rsidRDefault="00841CD0" w:rsidP="002265FA">
      <w:pPr>
        <w:pStyle w:val="enumlev1"/>
        <w:rPr>
          <w:spacing w:val="-2"/>
          <w:lang w:val="es-ES"/>
        </w:rPr>
      </w:pPr>
      <w:r w:rsidRPr="001D431E">
        <w:rPr>
          <w:spacing w:val="-2"/>
          <w:lang w:val="es-ES"/>
        </w:rPr>
        <w:t>•</w:t>
      </w:r>
      <w:r w:rsidRPr="001D431E">
        <w:rPr>
          <w:spacing w:val="-2"/>
          <w:lang w:val="es-ES"/>
        </w:rPr>
        <w:tab/>
      </w:r>
      <w:hyperlink r:id="rId83">
        <w:r w:rsidR="00C1021F" w:rsidRPr="001D431E">
          <w:rPr>
            <w:rFonts w:eastAsia="Calibri"/>
            <w:b/>
            <w:bCs/>
            <w:color w:val="0000FF" w:themeColor="hyperlink"/>
            <w:spacing w:val="-2"/>
            <w:u w:val="single"/>
            <w:lang w:val="es-ES"/>
          </w:rPr>
          <w:t>Tendencias de las nuevas tecnologías, servicios y aplicaciones de radiodifusión</w:t>
        </w:r>
      </w:hyperlink>
      <w:r w:rsidR="00C1021F" w:rsidRPr="001D431E">
        <w:rPr>
          <w:rFonts w:eastAsia="Calibri"/>
          <w:spacing w:val="-2"/>
          <w:lang w:val="es-ES"/>
        </w:rPr>
        <w:t xml:space="preserve"> (Cuestión</w:t>
      </w:r>
      <w:r w:rsidR="00C27E54">
        <w:rPr>
          <w:rFonts w:eastAsia="Calibri"/>
          <w:spacing w:val="-2"/>
          <w:lang w:val="es-ES"/>
        </w:rPr>
        <w:t> </w:t>
      </w:r>
      <w:r w:rsidR="00C1021F" w:rsidRPr="001D431E">
        <w:rPr>
          <w:rFonts w:eastAsia="Calibri"/>
          <w:spacing w:val="-2"/>
          <w:lang w:val="es-ES"/>
        </w:rPr>
        <w:t>2/1): Presenta las más recientes tendencias de la radiodifusión, incluidas nuevas hipótesis de servicio basadas en las tecnologías más modernas; resalta la labor que se está llevando a cabo en el UIT-T y en otros recientes eventos, y se consideran las consecuencias económicas y reglamentarias para los usuarios finales, las partes interesadas y los organismos reguladores.</w:t>
      </w:r>
    </w:p>
    <w:p w14:paraId="7B7A1A3C" w14:textId="68D3F74E" w:rsidR="00C1021F" w:rsidRPr="001D431E" w:rsidRDefault="00841CD0" w:rsidP="002265FA">
      <w:pPr>
        <w:pStyle w:val="enumlev1"/>
        <w:rPr>
          <w:rFonts w:cstheme="minorHAnsi"/>
          <w:szCs w:val="24"/>
          <w:lang w:val="es-ES"/>
        </w:rPr>
      </w:pPr>
      <w:r w:rsidRPr="001D431E">
        <w:rPr>
          <w:rFonts w:cstheme="minorHAnsi"/>
          <w:spacing w:val="-2"/>
          <w:szCs w:val="24"/>
          <w:lang w:val="es-ES"/>
        </w:rPr>
        <w:t>•</w:t>
      </w:r>
      <w:r w:rsidRPr="001D431E">
        <w:rPr>
          <w:rFonts w:cstheme="minorHAnsi"/>
          <w:spacing w:val="-2"/>
          <w:szCs w:val="24"/>
          <w:lang w:val="es-ES"/>
        </w:rPr>
        <w:tab/>
      </w:r>
      <w:hyperlink r:id="rId84">
        <w:r w:rsidR="00C1021F" w:rsidRPr="001D431E">
          <w:rPr>
            <w:rFonts w:eastAsia="Calibri" w:cstheme="minorHAnsi"/>
            <w:b/>
            <w:bCs/>
            <w:color w:val="0000FF" w:themeColor="hyperlink"/>
            <w:spacing w:val="-2"/>
            <w:szCs w:val="24"/>
            <w:u w:val="single"/>
            <w:lang w:val="es-ES"/>
          </w:rPr>
          <w:t>Un enfoque holístico para crear sociedades inteligentes</w:t>
        </w:r>
      </w:hyperlink>
      <w:r w:rsidR="00C1021F" w:rsidRPr="001D431E">
        <w:rPr>
          <w:rFonts w:eastAsia="Calibri" w:cstheme="minorHAnsi"/>
          <w:spacing w:val="-2"/>
          <w:szCs w:val="24"/>
          <w:lang w:val="es-ES"/>
        </w:rPr>
        <w:t xml:space="preserve"> (Cuestión 1/2): Describe los grandes principios que contribuyen a la definición de un enfoque holístico para la creación de sociedades inteligentes. También se propone un ejemplo de arquitectura de ciudad inteligente basado en estos conceptos básicos de diseño y se </w:t>
      </w:r>
      <w:r w:rsidR="002265FA" w:rsidRPr="001D431E">
        <w:rPr>
          <w:rFonts w:eastAsia="Calibri" w:cstheme="minorHAnsi"/>
          <w:spacing w:val="-2"/>
          <w:szCs w:val="24"/>
          <w:lang w:val="es-ES"/>
        </w:rPr>
        <w:t>presenta</w:t>
      </w:r>
      <w:r w:rsidR="00C1021F" w:rsidRPr="001D431E">
        <w:rPr>
          <w:rFonts w:eastAsia="Calibri" w:cstheme="minorHAnsi"/>
          <w:spacing w:val="-2"/>
          <w:szCs w:val="24"/>
          <w:lang w:val="es-ES"/>
        </w:rPr>
        <w:t xml:space="preserve"> un resumen de estudios de casos de países conexos.</w:t>
      </w:r>
    </w:p>
    <w:p w14:paraId="164D7B2B" w14:textId="77777777" w:rsidR="00C1021F" w:rsidRPr="009E0EC1" w:rsidRDefault="00C1021F" w:rsidP="00200B71">
      <w:pPr>
        <w:pStyle w:val="Heading2"/>
        <w:rPr>
          <w:lang w:val="es-ES"/>
        </w:rPr>
      </w:pPr>
      <w:r w:rsidRPr="009E0EC1">
        <w:rPr>
          <w:lang w:val="es-ES"/>
        </w:rPr>
        <w:lastRenderedPageBreak/>
        <w:t>11.2</w:t>
      </w:r>
      <w:r w:rsidRPr="009E0EC1">
        <w:rPr>
          <w:lang w:val="es-ES"/>
        </w:rPr>
        <w:tab/>
        <w:t>Talleres /tutoriales asociados a las Comisiones de Estudio del UIT-D</w:t>
      </w:r>
    </w:p>
    <w:p w14:paraId="357ACE67" w14:textId="764C84CF" w:rsidR="00C1021F" w:rsidRPr="001D431E" w:rsidRDefault="00C1021F" w:rsidP="00C1021F">
      <w:pPr>
        <w:rPr>
          <w:rFonts w:cstheme="minorHAnsi"/>
          <w:lang w:val="es-ES"/>
        </w:rPr>
      </w:pPr>
      <w:r w:rsidRPr="001D431E">
        <w:rPr>
          <w:rFonts w:eastAsia="Calibri" w:cstheme="minorHAnsi"/>
          <w:lang w:val="es-ES"/>
        </w:rPr>
        <w:t xml:space="preserve">Se organizaron varios talleres/tutoriales </w:t>
      </w:r>
      <w:r w:rsidR="002265FA" w:rsidRPr="001D431E">
        <w:rPr>
          <w:rFonts w:eastAsia="Calibri" w:cstheme="minorHAnsi"/>
          <w:lang w:val="es-ES"/>
        </w:rPr>
        <w:t>con ocasión</w:t>
      </w:r>
      <w:r w:rsidRPr="001D431E">
        <w:rPr>
          <w:rFonts w:eastAsia="Calibri" w:cstheme="minorHAnsi"/>
          <w:lang w:val="es-ES"/>
        </w:rPr>
        <w:t xml:space="preserve"> de las reuniones de los Grupos de Relator en 2019. En ellos se ahondaron los conocimientos sobre varios temas de estudio de las </w:t>
      </w:r>
      <w:r w:rsidR="002265FA" w:rsidRPr="001D431E">
        <w:rPr>
          <w:rFonts w:eastAsia="Calibri" w:cstheme="minorHAnsi"/>
          <w:lang w:val="es-ES"/>
        </w:rPr>
        <w:t>Cuestiones</w:t>
      </w:r>
      <w:r w:rsidRPr="001D431E">
        <w:rPr>
          <w:rFonts w:eastAsia="Calibri" w:cstheme="minorHAnsi"/>
          <w:lang w:val="es-ES"/>
        </w:rPr>
        <w:t xml:space="preserve">. Los resultados de esos talleres contribuirán a la elaboración de nuevos resultados anuales y un proyecto de directrices en 2020, así como a la preparación de los Informes de las Cuestiones de las Comisiones de </w:t>
      </w:r>
      <w:r w:rsidR="002265FA" w:rsidRPr="001D431E">
        <w:rPr>
          <w:rFonts w:eastAsia="Calibri" w:cstheme="minorHAnsi"/>
          <w:lang w:val="es-ES"/>
        </w:rPr>
        <w:t>Estudio</w:t>
      </w:r>
      <w:r w:rsidRPr="001D431E">
        <w:rPr>
          <w:rFonts w:eastAsia="Calibri" w:cstheme="minorHAnsi"/>
          <w:lang w:val="es-ES"/>
        </w:rPr>
        <w:t>.</w:t>
      </w:r>
    </w:p>
    <w:p w14:paraId="434D1E95" w14:textId="77777777" w:rsidR="00C1021F" w:rsidRPr="001D431E" w:rsidRDefault="00C1021F" w:rsidP="00C1021F">
      <w:pPr>
        <w:rPr>
          <w:rFonts w:eastAsia="Calibri" w:cstheme="minorHAnsi"/>
          <w:lang w:val="es-ES"/>
        </w:rPr>
      </w:pPr>
      <w:r w:rsidRPr="001D431E">
        <w:rPr>
          <w:rFonts w:eastAsia="Calibri" w:cstheme="minorHAnsi"/>
          <w:lang w:val="es-ES"/>
        </w:rPr>
        <w:t xml:space="preserve">Puede encontrar más información sobre los trabajos de las Comisiones de Estudio 1 y 2 del UIT-D en los documentos </w:t>
      </w:r>
      <w:hyperlink r:id="rId85" w:history="1">
        <w:r w:rsidRPr="001D431E">
          <w:rPr>
            <w:rStyle w:val="Hyperlink"/>
            <w:rFonts w:eastAsia="Calibri" w:cstheme="minorHAnsi"/>
            <w:lang w:val="es-ES"/>
          </w:rPr>
          <w:t>TDAG-20/12</w:t>
        </w:r>
      </w:hyperlink>
      <w:r w:rsidRPr="001D431E">
        <w:rPr>
          <w:rFonts w:eastAsia="Calibri" w:cstheme="minorHAnsi"/>
          <w:lang w:val="es-ES"/>
        </w:rPr>
        <w:t xml:space="preserve"> y </w:t>
      </w:r>
      <w:hyperlink r:id="rId86" w:history="1">
        <w:r w:rsidRPr="001D431E">
          <w:rPr>
            <w:rStyle w:val="Hyperlink"/>
            <w:rFonts w:eastAsia="Calibri" w:cstheme="minorHAnsi"/>
            <w:lang w:val="es-ES"/>
          </w:rPr>
          <w:t>TDAG-20/13</w:t>
        </w:r>
      </w:hyperlink>
      <w:r w:rsidRPr="001D431E">
        <w:rPr>
          <w:rFonts w:eastAsia="Calibri" w:cstheme="minorHAnsi"/>
          <w:lang w:val="es-ES"/>
        </w:rPr>
        <w:t>.</w:t>
      </w:r>
    </w:p>
    <w:p w14:paraId="009B19D1" w14:textId="77777777" w:rsidR="00C1021F" w:rsidRPr="001D431E" w:rsidRDefault="00C1021F" w:rsidP="00841CD0">
      <w:pPr>
        <w:spacing w:before="0"/>
        <w:rPr>
          <w:rFonts w:eastAsia="Calibri" w:cstheme="minorHAnsi"/>
          <w:lang w:val="es-ES"/>
        </w:rPr>
      </w:pPr>
    </w:p>
    <w:tbl>
      <w:tblPr>
        <w:tblStyle w:val="TableGrid"/>
        <w:tblW w:w="0" w:type="auto"/>
        <w:tblLook w:val="04A0" w:firstRow="1" w:lastRow="0" w:firstColumn="1" w:lastColumn="0" w:noHBand="0" w:noVBand="1"/>
      </w:tblPr>
      <w:tblGrid>
        <w:gridCol w:w="9628"/>
      </w:tblGrid>
      <w:tr w:rsidR="00C1021F" w:rsidRPr="00BD1F0A" w14:paraId="51653D92" w14:textId="77777777" w:rsidTr="00794672">
        <w:tc>
          <w:tcPr>
            <w:tcW w:w="9629" w:type="dxa"/>
          </w:tcPr>
          <w:p w14:paraId="593A18AD" w14:textId="77777777" w:rsidR="00C1021F" w:rsidRPr="001D431E" w:rsidRDefault="00C1021F" w:rsidP="00794672">
            <w:pPr>
              <w:rPr>
                <w:rFonts w:asciiTheme="minorHAnsi" w:eastAsia="Calibri" w:hAnsiTheme="minorHAnsi" w:cstheme="minorHAnsi"/>
                <w:b/>
                <w:lang w:val="es-ES"/>
              </w:rPr>
            </w:pPr>
            <w:r w:rsidRPr="001D431E">
              <w:rPr>
                <w:rFonts w:asciiTheme="minorHAnsi" w:eastAsia="Calibri" w:hAnsiTheme="minorHAnsi" w:cstheme="minorHAnsi"/>
                <w:b/>
                <w:lang w:val="es-ES"/>
              </w:rPr>
              <w:t>Asistencia a los PMA, PEID y PDSL</w:t>
            </w:r>
          </w:p>
          <w:p w14:paraId="24D19611" w14:textId="6EB72AFA" w:rsidR="00C1021F" w:rsidRPr="001D431E" w:rsidRDefault="00C1021F" w:rsidP="00794672">
            <w:pPr>
              <w:rPr>
                <w:rFonts w:asciiTheme="minorHAnsi" w:hAnsiTheme="minorHAnsi" w:cstheme="minorHAnsi"/>
                <w:lang w:val="es-ES"/>
              </w:rPr>
            </w:pPr>
            <w:r w:rsidRPr="001D431E">
              <w:rPr>
                <w:rFonts w:asciiTheme="minorHAnsi" w:hAnsiTheme="minorHAnsi" w:cstheme="minorHAnsi"/>
                <w:lang w:val="es-ES"/>
              </w:rPr>
              <w:t xml:space="preserve">El trabajo de la BDT, centrado en flujos de trabajo coherentes y concretos, se aplica a los países menos adelantados (PMA), los pequeños </w:t>
            </w:r>
            <w:r w:rsidR="002265FA" w:rsidRPr="001D431E">
              <w:rPr>
                <w:rFonts w:asciiTheme="minorHAnsi" w:hAnsiTheme="minorHAnsi" w:cstheme="minorHAnsi"/>
                <w:lang w:val="es-ES"/>
              </w:rPr>
              <w:t>Estados</w:t>
            </w:r>
            <w:r w:rsidRPr="001D431E">
              <w:rPr>
                <w:rFonts w:asciiTheme="minorHAnsi" w:hAnsiTheme="minorHAnsi" w:cstheme="minorHAnsi"/>
                <w:lang w:val="es-ES"/>
              </w:rPr>
              <w:t xml:space="preserve"> insulares en desarrollo (PEID) y los países en desarrollo sin litoral (PDSL). </w:t>
            </w:r>
          </w:p>
          <w:p w14:paraId="1776DABA" w14:textId="77777777" w:rsidR="00C1021F" w:rsidRPr="001D431E" w:rsidRDefault="00C1021F" w:rsidP="00794672">
            <w:pPr>
              <w:rPr>
                <w:rFonts w:asciiTheme="minorHAnsi" w:hAnsiTheme="minorHAnsi" w:cstheme="minorHAnsi"/>
                <w:lang w:val="es-ES"/>
              </w:rPr>
            </w:pPr>
            <w:r w:rsidRPr="001D431E">
              <w:rPr>
                <w:rFonts w:asciiTheme="minorHAnsi" w:hAnsiTheme="minorHAnsi" w:cstheme="minorHAnsi"/>
                <w:lang w:val="es-ES"/>
              </w:rPr>
              <w:t>Como ya se ha indicado, en 2019 se prestó asistencia a Eswatini, Malawi, Liberia, Sudán del Sur, Uganda, Gambia, Burundi, Santo Tomé y Príncipe, Eritrea, Saint Kitts y Nevis, Mauritania, Comoras, Somalia, Yemen, Fiji, Kirguistán, Mongolia, Papúa Nueva Guinea, Vanuatu, Kiribati, Samoa, Tonga, Tuvalu, Islas Salomón, RPD Lao, Camboya y Macedonia del Norte.</w:t>
            </w:r>
          </w:p>
          <w:p w14:paraId="45B1CF29" w14:textId="36D441C8" w:rsidR="00C1021F" w:rsidRPr="001D431E" w:rsidRDefault="00C1021F" w:rsidP="00794672">
            <w:pPr>
              <w:spacing w:after="120"/>
              <w:rPr>
                <w:rFonts w:asciiTheme="minorHAnsi" w:eastAsia="Calibri" w:hAnsiTheme="minorHAnsi" w:cstheme="minorHAnsi"/>
                <w:lang w:val="es-ES"/>
              </w:rPr>
            </w:pPr>
            <w:r w:rsidRPr="001D431E">
              <w:rPr>
                <w:rFonts w:asciiTheme="minorHAnsi" w:hAnsiTheme="minorHAnsi" w:cstheme="minorHAnsi"/>
                <w:lang w:val="es-ES"/>
              </w:rPr>
              <w:t xml:space="preserve">Además, se prepararon informes específicos sobre los retos que afrontan esos países. Por ejemplo, el estudio del UIT-D sobre las repercusiones económicas de la banda ancha en los PMA, PEID y PDSL, preparado en cooperación con la Oficina del Alto Representante para los Países Menos Adelantados, los Países en Desarrollo sin Litoral y los Pequeños Estados Insulares en Desarrollo de las Naciones Unidas (UN-OHRLLS), confirma que la banda ancha, tanto fija como móvil, influye positivamente en los países más vulnerables. Un segundo informe, titulado Pequeños Estados insulares en desarrollo y TIC – examen intermedio de la senda de Samoa </w:t>
            </w:r>
            <w:r w:rsidR="00815CEA" w:rsidRPr="001D431E">
              <w:rPr>
                <w:rFonts w:asciiTheme="minorHAnsi" w:hAnsiTheme="minorHAnsi" w:cstheme="minorHAnsi"/>
                <w:lang w:val="es-ES"/>
              </w:rPr>
              <w:t xml:space="preserve">– </w:t>
            </w:r>
            <w:r w:rsidR="00794672" w:rsidRPr="001D431E">
              <w:rPr>
                <w:rFonts w:asciiTheme="minorHAnsi" w:hAnsiTheme="minorHAnsi" w:cstheme="minorHAnsi"/>
                <w:lang w:val="es-ES"/>
              </w:rPr>
              <w:t>demuestra</w:t>
            </w:r>
            <w:r w:rsidRPr="001D431E">
              <w:rPr>
                <w:rFonts w:asciiTheme="minorHAnsi" w:hAnsiTheme="minorHAnsi" w:cstheme="minorHAnsi"/>
                <w:lang w:val="es-ES"/>
              </w:rPr>
              <w:t xml:space="preserve"> que los PEID han hecho progresos en términos de universalidad y asequibilidad de sus redes de TIC desde la celebración de la conferencia de Samoa. Sin embargo, ese progreso es desigual y hay grandes diferencias entre los PEID más eficaces y los demás.</w:t>
            </w:r>
          </w:p>
        </w:tc>
      </w:tr>
    </w:tbl>
    <w:p w14:paraId="33F7F689" w14:textId="6D5246F1" w:rsidR="00C1021F" w:rsidRPr="001D431E" w:rsidRDefault="00C1021F" w:rsidP="00C4604C">
      <w:pPr>
        <w:pStyle w:val="Heading1"/>
        <w:rPr>
          <w:lang w:val="es-ES"/>
        </w:rPr>
      </w:pPr>
      <w:r w:rsidRPr="001D431E">
        <w:rPr>
          <w:lang w:val="es-ES"/>
        </w:rPr>
        <w:t>12</w:t>
      </w:r>
      <w:r w:rsidRPr="001D431E">
        <w:rPr>
          <w:lang w:val="es-ES"/>
        </w:rPr>
        <w:tab/>
        <w:t xml:space="preserve">Foros Regionales de Desarrollo </w:t>
      </w:r>
    </w:p>
    <w:p w14:paraId="4AB9C035" w14:textId="77777777" w:rsidR="00C1021F" w:rsidRPr="001D431E" w:rsidRDefault="00C1021F" w:rsidP="00C1021F">
      <w:pPr>
        <w:rPr>
          <w:rFonts w:cstheme="minorHAnsi"/>
          <w:bCs/>
          <w:spacing w:val="-2"/>
          <w:lang w:val="es-ES"/>
        </w:rPr>
      </w:pPr>
      <w:r w:rsidRPr="001D431E">
        <w:rPr>
          <w:rFonts w:cstheme="minorHAnsi"/>
          <w:bCs/>
          <w:spacing w:val="-2"/>
          <w:lang w:val="es-ES"/>
        </w:rPr>
        <w:t>Se organizó una serie de Foros Regionales de Desarrollo en todo el mundo. Estos Foros ofrecen una gran oportunidad para hablar de los problemas del desarrollo con un amplio abanico de partes interesadas en el terreno.</w:t>
      </w:r>
    </w:p>
    <w:p w14:paraId="530F944F" w14:textId="77777777" w:rsidR="00C1021F" w:rsidRPr="001D431E" w:rsidRDefault="00C1021F" w:rsidP="00C4604C">
      <w:pPr>
        <w:pStyle w:val="Headingb"/>
        <w:rPr>
          <w:lang w:val="es-ES"/>
        </w:rPr>
      </w:pPr>
      <w:r w:rsidRPr="001D431E">
        <w:rPr>
          <w:lang w:val="es-ES"/>
        </w:rPr>
        <w:t>Beirut, Líbano</w:t>
      </w:r>
    </w:p>
    <w:p w14:paraId="17B9797C" w14:textId="54B46DDE" w:rsidR="00C1021F" w:rsidRPr="001D431E" w:rsidRDefault="00C1021F" w:rsidP="00841CD0">
      <w:pPr>
        <w:ind w:right="-1"/>
        <w:rPr>
          <w:rFonts w:cstheme="minorHAnsi"/>
          <w:szCs w:val="24"/>
          <w:highlight w:val="yellow"/>
          <w:lang w:val="es-ES"/>
        </w:rPr>
      </w:pPr>
      <w:r w:rsidRPr="001D431E">
        <w:rPr>
          <w:rFonts w:cstheme="minorHAnsi"/>
          <w:spacing w:val="-2"/>
          <w:szCs w:val="24"/>
          <w:lang w:val="es-ES"/>
        </w:rPr>
        <w:t>El Foro Regional de Desarrollo para los Estados Árabes se celebró en Beirut, Líbano y formó parte de las actividades del Foro Árabe del Alto Nivel (FAAN) sobre la Cumbre Mundial sobre la Sociedad de</w:t>
      </w:r>
      <w:r w:rsidR="00841CD0" w:rsidRPr="001D431E">
        <w:rPr>
          <w:rFonts w:cstheme="minorHAnsi"/>
          <w:spacing w:val="-2"/>
          <w:szCs w:val="24"/>
          <w:lang w:val="es-ES"/>
        </w:rPr>
        <w:t xml:space="preserve"> </w:t>
      </w:r>
      <w:r w:rsidRPr="001D431E">
        <w:rPr>
          <w:rFonts w:cstheme="minorHAnsi"/>
          <w:spacing w:val="-2"/>
          <w:szCs w:val="24"/>
          <w:lang w:val="es-ES"/>
        </w:rPr>
        <w:t xml:space="preserve">la Información (CMSI) y la Agenda 2030 para el Desarrollo Sostenible. El FAAN fue organizado y acogido </w:t>
      </w:r>
      <w:r w:rsidRPr="001D431E">
        <w:rPr>
          <w:rFonts w:cstheme="minorHAnsi"/>
          <w:spacing w:val="-3"/>
          <w:szCs w:val="24"/>
          <w:lang w:val="es-ES"/>
        </w:rPr>
        <w:t xml:space="preserve">por la Comisión Económica y Social para </w:t>
      </w:r>
      <w:r w:rsidR="002265FA" w:rsidRPr="001D431E">
        <w:rPr>
          <w:rFonts w:cstheme="minorHAnsi"/>
          <w:spacing w:val="-3"/>
          <w:szCs w:val="24"/>
          <w:lang w:val="es-ES"/>
        </w:rPr>
        <w:t>Asia</w:t>
      </w:r>
      <w:r w:rsidRPr="001D431E">
        <w:rPr>
          <w:rFonts w:cstheme="minorHAnsi"/>
          <w:spacing w:val="-3"/>
          <w:szCs w:val="24"/>
          <w:lang w:val="es-ES"/>
        </w:rPr>
        <w:t xml:space="preserve"> Occidental (CESPAO) de las naciones Unidas en colaboración</w:t>
      </w:r>
      <w:r w:rsidRPr="001D431E">
        <w:rPr>
          <w:rFonts w:cstheme="minorHAnsi"/>
          <w:spacing w:val="-2"/>
          <w:szCs w:val="24"/>
          <w:lang w:val="es-ES"/>
        </w:rPr>
        <w:t xml:space="preserve"> con la Oficina Regional para los Estados Árabes de la UIT. El Foro sirvió de reunión regional de coordinación donde los Estados Miembros de la UIT y los Miembros de Sector revisaron la aplicación del plan operacional de la CMDT-17 para 2018 y el plan operacional para 2019. También brindó la oportunidad de sostener un diálogo de alto nivel entre Estados Miembros de la UIT y Miembros de Sector y otras partes interesadas de la región de los Estados Árabes a fin de aunar</w:t>
      </w:r>
      <w:r w:rsidRPr="001D431E">
        <w:rPr>
          <w:rFonts w:cstheme="minorHAnsi"/>
          <w:szCs w:val="24"/>
          <w:lang w:val="es-ES"/>
        </w:rPr>
        <w:t xml:space="preserve"> esfuerzos, forjar nuevas alianzas y llegar a un acuerdo sobre las prioridades del próximo periodo. </w:t>
      </w:r>
    </w:p>
    <w:p w14:paraId="41765B45" w14:textId="77777777" w:rsidR="00C1021F" w:rsidRPr="00C4604C" w:rsidRDefault="00C1021F" w:rsidP="00C4604C">
      <w:pPr>
        <w:pStyle w:val="Headingb"/>
        <w:rPr>
          <w:lang w:val="es-ES"/>
        </w:rPr>
      </w:pPr>
      <w:r w:rsidRPr="00C4604C">
        <w:rPr>
          <w:lang w:val="es-ES"/>
        </w:rPr>
        <w:lastRenderedPageBreak/>
        <w:t>Asunción, Paraguay</w:t>
      </w:r>
    </w:p>
    <w:p w14:paraId="74983C02" w14:textId="5B2EE9CF" w:rsidR="00C1021F" w:rsidRPr="001D431E" w:rsidRDefault="00C1021F" w:rsidP="00C4604C">
      <w:pPr>
        <w:rPr>
          <w:lang w:val="es-ES"/>
        </w:rPr>
      </w:pPr>
      <w:r w:rsidRPr="001D431E">
        <w:rPr>
          <w:lang w:val="es-ES"/>
        </w:rPr>
        <w:t>El Foro se celebró el 30 de septiembre en Asunción, Paraguay, inmediatamente después de la</w:t>
      </w:r>
      <w:r w:rsidR="009219FC">
        <w:rPr>
          <w:lang w:val="es-ES"/>
        </w:rPr>
        <w:t> </w:t>
      </w:r>
      <w:r w:rsidRPr="001D431E">
        <w:rPr>
          <w:lang w:val="es-ES"/>
        </w:rPr>
        <w:t>35ª</w:t>
      </w:r>
      <w:r w:rsidR="009219FC">
        <w:rPr>
          <w:lang w:val="es-ES"/>
        </w:rPr>
        <w:t> </w:t>
      </w:r>
      <w:r w:rsidRPr="001D431E">
        <w:rPr>
          <w:lang w:val="es-ES"/>
        </w:rPr>
        <w:t xml:space="preserve">reunión del Comité Consultivo Permanente I (PCC I) de la Comisión Interamericana de Telecomunicaciones (CITEL), en respuesta a la amable invitación de CONATEL Paraguay. </w:t>
      </w:r>
    </w:p>
    <w:p w14:paraId="0F42FFAE" w14:textId="77777777" w:rsidR="00C1021F" w:rsidRPr="001D431E" w:rsidRDefault="00C1021F" w:rsidP="00C4604C">
      <w:pPr>
        <w:rPr>
          <w:lang w:val="es-ES"/>
        </w:rPr>
      </w:pPr>
      <w:r w:rsidRPr="001D431E">
        <w:rPr>
          <w:lang w:val="es-ES"/>
        </w:rPr>
        <w:t>Las principales orientaciones estratégicas identificadas para la región fueron la ampliación de la conectividad, la mejora de la asequibilidad de los servicios y la reducción de la brecha digital mediante capacitación digital, políticas antropocéntricas y alianzas estratégicas reglamentarias. En el FRD-AMS se destacó la necesidad de que la región acelere el movimiento tomando medidas concretas en pro de la cuarta revolución industrial y la necesidad de contar con marcos reglamentarios y políticas ágiles y adaptables en materia de convergencia de servicios. Además, en el FRD-AMS se subrayó la necesidad de impartir capacitación digital básica para empoderar a la población de la base de la pirámide; la necesidad de invertir en innovación, infraestructura y transformación digital, y la necesidad de intensificar la cooperación entre los sectores público y privado.</w:t>
      </w:r>
    </w:p>
    <w:p w14:paraId="18577FDE" w14:textId="77777777" w:rsidR="00C1021F" w:rsidRPr="00C4604C" w:rsidRDefault="00C1021F" w:rsidP="00C4604C">
      <w:pPr>
        <w:pStyle w:val="Headingb"/>
        <w:rPr>
          <w:lang w:val="es-ES"/>
        </w:rPr>
      </w:pPr>
      <w:r w:rsidRPr="00C4604C">
        <w:rPr>
          <w:lang w:val="es-ES"/>
        </w:rPr>
        <w:t>Roma, Italia</w:t>
      </w:r>
    </w:p>
    <w:p w14:paraId="6FD13054" w14:textId="17376DF3" w:rsidR="00C1021F" w:rsidRPr="001D431E" w:rsidRDefault="00C1021F" w:rsidP="00C4604C">
      <w:pPr>
        <w:rPr>
          <w:lang w:val="es-ES"/>
        </w:rPr>
      </w:pPr>
      <w:r w:rsidRPr="001D431E">
        <w:rPr>
          <w:lang w:val="es-ES"/>
        </w:rPr>
        <w:t>El Foro Regional de Desarrollo de la UIT para Europa fue acogido por el Ministerio de Desarrollo Económico de Italia. Este Foro se celebró a continuación de la reunión de la Com UIT de la CEPT (7</w:t>
      </w:r>
      <w:r w:rsidRPr="001D431E">
        <w:rPr>
          <w:lang w:val="es-ES"/>
        </w:rPr>
        <w:noBreakHyphen/>
        <w:t xml:space="preserve">9 de mayo de 2019). El Foro brindó la oportunidad de celebrar un diálogo de alto nivel entre los Estados Miembros de la UIT y los Miembros de Sector y otras partes interesadas. Como resultado de la reunión se elaboró un plan de acción para la región con los resultados previstos de las Iniciativas Regionales de la UIT. </w:t>
      </w:r>
    </w:p>
    <w:p w14:paraId="4737E7B3" w14:textId="233A2576" w:rsidR="00C1021F" w:rsidRPr="001D431E" w:rsidRDefault="00C1021F" w:rsidP="00C4604C">
      <w:pPr>
        <w:pStyle w:val="Heading1"/>
        <w:rPr>
          <w:lang w:val="es-ES"/>
        </w:rPr>
      </w:pPr>
      <w:r w:rsidRPr="001D431E">
        <w:rPr>
          <w:lang w:val="es-ES"/>
        </w:rPr>
        <w:t>13</w:t>
      </w:r>
      <w:r w:rsidRPr="001D431E">
        <w:rPr>
          <w:lang w:val="es-ES"/>
        </w:rPr>
        <w:tab/>
        <w:t>2020: Asociación para la transformación digital</w:t>
      </w:r>
    </w:p>
    <w:p w14:paraId="46C08822" w14:textId="68938167" w:rsidR="00C1021F" w:rsidRPr="001D431E" w:rsidRDefault="00C1021F" w:rsidP="00C4604C">
      <w:pPr>
        <w:rPr>
          <w:lang w:val="es-ES"/>
        </w:rPr>
      </w:pPr>
      <w:r w:rsidRPr="001D431E">
        <w:rPr>
          <w:lang w:val="es-ES"/>
        </w:rPr>
        <w:t xml:space="preserve">Este Informe muestra que la era digital actual requiere una estrecha colaboración basada en la cooperación, el intercambio de recursos y los acuerdos en beneficio mutuo que favorezcan a los gobiernos, la industria y los usuarios. Es fundamental un enfoque más global, a escala de </w:t>
      </w:r>
      <w:r w:rsidR="00557043">
        <w:rPr>
          <w:lang w:val="es-ES"/>
        </w:rPr>
        <w:t>"</w:t>
      </w:r>
      <w:r w:rsidRPr="001D431E">
        <w:rPr>
          <w:lang w:val="es-ES"/>
        </w:rPr>
        <w:t>todo el gobierno</w:t>
      </w:r>
      <w:r w:rsidR="00557043">
        <w:rPr>
          <w:lang w:val="es-ES"/>
        </w:rPr>
        <w:t>"</w:t>
      </w:r>
      <w:r w:rsidRPr="001D431E">
        <w:rPr>
          <w:lang w:val="es-ES"/>
        </w:rPr>
        <w:t xml:space="preserve">, en el que la tecnología se considere un servicio habilitador básico que beneficia a todos. </w:t>
      </w:r>
    </w:p>
    <w:p w14:paraId="63334C7A" w14:textId="77777777" w:rsidR="00C1021F" w:rsidRPr="001D431E" w:rsidRDefault="00C1021F" w:rsidP="00C4604C">
      <w:pPr>
        <w:rPr>
          <w:lang w:val="es-ES"/>
        </w:rPr>
      </w:pPr>
      <w:r w:rsidRPr="001D431E">
        <w:rPr>
          <w:lang w:val="es-ES"/>
        </w:rPr>
        <w:t>La BDT invierte grandes esfuerzos en forjar alianzas estratégicas mutuamente beneficiosas que abra las puertas a la colaboración esencial para lograr mejores resultados y que su influencia sea tangible. Con este objetivo en mente la BDT sigue cultivando sus relaciones con los actuales socios, identificando y asociándose a otros nuevos, y conservando y atrayendo a nuevos Miembros del Sector UIT-D a fin de obtener los recursos necesarios para financiar proyectos a gran escala que permitan implementar adecuadamente el Plan de Acción de Buenos Aires a nivel nacional, regional y mundial.</w:t>
      </w:r>
    </w:p>
    <w:p w14:paraId="7D02DDBE" w14:textId="33DF45FF" w:rsidR="009219FC" w:rsidRDefault="00C1021F" w:rsidP="00C4604C">
      <w:pPr>
        <w:rPr>
          <w:color w:val="000000" w:themeColor="text1"/>
          <w:lang w:val="es-ES"/>
        </w:rPr>
      </w:pPr>
      <w:r w:rsidRPr="001D431E">
        <w:rPr>
          <w:shd w:val="clear" w:color="auto" w:fill="FFFFFF"/>
          <w:lang w:val="es-ES"/>
        </w:rPr>
        <w:t>En 2020 la BDT seguirá cumpliendo el Plan de Acción de Buenos Aires a través de sus prioridades temáticas para lograr un efecto sostenible y avanzar en la transformación digital para todos en 2020 y más allá. Además, el año 2020 ofrecerá la oportunidad de aprovechar la adopción de nuevas tecnologías y de desarrollar y ampliar las metodologías existentes e inspirar a otros por medio de prácticas idóneas. Juntos, la BDT puede seguir transformando la era digital e impulsar el debate hacia el logro de una transformación digital inclusiva</w:t>
      </w:r>
      <w:r w:rsidRPr="001D431E">
        <w:rPr>
          <w:color w:val="000000" w:themeColor="text1"/>
          <w:lang w:val="es-ES"/>
        </w:rPr>
        <w:t>.</w:t>
      </w:r>
    </w:p>
    <w:p w14:paraId="178D19D6" w14:textId="77777777" w:rsidR="009219FC" w:rsidRPr="004F002A" w:rsidRDefault="009219FC" w:rsidP="004F002A">
      <w:pPr>
        <w:pStyle w:val="Reasons"/>
        <w:rPr>
          <w:lang w:val="es-ES"/>
        </w:rPr>
      </w:pPr>
    </w:p>
    <w:p w14:paraId="4209D324" w14:textId="660DA0D0" w:rsidR="00C1021F" w:rsidRPr="009219FC" w:rsidRDefault="009219FC" w:rsidP="009219FC">
      <w:pPr>
        <w:jc w:val="center"/>
      </w:pPr>
      <w:r>
        <w:t>______________</w:t>
      </w:r>
    </w:p>
    <w:sectPr w:rsidR="00C1021F" w:rsidRPr="009219FC" w:rsidSect="004B7893">
      <w:headerReference w:type="default" r:id="rId87"/>
      <w:footerReference w:type="default" r:id="rId88"/>
      <w:footerReference w:type="first" r:id="rId89"/>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C2531" w14:textId="77777777" w:rsidR="004F002A" w:rsidRDefault="004F002A" w:rsidP="0088106F">
      <w:r>
        <w:separator/>
      </w:r>
    </w:p>
  </w:endnote>
  <w:endnote w:type="continuationSeparator" w:id="0">
    <w:p w14:paraId="118450D7" w14:textId="77777777" w:rsidR="004F002A" w:rsidRDefault="004F002A"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93B8" w14:textId="39AD3206" w:rsidR="004F002A" w:rsidRPr="00DD2BFE" w:rsidRDefault="004F002A" w:rsidP="009A6FC4">
    <w:pPr>
      <w:pStyle w:val="Footer"/>
      <w:rPr>
        <w:lang w:val="es-ES_tradnl"/>
      </w:rPr>
    </w:pPr>
    <w:r w:rsidRPr="00DD2BFE">
      <w:fldChar w:fldCharType="begin"/>
    </w:r>
    <w:r w:rsidRPr="00DD2BFE">
      <w:rPr>
        <w:lang w:val="es-ES_tradnl"/>
      </w:rPr>
      <w:instrText xml:space="preserve"> FILENAME \p \* MERGEFORMAT </w:instrText>
    </w:r>
    <w:r w:rsidRPr="00DD2BFE">
      <w:fldChar w:fldCharType="separate"/>
    </w:r>
    <w:r w:rsidR="00BD3764">
      <w:rPr>
        <w:lang w:val="es-ES_tradnl"/>
      </w:rPr>
      <w:t>P:\ESP\ITU-D\CONF-D\TDAG20\000\002V2S.docx</w:t>
    </w:r>
    <w:r w:rsidRPr="00DD2BFE">
      <w:fldChar w:fldCharType="end"/>
    </w:r>
    <w:r w:rsidRPr="00DD2BFE">
      <w:rPr>
        <w:lang w:val="es-ES_tradnl"/>
      </w:rPr>
      <w:t xml:space="preserve"> (465649)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134"/>
      <w:gridCol w:w="2552"/>
      <w:gridCol w:w="6237"/>
    </w:tblGrid>
    <w:tr w:rsidR="004F002A" w:rsidRPr="00BD1F0A" w14:paraId="6B7858E7" w14:textId="77777777" w:rsidTr="00794672">
      <w:tc>
        <w:tcPr>
          <w:tcW w:w="1134" w:type="dxa"/>
          <w:tcBorders>
            <w:top w:val="single" w:sz="4" w:space="0" w:color="000000"/>
          </w:tcBorders>
          <w:shd w:val="clear" w:color="auto" w:fill="auto"/>
        </w:tcPr>
        <w:p w14:paraId="3B7AE704" w14:textId="77777777" w:rsidR="004F002A" w:rsidRPr="004D495C" w:rsidRDefault="004F002A" w:rsidP="00C1021F">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74FD4843" w14:textId="77777777" w:rsidR="004F002A" w:rsidRPr="004D495C" w:rsidRDefault="004F002A" w:rsidP="00C1021F">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tcPr>
        <w:p w14:paraId="71652D64" w14:textId="5DF9600C" w:rsidR="004F002A" w:rsidRPr="00C1021F" w:rsidRDefault="004F002A" w:rsidP="00C1021F">
          <w:pPr>
            <w:pStyle w:val="FirstFooter"/>
            <w:rPr>
              <w:sz w:val="18"/>
              <w:szCs w:val="18"/>
              <w:lang w:val="es-ES_tradnl"/>
            </w:rPr>
          </w:pPr>
          <w:r w:rsidRPr="005F1159">
            <w:rPr>
              <w:sz w:val="18"/>
              <w:szCs w:val="18"/>
              <w:lang w:val="es-ES"/>
            </w:rPr>
            <w:t>Sra. Doreen Bogdan-Martin, Directora de la Oficina de D</w:t>
          </w:r>
          <w:r>
            <w:rPr>
              <w:sz w:val="18"/>
              <w:szCs w:val="18"/>
              <w:lang w:val="es-ES"/>
            </w:rPr>
            <w:t>esarrollo de las Telecomunicaciones</w:t>
          </w:r>
        </w:p>
      </w:tc>
      <w:bookmarkStart w:id="8" w:name="OrgName"/>
      <w:bookmarkEnd w:id="8"/>
    </w:tr>
    <w:tr w:rsidR="004F002A" w:rsidRPr="004D495C" w14:paraId="38DD6B05" w14:textId="77777777" w:rsidTr="00794672">
      <w:tc>
        <w:tcPr>
          <w:tcW w:w="1134" w:type="dxa"/>
          <w:shd w:val="clear" w:color="auto" w:fill="auto"/>
        </w:tcPr>
        <w:p w14:paraId="02F78F75" w14:textId="77777777" w:rsidR="004F002A" w:rsidRPr="00C1021F" w:rsidRDefault="004F002A" w:rsidP="00C1021F">
          <w:pPr>
            <w:pStyle w:val="FirstFooter"/>
            <w:tabs>
              <w:tab w:val="left" w:pos="1559"/>
              <w:tab w:val="left" w:pos="3828"/>
            </w:tabs>
            <w:rPr>
              <w:sz w:val="20"/>
              <w:lang w:val="es-ES_tradnl"/>
            </w:rPr>
          </w:pPr>
        </w:p>
      </w:tc>
      <w:tc>
        <w:tcPr>
          <w:tcW w:w="2552" w:type="dxa"/>
          <w:shd w:val="clear" w:color="auto" w:fill="auto"/>
        </w:tcPr>
        <w:p w14:paraId="6E472097" w14:textId="77777777" w:rsidR="004F002A" w:rsidRPr="004D495C" w:rsidRDefault="004F002A" w:rsidP="00C1021F">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tcPr>
        <w:p w14:paraId="64BFA93B" w14:textId="42E690B0" w:rsidR="004F002A" w:rsidRPr="00050E06" w:rsidRDefault="004F002A" w:rsidP="00C1021F">
          <w:pPr>
            <w:pStyle w:val="FirstFooter"/>
            <w:tabs>
              <w:tab w:val="left" w:pos="2302"/>
            </w:tabs>
            <w:rPr>
              <w:sz w:val="18"/>
              <w:szCs w:val="18"/>
              <w:lang w:val="en-US"/>
            </w:rPr>
          </w:pPr>
          <w:r>
            <w:rPr>
              <w:sz w:val="18"/>
              <w:szCs w:val="18"/>
              <w:lang w:val="en-US"/>
            </w:rPr>
            <w:t>+41 22 730 5533</w:t>
          </w:r>
        </w:p>
      </w:tc>
      <w:bookmarkStart w:id="9" w:name="PhoneNo"/>
      <w:bookmarkEnd w:id="9"/>
    </w:tr>
    <w:tr w:rsidR="004F002A" w:rsidRPr="004D495C" w14:paraId="5D4C8EC0" w14:textId="77777777" w:rsidTr="00794672">
      <w:tc>
        <w:tcPr>
          <w:tcW w:w="1134" w:type="dxa"/>
          <w:shd w:val="clear" w:color="auto" w:fill="auto"/>
        </w:tcPr>
        <w:p w14:paraId="215F6FBE" w14:textId="77777777" w:rsidR="004F002A" w:rsidRPr="004D495C" w:rsidRDefault="004F002A" w:rsidP="00C1021F">
          <w:pPr>
            <w:pStyle w:val="FirstFooter"/>
            <w:tabs>
              <w:tab w:val="left" w:pos="1559"/>
              <w:tab w:val="left" w:pos="3828"/>
            </w:tabs>
            <w:rPr>
              <w:sz w:val="20"/>
              <w:lang w:val="en-US"/>
            </w:rPr>
          </w:pPr>
        </w:p>
      </w:tc>
      <w:tc>
        <w:tcPr>
          <w:tcW w:w="2552" w:type="dxa"/>
          <w:shd w:val="clear" w:color="auto" w:fill="auto"/>
        </w:tcPr>
        <w:p w14:paraId="654E8617" w14:textId="77777777" w:rsidR="004F002A" w:rsidRPr="004D495C" w:rsidRDefault="004F002A" w:rsidP="00C1021F">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tcPr>
        <w:p w14:paraId="5C4B63EB" w14:textId="22499218" w:rsidR="004F002A" w:rsidRPr="00050E06" w:rsidRDefault="00007CB9" w:rsidP="00C1021F">
          <w:pPr>
            <w:pStyle w:val="FirstFooter"/>
            <w:tabs>
              <w:tab w:val="left" w:pos="2302"/>
            </w:tabs>
            <w:rPr>
              <w:sz w:val="18"/>
              <w:szCs w:val="18"/>
              <w:lang w:val="en-US"/>
            </w:rPr>
          </w:pPr>
          <w:hyperlink r:id="rId1" w:history="1">
            <w:r w:rsidR="004F002A" w:rsidRPr="00AB63B0">
              <w:rPr>
                <w:rStyle w:val="Hyperlink"/>
                <w:sz w:val="18"/>
                <w:szCs w:val="18"/>
                <w:lang w:val="en-US"/>
              </w:rPr>
              <w:t>bdtdir@itu.int</w:t>
            </w:r>
          </w:hyperlink>
          <w:r w:rsidR="004F002A">
            <w:rPr>
              <w:sz w:val="18"/>
              <w:szCs w:val="18"/>
              <w:lang w:val="en-US"/>
            </w:rPr>
            <w:t xml:space="preserve"> </w:t>
          </w:r>
        </w:p>
      </w:tc>
      <w:bookmarkStart w:id="10" w:name="Email"/>
      <w:bookmarkEnd w:id="10"/>
    </w:tr>
  </w:tbl>
  <w:p w14:paraId="6200EEAB" w14:textId="7320B3F2" w:rsidR="004F002A" w:rsidRPr="006E4AB3" w:rsidRDefault="00007CB9" w:rsidP="004C2190">
    <w:pPr>
      <w:tabs>
        <w:tab w:val="clear" w:pos="794"/>
        <w:tab w:val="clear" w:pos="1191"/>
        <w:tab w:val="clear" w:pos="1588"/>
        <w:tab w:val="clear" w:pos="1985"/>
        <w:tab w:val="left" w:pos="5954"/>
        <w:tab w:val="right" w:pos="9639"/>
      </w:tabs>
      <w:jc w:val="center"/>
      <w:rPr>
        <w:rFonts w:ascii="Calibri" w:hAnsi="Calibri"/>
        <w:caps/>
        <w:noProof/>
        <w:sz w:val="16"/>
      </w:rPr>
    </w:pPr>
    <w:hyperlink r:id="rId2" w:history="1">
      <w:r w:rsidR="004F002A">
        <w:rPr>
          <w:rFonts w:ascii="Calibri" w:hAnsi="Calibri"/>
          <w:color w:val="0000FF"/>
          <w:sz w:val="18"/>
          <w:szCs w:val="18"/>
          <w:u w:val="single"/>
        </w:rPr>
        <w:t>GADT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0BD64" w14:textId="77777777" w:rsidR="004F002A" w:rsidRDefault="004F002A" w:rsidP="0088106F">
      <w:r>
        <w:separator/>
      </w:r>
    </w:p>
  </w:footnote>
  <w:footnote w:type="continuationSeparator" w:id="0">
    <w:p w14:paraId="1EBF2A10" w14:textId="77777777" w:rsidR="004F002A" w:rsidRDefault="004F002A" w:rsidP="0088106F">
      <w:r>
        <w:continuationSeparator/>
      </w:r>
    </w:p>
  </w:footnote>
  <w:footnote w:id="1">
    <w:p w14:paraId="2B79F174" w14:textId="0DEF9A48" w:rsidR="004F002A" w:rsidRPr="00233499" w:rsidRDefault="004F002A" w:rsidP="00C1021F">
      <w:pPr>
        <w:pStyle w:val="FootnoteText"/>
        <w:rPr>
          <w:lang w:val="es-ES"/>
        </w:rPr>
      </w:pPr>
      <w:r>
        <w:rPr>
          <w:rStyle w:val="FootnoteReference"/>
        </w:rPr>
        <w:footnoteRef/>
      </w:r>
      <w:r w:rsidR="0091715A">
        <w:rPr>
          <w:lang w:val="es-ES"/>
        </w:rPr>
        <w:tab/>
      </w:r>
      <w:r w:rsidRPr="0081069D">
        <w:rPr>
          <w:lang w:val="es-ES"/>
        </w:rPr>
        <w:t>La Alian</w:t>
      </w:r>
      <w:r>
        <w:rPr>
          <w:lang w:val="es-ES"/>
        </w:rPr>
        <w:t>z</w:t>
      </w:r>
      <w:r w:rsidRPr="0081069D">
        <w:rPr>
          <w:lang w:val="es-ES"/>
        </w:rPr>
        <w:t xml:space="preserve">a Mundial </w:t>
      </w:r>
      <w:hyperlink r:id="rId1" w:history="1">
        <w:r w:rsidRPr="0081069D">
          <w:rPr>
            <w:rStyle w:val="Hyperlink"/>
            <w:lang w:val="es-ES"/>
          </w:rPr>
          <w:t>EQUALS</w:t>
        </w:r>
      </w:hyperlink>
      <w:r w:rsidRPr="0081069D">
        <w:rPr>
          <w:lang w:val="es-ES"/>
        </w:rPr>
        <w:t xml:space="preserve"> para la igualdad de género en la era digital se asegura de que las mujeres y niñas tengan acceso al sector de las TIC, reciban la formación necesaria para ello y desarrollen su potencial directivo para trabajar y prosperar en </w:t>
      </w:r>
      <w:r>
        <w:rPr>
          <w:lang w:val="es-ES"/>
        </w:rPr>
        <w:t xml:space="preserve">el sector. </w:t>
      </w:r>
      <w:r w:rsidRPr="0081069D">
        <w:rPr>
          <w:lang w:val="es-ES"/>
        </w:rPr>
        <w:t>Esta Alianza fue creada por la UIT, ONU M</w:t>
      </w:r>
      <w:r>
        <w:rPr>
          <w:lang w:val="es-ES"/>
        </w:rPr>
        <w:t>u</w:t>
      </w:r>
      <w:r w:rsidRPr="0081069D">
        <w:rPr>
          <w:lang w:val="es-ES"/>
        </w:rPr>
        <w:t>jeres, la GSMA, el ITC y la UNU y está regida por el Comité de Dirección (del qu</w:t>
      </w:r>
      <w:r>
        <w:rPr>
          <w:lang w:val="es-ES"/>
        </w:rPr>
        <w:t xml:space="preserve">e es parte la UIT), que da las orientaciones estratégicas para el desarrollo de la Alianza. </w:t>
      </w:r>
      <w:r w:rsidRPr="0081069D">
        <w:rPr>
          <w:lang w:val="es-ES"/>
        </w:rPr>
        <w:t>En la act</w:t>
      </w:r>
      <w:r>
        <w:rPr>
          <w:lang w:val="es-ES"/>
        </w:rPr>
        <w:t>u</w:t>
      </w:r>
      <w:r w:rsidRPr="0081069D">
        <w:rPr>
          <w:lang w:val="es-ES"/>
        </w:rPr>
        <w:t>alidad, más de 90 socios de todas las regiones han respondido al llamamiento que establece un marco colabora</w:t>
      </w:r>
      <w:r>
        <w:rPr>
          <w:lang w:val="es-ES"/>
        </w:rPr>
        <w:t>tivo y coordinado dentro del que los interesados se comprometen de manera concreta y mensurable en relación con cuatro esferas (acceso, competencias, liderazgo e investigación), que reflejan las múltiples facetas de la brecha de género en la tecnología</w:t>
      </w:r>
      <w:r w:rsidRPr="00233499">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91568" w14:textId="797F7C34" w:rsidR="004F002A" w:rsidRPr="00C4604C" w:rsidRDefault="004F002A" w:rsidP="00C4604C">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3D4CFB">
      <w:rPr>
        <w:sz w:val="22"/>
        <w:szCs w:val="22"/>
        <w:lang w:val="en-US"/>
      </w:rPr>
      <w:t>/</w:t>
    </w:r>
    <w:r>
      <w:rPr>
        <w:sz w:val="22"/>
        <w:szCs w:val="22"/>
        <w:lang w:val="en-US"/>
      </w:rPr>
      <w:t>2</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03A"/>
    <w:multiLevelType w:val="hybridMultilevel"/>
    <w:tmpl w:val="F2EA9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E523F"/>
    <w:multiLevelType w:val="multilevel"/>
    <w:tmpl w:val="E05246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6C127D"/>
    <w:multiLevelType w:val="hybridMultilevel"/>
    <w:tmpl w:val="E7CAD9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D4471"/>
    <w:multiLevelType w:val="hybridMultilevel"/>
    <w:tmpl w:val="742C31B6"/>
    <w:lvl w:ilvl="0" w:tplc="D278E63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9118D"/>
    <w:multiLevelType w:val="hybridMultilevel"/>
    <w:tmpl w:val="BDF4E250"/>
    <w:lvl w:ilvl="0" w:tplc="B1E8C40E">
      <w:start w:val="1"/>
      <w:numFmt w:val="bullet"/>
      <w:lvlText w:val=""/>
      <w:lvlJc w:val="left"/>
      <w:pPr>
        <w:ind w:left="360" w:hanging="360"/>
      </w:pPr>
      <w:rPr>
        <w:rFonts w:ascii="Symbol" w:hAnsi="Symbol" w:hint="default"/>
        <w:b/>
        <w:color w:val="auto"/>
      </w:rPr>
    </w:lvl>
    <w:lvl w:ilvl="1" w:tplc="040C0019">
      <w:start w:val="1"/>
      <w:numFmt w:val="lowerLetter"/>
      <w:lvlText w:val="%2."/>
      <w:lvlJc w:val="left"/>
      <w:pPr>
        <w:ind w:left="720" w:hanging="360"/>
      </w:pPr>
    </w:lvl>
    <w:lvl w:ilvl="2" w:tplc="040C001B">
      <w:start w:val="1"/>
      <w:numFmt w:val="lowerRoman"/>
      <w:lvlText w:val="%3."/>
      <w:lvlJc w:val="right"/>
      <w:pPr>
        <w:ind w:left="1440" w:hanging="180"/>
      </w:pPr>
    </w:lvl>
    <w:lvl w:ilvl="3" w:tplc="040C000F">
      <w:start w:val="1"/>
      <w:numFmt w:val="decimal"/>
      <w:lvlText w:val="%4."/>
      <w:lvlJc w:val="left"/>
      <w:pPr>
        <w:ind w:left="2160" w:hanging="360"/>
      </w:pPr>
    </w:lvl>
    <w:lvl w:ilvl="4" w:tplc="040C0019">
      <w:start w:val="1"/>
      <w:numFmt w:val="lowerLetter"/>
      <w:lvlText w:val="%5."/>
      <w:lvlJc w:val="left"/>
      <w:pPr>
        <w:ind w:left="2880" w:hanging="360"/>
      </w:pPr>
    </w:lvl>
    <w:lvl w:ilvl="5" w:tplc="040C001B">
      <w:start w:val="1"/>
      <w:numFmt w:val="lowerRoman"/>
      <w:lvlText w:val="%6."/>
      <w:lvlJc w:val="right"/>
      <w:pPr>
        <w:ind w:left="3600" w:hanging="180"/>
      </w:pPr>
    </w:lvl>
    <w:lvl w:ilvl="6" w:tplc="040C000F">
      <w:start w:val="1"/>
      <w:numFmt w:val="decimal"/>
      <w:lvlText w:val="%7."/>
      <w:lvlJc w:val="left"/>
      <w:pPr>
        <w:ind w:left="4320" w:hanging="360"/>
      </w:pPr>
    </w:lvl>
    <w:lvl w:ilvl="7" w:tplc="040C0019">
      <w:start w:val="1"/>
      <w:numFmt w:val="lowerLetter"/>
      <w:lvlText w:val="%8."/>
      <w:lvlJc w:val="left"/>
      <w:pPr>
        <w:ind w:left="5040" w:hanging="360"/>
      </w:pPr>
    </w:lvl>
    <w:lvl w:ilvl="8" w:tplc="040C001B">
      <w:start w:val="1"/>
      <w:numFmt w:val="lowerRoman"/>
      <w:lvlText w:val="%9."/>
      <w:lvlJc w:val="right"/>
      <w:pPr>
        <w:ind w:left="5760" w:hanging="180"/>
      </w:pPr>
    </w:lvl>
  </w:abstractNum>
  <w:abstractNum w:abstractNumId="5" w15:restartNumberingAfterBreak="0">
    <w:nsid w:val="126F575F"/>
    <w:multiLevelType w:val="hybridMultilevel"/>
    <w:tmpl w:val="8B92FCBE"/>
    <w:lvl w:ilvl="0" w:tplc="22822A48">
      <w:start w:val="1"/>
      <w:numFmt w:val="bullet"/>
      <w:lvlText w:val="•"/>
      <w:lvlJc w:val="left"/>
      <w:pPr>
        <w:tabs>
          <w:tab w:val="num" w:pos="720"/>
        </w:tabs>
        <w:ind w:left="720" w:hanging="360"/>
      </w:pPr>
      <w:rPr>
        <w:rFonts w:ascii="Arial" w:hAnsi="Arial" w:hint="default"/>
      </w:rPr>
    </w:lvl>
    <w:lvl w:ilvl="1" w:tplc="08090001">
      <w:start w:val="1"/>
      <w:numFmt w:val="bullet"/>
      <w:lvlText w:val=""/>
      <w:lvlJc w:val="left"/>
      <w:pPr>
        <w:ind w:left="786" w:hanging="360"/>
      </w:pPr>
      <w:rPr>
        <w:rFonts w:ascii="Symbol" w:hAnsi="Symbol" w:hint="default"/>
        <w:color w:val="00A3E0"/>
        <w:sz w:val="20"/>
        <w:u w:color="FFFFFF" w:themeColor="background1"/>
      </w:rPr>
    </w:lvl>
    <w:lvl w:ilvl="2" w:tplc="884AEA16" w:tentative="1">
      <w:start w:val="1"/>
      <w:numFmt w:val="bullet"/>
      <w:lvlText w:val="•"/>
      <w:lvlJc w:val="left"/>
      <w:pPr>
        <w:tabs>
          <w:tab w:val="num" w:pos="2160"/>
        </w:tabs>
        <w:ind w:left="2160" w:hanging="360"/>
      </w:pPr>
      <w:rPr>
        <w:rFonts w:ascii="Arial" w:hAnsi="Arial" w:hint="default"/>
      </w:rPr>
    </w:lvl>
    <w:lvl w:ilvl="3" w:tplc="FB72D78C" w:tentative="1">
      <w:start w:val="1"/>
      <w:numFmt w:val="bullet"/>
      <w:lvlText w:val="•"/>
      <w:lvlJc w:val="left"/>
      <w:pPr>
        <w:tabs>
          <w:tab w:val="num" w:pos="2880"/>
        </w:tabs>
        <w:ind w:left="2880" w:hanging="360"/>
      </w:pPr>
      <w:rPr>
        <w:rFonts w:ascii="Arial" w:hAnsi="Arial" w:hint="default"/>
      </w:rPr>
    </w:lvl>
    <w:lvl w:ilvl="4" w:tplc="BE403DFA" w:tentative="1">
      <w:start w:val="1"/>
      <w:numFmt w:val="bullet"/>
      <w:lvlText w:val="•"/>
      <w:lvlJc w:val="left"/>
      <w:pPr>
        <w:tabs>
          <w:tab w:val="num" w:pos="3600"/>
        </w:tabs>
        <w:ind w:left="3600" w:hanging="360"/>
      </w:pPr>
      <w:rPr>
        <w:rFonts w:ascii="Arial" w:hAnsi="Arial" w:hint="default"/>
      </w:rPr>
    </w:lvl>
    <w:lvl w:ilvl="5" w:tplc="062E7A26" w:tentative="1">
      <w:start w:val="1"/>
      <w:numFmt w:val="bullet"/>
      <w:lvlText w:val="•"/>
      <w:lvlJc w:val="left"/>
      <w:pPr>
        <w:tabs>
          <w:tab w:val="num" w:pos="4320"/>
        </w:tabs>
        <w:ind w:left="4320" w:hanging="360"/>
      </w:pPr>
      <w:rPr>
        <w:rFonts w:ascii="Arial" w:hAnsi="Arial" w:hint="default"/>
      </w:rPr>
    </w:lvl>
    <w:lvl w:ilvl="6" w:tplc="9280CB60" w:tentative="1">
      <w:start w:val="1"/>
      <w:numFmt w:val="bullet"/>
      <w:lvlText w:val="•"/>
      <w:lvlJc w:val="left"/>
      <w:pPr>
        <w:tabs>
          <w:tab w:val="num" w:pos="5040"/>
        </w:tabs>
        <w:ind w:left="5040" w:hanging="360"/>
      </w:pPr>
      <w:rPr>
        <w:rFonts w:ascii="Arial" w:hAnsi="Arial" w:hint="default"/>
      </w:rPr>
    </w:lvl>
    <w:lvl w:ilvl="7" w:tplc="DAAECFF0" w:tentative="1">
      <w:start w:val="1"/>
      <w:numFmt w:val="bullet"/>
      <w:lvlText w:val="•"/>
      <w:lvlJc w:val="left"/>
      <w:pPr>
        <w:tabs>
          <w:tab w:val="num" w:pos="5760"/>
        </w:tabs>
        <w:ind w:left="5760" w:hanging="360"/>
      </w:pPr>
      <w:rPr>
        <w:rFonts w:ascii="Arial" w:hAnsi="Arial" w:hint="default"/>
      </w:rPr>
    </w:lvl>
    <w:lvl w:ilvl="8" w:tplc="D7C4157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103BA2"/>
    <w:multiLevelType w:val="hybridMultilevel"/>
    <w:tmpl w:val="CBDAE4FA"/>
    <w:lvl w:ilvl="0" w:tplc="88B2BBF2">
      <w:start w:val="3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C7ABA"/>
    <w:multiLevelType w:val="hybridMultilevel"/>
    <w:tmpl w:val="0F4C21BE"/>
    <w:lvl w:ilvl="0" w:tplc="B928C8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A3257"/>
    <w:multiLevelType w:val="hybridMultilevel"/>
    <w:tmpl w:val="34A058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05785"/>
    <w:multiLevelType w:val="hybridMultilevel"/>
    <w:tmpl w:val="4F06ED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80DFE"/>
    <w:multiLevelType w:val="hybridMultilevel"/>
    <w:tmpl w:val="DC7E8B2A"/>
    <w:lvl w:ilvl="0" w:tplc="22822A48">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20AF6"/>
    <w:multiLevelType w:val="hybridMultilevel"/>
    <w:tmpl w:val="3466B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33144AA"/>
    <w:multiLevelType w:val="hybridMultilevel"/>
    <w:tmpl w:val="6A5A6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5A85FE8"/>
    <w:multiLevelType w:val="hybridMultilevel"/>
    <w:tmpl w:val="2DC0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D4202"/>
    <w:multiLevelType w:val="hybridMultilevel"/>
    <w:tmpl w:val="A39ACCFE"/>
    <w:lvl w:ilvl="0" w:tplc="787A7FCE">
      <w:start w:val="1"/>
      <w:numFmt w:val="decimal"/>
      <w:lvlText w:val="%1."/>
      <w:lvlJc w:val="left"/>
      <w:pPr>
        <w:ind w:left="1155" w:hanging="360"/>
      </w:pPr>
      <w:rPr>
        <w:rFonts w:hint="default"/>
      </w:rPr>
    </w:lvl>
    <w:lvl w:ilvl="1" w:tplc="100C0019" w:tentative="1">
      <w:start w:val="1"/>
      <w:numFmt w:val="lowerLetter"/>
      <w:lvlText w:val="%2."/>
      <w:lvlJc w:val="left"/>
      <w:pPr>
        <w:ind w:left="1875" w:hanging="360"/>
      </w:pPr>
    </w:lvl>
    <w:lvl w:ilvl="2" w:tplc="100C001B" w:tentative="1">
      <w:start w:val="1"/>
      <w:numFmt w:val="lowerRoman"/>
      <w:lvlText w:val="%3."/>
      <w:lvlJc w:val="right"/>
      <w:pPr>
        <w:ind w:left="2595" w:hanging="180"/>
      </w:pPr>
    </w:lvl>
    <w:lvl w:ilvl="3" w:tplc="100C000F" w:tentative="1">
      <w:start w:val="1"/>
      <w:numFmt w:val="decimal"/>
      <w:lvlText w:val="%4."/>
      <w:lvlJc w:val="left"/>
      <w:pPr>
        <w:ind w:left="3315" w:hanging="360"/>
      </w:pPr>
    </w:lvl>
    <w:lvl w:ilvl="4" w:tplc="100C0019" w:tentative="1">
      <w:start w:val="1"/>
      <w:numFmt w:val="lowerLetter"/>
      <w:lvlText w:val="%5."/>
      <w:lvlJc w:val="left"/>
      <w:pPr>
        <w:ind w:left="4035" w:hanging="360"/>
      </w:pPr>
    </w:lvl>
    <w:lvl w:ilvl="5" w:tplc="100C001B" w:tentative="1">
      <w:start w:val="1"/>
      <w:numFmt w:val="lowerRoman"/>
      <w:lvlText w:val="%6."/>
      <w:lvlJc w:val="right"/>
      <w:pPr>
        <w:ind w:left="4755" w:hanging="180"/>
      </w:pPr>
    </w:lvl>
    <w:lvl w:ilvl="6" w:tplc="100C000F" w:tentative="1">
      <w:start w:val="1"/>
      <w:numFmt w:val="decimal"/>
      <w:lvlText w:val="%7."/>
      <w:lvlJc w:val="left"/>
      <w:pPr>
        <w:ind w:left="5475" w:hanging="360"/>
      </w:pPr>
    </w:lvl>
    <w:lvl w:ilvl="7" w:tplc="100C0019" w:tentative="1">
      <w:start w:val="1"/>
      <w:numFmt w:val="lowerLetter"/>
      <w:lvlText w:val="%8."/>
      <w:lvlJc w:val="left"/>
      <w:pPr>
        <w:ind w:left="6195" w:hanging="360"/>
      </w:pPr>
    </w:lvl>
    <w:lvl w:ilvl="8" w:tplc="100C001B" w:tentative="1">
      <w:start w:val="1"/>
      <w:numFmt w:val="lowerRoman"/>
      <w:lvlText w:val="%9."/>
      <w:lvlJc w:val="right"/>
      <w:pPr>
        <w:ind w:left="6915" w:hanging="180"/>
      </w:pPr>
    </w:lvl>
  </w:abstractNum>
  <w:abstractNum w:abstractNumId="15" w15:restartNumberingAfterBreak="0">
    <w:nsid w:val="2BF473AD"/>
    <w:multiLevelType w:val="hybridMultilevel"/>
    <w:tmpl w:val="0842249C"/>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7" w15:restartNumberingAfterBreak="0">
    <w:nsid w:val="2E843A26"/>
    <w:multiLevelType w:val="hybridMultilevel"/>
    <w:tmpl w:val="93E64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1D44F76"/>
    <w:multiLevelType w:val="hybridMultilevel"/>
    <w:tmpl w:val="3710C4B0"/>
    <w:lvl w:ilvl="0" w:tplc="304ACCCA">
      <w:start w:val="1"/>
      <w:numFmt w:val="bullet"/>
      <w:lvlText w:val=""/>
      <w:lvlJc w:val="left"/>
      <w:pPr>
        <w:ind w:left="720" w:hanging="360"/>
      </w:pPr>
      <w:rPr>
        <w:rFonts w:ascii="Symbol" w:hAnsi="Symbol" w:hint="default"/>
      </w:rPr>
    </w:lvl>
    <w:lvl w:ilvl="1" w:tplc="0ED2E9F6">
      <w:start w:val="1"/>
      <w:numFmt w:val="bullet"/>
      <w:lvlText w:val="o"/>
      <w:lvlJc w:val="left"/>
      <w:pPr>
        <w:ind w:left="1440" w:hanging="360"/>
      </w:pPr>
      <w:rPr>
        <w:rFonts w:ascii="Courier New" w:hAnsi="Courier New" w:hint="default"/>
      </w:rPr>
    </w:lvl>
    <w:lvl w:ilvl="2" w:tplc="0A1C2DEE">
      <w:start w:val="1"/>
      <w:numFmt w:val="bullet"/>
      <w:lvlText w:val=""/>
      <w:lvlJc w:val="left"/>
      <w:pPr>
        <w:ind w:left="2160" w:hanging="360"/>
      </w:pPr>
      <w:rPr>
        <w:rFonts w:ascii="Wingdings" w:hAnsi="Wingdings" w:hint="default"/>
      </w:rPr>
    </w:lvl>
    <w:lvl w:ilvl="3" w:tplc="75CCAE1A">
      <w:start w:val="1"/>
      <w:numFmt w:val="bullet"/>
      <w:lvlText w:val=""/>
      <w:lvlJc w:val="left"/>
      <w:pPr>
        <w:ind w:left="2880" w:hanging="360"/>
      </w:pPr>
      <w:rPr>
        <w:rFonts w:ascii="Symbol" w:hAnsi="Symbol" w:hint="default"/>
      </w:rPr>
    </w:lvl>
    <w:lvl w:ilvl="4" w:tplc="A1A85798">
      <w:start w:val="1"/>
      <w:numFmt w:val="bullet"/>
      <w:lvlText w:val="o"/>
      <w:lvlJc w:val="left"/>
      <w:pPr>
        <w:ind w:left="3600" w:hanging="360"/>
      </w:pPr>
      <w:rPr>
        <w:rFonts w:ascii="Courier New" w:hAnsi="Courier New" w:hint="default"/>
      </w:rPr>
    </w:lvl>
    <w:lvl w:ilvl="5" w:tplc="BA6A294C">
      <w:start w:val="1"/>
      <w:numFmt w:val="bullet"/>
      <w:lvlText w:val=""/>
      <w:lvlJc w:val="left"/>
      <w:pPr>
        <w:ind w:left="4320" w:hanging="360"/>
      </w:pPr>
      <w:rPr>
        <w:rFonts w:ascii="Wingdings" w:hAnsi="Wingdings" w:hint="default"/>
      </w:rPr>
    </w:lvl>
    <w:lvl w:ilvl="6" w:tplc="D67E544E">
      <w:start w:val="1"/>
      <w:numFmt w:val="bullet"/>
      <w:lvlText w:val=""/>
      <w:lvlJc w:val="left"/>
      <w:pPr>
        <w:ind w:left="5040" w:hanging="360"/>
      </w:pPr>
      <w:rPr>
        <w:rFonts w:ascii="Symbol" w:hAnsi="Symbol" w:hint="default"/>
      </w:rPr>
    </w:lvl>
    <w:lvl w:ilvl="7" w:tplc="AC70BBB4">
      <w:start w:val="1"/>
      <w:numFmt w:val="bullet"/>
      <w:lvlText w:val="o"/>
      <w:lvlJc w:val="left"/>
      <w:pPr>
        <w:ind w:left="5760" w:hanging="360"/>
      </w:pPr>
      <w:rPr>
        <w:rFonts w:ascii="Courier New" w:hAnsi="Courier New" w:hint="default"/>
      </w:rPr>
    </w:lvl>
    <w:lvl w:ilvl="8" w:tplc="66EAB9E0">
      <w:start w:val="1"/>
      <w:numFmt w:val="bullet"/>
      <w:lvlText w:val=""/>
      <w:lvlJc w:val="left"/>
      <w:pPr>
        <w:ind w:left="6480" w:hanging="360"/>
      </w:pPr>
      <w:rPr>
        <w:rFonts w:ascii="Wingdings" w:hAnsi="Wingdings" w:hint="default"/>
      </w:rPr>
    </w:lvl>
  </w:abstractNum>
  <w:abstractNum w:abstractNumId="19" w15:restartNumberingAfterBreak="0">
    <w:nsid w:val="3BE032AE"/>
    <w:multiLevelType w:val="multilevel"/>
    <w:tmpl w:val="EBD25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5A529E"/>
    <w:multiLevelType w:val="hybridMultilevel"/>
    <w:tmpl w:val="26CAA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711E3"/>
    <w:multiLevelType w:val="hybridMultilevel"/>
    <w:tmpl w:val="48B827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E44EB1"/>
    <w:multiLevelType w:val="hybridMultilevel"/>
    <w:tmpl w:val="0F6862B2"/>
    <w:lvl w:ilvl="0" w:tplc="F3B64C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26D5A"/>
    <w:multiLevelType w:val="hybridMultilevel"/>
    <w:tmpl w:val="EA30E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75A65"/>
    <w:multiLevelType w:val="hybridMultilevel"/>
    <w:tmpl w:val="40B6FB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7E52F9"/>
    <w:multiLevelType w:val="hybridMultilevel"/>
    <w:tmpl w:val="E506BECA"/>
    <w:lvl w:ilvl="0" w:tplc="04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5DF1490"/>
    <w:multiLevelType w:val="hybridMultilevel"/>
    <w:tmpl w:val="9C3401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110295"/>
    <w:multiLevelType w:val="hybridMultilevel"/>
    <w:tmpl w:val="71B0F3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E21D15"/>
    <w:multiLevelType w:val="hybridMultilevel"/>
    <w:tmpl w:val="34062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B3375A8"/>
    <w:multiLevelType w:val="hybridMultilevel"/>
    <w:tmpl w:val="E69C72FE"/>
    <w:lvl w:ilvl="0" w:tplc="62C0BD9E">
      <w:start w:val="1"/>
      <w:numFmt w:val="decimal"/>
      <w:lvlText w:val="%1."/>
      <w:lvlJc w:val="left"/>
      <w:pPr>
        <w:ind w:left="405" w:hanging="360"/>
      </w:pPr>
      <w:rPr>
        <w:rFonts w:hint="default"/>
      </w:rPr>
    </w:lvl>
    <w:lvl w:ilvl="1" w:tplc="08090019">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2" w15:restartNumberingAfterBreak="0">
    <w:nsid w:val="5FF17149"/>
    <w:multiLevelType w:val="hybridMultilevel"/>
    <w:tmpl w:val="9F9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483CE1"/>
    <w:multiLevelType w:val="hybridMultilevel"/>
    <w:tmpl w:val="AA307A2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5E2BDF"/>
    <w:multiLevelType w:val="hybridMultilevel"/>
    <w:tmpl w:val="B0B6C9F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2B2453"/>
    <w:multiLevelType w:val="hybridMultilevel"/>
    <w:tmpl w:val="9426F6DA"/>
    <w:lvl w:ilvl="0" w:tplc="F3C20674">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25AF6"/>
    <w:multiLevelType w:val="hybridMultilevel"/>
    <w:tmpl w:val="AA5A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E50C16"/>
    <w:multiLevelType w:val="hybridMultilevel"/>
    <w:tmpl w:val="F6F833FE"/>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889022B"/>
    <w:multiLevelType w:val="hybridMultilevel"/>
    <w:tmpl w:val="18CA3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9F165F1"/>
    <w:multiLevelType w:val="hybridMultilevel"/>
    <w:tmpl w:val="B27E19C0"/>
    <w:lvl w:ilvl="0" w:tplc="2542BA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BE7DA0"/>
    <w:multiLevelType w:val="hybridMultilevel"/>
    <w:tmpl w:val="E4461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866970"/>
    <w:multiLevelType w:val="hybridMultilevel"/>
    <w:tmpl w:val="7CA2DBE8"/>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30"/>
  </w:num>
  <w:num w:numId="2">
    <w:abstractNumId w:val="5"/>
  </w:num>
  <w:num w:numId="3">
    <w:abstractNumId w:val="38"/>
  </w:num>
  <w:num w:numId="4">
    <w:abstractNumId w:val="11"/>
  </w:num>
  <w:num w:numId="5">
    <w:abstractNumId w:val="7"/>
  </w:num>
  <w:num w:numId="6">
    <w:abstractNumId w:val="6"/>
  </w:num>
  <w:num w:numId="7">
    <w:abstractNumId w:val="3"/>
  </w:num>
  <w:num w:numId="8">
    <w:abstractNumId w:val="23"/>
  </w:num>
  <w:num w:numId="9">
    <w:abstractNumId w:val="13"/>
  </w:num>
  <w:num w:numId="10">
    <w:abstractNumId w:val="40"/>
  </w:num>
  <w:num w:numId="11">
    <w:abstractNumId w:val="20"/>
  </w:num>
  <w:num w:numId="12">
    <w:abstractNumId w:val="32"/>
  </w:num>
  <w:num w:numId="13">
    <w:abstractNumId w:val="14"/>
  </w:num>
  <w:num w:numId="14">
    <w:abstractNumId w:val="31"/>
  </w:num>
  <w:num w:numId="15">
    <w:abstractNumId w:val="0"/>
  </w:num>
  <w:num w:numId="16">
    <w:abstractNumId w:val="39"/>
  </w:num>
  <w:num w:numId="17">
    <w:abstractNumId w:val="1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9">
    <w:abstractNumId w:val="1"/>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29"/>
  </w:num>
  <w:num w:numId="23">
    <w:abstractNumId w:val="37"/>
  </w:num>
  <w:num w:numId="24">
    <w:abstractNumId w:val="9"/>
  </w:num>
  <w:num w:numId="25">
    <w:abstractNumId w:val="28"/>
  </w:num>
  <w:num w:numId="26">
    <w:abstractNumId w:val="8"/>
  </w:num>
  <w:num w:numId="27">
    <w:abstractNumId w:val="27"/>
  </w:num>
  <w:num w:numId="28">
    <w:abstractNumId w:val="2"/>
  </w:num>
  <w:num w:numId="29">
    <w:abstractNumId w:val="21"/>
  </w:num>
  <w:num w:numId="30">
    <w:abstractNumId w:val="33"/>
  </w:num>
  <w:num w:numId="31">
    <w:abstractNumId w:val="16"/>
  </w:num>
  <w:num w:numId="32">
    <w:abstractNumId w:val="24"/>
  </w:num>
  <w:num w:numId="33">
    <w:abstractNumId w:val="36"/>
  </w:num>
  <w:num w:numId="34">
    <w:abstractNumId w:val="19"/>
    <w:lvlOverride w:ilvl="1">
      <w:lvl w:ilvl="1">
        <w:numFmt w:val="bullet"/>
        <w:lvlText w:val=""/>
        <w:lvlJc w:val="left"/>
        <w:pPr>
          <w:tabs>
            <w:tab w:val="num" w:pos="1440"/>
          </w:tabs>
          <w:ind w:left="1440" w:hanging="360"/>
        </w:pPr>
        <w:rPr>
          <w:rFonts w:ascii="Symbol" w:hAnsi="Symbol" w:hint="default"/>
          <w:sz w:val="20"/>
        </w:rPr>
      </w:lvl>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6"/>
  </w:num>
  <w:num w:numId="39">
    <w:abstractNumId w:val="41"/>
  </w:num>
  <w:num w:numId="40">
    <w:abstractNumId w:val="15"/>
  </w:num>
  <w:num w:numId="41">
    <w:abstractNumId w:val="22"/>
  </w:num>
  <w:num w:numId="42">
    <w:abstractNumId w:val="1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A8"/>
    <w:rsid w:val="00007CB9"/>
    <w:rsid w:val="00011EA6"/>
    <w:rsid w:val="000135AE"/>
    <w:rsid w:val="0003357B"/>
    <w:rsid w:val="00033D49"/>
    <w:rsid w:val="000725A1"/>
    <w:rsid w:val="00094166"/>
    <w:rsid w:val="000C0AA7"/>
    <w:rsid w:val="000D125A"/>
    <w:rsid w:val="000E7A0A"/>
    <w:rsid w:val="00182D63"/>
    <w:rsid w:val="00194CB2"/>
    <w:rsid w:val="001D316C"/>
    <w:rsid w:val="001D431E"/>
    <w:rsid w:val="001D793B"/>
    <w:rsid w:val="00200B71"/>
    <w:rsid w:val="00213302"/>
    <w:rsid w:val="00221C14"/>
    <w:rsid w:val="00225D2E"/>
    <w:rsid w:val="002265FA"/>
    <w:rsid w:val="00241CB9"/>
    <w:rsid w:val="00262738"/>
    <w:rsid w:val="002A7FAB"/>
    <w:rsid w:val="002D25B8"/>
    <w:rsid w:val="002D4BE6"/>
    <w:rsid w:val="002D6772"/>
    <w:rsid w:val="00302736"/>
    <w:rsid w:val="00335FE3"/>
    <w:rsid w:val="0033649F"/>
    <w:rsid w:val="00340B88"/>
    <w:rsid w:val="00360762"/>
    <w:rsid w:val="00373F51"/>
    <w:rsid w:val="003801A8"/>
    <w:rsid w:val="00390391"/>
    <w:rsid w:val="003D4CFB"/>
    <w:rsid w:val="004147EB"/>
    <w:rsid w:val="00467DE6"/>
    <w:rsid w:val="004721EA"/>
    <w:rsid w:val="00482632"/>
    <w:rsid w:val="004B7893"/>
    <w:rsid w:val="004C2190"/>
    <w:rsid w:val="004E7861"/>
    <w:rsid w:val="004F002A"/>
    <w:rsid w:val="00535C50"/>
    <w:rsid w:val="005557A3"/>
    <w:rsid w:val="00557043"/>
    <w:rsid w:val="005637B9"/>
    <w:rsid w:val="005643DC"/>
    <w:rsid w:val="00602B27"/>
    <w:rsid w:val="006339E7"/>
    <w:rsid w:val="00635A62"/>
    <w:rsid w:val="00680EE0"/>
    <w:rsid w:val="006A1FD8"/>
    <w:rsid w:val="006E4AB3"/>
    <w:rsid w:val="006F39EB"/>
    <w:rsid w:val="006F4F77"/>
    <w:rsid w:val="0074543A"/>
    <w:rsid w:val="00794672"/>
    <w:rsid w:val="007C3061"/>
    <w:rsid w:val="007E471D"/>
    <w:rsid w:val="00803BB4"/>
    <w:rsid w:val="0080599E"/>
    <w:rsid w:val="00815CEA"/>
    <w:rsid w:val="008216C6"/>
    <w:rsid w:val="00835A77"/>
    <w:rsid w:val="00841CD0"/>
    <w:rsid w:val="0086435F"/>
    <w:rsid w:val="008762F6"/>
    <w:rsid w:val="0088106F"/>
    <w:rsid w:val="00890383"/>
    <w:rsid w:val="008C1852"/>
    <w:rsid w:val="008C6AF3"/>
    <w:rsid w:val="008D789A"/>
    <w:rsid w:val="0091715A"/>
    <w:rsid w:val="00917B12"/>
    <w:rsid w:val="009219FC"/>
    <w:rsid w:val="00952C59"/>
    <w:rsid w:val="009752D2"/>
    <w:rsid w:val="00991B13"/>
    <w:rsid w:val="009952F6"/>
    <w:rsid w:val="009A6FC4"/>
    <w:rsid w:val="009D1BD4"/>
    <w:rsid w:val="009E0EC1"/>
    <w:rsid w:val="009F1BCF"/>
    <w:rsid w:val="00A131B5"/>
    <w:rsid w:val="00A33516"/>
    <w:rsid w:val="00A87DD9"/>
    <w:rsid w:val="00AA076A"/>
    <w:rsid w:val="00AE1BA7"/>
    <w:rsid w:val="00AF563E"/>
    <w:rsid w:val="00B331CA"/>
    <w:rsid w:val="00B4623C"/>
    <w:rsid w:val="00B817FE"/>
    <w:rsid w:val="00B93741"/>
    <w:rsid w:val="00BC7208"/>
    <w:rsid w:val="00BD1F0A"/>
    <w:rsid w:val="00BD3764"/>
    <w:rsid w:val="00C1021F"/>
    <w:rsid w:val="00C15FD2"/>
    <w:rsid w:val="00C27E54"/>
    <w:rsid w:val="00C412C7"/>
    <w:rsid w:val="00C4604C"/>
    <w:rsid w:val="00C60282"/>
    <w:rsid w:val="00C80719"/>
    <w:rsid w:val="00CA7310"/>
    <w:rsid w:val="00D16175"/>
    <w:rsid w:val="00D27AFA"/>
    <w:rsid w:val="00D372A5"/>
    <w:rsid w:val="00D5529D"/>
    <w:rsid w:val="00D553B4"/>
    <w:rsid w:val="00D85016"/>
    <w:rsid w:val="00DA79A4"/>
    <w:rsid w:val="00DD2BFE"/>
    <w:rsid w:val="00DE4CD9"/>
    <w:rsid w:val="00E17138"/>
    <w:rsid w:val="00E204A0"/>
    <w:rsid w:val="00E3519F"/>
    <w:rsid w:val="00E51C72"/>
    <w:rsid w:val="00E5255C"/>
    <w:rsid w:val="00E54D4C"/>
    <w:rsid w:val="00E76F0A"/>
    <w:rsid w:val="00E827C2"/>
    <w:rsid w:val="00EB6D19"/>
    <w:rsid w:val="00ED2681"/>
    <w:rsid w:val="00F01E28"/>
    <w:rsid w:val="00F12690"/>
    <w:rsid w:val="00F52BA4"/>
    <w:rsid w:val="00F63449"/>
    <w:rsid w:val="00FA67A2"/>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6BF223"/>
  <w15:docId w15:val="{26EAD4BF-93DC-47C8-8A2D-4DF4A5F1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BDTLogo">
    <w:name w:val="BDT_Logo"/>
    <w:uiPriority w:val="99"/>
    <w:rsid w:val="00C1021F"/>
    <w:pPr>
      <w:spacing w:after="0" w:line="240" w:lineRule="auto"/>
      <w:jc w:val="center"/>
    </w:pPr>
    <w:rPr>
      <w:rFonts w:ascii="Calibri" w:eastAsia="SimHei" w:hAnsi="Calibri" w:cs="Simplified Arabic"/>
      <w:szCs w:val="28"/>
      <w:lang w:val="en-GB" w:eastAsia="en-US"/>
    </w:rPr>
  </w:style>
  <w:style w:type="paragraph" w:styleId="ListParagraph">
    <w:name w:val="List Paragraph"/>
    <w:basedOn w:val="Normal"/>
    <w:link w:val="ListParagraphChar"/>
    <w:uiPriority w:val="34"/>
    <w:qFormat/>
    <w:rsid w:val="00C1021F"/>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AppArtNo">
    <w:name w:val="App_Art_No"/>
    <w:basedOn w:val="ArtNo"/>
    <w:qFormat/>
    <w:rsid w:val="00C1021F"/>
    <w:pPr>
      <w:tabs>
        <w:tab w:val="clear" w:pos="794"/>
        <w:tab w:val="clear" w:pos="1191"/>
        <w:tab w:val="clear" w:pos="1588"/>
        <w:tab w:val="clear" w:pos="1985"/>
        <w:tab w:val="left" w:pos="1134"/>
        <w:tab w:val="left" w:pos="1871"/>
        <w:tab w:val="left" w:pos="2268"/>
      </w:tabs>
    </w:pPr>
    <w:rPr>
      <w:lang w:val="en-GB"/>
    </w:rPr>
  </w:style>
  <w:style w:type="paragraph" w:customStyle="1" w:styleId="AppArttitle">
    <w:name w:val="App_Art_title"/>
    <w:basedOn w:val="Arttitle"/>
    <w:qFormat/>
    <w:rsid w:val="00C1021F"/>
    <w:pPr>
      <w:tabs>
        <w:tab w:val="clear" w:pos="794"/>
        <w:tab w:val="clear" w:pos="1191"/>
        <w:tab w:val="clear" w:pos="1588"/>
        <w:tab w:val="clear" w:pos="1985"/>
        <w:tab w:val="left" w:pos="1134"/>
        <w:tab w:val="left" w:pos="1871"/>
        <w:tab w:val="left" w:pos="2268"/>
      </w:tabs>
    </w:pPr>
    <w:rPr>
      <w:lang w:val="en-GB"/>
    </w:rPr>
  </w:style>
  <w:style w:type="paragraph" w:customStyle="1" w:styleId="ApptoAnnex">
    <w:name w:val="App_to_Annex"/>
    <w:basedOn w:val="AppendixNo"/>
    <w:next w:val="Normal"/>
    <w:qFormat/>
    <w:rsid w:val="00C1021F"/>
    <w:pPr>
      <w:tabs>
        <w:tab w:val="clear" w:pos="794"/>
        <w:tab w:val="clear" w:pos="1191"/>
        <w:tab w:val="clear" w:pos="1588"/>
        <w:tab w:val="clear" w:pos="1985"/>
        <w:tab w:val="left" w:pos="1134"/>
        <w:tab w:val="left" w:pos="1871"/>
        <w:tab w:val="left" w:pos="2268"/>
      </w:tabs>
    </w:pPr>
    <w:rPr>
      <w:lang w:val="en-GB"/>
    </w:rPr>
  </w:style>
  <w:style w:type="paragraph" w:styleId="NormalWeb">
    <w:name w:val="Normal (Web)"/>
    <w:basedOn w:val="Normal"/>
    <w:uiPriority w:val="99"/>
    <w:unhideWhenUsed/>
    <w:rsid w:val="00C1021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rPr>
  </w:style>
  <w:style w:type="paragraph" w:customStyle="1" w:styleId="m4089252408340308237msolistparagraph">
    <w:name w:val="m_4089252408340308237msolistparagraph"/>
    <w:basedOn w:val="Normal"/>
    <w:rsid w:val="00C1021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rPr>
  </w:style>
  <w:style w:type="character" w:customStyle="1" w:styleId="apple-converted-space">
    <w:name w:val="apple-converted-space"/>
    <w:basedOn w:val="DefaultParagraphFont"/>
    <w:rsid w:val="00C1021F"/>
  </w:style>
  <w:style w:type="character" w:styleId="Strong">
    <w:name w:val="Strong"/>
    <w:basedOn w:val="DefaultParagraphFont"/>
    <w:uiPriority w:val="22"/>
    <w:qFormat/>
    <w:rsid w:val="00C1021F"/>
    <w:rPr>
      <w:b/>
      <w:bCs/>
    </w:rPr>
  </w:style>
  <w:style w:type="character" w:styleId="FollowedHyperlink">
    <w:name w:val="FollowedHyperlink"/>
    <w:basedOn w:val="DefaultParagraphFont"/>
    <w:semiHidden/>
    <w:unhideWhenUsed/>
    <w:rsid w:val="00C1021F"/>
    <w:rPr>
      <w:color w:val="800080" w:themeColor="followedHyperlink"/>
      <w:u w:val="single"/>
    </w:rPr>
  </w:style>
  <w:style w:type="paragraph" w:customStyle="1" w:styleId="font8">
    <w:name w:val="font_8"/>
    <w:basedOn w:val="Normal"/>
    <w:rsid w:val="00C1021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ListParagraphChar">
    <w:name w:val="List Paragraph Char"/>
    <w:basedOn w:val="DefaultParagraphFont"/>
    <w:link w:val="ListParagraph"/>
    <w:uiPriority w:val="34"/>
    <w:locked/>
    <w:rsid w:val="00C1021F"/>
    <w:rPr>
      <w:rFonts w:eastAsia="Times New Roman" w:cs="Times New Roman"/>
      <w:sz w:val="24"/>
      <w:szCs w:val="20"/>
      <w:lang w:val="en-GB" w:eastAsia="en-US"/>
    </w:rPr>
  </w:style>
  <w:style w:type="table" w:customStyle="1" w:styleId="TableGrid1">
    <w:name w:val="Table Grid1"/>
    <w:basedOn w:val="TableNormal"/>
    <w:next w:val="TableGrid"/>
    <w:uiPriority w:val="59"/>
    <w:rsid w:val="00C1021F"/>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C1021F"/>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C1021F"/>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C1021F"/>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C1021F"/>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C1021F"/>
    <w:rPr>
      <w:sz w:val="16"/>
      <w:szCs w:val="16"/>
    </w:rPr>
  </w:style>
  <w:style w:type="paragraph" w:styleId="CommentText">
    <w:name w:val="annotation text"/>
    <w:basedOn w:val="Normal"/>
    <w:link w:val="CommentTextChar"/>
    <w:semiHidden/>
    <w:unhideWhenUsed/>
    <w:rsid w:val="00C1021F"/>
    <w:rPr>
      <w:sz w:val="20"/>
      <w:lang w:val="en-GB"/>
    </w:rPr>
  </w:style>
  <w:style w:type="character" w:customStyle="1" w:styleId="CommentTextChar">
    <w:name w:val="Comment Text Char"/>
    <w:basedOn w:val="DefaultParagraphFont"/>
    <w:link w:val="CommentText"/>
    <w:semiHidden/>
    <w:rsid w:val="00C1021F"/>
    <w:rPr>
      <w:rFonts w:eastAsia="Times New Roman" w:cs="Times New Roman"/>
      <w:sz w:val="20"/>
      <w:szCs w:val="20"/>
      <w:lang w:val="en-GB" w:eastAsia="en-US"/>
    </w:rPr>
  </w:style>
  <w:style w:type="table" w:customStyle="1" w:styleId="TableGrid6">
    <w:name w:val="Table Grid6"/>
    <w:basedOn w:val="TableNormal"/>
    <w:next w:val="TableGrid"/>
    <w:uiPriority w:val="39"/>
    <w:rsid w:val="00C1021F"/>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C1021F"/>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fr-CH" w:eastAsia="zh-CN"/>
    </w:rPr>
  </w:style>
  <w:style w:type="paragraph" w:styleId="CommentSubject">
    <w:name w:val="annotation subject"/>
    <w:basedOn w:val="CommentText"/>
    <w:next w:val="CommentText"/>
    <w:link w:val="CommentSubjectChar"/>
    <w:semiHidden/>
    <w:unhideWhenUsed/>
    <w:rsid w:val="00C1021F"/>
    <w:rPr>
      <w:b/>
      <w:bCs/>
    </w:rPr>
  </w:style>
  <w:style w:type="character" w:customStyle="1" w:styleId="CommentSubjectChar">
    <w:name w:val="Comment Subject Char"/>
    <w:basedOn w:val="CommentTextChar"/>
    <w:link w:val="CommentSubject"/>
    <w:semiHidden/>
    <w:rsid w:val="00C1021F"/>
    <w:rPr>
      <w:rFonts w:eastAsia="Times New Roman" w:cs="Times New Roman"/>
      <w:b/>
      <w:bCs/>
      <w:sz w:val="20"/>
      <w:szCs w:val="20"/>
      <w:lang w:val="en-GB" w:eastAsia="en-US"/>
    </w:rPr>
  </w:style>
  <w:style w:type="paragraph" w:styleId="Revision">
    <w:name w:val="Revision"/>
    <w:hidden/>
    <w:uiPriority w:val="99"/>
    <w:semiHidden/>
    <w:rsid w:val="00C1021F"/>
    <w:pPr>
      <w:spacing w:after="0" w:line="240" w:lineRule="auto"/>
    </w:pPr>
    <w:rPr>
      <w:rFonts w:eastAsia="Times New Roman" w:cs="Times New Roman"/>
      <w:sz w:val="24"/>
      <w:szCs w:val="20"/>
      <w:lang w:val="en-GB" w:eastAsia="en-US"/>
    </w:rPr>
  </w:style>
  <w:style w:type="paragraph" w:styleId="BalloonText">
    <w:name w:val="Balloon Text"/>
    <w:basedOn w:val="Normal"/>
    <w:link w:val="BalloonTextChar"/>
    <w:semiHidden/>
    <w:unhideWhenUsed/>
    <w:rsid w:val="00C1021F"/>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C1021F"/>
    <w:rPr>
      <w:rFonts w:ascii="Segoe UI" w:eastAsia="Times New Roman" w:hAnsi="Segoe UI" w:cs="Segoe UI"/>
      <w:sz w:val="18"/>
      <w:szCs w:val="18"/>
      <w:lang w:val="en-GB" w:eastAsia="en-US"/>
    </w:rPr>
  </w:style>
  <w:style w:type="character" w:customStyle="1" w:styleId="normalWSISChar">
    <w:name w:val="normal WSIS Char"/>
    <w:basedOn w:val="DefaultParagraphFont"/>
    <w:link w:val="normalWSIS"/>
    <w:locked/>
    <w:rsid w:val="00C1021F"/>
    <w:rPr>
      <w:rFonts w:ascii="Calibri" w:eastAsia="SimSun" w:hAnsi="Calibri" w:cs="Arial"/>
    </w:rPr>
  </w:style>
  <w:style w:type="paragraph" w:customStyle="1" w:styleId="normalWSIS">
    <w:name w:val="normal WSIS"/>
    <w:basedOn w:val="ListParagraph"/>
    <w:link w:val="normalWSISChar"/>
    <w:qFormat/>
    <w:rsid w:val="00C1021F"/>
    <w:pPr>
      <w:numPr>
        <w:numId w:val="18"/>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2"/>
      <w:szCs w:val="22"/>
      <w:lang w:val="fr-FR" w:eastAsia="zh-CN"/>
    </w:rPr>
  </w:style>
  <w:style w:type="paragraph" w:styleId="PlainText">
    <w:name w:val="Plain Text"/>
    <w:basedOn w:val="Normal"/>
    <w:link w:val="PlainTextChar"/>
    <w:uiPriority w:val="99"/>
    <w:unhideWhenUsed/>
    <w:rsid w:val="00C1021F"/>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C1021F"/>
    <w:rPr>
      <w:rFonts w:ascii="Calibri" w:eastAsiaTheme="minorHAnsi" w:hAnsi="Calibri"/>
      <w:szCs w:val="21"/>
      <w:lang w:val="en-GB" w:eastAsia="en-US"/>
    </w:rPr>
  </w:style>
  <w:style w:type="character" w:customStyle="1" w:styleId="UnresolvedMention1">
    <w:name w:val="Unresolved Mention1"/>
    <w:basedOn w:val="DefaultParagraphFont"/>
    <w:uiPriority w:val="99"/>
    <w:semiHidden/>
    <w:unhideWhenUsed/>
    <w:rsid w:val="00C1021F"/>
    <w:rPr>
      <w:color w:val="605E5C"/>
      <w:shd w:val="clear" w:color="auto" w:fill="E1DFDD"/>
    </w:rPr>
  </w:style>
  <w:style w:type="character" w:customStyle="1" w:styleId="UnresolvedMention2">
    <w:name w:val="Unresolved Mention2"/>
    <w:basedOn w:val="DefaultParagraphFont"/>
    <w:uiPriority w:val="99"/>
    <w:semiHidden/>
    <w:unhideWhenUsed/>
    <w:rsid w:val="00C1021F"/>
    <w:rPr>
      <w:color w:val="605E5C"/>
      <w:shd w:val="clear" w:color="auto" w:fill="E1DFDD"/>
    </w:rPr>
  </w:style>
  <w:style w:type="character" w:styleId="UnresolvedMention">
    <w:name w:val="Unresolved Mention"/>
    <w:basedOn w:val="DefaultParagraphFont"/>
    <w:uiPriority w:val="99"/>
    <w:semiHidden/>
    <w:unhideWhenUsed/>
    <w:rsid w:val="004C2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Digital-Inclusion/Indigenous-Peoples/Pages/default.aspx" TargetMode="External"/><Relationship Id="rId21" Type="http://schemas.openxmlformats.org/officeDocument/2006/relationships/hyperlink" Target="https://www.itu.int/en/ITU-D/Digital-Inclusion/Women-and-Girls/Girls-in-ICT-Portal/Pages/Portal.aspx" TargetMode="External"/><Relationship Id="rId42" Type="http://schemas.openxmlformats.org/officeDocument/2006/relationships/hyperlink" Target="https://news.itu.int/leaving-no-one-behind-nigers-smart-villages-project/" TargetMode="External"/><Relationship Id="rId47" Type="http://schemas.openxmlformats.org/officeDocument/2006/relationships/hyperlink" Target="https://www.itu.int/en/ITU-D/Study-Groups/2018-2021/Pages/meetings/session-Q2-2-oct19.aspx" TargetMode="External"/><Relationship Id="rId63" Type="http://schemas.openxmlformats.org/officeDocument/2006/relationships/hyperlink" Target="https://www.itu.int/oth/D0717000001/" TargetMode="External"/><Relationship Id="rId68" Type="http://schemas.openxmlformats.org/officeDocument/2006/relationships/hyperlink" Target="https://www.itu.int/en/ITU-D/Study-Groups/2018-2021/Pages/meetings/tutorial_AI_oct19.aspx" TargetMode="External"/><Relationship Id="rId84" Type="http://schemas.openxmlformats.org/officeDocument/2006/relationships/hyperlink" Target="https://www.itu.int/en/ITU-D/Study-Groups/2018-2021/Pages/OngoingWork.aspx" TargetMode="External"/><Relationship Id="rId89" Type="http://schemas.openxmlformats.org/officeDocument/2006/relationships/footer" Target="footer2.xml"/><Relationship Id="rId16" Type="http://schemas.openxmlformats.org/officeDocument/2006/relationships/hyperlink" Target="https://www.itu.int/en/council/cwg-cop/Pages/default.aspx" TargetMode="External"/><Relationship Id="rId11" Type="http://schemas.openxmlformats.org/officeDocument/2006/relationships/hyperlink" Target="https://academy.itu.int/" TargetMode="External"/><Relationship Id="rId32" Type="http://schemas.openxmlformats.org/officeDocument/2006/relationships/hyperlink" Target="https://academy.itu.int/" TargetMode="External"/><Relationship Id="rId37" Type="http://schemas.openxmlformats.org/officeDocument/2006/relationships/hyperlink" Target="https://www.itu.int/en/ITU-D/Regional-Presence/Americas/Documents/EVENTS/2019/24013/Practical%20Information%20Innovacion%20Uy2019_En.pdf" TargetMode="External"/><Relationship Id="rId53" Type="http://schemas.openxmlformats.org/officeDocument/2006/relationships/hyperlink" Target="https://globalewaste.org/publications/" TargetMode="External"/><Relationship Id="rId58" Type="http://schemas.openxmlformats.org/officeDocument/2006/relationships/hyperlink" Target="https://www.itu.int/en/ITU-D/Regional-Presence/Europe/Documents/Events/2019/Workshop%20Kyiv/Aminata%20Garba%203%20Last%20Mile%20Connectivity%20Kiev.pdf" TargetMode="External"/><Relationship Id="rId74" Type="http://schemas.openxmlformats.org/officeDocument/2006/relationships/hyperlink" Target="https://broadbandcommission.org/Documents/working-groups/DigitalMoonshotforAfrica_Report.pdf" TargetMode="External"/><Relationship Id="rId79" Type="http://schemas.openxmlformats.org/officeDocument/2006/relationships/hyperlink" Target="https://www.itu.int/net4/ITU-D/CDS/sg/rgqlist.asp?lg=1&amp;sp=2018&amp;rgq=D18-SG01-RGQ04.1&amp;stg=1"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itu.int/en/ITU-D/Digital-Inclusion/Youth-and-Children/Pages/Digital-Skills.aspx" TargetMode="External"/><Relationship Id="rId22" Type="http://schemas.openxmlformats.org/officeDocument/2006/relationships/hyperlink" Target="https://www.itu.int/en/ITU-D/Regional-Presence/Africa/Pages/African-Girls-Can-Code.aspx" TargetMode="External"/><Relationship Id="rId27" Type="http://schemas.openxmlformats.org/officeDocument/2006/relationships/hyperlink" Target="https://www.itu.int/en/ITU-D/Regional-Presence/ArabStates/Pages/Events/2019/DIW/DIW.aspx" TargetMode="External"/><Relationship Id="rId30" Type="http://schemas.openxmlformats.org/officeDocument/2006/relationships/hyperlink" Target="https://academy.itu.int/training-courses/full-catalogue/self-paced-online-training-ict-accessibility-consisting-3-modules-and-concluding-itu-certification-0" TargetMode="External"/><Relationship Id="rId35" Type="http://schemas.openxmlformats.org/officeDocument/2006/relationships/hyperlink" Target="https://www.itu.int/net4/wsis/forum/2019/Agenda?search=Innovation%20Track" TargetMode="External"/><Relationship Id="rId43" Type="http://schemas.openxmlformats.org/officeDocument/2006/relationships/hyperlink" Target="https://www.youtube.com/watch?v=0uYKKJg00eo" TargetMode="External"/><Relationship Id="rId48" Type="http://schemas.openxmlformats.org/officeDocument/2006/relationships/hyperlink" Target="https://www.itu.int/en/ITU-D/Emergency-Telecommunications/Pages/Publications/Guidelines-for-NETPs.aspx" TargetMode="External"/><Relationship Id="rId56" Type="http://schemas.openxmlformats.org/officeDocument/2006/relationships/hyperlink" Target="https://itu.int/map-public" TargetMode="External"/><Relationship Id="rId64" Type="http://schemas.openxmlformats.org/officeDocument/2006/relationships/hyperlink" Target="https://www.itu.int/en/ITU-D/Study-Groups/2018-2021/Pages/meetings/session-Q5-1-sept19.aspx" TargetMode="External"/><Relationship Id="rId69" Type="http://schemas.openxmlformats.org/officeDocument/2006/relationships/hyperlink" Target="http://www.itu.int/gsr19" TargetMode="External"/><Relationship Id="rId77" Type="http://schemas.openxmlformats.org/officeDocument/2006/relationships/hyperlink" Target="https://ec.europa.eu/digital-single-market/en/news/new-africa-europe-digital-economy-partnership-report-eu-au-digital-economy-task-force" TargetMode="External"/><Relationship Id="rId8" Type="http://schemas.openxmlformats.org/officeDocument/2006/relationships/image" Target="media/image1.jpeg"/><Relationship Id="rId51" Type="http://schemas.openxmlformats.org/officeDocument/2006/relationships/hyperlink" Target="https://www.itu.int/en/ITU-D/Regional-Presence/Americas/Pages/ACTVTS/PRJ/AMS-PRJ.aspx" TargetMode="External"/><Relationship Id="rId72" Type="http://schemas.openxmlformats.org/officeDocument/2006/relationships/hyperlink" Target="https://www.itu.int/pub/D-PREF-EF.BDT_AM" TargetMode="External"/><Relationship Id="rId80" Type="http://schemas.openxmlformats.org/officeDocument/2006/relationships/hyperlink" Target="https://www.itu.int/en/ITU-D/Study-Groups/2018-2021/Pages/meetings/joint-session-Q3-1-Q4-1_oct19.aspx" TargetMode="External"/><Relationship Id="rId85" Type="http://schemas.openxmlformats.org/officeDocument/2006/relationships/hyperlink" Target="https://www.itu.int/md/D18-TDAG25-C-0012/" TargetMode="External"/><Relationship Id="rId3" Type="http://schemas.openxmlformats.org/officeDocument/2006/relationships/styles" Target="styles.xml"/><Relationship Id="rId12" Type="http://schemas.openxmlformats.org/officeDocument/2006/relationships/hyperlink" Target="https://www.itu.int/en/ITU-D/Capacity-Building/Pages/events/2019/academia2019.aspx" TargetMode="External"/><Relationship Id="rId17" Type="http://schemas.openxmlformats.org/officeDocument/2006/relationships/hyperlink" Target="https://www.broadbandcommission.org/Documents/working-groups/ChildOnlineSafety_Declaration.pdf" TargetMode="External"/><Relationship Id="rId25" Type="http://schemas.openxmlformats.org/officeDocument/2006/relationships/hyperlink" Target="https://www.itu.int/en/ITU-D/Digital-Inclusion/Pages/Digital_Inclusion_Resources/Strategies%2c%20policies%2c%20toolkits/Toolkit_safe_listening_devices/safe_listening.aspx" TargetMode="External"/><Relationship Id="rId33" Type="http://schemas.openxmlformats.org/officeDocument/2006/relationships/hyperlink" Target="https://www.itu.int/en/ITU-D/Innovation/Pages/Innovation-Ecosystem-Program-.aspx" TargetMode="External"/><Relationship Id="rId38" Type="http://schemas.openxmlformats.org/officeDocument/2006/relationships/hyperlink" Target="https://www.itu.int/net4/ITU-D/CDS/sg/rgqlist.asp?lg=1&amp;sp=2018&amp;rgq=D18-SG02-RGQ01.2&amp;stg=2" TargetMode="External"/><Relationship Id="rId46" Type="http://schemas.openxmlformats.org/officeDocument/2006/relationships/hyperlink" Target="https://www.itu.int/oth/D0717000002/" TargetMode="External"/><Relationship Id="rId59" Type="http://schemas.openxmlformats.org/officeDocument/2006/relationships/hyperlink" Target="https://www.itu.int/en/ITU-D/Initiatives/GIGA/Pages/default.aspx" TargetMode="External"/><Relationship Id="rId67" Type="http://schemas.openxmlformats.org/officeDocument/2006/relationships/hyperlink" Target="https://www.itu.int/en/ITU-D/Study-Groups/2018-2021/Pages/meetings/tutorial_AI_oct19.aspx" TargetMode="External"/><Relationship Id="rId20" Type="http://schemas.openxmlformats.org/officeDocument/2006/relationships/hyperlink" Target="https://www.itu.int/en/ITU-D/Digital-Inclusion/Persons-with-Disabilities/Pages/Internet-for-%40ll.aspx" TargetMode="External"/><Relationship Id="rId41" Type="http://schemas.openxmlformats.org/officeDocument/2006/relationships/hyperlink" Target="https://www.itu.int/en/ITU-D/ICT-Applications/Pages/EU-mhealth-hub.aspx" TargetMode="External"/><Relationship Id="rId54" Type="http://schemas.openxmlformats.org/officeDocument/2006/relationships/hyperlink" Target="https://www.itu.int/en/ITU-D/Climate-Change/Pages/ewaste/E-waste-Coalition.aspx" TargetMode="External"/><Relationship Id="rId62" Type="http://schemas.openxmlformats.org/officeDocument/2006/relationships/hyperlink" Target="https://www.itu.int/en/ITU-D/bdt-director/Pages/News.aspx?ItemID=205" TargetMode="External"/><Relationship Id="rId70" Type="http://schemas.openxmlformats.org/officeDocument/2006/relationships/hyperlink" Target="https://www.itu.int/pub/D-PREF-EF.BDR-2018" TargetMode="External"/><Relationship Id="rId75" Type="http://schemas.openxmlformats.org/officeDocument/2006/relationships/hyperlink" Target="https://www.itu.int/net4/itu-d/irt/" TargetMode="External"/><Relationship Id="rId83" Type="http://schemas.openxmlformats.org/officeDocument/2006/relationships/hyperlink" Target="https://www.itu.int/en/ITU-D/Study-Groups/2018-2021/Pages/OngoingWork.aspx"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cop/Pages/guidelines.aspx" TargetMode="External"/><Relationship Id="rId23" Type="http://schemas.openxmlformats.org/officeDocument/2006/relationships/hyperlink" Target="https://www.youtube.com/watch?v=gkYUlpgasoo" TargetMode="External"/><Relationship Id="rId28" Type="http://schemas.openxmlformats.org/officeDocument/2006/relationships/hyperlink" Target="https://www.itu.int/en/ITU-D/Regional-Presence/Europe/Pages/Events/2019/IF/Innovative-Digital-Solutions-for-an-Accessible-Europe-Fostering-Growth-for-Start-ups.aspx" TargetMode="External"/><Relationship Id="rId36" Type="http://schemas.openxmlformats.org/officeDocument/2006/relationships/hyperlink" Target="https://www.itu.int/en/ITU-D/Innovation/Documents/Publications/Kenya%20Country%20Review%20-%20ICT%20centric%20Innovation%202019.pdf" TargetMode="External"/><Relationship Id="rId49" Type="http://schemas.openxmlformats.org/officeDocument/2006/relationships/hyperlink" Target="https://news.itu.int/why-itu-is-joining-the-crisis-connectivity-charter-doreen-bogdan-martin/" TargetMode="External"/><Relationship Id="rId57" Type="http://schemas.openxmlformats.org/officeDocument/2006/relationships/hyperlink" Target="https://itu.int/go/businessplan_toolkit" TargetMode="External"/><Relationship Id="rId10" Type="http://schemas.openxmlformats.org/officeDocument/2006/relationships/hyperlink" Target="https://www.itu.int/en/ITU-D/Conferences/WTDC/WTDC17/Documents/WTDC17_final_report_es.pdf" TargetMode="External"/><Relationship Id="rId31" Type="http://schemas.openxmlformats.org/officeDocument/2006/relationships/hyperlink" Target="https://academy.itu.int/training-courses/full-catalogue/web-accessibility-cornerstone-inclusive-digital-society" TargetMode="External"/><Relationship Id="rId44" Type="http://schemas.openxmlformats.org/officeDocument/2006/relationships/hyperlink" Target="https://www.itu.int/pub/D-STR-DIGITAL.02-2019" TargetMode="External"/><Relationship Id="rId52" Type="http://schemas.openxmlformats.org/officeDocument/2006/relationships/hyperlink" Target="https://www.itu.int/en/ITU-D/Study-Groups/2018-2021/Pages/meetings/session-Q5-2-oct19.aspx" TargetMode="External"/><Relationship Id="rId60" Type="http://schemas.openxmlformats.org/officeDocument/2006/relationships/hyperlink" Target="https://www.youtube.com/watch?v=6NYLHZqeEvo" TargetMode="External"/><Relationship Id="rId65" Type="http://schemas.openxmlformats.org/officeDocument/2006/relationships/hyperlink" Target="https://www.itu.int/en/ITU-D/Study-Groups/2018-2021/Pages/meetings/session-Q1-1-sept19.aspx" TargetMode="External"/><Relationship Id="rId73" Type="http://schemas.openxmlformats.org/officeDocument/2006/relationships/hyperlink" Target="https://www.itu.int/pub/D-PREF-EF.BDT_AP-2019" TargetMode="External"/><Relationship Id="rId78" Type="http://schemas.openxmlformats.org/officeDocument/2006/relationships/hyperlink" Target="https://www.itu.int/net4/ITU-D/CDS/sg/rgqlist.asp?lg=1&amp;sp=2018&amp;rgq=D18-SG01-RGQ03.1&amp;stg=1" TargetMode="External"/><Relationship Id="rId81" Type="http://schemas.openxmlformats.org/officeDocument/2006/relationships/hyperlink" Target="https://www.itu.int/en/ITU-D/Statistics/Pages/events/egti2019/default.aspx" TargetMode="External"/><Relationship Id="rId86" Type="http://schemas.openxmlformats.org/officeDocument/2006/relationships/hyperlink" Target="https://www.itu.int/md/D18-TDAG25-C-0013/" TargetMode="External"/><Relationship Id="rId4" Type="http://schemas.openxmlformats.org/officeDocument/2006/relationships/settings" Target="settings.xml"/><Relationship Id="rId9" Type="http://schemas.openxmlformats.org/officeDocument/2006/relationships/hyperlink" Target="https://www.itu.int/en/ITU-D/Conferences/WTDC/WTDC17/Documents/WTDC17_final_report_es.pdf" TargetMode="External"/><Relationship Id="rId13" Type="http://schemas.openxmlformats.org/officeDocument/2006/relationships/hyperlink" Target="https://academy.itu.int/digital-skills-insights-2019" TargetMode="External"/><Relationship Id="rId18" Type="http://schemas.openxmlformats.org/officeDocument/2006/relationships/hyperlink" Target="https://www.itu.int/net4/ITU-D/CDS/projects/display.asp?ProjectNo=9RAS18061" TargetMode="External"/><Relationship Id="rId39" Type="http://schemas.openxmlformats.org/officeDocument/2006/relationships/hyperlink" Target="https://www.itu.int/en/ITU-D/ICT-Applications/eHEALTH/Be_healthy/Pages/FAQ-01.aspx" TargetMode="External"/><Relationship Id="rId34" Type="http://schemas.openxmlformats.org/officeDocument/2006/relationships/hyperlink" Target="https://inputprogram.com/" TargetMode="External"/><Relationship Id="rId50" Type="http://schemas.openxmlformats.org/officeDocument/2006/relationships/hyperlink" Target="https://www.itu.int/en/ITU-D/Emergency-Telecommunications/Pages/Events/2019/GET-2019/default.aspx" TargetMode="External"/><Relationship Id="rId55" Type="http://schemas.openxmlformats.org/officeDocument/2006/relationships/hyperlink" Target="https://www.itu.int/en/ITU-D/Study-Groups/2018-2021/Pages/meetings/session-Q6-2-oct19.aspx" TargetMode="External"/><Relationship Id="rId76" Type="http://schemas.openxmlformats.org/officeDocument/2006/relationships/hyperlink" Target="https://www.itu.int/en/ITU-D/Conferences/GSR/2019/Documents/G5Benchmark_one-pager.pdf" TargetMode="External"/><Relationship Id="rId7" Type="http://schemas.openxmlformats.org/officeDocument/2006/relationships/endnotes" Target="endnotes.xml"/><Relationship Id="rId71" Type="http://schemas.openxmlformats.org/officeDocument/2006/relationships/hyperlink" Target="https://www.itu.int/pub/D-PREF-EF.BDT_AFR-2019" TargetMode="External"/><Relationship Id="rId2" Type="http://schemas.openxmlformats.org/officeDocument/2006/relationships/numbering" Target="numbering.xml"/><Relationship Id="rId29" Type="http://schemas.openxmlformats.org/officeDocument/2006/relationships/hyperlink" Target="https://www.itu.int/net4/ITU-D/CDS/sg/blkmeetings.asp?lg=1&amp;sp=2018&amp;blk=21834" TargetMode="External"/><Relationship Id="rId24" Type="http://schemas.openxmlformats.org/officeDocument/2006/relationships/hyperlink" Target="https://www.equals.org/awards" TargetMode="External"/><Relationship Id="rId40" Type="http://schemas.openxmlformats.org/officeDocument/2006/relationships/hyperlink" Target="https://www.itu.int/dms_pub/itu-d/opb/str/D-STR-E_HEALTH.14-2019-PDF-E.pdf" TargetMode="External"/><Relationship Id="rId45" Type="http://schemas.openxmlformats.org/officeDocument/2006/relationships/hyperlink" Target="https://www.itu.int/net4/ITU-D/CDS/sg/rgqlist.asp?lg=1&amp;sp=2018&amp;rgq=D18-SG02-RGQ01.2&amp;stg=2" TargetMode="External"/><Relationship Id="rId66" Type="http://schemas.openxmlformats.org/officeDocument/2006/relationships/hyperlink" Target="https://www.itu.int/en/ITU-D/Study-Groups/2018-2021/Pages/meetings/session-Q4-2-oct19.aspx" TargetMode="External"/><Relationship Id="rId87" Type="http://schemas.openxmlformats.org/officeDocument/2006/relationships/header" Target="header1.xml"/><Relationship Id="rId61" Type="http://schemas.openxmlformats.org/officeDocument/2006/relationships/hyperlink" Target="https://www.itu.int/md/D18-TDAG25-INF-0003/" TargetMode="External"/><Relationship Id="rId82" Type="http://schemas.openxmlformats.org/officeDocument/2006/relationships/hyperlink" Target="https://www.itu.int/en/ITU-D/Statistics/Pages/events/egh2019/default.aspx" TargetMode="External"/><Relationship Id="rId19" Type="http://schemas.openxmlformats.org/officeDocument/2006/relationships/hyperlink" Target="https://www.itu.int/en/ITU-D/Cybersecurity/Pages/cybersecurity-national-strategies.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es/ITU-D/Conferences/TDAG/Pages/default.aspx" TargetMode="External"/><Relationship Id="rId1" Type="http://schemas.openxmlformats.org/officeDocument/2006/relationships/hyperlink" Target="mailto:bdtdi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DF87-DBBC-4CF9-A55A-59EF7B2F9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2</TotalTime>
  <Pages>33</Pages>
  <Words>15794</Words>
  <Characters>86867</Characters>
  <Application>Microsoft Office Word</Application>
  <DocSecurity>0</DocSecurity>
  <Lines>723</Lines>
  <Paragraphs>204</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102457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BDT</cp:lastModifiedBy>
  <cp:revision>4</cp:revision>
  <cp:lastPrinted>2020-03-03T10:08:00Z</cp:lastPrinted>
  <dcterms:created xsi:type="dcterms:W3CDTF">2020-03-12T14:34:00Z</dcterms:created>
  <dcterms:modified xsi:type="dcterms:W3CDTF">2020-03-17T07:17:00Z</dcterms:modified>
</cp:coreProperties>
</file>