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14:paraId="4968FF0F" w14:textId="77777777" w:rsidTr="00197169">
        <w:trPr>
          <w:cantSplit/>
          <w:trHeight w:val="1134"/>
        </w:trPr>
        <w:tc>
          <w:tcPr>
            <w:tcW w:w="6804" w:type="dxa"/>
          </w:tcPr>
          <w:p w14:paraId="29E0A19C" w14:textId="77777777"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14:paraId="29A49B31" w14:textId="4AB3D3F4" w:rsidR="001E252D" w:rsidRPr="00421F93" w:rsidRDefault="00FD3711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7" w:type="dxa"/>
          </w:tcPr>
          <w:p w14:paraId="2AE25F26" w14:textId="1CAAAC79" w:rsidR="001E252D" w:rsidRPr="00D96B4B" w:rsidRDefault="00FD3711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5AA76E34" wp14:editId="643BAF5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78A942A5" w14:textId="77777777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C0DBC83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605D42B" w14:textId="60C2460A" w:rsidR="00D83BF5" w:rsidRPr="00787737" w:rsidRDefault="00D83BF5" w:rsidP="00B951D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D83BF5" w:rsidRPr="0038489B" w14:paraId="49DB461A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106EA9A8" w14:textId="77777777"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006F534C" w14:textId="33548104" w:rsidR="00D83BF5" w:rsidRPr="00E07105" w:rsidRDefault="00D83BF5" w:rsidP="00FD371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</w:t>
            </w:r>
            <w:r w:rsidR="00FD3711">
              <w:rPr>
                <w:b/>
                <w:bCs/>
                <w:szCs w:val="24"/>
                <w:lang w:val="es-ES_tradnl"/>
              </w:rPr>
              <w:t>9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727E16">
              <w:rPr>
                <w:b/>
                <w:bCs/>
                <w:szCs w:val="24"/>
                <w:lang w:val="es-ES_tradnl"/>
              </w:rPr>
              <w:t>INF/2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26B5F404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C1D35D3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07A6D7EB" w14:textId="4211E1D9" w:rsidR="00D83BF5" w:rsidRPr="00D96B4B" w:rsidRDefault="00144397" w:rsidP="0014439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</w:t>
            </w:r>
            <w:r w:rsidR="00FD3711">
              <w:rPr>
                <w:b/>
                <w:bCs/>
                <w:szCs w:val="24"/>
                <w:lang w:val="fr-FR"/>
              </w:rPr>
              <w:t xml:space="preserve"> </w:t>
            </w:r>
            <w:r>
              <w:rPr>
                <w:b/>
                <w:bCs/>
                <w:szCs w:val="24"/>
                <w:lang w:val="fr-FR"/>
              </w:rPr>
              <w:t>April</w:t>
            </w:r>
            <w:bookmarkStart w:id="7" w:name="_GoBack"/>
            <w:bookmarkEnd w:id="7"/>
            <w:r w:rsidR="00FD3711">
              <w:rPr>
                <w:b/>
                <w:bCs/>
                <w:szCs w:val="24"/>
                <w:lang w:val="fr-FR"/>
              </w:rPr>
              <w:t xml:space="preserve"> 2019</w:t>
            </w:r>
          </w:p>
        </w:tc>
      </w:tr>
      <w:tr w:rsidR="00D83BF5" w:rsidRPr="00C324A8" w14:paraId="39355095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2D5F0649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3180E747" w14:textId="38985786" w:rsidR="00D83BF5" w:rsidRPr="00D96B4B" w:rsidRDefault="00727E16" w:rsidP="007076B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r w:rsidR="00FD3711">
              <w:rPr>
                <w:b/>
                <w:bCs/>
                <w:szCs w:val="24"/>
                <w:lang w:val="fr-FR"/>
              </w:rPr>
              <w:t>only</w:t>
            </w:r>
          </w:p>
        </w:tc>
      </w:tr>
      <w:tr w:rsidR="00D83BF5" w:rsidRPr="00C324A8" w14:paraId="2396872B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D612A09" w14:textId="77777777" w:rsidR="00D83BF5" w:rsidRPr="00D83BF5" w:rsidRDefault="00727E16" w:rsidP="00B911B2">
            <w:pPr>
              <w:pStyle w:val="Source"/>
              <w:spacing w:before="240" w:after="240"/>
            </w:pPr>
            <w:r>
              <w:t>Director, Telecommunication Development Bureau</w:t>
            </w:r>
          </w:p>
        </w:tc>
      </w:tr>
      <w:tr w:rsidR="00D83BF5" w:rsidRPr="00C324A8" w14:paraId="1799DB83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0CC45AD" w14:textId="77777777" w:rsidR="00D83BF5" w:rsidRDefault="00727E16" w:rsidP="007F735C">
            <w:pPr>
              <w:pStyle w:val="Title1"/>
              <w:spacing w:before="120" w:after="120"/>
            </w:pPr>
            <w:r>
              <w:rPr>
                <w:szCs w:val="28"/>
              </w:rPr>
              <w:t>Meeting facilities and general information</w:t>
            </w:r>
          </w:p>
        </w:tc>
      </w:tr>
      <w:tr w:rsidR="00D83BF5" w:rsidRPr="00C324A8" w14:paraId="4632EE7C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6E605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8"/>
      <w:bookmarkEnd w:id="9"/>
    </w:tbl>
    <w:p w14:paraId="2AF3EC61" w14:textId="77777777" w:rsidR="001E252D" w:rsidRDefault="001E252D" w:rsidP="00727E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</w:p>
    <w:p w14:paraId="6AC01D34" w14:textId="3009422F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1</w:t>
      </w:r>
      <w:r w:rsidR="00BF7687">
        <w:rPr>
          <w:b/>
          <w:bCs/>
        </w:rPr>
        <w:t>.</w:t>
      </w:r>
      <w:r>
        <w:rPr>
          <w:b/>
          <w:bCs/>
        </w:rPr>
        <w:tab/>
        <w:t>Registration</w:t>
      </w:r>
    </w:p>
    <w:p w14:paraId="672D372B" w14:textId="6DB9462E" w:rsidR="00D466B2" w:rsidRDefault="00D466B2" w:rsidP="00FD3711">
      <w:r>
        <w:t xml:space="preserve">The opening session of the </w:t>
      </w:r>
      <w:r w:rsidR="00FD3711">
        <w:t>24th</w:t>
      </w:r>
      <w:r>
        <w:t xml:space="preserve"> TDAG meeting will take place at </w:t>
      </w:r>
      <w:r w:rsidR="00FD3711">
        <w:t>10</w:t>
      </w:r>
      <w:r w:rsidR="002412EC">
        <w:t>:</w:t>
      </w:r>
      <w:r>
        <w:t xml:space="preserve">30 hours on </w:t>
      </w:r>
      <w:r w:rsidR="00FD3711">
        <w:t>Wednesday</w:t>
      </w:r>
      <w:r>
        <w:t xml:space="preserve">, </w:t>
      </w:r>
      <w:r w:rsidR="00FD3711">
        <w:t>3 April 2019</w:t>
      </w:r>
      <w:r>
        <w:t xml:space="preserve">. The opening session will be preceded by an information session for newcomers at </w:t>
      </w:r>
      <w:r w:rsidR="00FD3711">
        <w:t>09:30</w:t>
      </w:r>
      <w:r>
        <w:t xml:space="preserve"> hours in room Popov. Participant registration will begin at </w:t>
      </w:r>
      <w:r w:rsidR="00FD3711">
        <w:t>08:00</w:t>
      </w:r>
      <w:r>
        <w:t xml:space="preserve"> hours in the entrance to ITU’s Montbrillant building.</w:t>
      </w:r>
    </w:p>
    <w:p w14:paraId="0DC5431A" w14:textId="7A3DCCAE" w:rsidR="00715BC8" w:rsidRDefault="00715BC8" w:rsidP="00715BC8">
      <w:r w:rsidRPr="00715BC8">
        <w:rPr>
          <w:lang w:val="en-US"/>
        </w:rPr>
        <w:t xml:space="preserve">Once you have collected your delegate badge at Montbrillant registration desk, you will </w:t>
      </w:r>
      <w:r>
        <w:rPr>
          <w:lang w:val="en-US"/>
        </w:rPr>
        <w:t xml:space="preserve">be </w:t>
      </w:r>
      <w:r w:rsidRPr="00715BC8">
        <w:rPr>
          <w:lang w:val="en-US"/>
        </w:rPr>
        <w:t>allow</w:t>
      </w:r>
      <w:r>
        <w:rPr>
          <w:lang w:val="en-US"/>
        </w:rPr>
        <w:t>ed</w:t>
      </w:r>
      <w:r w:rsidRPr="00715BC8">
        <w:rPr>
          <w:lang w:val="en-US"/>
        </w:rPr>
        <w:t xml:space="preserve"> entry and exit at ITU Tower and Montribllant building during the period indicated on your badge. Delegates can enter during weekdays 24 hrs at Montribllant, and from 08:00 to 20:00 </w:t>
      </w:r>
      <w:r>
        <w:rPr>
          <w:lang w:val="en-US"/>
        </w:rPr>
        <w:t>hours</w:t>
      </w:r>
      <w:r w:rsidRPr="00715BC8">
        <w:rPr>
          <w:lang w:val="en-US"/>
        </w:rPr>
        <w:t xml:space="preserve"> at ITU Tower.</w:t>
      </w:r>
      <w:r w:rsidR="00EF14CA">
        <w:rPr>
          <w:lang w:val="en-US"/>
        </w:rPr>
        <w:t xml:space="preserve">  They may also exit through the three doors 24 hrs.</w:t>
      </w:r>
    </w:p>
    <w:p w14:paraId="4CAA604F" w14:textId="6E3CD6F8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2</w:t>
      </w:r>
      <w:r w:rsidR="00BF7687">
        <w:rPr>
          <w:b/>
          <w:bCs/>
        </w:rPr>
        <w:t>.</w:t>
      </w:r>
      <w:r w:rsidRPr="000760D5">
        <w:rPr>
          <w:b/>
          <w:bCs/>
        </w:rPr>
        <w:tab/>
        <w:t>Room allocation</w:t>
      </w:r>
    </w:p>
    <w:p w14:paraId="3F3DA1EC" w14:textId="77777777" w:rsidR="00D466B2" w:rsidRDefault="00D466B2" w:rsidP="00BF7687">
      <w:r>
        <w:t>The allocation of rooms is displayed on the screens. It is planned that all sessions of TDAG will take place in the Popov room.</w:t>
      </w:r>
    </w:p>
    <w:p w14:paraId="77C64CFE" w14:textId="61E410DA" w:rsidR="00FD3711" w:rsidRDefault="00FD3711" w:rsidP="00FD3711">
      <w:r>
        <w:t xml:space="preserve">A number of events linked to TDAG will be taking place in addition to the formal TDAG meetings.  All information is available in </w:t>
      </w:r>
      <w:r w:rsidRPr="00114456">
        <w:t xml:space="preserve">document </w:t>
      </w:r>
      <w:hyperlink r:id="rId13" w:history="1">
        <w:r w:rsidRPr="00114456">
          <w:rPr>
            <w:rStyle w:val="Hyperlink"/>
          </w:rPr>
          <w:t>TDAG-19/DT/1</w:t>
        </w:r>
      </w:hyperlink>
      <w:r w:rsidRPr="00114456">
        <w:t>.</w:t>
      </w:r>
    </w:p>
    <w:p w14:paraId="3A79B1CD" w14:textId="2F0FD664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3</w:t>
      </w:r>
      <w:r w:rsidR="00BF7687">
        <w:rPr>
          <w:b/>
          <w:bCs/>
        </w:rPr>
        <w:t>.</w:t>
      </w:r>
      <w:r>
        <w:rPr>
          <w:b/>
          <w:bCs/>
        </w:rPr>
        <w:tab/>
        <w:t>Printers and computers</w:t>
      </w:r>
    </w:p>
    <w:p w14:paraId="69A6E1DB" w14:textId="54BA4662" w:rsidR="00D466B2" w:rsidRDefault="00D466B2" w:rsidP="00FD3711">
      <w:r w:rsidRPr="00BE1053">
        <w:t xml:space="preserve">As indicated in </w:t>
      </w:r>
      <w:r>
        <w:t xml:space="preserve">the Circular </w:t>
      </w:r>
      <w:hyperlink r:id="rId14" w:history="1">
        <w:r w:rsidRPr="00FD3711">
          <w:rPr>
            <w:rStyle w:val="Hyperlink"/>
            <w:sz w:val="22"/>
            <w:szCs w:val="22"/>
            <w:lang w:val="en-US"/>
          </w:rPr>
          <w:t>BDT/TDAG/</w:t>
        </w:r>
        <w:r w:rsidR="00FD3711" w:rsidRPr="00FD3711">
          <w:rPr>
            <w:rStyle w:val="Hyperlink"/>
            <w:sz w:val="22"/>
            <w:szCs w:val="22"/>
            <w:lang w:val="en-US"/>
          </w:rPr>
          <w:t>011</w:t>
        </w:r>
      </w:hyperlink>
      <w:r>
        <w:rPr>
          <w:sz w:val="22"/>
          <w:szCs w:val="22"/>
          <w:lang w:val="en-US"/>
        </w:rPr>
        <w:t xml:space="preserve">, of </w:t>
      </w:r>
      <w:r w:rsidR="00FD3711">
        <w:rPr>
          <w:sz w:val="22"/>
          <w:szCs w:val="22"/>
          <w:lang w:val="en-US"/>
        </w:rPr>
        <w:t>8 January 2019</w:t>
      </w:r>
      <w:r>
        <w:rPr>
          <w:sz w:val="22"/>
          <w:szCs w:val="22"/>
          <w:lang w:val="en-US"/>
        </w:rPr>
        <w:t>,</w:t>
      </w:r>
      <w:r w:rsidRPr="00BE1053">
        <w:t xml:space="preserve"> the meeting is paperless; however, p</w:t>
      </w:r>
      <w:r w:rsidRPr="00BE1053">
        <w:rPr>
          <w:rFonts w:eastAsia="SimSun"/>
          <w:szCs w:val="24"/>
          <w:lang w:eastAsia="zh-CN"/>
        </w:rPr>
        <w:t xml:space="preserve">rinters </w:t>
      </w:r>
      <w:r w:rsidRPr="001318FF">
        <w:rPr>
          <w:szCs w:val="24"/>
        </w:rPr>
        <w:t xml:space="preserve">are available in the </w:t>
      </w:r>
      <w:r w:rsidRPr="002E5C83">
        <w:rPr>
          <w:i/>
          <w:iCs/>
          <w:szCs w:val="24"/>
        </w:rPr>
        <w:t>cyber café</w:t>
      </w:r>
      <w:r w:rsidRPr="001318FF">
        <w:rPr>
          <w:szCs w:val="24"/>
        </w:rPr>
        <w:t xml:space="preserve"> on the second basement level of the Tower building</w:t>
      </w:r>
      <w:r>
        <w:rPr>
          <w:szCs w:val="24"/>
        </w:rPr>
        <w:t xml:space="preserve"> and</w:t>
      </w:r>
      <w:r w:rsidRPr="001318FF">
        <w:rPr>
          <w:szCs w:val="24"/>
        </w:rPr>
        <w:t xml:space="preserve"> near the major meeting rooms</w:t>
      </w:r>
      <w:r w:rsidRPr="00BE1053">
        <w:rPr>
          <w:rFonts w:eastAsia="SimSun"/>
          <w:szCs w:val="24"/>
          <w:lang w:eastAsia="zh-CN"/>
        </w:rPr>
        <w:t>.</w:t>
      </w:r>
      <w:r>
        <w:rPr>
          <w:rFonts w:eastAsia="SimSun"/>
          <w:szCs w:val="24"/>
          <w:lang w:eastAsia="zh-CN"/>
        </w:rPr>
        <w:t xml:space="preserve"> </w:t>
      </w:r>
    </w:p>
    <w:p w14:paraId="42338D56" w14:textId="77777777" w:rsidR="00D466B2" w:rsidRPr="002E5C83" w:rsidRDefault="00D466B2" w:rsidP="00BF7687">
      <w:pPr>
        <w:keepNext/>
        <w:rPr>
          <w:szCs w:val="24"/>
        </w:rPr>
      </w:pPr>
      <w:r w:rsidRPr="002E5C83">
        <w:rPr>
          <w:szCs w:val="24"/>
        </w:rPr>
        <w:t>There are 3 options for printing:</w:t>
      </w:r>
    </w:p>
    <w:p w14:paraId="4EC202F8" w14:textId="77777777" w:rsidR="00D466B2" w:rsidRPr="002E5C83" w:rsidRDefault="00D466B2" w:rsidP="00BF7687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rFonts w:eastAsia="SimSun"/>
          <w:b/>
          <w:bCs/>
          <w:szCs w:val="24"/>
          <w:lang w:eastAsia="zh-CN"/>
        </w:rPr>
      </w:pPr>
      <w:r w:rsidRPr="002E5C83">
        <w:rPr>
          <w:rFonts w:eastAsia="SimSun"/>
          <w:b/>
          <w:bCs/>
          <w:szCs w:val="24"/>
          <w:lang w:eastAsia="zh-CN"/>
        </w:rPr>
        <w:t>Cyber café:</w:t>
      </w:r>
      <w:r w:rsidRPr="002E5C83">
        <w:rPr>
          <w:rFonts w:eastAsia="SimSun"/>
          <w:szCs w:val="24"/>
          <w:lang w:eastAsia="zh-CN"/>
        </w:rPr>
        <w:t xml:space="preserve"> Print from one of the cyber café computers</w:t>
      </w:r>
      <w:r>
        <w:rPr>
          <w:rFonts w:eastAsia="SimSun"/>
          <w:szCs w:val="24"/>
          <w:lang w:eastAsia="zh-CN"/>
        </w:rPr>
        <w:t>.</w:t>
      </w:r>
    </w:p>
    <w:p w14:paraId="03F8BF10" w14:textId="77777777" w:rsidR="00D466B2" w:rsidRPr="002E5C83" w:rsidRDefault="00D466B2" w:rsidP="00BF7687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rFonts w:eastAsia="SimSun"/>
          <w:b/>
          <w:bCs/>
          <w:szCs w:val="24"/>
          <w:lang w:eastAsia="zh-CN"/>
        </w:rPr>
      </w:pPr>
      <w:r w:rsidRPr="002E5C83">
        <w:rPr>
          <w:rFonts w:eastAsia="SimSun"/>
          <w:b/>
          <w:bCs/>
          <w:szCs w:val="24"/>
          <w:lang w:eastAsia="zh-CN"/>
        </w:rPr>
        <w:t>Local install:</w:t>
      </w:r>
      <w:r w:rsidRPr="002E5C83">
        <w:rPr>
          <w:rFonts w:eastAsia="SimSun"/>
          <w:szCs w:val="24"/>
          <w:lang w:eastAsia="zh-CN"/>
        </w:rPr>
        <w:t xml:space="preserve"> Install a printer on your laptop, once connected to the </w:t>
      </w:r>
      <w:r>
        <w:rPr>
          <w:rFonts w:eastAsia="SimSun"/>
          <w:szCs w:val="24"/>
          <w:lang w:eastAsia="zh-CN"/>
        </w:rPr>
        <w:t>W</w:t>
      </w:r>
      <w:r w:rsidRPr="002E5C83">
        <w:rPr>
          <w:rFonts w:eastAsia="SimSun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>F</w:t>
      </w:r>
      <w:r w:rsidRPr="002E5C83">
        <w:rPr>
          <w:rFonts w:eastAsia="SimSun"/>
          <w:szCs w:val="24"/>
          <w:lang w:eastAsia="zh-CN"/>
        </w:rPr>
        <w:t xml:space="preserve">i. </w:t>
      </w:r>
      <w:r w:rsidRPr="002E5C83">
        <w:rPr>
          <w:rFonts w:eastAsia="SimSun"/>
          <w:szCs w:val="24"/>
          <w:lang w:eastAsia="zh-CN"/>
        </w:rPr>
        <w:br/>
        <w:t xml:space="preserve">The printer driver will be installed on your laptop. Please see </w:t>
      </w:r>
      <w:hyperlink r:id="rId15" w:history="1">
        <w:r w:rsidRPr="002E5C83">
          <w:rPr>
            <w:rStyle w:val="Hyperlink"/>
            <w:rFonts w:eastAsia="SimSun"/>
            <w:szCs w:val="24"/>
            <w:lang w:eastAsia="zh-CN"/>
          </w:rPr>
          <w:t>this document</w:t>
        </w:r>
      </w:hyperlink>
      <w:r w:rsidRPr="002E5C83">
        <w:rPr>
          <w:rFonts w:eastAsia="SimSun"/>
          <w:szCs w:val="24"/>
          <w:lang w:eastAsia="zh-CN"/>
        </w:rPr>
        <w:t xml:space="preserve"> for details, taken from the ITU Delegate’s corner (</w:t>
      </w:r>
      <w:hyperlink r:id="rId16" w:history="1">
        <w:r w:rsidRPr="002E5C83">
          <w:rPr>
            <w:rStyle w:val="Hyperlink"/>
            <w:rFonts w:eastAsia="SimSun"/>
            <w:szCs w:val="24"/>
            <w:lang w:eastAsia="zh-CN"/>
          </w:rPr>
          <w:t>http://www.itu.int/en/delegates-corner</w:t>
        </w:r>
      </w:hyperlink>
      <w:r w:rsidRPr="002E5C83">
        <w:rPr>
          <w:rFonts w:eastAsia="SimSun"/>
          <w:szCs w:val="24"/>
          <w:lang w:eastAsia="zh-CN"/>
        </w:rPr>
        <w:t>).</w:t>
      </w:r>
    </w:p>
    <w:p w14:paraId="78C6698E" w14:textId="77777777" w:rsidR="00D466B2" w:rsidRPr="002E5C83" w:rsidRDefault="00D466B2" w:rsidP="00BF7687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rFonts w:eastAsia="SimSun"/>
          <w:b/>
          <w:bCs/>
          <w:szCs w:val="24"/>
          <w:lang w:eastAsia="zh-CN"/>
        </w:rPr>
      </w:pPr>
      <w:r w:rsidRPr="002E5C83">
        <w:rPr>
          <w:rFonts w:eastAsia="SimSun"/>
          <w:b/>
          <w:bCs/>
          <w:szCs w:val="24"/>
          <w:lang w:eastAsia="zh-CN"/>
        </w:rPr>
        <w:lastRenderedPageBreak/>
        <w:t>E-Print:</w:t>
      </w:r>
      <w:r w:rsidRPr="002E5C83">
        <w:rPr>
          <w:rFonts w:eastAsia="SimSun"/>
          <w:szCs w:val="24"/>
          <w:lang w:eastAsia="zh-CN"/>
        </w:rPr>
        <w:t xml:space="preserve"> Send an email, with the document to be printed attached, to the printer (in the form </w:t>
      </w:r>
      <w:hyperlink r:id="rId17" w:history="1">
        <w:r w:rsidRPr="002E5C83">
          <w:rPr>
            <w:rStyle w:val="Hyperlink"/>
            <w:rFonts w:eastAsia="SimSun"/>
            <w:szCs w:val="24"/>
            <w:lang w:eastAsia="zh-CN"/>
          </w:rPr>
          <w:t>printername@eprint.itu.int</w:t>
        </w:r>
      </w:hyperlink>
      <w:r w:rsidRPr="002E5C83">
        <w:rPr>
          <w:rFonts w:eastAsia="SimSun"/>
          <w:szCs w:val="24"/>
          <w:lang w:eastAsia="zh-CN"/>
        </w:rPr>
        <w:t>). No driver installation is necessary. The printers have a sticker with their names on them.</w:t>
      </w:r>
      <w:r>
        <w:rPr>
          <w:rFonts w:eastAsia="SimSun"/>
          <w:szCs w:val="24"/>
          <w:lang w:eastAsia="zh-CN"/>
        </w:rPr>
        <w:t xml:space="preserve">  Again, please refer to </w:t>
      </w:r>
      <w:hyperlink r:id="rId18" w:history="1">
        <w:r w:rsidRPr="00D466B2">
          <w:rPr>
            <w:rStyle w:val="Hyperlink"/>
            <w:rFonts w:eastAsia="SimSun"/>
            <w:szCs w:val="24"/>
            <w:lang w:eastAsia="zh-CN"/>
          </w:rPr>
          <w:t>this document</w:t>
        </w:r>
      </w:hyperlink>
      <w:r>
        <w:rPr>
          <w:rFonts w:eastAsia="SimSun"/>
          <w:szCs w:val="24"/>
          <w:lang w:eastAsia="zh-CN"/>
        </w:rPr>
        <w:t xml:space="preserve"> for further information.</w:t>
      </w:r>
    </w:p>
    <w:p w14:paraId="6ECC54E2" w14:textId="5494D1CB" w:rsidR="00D466B2" w:rsidRDefault="00D466B2" w:rsidP="00BF7687">
      <w:pPr>
        <w:overflowPunct/>
        <w:autoSpaceDE/>
        <w:autoSpaceDN/>
        <w:adjustRightInd/>
        <w:textAlignment w:val="auto"/>
      </w:pPr>
      <w:r w:rsidRPr="005D0F33">
        <w:rPr>
          <w:rFonts w:eastAsia="SimSun"/>
          <w:szCs w:val="24"/>
          <w:lang w:eastAsia="zh-CN"/>
        </w:rPr>
        <w:t>Also</w:t>
      </w:r>
      <w:r w:rsidRPr="00095DE6">
        <w:rPr>
          <w:rFonts w:eastAsia="SimSun"/>
          <w:szCs w:val="24"/>
          <w:lang w:eastAsia="zh-CN"/>
        </w:rPr>
        <w:t>,</w:t>
      </w:r>
      <w:r w:rsidRPr="00BE1053">
        <w:rPr>
          <w:rFonts w:eastAsia="SimSun"/>
          <w:szCs w:val="24"/>
          <w:lang w:eastAsia="zh-CN"/>
        </w:rPr>
        <w:t xml:space="preserve"> the </w:t>
      </w:r>
      <w:r w:rsidRPr="001318FF">
        <w:rPr>
          <w:szCs w:val="24"/>
        </w:rPr>
        <w:t>ITU Service Desk (</w:t>
      </w:r>
      <w:hyperlink r:id="rId19" w:history="1">
        <w:r w:rsidRPr="001318FF">
          <w:rPr>
            <w:rStyle w:val="Hyperlink"/>
            <w:szCs w:val="24"/>
          </w:rPr>
          <w:t>servicedesk@itu.int</w:t>
        </w:r>
      </w:hyperlink>
      <w:r w:rsidRPr="001318FF">
        <w:rPr>
          <w:szCs w:val="24"/>
        </w:rPr>
        <w:t>) has available a limited number of laptops on a first-come, first-serve</w:t>
      </w:r>
      <w:r w:rsidR="008573FD">
        <w:rPr>
          <w:szCs w:val="24"/>
        </w:rPr>
        <w:t>d</w:t>
      </w:r>
      <w:r w:rsidRPr="001318FF">
        <w:rPr>
          <w:szCs w:val="24"/>
        </w:rPr>
        <w:t xml:space="preserve"> basis, for those who do not have one</w:t>
      </w:r>
      <w:r w:rsidRPr="00BE1053">
        <w:rPr>
          <w:rFonts w:eastAsia="SimSun"/>
          <w:szCs w:val="24"/>
          <w:lang w:eastAsia="zh-CN"/>
        </w:rPr>
        <w:t xml:space="preserve">. </w:t>
      </w:r>
      <w:r w:rsidRPr="00BE1053">
        <w:t>A request form for the loan of a laptop is available from</w:t>
      </w:r>
      <w:r>
        <w:t xml:space="preserve"> the</w:t>
      </w:r>
      <w:r w:rsidRPr="00BE1053">
        <w:t xml:space="preserve"> </w:t>
      </w:r>
      <w:r w:rsidRPr="002E5C83">
        <w:t xml:space="preserve">Service Desk, as well as the registration desk located at the </w:t>
      </w:r>
      <w:r>
        <w:t>Montbrillant entrance</w:t>
      </w:r>
      <w:r w:rsidRPr="00BE1053">
        <w:t>.</w:t>
      </w:r>
    </w:p>
    <w:p w14:paraId="2FE15C50" w14:textId="35DD5CBA" w:rsidR="00D466B2" w:rsidRDefault="00D466B2" w:rsidP="00F72A83">
      <w:pPr>
        <w:keepNext/>
        <w:spacing w:before="200"/>
        <w:ind w:left="567" w:hanging="567"/>
        <w:rPr>
          <w:rFonts w:eastAsia="SimSun"/>
          <w:b/>
          <w:bCs/>
          <w:szCs w:val="24"/>
          <w:lang w:val="en-US" w:eastAsia="zh-CN"/>
        </w:rPr>
      </w:pPr>
      <w:r>
        <w:rPr>
          <w:rFonts w:eastAsia="SimSun"/>
          <w:b/>
          <w:bCs/>
          <w:szCs w:val="24"/>
          <w:lang w:val="en-US" w:eastAsia="zh-CN"/>
        </w:rPr>
        <w:t>4</w:t>
      </w:r>
      <w:r w:rsidR="00BF7687">
        <w:rPr>
          <w:rFonts w:eastAsia="SimSun"/>
          <w:b/>
          <w:bCs/>
          <w:szCs w:val="24"/>
          <w:lang w:val="en-US" w:eastAsia="zh-CN"/>
        </w:rPr>
        <w:t>.</w:t>
      </w:r>
      <w:r>
        <w:rPr>
          <w:rFonts w:eastAsia="SimSun"/>
          <w:b/>
          <w:bCs/>
          <w:szCs w:val="24"/>
          <w:lang w:val="en-US" w:eastAsia="zh-CN"/>
        </w:rPr>
        <w:tab/>
        <w:t xml:space="preserve">Webcast link: </w:t>
      </w:r>
    </w:p>
    <w:p w14:paraId="739F266D" w14:textId="64BA550B" w:rsidR="00D466B2" w:rsidRDefault="00D466B2" w:rsidP="00BF7687">
      <w:pPr>
        <w:keepNext/>
        <w:rPr>
          <w:rFonts w:ascii="Calibri" w:hAnsi="Calibri" w:cs="Arial"/>
          <w:color w:val="1F497D"/>
          <w:szCs w:val="22"/>
        </w:rPr>
      </w:pPr>
      <w:r w:rsidRPr="001620C6">
        <w:t xml:space="preserve">This meeting will be webcast </w:t>
      </w:r>
      <w:r w:rsidR="008573FD">
        <w:t xml:space="preserve">in all languages of the meeting </w:t>
      </w:r>
      <w:r>
        <w:t xml:space="preserve">and can be accessed from </w:t>
      </w:r>
      <w:hyperlink r:id="rId20" w:history="1">
        <w:r w:rsidRPr="00D466B2">
          <w:rPr>
            <w:rStyle w:val="Hyperlink"/>
          </w:rPr>
          <w:t>this link</w:t>
        </w:r>
      </w:hyperlink>
      <w:r w:rsidRPr="000A6562">
        <w:rPr>
          <w:rFonts w:ascii="Calibri" w:hAnsi="Calibri" w:cs="Arial"/>
          <w:szCs w:val="22"/>
        </w:rPr>
        <w:t>.</w:t>
      </w:r>
    </w:p>
    <w:p w14:paraId="3B921ABC" w14:textId="6BD99D8A" w:rsidR="00D466B2" w:rsidRPr="009B7DB5" w:rsidRDefault="00D466B2" w:rsidP="00F72A83">
      <w:pPr>
        <w:keepNext/>
        <w:spacing w:before="200"/>
        <w:ind w:left="567" w:hanging="567"/>
        <w:rPr>
          <w:rFonts w:eastAsia="SimSun"/>
          <w:b/>
          <w:bCs/>
          <w:szCs w:val="24"/>
          <w:lang w:val="en-US" w:eastAsia="zh-CN"/>
        </w:rPr>
      </w:pPr>
      <w:r w:rsidRPr="009B7DB5">
        <w:rPr>
          <w:rFonts w:eastAsia="SimSun"/>
          <w:b/>
          <w:bCs/>
          <w:szCs w:val="24"/>
          <w:lang w:val="en-US" w:eastAsia="zh-CN"/>
        </w:rPr>
        <w:t>5</w:t>
      </w:r>
      <w:r w:rsidR="00BF7687">
        <w:rPr>
          <w:rFonts w:eastAsia="SimSun"/>
          <w:b/>
          <w:bCs/>
          <w:szCs w:val="24"/>
          <w:lang w:val="en-US" w:eastAsia="zh-CN"/>
        </w:rPr>
        <w:t>.</w:t>
      </w:r>
      <w:r w:rsidRPr="009B7DB5">
        <w:rPr>
          <w:rFonts w:eastAsia="SimSun"/>
          <w:b/>
          <w:bCs/>
          <w:szCs w:val="24"/>
          <w:lang w:val="en-US" w:eastAsia="zh-CN"/>
        </w:rPr>
        <w:tab/>
        <w:t>Remote participation in the six UN languages</w:t>
      </w:r>
    </w:p>
    <w:p w14:paraId="6F1870F1" w14:textId="2FCC417F" w:rsidR="00D466B2" w:rsidRDefault="00D466B2" w:rsidP="00BF7687">
      <w:r w:rsidRPr="004617A4">
        <w:rPr>
          <w:lang w:val="en-US"/>
        </w:rPr>
        <w:t>R</w:t>
      </w:r>
      <w:r w:rsidRPr="004617A4">
        <w:t xml:space="preserve">emote participation in the six UN languages will </w:t>
      </w:r>
      <w:r>
        <w:t>be available during the three days of TDAG meeting (9-11 April 2018)</w:t>
      </w:r>
      <w:r w:rsidR="00FD3711">
        <w:t xml:space="preserve"> for TDAG plenaries</w:t>
      </w:r>
      <w:r w:rsidRPr="00150F62">
        <w:t>.</w:t>
      </w:r>
    </w:p>
    <w:p w14:paraId="17B1B4CE" w14:textId="4A6E5727" w:rsidR="00D466B2" w:rsidRDefault="00D466B2" w:rsidP="00BF7687">
      <w:r>
        <w:t>If you wish to participate remote</w:t>
      </w:r>
      <w:r w:rsidR="008573FD">
        <w:t>ly</w:t>
      </w:r>
      <w:r>
        <w:t xml:space="preserve"> in the TDAG meeting, please </w:t>
      </w:r>
      <w:hyperlink r:id="rId21" w:history="1">
        <w:r w:rsidRPr="00D466B2">
          <w:rPr>
            <w:rStyle w:val="Hyperlink"/>
          </w:rPr>
          <w:t>register online</w:t>
        </w:r>
      </w:hyperlink>
      <w:r>
        <w:t xml:space="preserve"> and indicate so on your registration form.  The secretariat will get in touch with you upon reception of your request.</w:t>
      </w:r>
    </w:p>
    <w:p w14:paraId="17720201" w14:textId="167D9F83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6</w:t>
      </w:r>
      <w:r w:rsidR="00BF7687">
        <w:rPr>
          <w:b/>
          <w:bCs/>
        </w:rPr>
        <w:t>.</w:t>
      </w:r>
      <w:r>
        <w:rPr>
          <w:b/>
          <w:bCs/>
        </w:rPr>
        <w:tab/>
      </w:r>
      <w:r w:rsidRPr="00645F13">
        <w:rPr>
          <w:b/>
          <w:bCs/>
        </w:rPr>
        <w:t>Cap</w:t>
      </w:r>
      <w:r>
        <w:rPr>
          <w:b/>
          <w:bCs/>
        </w:rPr>
        <w:t xml:space="preserve">tioning: </w:t>
      </w:r>
    </w:p>
    <w:p w14:paraId="0BC39890" w14:textId="77777777" w:rsidR="00D466B2" w:rsidRPr="002B50AA" w:rsidRDefault="00D466B2" w:rsidP="00BF7687">
      <w:pPr>
        <w:rPr>
          <w:szCs w:val="24"/>
        </w:rPr>
      </w:pPr>
      <w:r w:rsidRPr="00AA05DE">
        <w:t xml:space="preserve">Captioning will be available on the </w:t>
      </w:r>
      <w:r w:rsidRPr="002B50AA">
        <w:rPr>
          <w:szCs w:val="24"/>
        </w:rPr>
        <w:t xml:space="preserve">following link: </w:t>
      </w:r>
      <w:hyperlink r:id="rId22" w:history="1">
        <w:r w:rsidRPr="00F647F6">
          <w:rPr>
            <w:rStyle w:val="Hyperlink"/>
            <w:bCs/>
          </w:rPr>
          <w:t>http://www.streamtext.net/player?event=ITU-D</w:t>
        </w:r>
      </w:hyperlink>
      <w:r w:rsidR="005254D6">
        <w:rPr>
          <w:rStyle w:val="Hyperlink"/>
          <w:bCs/>
        </w:rPr>
        <w:t xml:space="preserve">. </w:t>
      </w:r>
    </w:p>
    <w:p w14:paraId="69C088A1" w14:textId="6C5D191D" w:rsidR="00D466B2" w:rsidRPr="002E53DE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7</w:t>
      </w:r>
      <w:r w:rsidR="00BF7687">
        <w:rPr>
          <w:b/>
          <w:bCs/>
        </w:rPr>
        <w:t>.</w:t>
      </w:r>
      <w:r>
        <w:rPr>
          <w:b/>
          <w:bCs/>
        </w:rPr>
        <w:tab/>
      </w:r>
      <w:r w:rsidRPr="002E53DE">
        <w:rPr>
          <w:b/>
          <w:bCs/>
        </w:rPr>
        <w:t>W</w:t>
      </w:r>
      <w:r>
        <w:rPr>
          <w:b/>
          <w:bCs/>
        </w:rPr>
        <w:t>i</w:t>
      </w:r>
      <w:r w:rsidRPr="002E53DE">
        <w:rPr>
          <w:b/>
          <w:bCs/>
        </w:rPr>
        <w:t>F</w:t>
      </w:r>
      <w:r>
        <w:rPr>
          <w:b/>
          <w:bCs/>
        </w:rPr>
        <w:t>i</w:t>
      </w:r>
      <w:r w:rsidRPr="002E53DE">
        <w:rPr>
          <w:b/>
          <w:bCs/>
        </w:rPr>
        <w:t xml:space="preserve"> facilities </w:t>
      </w:r>
    </w:p>
    <w:p w14:paraId="1A466ACC" w14:textId="77777777" w:rsidR="00D466B2" w:rsidRDefault="00D466B2" w:rsidP="00BF7687">
      <w:r>
        <w:t xml:space="preserve">Wireless LAN facilities are available for use by delegates in the ITU main conference room areas. </w:t>
      </w:r>
    </w:p>
    <w:p w14:paraId="1A7BD394" w14:textId="77777777" w:rsidR="00D466B2" w:rsidRDefault="00D466B2" w:rsidP="00BF7687">
      <w:r>
        <w:t>To connect to ITUwifi:</w:t>
      </w:r>
    </w:p>
    <w:p w14:paraId="1B708279" w14:textId="77777777" w:rsidR="00D466B2" w:rsidRDefault="00D466B2" w:rsidP="00BF7687">
      <w:pPr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spacing w:before="60"/>
        <w:ind w:left="567" w:hanging="567"/>
      </w:pPr>
      <w:r>
        <w:t xml:space="preserve">Click the WiFi icon in the notification tray. This will show a list of available WiFi networks. </w:t>
      </w:r>
    </w:p>
    <w:p w14:paraId="464A2E27" w14:textId="77777777" w:rsidR="00D466B2" w:rsidRDefault="00D466B2" w:rsidP="00BF7687">
      <w:pPr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spacing w:before="60"/>
        <w:ind w:left="567" w:hanging="567"/>
      </w:pPr>
      <w:r>
        <w:t xml:space="preserve">Choose "ITUwifi" and click the Connect button. </w:t>
      </w:r>
    </w:p>
    <w:p w14:paraId="26D971F9" w14:textId="77777777" w:rsidR="00D466B2" w:rsidRDefault="00D466B2" w:rsidP="00BF7687">
      <w:pPr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spacing w:before="60"/>
        <w:ind w:left="567" w:hanging="567"/>
      </w:pPr>
      <w:r>
        <w:t xml:space="preserve">Enter the security code: "itu@GVA1211". </w:t>
      </w:r>
    </w:p>
    <w:p w14:paraId="7EF63532" w14:textId="6DA00D50" w:rsidR="00D466B2" w:rsidRDefault="00D466B2" w:rsidP="00BF7687">
      <w:pPr>
        <w:rPr>
          <w:b/>
          <w:bCs/>
        </w:rPr>
      </w:pPr>
      <w:r>
        <w:t xml:space="preserve">Detailed information is available </w:t>
      </w:r>
      <w:r w:rsidR="005F0E17">
        <w:t xml:space="preserve">on the website </w:t>
      </w:r>
      <w:hyperlink r:id="rId23" w:history="1">
        <w:r w:rsidR="005F0E17">
          <w:rPr>
            <w:rStyle w:val="Hyperlink"/>
          </w:rPr>
          <w:t>https://www.itu.int/en/general-secretariat/ICT-Services/Pages/default.aspx</w:t>
        </w:r>
      </w:hyperlink>
      <w:r>
        <w:t xml:space="preserve"> </w:t>
      </w:r>
    </w:p>
    <w:p w14:paraId="4663B3E7" w14:textId="0120EE31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lastRenderedPageBreak/>
        <w:t>8</w:t>
      </w:r>
      <w:r w:rsidR="00BF7687">
        <w:rPr>
          <w:b/>
          <w:bCs/>
        </w:rPr>
        <w:t>.</w:t>
      </w:r>
      <w:r>
        <w:rPr>
          <w:b/>
          <w:bCs/>
        </w:rPr>
        <w:tab/>
      </w:r>
      <w:r w:rsidRPr="002E53DE">
        <w:rPr>
          <w:b/>
          <w:bCs/>
        </w:rPr>
        <w:t xml:space="preserve">Audio Controls in </w:t>
      </w:r>
      <w:r>
        <w:rPr>
          <w:b/>
          <w:bCs/>
        </w:rPr>
        <w:t xml:space="preserve">Room </w:t>
      </w:r>
      <w:r w:rsidRPr="002E53DE">
        <w:rPr>
          <w:b/>
          <w:bCs/>
        </w:rPr>
        <w:t xml:space="preserve">Popov </w:t>
      </w:r>
    </w:p>
    <w:p w14:paraId="79F97EC1" w14:textId="77777777" w:rsidR="00D466B2" w:rsidRDefault="00D466B2" w:rsidP="00BF7687">
      <w:pPr>
        <w:jc w:val="center"/>
      </w:pPr>
      <w:r>
        <w:rPr>
          <w:noProof/>
          <w:lang w:eastAsia="zh-CN"/>
        </w:rPr>
        <w:drawing>
          <wp:inline distT="0" distB="0" distL="0" distR="0" wp14:anchorId="7CF8CDA0" wp14:editId="6FF56803">
            <wp:extent cx="5417820" cy="3250459"/>
            <wp:effectExtent l="0" t="0" r="0" b="7620"/>
            <wp:docPr id="2" name="Picture 2" descr="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58" cy="32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AA25" w14:textId="49CAB8D0" w:rsidR="00D466B2" w:rsidRDefault="00D466B2" w:rsidP="00F72A83">
      <w:pPr>
        <w:keepNext/>
        <w:spacing w:before="200"/>
        <w:ind w:left="567" w:hanging="567"/>
        <w:rPr>
          <w:b/>
          <w:bCs/>
        </w:rPr>
      </w:pPr>
      <w:r>
        <w:rPr>
          <w:b/>
          <w:bCs/>
        </w:rPr>
        <w:t>9</w:t>
      </w:r>
      <w:r w:rsidR="00BF7687">
        <w:rPr>
          <w:b/>
          <w:bCs/>
        </w:rPr>
        <w:t>.</w:t>
      </w:r>
      <w:r>
        <w:rPr>
          <w:b/>
          <w:bCs/>
        </w:rPr>
        <w:tab/>
      </w:r>
      <w:r w:rsidRPr="002E53DE">
        <w:rPr>
          <w:b/>
          <w:bCs/>
        </w:rPr>
        <w:t>Newcomer information</w:t>
      </w:r>
      <w:r>
        <w:rPr>
          <w:b/>
          <w:bCs/>
        </w:rPr>
        <w:t xml:space="preserve"> </w:t>
      </w:r>
    </w:p>
    <w:p w14:paraId="2A0C4D58" w14:textId="2ACCE5D7" w:rsidR="00D466B2" w:rsidRDefault="00D466B2" w:rsidP="00FD3711">
      <w:r w:rsidRPr="00686DBC">
        <w:t xml:space="preserve">A newcomer orientation session is organized on </w:t>
      </w:r>
      <w:r w:rsidR="00FD3711">
        <w:t>3 April 2019, at 09:30</w:t>
      </w:r>
      <w:r>
        <w:t xml:space="preserve"> hours</w:t>
      </w:r>
      <w:r w:rsidRPr="00686DBC">
        <w:t xml:space="preserve"> Geneva local time in meeting room </w:t>
      </w:r>
      <w:r>
        <w:t>Popov</w:t>
      </w:r>
      <w:r w:rsidRPr="00686DBC">
        <w:t>.</w:t>
      </w:r>
    </w:p>
    <w:p w14:paraId="35000535" w14:textId="77777777" w:rsidR="00D466B2" w:rsidRDefault="00D466B2" w:rsidP="00BF7687">
      <w:r>
        <w:t>Information document ITU-D Delegate Guide (</w:t>
      </w:r>
      <w:hyperlink r:id="rId25" w:history="1">
        <w:r w:rsidRPr="0008305D">
          <w:rPr>
            <w:rStyle w:val="Hyperlink"/>
          </w:rPr>
          <w:t>INF</w:t>
        </w:r>
        <w:r>
          <w:rPr>
            <w:rStyle w:val="Hyperlink"/>
          </w:rPr>
          <w:t>/1</w:t>
        </w:r>
      </w:hyperlink>
      <w:r>
        <w:t xml:space="preserve">) </w:t>
      </w:r>
      <w:r w:rsidR="005254D6">
        <w:t xml:space="preserve">is </w:t>
      </w:r>
      <w:r w:rsidRPr="001771BF">
        <w:t>intended to help delegates − par</w:t>
      </w:r>
      <w:r>
        <w:t xml:space="preserve">ticularly newcomers − to </w:t>
      </w:r>
      <w:r w:rsidRPr="001771BF">
        <w:t xml:space="preserve">quickly </w:t>
      </w:r>
      <w:r>
        <w:t xml:space="preserve">set up </w:t>
      </w:r>
      <w:r w:rsidRPr="001771BF">
        <w:t>and make best use of their time during the meeting.</w:t>
      </w:r>
    </w:p>
    <w:p w14:paraId="5CD48CBB" w14:textId="675E6D1E" w:rsidR="00D466B2" w:rsidRDefault="00D466B2" w:rsidP="00F72A83">
      <w:pPr>
        <w:keepNext/>
        <w:spacing w:before="200"/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10</w:t>
      </w:r>
      <w:r w:rsidR="00BF7687">
        <w:rPr>
          <w:b/>
          <w:bCs/>
          <w:lang w:val="en-US"/>
        </w:rPr>
        <w:t>.</w:t>
      </w:r>
      <w:r>
        <w:rPr>
          <w:b/>
          <w:bCs/>
          <w:lang w:val="en-US"/>
        </w:rPr>
        <w:tab/>
        <w:t>Synchronization of TDAG documents</w:t>
      </w:r>
    </w:p>
    <w:p w14:paraId="6127D0E7" w14:textId="698AFB4B" w:rsidR="00D466B2" w:rsidRDefault="00D466B2" w:rsidP="00BF7687">
      <w:r>
        <w:t xml:space="preserve">The documents synchronization application, available for PC and Mac, is available for staff and delegates for TDAG. It allows you to keep a structured local copy of files as they evolve during the meeting. </w:t>
      </w:r>
      <w:r w:rsidRPr="00F91A9F">
        <w:t xml:space="preserve">There are links on the </w:t>
      </w:r>
      <w:hyperlink r:id="rId26" w:history="1">
        <w:r w:rsidRPr="00F91A9F">
          <w:rPr>
            <w:rStyle w:val="Hyperlink"/>
          </w:rPr>
          <w:t xml:space="preserve">TDAG </w:t>
        </w:r>
        <w:r w:rsidR="005254D6">
          <w:rPr>
            <w:rStyle w:val="Hyperlink"/>
          </w:rPr>
          <w:t xml:space="preserve">meeting’s </w:t>
        </w:r>
        <w:r w:rsidRPr="00F91A9F">
          <w:rPr>
            <w:rStyle w:val="Hyperlink"/>
          </w:rPr>
          <w:t>home page</w:t>
        </w:r>
      </w:hyperlink>
      <w:r w:rsidRPr="00F91A9F">
        <w:t xml:space="preserve"> for both </w:t>
      </w:r>
      <w:r w:rsidRPr="005254D6">
        <w:t>PC</w:t>
      </w:r>
      <w:r w:rsidRPr="00F91A9F">
        <w:t xml:space="preserve"> and </w:t>
      </w:r>
      <w:r w:rsidRPr="005254D6">
        <w:t>Mac</w:t>
      </w:r>
      <w:r w:rsidRPr="00F91A9F">
        <w:t xml:space="preserve"> versions</w:t>
      </w:r>
      <w:r w:rsidR="005254D6">
        <w:t>.</w:t>
      </w:r>
    </w:p>
    <w:p w14:paraId="4F860822" w14:textId="77777777" w:rsidR="00D466B2" w:rsidRDefault="00D466B2" w:rsidP="00BF7687">
      <w:r>
        <w:t>Follow the on-screen instructions and you will be able to view all TDAG meeting documents for this meeting. You can resynchronize at any time, allowing you to access these documents offline.</w:t>
      </w:r>
    </w:p>
    <w:p w14:paraId="28A7393A" w14:textId="53C90D5F" w:rsidR="00D466B2" w:rsidRPr="00E212FF" w:rsidRDefault="005F0E17" w:rsidP="00F72A83">
      <w:pPr>
        <w:keepNext/>
        <w:spacing w:before="200"/>
        <w:ind w:left="567" w:hanging="567"/>
        <w:rPr>
          <w:b/>
          <w:bCs/>
          <w:lang w:val="en-US" w:eastAsia="ko-KR"/>
        </w:rPr>
      </w:pPr>
      <w:r>
        <w:rPr>
          <w:b/>
          <w:bCs/>
          <w:lang w:val="en-US"/>
        </w:rPr>
        <w:t>1</w:t>
      </w:r>
      <w:r w:rsidR="00D466B2">
        <w:rPr>
          <w:b/>
          <w:bCs/>
          <w:lang w:val="en-US"/>
        </w:rPr>
        <w:t>2</w:t>
      </w:r>
      <w:r w:rsidR="00BF7687">
        <w:rPr>
          <w:b/>
          <w:bCs/>
          <w:lang w:val="en-US"/>
        </w:rPr>
        <w:t>.</w:t>
      </w:r>
      <w:r w:rsidR="00D466B2">
        <w:rPr>
          <w:b/>
          <w:bCs/>
          <w:lang w:val="en-US"/>
        </w:rPr>
        <w:tab/>
      </w:r>
      <w:r w:rsidR="00D466B2" w:rsidRPr="00E212FF">
        <w:rPr>
          <w:b/>
          <w:bCs/>
          <w:lang w:val="en-US"/>
        </w:rPr>
        <w:t xml:space="preserve">Contact information </w:t>
      </w:r>
    </w:p>
    <w:p w14:paraId="324B1BA5" w14:textId="343D0641" w:rsidR="00D466B2" w:rsidRPr="0040547F" w:rsidRDefault="00D466B2" w:rsidP="00BF7687">
      <w:pPr>
        <w:numPr>
          <w:ilvl w:val="0"/>
          <w:numId w:val="8"/>
        </w:numPr>
        <w:tabs>
          <w:tab w:val="clear" w:pos="1080"/>
          <w:tab w:val="clear" w:pos="1134"/>
          <w:tab w:val="clear" w:pos="1871"/>
          <w:tab w:val="clear" w:pos="2268"/>
          <w:tab w:val="left" w:pos="794"/>
          <w:tab w:val="left" w:pos="1418"/>
        </w:tabs>
        <w:spacing w:before="60"/>
        <w:ind w:left="567" w:hanging="567"/>
        <w:rPr>
          <w:lang w:val="it-IT" w:eastAsia="ko-KR"/>
        </w:rPr>
      </w:pPr>
      <w:r w:rsidRPr="00471286">
        <w:rPr>
          <w:lang w:val="en-US" w:eastAsia="ko-KR"/>
        </w:rPr>
        <w:t>TDAG Secretariat</w:t>
      </w:r>
      <w:r w:rsidRPr="00471286">
        <w:rPr>
          <w:lang w:val="en-US" w:eastAsia="ko-KR"/>
        </w:rPr>
        <w:br/>
      </w:r>
      <w:r>
        <w:rPr>
          <w:lang w:eastAsia="ko-KR"/>
        </w:rPr>
        <w:t>Mr Yushi Torigoe</w:t>
      </w:r>
      <w:r>
        <w:rPr>
          <w:lang w:eastAsia="ko-KR"/>
        </w:rPr>
        <w:br/>
      </w:r>
      <w:r w:rsidRPr="0040547F">
        <w:rPr>
          <w:lang w:val="en-US" w:eastAsia="ko-KR"/>
        </w:rPr>
        <w:t xml:space="preserve">Tel. </w:t>
      </w:r>
      <w:r w:rsidRPr="00427C61">
        <w:rPr>
          <w:lang w:val="fr-CH" w:eastAsia="ko-KR"/>
        </w:rPr>
        <w:t>+41 22 730 5784</w:t>
      </w:r>
      <w:r w:rsidRPr="00427C61">
        <w:rPr>
          <w:lang w:val="fr-CH" w:eastAsia="ko-KR"/>
        </w:rPr>
        <w:br/>
      </w:r>
      <w:r w:rsidRPr="0040547F">
        <w:rPr>
          <w:lang w:val="it-IT" w:eastAsia="ko-KR"/>
        </w:rPr>
        <w:t xml:space="preserve">E-mail: </w:t>
      </w:r>
      <w:hyperlink r:id="rId27" w:history="1">
        <w:r w:rsidRPr="0040547F">
          <w:rPr>
            <w:rStyle w:val="Hyperlink"/>
            <w:lang w:val="it-IT" w:eastAsia="ko-KR"/>
          </w:rPr>
          <w:t>tdag-secretariat@itu.int</w:t>
        </w:r>
      </w:hyperlink>
    </w:p>
    <w:p w14:paraId="06705DEA" w14:textId="723B5D6A" w:rsidR="00D466B2" w:rsidRPr="0040547F" w:rsidRDefault="00D466B2" w:rsidP="00967CC8">
      <w:pPr>
        <w:numPr>
          <w:ilvl w:val="0"/>
          <w:numId w:val="7"/>
        </w:numPr>
        <w:tabs>
          <w:tab w:val="clear" w:pos="1080"/>
          <w:tab w:val="clear" w:pos="1134"/>
          <w:tab w:val="clear" w:pos="1871"/>
          <w:tab w:val="clear" w:pos="2268"/>
          <w:tab w:val="left" w:pos="794"/>
          <w:tab w:val="left" w:pos="1418"/>
        </w:tabs>
        <w:spacing w:before="60"/>
        <w:ind w:left="567" w:hanging="567"/>
        <w:rPr>
          <w:lang w:val="it-IT" w:eastAsia="ko-KR"/>
        </w:rPr>
      </w:pPr>
      <w:r>
        <w:rPr>
          <w:lang w:val="en-US" w:eastAsia="ko-KR"/>
        </w:rPr>
        <w:t>TIES</w:t>
      </w:r>
      <w:r w:rsidRPr="0040547F">
        <w:rPr>
          <w:rFonts w:hint="eastAsia"/>
          <w:lang w:val="en-US" w:eastAsia="ko-KR"/>
        </w:rPr>
        <w:t xml:space="preserve"> Help Desk</w:t>
      </w:r>
      <w:r w:rsidRPr="0040547F">
        <w:rPr>
          <w:lang w:val="en-US" w:eastAsia="ko-KR"/>
        </w:rPr>
        <w:br/>
        <w:t xml:space="preserve">ITU </w:t>
      </w:r>
      <w:r w:rsidRPr="0040547F">
        <w:rPr>
          <w:rFonts w:hint="eastAsia"/>
          <w:lang w:val="en-US" w:eastAsia="ko-KR"/>
        </w:rPr>
        <w:t xml:space="preserve">Office </w:t>
      </w:r>
      <w:r w:rsidRPr="0040547F">
        <w:rPr>
          <w:lang w:val="en-US" w:eastAsia="ko-KR"/>
        </w:rPr>
        <w:t>Varembé Building V29</w:t>
      </w:r>
      <w:r>
        <w:rPr>
          <w:lang w:val="en-US" w:eastAsia="ko-KR"/>
        </w:rPr>
        <w:br/>
      </w:r>
      <w:r w:rsidRPr="0040547F">
        <w:rPr>
          <w:lang w:val="en-US" w:eastAsia="ko-KR"/>
        </w:rPr>
        <w:t xml:space="preserve">Tel. </w:t>
      </w:r>
      <w:r w:rsidR="00967CC8">
        <w:rPr>
          <w:lang w:val="en-US" w:eastAsia="ko-KR"/>
        </w:rPr>
        <w:t xml:space="preserve">+41 </w:t>
      </w:r>
      <w:r w:rsidRPr="0040547F">
        <w:rPr>
          <w:lang w:val="en-US" w:eastAsia="ko-KR"/>
        </w:rPr>
        <w:t>22 7</w:t>
      </w:r>
      <w:r w:rsidRPr="0040547F">
        <w:rPr>
          <w:rFonts w:hint="eastAsia"/>
          <w:lang w:val="en-US" w:eastAsia="ko-KR"/>
        </w:rPr>
        <w:t>30 6666</w:t>
      </w:r>
      <w:r w:rsidRPr="0040547F">
        <w:rPr>
          <w:lang w:val="en-US" w:eastAsia="ko-KR"/>
        </w:rPr>
        <w:t xml:space="preserve"> (6666 from any ITU phone)</w:t>
      </w:r>
      <w:r w:rsidRPr="0040547F">
        <w:rPr>
          <w:lang w:val="it-IT" w:eastAsia="ko-KR"/>
        </w:rPr>
        <w:t xml:space="preserve"> </w:t>
      </w:r>
      <w:r w:rsidRPr="0040547F">
        <w:rPr>
          <w:lang w:val="it-IT" w:eastAsia="ko-KR"/>
        </w:rPr>
        <w:br/>
        <w:t xml:space="preserve">E-mail: </w:t>
      </w:r>
      <w:hyperlink r:id="rId28" w:history="1">
        <w:r w:rsidR="00FD3711" w:rsidRPr="00A27294">
          <w:rPr>
            <w:rStyle w:val="Hyperlink"/>
            <w:lang w:val="it-IT" w:eastAsia="ko-KR"/>
          </w:rPr>
          <w:t>servicedesk@itu.int</w:t>
        </w:r>
      </w:hyperlink>
      <w:r w:rsidR="00FD3711">
        <w:rPr>
          <w:lang w:val="it-IT" w:eastAsia="ko-KR"/>
        </w:rPr>
        <w:t xml:space="preserve"> </w:t>
      </w:r>
    </w:p>
    <w:p w14:paraId="1FCF8CBD" w14:textId="088AA400" w:rsidR="00D466B2" w:rsidRPr="0040547F" w:rsidRDefault="00D466B2" w:rsidP="00787737">
      <w:pPr>
        <w:numPr>
          <w:ilvl w:val="0"/>
          <w:numId w:val="7"/>
        </w:numPr>
        <w:tabs>
          <w:tab w:val="clear" w:pos="1080"/>
          <w:tab w:val="clear" w:pos="1134"/>
          <w:tab w:val="clear" w:pos="1871"/>
          <w:tab w:val="clear" w:pos="2268"/>
          <w:tab w:val="left" w:pos="794"/>
          <w:tab w:val="left" w:pos="1418"/>
        </w:tabs>
        <w:spacing w:before="60"/>
        <w:ind w:left="567" w:hanging="567"/>
        <w:rPr>
          <w:lang w:val="it-IT" w:eastAsia="ko-KR"/>
        </w:rPr>
      </w:pPr>
      <w:r w:rsidRPr="0040547F">
        <w:rPr>
          <w:lang w:val="en-US" w:eastAsia="ko-KR"/>
        </w:rPr>
        <w:t>Medical Service</w:t>
      </w:r>
      <w:r w:rsidRPr="0040547F">
        <w:rPr>
          <w:lang w:val="en-US" w:eastAsia="ko-KR"/>
        </w:rPr>
        <w:br/>
      </w:r>
      <w:r w:rsidRPr="0040547F">
        <w:rPr>
          <w:rFonts w:hint="eastAsia"/>
          <w:lang w:val="en-US" w:eastAsia="ko-KR"/>
        </w:rPr>
        <w:t xml:space="preserve">Office </w:t>
      </w:r>
      <w:r w:rsidR="00967CC8" w:rsidRPr="0040547F">
        <w:rPr>
          <w:lang w:val="en-US" w:eastAsia="ko-KR"/>
        </w:rPr>
        <w:t>V</w:t>
      </w:r>
      <w:r w:rsidR="00967CC8">
        <w:rPr>
          <w:lang w:val="en-US" w:eastAsia="ko-KR"/>
        </w:rPr>
        <w:t>16</w:t>
      </w:r>
      <w:r>
        <w:rPr>
          <w:lang w:val="en-US" w:eastAsia="ko-KR"/>
        </w:rPr>
        <w:br/>
      </w:r>
      <w:r w:rsidRPr="0040547F">
        <w:rPr>
          <w:lang w:val="en-US" w:eastAsia="ko-KR"/>
        </w:rPr>
        <w:t xml:space="preserve">Tel. </w:t>
      </w:r>
      <w:r w:rsidR="00967CC8">
        <w:rPr>
          <w:lang w:val="en-US" w:eastAsia="ko-KR"/>
        </w:rPr>
        <w:t xml:space="preserve">+41 </w:t>
      </w:r>
      <w:r w:rsidRPr="0040547F">
        <w:rPr>
          <w:lang w:val="en-US" w:eastAsia="ko-KR"/>
        </w:rPr>
        <w:t>22 7</w:t>
      </w:r>
      <w:r w:rsidRPr="0040547F">
        <w:rPr>
          <w:rFonts w:hint="eastAsia"/>
          <w:lang w:val="en-US" w:eastAsia="ko-KR"/>
        </w:rPr>
        <w:t xml:space="preserve">30 </w:t>
      </w:r>
      <w:r w:rsidRPr="0040547F">
        <w:rPr>
          <w:lang w:val="en-US" w:eastAsia="ko-KR"/>
        </w:rPr>
        <w:t>5397 (5397 from any ITU phone)</w:t>
      </w:r>
      <w:r w:rsidRPr="0040547F">
        <w:rPr>
          <w:lang w:val="it-IT" w:eastAsia="ko-KR"/>
        </w:rPr>
        <w:t xml:space="preserve"> </w:t>
      </w:r>
    </w:p>
    <w:p w14:paraId="38030C54" w14:textId="77777777" w:rsidR="00D466B2" w:rsidRPr="00C86600" w:rsidRDefault="00D466B2" w:rsidP="00D466B2">
      <w:pPr>
        <w:spacing w:after="120"/>
        <w:jc w:val="center"/>
      </w:pPr>
      <w:r>
        <w:t>_______________</w:t>
      </w:r>
    </w:p>
    <w:sectPr w:rsidR="00D466B2" w:rsidRPr="00C86600" w:rsidSect="0039169B">
      <w:headerReference w:type="default" r:id="rId29"/>
      <w:footerReference w:type="even" r:id="rId30"/>
      <w:footerReference w:type="first" r:id="rId3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AE54" w14:textId="77777777" w:rsidR="00813404" w:rsidRDefault="00813404">
      <w:r>
        <w:separator/>
      </w:r>
    </w:p>
  </w:endnote>
  <w:endnote w:type="continuationSeparator" w:id="0">
    <w:p w14:paraId="403AA7C6" w14:textId="77777777" w:rsidR="00813404" w:rsidRDefault="0081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901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606F22" w14:textId="4D63179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743F7">
      <w:rPr>
        <w:noProof/>
        <w:lang w:val="en-US"/>
      </w:rPr>
      <w:t>P:\SUP\Meetings\TDAG\2018-23rd\Documents\INF\INF002E_v5_Meeting-facilities&amp;general-info.docx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4397">
      <w:rPr>
        <w:noProof/>
      </w:rPr>
      <w:t>29.03.19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43F7">
      <w:rPr>
        <w:noProof/>
      </w:rPr>
      <w:t>21.02.18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A1EBC" w:rsidRPr="004D495C" w14:paraId="1069E909" w14:textId="77777777" w:rsidTr="007472A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FED1D72" w14:textId="77777777" w:rsidR="000A1EBC" w:rsidRPr="004D495C" w:rsidRDefault="000A1EBC" w:rsidP="000A1EB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68F89DC" w14:textId="77777777" w:rsidR="000A1EBC" w:rsidRPr="004D495C" w:rsidRDefault="000A1EBC" w:rsidP="000A1EB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BA8A90A" w14:textId="77777777" w:rsidR="000A1EBC" w:rsidRPr="00AF7A97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Yushi Torigoe, Deputy to the Director, </w:t>
          </w:r>
          <w:r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0A1EBC" w:rsidRPr="004D495C" w14:paraId="2E15A85A" w14:textId="77777777" w:rsidTr="007472A5">
      <w:tc>
        <w:tcPr>
          <w:tcW w:w="1526" w:type="dxa"/>
          <w:shd w:val="clear" w:color="auto" w:fill="auto"/>
        </w:tcPr>
        <w:p w14:paraId="4A1DB03F" w14:textId="77777777" w:rsidR="000A1EBC" w:rsidRPr="004D495C" w:rsidRDefault="000A1EBC" w:rsidP="000A1E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FFF40A4" w14:textId="77777777" w:rsidR="000A1EBC" w:rsidRPr="004D495C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E5FD907" w14:textId="77777777" w:rsidR="000A1EBC" w:rsidRPr="00AF7A97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  <w:bookmarkStart w:id="12" w:name="PhoneNo"/>
      <w:bookmarkEnd w:id="12"/>
    </w:tr>
    <w:tr w:rsidR="000A1EBC" w:rsidRPr="004D495C" w14:paraId="382107FB" w14:textId="77777777" w:rsidTr="007472A5">
      <w:tc>
        <w:tcPr>
          <w:tcW w:w="1526" w:type="dxa"/>
          <w:shd w:val="clear" w:color="auto" w:fill="auto"/>
        </w:tcPr>
        <w:p w14:paraId="0FE85120" w14:textId="77777777" w:rsidR="000A1EBC" w:rsidRPr="004D495C" w:rsidRDefault="000A1EBC" w:rsidP="000A1E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E7CF697" w14:textId="77777777" w:rsidR="000A1EBC" w:rsidRPr="004D495C" w:rsidRDefault="000A1EBC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B0CE102" w14:textId="77777777" w:rsidR="000A1EBC" w:rsidRPr="00AF7A97" w:rsidRDefault="00144397" w:rsidP="000A1EB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A1EBC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0A1EBC">
            <w:rPr>
              <w:sz w:val="18"/>
              <w:szCs w:val="18"/>
              <w:lang w:val="en-US"/>
            </w:rPr>
            <w:t xml:space="preserve">  </w:t>
          </w:r>
        </w:p>
      </w:tc>
      <w:bookmarkStart w:id="13" w:name="Email"/>
      <w:bookmarkEnd w:id="13"/>
    </w:tr>
  </w:tbl>
  <w:p w14:paraId="663C0491" w14:textId="77777777" w:rsidR="00E45D05" w:rsidRPr="000A1EBC" w:rsidRDefault="00144397" w:rsidP="000A1EBC">
    <w:pPr>
      <w:jc w:val="center"/>
    </w:pPr>
    <w:hyperlink r:id="rId2" w:history="1">
      <w:r w:rsidR="000A1EBC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30F8" w14:textId="77777777" w:rsidR="00813404" w:rsidRDefault="00813404">
      <w:r>
        <w:rPr>
          <w:b/>
        </w:rPr>
        <w:t>_______________</w:t>
      </w:r>
    </w:p>
  </w:footnote>
  <w:footnote w:type="continuationSeparator" w:id="0">
    <w:p w14:paraId="160AD968" w14:textId="77777777" w:rsidR="00813404" w:rsidRDefault="0081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795D3" w14:textId="144B7C43" w:rsidR="00A066F1" w:rsidRPr="00D83BF5" w:rsidRDefault="00D83BF5" w:rsidP="00301D4E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FD3711">
      <w:rPr>
        <w:sz w:val="22"/>
        <w:szCs w:val="22"/>
        <w:lang w:val="es-ES_tradnl"/>
      </w:rPr>
      <w:t>9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0A1EBC">
      <w:rPr>
        <w:sz w:val="22"/>
        <w:szCs w:val="22"/>
        <w:lang w:val="es-ES_tradnl"/>
      </w:rPr>
      <w:t>INF/</w:t>
    </w:r>
    <w:r w:rsidR="00301D4E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44397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3E4AB4"/>
    <w:multiLevelType w:val="hybridMultilevel"/>
    <w:tmpl w:val="A3A442BE"/>
    <w:lvl w:ilvl="0" w:tplc="0114C9C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60C"/>
    <w:multiLevelType w:val="hybridMultilevel"/>
    <w:tmpl w:val="02EC8C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B1396"/>
    <w:multiLevelType w:val="hybridMultilevel"/>
    <w:tmpl w:val="F0E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6ABD"/>
    <w:multiLevelType w:val="hybridMultilevel"/>
    <w:tmpl w:val="2B00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02BB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EBC"/>
    <w:rsid w:val="000D4875"/>
    <w:rsid w:val="000F73FF"/>
    <w:rsid w:val="00114456"/>
    <w:rsid w:val="00114CF7"/>
    <w:rsid w:val="00123B68"/>
    <w:rsid w:val="00125C9A"/>
    <w:rsid w:val="00126F2E"/>
    <w:rsid w:val="00144397"/>
    <w:rsid w:val="00146F6F"/>
    <w:rsid w:val="00147DA1"/>
    <w:rsid w:val="00152957"/>
    <w:rsid w:val="001642CB"/>
    <w:rsid w:val="001743F7"/>
    <w:rsid w:val="00187BD9"/>
    <w:rsid w:val="00190B55"/>
    <w:rsid w:val="00194CFB"/>
    <w:rsid w:val="001B2ED3"/>
    <w:rsid w:val="001B7EA3"/>
    <w:rsid w:val="001C3B5F"/>
    <w:rsid w:val="001D058F"/>
    <w:rsid w:val="001E252D"/>
    <w:rsid w:val="001F471C"/>
    <w:rsid w:val="002009EA"/>
    <w:rsid w:val="00202CA0"/>
    <w:rsid w:val="002154A6"/>
    <w:rsid w:val="002162CD"/>
    <w:rsid w:val="002255B3"/>
    <w:rsid w:val="00236E8A"/>
    <w:rsid w:val="002412EC"/>
    <w:rsid w:val="0025271D"/>
    <w:rsid w:val="00271316"/>
    <w:rsid w:val="00296313"/>
    <w:rsid w:val="002B3C84"/>
    <w:rsid w:val="002D58BE"/>
    <w:rsid w:val="002F741D"/>
    <w:rsid w:val="003013EE"/>
    <w:rsid w:val="00301D4E"/>
    <w:rsid w:val="00377BD3"/>
    <w:rsid w:val="00384088"/>
    <w:rsid w:val="0038489B"/>
    <w:rsid w:val="0039169B"/>
    <w:rsid w:val="003A7F8C"/>
    <w:rsid w:val="003B532E"/>
    <w:rsid w:val="003B6F14"/>
    <w:rsid w:val="003D0F8B"/>
    <w:rsid w:val="003D2271"/>
    <w:rsid w:val="003F68E1"/>
    <w:rsid w:val="004131D4"/>
    <w:rsid w:val="0041348E"/>
    <w:rsid w:val="00427C61"/>
    <w:rsid w:val="00447308"/>
    <w:rsid w:val="004765FF"/>
    <w:rsid w:val="00492075"/>
    <w:rsid w:val="004969AD"/>
    <w:rsid w:val="004B13CB"/>
    <w:rsid w:val="004B4FDF"/>
    <w:rsid w:val="004C3B97"/>
    <w:rsid w:val="004D5D5C"/>
    <w:rsid w:val="0050139F"/>
    <w:rsid w:val="00521223"/>
    <w:rsid w:val="00524DF1"/>
    <w:rsid w:val="005254D6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5F0E17"/>
    <w:rsid w:val="0060058E"/>
    <w:rsid w:val="006023DF"/>
    <w:rsid w:val="00627BD2"/>
    <w:rsid w:val="0064322F"/>
    <w:rsid w:val="00657DE0"/>
    <w:rsid w:val="0067199F"/>
    <w:rsid w:val="00677048"/>
    <w:rsid w:val="00685313"/>
    <w:rsid w:val="006A6E9B"/>
    <w:rsid w:val="006B5A05"/>
    <w:rsid w:val="006B7C2A"/>
    <w:rsid w:val="006C23DA"/>
    <w:rsid w:val="006E3D45"/>
    <w:rsid w:val="007076B9"/>
    <w:rsid w:val="007149F9"/>
    <w:rsid w:val="00715BC8"/>
    <w:rsid w:val="00727E16"/>
    <w:rsid w:val="00733A30"/>
    <w:rsid w:val="00745AEE"/>
    <w:rsid w:val="00745C11"/>
    <w:rsid w:val="007479EA"/>
    <w:rsid w:val="00750F10"/>
    <w:rsid w:val="007742CA"/>
    <w:rsid w:val="00787737"/>
    <w:rsid w:val="007D06F0"/>
    <w:rsid w:val="007D45E3"/>
    <w:rsid w:val="007D5320"/>
    <w:rsid w:val="007F735C"/>
    <w:rsid w:val="00800972"/>
    <w:rsid w:val="00800B91"/>
    <w:rsid w:val="00804475"/>
    <w:rsid w:val="00811633"/>
    <w:rsid w:val="00812749"/>
    <w:rsid w:val="00813404"/>
    <w:rsid w:val="00817336"/>
    <w:rsid w:val="00821CEF"/>
    <w:rsid w:val="00832828"/>
    <w:rsid w:val="0083645A"/>
    <w:rsid w:val="00840B0F"/>
    <w:rsid w:val="008573FD"/>
    <w:rsid w:val="008711AE"/>
    <w:rsid w:val="00872FC8"/>
    <w:rsid w:val="008801D3"/>
    <w:rsid w:val="008845D0"/>
    <w:rsid w:val="008A3933"/>
    <w:rsid w:val="008B43F2"/>
    <w:rsid w:val="008B61EA"/>
    <w:rsid w:val="008B6CFF"/>
    <w:rsid w:val="00910B26"/>
    <w:rsid w:val="009274B4"/>
    <w:rsid w:val="00934EA2"/>
    <w:rsid w:val="00944A5C"/>
    <w:rsid w:val="00952A66"/>
    <w:rsid w:val="009541C7"/>
    <w:rsid w:val="00967CC8"/>
    <w:rsid w:val="009B75FF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B29C8"/>
    <w:rsid w:val="00BB3A95"/>
    <w:rsid w:val="00BC0382"/>
    <w:rsid w:val="00BD62C6"/>
    <w:rsid w:val="00BF7687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CF5E93"/>
    <w:rsid w:val="00D14CE0"/>
    <w:rsid w:val="00D36333"/>
    <w:rsid w:val="00D3661B"/>
    <w:rsid w:val="00D466B2"/>
    <w:rsid w:val="00D5651D"/>
    <w:rsid w:val="00D74898"/>
    <w:rsid w:val="00D801ED"/>
    <w:rsid w:val="00D83BF5"/>
    <w:rsid w:val="00D85839"/>
    <w:rsid w:val="00D925C2"/>
    <w:rsid w:val="00D936BC"/>
    <w:rsid w:val="00D9621A"/>
    <w:rsid w:val="00D96530"/>
    <w:rsid w:val="00D96B4B"/>
    <w:rsid w:val="00DA2345"/>
    <w:rsid w:val="00DA3772"/>
    <w:rsid w:val="00DA453A"/>
    <w:rsid w:val="00DA7078"/>
    <w:rsid w:val="00DD08B4"/>
    <w:rsid w:val="00DD28BA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F14CA"/>
    <w:rsid w:val="00F02766"/>
    <w:rsid w:val="00F04067"/>
    <w:rsid w:val="00F05BD4"/>
    <w:rsid w:val="00F11A98"/>
    <w:rsid w:val="00F21A1D"/>
    <w:rsid w:val="00F47FDE"/>
    <w:rsid w:val="00F65C19"/>
    <w:rsid w:val="00F72A83"/>
    <w:rsid w:val="00FD2546"/>
    <w:rsid w:val="00FD3711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3EFA2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D46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18-TDAG24-190403-TD-0001/" TargetMode="External"/><Relationship Id="rId18" Type="http://schemas.openxmlformats.org/officeDocument/2006/relationships/hyperlink" Target="http://www.itu.int/dms_pub/itu-t/oth/37/02/T37020000010004PDFE.pdf" TargetMode="External"/><Relationship Id="rId26" Type="http://schemas.openxmlformats.org/officeDocument/2006/relationships/hyperlink" Target="https://www.itu.int/en/ITU-D/Conferences/TDAG/Pages/TDAG24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ITU-D/CDS/meetings/registration/index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printername@eprint.itu.int" TargetMode="External"/><Relationship Id="rId25" Type="http://schemas.openxmlformats.org/officeDocument/2006/relationships/hyperlink" Target="http://www.itu.int/md/D14-TDAG20-INF-0001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delegates-corner" TargetMode="External"/><Relationship Id="rId20" Type="http://schemas.openxmlformats.org/officeDocument/2006/relationships/hyperlink" Target="https://www.itu.int/webcast/live2/2018tda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dms_pub/itu-t/oth/37/02/T37020000010004PDFE.pdf" TargetMode="External"/><Relationship Id="rId23" Type="http://schemas.openxmlformats.org/officeDocument/2006/relationships/hyperlink" Target="https://www.itu.int/en/general-secretariat/ICT-Services/Pages/default.aspx" TargetMode="External"/><Relationship Id="rId28" Type="http://schemas.openxmlformats.org/officeDocument/2006/relationships/hyperlink" Target="mailto:servicedesk@itu.int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servicedesk@itu.int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BDT-CIR-0011/" TargetMode="External"/><Relationship Id="rId22" Type="http://schemas.openxmlformats.org/officeDocument/2006/relationships/hyperlink" Target="http://www.streamtext.net/player?event=ITU-D" TargetMode="External"/><Relationship Id="rId27" Type="http://schemas.openxmlformats.org/officeDocument/2006/relationships/hyperlink" Target="mailto:tdag-secretariat@itu.int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4695989-7C7F-4F83-B68A-4B61E6A3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5617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4</cp:revision>
  <cp:lastPrinted>2018-02-21T12:50:00Z</cp:lastPrinted>
  <dcterms:created xsi:type="dcterms:W3CDTF">2019-03-29T13:59:00Z</dcterms:created>
  <dcterms:modified xsi:type="dcterms:W3CDTF">2019-04-02T07:28:00Z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