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86560B" w:rsidRPr="00957B6C" w:rsidTr="2D9C0B70">
        <w:trPr>
          <w:cantSplit/>
          <w:trHeight w:val="1134"/>
        </w:trPr>
        <w:tc>
          <w:tcPr>
            <w:tcW w:w="6804" w:type="dxa"/>
          </w:tcPr>
          <w:p w:rsidR="0086560B" w:rsidRPr="00957B6C" w:rsidRDefault="0086560B" w:rsidP="0086560B">
            <w:pPr>
              <w:ind w:left="34"/>
              <w:rPr>
                <w:b/>
                <w:bCs/>
                <w:sz w:val="32"/>
                <w:szCs w:val="32"/>
              </w:rPr>
            </w:pPr>
            <w:r w:rsidRPr="00957B6C">
              <w:rPr>
                <w:b/>
                <w:bCs/>
                <w:sz w:val="32"/>
                <w:szCs w:val="32"/>
              </w:rPr>
              <w:t>Telecommunication Development</w:t>
            </w:r>
            <w:r w:rsidRPr="00957B6C">
              <w:rPr>
                <w:b/>
                <w:bCs/>
                <w:sz w:val="32"/>
                <w:szCs w:val="32"/>
              </w:rPr>
              <w:br/>
              <w:t>Advisory Group (TDAG)</w:t>
            </w:r>
          </w:p>
          <w:p w:rsidR="0086560B" w:rsidRPr="00957B6C" w:rsidRDefault="0086560B" w:rsidP="0086560B">
            <w:pPr>
              <w:tabs>
                <w:tab w:val="clear" w:pos="1134"/>
              </w:tabs>
              <w:spacing w:after="48" w:line="240" w:lineRule="atLeast"/>
              <w:ind w:left="34"/>
              <w:rPr>
                <w:rFonts w:cstheme="minorBidi"/>
                <w:b/>
                <w:bCs/>
                <w:color w:val="000000" w:themeColor="text1"/>
                <w:sz w:val="28"/>
                <w:szCs w:val="28"/>
              </w:rPr>
            </w:pPr>
            <w:r w:rsidRPr="00957B6C">
              <w:rPr>
                <w:b/>
                <w:bCs/>
                <w:sz w:val="26"/>
                <w:szCs w:val="26"/>
              </w:rPr>
              <w:t>24th Meeting, Geneva, 3-5 April 2019</w:t>
            </w:r>
          </w:p>
        </w:tc>
        <w:tc>
          <w:tcPr>
            <w:tcW w:w="3227" w:type="dxa"/>
          </w:tcPr>
          <w:p w:rsidR="0086560B" w:rsidRPr="00957B6C" w:rsidRDefault="0086560B" w:rsidP="0086560B">
            <w:pPr>
              <w:spacing w:before="0" w:line="240" w:lineRule="atLeast"/>
              <w:jc w:val="right"/>
              <w:rPr>
                <w:rFonts w:cstheme="minorHAnsi"/>
                <w:color w:val="000000" w:themeColor="text1"/>
              </w:rPr>
            </w:pPr>
            <w:bookmarkStart w:id="0" w:name="ditulogo"/>
            <w:bookmarkEnd w:id="0"/>
            <w:r w:rsidRPr="00957B6C">
              <w:rPr>
                <w:noProof/>
                <w:color w:val="3399FF"/>
                <w:lang w:eastAsia="zh-CN"/>
              </w:rPr>
              <w:drawing>
                <wp:inline distT="0" distB="0" distL="0" distR="0" wp14:anchorId="7082B40F" wp14:editId="6142A0E1">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FF74DD" w:rsidRPr="00957B6C" w:rsidTr="007709CE">
        <w:trPr>
          <w:cantSplit/>
        </w:trPr>
        <w:tc>
          <w:tcPr>
            <w:tcW w:w="6804" w:type="dxa"/>
            <w:tcBorders>
              <w:top w:val="single" w:sz="12" w:space="0" w:color="auto"/>
            </w:tcBorders>
          </w:tcPr>
          <w:p w:rsidR="00D83BF5" w:rsidRPr="00957B6C" w:rsidRDefault="00D83BF5" w:rsidP="00B951D0">
            <w:pPr>
              <w:spacing w:before="0" w:after="48" w:line="240" w:lineRule="atLeast"/>
              <w:rPr>
                <w:rFonts w:cstheme="minorHAnsi"/>
                <w:b/>
                <w:smallCaps/>
                <w:color w:val="000000" w:themeColor="text1"/>
                <w:sz w:val="20"/>
              </w:rPr>
            </w:pPr>
            <w:bookmarkStart w:id="1" w:name="dhead"/>
          </w:p>
        </w:tc>
        <w:tc>
          <w:tcPr>
            <w:tcW w:w="3227" w:type="dxa"/>
            <w:tcBorders>
              <w:top w:val="single" w:sz="12" w:space="0" w:color="auto"/>
            </w:tcBorders>
          </w:tcPr>
          <w:p w:rsidR="00D83BF5" w:rsidRPr="00957B6C" w:rsidRDefault="00CF4C68" w:rsidP="00CF4C68">
            <w:pPr>
              <w:spacing w:before="0" w:line="240" w:lineRule="atLeast"/>
              <w:rPr>
                <w:rFonts w:cstheme="minorHAnsi"/>
                <w:b/>
                <w:bCs/>
                <w:color w:val="000000" w:themeColor="text1"/>
                <w:szCs w:val="24"/>
              </w:rPr>
            </w:pPr>
            <w:r>
              <w:rPr>
                <w:rFonts w:cstheme="minorHAnsi"/>
                <w:b/>
                <w:bCs/>
                <w:color w:val="000000" w:themeColor="text1"/>
                <w:szCs w:val="24"/>
              </w:rPr>
              <w:t>Revision 2 to:</w:t>
            </w:r>
          </w:p>
        </w:tc>
      </w:tr>
      <w:tr w:rsidR="0086560B" w:rsidRPr="00957B6C" w:rsidTr="2D9C0B70">
        <w:trPr>
          <w:cantSplit/>
          <w:trHeight w:val="23"/>
        </w:trPr>
        <w:tc>
          <w:tcPr>
            <w:tcW w:w="6804" w:type="dxa"/>
            <w:shd w:val="clear" w:color="auto" w:fill="auto"/>
          </w:tcPr>
          <w:p w:rsidR="0086560B" w:rsidRPr="00957B6C" w:rsidRDefault="0086560B" w:rsidP="0086560B">
            <w:pPr>
              <w:pStyle w:val="Committee"/>
              <w:framePr w:hSpace="0" w:wrap="auto" w:hAnchor="text" w:yAlign="inline"/>
              <w:rPr>
                <w:color w:val="000000" w:themeColor="text1"/>
              </w:rPr>
            </w:pPr>
            <w:bookmarkStart w:id="2" w:name="dnum" w:colFirst="1" w:colLast="1"/>
            <w:bookmarkStart w:id="3" w:name="dmeeting" w:colFirst="0" w:colLast="0"/>
            <w:bookmarkEnd w:id="1"/>
          </w:p>
        </w:tc>
        <w:tc>
          <w:tcPr>
            <w:tcW w:w="3227" w:type="dxa"/>
          </w:tcPr>
          <w:p w:rsidR="0086560B" w:rsidRPr="00957B6C" w:rsidRDefault="0086560B" w:rsidP="00EA4144">
            <w:pPr>
              <w:tabs>
                <w:tab w:val="left" w:pos="851"/>
              </w:tabs>
              <w:spacing w:before="0" w:line="240" w:lineRule="atLeast"/>
              <w:rPr>
                <w:rFonts w:cstheme="minorBidi"/>
                <w:color w:val="000000" w:themeColor="text1"/>
              </w:rPr>
            </w:pPr>
            <w:r w:rsidRPr="00957B6C">
              <w:rPr>
                <w:b/>
                <w:bCs/>
              </w:rPr>
              <w:t xml:space="preserve">Document </w:t>
            </w:r>
            <w:bookmarkStart w:id="4" w:name="DocRef1"/>
            <w:bookmarkEnd w:id="4"/>
            <w:r w:rsidRPr="00957B6C">
              <w:rPr>
                <w:b/>
                <w:bCs/>
              </w:rPr>
              <w:t>TDAG-19/</w:t>
            </w:r>
            <w:bookmarkStart w:id="5" w:name="DocNo1"/>
            <w:bookmarkEnd w:id="5"/>
            <w:r w:rsidR="00803756">
              <w:rPr>
                <w:b/>
                <w:bCs/>
              </w:rPr>
              <w:t>4</w:t>
            </w:r>
            <w:r w:rsidR="00CF4C68">
              <w:rPr>
                <w:b/>
                <w:bCs/>
              </w:rPr>
              <w:t>4</w:t>
            </w:r>
            <w:r w:rsidRPr="00957B6C">
              <w:rPr>
                <w:b/>
                <w:bCs/>
              </w:rPr>
              <w:t>-E</w:t>
            </w:r>
          </w:p>
        </w:tc>
      </w:tr>
      <w:tr w:rsidR="0086560B" w:rsidRPr="00957B6C" w:rsidTr="2D9C0B70">
        <w:trPr>
          <w:cantSplit/>
          <w:trHeight w:val="23"/>
        </w:trPr>
        <w:tc>
          <w:tcPr>
            <w:tcW w:w="6804" w:type="dxa"/>
            <w:shd w:val="clear" w:color="auto" w:fill="auto"/>
          </w:tcPr>
          <w:p w:rsidR="0086560B" w:rsidRPr="00957B6C" w:rsidRDefault="0086560B" w:rsidP="0086560B">
            <w:pPr>
              <w:tabs>
                <w:tab w:val="left" w:pos="851"/>
              </w:tabs>
              <w:spacing w:before="0" w:line="240" w:lineRule="atLeast"/>
              <w:rPr>
                <w:rFonts w:cstheme="minorHAnsi"/>
                <w:b/>
                <w:color w:val="000000" w:themeColor="text1"/>
                <w:szCs w:val="24"/>
              </w:rPr>
            </w:pPr>
            <w:bookmarkStart w:id="6" w:name="ddate" w:colFirst="1" w:colLast="1"/>
            <w:bookmarkStart w:id="7" w:name="dblank" w:colFirst="0" w:colLast="0"/>
            <w:bookmarkEnd w:id="2"/>
            <w:bookmarkEnd w:id="3"/>
          </w:p>
        </w:tc>
        <w:tc>
          <w:tcPr>
            <w:tcW w:w="3227" w:type="dxa"/>
          </w:tcPr>
          <w:p w:rsidR="0086560B" w:rsidRPr="00957B6C" w:rsidRDefault="00CF4C68" w:rsidP="00EA4144">
            <w:pPr>
              <w:spacing w:before="0" w:line="240" w:lineRule="atLeast"/>
              <w:rPr>
                <w:rFonts w:cstheme="minorBidi"/>
                <w:color w:val="000000" w:themeColor="text1"/>
              </w:rPr>
            </w:pPr>
            <w:r>
              <w:rPr>
                <w:b/>
                <w:bCs/>
                <w:szCs w:val="28"/>
              </w:rPr>
              <w:t>30 May</w:t>
            </w:r>
            <w:r w:rsidR="0086560B" w:rsidRPr="00957B6C">
              <w:rPr>
                <w:b/>
                <w:bCs/>
                <w:szCs w:val="28"/>
              </w:rPr>
              <w:t xml:space="preserve"> 2019</w:t>
            </w:r>
          </w:p>
        </w:tc>
      </w:tr>
      <w:bookmarkEnd w:id="6"/>
      <w:bookmarkEnd w:id="7"/>
      <w:tr w:rsidR="0086560B" w:rsidRPr="00957B6C" w:rsidTr="2D9C0B70">
        <w:trPr>
          <w:cantSplit/>
          <w:trHeight w:val="23"/>
        </w:trPr>
        <w:tc>
          <w:tcPr>
            <w:tcW w:w="6804" w:type="dxa"/>
            <w:shd w:val="clear" w:color="auto" w:fill="auto"/>
          </w:tcPr>
          <w:p w:rsidR="0086560B" w:rsidRPr="00957B6C" w:rsidRDefault="0086560B" w:rsidP="0086560B">
            <w:pPr>
              <w:tabs>
                <w:tab w:val="left" w:pos="851"/>
              </w:tabs>
              <w:spacing w:before="0" w:line="240" w:lineRule="atLeast"/>
              <w:rPr>
                <w:rFonts w:cstheme="minorHAnsi"/>
                <w:color w:val="000000" w:themeColor="text1"/>
                <w:szCs w:val="24"/>
              </w:rPr>
            </w:pPr>
          </w:p>
        </w:tc>
        <w:tc>
          <w:tcPr>
            <w:tcW w:w="3227" w:type="dxa"/>
          </w:tcPr>
          <w:p w:rsidR="0086560B" w:rsidRPr="00957B6C" w:rsidRDefault="0086560B" w:rsidP="0086560B">
            <w:pPr>
              <w:tabs>
                <w:tab w:val="left" w:pos="993"/>
              </w:tabs>
              <w:spacing w:before="0"/>
              <w:rPr>
                <w:rFonts w:cstheme="minorBidi"/>
                <w:b/>
                <w:bCs/>
                <w:color w:val="000000" w:themeColor="text1"/>
              </w:rPr>
            </w:pPr>
            <w:r w:rsidRPr="00AC40E4">
              <w:rPr>
                <w:b/>
              </w:rPr>
              <w:t>English only</w:t>
            </w:r>
          </w:p>
        </w:tc>
      </w:tr>
      <w:tr w:rsidR="00FF74DD" w:rsidRPr="00957B6C" w:rsidTr="007709CE">
        <w:trPr>
          <w:cantSplit/>
          <w:trHeight w:val="23"/>
        </w:trPr>
        <w:tc>
          <w:tcPr>
            <w:tcW w:w="10031" w:type="dxa"/>
            <w:gridSpan w:val="2"/>
            <w:shd w:val="clear" w:color="auto" w:fill="auto"/>
          </w:tcPr>
          <w:p w:rsidR="00EB5336" w:rsidRPr="00957B6C" w:rsidRDefault="25A7936B" w:rsidP="007709CE">
            <w:pPr>
              <w:pStyle w:val="Source"/>
              <w:spacing w:before="240" w:after="240"/>
              <w:rPr>
                <w:rFonts w:cstheme="minorBidi"/>
                <w:color w:val="000000" w:themeColor="text1"/>
              </w:rPr>
            </w:pPr>
            <w:bookmarkStart w:id="8" w:name="dbluepink" w:colFirst="0" w:colLast="0"/>
            <w:bookmarkStart w:id="9" w:name="dorlang" w:colFirst="1" w:colLast="1"/>
            <w:r w:rsidRPr="00957B6C">
              <w:rPr>
                <w:rFonts w:cstheme="minorBidi"/>
                <w:color w:val="000000" w:themeColor="text1"/>
              </w:rPr>
              <w:t>Chairman, Telecommunication Development Advisory Group (TDAG)</w:t>
            </w:r>
          </w:p>
        </w:tc>
      </w:tr>
      <w:tr w:rsidR="00FF74DD" w:rsidRPr="00957B6C" w:rsidTr="0086560B">
        <w:trPr>
          <w:cantSplit/>
          <w:trHeight w:val="281"/>
        </w:trPr>
        <w:tc>
          <w:tcPr>
            <w:tcW w:w="10031" w:type="dxa"/>
            <w:gridSpan w:val="2"/>
            <w:shd w:val="clear" w:color="auto" w:fill="auto"/>
          </w:tcPr>
          <w:p w:rsidR="00EB5336" w:rsidRPr="00957B6C" w:rsidRDefault="25A7936B" w:rsidP="0085653B">
            <w:pPr>
              <w:pStyle w:val="Title1"/>
              <w:spacing w:before="120" w:after="120"/>
              <w:rPr>
                <w:rFonts w:cstheme="minorBidi"/>
                <w:color w:val="000000" w:themeColor="text1"/>
              </w:rPr>
            </w:pPr>
            <w:r w:rsidRPr="00957B6C">
              <w:rPr>
                <w:rFonts w:cstheme="minorBidi"/>
                <w:color w:val="000000" w:themeColor="text1"/>
              </w:rPr>
              <w:t>REPORT OF THE 2</w:t>
            </w:r>
            <w:r w:rsidR="0086560B" w:rsidRPr="00957B6C">
              <w:rPr>
                <w:rFonts w:cstheme="minorBidi"/>
                <w:color w:val="000000" w:themeColor="text1"/>
              </w:rPr>
              <w:t>4TH</w:t>
            </w:r>
            <w:r w:rsidRPr="00957B6C">
              <w:rPr>
                <w:rFonts w:cstheme="minorBidi"/>
                <w:color w:val="000000" w:themeColor="text1"/>
              </w:rPr>
              <w:t xml:space="preserve"> TDAG MEETING</w:t>
            </w:r>
          </w:p>
        </w:tc>
      </w:tr>
    </w:tbl>
    <w:bookmarkEnd w:id="8"/>
    <w:bookmarkEnd w:id="9"/>
    <w:p w:rsidR="00EB5336" w:rsidRDefault="25A7936B" w:rsidP="00EA4144">
      <w:pPr>
        <w:pStyle w:val="ListParagraph"/>
        <w:numPr>
          <w:ilvl w:val="0"/>
          <w:numId w:val="27"/>
        </w:numPr>
        <w:ind w:left="357" w:hanging="357"/>
        <w:contextualSpacing w:val="0"/>
        <w:rPr>
          <w:b/>
          <w:bCs/>
        </w:rPr>
      </w:pPr>
      <w:r w:rsidRPr="00D25C0F">
        <w:rPr>
          <w:b/>
          <w:bCs/>
        </w:rPr>
        <w:t>I</w:t>
      </w:r>
      <w:r w:rsidR="0001111C">
        <w:rPr>
          <w:b/>
          <w:bCs/>
        </w:rPr>
        <w:t>NTRODUCTION and HIGHLIGHTS</w:t>
      </w:r>
    </w:p>
    <w:p w:rsidR="002B0955" w:rsidRPr="007B36B3" w:rsidRDefault="002B0955" w:rsidP="008943E1">
      <w:pPr>
        <w:keepNext/>
        <w:rPr>
          <w:rFonts w:cstheme="minorBidi"/>
          <w:szCs w:val="24"/>
        </w:rPr>
      </w:pPr>
      <w:r w:rsidRPr="00791B42">
        <w:rPr>
          <w:rFonts w:cstheme="minorBidi"/>
          <w:color w:val="000000" w:themeColor="text1"/>
          <w:szCs w:val="24"/>
          <w:lang w:val="en-US"/>
        </w:rPr>
        <w:t>The 24</w:t>
      </w:r>
      <w:r w:rsidR="00333762" w:rsidRPr="00791B42">
        <w:rPr>
          <w:rFonts w:cstheme="minorBidi"/>
          <w:color w:val="000000" w:themeColor="text1"/>
          <w:szCs w:val="24"/>
          <w:lang w:val="en-US"/>
        </w:rPr>
        <w:t>th</w:t>
      </w:r>
      <w:r w:rsidRPr="00791B42">
        <w:rPr>
          <w:rFonts w:cstheme="minorBidi"/>
          <w:color w:val="000000" w:themeColor="text1"/>
          <w:szCs w:val="24"/>
          <w:lang w:val="en-US"/>
        </w:rPr>
        <w:t xml:space="preserve"> meeting of the Telecommunication Development Advisory Group (TDAG) was held at ITU headquarters in Geneva, from 3 to 5 April 2019, under the chairmanship of </w:t>
      </w:r>
      <w:proofErr w:type="spellStart"/>
      <w:r w:rsidRPr="007B36B3">
        <w:rPr>
          <w:rFonts w:eastAsiaTheme="minorEastAsia" w:cstheme="minorBidi"/>
          <w:color w:val="000000" w:themeColor="text1"/>
          <w:szCs w:val="24"/>
          <w:lang w:val="en-US"/>
        </w:rPr>
        <w:t>M</w:t>
      </w:r>
      <w:r w:rsidR="00422662" w:rsidRPr="007B36B3">
        <w:rPr>
          <w:rFonts w:eastAsiaTheme="minorEastAsia" w:cstheme="minorBidi"/>
          <w:color w:val="000000" w:themeColor="text1"/>
          <w:szCs w:val="24"/>
          <w:lang w:val="en-US"/>
        </w:rPr>
        <w:t>s</w:t>
      </w:r>
      <w:proofErr w:type="spellEnd"/>
      <w:r w:rsidRPr="007B36B3">
        <w:rPr>
          <w:rFonts w:eastAsiaTheme="minorEastAsia" w:cstheme="minorBidi"/>
          <w:color w:val="000000" w:themeColor="text1"/>
          <w:szCs w:val="24"/>
          <w:lang w:val="en-US"/>
        </w:rPr>
        <w:t xml:space="preserve"> Roxanne </w:t>
      </w:r>
      <w:proofErr w:type="spellStart"/>
      <w:r w:rsidRPr="007B36B3">
        <w:rPr>
          <w:rFonts w:eastAsiaTheme="minorEastAsia" w:cstheme="minorBidi"/>
          <w:color w:val="000000" w:themeColor="text1"/>
          <w:szCs w:val="24"/>
          <w:lang w:val="en-US"/>
        </w:rPr>
        <w:t>McElvane</w:t>
      </w:r>
      <w:proofErr w:type="spellEnd"/>
      <w:r w:rsidRPr="007B36B3">
        <w:rPr>
          <w:rFonts w:eastAsiaTheme="minorEastAsia" w:cstheme="minorBidi"/>
          <w:color w:val="000000" w:themeColor="text1"/>
          <w:szCs w:val="24"/>
          <w:lang w:val="en-US"/>
        </w:rPr>
        <w:t xml:space="preserve"> Webber. </w:t>
      </w:r>
      <w:r w:rsidR="00964127" w:rsidRPr="007B36B3">
        <w:rPr>
          <w:rFonts w:eastAsiaTheme="minorEastAsia" w:cstheme="minorBidi"/>
          <w:color w:val="000000" w:themeColor="text1"/>
          <w:szCs w:val="24"/>
          <w:lang w:val="en-US"/>
        </w:rPr>
        <w:t xml:space="preserve">The meeting </w:t>
      </w:r>
      <w:r w:rsidR="006A0B32" w:rsidRPr="007B36B3">
        <w:rPr>
          <w:rFonts w:eastAsiaTheme="minorEastAsia" w:cstheme="minorBidi"/>
          <w:color w:val="000000" w:themeColor="text1"/>
          <w:szCs w:val="24"/>
          <w:lang w:val="en-US"/>
        </w:rPr>
        <w:t>attracted 1</w:t>
      </w:r>
      <w:r w:rsidR="00C051CA" w:rsidRPr="007B36B3">
        <w:rPr>
          <w:rFonts w:eastAsiaTheme="minorEastAsia" w:cstheme="minorBidi"/>
          <w:color w:val="000000" w:themeColor="text1"/>
          <w:szCs w:val="24"/>
          <w:lang w:val="en-US"/>
        </w:rPr>
        <w:t>36</w:t>
      </w:r>
      <w:r w:rsidR="006A0B32" w:rsidRPr="007B36B3">
        <w:rPr>
          <w:rFonts w:eastAsiaTheme="minorEastAsia" w:cstheme="minorBidi"/>
          <w:color w:val="000000" w:themeColor="text1"/>
          <w:szCs w:val="24"/>
          <w:lang w:val="en-US"/>
        </w:rPr>
        <w:t xml:space="preserve"> participants</w:t>
      </w:r>
      <w:r w:rsidR="00C051CA" w:rsidRPr="007B36B3">
        <w:rPr>
          <w:rFonts w:eastAsiaTheme="minorEastAsia" w:cstheme="minorBidi"/>
          <w:color w:val="000000" w:themeColor="text1"/>
          <w:szCs w:val="24"/>
          <w:lang w:val="en-US"/>
        </w:rPr>
        <w:t>: 111 delegates</w:t>
      </w:r>
      <w:r w:rsidR="006A0B32" w:rsidRPr="007B36B3">
        <w:rPr>
          <w:rFonts w:eastAsiaTheme="minorEastAsia" w:cstheme="minorBidi"/>
          <w:color w:val="000000" w:themeColor="text1"/>
          <w:szCs w:val="24"/>
          <w:lang w:val="en-US"/>
        </w:rPr>
        <w:t xml:space="preserve"> </w:t>
      </w:r>
      <w:r w:rsidRPr="007B36B3">
        <w:rPr>
          <w:rFonts w:eastAsiaTheme="minorEastAsia" w:cstheme="minorBidi"/>
          <w:color w:val="000000" w:themeColor="text1"/>
          <w:szCs w:val="24"/>
          <w:lang w:val="en-US"/>
        </w:rPr>
        <w:t xml:space="preserve">representing </w:t>
      </w:r>
      <w:r w:rsidR="006A0B32" w:rsidRPr="007B36B3">
        <w:rPr>
          <w:rFonts w:eastAsiaTheme="minorEastAsia" w:cstheme="minorBidi"/>
          <w:color w:val="000000" w:themeColor="text1"/>
          <w:szCs w:val="24"/>
          <w:lang w:val="en-US"/>
        </w:rPr>
        <w:t>56 Member States</w:t>
      </w:r>
      <w:r w:rsidRPr="007B36B3">
        <w:rPr>
          <w:rFonts w:eastAsiaTheme="minorEastAsia" w:cstheme="minorBidi"/>
          <w:color w:val="000000" w:themeColor="text1"/>
          <w:szCs w:val="24"/>
          <w:lang w:val="en-US"/>
        </w:rPr>
        <w:t xml:space="preserve">, </w:t>
      </w:r>
      <w:r w:rsidR="006A0B32" w:rsidRPr="007B36B3">
        <w:rPr>
          <w:rFonts w:eastAsiaTheme="minorEastAsia" w:cstheme="minorBidi"/>
          <w:color w:val="000000" w:themeColor="text1"/>
          <w:szCs w:val="24"/>
          <w:lang w:val="en-US"/>
        </w:rPr>
        <w:t xml:space="preserve">22 ITU-D </w:t>
      </w:r>
      <w:r w:rsidRPr="007B36B3">
        <w:rPr>
          <w:rFonts w:eastAsiaTheme="minorEastAsia" w:cstheme="minorBidi"/>
          <w:color w:val="000000" w:themeColor="text1"/>
          <w:szCs w:val="24"/>
          <w:lang w:val="en-US"/>
        </w:rPr>
        <w:t xml:space="preserve">Sector Members, </w:t>
      </w:r>
      <w:r w:rsidR="006A0B32" w:rsidRPr="007B36B3">
        <w:rPr>
          <w:rFonts w:eastAsiaTheme="minorEastAsia" w:cstheme="minorBidi"/>
          <w:color w:val="000000" w:themeColor="text1"/>
          <w:szCs w:val="24"/>
          <w:lang w:val="en-US"/>
        </w:rPr>
        <w:t xml:space="preserve">2 </w:t>
      </w:r>
      <w:r w:rsidR="00422662" w:rsidRPr="007B36B3">
        <w:rPr>
          <w:rFonts w:eastAsiaTheme="minorEastAsia" w:cstheme="minorBidi"/>
          <w:color w:val="000000" w:themeColor="text1"/>
          <w:szCs w:val="24"/>
          <w:lang w:val="en-US"/>
        </w:rPr>
        <w:t xml:space="preserve">from </w:t>
      </w:r>
      <w:r w:rsidR="006A0B32" w:rsidRPr="007B36B3">
        <w:rPr>
          <w:rFonts w:eastAsiaTheme="minorEastAsia" w:cstheme="minorBidi"/>
          <w:color w:val="000000" w:themeColor="text1"/>
          <w:szCs w:val="24"/>
          <w:lang w:val="en-US"/>
        </w:rPr>
        <w:t>A</w:t>
      </w:r>
      <w:r w:rsidRPr="007B36B3">
        <w:rPr>
          <w:rFonts w:eastAsiaTheme="minorEastAsia" w:cstheme="minorBidi"/>
          <w:color w:val="000000" w:themeColor="text1"/>
          <w:szCs w:val="24"/>
          <w:lang w:val="en-US"/>
        </w:rPr>
        <w:t xml:space="preserve">cademia </w:t>
      </w:r>
      <w:r w:rsidR="00BA4719" w:rsidRPr="007B36B3">
        <w:rPr>
          <w:rFonts w:eastAsiaTheme="minorEastAsia" w:cstheme="minorBidi"/>
          <w:color w:val="000000" w:themeColor="text1"/>
          <w:szCs w:val="24"/>
          <w:lang w:val="en-US"/>
        </w:rPr>
        <w:t>and 1 Associate.</w:t>
      </w:r>
      <w:r w:rsidRPr="007B36B3">
        <w:rPr>
          <w:rFonts w:eastAsiaTheme="minorEastAsia" w:cstheme="minorBidi"/>
          <w:color w:val="000000" w:themeColor="text1"/>
          <w:szCs w:val="24"/>
          <w:lang w:val="en-US"/>
        </w:rPr>
        <w:t xml:space="preserve"> </w:t>
      </w:r>
      <w:r w:rsidR="00E26AC5" w:rsidRPr="007B36B3">
        <w:rPr>
          <w:rFonts w:eastAsiaTheme="minorEastAsia" w:cstheme="minorBidi"/>
          <w:color w:val="000000" w:themeColor="text1"/>
          <w:szCs w:val="24"/>
          <w:lang w:val="en-US"/>
        </w:rPr>
        <w:t>T</w:t>
      </w:r>
      <w:r w:rsidR="002126D2" w:rsidRPr="007B36B3">
        <w:rPr>
          <w:rFonts w:cstheme="minorBidi"/>
          <w:szCs w:val="24"/>
        </w:rPr>
        <w:t>DAG Vice</w:t>
      </w:r>
      <w:r w:rsidR="008943E1">
        <w:rPr>
          <w:rFonts w:cstheme="minorBidi"/>
          <w:szCs w:val="24"/>
        </w:rPr>
        <w:t>-Chairmen</w:t>
      </w:r>
      <w:r w:rsidR="002126D2" w:rsidRPr="007B36B3">
        <w:rPr>
          <w:rFonts w:cstheme="minorBidi"/>
          <w:szCs w:val="24"/>
        </w:rPr>
        <w:t xml:space="preserve"> Mr Christopher</w:t>
      </w:r>
      <w:r w:rsidR="00964127" w:rsidRPr="007B36B3">
        <w:rPr>
          <w:rFonts w:cstheme="minorBidi"/>
          <w:szCs w:val="24"/>
        </w:rPr>
        <w:t xml:space="preserve"> </w:t>
      </w:r>
      <w:proofErr w:type="spellStart"/>
      <w:r w:rsidR="002126D2" w:rsidRPr="007B36B3">
        <w:rPr>
          <w:rFonts w:cstheme="minorBidi"/>
          <w:szCs w:val="24"/>
        </w:rPr>
        <w:t>Kemei</w:t>
      </w:r>
      <w:proofErr w:type="spellEnd"/>
      <w:r w:rsidR="002126D2" w:rsidRPr="007B36B3">
        <w:rPr>
          <w:rFonts w:cstheme="minorBidi"/>
          <w:szCs w:val="24"/>
        </w:rPr>
        <w:t xml:space="preserve"> (</w:t>
      </w:r>
      <w:r w:rsidR="002126D2" w:rsidRPr="007B36B3">
        <w:rPr>
          <w:rFonts w:cstheme="minorBidi"/>
          <w:b/>
          <w:szCs w:val="24"/>
        </w:rPr>
        <w:t>Kenya</w:t>
      </w:r>
      <w:r w:rsidR="002126D2" w:rsidRPr="00791B42">
        <w:rPr>
          <w:rFonts w:cstheme="minorBidi"/>
          <w:szCs w:val="24"/>
        </w:rPr>
        <w:t xml:space="preserve">) Mr </w:t>
      </w:r>
      <w:proofErr w:type="spellStart"/>
      <w:r w:rsidR="002126D2" w:rsidRPr="00791B42">
        <w:rPr>
          <w:rFonts w:cstheme="minorBidi"/>
          <w:szCs w:val="24"/>
        </w:rPr>
        <w:t>Abdulkarim</w:t>
      </w:r>
      <w:proofErr w:type="spellEnd"/>
      <w:r w:rsidR="002126D2" w:rsidRPr="00791B42">
        <w:rPr>
          <w:rFonts w:cstheme="minorBidi"/>
          <w:szCs w:val="24"/>
        </w:rPr>
        <w:t xml:space="preserve"> </w:t>
      </w:r>
      <w:proofErr w:type="spellStart"/>
      <w:r w:rsidR="002126D2" w:rsidRPr="00791B42">
        <w:rPr>
          <w:rFonts w:cstheme="minorBidi"/>
          <w:szCs w:val="24"/>
        </w:rPr>
        <w:t>Oloyede</w:t>
      </w:r>
      <w:proofErr w:type="spellEnd"/>
      <w:r w:rsidR="002126D2" w:rsidRPr="00791B42">
        <w:rPr>
          <w:rFonts w:cstheme="minorBidi"/>
          <w:szCs w:val="24"/>
        </w:rPr>
        <w:t xml:space="preserve"> (</w:t>
      </w:r>
      <w:r w:rsidR="002126D2" w:rsidRPr="007B36B3">
        <w:rPr>
          <w:rFonts w:cstheme="minorBidi"/>
          <w:b/>
          <w:szCs w:val="24"/>
        </w:rPr>
        <w:t>Nigeria</w:t>
      </w:r>
      <w:r w:rsidR="002126D2" w:rsidRPr="00791B42">
        <w:rPr>
          <w:rFonts w:cstheme="minorBidi"/>
          <w:szCs w:val="24"/>
        </w:rPr>
        <w:t>), Mr Al-</w:t>
      </w:r>
      <w:proofErr w:type="spellStart"/>
      <w:r w:rsidR="003B5154" w:rsidRPr="00791B42">
        <w:rPr>
          <w:rFonts w:cstheme="minorBidi"/>
          <w:szCs w:val="24"/>
        </w:rPr>
        <w:t>a</w:t>
      </w:r>
      <w:r w:rsidR="002126D2" w:rsidRPr="00791B42">
        <w:rPr>
          <w:rFonts w:cstheme="minorBidi"/>
          <w:szCs w:val="24"/>
        </w:rPr>
        <w:t>nsari</w:t>
      </w:r>
      <w:proofErr w:type="spellEnd"/>
      <w:r w:rsidR="002126D2" w:rsidRPr="00791B42">
        <w:rPr>
          <w:rFonts w:cstheme="minorBidi"/>
          <w:szCs w:val="24"/>
        </w:rPr>
        <w:t xml:space="preserve"> </w:t>
      </w:r>
      <w:proofErr w:type="spellStart"/>
      <w:r w:rsidR="002126D2" w:rsidRPr="00791B42">
        <w:rPr>
          <w:rFonts w:cstheme="minorBidi"/>
          <w:szCs w:val="24"/>
        </w:rPr>
        <w:t>Almashakbeh</w:t>
      </w:r>
      <w:proofErr w:type="spellEnd"/>
      <w:r w:rsidR="002126D2" w:rsidRPr="00791B42">
        <w:rPr>
          <w:rFonts w:cstheme="minorBidi"/>
          <w:szCs w:val="24"/>
        </w:rPr>
        <w:t xml:space="preserve"> (</w:t>
      </w:r>
      <w:r w:rsidR="002126D2" w:rsidRPr="007B36B3">
        <w:rPr>
          <w:rFonts w:cstheme="minorBidi"/>
          <w:b/>
          <w:szCs w:val="24"/>
        </w:rPr>
        <w:t>Jordan),</w:t>
      </w:r>
      <w:r w:rsidR="002126D2" w:rsidRPr="00791B42">
        <w:rPr>
          <w:rFonts w:cstheme="minorBidi"/>
          <w:szCs w:val="24"/>
        </w:rPr>
        <w:t xml:space="preserve"> Mr </w:t>
      </w:r>
      <w:proofErr w:type="spellStart"/>
      <w:r w:rsidR="002126D2" w:rsidRPr="00791B42">
        <w:rPr>
          <w:rFonts w:cstheme="minorBidi"/>
          <w:szCs w:val="24"/>
        </w:rPr>
        <w:t>Arseny</w:t>
      </w:r>
      <w:proofErr w:type="spellEnd"/>
      <w:r w:rsidR="002126D2" w:rsidRPr="00791B42">
        <w:rPr>
          <w:rFonts w:cstheme="minorBidi"/>
          <w:szCs w:val="24"/>
        </w:rPr>
        <w:t xml:space="preserve"> </w:t>
      </w:r>
      <w:proofErr w:type="spellStart"/>
      <w:r w:rsidR="002126D2" w:rsidRPr="00791B42">
        <w:rPr>
          <w:rFonts w:cstheme="minorBidi"/>
          <w:szCs w:val="24"/>
        </w:rPr>
        <w:t>Plossky</w:t>
      </w:r>
      <w:proofErr w:type="spellEnd"/>
      <w:r w:rsidR="002126D2" w:rsidRPr="00791B42">
        <w:rPr>
          <w:rFonts w:cstheme="minorBidi"/>
          <w:szCs w:val="24"/>
        </w:rPr>
        <w:t xml:space="preserve"> (</w:t>
      </w:r>
      <w:r w:rsidR="002126D2" w:rsidRPr="007B36B3">
        <w:rPr>
          <w:rFonts w:cstheme="minorBidi"/>
          <w:b/>
          <w:szCs w:val="24"/>
        </w:rPr>
        <w:t>Russian Federation</w:t>
      </w:r>
      <w:r w:rsidR="002126D2" w:rsidRPr="00791B42">
        <w:rPr>
          <w:rFonts w:cstheme="minorBidi"/>
          <w:szCs w:val="24"/>
        </w:rPr>
        <w:t xml:space="preserve">), Mr </w:t>
      </w:r>
      <w:proofErr w:type="spellStart"/>
      <w:r w:rsidR="002126D2" w:rsidRPr="00791B42">
        <w:rPr>
          <w:rFonts w:cstheme="minorBidi"/>
          <w:szCs w:val="24"/>
        </w:rPr>
        <w:t>Wim</w:t>
      </w:r>
      <w:proofErr w:type="spellEnd"/>
      <w:r w:rsidR="002126D2" w:rsidRPr="00791B42">
        <w:rPr>
          <w:rFonts w:cstheme="minorBidi"/>
          <w:szCs w:val="24"/>
        </w:rPr>
        <w:t xml:space="preserve"> </w:t>
      </w:r>
      <w:proofErr w:type="spellStart"/>
      <w:r w:rsidR="002126D2" w:rsidRPr="00791B42">
        <w:rPr>
          <w:rFonts w:cstheme="minorBidi"/>
          <w:szCs w:val="24"/>
        </w:rPr>
        <w:t>Rullens</w:t>
      </w:r>
      <w:proofErr w:type="spellEnd"/>
      <w:r w:rsidR="002126D2" w:rsidRPr="00791B42">
        <w:rPr>
          <w:rFonts w:cstheme="minorBidi"/>
          <w:szCs w:val="24"/>
        </w:rPr>
        <w:t xml:space="preserve"> (</w:t>
      </w:r>
      <w:r w:rsidR="002126D2" w:rsidRPr="007B36B3">
        <w:rPr>
          <w:rFonts w:cstheme="minorBidi"/>
          <w:b/>
          <w:szCs w:val="24"/>
        </w:rPr>
        <w:t>Netherlands</w:t>
      </w:r>
      <w:r w:rsidR="002126D2" w:rsidRPr="00791B42">
        <w:rPr>
          <w:rFonts w:cstheme="minorBidi"/>
          <w:szCs w:val="24"/>
        </w:rPr>
        <w:t>) and Ms Blanca Gonzalez (</w:t>
      </w:r>
      <w:r w:rsidR="002126D2" w:rsidRPr="007B36B3">
        <w:rPr>
          <w:rFonts w:cstheme="minorBidi"/>
          <w:b/>
          <w:szCs w:val="24"/>
        </w:rPr>
        <w:t>Spain</w:t>
      </w:r>
      <w:r w:rsidR="002126D2" w:rsidRPr="00791B42">
        <w:rPr>
          <w:rFonts w:cstheme="minorBidi"/>
          <w:szCs w:val="24"/>
        </w:rPr>
        <w:t>)</w:t>
      </w:r>
      <w:r w:rsidR="00E26AC5" w:rsidRPr="00791B42">
        <w:rPr>
          <w:rFonts w:cstheme="minorBidi"/>
          <w:szCs w:val="24"/>
        </w:rPr>
        <w:t xml:space="preserve"> were present for the meeting</w:t>
      </w:r>
      <w:r w:rsidR="003B5154" w:rsidRPr="00791B42">
        <w:rPr>
          <w:rFonts w:cstheme="minorBidi"/>
          <w:szCs w:val="24"/>
        </w:rPr>
        <w:t>,</w:t>
      </w:r>
      <w:r w:rsidR="00EF3307" w:rsidRPr="007B36B3">
        <w:rPr>
          <w:rStyle w:val="FootnoteReference"/>
          <w:rFonts w:cstheme="minorBidi"/>
          <w:sz w:val="24"/>
          <w:szCs w:val="24"/>
        </w:rPr>
        <w:footnoteReference w:id="2"/>
      </w:r>
      <w:r w:rsidR="00E26AC5" w:rsidRPr="00791B42">
        <w:rPr>
          <w:rFonts w:cstheme="minorBidi"/>
          <w:szCs w:val="24"/>
        </w:rPr>
        <w:t xml:space="preserve"> </w:t>
      </w:r>
      <w:r w:rsidR="003B5154" w:rsidRPr="00791B42">
        <w:rPr>
          <w:rFonts w:cstheme="minorBidi"/>
          <w:szCs w:val="24"/>
        </w:rPr>
        <w:t xml:space="preserve">as were the </w:t>
      </w:r>
      <w:r w:rsidR="008943E1">
        <w:rPr>
          <w:rFonts w:cstheme="minorBidi"/>
          <w:szCs w:val="24"/>
        </w:rPr>
        <w:t>chairmen</w:t>
      </w:r>
      <w:r w:rsidR="003B5154" w:rsidRPr="00791B42">
        <w:rPr>
          <w:rFonts w:cstheme="minorBidi"/>
          <w:szCs w:val="24"/>
        </w:rPr>
        <w:t xml:space="preserve"> of </w:t>
      </w:r>
      <w:r w:rsidR="002213E0" w:rsidRPr="00791B42">
        <w:rPr>
          <w:rFonts w:cstheme="minorBidi"/>
          <w:szCs w:val="24"/>
        </w:rPr>
        <w:t xml:space="preserve">the </w:t>
      </w:r>
      <w:r w:rsidR="003B5154" w:rsidRPr="00791B42">
        <w:rPr>
          <w:rFonts w:cstheme="minorBidi"/>
          <w:szCs w:val="24"/>
        </w:rPr>
        <w:t xml:space="preserve">ITU-D </w:t>
      </w:r>
      <w:r w:rsidR="008943E1">
        <w:rPr>
          <w:rFonts w:cstheme="minorBidi"/>
          <w:szCs w:val="24"/>
        </w:rPr>
        <w:t>s</w:t>
      </w:r>
      <w:r w:rsidR="003B5154" w:rsidRPr="00791B42">
        <w:rPr>
          <w:rFonts w:cstheme="minorBidi"/>
          <w:szCs w:val="24"/>
        </w:rPr>
        <w:t xml:space="preserve">tudy </w:t>
      </w:r>
      <w:r w:rsidR="008943E1">
        <w:rPr>
          <w:rFonts w:cstheme="minorBidi"/>
          <w:szCs w:val="24"/>
        </w:rPr>
        <w:t>g</w:t>
      </w:r>
      <w:r w:rsidR="003B5154" w:rsidRPr="00791B42">
        <w:rPr>
          <w:rFonts w:cstheme="minorBidi"/>
          <w:szCs w:val="24"/>
        </w:rPr>
        <w:t xml:space="preserve">roups: </w:t>
      </w:r>
      <w:proofErr w:type="spellStart"/>
      <w:r w:rsidR="003B5154" w:rsidRPr="00791B42">
        <w:rPr>
          <w:rFonts w:cstheme="minorBidi"/>
          <w:color w:val="000000" w:themeColor="text1"/>
          <w:szCs w:val="24"/>
          <w:lang w:val="en-US"/>
        </w:rPr>
        <w:t>Ms</w:t>
      </w:r>
      <w:proofErr w:type="spellEnd"/>
      <w:r w:rsidR="003B5154" w:rsidRPr="00791B42">
        <w:rPr>
          <w:rFonts w:cstheme="minorBidi"/>
          <w:color w:val="000000" w:themeColor="text1"/>
          <w:szCs w:val="24"/>
          <w:lang w:val="en-US"/>
        </w:rPr>
        <w:t xml:space="preserve"> Regina Fleur </w:t>
      </w:r>
      <w:proofErr w:type="spellStart"/>
      <w:r w:rsidR="003B5154" w:rsidRPr="00791B42">
        <w:rPr>
          <w:rFonts w:cstheme="minorBidi"/>
          <w:color w:val="000000" w:themeColor="text1"/>
          <w:szCs w:val="24"/>
          <w:lang w:val="en-US"/>
        </w:rPr>
        <w:t>Assoumou</w:t>
      </w:r>
      <w:proofErr w:type="spellEnd"/>
      <w:r w:rsidR="003B5154" w:rsidRPr="00791B42">
        <w:rPr>
          <w:rFonts w:cstheme="minorBidi"/>
          <w:color w:val="000000" w:themeColor="text1"/>
          <w:szCs w:val="24"/>
          <w:lang w:val="en-US"/>
        </w:rPr>
        <w:t xml:space="preserve"> </w:t>
      </w:r>
      <w:proofErr w:type="spellStart"/>
      <w:r w:rsidR="003B5154" w:rsidRPr="00791B42">
        <w:rPr>
          <w:rFonts w:cstheme="minorBidi"/>
          <w:color w:val="000000" w:themeColor="text1"/>
          <w:szCs w:val="24"/>
          <w:lang w:val="en-US"/>
        </w:rPr>
        <w:t>Bessou</w:t>
      </w:r>
      <w:proofErr w:type="spellEnd"/>
      <w:r w:rsidR="003B5154" w:rsidRPr="00791B42">
        <w:rPr>
          <w:rFonts w:cstheme="minorBidi"/>
          <w:color w:val="000000" w:themeColor="text1"/>
          <w:szCs w:val="24"/>
          <w:lang w:val="en-US"/>
        </w:rPr>
        <w:t xml:space="preserve"> (</w:t>
      </w:r>
      <w:r w:rsidR="002213E0" w:rsidRPr="007B36B3">
        <w:rPr>
          <w:rFonts w:cstheme="minorBidi"/>
          <w:b/>
          <w:color w:val="000000" w:themeColor="text1"/>
          <w:szCs w:val="24"/>
          <w:lang w:val="en-US"/>
        </w:rPr>
        <w:t>Cote d’Ivoire</w:t>
      </w:r>
      <w:r w:rsidR="002213E0" w:rsidRPr="00791B42">
        <w:rPr>
          <w:rFonts w:cstheme="minorBidi"/>
          <w:color w:val="000000" w:themeColor="text1"/>
          <w:szCs w:val="24"/>
          <w:lang w:val="en-US"/>
        </w:rPr>
        <w:t>)</w:t>
      </w:r>
      <w:r w:rsidR="00C051CA" w:rsidRPr="00791B42">
        <w:rPr>
          <w:rFonts w:cstheme="minorBidi"/>
          <w:color w:val="000000" w:themeColor="text1"/>
          <w:szCs w:val="24"/>
          <w:lang w:val="en-US"/>
        </w:rPr>
        <w:t xml:space="preserve"> Chair</w:t>
      </w:r>
      <w:r w:rsidR="008943E1">
        <w:rPr>
          <w:rFonts w:cstheme="minorBidi"/>
          <w:color w:val="000000" w:themeColor="text1"/>
          <w:szCs w:val="24"/>
          <w:lang w:val="en-US"/>
        </w:rPr>
        <w:t>man</w:t>
      </w:r>
      <w:r w:rsidR="00C051CA" w:rsidRPr="00791B42">
        <w:rPr>
          <w:rFonts w:cstheme="minorBidi"/>
          <w:color w:val="000000" w:themeColor="text1"/>
          <w:szCs w:val="24"/>
          <w:lang w:val="en-US"/>
        </w:rPr>
        <w:t xml:space="preserve"> of </w:t>
      </w:r>
      <w:r w:rsidR="003B5154" w:rsidRPr="007B36B3">
        <w:rPr>
          <w:rFonts w:cstheme="minorBidi"/>
          <w:bCs/>
          <w:color w:val="000000" w:themeColor="text1"/>
          <w:szCs w:val="24"/>
          <w:lang w:val="en-US"/>
        </w:rPr>
        <w:t>Study Group 1</w:t>
      </w:r>
      <w:r w:rsidR="00C051CA" w:rsidRPr="007B36B3">
        <w:rPr>
          <w:rFonts w:cstheme="minorBidi"/>
          <w:bCs/>
          <w:color w:val="000000" w:themeColor="text1"/>
          <w:szCs w:val="24"/>
          <w:lang w:val="en-US"/>
        </w:rPr>
        <w:t>,</w:t>
      </w:r>
      <w:r w:rsidR="00C051CA" w:rsidRPr="00791B42">
        <w:rPr>
          <w:rFonts w:cstheme="minorBidi"/>
          <w:b/>
          <w:bCs/>
          <w:color w:val="000000" w:themeColor="text1"/>
          <w:szCs w:val="24"/>
          <w:lang w:val="en-US"/>
        </w:rPr>
        <w:t xml:space="preserve"> </w:t>
      </w:r>
      <w:r w:rsidR="003B5154" w:rsidRPr="00791B42">
        <w:rPr>
          <w:szCs w:val="24"/>
        </w:rPr>
        <w:t xml:space="preserve">and </w:t>
      </w:r>
      <w:proofErr w:type="spellStart"/>
      <w:r w:rsidR="003B5154" w:rsidRPr="00791B42">
        <w:rPr>
          <w:rFonts w:cstheme="minorBidi"/>
          <w:color w:val="000000" w:themeColor="text1"/>
          <w:szCs w:val="24"/>
          <w:lang w:val="en-US"/>
        </w:rPr>
        <w:t>Mr</w:t>
      </w:r>
      <w:proofErr w:type="spellEnd"/>
      <w:r w:rsidR="003B5154" w:rsidRPr="00791B42">
        <w:rPr>
          <w:rFonts w:cstheme="minorBidi"/>
          <w:color w:val="000000" w:themeColor="text1"/>
          <w:szCs w:val="24"/>
          <w:lang w:val="en-US"/>
        </w:rPr>
        <w:t xml:space="preserve"> Ahmad Reza </w:t>
      </w:r>
      <w:proofErr w:type="spellStart"/>
      <w:r w:rsidR="003B5154" w:rsidRPr="00791B42">
        <w:rPr>
          <w:rFonts w:cstheme="minorBidi"/>
          <w:color w:val="000000" w:themeColor="text1"/>
          <w:szCs w:val="24"/>
          <w:lang w:val="en-US"/>
        </w:rPr>
        <w:t>Sharafat</w:t>
      </w:r>
      <w:proofErr w:type="spellEnd"/>
      <w:r w:rsidR="00C051CA" w:rsidRPr="00791B42">
        <w:rPr>
          <w:rFonts w:cstheme="minorBidi"/>
          <w:color w:val="000000" w:themeColor="text1"/>
          <w:szCs w:val="24"/>
          <w:lang w:val="en-US"/>
        </w:rPr>
        <w:t>, (</w:t>
      </w:r>
      <w:r w:rsidR="008943E1">
        <w:rPr>
          <w:rFonts w:cstheme="minorBidi"/>
          <w:color w:val="000000" w:themeColor="text1"/>
          <w:szCs w:val="24"/>
          <w:lang w:val="en-US"/>
        </w:rPr>
        <w:t xml:space="preserve">Islamic Republic of </w:t>
      </w:r>
      <w:r w:rsidR="00C051CA" w:rsidRPr="007B36B3">
        <w:rPr>
          <w:rFonts w:cstheme="minorBidi"/>
          <w:b/>
          <w:color w:val="000000" w:themeColor="text1"/>
          <w:szCs w:val="24"/>
          <w:lang w:val="en-US"/>
        </w:rPr>
        <w:t>Iran</w:t>
      </w:r>
      <w:r w:rsidR="00C051CA" w:rsidRPr="00791B42">
        <w:rPr>
          <w:rFonts w:cstheme="minorBidi"/>
          <w:color w:val="000000" w:themeColor="text1"/>
          <w:szCs w:val="24"/>
          <w:lang w:val="en-US"/>
        </w:rPr>
        <w:t>) Chair</w:t>
      </w:r>
      <w:r w:rsidR="008943E1">
        <w:rPr>
          <w:rFonts w:cstheme="minorBidi"/>
          <w:color w:val="000000" w:themeColor="text1"/>
          <w:szCs w:val="24"/>
          <w:lang w:val="en-US"/>
        </w:rPr>
        <w:t>man</w:t>
      </w:r>
      <w:r w:rsidR="00C051CA" w:rsidRPr="00791B42">
        <w:rPr>
          <w:rFonts w:cstheme="minorBidi"/>
          <w:color w:val="000000" w:themeColor="text1"/>
          <w:szCs w:val="24"/>
          <w:lang w:val="en-US"/>
        </w:rPr>
        <w:t xml:space="preserve"> of </w:t>
      </w:r>
      <w:r w:rsidR="003B5154" w:rsidRPr="007B36B3">
        <w:rPr>
          <w:rFonts w:cstheme="minorBidi"/>
          <w:bCs/>
          <w:color w:val="000000" w:themeColor="text1"/>
          <w:szCs w:val="24"/>
          <w:lang w:val="en-US"/>
        </w:rPr>
        <w:t>Study Group 2</w:t>
      </w:r>
      <w:r w:rsidR="003B5154" w:rsidRPr="00791B42">
        <w:rPr>
          <w:rFonts w:cstheme="minorBidi"/>
          <w:color w:val="000000" w:themeColor="text1"/>
          <w:szCs w:val="24"/>
          <w:lang w:val="en-US"/>
        </w:rPr>
        <w:t xml:space="preserve">. </w:t>
      </w:r>
      <w:r w:rsidR="003B5154" w:rsidRPr="007B36B3">
        <w:rPr>
          <w:rFonts w:cstheme="minorBidi"/>
          <w:color w:val="000000" w:themeColor="text1"/>
          <w:szCs w:val="24"/>
          <w:lang w:val="en-US"/>
        </w:rPr>
        <w:t xml:space="preserve">TDAG </w:t>
      </w:r>
      <w:r w:rsidR="003B5154" w:rsidRPr="007B36B3">
        <w:rPr>
          <w:rFonts w:eastAsiaTheme="minorEastAsia" w:cstheme="minorBidi"/>
          <w:color w:val="000000" w:themeColor="text1"/>
          <w:szCs w:val="24"/>
          <w:lang w:val="en-US"/>
        </w:rPr>
        <w:t>p</w:t>
      </w:r>
      <w:r w:rsidR="00E26AC5" w:rsidRPr="007B36B3">
        <w:rPr>
          <w:rFonts w:eastAsiaTheme="minorEastAsia" w:cstheme="minorBidi"/>
          <w:color w:val="000000" w:themeColor="text1"/>
          <w:szCs w:val="24"/>
          <w:lang w:val="en-US"/>
        </w:rPr>
        <w:t>articipants considered</w:t>
      </w:r>
      <w:r w:rsidR="00E26AC5" w:rsidRPr="007B36B3">
        <w:rPr>
          <w:rFonts w:cstheme="minorBidi"/>
          <w:szCs w:val="24"/>
        </w:rPr>
        <w:t xml:space="preserve"> 41 </w:t>
      </w:r>
      <w:r w:rsidR="003B5154" w:rsidRPr="007B36B3">
        <w:rPr>
          <w:rFonts w:cstheme="minorBidi"/>
          <w:szCs w:val="24"/>
        </w:rPr>
        <w:t xml:space="preserve">written </w:t>
      </w:r>
      <w:r w:rsidR="00E26AC5" w:rsidRPr="007B36B3">
        <w:rPr>
          <w:rFonts w:cstheme="minorBidi"/>
          <w:szCs w:val="24"/>
        </w:rPr>
        <w:t xml:space="preserve">contributions, of which 5 were submitted by membership. </w:t>
      </w:r>
    </w:p>
    <w:p w:rsidR="00112F6A" w:rsidRPr="00723802" w:rsidRDefault="00112F6A">
      <w:r w:rsidRPr="007B36B3">
        <w:rPr>
          <w:rFonts w:eastAsia="SimHei" w:cstheme="minorHAnsi"/>
          <w:szCs w:val="24"/>
        </w:rPr>
        <w:t>TDAG-19</w:t>
      </w:r>
      <w:r w:rsidR="006E3855">
        <w:rPr>
          <w:rFonts w:cstheme="minorHAnsi"/>
          <w:szCs w:val="24"/>
        </w:rPr>
        <w:t xml:space="preserve">, the first meeting since the 2018 Plenipotentiary </w:t>
      </w:r>
      <w:r w:rsidR="008943E1">
        <w:rPr>
          <w:rFonts w:cstheme="minorHAnsi"/>
          <w:szCs w:val="24"/>
        </w:rPr>
        <w:t>C</w:t>
      </w:r>
      <w:r w:rsidR="006E3855">
        <w:rPr>
          <w:rFonts w:cstheme="minorHAnsi"/>
          <w:szCs w:val="24"/>
        </w:rPr>
        <w:t xml:space="preserve">onference, convened at a time of steady growth </w:t>
      </w:r>
      <w:r w:rsidR="006E3855" w:rsidRPr="006209A6">
        <w:rPr>
          <w:rFonts w:ascii="Verdana" w:eastAsia="SimHei" w:hAnsi="Verdana" w:cstheme="minorHAnsi"/>
          <w:sz w:val="19"/>
          <w:szCs w:val="24"/>
        </w:rPr>
        <w:t xml:space="preserve">in </w:t>
      </w:r>
      <w:r w:rsidR="006209A6" w:rsidRPr="007B36B3">
        <w:rPr>
          <w:rFonts w:ascii="Verdana" w:eastAsia="SimHei" w:hAnsi="Verdana" w:cstheme="minorHAnsi"/>
          <w:sz w:val="19"/>
          <w:szCs w:val="24"/>
        </w:rPr>
        <w:t xml:space="preserve">the communications sector. </w:t>
      </w:r>
      <w:r w:rsidR="00B6374F" w:rsidRPr="00791B42">
        <w:rPr>
          <w:szCs w:val="24"/>
        </w:rPr>
        <w:t>ITU data presented for this meeting indicate that last year more than half of the world’s population (51.2 per</w:t>
      </w:r>
      <w:r w:rsidR="008943E1">
        <w:rPr>
          <w:szCs w:val="24"/>
        </w:rPr>
        <w:t xml:space="preserve"> </w:t>
      </w:r>
      <w:r w:rsidR="00B6374F" w:rsidRPr="00791B42">
        <w:rPr>
          <w:szCs w:val="24"/>
        </w:rPr>
        <w:t xml:space="preserve">cent) was using the Internet, and that currently there are more mobile-cellular subscriptions than people in the planet. </w:t>
      </w:r>
      <w:r w:rsidR="008614FC">
        <w:rPr>
          <w:szCs w:val="24"/>
        </w:rPr>
        <w:t xml:space="preserve">Led by the </w:t>
      </w:r>
      <w:r w:rsidR="008614FC" w:rsidRPr="007B36B3">
        <w:rPr>
          <w:b/>
          <w:szCs w:val="24"/>
        </w:rPr>
        <w:t xml:space="preserve">Americas </w:t>
      </w:r>
      <w:r w:rsidR="008614FC">
        <w:rPr>
          <w:szCs w:val="24"/>
        </w:rPr>
        <w:t xml:space="preserve">and </w:t>
      </w:r>
      <w:r w:rsidR="008614FC" w:rsidRPr="007B36B3">
        <w:rPr>
          <w:b/>
          <w:szCs w:val="24"/>
        </w:rPr>
        <w:t>Europe</w:t>
      </w:r>
      <w:r w:rsidR="008614FC">
        <w:rPr>
          <w:szCs w:val="24"/>
        </w:rPr>
        <w:t>, i</w:t>
      </w:r>
      <w:r w:rsidR="00B6374F" w:rsidRPr="00791B42">
        <w:rPr>
          <w:szCs w:val="24"/>
        </w:rPr>
        <w:t xml:space="preserve">n all regions of the world there was strong growth in mobile broadband service, with the greatest occurring in the three regions that started from the lowest base: </w:t>
      </w:r>
      <w:r w:rsidR="00B6374F" w:rsidRPr="007B36B3">
        <w:rPr>
          <w:b/>
          <w:szCs w:val="24"/>
        </w:rPr>
        <w:t>Asia and the Pacific</w:t>
      </w:r>
      <w:r w:rsidR="00B6374F" w:rsidRPr="00791B42">
        <w:rPr>
          <w:szCs w:val="24"/>
        </w:rPr>
        <w:t xml:space="preserve">, the </w:t>
      </w:r>
      <w:r w:rsidR="00B6374F" w:rsidRPr="007B36B3">
        <w:rPr>
          <w:b/>
          <w:szCs w:val="24"/>
        </w:rPr>
        <w:t>Arab States</w:t>
      </w:r>
      <w:r w:rsidR="00B6374F" w:rsidRPr="00791B42">
        <w:rPr>
          <w:szCs w:val="24"/>
        </w:rPr>
        <w:t xml:space="preserve"> and </w:t>
      </w:r>
      <w:r w:rsidR="00B6374F" w:rsidRPr="007B36B3">
        <w:rPr>
          <w:b/>
          <w:szCs w:val="24"/>
        </w:rPr>
        <w:t>Africa</w:t>
      </w:r>
      <w:r w:rsidR="00B6374F" w:rsidRPr="00791B42">
        <w:rPr>
          <w:szCs w:val="24"/>
        </w:rPr>
        <w:t>.</w:t>
      </w:r>
      <w:r w:rsidR="00B6374F">
        <w:rPr>
          <w:szCs w:val="24"/>
        </w:rPr>
        <w:t xml:space="preserve"> </w:t>
      </w:r>
      <w:r w:rsidR="00B6374F" w:rsidRPr="00791B42">
        <w:rPr>
          <w:szCs w:val="24"/>
        </w:rPr>
        <w:t xml:space="preserve">Fixed telephone penetration rates declined in all regions of the world while the growth rate for fixed broadband subscriptions </w:t>
      </w:r>
      <w:r w:rsidR="008614FC">
        <w:rPr>
          <w:szCs w:val="24"/>
        </w:rPr>
        <w:t xml:space="preserve">in developing countries </w:t>
      </w:r>
      <w:r w:rsidR="00B6374F" w:rsidRPr="00791B42">
        <w:rPr>
          <w:szCs w:val="24"/>
        </w:rPr>
        <w:t xml:space="preserve">accelerated in the last five years, reaching 10.4 subscriptions per 100 inhabitants in 2018. The strongest growth rates in the percentage of households with a computer were observed in the </w:t>
      </w:r>
      <w:r w:rsidR="00B6374F" w:rsidRPr="007B36B3">
        <w:rPr>
          <w:b/>
          <w:szCs w:val="24"/>
        </w:rPr>
        <w:t>Arab States</w:t>
      </w:r>
      <w:r w:rsidR="00B6374F" w:rsidRPr="00791B42">
        <w:rPr>
          <w:szCs w:val="24"/>
        </w:rPr>
        <w:t xml:space="preserve"> and the </w:t>
      </w:r>
      <w:r w:rsidR="00B6374F" w:rsidRPr="007B36B3">
        <w:rPr>
          <w:b/>
          <w:szCs w:val="24"/>
        </w:rPr>
        <w:t>CIS region</w:t>
      </w:r>
      <w:r w:rsidR="00B6374F" w:rsidRPr="00791B42">
        <w:rPr>
          <w:szCs w:val="24"/>
        </w:rPr>
        <w:t>.</w:t>
      </w:r>
      <w:r w:rsidR="00070DBE">
        <w:rPr>
          <w:szCs w:val="24"/>
        </w:rPr>
        <w:t xml:space="preserve"> </w:t>
      </w:r>
      <w:r w:rsidR="00B6374F" w:rsidRPr="00791B42">
        <w:rPr>
          <w:szCs w:val="24"/>
        </w:rPr>
        <w:t xml:space="preserve">In the </w:t>
      </w:r>
      <w:r w:rsidR="00B6374F" w:rsidRPr="007B36B3">
        <w:rPr>
          <w:b/>
          <w:szCs w:val="24"/>
        </w:rPr>
        <w:t xml:space="preserve">Africa </w:t>
      </w:r>
      <w:r w:rsidR="00B6374F" w:rsidRPr="00791B42">
        <w:rPr>
          <w:szCs w:val="24"/>
        </w:rPr>
        <w:t>region, the proportion of households with access to a computer increased from 3.6 per</w:t>
      </w:r>
      <w:r w:rsidR="008943E1">
        <w:rPr>
          <w:szCs w:val="24"/>
        </w:rPr>
        <w:t xml:space="preserve"> </w:t>
      </w:r>
      <w:r w:rsidR="00B6374F" w:rsidRPr="00791B42">
        <w:rPr>
          <w:szCs w:val="24"/>
        </w:rPr>
        <w:t>cent in 2005 to 9.2 per cent in 2018.</w:t>
      </w:r>
      <w:r w:rsidR="00B6374F">
        <w:rPr>
          <w:szCs w:val="24"/>
        </w:rPr>
        <w:t xml:space="preserve"> </w:t>
      </w:r>
      <w:r w:rsidR="00B6374F" w:rsidRPr="00B6374F">
        <w:rPr>
          <w:rFonts w:eastAsia="SimSun" w:cstheme="minorHAnsi"/>
          <w:szCs w:val="24"/>
        </w:rPr>
        <w:t xml:space="preserve">In all regions there has been an increase in the demand for digitally skilled workers coinciding with an inability of most countries to develop the requisite skills at the </w:t>
      </w:r>
      <w:r w:rsidR="00B6374F">
        <w:rPr>
          <w:rFonts w:eastAsia="SimSun" w:cstheme="minorHAnsi"/>
          <w:szCs w:val="24"/>
        </w:rPr>
        <w:t xml:space="preserve">required </w:t>
      </w:r>
      <w:r w:rsidR="00B6374F" w:rsidRPr="00B6374F">
        <w:rPr>
          <w:rFonts w:eastAsia="SimSun" w:cstheme="minorHAnsi"/>
          <w:szCs w:val="24"/>
        </w:rPr>
        <w:t xml:space="preserve">pace, and </w:t>
      </w:r>
      <w:r w:rsidR="00B6374F" w:rsidRPr="00B6374F">
        <w:rPr>
          <w:rFonts w:eastAsia="Batang" w:cstheme="minorHAnsi"/>
          <w:szCs w:val="24"/>
        </w:rPr>
        <w:t xml:space="preserve">while Internet access </w:t>
      </w:r>
      <w:r w:rsidR="006E3855">
        <w:rPr>
          <w:rFonts w:eastAsia="Batang" w:cstheme="minorHAnsi"/>
          <w:szCs w:val="24"/>
        </w:rPr>
        <w:t xml:space="preserve">and use </w:t>
      </w:r>
      <w:r w:rsidR="00B6374F" w:rsidRPr="00B6374F">
        <w:rPr>
          <w:rFonts w:eastAsia="Batang" w:cstheme="minorHAnsi"/>
          <w:szCs w:val="24"/>
        </w:rPr>
        <w:t xml:space="preserve">has increased substantially as mentioned above, </w:t>
      </w:r>
      <w:r w:rsidR="00B6374F" w:rsidRPr="00B6374F">
        <w:rPr>
          <w:rFonts w:cstheme="minorHAnsi"/>
          <w:szCs w:val="24"/>
        </w:rPr>
        <w:t xml:space="preserve">800 million people in </w:t>
      </w:r>
      <w:r w:rsidR="008F64DE">
        <w:rPr>
          <w:rFonts w:cstheme="minorHAnsi"/>
          <w:szCs w:val="24"/>
        </w:rPr>
        <w:t>the least developed countries (</w:t>
      </w:r>
      <w:r w:rsidR="00B6374F" w:rsidRPr="00B6374F">
        <w:rPr>
          <w:rFonts w:cstheme="minorHAnsi"/>
          <w:szCs w:val="24"/>
        </w:rPr>
        <w:t>LDCs</w:t>
      </w:r>
      <w:r w:rsidR="008F64DE">
        <w:rPr>
          <w:rFonts w:cstheme="minorHAnsi"/>
          <w:szCs w:val="24"/>
        </w:rPr>
        <w:t>)</w:t>
      </w:r>
      <w:r w:rsidR="00B6374F" w:rsidRPr="00B6374F">
        <w:rPr>
          <w:rFonts w:cstheme="minorHAnsi"/>
          <w:szCs w:val="24"/>
        </w:rPr>
        <w:t xml:space="preserve"> </w:t>
      </w:r>
      <w:r w:rsidR="008614FC">
        <w:rPr>
          <w:rFonts w:cstheme="minorHAnsi"/>
          <w:szCs w:val="24"/>
        </w:rPr>
        <w:t xml:space="preserve">still remain </w:t>
      </w:r>
      <w:r w:rsidR="00B6374F" w:rsidRPr="00B6374F">
        <w:rPr>
          <w:rFonts w:cstheme="minorHAnsi"/>
          <w:szCs w:val="24"/>
        </w:rPr>
        <w:t>unconnected.</w:t>
      </w:r>
      <w:r w:rsidR="00B95A39">
        <w:rPr>
          <w:szCs w:val="24"/>
        </w:rPr>
        <w:t xml:space="preserve"> </w:t>
      </w:r>
      <w:r>
        <w:t>In this context, TDAG</w:t>
      </w:r>
      <w:r w:rsidR="0069177D">
        <w:t xml:space="preserve"> </w:t>
      </w:r>
      <w:r w:rsidR="006E3855">
        <w:t>assembled</w:t>
      </w:r>
      <w:r w:rsidR="008F64DE">
        <w:t xml:space="preserve"> to </w:t>
      </w:r>
      <w:r>
        <w:t>review</w:t>
      </w:r>
      <w:r w:rsidR="008F64DE">
        <w:t xml:space="preserve"> </w:t>
      </w:r>
      <w:r>
        <w:t xml:space="preserve">ITU-D </w:t>
      </w:r>
      <w:r>
        <w:lastRenderedPageBreak/>
        <w:t>activities and goals</w:t>
      </w:r>
      <w:r w:rsidR="00B6374F">
        <w:t xml:space="preserve"> designed to bridge the gap in ICT access, connectivity and service</w:t>
      </w:r>
      <w:r w:rsidR="008614FC">
        <w:t>,</w:t>
      </w:r>
      <w:r>
        <w:t xml:space="preserve"> an</w:t>
      </w:r>
      <w:r w:rsidR="008E2757">
        <w:t xml:space="preserve">d </w:t>
      </w:r>
      <w:r>
        <w:t>provide</w:t>
      </w:r>
      <w:r w:rsidR="008E2757">
        <w:t>d</w:t>
      </w:r>
      <w:r>
        <w:t xml:space="preserve"> advice to the BDT Director as indicated in this report.</w:t>
      </w:r>
    </w:p>
    <w:p w:rsidR="002B0955" w:rsidRPr="006052D5" w:rsidRDefault="002B0955" w:rsidP="00BA4719">
      <w:pPr>
        <w:rPr>
          <w:rFonts w:cstheme="minorBidi"/>
          <w:color w:val="000000" w:themeColor="text1"/>
          <w:lang w:val="en-US"/>
        </w:rPr>
      </w:pPr>
      <w:r>
        <w:rPr>
          <w:rFonts w:eastAsia="Calibri" w:cs="Calibri"/>
        </w:rPr>
        <w:t>Among other things, TDAG-1</w:t>
      </w:r>
      <w:r w:rsidR="00BA4719">
        <w:rPr>
          <w:rFonts w:eastAsia="Calibri" w:cs="Calibri"/>
        </w:rPr>
        <w:t>9</w:t>
      </w:r>
      <w:r>
        <w:rPr>
          <w:rFonts w:eastAsia="Calibri" w:cs="Calibri"/>
        </w:rPr>
        <w:t>:</w:t>
      </w:r>
    </w:p>
    <w:p w:rsidR="002B0955" w:rsidRDefault="00920758">
      <w:pPr>
        <w:pStyle w:val="ListParagraph"/>
        <w:numPr>
          <w:ilvl w:val="0"/>
          <w:numId w:val="22"/>
        </w:numPr>
        <w:ind w:left="714" w:hanging="357"/>
        <w:rPr>
          <w:rFonts w:cstheme="minorBidi"/>
          <w:color w:val="000000" w:themeColor="text1"/>
          <w:lang w:val="en-US"/>
        </w:rPr>
      </w:pPr>
      <w:r>
        <w:rPr>
          <w:rFonts w:eastAsia="Calibri" w:cs="Calibri"/>
        </w:rPr>
        <w:t>Endors</w:t>
      </w:r>
      <w:r w:rsidR="002B0955" w:rsidRPr="000B129C">
        <w:rPr>
          <w:rFonts w:eastAsia="Calibri" w:cs="Calibri"/>
        </w:rPr>
        <w:t xml:space="preserve">ed the </w:t>
      </w:r>
      <w:r w:rsidR="002B0955" w:rsidRPr="000B129C">
        <w:rPr>
          <w:rFonts w:cstheme="minorBidi"/>
          <w:color w:val="000000" w:themeColor="text1"/>
          <w:lang w:val="en-US"/>
        </w:rPr>
        <w:t>ITU-D four-year rolling Operational Plan 20</w:t>
      </w:r>
      <w:r w:rsidR="002B0955">
        <w:rPr>
          <w:rFonts w:cstheme="minorBidi"/>
          <w:color w:val="000000" w:themeColor="text1"/>
          <w:lang w:val="en-US"/>
        </w:rPr>
        <w:t>20</w:t>
      </w:r>
      <w:r w:rsidR="002B0955" w:rsidRPr="000B129C">
        <w:rPr>
          <w:rFonts w:cstheme="minorBidi"/>
          <w:color w:val="000000" w:themeColor="text1"/>
          <w:lang w:val="en-US"/>
        </w:rPr>
        <w:t>-202</w:t>
      </w:r>
      <w:r w:rsidR="002B0955">
        <w:rPr>
          <w:rFonts w:cstheme="minorBidi"/>
          <w:color w:val="000000" w:themeColor="text1"/>
          <w:lang w:val="en-US"/>
        </w:rPr>
        <w:t>3</w:t>
      </w:r>
      <w:r w:rsidR="008943E1">
        <w:rPr>
          <w:rFonts w:cstheme="minorBidi"/>
          <w:color w:val="000000" w:themeColor="text1"/>
          <w:lang w:val="en-US"/>
        </w:rPr>
        <w:t>.</w:t>
      </w:r>
    </w:p>
    <w:p w:rsidR="00DA055C" w:rsidRPr="007B36B3" w:rsidRDefault="00DA055C">
      <w:pPr>
        <w:pStyle w:val="ListParagraph"/>
        <w:numPr>
          <w:ilvl w:val="0"/>
          <w:numId w:val="22"/>
        </w:numPr>
        <w:ind w:left="714" w:hanging="357"/>
        <w:rPr>
          <w:rFonts w:cstheme="minorBidi"/>
          <w:color w:val="000000" w:themeColor="text1"/>
          <w:lang w:val="en-US"/>
        </w:rPr>
      </w:pPr>
      <w:r>
        <w:rPr>
          <w:rFonts w:eastAsia="Calibri" w:cs="Calibri"/>
        </w:rPr>
        <w:t>Supported</w:t>
      </w:r>
      <w:r w:rsidRPr="00957B6C">
        <w:rPr>
          <w:rFonts w:eastAsia="Calibri" w:cs="Calibri"/>
        </w:rPr>
        <w:t xml:space="preserve"> the BDT Director’s strategy </w:t>
      </w:r>
      <w:r>
        <w:rPr>
          <w:rFonts w:eastAsia="Calibri" w:cs="Calibri"/>
        </w:rPr>
        <w:t>t</w:t>
      </w:r>
      <w:r w:rsidRPr="00957B6C">
        <w:rPr>
          <w:rFonts w:eastAsia="Calibri" w:cs="Calibri"/>
        </w:rPr>
        <w:t>o cluste</w:t>
      </w:r>
      <w:r>
        <w:rPr>
          <w:rFonts w:eastAsia="Calibri" w:cs="Calibri"/>
        </w:rPr>
        <w:t>r</w:t>
      </w:r>
      <w:r w:rsidRPr="00957B6C">
        <w:rPr>
          <w:rFonts w:eastAsia="Calibri" w:cs="Calibri"/>
        </w:rPr>
        <w:t xml:space="preserve"> topics </w:t>
      </w:r>
      <w:r>
        <w:rPr>
          <w:rFonts w:eastAsia="Calibri" w:cs="Calibri"/>
        </w:rPr>
        <w:t>in line with</w:t>
      </w:r>
      <w:r w:rsidRPr="00957B6C">
        <w:rPr>
          <w:rFonts w:eastAsia="Calibri" w:cs="Calibri"/>
        </w:rPr>
        <w:t xml:space="preserve"> WTDC-17 and PP-18</w:t>
      </w:r>
      <w:r w:rsidR="008943E1">
        <w:rPr>
          <w:rFonts w:eastAsia="Calibri" w:cs="Calibri"/>
        </w:rPr>
        <w:t>.</w:t>
      </w:r>
    </w:p>
    <w:p w:rsidR="003F186F" w:rsidRPr="007B36B3" w:rsidRDefault="00333762">
      <w:pPr>
        <w:pStyle w:val="ListParagraph"/>
        <w:numPr>
          <w:ilvl w:val="0"/>
          <w:numId w:val="22"/>
        </w:numPr>
        <w:ind w:left="714" w:hanging="357"/>
        <w:rPr>
          <w:rFonts w:cstheme="minorBidi"/>
          <w:b/>
          <w:bCs/>
          <w:lang w:val="en-US"/>
        </w:rPr>
      </w:pPr>
      <w:r>
        <w:rPr>
          <w:rFonts w:ascii="Calibri" w:eastAsia="Calibri" w:hAnsi="Calibri"/>
          <w:color w:val="000000" w:themeColor="text1"/>
          <w:lang w:val="en-US"/>
        </w:rPr>
        <w:t>A</w:t>
      </w:r>
      <w:r w:rsidRPr="000B129C">
        <w:rPr>
          <w:rFonts w:ascii="Calibri" w:eastAsia="Calibri" w:hAnsi="Calibri"/>
          <w:color w:val="000000" w:themeColor="text1"/>
          <w:lang w:val="en-US"/>
        </w:rPr>
        <w:t>ppointed</w:t>
      </w:r>
      <w:r w:rsidR="00176B56">
        <w:rPr>
          <w:rFonts w:ascii="Calibri" w:eastAsia="Calibri" w:hAnsi="Calibri"/>
          <w:color w:val="000000" w:themeColor="text1"/>
          <w:lang w:val="en-US"/>
        </w:rPr>
        <w:t xml:space="preserve"> </w:t>
      </w:r>
      <w:r w:rsidR="00723802">
        <w:rPr>
          <w:rFonts w:ascii="Calibri" w:eastAsia="Calibri" w:hAnsi="Calibri"/>
          <w:color w:val="000000" w:themeColor="text1"/>
          <w:lang w:val="en-US"/>
        </w:rPr>
        <w:t xml:space="preserve">individuals </w:t>
      </w:r>
      <w:r w:rsidR="00176B56">
        <w:rPr>
          <w:rFonts w:ascii="Calibri" w:eastAsia="Calibri" w:hAnsi="Calibri"/>
          <w:color w:val="000000" w:themeColor="text1"/>
          <w:lang w:val="en-US"/>
        </w:rPr>
        <w:t xml:space="preserve">to serve </w:t>
      </w:r>
      <w:r w:rsidR="00176B56" w:rsidRPr="005E09F3">
        <w:rPr>
          <w:rFonts w:ascii="Calibri" w:eastAsia="Calibri" w:hAnsi="Calibri"/>
          <w:color w:val="000000" w:themeColor="text1"/>
          <w:lang w:val="en-US"/>
        </w:rPr>
        <w:t>i</w:t>
      </w:r>
      <w:r w:rsidR="00A32522" w:rsidRPr="007B36B3">
        <w:rPr>
          <w:rFonts w:ascii="Calibri" w:eastAsia="Calibri" w:hAnsi="Calibri"/>
          <w:color w:val="000000" w:themeColor="text1"/>
          <w:lang w:val="en-US"/>
        </w:rPr>
        <w:t>n</w:t>
      </w:r>
      <w:r w:rsidR="00DA055C" w:rsidRPr="001B43E9">
        <w:rPr>
          <w:rFonts w:ascii="Calibri" w:eastAsia="Calibri" w:hAnsi="Calibri"/>
          <w:color w:val="000000" w:themeColor="text1"/>
          <w:lang w:val="en-US"/>
        </w:rPr>
        <w:t xml:space="preserve"> </w:t>
      </w:r>
      <w:r w:rsidR="00723802" w:rsidRPr="001B43E9">
        <w:rPr>
          <w:rFonts w:ascii="Calibri" w:eastAsia="Calibri" w:hAnsi="Calibri"/>
          <w:color w:val="000000" w:themeColor="text1"/>
          <w:lang w:val="en-US"/>
        </w:rPr>
        <w:t>leadership</w:t>
      </w:r>
      <w:r w:rsidR="00723802">
        <w:rPr>
          <w:rFonts w:ascii="Calibri" w:eastAsia="Calibri" w:hAnsi="Calibri"/>
          <w:color w:val="000000" w:themeColor="text1"/>
          <w:lang w:val="en-US"/>
        </w:rPr>
        <w:t xml:space="preserve"> positions </w:t>
      </w:r>
      <w:r w:rsidR="00A32522">
        <w:rPr>
          <w:rFonts w:ascii="Calibri" w:eastAsia="Calibri" w:hAnsi="Calibri"/>
          <w:color w:val="000000" w:themeColor="text1"/>
          <w:lang w:val="en-US"/>
        </w:rPr>
        <w:t xml:space="preserve">to </w:t>
      </w:r>
      <w:r w:rsidR="00A32522" w:rsidRPr="007B36B3">
        <w:rPr>
          <w:rFonts w:ascii="Calibri" w:eastAsia="Calibri" w:hAnsi="Calibri"/>
          <w:color w:val="000000" w:themeColor="text1"/>
          <w:lang w:val="en-US"/>
        </w:rPr>
        <w:t>re</w:t>
      </w:r>
      <w:r w:rsidR="00176B56" w:rsidRPr="005E09F3">
        <w:rPr>
          <w:rFonts w:ascii="Calibri" w:eastAsia="Calibri" w:hAnsi="Calibri"/>
          <w:color w:val="000000" w:themeColor="text1"/>
          <w:lang w:val="en-US"/>
        </w:rPr>
        <w:t xml:space="preserve">place </w:t>
      </w:r>
      <w:r w:rsidR="00112F6A" w:rsidRPr="001B43E9">
        <w:rPr>
          <w:rFonts w:ascii="Calibri" w:eastAsia="Calibri" w:hAnsi="Calibri"/>
          <w:color w:val="000000" w:themeColor="text1"/>
          <w:lang w:val="en-US"/>
        </w:rPr>
        <w:t>those</w:t>
      </w:r>
      <w:r w:rsidR="00176B56" w:rsidRPr="001B43E9">
        <w:rPr>
          <w:rFonts w:ascii="Calibri" w:eastAsia="Calibri" w:hAnsi="Calibri"/>
          <w:color w:val="000000" w:themeColor="text1"/>
          <w:lang w:val="en-US"/>
        </w:rPr>
        <w:t xml:space="preserve"> who had stepped d</w:t>
      </w:r>
      <w:r w:rsidR="005079D0" w:rsidRPr="007B36B3">
        <w:rPr>
          <w:rFonts w:ascii="Calibri" w:eastAsia="Calibri" w:hAnsi="Calibri"/>
          <w:color w:val="000000" w:themeColor="text1"/>
          <w:lang w:val="en-US"/>
        </w:rPr>
        <w:t>own</w:t>
      </w:r>
      <w:r w:rsidR="00176B56" w:rsidRPr="00BF5B1F">
        <w:rPr>
          <w:rFonts w:ascii="Calibri" w:eastAsia="Calibri" w:hAnsi="Calibri"/>
          <w:color w:val="000000" w:themeColor="text1"/>
          <w:lang w:val="en-US"/>
        </w:rPr>
        <w:t>:</w:t>
      </w:r>
      <w:r w:rsidR="00176B56">
        <w:rPr>
          <w:rFonts w:ascii="Calibri" w:eastAsia="Calibri" w:hAnsi="Calibri"/>
          <w:color w:val="000000" w:themeColor="text1"/>
          <w:lang w:val="en-US"/>
        </w:rPr>
        <w:t xml:space="preserve"> </w:t>
      </w:r>
      <w:r w:rsidR="00A819EB" w:rsidRPr="005E7D25">
        <w:rPr>
          <w:szCs w:val="24"/>
        </w:rPr>
        <w:t>Ms</w:t>
      </w:r>
      <w:r w:rsidR="00A819EB">
        <w:rPr>
          <w:szCs w:val="24"/>
        </w:rPr>
        <w:t xml:space="preserve"> </w:t>
      </w:r>
      <w:r w:rsidR="00A819EB" w:rsidRPr="005E7D25">
        <w:rPr>
          <w:szCs w:val="24"/>
        </w:rPr>
        <w:t xml:space="preserve">Amparo </w:t>
      </w:r>
      <w:proofErr w:type="spellStart"/>
      <w:r w:rsidR="00A819EB" w:rsidRPr="005E7D25">
        <w:rPr>
          <w:szCs w:val="24"/>
        </w:rPr>
        <w:t>Arango</w:t>
      </w:r>
      <w:proofErr w:type="spellEnd"/>
      <w:r w:rsidR="00A819EB" w:rsidRPr="005E7D25">
        <w:rPr>
          <w:szCs w:val="24"/>
        </w:rPr>
        <w:t xml:space="preserve"> </w:t>
      </w:r>
      <w:proofErr w:type="spellStart"/>
      <w:r w:rsidR="00A819EB" w:rsidRPr="005E7D25">
        <w:rPr>
          <w:szCs w:val="24"/>
        </w:rPr>
        <w:t>Echeverri</w:t>
      </w:r>
      <w:proofErr w:type="spellEnd"/>
      <w:r w:rsidR="003F186F">
        <w:rPr>
          <w:rFonts w:ascii="Calibri" w:eastAsia="Calibri" w:hAnsi="Calibri"/>
          <w:color w:val="000000" w:themeColor="text1"/>
          <w:lang w:val="en-US"/>
        </w:rPr>
        <w:t xml:space="preserve"> </w:t>
      </w:r>
      <w:r w:rsidRPr="006052D5">
        <w:rPr>
          <w:rFonts w:cstheme="minorHAnsi"/>
          <w:color w:val="000000"/>
          <w:szCs w:val="24"/>
          <w:shd w:val="clear" w:color="auto" w:fill="FFFFFF"/>
          <w:lang w:val="en-US"/>
        </w:rPr>
        <w:t>(</w:t>
      </w:r>
      <w:r w:rsidR="00A819EB">
        <w:rPr>
          <w:rFonts w:cstheme="minorHAnsi"/>
          <w:b/>
          <w:color w:val="000000"/>
          <w:szCs w:val="24"/>
          <w:shd w:val="clear" w:color="auto" w:fill="FFFFFF"/>
          <w:lang w:val="en-US"/>
        </w:rPr>
        <w:t>Dominican Republic</w:t>
      </w:r>
      <w:r w:rsidRPr="006052D5">
        <w:rPr>
          <w:rFonts w:cstheme="minorHAnsi"/>
          <w:color w:val="000000"/>
          <w:szCs w:val="24"/>
          <w:shd w:val="clear" w:color="auto" w:fill="FFFFFF"/>
          <w:lang w:val="en-US"/>
        </w:rPr>
        <w:t>)</w:t>
      </w:r>
      <w:r w:rsidR="00BA4719">
        <w:rPr>
          <w:rFonts w:ascii="Calibri" w:eastAsia="Calibri" w:hAnsi="Calibri"/>
          <w:color w:val="000000" w:themeColor="text1"/>
          <w:lang w:val="en-US"/>
        </w:rPr>
        <w:t xml:space="preserve"> </w:t>
      </w:r>
      <w:r w:rsidR="00176B56">
        <w:rPr>
          <w:rFonts w:ascii="Calibri" w:eastAsia="Calibri" w:hAnsi="Calibri"/>
          <w:color w:val="000000" w:themeColor="text1"/>
          <w:lang w:val="en-US"/>
        </w:rPr>
        <w:t xml:space="preserve">and </w:t>
      </w:r>
      <w:r w:rsidR="00A819EB" w:rsidRPr="00176B56">
        <w:rPr>
          <w:szCs w:val="24"/>
        </w:rPr>
        <w:t xml:space="preserve">Ms </w:t>
      </w:r>
      <w:proofErr w:type="spellStart"/>
      <w:r w:rsidR="00A819EB" w:rsidRPr="00176B56">
        <w:rPr>
          <w:szCs w:val="24"/>
        </w:rPr>
        <w:t>Aichurok</w:t>
      </w:r>
      <w:proofErr w:type="spellEnd"/>
      <w:r w:rsidR="00A819EB" w:rsidRPr="00176B56">
        <w:rPr>
          <w:szCs w:val="24"/>
        </w:rPr>
        <w:t xml:space="preserve"> </w:t>
      </w:r>
      <w:proofErr w:type="spellStart"/>
      <w:r w:rsidR="00A819EB" w:rsidRPr="00176B56">
        <w:rPr>
          <w:szCs w:val="24"/>
        </w:rPr>
        <w:t>Maralbek</w:t>
      </w:r>
      <w:proofErr w:type="spellEnd"/>
      <w:r w:rsidR="00A819EB" w:rsidRPr="00176B56">
        <w:rPr>
          <w:szCs w:val="24"/>
        </w:rPr>
        <w:t xml:space="preserve"> </w:t>
      </w:r>
      <w:proofErr w:type="spellStart"/>
      <w:r w:rsidR="00A819EB" w:rsidRPr="00176B56">
        <w:rPr>
          <w:szCs w:val="24"/>
        </w:rPr>
        <w:t>Kyzy</w:t>
      </w:r>
      <w:proofErr w:type="spellEnd"/>
      <w:r w:rsidR="00A819EB" w:rsidRPr="00176B56">
        <w:rPr>
          <w:szCs w:val="24"/>
        </w:rPr>
        <w:t xml:space="preserve"> (</w:t>
      </w:r>
      <w:r w:rsidR="00A819EB" w:rsidRPr="00176B56">
        <w:rPr>
          <w:b/>
          <w:bCs/>
          <w:szCs w:val="24"/>
        </w:rPr>
        <w:t>Kyrgyz Republic</w:t>
      </w:r>
      <w:r w:rsidR="00A819EB" w:rsidRPr="00176B56">
        <w:rPr>
          <w:szCs w:val="24"/>
        </w:rPr>
        <w:t>)</w:t>
      </w:r>
      <w:r w:rsidR="00112F6A">
        <w:rPr>
          <w:szCs w:val="24"/>
        </w:rPr>
        <w:t xml:space="preserve"> to serve as TDAG Vice</w:t>
      </w:r>
      <w:r w:rsidR="008943E1">
        <w:rPr>
          <w:szCs w:val="24"/>
        </w:rPr>
        <w:t>-</w:t>
      </w:r>
      <w:r w:rsidR="00112F6A">
        <w:rPr>
          <w:szCs w:val="24"/>
        </w:rPr>
        <w:t xml:space="preserve">Chairmen; </w:t>
      </w:r>
      <w:r w:rsidR="002B0955" w:rsidRPr="00112F6A">
        <w:rPr>
          <w:rFonts w:eastAsia="Calibri" w:cs="Calibri"/>
        </w:rPr>
        <w:t xml:space="preserve">Mr </w:t>
      </w:r>
      <w:r w:rsidRPr="00112F6A">
        <w:rPr>
          <w:rFonts w:eastAsia="Calibri" w:cs="Calibri"/>
        </w:rPr>
        <w:t>Al-</w:t>
      </w:r>
      <w:proofErr w:type="spellStart"/>
      <w:r w:rsidRPr="00112F6A">
        <w:rPr>
          <w:rFonts w:eastAsia="Calibri" w:cs="Calibri"/>
        </w:rPr>
        <w:t>ansari</w:t>
      </w:r>
      <w:proofErr w:type="spellEnd"/>
      <w:r w:rsidRPr="00112F6A">
        <w:rPr>
          <w:rFonts w:eastAsia="Calibri" w:cs="Calibri"/>
        </w:rPr>
        <w:t xml:space="preserve"> </w:t>
      </w:r>
      <w:proofErr w:type="spellStart"/>
      <w:r w:rsidR="003F186F" w:rsidRPr="00112F6A">
        <w:rPr>
          <w:rFonts w:cstheme="minorHAnsi"/>
          <w:color w:val="000000"/>
          <w:szCs w:val="24"/>
          <w:shd w:val="clear" w:color="auto" w:fill="FFFFFF"/>
          <w:lang w:val="en-US"/>
        </w:rPr>
        <w:t>Almashakbeh</w:t>
      </w:r>
      <w:proofErr w:type="spellEnd"/>
      <w:r w:rsidR="003F186F" w:rsidRPr="00112F6A">
        <w:rPr>
          <w:rFonts w:eastAsia="Calibri" w:cs="Calibri"/>
        </w:rPr>
        <w:t xml:space="preserve"> </w:t>
      </w:r>
      <w:r w:rsidR="002B0955" w:rsidRPr="00112F6A">
        <w:rPr>
          <w:rFonts w:eastAsia="Calibri" w:cs="Calibri"/>
        </w:rPr>
        <w:t>(</w:t>
      </w:r>
      <w:r w:rsidRPr="00112F6A">
        <w:rPr>
          <w:rFonts w:eastAsia="Calibri" w:cs="Calibri"/>
          <w:b/>
        </w:rPr>
        <w:t>Jordan</w:t>
      </w:r>
      <w:r w:rsidR="002B0955" w:rsidRPr="00112F6A">
        <w:rPr>
          <w:rFonts w:eastAsia="Calibri" w:cs="Calibri"/>
        </w:rPr>
        <w:t xml:space="preserve">) to </w:t>
      </w:r>
      <w:r w:rsidR="002126D2" w:rsidRPr="00112F6A">
        <w:rPr>
          <w:rFonts w:eastAsia="Calibri" w:cs="Calibri"/>
        </w:rPr>
        <w:t>serve as</w:t>
      </w:r>
      <w:r w:rsidR="002B0955" w:rsidRPr="00112F6A">
        <w:rPr>
          <w:rFonts w:eastAsia="Calibri" w:cs="Calibri"/>
        </w:rPr>
        <w:t xml:space="preserve"> </w:t>
      </w:r>
      <w:r w:rsidR="003B5154" w:rsidRPr="00112F6A">
        <w:rPr>
          <w:rFonts w:eastAsia="Calibri" w:cs="Calibri"/>
        </w:rPr>
        <w:t xml:space="preserve">a </w:t>
      </w:r>
      <w:r w:rsidR="002B0955" w:rsidRPr="00112F6A">
        <w:rPr>
          <w:rFonts w:eastAsia="Calibri" w:cs="Calibri"/>
        </w:rPr>
        <w:t>TDAG representative to the I</w:t>
      </w:r>
      <w:r w:rsidR="005B696A" w:rsidRPr="007B36B3">
        <w:rPr>
          <w:rFonts w:eastAsia="Calibri" w:cs="Calibri"/>
        </w:rPr>
        <w:t xml:space="preserve">nter-Sector </w:t>
      </w:r>
      <w:r w:rsidR="002B0955" w:rsidRPr="00112F6A">
        <w:rPr>
          <w:rFonts w:eastAsia="Calibri" w:cs="Calibri"/>
        </w:rPr>
        <w:t>C</w:t>
      </w:r>
      <w:r w:rsidR="005B696A" w:rsidRPr="007B36B3">
        <w:rPr>
          <w:rFonts w:eastAsia="Calibri" w:cs="Calibri"/>
        </w:rPr>
        <w:t xml:space="preserve">oordination </w:t>
      </w:r>
      <w:r w:rsidR="00A819EB" w:rsidRPr="00112F6A">
        <w:rPr>
          <w:rFonts w:eastAsia="Calibri" w:cs="Calibri"/>
        </w:rPr>
        <w:t>G</w:t>
      </w:r>
      <w:r w:rsidR="005B696A" w:rsidRPr="007B36B3">
        <w:rPr>
          <w:rFonts w:eastAsia="Calibri" w:cs="Calibri"/>
        </w:rPr>
        <w:t>roup</w:t>
      </w:r>
      <w:r w:rsidR="005B696A" w:rsidRPr="00112F6A">
        <w:rPr>
          <w:rFonts w:eastAsia="Calibri" w:cs="Calibri"/>
        </w:rPr>
        <w:t>;</w:t>
      </w:r>
      <w:r w:rsidR="00112F6A">
        <w:rPr>
          <w:rFonts w:eastAsia="Calibri" w:cs="Calibri"/>
        </w:rPr>
        <w:t xml:space="preserve"> </w:t>
      </w:r>
      <w:r w:rsidR="002415A3" w:rsidRPr="004D22C2">
        <w:t xml:space="preserve">Ms Anastasia </w:t>
      </w:r>
      <w:proofErr w:type="spellStart"/>
      <w:r w:rsidR="002415A3" w:rsidRPr="004D22C2">
        <w:t>Sergeyevna</w:t>
      </w:r>
      <w:proofErr w:type="spellEnd"/>
      <w:r w:rsidR="002415A3" w:rsidRPr="004D22C2">
        <w:t xml:space="preserve"> </w:t>
      </w:r>
      <w:proofErr w:type="spellStart"/>
      <w:r w:rsidR="002415A3" w:rsidRPr="004D22C2">
        <w:t>Konukhova</w:t>
      </w:r>
      <w:proofErr w:type="spellEnd"/>
      <w:r w:rsidRPr="007B36B3">
        <w:rPr>
          <w:rFonts w:ascii="Calibri" w:eastAsia="Calibri" w:hAnsi="Calibri"/>
          <w:color w:val="000000" w:themeColor="text1"/>
          <w:lang w:val="en-US"/>
        </w:rPr>
        <w:t xml:space="preserve"> </w:t>
      </w:r>
      <w:r w:rsidR="002415A3" w:rsidRPr="007B36B3">
        <w:rPr>
          <w:rFonts w:ascii="Calibri" w:eastAsia="Calibri" w:hAnsi="Calibri"/>
          <w:color w:val="000000" w:themeColor="text1"/>
          <w:lang w:val="en-US"/>
        </w:rPr>
        <w:t>(</w:t>
      </w:r>
      <w:r w:rsidR="002415A3" w:rsidRPr="00112F6A">
        <w:rPr>
          <w:b/>
          <w:bCs/>
        </w:rPr>
        <w:t>Russian Federation</w:t>
      </w:r>
      <w:r w:rsidR="002415A3" w:rsidRPr="007B36B3">
        <w:rPr>
          <w:rFonts w:ascii="Calibri" w:eastAsia="Calibri" w:hAnsi="Calibri"/>
          <w:color w:val="000000" w:themeColor="text1"/>
          <w:lang w:val="en-US"/>
        </w:rPr>
        <w:t xml:space="preserve">) </w:t>
      </w:r>
      <w:r w:rsidR="006D53D6" w:rsidRPr="007B36B3">
        <w:rPr>
          <w:rFonts w:ascii="Calibri" w:eastAsia="Calibri" w:hAnsi="Calibri"/>
          <w:color w:val="000000" w:themeColor="text1"/>
          <w:lang w:val="en-US"/>
        </w:rPr>
        <w:t>to serve as</w:t>
      </w:r>
      <w:r w:rsidR="00070DBE">
        <w:rPr>
          <w:rFonts w:ascii="Calibri" w:eastAsia="Calibri" w:hAnsi="Calibri"/>
          <w:color w:val="000000" w:themeColor="text1"/>
          <w:lang w:val="en-US"/>
        </w:rPr>
        <w:t xml:space="preserve"> </w:t>
      </w:r>
      <w:r w:rsidR="002415A3" w:rsidRPr="007B36B3">
        <w:rPr>
          <w:rFonts w:ascii="Calibri" w:eastAsia="Calibri" w:hAnsi="Calibri"/>
          <w:color w:val="000000" w:themeColor="text1"/>
          <w:lang w:val="en-US"/>
        </w:rPr>
        <w:t xml:space="preserve">a </w:t>
      </w:r>
      <w:r w:rsidR="002B0955" w:rsidRPr="007B36B3">
        <w:rPr>
          <w:rFonts w:ascii="Calibri" w:eastAsia="Calibri" w:hAnsi="Calibri"/>
          <w:color w:val="000000" w:themeColor="text1"/>
          <w:lang w:val="en-US"/>
        </w:rPr>
        <w:t>Vice</w:t>
      </w:r>
      <w:r w:rsidR="00F11DA9" w:rsidRPr="007B36B3">
        <w:rPr>
          <w:rFonts w:ascii="Calibri" w:eastAsia="Calibri" w:hAnsi="Calibri"/>
          <w:color w:val="000000" w:themeColor="text1"/>
          <w:lang w:val="en-US"/>
        </w:rPr>
        <w:t>-</w:t>
      </w:r>
      <w:r w:rsidR="002B0955" w:rsidRPr="007B36B3">
        <w:rPr>
          <w:rFonts w:ascii="Calibri" w:eastAsia="Calibri" w:hAnsi="Calibri"/>
          <w:color w:val="000000" w:themeColor="text1"/>
          <w:lang w:val="en-US"/>
        </w:rPr>
        <w:t>Chair</w:t>
      </w:r>
      <w:r w:rsidR="002415A3" w:rsidRPr="007B36B3">
        <w:rPr>
          <w:rFonts w:ascii="Calibri" w:eastAsia="Calibri" w:hAnsi="Calibri"/>
          <w:color w:val="000000" w:themeColor="text1"/>
          <w:lang w:val="en-US"/>
        </w:rPr>
        <w:t xml:space="preserve">man </w:t>
      </w:r>
      <w:r w:rsidR="00176B56" w:rsidRPr="007B36B3">
        <w:rPr>
          <w:rFonts w:ascii="Calibri" w:eastAsia="Calibri" w:hAnsi="Calibri"/>
          <w:color w:val="000000" w:themeColor="text1"/>
          <w:lang w:val="en-US"/>
        </w:rPr>
        <w:t>in</w:t>
      </w:r>
      <w:r w:rsidR="002415A3" w:rsidRPr="007B36B3">
        <w:rPr>
          <w:rFonts w:ascii="Calibri" w:eastAsia="Calibri" w:hAnsi="Calibri"/>
          <w:color w:val="000000" w:themeColor="text1"/>
          <w:lang w:val="en-US"/>
        </w:rPr>
        <w:t xml:space="preserve"> Study Group 1,</w:t>
      </w:r>
      <w:r w:rsidR="00176B56" w:rsidRPr="007B36B3">
        <w:rPr>
          <w:rFonts w:ascii="Calibri" w:eastAsia="Calibri" w:hAnsi="Calibri"/>
          <w:color w:val="000000" w:themeColor="text1"/>
          <w:lang w:val="en-US"/>
        </w:rPr>
        <w:t xml:space="preserve"> and </w:t>
      </w:r>
      <w:r w:rsidR="002415A3" w:rsidRPr="00176B56">
        <w:rPr>
          <w:szCs w:val="24"/>
        </w:rPr>
        <w:t xml:space="preserve">Mr </w:t>
      </w:r>
      <w:proofErr w:type="spellStart"/>
      <w:r w:rsidR="002415A3" w:rsidRPr="00176B56">
        <w:rPr>
          <w:szCs w:val="24"/>
        </w:rPr>
        <w:t>Abdelaziz</w:t>
      </w:r>
      <w:proofErr w:type="spellEnd"/>
      <w:r w:rsidR="002415A3" w:rsidRPr="00176B56">
        <w:rPr>
          <w:szCs w:val="24"/>
        </w:rPr>
        <w:t xml:space="preserve"> </w:t>
      </w:r>
      <w:proofErr w:type="spellStart"/>
      <w:r w:rsidR="002415A3" w:rsidRPr="00176B56">
        <w:rPr>
          <w:szCs w:val="24"/>
        </w:rPr>
        <w:t>Alzarooni</w:t>
      </w:r>
      <w:proofErr w:type="spellEnd"/>
      <w:r w:rsidR="002415A3" w:rsidRPr="00112F6A">
        <w:rPr>
          <w:rFonts w:eastAsia="Calibri"/>
          <w:lang w:val="en-US"/>
        </w:rPr>
        <w:t xml:space="preserve"> (</w:t>
      </w:r>
      <w:r w:rsidR="002415A3" w:rsidRPr="00176B56">
        <w:rPr>
          <w:rFonts w:cstheme="minorBidi"/>
          <w:b/>
          <w:bCs/>
        </w:rPr>
        <w:t>United Arab Emirates</w:t>
      </w:r>
      <w:r w:rsidR="002415A3" w:rsidRPr="00112F6A">
        <w:rPr>
          <w:rFonts w:eastAsia="Calibri"/>
          <w:lang w:val="en-US"/>
        </w:rPr>
        <w:t xml:space="preserve">) to </w:t>
      </w:r>
      <w:r w:rsidR="006D53D6" w:rsidRPr="00112F6A">
        <w:rPr>
          <w:rFonts w:eastAsia="Calibri"/>
          <w:lang w:val="en-US"/>
        </w:rPr>
        <w:t>serve as a</w:t>
      </w:r>
      <w:r w:rsidR="002415A3" w:rsidRPr="00112F6A">
        <w:rPr>
          <w:rFonts w:eastAsia="Calibri"/>
          <w:lang w:val="en-US"/>
        </w:rPr>
        <w:t xml:space="preserve"> Vice</w:t>
      </w:r>
      <w:r w:rsidR="00F11DA9" w:rsidRPr="00112F6A">
        <w:rPr>
          <w:rFonts w:eastAsia="Calibri"/>
          <w:lang w:val="en-US"/>
        </w:rPr>
        <w:t>-</w:t>
      </w:r>
      <w:r w:rsidR="002415A3" w:rsidRPr="00112F6A">
        <w:rPr>
          <w:rFonts w:eastAsia="Calibri"/>
          <w:lang w:val="en-US"/>
        </w:rPr>
        <w:t xml:space="preserve">Chairman </w:t>
      </w:r>
      <w:r w:rsidR="00176B56">
        <w:rPr>
          <w:rFonts w:eastAsia="Calibri"/>
          <w:lang w:val="en-US"/>
        </w:rPr>
        <w:t>in</w:t>
      </w:r>
      <w:r w:rsidR="002415A3" w:rsidRPr="00112F6A">
        <w:rPr>
          <w:rFonts w:eastAsia="Calibri"/>
          <w:lang w:val="en-US"/>
        </w:rPr>
        <w:t xml:space="preserve"> Study Group 2</w:t>
      </w:r>
      <w:r w:rsidR="0071055B">
        <w:rPr>
          <w:rFonts w:eastAsia="Calibri"/>
          <w:lang w:val="en-US"/>
        </w:rPr>
        <w:t>.</w:t>
      </w:r>
    </w:p>
    <w:p w:rsidR="008F64DE" w:rsidRDefault="008F64DE">
      <w:pPr>
        <w:pStyle w:val="ListParagraph"/>
        <w:numPr>
          <w:ilvl w:val="0"/>
          <w:numId w:val="22"/>
        </w:numPr>
        <w:ind w:left="714" w:hanging="357"/>
        <w:rPr>
          <w:rFonts w:cstheme="minorBidi"/>
          <w:color w:val="000000" w:themeColor="text1"/>
          <w:lang w:val="en-US"/>
        </w:rPr>
      </w:pPr>
      <w:r>
        <w:rPr>
          <w:rFonts w:cstheme="minorBidi"/>
          <w:color w:val="000000" w:themeColor="text1"/>
          <w:lang w:val="en-US"/>
        </w:rPr>
        <w:t xml:space="preserve">Reviewed </w:t>
      </w:r>
      <w:r w:rsidR="006209A6">
        <w:rPr>
          <w:rFonts w:cstheme="minorBidi"/>
          <w:color w:val="000000" w:themeColor="text1"/>
          <w:lang w:val="en-US"/>
        </w:rPr>
        <w:t xml:space="preserve">the </w:t>
      </w:r>
      <w:r>
        <w:rPr>
          <w:rFonts w:cstheme="minorBidi"/>
          <w:color w:val="000000" w:themeColor="text1"/>
          <w:lang w:val="en-US"/>
        </w:rPr>
        <w:t xml:space="preserve">BDT </w:t>
      </w:r>
      <w:r w:rsidR="006209A6">
        <w:rPr>
          <w:rFonts w:cstheme="minorBidi"/>
          <w:color w:val="000000" w:themeColor="text1"/>
          <w:lang w:val="en-US"/>
        </w:rPr>
        <w:t xml:space="preserve">work </w:t>
      </w:r>
      <w:r w:rsidRPr="00BF5B1F">
        <w:rPr>
          <w:rFonts w:cstheme="minorBidi"/>
          <w:color w:val="000000" w:themeColor="text1"/>
          <w:lang w:val="en-US"/>
        </w:rPr>
        <w:t>in ten programmatic</w:t>
      </w:r>
      <w:r>
        <w:rPr>
          <w:rFonts w:cstheme="minorBidi"/>
          <w:color w:val="000000" w:themeColor="text1"/>
          <w:lang w:val="en-US"/>
        </w:rPr>
        <w:t xml:space="preserve"> areas</w:t>
      </w:r>
      <w:r w:rsidR="006E3855">
        <w:rPr>
          <w:rFonts w:cstheme="minorBidi"/>
          <w:color w:val="000000" w:themeColor="text1"/>
          <w:lang w:val="en-US"/>
        </w:rPr>
        <w:t xml:space="preserve"> around the globe</w:t>
      </w:r>
      <w:r w:rsidR="0071055B">
        <w:rPr>
          <w:rFonts w:cstheme="minorBidi"/>
          <w:color w:val="000000" w:themeColor="text1"/>
          <w:lang w:val="en-US"/>
        </w:rPr>
        <w:t>.</w:t>
      </w:r>
      <w:r>
        <w:rPr>
          <w:rStyle w:val="FootnoteReference"/>
          <w:rFonts w:cstheme="minorBidi"/>
          <w:color w:val="000000" w:themeColor="text1"/>
          <w:lang w:val="en-US"/>
        </w:rPr>
        <w:footnoteReference w:id="3"/>
      </w:r>
    </w:p>
    <w:p w:rsidR="006E3855" w:rsidRPr="00A96622" w:rsidRDefault="006209A6">
      <w:pPr>
        <w:pStyle w:val="ListParagraph"/>
        <w:numPr>
          <w:ilvl w:val="0"/>
          <w:numId w:val="22"/>
        </w:numPr>
        <w:ind w:left="714" w:hanging="357"/>
        <w:rPr>
          <w:rFonts w:cstheme="minorBidi"/>
          <w:b/>
          <w:bCs/>
          <w:lang w:val="en-US"/>
        </w:rPr>
      </w:pPr>
      <w:r w:rsidRPr="00A96622">
        <w:rPr>
          <w:rFonts w:eastAsia="Calibri" w:cs="Calibri"/>
          <w:szCs w:val="24"/>
        </w:rPr>
        <w:t xml:space="preserve"> </w:t>
      </w:r>
      <w:r w:rsidR="006E3855" w:rsidRPr="00A96622">
        <w:rPr>
          <w:rFonts w:eastAsia="Calibri" w:cs="Calibri"/>
          <w:szCs w:val="24"/>
        </w:rPr>
        <w:t xml:space="preserve">Agreed on the requirements for in-kind contributions to be </w:t>
      </w:r>
      <w:r w:rsidR="006E3855" w:rsidRPr="00BF5B1F">
        <w:rPr>
          <w:rFonts w:eastAsia="Calibri" w:cs="Calibri"/>
          <w:szCs w:val="24"/>
        </w:rPr>
        <w:t xml:space="preserve">counted </w:t>
      </w:r>
      <w:r w:rsidR="006E3855" w:rsidRPr="00A96622">
        <w:rPr>
          <w:rFonts w:eastAsia="Calibri" w:cs="Calibri"/>
          <w:szCs w:val="24"/>
        </w:rPr>
        <w:t xml:space="preserve">as one of the funding </w:t>
      </w:r>
      <w:r w:rsidR="006E3855" w:rsidRPr="00BF5B1F">
        <w:rPr>
          <w:rFonts w:eastAsia="Calibri" w:cs="Calibri"/>
          <w:szCs w:val="24"/>
        </w:rPr>
        <w:t>sources in projects undertaken</w:t>
      </w:r>
      <w:r w:rsidR="0071055B">
        <w:rPr>
          <w:rFonts w:eastAsia="Calibri" w:cs="Calibri"/>
          <w:szCs w:val="24"/>
        </w:rPr>
        <w:t>.</w:t>
      </w:r>
    </w:p>
    <w:p w:rsidR="00422662" w:rsidRPr="007B36B3" w:rsidRDefault="00422662">
      <w:pPr>
        <w:pStyle w:val="ListParagraph"/>
        <w:numPr>
          <w:ilvl w:val="0"/>
          <w:numId w:val="22"/>
        </w:numPr>
        <w:ind w:left="714" w:hanging="357"/>
        <w:rPr>
          <w:rFonts w:cstheme="minorBidi"/>
          <w:b/>
          <w:bCs/>
          <w:lang w:val="en-US"/>
        </w:rPr>
      </w:pPr>
      <w:r w:rsidRPr="00E7531C">
        <w:rPr>
          <w:rFonts w:eastAsia="Calibri" w:cs="Calibri"/>
        </w:rPr>
        <w:t>Agreed</w:t>
      </w:r>
      <w:r>
        <w:rPr>
          <w:rFonts w:eastAsia="Calibri" w:cs="Calibri"/>
        </w:rPr>
        <w:t xml:space="preserve"> </w:t>
      </w:r>
      <w:r w:rsidRPr="00E7531C">
        <w:rPr>
          <w:rFonts w:eastAsia="Calibri" w:cs="Calibri"/>
        </w:rPr>
        <w:t>that relevant ICT statistics should be available to the study groups</w:t>
      </w:r>
      <w:r>
        <w:rPr>
          <w:rFonts w:eastAsia="Calibri" w:cs="Calibri"/>
        </w:rPr>
        <w:t>,</w:t>
      </w:r>
      <w:r w:rsidRPr="00E7531C">
        <w:rPr>
          <w:rFonts w:eastAsia="Calibri" w:cs="Calibri"/>
        </w:rPr>
        <w:t xml:space="preserve"> that revisions to such data should be made by experts</w:t>
      </w:r>
      <w:r>
        <w:rPr>
          <w:rFonts w:eastAsia="Calibri" w:cs="Calibri"/>
        </w:rPr>
        <w:t xml:space="preserve">, and that </w:t>
      </w:r>
      <w:r w:rsidR="0071055B">
        <w:rPr>
          <w:rFonts w:eastAsia="Calibri" w:cs="Calibri"/>
        </w:rPr>
        <w:t>r</w:t>
      </w:r>
      <w:r>
        <w:rPr>
          <w:rFonts w:eastAsia="Calibri" w:cs="Calibri"/>
        </w:rPr>
        <w:t xml:space="preserve">egional </w:t>
      </w:r>
      <w:r w:rsidR="0071055B">
        <w:rPr>
          <w:rFonts w:eastAsia="Calibri" w:cs="Calibri"/>
        </w:rPr>
        <w:t>o</w:t>
      </w:r>
      <w:r>
        <w:rPr>
          <w:rFonts w:eastAsia="Calibri" w:cs="Calibri"/>
        </w:rPr>
        <w:t>ffices would assist in BDT data collection capacity building efforts</w:t>
      </w:r>
      <w:r w:rsidR="0071055B">
        <w:rPr>
          <w:rFonts w:eastAsia="Calibri" w:cs="Calibri"/>
        </w:rPr>
        <w:t>.</w:t>
      </w:r>
    </w:p>
    <w:p w:rsidR="007F4900" w:rsidRPr="00F7584B" w:rsidRDefault="005079D0">
      <w:pPr>
        <w:pStyle w:val="ListParagraph"/>
        <w:numPr>
          <w:ilvl w:val="0"/>
          <w:numId w:val="22"/>
        </w:numPr>
        <w:rPr>
          <w:rFonts w:eastAsia="Calibri" w:cs="Calibri"/>
          <w:szCs w:val="24"/>
        </w:rPr>
      </w:pPr>
      <w:r w:rsidRPr="00BF5B1F">
        <w:rPr>
          <w:rFonts w:eastAsia="Calibri" w:cs="Calibri"/>
        </w:rPr>
        <w:t>A</w:t>
      </w:r>
      <w:r w:rsidR="00A14452" w:rsidRPr="007B36B3">
        <w:rPr>
          <w:rFonts w:eastAsia="Calibri" w:cs="Calibri"/>
        </w:rPr>
        <w:t>pproved</w:t>
      </w:r>
      <w:r w:rsidR="00A14452" w:rsidRPr="00BF5B1F">
        <w:rPr>
          <w:rFonts w:eastAsia="Calibri" w:cs="Calibri"/>
        </w:rPr>
        <w:t xml:space="preserve"> </w:t>
      </w:r>
      <w:r w:rsidR="007F4900">
        <w:rPr>
          <w:rFonts w:eastAsia="Calibri" w:cs="Calibri"/>
        </w:rPr>
        <w:t xml:space="preserve">both </w:t>
      </w:r>
      <w:r w:rsidR="00A14452" w:rsidRPr="00BF5B1F">
        <w:rPr>
          <w:rFonts w:eastAsia="Calibri" w:cs="Calibri"/>
        </w:rPr>
        <w:t xml:space="preserve">the method </w:t>
      </w:r>
      <w:r w:rsidR="00741433" w:rsidRPr="00BF5B1F">
        <w:rPr>
          <w:rFonts w:eastAsia="Calibri" w:cs="Calibri"/>
        </w:rPr>
        <w:t xml:space="preserve">proposed by the study groups </w:t>
      </w:r>
      <w:r w:rsidR="00A14452" w:rsidRPr="00BF5B1F">
        <w:rPr>
          <w:rFonts w:eastAsia="Calibri" w:cs="Calibri"/>
        </w:rPr>
        <w:t xml:space="preserve">to </w:t>
      </w:r>
      <w:r w:rsidR="007F4900" w:rsidRPr="007F4900">
        <w:rPr>
          <w:rFonts w:eastAsia="Calibri" w:cs="Calibri"/>
        </w:rPr>
        <w:t xml:space="preserve">transmit </w:t>
      </w:r>
      <w:r w:rsidR="00741433" w:rsidRPr="007F4900">
        <w:rPr>
          <w:rFonts w:eastAsia="Calibri" w:cs="Calibri"/>
        </w:rPr>
        <w:t xml:space="preserve">their </w:t>
      </w:r>
      <w:r w:rsidR="00A14452" w:rsidRPr="007F4900">
        <w:rPr>
          <w:rFonts w:eastAsia="Calibri" w:cs="Calibri"/>
        </w:rPr>
        <w:t xml:space="preserve">input </w:t>
      </w:r>
      <w:r w:rsidR="00741433" w:rsidRPr="007F4900">
        <w:rPr>
          <w:rFonts w:eastAsia="Calibri" w:cs="Calibri"/>
        </w:rPr>
        <w:t xml:space="preserve">to the </w:t>
      </w:r>
      <w:r w:rsidR="008614FC">
        <w:rPr>
          <w:rFonts w:eastAsia="Calibri" w:cs="Calibri"/>
        </w:rPr>
        <w:t xml:space="preserve">BDT </w:t>
      </w:r>
      <w:r w:rsidR="00741433" w:rsidRPr="007F4900">
        <w:rPr>
          <w:rFonts w:eastAsia="Calibri" w:cs="Calibri"/>
        </w:rPr>
        <w:t xml:space="preserve">Director under </w:t>
      </w:r>
      <w:r w:rsidR="00A14452" w:rsidRPr="007F4900">
        <w:rPr>
          <w:rFonts w:eastAsia="Calibri" w:cs="Calibri"/>
        </w:rPr>
        <w:t>Resolution</w:t>
      </w:r>
      <w:r w:rsidR="00A92D0D" w:rsidRPr="007F4900">
        <w:rPr>
          <w:rFonts w:eastAsia="Calibri" w:cs="Calibri"/>
        </w:rPr>
        <w:t xml:space="preserve"> 9</w:t>
      </w:r>
      <w:r w:rsidR="008D0BF6" w:rsidRPr="007F4900">
        <w:rPr>
          <w:rFonts w:eastAsia="Calibri" w:cs="Calibri"/>
        </w:rPr>
        <w:t xml:space="preserve"> (spectrum manageme</w:t>
      </w:r>
      <w:r w:rsidR="00F7584B" w:rsidRPr="007F4900">
        <w:rPr>
          <w:rFonts w:eastAsia="Calibri" w:cs="Calibri"/>
        </w:rPr>
        <w:t>nt</w:t>
      </w:r>
      <w:r w:rsidR="00A93172" w:rsidRPr="007F4900">
        <w:rPr>
          <w:rFonts w:eastAsia="Calibri" w:cs="Calibri"/>
        </w:rPr>
        <w:t xml:space="preserve"> for developing countries</w:t>
      </w:r>
      <w:r w:rsidR="00F7584B" w:rsidRPr="007F4900">
        <w:rPr>
          <w:rFonts w:eastAsia="Calibri" w:cs="Calibri"/>
        </w:rPr>
        <w:t>)</w:t>
      </w:r>
      <w:r w:rsidR="00A93172" w:rsidRPr="007F4900">
        <w:rPr>
          <w:rFonts w:eastAsia="Calibri" w:cs="Calibri"/>
        </w:rPr>
        <w:t xml:space="preserve"> </w:t>
      </w:r>
      <w:r w:rsidR="007F4900">
        <w:rPr>
          <w:rFonts w:eastAsia="Calibri" w:cs="Calibri"/>
        </w:rPr>
        <w:t xml:space="preserve">and the </w:t>
      </w:r>
      <w:r w:rsidR="00A93172" w:rsidRPr="00BF5B1F">
        <w:rPr>
          <w:rFonts w:eastAsia="Calibri" w:cs="Calibri"/>
        </w:rPr>
        <w:t xml:space="preserve">coordinators </w:t>
      </w:r>
      <w:r w:rsidR="007F4900">
        <w:rPr>
          <w:rFonts w:eastAsia="Calibri" w:cs="Calibri"/>
        </w:rPr>
        <w:t xml:space="preserve">selected </w:t>
      </w:r>
      <w:r w:rsidR="00FF7E59" w:rsidRPr="00BF5B1F">
        <w:rPr>
          <w:rFonts w:eastAsia="Calibri" w:cs="Calibri"/>
        </w:rPr>
        <w:t>for this purpose</w:t>
      </w:r>
      <w:r w:rsidR="007F4900">
        <w:rPr>
          <w:rFonts w:eastAsia="Calibri" w:cs="Calibri"/>
        </w:rPr>
        <w:t>:</w:t>
      </w:r>
      <w:r w:rsidR="00070DBE">
        <w:rPr>
          <w:rFonts w:eastAsia="Calibri" w:cs="Calibri"/>
        </w:rPr>
        <w:t xml:space="preserve"> </w:t>
      </w:r>
      <w:r w:rsidR="0071055B">
        <w:rPr>
          <w:rFonts w:eastAsia="Calibri" w:cs="Calibri"/>
        </w:rPr>
        <w:t xml:space="preserve">Study Group 1 </w:t>
      </w:r>
      <w:r w:rsidR="00A93172" w:rsidRPr="00BF5B1F">
        <w:rPr>
          <w:rFonts w:eastAsia="Calibri" w:cs="Calibri"/>
        </w:rPr>
        <w:t>Vice</w:t>
      </w:r>
      <w:r w:rsidR="0071055B">
        <w:rPr>
          <w:rFonts w:eastAsia="Calibri" w:cs="Calibri"/>
        </w:rPr>
        <w:t>-</w:t>
      </w:r>
      <w:r w:rsidR="00A93172" w:rsidRPr="00BF5B1F">
        <w:rPr>
          <w:rFonts w:eastAsia="Calibri" w:cs="Calibri"/>
        </w:rPr>
        <w:t>Chair</w:t>
      </w:r>
      <w:r w:rsidR="0071055B">
        <w:rPr>
          <w:rFonts w:eastAsia="Calibri" w:cs="Calibri"/>
        </w:rPr>
        <w:t>man</w:t>
      </w:r>
      <w:r w:rsidR="00A93172" w:rsidRPr="00BF5B1F">
        <w:rPr>
          <w:rFonts w:eastAsia="Calibri" w:cs="Calibri"/>
        </w:rPr>
        <w:t xml:space="preserve"> </w:t>
      </w:r>
      <w:r w:rsidR="007F4900" w:rsidRPr="00BF5B1F">
        <w:rPr>
          <w:iCs/>
        </w:rPr>
        <w:t>Mr Roberto Hirayama (</w:t>
      </w:r>
      <w:r w:rsidR="007F4900" w:rsidRPr="00BF5B1F">
        <w:rPr>
          <w:b/>
          <w:iCs/>
        </w:rPr>
        <w:t>Brazil</w:t>
      </w:r>
      <w:r w:rsidR="007F4900" w:rsidRPr="007B36B3">
        <w:t>)</w:t>
      </w:r>
      <w:r w:rsidR="007F4900" w:rsidRPr="00802F66">
        <w:t xml:space="preserve"> </w:t>
      </w:r>
      <w:r w:rsidR="00A93172" w:rsidRPr="00BF5B1F">
        <w:rPr>
          <w:rFonts w:eastAsia="Calibri" w:cs="Calibri"/>
        </w:rPr>
        <w:t>and</w:t>
      </w:r>
      <w:r w:rsidR="00070DBE">
        <w:rPr>
          <w:rFonts w:eastAsia="Calibri" w:cs="Calibri"/>
        </w:rPr>
        <w:t xml:space="preserve"> </w:t>
      </w:r>
      <w:r w:rsidR="0071055B">
        <w:rPr>
          <w:rFonts w:eastAsia="Calibri" w:cs="Calibri"/>
        </w:rPr>
        <w:t>Study Group 2</w:t>
      </w:r>
      <w:r w:rsidR="00A93172" w:rsidRPr="00BF5B1F">
        <w:rPr>
          <w:rFonts w:eastAsia="Calibri" w:cs="Calibri"/>
        </w:rPr>
        <w:t xml:space="preserve"> Vice</w:t>
      </w:r>
      <w:r w:rsidR="0071055B">
        <w:rPr>
          <w:rFonts w:eastAsia="Calibri" w:cs="Calibri"/>
        </w:rPr>
        <w:t>-</w:t>
      </w:r>
      <w:r w:rsidR="00A93172" w:rsidRPr="00BF5B1F">
        <w:rPr>
          <w:rFonts w:eastAsia="Calibri" w:cs="Calibri"/>
        </w:rPr>
        <w:t>Chair</w:t>
      </w:r>
      <w:r w:rsidR="0071055B">
        <w:rPr>
          <w:rFonts w:eastAsia="Calibri" w:cs="Calibri"/>
        </w:rPr>
        <w:t>man</w:t>
      </w:r>
      <w:r w:rsidR="00F7584B" w:rsidRPr="00BF5B1F">
        <w:rPr>
          <w:rFonts w:eastAsia="Calibri" w:cs="Calibri"/>
        </w:rPr>
        <w:t xml:space="preserve"> </w:t>
      </w:r>
      <w:r w:rsidR="007F4900" w:rsidRPr="00BF5B1F">
        <w:rPr>
          <w:iCs/>
        </w:rPr>
        <w:t>Ms Nora Basher (</w:t>
      </w:r>
      <w:r w:rsidR="007F4900" w:rsidRPr="00BF5B1F">
        <w:rPr>
          <w:b/>
          <w:iCs/>
        </w:rPr>
        <w:t>Sudan</w:t>
      </w:r>
      <w:r w:rsidR="007F4900" w:rsidRPr="00802F66">
        <w:t>)</w:t>
      </w:r>
      <w:r w:rsidR="0071055B">
        <w:t>.</w:t>
      </w:r>
    </w:p>
    <w:p w:rsidR="00F7584B" w:rsidRDefault="00CC4B7A">
      <w:pPr>
        <w:pStyle w:val="ListParagraph"/>
        <w:numPr>
          <w:ilvl w:val="0"/>
          <w:numId w:val="22"/>
        </w:numPr>
        <w:rPr>
          <w:rFonts w:cstheme="minorBidi"/>
          <w:color w:val="000000" w:themeColor="text1"/>
          <w:lang w:val="en-US"/>
        </w:rPr>
      </w:pPr>
      <w:r>
        <w:rPr>
          <w:rFonts w:cstheme="minorBidi"/>
          <w:color w:val="000000" w:themeColor="text1"/>
          <w:lang w:val="en-US"/>
        </w:rPr>
        <w:t xml:space="preserve">Expressed significant support and appreciation for the kind offer from </w:t>
      </w:r>
      <w:r w:rsidRPr="00BF5B1F">
        <w:rPr>
          <w:rFonts w:cstheme="minorBidi"/>
          <w:color w:val="000000" w:themeColor="text1"/>
          <w:lang w:val="en-US"/>
        </w:rPr>
        <w:t xml:space="preserve">the </w:t>
      </w:r>
      <w:r w:rsidR="000C57C6" w:rsidRPr="007B36B3">
        <w:rPr>
          <w:b/>
          <w:szCs w:val="24"/>
        </w:rPr>
        <w:t>Federal Democratic Republic of Ethiopia</w:t>
      </w:r>
      <w:r w:rsidR="000C57C6" w:rsidRPr="00957B6C">
        <w:rPr>
          <w:szCs w:val="24"/>
        </w:rPr>
        <w:t xml:space="preserve"> </w:t>
      </w:r>
      <w:r>
        <w:rPr>
          <w:rFonts w:cstheme="minorBidi"/>
          <w:color w:val="000000" w:themeColor="text1"/>
          <w:lang w:val="en-US"/>
        </w:rPr>
        <w:t xml:space="preserve">to host </w:t>
      </w:r>
      <w:r w:rsidR="0071055B" w:rsidRPr="00EA4144">
        <w:rPr>
          <w:szCs w:val="24"/>
        </w:rPr>
        <w:t>World Telecommunication Development Conference 2021 (</w:t>
      </w:r>
      <w:r w:rsidRPr="00EA4144">
        <w:rPr>
          <w:rFonts w:cstheme="minorBidi"/>
          <w:color w:val="000000" w:themeColor="text1"/>
          <w:szCs w:val="24"/>
          <w:lang w:val="en-US"/>
        </w:rPr>
        <w:t>WTDC</w:t>
      </w:r>
      <w:r w:rsidR="000C57C6" w:rsidRPr="00EA4144">
        <w:rPr>
          <w:rFonts w:cstheme="minorBidi"/>
          <w:color w:val="000000" w:themeColor="text1"/>
          <w:szCs w:val="24"/>
          <w:lang w:val="en-US"/>
        </w:rPr>
        <w:t>-21</w:t>
      </w:r>
      <w:r w:rsidR="0071055B" w:rsidRPr="00EA4144">
        <w:rPr>
          <w:rFonts w:cstheme="minorBidi"/>
          <w:color w:val="000000" w:themeColor="text1"/>
          <w:szCs w:val="24"/>
          <w:lang w:val="en-US"/>
        </w:rPr>
        <w:t>)</w:t>
      </w:r>
      <w:r>
        <w:rPr>
          <w:rFonts w:cstheme="minorBidi"/>
          <w:color w:val="000000" w:themeColor="text1"/>
          <w:lang w:val="en-US"/>
        </w:rPr>
        <w:t xml:space="preserve"> </w:t>
      </w:r>
      <w:r w:rsidR="007F4900">
        <w:rPr>
          <w:rFonts w:cstheme="minorBidi"/>
          <w:color w:val="000000" w:themeColor="text1"/>
          <w:lang w:val="en-US"/>
        </w:rPr>
        <w:t>in Addis Ababa</w:t>
      </w:r>
      <w:r w:rsidR="0071055B">
        <w:rPr>
          <w:rFonts w:cstheme="minorBidi"/>
          <w:color w:val="000000" w:themeColor="text1"/>
          <w:lang w:val="en-US"/>
        </w:rPr>
        <w:t xml:space="preserve">. </w:t>
      </w:r>
    </w:p>
    <w:p w:rsidR="001B2718" w:rsidRDefault="00EF3307">
      <w:r w:rsidRPr="007B36B3">
        <w:rPr>
          <w:rFonts w:cstheme="minorBidi"/>
          <w:color w:val="000000" w:themeColor="text1"/>
          <w:lang w:val="en-US"/>
        </w:rPr>
        <w:t xml:space="preserve">The meeting </w:t>
      </w:r>
      <w:r w:rsidR="00B95A39">
        <w:rPr>
          <w:rFonts w:cstheme="minorBidi"/>
          <w:color w:val="000000" w:themeColor="text1"/>
          <w:lang w:val="en-US"/>
        </w:rPr>
        <w:t xml:space="preserve">also </w:t>
      </w:r>
      <w:r w:rsidRPr="007B36B3">
        <w:rPr>
          <w:rFonts w:cstheme="minorBidi"/>
          <w:color w:val="000000" w:themeColor="text1"/>
          <w:lang w:val="en-US"/>
        </w:rPr>
        <w:t>featured eight b</w:t>
      </w:r>
      <w:r w:rsidR="000B3322" w:rsidRPr="007B36B3">
        <w:rPr>
          <w:rFonts w:cstheme="minorBidi"/>
          <w:color w:val="000000" w:themeColor="text1"/>
          <w:lang w:val="en-US"/>
        </w:rPr>
        <w:t xml:space="preserve">reakout sessions </w:t>
      </w:r>
      <w:r w:rsidR="002352F1" w:rsidRPr="007B36B3">
        <w:rPr>
          <w:rFonts w:cstheme="minorBidi"/>
          <w:color w:val="000000" w:themeColor="text1"/>
          <w:lang w:val="en-US"/>
        </w:rPr>
        <w:t>organized by the Director</w:t>
      </w:r>
      <w:r w:rsidRPr="007B36B3">
        <w:rPr>
          <w:rFonts w:cstheme="minorBidi"/>
          <w:color w:val="000000" w:themeColor="text1"/>
          <w:lang w:val="en-US"/>
        </w:rPr>
        <w:t xml:space="preserve"> </w:t>
      </w:r>
      <w:r w:rsidR="00421511">
        <w:rPr>
          <w:rFonts w:cstheme="minorBidi"/>
          <w:color w:val="000000" w:themeColor="text1"/>
          <w:lang w:val="en-US"/>
        </w:rPr>
        <w:t>and BDT staff</w:t>
      </w:r>
      <w:r w:rsidR="00DE08EE">
        <w:rPr>
          <w:rFonts w:cstheme="minorBidi"/>
          <w:color w:val="000000" w:themeColor="text1"/>
          <w:lang w:val="en-US"/>
        </w:rPr>
        <w:t xml:space="preserve"> </w:t>
      </w:r>
      <w:r w:rsidR="00DE08EE" w:rsidRPr="004C0883">
        <w:t>−</w:t>
      </w:r>
      <w:r w:rsidR="00070DBE">
        <w:t xml:space="preserve"> </w:t>
      </w:r>
      <w:r w:rsidR="000B3322" w:rsidRPr="007B36B3">
        <w:rPr>
          <w:rFonts w:cstheme="minorBidi"/>
          <w:color w:val="000000" w:themeColor="text1"/>
          <w:lang w:val="en-US"/>
        </w:rPr>
        <w:t xml:space="preserve">four </w:t>
      </w:r>
      <w:r w:rsidRPr="007B36B3">
        <w:rPr>
          <w:rFonts w:cstheme="minorBidi"/>
          <w:color w:val="000000" w:themeColor="text1"/>
          <w:lang w:val="en-US"/>
        </w:rPr>
        <w:t xml:space="preserve">on </w:t>
      </w:r>
      <w:r w:rsidR="000B3322" w:rsidRPr="007B36B3">
        <w:rPr>
          <w:rFonts w:cstheme="minorBidi"/>
          <w:color w:val="000000" w:themeColor="text1"/>
          <w:lang w:val="en-US"/>
        </w:rPr>
        <w:t>process</w:t>
      </w:r>
      <w:r w:rsidR="00BA4719" w:rsidRPr="007B36B3">
        <w:rPr>
          <w:rFonts w:cstheme="minorBidi"/>
          <w:color w:val="000000" w:themeColor="text1"/>
          <w:lang w:val="en-US"/>
        </w:rPr>
        <w:t xml:space="preserve"> and </w:t>
      </w:r>
      <w:r w:rsidR="000B3322" w:rsidRPr="007B36B3">
        <w:rPr>
          <w:rFonts w:cstheme="minorBidi"/>
          <w:color w:val="000000" w:themeColor="text1"/>
          <w:lang w:val="en-US"/>
        </w:rPr>
        <w:t xml:space="preserve">governance topics and four </w:t>
      </w:r>
      <w:r w:rsidRPr="007B36B3">
        <w:rPr>
          <w:rFonts w:cstheme="minorBidi"/>
          <w:color w:val="000000" w:themeColor="text1"/>
          <w:lang w:val="en-US"/>
        </w:rPr>
        <w:t xml:space="preserve">on </w:t>
      </w:r>
      <w:r w:rsidR="005B696A" w:rsidRPr="007B36B3">
        <w:rPr>
          <w:rFonts w:cstheme="minorBidi"/>
          <w:color w:val="000000" w:themeColor="text1"/>
          <w:lang w:val="en-US"/>
        </w:rPr>
        <w:t>BDT substantive areas of work</w:t>
      </w:r>
      <w:r w:rsidR="00E26AC5" w:rsidRPr="007B36B3">
        <w:rPr>
          <w:rFonts w:cstheme="minorBidi"/>
          <w:color w:val="000000" w:themeColor="text1"/>
          <w:lang w:val="en-US"/>
        </w:rPr>
        <w:t>, along with</w:t>
      </w:r>
      <w:r w:rsidR="000B3322" w:rsidRPr="007B36B3">
        <w:rPr>
          <w:rFonts w:cstheme="minorBidi"/>
          <w:color w:val="000000" w:themeColor="text1"/>
          <w:lang w:val="en-US"/>
        </w:rPr>
        <w:t xml:space="preserve"> </w:t>
      </w:r>
      <w:r w:rsidR="00E26AC5" w:rsidRPr="007B36B3">
        <w:rPr>
          <w:rFonts w:cstheme="minorBidi"/>
          <w:color w:val="000000" w:themeColor="text1"/>
          <w:lang w:val="en-US"/>
        </w:rPr>
        <w:t xml:space="preserve">six </w:t>
      </w:r>
      <w:r w:rsidR="000B3322" w:rsidRPr="007B36B3">
        <w:rPr>
          <w:rFonts w:cstheme="minorBidi"/>
          <w:color w:val="000000" w:themeColor="text1"/>
          <w:lang w:val="en-US"/>
        </w:rPr>
        <w:t xml:space="preserve">informal sessions </w:t>
      </w:r>
      <w:r w:rsidR="005B696A" w:rsidRPr="007B36B3">
        <w:rPr>
          <w:rFonts w:cstheme="minorBidi"/>
          <w:color w:val="000000" w:themeColor="text1"/>
          <w:lang w:val="en-US"/>
        </w:rPr>
        <w:t>during</w:t>
      </w:r>
      <w:r w:rsidRPr="007B36B3">
        <w:rPr>
          <w:rFonts w:cstheme="minorBidi"/>
          <w:color w:val="000000" w:themeColor="text1"/>
          <w:lang w:val="en-US"/>
        </w:rPr>
        <w:t xml:space="preserve"> which </w:t>
      </w:r>
      <w:r w:rsidR="005B696A" w:rsidRPr="007B36B3">
        <w:rPr>
          <w:rFonts w:cstheme="minorBidi"/>
          <w:color w:val="000000" w:themeColor="text1"/>
          <w:lang w:val="en-US"/>
        </w:rPr>
        <w:t xml:space="preserve">all </w:t>
      </w:r>
      <w:r w:rsidRPr="007B36B3">
        <w:rPr>
          <w:rFonts w:cstheme="minorBidi"/>
          <w:color w:val="000000" w:themeColor="text1"/>
          <w:lang w:val="en-US"/>
        </w:rPr>
        <w:t>ITU Regional Directors</w:t>
      </w:r>
      <w:r w:rsidR="003B5154" w:rsidRPr="007B36B3">
        <w:rPr>
          <w:rFonts w:cstheme="minorBidi"/>
          <w:color w:val="000000" w:themeColor="text1"/>
          <w:lang w:val="en-US"/>
        </w:rPr>
        <w:t>,</w:t>
      </w:r>
      <w:r w:rsidRPr="007B36B3">
        <w:rPr>
          <w:rFonts w:cstheme="minorBidi"/>
          <w:color w:val="000000" w:themeColor="text1"/>
          <w:lang w:val="en-US"/>
        </w:rPr>
        <w:t xml:space="preserve"> </w:t>
      </w:r>
      <w:r w:rsidR="005D70F3" w:rsidRPr="007B36B3">
        <w:rPr>
          <w:rFonts w:cstheme="minorBidi"/>
          <w:color w:val="000000" w:themeColor="text1"/>
          <w:lang w:val="en-US"/>
        </w:rPr>
        <w:t>accompanied by staff</w:t>
      </w:r>
      <w:r w:rsidR="003B5154" w:rsidRPr="007B36B3">
        <w:rPr>
          <w:rFonts w:cstheme="minorBidi"/>
          <w:color w:val="000000" w:themeColor="text1"/>
          <w:lang w:val="en-US"/>
        </w:rPr>
        <w:t xml:space="preserve"> from the </w:t>
      </w:r>
      <w:r w:rsidR="0071055B">
        <w:rPr>
          <w:rFonts w:cstheme="minorBidi"/>
          <w:color w:val="000000" w:themeColor="text1"/>
          <w:lang w:val="en-US"/>
        </w:rPr>
        <w:t>r</w:t>
      </w:r>
      <w:r w:rsidR="003B5154" w:rsidRPr="007B36B3">
        <w:rPr>
          <w:rFonts w:cstheme="minorBidi"/>
          <w:color w:val="000000" w:themeColor="text1"/>
          <w:lang w:val="en-US"/>
        </w:rPr>
        <w:t xml:space="preserve">egional </w:t>
      </w:r>
      <w:r w:rsidR="0071055B">
        <w:rPr>
          <w:rFonts w:cstheme="minorBidi"/>
          <w:color w:val="000000" w:themeColor="text1"/>
          <w:lang w:val="en-US"/>
        </w:rPr>
        <w:t>o</w:t>
      </w:r>
      <w:r w:rsidR="003B5154" w:rsidRPr="007B36B3">
        <w:rPr>
          <w:rFonts w:cstheme="minorBidi"/>
          <w:color w:val="000000" w:themeColor="text1"/>
          <w:lang w:val="en-US"/>
        </w:rPr>
        <w:t>ffices</w:t>
      </w:r>
      <w:r w:rsidR="005D70F3" w:rsidRPr="007B36B3">
        <w:rPr>
          <w:rFonts w:cstheme="minorBidi"/>
          <w:color w:val="000000" w:themeColor="text1"/>
          <w:lang w:val="en-US"/>
        </w:rPr>
        <w:t xml:space="preserve">, </w:t>
      </w:r>
      <w:r w:rsidR="00E26AC5" w:rsidRPr="007B36B3">
        <w:rPr>
          <w:rFonts w:cstheme="minorBidi"/>
          <w:color w:val="000000" w:themeColor="text1"/>
          <w:lang w:val="en-US"/>
        </w:rPr>
        <w:t>describ</w:t>
      </w:r>
      <w:r w:rsidRPr="007B36B3">
        <w:rPr>
          <w:rFonts w:cstheme="minorBidi"/>
          <w:color w:val="000000" w:themeColor="text1"/>
          <w:lang w:val="en-US"/>
        </w:rPr>
        <w:t xml:space="preserve">ed </w:t>
      </w:r>
      <w:r w:rsidR="00E26AC5" w:rsidRPr="007B36B3">
        <w:rPr>
          <w:rFonts w:cstheme="minorBidi"/>
          <w:color w:val="000000" w:themeColor="text1"/>
          <w:lang w:val="en-US"/>
        </w:rPr>
        <w:t xml:space="preserve">activities </w:t>
      </w:r>
      <w:r w:rsidR="005D70F3" w:rsidRPr="007B36B3">
        <w:rPr>
          <w:rFonts w:cstheme="minorBidi"/>
          <w:color w:val="000000" w:themeColor="text1"/>
          <w:lang w:val="en-US"/>
        </w:rPr>
        <w:t>undertaken to serve ITU membership</w:t>
      </w:r>
      <w:r w:rsidR="00AF6D52" w:rsidRPr="007B36B3">
        <w:rPr>
          <w:rFonts w:cstheme="minorBidi"/>
          <w:color w:val="000000" w:themeColor="text1"/>
          <w:lang w:val="en-US"/>
        </w:rPr>
        <w:t xml:space="preserve"> in the </w:t>
      </w:r>
      <w:r w:rsidR="00AF6D52" w:rsidRPr="00BF5B1F">
        <w:rPr>
          <w:rFonts w:cstheme="minorBidi"/>
          <w:color w:val="000000" w:themeColor="text1"/>
          <w:lang w:val="en-US"/>
        </w:rPr>
        <w:t>field</w:t>
      </w:r>
      <w:r w:rsidR="005D70F3" w:rsidRPr="007B36B3">
        <w:rPr>
          <w:rFonts w:cstheme="minorBidi"/>
          <w:color w:val="000000" w:themeColor="text1"/>
          <w:lang w:val="en-US"/>
        </w:rPr>
        <w:t>, particularly</w:t>
      </w:r>
      <w:r w:rsidR="002C5BFC" w:rsidRPr="007B36B3">
        <w:rPr>
          <w:rFonts w:cstheme="minorBidi"/>
          <w:color w:val="000000" w:themeColor="text1"/>
          <w:lang w:val="en-US"/>
        </w:rPr>
        <w:t xml:space="preserve"> </w:t>
      </w:r>
      <w:r w:rsidR="003B5154" w:rsidRPr="007B36B3">
        <w:rPr>
          <w:rFonts w:cstheme="minorBidi"/>
          <w:color w:val="000000" w:themeColor="text1"/>
          <w:lang w:val="en-US"/>
        </w:rPr>
        <w:t>t</w:t>
      </w:r>
      <w:r w:rsidR="00E26AC5" w:rsidRPr="007B36B3">
        <w:rPr>
          <w:rFonts w:cstheme="minorBidi"/>
          <w:color w:val="000000" w:themeColor="text1"/>
          <w:lang w:val="en-US"/>
        </w:rPr>
        <w:t xml:space="preserve">o implement the </w:t>
      </w:r>
      <w:r w:rsidR="000B3322" w:rsidRPr="007B36B3">
        <w:rPr>
          <w:rFonts w:cstheme="minorBidi"/>
          <w:color w:val="000000" w:themeColor="text1"/>
          <w:lang w:val="en-US"/>
        </w:rPr>
        <w:t xml:space="preserve">regional initiatives </w:t>
      </w:r>
      <w:r w:rsidR="005D70F3" w:rsidRPr="007B36B3">
        <w:rPr>
          <w:rFonts w:cstheme="minorBidi"/>
          <w:color w:val="000000" w:themeColor="text1"/>
          <w:lang w:val="en-US"/>
        </w:rPr>
        <w:t>adopted at WTDC-17</w:t>
      </w:r>
      <w:r w:rsidR="009609E7" w:rsidRPr="007B36B3">
        <w:rPr>
          <w:rFonts w:cstheme="minorBidi"/>
          <w:color w:val="000000" w:themeColor="text1"/>
          <w:lang w:val="en-US"/>
        </w:rPr>
        <w:t xml:space="preserve">. </w:t>
      </w:r>
      <w:r w:rsidR="00AE6930" w:rsidRPr="007B36B3">
        <w:rPr>
          <w:rFonts w:cstheme="minorBidi"/>
          <w:color w:val="000000" w:themeColor="text1"/>
          <w:lang w:val="en-US"/>
        </w:rPr>
        <w:t>A brief</w:t>
      </w:r>
      <w:r w:rsidR="000B3322" w:rsidRPr="007B36B3">
        <w:rPr>
          <w:rFonts w:cstheme="minorBidi"/>
          <w:color w:val="000000" w:themeColor="text1"/>
          <w:lang w:val="en-US"/>
        </w:rPr>
        <w:t xml:space="preserve"> summar</w:t>
      </w:r>
      <w:r w:rsidR="00AE6930" w:rsidRPr="007B36B3">
        <w:rPr>
          <w:rFonts w:cstheme="minorBidi"/>
          <w:color w:val="000000" w:themeColor="text1"/>
          <w:lang w:val="en-US"/>
        </w:rPr>
        <w:t>y</w:t>
      </w:r>
      <w:r w:rsidR="000B3322" w:rsidRPr="007B36B3">
        <w:rPr>
          <w:rFonts w:cstheme="minorBidi"/>
          <w:color w:val="000000" w:themeColor="text1"/>
          <w:lang w:val="en-US"/>
        </w:rPr>
        <w:t xml:space="preserve"> of </w:t>
      </w:r>
      <w:r w:rsidR="001B2718" w:rsidRPr="007B36B3">
        <w:rPr>
          <w:rFonts w:cstheme="minorBidi"/>
          <w:color w:val="000000" w:themeColor="text1"/>
          <w:lang w:val="en-US"/>
        </w:rPr>
        <w:t xml:space="preserve">each </w:t>
      </w:r>
      <w:r w:rsidR="000B3322" w:rsidRPr="007B36B3">
        <w:rPr>
          <w:rFonts w:cstheme="minorBidi"/>
          <w:color w:val="000000" w:themeColor="text1"/>
          <w:lang w:val="en-US"/>
        </w:rPr>
        <w:t xml:space="preserve">breakout session </w:t>
      </w:r>
      <w:r w:rsidR="005D70F3" w:rsidRPr="007B36B3">
        <w:rPr>
          <w:rFonts w:cstheme="minorBidi"/>
          <w:color w:val="000000" w:themeColor="text1"/>
          <w:lang w:val="en-US"/>
        </w:rPr>
        <w:t xml:space="preserve">can be found in </w:t>
      </w:r>
      <w:r w:rsidR="00265CBE">
        <w:rPr>
          <w:rFonts w:cstheme="minorBidi"/>
          <w:b/>
          <w:color w:val="000000" w:themeColor="text1"/>
          <w:lang w:val="en-US"/>
        </w:rPr>
        <w:t>S</w:t>
      </w:r>
      <w:r w:rsidR="00877E0B" w:rsidRPr="007B36B3">
        <w:rPr>
          <w:rFonts w:cstheme="minorBidi"/>
          <w:b/>
          <w:color w:val="000000" w:themeColor="text1"/>
          <w:lang w:val="en-US"/>
        </w:rPr>
        <w:t>ection</w:t>
      </w:r>
      <w:r w:rsidR="00B643ED" w:rsidRPr="007B36B3">
        <w:rPr>
          <w:rFonts w:cstheme="minorBidi"/>
          <w:b/>
          <w:color w:val="000000" w:themeColor="text1"/>
          <w:lang w:val="en-US"/>
        </w:rPr>
        <w:t>s 6 - 10</w:t>
      </w:r>
      <w:r w:rsidR="00877E0B" w:rsidRPr="007B36B3">
        <w:rPr>
          <w:rFonts w:cstheme="minorBidi"/>
          <w:color w:val="000000" w:themeColor="text1"/>
          <w:lang w:val="en-US"/>
        </w:rPr>
        <w:t xml:space="preserve"> </w:t>
      </w:r>
      <w:r w:rsidR="00B643ED">
        <w:rPr>
          <w:rFonts w:cstheme="minorBidi"/>
          <w:color w:val="000000" w:themeColor="text1"/>
          <w:lang w:val="en-US"/>
        </w:rPr>
        <w:t xml:space="preserve">of this report </w:t>
      </w:r>
      <w:r w:rsidR="00265CBE">
        <w:rPr>
          <w:rFonts w:cstheme="minorBidi"/>
          <w:color w:val="000000" w:themeColor="text1"/>
          <w:lang w:val="en-US"/>
        </w:rPr>
        <w:t xml:space="preserve">under the </w:t>
      </w:r>
      <w:r w:rsidR="001B2718" w:rsidRPr="007B36B3">
        <w:rPr>
          <w:rFonts w:cstheme="minorBidi"/>
          <w:color w:val="000000" w:themeColor="text1"/>
          <w:lang w:val="en-US"/>
        </w:rPr>
        <w:t xml:space="preserve">corresponding </w:t>
      </w:r>
      <w:r w:rsidR="00877E0B" w:rsidRPr="007B36B3">
        <w:rPr>
          <w:rFonts w:cstheme="minorBidi"/>
          <w:color w:val="000000" w:themeColor="text1"/>
          <w:lang w:val="en-US"/>
        </w:rPr>
        <w:t>to</w:t>
      </w:r>
      <w:r w:rsidR="00265CBE" w:rsidRPr="00BF5B1F">
        <w:rPr>
          <w:rFonts w:cstheme="minorBidi"/>
          <w:color w:val="000000" w:themeColor="text1"/>
          <w:lang w:val="en-US"/>
        </w:rPr>
        <w:t>pic</w:t>
      </w:r>
      <w:r w:rsidR="00265CBE" w:rsidRPr="007B36B3">
        <w:rPr>
          <w:rFonts w:cstheme="minorBidi"/>
          <w:color w:val="000000" w:themeColor="text1"/>
          <w:lang w:val="en-US"/>
        </w:rPr>
        <w:t xml:space="preserve"> discussion</w:t>
      </w:r>
      <w:r w:rsidR="009609E7" w:rsidRPr="007B36B3">
        <w:rPr>
          <w:rFonts w:cstheme="minorBidi"/>
          <w:color w:val="000000" w:themeColor="text1"/>
          <w:lang w:val="en-US"/>
        </w:rPr>
        <w:t>, and f</w:t>
      </w:r>
      <w:r w:rsidR="001B2718" w:rsidRPr="007B36B3">
        <w:rPr>
          <w:rFonts w:cstheme="minorBidi"/>
          <w:color w:val="000000" w:themeColor="text1"/>
          <w:lang w:val="en-US"/>
        </w:rPr>
        <w:t>ull s</w:t>
      </w:r>
      <w:r w:rsidR="000B3322" w:rsidRPr="007B36B3">
        <w:rPr>
          <w:rFonts w:cstheme="minorBidi"/>
          <w:color w:val="000000" w:themeColor="text1"/>
          <w:lang w:val="en-US"/>
        </w:rPr>
        <w:t>ummar</w:t>
      </w:r>
      <w:r w:rsidR="00AE6930" w:rsidRPr="007B36B3">
        <w:rPr>
          <w:rFonts w:cstheme="minorBidi"/>
          <w:color w:val="000000" w:themeColor="text1"/>
          <w:lang w:val="en-US"/>
        </w:rPr>
        <w:t xml:space="preserve">ies </w:t>
      </w:r>
      <w:r w:rsidR="00723802" w:rsidRPr="007B36B3">
        <w:rPr>
          <w:rFonts w:cstheme="minorBidi"/>
          <w:color w:val="000000" w:themeColor="text1"/>
          <w:lang w:val="en-US"/>
        </w:rPr>
        <w:t>can be found</w:t>
      </w:r>
      <w:r w:rsidR="000B3322" w:rsidRPr="007B36B3">
        <w:rPr>
          <w:rFonts w:cstheme="minorBidi"/>
          <w:color w:val="000000" w:themeColor="text1"/>
          <w:lang w:val="en-US"/>
        </w:rPr>
        <w:t xml:space="preserve"> in </w:t>
      </w:r>
      <w:r w:rsidR="000B3322" w:rsidRPr="007B36B3">
        <w:rPr>
          <w:rFonts w:cstheme="minorBidi"/>
          <w:b/>
          <w:bCs/>
          <w:color w:val="000000" w:themeColor="text1"/>
          <w:lang w:val="en-US"/>
        </w:rPr>
        <w:t>Annex 2</w:t>
      </w:r>
      <w:r w:rsidR="001B2718" w:rsidRPr="007B36B3">
        <w:rPr>
          <w:rFonts w:cstheme="minorBidi"/>
          <w:color w:val="000000" w:themeColor="text1"/>
          <w:lang w:val="en-US"/>
        </w:rPr>
        <w:t xml:space="preserve">. </w:t>
      </w:r>
      <w:r w:rsidR="00265CBE">
        <w:t>T</w:t>
      </w:r>
      <w:r w:rsidR="00112F6A">
        <w:t xml:space="preserve">he six </w:t>
      </w:r>
      <w:r w:rsidR="00176B56">
        <w:t>i</w:t>
      </w:r>
      <w:r w:rsidR="001B2718">
        <w:t xml:space="preserve">nformal sessions </w:t>
      </w:r>
      <w:r w:rsidR="00877E0B">
        <w:t xml:space="preserve">held </w:t>
      </w:r>
      <w:r w:rsidR="001B2718">
        <w:t xml:space="preserve">on </w:t>
      </w:r>
      <w:r w:rsidR="00E26AC5">
        <w:t xml:space="preserve">the </w:t>
      </w:r>
      <w:r w:rsidR="001B2718">
        <w:t xml:space="preserve">regional initiatives </w:t>
      </w:r>
      <w:r w:rsidR="00C81A64">
        <w:t>are summarized</w:t>
      </w:r>
      <w:r w:rsidR="001B2718">
        <w:t xml:space="preserve"> </w:t>
      </w:r>
      <w:r w:rsidR="00E26AC5">
        <w:t>here:</w:t>
      </w:r>
      <w:r w:rsidR="001B2718" w:rsidRPr="00934A02">
        <w:t xml:space="preserve"> </w:t>
      </w:r>
      <w:hyperlink r:id="rId9" w:history="1">
        <w:r w:rsidR="001B2718" w:rsidRPr="00934A02">
          <w:rPr>
            <w:rStyle w:val="Hyperlink"/>
          </w:rPr>
          <w:t>TDAG-19/DT/11</w:t>
        </w:r>
      </w:hyperlink>
      <w:r w:rsidR="007B7216">
        <w:rPr>
          <w:rStyle w:val="Hyperlink"/>
        </w:rPr>
        <w:t>.</w:t>
      </w:r>
    </w:p>
    <w:p w:rsidR="002B0955" w:rsidRPr="00EA4144" w:rsidRDefault="0001111C" w:rsidP="00EA4144">
      <w:pPr>
        <w:pStyle w:val="ListParagraph"/>
        <w:numPr>
          <w:ilvl w:val="0"/>
          <w:numId w:val="27"/>
        </w:numPr>
        <w:ind w:left="357" w:hanging="357"/>
        <w:contextualSpacing w:val="0"/>
        <w:rPr>
          <w:b/>
          <w:bCs/>
        </w:rPr>
      </w:pPr>
      <w:r w:rsidRPr="00EA4144">
        <w:rPr>
          <w:b/>
          <w:bCs/>
        </w:rPr>
        <w:t>OPENING</w:t>
      </w:r>
      <w:r w:rsidR="000D5552" w:rsidRPr="00EA4144">
        <w:rPr>
          <w:b/>
          <w:bCs/>
        </w:rPr>
        <w:t xml:space="preserve"> and R</w:t>
      </w:r>
      <w:r w:rsidRPr="00EA4144">
        <w:rPr>
          <w:b/>
          <w:bCs/>
        </w:rPr>
        <w:t>EMARK</w:t>
      </w:r>
      <w:r w:rsidR="00F6111F" w:rsidRPr="00EA4144">
        <w:rPr>
          <w:b/>
          <w:bCs/>
        </w:rPr>
        <w:t>S</w:t>
      </w:r>
    </w:p>
    <w:p w:rsidR="002B0955" w:rsidRPr="00D25C0F" w:rsidRDefault="002B0955">
      <w:pPr>
        <w:tabs>
          <w:tab w:val="clear" w:pos="1134"/>
          <w:tab w:val="clear" w:pos="1871"/>
          <w:tab w:val="clear" w:pos="2268"/>
        </w:tabs>
        <w:overflowPunct/>
        <w:autoSpaceDE/>
        <w:autoSpaceDN/>
        <w:adjustRightInd/>
        <w:textAlignment w:val="auto"/>
        <w:rPr>
          <w:rFonts w:cstheme="minorBidi"/>
          <w:b/>
          <w:bCs/>
          <w:color w:val="000000" w:themeColor="text1"/>
          <w:szCs w:val="24"/>
        </w:rPr>
      </w:pPr>
      <w:r w:rsidRPr="2D9C0B70">
        <w:rPr>
          <w:rFonts w:cstheme="minorBidi"/>
          <w:color w:val="000000" w:themeColor="text1"/>
          <w:lang w:val="en-US"/>
        </w:rPr>
        <w:t xml:space="preserve">The Chairman of TDAG, </w:t>
      </w:r>
      <w:proofErr w:type="spellStart"/>
      <w:r w:rsidRPr="2D9C0B70">
        <w:rPr>
          <w:rFonts w:eastAsiaTheme="minorEastAsia" w:cstheme="minorBidi"/>
          <w:color w:val="000000" w:themeColor="text1"/>
          <w:lang w:val="en-US"/>
        </w:rPr>
        <w:t>Ms</w:t>
      </w:r>
      <w:proofErr w:type="spellEnd"/>
      <w:r w:rsidRPr="2D9C0B70">
        <w:rPr>
          <w:rFonts w:eastAsiaTheme="minorEastAsia" w:cstheme="minorBidi"/>
          <w:color w:val="000000" w:themeColor="text1"/>
          <w:lang w:val="en-US"/>
        </w:rPr>
        <w:t xml:space="preserve"> Roxanne </w:t>
      </w:r>
      <w:proofErr w:type="spellStart"/>
      <w:r w:rsidRPr="2D9C0B70">
        <w:rPr>
          <w:rFonts w:eastAsiaTheme="minorEastAsia" w:cstheme="minorBidi"/>
          <w:color w:val="000000" w:themeColor="text1"/>
          <w:lang w:val="en-US"/>
        </w:rPr>
        <w:t>McElvane</w:t>
      </w:r>
      <w:proofErr w:type="spellEnd"/>
      <w:r w:rsidRPr="2D9C0B70">
        <w:rPr>
          <w:rFonts w:eastAsiaTheme="minorEastAsia" w:cstheme="minorBidi"/>
          <w:color w:val="000000" w:themeColor="text1"/>
          <w:lang w:val="en-US"/>
        </w:rPr>
        <w:t xml:space="preserve"> Webber</w:t>
      </w:r>
      <w:r>
        <w:rPr>
          <w:rFonts w:eastAsiaTheme="minorEastAsia" w:cstheme="minorBidi"/>
          <w:color w:val="000000" w:themeColor="text1"/>
          <w:lang w:val="en-US"/>
        </w:rPr>
        <w:t xml:space="preserve"> (</w:t>
      </w:r>
      <w:r w:rsidRPr="006052D5">
        <w:rPr>
          <w:rFonts w:eastAsiaTheme="minorEastAsia" w:cstheme="minorBidi"/>
          <w:b/>
          <w:color w:val="000000" w:themeColor="text1"/>
          <w:lang w:val="en-US"/>
        </w:rPr>
        <w:t>United States</w:t>
      </w:r>
      <w:r>
        <w:rPr>
          <w:rFonts w:eastAsiaTheme="minorEastAsia" w:cstheme="minorBidi"/>
          <w:color w:val="000000" w:themeColor="text1"/>
          <w:lang w:val="en-US"/>
        </w:rPr>
        <w:t>)</w:t>
      </w:r>
      <w:r w:rsidRPr="2D9C0B70">
        <w:rPr>
          <w:rFonts w:cstheme="minorBidi"/>
          <w:color w:val="000000" w:themeColor="text1"/>
          <w:lang w:val="en-US"/>
        </w:rPr>
        <w:t>, opened the 2</w:t>
      </w:r>
      <w:r w:rsidR="00333762">
        <w:rPr>
          <w:rFonts w:cstheme="minorBidi"/>
          <w:color w:val="000000" w:themeColor="text1"/>
          <w:lang w:val="en-US"/>
        </w:rPr>
        <w:t>4th</w:t>
      </w:r>
      <w:r w:rsidRPr="2D9C0B70">
        <w:rPr>
          <w:rFonts w:cstheme="minorBidi"/>
          <w:color w:val="000000" w:themeColor="text1"/>
          <w:lang w:val="en-US"/>
        </w:rPr>
        <w:t xml:space="preserve"> meeting on </w:t>
      </w:r>
      <w:r w:rsidR="00333762">
        <w:rPr>
          <w:rFonts w:cstheme="minorBidi"/>
          <w:color w:val="000000" w:themeColor="text1"/>
          <w:lang w:val="en-US"/>
        </w:rPr>
        <w:t xml:space="preserve">3 </w:t>
      </w:r>
      <w:r w:rsidRPr="2D9C0B70">
        <w:rPr>
          <w:rFonts w:cstheme="minorBidi"/>
          <w:color w:val="000000" w:themeColor="text1"/>
          <w:lang w:val="en-US"/>
        </w:rPr>
        <w:t>April 201</w:t>
      </w:r>
      <w:r w:rsidR="007B7216">
        <w:rPr>
          <w:rFonts w:cstheme="minorBidi"/>
          <w:color w:val="000000" w:themeColor="text1"/>
          <w:lang w:val="en-US"/>
        </w:rPr>
        <w:t>9</w:t>
      </w:r>
      <w:r>
        <w:rPr>
          <w:rFonts w:cstheme="minorBidi"/>
          <w:color w:val="000000" w:themeColor="text1"/>
          <w:lang w:val="en-US"/>
        </w:rPr>
        <w:t xml:space="preserve">, </w:t>
      </w:r>
      <w:r w:rsidRPr="2D9C0B70">
        <w:rPr>
          <w:rFonts w:cstheme="minorBidi"/>
          <w:color w:val="000000" w:themeColor="text1"/>
          <w:lang w:val="en-US"/>
        </w:rPr>
        <w:t>welcom</w:t>
      </w:r>
      <w:r>
        <w:rPr>
          <w:rFonts w:cstheme="minorBidi"/>
          <w:color w:val="000000" w:themeColor="text1"/>
          <w:lang w:val="en-US"/>
        </w:rPr>
        <w:t>ing</w:t>
      </w:r>
      <w:r w:rsidRPr="2D9C0B70">
        <w:rPr>
          <w:rFonts w:cstheme="minorBidi"/>
          <w:color w:val="000000" w:themeColor="text1"/>
          <w:lang w:val="en-US"/>
        </w:rPr>
        <w:t xml:space="preserve"> </w:t>
      </w:r>
      <w:r>
        <w:rPr>
          <w:rFonts w:cstheme="minorBidi"/>
          <w:color w:val="000000" w:themeColor="text1"/>
          <w:lang w:val="en-US"/>
        </w:rPr>
        <w:t xml:space="preserve">the </w:t>
      </w:r>
      <w:r w:rsidRPr="2D9C0B70">
        <w:rPr>
          <w:rFonts w:cstheme="minorBidi"/>
          <w:color w:val="000000" w:themeColor="text1"/>
          <w:lang w:val="en-US"/>
        </w:rPr>
        <w:t>participants and elected officials. With her on the podium were Mr Houlin Zhao, ITU Secret</w:t>
      </w:r>
      <w:r>
        <w:rPr>
          <w:rFonts w:cstheme="minorBidi"/>
          <w:color w:val="000000" w:themeColor="text1"/>
          <w:lang w:val="en-US"/>
        </w:rPr>
        <w:t>ary-General</w:t>
      </w:r>
      <w:r w:rsidR="00AD0D25">
        <w:rPr>
          <w:rFonts w:cstheme="minorBidi"/>
          <w:color w:val="000000" w:themeColor="text1"/>
          <w:lang w:val="en-US"/>
        </w:rPr>
        <w:t>;</w:t>
      </w:r>
      <w:r>
        <w:rPr>
          <w:rFonts w:cstheme="minorBidi"/>
          <w:color w:val="000000" w:themeColor="text1"/>
          <w:lang w:val="en-US"/>
        </w:rPr>
        <w:t xml:space="preserve"> </w:t>
      </w:r>
      <w:r w:rsidRPr="2D9C0B70">
        <w:rPr>
          <w:rFonts w:cstheme="minorBidi"/>
          <w:color w:val="000000" w:themeColor="text1"/>
          <w:lang w:val="en-US"/>
        </w:rPr>
        <w:t>Mr Malcolm Johnson, ITU Deputy Secretary-General</w:t>
      </w:r>
      <w:r w:rsidR="00AD0D25">
        <w:rPr>
          <w:rFonts w:cstheme="minorBidi"/>
          <w:color w:val="000000" w:themeColor="text1"/>
          <w:lang w:val="en-US"/>
        </w:rPr>
        <w:t>;</w:t>
      </w:r>
      <w:r w:rsidRPr="2D9C0B70">
        <w:rPr>
          <w:rFonts w:cstheme="minorBidi"/>
          <w:color w:val="000000" w:themeColor="text1"/>
          <w:lang w:val="en-US"/>
        </w:rPr>
        <w:t xml:space="preserve"> </w:t>
      </w:r>
      <w:proofErr w:type="spellStart"/>
      <w:r w:rsidRPr="2D9C0B70">
        <w:rPr>
          <w:rFonts w:cstheme="minorBidi"/>
          <w:color w:val="000000" w:themeColor="text1"/>
          <w:lang w:val="en-US"/>
        </w:rPr>
        <w:t>M</w:t>
      </w:r>
      <w:r w:rsidR="00333762">
        <w:rPr>
          <w:rFonts w:cstheme="minorBidi"/>
          <w:color w:val="000000" w:themeColor="text1"/>
          <w:lang w:val="en-US"/>
        </w:rPr>
        <w:t>s</w:t>
      </w:r>
      <w:proofErr w:type="spellEnd"/>
      <w:r w:rsidRPr="2D9C0B70">
        <w:rPr>
          <w:rFonts w:cstheme="minorBidi"/>
          <w:color w:val="000000" w:themeColor="text1"/>
          <w:lang w:val="en-US"/>
        </w:rPr>
        <w:t xml:space="preserve"> </w:t>
      </w:r>
      <w:r w:rsidR="00333762">
        <w:rPr>
          <w:rFonts w:cstheme="minorBidi"/>
          <w:color w:val="000000" w:themeColor="text1"/>
          <w:lang w:val="en-US"/>
        </w:rPr>
        <w:t>Doreen Bogdan</w:t>
      </w:r>
      <w:r w:rsidR="005C2359">
        <w:rPr>
          <w:rFonts w:cstheme="minorBidi"/>
          <w:color w:val="000000" w:themeColor="text1"/>
          <w:lang w:val="en-US"/>
        </w:rPr>
        <w:t>-Martin</w:t>
      </w:r>
      <w:r w:rsidRPr="2D9C0B70">
        <w:rPr>
          <w:rFonts w:cstheme="minorBidi"/>
          <w:color w:val="000000" w:themeColor="text1"/>
          <w:lang w:val="en-US"/>
        </w:rPr>
        <w:t>, Director of the ITU Telecommunication Development Bureau (BDT)</w:t>
      </w:r>
      <w:r w:rsidR="00AD0D25">
        <w:rPr>
          <w:rFonts w:cstheme="minorBidi"/>
          <w:color w:val="000000" w:themeColor="text1"/>
          <w:lang w:val="en-US"/>
        </w:rPr>
        <w:t>;</w:t>
      </w:r>
      <w:r w:rsidRPr="2D9C0B70">
        <w:rPr>
          <w:rFonts w:cstheme="minorBidi"/>
          <w:color w:val="000000" w:themeColor="text1"/>
          <w:lang w:val="en-US"/>
        </w:rPr>
        <w:t xml:space="preserve"> </w:t>
      </w:r>
      <w:proofErr w:type="spellStart"/>
      <w:r w:rsidR="00333762">
        <w:rPr>
          <w:rFonts w:cstheme="minorBidi"/>
          <w:color w:val="000000" w:themeColor="text1"/>
          <w:lang w:val="en-US"/>
        </w:rPr>
        <w:t>Mr</w:t>
      </w:r>
      <w:proofErr w:type="spellEnd"/>
      <w:r w:rsidR="00333762">
        <w:rPr>
          <w:rFonts w:cstheme="minorBidi"/>
          <w:color w:val="000000" w:themeColor="text1"/>
          <w:lang w:val="en-US"/>
        </w:rPr>
        <w:t xml:space="preserve"> </w:t>
      </w:r>
      <w:proofErr w:type="spellStart"/>
      <w:r w:rsidR="00333762">
        <w:rPr>
          <w:rFonts w:cstheme="minorBidi"/>
          <w:color w:val="000000" w:themeColor="text1"/>
          <w:lang w:val="en-US"/>
        </w:rPr>
        <w:t>Chaesub</w:t>
      </w:r>
      <w:proofErr w:type="spellEnd"/>
      <w:r w:rsidR="00333762">
        <w:rPr>
          <w:rFonts w:cstheme="minorBidi"/>
          <w:color w:val="000000" w:themeColor="text1"/>
          <w:lang w:val="en-US"/>
        </w:rPr>
        <w:t xml:space="preserve"> Lee</w:t>
      </w:r>
      <w:r w:rsidR="00333762" w:rsidRPr="2D9C0B70">
        <w:rPr>
          <w:rFonts w:cstheme="minorBidi"/>
          <w:color w:val="000000" w:themeColor="text1"/>
          <w:lang w:val="en-US"/>
        </w:rPr>
        <w:t xml:space="preserve">, Director of the ITU Telecommunication </w:t>
      </w:r>
      <w:r w:rsidR="007B7216">
        <w:rPr>
          <w:rFonts w:cstheme="minorBidi"/>
          <w:color w:val="000000" w:themeColor="text1"/>
          <w:lang w:val="en-US"/>
        </w:rPr>
        <w:t xml:space="preserve">Standardization </w:t>
      </w:r>
      <w:r w:rsidR="00333762" w:rsidRPr="2D9C0B70">
        <w:rPr>
          <w:rFonts w:cstheme="minorBidi"/>
          <w:color w:val="000000" w:themeColor="text1"/>
          <w:lang w:val="en-US"/>
        </w:rPr>
        <w:t>Bureau</w:t>
      </w:r>
      <w:r w:rsidR="005D7383">
        <w:rPr>
          <w:rFonts w:cstheme="minorBidi"/>
          <w:color w:val="000000" w:themeColor="text1"/>
          <w:lang w:val="en-US"/>
        </w:rPr>
        <w:t>;</w:t>
      </w:r>
      <w:r w:rsidR="00333762">
        <w:rPr>
          <w:rFonts w:cstheme="minorBidi"/>
          <w:color w:val="000000" w:themeColor="text1"/>
          <w:lang w:val="en-US"/>
        </w:rPr>
        <w:t xml:space="preserve"> </w:t>
      </w:r>
      <w:r w:rsidRPr="2D9C0B70">
        <w:rPr>
          <w:rFonts w:cstheme="minorBidi"/>
          <w:color w:val="000000" w:themeColor="text1"/>
          <w:lang w:val="en-US"/>
        </w:rPr>
        <w:t xml:space="preserve">and Mr Yushi </w:t>
      </w:r>
      <w:r w:rsidRPr="2D9C0B70">
        <w:rPr>
          <w:rFonts w:cstheme="minorBidi"/>
          <w:color w:val="000000" w:themeColor="text1"/>
          <w:lang w:val="en-US"/>
        </w:rPr>
        <w:lastRenderedPageBreak/>
        <w:t xml:space="preserve">Torigoe, Deputy to the Director </w:t>
      </w:r>
      <w:r w:rsidR="005D7383">
        <w:rPr>
          <w:rFonts w:cstheme="minorBidi"/>
          <w:color w:val="000000" w:themeColor="text1"/>
          <w:lang w:val="en-US"/>
        </w:rPr>
        <w:t xml:space="preserve">of BDT </w:t>
      </w:r>
      <w:r w:rsidRPr="2D9C0B70">
        <w:rPr>
          <w:rFonts w:cstheme="minorBidi"/>
          <w:color w:val="000000" w:themeColor="text1"/>
          <w:lang w:val="en-US"/>
        </w:rPr>
        <w:t>and Secretary of the meeting.</w:t>
      </w:r>
      <w:r>
        <w:rPr>
          <w:rFonts w:cstheme="minorBidi"/>
          <w:color w:val="000000" w:themeColor="text1"/>
          <w:lang w:val="en-US"/>
        </w:rPr>
        <w:t xml:space="preserve"> </w:t>
      </w:r>
      <w:proofErr w:type="spellStart"/>
      <w:r>
        <w:rPr>
          <w:rFonts w:cstheme="minorBidi"/>
          <w:color w:val="000000" w:themeColor="text1"/>
          <w:lang w:val="en-US"/>
        </w:rPr>
        <w:t>Ms</w:t>
      </w:r>
      <w:proofErr w:type="spellEnd"/>
      <w:r>
        <w:rPr>
          <w:rFonts w:cstheme="minorBidi"/>
          <w:color w:val="000000" w:themeColor="text1"/>
          <w:lang w:val="en-US"/>
        </w:rPr>
        <w:t xml:space="preserve"> Webber introduced the TDAG </w:t>
      </w:r>
      <w:r w:rsidR="00C330B0">
        <w:rPr>
          <w:rFonts w:cstheme="minorBidi"/>
          <w:color w:val="000000" w:themeColor="text1"/>
          <w:lang w:val="en-US"/>
        </w:rPr>
        <w:t>b</w:t>
      </w:r>
      <w:r w:rsidR="005B696A">
        <w:rPr>
          <w:rFonts w:cstheme="minorBidi"/>
          <w:color w:val="000000" w:themeColor="text1"/>
          <w:lang w:val="en-US"/>
        </w:rPr>
        <w:t xml:space="preserve">ureau, which is made up of the TDAG </w:t>
      </w:r>
      <w:r>
        <w:rPr>
          <w:rFonts w:cstheme="minorBidi"/>
          <w:color w:val="000000" w:themeColor="text1"/>
          <w:lang w:val="en-US"/>
        </w:rPr>
        <w:t>Vice</w:t>
      </w:r>
      <w:r w:rsidR="00DE08EE">
        <w:rPr>
          <w:rFonts w:cstheme="minorBidi"/>
          <w:color w:val="000000" w:themeColor="text1"/>
          <w:lang w:val="en-US"/>
        </w:rPr>
        <w:t>-</w:t>
      </w:r>
      <w:r>
        <w:rPr>
          <w:rFonts w:cstheme="minorBidi"/>
          <w:color w:val="000000" w:themeColor="text1"/>
          <w:lang w:val="en-US"/>
        </w:rPr>
        <w:t xml:space="preserve">Chairmen </w:t>
      </w:r>
      <w:r w:rsidR="005B696A">
        <w:rPr>
          <w:rFonts w:cstheme="minorBidi"/>
          <w:color w:val="000000" w:themeColor="text1"/>
          <w:lang w:val="en-US"/>
        </w:rPr>
        <w:t>representing all the regions and the Chair</w:t>
      </w:r>
      <w:r w:rsidR="00DE08EE">
        <w:rPr>
          <w:rFonts w:cstheme="minorBidi"/>
          <w:color w:val="000000" w:themeColor="text1"/>
          <w:lang w:val="en-US"/>
        </w:rPr>
        <w:t>men</w:t>
      </w:r>
      <w:r w:rsidR="005B696A">
        <w:rPr>
          <w:rFonts w:cstheme="minorBidi"/>
          <w:color w:val="000000" w:themeColor="text1"/>
          <w:lang w:val="en-US"/>
        </w:rPr>
        <w:t xml:space="preserve"> of Study Groups 1 and 2</w:t>
      </w:r>
      <w:proofErr w:type="gramStart"/>
      <w:r>
        <w:rPr>
          <w:rFonts w:cstheme="minorHAnsi"/>
          <w:color w:val="000000"/>
          <w:sz w:val="27"/>
          <w:szCs w:val="27"/>
          <w:shd w:val="clear" w:color="auto" w:fill="FFFFFF"/>
          <w:lang w:val="en-US"/>
        </w:rPr>
        <w:t>.</w:t>
      </w:r>
      <w:r>
        <w:rPr>
          <w:rFonts w:cstheme="minorHAnsi"/>
          <w:color w:val="000000"/>
          <w:szCs w:val="24"/>
          <w:vertAlign w:val="superscript"/>
          <w:lang w:val="en-US"/>
        </w:rPr>
        <w:t>.</w:t>
      </w:r>
      <w:proofErr w:type="gramEnd"/>
      <w:r>
        <w:rPr>
          <w:rStyle w:val="FootnoteReference"/>
          <w:rFonts w:cstheme="minorHAnsi"/>
          <w:color w:val="000000"/>
          <w:szCs w:val="24"/>
          <w:vertAlign w:val="superscript"/>
          <w:lang w:val="en-US"/>
        </w:rPr>
        <w:footnoteReference w:id="4"/>
      </w:r>
    </w:p>
    <w:p w:rsidR="003F186F" w:rsidRDefault="00BD73B5" w:rsidP="007B36B3">
      <w:pPr>
        <w:pStyle w:val="ListParagraph"/>
        <w:spacing w:before="240" w:after="120"/>
        <w:ind w:left="357"/>
        <w:contextualSpacing w:val="0"/>
        <w:rPr>
          <w:rStyle w:val="StyleComplex12pt"/>
          <w:rFonts w:cstheme="minorHAnsi"/>
          <w:b/>
          <w:bCs/>
        </w:rPr>
      </w:pPr>
      <w:r w:rsidRPr="003F186F">
        <w:rPr>
          <w:rStyle w:val="StyleComplex12pt"/>
          <w:rFonts w:cstheme="minorHAnsi"/>
          <w:b/>
          <w:bCs/>
        </w:rPr>
        <w:t>Address by the Secretary-General</w:t>
      </w:r>
      <w:r w:rsidR="3E5B1B58" w:rsidRPr="003F186F">
        <w:rPr>
          <w:rStyle w:val="StyleComplex12pt"/>
          <w:rFonts w:cstheme="minorHAnsi"/>
          <w:b/>
          <w:bCs/>
        </w:rPr>
        <w:t xml:space="preserve"> </w:t>
      </w:r>
    </w:p>
    <w:p w:rsidR="003F186F" w:rsidRPr="004C0883" w:rsidRDefault="003F186F" w:rsidP="004D22C2">
      <w:pPr>
        <w:rPr>
          <w:rFonts w:eastAsia="Calibri" w:cs="Calibri"/>
          <w:szCs w:val="24"/>
        </w:rPr>
      </w:pPr>
      <w:r w:rsidRPr="004C0883">
        <w:rPr>
          <w:rFonts w:eastAsia="Calibri" w:cs="Calibri"/>
          <w:szCs w:val="24"/>
        </w:rPr>
        <w:t>Mr Houlin Zhao, ITU Secretary-General opened the 24th meeting of the Telecommunication Development Advisory Group and called on participants to observe a minute of silence</w:t>
      </w:r>
      <w:r w:rsidR="00AF6D52">
        <w:rPr>
          <w:rFonts w:eastAsia="Calibri" w:cs="Calibri"/>
          <w:szCs w:val="24"/>
        </w:rPr>
        <w:t xml:space="preserve"> for Mr. Marcelino Tayob and Ms Maygenet </w:t>
      </w:r>
      <w:proofErr w:type="spellStart"/>
      <w:r w:rsidR="00AF6D52">
        <w:rPr>
          <w:rFonts w:eastAsia="Calibri" w:cs="Calibri"/>
          <w:szCs w:val="24"/>
        </w:rPr>
        <w:t>Abede</w:t>
      </w:r>
      <w:proofErr w:type="spellEnd"/>
      <w:r w:rsidR="00AF6D52">
        <w:rPr>
          <w:rFonts w:eastAsia="Calibri" w:cs="Calibri"/>
          <w:szCs w:val="24"/>
        </w:rPr>
        <w:t xml:space="preserve">, </w:t>
      </w:r>
      <w:r w:rsidR="002352F1">
        <w:rPr>
          <w:rFonts w:eastAsia="Calibri" w:cs="Calibri"/>
          <w:szCs w:val="24"/>
        </w:rPr>
        <w:t xml:space="preserve">the </w:t>
      </w:r>
      <w:r w:rsidR="00AF6D52">
        <w:rPr>
          <w:rFonts w:eastAsia="Calibri" w:cs="Calibri"/>
          <w:szCs w:val="24"/>
        </w:rPr>
        <w:t>two ITU staff who were lost in the March 2019 plane crash.</w:t>
      </w:r>
      <w:r w:rsidR="00070DBE">
        <w:rPr>
          <w:rFonts w:eastAsia="Calibri" w:cs="Calibri"/>
          <w:szCs w:val="24"/>
        </w:rPr>
        <w:t xml:space="preserve"> </w:t>
      </w:r>
      <w:r w:rsidR="00AF6D52">
        <w:rPr>
          <w:rFonts w:eastAsia="Calibri" w:cs="Calibri"/>
          <w:szCs w:val="24"/>
        </w:rPr>
        <w:t>He remarked</w:t>
      </w:r>
      <w:r w:rsidRPr="004C0883">
        <w:rPr>
          <w:rFonts w:eastAsia="Calibri" w:cs="Calibri"/>
          <w:szCs w:val="24"/>
        </w:rPr>
        <w:t>: “Today, we remember our dear colleagues from the Development Bureau, who worked in our Africa Regional Office, and who perished in this tragedy. Marcelino Tayob and Maygenet Abebe exemplified the best of ITU.”</w:t>
      </w:r>
    </w:p>
    <w:p w:rsidR="003F186F" w:rsidRPr="004C0883" w:rsidRDefault="003F186F" w:rsidP="004D22C2">
      <w:pPr>
        <w:rPr>
          <w:rFonts w:eastAsia="Calibri" w:cs="Calibri"/>
          <w:szCs w:val="24"/>
        </w:rPr>
      </w:pPr>
      <w:r w:rsidRPr="004C0883">
        <w:rPr>
          <w:rFonts w:eastAsia="Calibri" w:cs="Calibri"/>
          <w:szCs w:val="24"/>
        </w:rPr>
        <w:t>As this was the first TDAG meeting since the Plenipotentiary Conference in October-November 2018 (PP</w:t>
      </w:r>
      <w:r w:rsidRPr="004C0883">
        <w:rPr>
          <w:rFonts w:eastAsia="Calibri" w:cs="Calibri"/>
          <w:szCs w:val="24"/>
        </w:rPr>
        <w:noBreakHyphen/>
        <w:t>18), in Dubai, United Arab Emirates, the Secretary-General congratulated Ms Doreen Bogdan-Martin on her election as Director of BDT.</w:t>
      </w:r>
    </w:p>
    <w:p w:rsidR="003F186F" w:rsidRPr="004C0883" w:rsidRDefault="003F186F" w:rsidP="00AD0D25">
      <w:pPr>
        <w:rPr>
          <w:rFonts w:eastAsia="Calibri" w:cs="Calibri"/>
          <w:szCs w:val="24"/>
        </w:rPr>
      </w:pPr>
      <w:r w:rsidRPr="004C0883">
        <w:rPr>
          <w:rFonts w:eastAsia="Calibri" w:cs="Calibri"/>
          <w:szCs w:val="24"/>
        </w:rPr>
        <w:t>Highlighting the main conclusions of PP-18, including a new Strategic Plan for ITU for 2020-2023, with bold and ambitious targets, and a reinforced role of ITU in areas ranging from deploying future networks in developing countries to strengthening ITU regional presence to building security and confidence in the use of ICTs, the Secretary-General also noted the new areas of work for ITU approved in Dubai, including bridging the financial inclusion gap, fostering innovation to support the digital economy and society, and encouraging the participation of small and medium-sized enterprises in the activities of the Union.</w:t>
      </w:r>
    </w:p>
    <w:p w:rsidR="003F186F" w:rsidRPr="004C0883" w:rsidRDefault="003F186F" w:rsidP="00AD0D25">
      <w:pPr>
        <w:rPr>
          <w:szCs w:val="24"/>
        </w:rPr>
      </w:pPr>
      <w:r w:rsidRPr="004C0883">
        <w:rPr>
          <w:rFonts w:cs="Arial"/>
          <w:color w:val="000000"/>
          <w:szCs w:val="24"/>
        </w:rPr>
        <w:t xml:space="preserve">The Secretary-General </w:t>
      </w:r>
      <w:r w:rsidRPr="004C0883">
        <w:rPr>
          <w:szCs w:val="24"/>
        </w:rPr>
        <w:t>urged TDAG to increase efforts to encourage investments in ICT development. “</w:t>
      </w:r>
      <w:r w:rsidRPr="004C0883">
        <w:rPr>
          <w:szCs w:val="24"/>
          <w:lang w:val="en-US"/>
        </w:rPr>
        <w:t>What you do here during the course of this meeting will help us continue to leverage technology to accelerate progress toward</w:t>
      </w:r>
      <w:r w:rsidR="00AD0D25">
        <w:rPr>
          <w:szCs w:val="24"/>
          <w:lang w:val="en-US"/>
        </w:rPr>
        <w:t>s</w:t>
      </w:r>
      <w:r w:rsidRPr="004C0883">
        <w:rPr>
          <w:szCs w:val="24"/>
          <w:lang w:val="en-US"/>
        </w:rPr>
        <w:t xml:space="preserve"> the Sustainable Development Goals and deliver on the promise of the digital economy.” He then highlighted some of the upcoming events and invited TDAG participants to attend:</w:t>
      </w:r>
      <w:r w:rsidR="00070DBE">
        <w:rPr>
          <w:szCs w:val="24"/>
          <w:lang w:val="en-US"/>
        </w:rPr>
        <w:t xml:space="preserve"> </w:t>
      </w:r>
      <w:r w:rsidRPr="004C0883">
        <w:rPr>
          <w:szCs w:val="24"/>
        </w:rPr>
        <w:t>WSIS Forum 2019 in Geneva, Switzerland (8 to 12 April 2019)</w:t>
      </w:r>
      <w:r w:rsidR="00AD0D25">
        <w:rPr>
          <w:szCs w:val="24"/>
        </w:rPr>
        <w:t>;</w:t>
      </w:r>
      <w:r w:rsidRPr="004C0883">
        <w:rPr>
          <w:szCs w:val="24"/>
        </w:rPr>
        <w:t xml:space="preserve"> AI for Good Global Summit in Geneva, Switzerland (28 to 31 May 2019)</w:t>
      </w:r>
      <w:r w:rsidR="00AD0D25">
        <w:rPr>
          <w:szCs w:val="24"/>
        </w:rPr>
        <w:t>;</w:t>
      </w:r>
      <w:r w:rsidRPr="004C0883">
        <w:rPr>
          <w:szCs w:val="24"/>
        </w:rPr>
        <w:t xml:space="preserve"> the 19th edition of </w:t>
      </w:r>
      <w:r w:rsidR="00AD0D25">
        <w:rPr>
          <w:szCs w:val="24"/>
        </w:rPr>
        <w:t xml:space="preserve">the </w:t>
      </w:r>
      <w:r w:rsidRPr="004C0883">
        <w:rPr>
          <w:szCs w:val="24"/>
        </w:rPr>
        <w:t>Global Symposium for Regulators in Port Vila, Vanuatu (9 to 12 July 2019)</w:t>
      </w:r>
      <w:r w:rsidR="00AD0D25">
        <w:rPr>
          <w:szCs w:val="24"/>
        </w:rPr>
        <w:t>;</w:t>
      </w:r>
      <w:r w:rsidRPr="004C0883">
        <w:rPr>
          <w:szCs w:val="24"/>
        </w:rPr>
        <w:t xml:space="preserve"> ITU Telecom World 2019 in Budapest, Hungary</w:t>
      </w:r>
      <w:r w:rsidRPr="004C0883">
        <w:rPr>
          <w:rFonts w:ascii="Calibri" w:hAnsi="Calibri"/>
          <w:szCs w:val="24"/>
        </w:rPr>
        <w:t xml:space="preserve"> </w:t>
      </w:r>
      <w:r w:rsidRPr="004C0883">
        <w:rPr>
          <w:szCs w:val="24"/>
        </w:rPr>
        <w:t>(</w:t>
      </w:r>
      <w:r w:rsidRPr="004C0883">
        <w:rPr>
          <w:rFonts w:ascii="Calibri" w:hAnsi="Calibri"/>
          <w:szCs w:val="24"/>
        </w:rPr>
        <w:t>9</w:t>
      </w:r>
      <w:r w:rsidRPr="004C0883">
        <w:rPr>
          <w:szCs w:val="24"/>
        </w:rPr>
        <w:t xml:space="preserve"> to </w:t>
      </w:r>
      <w:r w:rsidRPr="004C0883">
        <w:rPr>
          <w:rFonts w:ascii="Calibri" w:hAnsi="Calibri"/>
          <w:szCs w:val="24"/>
        </w:rPr>
        <w:t>12 September</w:t>
      </w:r>
      <w:r w:rsidRPr="004C0883">
        <w:rPr>
          <w:szCs w:val="24"/>
        </w:rPr>
        <w:t xml:space="preserve"> 2019)</w:t>
      </w:r>
      <w:r w:rsidR="00AD0D25">
        <w:rPr>
          <w:szCs w:val="24"/>
        </w:rPr>
        <w:t>;</w:t>
      </w:r>
      <w:r w:rsidRPr="004C0883">
        <w:rPr>
          <w:szCs w:val="24"/>
        </w:rPr>
        <w:t xml:space="preserve"> and the World </w:t>
      </w:r>
      <w:proofErr w:type="spellStart"/>
      <w:r w:rsidRPr="004C0883">
        <w:rPr>
          <w:szCs w:val="24"/>
        </w:rPr>
        <w:t>Radiocommunication</w:t>
      </w:r>
      <w:proofErr w:type="spellEnd"/>
      <w:r w:rsidRPr="004C0883">
        <w:rPr>
          <w:szCs w:val="24"/>
        </w:rPr>
        <w:t xml:space="preserve"> Conference 2019 in </w:t>
      </w:r>
      <w:proofErr w:type="spellStart"/>
      <w:r w:rsidRPr="004C0883">
        <w:rPr>
          <w:szCs w:val="24"/>
        </w:rPr>
        <w:t>Sharm</w:t>
      </w:r>
      <w:proofErr w:type="spellEnd"/>
      <w:r w:rsidRPr="004C0883">
        <w:rPr>
          <w:szCs w:val="24"/>
        </w:rPr>
        <w:t xml:space="preserve"> el-Sheikh, Egypt (28 October to 22 November 2019).</w:t>
      </w:r>
    </w:p>
    <w:p w:rsidR="003F186F" w:rsidRPr="004C0883" w:rsidRDefault="003F186F" w:rsidP="004D22C2">
      <w:pPr>
        <w:pStyle w:val="Heading2"/>
        <w:spacing w:before="120"/>
        <w:ind w:left="0" w:firstLine="0"/>
        <w:rPr>
          <w:b w:val="0"/>
          <w:szCs w:val="24"/>
        </w:rPr>
      </w:pPr>
      <w:r w:rsidRPr="004C0883">
        <w:rPr>
          <w:b w:val="0"/>
          <w:szCs w:val="24"/>
        </w:rPr>
        <w:t>The Secretary-General</w:t>
      </w:r>
      <w:r w:rsidRPr="004C0883">
        <w:rPr>
          <w:szCs w:val="24"/>
        </w:rPr>
        <w:t xml:space="preserve"> </w:t>
      </w:r>
      <w:r w:rsidRPr="004C0883">
        <w:rPr>
          <w:b w:val="0"/>
          <w:szCs w:val="24"/>
        </w:rPr>
        <w:t xml:space="preserve">also highlighted a </w:t>
      </w:r>
      <w:r w:rsidR="005C2359">
        <w:rPr>
          <w:b w:val="0"/>
          <w:szCs w:val="24"/>
        </w:rPr>
        <w:t xml:space="preserve">recent </w:t>
      </w:r>
      <w:r w:rsidRPr="004C0883">
        <w:rPr>
          <w:b w:val="0"/>
          <w:szCs w:val="24"/>
        </w:rPr>
        <w:t xml:space="preserve">meeting </w:t>
      </w:r>
      <w:r w:rsidR="00AD0D25">
        <w:rPr>
          <w:b w:val="0"/>
          <w:szCs w:val="24"/>
        </w:rPr>
        <w:t xml:space="preserve">he had held </w:t>
      </w:r>
      <w:r w:rsidRPr="004C0883">
        <w:rPr>
          <w:b w:val="0"/>
          <w:szCs w:val="24"/>
        </w:rPr>
        <w:t xml:space="preserve">with ICT ministers from the Africa region to discuss how to help Africa boost </w:t>
      </w:r>
      <w:r w:rsidR="002352F1">
        <w:rPr>
          <w:b w:val="0"/>
          <w:szCs w:val="24"/>
        </w:rPr>
        <w:t xml:space="preserve">its </w:t>
      </w:r>
      <w:r w:rsidRPr="004C0883">
        <w:rPr>
          <w:b w:val="0"/>
          <w:szCs w:val="24"/>
        </w:rPr>
        <w:t xml:space="preserve">development efforts, how to attract and encourage further investment in the continent, and how to work together to facilitate new </w:t>
      </w:r>
      <w:r w:rsidR="002352F1">
        <w:rPr>
          <w:b w:val="0"/>
          <w:szCs w:val="24"/>
        </w:rPr>
        <w:t xml:space="preserve">partnership </w:t>
      </w:r>
      <w:r w:rsidRPr="004C0883">
        <w:rPr>
          <w:b w:val="0"/>
          <w:szCs w:val="24"/>
        </w:rPr>
        <w:t>opportunities in Africa’s best interests.</w:t>
      </w:r>
    </w:p>
    <w:p w:rsidR="00B41642" w:rsidRPr="00D25C0F" w:rsidRDefault="00BD73B5" w:rsidP="007B36B3">
      <w:pPr>
        <w:pStyle w:val="ListParagraph"/>
        <w:spacing w:before="240" w:after="120"/>
        <w:ind w:left="357"/>
        <w:contextualSpacing w:val="0"/>
        <w:rPr>
          <w:rStyle w:val="StyleComplex12pt"/>
          <w:rFonts w:cstheme="minorHAnsi"/>
          <w:b/>
          <w:bCs/>
        </w:rPr>
      </w:pPr>
      <w:r w:rsidRPr="00D25C0F">
        <w:rPr>
          <w:rStyle w:val="StyleComplex12pt"/>
          <w:rFonts w:cstheme="minorHAnsi"/>
          <w:b/>
          <w:bCs/>
        </w:rPr>
        <w:t>Address by the Director of the Telecommunication Development Bureau</w:t>
      </w:r>
      <w:r w:rsidR="000C3365" w:rsidRPr="00D25C0F">
        <w:rPr>
          <w:rStyle w:val="StyleComplex12pt"/>
          <w:rFonts w:cstheme="minorHAnsi"/>
          <w:b/>
          <w:bCs/>
        </w:rPr>
        <w:t xml:space="preserve"> (BDT)</w:t>
      </w:r>
    </w:p>
    <w:p w:rsidR="003F186F" w:rsidRPr="004C0883" w:rsidRDefault="003F186F" w:rsidP="005D7383">
      <w:pPr>
        <w:rPr>
          <w:szCs w:val="24"/>
        </w:rPr>
      </w:pPr>
      <w:r w:rsidRPr="004C0883">
        <w:rPr>
          <w:rFonts w:eastAsia="Calibri" w:cs="Calibri"/>
          <w:szCs w:val="24"/>
        </w:rPr>
        <w:t xml:space="preserve">Ms Doreen Bogdan-Martin, Director of BDT, joined the Secretary-General in paying tribute to Marcelino and Maygenet. </w:t>
      </w:r>
      <w:r>
        <w:rPr>
          <w:rFonts w:eastAsia="Calibri" w:cs="Calibri"/>
          <w:szCs w:val="24"/>
        </w:rPr>
        <w:t>R</w:t>
      </w:r>
      <w:r w:rsidRPr="004C0883">
        <w:rPr>
          <w:rFonts w:eastAsia="Calibri" w:cs="Calibri"/>
          <w:szCs w:val="24"/>
        </w:rPr>
        <w:t>ecogniz</w:t>
      </w:r>
      <w:r>
        <w:rPr>
          <w:rFonts w:eastAsia="Calibri" w:cs="Calibri"/>
          <w:szCs w:val="24"/>
        </w:rPr>
        <w:t xml:space="preserve">ing </w:t>
      </w:r>
      <w:r w:rsidRPr="004C0883">
        <w:rPr>
          <w:rFonts w:eastAsia="Calibri" w:cs="Calibri"/>
          <w:szCs w:val="24"/>
        </w:rPr>
        <w:t>the</w:t>
      </w:r>
      <w:r w:rsidR="002352F1">
        <w:rPr>
          <w:rFonts w:eastAsia="Calibri" w:cs="Calibri"/>
          <w:szCs w:val="24"/>
        </w:rPr>
        <w:t>ir</w:t>
      </w:r>
      <w:r w:rsidRPr="004C0883">
        <w:rPr>
          <w:rFonts w:eastAsia="Calibri" w:cs="Calibri"/>
          <w:szCs w:val="24"/>
        </w:rPr>
        <w:t xml:space="preserve"> dedication and outstanding work</w:t>
      </w:r>
      <w:r w:rsidR="002352F1">
        <w:rPr>
          <w:rFonts w:eastAsia="Calibri" w:cs="Calibri"/>
          <w:szCs w:val="24"/>
        </w:rPr>
        <w:t>,</w:t>
      </w:r>
      <w:r w:rsidRPr="004C0883">
        <w:rPr>
          <w:rFonts w:eastAsia="Calibri" w:cs="Calibri"/>
          <w:szCs w:val="24"/>
        </w:rPr>
        <w:t xml:space="preserve"> </w:t>
      </w:r>
      <w:r>
        <w:rPr>
          <w:rFonts w:eastAsia="Calibri" w:cs="Calibri"/>
          <w:szCs w:val="24"/>
        </w:rPr>
        <w:t xml:space="preserve">the Director </w:t>
      </w:r>
      <w:r w:rsidRPr="004C0883">
        <w:rPr>
          <w:rFonts w:eastAsia="Calibri" w:cs="Calibri"/>
          <w:szCs w:val="24"/>
        </w:rPr>
        <w:t>announc</w:t>
      </w:r>
      <w:r>
        <w:rPr>
          <w:rFonts w:eastAsia="Calibri" w:cs="Calibri"/>
          <w:szCs w:val="24"/>
        </w:rPr>
        <w:t xml:space="preserve">ed </w:t>
      </w:r>
      <w:r w:rsidRPr="004C0883">
        <w:rPr>
          <w:rFonts w:eastAsia="Calibri" w:cs="Calibri"/>
          <w:szCs w:val="24"/>
        </w:rPr>
        <w:t>an ITU Solidarity Fund to continue to support the bereaved families. In addition, and in memory of their outstanding work for ITU, a number of fellowships are being considered in the name of Marcelino, and a sponsored Girls in ICT Prize in the name of Maygenet that will honour aspects of their work for which they were passionate. “</w:t>
      </w:r>
      <w:r w:rsidRPr="004C0883">
        <w:rPr>
          <w:rFonts w:ascii="Calibri" w:hAnsi="Calibri" w:cs="Calibri"/>
          <w:szCs w:val="24"/>
        </w:rPr>
        <w:t xml:space="preserve">We hope that this might serve as a way for </w:t>
      </w:r>
      <w:r w:rsidRPr="004C0883">
        <w:rPr>
          <w:rFonts w:ascii="Calibri" w:hAnsi="Calibri" w:cs="Calibri"/>
          <w:szCs w:val="24"/>
        </w:rPr>
        <w:lastRenderedPageBreak/>
        <w:t>their names to live on and continue to inspire us all, as they always did when they were with us,”</w:t>
      </w:r>
      <w:r w:rsidR="005D7383" w:rsidRPr="005D7383">
        <w:rPr>
          <w:rFonts w:eastAsia="Calibri" w:cs="Calibri"/>
          <w:szCs w:val="24"/>
        </w:rPr>
        <w:t xml:space="preserve"> </w:t>
      </w:r>
      <w:r w:rsidR="005D7383" w:rsidRPr="004C0883">
        <w:rPr>
          <w:rFonts w:eastAsia="Calibri" w:cs="Calibri"/>
          <w:szCs w:val="24"/>
        </w:rPr>
        <w:t>Ms Bogdan-Martin</w:t>
      </w:r>
      <w:r w:rsidRPr="004C0883">
        <w:rPr>
          <w:rFonts w:ascii="Calibri" w:hAnsi="Calibri" w:cs="Calibri"/>
          <w:szCs w:val="24"/>
        </w:rPr>
        <w:t xml:space="preserve"> said.</w:t>
      </w:r>
    </w:p>
    <w:p w:rsidR="003F186F" w:rsidRPr="004C0883" w:rsidRDefault="003F186F" w:rsidP="005D7383">
      <w:pPr>
        <w:rPr>
          <w:rFonts w:eastAsia="Calibri" w:cs="Calibri"/>
          <w:szCs w:val="24"/>
        </w:rPr>
      </w:pPr>
      <w:r w:rsidRPr="004C0883">
        <w:rPr>
          <w:rFonts w:eastAsia="Calibri" w:cs="Calibri"/>
          <w:szCs w:val="24"/>
        </w:rPr>
        <w:t>Welcoming participants to her first TDAG meeting as Director of BDT, Ms Bogdan-Martin said: “</w:t>
      </w:r>
      <w:r w:rsidRPr="004C0883">
        <w:rPr>
          <w:rFonts w:ascii="Calibri" w:eastAsiaTheme="minorEastAsia" w:hAnsi="Calibri" w:cs="Calibri"/>
          <w:szCs w:val="24"/>
          <w:lang w:eastAsia="zh-CN"/>
        </w:rPr>
        <w:t xml:space="preserve">I am delighted to see the faces of so many long-standing and valued colleagues, and also to welcome those delegates who are new to the </w:t>
      </w:r>
      <w:r w:rsidRPr="004C0883">
        <w:rPr>
          <w:rFonts w:eastAsiaTheme="minorEastAsia" w:cs="Calibri"/>
          <w:szCs w:val="24"/>
          <w:lang w:eastAsia="zh-CN"/>
        </w:rPr>
        <w:t xml:space="preserve">Telecommunication </w:t>
      </w:r>
      <w:r w:rsidRPr="004C0883">
        <w:rPr>
          <w:rFonts w:eastAsiaTheme="minorEastAsia" w:cs="Calibri"/>
          <w:szCs w:val="24"/>
          <w:lang w:eastAsia="zh-CN" w:bidi="he-IL"/>
        </w:rPr>
        <w:t>Development Advisory Group.”</w:t>
      </w:r>
      <w:r w:rsidRPr="004C0883">
        <w:rPr>
          <w:rFonts w:eastAsia="Calibri" w:cs="Calibri"/>
          <w:szCs w:val="24"/>
        </w:rPr>
        <w:t xml:space="preserve"> She thanked the TDAG </w:t>
      </w:r>
      <w:r w:rsidR="005D7383">
        <w:rPr>
          <w:rFonts w:eastAsia="Calibri" w:cs="Calibri"/>
          <w:szCs w:val="24"/>
        </w:rPr>
        <w:t>b</w:t>
      </w:r>
      <w:r w:rsidRPr="004C0883">
        <w:rPr>
          <w:rFonts w:eastAsia="Calibri" w:cs="Calibri"/>
          <w:szCs w:val="24"/>
        </w:rPr>
        <w:t xml:space="preserve">ureau for having participated in the 2019 BDT </w:t>
      </w:r>
      <w:r w:rsidR="00C330B0">
        <w:rPr>
          <w:rFonts w:eastAsia="Calibri" w:cs="Calibri"/>
          <w:szCs w:val="24"/>
        </w:rPr>
        <w:t xml:space="preserve">Senior </w:t>
      </w:r>
      <w:r w:rsidR="005D7383">
        <w:rPr>
          <w:rFonts w:eastAsia="Calibri" w:cs="Calibri"/>
          <w:szCs w:val="24"/>
        </w:rPr>
        <w:t>M</w:t>
      </w:r>
      <w:r w:rsidRPr="004C0883">
        <w:rPr>
          <w:rFonts w:eastAsia="Calibri" w:cs="Calibri"/>
          <w:szCs w:val="24"/>
        </w:rPr>
        <w:t xml:space="preserve">anagement </w:t>
      </w:r>
      <w:r w:rsidR="005D7383">
        <w:rPr>
          <w:rFonts w:eastAsia="Calibri" w:cs="Calibri"/>
          <w:szCs w:val="24"/>
        </w:rPr>
        <w:t>R</w:t>
      </w:r>
      <w:r w:rsidRPr="004C0883">
        <w:rPr>
          <w:rFonts w:eastAsia="Calibri" w:cs="Calibri"/>
          <w:szCs w:val="24"/>
        </w:rPr>
        <w:t>etreat, which assessed working methods and identified clear and concrete actions for reform.</w:t>
      </w:r>
    </w:p>
    <w:p w:rsidR="003F186F" w:rsidRPr="004C0883" w:rsidRDefault="003F186F" w:rsidP="004D22C2">
      <w:pPr>
        <w:pStyle w:val="Default"/>
        <w:spacing w:before="120"/>
        <w:rPr>
          <w:rFonts w:eastAsia="Calibri"/>
        </w:rPr>
      </w:pPr>
      <w:r w:rsidRPr="004C0883">
        <w:rPr>
          <w:rFonts w:eastAsia="Calibri"/>
        </w:rPr>
        <w:t xml:space="preserve">The Director outlined her strategic priorities, which include </w:t>
      </w:r>
      <w:r w:rsidRPr="004C0883">
        <w:rPr>
          <w:rFonts w:asciiTheme="minorHAnsi" w:hAnsiTheme="minorHAnsi" w:cs="Arial"/>
        </w:rPr>
        <w:t xml:space="preserve">improved efficiency, </w:t>
      </w:r>
      <w:r w:rsidRPr="004C0883">
        <w:rPr>
          <w:rFonts w:cs="Arial"/>
        </w:rPr>
        <w:t xml:space="preserve">achieving </w:t>
      </w:r>
      <w:r w:rsidRPr="004C0883">
        <w:rPr>
          <w:rFonts w:asciiTheme="minorHAnsi" w:hAnsiTheme="minorHAnsi" w:cs="Arial"/>
        </w:rPr>
        <w:t xml:space="preserve">regional relevance, a greater focus on partnerships, more effective capacity building </w:t>
      </w:r>
      <w:r w:rsidRPr="004C0883">
        <w:rPr>
          <w:rFonts w:asciiTheme="minorHAnsi" w:hAnsiTheme="minorHAnsi"/>
        </w:rPr>
        <w:t xml:space="preserve">and data-driven thought leadership based on strengthening statistic-gathering and analysis capabilities. </w:t>
      </w:r>
      <w:r w:rsidRPr="004C0883">
        <w:t xml:space="preserve">Our goal, she said, is to succeed in implementing the outcomes of WTDC-17 and </w:t>
      </w:r>
      <w:r w:rsidRPr="004C0883">
        <w:rPr>
          <w:rFonts w:eastAsia="Calibri"/>
        </w:rPr>
        <w:t xml:space="preserve">connect the remaining 50 per cent of the world population through the work of a BDT that is fit for purpose. </w:t>
      </w:r>
    </w:p>
    <w:p w:rsidR="003F186F" w:rsidRPr="004C0883" w:rsidRDefault="003F186F" w:rsidP="00260955">
      <w:pPr>
        <w:pStyle w:val="Default"/>
        <w:spacing w:before="120"/>
        <w:rPr>
          <w:rFonts w:asciiTheme="minorHAnsi" w:hAnsiTheme="minorHAnsi"/>
        </w:rPr>
      </w:pPr>
      <w:r w:rsidRPr="004C0883">
        <w:rPr>
          <w:rFonts w:asciiTheme="minorHAnsi" w:hAnsiTheme="minorHAnsi" w:cs="Arial"/>
        </w:rPr>
        <w:t>As she put it: “C</w:t>
      </w:r>
      <w:r w:rsidRPr="004C0883">
        <w:rPr>
          <w:rFonts w:asciiTheme="minorHAnsi" w:hAnsiTheme="minorHAnsi"/>
        </w:rPr>
        <w:t>onnecting the remaining half of the world’s population is a new type of challenge. These people and communities have different needs, and face different barriers − some of which are considerable. We need to work differently, to be much more innovative and creative in our approach to policy-making and ICT regulation, and to be more proactive in our efforts to identify new types of hybrid partnership models that can bring connectivity to where it</w:t>
      </w:r>
      <w:r w:rsidR="00260955">
        <w:rPr>
          <w:rFonts w:asciiTheme="minorHAnsi" w:hAnsiTheme="minorHAnsi"/>
        </w:rPr>
        <w:t xml:space="preserve"> is</w:t>
      </w:r>
      <w:r w:rsidRPr="004C0883">
        <w:rPr>
          <w:rFonts w:asciiTheme="minorHAnsi" w:hAnsiTheme="minorHAnsi"/>
        </w:rPr>
        <w:t xml:space="preserve"> most needed.”</w:t>
      </w:r>
    </w:p>
    <w:p w:rsidR="003F186F" w:rsidRPr="004C0883" w:rsidRDefault="003F186F" w:rsidP="00E51996">
      <w:pPr>
        <w:pStyle w:val="Default"/>
        <w:spacing w:before="120"/>
        <w:rPr>
          <w:rFonts w:eastAsia="Calibri"/>
        </w:rPr>
      </w:pPr>
      <w:r w:rsidRPr="004C0883">
        <w:rPr>
          <w:rFonts w:eastAsia="Calibri"/>
        </w:rPr>
        <w:t>The Director underlined the need to reinforce collaboration with membership and within BDT to build on internal strengths, and where needed, to reform and streamline BDT priorities and processes. This means leveraging the skills of BDT staff and encouraging team work to be able to connect with and support the Member States.</w:t>
      </w:r>
    </w:p>
    <w:p w:rsidR="003F186F" w:rsidRPr="004C0883" w:rsidRDefault="003F186F" w:rsidP="00260955">
      <w:pPr>
        <w:rPr>
          <w:rFonts w:eastAsia="Calibri" w:cs="Calibri"/>
          <w:szCs w:val="24"/>
        </w:rPr>
      </w:pPr>
      <w:r w:rsidRPr="004C0883">
        <w:rPr>
          <w:rFonts w:eastAsia="Calibri" w:cs="Calibri"/>
          <w:szCs w:val="24"/>
        </w:rPr>
        <w:t>The Director also emphasized the importance of creating inter-</w:t>
      </w:r>
      <w:r w:rsidR="00260955">
        <w:rPr>
          <w:rFonts w:eastAsia="Calibri" w:cs="Calibri"/>
          <w:szCs w:val="24"/>
        </w:rPr>
        <w:t>S</w:t>
      </w:r>
      <w:r w:rsidRPr="004C0883">
        <w:rPr>
          <w:rFonts w:eastAsia="Calibri" w:cs="Calibri"/>
          <w:szCs w:val="24"/>
        </w:rPr>
        <w:t xml:space="preserve">ectoral synergies and leveraging ITU-wide skills and expertise. She also announced future actions and initiatives that will engage young people including </w:t>
      </w:r>
      <w:r w:rsidR="005C2359">
        <w:rPr>
          <w:rFonts w:eastAsia="Calibri" w:cs="Calibri"/>
          <w:szCs w:val="24"/>
        </w:rPr>
        <w:t xml:space="preserve">creating </w:t>
      </w:r>
      <w:r w:rsidRPr="004C0883">
        <w:rPr>
          <w:rFonts w:eastAsia="Calibri" w:cs="Calibri"/>
          <w:szCs w:val="24"/>
        </w:rPr>
        <w:t xml:space="preserve">a new youth development advisory group, and working towards </w:t>
      </w:r>
      <w:r w:rsidR="005C2359">
        <w:rPr>
          <w:rFonts w:eastAsia="Calibri" w:cs="Calibri"/>
          <w:szCs w:val="24"/>
        </w:rPr>
        <w:t xml:space="preserve">more </w:t>
      </w:r>
      <w:r w:rsidRPr="004C0883">
        <w:rPr>
          <w:rFonts w:eastAsia="Calibri" w:cs="Calibri"/>
          <w:szCs w:val="24"/>
        </w:rPr>
        <w:t xml:space="preserve">youth </w:t>
      </w:r>
      <w:r w:rsidR="005C2359">
        <w:rPr>
          <w:rFonts w:eastAsia="Calibri" w:cs="Calibri"/>
          <w:szCs w:val="24"/>
        </w:rPr>
        <w:t xml:space="preserve">engagement in </w:t>
      </w:r>
      <w:r w:rsidRPr="004C0883">
        <w:rPr>
          <w:rFonts w:eastAsia="Calibri" w:cs="Calibri"/>
          <w:szCs w:val="24"/>
        </w:rPr>
        <w:t>WTDC-21.</w:t>
      </w:r>
      <w:r>
        <w:rPr>
          <w:rFonts w:eastAsia="Calibri" w:cs="Calibri"/>
          <w:szCs w:val="24"/>
        </w:rPr>
        <w:t xml:space="preserve"> </w:t>
      </w:r>
      <w:r w:rsidRPr="004C0883">
        <w:rPr>
          <w:rFonts w:eastAsia="Calibri" w:cs="Calibri"/>
          <w:bCs/>
          <w:szCs w:val="24"/>
        </w:rPr>
        <w:t xml:space="preserve">Innovations to the workings of the TDAG were also announced, and the Director underlined the unique opportunity TDAG offered for discussion </w:t>
      </w:r>
      <w:r w:rsidR="005C2359">
        <w:rPr>
          <w:rFonts w:eastAsia="Calibri" w:cs="Calibri"/>
          <w:bCs/>
          <w:szCs w:val="24"/>
        </w:rPr>
        <w:t>and strategic advice</w:t>
      </w:r>
      <w:r w:rsidRPr="004C0883">
        <w:rPr>
          <w:rFonts w:eastAsia="Calibri" w:cs="Calibri"/>
          <w:szCs w:val="24"/>
        </w:rPr>
        <w:t>.</w:t>
      </w:r>
    </w:p>
    <w:p w:rsidR="00B41642" w:rsidRPr="007B36B3" w:rsidRDefault="00BD73B5">
      <w:pPr>
        <w:pStyle w:val="ListParagraph"/>
        <w:spacing w:before="240" w:after="120"/>
        <w:ind w:left="357"/>
        <w:contextualSpacing w:val="0"/>
        <w:rPr>
          <w:rStyle w:val="StyleComplex12pt"/>
          <w:rFonts w:cstheme="minorHAnsi"/>
          <w:b/>
          <w:bCs/>
        </w:rPr>
      </w:pPr>
      <w:r w:rsidRPr="007029FB">
        <w:rPr>
          <w:rStyle w:val="StyleComplex12pt"/>
          <w:rFonts w:cstheme="minorHAnsi"/>
          <w:b/>
          <w:bCs/>
        </w:rPr>
        <w:t>Opening remarks by the Chairman of TDAG</w:t>
      </w:r>
    </w:p>
    <w:p w:rsidR="007029FB" w:rsidRDefault="007029FB" w:rsidP="007029FB">
      <w:pPr>
        <w:rPr>
          <w:rFonts w:eastAsia="Calibri" w:cs="Calibri"/>
          <w:szCs w:val="24"/>
        </w:rPr>
      </w:pPr>
      <w:r w:rsidRPr="004A7616">
        <w:rPr>
          <w:rFonts w:eastAsia="Calibri" w:cs="Calibri"/>
          <w:szCs w:val="24"/>
        </w:rPr>
        <w:t>The TDAG Chairman extended a warm welcome to the former Chairman</w:t>
      </w:r>
      <w:r>
        <w:rPr>
          <w:rFonts w:eastAsia="Calibri" w:cs="Calibri"/>
          <w:szCs w:val="24"/>
        </w:rPr>
        <w:t>, Prof Vladimir Minkin (</w:t>
      </w:r>
      <w:r w:rsidRPr="007C7370">
        <w:rPr>
          <w:rFonts w:eastAsia="Calibri" w:cs="Calibri"/>
          <w:b/>
          <w:szCs w:val="24"/>
        </w:rPr>
        <w:t>Russian Federation</w:t>
      </w:r>
      <w:r>
        <w:rPr>
          <w:rFonts w:eastAsia="Calibri" w:cs="Calibri"/>
          <w:szCs w:val="24"/>
        </w:rPr>
        <w:t>)</w:t>
      </w:r>
      <w:r w:rsidRPr="004A7616">
        <w:rPr>
          <w:rFonts w:eastAsia="Calibri" w:cs="Calibri"/>
          <w:szCs w:val="24"/>
        </w:rPr>
        <w:t xml:space="preserve"> and stated that TDAG will build on the tremendous work already achieved.</w:t>
      </w:r>
    </w:p>
    <w:p w:rsidR="007029FB" w:rsidRDefault="007029FB" w:rsidP="007029FB">
      <w:pPr>
        <w:rPr>
          <w:rFonts w:eastAsia="Calibri" w:cs="Calibri"/>
          <w:szCs w:val="24"/>
        </w:rPr>
      </w:pPr>
      <w:r w:rsidRPr="004A7616">
        <w:rPr>
          <w:rFonts w:eastAsia="Calibri" w:cs="Calibri"/>
          <w:szCs w:val="24"/>
        </w:rPr>
        <w:t xml:space="preserve">She </w:t>
      </w:r>
      <w:r>
        <w:rPr>
          <w:rFonts w:eastAsia="Calibri" w:cs="Calibri"/>
          <w:szCs w:val="24"/>
        </w:rPr>
        <w:t xml:space="preserve">noted her support and appreciation for </w:t>
      </w:r>
      <w:r w:rsidRPr="004A7616">
        <w:rPr>
          <w:rFonts w:eastAsia="Calibri" w:cs="Calibri"/>
          <w:szCs w:val="24"/>
        </w:rPr>
        <w:t xml:space="preserve">the </w:t>
      </w:r>
      <w:r>
        <w:rPr>
          <w:rFonts w:eastAsia="Calibri" w:cs="Calibri"/>
          <w:szCs w:val="24"/>
        </w:rPr>
        <w:t xml:space="preserve">message delivered by the </w:t>
      </w:r>
      <w:r w:rsidRPr="004A7616">
        <w:rPr>
          <w:rFonts w:eastAsia="Calibri" w:cs="Calibri"/>
          <w:szCs w:val="24"/>
        </w:rPr>
        <w:t>Secretary-General and the new BDT Director</w:t>
      </w:r>
      <w:r>
        <w:rPr>
          <w:rFonts w:eastAsia="Calibri" w:cs="Calibri"/>
          <w:szCs w:val="24"/>
        </w:rPr>
        <w:t xml:space="preserve">, which confirmed their commitment to </w:t>
      </w:r>
      <w:r w:rsidRPr="004A7616">
        <w:rPr>
          <w:rFonts w:eastAsia="Calibri" w:cs="Calibri"/>
          <w:szCs w:val="24"/>
        </w:rPr>
        <w:t>connect the unconnected and to tak</w:t>
      </w:r>
      <w:r>
        <w:rPr>
          <w:rFonts w:eastAsia="Calibri" w:cs="Calibri"/>
          <w:szCs w:val="24"/>
        </w:rPr>
        <w:t xml:space="preserve">e </w:t>
      </w:r>
      <w:r w:rsidRPr="004A7616">
        <w:rPr>
          <w:rFonts w:eastAsia="Calibri" w:cs="Calibri"/>
          <w:szCs w:val="24"/>
        </w:rPr>
        <w:t xml:space="preserve">actions that will </w:t>
      </w:r>
      <w:r>
        <w:rPr>
          <w:rFonts w:eastAsia="Calibri" w:cs="Calibri"/>
          <w:szCs w:val="24"/>
        </w:rPr>
        <w:t>have a real impact.</w:t>
      </w:r>
      <w:r w:rsidR="00070DBE">
        <w:rPr>
          <w:rFonts w:eastAsia="Calibri" w:cs="Calibri"/>
          <w:szCs w:val="24"/>
        </w:rPr>
        <w:t xml:space="preserve"> </w:t>
      </w:r>
      <w:r>
        <w:rPr>
          <w:rFonts w:eastAsia="Calibri" w:cs="Calibri"/>
          <w:szCs w:val="24"/>
        </w:rPr>
        <w:t>Keeping in mind those that are continuing to grow and emerge, t</w:t>
      </w:r>
      <w:r w:rsidRPr="004A7616">
        <w:rPr>
          <w:rFonts w:eastAsia="Calibri" w:cs="Calibri"/>
          <w:szCs w:val="24"/>
        </w:rPr>
        <w:t xml:space="preserve">his, she </w:t>
      </w:r>
      <w:r>
        <w:rPr>
          <w:rFonts w:eastAsia="Calibri" w:cs="Calibri"/>
          <w:szCs w:val="24"/>
        </w:rPr>
        <w:t>stated</w:t>
      </w:r>
      <w:r w:rsidRPr="004A7616">
        <w:rPr>
          <w:rFonts w:eastAsia="Calibri" w:cs="Calibri"/>
          <w:szCs w:val="24"/>
        </w:rPr>
        <w:t xml:space="preserve">, is the essence </w:t>
      </w:r>
      <w:r>
        <w:rPr>
          <w:rFonts w:eastAsia="Calibri" w:cs="Calibri"/>
          <w:szCs w:val="24"/>
        </w:rPr>
        <w:t xml:space="preserve">and focus </w:t>
      </w:r>
      <w:r w:rsidRPr="004A7616">
        <w:rPr>
          <w:rFonts w:eastAsia="Calibri" w:cs="Calibri"/>
          <w:szCs w:val="24"/>
        </w:rPr>
        <w:t>of the Development Sector</w:t>
      </w:r>
      <w:r>
        <w:rPr>
          <w:rFonts w:eastAsia="Calibri" w:cs="Calibri"/>
          <w:szCs w:val="24"/>
        </w:rPr>
        <w:t>, and that this simple, concrete message will be important to guide and measure our efforts towards achieving these goals.</w:t>
      </w:r>
    </w:p>
    <w:p w:rsidR="007029FB" w:rsidRDefault="007029FB">
      <w:pPr>
        <w:rPr>
          <w:rFonts w:eastAsia="Calibri" w:cs="Calibri"/>
          <w:szCs w:val="24"/>
        </w:rPr>
      </w:pPr>
      <w:r w:rsidRPr="004C0883">
        <w:rPr>
          <w:rFonts w:eastAsia="Calibri" w:cs="Calibri"/>
          <w:szCs w:val="24"/>
        </w:rPr>
        <w:t xml:space="preserve">The TDAG Chairman </w:t>
      </w:r>
      <w:r>
        <w:rPr>
          <w:rFonts w:eastAsia="Calibri" w:cs="Calibri"/>
          <w:szCs w:val="24"/>
        </w:rPr>
        <w:t xml:space="preserve">emphasized </w:t>
      </w:r>
      <w:r w:rsidRPr="004C0883">
        <w:rPr>
          <w:rFonts w:eastAsia="Calibri" w:cs="Calibri"/>
          <w:szCs w:val="24"/>
        </w:rPr>
        <w:t xml:space="preserve">that </w:t>
      </w:r>
      <w:r>
        <w:rPr>
          <w:rFonts w:eastAsia="Calibri" w:cs="Calibri"/>
          <w:szCs w:val="24"/>
        </w:rPr>
        <w:t xml:space="preserve">because ITU acts on behalf of its membership, when we </w:t>
      </w:r>
      <w:r w:rsidRPr="004C0883">
        <w:rPr>
          <w:rFonts w:eastAsia="Calibri" w:cs="Calibri"/>
          <w:szCs w:val="24"/>
        </w:rPr>
        <w:t>support the work ITU elected officials are doing</w:t>
      </w:r>
      <w:r>
        <w:rPr>
          <w:rFonts w:eastAsia="Calibri" w:cs="Calibri"/>
          <w:szCs w:val="24"/>
        </w:rPr>
        <w:t xml:space="preserve"> to connect and impact the world</w:t>
      </w:r>
      <w:r w:rsidRPr="004C0883">
        <w:rPr>
          <w:rFonts w:eastAsia="Calibri" w:cs="Calibri"/>
          <w:szCs w:val="24"/>
        </w:rPr>
        <w:t xml:space="preserve">, </w:t>
      </w:r>
      <w:r>
        <w:rPr>
          <w:rFonts w:eastAsia="Calibri" w:cs="Calibri"/>
          <w:szCs w:val="24"/>
        </w:rPr>
        <w:t xml:space="preserve">we can change the world for good </w:t>
      </w:r>
      <w:r w:rsidRPr="004C0883">
        <w:rPr>
          <w:rFonts w:eastAsia="Calibri" w:cs="Calibri"/>
          <w:szCs w:val="24"/>
        </w:rPr>
        <w:t xml:space="preserve">in a way that cannot be achieved in isolation as individual countries, companies, or academia. </w:t>
      </w:r>
    </w:p>
    <w:p w:rsidR="007029FB" w:rsidRDefault="007029FB">
      <w:pPr>
        <w:rPr>
          <w:rFonts w:eastAsia="Calibri" w:cs="Calibri"/>
          <w:szCs w:val="24"/>
        </w:rPr>
      </w:pPr>
      <w:r>
        <w:rPr>
          <w:rFonts w:eastAsia="Calibri" w:cs="Calibri"/>
          <w:szCs w:val="24"/>
        </w:rPr>
        <w:t>She continued that TDAG would build on the ITU-D tradition of continuous improvement and innovation to work towards a more perfect ITU and in some measure a more perfect world.</w:t>
      </w:r>
      <w:r w:rsidR="00070DBE">
        <w:rPr>
          <w:rFonts w:eastAsia="Calibri" w:cs="Calibri"/>
          <w:szCs w:val="24"/>
        </w:rPr>
        <w:t xml:space="preserve"> </w:t>
      </w:r>
      <w:r>
        <w:rPr>
          <w:rFonts w:eastAsia="Calibri" w:cs="Calibri"/>
          <w:szCs w:val="24"/>
        </w:rPr>
        <w:t>She expressed deep appreciation for all the information the new Director, Ms Doreen Bogdan</w:t>
      </w:r>
      <w:r w:rsidR="00436557">
        <w:rPr>
          <w:rFonts w:eastAsia="Calibri" w:cs="Calibri"/>
          <w:szCs w:val="24"/>
        </w:rPr>
        <w:t>-</w:t>
      </w:r>
      <w:r>
        <w:rPr>
          <w:rFonts w:eastAsia="Calibri" w:cs="Calibri"/>
          <w:szCs w:val="24"/>
        </w:rPr>
        <w:t xml:space="preserve">Martin </w:t>
      </w:r>
      <w:r>
        <w:rPr>
          <w:rFonts w:eastAsia="Calibri" w:cs="Calibri"/>
          <w:szCs w:val="24"/>
        </w:rPr>
        <w:lastRenderedPageBreak/>
        <w:t xml:space="preserve">and her staff prepared for TDAG consideration, particularly the reality in the regions – a herculean task </w:t>
      </w:r>
      <w:r w:rsidR="00DE08EE">
        <w:rPr>
          <w:rFonts w:eastAsia="Calibri" w:cs="Calibri"/>
          <w:szCs w:val="24"/>
        </w:rPr>
        <w:t xml:space="preserve">– </w:t>
      </w:r>
      <w:r>
        <w:rPr>
          <w:rFonts w:eastAsia="Calibri" w:cs="Calibri"/>
          <w:szCs w:val="24"/>
        </w:rPr>
        <w:t>because as noted previously, information on the status of developing countries is necessary for TDAG to provide meaningful advice.</w:t>
      </w:r>
      <w:r w:rsidR="00070DBE">
        <w:rPr>
          <w:rFonts w:eastAsia="Calibri" w:cs="Calibri"/>
          <w:szCs w:val="24"/>
        </w:rPr>
        <w:t xml:space="preserve"> </w:t>
      </w:r>
    </w:p>
    <w:p w:rsidR="007029FB" w:rsidRDefault="007029FB">
      <w:pPr>
        <w:rPr>
          <w:rFonts w:eastAsia="Calibri" w:cs="Calibri"/>
          <w:szCs w:val="24"/>
        </w:rPr>
      </w:pPr>
      <w:r w:rsidRPr="004C0883">
        <w:rPr>
          <w:rFonts w:eastAsia="Calibri" w:cs="Calibri"/>
          <w:szCs w:val="24"/>
        </w:rPr>
        <w:t>The TDAG Chairman was confident that the new leadership will continue to refine, improve and innovate</w:t>
      </w:r>
      <w:r>
        <w:rPr>
          <w:rFonts w:eastAsia="Calibri" w:cs="Calibri"/>
          <w:szCs w:val="24"/>
        </w:rPr>
        <w:t>,</w:t>
      </w:r>
      <w:r w:rsidRPr="004C0883">
        <w:rPr>
          <w:rFonts w:eastAsia="Calibri" w:cs="Calibri"/>
          <w:szCs w:val="24"/>
        </w:rPr>
        <w:t xml:space="preserve"> </w:t>
      </w:r>
      <w:r>
        <w:rPr>
          <w:rFonts w:eastAsia="Calibri" w:cs="Calibri"/>
          <w:szCs w:val="24"/>
        </w:rPr>
        <w:t>and left the participants with one of her favo</w:t>
      </w:r>
      <w:r w:rsidR="00DE08EE">
        <w:rPr>
          <w:rFonts w:eastAsia="Calibri" w:cs="Calibri"/>
          <w:szCs w:val="24"/>
        </w:rPr>
        <w:t>u</w:t>
      </w:r>
      <w:r>
        <w:rPr>
          <w:rFonts w:eastAsia="Calibri" w:cs="Calibri"/>
          <w:szCs w:val="24"/>
        </w:rPr>
        <w:t>rite adages as apropos to the sector in general and to their upcoming work for TDAG-19</w:t>
      </w:r>
      <w:r w:rsidRPr="004C0883">
        <w:rPr>
          <w:rFonts w:eastAsia="Calibri" w:cs="Calibri"/>
          <w:szCs w:val="24"/>
        </w:rPr>
        <w:t xml:space="preserve">… </w:t>
      </w:r>
      <w:r>
        <w:rPr>
          <w:rFonts w:eastAsia="Calibri" w:cs="Calibri"/>
          <w:szCs w:val="24"/>
        </w:rPr>
        <w:t>“</w:t>
      </w:r>
      <w:proofErr w:type="gramStart"/>
      <w:r w:rsidRPr="004C0883">
        <w:rPr>
          <w:rFonts w:eastAsia="Calibri" w:cs="Calibri"/>
          <w:szCs w:val="24"/>
        </w:rPr>
        <w:t>we</w:t>
      </w:r>
      <w:proofErr w:type="gramEnd"/>
      <w:r w:rsidRPr="004C0883">
        <w:rPr>
          <w:rFonts w:eastAsia="Calibri" w:cs="Calibri"/>
          <w:szCs w:val="24"/>
        </w:rPr>
        <w:t xml:space="preserve"> must always be prepared for endless transformation.”</w:t>
      </w:r>
      <w:r>
        <w:rPr>
          <w:rFonts w:eastAsia="Calibri" w:cs="Calibri"/>
          <w:szCs w:val="24"/>
        </w:rPr>
        <w:t xml:space="preserve"> </w:t>
      </w:r>
    </w:p>
    <w:p w:rsidR="00B41642" w:rsidRPr="00EA4144" w:rsidRDefault="00403A52" w:rsidP="00EA4144">
      <w:pPr>
        <w:pStyle w:val="ListParagraph"/>
        <w:numPr>
          <w:ilvl w:val="0"/>
          <w:numId w:val="27"/>
        </w:numPr>
        <w:ind w:left="357" w:hanging="357"/>
        <w:contextualSpacing w:val="0"/>
        <w:rPr>
          <w:b/>
          <w:bCs/>
        </w:rPr>
      </w:pPr>
      <w:r w:rsidRPr="00EA4144">
        <w:rPr>
          <w:b/>
          <w:bCs/>
        </w:rPr>
        <w:t>A</w:t>
      </w:r>
      <w:r w:rsidR="0001111C" w:rsidRPr="00EA4144">
        <w:rPr>
          <w:b/>
          <w:bCs/>
        </w:rPr>
        <w:t>GENDA,</w:t>
      </w:r>
      <w:r w:rsidRPr="00EA4144">
        <w:rPr>
          <w:b/>
          <w:bCs/>
        </w:rPr>
        <w:t xml:space="preserve"> </w:t>
      </w:r>
      <w:r w:rsidR="0001111C" w:rsidRPr="00EA4144">
        <w:rPr>
          <w:b/>
          <w:bCs/>
        </w:rPr>
        <w:t xml:space="preserve">TIME MANAGEMENT </w:t>
      </w:r>
      <w:r w:rsidRPr="00EA4144">
        <w:rPr>
          <w:b/>
          <w:bCs/>
        </w:rPr>
        <w:t>and</w:t>
      </w:r>
      <w:r w:rsidR="0001111C" w:rsidRPr="00EA4144">
        <w:rPr>
          <w:b/>
          <w:bCs/>
        </w:rPr>
        <w:t xml:space="preserve"> TDAG APPOINTMENTS</w:t>
      </w:r>
    </w:p>
    <w:p w:rsidR="006D48A6" w:rsidRPr="00957B6C" w:rsidRDefault="00673C1F" w:rsidP="009B5B24">
      <w:pPr>
        <w:spacing w:after="120"/>
        <w:rPr>
          <w:rFonts w:cstheme="minorBidi"/>
          <w:color w:val="000000" w:themeColor="text1"/>
          <w:szCs w:val="24"/>
        </w:rPr>
      </w:pPr>
      <w:r>
        <w:rPr>
          <w:rFonts w:cstheme="minorBidi"/>
          <w:b/>
          <w:bCs/>
          <w:color w:val="000000" w:themeColor="text1"/>
          <w:szCs w:val="24"/>
        </w:rPr>
        <w:t>3.1</w:t>
      </w:r>
      <w:r>
        <w:rPr>
          <w:rFonts w:cstheme="minorBidi"/>
          <w:b/>
          <w:bCs/>
          <w:color w:val="000000" w:themeColor="text1"/>
          <w:szCs w:val="24"/>
        </w:rPr>
        <w:tab/>
      </w:r>
      <w:r w:rsidR="002C5BFC" w:rsidRPr="007B36B3">
        <w:rPr>
          <w:rFonts w:cstheme="minorBidi"/>
          <w:bCs/>
          <w:color w:val="000000" w:themeColor="text1"/>
          <w:szCs w:val="24"/>
        </w:rPr>
        <w:t xml:space="preserve">The </w:t>
      </w:r>
      <w:r w:rsidR="000D5552" w:rsidRPr="007B36B3">
        <w:rPr>
          <w:rFonts w:cstheme="minorBidi"/>
          <w:bCs/>
          <w:color w:val="000000" w:themeColor="text1"/>
          <w:szCs w:val="24"/>
        </w:rPr>
        <w:t>m</w:t>
      </w:r>
      <w:r w:rsidR="002C5BFC" w:rsidRPr="007B36B3">
        <w:rPr>
          <w:rFonts w:cstheme="minorBidi"/>
          <w:bCs/>
          <w:color w:val="000000" w:themeColor="text1"/>
          <w:szCs w:val="24"/>
        </w:rPr>
        <w:t xml:space="preserve">eeting’s agenda and time management plan are contained in </w:t>
      </w:r>
      <w:r w:rsidR="25A7936B" w:rsidRPr="007B36B3">
        <w:rPr>
          <w:rFonts w:cstheme="minorBidi"/>
          <w:bCs/>
          <w:color w:val="000000" w:themeColor="text1"/>
          <w:szCs w:val="24"/>
        </w:rPr>
        <w:t>Documents</w:t>
      </w:r>
      <w:r w:rsidR="25A7936B" w:rsidRPr="00C53029">
        <w:rPr>
          <w:rFonts w:cstheme="minorBidi"/>
          <w:b/>
          <w:bCs/>
          <w:color w:val="000000" w:themeColor="text1"/>
          <w:szCs w:val="24"/>
        </w:rPr>
        <w:t xml:space="preserve"> </w:t>
      </w:r>
      <w:hyperlink r:id="rId10" w:history="1">
        <w:r w:rsidR="00BD73B5" w:rsidRPr="00C53029">
          <w:rPr>
            <w:rStyle w:val="Hyperlink"/>
            <w:rFonts w:cs="Calibri"/>
            <w:b/>
            <w:bCs/>
            <w:szCs w:val="24"/>
          </w:rPr>
          <w:t>1</w:t>
        </w:r>
      </w:hyperlink>
      <w:r w:rsidR="25A7936B" w:rsidRPr="00957B6C">
        <w:rPr>
          <w:rFonts w:cstheme="minorBidi"/>
          <w:color w:val="000000" w:themeColor="text1"/>
          <w:szCs w:val="24"/>
        </w:rPr>
        <w:t xml:space="preserve"> and </w:t>
      </w:r>
      <w:r w:rsidR="00BD73B5" w:rsidRPr="00C53029">
        <w:rPr>
          <w:rStyle w:val="Hyperlink"/>
          <w:rFonts w:cs="Calibri"/>
          <w:b/>
          <w:bCs/>
          <w:szCs w:val="24"/>
        </w:rPr>
        <w:t>DT/1</w:t>
      </w:r>
      <w:r w:rsidR="25A7936B" w:rsidRPr="00957B6C">
        <w:rPr>
          <w:rFonts w:cstheme="minorBidi"/>
          <w:color w:val="000000" w:themeColor="text1"/>
          <w:szCs w:val="24"/>
        </w:rPr>
        <w:t xml:space="preserve"> </w:t>
      </w:r>
      <w:r w:rsidR="002C5BFC">
        <w:rPr>
          <w:rFonts w:cstheme="minorBidi"/>
          <w:color w:val="000000" w:themeColor="text1"/>
          <w:szCs w:val="24"/>
        </w:rPr>
        <w:t xml:space="preserve">and </w:t>
      </w:r>
      <w:r w:rsidR="25A7936B" w:rsidRPr="00957B6C">
        <w:rPr>
          <w:rFonts w:cstheme="minorBidi"/>
          <w:color w:val="000000" w:themeColor="text1"/>
          <w:szCs w:val="24"/>
        </w:rPr>
        <w:t xml:space="preserve">were considered together. </w:t>
      </w:r>
      <w:r w:rsidR="006D48A6" w:rsidRPr="00957B6C">
        <w:rPr>
          <w:rFonts w:cstheme="minorBidi"/>
          <w:color w:val="000000" w:themeColor="text1"/>
          <w:szCs w:val="24"/>
        </w:rPr>
        <w:t xml:space="preserve">All </w:t>
      </w:r>
      <w:r w:rsidR="00CF0FE5" w:rsidRPr="00957B6C">
        <w:rPr>
          <w:rFonts w:cstheme="minorBidi"/>
          <w:color w:val="000000" w:themeColor="text1"/>
          <w:szCs w:val="24"/>
        </w:rPr>
        <w:t xml:space="preserve">meeting </w:t>
      </w:r>
      <w:r w:rsidR="006D48A6" w:rsidRPr="00957B6C">
        <w:rPr>
          <w:rFonts w:cstheme="minorBidi"/>
          <w:color w:val="000000" w:themeColor="text1"/>
          <w:szCs w:val="24"/>
        </w:rPr>
        <w:t xml:space="preserve">documents cited in this report were </w:t>
      </w:r>
      <w:r w:rsidR="006D48A6" w:rsidRPr="00957B6C">
        <w:rPr>
          <w:rFonts w:cstheme="minorBidi"/>
          <w:color w:val="000000" w:themeColor="text1"/>
        </w:rPr>
        <w:t>introduced on behalf of the BDT Director</w:t>
      </w:r>
      <w:r w:rsidR="00CF0FE5" w:rsidRPr="00957B6C">
        <w:rPr>
          <w:rFonts w:cstheme="minorBidi"/>
          <w:color w:val="000000" w:themeColor="text1"/>
          <w:szCs w:val="24"/>
        </w:rPr>
        <w:t>, unless stated otherwise.</w:t>
      </w:r>
    </w:p>
    <w:tbl>
      <w:tblPr>
        <w:tblStyle w:val="TableGrid"/>
        <w:tblW w:w="0" w:type="auto"/>
        <w:tblLook w:val="04A0" w:firstRow="1" w:lastRow="0" w:firstColumn="1" w:lastColumn="0" w:noHBand="0" w:noVBand="1"/>
      </w:tblPr>
      <w:tblGrid>
        <w:gridCol w:w="9629"/>
      </w:tblGrid>
      <w:tr w:rsidR="00F21C52" w:rsidRPr="00616F42" w:rsidTr="4BA30F97">
        <w:tc>
          <w:tcPr>
            <w:tcW w:w="9629" w:type="dxa"/>
          </w:tcPr>
          <w:p w:rsidR="00F21C52" w:rsidRPr="00616F42" w:rsidRDefault="00783772">
            <w:pPr>
              <w:spacing w:after="120"/>
              <w:rPr>
                <w:rFonts w:cstheme="minorBidi"/>
                <w:color w:val="000000" w:themeColor="text1"/>
                <w:szCs w:val="24"/>
              </w:rPr>
            </w:pPr>
            <w:r w:rsidRPr="00616F42">
              <w:rPr>
                <w:rFonts w:eastAsia="Calibri" w:cs="Calibri"/>
                <w:szCs w:val="24"/>
              </w:rPr>
              <w:t>The agenda was adopted without modification</w:t>
            </w:r>
            <w:r w:rsidR="006B7F0B">
              <w:rPr>
                <w:rFonts w:eastAsia="Calibri" w:cs="Calibri"/>
                <w:szCs w:val="24"/>
              </w:rPr>
              <w:t>; t</w:t>
            </w:r>
            <w:r w:rsidRPr="00616F42">
              <w:rPr>
                <w:rFonts w:eastAsia="Calibri" w:cs="Calibri"/>
                <w:szCs w:val="24"/>
              </w:rPr>
              <w:t xml:space="preserve">he </w:t>
            </w:r>
            <w:r w:rsidR="00436557">
              <w:rPr>
                <w:rFonts w:eastAsia="Calibri" w:cs="Calibri"/>
                <w:szCs w:val="24"/>
              </w:rPr>
              <w:t>t</w:t>
            </w:r>
            <w:r w:rsidRPr="00616F42">
              <w:rPr>
                <w:rFonts w:eastAsia="Calibri" w:cs="Calibri"/>
                <w:szCs w:val="24"/>
              </w:rPr>
              <w:t xml:space="preserve">ime </w:t>
            </w:r>
            <w:r w:rsidR="00436557">
              <w:rPr>
                <w:rFonts w:eastAsia="Calibri" w:cs="Calibri"/>
                <w:szCs w:val="24"/>
              </w:rPr>
              <w:t>m</w:t>
            </w:r>
            <w:r w:rsidRPr="00616F42">
              <w:rPr>
                <w:rFonts w:eastAsia="Calibri" w:cs="Calibri"/>
                <w:szCs w:val="24"/>
              </w:rPr>
              <w:t xml:space="preserve">anagement </w:t>
            </w:r>
            <w:r w:rsidR="00436557">
              <w:rPr>
                <w:rFonts w:eastAsia="Calibri" w:cs="Calibri"/>
                <w:szCs w:val="24"/>
              </w:rPr>
              <w:t>p</w:t>
            </w:r>
            <w:r w:rsidRPr="00616F42">
              <w:rPr>
                <w:rFonts w:eastAsia="Calibri" w:cs="Calibri"/>
                <w:szCs w:val="24"/>
              </w:rPr>
              <w:t>lan was adopted following modification.</w:t>
            </w:r>
          </w:p>
        </w:tc>
      </w:tr>
    </w:tbl>
    <w:p w:rsidR="00062D6A" w:rsidRDefault="00673C1F" w:rsidP="00EA4144">
      <w:pPr>
        <w:keepNext/>
        <w:spacing w:after="120"/>
        <w:ind w:left="505" w:hanging="505"/>
        <w:rPr>
          <w:rStyle w:val="StyleComplex12pt"/>
          <w:rFonts w:cstheme="minorHAnsi"/>
          <w:b/>
          <w:bCs/>
        </w:rPr>
      </w:pPr>
      <w:r w:rsidRPr="007B36B3">
        <w:rPr>
          <w:rStyle w:val="StyleComplex12pt"/>
          <w:rFonts w:cstheme="minorHAnsi"/>
          <w:b/>
          <w:bCs/>
        </w:rPr>
        <w:t>3.2</w:t>
      </w:r>
      <w:r w:rsidR="003B551C" w:rsidRPr="001B43E9">
        <w:rPr>
          <w:rStyle w:val="StyleComplex12pt"/>
          <w:rFonts w:cstheme="minorHAnsi"/>
          <w:b/>
          <w:bCs/>
        </w:rPr>
        <w:tab/>
      </w:r>
      <w:r w:rsidR="00EB02E7" w:rsidRPr="001B43E9">
        <w:rPr>
          <w:rStyle w:val="StyleComplex12pt"/>
          <w:rFonts w:cstheme="minorHAnsi"/>
          <w:b/>
          <w:bCs/>
        </w:rPr>
        <w:t>N</w:t>
      </w:r>
      <w:r w:rsidR="00720F35" w:rsidRPr="005E09F3">
        <w:rPr>
          <w:rStyle w:val="StyleComplex12pt"/>
          <w:rFonts w:cstheme="minorHAnsi"/>
          <w:b/>
          <w:bCs/>
        </w:rPr>
        <w:t>ew TDAG Vice-Chairm</w:t>
      </w:r>
      <w:r w:rsidR="00783772" w:rsidRPr="005E09F3">
        <w:rPr>
          <w:rStyle w:val="StyleComplex12pt"/>
          <w:rFonts w:cstheme="minorHAnsi"/>
          <w:b/>
          <w:bCs/>
        </w:rPr>
        <w:t>e</w:t>
      </w:r>
      <w:r w:rsidR="00720F35" w:rsidRPr="005E09F3">
        <w:rPr>
          <w:rStyle w:val="StyleComplex12pt"/>
          <w:rFonts w:cstheme="minorHAnsi"/>
          <w:b/>
          <w:bCs/>
        </w:rPr>
        <w:t xml:space="preserve">n </w:t>
      </w:r>
      <w:r w:rsidR="00EB02E7" w:rsidRPr="005E09F3">
        <w:rPr>
          <w:rStyle w:val="StyleComplex12pt"/>
          <w:rFonts w:cstheme="minorHAnsi"/>
          <w:b/>
          <w:bCs/>
        </w:rPr>
        <w:t>a</w:t>
      </w:r>
      <w:r w:rsidR="00B567B2" w:rsidRPr="005E09F3">
        <w:rPr>
          <w:rStyle w:val="StyleComplex12pt"/>
          <w:rFonts w:cstheme="minorHAnsi"/>
          <w:b/>
          <w:bCs/>
        </w:rPr>
        <w:t xml:space="preserve">ppointed </w:t>
      </w:r>
      <w:r w:rsidR="00720F35" w:rsidRPr="005E09F3">
        <w:rPr>
          <w:rStyle w:val="StyleComplex12pt"/>
          <w:rFonts w:cstheme="minorHAnsi"/>
          <w:b/>
          <w:bCs/>
        </w:rPr>
        <w:t>to vacant positions</w:t>
      </w:r>
    </w:p>
    <w:p w:rsidR="004C75FD" w:rsidRPr="00957B6C" w:rsidRDefault="008E2757">
      <w:pPr>
        <w:keepNext/>
        <w:spacing w:before="240" w:after="120"/>
        <w:rPr>
          <w:szCs w:val="24"/>
        </w:rPr>
      </w:pPr>
      <w:r w:rsidRPr="00957B6C">
        <w:rPr>
          <w:szCs w:val="24"/>
        </w:rPr>
        <w:t>TDAG expressed gratitude to two of its vice-chairmen from the Americas and the Commonwealth of Independent States (CIS) region</w:t>
      </w:r>
      <w:r>
        <w:rPr>
          <w:szCs w:val="24"/>
        </w:rPr>
        <w:t>s</w:t>
      </w:r>
      <w:r w:rsidRPr="00957B6C">
        <w:rPr>
          <w:szCs w:val="24"/>
        </w:rPr>
        <w:t xml:space="preserve"> respectively, who had served admirably for the first year of the 2018-2021 period.</w:t>
      </w:r>
      <w:r>
        <w:rPr>
          <w:szCs w:val="24"/>
        </w:rPr>
        <w:t xml:space="preserve"> </w:t>
      </w:r>
      <w:r w:rsidR="00841303">
        <w:rPr>
          <w:szCs w:val="24"/>
        </w:rPr>
        <w:t xml:space="preserve">TDAG then considered </w:t>
      </w:r>
      <w:hyperlink r:id="rId11">
        <w:r w:rsidR="00062D6A" w:rsidRPr="00957B6C">
          <w:rPr>
            <w:rStyle w:val="Hyperlink"/>
            <w:rFonts w:cstheme="minorBidi"/>
            <w:b/>
            <w:bCs/>
            <w:szCs w:val="24"/>
          </w:rPr>
          <w:t>Document 7</w:t>
        </w:r>
      </w:hyperlink>
      <w:r>
        <w:rPr>
          <w:rFonts w:cstheme="minorBidi"/>
          <w:color w:val="000000" w:themeColor="text1"/>
          <w:szCs w:val="24"/>
        </w:rPr>
        <w:t xml:space="preserve"> </w:t>
      </w:r>
      <w:r w:rsidR="00841303">
        <w:rPr>
          <w:rFonts w:cstheme="minorBidi"/>
          <w:color w:val="000000" w:themeColor="text1"/>
          <w:szCs w:val="24"/>
        </w:rPr>
        <w:t>containing</w:t>
      </w:r>
      <w:r w:rsidR="00070DBE">
        <w:rPr>
          <w:rFonts w:cstheme="minorBidi"/>
          <w:color w:val="000000" w:themeColor="text1"/>
          <w:szCs w:val="24"/>
        </w:rPr>
        <w:t xml:space="preserve"> </w:t>
      </w:r>
      <w:r w:rsidR="00642F8F" w:rsidRPr="00957B6C">
        <w:rPr>
          <w:szCs w:val="24"/>
        </w:rPr>
        <w:t>letters from</w:t>
      </w:r>
      <w:r w:rsidR="00CD46D2" w:rsidRPr="00957B6C">
        <w:rPr>
          <w:szCs w:val="24"/>
        </w:rPr>
        <w:t xml:space="preserve"> </w:t>
      </w:r>
      <w:r w:rsidR="0090375C" w:rsidRPr="00957B6C">
        <w:rPr>
          <w:szCs w:val="24"/>
        </w:rPr>
        <w:t xml:space="preserve">the </w:t>
      </w:r>
      <w:r w:rsidR="00642F8F" w:rsidRPr="00957B6C">
        <w:rPr>
          <w:szCs w:val="24"/>
        </w:rPr>
        <w:t xml:space="preserve">administrations </w:t>
      </w:r>
      <w:r w:rsidR="00F953C1" w:rsidRPr="00957B6C">
        <w:rPr>
          <w:szCs w:val="24"/>
        </w:rPr>
        <w:t xml:space="preserve">of the </w:t>
      </w:r>
      <w:r w:rsidR="00F953C1" w:rsidRPr="007B36B3">
        <w:rPr>
          <w:b/>
          <w:szCs w:val="24"/>
        </w:rPr>
        <w:t>Dominican Republic</w:t>
      </w:r>
      <w:r w:rsidR="00F953C1" w:rsidRPr="00957B6C">
        <w:rPr>
          <w:szCs w:val="24"/>
        </w:rPr>
        <w:t xml:space="preserve"> and </w:t>
      </w:r>
      <w:r w:rsidR="00E353F3" w:rsidRPr="007B36B3">
        <w:rPr>
          <w:b/>
          <w:szCs w:val="24"/>
        </w:rPr>
        <w:t>Kyrgyz Republic</w:t>
      </w:r>
      <w:r w:rsidR="00E353F3" w:rsidRPr="00957B6C" w:rsidDel="00E353F3">
        <w:rPr>
          <w:szCs w:val="24"/>
        </w:rPr>
        <w:t xml:space="preserve"> </w:t>
      </w:r>
      <w:r w:rsidR="00642F8F" w:rsidRPr="00957B6C">
        <w:rPr>
          <w:szCs w:val="24"/>
        </w:rPr>
        <w:t>su</w:t>
      </w:r>
      <w:r>
        <w:rPr>
          <w:szCs w:val="24"/>
        </w:rPr>
        <w:t>pporting</w:t>
      </w:r>
      <w:r w:rsidR="00642F8F" w:rsidRPr="00957B6C">
        <w:rPr>
          <w:szCs w:val="24"/>
        </w:rPr>
        <w:t xml:space="preserve"> </w:t>
      </w:r>
      <w:r w:rsidR="00CD46D2" w:rsidRPr="00957B6C">
        <w:rPr>
          <w:szCs w:val="24"/>
        </w:rPr>
        <w:t xml:space="preserve">their candidates </w:t>
      </w:r>
      <w:r w:rsidR="00BA54A8" w:rsidRPr="00957B6C">
        <w:rPr>
          <w:szCs w:val="24"/>
        </w:rPr>
        <w:t xml:space="preserve">for these </w:t>
      </w:r>
      <w:r w:rsidR="00841303">
        <w:rPr>
          <w:szCs w:val="24"/>
        </w:rPr>
        <w:t xml:space="preserve">vacant </w:t>
      </w:r>
      <w:r w:rsidR="00642F8F" w:rsidRPr="00957B6C">
        <w:rPr>
          <w:szCs w:val="24"/>
        </w:rPr>
        <w:t>position</w:t>
      </w:r>
      <w:r w:rsidR="00BA54A8" w:rsidRPr="00957B6C">
        <w:rPr>
          <w:szCs w:val="24"/>
        </w:rPr>
        <w:t>s</w:t>
      </w:r>
      <w:r w:rsidR="00642F8F" w:rsidRPr="00957B6C">
        <w:rPr>
          <w:szCs w:val="24"/>
        </w:rPr>
        <w:t xml:space="preserve">. </w:t>
      </w:r>
    </w:p>
    <w:tbl>
      <w:tblPr>
        <w:tblStyle w:val="TableGrid"/>
        <w:tblW w:w="0" w:type="auto"/>
        <w:tblLook w:val="04A0" w:firstRow="1" w:lastRow="0" w:firstColumn="1" w:lastColumn="0" w:noHBand="0" w:noVBand="1"/>
      </w:tblPr>
      <w:tblGrid>
        <w:gridCol w:w="9629"/>
      </w:tblGrid>
      <w:tr w:rsidR="00062D6A" w:rsidRPr="00957B6C" w:rsidTr="00661D2E">
        <w:trPr>
          <w:trHeight w:val="699"/>
        </w:trPr>
        <w:tc>
          <w:tcPr>
            <w:tcW w:w="9629" w:type="dxa"/>
          </w:tcPr>
          <w:p w:rsidR="005445AD" w:rsidRPr="00957B6C" w:rsidRDefault="005445AD" w:rsidP="009B5B24">
            <w:pPr>
              <w:spacing w:after="120"/>
              <w:rPr>
                <w:szCs w:val="24"/>
              </w:rPr>
            </w:pPr>
            <w:r w:rsidRPr="00957B6C">
              <w:rPr>
                <w:szCs w:val="24"/>
              </w:rPr>
              <w:t xml:space="preserve">TDAG appointed by acclamation </w:t>
            </w:r>
            <w:r w:rsidRPr="00957B6C">
              <w:rPr>
                <w:b/>
                <w:bCs/>
                <w:szCs w:val="24"/>
              </w:rPr>
              <w:t xml:space="preserve">Ms Amparo </w:t>
            </w:r>
            <w:proofErr w:type="spellStart"/>
            <w:r w:rsidRPr="00957B6C">
              <w:rPr>
                <w:b/>
                <w:bCs/>
                <w:szCs w:val="24"/>
              </w:rPr>
              <w:t>Arango</w:t>
            </w:r>
            <w:proofErr w:type="spellEnd"/>
            <w:r w:rsidRPr="00957B6C">
              <w:rPr>
                <w:b/>
                <w:bCs/>
                <w:szCs w:val="24"/>
              </w:rPr>
              <w:t xml:space="preserve"> </w:t>
            </w:r>
            <w:proofErr w:type="spellStart"/>
            <w:r w:rsidRPr="00957B6C">
              <w:rPr>
                <w:b/>
                <w:bCs/>
                <w:szCs w:val="24"/>
              </w:rPr>
              <w:t>Echeverri</w:t>
            </w:r>
            <w:proofErr w:type="spellEnd"/>
            <w:r w:rsidRPr="00957B6C">
              <w:rPr>
                <w:szCs w:val="24"/>
              </w:rPr>
              <w:t xml:space="preserve">, Manager of International Relations </w:t>
            </w:r>
            <w:r w:rsidR="00F8577E">
              <w:rPr>
                <w:szCs w:val="24"/>
              </w:rPr>
              <w:t>at</w:t>
            </w:r>
            <w:r w:rsidRPr="00957B6C">
              <w:rPr>
                <w:szCs w:val="24"/>
              </w:rPr>
              <w:t xml:space="preserve"> the Dominican Institute of Telecommunications (INDOTEL), as a TDAG Vice</w:t>
            </w:r>
            <w:r w:rsidRPr="00957B6C">
              <w:rPr>
                <w:szCs w:val="24"/>
              </w:rPr>
              <w:noBreakHyphen/>
              <w:t>Chairman, replacing Ms</w:t>
            </w:r>
            <w:r w:rsidR="004C75FD" w:rsidRPr="00957B6C">
              <w:rPr>
                <w:szCs w:val="24"/>
              </w:rPr>
              <w:t xml:space="preserve"> </w:t>
            </w:r>
            <w:r w:rsidRPr="00957B6C">
              <w:rPr>
                <w:szCs w:val="24"/>
              </w:rPr>
              <w:t>Katrina Naut.</w:t>
            </w:r>
          </w:p>
          <w:p w:rsidR="00062D6A" w:rsidRPr="00957B6C" w:rsidRDefault="005445AD" w:rsidP="008B1511">
            <w:pPr>
              <w:spacing w:after="120"/>
              <w:rPr>
                <w:rFonts w:cstheme="minorBidi"/>
                <w:color w:val="000000" w:themeColor="text1"/>
                <w:szCs w:val="24"/>
              </w:rPr>
            </w:pPr>
            <w:r w:rsidRPr="00957B6C">
              <w:rPr>
                <w:szCs w:val="24"/>
              </w:rPr>
              <w:t xml:space="preserve">TDAG </w:t>
            </w:r>
            <w:r w:rsidR="00F953C1" w:rsidRPr="00957B6C">
              <w:rPr>
                <w:szCs w:val="24"/>
              </w:rPr>
              <w:t xml:space="preserve">also </w:t>
            </w:r>
            <w:r w:rsidRPr="00957B6C">
              <w:rPr>
                <w:szCs w:val="24"/>
              </w:rPr>
              <w:t>appointed by acclamation</w:t>
            </w:r>
            <w:r w:rsidRPr="00957B6C">
              <w:rPr>
                <w:b/>
                <w:bCs/>
                <w:szCs w:val="24"/>
              </w:rPr>
              <w:t xml:space="preserve"> Ms </w:t>
            </w:r>
            <w:proofErr w:type="spellStart"/>
            <w:r w:rsidRPr="00957B6C">
              <w:rPr>
                <w:b/>
                <w:bCs/>
                <w:szCs w:val="24"/>
              </w:rPr>
              <w:t>Aichurok</w:t>
            </w:r>
            <w:proofErr w:type="spellEnd"/>
            <w:r w:rsidRPr="00957B6C">
              <w:rPr>
                <w:b/>
                <w:bCs/>
                <w:szCs w:val="24"/>
              </w:rPr>
              <w:t xml:space="preserve"> </w:t>
            </w:r>
            <w:proofErr w:type="spellStart"/>
            <w:r w:rsidRPr="00957B6C">
              <w:rPr>
                <w:b/>
                <w:bCs/>
                <w:szCs w:val="24"/>
              </w:rPr>
              <w:t>Maralbek</w:t>
            </w:r>
            <w:proofErr w:type="spellEnd"/>
            <w:r w:rsidRPr="00957B6C">
              <w:rPr>
                <w:b/>
                <w:bCs/>
                <w:szCs w:val="24"/>
              </w:rPr>
              <w:t xml:space="preserve"> </w:t>
            </w:r>
            <w:proofErr w:type="spellStart"/>
            <w:r w:rsidRPr="00957B6C">
              <w:rPr>
                <w:b/>
                <w:bCs/>
                <w:szCs w:val="24"/>
              </w:rPr>
              <w:t>Kyzy</w:t>
            </w:r>
            <w:proofErr w:type="spellEnd"/>
            <w:r w:rsidRPr="00957B6C">
              <w:rPr>
                <w:szCs w:val="24"/>
              </w:rPr>
              <w:t>, Chief Expert of the Radio Spectrum Management Department of the State Communications Agency in the State Committee of Information Technologies and Communications of the Kyrgyz Republic, as a TDAG Vice</w:t>
            </w:r>
            <w:r w:rsidRPr="00957B6C">
              <w:rPr>
                <w:szCs w:val="24"/>
              </w:rPr>
              <w:noBreakHyphen/>
              <w:t xml:space="preserve">Chairman, replacing Ms </w:t>
            </w:r>
            <w:proofErr w:type="spellStart"/>
            <w:r w:rsidRPr="00957B6C">
              <w:rPr>
                <w:szCs w:val="24"/>
              </w:rPr>
              <w:t>Nurzat</w:t>
            </w:r>
            <w:proofErr w:type="spellEnd"/>
            <w:r w:rsidRPr="00957B6C">
              <w:rPr>
                <w:szCs w:val="24"/>
              </w:rPr>
              <w:t xml:space="preserve"> </w:t>
            </w:r>
            <w:proofErr w:type="spellStart"/>
            <w:r w:rsidRPr="00957B6C">
              <w:rPr>
                <w:szCs w:val="24"/>
              </w:rPr>
              <w:t>Boljobekova</w:t>
            </w:r>
            <w:proofErr w:type="spellEnd"/>
            <w:r w:rsidRPr="00957B6C">
              <w:rPr>
                <w:szCs w:val="24"/>
              </w:rPr>
              <w:t>.</w:t>
            </w:r>
          </w:p>
        </w:tc>
      </w:tr>
    </w:tbl>
    <w:p w:rsidR="00EB02E7" w:rsidRPr="00EA4144" w:rsidRDefault="00FD1160" w:rsidP="00EA4144">
      <w:pPr>
        <w:pStyle w:val="ListParagraph"/>
        <w:numPr>
          <w:ilvl w:val="0"/>
          <w:numId w:val="27"/>
        </w:numPr>
        <w:ind w:left="357" w:hanging="357"/>
        <w:contextualSpacing w:val="0"/>
        <w:rPr>
          <w:b/>
          <w:bCs/>
        </w:rPr>
      </w:pPr>
      <w:r w:rsidRPr="00EA4144">
        <w:rPr>
          <w:b/>
          <w:bCs/>
        </w:rPr>
        <w:t xml:space="preserve">2018 </w:t>
      </w:r>
      <w:r w:rsidR="00EB02E7" w:rsidRPr="00EA4144">
        <w:rPr>
          <w:b/>
          <w:bCs/>
        </w:rPr>
        <w:t>ITU P</w:t>
      </w:r>
      <w:r w:rsidR="0001111C" w:rsidRPr="00EA4144">
        <w:rPr>
          <w:b/>
          <w:bCs/>
        </w:rPr>
        <w:t>LENIPOTENTIARY</w:t>
      </w:r>
      <w:r w:rsidR="00A92D0D" w:rsidRPr="00EA4144">
        <w:rPr>
          <w:b/>
          <w:bCs/>
        </w:rPr>
        <w:t xml:space="preserve"> and </w:t>
      </w:r>
      <w:r w:rsidR="00EB02E7" w:rsidRPr="00EA4144">
        <w:rPr>
          <w:b/>
          <w:bCs/>
        </w:rPr>
        <w:t xml:space="preserve">WSIS </w:t>
      </w:r>
      <w:r w:rsidR="00A92D0D" w:rsidRPr="00EA4144">
        <w:rPr>
          <w:b/>
          <w:bCs/>
        </w:rPr>
        <w:t xml:space="preserve">MATTERS RELEVANT TO ITU-D </w:t>
      </w:r>
    </w:p>
    <w:p w:rsidR="00EB5336" w:rsidRPr="00EB02E7" w:rsidRDefault="00EB02E7" w:rsidP="00EA4144">
      <w:pPr>
        <w:pStyle w:val="ListParagraph"/>
        <w:numPr>
          <w:ilvl w:val="1"/>
          <w:numId w:val="28"/>
        </w:numPr>
        <w:spacing w:before="240" w:after="120"/>
        <w:ind w:left="391" w:hanging="391"/>
        <w:contextualSpacing w:val="0"/>
        <w:rPr>
          <w:rStyle w:val="StyleComplex12pt"/>
          <w:rFonts w:cstheme="minorHAnsi"/>
          <w:b/>
          <w:bCs/>
        </w:rPr>
      </w:pPr>
      <w:r>
        <w:rPr>
          <w:b/>
          <w:szCs w:val="24"/>
        </w:rPr>
        <w:t>T</w:t>
      </w:r>
      <w:r w:rsidR="003C5C8E" w:rsidRPr="007B36B3">
        <w:rPr>
          <w:b/>
          <w:szCs w:val="24"/>
        </w:rPr>
        <w:t xml:space="preserve">he </w:t>
      </w:r>
      <w:r w:rsidR="00A81585" w:rsidRPr="007B36B3">
        <w:rPr>
          <w:b/>
          <w:szCs w:val="24"/>
        </w:rPr>
        <w:t>20</w:t>
      </w:r>
      <w:r w:rsidR="00841303">
        <w:rPr>
          <w:b/>
          <w:szCs w:val="24"/>
        </w:rPr>
        <w:t>th</w:t>
      </w:r>
      <w:r w:rsidR="00A81585" w:rsidRPr="007B36B3">
        <w:rPr>
          <w:b/>
          <w:szCs w:val="24"/>
        </w:rPr>
        <w:t xml:space="preserve"> ITU </w:t>
      </w:r>
      <w:r w:rsidR="003C5C8E" w:rsidRPr="007B36B3">
        <w:rPr>
          <w:b/>
          <w:szCs w:val="24"/>
        </w:rPr>
        <w:t>Plenipotentiary Conference</w:t>
      </w:r>
      <w:r w:rsidR="001D7DAE" w:rsidRPr="00EB02E7">
        <w:rPr>
          <w:rStyle w:val="StyleComplex12pt"/>
          <w:rFonts w:cstheme="minorHAnsi"/>
          <w:b/>
          <w:bCs/>
        </w:rPr>
        <w:t xml:space="preserve"> </w:t>
      </w:r>
      <w:r w:rsidR="003C5C8E" w:rsidRPr="00EB02E7">
        <w:rPr>
          <w:rStyle w:val="StyleComplex12pt"/>
          <w:rFonts w:cstheme="minorHAnsi"/>
          <w:b/>
          <w:bCs/>
        </w:rPr>
        <w:t>(</w:t>
      </w:r>
      <w:r w:rsidR="00153505" w:rsidRPr="00EB02E7">
        <w:rPr>
          <w:rStyle w:val="StyleComplex12pt"/>
          <w:rFonts w:cstheme="minorHAnsi"/>
          <w:b/>
          <w:bCs/>
        </w:rPr>
        <w:t>PP-18</w:t>
      </w:r>
      <w:r w:rsidR="003C5C8E" w:rsidRPr="00EB02E7">
        <w:rPr>
          <w:rStyle w:val="StyleComplex12pt"/>
          <w:rFonts w:cstheme="minorHAnsi"/>
          <w:b/>
          <w:bCs/>
        </w:rPr>
        <w:t>)</w:t>
      </w:r>
      <w:r w:rsidR="00153505" w:rsidRPr="00EB02E7">
        <w:rPr>
          <w:rStyle w:val="StyleComplex12pt"/>
          <w:rFonts w:cstheme="minorHAnsi"/>
          <w:b/>
          <w:bCs/>
        </w:rPr>
        <w:t xml:space="preserve"> </w:t>
      </w:r>
    </w:p>
    <w:p w:rsidR="00AF11BB" w:rsidRPr="00CA2F79" w:rsidRDefault="00A81585">
      <w:pPr>
        <w:spacing w:before="240" w:after="120"/>
        <w:rPr>
          <w:rFonts w:cstheme="minorBidi"/>
          <w:color w:val="000000" w:themeColor="text1"/>
          <w:szCs w:val="24"/>
        </w:rPr>
      </w:pPr>
      <w:r>
        <w:rPr>
          <w:rFonts w:cstheme="minorBidi"/>
          <w:color w:val="000000" w:themeColor="text1"/>
          <w:szCs w:val="24"/>
        </w:rPr>
        <w:t xml:space="preserve">PP-18 </w:t>
      </w:r>
      <w:r w:rsidRPr="00CA2F79">
        <w:rPr>
          <w:rFonts w:cstheme="minorBidi"/>
          <w:color w:val="000000" w:themeColor="text1"/>
          <w:szCs w:val="24"/>
        </w:rPr>
        <w:t xml:space="preserve">outcomes </w:t>
      </w:r>
      <w:r w:rsidRPr="00CA2F79">
        <w:rPr>
          <w:szCs w:val="24"/>
        </w:rPr>
        <w:t xml:space="preserve">are contained in the Final Acts signed by Member States at the end of </w:t>
      </w:r>
      <w:r>
        <w:rPr>
          <w:szCs w:val="24"/>
        </w:rPr>
        <w:t xml:space="preserve">the </w:t>
      </w:r>
      <w:r w:rsidR="00436557">
        <w:rPr>
          <w:szCs w:val="24"/>
        </w:rPr>
        <w:t>c</w:t>
      </w:r>
      <w:r>
        <w:rPr>
          <w:szCs w:val="24"/>
        </w:rPr>
        <w:t>onference</w:t>
      </w:r>
      <w:r w:rsidRPr="00CA2F79">
        <w:rPr>
          <w:szCs w:val="24"/>
        </w:rPr>
        <w:t xml:space="preserve">, </w:t>
      </w:r>
      <w:r w:rsidR="006B7F0B">
        <w:rPr>
          <w:szCs w:val="24"/>
        </w:rPr>
        <w:t xml:space="preserve">and </w:t>
      </w:r>
      <w:r w:rsidRPr="00CA2F79">
        <w:rPr>
          <w:szCs w:val="24"/>
        </w:rPr>
        <w:t>reaffir</w:t>
      </w:r>
      <w:r w:rsidR="006B7F0B">
        <w:rPr>
          <w:szCs w:val="24"/>
        </w:rPr>
        <w:t>m</w:t>
      </w:r>
      <w:r w:rsidRPr="00CA2F79">
        <w:rPr>
          <w:szCs w:val="24"/>
        </w:rPr>
        <w:t xml:space="preserve"> their commitment to a connected world, where information and communication technolog</w:t>
      </w:r>
      <w:r>
        <w:rPr>
          <w:szCs w:val="24"/>
        </w:rPr>
        <w:t>ies are</w:t>
      </w:r>
      <w:r w:rsidRPr="00CA2F79">
        <w:rPr>
          <w:szCs w:val="24"/>
        </w:rPr>
        <w:t xml:space="preserve"> a source for good for everyone, everywhere.</w:t>
      </w:r>
      <w:r w:rsidR="0001111C">
        <w:rPr>
          <w:rStyle w:val="Hyperlink"/>
          <w:rFonts w:cstheme="minorBidi"/>
          <w:b/>
          <w:bCs/>
          <w:szCs w:val="24"/>
        </w:rPr>
        <w:t xml:space="preserve"> </w:t>
      </w:r>
      <w:hyperlink r:id="rId12">
        <w:r w:rsidR="00062D6A" w:rsidRPr="00CA2F79">
          <w:rPr>
            <w:rStyle w:val="Hyperlink"/>
            <w:rFonts w:cstheme="minorBidi"/>
            <w:b/>
            <w:bCs/>
            <w:szCs w:val="24"/>
          </w:rPr>
          <w:t>Document 4</w:t>
        </w:r>
      </w:hyperlink>
      <w:r>
        <w:rPr>
          <w:rStyle w:val="Hyperlink"/>
          <w:rFonts w:cstheme="minorBidi"/>
          <w:b/>
          <w:bCs/>
          <w:szCs w:val="24"/>
        </w:rPr>
        <w:t xml:space="preserve"> </w:t>
      </w:r>
      <w:r w:rsidR="00062D6A" w:rsidRPr="00CA2F79">
        <w:rPr>
          <w:rFonts w:cstheme="minorBidi"/>
          <w:color w:val="000000" w:themeColor="text1"/>
          <w:szCs w:val="24"/>
        </w:rPr>
        <w:t>summarizes</w:t>
      </w:r>
      <w:r w:rsidR="001F3540" w:rsidRPr="00CA2F79">
        <w:rPr>
          <w:szCs w:val="24"/>
        </w:rPr>
        <w:t xml:space="preserve"> </w:t>
      </w:r>
      <w:r w:rsidR="00A92D0D">
        <w:rPr>
          <w:szCs w:val="24"/>
        </w:rPr>
        <w:t xml:space="preserve">the </w:t>
      </w:r>
      <w:r w:rsidR="001F3540" w:rsidRPr="00CA2F79">
        <w:rPr>
          <w:szCs w:val="24"/>
        </w:rPr>
        <w:t xml:space="preserve">new and revised resolutions, decisions and recommendations </w:t>
      </w:r>
      <w:r w:rsidR="00A92D0D">
        <w:rPr>
          <w:szCs w:val="24"/>
        </w:rPr>
        <w:t xml:space="preserve">which </w:t>
      </w:r>
      <w:r w:rsidR="001F3540" w:rsidRPr="00CA2F79">
        <w:rPr>
          <w:szCs w:val="24"/>
        </w:rPr>
        <w:t>provid</w:t>
      </w:r>
      <w:r w:rsidR="00A92D0D">
        <w:rPr>
          <w:szCs w:val="24"/>
        </w:rPr>
        <w:t>e</w:t>
      </w:r>
      <w:r w:rsidR="001F3540" w:rsidRPr="00CA2F79">
        <w:rPr>
          <w:szCs w:val="24"/>
        </w:rPr>
        <w:t xml:space="preserve"> guidance to the </w:t>
      </w:r>
      <w:r w:rsidR="004C75FD" w:rsidRPr="00CA2F79">
        <w:rPr>
          <w:szCs w:val="24"/>
        </w:rPr>
        <w:t xml:space="preserve">ITU </w:t>
      </w:r>
      <w:r w:rsidR="001F3540" w:rsidRPr="00CA2F79">
        <w:rPr>
          <w:rFonts w:cstheme="minorBidi"/>
          <w:color w:val="000000" w:themeColor="text1"/>
          <w:szCs w:val="24"/>
        </w:rPr>
        <w:t xml:space="preserve">Telecommunication Development Sector </w:t>
      </w:r>
      <w:r w:rsidR="001F3540" w:rsidRPr="00CA2F79">
        <w:rPr>
          <w:szCs w:val="24"/>
        </w:rPr>
        <w:t xml:space="preserve">on </w:t>
      </w:r>
      <w:r w:rsidR="00F8577E">
        <w:rPr>
          <w:szCs w:val="24"/>
        </w:rPr>
        <w:t xml:space="preserve">ways to </w:t>
      </w:r>
      <w:r w:rsidR="001F3540" w:rsidRPr="00CA2F79">
        <w:rPr>
          <w:szCs w:val="24"/>
        </w:rPr>
        <w:t xml:space="preserve">harness new technologies </w:t>
      </w:r>
      <w:r w:rsidR="00F8577E">
        <w:rPr>
          <w:szCs w:val="24"/>
        </w:rPr>
        <w:t>t</w:t>
      </w:r>
      <w:r w:rsidR="001F3540" w:rsidRPr="00CA2F79">
        <w:rPr>
          <w:szCs w:val="24"/>
        </w:rPr>
        <w:t>o benefit humanity.</w:t>
      </w:r>
      <w:r w:rsidR="00062D6A" w:rsidRPr="00CA2F79">
        <w:rPr>
          <w:rFonts w:cstheme="minorBidi"/>
          <w:color w:val="000000" w:themeColor="text1"/>
          <w:szCs w:val="24"/>
        </w:rPr>
        <w:t xml:space="preserve"> </w:t>
      </w:r>
    </w:p>
    <w:p w:rsidR="00920EB4" w:rsidRPr="00CA2F79" w:rsidRDefault="00EC1B1E" w:rsidP="008A18F2">
      <w:pPr>
        <w:keepNext/>
        <w:spacing w:after="120"/>
        <w:rPr>
          <w:rFonts w:cstheme="minorBidi"/>
          <w:color w:val="000000" w:themeColor="text1"/>
          <w:szCs w:val="24"/>
        </w:rPr>
      </w:pPr>
      <w:r w:rsidRPr="00CA2F79">
        <w:rPr>
          <w:szCs w:val="24"/>
        </w:rPr>
        <w:lastRenderedPageBreak/>
        <w:t>Of particular note are:</w:t>
      </w:r>
    </w:p>
    <w:p w:rsidR="00F9789D" w:rsidRPr="00CA2F79" w:rsidRDefault="00C86369">
      <w:pPr>
        <w:pStyle w:val="ListParagraph"/>
        <w:numPr>
          <w:ilvl w:val="0"/>
          <w:numId w:val="6"/>
        </w:numPr>
        <w:spacing w:after="120"/>
        <w:rPr>
          <w:szCs w:val="24"/>
        </w:rPr>
      </w:pPr>
      <w:r w:rsidRPr="007B36B3">
        <w:rPr>
          <w:b/>
          <w:szCs w:val="24"/>
        </w:rPr>
        <w:t>Resolution 71</w:t>
      </w:r>
      <w:r w:rsidRPr="00CA2F79">
        <w:rPr>
          <w:szCs w:val="24"/>
        </w:rPr>
        <w:t xml:space="preserve"> (Rev. Dubai, 2018) </w:t>
      </w:r>
      <w:r w:rsidR="00EB02E7">
        <w:rPr>
          <w:szCs w:val="24"/>
        </w:rPr>
        <w:t xml:space="preserve">ITU </w:t>
      </w:r>
      <w:r w:rsidR="00436557">
        <w:rPr>
          <w:szCs w:val="24"/>
        </w:rPr>
        <w:t>s</w:t>
      </w:r>
      <w:r w:rsidR="00A406FE" w:rsidRPr="00CA2F79">
        <w:rPr>
          <w:szCs w:val="24"/>
        </w:rPr>
        <w:t xml:space="preserve">trategic </w:t>
      </w:r>
      <w:r w:rsidR="00EC1B1E" w:rsidRPr="00CA2F79">
        <w:rPr>
          <w:szCs w:val="24"/>
        </w:rPr>
        <w:t>plan for 2020-2023</w:t>
      </w:r>
      <w:r w:rsidR="00DE08EE">
        <w:rPr>
          <w:szCs w:val="24"/>
        </w:rPr>
        <w:t>.</w:t>
      </w:r>
      <w:r w:rsidR="00154183">
        <w:rPr>
          <w:rStyle w:val="FootnoteReference"/>
          <w:szCs w:val="24"/>
        </w:rPr>
        <w:footnoteReference w:id="5"/>
      </w:r>
      <w:r w:rsidR="00EC1B1E" w:rsidRPr="00CA2F79">
        <w:rPr>
          <w:szCs w:val="24"/>
        </w:rPr>
        <w:t xml:space="preserve"> </w:t>
      </w:r>
    </w:p>
    <w:p w:rsidR="00F9789D" w:rsidRPr="007B36B3" w:rsidRDefault="00C86369" w:rsidP="008A0D8D">
      <w:pPr>
        <w:pStyle w:val="ListParagraph"/>
        <w:numPr>
          <w:ilvl w:val="0"/>
          <w:numId w:val="6"/>
        </w:numPr>
        <w:spacing w:after="120"/>
        <w:rPr>
          <w:i/>
          <w:color w:val="0432FF"/>
          <w:szCs w:val="24"/>
        </w:rPr>
      </w:pPr>
      <w:r w:rsidRPr="007B36B3">
        <w:rPr>
          <w:b/>
          <w:szCs w:val="24"/>
        </w:rPr>
        <w:t>Decision 5</w:t>
      </w:r>
      <w:r w:rsidRPr="00CA2F79">
        <w:rPr>
          <w:szCs w:val="24"/>
        </w:rPr>
        <w:t xml:space="preserve"> (Rev. Dubai, 2018) on </w:t>
      </w:r>
      <w:r w:rsidR="00A40016" w:rsidRPr="00CA2F79">
        <w:rPr>
          <w:szCs w:val="24"/>
        </w:rPr>
        <w:t>r</w:t>
      </w:r>
      <w:r w:rsidRPr="00CA2F79">
        <w:rPr>
          <w:szCs w:val="24"/>
        </w:rPr>
        <w:t>evenue and expenses for the Union for the period 2020-2023</w:t>
      </w:r>
      <w:r w:rsidR="00F9789D" w:rsidRPr="00CA2F79">
        <w:rPr>
          <w:szCs w:val="24"/>
        </w:rPr>
        <w:t>,</w:t>
      </w:r>
      <w:r w:rsidR="008A0D8D">
        <w:rPr>
          <w:szCs w:val="24"/>
        </w:rPr>
        <w:t xml:space="preserve"> </w:t>
      </w:r>
      <w:r w:rsidR="00F9789D" w:rsidRPr="00CA2F79">
        <w:rPr>
          <w:szCs w:val="24"/>
        </w:rPr>
        <w:t xml:space="preserve">which includes the </w:t>
      </w:r>
      <w:r w:rsidR="00EB02E7">
        <w:rPr>
          <w:szCs w:val="24"/>
        </w:rPr>
        <w:t xml:space="preserve">ITU </w:t>
      </w:r>
      <w:r w:rsidR="00F9789D" w:rsidRPr="00CA2F79">
        <w:rPr>
          <w:szCs w:val="24"/>
        </w:rPr>
        <w:t>financial plan for 2020-2023</w:t>
      </w:r>
      <w:r w:rsidR="00A406FE" w:rsidRPr="00CA2F79">
        <w:rPr>
          <w:szCs w:val="24"/>
        </w:rPr>
        <w:t>.</w:t>
      </w:r>
      <w:r w:rsidR="008A0D8D">
        <w:rPr>
          <w:szCs w:val="24"/>
        </w:rPr>
        <w:t xml:space="preserve"> </w:t>
      </w:r>
    </w:p>
    <w:p w:rsidR="00F9789D" w:rsidRPr="00CA2F79" w:rsidRDefault="00C86369" w:rsidP="009B5B24">
      <w:pPr>
        <w:pStyle w:val="CEONormal"/>
        <w:numPr>
          <w:ilvl w:val="0"/>
          <w:numId w:val="6"/>
        </w:numPr>
        <w:rPr>
          <w:rFonts w:asciiTheme="minorHAnsi" w:hAnsiTheme="minorHAnsi"/>
          <w:sz w:val="24"/>
          <w:szCs w:val="24"/>
        </w:rPr>
      </w:pPr>
      <w:r w:rsidRPr="007B36B3">
        <w:rPr>
          <w:rFonts w:asciiTheme="minorHAnsi" w:hAnsiTheme="minorHAnsi"/>
          <w:b/>
          <w:sz w:val="24"/>
          <w:szCs w:val="24"/>
        </w:rPr>
        <w:t>Resolution 25</w:t>
      </w:r>
      <w:r w:rsidRPr="00CA2F79">
        <w:rPr>
          <w:rFonts w:asciiTheme="minorHAnsi" w:hAnsiTheme="minorHAnsi"/>
          <w:sz w:val="24"/>
          <w:szCs w:val="24"/>
        </w:rPr>
        <w:t xml:space="preserve"> (Rev. Dubai, 2018) on</w:t>
      </w:r>
      <w:r w:rsidR="00A406FE" w:rsidRPr="00CA2F79">
        <w:rPr>
          <w:rFonts w:asciiTheme="minorHAnsi" w:hAnsiTheme="minorHAnsi"/>
          <w:sz w:val="24"/>
          <w:szCs w:val="24"/>
        </w:rPr>
        <w:t xml:space="preserve"> s</w:t>
      </w:r>
      <w:r w:rsidRPr="00CA2F79">
        <w:rPr>
          <w:rFonts w:asciiTheme="minorHAnsi" w:hAnsiTheme="minorHAnsi"/>
          <w:sz w:val="24"/>
          <w:szCs w:val="24"/>
        </w:rPr>
        <w:t xml:space="preserve">trengthening the </w:t>
      </w:r>
      <w:r w:rsidR="006B7F0B">
        <w:rPr>
          <w:rFonts w:asciiTheme="minorHAnsi" w:hAnsiTheme="minorHAnsi"/>
          <w:sz w:val="24"/>
          <w:szCs w:val="24"/>
        </w:rPr>
        <w:t xml:space="preserve">ITU </w:t>
      </w:r>
      <w:r w:rsidRPr="00CA2F79">
        <w:rPr>
          <w:rFonts w:asciiTheme="minorHAnsi" w:hAnsiTheme="minorHAnsi"/>
          <w:sz w:val="24"/>
          <w:szCs w:val="24"/>
        </w:rPr>
        <w:t>regional presence</w:t>
      </w:r>
      <w:r w:rsidR="00A406FE" w:rsidRPr="00CA2F79">
        <w:rPr>
          <w:rFonts w:asciiTheme="minorHAnsi" w:hAnsiTheme="minorHAnsi"/>
          <w:sz w:val="24"/>
          <w:szCs w:val="24"/>
        </w:rPr>
        <w:t>.</w:t>
      </w:r>
    </w:p>
    <w:p w:rsidR="00C86369" w:rsidRPr="00CA2F79" w:rsidRDefault="00C86369" w:rsidP="009B5B24">
      <w:pPr>
        <w:pStyle w:val="CEONormal"/>
        <w:numPr>
          <w:ilvl w:val="0"/>
          <w:numId w:val="6"/>
        </w:numPr>
        <w:rPr>
          <w:rFonts w:asciiTheme="minorHAnsi" w:hAnsiTheme="minorHAnsi"/>
          <w:sz w:val="24"/>
          <w:szCs w:val="24"/>
        </w:rPr>
      </w:pPr>
      <w:r w:rsidRPr="007B36B3">
        <w:rPr>
          <w:rFonts w:asciiTheme="minorHAnsi" w:hAnsiTheme="minorHAnsi"/>
          <w:b/>
          <w:sz w:val="24"/>
          <w:szCs w:val="24"/>
        </w:rPr>
        <w:t xml:space="preserve">New </w:t>
      </w:r>
      <w:r w:rsidR="00A406FE" w:rsidRPr="007B36B3">
        <w:rPr>
          <w:rFonts w:asciiTheme="minorHAnsi" w:hAnsiTheme="minorHAnsi"/>
          <w:b/>
          <w:sz w:val="24"/>
          <w:szCs w:val="24"/>
        </w:rPr>
        <w:t>R</w:t>
      </w:r>
      <w:r w:rsidRPr="007B36B3">
        <w:rPr>
          <w:rFonts w:asciiTheme="minorHAnsi" w:hAnsiTheme="minorHAnsi"/>
          <w:b/>
          <w:sz w:val="24"/>
          <w:szCs w:val="24"/>
        </w:rPr>
        <w:t>esolution 209</w:t>
      </w:r>
      <w:r w:rsidRPr="00CA2F79">
        <w:rPr>
          <w:rFonts w:asciiTheme="minorHAnsi" w:hAnsiTheme="minorHAnsi"/>
          <w:sz w:val="24"/>
          <w:szCs w:val="24"/>
        </w:rPr>
        <w:t xml:space="preserve"> </w:t>
      </w:r>
      <w:r w:rsidR="00A406FE" w:rsidRPr="00CA2F79">
        <w:rPr>
          <w:rFonts w:asciiTheme="minorHAnsi" w:hAnsiTheme="minorHAnsi"/>
          <w:sz w:val="24"/>
          <w:szCs w:val="24"/>
        </w:rPr>
        <w:t>on e</w:t>
      </w:r>
      <w:r w:rsidRPr="00CA2F79">
        <w:rPr>
          <w:rFonts w:asciiTheme="minorHAnsi" w:hAnsiTheme="minorHAnsi"/>
          <w:sz w:val="24"/>
          <w:szCs w:val="24"/>
        </w:rPr>
        <w:t>ncouraging the p</w:t>
      </w:r>
      <w:r w:rsidR="00A406FE" w:rsidRPr="00CA2F79">
        <w:rPr>
          <w:rFonts w:asciiTheme="minorHAnsi" w:hAnsiTheme="minorHAnsi"/>
          <w:sz w:val="24"/>
          <w:szCs w:val="24"/>
        </w:rPr>
        <w:t>articipation of small and medium-sized</w:t>
      </w:r>
      <w:r w:rsidRPr="00CA2F79">
        <w:rPr>
          <w:rFonts w:asciiTheme="minorHAnsi" w:hAnsiTheme="minorHAnsi"/>
          <w:sz w:val="24"/>
          <w:szCs w:val="24"/>
        </w:rPr>
        <w:t xml:space="preserve"> enterprises </w:t>
      </w:r>
      <w:r w:rsidR="00A406FE" w:rsidRPr="00CA2F79">
        <w:rPr>
          <w:rFonts w:asciiTheme="minorHAnsi" w:hAnsiTheme="minorHAnsi"/>
          <w:sz w:val="24"/>
          <w:szCs w:val="24"/>
        </w:rPr>
        <w:t xml:space="preserve">(SMEs) </w:t>
      </w:r>
      <w:r w:rsidRPr="00CA2F79">
        <w:rPr>
          <w:rFonts w:asciiTheme="minorHAnsi" w:hAnsiTheme="minorHAnsi"/>
          <w:sz w:val="24"/>
          <w:szCs w:val="24"/>
        </w:rPr>
        <w:t>in the work of the Union</w:t>
      </w:r>
      <w:r w:rsidR="00A406FE" w:rsidRPr="00CA2F79">
        <w:rPr>
          <w:rFonts w:asciiTheme="minorHAnsi" w:hAnsiTheme="minorHAnsi"/>
          <w:sz w:val="24"/>
          <w:szCs w:val="24"/>
        </w:rPr>
        <w:t>.</w:t>
      </w:r>
    </w:p>
    <w:p w:rsidR="00787A1A" w:rsidRPr="00154183" w:rsidRDefault="00F9789D" w:rsidP="00154183">
      <w:pPr>
        <w:pStyle w:val="CEONormal"/>
        <w:numPr>
          <w:ilvl w:val="0"/>
          <w:numId w:val="6"/>
        </w:numPr>
        <w:rPr>
          <w:rFonts w:asciiTheme="minorHAnsi" w:hAnsiTheme="minorHAnsi"/>
          <w:sz w:val="24"/>
          <w:szCs w:val="24"/>
        </w:rPr>
      </w:pPr>
      <w:r w:rsidRPr="007B36B3">
        <w:rPr>
          <w:rFonts w:asciiTheme="minorHAnsi" w:hAnsiTheme="minorHAnsi"/>
          <w:b/>
          <w:sz w:val="24"/>
          <w:szCs w:val="24"/>
        </w:rPr>
        <w:t>New Resolution 213</w:t>
      </w:r>
      <w:r w:rsidRPr="00CA2F79">
        <w:rPr>
          <w:rFonts w:asciiTheme="minorHAnsi" w:hAnsiTheme="minorHAnsi"/>
          <w:sz w:val="24"/>
          <w:szCs w:val="24"/>
        </w:rPr>
        <w:t xml:space="preserve"> on measures to improve, promote and strengthen ITU fellowships. </w:t>
      </w:r>
      <w:r w:rsidRPr="00C64C3D">
        <w:rPr>
          <w:rFonts w:asciiTheme="minorHAnsi" w:eastAsia="Calibri" w:hAnsiTheme="minorHAnsi" w:cs="Calibri"/>
          <w:bCs/>
          <w:sz w:val="24"/>
          <w:szCs w:val="24"/>
        </w:rPr>
        <w:t>Commenting on this resolution</w:t>
      </w:r>
      <w:r w:rsidRPr="00C64C3D">
        <w:rPr>
          <w:rFonts w:asciiTheme="minorHAnsi" w:hAnsiTheme="minorHAnsi"/>
          <w:sz w:val="24"/>
          <w:szCs w:val="24"/>
        </w:rPr>
        <w:t xml:space="preserve">, TDAG </w:t>
      </w:r>
      <w:r w:rsidRPr="00C64C3D">
        <w:rPr>
          <w:rFonts w:asciiTheme="minorHAnsi" w:eastAsia="Calibri" w:hAnsiTheme="minorHAnsi" w:cs="Calibri"/>
          <w:sz w:val="24"/>
          <w:szCs w:val="24"/>
        </w:rPr>
        <w:t>requested a detailed breakdown o</w:t>
      </w:r>
      <w:r w:rsidR="00984E5D" w:rsidRPr="00C64C3D">
        <w:rPr>
          <w:rFonts w:asciiTheme="minorHAnsi" w:eastAsia="Calibri" w:hAnsiTheme="minorHAnsi" w:cs="Calibri"/>
          <w:sz w:val="24"/>
          <w:szCs w:val="24"/>
        </w:rPr>
        <w:t>f</w:t>
      </w:r>
      <w:r w:rsidRPr="00C64C3D">
        <w:rPr>
          <w:rFonts w:asciiTheme="minorHAnsi" w:eastAsia="Calibri" w:hAnsiTheme="minorHAnsi" w:cs="Calibri"/>
          <w:sz w:val="24"/>
          <w:szCs w:val="24"/>
        </w:rPr>
        <w:t xml:space="preserve"> statistics regarding fellows</w:t>
      </w:r>
      <w:r w:rsidR="00984E5D" w:rsidRPr="00C64C3D">
        <w:rPr>
          <w:rFonts w:asciiTheme="minorHAnsi" w:eastAsia="Calibri" w:hAnsiTheme="minorHAnsi" w:cs="Calibri"/>
          <w:sz w:val="24"/>
          <w:szCs w:val="24"/>
        </w:rPr>
        <w:t>hips</w:t>
      </w:r>
      <w:r w:rsidRPr="00C64C3D">
        <w:rPr>
          <w:rFonts w:asciiTheme="minorHAnsi" w:eastAsia="Calibri" w:hAnsiTheme="minorHAnsi" w:cs="Calibri"/>
          <w:sz w:val="24"/>
          <w:szCs w:val="24"/>
        </w:rPr>
        <w:t xml:space="preserve"> by gender, age and area of expertise. </w:t>
      </w:r>
      <w:r w:rsidRPr="00CA2F79">
        <w:rPr>
          <w:rFonts w:asciiTheme="minorHAnsi" w:eastAsia="Calibri" w:hAnsiTheme="minorHAnsi" w:cs="Calibri"/>
          <w:sz w:val="24"/>
          <w:szCs w:val="24"/>
        </w:rPr>
        <w:t xml:space="preserve">The secretariat clarified that a separate document providing these details will be submitted </w:t>
      </w:r>
      <w:r w:rsidRPr="00BF5B1F">
        <w:rPr>
          <w:rFonts w:asciiTheme="minorHAnsi" w:eastAsia="Calibri" w:hAnsiTheme="minorHAnsi" w:cs="Calibri"/>
          <w:sz w:val="24"/>
          <w:szCs w:val="24"/>
        </w:rPr>
        <w:t>to Council-19,</w:t>
      </w:r>
      <w:r w:rsidRPr="00CA2F79">
        <w:rPr>
          <w:rFonts w:asciiTheme="minorHAnsi" w:eastAsia="Calibri" w:hAnsiTheme="minorHAnsi" w:cs="Calibri"/>
          <w:sz w:val="24"/>
          <w:szCs w:val="24"/>
        </w:rPr>
        <w:t xml:space="preserve"> which will make recommendations to the ITU Secretary-General, in line with Resolution 213. </w:t>
      </w:r>
    </w:p>
    <w:tbl>
      <w:tblPr>
        <w:tblStyle w:val="TableGrid"/>
        <w:tblW w:w="0" w:type="auto"/>
        <w:tblLook w:val="04A0" w:firstRow="1" w:lastRow="0" w:firstColumn="1" w:lastColumn="0" w:noHBand="0" w:noVBand="1"/>
      </w:tblPr>
      <w:tblGrid>
        <w:gridCol w:w="9629"/>
      </w:tblGrid>
      <w:tr w:rsidR="00062D6A" w:rsidRPr="00CA2F79" w:rsidTr="00660D9E">
        <w:tc>
          <w:tcPr>
            <w:tcW w:w="9629" w:type="dxa"/>
          </w:tcPr>
          <w:p w:rsidR="00004F04" w:rsidRPr="007B36B3" w:rsidRDefault="00C64C3D" w:rsidP="007B36B3">
            <w:pPr>
              <w:spacing w:after="120"/>
              <w:rPr>
                <w:i/>
                <w:color w:val="0432FF"/>
                <w:szCs w:val="24"/>
              </w:rPr>
            </w:pPr>
            <w:r w:rsidRPr="007B36B3">
              <w:rPr>
                <w:szCs w:val="24"/>
              </w:rPr>
              <w:t xml:space="preserve">TDAG participants </w:t>
            </w:r>
            <w:r w:rsidR="001869D5" w:rsidRPr="00BF5B1F">
              <w:rPr>
                <w:szCs w:val="24"/>
              </w:rPr>
              <w:t>underlined the need to balance the budget for</w:t>
            </w:r>
            <w:r w:rsidR="001869D5" w:rsidRPr="007B36B3">
              <w:rPr>
                <w:szCs w:val="24"/>
              </w:rPr>
              <w:t xml:space="preserve"> 2020-2023,</w:t>
            </w:r>
            <w:r w:rsidR="001869D5" w:rsidRPr="007B36B3">
              <w:rPr>
                <w:i/>
                <w:szCs w:val="24"/>
              </w:rPr>
              <w:t xml:space="preserve"> </w:t>
            </w:r>
            <w:r w:rsidRPr="007B36B3">
              <w:rPr>
                <w:szCs w:val="24"/>
              </w:rPr>
              <w:t>acknowledged the importance of these resolutions and decisions</w:t>
            </w:r>
            <w:r w:rsidR="001869D5" w:rsidRPr="007B36B3">
              <w:rPr>
                <w:szCs w:val="24"/>
              </w:rPr>
              <w:t>,</w:t>
            </w:r>
            <w:r w:rsidRPr="007B36B3">
              <w:rPr>
                <w:szCs w:val="24"/>
              </w:rPr>
              <w:t xml:space="preserve"> and stressed the need to include other equally important resolutions that have implications for the work to be carried out by ITU-D</w:t>
            </w:r>
            <w:r w:rsidRPr="007B36B3">
              <w:rPr>
                <w:color w:val="0432FF"/>
                <w:szCs w:val="24"/>
              </w:rPr>
              <w:t xml:space="preserve">. </w:t>
            </w:r>
            <w:r w:rsidR="00004F04" w:rsidRPr="00A93172">
              <w:rPr>
                <w:rFonts w:eastAsia="Calibri" w:cs="Calibri"/>
                <w:szCs w:val="24"/>
              </w:rPr>
              <w:t>TDAG requested</w:t>
            </w:r>
            <w:r w:rsidR="00787A1A" w:rsidRPr="007B36B3">
              <w:rPr>
                <w:rFonts w:eastAsia="Calibri" w:cs="Calibri"/>
                <w:szCs w:val="24"/>
              </w:rPr>
              <w:t>,</w:t>
            </w:r>
            <w:r w:rsidR="00004F04" w:rsidRPr="00A93172">
              <w:rPr>
                <w:rFonts w:eastAsia="Calibri" w:cs="Calibri"/>
                <w:szCs w:val="24"/>
              </w:rPr>
              <w:t xml:space="preserve"> </w:t>
            </w:r>
            <w:r w:rsidR="00787A1A" w:rsidRPr="007B36B3">
              <w:rPr>
                <w:rFonts w:eastAsia="Calibri" w:cs="Calibri"/>
                <w:szCs w:val="24"/>
              </w:rPr>
              <w:t xml:space="preserve">and </w:t>
            </w:r>
            <w:r w:rsidR="00004F04" w:rsidRPr="00A93172">
              <w:rPr>
                <w:rFonts w:eastAsia="Calibri" w:cs="Calibri"/>
                <w:szCs w:val="24"/>
              </w:rPr>
              <w:t xml:space="preserve">the secretariat </w:t>
            </w:r>
            <w:r w:rsidR="00787A1A" w:rsidRPr="00A93172">
              <w:rPr>
                <w:rFonts w:eastAsia="Calibri" w:cs="Calibri"/>
                <w:szCs w:val="24"/>
              </w:rPr>
              <w:t xml:space="preserve">agreed, </w:t>
            </w:r>
            <w:r w:rsidR="00004F04" w:rsidRPr="00A93172">
              <w:rPr>
                <w:rFonts w:eastAsia="Calibri" w:cs="Calibri"/>
                <w:szCs w:val="24"/>
              </w:rPr>
              <w:t>to update the document to include</w:t>
            </w:r>
            <w:r w:rsidR="00004F04" w:rsidRPr="007B36B3">
              <w:rPr>
                <w:rFonts w:eastAsia="Calibri" w:cs="Calibri"/>
                <w:i/>
                <w:szCs w:val="24"/>
              </w:rPr>
              <w:t xml:space="preserve">: </w:t>
            </w:r>
          </w:p>
          <w:p w:rsidR="00004F04" w:rsidRPr="00343542" w:rsidRDefault="00004F04">
            <w:pPr>
              <w:pStyle w:val="ListParagraph"/>
              <w:numPr>
                <w:ilvl w:val="0"/>
                <w:numId w:val="21"/>
              </w:numPr>
              <w:spacing w:before="40" w:after="40"/>
              <w:ind w:left="357" w:hanging="357"/>
              <w:contextualSpacing w:val="0"/>
              <w:rPr>
                <w:rFonts w:eastAsia="Calibri" w:cs="Calibri"/>
                <w:szCs w:val="24"/>
              </w:rPr>
            </w:pPr>
            <w:r w:rsidRPr="00343542">
              <w:rPr>
                <w:b/>
                <w:szCs w:val="24"/>
              </w:rPr>
              <w:t>Resolution 70</w:t>
            </w:r>
            <w:r w:rsidRPr="00343542">
              <w:rPr>
                <w:szCs w:val="24"/>
              </w:rPr>
              <w:t xml:space="preserve"> on mainstreaming a gender perspective in ITU and promoti</w:t>
            </w:r>
            <w:r w:rsidR="00FD19FE">
              <w:rPr>
                <w:szCs w:val="24"/>
              </w:rPr>
              <w:t>ng</w:t>
            </w:r>
            <w:r w:rsidRPr="00343542">
              <w:rPr>
                <w:szCs w:val="24"/>
              </w:rPr>
              <w:t xml:space="preserve"> gender equality and the empowerment of women through </w:t>
            </w:r>
            <w:r w:rsidR="00984E5D" w:rsidRPr="00343542">
              <w:rPr>
                <w:szCs w:val="24"/>
              </w:rPr>
              <w:t>telecommunications</w:t>
            </w:r>
            <w:r w:rsidR="00FD19FE">
              <w:rPr>
                <w:szCs w:val="24"/>
              </w:rPr>
              <w:t xml:space="preserve"> and ICTs</w:t>
            </w:r>
            <w:r w:rsidR="00436557">
              <w:rPr>
                <w:szCs w:val="24"/>
              </w:rPr>
              <w:t>.</w:t>
            </w:r>
          </w:p>
          <w:p w:rsidR="00004F04" w:rsidRPr="00343542" w:rsidRDefault="00004F04">
            <w:pPr>
              <w:pStyle w:val="ListParagraph"/>
              <w:numPr>
                <w:ilvl w:val="0"/>
                <w:numId w:val="21"/>
              </w:numPr>
              <w:spacing w:before="40" w:after="40"/>
              <w:ind w:left="357" w:hanging="357"/>
              <w:contextualSpacing w:val="0"/>
              <w:rPr>
                <w:rFonts w:eastAsia="Calibri" w:cs="Calibri"/>
                <w:szCs w:val="24"/>
              </w:rPr>
            </w:pPr>
            <w:r w:rsidRPr="00343542">
              <w:rPr>
                <w:b/>
                <w:szCs w:val="24"/>
              </w:rPr>
              <w:t xml:space="preserve">Resolution </w:t>
            </w:r>
            <w:r w:rsidRPr="00343542">
              <w:rPr>
                <w:rFonts w:eastAsia="Calibri" w:cs="Calibri"/>
                <w:b/>
                <w:szCs w:val="24"/>
              </w:rPr>
              <w:t>136</w:t>
            </w:r>
            <w:r w:rsidRPr="00343542">
              <w:rPr>
                <w:rFonts w:eastAsia="Calibri" w:cs="Calibri"/>
                <w:szCs w:val="24"/>
              </w:rPr>
              <w:t xml:space="preserve"> on us</w:t>
            </w:r>
            <w:r w:rsidR="00FD1160">
              <w:rPr>
                <w:rFonts w:eastAsia="Calibri" w:cs="Calibri"/>
                <w:szCs w:val="24"/>
              </w:rPr>
              <w:t>ing</w:t>
            </w:r>
            <w:r w:rsidRPr="00343542">
              <w:rPr>
                <w:rFonts w:eastAsia="Calibri" w:cs="Calibri"/>
                <w:szCs w:val="24"/>
              </w:rPr>
              <w:t xml:space="preserve"> telecommunications</w:t>
            </w:r>
            <w:r w:rsidR="00FD19FE">
              <w:rPr>
                <w:rFonts w:eastAsia="Calibri" w:cs="Calibri"/>
                <w:szCs w:val="24"/>
              </w:rPr>
              <w:t xml:space="preserve"> and ICTs</w:t>
            </w:r>
            <w:r w:rsidR="00984E5D" w:rsidRPr="00343542">
              <w:rPr>
                <w:rFonts w:eastAsia="Calibri" w:cs="Calibri"/>
                <w:szCs w:val="24"/>
              </w:rPr>
              <w:t xml:space="preserve"> </w:t>
            </w:r>
            <w:r w:rsidRPr="00343542">
              <w:rPr>
                <w:rFonts w:eastAsia="Calibri" w:cs="Calibri"/>
                <w:szCs w:val="24"/>
              </w:rPr>
              <w:t xml:space="preserve">for humanitarian assistance and </w:t>
            </w:r>
            <w:r w:rsidR="00FD19FE">
              <w:rPr>
                <w:rFonts w:eastAsia="Calibri" w:cs="Calibri"/>
                <w:szCs w:val="24"/>
              </w:rPr>
              <w:t xml:space="preserve">to </w:t>
            </w:r>
            <w:r w:rsidRPr="00343542">
              <w:rPr>
                <w:rFonts w:eastAsia="Calibri" w:cs="Calibri"/>
                <w:szCs w:val="24"/>
              </w:rPr>
              <w:t>monitor and manage emergency and disaster situations</w:t>
            </w:r>
            <w:r w:rsidR="00A93172">
              <w:rPr>
                <w:rFonts w:eastAsia="Calibri" w:cs="Calibri"/>
                <w:szCs w:val="24"/>
              </w:rPr>
              <w:t xml:space="preserve"> </w:t>
            </w:r>
            <w:r w:rsidRPr="00343542">
              <w:rPr>
                <w:rFonts w:eastAsia="Calibri" w:cs="Calibri"/>
                <w:szCs w:val="24"/>
              </w:rPr>
              <w:t>for early warning, prevention, mitigation and relief</w:t>
            </w:r>
            <w:r w:rsidR="00436557">
              <w:rPr>
                <w:rFonts w:eastAsia="Calibri" w:cs="Calibri"/>
                <w:szCs w:val="24"/>
              </w:rPr>
              <w:t>.</w:t>
            </w:r>
          </w:p>
          <w:p w:rsidR="00004F04" w:rsidRPr="00343542" w:rsidRDefault="00004F04">
            <w:pPr>
              <w:pStyle w:val="ListParagraph"/>
              <w:numPr>
                <w:ilvl w:val="0"/>
                <w:numId w:val="21"/>
              </w:numPr>
              <w:spacing w:before="40" w:after="40"/>
              <w:ind w:left="357" w:hanging="357"/>
              <w:contextualSpacing w:val="0"/>
              <w:rPr>
                <w:rFonts w:eastAsia="Calibri" w:cs="Calibri"/>
                <w:szCs w:val="24"/>
              </w:rPr>
            </w:pPr>
            <w:r w:rsidRPr="00343542">
              <w:rPr>
                <w:b/>
                <w:szCs w:val="24"/>
              </w:rPr>
              <w:t>Resolution 169</w:t>
            </w:r>
            <w:r w:rsidRPr="00343542">
              <w:rPr>
                <w:szCs w:val="24"/>
              </w:rPr>
              <w:t xml:space="preserve"> </w:t>
            </w:r>
            <w:r w:rsidR="00FD19FE">
              <w:rPr>
                <w:szCs w:val="24"/>
              </w:rPr>
              <w:t>on</w:t>
            </w:r>
            <w:r w:rsidRPr="00343542">
              <w:rPr>
                <w:szCs w:val="24"/>
              </w:rPr>
              <w:t xml:space="preserve"> academia</w:t>
            </w:r>
            <w:r w:rsidR="00FD19FE">
              <w:rPr>
                <w:szCs w:val="24"/>
              </w:rPr>
              <w:t xml:space="preserve">’s participation </w:t>
            </w:r>
            <w:r w:rsidRPr="00343542">
              <w:rPr>
                <w:szCs w:val="24"/>
              </w:rPr>
              <w:t>in the work of the Union</w:t>
            </w:r>
            <w:r w:rsidR="00436557">
              <w:rPr>
                <w:szCs w:val="24"/>
              </w:rPr>
              <w:t>.</w:t>
            </w:r>
          </w:p>
          <w:p w:rsidR="00004F04" w:rsidRPr="00343542" w:rsidRDefault="00004F04">
            <w:pPr>
              <w:pStyle w:val="ListParagraph"/>
              <w:numPr>
                <w:ilvl w:val="0"/>
                <w:numId w:val="21"/>
              </w:numPr>
              <w:spacing w:before="40" w:after="40"/>
              <w:ind w:left="357" w:hanging="357"/>
              <w:contextualSpacing w:val="0"/>
              <w:rPr>
                <w:rFonts w:eastAsia="Calibri" w:cs="Calibri"/>
                <w:szCs w:val="24"/>
              </w:rPr>
            </w:pPr>
            <w:r w:rsidRPr="00343542">
              <w:rPr>
                <w:rFonts w:eastAsia="Calibri" w:cs="Calibri"/>
                <w:b/>
                <w:szCs w:val="24"/>
              </w:rPr>
              <w:t>Resolution 175</w:t>
            </w:r>
            <w:r w:rsidRPr="00343542">
              <w:rPr>
                <w:rFonts w:eastAsia="Calibri" w:cs="Calibri"/>
                <w:szCs w:val="24"/>
              </w:rPr>
              <w:t xml:space="preserve"> on telecommunication</w:t>
            </w:r>
            <w:r w:rsidR="00FD19FE">
              <w:rPr>
                <w:rFonts w:eastAsia="Calibri" w:cs="Calibri"/>
                <w:szCs w:val="24"/>
              </w:rPr>
              <w:t xml:space="preserve">s/ICTs </w:t>
            </w:r>
            <w:r w:rsidRPr="00343542">
              <w:rPr>
                <w:rFonts w:eastAsia="Calibri" w:cs="Calibri"/>
                <w:szCs w:val="24"/>
              </w:rPr>
              <w:t>for persons with disabilities</w:t>
            </w:r>
            <w:r w:rsidR="00984E5D" w:rsidRPr="00343542">
              <w:rPr>
                <w:rFonts w:eastAsia="Calibri" w:cs="Calibri"/>
                <w:szCs w:val="24"/>
              </w:rPr>
              <w:t xml:space="preserve"> and</w:t>
            </w:r>
            <w:r w:rsidRPr="00343542">
              <w:rPr>
                <w:rFonts w:eastAsia="Calibri" w:cs="Calibri"/>
                <w:szCs w:val="24"/>
              </w:rPr>
              <w:t xml:space="preserve"> with specific needs</w:t>
            </w:r>
            <w:r w:rsidR="00436557">
              <w:rPr>
                <w:rFonts w:eastAsia="Calibri" w:cs="Calibri"/>
                <w:szCs w:val="24"/>
              </w:rPr>
              <w:t>.</w:t>
            </w:r>
          </w:p>
          <w:p w:rsidR="00004F04" w:rsidRPr="00343542" w:rsidRDefault="00004F04">
            <w:pPr>
              <w:pStyle w:val="ListParagraph"/>
              <w:numPr>
                <w:ilvl w:val="0"/>
                <w:numId w:val="21"/>
              </w:numPr>
              <w:spacing w:before="40" w:after="40"/>
              <w:ind w:left="357" w:hanging="357"/>
              <w:contextualSpacing w:val="0"/>
              <w:rPr>
                <w:rFonts w:eastAsia="Calibri" w:cs="Calibri"/>
                <w:szCs w:val="24"/>
              </w:rPr>
            </w:pPr>
            <w:r w:rsidRPr="00343542">
              <w:rPr>
                <w:b/>
                <w:szCs w:val="24"/>
              </w:rPr>
              <w:t xml:space="preserve">Resolution </w:t>
            </w:r>
            <w:r w:rsidRPr="00343542">
              <w:rPr>
                <w:rFonts w:eastAsia="Calibri" w:cs="Calibri"/>
                <w:b/>
                <w:szCs w:val="24"/>
              </w:rPr>
              <w:t>179</w:t>
            </w:r>
            <w:r w:rsidRPr="00343542">
              <w:rPr>
                <w:rFonts w:eastAsia="Calibri" w:cs="Calibri"/>
                <w:szCs w:val="24"/>
              </w:rPr>
              <w:t xml:space="preserve"> on</w:t>
            </w:r>
            <w:r w:rsidR="00984E5D" w:rsidRPr="00343542">
              <w:rPr>
                <w:rFonts w:eastAsia="Calibri" w:cs="Calibri"/>
                <w:szCs w:val="24"/>
              </w:rPr>
              <w:t xml:space="preserve"> the</w:t>
            </w:r>
            <w:r w:rsidRPr="00343542">
              <w:rPr>
                <w:rFonts w:eastAsia="Calibri" w:cs="Calibri"/>
                <w:szCs w:val="24"/>
              </w:rPr>
              <w:t xml:space="preserve"> ITU role in child online protection</w:t>
            </w:r>
            <w:r w:rsidR="00436557">
              <w:rPr>
                <w:rFonts w:eastAsia="Calibri" w:cs="Calibri"/>
                <w:szCs w:val="24"/>
              </w:rPr>
              <w:t>.</w:t>
            </w:r>
          </w:p>
          <w:p w:rsidR="00004F04" w:rsidRPr="00343542" w:rsidRDefault="00004F04">
            <w:pPr>
              <w:pStyle w:val="ListParagraph"/>
              <w:numPr>
                <w:ilvl w:val="0"/>
                <w:numId w:val="21"/>
              </w:numPr>
              <w:spacing w:before="40" w:after="40"/>
              <w:ind w:left="357" w:hanging="357"/>
              <w:contextualSpacing w:val="0"/>
              <w:rPr>
                <w:rFonts w:eastAsia="Calibri" w:cs="Calibri"/>
                <w:szCs w:val="24"/>
              </w:rPr>
            </w:pPr>
            <w:r w:rsidRPr="00343542">
              <w:rPr>
                <w:b/>
                <w:szCs w:val="24"/>
              </w:rPr>
              <w:t xml:space="preserve">Resolution </w:t>
            </w:r>
            <w:r w:rsidRPr="00343542">
              <w:rPr>
                <w:rFonts w:eastAsia="Calibri" w:cs="Calibri"/>
                <w:b/>
                <w:szCs w:val="24"/>
              </w:rPr>
              <w:t>196</w:t>
            </w:r>
            <w:r w:rsidRPr="00343542">
              <w:rPr>
                <w:rFonts w:eastAsia="Calibri" w:cs="Calibri"/>
                <w:szCs w:val="24"/>
              </w:rPr>
              <w:t xml:space="preserve"> on protecting telecommunication service users</w:t>
            </w:r>
            <w:r w:rsidR="00233CDA">
              <w:rPr>
                <w:rFonts w:eastAsia="Calibri" w:cs="Calibri"/>
                <w:szCs w:val="24"/>
              </w:rPr>
              <w:t xml:space="preserve"> and </w:t>
            </w:r>
            <w:r w:rsidRPr="00343542">
              <w:rPr>
                <w:rFonts w:eastAsia="Calibri" w:cs="Calibri"/>
                <w:szCs w:val="24"/>
              </w:rPr>
              <w:t>consumers</w:t>
            </w:r>
            <w:r w:rsidR="00436557">
              <w:rPr>
                <w:rFonts w:eastAsia="Calibri" w:cs="Calibri"/>
                <w:szCs w:val="24"/>
              </w:rPr>
              <w:t>.</w:t>
            </w:r>
          </w:p>
          <w:p w:rsidR="00A93172" w:rsidRPr="007B36B3" w:rsidRDefault="00004F04" w:rsidP="007B36B3">
            <w:pPr>
              <w:pStyle w:val="ListParagraph"/>
              <w:numPr>
                <w:ilvl w:val="0"/>
                <w:numId w:val="21"/>
              </w:numPr>
              <w:spacing w:before="40"/>
              <w:ind w:left="357" w:hanging="357"/>
              <w:contextualSpacing w:val="0"/>
              <w:rPr>
                <w:rFonts w:cstheme="minorBidi"/>
                <w:color w:val="000000" w:themeColor="text1"/>
                <w:szCs w:val="24"/>
              </w:rPr>
            </w:pPr>
            <w:r w:rsidRPr="00343542">
              <w:rPr>
                <w:b/>
                <w:szCs w:val="24"/>
              </w:rPr>
              <w:t xml:space="preserve">Resolution </w:t>
            </w:r>
            <w:r w:rsidRPr="00343542">
              <w:rPr>
                <w:rFonts w:eastAsia="Calibri" w:cs="Calibri"/>
                <w:b/>
                <w:szCs w:val="24"/>
              </w:rPr>
              <w:t>198</w:t>
            </w:r>
            <w:r w:rsidRPr="00343542">
              <w:rPr>
                <w:rFonts w:eastAsia="Calibri" w:cs="Calibri"/>
                <w:szCs w:val="24"/>
              </w:rPr>
              <w:t xml:space="preserve"> on empowe</w:t>
            </w:r>
            <w:r w:rsidR="00233CDA">
              <w:rPr>
                <w:rFonts w:eastAsia="Calibri" w:cs="Calibri"/>
                <w:szCs w:val="24"/>
              </w:rPr>
              <w:t>ring</w:t>
            </w:r>
            <w:r w:rsidRPr="00343542">
              <w:rPr>
                <w:rFonts w:eastAsia="Calibri" w:cs="Calibri"/>
                <w:szCs w:val="24"/>
              </w:rPr>
              <w:t xml:space="preserve"> youth through telecommunication</w:t>
            </w:r>
            <w:r w:rsidR="00233CDA">
              <w:rPr>
                <w:rFonts w:eastAsia="Calibri" w:cs="Calibri"/>
                <w:szCs w:val="24"/>
              </w:rPr>
              <w:t>s ICTs</w:t>
            </w:r>
            <w:r w:rsidR="00A93172">
              <w:rPr>
                <w:rFonts w:eastAsia="Calibri" w:cs="Calibri"/>
                <w:szCs w:val="24"/>
              </w:rPr>
              <w:t xml:space="preserve">; and </w:t>
            </w:r>
          </w:p>
          <w:p w:rsidR="005C2359" w:rsidRPr="004D22C2" w:rsidRDefault="00A93172" w:rsidP="007B36B3">
            <w:pPr>
              <w:pStyle w:val="ListParagraph"/>
              <w:numPr>
                <w:ilvl w:val="0"/>
                <w:numId w:val="21"/>
              </w:numPr>
              <w:spacing w:before="40" w:after="120"/>
              <w:ind w:left="357" w:hanging="357"/>
              <w:contextualSpacing w:val="0"/>
              <w:rPr>
                <w:rFonts w:cstheme="minorBidi"/>
                <w:color w:val="000000" w:themeColor="text1"/>
                <w:szCs w:val="24"/>
              </w:rPr>
            </w:pPr>
            <w:r w:rsidRPr="007B36B3">
              <w:rPr>
                <w:b/>
                <w:szCs w:val="24"/>
              </w:rPr>
              <w:t>Resolution 176</w:t>
            </w:r>
            <w:r w:rsidRPr="007B36B3">
              <w:rPr>
                <w:szCs w:val="24"/>
              </w:rPr>
              <w:t xml:space="preserve"> on measurement and assessment concerns related to human exposure to electromagnetic fields.</w:t>
            </w:r>
          </w:p>
        </w:tc>
      </w:tr>
    </w:tbl>
    <w:p w:rsidR="00855014" w:rsidRPr="00EA4144" w:rsidRDefault="00855014" w:rsidP="00EA4144">
      <w:pPr>
        <w:pStyle w:val="ListParagraph"/>
        <w:numPr>
          <w:ilvl w:val="1"/>
          <w:numId w:val="28"/>
        </w:numPr>
        <w:spacing w:before="240" w:after="120"/>
        <w:ind w:left="391" w:hanging="391"/>
        <w:contextualSpacing w:val="0"/>
        <w:rPr>
          <w:b/>
          <w:bCs/>
        </w:rPr>
      </w:pPr>
      <w:r w:rsidRPr="00EA4144">
        <w:rPr>
          <w:b/>
          <w:bCs/>
        </w:rPr>
        <w:t xml:space="preserve">ITU-D actions </w:t>
      </w:r>
      <w:r w:rsidR="005E09F3" w:rsidRPr="00EA4144">
        <w:rPr>
          <w:b/>
          <w:bCs/>
        </w:rPr>
        <w:t xml:space="preserve">relevant to </w:t>
      </w:r>
      <w:r w:rsidRPr="00EA4144">
        <w:rPr>
          <w:b/>
          <w:bCs/>
        </w:rPr>
        <w:t xml:space="preserve">the </w:t>
      </w:r>
      <w:r w:rsidRPr="00EA4144">
        <w:rPr>
          <w:b/>
          <w:bCs/>
          <w:szCs w:val="24"/>
        </w:rPr>
        <w:t>World Summit on the Information Society (</w:t>
      </w:r>
      <w:r w:rsidRPr="00EA4144">
        <w:rPr>
          <w:b/>
          <w:bCs/>
        </w:rPr>
        <w:t>WSIS) Plan of Action and the 2030 Agenda for Sustainable Development</w:t>
      </w:r>
    </w:p>
    <w:p w:rsidR="00855014" w:rsidRPr="00957B6C" w:rsidRDefault="00855014">
      <w:pPr>
        <w:rPr>
          <w:rFonts w:cstheme="minorBidi"/>
          <w:color w:val="000000" w:themeColor="text1"/>
        </w:rPr>
      </w:pPr>
      <w:r w:rsidRPr="00855014">
        <w:rPr>
          <w:rStyle w:val="StyleComplex12pt"/>
          <w:rFonts w:cstheme="minorHAnsi"/>
          <w:bCs/>
        </w:rPr>
        <w:t xml:space="preserve">In </w:t>
      </w:r>
      <w:hyperlink r:id="rId13">
        <w:r w:rsidRPr="00957B6C">
          <w:rPr>
            <w:rStyle w:val="Hyperlink"/>
            <w:rFonts w:cstheme="minorBidi"/>
            <w:b/>
            <w:bCs/>
          </w:rPr>
          <w:t>Document 3</w:t>
        </w:r>
      </w:hyperlink>
      <w:r>
        <w:rPr>
          <w:b/>
        </w:rPr>
        <w:t>,</w:t>
      </w:r>
      <w:r w:rsidR="00070DBE">
        <w:rPr>
          <w:b/>
        </w:rPr>
        <w:t xml:space="preserve"> </w:t>
      </w:r>
      <w:r>
        <w:t xml:space="preserve">BDT </w:t>
      </w:r>
      <w:r w:rsidRPr="00957B6C">
        <w:t>highlights</w:t>
      </w:r>
      <w:r w:rsidRPr="00957B6C">
        <w:rPr>
          <w:b/>
        </w:rPr>
        <w:t xml:space="preserve"> </w:t>
      </w:r>
      <w:r w:rsidRPr="00957B6C">
        <w:t>important milestones in the global discussion on th</w:t>
      </w:r>
      <w:r>
        <w:t xml:space="preserve">ese </w:t>
      </w:r>
      <w:r w:rsidRPr="00957B6C">
        <w:t>topic</w:t>
      </w:r>
      <w:r>
        <w:t>s</w:t>
      </w:r>
      <w:r w:rsidRPr="00957B6C">
        <w:t xml:space="preserve">. </w:t>
      </w:r>
      <w:r w:rsidRPr="00957B6C">
        <w:rPr>
          <w:szCs w:val="24"/>
        </w:rPr>
        <w:t xml:space="preserve">PP-18 </w:t>
      </w:r>
      <w:r w:rsidRPr="007B36B3">
        <w:rPr>
          <w:szCs w:val="24"/>
        </w:rPr>
        <w:t xml:space="preserve">recognized the ITU mandate and activities which </w:t>
      </w:r>
      <w:r w:rsidRPr="00957B6C">
        <w:rPr>
          <w:szCs w:val="24"/>
        </w:rPr>
        <w:t xml:space="preserve">implement </w:t>
      </w:r>
      <w:r>
        <w:rPr>
          <w:szCs w:val="24"/>
        </w:rPr>
        <w:t>certain</w:t>
      </w:r>
      <w:r w:rsidRPr="00957B6C">
        <w:rPr>
          <w:szCs w:val="24"/>
        </w:rPr>
        <w:t xml:space="preserve"> WSIS outcomes and SDGs, </w:t>
      </w:r>
      <w:r>
        <w:rPr>
          <w:szCs w:val="24"/>
        </w:rPr>
        <w:lastRenderedPageBreak/>
        <w:t xml:space="preserve">and </w:t>
      </w:r>
      <w:r w:rsidRPr="00957B6C">
        <w:rPr>
          <w:szCs w:val="24"/>
        </w:rPr>
        <w:t>dr</w:t>
      </w:r>
      <w:r>
        <w:rPr>
          <w:szCs w:val="24"/>
        </w:rPr>
        <w:t>ew</w:t>
      </w:r>
      <w:r w:rsidRPr="00957B6C">
        <w:rPr>
          <w:szCs w:val="24"/>
        </w:rPr>
        <w:t xml:space="preserve"> attention to the need to ensure that ITU activities relating to the 2030 Agenda for Sustainable Development are implemented in close alignment with the WSIS process. </w:t>
      </w:r>
    </w:p>
    <w:p w:rsidR="00855014" w:rsidRPr="00957B6C" w:rsidRDefault="00855014">
      <w:pPr>
        <w:tabs>
          <w:tab w:val="left" w:pos="567"/>
        </w:tabs>
        <w:spacing w:after="120"/>
        <w:rPr>
          <w:szCs w:val="24"/>
        </w:rPr>
      </w:pPr>
      <w:r w:rsidRPr="00957B6C">
        <w:rPr>
          <w:szCs w:val="24"/>
        </w:rPr>
        <w:t>WTDC-17 established clear links between ITU-D objectives, outcomes and outputs, and relevant WSIS action lines and SDG</w:t>
      </w:r>
      <w:r>
        <w:rPr>
          <w:szCs w:val="24"/>
        </w:rPr>
        <w:t>s</w:t>
      </w:r>
      <w:r w:rsidRPr="00957B6C">
        <w:rPr>
          <w:szCs w:val="24"/>
        </w:rPr>
        <w:t xml:space="preserve"> and </w:t>
      </w:r>
      <w:r>
        <w:rPr>
          <w:szCs w:val="24"/>
        </w:rPr>
        <w:t xml:space="preserve">their associated </w:t>
      </w:r>
      <w:r w:rsidRPr="00957B6C">
        <w:rPr>
          <w:szCs w:val="24"/>
        </w:rPr>
        <w:t>targets (</w:t>
      </w:r>
      <w:r w:rsidR="00617B61">
        <w:rPr>
          <w:szCs w:val="24"/>
        </w:rPr>
        <w:t>s</w:t>
      </w:r>
      <w:r>
        <w:rPr>
          <w:szCs w:val="24"/>
        </w:rPr>
        <w:t xml:space="preserve">ee </w:t>
      </w:r>
      <w:r w:rsidRPr="007B36B3">
        <w:rPr>
          <w:szCs w:val="24"/>
        </w:rPr>
        <w:t>Document 3, Annex 1).</w:t>
      </w:r>
      <w:r w:rsidRPr="00957B6C">
        <w:rPr>
          <w:szCs w:val="24"/>
        </w:rPr>
        <w:t xml:space="preserve"> </w:t>
      </w:r>
      <w:r>
        <w:rPr>
          <w:szCs w:val="24"/>
        </w:rPr>
        <w:t>In addition, Annex 2 reflects the relationship between t</w:t>
      </w:r>
      <w:r w:rsidRPr="00957B6C">
        <w:rPr>
          <w:szCs w:val="24"/>
        </w:rPr>
        <w:t xml:space="preserve">he ITU-D </w:t>
      </w:r>
      <w:r>
        <w:rPr>
          <w:szCs w:val="24"/>
        </w:rPr>
        <w:t>s</w:t>
      </w:r>
      <w:r w:rsidRPr="00957B6C">
        <w:rPr>
          <w:szCs w:val="24"/>
        </w:rPr>
        <w:t>tudy</w:t>
      </w:r>
      <w:r>
        <w:rPr>
          <w:szCs w:val="24"/>
        </w:rPr>
        <w:t xml:space="preserve"> g</w:t>
      </w:r>
      <w:r w:rsidRPr="00957B6C">
        <w:rPr>
          <w:szCs w:val="24"/>
        </w:rPr>
        <w:t>roup Questions</w:t>
      </w:r>
      <w:r>
        <w:rPr>
          <w:szCs w:val="24"/>
        </w:rPr>
        <w:t>,</w:t>
      </w:r>
      <w:r w:rsidRPr="00957B6C">
        <w:rPr>
          <w:szCs w:val="24"/>
        </w:rPr>
        <w:t xml:space="preserve"> WSIS action lines</w:t>
      </w:r>
      <w:r>
        <w:rPr>
          <w:szCs w:val="24"/>
        </w:rPr>
        <w:t>,</w:t>
      </w:r>
      <w:r w:rsidRPr="00957B6C">
        <w:rPr>
          <w:szCs w:val="24"/>
        </w:rPr>
        <w:t xml:space="preserve"> and SDGs </w:t>
      </w:r>
      <w:r>
        <w:rPr>
          <w:szCs w:val="24"/>
        </w:rPr>
        <w:t xml:space="preserve">thus </w:t>
      </w:r>
      <w:r w:rsidRPr="00957B6C">
        <w:rPr>
          <w:szCs w:val="24"/>
        </w:rPr>
        <w:t>provi</w:t>
      </w:r>
      <w:r>
        <w:rPr>
          <w:szCs w:val="24"/>
        </w:rPr>
        <w:t>ding</w:t>
      </w:r>
      <w:r w:rsidRPr="00957B6C">
        <w:rPr>
          <w:szCs w:val="24"/>
        </w:rPr>
        <w:t xml:space="preserve"> additional guidance on the contribution of the study groups to both processes. </w:t>
      </w:r>
    </w:p>
    <w:p w:rsidR="00855014" w:rsidRPr="00957B6C" w:rsidRDefault="00855014" w:rsidP="00855014">
      <w:pPr>
        <w:tabs>
          <w:tab w:val="left" w:pos="567"/>
        </w:tabs>
        <w:spacing w:after="120"/>
        <w:rPr>
          <w:szCs w:val="24"/>
        </w:rPr>
      </w:pPr>
      <w:r w:rsidRPr="00957B6C">
        <w:rPr>
          <w:szCs w:val="24"/>
        </w:rPr>
        <w:t xml:space="preserve">All actions carried out by ITU-D </w:t>
      </w:r>
      <w:r>
        <w:rPr>
          <w:szCs w:val="24"/>
        </w:rPr>
        <w:t xml:space="preserve">in these areas </w:t>
      </w:r>
      <w:r w:rsidRPr="00957B6C">
        <w:rPr>
          <w:szCs w:val="24"/>
        </w:rPr>
        <w:t xml:space="preserve">on the basis of this guidance are reported to the ITU membership through regional development forums, TDAG, and the Council Working Group on WSIS. In addition, </w:t>
      </w:r>
      <w:r>
        <w:rPr>
          <w:szCs w:val="24"/>
        </w:rPr>
        <w:t xml:space="preserve">BDT </w:t>
      </w:r>
      <w:r w:rsidRPr="00957B6C">
        <w:rPr>
          <w:szCs w:val="24"/>
        </w:rPr>
        <w:t>flagship activities constitute a substanti</w:t>
      </w:r>
      <w:r>
        <w:rPr>
          <w:szCs w:val="24"/>
        </w:rPr>
        <w:t>al</w:t>
      </w:r>
      <w:r w:rsidRPr="00957B6C">
        <w:rPr>
          <w:szCs w:val="24"/>
        </w:rPr>
        <w:t xml:space="preserve"> part of the </w:t>
      </w:r>
      <w:r w:rsidRPr="00957B6C">
        <w:rPr>
          <w:iCs/>
          <w:szCs w:val="24"/>
        </w:rPr>
        <w:t>ITU contribution to the implementation of the WSIS outcomes</w:t>
      </w:r>
      <w:r w:rsidR="002C79D4">
        <w:rPr>
          <w:iCs/>
          <w:szCs w:val="24"/>
        </w:rPr>
        <w:t>, reflected in the annual report</w:t>
      </w:r>
      <w:r w:rsidRPr="00957B6C">
        <w:rPr>
          <w:szCs w:val="24"/>
        </w:rPr>
        <w:t xml:space="preserve">. </w:t>
      </w:r>
    </w:p>
    <w:tbl>
      <w:tblPr>
        <w:tblStyle w:val="TableGrid"/>
        <w:tblW w:w="0" w:type="auto"/>
        <w:tblLook w:val="04A0" w:firstRow="1" w:lastRow="0" w:firstColumn="1" w:lastColumn="0" w:noHBand="0" w:noVBand="1"/>
      </w:tblPr>
      <w:tblGrid>
        <w:gridCol w:w="9629"/>
      </w:tblGrid>
      <w:tr w:rsidR="00855014" w:rsidRPr="00957B6C" w:rsidTr="00A92D0D">
        <w:tc>
          <w:tcPr>
            <w:tcW w:w="9629" w:type="dxa"/>
          </w:tcPr>
          <w:p w:rsidR="00855014" w:rsidRPr="00957B6C" w:rsidRDefault="00855014" w:rsidP="00A92D0D">
            <w:pPr>
              <w:spacing w:after="120"/>
              <w:rPr>
                <w:rFonts w:cstheme="minorBidi"/>
                <w:color w:val="000000" w:themeColor="text1"/>
                <w:szCs w:val="24"/>
              </w:rPr>
            </w:pPr>
            <w:r w:rsidRPr="007B36B3">
              <w:rPr>
                <w:rFonts w:eastAsia="Calibri" w:cs="Calibri"/>
              </w:rPr>
              <w:t>TDAG agreed that a segment on WSIS and SDGs should be included as a regular agenda item in the regional development forums</w:t>
            </w:r>
            <w:r w:rsidRPr="00BF5B1F">
              <w:rPr>
                <w:rFonts w:eastAsia="Calibri" w:cs="Calibri"/>
              </w:rPr>
              <w:t xml:space="preserve">. </w:t>
            </w:r>
            <w:r>
              <w:rPr>
                <w:rFonts w:eastAsia="Calibri" w:cs="Calibri"/>
              </w:rPr>
              <w:t>A suggestion was also made</w:t>
            </w:r>
            <w:r w:rsidRPr="0011382E">
              <w:rPr>
                <w:rFonts w:eastAsia="Calibri" w:cs="Calibri"/>
              </w:rPr>
              <w:t xml:space="preserve"> to consider the possibility of holding regional development forums (RDFs) back to back with WSIS and SDG regional forums</w:t>
            </w:r>
            <w:r>
              <w:rPr>
                <w:rFonts w:eastAsia="Calibri" w:cs="Calibri"/>
              </w:rPr>
              <w:t>,</w:t>
            </w:r>
            <w:r w:rsidRPr="0011382E">
              <w:rPr>
                <w:rFonts w:eastAsia="Calibri" w:cs="Calibri"/>
              </w:rPr>
              <w:t xml:space="preserve"> and with the UN Regional Commissions Regional Forums on Sustainable Development.</w:t>
            </w:r>
            <w:r>
              <w:rPr>
                <w:rFonts w:eastAsia="Calibri" w:cs="Calibri"/>
              </w:rPr>
              <w:t xml:space="preserve"> </w:t>
            </w:r>
          </w:p>
        </w:tc>
      </w:tr>
    </w:tbl>
    <w:p w:rsidR="00855014" w:rsidRDefault="00875627" w:rsidP="00EA4144">
      <w:pPr>
        <w:pStyle w:val="ListParagraph"/>
        <w:numPr>
          <w:ilvl w:val="0"/>
          <w:numId w:val="28"/>
        </w:numPr>
        <w:spacing w:after="120"/>
        <w:ind w:left="391" w:hanging="391"/>
        <w:contextualSpacing w:val="0"/>
        <w:rPr>
          <w:rStyle w:val="StyleComplex12pt"/>
          <w:rFonts w:cstheme="minorHAnsi"/>
          <w:b/>
          <w:bCs/>
        </w:rPr>
      </w:pPr>
      <w:r w:rsidRPr="00875627">
        <w:rPr>
          <w:rStyle w:val="StyleComplex12pt"/>
          <w:rFonts w:cstheme="minorHAnsi"/>
          <w:b/>
          <w:bCs/>
        </w:rPr>
        <w:t xml:space="preserve">OPERATIONAL PLANS CONSIDERED </w:t>
      </w:r>
    </w:p>
    <w:p w:rsidR="00C4216D" w:rsidRPr="00875627" w:rsidRDefault="00692A97" w:rsidP="00EA4144">
      <w:pPr>
        <w:pStyle w:val="ListParagraph"/>
        <w:numPr>
          <w:ilvl w:val="1"/>
          <w:numId w:val="28"/>
        </w:numPr>
        <w:spacing w:after="120"/>
        <w:ind w:left="391" w:hanging="391"/>
        <w:contextualSpacing w:val="0"/>
        <w:rPr>
          <w:rStyle w:val="StyleComplex12pt"/>
          <w:rFonts w:cstheme="minorHAnsi"/>
          <w:b/>
          <w:bCs/>
        </w:rPr>
      </w:pPr>
      <w:r w:rsidRPr="00875627">
        <w:rPr>
          <w:rStyle w:val="StyleComplex12pt"/>
          <w:rFonts w:cstheme="minorHAnsi"/>
          <w:b/>
          <w:bCs/>
        </w:rPr>
        <w:t>ITU-D four-year rolling Operational Plan 2020-2023</w:t>
      </w:r>
    </w:p>
    <w:p w:rsidR="001C4436" w:rsidRPr="00957B6C" w:rsidRDefault="001C4436" w:rsidP="001C4436">
      <w:pPr>
        <w:pStyle w:val="CEONormal"/>
        <w:rPr>
          <w:rFonts w:asciiTheme="minorHAnsi" w:hAnsiTheme="minorHAnsi"/>
          <w:sz w:val="24"/>
          <w:szCs w:val="24"/>
        </w:rPr>
      </w:pPr>
      <w:r w:rsidRPr="00957B6C">
        <w:rPr>
          <w:rFonts w:cstheme="minorBidi"/>
          <w:color w:val="000000" w:themeColor="text1"/>
          <w:szCs w:val="24"/>
        </w:rPr>
        <w:t>The ITU-D four-year rolling operational plan</w:t>
      </w:r>
      <w:r w:rsidRPr="00957B6C">
        <w:rPr>
          <w:szCs w:val="24"/>
        </w:rPr>
        <w:t xml:space="preserve"> is</w:t>
      </w:r>
      <w:r>
        <w:rPr>
          <w:szCs w:val="24"/>
        </w:rPr>
        <w:t xml:space="preserve"> presented in </w:t>
      </w:r>
      <w:hyperlink r:id="rId14">
        <w:r w:rsidR="25A7936B" w:rsidRPr="00957B6C">
          <w:rPr>
            <w:rStyle w:val="Hyperlink"/>
            <w:rFonts w:cstheme="minorBidi"/>
            <w:b/>
            <w:bCs/>
          </w:rPr>
          <w:t xml:space="preserve">Document </w:t>
        </w:r>
        <w:r w:rsidR="00EC4E9B" w:rsidRPr="00957B6C">
          <w:rPr>
            <w:rStyle w:val="Hyperlink"/>
            <w:rFonts w:cstheme="minorBidi"/>
            <w:b/>
            <w:bCs/>
          </w:rPr>
          <w:t>6</w:t>
        </w:r>
      </w:hyperlink>
      <w:r>
        <w:rPr>
          <w:rStyle w:val="Hyperlink"/>
          <w:rFonts w:cstheme="minorBidi"/>
          <w:b/>
          <w:bCs/>
        </w:rPr>
        <w:t xml:space="preserve">, </w:t>
      </w:r>
      <w:r w:rsidRPr="007B36B3">
        <w:rPr>
          <w:rStyle w:val="Hyperlink"/>
          <w:rFonts w:cstheme="minorBidi"/>
          <w:bCs/>
          <w:color w:val="auto"/>
          <w:u w:val="none"/>
        </w:rPr>
        <w:t>and is</w:t>
      </w:r>
      <w:r w:rsidR="00617B61">
        <w:rPr>
          <w:rStyle w:val="Hyperlink"/>
          <w:rFonts w:cstheme="minorBidi"/>
          <w:b/>
          <w:bCs/>
          <w:color w:val="auto"/>
          <w:u w:val="none"/>
        </w:rPr>
        <w:t xml:space="preserve"> </w:t>
      </w:r>
      <w:r w:rsidRPr="00317FCC">
        <w:rPr>
          <w:rFonts w:asciiTheme="minorHAnsi" w:hAnsiTheme="minorHAnsi"/>
          <w:sz w:val="24"/>
          <w:szCs w:val="24"/>
        </w:rPr>
        <w:t>a</w:t>
      </w:r>
      <w:r w:rsidRPr="00957B6C">
        <w:rPr>
          <w:rFonts w:asciiTheme="minorHAnsi" w:hAnsiTheme="minorHAnsi"/>
          <w:sz w:val="24"/>
          <w:szCs w:val="24"/>
        </w:rPr>
        <w:t>ligned with the structure of the overall strategic plan for the Union for 2020-2023, and with the limits set in the financial plans for these years. The plan highlights a period dominated b</w:t>
      </w:r>
      <w:r>
        <w:rPr>
          <w:rFonts w:asciiTheme="minorHAnsi" w:hAnsiTheme="minorHAnsi"/>
          <w:sz w:val="24"/>
          <w:szCs w:val="24"/>
        </w:rPr>
        <w:t>y</w:t>
      </w:r>
      <w:r w:rsidRPr="00957B6C">
        <w:rPr>
          <w:rFonts w:asciiTheme="minorHAnsi" w:hAnsiTheme="minorHAnsi"/>
          <w:sz w:val="24"/>
          <w:szCs w:val="24"/>
        </w:rPr>
        <w:t xml:space="preserve"> implementation of WTDC-17 outcomes</w:t>
      </w:r>
      <w:r>
        <w:rPr>
          <w:rFonts w:asciiTheme="minorHAnsi" w:hAnsiTheme="minorHAnsi"/>
          <w:sz w:val="24"/>
          <w:szCs w:val="24"/>
        </w:rPr>
        <w:t>,</w:t>
      </w:r>
      <w:r w:rsidRPr="00957B6C">
        <w:rPr>
          <w:rFonts w:asciiTheme="minorHAnsi" w:hAnsiTheme="minorHAnsi"/>
          <w:sz w:val="24"/>
          <w:szCs w:val="24"/>
        </w:rPr>
        <w:t xml:space="preserve"> </w:t>
      </w:r>
      <w:r>
        <w:rPr>
          <w:rFonts w:asciiTheme="minorHAnsi" w:hAnsiTheme="minorHAnsi"/>
          <w:sz w:val="24"/>
          <w:szCs w:val="24"/>
        </w:rPr>
        <w:t xml:space="preserve">relevant </w:t>
      </w:r>
      <w:r w:rsidRPr="00957B6C">
        <w:rPr>
          <w:rFonts w:asciiTheme="minorHAnsi" w:hAnsiTheme="minorHAnsi"/>
          <w:sz w:val="24"/>
          <w:szCs w:val="24"/>
        </w:rPr>
        <w:t>PP-18 decisions and resolutions</w:t>
      </w:r>
      <w:r>
        <w:rPr>
          <w:rFonts w:asciiTheme="minorHAnsi" w:hAnsiTheme="minorHAnsi"/>
          <w:sz w:val="24"/>
          <w:szCs w:val="24"/>
        </w:rPr>
        <w:t>,</w:t>
      </w:r>
      <w:r w:rsidRPr="00957B6C">
        <w:rPr>
          <w:rFonts w:asciiTheme="minorHAnsi" w:hAnsiTheme="minorHAnsi"/>
          <w:sz w:val="24"/>
          <w:szCs w:val="24"/>
        </w:rPr>
        <w:t xml:space="preserve"> and preparations for the next WTDC </w:t>
      </w:r>
      <w:r w:rsidR="00FA418C">
        <w:rPr>
          <w:rFonts w:asciiTheme="minorHAnsi" w:hAnsiTheme="minorHAnsi"/>
          <w:sz w:val="24"/>
          <w:szCs w:val="24"/>
        </w:rPr>
        <w:t xml:space="preserve">which is planned for </w:t>
      </w:r>
      <w:r w:rsidRPr="00957B6C">
        <w:rPr>
          <w:rFonts w:asciiTheme="minorHAnsi" w:hAnsiTheme="minorHAnsi"/>
          <w:sz w:val="24"/>
          <w:szCs w:val="24"/>
        </w:rPr>
        <w:t xml:space="preserve">the last quarter of 2021. </w:t>
      </w:r>
    </w:p>
    <w:p w:rsidR="00FD7150" w:rsidRPr="00957B6C" w:rsidRDefault="007C7763" w:rsidP="009B5B24">
      <w:pPr>
        <w:pStyle w:val="CEONormal"/>
        <w:rPr>
          <w:rFonts w:ascii="Calibri" w:hAnsi="Calibri"/>
          <w:sz w:val="24"/>
          <w:szCs w:val="24"/>
        </w:rPr>
      </w:pPr>
      <w:r w:rsidRPr="00957B6C">
        <w:rPr>
          <w:rFonts w:ascii="Calibri" w:hAnsi="Calibri"/>
          <w:sz w:val="24"/>
          <w:szCs w:val="24"/>
        </w:rPr>
        <w:t xml:space="preserve">TDAG discussed </w:t>
      </w:r>
      <w:r w:rsidR="00FD7150" w:rsidRPr="00957B6C">
        <w:rPr>
          <w:rFonts w:ascii="Calibri" w:hAnsi="Calibri"/>
          <w:sz w:val="24"/>
          <w:szCs w:val="24"/>
        </w:rPr>
        <w:t>the key elements of the 2020-2023 rolling operational plan presented in five parts. Part 1 is the executive summary. Part 2 provides detailed descriptions of (</w:t>
      </w:r>
      <w:proofErr w:type="spellStart"/>
      <w:r w:rsidR="00FD7150" w:rsidRPr="00957B6C">
        <w:rPr>
          <w:rFonts w:ascii="Calibri" w:hAnsi="Calibri"/>
          <w:sz w:val="24"/>
          <w:szCs w:val="24"/>
        </w:rPr>
        <w:t>i</w:t>
      </w:r>
      <w:proofErr w:type="spellEnd"/>
      <w:r w:rsidR="00FD7150" w:rsidRPr="00957B6C">
        <w:rPr>
          <w:rFonts w:ascii="Calibri" w:hAnsi="Calibri"/>
          <w:sz w:val="24"/>
          <w:szCs w:val="24"/>
        </w:rPr>
        <w:t xml:space="preserve">) outputs by objectives and policy issues related to outputs; (ii) outcomes and outcome indicators; (iii) annual expected results and performance indicators; and </w:t>
      </w:r>
      <w:proofErr w:type="gramStart"/>
      <w:r w:rsidR="00FD7150" w:rsidRPr="00957B6C">
        <w:rPr>
          <w:rFonts w:ascii="Calibri" w:hAnsi="Calibri"/>
          <w:sz w:val="24"/>
          <w:szCs w:val="24"/>
        </w:rPr>
        <w:t>(iv) the</w:t>
      </w:r>
      <w:proofErr w:type="gramEnd"/>
      <w:r w:rsidR="00FD7150" w:rsidRPr="00957B6C">
        <w:rPr>
          <w:rFonts w:ascii="Calibri" w:hAnsi="Calibri"/>
          <w:sz w:val="24"/>
          <w:szCs w:val="24"/>
        </w:rPr>
        <w:t xml:space="preserve"> risk analysis. Parts 3 and 4 provide d</w:t>
      </w:r>
      <w:r w:rsidR="00FD7150" w:rsidRPr="00957B6C">
        <w:rPr>
          <w:rFonts w:ascii="Calibri" w:hAnsi="Calibri"/>
          <w:bCs/>
          <w:sz w:val="24"/>
          <w:szCs w:val="24"/>
        </w:rPr>
        <w:t>escription</w:t>
      </w:r>
      <w:r w:rsidR="00FD7150" w:rsidRPr="00957B6C">
        <w:rPr>
          <w:rFonts w:ascii="Calibri" w:hAnsi="Calibri"/>
          <w:sz w:val="24"/>
          <w:szCs w:val="24"/>
        </w:rPr>
        <w:t>s</w:t>
      </w:r>
      <w:r w:rsidR="00FD7150" w:rsidRPr="00957B6C">
        <w:rPr>
          <w:rFonts w:ascii="Calibri" w:hAnsi="Calibri"/>
          <w:bCs/>
          <w:sz w:val="24"/>
          <w:szCs w:val="24"/>
        </w:rPr>
        <w:t xml:space="preserve"> of departments, and regional and area offices, including human </w:t>
      </w:r>
      <w:r w:rsidR="00FD7150" w:rsidRPr="00957B6C">
        <w:rPr>
          <w:rFonts w:ascii="Calibri" w:hAnsi="Calibri"/>
          <w:sz w:val="24"/>
          <w:szCs w:val="24"/>
        </w:rPr>
        <w:t>resource allocations for the period 2020-2023. Part 5 provides details of regional initiatives per region premised on results-based management.</w:t>
      </w:r>
      <w:r w:rsidR="00BE016B">
        <w:rPr>
          <w:rFonts w:ascii="Calibri" w:hAnsi="Calibri"/>
          <w:sz w:val="24"/>
          <w:szCs w:val="24"/>
        </w:rPr>
        <w:t xml:space="preserve"> </w:t>
      </w:r>
    </w:p>
    <w:p w:rsidR="000E6467" w:rsidRPr="00957B6C" w:rsidRDefault="004A7616" w:rsidP="009B5B24">
      <w:pPr>
        <w:pStyle w:val="CEONormal"/>
        <w:rPr>
          <w:rFonts w:asciiTheme="minorHAnsi" w:hAnsiTheme="minorHAnsi"/>
          <w:sz w:val="24"/>
          <w:szCs w:val="24"/>
        </w:rPr>
      </w:pPr>
      <w:r w:rsidRPr="004A7616">
        <w:rPr>
          <w:rFonts w:asciiTheme="minorHAnsi" w:hAnsiTheme="minorHAnsi"/>
          <w:sz w:val="24"/>
          <w:szCs w:val="24"/>
        </w:rPr>
        <w:t xml:space="preserve">TDAG endorsed by acclamation the four-year rolling operational plan and expressed support for the Director’s vision, </w:t>
      </w:r>
      <w:r w:rsidR="00422662">
        <w:rPr>
          <w:rFonts w:asciiTheme="minorHAnsi" w:hAnsiTheme="minorHAnsi"/>
          <w:sz w:val="24"/>
          <w:szCs w:val="24"/>
        </w:rPr>
        <w:t xml:space="preserve">expressed </w:t>
      </w:r>
      <w:r w:rsidRPr="00BF5B1F">
        <w:rPr>
          <w:rFonts w:asciiTheme="minorHAnsi" w:hAnsiTheme="minorHAnsi"/>
          <w:sz w:val="24"/>
          <w:szCs w:val="24"/>
        </w:rPr>
        <w:t>as a</w:t>
      </w:r>
      <w:r w:rsidRPr="004A7616">
        <w:rPr>
          <w:rFonts w:asciiTheme="minorHAnsi" w:hAnsiTheme="minorHAnsi"/>
          <w:sz w:val="24"/>
          <w:szCs w:val="24"/>
        </w:rPr>
        <w:t xml:space="preserve"> milestone for her first 100 days in office. One of the first </w:t>
      </w:r>
      <w:r w:rsidR="00A66711">
        <w:rPr>
          <w:rFonts w:asciiTheme="minorHAnsi" w:hAnsiTheme="minorHAnsi"/>
          <w:sz w:val="24"/>
          <w:szCs w:val="24"/>
        </w:rPr>
        <w:t>actions taken under</w:t>
      </w:r>
      <w:r w:rsidRPr="004A7616">
        <w:rPr>
          <w:rFonts w:asciiTheme="minorHAnsi" w:hAnsiTheme="minorHAnsi"/>
          <w:sz w:val="24"/>
          <w:szCs w:val="24"/>
        </w:rPr>
        <w:t xml:space="preserve"> the Director’s 100-day plan was t</w:t>
      </w:r>
      <w:r w:rsidR="00A66711">
        <w:rPr>
          <w:rFonts w:asciiTheme="minorHAnsi" w:hAnsiTheme="minorHAnsi"/>
          <w:sz w:val="24"/>
          <w:szCs w:val="24"/>
        </w:rPr>
        <w:t>o</w:t>
      </w:r>
      <w:r w:rsidRPr="004A7616">
        <w:rPr>
          <w:rFonts w:asciiTheme="minorHAnsi" w:hAnsiTheme="minorHAnsi"/>
          <w:sz w:val="24"/>
          <w:szCs w:val="24"/>
        </w:rPr>
        <w:t xml:space="preserve"> establish thematic clusters organized around the 11 programmes defined in the Buenos Aires Action Plan adopted by WTDC-17. Th</w:t>
      </w:r>
      <w:r w:rsidR="00A51A30">
        <w:rPr>
          <w:rFonts w:asciiTheme="minorHAnsi" w:hAnsiTheme="minorHAnsi"/>
          <w:sz w:val="24"/>
          <w:szCs w:val="24"/>
        </w:rPr>
        <w:t>e Director believes clustering will</w:t>
      </w:r>
      <w:r w:rsidRPr="004A7616">
        <w:rPr>
          <w:rFonts w:asciiTheme="minorHAnsi" w:hAnsiTheme="minorHAnsi"/>
          <w:sz w:val="24"/>
          <w:szCs w:val="24"/>
        </w:rPr>
        <w:t xml:space="preserve"> </w:t>
      </w:r>
      <w:r w:rsidR="001C4436">
        <w:rPr>
          <w:rFonts w:asciiTheme="minorHAnsi" w:hAnsiTheme="minorHAnsi"/>
          <w:sz w:val="24"/>
          <w:szCs w:val="24"/>
        </w:rPr>
        <w:t xml:space="preserve">enhance the timeliness and quality of </w:t>
      </w:r>
      <w:r w:rsidRPr="004A7616">
        <w:rPr>
          <w:rFonts w:asciiTheme="minorHAnsi" w:hAnsiTheme="minorHAnsi"/>
          <w:sz w:val="24"/>
          <w:szCs w:val="24"/>
        </w:rPr>
        <w:t>deliver</w:t>
      </w:r>
      <w:r w:rsidR="001C4436">
        <w:rPr>
          <w:rFonts w:asciiTheme="minorHAnsi" w:hAnsiTheme="minorHAnsi"/>
          <w:sz w:val="24"/>
          <w:szCs w:val="24"/>
        </w:rPr>
        <w:t>ables under</w:t>
      </w:r>
      <w:r w:rsidRPr="004A7616">
        <w:rPr>
          <w:rFonts w:asciiTheme="minorHAnsi" w:hAnsiTheme="minorHAnsi"/>
          <w:sz w:val="24"/>
          <w:szCs w:val="24"/>
        </w:rPr>
        <w:t xml:space="preserve"> the Buenos Aires Action Plan, reinforce collaboration within BDT and the other ITU Sectors, and leverage expertise from both headquarters and the regional and area offices</w:t>
      </w:r>
      <w:r w:rsidR="001C4436">
        <w:rPr>
          <w:rFonts w:asciiTheme="minorHAnsi" w:hAnsiTheme="minorHAnsi"/>
          <w:sz w:val="24"/>
          <w:szCs w:val="24"/>
        </w:rPr>
        <w:t>.</w:t>
      </w:r>
      <w:r w:rsidRPr="004A7616">
        <w:rPr>
          <w:rFonts w:asciiTheme="minorHAnsi" w:hAnsiTheme="minorHAnsi"/>
          <w:sz w:val="24"/>
          <w:szCs w:val="24"/>
        </w:rPr>
        <w:t xml:space="preserve"> </w:t>
      </w:r>
    </w:p>
    <w:tbl>
      <w:tblPr>
        <w:tblStyle w:val="TableGrid"/>
        <w:tblW w:w="0" w:type="auto"/>
        <w:tblLook w:val="04A0" w:firstRow="1" w:lastRow="0" w:firstColumn="1" w:lastColumn="0" w:noHBand="0" w:noVBand="1"/>
      </w:tblPr>
      <w:tblGrid>
        <w:gridCol w:w="9629"/>
      </w:tblGrid>
      <w:tr w:rsidR="00004F04" w:rsidRPr="00957B6C" w:rsidTr="00004F04">
        <w:tc>
          <w:tcPr>
            <w:tcW w:w="9629" w:type="dxa"/>
          </w:tcPr>
          <w:p w:rsidR="00004F04" w:rsidRPr="00957B6C" w:rsidRDefault="00004F04">
            <w:pPr>
              <w:tabs>
                <w:tab w:val="clear" w:pos="1134"/>
                <w:tab w:val="clear" w:pos="1871"/>
                <w:tab w:val="clear" w:pos="2268"/>
                <w:tab w:val="left" w:pos="794"/>
                <w:tab w:val="left" w:pos="1191"/>
                <w:tab w:val="left" w:pos="1588"/>
                <w:tab w:val="left" w:pos="1985"/>
              </w:tabs>
              <w:spacing w:after="120"/>
              <w:rPr>
                <w:rFonts w:cstheme="minorBidi"/>
                <w:color w:val="000000" w:themeColor="text1"/>
              </w:rPr>
            </w:pPr>
            <w:r w:rsidRPr="00957B6C">
              <w:rPr>
                <w:rFonts w:eastAsia="Calibri" w:cs="Calibri"/>
              </w:rPr>
              <w:t xml:space="preserve">TDAG </w:t>
            </w:r>
            <w:r w:rsidR="005C2359">
              <w:rPr>
                <w:rFonts w:eastAsia="Calibri" w:cs="Calibri"/>
              </w:rPr>
              <w:t>endorsed</w:t>
            </w:r>
            <w:r w:rsidRPr="00957B6C">
              <w:rPr>
                <w:rFonts w:eastAsia="Calibri" w:cs="Calibri"/>
              </w:rPr>
              <w:t xml:space="preserve"> the document and </w:t>
            </w:r>
            <w:r w:rsidR="005C2359">
              <w:rPr>
                <w:rFonts w:eastAsia="Calibri" w:cs="Calibri"/>
              </w:rPr>
              <w:t>supported</w:t>
            </w:r>
            <w:r w:rsidRPr="00957B6C">
              <w:rPr>
                <w:rFonts w:eastAsia="Calibri" w:cs="Calibri"/>
              </w:rPr>
              <w:t xml:space="preserve"> the BDT Director’s strategy </w:t>
            </w:r>
            <w:r w:rsidR="00A51A30">
              <w:rPr>
                <w:rFonts w:eastAsia="Calibri" w:cs="Calibri"/>
              </w:rPr>
              <w:t>t</w:t>
            </w:r>
            <w:r w:rsidRPr="00957B6C">
              <w:rPr>
                <w:rFonts w:eastAsia="Calibri" w:cs="Calibri"/>
              </w:rPr>
              <w:t xml:space="preserve">o </w:t>
            </w:r>
            <w:r w:rsidR="005E09F3">
              <w:rPr>
                <w:rFonts w:eastAsia="Calibri" w:cs="Calibri"/>
              </w:rPr>
              <w:t xml:space="preserve">continue to </w:t>
            </w:r>
            <w:r w:rsidRPr="001B43E9">
              <w:rPr>
                <w:rFonts w:eastAsia="Calibri" w:cs="Calibri"/>
              </w:rPr>
              <w:t>improv</w:t>
            </w:r>
            <w:r w:rsidR="00A51A30" w:rsidRPr="007B36B3">
              <w:rPr>
                <w:rFonts w:eastAsia="Calibri" w:cs="Calibri"/>
              </w:rPr>
              <w:t>e</w:t>
            </w:r>
            <w:r w:rsidRPr="00957B6C">
              <w:rPr>
                <w:rFonts w:eastAsia="Calibri" w:cs="Calibri"/>
              </w:rPr>
              <w:t xml:space="preserve"> </w:t>
            </w:r>
            <w:r w:rsidR="00A51A30">
              <w:rPr>
                <w:rFonts w:eastAsia="Calibri" w:cs="Calibri"/>
              </w:rPr>
              <w:t xml:space="preserve">service </w:t>
            </w:r>
            <w:r w:rsidRPr="00957B6C">
              <w:rPr>
                <w:rFonts w:eastAsia="Calibri" w:cs="Calibri"/>
              </w:rPr>
              <w:t>delivery through clustering topics based on the outcomes of WTDC-17 and PP-18.</w:t>
            </w:r>
          </w:p>
        </w:tc>
      </w:tr>
    </w:tbl>
    <w:p w:rsidR="00004F04" w:rsidRPr="00EA4144" w:rsidRDefault="00BD2A33" w:rsidP="00EA4144">
      <w:pPr>
        <w:pStyle w:val="ListParagraph"/>
        <w:keepNext/>
        <w:numPr>
          <w:ilvl w:val="1"/>
          <w:numId w:val="28"/>
        </w:numPr>
        <w:spacing w:after="120"/>
        <w:ind w:left="391" w:hanging="391"/>
        <w:contextualSpacing w:val="0"/>
        <w:rPr>
          <w:rStyle w:val="StyleComplex12pt"/>
          <w:rFonts w:cstheme="minorHAnsi"/>
          <w:b/>
          <w:bCs/>
        </w:rPr>
      </w:pPr>
      <w:r w:rsidRPr="00EA4144">
        <w:rPr>
          <w:rStyle w:val="StyleComplex12pt"/>
          <w:rFonts w:cstheme="minorHAnsi"/>
          <w:b/>
          <w:bCs/>
        </w:rPr>
        <w:lastRenderedPageBreak/>
        <w:t xml:space="preserve">General Secretariat four-year rolling </w:t>
      </w:r>
      <w:r w:rsidR="00FD1E59" w:rsidRPr="00EA4144">
        <w:rPr>
          <w:rStyle w:val="StyleComplex12pt"/>
          <w:rFonts w:cstheme="minorHAnsi"/>
          <w:b/>
          <w:bCs/>
        </w:rPr>
        <w:t>operational plan 2020-2023</w:t>
      </w:r>
    </w:p>
    <w:p w:rsidR="003220C6" w:rsidRPr="004A7616" w:rsidRDefault="005E09F3" w:rsidP="007B36B3">
      <w:pPr>
        <w:spacing w:before="240" w:after="120"/>
        <w:rPr>
          <w:rFonts w:cstheme="minorBidi"/>
          <w:color w:val="000000" w:themeColor="text1"/>
        </w:rPr>
      </w:pPr>
      <w:r>
        <w:rPr>
          <w:rFonts w:cstheme="minorBidi"/>
          <w:color w:val="000000" w:themeColor="text1"/>
        </w:rPr>
        <w:t>The d</w:t>
      </w:r>
      <w:r w:rsidRPr="004A7616">
        <w:rPr>
          <w:rFonts w:cstheme="minorBidi"/>
          <w:color w:val="000000" w:themeColor="text1"/>
        </w:rPr>
        <w:t>raft operational plan for the General Secretariat for 2020-2023</w:t>
      </w:r>
      <w:r>
        <w:rPr>
          <w:rFonts w:cstheme="minorBidi"/>
          <w:color w:val="000000" w:themeColor="text1"/>
        </w:rPr>
        <w:t xml:space="preserve">, </w:t>
      </w:r>
      <w:r w:rsidRPr="004A7616">
        <w:rPr>
          <w:rFonts w:cstheme="minorBidi"/>
          <w:color w:val="000000" w:themeColor="text1"/>
        </w:rPr>
        <w:t>introduced on behalf of the Secretary-General</w:t>
      </w:r>
      <w:r>
        <w:rPr>
          <w:rFonts w:cstheme="minorBidi"/>
          <w:color w:val="000000" w:themeColor="text1"/>
        </w:rPr>
        <w:t xml:space="preserve"> in</w:t>
      </w:r>
      <w:r>
        <w:rPr>
          <w:rStyle w:val="Hyperlink"/>
          <w:rFonts w:cstheme="minorBidi"/>
          <w:b/>
          <w:bCs/>
        </w:rPr>
        <w:t xml:space="preserve"> </w:t>
      </w:r>
      <w:hyperlink r:id="rId15">
        <w:r w:rsidR="25A7936B" w:rsidRPr="004A7616">
          <w:rPr>
            <w:rStyle w:val="Hyperlink"/>
            <w:rFonts w:cstheme="minorBidi"/>
            <w:b/>
            <w:bCs/>
          </w:rPr>
          <w:t xml:space="preserve">Document </w:t>
        </w:r>
        <w:r w:rsidR="00D24898" w:rsidRPr="004A7616">
          <w:rPr>
            <w:rStyle w:val="Hyperlink"/>
            <w:rFonts w:cstheme="minorBidi"/>
            <w:b/>
            <w:bCs/>
          </w:rPr>
          <w:t>25</w:t>
        </w:r>
      </w:hyperlink>
      <w:r>
        <w:rPr>
          <w:rStyle w:val="Hyperlink"/>
          <w:rFonts w:cstheme="minorBidi"/>
          <w:b/>
          <w:bCs/>
        </w:rPr>
        <w:t>,</w:t>
      </w:r>
      <w:r>
        <w:rPr>
          <w:rFonts w:cstheme="minorBidi"/>
          <w:color w:val="000000" w:themeColor="text1"/>
        </w:rPr>
        <w:t xml:space="preserve"> </w:t>
      </w:r>
      <w:r w:rsidR="003220C6" w:rsidRPr="004A7616">
        <w:rPr>
          <w:rFonts w:cstheme="minorBidi"/>
          <w:color w:val="000000" w:themeColor="text1"/>
        </w:rPr>
        <w:t xml:space="preserve">will be presented to the ITU Council session in June 2019 for approval. The Plan is published pursuant to No. 87A of Article 5 of the ITU Convention, which provides that the operational plan of activities to be undertaken by the </w:t>
      </w:r>
      <w:r w:rsidR="00D21658" w:rsidRPr="004A7616">
        <w:rPr>
          <w:rFonts w:cstheme="minorBidi"/>
          <w:color w:val="000000" w:themeColor="text1"/>
        </w:rPr>
        <w:t xml:space="preserve">ITU </w:t>
      </w:r>
      <w:r w:rsidR="003220C6" w:rsidRPr="004A7616">
        <w:rPr>
          <w:rFonts w:cstheme="minorBidi"/>
          <w:color w:val="000000" w:themeColor="text1"/>
        </w:rPr>
        <w:t>General Secretariat shall be prepared annually, on a four-year rolling basis.</w:t>
      </w:r>
    </w:p>
    <w:tbl>
      <w:tblPr>
        <w:tblStyle w:val="TableGrid"/>
        <w:tblW w:w="0" w:type="auto"/>
        <w:tblLook w:val="04A0" w:firstRow="1" w:lastRow="0" w:firstColumn="1" w:lastColumn="0" w:noHBand="0" w:noVBand="1"/>
      </w:tblPr>
      <w:tblGrid>
        <w:gridCol w:w="9629"/>
      </w:tblGrid>
      <w:tr w:rsidR="00F21C52" w:rsidRPr="00957B6C" w:rsidTr="2D9C0B70">
        <w:tc>
          <w:tcPr>
            <w:tcW w:w="9629" w:type="dxa"/>
          </w:tcPr>
          <w:p w:rsidR="00F21C52" w:rsidRPr="00957B6C" w:rsidRDefault="00FD1E59" w:rsidP="009B5B24">
            <w:pPr>
              <w:tabs>
                <w:tab w:val="clear" w:pos="1134"/>
                <w:tab w:val="clear" w:pos="1871"/>
                <w:tab w:val="clear" w:pos="2268"/>
                <w:tab w:val="left" w:pos="794"/>
                <w:tab w:val="left" w:pos="1191"/>
                <w:tab w:val="left" w:pos="1588"/>
                <w:tab w:val="left" w:pos="1985"/>
              </w:tabs>
              <w:spacing w:after="120"/>
              <w:rPr>
                <w:rFonts w:cstheme="minorBidi"/>
                <w:color w:val="000000" w:themeColor="text1"/>
              </w:rPr>
            </w:pPr>
            <w:r w:rsidRPr="00957B6C">
              <w:rPr>
                <w:rFonts w:eastAsia="Calibri" w:cs="Calibri"/>
              </w:rPr>
              <w:t xml:space="preserve">TDAG noted the </w:t>
            </w:r>
            <w:r w:rsidR="00374CD6">
              <w:rPr>
                <w:rFonts w:eastAsia="Calibri" w:cs="Calibri"/>
              </w:rPr>
              <w:t>plan</w:t>
            </w:r>
            <w:r w:rsidR="005E09F3">
              <w:rPr>
                <w:rFonts w:eastAsia="Calibri" w:cs="Calibri"/>
              </w:rPr>
              <w:t xml:space="preserve"> with appreciation.</w:t>
            </w:r>
          </w:p>
        </w:tc>
      </w:tr>
    </w:tbl>
    <w:p w:rsidR="005454FB" w:rsidRPr="001B43E9" w:rsidRDefault="00CD19D8" w:rsidP="00EA4144">
      <w:pPr>
        <w:pStyle w:val="ListParagraph"/>
        <w:numPr>
          <w:ilvl w:val="1"/>
          <w:numId w:val="28"/>
        </w:numPr>
        <w:spacing w:after="120"/>
        <w:ind w:left="391" w:hanging="391"/>
        <w:contextualSpacing w:val="0"/>
        <w:rPr>
          <w:rStyle w:val="StyleComplex12pt"/>
          <w:rFonts w:cstheme="minorHAnsi"/>
          <w:b/>
          <w:bCs/>
        </w:rPr>
      </w:pPr>
      <w:r w:rsidRPr="001B43E9">
        <w:rPr>
          <w:rStyle w:val="StyleComplex12pt"/>
          <w:rFonts w:cstheme="minorHAnsi"/>
          <w:b/>
          <w:bCs/>
        </w:rPr>
        <w:t>Activities i</w:t>
      </w:r>
      <w:r w:rsidR="00A31006" w:rsidRPr="005454FB">
        <w:rPr>
          <w:rStyle w:val="StyleComplex12pt"/>
          <w:rFonts w:cstheme="minorHAnsi"/>
          <w:b/>
          <w:bCs/>
        </w:rPr>
        <w:t>mplement</w:t>
      </w:r>
      <w:r w:rsidRPr="005454FB">
        <w:rPr>
          <w:rStyle w:val="StyleComplex12pt"/>
          <w:rFonts w:cstheme="minorHAnsi"/>
          <w:b/>
          <w:bCs/>
        </w:rPr>
        <w:t xml:space="preserve">ing </w:t>
      </w:r>
      <w:r w:rsidR="00A31006" w:rsidRPr="005454FB">
        <w:rPr>
          <w:rStyle w:val="StyleComplex12pt"/>
          <w:rFonts w:cstheme="minorHAnsi"/>
          <w:b/>
          <w:bCs/>
        </w:rPr>
        <w:t xml:space="preserve">the </w:t>
      </w:r>
      <w:r w:rsidR="0047517E" w:rsidRPr="005454FB">
        <w:rPr>
          <w:rStyle w:val="StyleComplex12pt"/>
          <w:rFonts w:cstheme="minorHAnsi"/>
          <w:b/>
          <w:bCs/>
        </w:rPr>
        <w:t xml:space="preserve">ITU-D </w:t>
      </w:r>
      <w:r w:rsidR="00A31006" w:rsidRPr="005454FB">
        <w:rPr>
          <w:rStyle w:val="StyleComplex12pt"/>
          <w:rFonts w:cstheme="minorHAnsi"/>
          <w:b/>
          <w:bCs/>
        </w:rPr>
        <w:t xml:space="preserve">Operational Plan 2018 </w:t>
      </w:r>
    </w:p>
    <w:p w:rsidR="00720527" w:rsidRPr="005454FB" w:rsidRDefault="00EA4144" w:rsidP="007B36B3">
      <w:pPr>
        <w:spacing w:before="240" w:after="120"/>
        <w:rPr>
          <w:rFonts w:ascii="Calibri" w:hAnsi="Calibri"/>
          <w:szCs w:val="24"/>
        </w:rPr>
      </w:pPr>
      <w:hyperlink r:id="rId16">
        <w:r w:rsidR="2D9C0B70" w:rsidRPr="001B43E9">
          <w:rPr>
            <w:rStyle w:val="Hyperlink"/>
            <w:rFonts w:cstheme="minorBidi"/>
            <w:b/>
            <w:bCs/>
            <w:szCs w:val="24"/>
          </w:rPr>
          <w:t xml:space="preserve">Document </w:t>
        </w:r>
        <w:r w:rsidR="00E27C47" w:rsidRPr="001B43E9">
          <w:rPr>
            <w:rStyle w:val="Hyperlink"/>
            <w:rFonts w:cstheme="minorBidi"/>
            <w:b/>
            <w:bCs/>
            <w:szCs w:val="24"/>
          </w:rPr>
          <w:t>2</w:t>
        </w:r>
        <w:r w:rsidR="00201975" w:rsidRPr="005454FB">
          <w:rPr>
            <w:rStyle w:val="Hyperlink"/>
            <w:rFonts w:cstheme="minorBidi"/>
            <w:b/>
            <w:bCs/>
            <w:szCs w:val="24"/>
          </w:rPr>
          <w:t xml:space="preserve"> (</w:t>
        </w:r>
        <w:r w:rsidR="003C5C8E" w:rsidRPr="005454FB">
          <w:rPr>
            <w:rStyle w:val="Hyperlink"/>
            <w:rFonts w:cstheme="minorBidi"/>
            <w:b/>
            <w:bCs/>
            <w:szCs w:val="24"/>
          </w:rPr>
          <w:t xml:space="preserve">including </w:t>
        </w:r>
        <w:r w:rsidR="00201975" w:rsidRPr="005454FB">
          <w:rPr>
            <w:rStyle w:val="Hyperlink"/>
            <w:rFonts w:cstheme="minorBidi"/>
            <w:b/>
            <w:bCs/>
            <w:szCs w:val="24"/>
          </w:rPr>
          <w:t>Ann</w:t>
        </w:r>
        <w:r w:rsidR="001D471F" w:rsidRPr="005454FB">
          <w:rPr>
            <w:rStyle w:val="Hyperlink"/>
            <w:rFonts w:cstheme="minorBidi"/>
            <w:b/>
            <w:bCs/>
            <w:szCs w:val="24"/>
          </w:rPr>
          <w:t xml:space="preserve">exes </w:t>
        </w:r>
        <w:r w:rsidR="00201975" w:rsidRPr="005454FB">
          <w:rPr>
            <w:rStyle w:val="Hyperlink"/>
            <w:rFonts w:cstheme="minorBidi"/>
            <w:b/>
            <w:bCs/>
            <w:szCs w:val="24"/>
          </w:rPr>
          <w:t>1</w:t>
        </w:r>
        <w:r w:rsidR="001D471F" w:rsidRPr="005454FB">
          <w:rPr>
            <w:rStyle w:val="Hyperlink"/>
            <w:rFonts w:cstheme="minorBidi"/>
            <w:b/>
            <w:bCs/>
            <w:szCs w:val="24"/>
          </w:rPr>
          <w:t xml:space="preserve"> and </w:t>
        </w:r>
        <w:r w:rsidR="00201975" w:rsidRPr="005454FB">
          <w:rPr>
            <w:rStyle w:val="Hyperlink"/>
            <w:rFonts w:cstheme="minorBidi"/>
            <w:b/>
            <w:bCs/>
            <w:szCs w:val="24"/>
          </w:rPr>
          <w:t>2)</w:t>
        </w:r>
        <w:r w:rsidR="2D9C0B70" w:rsidRPr="005454FB">
          <w:rPr>
            <w:rStyle w:val="Hyperlink"/>
            <w:rFonts w:cstheme="minorBidi"/>
            <w:b/>
            <w:bCs/>
            <w:szCs w:val="24"/>
          </w:rPr>
          <w:t>:</w:t>
        </w:r>
      </w:hyperlink>
      <w:r w:rsidR="2D9C0B70" w:rsidRPr="001B43E9">
        <w:rPr>
          <w:rFonts w:cstheme="minorBidi"/>
          <w:b/>
          <w:bCs/>
          <w:color w:val="000000" w:themeColor="text1"/>
        </w:rPr>
        <w:t xml:space="preserve"> </w:t>
      </w:r>
      <w:r w:rsidR="2D9C0B70" w:rsidRPr="001B43E9">
        <w:rPr>
          <w:rFonts w:cstheme="minorBidi"/>
          <w:color w:val="000000" w:themeColor="text1"/>
          <w:szCs w:val="24"/>
        </w:rPr>
        <w:t>“</w:t>
      </w:r>
      <w:r w:rsidR="000E6467" w:rsidRPr="001B43E9">
        <w:rPr>
          <w:rFonts w:cstheme="minorBidi"/>
          <w:color w:val="000000" w:themeColor="text1"/>
          <w:szCs w:val="24"/>
        </w:rPr>
        <w:t>Performance R</w:t>
      </w:r>
      <w:r w:rsidR="00660A4A" w:rsidRPr="005454FB">
        <w:rPr>
          <w:rFonts w:cstheme="minorBidi"/>
          <w:color w:val="000000" w:themeColor="text1"/>
          <w:szCs w:val="24"/>
        </w:rPr>
        <w:t>eport 2018</w:t>
      </w:r>
      <w:r w:rsidR="2D9C0B70" w:rsidRPr="005454FB">
        <w:rPr>
          <w:rFonts w:cstheme="minorBidi"/>
          <w:color w:val="000000" w:themeColor="text1"/>
          <w:szCs w:val="24"/>
        </w:rPr>
        <w:t xml:space="preserve">” </w:t>
      </w:r>
      <w:r w:rsidR="004E205D" w:rsidRPr="005454FB">
        <w:rPr>
          <w:szCs w:val="24"/>
        </w:rPr>
        <w:t xml:space="preserve">provides the status of implementation </w:t>
      </w:r>
      <w:r w:rsidR="00720527" w:rsidRPr="005454FB">
        <w:rPr>
          <w:rFonts w:ascii="Calibri" w:hAnsi="Calibri"/>
          <w:szCs w:val="24"/>
        </w:rPr>
        <w:t xml:space="preserve">of the objectives, outcomes and outputs defined in the ITU-D </w:t>
      </w:r>
      <w:r w:rsidR="000E6467" w:rsidRPr="005454FB">
        <w:rPr>
          <w:rFonts w:ascii="Calibri" w:hAnsi="Calibri"/>
          <w:szCs w:val="24"/>
        </w:rPr>
        <w:t>o</w:t>
      </w:r>
      <w:r w:rsidR="00720527" w:rsidRPr="005454FB">
        <w:rPr>
          <w:rFonts w:ascii="Calibri" w:hAnsi="Calibri"/>
          <w:szCs w:val="24"/>
        </w:rPr>
        <w:t xml:space="preserve">perational </w:t>
      </w:r>
      <w:r w:rsidR="000E6467" w:rsidRPr="005454FB">
        <w:rPr>
          <w:rFonts w:ascii="Calibri" w:hAnsi="Calibri"/>
          <w:szCs w:val="24"/>
        </w:rPr>
        <w:t>p</w:t>
      </w:r>
      <w:r w:rsidR="00720527" w:rsidRPr="005454FB">
        <w:rPr>
          <w:rFonts w:ascii="Calibri" w:hAnsi="Calibri"/>
          <w:szCs w:val="24"/>
        </w:rPr>
        <w:t xml:space="preserve">lan </w:t>
      </w:r>
      <w:r w:rsidR="00D0334A" w:rsidRPr="005454FB">
        <w:rPr>
          <w:rFonts w:ascii="Calibri" w:hAnsi="Calibri"/>
          <w:szCs w:val="24"/>
        </w:rPr>
        <w:t>for 2018</w:t>
      </w:r>
      <w:r w:rsidR="00720527" w:rsidRPr="005454FB">
        <w:rPr>
          <w:rFonts w:ascii="Calibri" w:hAnsi="Calibri"/>
          <w:szCs w:val="24"/>
        </w:rPr>
        <w:t>. The report is structured around the five objectives adopted by WTDC-14.</w:t>
      </w:r>
      <w:r w:rsidR="00873DBB" w:rsidRPr="005454FB">
        <w:rPr>
          <w:rFonts w:ascii="Calibri" w:hAnsi="Calibri"/>
          <w:szCs w:val="24"/>
        </w:rPr>
        <w:t xml:space="preserve"> </w:t>
      </w:r>
    </w:p>
    <w:p w:rsidR="00720527" w:rsidRPr="00EA4144" w:rsidRDefault="00720527">
      <w:pPr>
        <w:pStyle w:val="CEONormal"/>
        <w:rPr>
          <w:rFonts w:asciiTheme="minorHAnsi" w:hAnsiTheme="minorHAnsi"/>
          <w:sz w:val="24"/>
          <w:szCs w:val="24"/>
        </w:rPr>
      </w:pPr>
      <w:r w:rsidRPr="00EA4144">
        <w:rPr>
          <w:rFonts w:asciiTheme="minorHAnsi" w:hAnsiTheme="minorHAnsi" w:cstheme="minorHAnsi"/>
          <w:sz w:val="24"/>
          <w:szCs w:val="24"/>
        </w:rPr>
        <w:t xml:space="preserve">Under </w:t>
      </w:r>
      <w:r w:rsidR="003C1E35" w:rsidRPr="00EA4144">
        <w:rPr>
          <w:rFonts w:asciiTheme="minorHAnsi" w:hAnsiTheme="minorHAnsi" w:cstheme="minorHAnsi"/>
          <w:sz w:val="24"/>
          <w:szCs w:val="24"/>
        </w:rPr>
        <w:t>these objectives</w:t>
      </w:r>
      <w:r w:rsidRPr="00EA4144">
        <w:rPr>
          <w:rFonts w:asciiTheme="minorHAnsi" w:hAnsiTheme="minorHAnsi" w:cstheme="minorHAnsi"/>
          <w:sz w:val="24"/>
          <w:szCs w:val="24"/>
        </w:rPr>
        <w:t xml:space="preserve">, </w:t>
      </w:r>
      <w:r w:rsidR="00873DBB" w:rsidRPr="00EA4144">
        <w:rPr>
          <w:rFonts w:asciiTheme="minorHAnsi" w:hAnsiTheme="minorHAnsi" w:cstheme="minorHAnsi"/>
          <w:sz w:val="24"/>
          <w:szCs w:val="24"/>
        </w:rPr>
        <w:t>severa</w:t>
      </w:r>
      <w:r w:rsidR="00D0334A" w:rsidRPr="00EA4144">
        <w:rPr>
          <w:rFonts w:asciiTheme="minorHAnsi" w:hAnsiTheme="minorHAnsi" w:cstheme="minorHAnsi"/>
          <w:sz w:val="24"/>
          <w:szCs w:val="24"/>
        </w:rPr>
        <w:t xml:space="preserve">l </w:t>
      </w:r>
      <w:r w:rsidR="00FF28DE" w:rsidRPr="00EA4144">
        <w:rPr>
          <w:rFonts w:asciiTheme="minorHAnsi" w:hAnsiTheme="minorHAnsi" w:cstheme="minorHAnsi"/>
          <w:sz w:val="24"/>
          <w:szCs w:val="24"/>
        </w:rPr>
        <w:t xml:space="preserve">successful </w:t>
      </w:r>
      <w:r w:rsidR="00D0334A" w:rsidRPr="00EA4144">
        <w:rPr>
          <w:rFonts w:asciiTheme="minorHAnsi" w:hAnsiTheme="minorHAnsi" w:cstheme="minorHAnsi"/>
          <w:sz w:val="24"/>
          <w:szCs w:val="24"/>
        </w:rPr>
        <w:t>events were held:</w:t>
      </w:r>
      <w:r w:rsidR="00873DBB" w:rsidRPr="00EA4144">
        <w:rPr>
          <w:rFonts w:asciiTheme="minorHAnsi" w:hAnsiTheme="minorHAnsi" w:cstheme="minorHAnsi"/>
          <w:sz w:val="24"/>
          <w:szCs w:val="24"/>
        </w:rPr>
        <w:t xml:space="preserve"> TDAG-18</w:t>
      </w:r>
      <w:r w:rsidRPr="00EA4144">
        <w:rPr>
          <w:rFonts w:asciiTheme="minorHAnsi" w:hAnsiTheme="minorHAnsi" w:cstheme="minorHAnsi"/>
          <w:sz w:val="24"/>
          <w:szCs w:val="24"/>
        </w:rPr>
        <w:t xml:space="preserve"> in April</w:t>
      </w:r>
      <w:r w:rsidR="000C3365" w:rsidRPr="00EA4144">
        <w:rPr>
          <w:rFonts w:asciiTheme="minorHAnsi" w:hAnsiTheme="minorHAnsi" w:cstheme="minorHAnsi"/>
          <w:sz w:val="24"/>
          <w:szCs w:val="24"/>
        </w:rPr>
        <w:t xml:space="preserve"> 2018</w:t>
      </w:r>
      <w:r w:rsidR="00AB293E" w:rsidRPr="00EA4144">
        <w:rPr>
          <w:rFonts w:asciiTheme="minorHAnsi" w:hAnsiTheme="minorHAnsi" w:cstheme="minorHAnsi"/>
          <w:sz w:val="24"/>
          <w:szCs w:val="24"/>
        </w:rPr>
        <w:t xml:space="preserve"> (</w:t>
      </w:r>
      <w:r w:rsidR="00873DBB" w:rsidRPr="00EA4144">
        <w:rPr>
          <w:rFonts w:asciiTheme="minorHAnsi" w:hAnsiTheme="minorHAnsi" w:cstheme="minorHAnsi"/>
          <w:sz w:val="24"/>
          <w:szCs w:val="24"/>
        </w:rPr>
        <w:t>Geneva</w:t>
      </w:r>
      <w:r w:rsidR="00AB293E" w:rsidRPr="00EA4144">
        <w:rPr>
          <w:rFonts w:asciiTheme="minorHAnsi" w:hAnsiTheme="minorHAnsi" w:cstheme="minorHAnsi"/>
          <w:sz w:val="24"/>
          <w:szCs w:val="24"/>
        </w:rPr>
        <w:t>)</w:t>
      </w:r>
      <w:r w:rsidR="00FF28DE" w:rsidRPr="00EA4144">
        <w:rPr>
          <w:rFonts w:asciiTheme="minorHAnsi" w:hAnsiTheme="minorHAnsi" w:cstheme="minorHAnsi"/>
          <w:sz w:val="24"/>
          <w:szCs w:val="24"/>
        </w:rPr>
        <w:t>, a</w:t>
      </w:r>
      <w:r w:rsidRPr="00EA4144">
        <w:rPr>
          <w:rFonts w:asciiTheme="minorHAnsi" w:hAnsiTheme="minorHAnsi" w:cstheme="minorHAnsi"/>
          <w:sz w:val="24"/>
          <w:szCs w:val="24"/>
        </w:rPr>
        <w:t xml:space="preserve"> </w:t>
      </w:r>
      <w:r w:rsidR="00873DBB" w:rsidRPr="00EA4144">
        <w:rPr>
          <w:rFonts w:asciiTheme="minorHAnsi" w:hAnsiTheme="minorHAnsi" w:cstheme="minorHAnsi"/>
          <w:sz w:val="24"/>
          <w:szCs w:val="24"/>
        </w:rPr>
        <w:t>series of r</w:t>
      </w:r>
      <w:r w:rsidRPr="00EA4144">
        <w:rPr>
          <w:rFonts w:asciiTheme="minorHAnsi" w:hAnsiTheme="minorHAnsi" w:cstheme="minorHAnsi"/>
          <w:sz w:val="24"/>
          <w:szCs w:val="24"/>
        </w:rPr>
        <w:t xml:space="preserve">egional </w:t>
      </w:r>
      <w:r w:rsidR="00873DBB" w:rsidRPr="00EA4144">
        <w:rPr>
          <w:rFonts w:asciiTheme="minorHAnsi" w:hAnsiTheme="minorHAnsi" w:cstheme="minorHAnsi"/>
          <w:sz w:val="24"/>
          <w:szCs w:val="24"/>
        </w:rPr>
        <w:t>d</w:t>
      </w:r>
      <w:r w:rsidRPr="00EA4144">
        <w:rPr>
          <w:rFonts w:asciiTheme="minorHAnsi" w:hAnsiTheme="minorHAnsi" w:cstheme="minorHAnsi"/>
          <w:sz w:val="24"/>
          <w:szCs w:val="24"/>
        </w:rPr>
        <w:t xml:space="preserve">evelopment </w:t>
      </w:r>
      <w:r w:rsidR="00873DBB" w:rsidRPr="00EA4144">
        <w:rPr>
          <w:rFonts w:asciiTheme="minorHAnsi" w:hAnsiTheme="minorHAnsi" w:cstheme="minorHAnsi"/>
          <w:sz w:val="24"/>
          <w:szCs w:val="24"/>
        </w:rPr>
        <w:t>f</w:t>
      </w:r>
      <w:r w:rsidR="00D0334A" w:rsidRPr="00EA4144">
        <w:rPr>
          <w:rFonts w:asciiTheme="minorHAnsi" w:hAnsiTheme="minorHAnsi" w:cstheme="minorHAnsi"/>
          <w:sz w:val="24"/>
          <w:szCs w:val="24"/>
        </w:rPr>
        <w:t>orum</w:t>
      </w:r>
      <w:r w:rsidRPr="00EA4144">
        <w:rPr>
          <w:rFonts w:asciiTheme="minorHAnsi" w:hAnsiTheme="minorHAnsi" w:cstheme="minorHAnsi"/>
          <w:sz w:val="24"/>
          <w:szCs w:val="24"/>
        </w:rPr>
        <w:t>s</w:t>
      </w:r>
      <w:r w:rsidR="00873DBB" w:rsidRPr="00EA4144">
        <w:rPr>
          <w:rFonts w:asciiTheme="minorHAnsi" w:hAnsiTheme="minorHAnsi" w:cstheme="minorHAnsi"/>
          <w:sz w:val="24"/>
          <w:szCs w:val="24"/>
        </w:rPr>
        <w:t>, a</w:t>
      </w:r>
      <w:r w:rsidR="00FF28DE" w:rsidRPr="00EA4144">
        <w:rPr>
          <w:rFonts w:asciiTheme="minorHAnsi" w:hAnsiTheme="minorHAnsi" w:cstheme="minorHAnsi"/>
          <w:sz w:val="24"/>
          <w:szCs w:val="24"/>
        </w:rPr>
        <w:t xml:space="preserve">nd </w:t>
      </w:r>
      <w:r w:rsidRPr="00EA4144">
        <w:rPr>
          <w:rFonts w:asciiTheme="minorHAnsi" w:hAnsiTheme="minorHAnsi" w:cstheme="minorHAnsi"/>
          <w:sz w:val="24"/>
          <w:szCs w:val="24"/>
        </w:rPr>
        <w:t>stu</w:t>
      </w:r>
      <w:r w:rsidR="00873DBB" w:rsidRPr="00EA4144">
        <w:rPr>
          <w:rFonts w:asciiTheme="minorHAnsi" w:hAnsiTheme="minorHAnsi" w:cstheme="minorHAnsi"/>
          <w:sz w:val="24"/>
          <w:szCs w:val="24"/>
        </w:rPr>
        <w:t>dy group and rapporteur group</w:t>
      </w:r>
      <w:r w:rsidR="00FF28DE" w:rsidRPr="00EA4144">
        <w:rPr>
          <w:rFonts w:asciiTheme="minorHAnsi" w:hAnsiTheme="minorHAnsi" w:cstheme="minorHAnsi"/>
          <w:sz w:val="24"/>
          <w:szCs w:val="24"/>
        </w:rPr>
        <w:t xml:space="preserve"> meetings</w:t>
      </w:r>
      <w:r w:rsidRPr="00EA4144">
        <w:rPr>
          <w:rFonts w:asciiTheme="minorHAnsi" w:hAnsiTheme="minorHAnsi" w:cstheme="minorHAnsi"/>
          <w:sz w:val="24"/>
          <w:szCs w:val="24"/>
        </w:rPr>
        <w:t xml:space="preserve">. </w:t>
      </w:r>
      <w:r w:rsidR="0021287C" w:rsidRPr="00EA4144">
        <w:rPr>
          <w:rFonts w:asciiTheme="minorHAnsi" w:hAnsiTheme="minorHAnsi" w:cstheme="minorHAnsi"/>
          <w:sz w:val="24"/>
          <w:szCs w:val="24"/>
        </w:rPr>
        <w:t>BDT</w:t>
      </w:r>
      <w:r w:rsidRPr="00EA4144">
        <w:rPr>
          <w:rFonts w:asciiTheme="minorHAnsi" w:hAnsiTheme="minorHAnsi" w:cstheme="minorHAnsi"/>
          <w:sz w:val="24"/>
          <w:szCs w:val="24"/>
        </w:rPr>
        <w:t xml:space="preserve"> continued to </w:t>
      </w:r>
      <w:r w:rsidR="004F3A09" w:rsidRPr="00EA4144">
        <w:rPr>
          <w:rFonts w:asciiTheme="minorHAnsi" w:hAnsiTheme="minorHAnsi" w:cstheme="minorHAnsi"/>
          <w:sz w:val="24"/>
          <w:szCs w:val="24"/>
        </w:rPr>
        <w:t xml:space="preserve">provide </w:t>
      </w:r>
      <w:r w:rsidRPr="00EA4144">
        <w:rPr>
          <w:rFonts w:asciiTheme="minorHAnsi" w:hAnsiTheme="minorHAnsi" w:cstheme="minorHAnsi"/>
          <w:sz w:val="24"/>
          <w:szCs w:val="24"/>
        </w:rPr>
        <w:t xml:space="preserve">direct assistance to many countries </w:t>
      </w:r>
      <w:r w:rsidR="001D471F" w:rsidRPr="00EA4144">
        <w:rPr>
          <w:rFonts w:asciiTheme="minorHAnsi" w:hAnsiTheme="minorHAnsi" w:cstheme="minorHAnsi"/>
          <w:sz w:val="24"/>
          <w:szCs w:val="24"/>
        </w:rPr>
        <w:t xml:space="preserve">by </w:t>
      </w:r>
      <w:r w:rsidRPr="00EA4144">
        <w:rPr>
          <w:rFonts w:asciiTheme="minorHAnsi" w:hAnsiTheme="minorHAnsi" w:cstheme="minorHAnsi"/>
          <w:sz w:val="24"/>
          <w:szCs w:val="24"/>
        </w:rPr>
        <w:t>rais</w:t>
      </w:r>
      <w:r w:rsidR="001D471F" w:rsidRPr="00EA4144">
        <w:rPr>
          <w:rFonts w:asciiTheme="minorHAnsi" w:hAnsiTheme="minorHAnsi" w:cstheme="minorHAnsi"/>
          <w:sz w:val="24"/>
          <w:szCs w:val="24"/>
        </w:rPr>
        <w:t>ing</w:t>
      </w:r>
      <w:r w:rsidRPr="00EA4144">
        <w:rPr>
          <w:rFonts w:asciiTheme="minorHAnsi" w:hAnsiTheme="minorHAnsi" w:cstheme="minorHAnsi"/>
          <w:sz w:val="24"/>
          <w:szCs w:val="24"/>
        </w:rPr>
        <w:t xml:space="preserve"> awareness</w:t>
      </w:r>
      <w:r w:rsidR="001D471F" w:rsidRPr="00EA4144">
        <w:rPr>
          <w:rFonts w:asciiTheme="minorHAnsi" w:hAnsiTheme="minorHAnsi" w:cstheme="minorHAnsi"/>
          <w:sz w:val="24"/>
          <w:szCs w:val="24"/>
        </w:rPr>
        <w:t xml:space="preserve">, </w:t>
      </w:r>
      <w:r w:rsidRPr="00EA4144">
        <w:rPr>
          <w:rFonts w:asciiTheme="minorHAnsi" w:hAnsiTheme="minorHAnsi" w:cstheme="minorHAnsi"/>
          <w:sz w:val="24"/>
          <w:szCs w:val="24"/>
        </w:rPr>
        <w:t>buil</w:t>
      </w:r>
      <w:r w:rsidR="001D471F" w:rsidRPr="00EA4144">
        <w:rPr>
          <w:rFonts w:asciiTheme="minorHAnsi" w:hAnsiTheme="minorHAnsi" w:cstheme="minorHAnsi"/>
          <w:sz w:val="24"/>
          <w:szCs w:val="24"/>
        </w:rPr>
        <w:t>ding</w:t>
      </w:r>
      <w:r w:rsidRPr="00EA4144">
        <w:rPr>
          <w:rFonts w:asciiTheme="minorHAnsi" w:hAnsiTheme="minorHAnsi" w:cstheme="minorHAnsi"/>
          <w:sz w:val="24"/>
          <w:szCs w:val="24"/>
        </w:rPr>
        <w:t xml:space="preserve"> capacity,</w:t>
      </w:r>
      <w:r w:rsidR="001D471F" w:rsidRPr="00EA4144">
        <w:rPr>
          <w:rFonts w:asciiTheme="minorHAnsi" w:hAnsiTheme="minorHAnsi" w:cstheme="minorHAnsi"/>
          <w:sz w:val="24"/>
          <w:szCs w:val="24"/>
        </w:rPr>
        <w:t xml:space="preserve"> and</w:t>
      </w:r>
      <w:r w:rsidRPr="00EA4144">
        <w:rPr>
          <w:rFonts w:asciiTheme="minorHAnsi" w:hAnsiTheme="minorHAnsi" w:cstheme="minorHAnsi"/>
          <w:sz w:val="24"/>
          <w:szCs w:val="24"/>
        </w:rPr>
        <w:t xml:space="preserve"> provid</w:t>
      </w:r>
      <w:r w:rsidR="001D471F" w:rsidRPr="00EA4144">
        <w:rPr>
          <w:rFonts w:asciiTheme="minorHAnsi" w:hAnsiTheme="minorHAnsi" w:cstheme="minorHAnsi"/>
          <w:sz w:val="24"/>
          <w:szCs w:val="24"/>
        </w:rPr>
        <w:t>ing</w:t>
      </w:r>
      <w:r w:rsidRPr="00EA4144">
        <w:rPr>
          <w:rFonts w:asciiTheme="minorHAnsi" w:hAnsiTheme="minorHAnsi" w:cstheme="minorHAnsi"/>
          <w:sz w:val="24"/>
          <w:szCs w:val="24"/>
        </w:rPr>
        <w:t xml:space="preserve"> knowledge exchange tools and platforms. </w:t>
      </w:r>
      <w:r w:rsidR="001809DF" w:rsidRPr="00EA4144">
        <w:rPr>
          <w:rFonts w:asciiTheme="minorHAnsi" w:hAnsiTheme="minorHAnsi" w:cstheme="minorHAnsi"/>
          <w:sz w:val="24"/>
          <w:szCs w:val="24"/>
        </w:rPr>
        <w:t xml:space="preserve">Some </w:t>
      </w:r>
      <w:r w:rsidR="009D09B5" w:rsidRPr="00EA4144">
        <w:rPr>
          <w:rFonts w:asciiTheme="minorHAnsi" w:hAnsiTheme="minorHAnsi" w:cstheme="minorHAnsi"/>
          <w:sz w:val="24"/>
          <w:szCs w:val="24"/>
        </w:rPr>
        <w:t>43</w:t>
      </w:r>
      <w:r w:rsidRPr="00EA4144">
        <w:rPr>
          <w:rFonts w:asciiTheme="minorHAnsi" w:hAnsiTheme="minorHAnsi" w:cstheme="minorHAnsi"/>
          <w:sz w:val="24"/>
          <w:szCs w:val="24"/>
        </w:rPr>
        <w:t xml:space="preserve"> new partnership agreements were signed with various stakeholders. </w:t>
      </w:r>
      <w:r w:rsidR="0021287C" w:rsidRPr="00EA4144">
        <w:rPr>
          <w:rFonts w:asciiTheme="minorHAnsi" w:hAnsiTheme="minorHAnsi" w:cstheme="minorHAnsi"/>
          <w:sz w:val="24"/>
          <w:szCs w:val="24"/>
        </w:rPr>
        <w:t xml:space="preserve">BDT </w:t>
      </w:r>
      <w:r w:rsidRPr="00EA4144">
        <w:rPr>
          <w:rFonts w:asciiTheme="minorHAnsi" w:hAnsiTheme="minorHAnsi" w:cstheme="minorHAnsi"/>
          <w:sz w:val="24"/>
          <w:szCs w:val="24"/>
        </w:rPr>
        <w:t xml:space="preserve">continued to </w:t>
      </w:r>
      <w:r w:rsidR="00FF28DE" w:rsidRPr="00EA4144">
        <w:rPr>
          <w:rFonts w:asciiTheme="minorHAnsi" w:hAnsiTheme="minorHAnsi" w:cstheme="minorHAnsi"/>
          <w:sz w:val="24"/>
          <w:szCs w:val="24"/>
        </w:rPr>
        <w:t xml:space="preserve">help </w:t>
      </w:r>
      <w:r w:rsidR="001809DF" w:rsidRPr="00EA4144">
        <w:rPr>
          <w:rFonts w:asciiTheme="minorHAnsi" w:hAnsiTheme="minorHAnsi" w:cstheme="minorHAnsi"/>
          <w:sz w:val="24"/>
          <w:szCs w:val="24"/>
        </w:rPr>
        <w:t xml:space="preserve">countries </w:t>
      </w:r>
      <w:r w:rsidR="00FF28DE" w:rsidRPr="00EA4144">
        <w:rPr>
          <w:rFonts w:asciiTheme="minorHAnsi" w:hAnsiTheme="minorHAnsi" w:cstheme="minorHAnsi"/>
          <w:sz w:val="24"/>
          <w:szCs w:val="24"/>
        </w:rPr>
        <w:t>e</w:t>
      </w:r>
      <w:r w:rsidRPr="00EA4144">
        <w:rPr>
          <w:rFonts w:asciiTheme="minorHAnsi" w:hAnsiTheme="minorHAnsi" w:cstheme="minorHAnsi"/>
          <w:sz w:val="24"/>
          <w:szCs w:val="24"/>
        </w:rPr>
        <w:t xml:space="preserve">stablish and strengthen </w:t>
      </w:r>
      <w:r w:rsidR="001809DF" w:rsidRPr="00EA4144">
        <w:rPr>
          <w:rFonts w:asciiTheme="minorHAnsi" w:hAnsiTheme="minorHAnsi" w:cstheme="minorHAnsi"/>
          <w:sz w:val="24"/>
          <w:szCs w:val="24"/>
        </w:rPr>
        <w:t xml:space="preserve">their </w:t>
      </w:r>
      <w:r w:rsidRPr="00EA4144">
        <w:rPr>
          <w:rFonts w:asciiTheme="minorHAnsi" w:hAnsiTheme="minorHAnsi" w:cstheme="minorHAnsi"/>
          <w:sz w:val="24"/>
          <w:szCs w:val="24"/>
        </w:rPr>
        <w:t xml:space="preserve">national </w:t>
      </w:r>
      <w:r w:rsidR="001809DF" w:rsidRPr="00EA4144">
        <w:rPr>
          <w:rFonts w:asciiTheme="minorHAnsi" w:hAnsiTheme="minorHAnsi" w:cstheme="minorHAnsi"/>
          <w:sz w:val="24"/>
          <w:szCs w:val="24"/>
        </w:rPr>
        <w:t>computer incident response t</w:t>
      </w:r>
      <w:r w:rsidRPr="00EA4144">
        <w:rPr>
          <w:rFonts w:asciiTheme="minorHAnsi" w:hAnsiTheme="minorHAnsi" w:cstheme="minorHAnsi"/>
          <w:sz w:val="24"/>
          <w:szCs w:val="24"/>
        </w:rPr>
        <w:t>eams</w:t>
      </w:r>
      <w:r w:rsidR="00FF28DE" w:rsidRPr="00EA4144">
        <w:rPr>
          <w:rFonts w:asciiTheme="minorHAnsi" w:hAnsiTheme="minorHAnsi" w:cstheme="minorHAnsi"/>
          <w:sz w:val="24"/>
          <w:szCs w:val="24"/>
        </w:rPr>
        <w:t>,</w:t>
      </w:r>
      <w:r w:rsidR="00BD1A73" w:rsidRPr="00EA4144">
        <w:rPr>
          <w:rFonts w:asciiTheme="minorHAnsi" w:hAnsiTheme="minorHAnsi" w:cstheme="minorHAnsi"/>
          <w:sz w:val="24"/>
          <w:szCs w:val="24"/>
        </w:rPr>
        <w:t xml:space="preserve"> and </w:t>
      </w:r>
      <w:r w:rsidR="00FF28DE" w:rsidRPr="00EA4144">
        <w:rPr>
          <w:rFonts w:asciiTheme="minorHAnsi" w:hAnsiTheme="minorHAnsi" w:cstheme="minorHAnsi"/>
          <w:sz w:val="24"/>
          <w:szCs w:val="24"/>
        </w:rPr>
        <w:t>to</w:t>
      </w:r>
      <w:r w:rsidRPr="00EA4144">
        <w:rPr>
          <w:rFonts w:asciiTheme="minorHAnsi" w:hAnsiTheme="minorHAnsi" w:cstheme="minorHAnsi"/>
          <w:sz w:val="24"/>
          <w:szCs w:val="24"/>
        </w:rPr>
        <w:t xml:space="preserve"> organiz</w:t>
      </w:r>
      <w:r w:rsidR="00FF28DE" w:rsidRPr="00EA4144">
        <w:rPr>
          <w:rFonts w:asciiTheme="minorHAnsi" w:hAnsiTheme="minorHAnsi" w:cstheme="minorHAnsi"/>
          <w:sz w:val="24"/>
          <w:szCs w:val="24"/>
        </w:rPr>
        <w:t>e</w:t>
      </w:r>
      <w:r w:rsidRPr="00EA4144">
        <w:rPr>
          <w:rFonts w:asciiTheme="minorHAnsi" w:hAnsiTheme="minorHAnsi" w:cstheme="minorHAnsi"/>
          <w:sz w:val="24"/>
          <w:szCs w:val="24"/>
        </w:rPr>
        <w:t xml:space="preserve"> cyber</w:t>
      </w:r>
      <w:r w:rsidR="00FF28DE" w:rsidRPr="00EA4144">
        <w:rPr>
          <w:rFonts w:asciiTheme="minorHAnsi" w:hAnsiTheme="minorHAnsi" w:cstheme="minorHAnsi"/>
          <w:sz w:val="24"/>
          <w:szCs w:val="24"/>
        </w:rPr>
        <w:t xml:space="preserve"> </w:t>
      </w:r>
      <w:r w:rsidRPr="00EA4144">
        <w:rPr>
          <w:rFonts w:asciiTheme="minorHAnsi" w:hAnsiTheme="minorHAnsi" w:cstheme="minorHAnsi"/>
          <w:sz w:val="24"/>
          <w:szCs w:val="24"/>
        </w:rPr>
        <w:t>drills</w:t>
      </w:r>
      <w:r w:rsidR="001D471F" w:rsidRPr="00EA4144">
        <w:rPr>
          <w:rFonts w:asciiTheme="minorHAnsi" w:hAnsiTheme="minorHAnsi" w:cstheme="minorHAnsi"/>
          <w:sz w:val="24"/>
          <w:szCs w:val="24"/>
        </w:rPr>
        <w:t xml:space="preserve"> and</w:t>
      </w:r>
      <w:r w:rsidRPr="00EA4144">
        <w:rPr>
          <w:rFonts w:asciiTheme="minorHAnsi" w:hAnsiTheme="minorHAnsi" w:cstheme="minorHAnsi"/>
          <w:sz w:val="24"/>
          <w:szCs w:val="24"/>
        </w:rPr>
        <w:t xml:space="preserve"> activities </w:t>
      </w:r>
      <w:r w:rsidR="001809DF" w:rsidRPr="00EA4144">
        <w:rPr>
          <w:rFonts w:asciiTheme="minorHAnsi" w:hAnsiTheme="minorHAnsi" w:cstheme="minorHAnsi"/>
          <w:sz w:val="24"/>
          <w:szCs w:val="24"/>
        </w:rPr>
        <w:t xml:space="preserve">on </w:t>
      </w:r>
      <w:r w:rsidRPr="00EA4144">
        <w:rPr>
          <w:rFonts w:asciiTheme="minorHAnsi" w:hAnsiTheme="minorHAnsi" w:cstheme="minorHAnsi"/>
          <w:sz w:val="24"/>
          <w:szCs w:val="24"/>
        </w:rPr>
        <w:t xml:space="preserve">child </w:t>
      </w:r>
      <w:r w:rsidR="00873DBB" w:rsidRPr="00EA4144">
        <w:rPr>
          <w:rFonts w:asciiTheme="minorHAnsi" w:hAnsiTheme="minorHAnsi" w:cstheme="minorHAnsi"/>
          <w:sz w:val="24"/>
          <w:szCs w:val="24"/>
        </w:rPr>
        <w:t>online protection.</w:t>
      </w:r>
      <w:r w:rsidRPr="00EA4144">
        <w:rPr>
          <w:rFonts w:asciiTheme="minorHAnsi" w:hAnsiTheme="minorHAnsi" w:cstheme="minorHAnsi"/>
          <w:sz w:val="24"/>
          <w:szCs w:val="24"/>
        </w:rPr>
        <w:t xml:space="preserve"> </w:t>
      </w:r>
      <w:r w:rsidR="00591147" w:rsidRPr="00EA4144">
        <w:rPr>
          <w:rFonts w:asciiTheme="minorHAnsi" w:hAnsiTheme="minorHAnsi" w:cstheme="minorHAnsi"/>
          <w:sz w:val="24"/>
          <w:szCs w:val="24"/>
        </w:rPr>
        <w:t xml:space="preserve">ITU </w:t>
      </w:r>
      <w:r w:rsidR="00A967C0" w:rsidRPr="00EA4144">
        <w:rPr>
          <w:rFonts w:asciiTheme="minorHAnsi" w:hAnsiTheme="minorHAnsi" w:cstheme="minorHAnsi"/>
          <w:sz w:val="24"/>
          <w:szCs w:val="24"/>
        </w:rPr>
        <w:t xml:space="preserve">also </w:t>
      </w:r>
      <w:r w:rsidR="00D0334A" w:rsidRPr="00EA4144">
        <w:rPr>
          <w:rFonts w:asciiTheme="minorHAnsi" w:hAnsiTheme="minorHAnsi" w:cstheme="minorHAnsi"/>
          <w:sz w:val="24"/>
          <w:szCs w:val="24"/>
        </w:rPr>
        <w:t xml:space="preserve">enhanced </w:t>
      </w:r>
      <w:r w:rsidR="00591147" w:rsidRPr="00EA4144">
        <w:rPr>
          <w:rFonts w:asciiTheme="minorHAnsi" w:hAnsiTheme="minorHAnsi" w:cstheme="minorHAnsi"/>
          <w:sz w:val="24"/>
          <w:szCs w:val="24"/>
        </w:rPr>
        <w:t xml:space="preserve">its cooperation with </w:t>
      </w:r>
      <w:r w:rsidR="0021287C" w:rsidRPr="00EA4144">
        <w:rPr>
          <w:rFonts w:asciiTheme="minorHAnsi" w:hAnsiTheme="minorHAnsi" w:cstheme="minorHAnsi"/>
          <w:sz w:val="24"/>
          <w:szCs w:val="24"/>
        </w:rPr>
        <w:t xml:space="preserve">a number of </w:t>
      </w:r>
      <w:r w:rsidRPr="00EA4144">
        <w:rPr>
          <w:rFonts w:asciiTheme="minorHAnsi" w:hAnsiTheme="minorHAnsi" w:cstheme="minorHAnsi"/>
          <w:sz w:val="24"/>
          <w:szCs w:val="24"/>
        </w:rPr>
        <w:t xml:space="preserve">partners </w:t>
      </w:r>
      <w:r w:rsidR="000C3365" w:rsidRPr="00EA4144">
        <w:rPr>
          <w:rFonts w:asciiTheme="minorHAnsi" w:hAnsiTheme="minorHAnsi" w:cstheme="minorHAnsi"/>
          <w:sz w:val="24"/>
          <w:szCs w:val="24"/>
        </w:rPr>
        <w:t>working in</w:t>
      </w:r>
      <w:r w:rsidRPr="00EA4144">
        <w:rPr>
          <w:rFonts w:asciiTheme="minorHAnsi" w:hAnsiTheme="minorHAnsi" w:cstheme="minorHAnsi"/>
          <w:sz w:val="24"/>
          <w:szCs w:val="24"/>
        </w:rPr>
        <w:t xml:space="preserve"> capacity building.</w:t>
      </w:r>
      <w:r w:rsidR="00873DBB" w:rsidRPr="00EA4144">
        <w:rPr>
          <w:rFonts w:asciiTheme="minorHAnsi" w:hAnsiTheme="minorHAnsi" w:cstheme="minorHAnsi"/>
          <w:sz w:val="24"/>
          <w:szCs w:val="24"/>
        </w:rPr>
        <w:t xml:space="preserve"> </w:t>
      </w:r>
      <w:r w:rsidR="00EA09FB" w:rsidRPr="00EA4144">
        <w:rPr>
          <w:rFonts w:asciiTheme="minorHAnsi" w:hAnsiTheme="minorHAnsi" w:cstheme="minorHAnsi"/>
          <w:sz w:val="24"/>
          <w:szCs w:val="24"/>
        </w:rPr>
        <w:t xml:space="preserve">Some 131 countries organized International Girls in ICT Day events in 2018, encouraging the </w:t>
      </w:r>
      <w:r w:rsidR="00FF6C5E" w:rsidRPr="00EA4144">
        <w:rPr>
          <w:rFonts w:asciiTheme="minorHAnsi" w:hAnsiTheme="minorHAnsi" w:cstheme="minorHAnsi"/>
          <w:sz w:val="24"/>
          <w:szCs w:val="24"/>
        </w:rPr>
        <w:t>57</w:t>
      </w:r>
      <w:r w:rsidR="00CD19D8" w:rsidRPr="00EA4144">
        <w:rPr>
          <w:rFonts w:asciiTheme="minorHAnsi" w:hAnsiTheme="minorHAnsi" w:cstheme="minorHAnsi"/>
          <w:sz w:val="24"/>
          <w:szCs w:val="24"/>
        </w:rPr>
        <w:t>,</w:t>
      </w:r>
      <w:r w:rsidR="00EA09FB" w:rsidRPr="00EA4144">
        <w:rPr>
          <w:rFonts w:asciiTheme="minorHAnsi" w:hAnsiTheme="minorHAnsi" w:cstheme="minorHAnsi"/>
          <w:sz w:val="24"/>
          <w:szCs w:val="24"/>
        </w:rPr>
        <w:t xml:space="preserve">748 girls participating in 2186 events to take up careers and studies in ICTs. </w:t>
      </w:r>
      <w:r w:rsidR="0021287C" w:rsidRPr="00317FCC">
        <w:rPr>
          <w:rFonts w:asciiTheme="minorHAnsi" w:hAnsiTheme="minorHAnsi" w:cstheme="minorHAnsi"/>
          <w:sz w:val="24"/>
          <w:szCs w:val="24"/>
        </w:rPr>
        <w:t xml:space="preserve">BDT </w:t>
      </w:r>
      <w:r w:rsidRPr="00317FCC">
        <w:rPr>
          <w:rFonts w:asciiTheme="minorHAnsi" w:hAnsiTheme="minorHAnsi" w:cstheme="minorHAnsi"/>
          <w:sz w:val="24"/>
          <w:szCs w:val="24"/>
        </w:rPr>
        <w:t xml:space="preserve">continued to provide assistance to developing countries </w:t>
      </w:r>
      <w:r w:rsidR="00AA6124" w:rsidRPr="00317FCC">
        <w:rPr>
          <w:rFonts w:asciiTheme="minorHAnsi" w:hAnsiTheme="minorHAnsi" w:cstheme="minorHAnsi"/>
          <w:sz w:val="24"/>
          <w:szCs w:val="24"/>
        </w:rPr>
        <w:t>o</w:t>
      </w:r>
      <w:r w:rsidRPr="00317FCC">
        <w:rPr>
          <w:rFonts w:asciiTheme="minorHAnsi" w:hAnsiTheme="minorHAnsi" w:cstheme="minorHAnsi"/>
          <w:sz w:val="24"/>
          <w:szCs w:val="24"/>
        </w:rPr>
        <w:t xml:space="preserve">n </w:t>
      </w:r>
      <w:r w:rsidR="00591147" w:rsidRPr="00317FCC">
        <w:rPr>
          <w:rFonts w:asciiTheme="minorHAnsi" w:hAnsiTheme="minorHAnsi" w:cstheme="minorHAnsi"/>
          <w:sz w:val="24"/>
          <w:szCs w:val="24"/>
        </w:rPr>
        <w:t xml:space="preserve">ways to </w:t>
      </w:r>
      <w:r w:rsidRPr="00317FCC">
        <w:rPr>
          <w:rFonts w:asciiTheme="minorHAnsi" w:hAnsiTheme="minorHAnsi" w:cstheme="minorHAnsi"/>
          <w:sz w:val="24"/>
          <w:szCs w:val="24"/>
        </w:rPr>
        <w:t>use ICTs to mitigate and address the effects of climate change</w:t>
      </w:r>
      <w:r w:rsidR="001D471F" w:rsidRPr="00317FCC">
        <w:rPr>
          <w:rFonts w:asciiTheme="minorHAnsi" w:hAnsiTheme="minorHAnsi" w:cstheme="minorHAnsi"/>
          <w:sz w:val="24"/>
          <w:szCs w:val="24"/>
        </w:rPr>
        <w:t>,</w:t>
      </w:r>
      <w:r w:rsidRPr="00317FCC">
        <w:rPr>
          <w:rFonts w:asciiTheme="minorHAnsi" w:hAnsiTheme="minorHAnsi" w:cstheme="minorHAnsi"/>
          <w:sz w:val="24"/>
          <w:szCs w:val="24"/>
        </w:rPr>
        <w:t xml:space="preserve"> develop e-waste strateg</w:t>
      </w:r>
      <w:r w:rsidR="001D471F" w:rsidRPr="00317FCC">
        <w:rPr>
          <w:rFonts w:asciiTheme="minorHAnsi" w:hAnsiTheme="minorHAnsi" w:cstheme="minorHAnsi"/>
          <w:sz w:val="24"/>
          <w:szCs w:val="24"/>
        </w:rPr>
        <w:t>ies</w:t>
      </w:r>
      <w:r w:rsidRPr="00317FCC">
        <w:rPr>
          <w:rFonts w:asciiTheme="minorHAnsi" w:hAnsiTheme="minorHAnsi" w:cstheme="minorHAnsi"/>
          <w:sz w:val="24"/>
          <w:szCs w:val="24"/>
        </w:rPr>
        <w:t>, polic</w:t>
      </w:r>
      <w:r w:rsidR="001D471F" w:rsidRPr="00317FCC">
        <w:rPr>
          <w:rFonts w:asciiTheme="minorHAnsi" w:hAnsiTheme="minorHAnsi" w:cstheme="minorHAnsi"/>
          <w:sz w:val="24"/>
          <w:szCs w:val="24"/>
        </w:rPr>
        <w:t>ies</w:t>
      </w:r>
      <w:r w:rsidR="00B25599" w:rsidRPr="00317FCC">
        <w:rPr>
          <w:rFonts w:asciiTheme="minorHAnsi" w:hAnsiTheme="minorHAnsi" w:cstheme="minorHAnsi"/>
          <w:sz w:val="24"/>
          <w:szCs w:val="24"/>
        </w:rPr>
        <w:t xml:space="preserve"> and regulatory frameworks</w:t>
      </w:r>
      <w:r w:rsidR="004F3A09" w:rsidRPr="00317FCC">
        <w:rPr>
          <w:rFonts w:asciiTheme="minorHAnsi" w:hAnsiTheme="minorHAnsi" w:cstheme="minorHAnsi"/>
          <w:sz w:val="24"/>
          <w:szCs w:val="24"/>
        </w:rPr>
        <w:t xml:space="preserve">; </w:t>
      </w:r>
      <w:r w:rsidRPr="00317FCC">
        <w:rPr>
          <w:rFonts w:asciiTheme="minorHAnsi" w:hAnsiTheme="minorHAnsi" w:cstheme="minorHAnsi"/>
          <w:sz w:val="24"/>
          <w:szCs w:val="24"/>
        </w:rPr>
        <w:t>facilit</w:t>
      </w:r>
      <w:r w:rsidR="0055180A" w:rsidRPr="00317FCC">
        <w:rPr>
          <w:rFonts w:asciiTheme="minorHAnsi" w:hAnsiTheme="minorHAnsi" w:cstheme="minorHAnsi"/>
          <w:sz w:val="24"/>
          <w:szCs w:val="24"/>
        </w:rPr>
        <w:t>ate emergency disaster response</w:t>
      </w:r>
      <w:r w:rsidRPr="00317FCC">
        <w:rPr>
          <w:rFonts w:asciiTheme="minorHAnsi" w:hAnsiTheme="minorHAnsi" w:cstheme="minorHAnsi"/>
          <w:sz w:val="24"/>
          <w:szCs w:val="24"/>
        </w:rPr>
        <w:t xml:space="preserve"> and</w:t>
      </w:r>
      <w:r w:rsidR="0055180A" w:rsidRPr="00317FCC">
        <w:rPr>
          <w:rFonts w:asciiTheme="minorHAnsi" w:hAnsiTheme="minorHAnsi" w:cstheme="minorHAnsi"/>
          <w:sz w:val="24"/>
          <w:szCs w:val="24"/>
        </w:rPr>
        <w:t>, in particular,</w:t>
      </w:r>
      <w:r w:rsidRPr="00317FCC">
        <w:rPr>
          <w:rFonts w:asciiTheme="minorHAnsi" w:hAnsiTheme="minorHAnsi" w:cstheme="minorHAnsi"/>
          <w:sz w:val="24"/>
          <w:szCs w:val="24"/>
        </w:rPr>
        <w:t xml:space="preserve"> improve communications for disaster relief</w:t>
      </w:r>
      <w:r w:rsidRPr="00EA4144">
        <w:rPr>
          <w:rFonts w:asciiTheme="minorHAnsi" w:hAnsiTheme="minorHAnsi"/>
          <w:sz w:val="24"/>
          <w:szCs w:val="24"/>
        </w:rPr>
        <w:t>.</w:t>
      </w:r>
    </w:p>
    <w:tbl>
      <w:tblPr>
        <w:tblStyle w:val="TableGrid"/>
        <w:tblW w:w="0" w:type="auto"/>
        <w:tblLook w:val="04A0" w:firstRow="1" w:lastRow="0" w:firstColumn="1" w:lastColumn="0" w:noHBand="0" w:noVBand="1"/>
      </w:tblPr>
      <w:tblGrid>
        <w:gridCol w:w="9629"/>
      </w:tblGrid>
      <w:tr w:rsidR="00506B7F" w:rsidRPr="00957B6C" w:rsidTr="00F9789D">
        <w:tc>
          <w:tcPr>
            <w:tcW w:w="9629" w:type="dxa"/>
          </w:tcPr>
          <w:p w:rsidR="00506B7F" w:rsidRPr="00957B6C" w:rsidRDefault="00506B7F" w:rsidP="009B5B24">
            <w:pPr>
              <w:spacing w:after="120"/>
              <w:rPr>
                <w:rFonts w:cstheme="minorBidi"/>
                <w:color w:val="000000" w:themeColor="text1"/>
              </w:rPr>
            </w:pPr>
            <w:r w:rsidRPr="00957B6C">
              <w:rPr>
                <w:rFonts w:eastAsia="Calibri" w:cs="Calibri"/>
              </w:rPr>
              <w:t xml:space="preserve">TDAG noted the </w:t>
            </w:r>
            <w:r w:rsidR="00AA6124">
              <w:rPr>
                <w:rFonts w:eastAsia="Calibri" w:cs="Calibri"/>
              </w:rPr>
              <w:t xml:space="preserve">contents of the </w:t>
            </w:r>
            <w:r w:rsidR="00374CD6">
              <w:rPr>
                <w:rFonts w:eastAsia="Calibri" w:cs="Calibri"/>
              </w:rPr>
              <w:t>report</w:t>
            </w:r>
            <w:r w:rsidR="00EF5EB5">
              <w:rPr>
                <w:rFonts w:eastAsia="Calibri" w:cs="Calibri"/>
              </w:rPr>
              <w:t xml:space="preserve"> with appreciation</w:t>
            </w:r>
            <w:r w:rsidRPr="00957B6C">
              <w:rPr>
                <w:rFonts w:eastAsia="Calibri" w:cs="Calibri"/>
              </w:rPr>
              <w:t>.</w:t>
            </w:r>
          </w:p>
        </w:tc>
      </w:tr>
    </w:tbl>
    <w:p w:rsidR="004A5CF9" w:rsidRPr="004D22C2" w:rsidRDefault="004A5CF9" w:rsidP="00EA4144">
      <w:pPr>
        <w:pStyle w:val="ListParagraph"/>
        <w:numPr>
          <w:ilvl w:val="0"/>
          <w:numId w:val="28"/>
        </w:numPr>
        <w:spacing w:after="120"/>
        <w:ind w:left="391" w:hanging="391"/>
        <w:contextualSpacing w:val="0"/>
        <w:rPr>
          <w:b/>
          <w:bCs/>
          <w:lang w:val="en-US"/>
        </w:rPr>
      </w:pPr>
      <w:r>
        <w:rPr>
          <w:b/>
          <w:bCs/>
          <w:lang w:val="en-US"/>
        </w:rPr>
        <w:t xml:space="preserve">BDT MAJOR </w:t>
      </w:r>
      <w:r w:rsidR="00A739BA">
        <w:rPr>
          <w:b/>
          <w:bCs/>
          <w:lang w:val="en-US"/>
        </w:rPr>
        <w:t xml:space="preserve">WORK AREAS, </w:t>
      </w:r>
      <w:r>
        <w:rPr>
          <w:b/>
          <w:bCs/>
          <w:lang w:val="en-US"/>
        </w:rPr>
        <w:t>EVENTS</w:t>
      </w:r>
      <w:r w:rsidR="00A739BA">
        <w:rPr>
          <w:b/>
          <w:bCs/>
          <w:lang w:val="en-US"/>
        </w:rPr>
        <w:t xml:space="preserve"> and </w:t>
      </w:r>
      <w:r>
        <w:rPr>
          <w:b/>
          <w:bCs/>
          <w:lang w:val="en-US"/>
        </w:rPr>
        <w:t>INITIATIVES</w:t>
      </w:r>
    </w:p>
    <w:p w:rsidR="00AA6124" w:rsidRPr="00AA6124" w:rsidRDefault="004A5CF9" w:rsidP="00EA4144">
      <w:pPr>
        <w:pStyle w:val="ListParagraph"/>
        <w:numPr>
          <w:ilvl w:val="1"/>
          <w:numId w:val="28"/>
        </w:numPr>
        <w:spacing w:after="120"/>
        <w:ind w:left="391" w:hanging="391"/>
        <w:contextualSpacing w:val="0"/>
        <w:rPr>
          <w:rStyle w:val="StyleComplex12pt"/>
          <w:rFonts w:cstheme="minorHAnsi"/>
          <w:b/>
          <w:bCs/>
        </w:rPr>
      </w:pPr>
      <w:r w:rsidRPr="00957B6C">
        <w:rPr>
          <w:rStyle w:val="StyleComplex12pt"/>
          <w:rFonts w:cstheme="minorHAnsi"/>
          <w:b/>
          <w:bCs/>
        </w:rPr>
        <w:t>Infrastructure and spectrum</w:t>
      </w:r>
      <w:r w:rsidR="00A739BA">
        <w:rPr>
          <w:rStyle w:val="StyleComplex12pt"/>
          <w:rFonts w:cstheme="minorHAnsi"/>
          <w:b/>
          <w:bCs/>
        </w:rPr>
        <w:t xml:space="preserve"> </w:t>
      </w:r>
      <w:r w:rsidRPr="00957B6C">
        <w:rPr>
          <w:rStyle w:val="StyleComplex12pt"/>
          <w:rFonts w:cstheme="minorHAnsi"/>
          <w:b/>
          <w:bCs/>
        </w:rPr>
        <w:t>management activities</w:t>
      </w:r>
      <w:r w:rsidR="00425355">
        <w:rPr>
          <w:rStyle w:val="StyleComplex12pt"/>
          <w:rFonts w:cstheme="minorHAnsi"/>
          <w:b/>
          <w:bCs/>
        </w:rPr>
        <w:t xml:space="preserve"> </w:t>
      </w:r>
    </w:p>
    <w:p w:rsidR="004A5CF9" w:rsidRPr="00957B6C" w:rsidRDefault="00EA4144" w:rsidP="004A5CF9">
      <w:pPr>
        <w:tabs>
          <w:tab w:val="clear" w:pos="1134"/>
          <w:tab w:val="clear" w:pos="1871"/>
          <w:tab w:val="clear" w:pos="2268"/>
        </w:tabs>
        <w:overflowPunct/>
        <w:autoSpaceDE/>
        <w:autoSpaceDN/>
        <w:adjustRightInd/>
        <w:spacing w:after="120"/>
        <w:textAlignment w:val="auto"/>
        <w:rPr>
          <w:rFonts w:eastAsiaTheme="majorEastAsia" w:cstheme="minorHAnsi"/>
          <w:szCs w:val="24"/>
        </w:rPr>
      </w:pPr>
      <w:hyperlink r:id="rId17" w:history="1">
        <w:r w:rsidR="004A5CF9" w:rsidRPr="00957B6C">
          <w:rPr>
            <w:rStyle w:val="Hyperlink"/>
            <w:rFonts w:cstheme="minorHAnsi"/>
            <w:b/>
            <w:bCs/>
            <w:szCs w:val="24"/>
          </w:rPr>
          <w:t>Document 29</w:t>
        </w:r>
      </w:hyperlink>
      <w:r w:rsidR="004A5CF9" w:rsidRPr="00957B6C">
        <w:rPr>
          <w:rFonts w:cstheme="minorHAnsi"/>
          <w:b/>
          <w:bCs/>
          <w:color w:val="000000" w:themeColor="text1"/>
          <w:szCs w:val="24"/>
        </w:rPr>
        <w:t>:</w:t>
      </w:r>
      <w:r w:rsidR="004A5CF9" w:rsidRPr="00957B6C">
        <w:rPr>
          <w:rFonts w:cstheme="minorHAnsi"/>
          <w:color w:val="000000" w:themeColor="text1"/>
          <w:szCs w:val="24"/>
        </w:rPr>
        <w:t xml:space="preserve"> “ITU-D infrastructure development” provides an </w:t>
      </w:r>
      <w:r w:rsidR="004A5CF9" w:rsidRPr="00957B6C">
        <w:rPr>
          <w:rFonts w:eastAsiaTheme="majorEastAsia" w:cstheme="minorHAnsi"/>
          <w:szCs w:val="24"/>
        </w:rPr>
        <w:t>overview of results achieved</w:t>
      </w:r>
      <w:r w:rsidR="004A5CF9" w:rsidRPr="00957B6C">
        <w:rPr>
          <w:rFonts w:cstheme="minorHAnsi"/>
          <w:b/>
          <w:bCs/>
          <w:color w:val="000000" w:themeColor="text1"/>
          <w:szCs w:val="24"/>
        </w:rPr>
        <w:t xml:space="preserve"> </w:t>
      </w:r>
      <w:r w:rsidR="004A5CF9" w:rsidRPr="00957B6C">
        <w:rPr>
          <w:rFonts w:eastAsiaTheme="majorEastAsia" w:cstheme="minorHAnsi"/>
          <w:szCs w:val="24"/>
        </w:rPr>
        <w:t>in conducting national and regional capacity-building workshops</w:t>
      </w:r>
      <w:r w:rsidR="00AA6124">
        <w:rPr>
          <w:rFonts w:eastAsiaTheme="majorEastAsia" w:cstheme="minorHAnsi"/>
          <w:szCs w:val="24"/>
        </w:rPr>
        <w:t>,</w:t>
      </w:r>
      <w:r w:rsidR="004A5CF9" w:rsidRPr="00957B6C">
        <w:rPr>
          <w:rFonts w:eastAsiaTheme="majorEastAsia" w:cstheme="minorHAnsi"/>
          <w:szCs w:val="24"/>
        </w:rPr>
        <w:t xml:space="preserve"> national spectrum</w:t>
      </w:r>
      <w:r w:rsidR="00A739BA">
        <w:rPr>
          <w:rFonts w:eastAsiaTheme="majorEastAsia" w:cstheme="minorHAnsi"/>
          <w:szCs w:val="24"/>
        </w:rPr>
        <w:t xml:space="preserve"> </w:t>
      </w:r>
      <w:r w:rsidR="004A5CF9" w:rsidRPr="00957B6C">
        <w:rPr>
          <w:rFonts w:eastAsiaTheme="majorEastAsia" w:cstheme="minorHAnsi"/>
          <w:szCs w:val="24"/>
        </w:rPr>
        <w:t>management assessments, a</w:t>
      </w:r>
      <w:r w:rsidR="00AA6124">
        <w:rPr>
          <w:rFonts w:eastAsiaTheme="majorEastAsia" w:cstheme="minorHAnsi"/>
          <w:szCs w:val="24"/>
        </w:rPr>
        <w:t>nd</w:t>
      </w:r>
      <w:r w:rsidR="004A5CF9" w:rsidRPr="00957B6C">
        <w:rPr>
          <w:rFonts w:eastAsiaTheme="majorEastAsia" w:cstheme="minorHAnsi"/>
          <w:szCs w:val="24"/>
        </w:rPr>
        <w:t xml:space="preserve"> providing assistance for broadband connectivity. </w:t>
      </w:r>
    </w:p>
    <w:p w:rsidR="004A5CF9" w:rsidRPr="007B36B3" w:rsidRDefault="004A5CF9" w:rsidP="007B36B3">
      <w:pPr>
        <w:spacing w:after="120"/>
        <w:rPr>
          <w:rFonts w:eastAsiaTheme="majorEastAsia" w:cstheme="minorHAnsi"/>
          <w:b/>
          <w:szCs w:val="24"/>
        </w:rPr>
      </w:pPr>
      <w:r w:rsidRPr="00957B6C">
        <w:rPr>
          <w:rFonts w:eastAsiaTheme="majorEastAsia" w:cstheme="minorHAnsi"/>
          <w:szCs w:val="24"/>
        </w:rPr>
        <w:t>BDT has continued to implement and update the</w:t>
      </w:r>
      <w:r w:rsidRPr="00957B6C">
        <w:rPr>
          <w:rFonts w:cstheme="minorHAnsi"/>
          <w:color w:val="000000"/>
          <w:szCs w:val="24"/>
        </w:rPr>
        <w:t xml:space="preserve"> </w:t>
      </w:r>
      <w:r w:rsidRPr="007B36B3">
        <w:rPr>
          <w:rFonts w:cstheme="minorHAnsi"/>
          <w:color w:val="000000"/>
          <w:szCs w:val="24"/>
          <w:u w:val="single"/>
        </w:rPr>
        <w:t>ITU broadband maps</w:t>
      </w:r>
      <w:r w:rsidRPr="00957B6C">
        <w:rPr>
          <w:rFonts w:cstheme="minorHAnsi"/>
          <w:color w:val="000000"/>
          <w:szCs w:val="24"/>
        </w:rPr>
        <w:t xml:space="preserve"> with information obtained from administrations, regulators, operators and public sources. A project has been launched to develop </w:t>
      </w:r>
      <w:r w:rsidRPr="00957B6C">
        <w:rPr>
          <w:rFonts w:eastAsiaTheme="majorEastAsia" w:cstheme="minorHAnsi"/>
          <w:szCs w:val="24"/>
        </w:rPr>
        <w:t>a broadband mapping tool to help identify gaps and opportunities.</w:t>
      </w:r>
      <w:r w:rsidR="007B609A">
        <w:rPr>
          <w:rFonts w:eastAsiaTheme="majorEastAsia" w:cstheme="minorHAnsi"/>
          <w:b/>
          <w:szCs w:val="24"/>
        </w:rPr>
        <w:t xml:space="preserve"> </w:t>
      </w:r>
      <w:r w:rsidRPr="00957B6C">
        <w:rPr>
          <w:rFonts w:eastAsiaTheme="majorEastAsia" w:cstheme="minorHAnsi"/>
          <w:szCs w:val="24"/>
        </w:rPr>
        <w:t>Training courses have been developed on: 5G implementation in Europe and CIS; Broadband development based on 4G and 5G technologies; Digital fu</w:t>
      </w:r>
      <w:r>
        <w:rPr>
          <w:rFonts w:eastAsiaTheme="majorEastAsia" w:cstheme="minorHAnsi"/>
          <w:szCs w:val="24"/>
        </w:rPr>
        <w:t>ture powered by 4G/5G; and the f</w:t>
      </w:r>
      <w:r w:rsidRPr="00957B6C">
        <w:rPr>
          <w:rFonts w:eastAsiaTheme="majorEastAsia" w:cstheme="minorHAnsi"/>
          <w:szCs w:val="24"/>
        </w:rPr>
        <w:t>uture of cable television, jointly organized by BDT, BR and TSB. Technical assistance was provided within the scope of the Korean Basic National Spectrum Management Project</w:t>
      </w:r>
      <w:r w:rsidR="007B609A">
        <w:rPr>
          <w:rFonts w:eastAsiaTheme="majorEastAsia" w:cstheme="minorHAnsi"/>
          <w:szCs w:val="24"/>
        </w:rPr>
        <w:t xml:space="preserve">, and in </w:t>
      </w:r>
      <w:r w:rsidRPr="00957B6C">
        <w:rPr>
          <w:rFonts w:eastAsiaTheme="majorEastAsia" w:cstheme="minorHAnsi"/>
          <w:szCs w:val="24"/>
        </w:rPr>
        <w:t xml:space="preserve">developing broadband connectivity and ICT applications </w:t>
      </w:r>
      <w:r w:rsidR="00E5458C">
        <w:rPr>
          <w:rFonts w:eastAsiaTheme="majorEastAsia" w:cstheme="minorHAnsi"/>
          <w:szCs w:val="24"/>
        </w:rPr>
        <w:t xml:space="preserve">for </w:t>
      </w:r>
      <w:r w:rsidRPr="00957B6C">
        <w:rPr>
          <w:rFonts w:eastAsiaTheme="majorEastAsia" w:cstheme="minorHAnsi"/>
          <w:szCs w:val="24"/>
        </w:rPr>
        <w:t>free or low-cost digital access for schools and hospitals and underserved populations in rural and remote areas.</w:t>
      </w:r>
      <w:r>
        <w:rPr>
          <w:rFonts w:eastAsiaTheme="majorEastAsia" w:cstheme="minorHAnsi"/>
          <w:szCs w:val="24"/>
        </w:rPr>
        <w:t xml:space="preserve"> </w:t>
      </w:r>
      <w:r w:rsidRPr="00957B6C">
        <w:rPr>
          <w:rFonts w:eastAsiaTheme="majorEastAsia" w:cstheme="minorHAnsi"/>
          <w:szCs w:val="24"/>
        </w:rPr>
        <w:t xml:space="preserve">Assistance was also provided in setting up sub-regional IPv6 testbeds to facilitate IPv4-to-IPv6 migration. </w:t>
      </w:r>
    </w:p>
    <w:tbl>
      <w:tblPr>
        <w:tblStyle w:val="TableGrid"/>
        <w:tblW w:w="0" w:type="auto"/>
        <w:tblLook w:val="04A0" w:firstRow="1" w:lastRow="0" w:firstColumn="1" w:lastColumn="0" w:noHBand="0" w:noVBand="1"/>
      </w:tblPr>
      <w:tblGrid>
        <w:gridCol w:w="9629"/>
      </w:tblGrid>
      <w:tr w:rsidR="004A5CF9" w:rsidRPr="00636129" w:rsidTr="008D0BF6">
        <w:tc>
          <w:tcPr>
            <w:tcW w:w="9629" w:type="dxa"/>
          </w:tcPr>
          <w:p w:rsidR="004A5CF9" w:rsidRPr="00636129" w:rsidRDefault="004A5CF9" w:rsidP="00BF5B1F">
            <w:pPr>
              <w:spacing w:after="120"/>
              <w:rPr>
                <w:rFonts w:cstheme="minorHAnsi"/>
                <w:szCs w:val="24"/>
              </w:rPr>
            </w:pPr>
            <w:r w:rsidRPr="00636129">
              <w:rPr>
                <w:rFonts w:eastAsia="Calibri" w:cs="Calibri"/>
                <w:szCs w:val="24"/>
              </w:rPr>
              <w:lastRenderedPageBreak/>
              <w:t xml:space="preserve">TDAG </w:t>
            </w:r>
            <w:r w:rsidRPr="00BF5B1F">
              <w:rPr>
                <w:rFonts w:eastAsia="Calibri" w:cs="Calibri"/>
                <w:szCs w:val="24"/>
              </w:rPr>
              <w:t>noted the document</w:t>
            </w:r>
            <w:r w:rsidR="007B609A" w:rsidRPr="007B36B3">
              <w:rPr>
                <w:rFonts w:eastAsia="Calibri" w:cs="Calibri"/>
                <w:szCs w:val="24"/>
              </w:rPr>
              <w:t>, recognizing that i</w:t>
            </w:r>
            <w:r w:rsidR="007B609A" w:rsidRPr="00BF5B1F">
              <w:rPr>
                <w:rFonts w:cstheme="minorHAnsi"/>
                <w:szCs w:val="24"/>
                <w:lang w:eastAsia="zh-CN"/>
              </w:rPr>
              <w:t>nfrastructure</w:t>
            </w:r>
            <w:r w:rsidR="007B609A" w:rsidRPr="00957B6C">
              <w:rPr>
                <w:rFonts w:cstheme="minorHAnsi"/>
                <w:szCs w:val="24"/>
                <w:lang w:eastAsia="zh-CN"/>
              </w:rPr>
              <w:t xml:space="preserve"> </w:t>
            </w:r>
            <w:r w:rsidR="007B609A">
              <w:rPr>
                <w:rFonts w:cstheme="minorHAnsi"/>
                <w:szCs w:val="24"/>
                <w:lang w:eastAsia="zh-CN"/>
              </w:rPr>
              <w:t xml:space="preserve">development is </w:t>
            </w:r>
            <w:r w:rsidR="007B609A" w:rsidRPr="00957B6C">
              <w:rPr>
                <w:rFonts w:cstheme="minorHAnsi"/>
                <w:szCs w:val="24"/>
                <w:lang w:eastAsia="zh-CN"/>
              </w:rPr>
              <w:t xml:space="preserve">one of the main goals </w:t>
            </w:r>
            <w:r w:rsidR="007B609A">
              <w:rPr>
                <w:rFonts w:cstheme="minorHAnsi"/>
                <w:szCs w:val="24"/>
                <w:lang w:eastAsia="zh-CN"/>
              </w:rPr>
              <w:t xml:space="preserve">articulated by </w:t>
            </w:r>
            <w:r w:rsidR="007B609A" w:rsidRPr="00957B6C">
              <w:rPr>
                <w:rFonts w:cstheme="minorHAnsi"/>
                <w:szCs w:val="24"/>
                <w:lang w:eastAsia="zh-CN"/>
              </w:rPr>
              <w:t>ITU membership at WTDC-17 and at PP-18</w:t>
            </w:r>
            <w:r w:rsidR="007B609A">
              <w:rPr>
                <w:rFonts w:cstheme="minorHAnsi"/>
                <w:szCs w:val="24"/>
                <w:lang w:eastAsia="zh-CN"/>
              </w:rPr>
              <w:t xml:space="preserve">, and that this goal </w:t>
            </w:r>
            <w:r w:rsidR="007B609A" w:rsidRPr="00957B6C">
              <w:rPr>
                <w:rFonts w:cstheme="minorHAnsi"/>
                <w:szCs w:val="24"/>
                <w:lang w:eastAsia="zh-CN"/>
              </w:rPr>
              <w:t>falls under SDG 9</w:t>
            </w:r>
            <w:r w:rsidR="007B609A">
              <w:rPr>
                <w:rFonts w:cstheme="minorHAnsi"/>
                <w:szCs w:val="24"/>
                <w:lang w:eastAsia="zh-CN"/>
              </w:rPr>
              <w:t xml:space="preserve"> - </w:t>
            </w:r>
            <w:r w:rsidR="007B609A" w:rsidRPr="00957B6C">
              <w:rPr>
                <w:rFonts w:cstheme="minorHAnsi"/>
                <w:szCs w:val="24"/>
                <w:lang w:eastAsia="zh-CN"/>
              </w:rPr>
              <w:t xml:space="preserve">to build resilient infrastructure and foster innovation. </w:t>
            </w:r>
          </w:p>
        </w:tc>
      </w:tr>
    </w:tbl>
    <w:p w:rsidR="00E5458C" w:rsidRDefault="00E5458C" w:rsidP="00EA4144">
      <w:pPr>
        <w:pStyle w:val="ListParagraph"/>
        <w:numPr>
          <w:ilvl w:val="1"/>
          <w:numId w:val="28"/>
        </w:numPr>
        <w:spacing w:after="120"/>
        <w:ind w:left="391" w:hanging="391"/>
        <w:contextualSpacing w:val="0"/>
        <w:rPr>
          <w:b/>
          <w:bCs/>
          <w:lang w:val="en-US"/>
        </w:rPr>
      </w:pPr>
      <w:r>
        <w:rPr>
          <w:b/>
          <w:bCs/>
          <w:lang w:val="en-US"/>
        </w:rPr>
        <w:t xml:space="preserve">Spectrum Management </w:t>
      </w:r>
      <w:r w:rsidR="002A5D8A">
        <w:rPr>
          <w:b/>
          <w:bCs/>
          <w:lang w:val="en-US"/>
        </w:rPr>
        <w:t xml:space="preserve">Activities </w:t>
      </w:r>
      <w:r>
        <w:rPr>
          <w:b/>
          <w:bCs/>
          <w:lang w:val="en-US"/>
        </w:rPr>
        <w:t>under Resolution 9</w:t>
      </w:r>
      <w:r w:rsidR="007E17DA">
        <w:rPr>
          <w:b/>
          <w:bCs/>
          <w:lang w:val="en-US"/>
        </w:rPr>
        <w:t xml:space="preserve"> </w:t>
      </w:r>
    </w:p>
    <w:p w:rsidR="00E5458C" w:rsidRPr="00957B6C" w:rsidRDefault="00AB293E">
      <w:pPr>
        <w:spacing w:before="0"/>
        <w:rPr>
          <w:rFonts w:cstheme="minorHAnsi"/>
          <w:szCs w:val="24"/>
        </w:rPr>
      </w:pPr>
      <w:r>
        <w:rPr>
          <w:bCs/>
          <w:lang w:val="en-US"/>
        </w:rPr>
        <w:t xml:space="preserve">A summary of ITU activities </w:t>
      </w:r>
      <w:r w:rsidR="007E17DA">
        <w:rPr>
          <w:bCs/>
          <w:lang w:val="en-US"/>
        </w:rPr>
        <w:t xml:space="preserve">being </w:t>
      </w:r>
      <w:r>
        <w:rPr>
          <w:bCs/>
          <w:lang w:val="en-US"/>
        </w:rPr>
        <w:t>undertaken to implement ITU-D Resolution 9</w:t>
      </w:r>
      <w:r w:rsidR="007E17DA">
        <w:rPr>
          <w:bCs/>
          <w:lang w:val="en-US"/>
        </w:rPr>
        <w:t xml:space="preserve"> </w:t>
      </w:r>
      <w:r w:rsidR="007E17DA" w:rsidRPr="00E7531C">
        <w:rPr>
          <w:rFonts w:cstheme="minorHAnsi"/>
          <w:color w:val="000000" w:themeColor="text1"/>
          <w:szCs w:val="24"/>
        </w:rPr>
        <w:t>(Rev. Buenos Aires, 2017</w:t>
      </w:r>
      <w:r w:rsidR="007E17DA">
        <w:rPr>
          <w:rFonts w:cstheme="minorHAnsi"/>
          <w:color w:val="000000" w:themeColor="text1"/>
          <w:szCs w:val="24"/>
        </w:rPr>
        <w:t>)</w:t>
      </w:r>
      <w:r w:rsidR="00070DBE">
        <w:rPr>
          <w:rFonts w:cstheme="minorHAnsi"/>
          <w:color w:val="000000" w:themeColor="text1"/>
          <w:szCs w:val="24"/>
        </w:rPr>
        <w:t xml:space="preserve"> </w:t>
      </w:r>
      <w:r w:rsidR="00617B61">
        <w:rPr>
          <w:rFonts w:cstheme="minorHAnsi"/>
          <w:bCs/>
          <w:color w:val="000000" w:themeColor="text1"/>
          <w:szCs w:val="24"/>
        </w:rPr>
        <w:t xml:space="preserve">on the </w:t>
      </w:r>
      <w:r w:rsidR="007E17DA" w:rsidRPr="00E7531C">
        <w:rPr>
          <w:rFonts w:cstheme="minorHAnsi"/>
          <w:color w:val="000000" w:themeColor="text1"/>
          <w:szCs w:val="24"/>
        </w:rPr>
        <w:t>p</w:t>
      </w:r>
      <w:r w:rsidR="007E17DA" w:rsidRPr="00E7531C">
        <w:rPr>
          <w:rFonts w:cstheme="minorHAnsi"/>
          <w:bCs/>
          <w:szCs w:val="24"/>
        </w:rPr>
        <w:t>articipation of developing countries in spectrum management</w:t>
      </w:r>
      <w:r w:rsidR="007E17DA" w:rsidRPr="00E7531C">
        <w:rPr>
          <w:rFonts w:cstheme="minorHAnsi"/>
          <w:color w:val="000000" w:themeColor="text1"/>
          <w:szCs w:val="24"/>
        </w:rPr>
        <w:t xml:space="preserve"> </w:t>
      </w:r>
      <w:r w:rsidR="007E17DA">
        <w:rPr>
          <w:rFonts w:cstheme="minorHAnsi"/>
          <w:color w:val="000000" w:themeColor="text1"/>
          <w:szCs w:val="24"/>
        </w:rPr>
        <w:t xml:space="preserve">can be found in </w:t>
      </w:r>
      <w:hyperlink r:id="rId18" w:history="1">
        <w:r w:rsidR="00E5458C" w:rsidRPr="007B36B3">
          <w:rPr>
            <w:rStyle w:val="Hyperlink"/>
            <w:rFonts w:cstheme="minorHAnsi"/>
            <w:b/>
            <w:bCs/>
            <w:szCs w:val="24"/>
          </w:rPr>
          <w:t>Document 32</w:t>
        </w:r>
      </w:hyperlink>
      <w:r w:rsidR="007E17DA">
        <w:rPr>
          <w:rStyle w:val="Hyperlink"/>
          <w:rFonts w:cstheme="minorHAnsi"/>
          <w:b/>
          <w:bCs/>
          <w:szCs w:val="24"/>
        </w:rPr>
        <w:t>.</w:t>
      </w:r>
      <w:r w:rsidR="00070DBE">
        <w:rPr>
          <w:rStyle w:val="Hyperlink"/>
          <w:rFonts w:cstheme="minorHAnsi"/>
          <w:b/>
          <w:bCs/>
          <w:szCs w:val="24"/>
        </w:rPr>
        <w:t xml:space="preserve"> </w:t>
      </w:r>
      <w:r w:rsidR="008F1F45" w:rsidRPr="00E7531C">
        <w:rPr>
          <w:rFonts w:cstheme="minorHAnsi"/>
          <w:szCs w:val="24"/>
        </w:rPr>
        <w:t xml:space="preserve">WTDC-17 revised </w:t>
      </w:r>
      <w:r w:rsidR="008F1F45" w:rsidRPr="00E7531C">
        <w:rPr>
          <w:rFonts w:cstheme="minorHAnsi"/>
          <w:bCs/>
          <w:szCs w:val="24"/>
        </w:rPr>
        <w:t>Resolution 9</w:t>
      </w:r>
      <w:r w:rsidR="008F1F45" w:rsidRPr="00E7531C">
        <w:rPr>
          <w:rFonts w:cstheme="minorHAnsi"/>
          <w:szCs w:val="24"/>
        </w:rPr>
        <w:t xml:space="preserve"> </w:t>
      </w:r>
      <w:r w:rsidR="008F1F45">
        <w:rPr>
          <w:rFonts w:cstheme="minorHAnsi"/>
          <w:szCs w:val="24"/>
        </w:rPr>
        <w:t>among other things t</w:t>
      </w:r>
      <w:r w:rsidR="008F1F45" w:rsidRPr="00E7531C">
        <w:rPr>
          <w:rFonts w:cstheme="minorHAnsi"/>
          <w:szCs w:val="24"/>
        </w:rPr>
        <w:t>o instruct the BDT Director to report annually to TDAG on implementation of the resolution. Annex 1 to Resolution 9 lists specific needs identified by</w:t>
      </w:r>
      <w:r w:rsidR="00070DBE">
        <w:rPr>
          <w:rFonts w:cstheme="minorHAnsi"/>
          <w:szCs w:val="24"/>
        </w:rPr>
        <w:t xml:space="preserve"> </w:t>
      </w:r>
      <w:r w:rsidR="008F1F45" w:rsidRPr="00E7531C">
        <w:rPr>
          <w:rFonts w:cstheme="minorHAnsi"/>
          <w:szCs w:val="24"/>
        </w:rPr>
        <w:t>developing countries in spectrum management.</w:t>
      </w:r>
    </w:p>
    <w:p w:rsidR="00E5458C" w:rsidRDefault="00E5458C" w:rsidP="007B36B3">
      <w:pPr>
        <w:pStyle w:val="NoSpacing"/>
        <w:spacing w:before="120" w:after="120"/>
        <w:jc w:val="left"/>
        <w:rPr>
          <w:rFonts w:asciiTheme="minorHAnsi" w:hAnsiTheme="minorHAnsi" w:cstheme="minorHAnsi"/>
          <w:bCs/>
          <w:color w:val="000000"/>
          <w:sz w:val="24"/>
          <w:szCs w:val="24"/>
          <w:lang w:val="en-GB"/>
        </w:rPr>
      </w:pPr>
      <w:r w:rsidRPr="00957B6C">
        <w:rPr>
          <w:rFonts w:asciiTheme="minorHAnsi" w:hAnsiTheme="minorHAnsi" w:cstheme="minorHAnsi"/>
          <w:sz w:val="24"/>
          <w:szCs w:val="24"/>
          <w:lang w:val="en-GB"/>
        </w:rPr>
        <w:t xml:space="preserve">Of the 14 main topics listed for implementation </w:t>
      </w:r>
      <w:r w:rsidR="007E17DA">
        <w:rPr>
          <w:rFonts w:asciiTheme="minorHAnsi" w:hAnsiTheme="minorHAnsi" w:cstheme="minorHAnsi"/>
          <w:sz w:val="24"/>
          <w:szCs w:val="24"/>
          <w:lang w:val="en-GB"/>
        </w:rPr>
        <w:t>under</w:t>
      </w:r>
      <w:r w:rsidRPr="00957B6C">
        <w:rPr>
          <w:rFonts w:asciiTheme="minorHAnsi" w:hAnsiTheme="minorHAnsi" w:cstheme="minorHAnsi"/>
          <w:sz w:val="24"/>
          <w:szCs w:val="24"/>
          <w:lang w:val="en-GB"/>
        </w:rPr>
        <w:t xml:space="preserve"> Resolution 9, ITU efforts have thus far focused primarily on: </w:t>
      </w:r>
      <w:r w:rsidRPr="00957B6C">
        <w:rPr>
          <w:rFonts w:asciiTheme="minorHAnsi" w:hAnsiTheme="minorHAnsi" w:cstheme="minorHAnsi"/>
          <w:bCs/>
          <w:color w:val="000000"/>
          <w:sz w:val="24"/>
          <w:szCs w:val="24"/>
          <w:lang w:val="en-GB"/>
        </w:rPr>
        <w:t xml:space="preserve">raising the awareness of national policy-makers </w:t>
      </w:r>
      <w:r w:rsidR="007E17DA">
        <w:rPr>
          <w:rFonts w:asciiTheme="minorHAnsi" w:hAnsiTheme="minorHAnsi" w:cstheme="minorHAnsi"/>
          <w:bCs/>
          <w:color w:val="000000"/>
          <w:sz w:val="24"/>
          <w:szCs w:val="24"/>
          <w:lang w:val="en-GB"/>
        </w:rPr>
        <w:t xml:space="preserve">on </w:t>
      </w:r>
      <w:r w:rsidRPr="00957B6C">
        <w:rPr>
          <w:rFonts w:asciiTheme="minorHAnsi" w:hAnsiTheme="minorHAnsi" w:cstheme="minorHAnsi"/>
          <w:bCs/>
          <w:color w:val="000000"/>
          <w:sz w:val="24"/>
          <w:szCs w:val="24"/>
          <w:lang w:val="en-GB"/>
        </w:rPr>
        <w:t xml:space="preserve">the importance of effective spectrum management for a country’s economic and social development; economic and financial aspects of spectrum management; innovative ways </w:t>
      </w:r>
      <w:r w:rsidR="007E17DA">
        <w:rPr>
          <w:rFonts w:asciiTheme="minorHAnsi" w:hAnsiTheme="minorHAnsi" w:cstheme="minorHAnsi"/>
          <w:bCs/>
          <w:color w:val="000000"/>
          <w:sz w:val="24"/>
          <w:szCs w:val="24"/>
          <w:lang w:val="en-GB"/>
        </w:rPr>
        <w:t xml:space="preserve">to license </w:t>
      </w:r>
      <w:r w:rsidRPr="00957B6C">
        <w:rPr>
          <w:rFonts w:asciiTheme="minorHAnsi" w:hAnsiTheme="minorHAnsi" w:cstheme="minorHAnsi"/>
          <w:bCs/>
          <w:color w:val="000000"/>
          <w:sz w:val="24"/>
          <w:szCs w:val="24"/>
          <w:lang w:val="en-GB"/>
        </w:rPr>
        <w:t xml:space="preserve">spectrum; training and dissemination of </w:t>
      </w:r>
      <w:r w:rsidR="007E17DA">
        <w:rPr>
          <w:rFonts w:asciiTheme="minorHAnsi" w:hAnsiTheme="minorHAnsi" w:cstheme="minorHAnsi"/>
          <w:bCs/>
          <w:color w:val="000000"/>
          <w:sz w:val="24"/>
          <w:szCs w:val="24"/>
          <w:lang w:val="en-GB"/>
        </w:rPr>
        <w:t>relevant</w:t>
      </w:r>
      <w:r w:rsidRPr="00957B6C">
        <w:rPr>
          <w:rFonts w:asciiTheme="minorHAnsi" w:hAnsiTheme="minorHAnsi" w:cstheme="minorHAnsi"/>
          <w:bCs/>
          <w:color w:val="000000"/>
          <w:sz w:val="24"/>
          <w:szCs w:val="24"/>
          <w:lang w:val="en-GB"/>
        </w:rPr>
        <w:t xml:space="preserve"> ITU documentation; and assistance in developing methodologies </w:t>
      </w:r>
      <w:r w:rsidR="007E17DA">
        <w:rPr>
          <w:rFonts w:asciiTheme="minorHAnsi" w:hAnsiTheme="minorHAnsi" w:cstheme="minorHAnsi"/>
          <w:bCs/>
          <w:color w:val="000000"/>
          <w:sz w:val="24"/>
          <w:szCs w:val="24"/>
          <w:lang w:val="en-GB"/>
        </w:rPr>
        <w:t>t</w:t>
      </w:r>
      <w:r w:rsidRPr="00957B6C">
        <w:rPr>
          <w:rFonts w:asciiTheme="minorHAnsi" w:hAnsiTheme="minorHAnsi" w:cstheme="minorHAnsi"/>
          <w:bCs/>
          <w:color w:val="000000"/>
          <w:sz w:val="24"/>
          <w:szCs w:val="24"/>
          <w:lang w:val="en-GB"/>
        </w:rPr>
        <w:t>o establish national tables of frequency allocations and spectrum redeployment.</w:t>
      </w:r>
    </w:p>
    <w:tbl>
      <w:tblPr>
        <w:tblStyle w:val="TableGrid"/>
        <w:tblW w:w="0" w:type="auto"/>
        <w:tblLook w:val="04A0" w:firstRow="1" w:lastRow="0" w:firstColumn="1" w:lastColumn="0" w:noHBand="0" w:noVBand="1"/>
      </w:tblPr>
      <w:tblGrid>
        <w:gridCol w:w="9629"/>
      </w:tblGrid>
      <w:tr w:rsidR="00E5458C" w:rsidRPr="00636129" w:rsidTr="00A93172">
        <w:tc>
          <w:tcPr>
            <w:tcW w:w="9629" w:type="dxa"/>
          </w:tcPr>
          <w:p w:rsidR="00E5458C" w:rsidRPr="00636129" w:rsidRDefault="00E5458C" w:rsidP="00A93172">
            <w:pPr>
              <w:spacing w:after="120"/>
              <w:rPr>
                <w:rFonts w:cstheme="minorHAnsi"/>
                <w:szCs w:val="24"/>
              </w:rPr>
            </w:pPr>
            <w:r w:rsidRPr="00636129">
              <w:rPr>
                <w:rFonts w:eastAsia="Calibri" w:cs="Calibri"/>
                <w:szCs w:val="24"/>
              </w:rPr>
              <w:t xml:space="preserve">TDAG </w:t>
            </w:r>
            <w:r w:rsidRPr="00BF5B1F">
              <w:rPr>
                <w:rFonts w:eastAsia="Calibri" w:cs="Calibri"/>
                <w:szCs w:val="24"/>
              </w:rPr>
              <w:t>noted the document</w:t>
            </w:r>
            <w:r>
              <w:rPr>
                <w:rFonts w:eastAsia="Calibri" w:cs="Calibri"/>
                <w:szCs w:val="24"/>
              </w:rPr>
              <w:t xml:space="preserve"> </w:t>
            </w:r>
            <w:r>
              <w:rPr>
                <w:rFonts w:eastAsia="Calibri" w:cs="Calibri"/>
              </w:rPr>
              <w:t xml:space="preserve">with </w:t>
            </w:r>
            <w:r w:rsidR="007B609A">
              <w:rPr>
                <w:rFonts w:eastAsia="Calibri" w:cs="Calibri"/>
              </w:rPr>
              <w:t xml:space="preserve">interest and </w:t>
            </w:r>
            <w:r>
              <w:rPr>
                <w:rFonts w:eastAsia="Calibri" w:cs="Calibri"/>
              </w:rPr>
              <w:t>appreciation.</w:t>
            </w:r>
          </w:p>
        </w:tc>
      </w:tr>
    </w:tbl>
    <w:p w:rsidR="00771F2D" w:rsidRDefault="007E17DA">
      <w:pPr>
        <w:spacing w:after="120"/>
        <w:rPr>
          <w:rFonts w:cstheme="minorHAnsi"/>
          <w:color w:val="000000" w:themeColor="text1"/>
          <w:szCs w:val="24"/>
        </w:rPr>
      </w:pPr>
      <w:r>
        <w:rPr>
          <w:rFonts w:cstheme="minorHAnsi"/>
          <w:color w:val="000000" w:themeColor="text1"/>
          <w:szCs w:val="24"/>
        </w:rPr>
        <w:t>In a contribution to the meeting</w:t>
      </w:r>
      <w:r w:rsidRPr="00E7531C">
        <w:rPr>
          <w:rFonts w:cstheme="minorHAnsi"/>
          <w:b/>
          <w:color w:val="000000" w:themeColor="text1"/>
          <w:szCs w:val="24"/>
        </w:rPr>
        <w:t xml:space="preserve"> </w:t>
      </w:r>
      <w:r>
        <w:rPr>
          <w:rFonts w:cstheme="minorHAnsi"/>
          <w:color w:val="000000" w:themeColor="text1"/>
          <w:szCs w:val="24"/>
        </w:rPr>
        <w:t>(</w:t>
      </w:r>
      <w:hyperlink r:id="rId19" w:history="1">
        <w:r w:rsidR="00E5458C" w:rsidRPr="00BA2E47">
          <w:rPr>
            <w:rStyle w:val="Hyperlink"/>
            <w:rFonts w:cstheme="minorHAnsi"/>
            <w:b/>
            <w:bCs/>
            <w:szCs w:val="24"/>
          </w:rPr>
          <w:t>Document 36</w:t>
        </w:r>
      </w:hyperlink>
      <w:r w:rsidRPr="007B36B3">
        <w:rPr>
          <w:rStyle w:val="Hyperlink"/>
          <w:rFonts w:cstheme="minorHAnsi"/>
          <w:bCs/>
          <w:color w:val="auto"/>
          <w:szCs w:val="24"/>
        </w:rPr>
        <w:t>)</w:t>
      </w:r>
      <w:r w:rsidR="00E5458C" w:rsidRPr="00A93172">
        <w:rPr>
          <w:rFonts w:cstheme="minorHAnsi"/>
          <w:color w:val="000000" w:themeColor="text1"/>
          <w:szCs w:val="24"/>
        </w:rPr>
        <w:t xml:space="preserve"> “Implementation of Resolution 9 Requirements” </w:t>
      </w:r>
      <w:r w:rsidR="00E5458C" w:rsidRPr="00BF5B1F">
        <w:rPr>
          <w:rFonts w:cstheme="minorHAnsi"/>
          <w:b/>
          <w:color w:val="000000" w:themeColor="text1"/>
          <w:szCs w:val="24"/>
        </w:rPr>
        <w:t>Algeria</w:t>
      </w:r>
      <w:r w:rsidR="00E5458C" w:rsidRPr="00BF5B1F">
        <w:rPr>
          <w:rFonts w:cstheme="minorHAnsi"/>
          <w:color w:val="000000" w:themeColor="text1"/>
          <w:szCs w:val="24"/>
        </w:rPr>
        <w:t xml:space="preserve"> call</w:t>
      </w:r>
      <w:r>
        <w:rPr>
          <w:rFonts w:cstheme="minorHAnsi"/>
          <w:color w:val="000000" w:themeColor="text1"/>
          <w:szCs w:val="24"/>
        </w:rPr>
        <w:t xml:space="preserve">ed upon TDAG to </w:t>
      </w:r>
      <w:r w:rsidR="00771F2D">
        <w:rPr>
          <w:szCs w:val="24"/>
          <w:lang w:val="en-US"/>
        </w:rPr>
        <w:t xml:space="preserve">develop an </w:t>
      </w:r>
      <w:r w:rsidR="00771F2D" w:rsidRPr="00E7531C">
        <w:rPr>
          <w:szCs w:val="24"/>
          <w:lang w:val="en-US"/>
        </w:rPr>
        <w:t xml:space="preserve">action plan to implement </w:t>
      </w:r>
      <w:r w:rsidR="00771F2D">
        <w:rPr>
          <w:szCs w:val="24"/>
          <w:lang w:val="en-US"/>
        </w:rPr>
        <w:t xml:space="preserve">the terms of </w:t>
      </w:r>
      <w:r w:rsidR="00771F2D" w:rsidRPr="00E7531C">
        <w:rPr>
          <w:szCs w:val="24"/>
          <w:lang w:val="en-US"/>
        </w:rPr>
        <w:t>Resolution</w:t>
      </w:r>
      <w:r w:rsidR="00771F2D">
        <w:rPr>
          <w:szCs w:val="24"/>
          <w:lang w:val="en-US"/>
        </w:rPr>
        <w:t xml:space="preserve"> 9. Such an approach was proffered by the Chair</w:t>
      </w:r>
      <w:r w:rsidR="00AB6F75">
        <w:rPr>
          <w:szCs w:val="24"/>
          <w:lang w:val="en-US"/>
        </w:rPr>
        <w:t>men</w:t>
      </w:r>
      <w:r w:rsidR="00070DBE">
        <w:rPr>
          <w:szCs w:val="24"/>
          <w:lang w:val="en-US"/>
        </w:rPr>
        <w:t xml:space="preserve"> </w:t>
      </w:r>
      <w:r w:rsidR="00771F2D">
        <w:rPr>
          <w:szCs w:val="24"/>
          <w:lang w:val="en-US"/>
        </w:rPr>
        <w:t>of</w:t>
      </w:r>
      <w:r w:rsidR="00070DBE">
        <w:rPr>
          <w:szCs w:val="24"/>
          <w:lang w:val="en-US"/>
        </w:rPr>
        <w:t xml:space="preserve"> </w:t>
      </w:r>
      <w:r w:rsidR="00AB6F75">
        <w:rPr>
          <w:szCs w:val="24"/>
          <w:lang w:val="en-US"/>
        </w:rPr>
        <w:t xml:space="preserve">Study Group </w:t>
      </w:r>
      <w:r w:rsidR="00E06614">
        <w:rPr>
          <w:szCs w:val="24"/>
          <w:lang w:val="en-US"/>
        </w:rPr>
        <w:t xml:space="preserve">1 </w:t>
      </w:r>
      <w:r w:rsidR="00771F2D">
        <w:rPr>
          <w:szCs w:val="24"/>
          <w:lang w:val="en-US"/>
        </w:rPr>
        <w:t>and S</w:t>
      </w:r>
      <w:r w:rsidR="00AB6F75">
        <w:rPr>
          <w:szCs w:val="24"/>
          <w:lang w:val="en-US"/>
        </w:rPr>
        <w:t xml:space="preserve">tudy Group </w:t>
      </w:r>
      <w:r w:rsidR="00771F2D">
        <w:rPr>
          <w:szCs w:val="24"/>
          <w:lang w:val="en-US"/>
        </w:rPr>
        <w:t xml:space="preserve">2 in a liaison statement to TDAG that can be found in </w:t>
      </w:r>
      <w:hyperlink r:id="rId20" w:history="1">
        <w:r w:rsidR="00E5458C" w:rsidRPr="00BA2E47">
          <w:rPr>
            <w:rStyle w:val="Hyperlink"/>
            <w:rFonts w:cs="Calibri"/>
            <w:b/>
            <w:bCs/>
            <w:szCs w:val="24"/>
          </w:rPr>
          <w:t>Document 40</w:t>
        </w:r>
      </w:hyperlink>
      <w:r w:rsidR="00771F2D">
        <w:rPr>
          <w:rStyle w:val="Hyperlink"/>
          <w:rFonts w:cs="Calibri"/>
          <w:b/>
          <w:bCs/>
          <w:szCs w:val="24"/>
        </w:rPr>
        <w:t xml:space="preserve">. </w:t>
      </w:r>
      <w:r w:rsidR="00771F2D" w:rsidRPr="00E7531C">
        <w:rPr>
          <w:rFonts w:cstheme="minorHAnsi"/>
          <w:color w:val="000000" w:themeColor="text1"/>
          <w:szCs w:val="24"/>
        </w:rPr>
        <w:t xml:space="preserve">Documents 36 and 40 were </w:t>
      </w:r>
      <w:r w:rsidR="00771F2D">
        <w:rPr>
          <w:rFonts w:cstheme="minorHAnsi"/>
          <w:color w:val="000000" w:themeColor="text1"/>
          <w:szCs w:val="24"/>
        </w:rPr>
        <w:t xml:space="preserve">therefore </w:t>
      </w:r>
      <w:r w:rsidR="00771F2D" w:rsidRPr="00E7531C">
        <w:rPr>
          <w:rFonts w:cstheme="minorHAnsi"/>
          <w:color w:val="000000" w:themeColor="text1"/>
          <w:szCs w:val="24"/>
        </w:rPr>
        <w:t>considered together</w:t>
      </w:r>
      <w:r w:rsidR="002A5D8A">
        <w:rPr>
          <w:rFonts w:cstheme="minorHAnsi"/>
          <w:color w:val="000000" w:themeColor="text1"/>
          <w:szCs w:val="24"/>
        </w:rPr>
        <w:t xml:space="preserve">, and </w:t>
      </w:r>
      <w:r w:rsidR="007B609A">
        <w:rPr>
          <w:rFonts w:cstheme="minorHAnsi"/>
          <w:color w:val="000000" w:themeColor="text1"/>
          <w:szCs w:val="24"/>
        </w:rPr>
        <w:t>following the</w:t>
      </w:r>
      <w:r w:rsidR="0047666C">
        <w:rPr>
          <w:rFonts w:cstheme="minorHAnsi"/>
          <w:color w:val="000000" w:themeColor="text1"/>
          <w:szCs w:val="24"/>
        </w:rPr>
        <w:t xml:space="preserve"> </w:t>
      </w:r>
      <w:r w:rsidR="007B609A">
        <w:rPr>
          <w:rFonts w:cstheme="minorHAnsi"/>
          <w:color w:val="000000" w:themeColor="text1"/>
          <w:szCs w:val="24"/>
        </w:rPr>
        <w:t xml:space="preserve">discussion, </w:t>
      </w:r>
      <w:r w:rsidR="002A5D8A">
        <w:rPr>
          <w:rFonts w:cstheme="minorHAnsi"/>
          <w:color w:val="000000" w:themeColor="text1"/>
          <w:szCs w:val="24"/>
        </w:rPr>
        <w:t xml:space="preserve">the representatives from </w:t>
      </w:r>
      <w:r w:rsidR="002A5D8A" w:rsidRPr="007B36B3">
        <w:rPr>
          <w:rFonts w:cstheme="minorHAnsi"/>
          <w:b/>
          <w:color w:val="000000" w:themeColor="text1"/>
          <w:szCs w:val="24"/>
        </w:rPr>
        <w:t>Algeria</w:t>
      </w:r>
      <w:r w:rsidR="002A5D8A">
        <w:rPr>
          <w:rFonts w:cstheme="minorHAnsi"/>
          <w:color w:val="000000" w:themeColor="text1"/>
          <w:szCs w:val="24"/>
        </w:rPr>
        <w:t xml:space="preserve"> expressed support for the </w:t>
      </w:r>
      <w:r w:rsidR="0047666C">
        <w:rPr>
          <w:rFonts w:cstheme="minorHAnsi"/>
          <w:color w:val="000000" w:themeColor="text1"/>
          <w:szCs w:val="24"/>
        </w:rPr>
        <w:t xml:space="preserve">approach presented </w:t>
      </w:r>
      <w:r w:rsidR="002A5D8A">
        <w:rPr>
          <w:rFonts w:cstheme="minorHAnsi"/>
          <w:color w:val="000000" w:themeColor="text1"/>
          <w:szCs w:val="24"/>
        </w:rPr>
        <w:t>in the liaison statement</w:t>
      </w:r>
      <w:r w:rsidR="0047666C">
        <w:rPr>
          <w:rFonts w:cstheme="minorHAnsi"/>
          <w:color w:val="000000" w:themeColor="text1"/>
          <w:szCs w:val="24"/>
        </w:rPr>
        <w:t xml:space="preserve"> and summarized below</w:t>
      </w:r>
      <w:r w:rsidR="002A5D8A">
        <w:rPr>
          <w:rFonts w:cstheme="minorHAnsi"/>
          <w:color w:val="000000" w:themeColor="text1"/>
          <w:szCs w:val="24"/>
        </w:rPr>
        <w:t>.</w:t>
      </w:r>
    </w:p>
    <w:p w:rsidR="00E5458C" w:rsidRDefault="00E5458C" w:rsidP="00C53E72">
      <w:pPr>
        <w:spacing w:after="120"/>
      </w:pPr>
      <w:r>
        <w:t xml:space="preserve">TDAG noted that </w:t>
      </w:r>
      <w:r w:rsidRPr="00BA2E47">
        <w:rPr>
          <w:rFonts w:eastAsiaTheme="majorEastAsia" w:cstheme="minorHAnsi"/>
          <w:szCs w:val="24"/>
        </w:rPr>
        <w:t>ITU</w:t>
      </w:r>
      <w:r w:rsidRPr="00802F66">
        <w:t xml:space="preserve">-D </w:t>
      </w:r>
      <w:r>
        <w:t>Study G</w:t>
      </w:r>
      <w:r w:rsidRPr="00802F66">
        <w:t>roups</w:t>
      </w:r>
      <w:r>
        <w:t xml:space="preserve"> 1 and 2 agreed that to </w:t>
      </w:r>
      <w:r w:rsidRPr="00802F66">
        <w:t xml:space="preserve">fulfil the needs of </w:t>
      </w:r>
      <w:r>
        <w:t xml:space="preserve">developing countries stated in </w:t>
      </w:r>
      <w:r w:rsidRPr="00802F66">
        <w:t>Resolution 9</w:t>
      </w:r>
      <w:r w:rsidR="00617B61">
        <w:t>,</w:t>
      </w:r>
      <w:r>
        <w:t xml:space="preserve"> they </w:t>
      </w:r>
      <w:r w:rsidR="002A5D8A">
        <w:t xml:space="preserve">would </w:t>
      </w:r>
      <w:r w:rsidRPr="00D30BA1">
        <w:t>i</w:t>
      </w:r>
      <w:r w:rsidRPr="00802F66">
        <w:t>dentif</w:t>
      </w:r>
      <w:r w:rsidR="0047666C">
        <w:t xml:space="preserve">y </w:t>
      </w:r>
      <w:r>
        <w:t xml:space="preserve">study Questions for which </w:t>
      </w:r>
      <w:r w:rsidRPr="00802F66">
        <w:t xml:space="preserve">close collaboration </w:t>
      </w:r>
      <w:r>
        <w:t>w</w:t>
      </w:r>
      <w:r w:rsidR="0047666C">
        <w:t>ould</w:t>
      </w:r>
      <w:r>
        <w:t xml:space="preserve"> be sought </w:t>
      </w:r>
      <w:r w:rsidRPr="00802F66">
        <w:t>with ITU</w:t>
      </w:r>
      <w:r w:rsidRPr="00802F66">
        <w:noBreakHyphen/>
        <w:t>R.</w:t>
      </w:r>
      <w:r w:rsidR="00982251">
        <w:rPr>
          <w:rStyle w:val="FootnoteReference"/>
        </w:rPr>
        <w:footnoteReference w:id="6"/>
      </w:r>
      <w:r w:rsidRPr="00802F66">
        <w:t xml:space="preserve"> </w:t>
      </w:r>
      <w:r w:rsidR="0047666C">
        <w:t xml:space="preserve">To that end, </w:t>
      </w:r>
      <w:r w:rsidR="008D30C6">
        <w:t>a</w:t>
      </w:r>
      <w:r w:rsidRPr="00802F66">
        <w:t xml:space="preserve"> </w:t>
      </w:r>
      <w:r>
        <w:t>contact point from each r</w:t>
      </w:r>
      <w:r w:rsidRPr="00802F66">
        <w:t xml:space="preserve">apporteur </w:t>
      </w:r>
      <w:r>
        <w:t>g</w:t>
      </w:r>
      <w:r w:rsidRPr="00802F66">
        <w:t xml:space="preserve">roup </w:t>
      </w:r>
      <w:r w:rsidR="002A5D8A">
        <w:t>w</w:t>
      </w:r>
      <w:r>
        <w:t xml:space="preserve">as </w:t>
      </w:r>
      <w:r w:rsidRPr="00802F66">
        <w:t xml:space="preserve">assigned </w:t>
      </w:r>
      <w:r>
        <w:t xml:space="preserve">the task of </w:t>
      </w:r>
      <w:r w:rsidRPr="00802F66">
        <w:t>ensur</w:t>
      </w:r>
      <w:r>
        <w:t>ing</w:t>
      </w:r>
      <w:r w:rsidRPr="00802F66">
        <w:t xml:space="preserve"> that spectrum </w:t>
      </w:r>
      <w:r>
        <w:t xml:space="preserve">specific requirements and needs </w:t>
      </w:r>
      <w:r w:rsidR="002A5D8A">
        <w:t xml:space="preserve">are </w:t>
      </w:r>
      <w:r>
        <w:t xml:space="preserve">gathered for each </w:t>
      </w:r>
      <w:r w:rsidR="00E45491">
        <w:t>study q</w:t>
      </w:r>
      <w:r>
        <w:t>uestion. In addition, a Vice-C</w:t>
      </w:r>
      <w:r w:rsidRPr="00802F66">
        <w:t>hair</w:t>
      </w:r>
      <w:r>
        <w:t>man</w:t>
      </w:r>
      <w:r w:rsidRPr="00802F66">
        <w:t xml:space="preserve"> from </w:t>
      </w:r>
      <w:r w:rsidR="00EA3C1E">
        <w:t>Study Group 1</w:t>
      </w:r>
      <w:r>
        <w:t xml:space="preserve"> </w:t>
      </w:r>
      <w:r w:rsidRPr="00802F66">
        <w:t>(</w:t>
      </w:r>
      <w:r w:rsidRPr="007B36B3">
        <w:rPr>
          <w:iCs/>
        </w:rPr>
        <w:t xml:space="preserve">Mr Roberto Hirayama </w:t>
      </w:r>
      <w:r w:rsidR="002A5D8A">
        <w:rPr>
          <w:iCs/>
        </w:rPr>
        <w:t>(</w:t>
      </w:r>
      <w:r w:rsidRPr="007B36B3">
        <w:rPr>
          <w:b/>
          <w:iCs/>
        </w:rPr>
        <w:t>Brazil</w:t>
      </w:r>
      <w:r w:rsidRPr="007B36B3">
        <w:rPr>
          <w:b/>
        </w:rPr>
        <w:t>)</w:t>
      </w:r>
      <w:r w:rsidRPr="00802F66">
        <w:t xml:space="preserve"> and a Vice-Chair</w:t>
      </w:r>
      <w:r>
        <w:t>man from</w:t>
      </w:r>
      <w:r w:rsidRPr="004C2663">
        <w:t xml:space="preserve"> </w:t>
      </w:r>
      <w:r w:rsidR="00EA3C1E">
        <w:t>Study Group 2</w:t>
      </w:r>
      <w:r w:rsidR="00070DBE">
        <w:t xml:space="preserve"> </w:t>
      </w:r>
      <w:r>
        <w:t>(</w:t>
      </w:r>
      <w:r w:rsidRPr="007B36B3">
        <w:rPr>
          <w:iCs/>
        </w:rPr>
        <w:t>Ms Nora Basher</w:t>
      </w:r>
      <w:r w:rsidR="008D30C6">
        <w:rPr>
          <w:iCs/>
        </w:rPr>
        <w:t xml:space="preserve"> (</w:t>
      </w:r>
      <w:r w:rsidRPr="007B36B3">
        <w:rPr>
          <w:b/>
          <w:iCs/>
        </w:rPr>
        <w:t>Sudan</w:t>
      </w:r>
      <w:r w:rsidRPr="00802F66">
        <w:t xml:space="preserve">) </w:t>
      </w:r>
      <w:r w:rsidR="008D30C6">
        <w:t xml:space="preserve">will </w:t>
      </w:r>
      <w:r>
        <w:t>coordinat</w:t>
      </w:r>
      <w:r w:rsidR="008D30C6">
        <w:t xml:space="preserve">e </w:t>
      </w:r>
      <w:r>
        <w:t xml:space="preserve">WTDC </w:t>
      </w:r>
      <w:r w:rsidRPr="00802F66">
        <w:t xml:space="preserve">Resolution 9 issues with the contact points for each </w:t>
      </w:r>
      <w:r>
        <w:t>study Q</w:t>
      </w:r>
      <w:r w:rsidRPr="00802F66">
        <w:t xml:space="preserve">uestion. </w:t>
      </w:r>
      <w:r w:rsidR="008D30C6">
        <w:t xml:space="preserve">At </w:t>
      </w:r>
      <w:r w:rsidRPr="00802F66">
        <w:t>each annual study group meeting</w:t>
      </w:r>
      <w:r>
        <w:t xml:space="preserve">, </w:t>
      </w:r>
      <w:r w:rsidR="008D30C6">
        <w:t xml:space="preserve">with support from </w:t>
      </w:r>
      <w:r w:rsidR="008D30C6" w:rsidRPr="00802F66">
        <w:t>the BDT Focal Point</w:t>
      </w:r>
      <w:r w:rsidR="008D30C6">
        <w:t xml:space="preserve"> for Resolution 9, </w:t>
      </w:r>
      <w:r>
        <w:t>these vice-c</w:t>
      </w:r>
      <w:r w:rsidRPr="00802F66">
        <w:t>hair</w:t>
      </w:r>
      <w:r>
        <w:t>men</w:t>
      </w:r>
      <w:r w:rsidRPr="00802F66">
        <w:t xml:space="preserve"> will </w:t>
      </w:r>
      <w:r>
        <w:t>submit a</w:t>
      </w:r>
      <w:r w:rsidRPr="00802F66">
        <w:t xml:space="preserve"> summary of the compiled findings on </w:t>
      </w:r>
      <w:r>
        <w:t xml:space="preserve">WTDC </w:t>
      </w:r>
      <w:r w:rsidRPr="00802F66">
        <w:t xml:space="preserve">Resolution 9 issues to the </w:t>
      </w:r>
      <w:r>
        <w:t xml:space="preserve">ITU-D </w:t>
      </w:r>
      <w:r w:rsidRPr="00802F66">
        <w:t xml:space="preserve">Study Group </w:t>
      </w:r>
      <w:r>
        <w:t xml:space="preserve">1 and 2 </w:t>
      </w:r>
      <w:r w:rsidRPr="00802F66">
        <w:t>Chair</w:t>
      </w:r>
      <w:r>
        <w:t>men,</w:t>
      </w:r>
      <w:r w:rsidRPr="00802F66">
        <w:t xml:space="preserve"> who </w:t>
      </w:r>
      <w:r>
        <w:t xml:space="preserve">will </w:t>
      </w:r>
      <w:r w:rsidR="0047666C">
        <w:t xml:space="preserve">transmit </w:t>
      </w:r>
      <w:r w:rsidR="008D30C6">
        <w:t xml:space="preserve">them </w:t>
      </w:r>
      <w:r w:rsidRPr="00802F66">
        <w:t xml:space="preserve">to the BDT Director. </w:t>
      </w:r>
      <w:r>
        <w:t>T</w:t>
      </w:r>
      <w:r w:rsidRPr="00802F66">
        <w:t xml:space="preserve">he BDT Director can </w:t>
      </w:r>
      <w:r>
        <w:t xml:space="preserve">then </w:t>
      </w:r>
      <w:r w:rsidR="00771F2D">
        <w:t xml:space="preserve">coordinate with </w:t>
      </w:r>
      <w:r w:rsidR="00CD4163" w:rsidRPr="00802F66">
        <w:lastRenderedPageBreak/>
        <w:t xml:space="preserve">the BR Director </w:t>
      </w:r>
      <w:r w:rsidR="008D30C6">
        <w:t>as appropriate.</w:t>
      </w:r>
      <w:r w:rsidR="00070DBE">
        <w:t xml:space="preserve"> </w:t>
      </w:r>
      <w:r w:rsidR="008D30C6">
        <w:t xml:space="preserve">The </w:t>
      </w:r>
      <w:r>
        <w:t>summary</w:t>
      </w:r>
      <w:r w:rsidR="008D30C6">
        <w:t xml:space="preserve"> </w:t>
      </w:r>
      <w:r w:rsidR="0047666C">
        <w:t>provided by the study group chair</w:t>
      </w:r>
      <w:r w:rsidR="00EA3C1E">
        <w:t>men</w:t>
      </w:r>
      <w:r w:rsidR="0047666C">
        <w:t xml:space="preserve"> </w:t>
      </w:r>
      <w:r w:rsidRPr="00802F66">
        <w:t>can</w:t>
      </w:r>
      <w:r>
        <w:t xml:space="preserve"> </w:t>
      </w:r>
      <w:r w:rsidR="0047666C">
        <w:t xml:space="preserve">also </w:t>
      </w:r>
      <w:r>
        <w:t xml:space="preserve">serve as </w:t>
      </w:r>
      <w:r w:rsidR="0047666C">
        <w:t xml:space="preserve">a </w:t>
      </w:r>
      <w:r>
        <w:t xml:space="preserve">basis for </w:t>
      </w:r>
      <w:r w:rsidR="0047666C">
        <w:t xml:space="preserve">the required </w:t>
      </w:r>
      <w:r>
        <w:t xml:space="preserve">contribution to </w:t>
      </w:r>
      <w:r w:rsidRPr="00802F66">
        <w:t>TDAG on Resolution 9</w:t>
      </w:r>
      <w:r w:rsidR="0047666C">
        <w:t xml:space="preserve"> implementation activities</w:t>
      </w:r>
      <w:r>
        <w:t>.</w:t>
      </w:r>
    </w:p>
    <w:tbl>
      <w:tblPr>
        <w:tblStyle w:val="TableGrid"/>
        <w:tblW w:w="0" w:type="auto"/>
        <w:tblLook w:val="04A0" w:firstRow="1" w:lastRow="0" w:firstColumn="1" w:lastColumn="0" w:noHBand="0" w:noVBand="1"/>
      </w:tblPr>
      <w:tblGrid>
        <w:gridCol w:w="9629"/>
      </w:tblGrid>
      <w:tr w:rsidR="00E5458C" w:rsidRPr="00957B6C" w:rsidTr="00A93172">
        <w:tc>
          <w:tcPr>
            <w:tcW w:w="9629" w:type="dxa"/>
          </w:tcPr>
          <w:p w:rsidR="00E5458C" w:rsidRPr="00957B6C" w:rsidRDefault="00E5458C" w:rsidP="00C53E72">
            <w:pPr>
              <w:spacing w:after="120"/>
              <w:rPr>
                <w:rFonts w:cstheme="minorHAnsi"/>
                <w:color w:val="000000" w:themeColor="text1"/>
                <w:szCs w:val="24"/>
              </w:rPr>
            </w:pPr>
            <w:r w:rsidRPr="007B36B3">
              <w:rPr>
                <w:rFonts w:eastAsia="Calibri" w:cs="Calibri"/>
              </w:rPr>
              <w:t>TDAG approved</w:t>
            </w:r>
            <w:r w:rsidRPr="00957B6C">
              <w:rPr>
                <w:rFonts w:eastAsia="Calibri" w:cs="Calibri"/>
              </w:rPr>
              <w:t xml:space="preserve"> the </w:t>
            </w:r>
            <w:r w:rsidR="008D30C6">
              <w:rPr>
                <w:rFonts w:eastAsia="Calibri" w:cs="Calibri"/>
              </w:rPr>
              <w:t xml:space="preserve">approach </w:t>
            </w:r>
            <w:r w:rsidRPr="00957B6C">
              <w:rPr>
                <w:rFonts w:eastAsia="Calibri" w:cs="Calibri"/>
              </w:rPr>
              <w:t xml:space="preserve">proposed </w:t>
            </w:r>
            <w:r w:rsidR="008D30C6">
              <w:rPr>
                <w:rFonts w:eastAsia="Calibri" w:cs="Calibri"/>
              </w:rPr>
              <w:t>by the Chair</w:t>
            </w:r>
            <w:r w:rsidR="0042729D">
              <w:rPr>
                <w:rFonts w:eastAsia="Calibri" w:cs="Calibri"/>
              </w:rPr>
              <w:t>men</w:t>
            </w:r>
            <w:r w:rsidR="00070DBE">
              <w:rPr>
                <w:rFonts w:eastAsia="Calibri" w:cs="Calibri"/>
              </w:rPr>
              <w:t xml:space="preserve"> </w:t>
            </w:r>
            <w:r w:rsidR="008D30C6">
              <w:rPr>
                <w:rFonts w:eastAsia="Calibri" w:cs="Calibri"/>
              </w:rPr>
              <w:t>of S</w:t>
            </w:r>
            <w:r w:rsidR="0042729D">
              <w:rPr>
                <w:rFonts w:eastAsia="Calibri" w:cs="Calibri"/>
              </w:rPr>
              <w:t>tudy Group 1</w:t>
            </w:r>
            <w:r w:rsidR="00070DBE">
              <w:rPr>
                <w:rFonts w:eastAsia="Calibri" w:cs="Calibri"/>
              </w:rPr>
              <w:t xml:space="preserve"> </w:t>
            </w:r>
            <w:r w:rsidR="008D30C6">
              <w:rPr>
                <w:rFonts w:eastAsia="Calibri" w:cs="Calibri"/>
              </w:rPr>
              <w:t xml:space="preserve">and </w:t>
            </w:r>
            <w:r w:rsidR="0042729D">
              <w:rPr>
                <w:rFonts w:eastAsia="Calibri" w:cs="Calibri"/>
              </w:rPr>
              <w:t>Study Group 2</w:t>
            </w:r>
            <w:r w:rsidR="00070DBE">
              <w:rPr>
                <w:rFonts w:eastAsia="Calibri" w:cs="Calibri"/>
              </w:rPr>
              <w:t xml:space="preserve"> </w:t>
            </w:r>
            <w:r w:rsidR="00C6098F">
              <w:rPr>
                <w:rFonts w:eastAsia="Calibri" w:cs="Calibri"/>
              </w:rPr>
              <w:t>recounted above</w:t>
            </w:r>
            <w:bookmarkStart w:id="10" w:name="_GoBack"/>
            <w:bookmarkEnd w:id="10"/>
            <w:r w:rsidR="0047666C">
              <w:rPr>
                <w:rFonts w:eastAsia="Calibri" w:cs="Calibri"/>
              </w:rPr>
              <w:t xml:space="preserve"> and the coordinators selected</w:t>
            </w:r>
            <w:r w:rsidR="00C6098F">
              <w:rPr>
                <w:rFonts w:eastAsia="Calibri" w:cs="Calibri"/>
              </w:rPr>
              <w:t>.</w:t>
            </w:r>
            <w:r w:rsidR="008D30C6">
              <w:rPr>
                <w:rFonts w:eastAsia="Calibri" w:cs="Calibri"/>
              </w:rPr>
              <w:t xml:space="preserve"> </w:t>
            </w:r>
          </w:p>
        </w:tc>
      </w:tr>
    </w:tbl>
    <w:p w:rsidR="004A5CF9" w:rsidRPr="00256CA2" w:rsidRDefault="00571356" w:rsidP="00EA4144">
      <w:pPr>
        <w:ind w:left="391" w:hanging="391"/>
        <w:rPr>
          <w:lang w:val="en-US"/>
        </w:rPr>
      </w:pPr>
      <w:r>
        <w:rPr>
          <w:b/>
          <w:bCs/>
          <w:lang w:val="en-US"/>
        </w:rPr>
        <w:t>6.</w:t>
      </w:r>
      <w:r w:rsidR="00EA4144">
        <w:rPr>
          <w:b/>
          <w:bCs/>
          <w:lang w:val="en-US"/>
        </w:rPr>
        <w:t>3</w:t>
      </w:r>
      <w:r w:rsidR="00EA4144">
        <w:rPr>
          <w:b/>
          <w:bCs/>
          <w:lang w:val="en-US"/>
        </w:rPr>
        <w:tab/>
      </w:r>
      <w:r w:rsidR="004A5CF9">
        <w:rPr>
          <w:b/>
          <w:bCs/>
          <w:lang w:val="en-US"/>
        </w:rPr>
        <w:t>Breakout session:</w:t>
      </w:r>
      <w:r w:rsidR="004A5CF9" w:rsidRPr="00256CA2">
        <w:rPr>
          <w:b/>
          <w:bCs/>
          <w:lang w:val="en-US"/>
        </w:rPr>
        <w:t xml:space="preserve"> Telecoms/ICT network infrastructure</w:t>
      </w:r>
      <w:r w:rsidR="002609BD">
        <w:rPr>
          <w:rStyle w:val="FootnoteReference"/>
          <w:b/>
          <w:bCs/>
          <w:lang w:val="en-US"/>
        </w:rPr>
        <w:footnoteReference w:id="7"/>
      </w:r>
    </w:p>
    <w:p w:rsidR="004A5CF9" w:rsidRPr="00256CA2" w:rsidRDefault="004A5CF9" w:rsidP="00EA4144">
      <w:pPr>
        <w:spacing w:after="120"/>
        <w:rPr>
          <w:lang w:val="en-US"/>
        </w:rPr>
      </w:pPr>
      <w:r>
        <w:rPr>
          <w:lang w:val="en-US"/>
        </w:rPr>
        <w:t>During the breakout session on t</w:t>
      </w:r>
      <w:r w:rsidRPr="00256CA2">
        <w:rPr>
          <w:lang w:val="en-US"/>
        </w:rPr>
        <w:t xml:space="preserve">elecoms/ICT </w:t>
      </w:r>
      <w:r>
        <w:rPr>
          <w:lang w:val="en-US"/>
        </w:rPr>
        <w:t>i</w:t>
      </w:r>
      <w:r w:rsidRPr="00256CA2">
        <w:rPr>
          <w:lang w:val="en-US"/>
        </w:rPr>
        <w:t xml:space="preserve">nfrastructure </w:t>
      </w:r>
      <w:r>
        <w:rPr>
          <w:lang w:val="en-US"/>
        </w:rPr>
        <w:t xml:space="preserve">the discussion </w:t>
      </w:r>
      <w:r w:rsidRPr="00256CA2">
        <w:rPr>
          <w:lang w:val="en-US"/>
        </w:rPr>
        <w:t>was structured around the following three questions</w:t>
      </w:r>
      <w:r>
        <w:rPr>
          <w:lang w:val="en-US"/>
        </w:rPr>
        <w:t xml:space="preserve">: </w:t>
      </w:r>
    </w:p>
    <w:p w:rsidR="004A5CF9" w:rsidRPr="00AC3027" w:rsidRDefault="004A5CF9" w:rsidP="004A5CF9">
      <w:pPr>
        <w:pStyle w:val="ListParagraph"/>
        <w:numPr>
          <w:ilvl w:val="0"/>
          <w:numId w:val="9"/>
        </w:numPr>
        <w:tabs>
          <w:tab w:val="clear" w:pos="1134"/>
          <w:tab w:val="clear" w:pos="1871"/>
          <w:tab w:val="clear" w:pos="2268"/>
        </w:tabs>
        <w:overflowPunct/>
        <w:autoSpaceDE/>
        <w:autoSpaceDN/>
        <w:adjustRightInd/>
        <w:spacing w:before="0" w:after="160" w:line="259" w:lineRule="auto"/>
        <w:textAlignment w:val="auto"/>
        <w:rPr>
          <w:lang w:val="en-US"/>
        </w:rPr>
      </w:pPr>
      <w:r>
        <w:rPr>
          <w:lang w:val="en-US"/>
        </w:rPr>
        <w:t xml:space="preserve">How can </w:t>
      </w:r>
      <w:r w:rsidRPr="00AC3027">
        <w:rPr>
          <w:lang w:val="en-US"/>
        </w:rPr>
        <w:t xml:space="preserve">ITU/ BDT </w:t>
      </w:r>
      <w:r>
        <w:rPr>
          <w:lang w:val="en-US"/>
        </w:rPr>
        <w:t>most effectively assist</w:t>
      </w:r>
      <w:r w:rsidRPr="00AC3027">
        <w:rPr>
          <w:lang w:val="en-US"/>
        </w:rPr>
        <w:t xml:space="preserve"> countries </w:t>
      </w:r>
      <w:r>
        <w:rPr>
          <w:lang w:val="en-US"/>
        </w:rPr>
        <w:t>in</w:t>
      </w:r>
      <w:r w:rsidRPr="00AC3027">
        <w:rPr>
          <w:lang w:val="en-US"/>
        </w:rPr>
        <w:t xml:space="preserve"> improv</w:t>
      </w:r>
      <w:r>
        <w:rPr>
          <w:lang w:val="en-US"/>
        </w:rPr>
        <w:t>ing</w:t>
      </w:r>
      <w:r w:rsidRPr="00AC3027">
        <w:rPr>
          <w:lang w:val="en-US"/>
        </w:rPr>
        <w:t xml:space="preserve"> their last mile connectivity?</w:t>
      </w:r>
    </w:p>
    <w:p w:rsidR="004A5CF9" w:rsidRPr="00AC3027" w:rsidRDefault="004A5CF9" w:rsidP="004A5CF9">
      <w:pPr>
        <w:pStyle w:val="ListParagraph"/>
        <w:numPr>
          <w:ilvl w:val="0"/>
          <w:numId w:val="9"/>
        </w:numPr>
        <w:tabs>
          <w:tab w:val="clear" w:pos="1134"/>
          <w:tab w:val="clear" w:pos="1871"/>
          <w:tab w:val="clear" w:pos="2268"/>
        </w:tabs>
        <w:overflowPunct/>
        <w:autoSpaceDE/>
        <w:autoSpaceDN/>
        <w:adjustRightInd/>
        <w:spacing w:before="0" w:after="160" w:line="259" w:lineRule="auto"/>
        <w:textAlignment w:val="auto"/>
        <w:rPr>
          <w:lang w:val="en-US"/>
        </w:rPr>
      </w:pPr>
      <w:r w:rsidRPr="00AC3027">
        <w:rPr>
          <w:lang w:val="en-US"/>
        </w:rPr>
        <w:t xml:space="preserve">How </w:t>
      </w:r>
      <w:r>
        <w:rPr>
          <w:lang w:val="en-US"/>
        </w:rPr>
        <w:t>can</w:t>
      </w:r>
      <w:r w:rsidRPr="00AC3027">
        <w:rPr>
          <w:lang w:val="en-US"/>
        </w:rPr>
        <w:t xml:space="preserve"> the information contained in the </w:t>
      </w:r>
      <w:r>
        <w:rPr>
          <w:lang w:val="en-US"/>
        </w:rPr>
        <w:t>b</w:t>
      </w:r>
      <w:r w:rsidRPr="00AC3027">
        <w:rPr>
          <w:lang w:val="en-US"/>
        </w:rPr>
        <w:t xml:space="preserve">roadband </w:t>
      </w:r>
      <w:r>
        <w:rPr>
          <w:lang w:val="en-US"/>
        </w:rPr>
        <w:t>m</w:t>
      </w:r>
      <w:r w:rsidRPr="00AC3027">
        <w:rPr>
          <w:lang w:val="en-US"/>
        </w:rPr>
        <w:t>aps</w:t>
      </w:r>
      <w:r>
        <w:rPr>
          <w:lang w:val="en-US"/>
        </w:rPr>
        <w:t xml:space="preserve"> be best used</w:t>
      </w:r>
      <w:r w:rsidRPr="00AC3027">
        <w:rPr>
          <w:lang w:val="en-US"/>
        </w:rPr>
        <w:t>?</w:t>
      </w:r>
    </w:p>
    <w:p w:rsidR="004A5CF9" w:rsidRPr="00AC3027" w:rsidRDefault="004A5CF9" w:rsidP="004A5CF9">
      <w:pPr>
        <w:pStyle w:val="ListParagraph"/>
        <w:numPr>
          <w:ilvl w:val="0"/>
          <w:numId w:val="9"/>
        </w:numPr>
        <w:tabs>
          <w:tab w:val="clear" w:pos="1134"/>
          <w:tab w:val="clear" w:pos="1871"/>
          <w:tab w:val="clear" w:pos="2268"/>
        </w:tabs>
        <w:overflowPunct/>
        <w:autoSpaceDE/>
        <w:autoSpaceDN/>
        <w:adjustRightInd/>
        <w:spacing w:before="0" w:after="160" w:line="259" w:lineRule="auto"/>
        <w:textAlignment w:val="auto"/>
        <w:rPr>
          <w:lang w:val="en-US"/>
        </w:rPr>
      </w:pPr>
      <w:r w:rsidRPr="00AC3027">
        <w:rPr>
          <w:lang w:val="en-US"/>
        </w:rPr>
        <w:t xml:space="preserve">What impediments </w:t>
      </w:r>
      <w:r w:rsidR="00A739BA">
        <w:rPr>
          <w:lang w:val="en-US"/>
        </w:rPr>
        <w:t xml:space="preserve">do </w:t>
      </w:r>
      <w:r w:rsidRPr="00AC3027">
        <w:rPr>
          <w:lang w:val="en-US"/>
        </w:rPr>
        <w:t>countries fac</w:t>
      </w:r>
      <w:r w:rsidR="00A739BA">
        <w:rPr>
          <w:lang w:val="en-US"/>
        </w:rPr>
        <w:t xml:space="preserve">e when attempting to </w:t>
      </w:r>
      <w:r>
        <w:rPr>
          <w:lang w:val="en-US"/>
        </w:rPr>
        <w:t>comple</w:t>
      </w:r>
      <w:r w:rsidR="00A739BA">
        <w:rPr>
          <w:lang w:val="en-US"/>
        </w:rPr>
        <w:t>te</w:t>
      </w:r>
      <w:r w:rsidRPr="00AC3027">
        <w:rPr>
          <w:lang w:val="en-US"/>
        </w:rPr>
        <w:t xml:space="preserve"> the digital broadcasting transition and how can ITU assist them?</w:t>
      </w:r>
      <w:r w:rsidRPr="00AC3027">
        <w:rPr>
          <w:lang w:val="en-US"/>
        </w:rPr>
        <w:tab/>
      </w:r>
    </w:p>
    <w:p w:rsidR="004A5CF9" w:rsidRDefault="00982251">
      <w:pPr>
        <w:rPr>
          <w:lang w:val="en-US"/>
        </w:rPr>
      </w:pPr>
      <w:r>
        <w:rPr>
          <w:lang w:val="en-US"/>
        </w:rPr>
        <w:t xml:space="preserve">Participants suggested that </w:t>
      </w:r>
      <w:r w:rsidR="004A5CF9" w:rsidRPr="00256CA2">
        <w:rPr>
          <w:lang w:val="en-US"/>
        </w:rPr>
        <w:t>a compilation of different case studies on last mile connectivity (e.g. business and financing models, regulations</w:t>
      </w:r>
      <w:r w:rsidR="004A5CF9">
        <w:rPr>
          <w:lang w:val="en-US"/>
        </w:rPr>
        <w:t xml:space="preserve"> and </w:t>
      </w:r>
      <w:r w:rsidR="004A5CF9" w:rsidRPr="00256CA2">
        <w:rPr>
          <w:lang w:val="en-US"/>
        </w:rPr>
        <w:t>policies) and guidelines on the possible solutions</w:t>
      </w:r>
      <w:r w:rsidR="004A5CF9">
        <w:rPr>
          <w:lang w:val="en-US"/>
        </w:rPr>
        <w:t xml:space="preserve"> </w:t>
      </w:r>
      <w:r>
        <w:rPr>
          <w:lang w:val="en-US"/>
        </w:rPr>
        <w:t>could be prepared.</w:t>
      </w:r>
      <w:r w:rsidR="00070DBE">
        <w:rPr>
          <w:lang w:val="en-US"/>
        </w:rPr>
        <w:t xml:space="preserve"> </w:t>
      </w:r>
      <w:r w:rsidR="004A5CF9" w:rsidRPr="00256CA2">
        <w:rPr>
          <w:lang w:val="en-US"/>
        </w:rPr>
        <w:t>In addition, develop</w:t>
      </w:r>
      <w:r w:rsidR="00A739BA">
        <w:rPr>
          <w:lang w:val="en-US"/>
        </w:rPr>
        <w:t>ing</w:t>
      </w:r>
      <w:r w:rsidR="004A5CF9" w:rsidRPr="00256CA2">
        <w:rPr>
          <w:lang w:val="en-US"/>
        </w:rPr>
        <w:t xml:space="preserve"> a platform to engage </w:t>
      </w:r>
      <w:r w:rsidR="004A5CF9" w:rsidRPr="001E0B05">
        <w:rPr>
          <w:lang w:val="en-US"/>
        </w:rPr>
        <w:t>different stakeholders and</w:t>
      </w:r>
      <w:r w:rsidR="004A5CF9" w:rsidRPr="00256CA2">
        <w:rPr>
          <w:lang w:val="en-US"/>
        </w:rPr>
        <w:t xml:space="preserve"> promote collaboration on last mile connectivity and services</w:t>
      </w:r>
      <w:r w:rsidR="00A739BA">
        <w:rPr>
          <w:lang w:val="en-US"/>
        </w:rPr>
        <w:t xml:space="preserve"> was discussed</w:t>
      </w:r>
      <w:r w:rsidR="004A5CF9" w:rsidRPr="00256CA2">
        <w:rPr>
          <w:lang w:val="en-US"/>
        </w:rPr>
        <w:t xml:space="preserve">. To best use the information contained in the </w:t>
      </w:r>
      <w:r w:rsidR="004A5CF9">
        <w:rPr>
          <w:lang w:val="en-US"/>
        </w:rPr>
        <w:t>b</w:t>
      </w:r>
      <w:r w:rsidR="004A5CF9" w:rsidRPr="00256CA2">
        <w:rPr>
          <w:lang w:val="en-US"/>
        </w:rPr>
        <w:t xml:space="preserve">roadband maps, </w:t>
      </w:r>
      <w:r w:rsidR="00AB7C09">
        <w:rPr>
          <w:lang w:val="en-US"/>
        </w:rPr>
        <w:t xml:space="preserve">participants suggested </w:t>
      </w:r>
      <w:r w:rsidR="004A5CF9" w:rsidRPr="00256CA2">
        <w:rPr>
          <w:lang w:val="en-US"/>
        </w:rPr>
        <w:t>promotin</w:t>
      </w:r>
      <w:r w:rsidR="00AB7C09">
        <w:rPr>
          <w:lang w:val="en-US"/>
        </w:rPr>
        <w:t>g</w:t>
      </w:r>
      <w:r w:rsidR="004A5CF9" w:rsidRPr="00256CA2">
        <w:rPr>
          <w:lang w:val="en-US"/>
        </w:rPr>
        <w:t xml:space="preserve"> the visibility and use of broadband map</w:t>
      </w:r>
      <w:r w:rsidR="00AB7C09">
        <w:rPr>
          <w:lang w:val="en-US"/>
        </w:rPr>
        <w:t>s</w:t>
      </w:r>
      <w:r w:rsidR="004A5CF9" w:rsidRPr="00256CA2">
        <w:rPr>
          <w:lang w:val="en-US"/>
        </w:rPr>
        <w:t xml:space="preserve">, </w:t>
      </w:r>
      <w:r w:rsidR="004A5CF9">
        <w:rPr>
          <w:lang w:val="en-US"/>
        </w:rPr>
        <w:t>for example</w:t>
      </w:r>
      <w:r w:rsidR="004A5CF9" w:rsidRPr="00256CA2">
        <w:rPr>
          <w:lang w:val="en-US"/>
        </w:rPr>
        <w:t xml:space="preserve"> through a link on the regulators</w:t>
      </w:r>
      <w:r w:rsidR="004A5CF9">
        <w:rPr>
          <w:lang w:val="en-US"/>
        </w:rPr>
        <w:t>’</w:t>
      </w:r>
      <w:r w:rsidR="004A5CF9" w:rsidRPr="00256CA2">
        <w:rPr>
          <w:lang w:val="en-US"/>
        </w:rPr>
        <w:t xml:space="preserve"> and ministries</w:t>
      </w:r>
      <w:r w:rsidR="004A5CF9">
        <w:rPr>
          <w:lang w:val="en-US"/>
        </w:rPr>
        <w:t>’</w:t>
      </w:r>
      <w:r w:rsidR="004A5CF9" w:rsidRPr="00256CA2">
        <w:rPr>
          <w:lang w:val="en-US"/>
        </w:rPr>
        <w:t xml:space="preserve"> web</w:t>
      </w:r>
      <w:r w:rsidR="004A5CF9">
        <w:rPr>
          <w:lang w:val="en-US"/>
        </w:rPr>
        <w:t xml:space="preserve"> </w:t>
      </w:r>
      <w:r w:rsidR="004A5CF9" w:rsidRPr="00256CA2">
        <w:rPr>
          <w:lang w:val="en-US"/>
        </w:rPr>
        <w:t xml:space="preserve">pages. </w:t>
      </w:r>
      <w:r w:rsidR="00AB7C09">
        <w:rPr>
          <w:lang w:val="en-US"/>
        </w:rPr>
        <w:t>T</w:t>
      </w:r>
      <w:r w:rsidR="004A5CF9" w:rsidRPr="00256CA2">
        <w:rPr>
          <w:lang w:val="en-US"/>
        </w:rPr>
        <w:t xml:space="preserve">o assist countries </w:t>
      </w:r>
      <w:r w:rsidR="004A5CF9">
        <w:rPr>
          <w:lang w:val="en-US"/>
        </w:rPr>
        <w:t>with</w:t>
      </w:r>
      <w:r w:rsidR="004A5CF9" w:rsidRPr="00256CA2">
        <w:rPr>
          <w:lang w:val="en-US"/>
        </w:rPr>
        <w:t xml:space="preserve"> the digital broadcasting transition, </w:t>
      </w:r>
      <w:r w:rsidR="00AB7C09">
        <w:rPr>
          <w:lang w:val="en-US"/>
        </w:rPr>
        <w:t xml:space="preserve">participants </w:t>
      </w:r>
      <w:r w:rsidR="004A5CF9">
        <w:rPr>
          <w:lang w:val="en-US"/>
        </w:rPr>
        <w:t>recommend</w:t>
      </w:r>
      <w:r w:rsidR="00AB7C09">
        <w:rPr>
          <w:lang w:val="en-US"/>
        </w:rPr>
        <w:t>ed</w:t>
      </w:r>
      <w:r w:rsidR="00070DBE">
        <w:rPr>
          <w:lang w:val="en-US"/>
        </w:rPr>
        <w:t xml:space="preserve"> </w:t>
      </w:r>
      <w:r w:rsidR="004A5CF9" w:rsidRPr="00256CA2">
        <w:rPr>
          <w:lang w:val="en-US"/>
        </w:rPr>
        <w:t>promotin</w:t>
      </w:r>
      <w:r w:rsidR="00AB7C09">
        <w:rPr>
          <w:lang w:val="en-US"/>
        </w:rPr>
        <w:t>g</w:t>
      </w:r>
      <w:r w:rsidR="004A5CF9" w:rsidRPr="00256CA2">
        <w:rPr>
          <w:lang w:val="en-US"/>
        </w:rPr>
        <w:t xml:space="preserve"> the impact and benefits of the transition</w:t>
      </w:r>
      <w:r w:rsidR="00AB7C09">
        <w:rPr>
          <w:lang w:val="en-US"/>
        </w:rPr>
        <w:t xml:space="preserve"> </w:t>
      </w:r>
      <w:r w:rsidR="004A5CF9" w:rsidRPr="00256CA2">
        <w:rPr>
          <w:lang w:val="en-US"/>
        </w:rPr>
        <w:t>in specific regions and countries.</w:t>
      </w:r>
      <w:r w:rsidR="004A5CF9">
        <w:rPr>
          <w:lang w:val="en-US"/>
        </w:rPr>
        <w:t xml:space="preserve"> </w:t>
      </w:r>
    </w:p>
    <w:p w:rsidR="004A5CF9" w:rsidRPr="00BF5B1F" w:rsidRDefault="004A5CF9" w:rsidP="007B36B3">
      <w:pPr>
        <w:pStyle w:val="ListParagraph"/>
        <w:numPr>
          <w:ilvl w:val="1"/>
          <w:numId w:val="29"/>
        </w:numPr>
        <w:spacing w:before="240" w:after="120"/>
        <w:rPr>
          <w:rStyle w:val="StyleComplex12pt"/>
          <w:rFonts w:cstheme="minorHAnsi"/>
          <w:b/>
          <w:bCs/>
        </w:rPr>
      </w:pPr>
      <w:r w:rsidRPr="00BF5B1F">
        <w:rPr>
          <w:rFonts w:cstheme="minorHAnsi"/>
          <w:b/>
          <w:bCs/>
          <w:color w:val="000000" w:themeColor="text1"/>
          <w:szCs w:val="24"/>
        </w:rPr>
        <w:t>Cybersecurity and ICT applications</w:t>
      </w:r>
      <w:r w:rsidRPr="00BF5B1F">
        <w:rPr>
          <w:rStyle w:val="StyleComplex12pt"/>
          <w:rFonts w:cstheme="minorHAnsi"/>
          <w:b/>
          <w:bCs/>
        </w:rPr>
        <w:t xml:space="preserve"> </w:t>
      </w:r>
    </w:p>
    <w:p w:rsidR="004A5CF9" w:rsidRPr="00957B6C" w:rsidRDefault="00EA4144" w:rsidP="004A5CF9">
      <w:pPr>
        <w:spacing w:after="120"/>
        <w:rPr>
          <w:rFonts w:cstheme="minorHAnsi"/>
          <w:szCs w:val="24"/>
        </w:rPr>
      </w:pPr>
      <w:hyperlink r:id="rId21" w:history="1">
        <w:r w:rsidR="004A5CF9" w:rsidRPr="00957B6C">
          <w:rPr>
            <w:rStyle w:val="Hyperlink"/>
            <w:rFonts w:cstheme="minorHAnsi"/>
            <w:b/>
            <w:bCs/>
            <w:szCs w:val="24"/>
          </w:rPr>
          <w:t>Document 30</w:t>
        </w:r>
      </w:hyperlink>
      <w:r w:rsidR="004A5CF9" w:rsidRPr="00957B6C">
        <w:rPr>
          <w:rFonts w:cstheme="minorHAnsi"/>
          <w:b/>
          <w:bCs/>
          <w:color w:val="000000" w:themeColor="text1"/>
          <w:szCs w:val="24"/>
        </w:rPr>
        <w:t>:</w:t>
      </w:r>
      <w:r w:rsidR="004A5CF9" w:rsidRPr="00957B6C">
        <w:rPr>
          <w:rFonts w:cstheme="minorHAnsi"/>
          <w:color w:val="000000" w:themeColor="text1"/>
          <w:szCs w:val="24"/>
        </w:rPr>
        <w:t xml:space="preserve"> “Cybersecurity and ICT Applications Activities” </w:t>
      </w:r>
      <w:r w:rsidR="004A5CF9" w:rsidRPr="00957B6C">
        <w:rPr>
          <w:rFonts w:cstheme="minorHAnsi"/>
          <w:szCs w:val="24"/>
        </w:rPr>
        <w:t xml:space="preserve">provides a summary of work and activities carried out by BDT in cybersecurity and ICT applications. </w:t>
      </w:r>
      <w:r w:rsidR="004A5CF9">
        <w:rPr>
          <w:rFonts w:cstheme="minorHAnsi"/>
          <w:szCs w:val="24"/>
        </w:rPr>
        <w:t xml:space="preserve">The </w:t>
      </w:r>
      <w:r w:rsidR="004A5CF9" w:rsidRPr="00957B6C">
        <w:rPr>
          <w:rFonts w:cstheme="minorHAnsi"/>
          <w:szCs w:val="24"/>
        </w:rPr>
        <w:t>BDT cybersecurity programme develop</w:t>
      </w:r>
      <w:r w:rsidR="00982251">
        <w:rPr>
          <w:rFonts w:cstheme="minorHAnsi"/>
          <w:szCs w:val="24"/>
        </w:rPr>
        <w:t xml:space="preserve">s </w:t>
      </w:r>
      <w:r w:rsidR="004A5CF9" w:rsidRPr="00957B6C">
        <w:rPr>
          <w:rFonts w:cstheme="minorHAnsi"/>
          <w:szCs w:val="24"/>
        </w:rPr>
        <w:t>publications, conduct</w:t>
      </w:r>
      <w:r w:rsidR="00982251">
        <w:rPr>
          <w:rFonts w:cstheme="minorHAnsi"/>
          <w:szCs w:val="24"/>
        </w:rPr>
        <w:t xml:space="preserve">s </w:t>
      </w:r>
      <w:r w:rsidR="004A5CF9" w:rsidRPr="00957B6C">
        <w:rPr>
          <w:rFonts w:cstheme="minorHAnsi"/>
          <w:szCs w:val="24"/>
        </w:rPr>
        <w:t>national and regional capacity-building workshops and collaborat</w:t>
      </w:r>
      <w:r w:rsidR="00982251">
        <w:rPr>
          <w:rFonts w:cstheme="minorHAnsi"/>
          <w:szCs w:val="24"/>
        </w:rPr>
        <w:t xml:space="preserve">es </w:t>
      </w:r>
      <w:r w:rsidR="004A5CF9" w:rsidRPr="00957B6C">
        <w:rPr>
          <w:rFonts w:cstheme="minorHAnsi"/>
          <w:szCs w:val="24"/>
        </w:rPr>
        <w:t xml:space="preserve">with partners to deliver high-quality products and services. </w:t>
      </w:r>
    </w:p>
    <w:p w:rsidR="004A5CF9" w:rsidRPr="00957B6C" w:rsidRDefault="004A5CF9" w:rsidP="004A5CF9">
      <w:pPr>
        <w:overflowPunct/>
        <w:autoSpaceDE/>
        <w:autoSpaceDN/>
        <w:adjustRightInd/>
        <w:spacing w:after="120"/>
        <w:textAlignment w:val="auto"/>
        <w:rPr>
          <w:rFonts w:cstheme="minorHAnsi"/>
          <w:szCs w:val="24"/>
        </w:rPr>
      </w:pPr>
      <w:r w:rsidRPr="00957B6C">
        <w:rPr>
          <w:rFonts w:cstheme="minorHAnsi"/>
          <w:szCs w:val="24"/>
        </w:rPr>
        <w:t>An example of this is the “</w:t>
      </w:r>
      <w:hyperlink r:id="rId22" w:history="1">
        <w:r w:rsidRPr="007B36B3">
          <w:rPr>
            <w:rStyle w:val="Hyperlink"/>
            <w:rFonts w:cstheme="minorHAnsi"/>
            <w:color w:val="auto"/>
            <w:szCs w:val="24"/>
          </w:rPr>
          <w:t>National Cybersecurity Strategy Guide</w:t>
        </w:r>
      </w:hyperlink>
      <w:r w:rsidRPr="002369BC">
        <w:rPr>
          <w:rFonts w:cstheme="minorHAnsi"/>
          <w:szCs w:val="24"/>
        </w:rPr>
        <w:t>” l</w:t>
      </w:r>
      <w:r w:rsidRPr="00957B6C">
        <w:rPr>
          <w:rFonts w:cstheme="minorHAnsi"/>
          <w:szCs w:val="24"/>
        </w:rPr>
        <w:t xml:space="preserve">aunched at ITU Telecom World 2018 and developed through a multi-stakeholder effort, facilitated by ITU, in partnership with 11 intergovernmental and international organizations and private sector, academia and civil society entities. The main objective of this reference guide is to </w:t>
      </w:r>
      <w:r w:rsidR="00425355">
        <w:rPr>
          <w:rFonts w:cstheme="minorHAnsi"/>
          <w:szCs w:val="24"/>
        </w:rPr>
        <w:t xml:space="preserve">help </w:t>
      </w:r>
      <w:r w:rsidRPr="00957B6C">
        <w:rPr>
          <w:rFonts w:cstheme="minorHAnsi"/>
          <w:szCs w:val="24"/>
        </w:rPr>
        <w:t>countries develop and implement</w:t>
      </w:r>
      <w:r w:rsidR="00070DBE">
        <w:rPr>
          <w:rFonts w:cstheme="minorHAnsi"/>
          <w:szCs w:val="24"/>
        </w:rPr>
        <w:t xml:space="preserve"> </w:t>
      </w:r>
      <w:r w:rsidRPr="00957B6C">
        <w:rPr>
          <w:rFonts w:cstheme="minorHAnsi"/>
          <w:szCs w:val="24"/>
        </w:rPr>
        <w:t xml:space="preserve">national cybersecurity strategies, including cyber-preparedness and resilience. </w:t>
      </w:r>
    </w:p>
    <w:p w:rsidR="004A5CF9" w:rsidRPr="00957B6C" w:rsidRDefault="004A5CF9" w:rsidP="004A5CF9">
      <w:pPr>
        <w:overflowPunct/>
        <w:autoSpaceDE/>
        <w:autoSpaceDN/>
        <w:adjustRightInd/>
        <w:spacing w:after="120"/>
        <w:textAlignment w:val="auto"/>
        <w:rPr>
          <w:rFonts w:cstheme="minorHAnsi"/>
          <w:szCs w:val="24"/>
        </w:rPr>
      </w:pPr>
      <w:r w:rsidRPr="00957B6C">
        <w:rPr>
          <w:szCs w:val="24"/>
        </w:rPr>
        <w:t>BDT also conducts regional and national cyber</w:t>
      </w:r>
      <w:r w:rsidR="00425355">
        <w:rPr>
          <w:szCs w:val="24"/>
        </w:rPr>
        <w:t xml:space="preserve"> </w:t>
      </w:r>
      <w:r w:rsidRPr="00957B6C">
        <w:rPr>
          <w:szCs w:val="24"/>
        </w:rPr>
        <w:t>drills for ITU Member States, the aim being to enhance the communication between participating teams and further improve the incident response capabilities, a</w:t>
      </w:r>
      <w:r w:rsidR="00425355">
        <w:rPr>
          <w:szCs w:val="24"/>
        </w:rPr>
        <w:t xml:space="preserve">nd </w:t>
      </w:r>
      <w:r w:rsidRPr="00957B6C">
        <w:rPr>
          <w:szCs w:val="24"/>
        </w:rPr>
        <w:t xml:space="preserve">maintain and strengthen national and international cooperation among countries </w:t>
      </w:r>
      <w:r w:rsidR="00425355">
        <w:rPr>
          <w:szCs w:val="24"/>
        </w:rPr>
        <w:t xml:space="preserve">to </w:t>
      </w:r>
      <w:r w:rsidRPr="00957B6C">
        <w:rPr>
          <w:szCs w:val="24"/>
        </w:rPr>
        <w:t>ensur</w:t>
      </w:r>
      <w:r w:rsidR="00425355">
        <w:rPr>
          <w:szCs w:val="24"/>
        </w:rPr>
        <w:t xml:space="preserve">e </w:t>
      </w:r>
      <w:r w:rsidRPr="00957B6C">
        <w:rPr>
          <w:szCs w:val="24"/>
        </w:rPr>
        <w:t xml:space="preserve">continued collective effort against </w:t>
      </w:r>
      <w:proofErr w:type="spellStart"/>
      <w:r w:rsidRPr="00957B6C">
        <w:rPr>
          <w:szCs w:val="24"/>
        </w:rPr>
        <w:t>cyberthreats</w:t>
      </w:r>
      <w:proofErr w:type="spellEnd"/>
      <w:r w:rsidRPr="00957B6C">
        <w:rPr>
          <w:szCs w:val="24"/>
        </w:rPr>
        <w:t>.</w:t>
      </w:r>
    </w:p>
    <w:p w:rsidR="004A5CF9" w:rsidRDefault="004A5CF9" w:rsidP="004A5CF9">
      <w:pPr>
        <w:spacing w:after="120"/>
        <w:rPr>
          <w:rFonts w:eastAsia="Calibri"/>
          <w:sz w:val="22"/>
          <w:szCs w:val="22"/>
        </w:rPr>
      </w:pPr>
      <w:r w:rsidRPr="00957B6C">
        <w:rPr>
          <w:rFonts w:cstheme="minorHAnsi"/>
          <w:szCs w:val="24"/>
        </w:rPr>
        <w:t xml:space="preserve">In 2018, data collected from 155 countries in preparation for the third edition of the </w:t>
      </w:r>
      <w:r w:rsidRPr="007B36B3">
        <w:rPr>
          <w:rFonts w:cstheme="minorHAnsi"/>
          <w:szCs w:val="24"/>
          <w:u w:val="single"/>
        </w:rPr>
        <w:t>Global Cybersecurity Index</w:t>
      </w:r>
      <w:r w:rsidRPr="00957B6C">
        <w:rPr>
          <w:rFonts w:cstheme="minorHAnsi"/>
          <w:szCs w:val="24"/>
        </w:rPr>
        <w:t xml:space="preserve"> (GCI)</w:t>
      </w:r>
      <w:r>
        <w:rPr>
          <w:rFonts w:cstheme="minorHAnsi"/>
          <w:szCs w:val="24"/>
        </w:rPr>
        <w:t xml:space="preserve"> </w:t>
      </w:r>
      <w:r w:rsidRPr="00957B6C">
        <w:rPr>
          <w:rFonts w:cstheme="minorHAnsi"/>
          <w:szCs w:val="24"/>
        </w:rPr>
        <w:t>measure</w:t>
      </w:r>
      <w:r>
        <w:rPr>
          <w:rFonts w:cstheme="minorHAnsi"/>
          <w:szCs w:val="24"/>
        </w:rPr>
        <w:t>d</w:t>
      </w:r>
      <w:r w:rsidRPr="00957B6C">
        <w:rPr>
          <w:rFonts w:cstheme="minorHAnsi"/>
          <w:szCs w:val="24"/>
        </w:rPr>
        <w:t xml:space="preserve"> countr</w:t>
      </w:r>
      <w:r>
        <w:rPr>
          <w:rFonts w:cstheme="minorHAnsi"/>
          <w:szCs w:val="24"/>
        </w:rPr>
        <w:t>y</w:t>
      </w:r>
      <w:r w:rsidRPr="00957B6C">
        <w:rPr>
          <w:rFonts w:cstheme="minorHAnsi"/>
          <w:szCs w:val="24"/>
        </w:rPr>
        <w:t xml:space="preserve"> progress in cybersecurity and help</w:t>
      </w:r>
      <w:r>
        <w:rPr>
          <w:rFonts w:cstheme="minorHAnsi"/>
          <w:szCs w:val="24"/>
        </w:rPr>
        <w:t>ed</w:t>
      </w:r>
      <w:r w:rsidRPr="00957B6C">
        <w:rPr>
          <w:rFonts w:cstheme="minorHAnsi"/>
          <w:szCs w:val="24"/>
        </w:rPr>
        <w:t xml:space="preserve"> to identify areas for improvement.</w:t>
      </w:r>
      <w:r>
        <w:rPr>
          <w:rFonts w:cstheme="minorHAnsi"/>
          <w:szCs w:val="24"/>
        </w:rPr>
        <w:t xml:space="preserve"> The GCI was submitted to </w:t>
      </w:r>
      <w:r w:rsidR="00425355">
        <w:rPr>
          <w:rFonts w:cstheme="minorHAnsi"/>
          <w:szCs w:val="24"/>
        </w:rPr>
        <w:t xml:space="preserve">the </w:t>
      </w:r>
      <w:r>
        <w:rPr>
          <w:rFonts w:cstheme="minorHAnsi"/>
          <w:szCs w:val="24"/>
        </w:rPr>
        <w:t>ITU-D Study Group 2 meeting for review and comment.</w:t>
      </w:r>
      <w:r w:rsidRPr="00957B6C">
        <w:rPr>
          <w:rFonts w:cstheme="minorHAnsi"/>
          <w:szCs w:val="24"/>
        </w:rPr>
        <w:t xml:space="preserve"> TDAG </w:t>
      </w:r>
      <w:r>
        <w:rPr>
          <w:rFonts w:cstheme="minorHAnsi"/>
          <w:szCs w:val="24"/>
        </w:rPr>
        <w:t xml:space="preserve">requested that the document </w:t>
      </w:r>
      <w:r w:rsidRPr="004D22C2">
        <w:rPr>
          <w:rFonts w:eastAsia="Calibri"/>
          <w:szCs w:val="24"/>
        </w:rPr>
        <w:t xml:space="preserve">clearly include an explanation on the distinction between countries that submitted the survey information and those that did not. </w:t>
      </w:r>
    </w:p>
    <w:p w:rsidR="004A5CF9" w:rsidRPr="00957B6C" w:rsidRDefault="004A5CF9" w:rsidP="004A5CF9">
      <w:pPr>
        <w:spacing w:after="120"/>
        <w:rPr>
          <w:rFonts w:cstheme="minorHAnsi"/>
          <w:szCs w:val="24"/>
        </w:rPr>
      </w:pPr>
      <w:r w:rsidRPr="00957B6C">
        <w:rPr>
          <w:rFonts w:cstheme="minorHAnsi"/>
          <w:szCs w:val="24"/>
        </w:rPr>
        <w:lastRenderedPageBreak/>
        <w:t xml:space="preserve">Turning to ICT applications and services, it was noted that a main pillar of this programme is assisting countries in the development of national sector-specific e-strategies, which can contribute to digital transformation. In the health sector, for example, the </w:t>
      </w:r>
      <w:r w:rsidRPr="007B36B3">
        <w:rPr>
          <w:rFonts w:cstheme="minorHAnsi"/>
          <w:szCs w:val="24"/>
          <w:u w:val="single"/>
        </w:rPr>
        <w:t>joint ITU-WHO National eHealth Strategy Toolkit,</w:t>
      </w:r>
      <w:r w:rsidRPr="00957B6C">
        <w:rPr>
          <w:rFonts w:cstheme="minorHAnsi"/>
          <w:szCs w:val="24"/>
        </w:rPr>
        <w:t xml:space="preserve"> published in 2012, has become the reference point for many countries in digital health strategy development. In 2018, ITU and WHO helped several countries to develop e-health strategies. Several </w:t>
      </w:r>
      <w:proofErr w:type="spellStart"/>
      <w:r w:rsidRPr="00957B6C">
        <w:rPr>
          <w:rFonts w:cstheme="minorHAnsi"/>
          <w:szCs w:val="24"/>
        </w:rPr>
        <w:t>mHealth</w:t>
      </w:r>
      <w:proofErr w:type="spellEnd"/>
      <w:r w:rsidRPr="00957B6C">
        <w:rPr>
          <w:rFonts w:cstheme="minorHAnsi"/>
          <w:szCs w:val="24"/>
        </w:rPr>
        <w:t xml:space="preserve"> projects have been launched through the joint ITU-WHO </w:t>
      </w:r>
      <w:r>
        <w:rPr>
          <w:rFonts w:cstheme="minorHAnsi"/>
          <w:szCs w:val="24"/>
        </w:rPr>
        <w:t>“</w:t>
      </w:r>
      <w:r w:rsidRPr="00957B6C">
        <w:rPr>
          <w:rFonts w:cstheme="minorHAnsi"/>
          <w:szCs w:val="24"/>
        </w:rPr>
        <w:t xml:space="preserve">Be </w:t>
      </w:r>
      <w:proofErr w:type="spellStart"/>
      <w:r w:rsidRPr="00957B6C">
        <w:rPr>
          <w:rFonts w:cstheme="minorHAnsi"/>
          <w:szCs w:val="24"/>
        </w:rPr>
        <w:t>He@lthy</w:t>
      </w:r>
      <w:proofErr w:type="spellEnd"/>
      <w:r w:rsidRPr="00957B6C">
        <w:rPr>
          <w:rFonts w:cstheme="minorHAnsi"/>
          <w:szCs w:val="24"/>
        </w:rPr>
        <w:t>, Be Mobile</w:t>
      </w:r>
      <w:r>
        <w:rPr>
          <w:rFonts w:cstheme="minorHAnsi"/>
          <w:szCs w:val="24"/>
        </w:rPr>
        <w:t>”</w:t>
      </w:r>
      <w:r w:rsidRPr="00957B6C">
        <w:rPr>
          <w:rFonts w:cstheme="minorHAnsi"/>
          <w:szCs w:val="24"/>
        </w:rPr>
        <w:t xml:space="preserve"> programme, which promotes the use of mobile technologies for non</w:t>
      </w:r>
      <w:r>
        <w:rPr>
          <w:rFonts w:cstheme="minorHAnsi"/>
          <w:szCs w:val="24"/>
        </w:rPr>
        <w:t>-</w:t>
      </w:r>
      <w:r w:rsidRPr="00957B6C">
        <w:rPr>
          <w:rFonts w:cstheme="minorHAnsi"/>
          <w:szCs w:val="24"/>
        </w:rPr>
        <w:t>communicable diseases.</w:t>
      </w:r>
    </w:p>
    <w:p w:rsidR="004A5CF9" w:rsidRPr="00957B6C" w:rsidRDefault="004A5CF9">
      <w:pPr>
        <w:spacing w:after="120"/>
        <w:rPr>
          <w:rFonts w:cstheme="minorHAnsi"/>
          <w:szCs w:val="24"/>
        </w:rPr>
      </w:pPr>
      <w:r w:rsidRPr="00957B6C">
        <w:rPr>
          <w:rFonts w:cstheme="minorHAnsi"/>
          <w:szCs w:val="24"/>
        </w:rPr>
        <w:t xml:space="preserve">In e-agriculture, a Hackathon to end </w:t>
      </w:r>
      <w:r w:rsidR="00C46154">
        <w:rPr>
          <w:rFonts w:cstheme="minorHAnsi"/>
          <w:szCs w:val="24"/>
        </w:rPr>
        <w:t>h</w:t>
      </w:r>
      <w:r w:rsidRPr="00957B6C">
        <w:rPr>
          <w:rFonts w:cstheme="minorHAnsi"/>
          <w:szCs w:val="24"/>
        </w:rPr>
        <w:t>unger was organized in collaboration with the Food and Agriculture Organization (FAO) in order to identify and support innovative solutions to address challenges in the areas of food and agriculture. The</w:t>
      </w:r>
      <w:r w:rsidRPr="007B36B3">
        <w:rPr>
          <w:rFonts w:cstheme="minorHAnsi"/>
          <w:szCs w:val="24"/>
          <w:u w:val="single"/>
        </w:rPr>
        <w:t xml:space="preserve"> ITU-FAO National e-Agriculture Strategy Guide</w:t>
      </w:r>
      <w:r w:rsidRPr="00957B6C">
        <w:rPr>
          <w:rFonts w:cstheme="minorHAnsi"/>
          <w:szCs w:val="24"/>
        </w:rPr>
        <w:t xml:space="preserve"> has already been piloted in several countries. In one country, a </w:t>
      </w:r>
      <w:proofErr w:type="spellStart"/>
      <w:r w:rsidRPr="00957B6C">
        <w:rPr>
          <w:rFonts w:cstheme="minorHAnsi"/>
          <w:szCs w:val="24"/>
        </w:rPr>
        <w:t>blockchain</w:t>
      </w:r>
      <w:proofErr w:type="spellEnd"/>
      <w:r w:rsidRPr="00957B6C">
        <w:rPr>
          <w:rFonts w:cstheme="minorHAnsi"/>
          <w:szCs w:val="24"/>
        </w:rPr>
        <w:t xml:space="preserve">-application was developed to track pigs. A report on the use of drones in agriculture has also been published. </w:t>
      </w:r>
    </w:p>
    <w:p w:rsidR="004A5CF9" w:rsidRPr="00957B6C" w:rsidRDefault="004A5CF9" w:rsidP="004A5CF9">
      <w:pPr>
        <w:spacing w:after="120"/>
        <w:rPr>
          <w:rFonts w:cstheme="minorHAnsi"/>
          <w:szCs w:val="24"/>
        </w:rPr>
      </w:pPr>
      <w:r w:rsidRPr="00957B6C">
        <w:rPr>
          <w:rFonts w:cstheme="minorHAnsi"/>
          <w:szCs w:val="24"/>
        </w:rPr>
        <w:t xml:space="preserve">A way forward in </w:t>
      </w:r>
      <w:r w:rsidRPr="00957B6C">
        <w:rPr>
          <w:szCs w:val="24"/>
        </w:rPr>
        <w:t xml:space="preserve">ICT applications </w:t>
      </w:r>
      <w:r w:rsidRPr="00957B6C">
        <w:rPr>
          <w:rFonts w:cstheme="minorHAnsi"/>
          <w:szCs w:val="24"/>
        </w:rPr>
        <w:t>that may resonate with Member States is the development of</w:t>
      </w:r>
      <w:r w:rsidRPr="00957B6C">
        <w:rPr>
          <w:szCs w:val="24"/>
        </w:rPr>
        <w:t xml:space="preserve"> new tools to guide governments in their digital transformation process, for example the development of </w:t>
      </w:r>
      <w:r>
        <w:rPr>
          <w:szCs w:val="24"/>
        </w:rPr>
        <w:t>g</w:t>
      </w:r>
      <w:r w:rsidRPr="00957B6C">
        <w:rPr>
          <w:szCs w:val="24"/>
        </w:rPr>
        <w:t xml:space="preserve">overnment </w:t>
      </w:r>
      <w:r>
        <w:rPr>
          <w:szCs w:val="24"/>
        </w:rPr>
        <w:t>e</w:t>
      </w:r>
      <w:r w:rsidRPr="00957B6C">
        <w:rPr>
          <w:szCs w:val="24"/>
        </w:rPr>
        <w:t xml:space="preserve">nterprise </w:t>
      </w:r>
      <w:r>
        <w:rPr>
          <w:szCs w:val="24"/>
        </w:rPr>
        <w:t>a</w:t>
      </w:r>
      <w:r w:rsidRPr="00957B6C">
        <w:rPr>
          <w:szCs w:val="24"/>
        </w:rPr>
        <w:t>rchitecture.</w:t>
      </w:r>
    </w:p>
    <w:tbl>
      <w:tblPr>
        <w:tblStyle w:val="TableGrid"/>
        <w:tblW w:w="0" w:type="auto"/>
        <w:tblLook w:val="04A0" w:firstRow="1" w:lastRow="0" w:firstColumn="1" w:lastColumn="0" w:noHBand="0" w:noVBand="1"/>
      </w:tblPr>
      <w:tblGrid>
        <w:gridCol w:w="9629"/>
      </w:tblGrid>
      <w:tr w:rsidR="004A5CF9" w:rsidRPr="00957B6C" w:rsidTr="008D0BF6">
        <w:tc>
          <w:tcPr>
            <w:tcW w:w="9629" w:type="dxa"/>
          </w:tcPr>
          <w:p w:rsidR="004A5CF9" w:rsidRPr="00957B6C" w:rsidRDefault="004A5CF9">
            <w:pPr>
              <w:spacing w:after="120"/>
              <w:rPr>
                <w:rFonts w:cstheme="minorHAnsi"/>
                <w:color w:val="000000" w:themeColor="text1"/>
                <w:szCs w:val="24"/>
              </w:rPr>
            </w:pPr>
            <w:r w:rsidRPr="00957B6C">
              <w:rPr>
                <w:rFonts w:eastAsia="Calibri"/>
              </w:rPr>
              <w:t>TDAG noted the document</w:t>
            </w:r>
            <w:r w:rsidR="00982251">
              <w:rPr>
                <w:rFonts w:eastAsia="Calibri"/>
              </w:rPr>
              <w:t xml:space="preserve"> with appreciation</w:t>
            </w:r>
            <w:r w:rsidR="006B005C">
              <w:rPr>
                <w:rFonts w:eastAsia="Calibri"/>
              </w:rPr>
              <w:t>, and</w:t>
            </w:r>
            <w:r w:rsidR="006B005C" w:rsidRPr="004F33DD">
              <w:rPr>
                <w:rFonts w:cstheme="minorHAnsi"/>
                <w:szCs w:val="24"/>
              </w:rPr>
              <w:t xml:space="preserve"> encouraged BDT to continue measuring cybersecurity progress with the GCI while improving the methodology and scoring mechanism through continuous dialogue and collaboration with Member States, industry, academia</w:t>
            </w:r>
            <w:r w:rsidR="006B005C">
              <w:rPr>
                <w:rFonts w:cstheme="minorHAnsi"/>
                <w:szCs w:val="24"/>
              </w:rPr>
              <w:t>,</w:t>
            </w:r>
            <w:r w:rsidR="006B005C" w:rsidRPr="004F33DD">
              <w:rPr>
                <w:rFonts w:cstheme="minorHAnsi"/>
                <w:szCs w:val="24"/>
              </w:rPr>
              <w:t xml:space="preserve"> and experts in the area of cybersecurity and data analysis. TDAG suggested that a mechanism </w:t>
            </w:r>
            <w:r w:rsidR="006B005C">
              <w:rPr>
                <w:rFonts w:cstheme="minorHAnsi"/>
                <w:szCs w:val="24"/>
              </w:rPr>
              <w:t>c</w:t>
            </w:r>
            <w:r w:rsidR="006B005C" w:rsidRPr="004F33DD">
              <w:rPr>
                <w:rFonts w:cstheme="minorHAnsi"/>
                <w:szCs w:val="24"/>
              </w:rPr>
              <w:t xml:space="preserve">ould be developed to ensure that products and services are developed taking into consideration </w:t>
            </w:r>
            <w:r w:rsidR="006B005C">
              <w:rPr>
                <w:rFonts w:cstheme="minorHAnsi"/>
                <w:szCs w:val="24"/>
              </w:rPr>
              <w:t xml:space="preserve">such </w:t>
            </w:r>
            <w:r w:rsidR="006B005C" w:rsidRPr="004F33DD">
              <w:rPr>
                <w:rFonts w:cstheme="minorHAnsi"/>
                <w:szCs w:val="24"/>
              </w:rPr>
              <w:t>input from the membership.</w:t>
            </w:r>
            <w:r w:rsidR="006B005C" w:rsidRPr="00957B6C">
              <w:rPr>
                <w:rFonts w:cstheme="minorHAnsi"/>
                <w:color w:val="000000" w:themeColor="text1"/>
                <w:szCs w:val="24"/>
              </w:rPr>
              <w:t xml:space="preserve"> </w:t>
            </w:r>
          </w:p>
        </w:tc>
      </w:tr>
    </w:tbl>
    <w:p w:rsidR="004A5CF9" w:rsidRPr="00957B6C" w:rsidRDefault="004A5CF9" w:rsidP="00EA4144">
      <w:pPr>
        <w:pStyle w:val="ListParagraph"/>
        <w:numPr>
          <w:ilvl w:val="1"/>
          <w:numId w:val="29"/>
        </w:numPr>
        <w:ind w:left="391" w:hanging="391"/>
        <w:contextualSpacing w:val="0"/>
        <w:rPr>
          <w:rStyle w:val="StyleComplex12pt"/>
          <w:rFonts w:cstheme="minorHAnsi"/>
          <w:b/>
          <w:bCs/>
        </w:rPr>
      </w:pPr>
      <w:r w:rsidRPr="00957B6C">
        <w:rPr>
          <w:rStyle w:val="StyleComplex12pt"/>
          <w:rFonts w:cstheme="minorHAnsi"/>
          <w:b/>
          <w:bCs/>
        </w:rPr>
        <w:t xml:space="preserve">Regulatory and market environment, including </w:t>
      </w:r>
      <w:r>
        <w:rPr>
          <w:rStyle w:val="StyleComplex12pt"/>
          <w:rFonts w:cstheme="minorHAnsi"/>
          <w:b/>
          <w:bCs/>
        </w:rPr>
        <w:t xml:space="preserve">the </w:t>
      </w:r>
      <w:r w:rsidRPr="00957B6C">
        <w:rPr>
          <w:rStyle w:val="StyleComplex12pt"/>
          <w:rFonts w:cstheme="minorHAnsi"/>
          <w:b/>
          <w:bCs/>
        </w:rPr>
        <w:t>Global Symposium for Regulators (GSR)</w:t>
      </w:r>
    </w:p>
    <w:p w:rsidR="004A5CF9" w:rsidRPr="00957B6C" w:rsidRDefault="00EA4144" w:rsidP="004A5CF9">
      <w:pPr>
        <w:tabs>
          <w:tab w:val="clear" w:pos="1134"/>
          <w:tab w:val="clear" w:pos="1871"/>
          <w:tab w:val="clear" w:pos="2268"/>
        </w:tabs>
        <w:overflowPunct/>
        <w:autoSpaceDE/>
        <w:autoSpaceDN/>
        <w:adjustRightInd/>
        <w:spacing w:after="120"/>
        <w:textAlignment w:val="auto"/>
        <w:rPr>
          <w:rFonts w:cstheme="minorHAnsi"/>
          <w:szCs w:val="24"/>
        </w:rPr>
      </w:pPr>
      <w:hyperlink r:id="rId23" w:history="1">
        <w:r w:rsidR="004A5CF9" w:rsidRPr="00957B6C">
          <w:rPr>
            <w:rStyle w:val="Hyperlink"/>
            <w:rFonts w:cstheme="minorHAnsi"/>
            <w:b/>
            <w:bCs/>
            <w:szCs w:val="24"/>
          </w:rPr>
          <w:t>Document 16</w:t>
        </w:r>
      </w:hyperlink>
      <w:r w:rsidR="004A5CF9" w:rsidRPr="00957B6C">
        <w:rPr>
          <w:rFonts w:cstheme="minorHAnsi"/>
          <w:b/>
          <w:bCs/>
          <w:color w:val="000000" w:themeColor="text1"/>
          <w:szCs w:val="24"/>
        </w:rPr>
        <w:t>:</w:t>
      </w:r>
      <w:r w:rsidR="004A5CF9" w:rsidRPr="00957B6C">
        <w:rPr>
          <w:rFonts w:cstheme="minorHAnsi"/>
          <w:color w:val="000000" w:themeColor="text1"/>
          <w:szCs w:val="24"/>
        </w:rPr>
        <w:t xml:space="preserve"> “ITU-D Policy and Regulatory Programme”</w:t>
      </w:r>
      <w:r w:rsidR="004A5CF9" w:rsidRPr="00957B6C">
        <w:rPr>
          <w:rFonts w:cstheme="minorHAnsi"/>
          <w:b/>
          <w:bCs/>
          <w:color w:val="000000" w:themeColor="text1"/>
          <w:szCs w:val="24"/>
        </w:rPr>
        <w:t xml:space="preserve"> </w:t>
      </w:r>
      <w:r w:rsidR="004A5CF9" w:rsidRPr="00957B6C">
        <w:rPr>
          <w:rFonts w:cstheme="minorHAnsi"/>
          <w:color w:val="000000" w:themeColor="text1"/>
          <w:szCs w:val="24"/>
        </w:rPr>
        <w:t>provides an overview of</w:t>
      </w:r>
      <w:r w:rsidR="004A5CF9" w:rsidRPr="00957B6C">
        <w:rPr>
          <w:rFonts w:cstheme="minorHAnsi"/>
          <w:b/>
          <w:bCs/>
          <w:color w:val="000000" w:themeColor="text1"/>
          <w:szCs w:val="24"/>
        </w:rPr>
        <w:t xml:space="preserve"> </w:t>
      </w:r>
      <w:r w:rsidR="004A5CF9" w:rsidRPr="00957B6C">
        <w:rPr>
          <w:rFonts w:cstheme="minorHAnsi"/>
          <w:szCs w:val="24"/>
        </w:rPr>
        <w:t>the main activities carried out in 2018, including the Global Symposium for Regulators (GSR), the Regional Economic Dialogues, the Global ICT Regulatory Outlook Report, analytical reports on 5G, artificial intelligence</w:t>
      </w:r>
      <w:r w:rsidR="004A5CF9">
        <w:rPr>
          <w:rFonts w:cstheme="minorHAnsi"/>
          <w:szCs w:val="24"/>
        </w:rPr>
        <w:t>,</w:t>
      </w:r>
      <w:r w:rsidR="004A5CF9" w:rsidRPr="00957B6C">
        <w:rPr>
          <w:rFonts w:cstheme="minorHAnsi"/>
          <w:szCs w:val="24"/>
        </w:rPr>
        <w:t xml:space="preserve"> and digital identity, and an econometric study on the impact of broadband, digitization and ICT regulation. </w:t>
      </w:r>
    </w:p>
    <w:p w:rsidR="004A5CF9" w:rsidRPr="00957B6C" w:rsidRDefault="004A5CF9">
      <w:pPr>
        <w:tabs>
          <w:tab w:val="clear" w:pos="1134"/>
          <w:tab w:val="clear" w:pos="1871"/>
          <w:tab w:val="clear" w:pos="2268"/>
        </w:tabs>
        <w:overflowPunct/>
        <w:autoSpaceDE/>
        <w:autoSpaceDN/>
        <w:adjustRightInd/>
        <w:spacing w:after="120"/>
        <w:textAlignment w:val="auto"/>
        <w:rPr>
          <w:rFonts w:cstheme="minorHAnsi"/>
          <w:szCs w:val="24"/>
        </w:rPr>
      </w:pPr>
      <w:r w:rsidRPr="00957B6C">
        <w:rPr>
          <w:rFonts w:cstheme="minorHAnsi"/>
          <w:szCs w:val="24"/>
        </w:rPr>
        <w:t xml:space="preserve">The 18th edition of the GSR, held in July in Geneva, attracted over 600 participants, including government ministers, heads of ICT national regulatory authorities and industry executives from more than 125 countries. GSR also provided a platform for </w:t>
      </w:r>
      <w:r w:rsidR="00982251" w:rsidRPr="00957B6C">
        <w:rPr>
          <w:rFonts w:cstheme="minorHAnsi"/>
          <w:szCs w:val="24"/>
        </w:rPr>
        <w:t>regional regulatory associations and private-sector chief executive officers</w:t>
      </w:r>
      <w:r w:rsidR="00982251">
        <w:rPr>
          <w:rFonts w:cstheme="minorHAnsi"/>
          <w:szCs w:val="24"/>
        </w:rPr>
        <w:t xml:space="preserve"> to </w:t>
      </w:r>
      <w:r w:rsidRPr="00957B6C">
        <w:rPr>
          <w:rFonts w:cstheme="minorHAnsi"/>
          <w:szCs w:val="24"/>
        </w:rPr>
        <w:t>exchange knowledge</w:t>
      </w:r>
      <w:r w:rsidR="00B75D8B">
        <w:rPr>
          <w:rFonts w:cstheme="minorHAnsi"/>
          <w:szCs w:val="24"/>
        </w:rPr>
        <w:t>.</w:t>
      </w:r>
      <w:r w:rsidR="00070DBE">
        <w:rPr>
          <w:rFonts w:cstheme="minorHAnsi"/>
          <w:szCs w:val="24"/>
        </w:rPr>
        <w:t xml:space="preserve"> </w:t>
      </w:r>
      <w:r>
        <w:rPr>
          <w:rFonts w:cstheme="minorHAnsi"/>
          <w:szCs w:val="24"/>
        </w:rPr>
        <w:t>GSR participants</w:t>
      </w:r>
      <w:r w:rsidRPr="00957B6C">
        <w:rPr>
          <w:rFonts w:cstheme="minorHAnsi"/>
          <w:szCs w:val="24"/>
        </w:rPr>
        <w:t xml:space="preserve"> adopted </w:t>
      </w:r>
      <w:hyperlink r:id="rId24" w:history="1">
        <w:r w:rsidRPr="00A3726E">
          <w:rPr>
            <w:rStyle w:val="Hyperlink"/>
            <w:rFonts w:cstheme="minorHAnsi"/>
            <w:szCs w:val="24"/>
          </w:rPr>
          <w:t>best practice guidelines</w:t>
        </w:r>
      </w:hyperlink>
      <w:r w:rsidRPr="00957B6C">
        <w:rPr>
          <w:rFonts w:cstheme="minorHAnsi"/>
          <w:szCs w:val="24"/>
        </w:rPr>
        <w:t xml:space="preserve"> on new regulatory frontiers to achieve digital transformation. </w:t>
      </w:r>
    </w:p>
    <w:p w:rsidR="004A5CF9" w:rsidRDefault="004A5CF9" w:rsidP="004A5CF9">
      <w:pPr>
        <w:tabs>
          <w:tab w:val="clear" w:pos="1134"/>
          <w:tab w:val="clear" w:pos="1871"/>
          <w:tab w:val="clear" w:pos="2268"/>
        </w:tabs>
        <w:overflowPunct/>
        <w:autoSpaceDE/>
        <w:autoSpaceDN/>
        <w:adjustRightInd/>
        <w:spacing w:after="120"/>
        <w:textAlignment w:val="auto"/>
        <w:rPr>
          <w:rFonts w:cstheme="minorHAnsi"/>
          <w:szCs w:val="24"/>
        </w:rPr>
      </w:pPr>
      <w:r w:rsidRPr="00957B6C">
        <w:rPr>
          <w:rFonts w:cstheme="minorHAnsi"/>
          <w:szCs w:val="24"/>
        </w:rPr>
        <w:t xml:space="preserve">The 19th edition of GSR will be held </w:t>
      </w:r>
      <w:bookmarkStart w:id="11" w:name="_Hlk8835214"/>
      <w:r w:rsidRPr="00957B6C">
        <w:rPr>
          <w:rFonts w:cstheme="minorHAnsi"/>
          <w:szCs w:val="24"/>
        </w:rPr>
        <w:t xml:space="preserve">from 9 to 12 July 2019 in Port Vila, Vanuatu, hosted by the Government of Vanuatu and the Telecommunications, </w:t>
      </w:r>
      <w:proofErr w:type="spellStart"/>
      <w:r w:rsidRPr="00957B6C">
        <w:rPr>
          <w:rFonts w:cstheme="minorHAnsi"/>
          <w:szCs w:val="24"/>
        </w:rPr>
        <w:t>Radiocommunications</w:t>
      </w:r>
      <w:proofErr w:type="spellEnd"/>
      <w:r w:rsidRPr="00957B6C">
        <w:rPr>
          <w:rFonts w:cstheme="minorHAnsi"/>
          <w:szCs w:val="24"/>
        </w:rPr>
        <w:t xml:space="preserve"> and Broadcasting Regulator (TRBR). The theme for this edition is </w:t>
      </w:r>
      <w:r>
        <w:rPr>
          <w:rFonts w:cstheme="minorHAnsi"/>
          <w:szCs w:val="24"/>
        </w:rPr>
        <w:t>“</w:t>
      </w:r>
      <w:r w:rsidRPr="007B36B3">
        <w:rPr>
          <w:rFonts w:cstheme="minorHAnsi"/>
          <w:b/>
          <w:szCs w:val="24"/>
        </w:rPr>
        <w:t>Inclusive connectivity: The future of regulation”</w:t>
      </w:r>
      <w:bookmarkEnd w:id="11"/>
      <w:r w:rsidRPr="007B36B3">
        <w:rPr>
          <w:rFonts w:cstheme="minorHAnsi"/>
          <w:b/>
          <w:szCs w:val="24"/>
        </w:rPr>
        <w:t>.</w:t>
      </w:r>
      <w:r w:rsidRPr="00957B6C">
        <w:rPr>
          <w:rFonts w:cstheme="minorHAnsi"/>
          <w:szCs w:val="24"/>
        </w:rPr>
        <w:t xml:space="preserve"> </w:t>
      </w:r>
    </w:p>
    <w:p w:rsidR="004A5CF9" w:rsidRPr="004E28F5" w:rsidRDefault="004A5CF9" w:rsidP="004A5CF9">
      <w:pPr>
        <w:tabs>
          <w:tab w:val="clear" w:pos="1134"/>
          <w:tab w:val="clear" w:pos="1871"/>
          <w:tab w:val="clear" w:pos="2268"/>
        </w:tabs>
        <w:overflowPunct/>
        <w:autoSpaceDE/>
        <w:autoSpaceDN/>
        <w:adjustRightInd/>
        <w:spacing w:after="120"/>
        <w:textAlignment w:val="auto"/>
        <w:rPr>
          <w:rFonts w:cstheme="minorHAnsi"/>
          <w:szCs w:val="24"/>
        </w:rPr>
      </w:pPr>
      <w:r w:rsidRPr="004E28F5">
        <w:rPr>
          <w:rFonts w:cstheme="minorHAnsi"/>
          <w:szCs w:val="24"/>
        </w:rPr>
        <w:t>TDAG had earlier warmly congratulated the Government of Vanuatu for its generous offer to host this event, which will take place for the first time in the Pacific islands.</w:t>
      </w:r>
    </w:p>
    <w:p w:rsidR="004A5CF9" w:rsidRDefault="004A5CF9" w:rsidP="004A5CF9">
      <w:pPr>
        <w:pStyle w:val="NormalWeb"/>
        <w:spacing w:before="120" w:beforeAutospacing="0" w:after="120" w:afterAutospacing="0"/>
        <w:rPr>
          <w:rFonts w:asciiTheme="minorHAnsi" w:hAnsiTheme="minorHAnsi"/>
        </w:rPr>
      </w:pPr>
      <w:r w:rsidRPr="00EC4C45">
        <w:rPr>
          <w:rFonts w:asciiTheme="minorHAnsi" w:hAnsiTheme="minorHAnsi" w:cs="Calibri"/>
        </w:rPr>
        <w:t xml:space="preserve">BDT in its response </w:t>
      </w:r>
      <w:r w:rsidR="00C46154">
        <w:rPr>
          <w:rFonts w:asciiTheme="minorHAnsi" w:hAnsiTheme="minorHAnsi" w:cs="Calibri"/>
        </w:rPr>
        <w:t xml:space="preserve">to questions on where to find additional information </w:t>
      </w:r>
      <w:r>
        <w:rPr>
          <w:rFonts w:asciiTheme="minorHAnsi" w:hAnsiTheme="minorHAnsi" w:cs="Calibri"/>
        </w:rPr>
        <w:t xml:space="preserve">provided </w:t>
      </w:r>
      <w:r w:rsidRPr="00EC4C45">
        <w:rPr>
          <w:rFonts w:asciiTheme="minorHAnsi" w:hAnsiTheme="minorHAnsi" w:cs="Calibri"/>
        </w:rPr>
        <w:t xml:space="preserve">links to past and upcoming Regional Economic Dialogues </w:t>
      </w:r>
      <w:r w:rsidRPr="00EC4C45">
        <w:rPr>
          <w:rFonts w:asciiTheme="minorHAnsi" w:hAnsiTheme="minorHAnsi" w:cs="Droid Serif"/>
        </w:rPr>
        <w:t xml:space="preserve">(REDs) </w:t>
      </w:r>
      <w:r w:rsidRPr="00EC4C45">
        <w:rPr>
          <w:rFonts w:asciiTheme="minorHAnsi" w:hAnsiTheme="minorHAnsi" w:cs="Calibri"/>
        </w:rPr>
        <w:t xml:space="preserve">and </w:t>
      </w:r>
      <w:r w:rsidRPr="00EC4C45">
        <w:rPr>
          <w:rFonts w:asciiTheme="minorHAnsi" w:hAnsiTheme="minorHAnsi" w:cs="Droid Serif"/>
        </w:rPr>
        <w:t>“Experts’ Knowledge Exchanges”</w:t>
      </w:r>
      <w:r>
        <w:rPr>
          <w:rFonts w:asciiTheme="minorHAnsi" w:hAnsiTheme="minorHAnsi" w:cs="Droid Serif"/>
        </w:rPr>
        <w:t>.</w:t>
      </w:r>
      <w:r w:rsidRPr="00EC4C45">
        <w:rPr>
          <w:rFonts w:asciiTheme="minorHAnsi" w:hAnsiTheme="minorHAnsi" w:cs="Droid Serif"/>
        </w:rPr>
        <w:t xml:space="preserve"> On the question of </w:t>
      </w:r>
      <w:r>
        <w:rPr>
          <w:rFonts w:asciiTheme="minorHAnsi" w:hAnsiTheme="minorHAnsi" w:cs="Droid Serif"/>
        </w:rPr>
        <w:t xml:space="preserve">events focusing, in particular, </w:t>
      </w:r>
      <w:r w:rsidRPr="00EC4C45">
        <w:rPr>
          <w:rFonts w:asciiTheme="minorHAnsi" w:hAnsiTheme="minorHAnsi" w:cs="Droid Serif"/>
        </w:rPr>
        <w:t>on the digital economy and the collaboration with economic institutions which have primary responsibility for economic policy, BDT gave, as an example, the</w:t>
      </w:r>
      <w:r w:rsidRPr="00EC4C45">
        <w:rPr>
          <w:rFonts w:asciiTheme="minorHAnsi" w:hAnsiTheme="minorHAnsi"/>
        </w:rPr>
        <w:t xml:space="preserve"> </w:t>
      </w:r>
      <w:hyperlink r:id="rId25" w:history="1">
        <w:r w:rsidRPr="00A3726E">
          <w:rPr>
            <w:rStyle w:val="Hyperlink"/>
            <w:rFonts w:asciiTheme="minorHAnsi" w:hAnsiTheme="minorHAnsi"/>
            <w:lang w:val="en"/>
          </w:rPr>
          <w:t>Financial Inclusion Global Initiative (FIGI)</w:t>
        </w:r>
      </w:hyperlink>
      <w:r w:rsidRPr="00EC4C45">
        <w:rPr>
          <w:rFonts w:asciiTheme="minorHAnsi" w:hAnsiTheme="minorHAnsi"/>
          <w:lang w:val="en"/>
        </w:rPr>
        <w:t>.</w:t>
      </w:r>
      <w:r w:rsidRPr="00EC4C45">
        <w:rPr>
          <w:rFonts w:asciiTheme="minorHAnsi" w:hAnsiTheme="minorHAnsi"/>
        </w:rPr>
        <w:t xml:space="preserve"> Led by ITU, the World Bank Group and the </w:t>
      </w:r>
      <w:r w:rsidRPr="00EC4C45">
        <w:rPr>
          <w:rFonts w:asciiTheme="minorHAnsi" w:hAnsiTheme="minorHAnsi"/>
        </w:rPr>
        <w:lastRenderedPageBreak/>
        <w:t>Committee on Payments and Market Infrastructures, and with financial support from the Bill &amp; Melinda Gates Foundation, FIGI</w:t>
      </w:r>
      <w:r w:rsidRPr="00EC4C45">
        <w:rPr>
          <w:rFonts w:asciiTheme="minorHAnsi" w:hAnsiTheme="minorHAnsi"/>
          <w:lang w:val="en"/>
        </w:rPr>
        <w:t xml:space="preserve"> </w:t>
      </w:r>
      <w:r w:rsidRPr="00EC4C45">
        <w:rPr>
          <w:rFonts w:asciiTheme="minorHAnsi" w:hAnsiTheme="minorHAnsi"/>
        </w:rPr>
        <w:t>is a three-year programme of collective action to advance research in digital finance and accelerate digital financial inclusion in developing countries.</w:t>
      </w:r>
    </w:p>
    <w:p w:rsidR="004A5CF9" w:rsidRPr="00377E68" w:rsidRDefault="004A5CF9" w:rsidP="004A5CF9">
      <w:pPr>
        <w:pStyle w:val="NormalWeb"/>
        <w:spacing w:before="120" w:beforeAutospacing="0" w:after="120" w:afterAutospacing="0"/>
        <w:rPr>
          <w:rFonts w:asciiTheme="minorHAnsi" w:hAnsiTheme="minorHAnsi" w:cstheme="minorHAnsi"/>
        </w:rPr>
      </w:pPr>
      <w:r w:rsidRPr="0062597A">
        <w:rPr>
          <w:rFonts w:asciiTheme="minorHAnsi" w:hAnsiTheme="minorHAnsi" w:cs="Droid Serif"/>
          <w:color w:val="000000"/>
        </w:rPr>
        <w:t xml:space="preserve">With respect to the </w:t>
      </w:r>
      <w:hyperlink r:id="rId26" w:history="1">
        <w:r w:rsidRPr="0062597A">
          <w:rPr>
            <w:rStyle w:val="Hyperlink"/>
            <w:rFonts w:asciiTheme="minorHAnsi" w:hAnsiTheme="minorHAnsi" w:cs="Droid Serif"/>
            <w:color w:val="1155CC"/>
          </w:rPr>
          <w:t>Digital Ecosystem Portal</w:t>
        </w:r>
      </w:hyperlink>
      <w:r w:rsidRPr="0062597A">
        <w:rPr>
          <w:rFonts w:asciiTheme="minorHAnsi" w:hAnsiTheme="minorHAnsi" w:cs="Droid Serif"/>
          <w:color w:val="000000"/>
        </w:rPr>
        <w:t xml:space="preserve">, which was considered to contain a lot of material, including the report </w:t>
      </w:r>
      <w:hyperlink r:id="rId27" w:history="1">
        <w:r w:rsidRPr="0062597A">
          <w:rPr>
            <w:rStyle w:val="Hyperlink"/>
            <w:rFonts w:asciiTheme="minorHAnsi" w:hAnsiTheme="minorHAnsi" w:cs="Droid Serif"/>
            <w:color w:val="1155CC"/>
          </w:rPr>
          <w:t>“POWERING THE DIGITAL ECONOMY: Regulatory approaches to securing consumer privacy, trust and security”</w:t>
        </w:r>
      </w:hyperlink>
      <w:r w:rsidRPr="0062597A">
        <w:rPr>
          <w:rStyle w:val="Hyperlink"/>
          <w:rFonts w:asciiTheme="minorHAnsi" w:hAnsiTheme="minorHAnsi" w:cs="Droid Serif"/>
          <w:color w:val="auto"/>
          <w:u w:val="none"/>
        </w:rPr>
        <w:t xml:space="preserve"> some questions were raised about the subject matter of this report</w:t>
      </w:r>
      <w:r>
        <w:rPr>
          <w:rStyle w:val="Hyperlink"/>
          <w:rFonts w:asciiTheme="minorHAnsi" w:hAnsiTheme="minorHAnsi" w:cs="Droid Serif"/>
          <w:color w:val="auto"/>
          <w:u w:val="none"/>
        </w:rPr>
        <w:t>.</w:t>
      </w:r>
      <w:r w:rsidRPr="0062597A">
        <w:rPr>
          <w:rStyle w:val="Hyperlink"/>
          <w:rFonts w:asciiTheme="minorHAnsi" w:hAnsiTheme="minorHAnsi" w:cs="Droid Serif"/>
          <w:color w:val="auto"/>
          <w:u w:val="none"/>
        </w:rPr>
        <w:t xml:space="preserve"> </w:t>
      </w:r>
      <w:r w:rsidRPr="00AB1E9C">
        <w:rPr>
          <w:rStyle w:val="Hyperlink"/>
          <w:rFonts w:asciiTheme="minorHAnsi" w:hAnsiTheme="minorHAnsi" w:cs="Droid Serif"/>
          <w:color w:val="auto"/>
          <w:u w:val="none"/>
        </w:rPr>
        <w:t>BDT noted these comments while clarifying that this portal aims to share knowledge and practices on issues relevant to policy-makers and regulators in the evolving ecosystem, responding to issues as raised by membership in the GSR Best Practice Guidelines</w:t>
      </w:r>
      <w:r w:rsidRPr="0062597A">
        <w:rPr>
          <w:rStyle w:val="Hyperlink"/>
          <w:rFonts w:asciiTheme="minorHAnsi" w:hAnsiTheme="minorHAnsi" w:cs="Droid Serif"/>
          <w:color w:val="auto"/>
          <w:u w:val="none"/>
        </w:rPr>
        <w:t>.</w:t>
      </w:r>
      <w:r w:rsidRPr="0062597A">
        <w:rPr>
          <w:rStyle w:val="Hyperlink"/>
          <w:rFonts w:asciiTheme="minorHAnsi" w:hAnsiTheme="minorHAnsi" w:cs="Droid Serif"/>
          <w:color w:val="auto"/>
        </w:rPr>
        <w:t xml:space="preserve"> </w:t>
      </w:r>
    </w:p>
    <w:tbl>
      <w:tblPr>
        <w:tblStyle w:val="TableGrid"/>
        <w:tblW w:w="0" w:type="auto"/>
        <w:tblLook w:val="04A0" w:firstRow="1" w:lastRow="0" w:firstColumn="1" w:lastColumn="0" w:noHBand="0" w:noVBand="1"/>
      </w:tblPr>
      <w:tblGrid>
        <w:gridCol w:w="9629"/>
      </w:tblGrid>
      <w:tr w:rsidR="004A5CF9" w:rsidRPr="00957B6C" w:rsidTr="008D0BF6">
        <w:tc>
          <w:tcPr>
            <w:tcW w:w="9629" w:type="dxa"/>
          </w:tcPr>
          <w:p w:rsidR="004A5CF9" w:rsidRPr="00957B6C" w:rsidRDefault="004A5CF9">
            <w:pPr>
              <w:spacing w:after="120"/>
              <w:rPr>
                <w:rFonts w:cstheme="minorHAnsi"/>
                <w:color w:val="000000" w:themeColor="text1"/>
                <w:szCs w:val="24"/>
              </w:rPr>
            </w:pPr>
            <w:r w:rsidRPr="00957B6C">
              <w:rPr>
                <w:rFonts w:eastAsia="Calibri"/>
              </w:rPr>
              <w:t>TDAG noted the document</w:t>
            </w:r>
            <w:r w:rsidR="00B75D8B">
              <w:rPr>
                <w:rFonts w:eastAsia="Calibri"/>
              </w:rPr>
              <w:t xml:space="preserve"> with </w:t>
            </w:r>
            <w:r w:rsidR="008E5C48">
              <w:rPr>
                <w:rFonts w:eastAsia="Calibri"/>
              </w:rPr>
              <w:t xml:space="preserve">interest and </w:t>
            </w:r>
            <w:r w:rsidR="00B75D8B">
              <w:rPr>
                <w:rFonts w:eastAsia="Calibri"/>
              </w:rPr>
              <w:t xml:space="preserve">appreciation and </w:t>
            </w:r>
            <w:r w:rsidR="00B75D8B">
              <w:rPr>
                <w:rFonts w:cstheme="minorHAnsi"/>
                <w:szCs w:val="24"/>
              </w:rPr>
              <w:t xml:space="preserve">participants </w:t>
            </w:r>
            <w:r w:rsidR="00B75D8B" w:rsidRPr="004E28F5">
              <w:rPr>
                <w:rFonts w:cstheme="minorHAnsi"/>
                <w:szCs w:val="24"/>
              </w:rPr>
              <w:t xml:space="preserve">requested further clarification on events, </w:t>
            </w:r>
            <w:r w:rsidR="00B75D8B">
              <w:rPr>
                <w:rFonts w:cstheme="minorHAnsi"/>
                <w:szCs w:val="24"/>
              </w:rPr>
              <w:t xml:space="preserve">portals, </w:t>
            </w:r>
            <w:r w:rsidR="00B75D8B" w:rsidRPr="004E28F5">
              <w:rPr>
                <w:rFonts w:cstheme="minorHAnsi"/>
                <w:szCs w:val="24"/>
              </w:rPr>
              <w:t>studies and research, and asked that information on reports and studies be made available to membership and shared with regional offices so that best practice</w:t>
            </w:r>
            <w:r w:rsidR="00B75D8B">
              <w:rPr>
                <w:rFonts w:cstheme="minorHAnsi"/>
                <w:szCs w:val="24"/>
              </w:rPr>
              <w:t>s</w:t>
            </w:r>
            <w:r w:rsidR="00B75D8B" w:rsidRPr="004E28F5">
              <w:rPr>
                <w:rFonts w:cstheme="minorHAnsi"/>
                <w:szCs w:val="24"/>
              </w:rPr>
              <w:t xml:space="preserve"> on policy and regulation </w:t>
            </w:r>
            <w:r w:rsidR="00B75D8B">
              <w:rPr>
                <w:rFonts w:cstheme="minorHAnsi"/>
                <w:szCs w:val="24"/>
              </w:rPr>
              <w:t xml:space="preserve">could be widely </w:t>
            </w:r>
            <w:r w:rsidR="00B75D8B" w:rsidRPr="004E28F5">
              <w:rPr>
                <w:rFonts w:cstheme="minorHAnsi"/>
                <w:szCs w:val="24"/>
              </w:rPr>
              <w:t>disseminated</w:t>
            </w:r>
            <w:r w:rsidR="00B75D8B">
              <w:rPr>
                <w:rFonts w:cstheme="minorHAnsi"/>
                <w:szCs w:val="24"/>
              </w:rPr>
              <w:t>. BDT agreed, provided further clarification on where on the ITU website the reports could be found, and</w:t>
            </w:r>
            <w:r w:rsidR="006B005C">
              <w:rPr>
                <w:rFonts w:cstheme="minorHAnsi"/>
                <w:szCs w:val="24"/>
              </w:rPr>
              <w:t>,</w:t>
            </w:r>
            <w:r w:rsidR="00B75D8B">
              <w:rPr>
                <w:rFonts w:cstheme="minorHAnsi"/>
                <w:szCs w:val="24"/>
              </w:rPr>
              <w:t xml:space="preserve"> as requested</w:t>
            </w:r>
            <w:r w:rsidR="006B005C">
              <w:rPr>
                <w:rFonts w:cstheme="minorHAnsi"/>
                <w:szCs w:val="24"/>
              </w:rPr>
              <w:t>,</w:t>
            </w:r>
            <w:r w:rsidR="00B75D8B">
              <w:rPr>
                <w:rFonts w:cstheme="minorHAnsi"/>
                <w:szCs w:val="24"/>
              </w:rPr>
              <w:t xml:space="preserve"> </w:t>
            </w:r>
            <w:proofErr w:type="gramStart"/>
            <w:r w:rsidR="00B75D8B">
              <w:rPr>
                <w:rFonts w:cstheme="minorHAnsi"/>
                <w:szCs w:val="24"/>
              </w:rPr>
              <w:t>here</w:t>
            </w:r>
            <w:proofErr w:type="gramEnd"/>
            <w:r w:rsidR="00B75D8B">
              <w:rPr>
                <w:rFonts w:cstheme="minorHAnsi"/>
                <w:szCs w:val="24"/>
              </w:rPr>
              <w:t xml:space="preserve"> supplies the links to materials on the digital economy </w:t>
            </w:r>
            <w:r w:rsidR="0047666C">
              <w:rPr>
                <w:rFonts w:cstheme="minorHAnsi"/>
                <w:szCs w:val="24"/>
              </w:rPr>
              <w:t xml:space="preserve">and GSR guidelines </w:t>
            </w:r>
            <w:r w:rsidR="00B75D8B">
              <w:rPr>
                <w:rFonts w:cstheme="minorHAnsi"/>
                <w:szCs w:val="24"/>
              </w:rPr>
              <w:t>in the section above.</w:t>
            </w:r>
          </w:p>
        </w:tc>
      </w:tr>
    </w:tbl>
    <w:p w:rsidR="004A5CF9" w:rsidRPr="00957B6C" w:rsidRDefault="004A5CF9" w:rsidP="00EA4144">
      <w:pPr>
        <w:pStyle w:val="ListParagraph"/>
        <w:numPr>
          <w:ilvl w:val="1"/>
          <w:numId w:val="29"/>
        </w:numPr>
        <w:ind w:left="391" w:hanging="391"/>
        <w:contextualSpacing w:val="0"/>
        <w:rPr>
          <w:rStyle w:val="StyleComplex12pt"/>
          <w:rFonts w:cstheme="minorHAnsi"/>
          <w:b/>
          <w:bCs/>
        </w:rPr>
      </w:pPr>
      <w:r w:rsidRPr="00957B6C">
        <w:rPr>
          <w:rStyle w:val="StyleComplex12pt"/>
          <w:rFonts w:cstheme="minorHAnsi"/>
          <w:b/>
          <w:bCs/>
        </w:rPr>
        <w:t>Digital inclusion</w:t>
      </w:r>
    </w:p>
    <w:p w:rsidR="004A5CF9" w:rsidRPr="00957B6C" w:rsidRDefault="00C330B0">
      <w:pPr>
        <w:spacing w:after="120"/>
        <w:rPr>
          <w:rFonts w:cstheme="minorHAnsi"/>
          <w:szCs w:val="24"/>
        </w:rPr>
      </w:pPr>
      <w:hyperlink r:id="rId28" w:history="1">
        <w:r w:rsidR="004A5CF9" w:rsidRPr="00957B6C">
          <w:rPr>
            <w:rStyle w:val="Hyperlink"/>
            <w:rFonts w:cstheme="minorHAnsi"/>
            <w:b/>
            <w:bCs/>
            <w:szCs w:val="24"/>
          </w:rPr>
          <w:t>Document 31</w:t>
        </w:r>
      </w:hyperlink>
      <w:r w:rsidR="004A5CF9" w:rsidRPr="00957B6C">
        <w:rPr>
          <w:rFonts w:cstheme="minorHAnsi"/>
          <w:color w:val="000000" w:themeColor="text1"/>
          <w:szCs w:val="24"/>
        </w:rPr>
        <w:t xml:space="preserve"> </w:t>
      </w:r>
      <w:r w:rsidR="004A5CF9" w:rsidRPr="00957B6C">
        <w:rPr>
          <w:rFonts w:cstheme="minorHAnsi"/>
          <w:szCs w:val="24"/>
        </w:rPr>
        <w:t xml:space="preserve">presents an overview of </w:t>
      </w:r>
      <w:r w:rsidR="00DE3AA4" w:rsidRPr="00957B6C">
        <w:rPr>
          <w:rFonts w:cstheme="minorHAnsi"/>
          <w:color w:val="000000" w:themeColor="text1"/>
          <w:szCs w:val="24"/>
        </w:rPr>
        <w:t>ITU-D Digital Inclusion Programme</w:t>
      </w:r>
      <w:r w:rsidR="00DE3AA4">
        <w:rPr>
          <w:rFonts w:cstheme="minorHAnsi"/>
          <w:color w:val="000000" w:themeColor="text1"/>
          <w:szCs w:val="24"/>
        </w:rPr>
        <w:t xml:space="preserve">, including the </w:t>
      </w:r>
      <w:r w:rsidR="004A5CF9" w:rsidRPr="00957B6C">
        <w:rPr>
          <w:rFonts w:cstheme="minorHAnsi"/>
          <w:szCs w:val="24"/>
        </w:rPr>
        <w:t xml:space="preserve">objectives, strategies and key actions that have been implemented or are planned. </w:t>
      </w:r>
    </w:p>
    <w:p w:rsidR="004A5CF9" w:rsidRPr="00957B6C" w:rsidRDefault="004A5CF9" w:rsidP="004A5CF9">
      <w:pPr>
        <w:spacing w:after="120"/>
        <w:rPr>
          <w:rFonts w:cstheme="minorHAnsi"/>
          <w:szCs w:val="24"/>
        </w:rPr>
      </w:pPr>
      <w:r w:rsidRPr="00957B6C">
        <w:rPr>
          <w:rFonts w:cstheme="minorHAnsi"/>
          <w:szCs w:val="24"/>
        </w:rPr>
        <w:t>Notable activities include three self-paced online training courses on “</w:t>
      </w:r>
      <w:r w:rsidRPr="007B36B3">
        <w:rPr>
          <w:rFonts w:cstheme="minorHAnsi"/>
          <w:szCs w:val="24"/>
          <w:u w:val="single"/>
        </w:rPr>
        <w:t>ICT Accessibility: the Key to Inclusive Communication</w:t>
      </w:r>
      <w:r w:rsidRPr="00957B6C">
        <w:rPr>
          <w:rFonts w:cstheme="minorHAnsi"/>
          <w:szCs w:val="24"/>
        </w:rPr>
        <w:t xml:space="preserve">” developed and made available through the ITU Academy. A total of 15 video tutorials have been produced to show how to develop and remediate accessible digital documents. In addition, </w:t>
      </w:r>
      <w:r w:rsidRPr="00957B6C">
        <w:rPr>
          <w:rFonts w:eastAsiaTheme="majorEastAsia" w:cstheme="minorHAnsi"/>
          <w:szCs w:val="24"/>
        </w:rPr>
        <w:t xml:space="preserve">the ITU-D </w:t>
      </w:r>
      <w:r w:rsidRPr="00957B6C">
        <w:rPr>
          <w:rFonts w:eastAsiaTheme="majorEastAsia" w:cstheme="minorHAnsi"/>
          <w:bCs/>
          <w:szCs w:val="24"/>
        </w:rPr>
        <w:t>e</w:t>
      </w:r>
      <w:r w:rsidRPr="00957B6C">
        <w:rPr>
          <w:rFonts w:eastAsiaTheme="minorEastAsia" w:cstheme="minorHAnsi"/>
          <w:bCs/>
          <w:szCs w:val="24"/>
        </w:rPr>
        <w:t xml:space="preserve">ducational 360° </w:t>
      </w:r>
      <w:hyperlink r:id="rId29" w:history="1">
        <w:r w:rsidRPr="00184D22">
          <w:rPr>
            <w:rStyle w:val="Hyperlink"/>
            <w:rFonts w:cstheme="minorHAnsi"/>
            <w:color w:val="auto"/>
            <w:szCs w:val="24"/>
            <w:u w:val="none"/>
          </w:rPr>
          <w:t>web accessibility programme, Internet for @</w:t>
        </w:r>
        <w:proofErr w:type="spellStart"/>
        <w:r w:rsidRPr="00184D22">
          <w:rPr>
            <w:rStyle w:val="Hyperlink"/>
            <w:rFonts w:cstheme="minorHAnsi"/>
            <w:color w:val="auto"/>
            <w:szCs w:val="24"/>
            <w:u w:val="none"/>
          </w:rPr>
          <w:t>ll</w:t>
        </w:r>
        <w:proofErr w:type="spellEnd"/>
      </w:hyperlink>
      <w:r w:rsidRPr="00184D22">
        <w:rPr>
          <w:rFonts w:eastAsiaTheme="minorEastAsia" w:cstheme="minorHAnsi"/>
          <w:bCs/>
          <w:szCs w:val="24"/>
        </w:rPr>
        <w:t>,</w:t>
      </w:r>
      <w:r w:rsidRPr="00184D22">
        <w:rPr>
          <w:rFonts w:eastAsiaTheme="minorEastAsia" w:cstheme="minorHAnsi"/>
          <w:szCs w:val="24"/>
        </w:rPr>
        <w:t xml:space="preserve"> </w:t>
      </w:r>
      <w:r w:rsidRPr="00957B6C">
        <w:rPr>
          <w:rFonts w:eastAsiaTheme="minorEastAsia" w:cstheme="minorHAnsi"/>
          <w:szCs w:val="24"/>
        </w:rPr>
        <w:t xml:space="preserve">has been developed and made </w:t>
      </w:r>
      <w:r w:rsidRPr="00957B6C">
        <w:rPr>
          <w:rFonts w:eastAsiaTheme="majorEastAsia" w:cstheme="minorHAnsi"/>
          <w:szCs w:val="24"/>
        </w:rPr>
        <w:t>available in English, French, Spanish and Arabic. The programme helps ITU Member States make public websites and information accessible to all citizens, including persons with disabilities, while building country expertise in ICT accessibility.</w:t>
      </w:r>
    </w:p>
    <w:p w:rsidR="004A5CF9" w:rsidRPr="00957B6C" w:rsidRDefault="004A5CF9" w:rsidP="004A5CF9">
      <w:pPr>
        <w:spacing w:after="120"/>
        <w:rPr>
          <w:rFonts w:cstheme="minorHAnsi"/>
          <w:szCs w:val="24"/>
        </w:rPr>
      </w:pPr>
      <w:r w:rsidRPr="007B36B3">
        <w:rPr>
          <w:rFonts w:cstheme="minorHAnsi"/>
          <w:szCs w:val="24"/>
          <w:u w:val="single"/>
        </w:rPr>
        <w:t>A Digital Skills Toolkit</w:t>
      </w:r>
      <w:r w:rsidRPr="00957B6C">
        <w:rPr>
          <w:rFonts w:cstheme="minorHAnsi"/>
          <w:szCs w:val="24"/>
        </w:rPr>
        <w:t xml:space="preserve"> has been publicized, along with the joint ITU-ILO Digital Skills for Jobs Campaign on Decent Jobs for Youth, in order to incentivize stakeholders to train 5 million young people with job-ready digital skills. </w:t>
      </w:r>
    </w:p>
    <w:p w:rsidR="004A5CF9" w:rsidRPr="002F42F5" w:rsidRDefault="004A5CF9" w:rsidP="004A5CF9">
      <w:pPr>
        <w:spacing w:after="120"/>
        <w:rPr>
          <w:rFonts w:cstheme="minorHAnsi"/>
          <w:szCs w:val="24"/>
        </w:rPr>
      </w:pPr>
      <w:r w:rsidRPr="002F42F5">
        <w:rPr>
          <w:rFonts w:cstheme="minorHAnsi"/>
          <w:szCs w:val="24"/>
        </w:rPr>
        <w:t xml:space="preserve">Over 500 ITU members have enhanced their knowledge and/or successfully obtained ITU certifications in ICT accessibility topics through participation in face-to face training delivered at regional </w:t>
      </w:r>
      <w:r w:rsidRPr="00957B6C">
        <w:rPr>
          <w:rFonts w:cstheme="minorHAnsi"/>
          <w:szCs w:val="24"/>
        </w:rPr>
        <w:t>events</w:t>
      </w:r>
      <w:r w:rsidRPr="002F42F5">
        <w:rPr>
          <w:rFonts w:cstheme="minorHAnsi"/>
          <w:szCs w:val="24"/>
        </w:rPr>
        <w:t xml:space="preserve"> or via online training offered by </w:t>
      </w:r>
      <w:r w:rsidR="00C46154">
        <w:rPr>
          <w:rFonts w:cstheme="minorHAnsi"/>
          <w:szCs w:val="24"/>
        </w:rPr>
        <w:t xml:space="preserve">the </w:t>
      </w:r>
      <w:r w:rsidRPr="002F42F5">
        <w:rPr>
          <w:rFonts w:cstheme="minorHAnsi"/>
          <w:szCs w:val="24"/>
        </w:rPr>
        <w:t xml:space="preserve">ITU Academy. </w:t>
      </w:r>
      <w:r w:rsidRPr="00957B6C">
        <w:rPr>
          <w:rFonts w:cstheme="minorHAnsi"/>
          <w:szCs w:val="24"/>
        </w:rPr>
        <w:t xml:space="preserve">Around 300 indigenous people have also benefited from the successful online training course on indigenous radio/networks. </w:t>
      </w:r>
    </w:p>
    <w:tbl>
      <w:tblPr>
        <w:tblStyle w:val="TableGrid"/>
        <w:tblW w:w="0" w:type="auto"/>
        <w:tblLook w:val="04A0" w:firstRow="1" w:lastRow="0" w:firstColumn="1" w:lastColumn="0" w:noHBand="0" w:noVBand="1"/>
      </w:tblPr>
      <w:tblGrid>
        <w:gridCol w:w="9629"/>
      </w:tblGrid>
      <w:tr w:rsidR="004A5CF9" w:rsidRPr="00957B6C" w:rsidTr="008D0BF6">
        <w:tc>
          <w:tcPr>
            <w:tcW w:w="9629" w:type="dxa"/>
          </w:tcPr>
          <w:p w:rsidR="004A5CF9" w:rsidRPr="00957B6C" w:rsidRDefault="004A5CF9" w:rsidP="008D0BF6">
            <w:pPr>
              <w:spacing w:after="120"/>
              <w:rPr>
                <w:rFonts w:cstheme="minorHAnsi"/>
                <w:color w:val="000000" w:themeColor="text1"/>
                <w:szCs w:val="24"/>
              </w:rPr>
            </w:pPr>
            <w:r w:rsidRPr="00957B6C">
              <w:rPr>
                <w:rFonts w:eastAsia="Calibri"/>
              </w:rPr>
              <w:t>TDAG noted the document</w:t>
            </w:r>
            <w:r w:rsidR="00DE3AA4">
              <w:rPr>
                <w:rFonts w:eastAsia="Calibri"/>
              </w:rPr>
              <w:t xml:space="preserve"> with </w:t>
            </w:r>
            <w:r w:rsidR="008E5C48">
              <w:rPr>
                <w:rFonts w:eastAsia="Calibri"/>
              </w:rPr>
              <w:t xml:space="preserve">interest and </w:t>
            </w:r>
            <w:r w:rsidR="00DE3AA4">
              <w:rPr>
                <w:rFonts w:eastAsia="Calibri"/>
              </w:rPr>
              <w:t>appreciation, acknowledging</w:t>
            </w:r>
            <w:r w:rsidR="00DE3AA4" w:rsidRPr="00FC30AA">
              <w:rPr>
                <w:rFonts w:cstheme="minorHAnsi"/>
                <w:color w:val="000000" w:themeColor="text1"/>
                <w:szCs w:val="24"/>
              </w:rPr>
              <w:t xml:space="preserve"> the need to highlight the importance of implementing policies on digital inclusion and accessibility, and underlin</w:t>
            </w:r>
            <w:r w:rsidR="00DE3AA4">
              <w:rPr>
                <w:rFonts w:cstheme="minorHAnsi"/>
                <w:color w:val="000000" w:themeColor="text1"/>
                <w:szCs w:val="24"/>
              </w:rPr>
              <w:t>ing</w:t>
            </w:r>
            <w:r w:rsidR="00DE3AA4" w:rsidRPr="00FC30AA">
              <w:rPr>
                <w:rFonts w:cstheme="minorHAnsi"/>
                <w:color w:val="000000" w:themeColor="text1"/>
                <w:szCs w:val="24"/>
              </w:rPr>
              <w:t xml:space="preserve"> the need to foster an enabling environment to achieve trust in ICTs.</w:t>
            </w:r>
          </w:p>
        </w:tc>
      </w:tr>
    </w:tbl>
    <w:p w:rsidR="004A5CF9" w:rsidRDefault="004A5CF9" w:rsidP="00EA4144">
      <w:pPr>
        <w:pStyle w:val="ListParagraph"/>
        <w:numPr>
          <w:ilvl w:val="1"/>
          <w:numId w:val="29"/>
        </w:numPr>
        <w:ind w:left="391" w:hanging="391"/>
        <w:contextualSpacing w:val="0"/>
        <w:rPr>
          <w:rStyle w:val="StyleComplex12pt"/>
          <w:rFonts w:cstheme="minorHAnsi"/>
          <w:b/>
          <w:bCs/>
        </w:rPr>
      </w:pPr>
      <w:r w:rsidRPr="00957B6C">
        <w:rPr>
          <w:rStyle w:val="StyleComplex12pt"/>
          <w:rFonts w:cstheme="minorHAnsi"/>
          <w:b/>
          <w:bCs/>
        </w:rPr>
        <w:t>Capacity-building activities</w:t>
      </w:r>
    </w:p>
    <w:p w:rsidR="00E3381F" w:rsidRDefault="00E3381F">
      <w:pPr>
        <w:overflowPunct/>
        <w:autoSpaceDE/>
        <w:autoSpaceDN/>
        <w:adjustRightInd/>
        <w:spacing w:after="120"/>
        <w:textAlignment w:val="auto"/>
        <w:rPr>
          <w:rFonts w:cstheme="minorHAnsi"/>
          <w:szCs w:val="24"/>
        </w:rPr>
      </w:pPr>
      <w:r w:rsidRPr="007B36B3">
        <w:rPr>
          <w:rFonts w:cstheme="minorHAnsi"/>
          <w:szCs w:val="24"/>
          <w:u w:val="single"/>
        </w:rPr>
        <w:t xml:space="preserve">The </w:t>
      </w:r>
      <w:hyperlink r:id="rId30" w:history="1">
        <w:r w:rsidRPr="007B36B3">
          <w:rPr>
            <w:rStyle w:val="Hyperlink"/>
            <w:rFonts w:cstheme="minorHAnsi"/>
            <w:color w:val="auto"/>
            <w:szCs w:val="24"/>
          </w:rPr>
          <w:t>ITU Academy</w:t>
        </w:r>
      </w:hyperlink>
      <w:r w:rsidRPr="00A93172">
        <w:rPr>
          <w:rFonts w:cstheme="minorHAnsi"/>
          <w:szCs w:val="24"/>
        </w:rPr>
        <w:t xml:space="preserve"> platform serves as the main delivery </w:t>
      </w:r>
      <w:r>
        <w:rPr>
          <w:rFonts w:cstheme="minorHAnsi"/>
          <w:szCs w:val="24"/>
        </w:rPr>
        <w:t xml:space="preserve">mechanism </w:t>
      </w:r>
      <w:r w:rsidRPr="00A93172">
        <w:rPr>
          <w:rFonts w:cstheme="minorHAnsi"/>
          <w:szCs w:val="24"/>
        </w:rPr>
        <w:t>for ITU training activities.</w:t>
      </w:r>
      <w:r w:rsidR="00070DBE">
        <w:rPr>
          <w:rFonts w:cstheme="minorHAnsi"/>
          <w:szCs w:val="24"/>
        </w:rPr>
        <w:t xml:space="preserve"> </w:t>
      </w:r>
      <w:r w:rsidRPr="00A93172">
        <w:rPr>
          <w:rFonts w:cstheme="minorHAnsi"/>
          <w:szCs w:val="24"/>
        </w:rPr>
        <w:t xml:space="preserve">In 2018 alone, approximately 1 840 participants were trained through 55 courses delivered by the </w:t>
      </w:r>
      <w:r w:rsidR="00C46154">
        <w:rPr>
          <w:rFonts w:cstheme="minorHAnsi"/>
          <w:szCs w:val="24"/>
        </w:rPr>
        <w:t>c</w:t>
      </w:r>
      <w:r w:rsidR="00C46154" w:rsidRPr="00957B6C">
        <w:rPr>
          <w:rFonts w:cstheme="minorHAnsi"/>
          <w:szCs w:val="24"/>
        </w:rPr>
        <w:t xml:space="preserve">entres of </w:t>
      </w:r>
      <w:r w:rsidR="00C46154">
        <w:rPr>
          <w:rFonts w:cstheme="minorHAnsi"/>
          <w:szCs w:val="24"/>
        </w:rPr>
        <w:t>e</w:t>
      </w:r>
      <w:r w:rsidR="00C46154" w:rsidRPr="00957B6C">
        <w:rPr>
          <w:rFonts w:cstheme="minorHAnsi"/>
          <w:szCs w:val="24"/>
        </w:rPr>
        <w:t>xcellence</w:t>
      </w:r>
      <w:r w:rsidR="00C46154" w:rsidRPr="00A93172">
        <w:rPr>
          <w:rFonts w:cstheme="minorHAnsi"/>
          <w:szCs w:val="24"/>
        </w:rPr>
        <w:t xml:space="preserve"> </w:t>
      </w:r>
      <w:r w:rsidR="00C46154">
        <w:rPr>
          <w:rFonts w:cstheme="minorHAnsi"/>
          <w:szCs w:val="24"/>
        </w:rPr>
        <w:t>(</w:t>
      </w:r>
      <w:proofErr w:type="spellStart"/>
      <w:r w:rsidRPr="00A93172">
        <w:rPr>
          <w:rFonts w:cstheme="minorHAnsi"/>
          <w:szCs w:val="24"/>
        </w:rPr>
        <w:t>CoE</w:t>
      </w:r>
      <w:proofErr w:type="spellEnd"/>
      <w:r w:rsidR="00C46154">
        <w:rPr>
          <w:rFonts w:cstheme="minorHAnsi"/>
          <w:szCs w:val="24"/>
        </w:rPr>
        <w:t>)</w:t>
      </w:r>
      <w:r w:rsidRPr="00A93172">
        <w:rPr>
          <w:rFonts w:cstheme="minorHAnsi"/>
          <w:szCs w:val="24"/>
        </w:rPr>
        <w:t xml:space="preserve"> network. Capacity-building activities focused primarily on policy and regulation, broadband access, cybersecurity, ICT applications and services, spectrum management, Internet governance, innovation, digital broadcasting, conformance and interoperability, cloud </w:t>
      </w:r>
      <w:r w:rsidRPr="00A93172">
        <w:rPr>
          <w:rFonts w:cstheme="minorHAnsi"/>
          <w:szCs w:val="24"/>
        </w:rPr>
        <w:lastRenderedPageBreak/>
        <w:t>co</w:t>
      </w:r>
      <w:r w:rsidRPr="00BF5B1F">
        <w:rPr>
          <w:rFonts w:cstheme="minorHAnsi"/>
          <w:szCs w:val="24"/>
        </w:rPr>
        <w:t xml:space="preserve">mputing, quality of service and ICT accessibility. </w:t>
      </w:r>
      <w:hyperlink r:id="rId31" w:history="1">
        <w:r w:rsidRPr="00957B6C">
          <w:rPr>
            <w:rStyle w:val="Hyperlink"/>
            <w:rFonts w:cstheme="minorHAnsi"/>
            <w:b/>
            <w:bCs/>
            <w:szCs w:val="24"/>
          </w:rPr>
          <w:t>Document 18</w:t>
        </w:r>
      </w:hyperlink>
      <w:r w:rsidRPr="00957B6C">
        <w:rPr>
          <w:rFonts w:cstheme="minorHAnsi"/>
          <w:b/>
          <w:bCs/>
          <w:color w:val="000000" w:themeColor="text1"/>
          <w:szCs w:val="24"/>
        </w:rPr>
        <w:t>:</w:t>
      </w:r>
      <w:r w:rsidRPr="00957B6C">
        <w:rPr>
          <w:rFonts w:cstheme="minorHAnsi"/>
          <w:color w:val="000000" w:themeColor="text1"/>
          <w:szCs w:val="24"/>
        </w:rPr>
        <w:t xml:space="preserve"> “Capacity Building Activities” highlights the training </w:t>
      </w:r>
      <w:r w:rsidRPr="00957B6C">
        <w:rPr>
          <w:rFonts w:cstheme="minorHAnsi"/>
          <w:szCs w:val="24"/>
        </w:rPr>
        <w:t xml:space="preserve">delivered to the ITU membership in close collaboration with partners, including </w:t>
      </w:r>
      <w:r w:rsidR="00C46154">
        <w:rPr>
          <w:rFonts w:cstheme="minorHAnsi"/>
          <w:szCs w:val="24"/>
        </w:rPr>
        <w:t xml:space="preserve">the </w:t>
      </w:r>
      <w:r>
        <w:rPr>
          <w:rFonts w:cstheme="minorHAnsi"/>
          <w:szCs w:val="24"/>
        </w:rPr>
        <w:t>c</w:t>
      </w:r>
      <w:r w:rsidRPr="00957B6C">
        <w:rPr>
          <w:rFonts w:cstheme="minorHAnsi"/>
          <w:szCs w:val="24"/>
        </w:rPr>
        <w:t xml:space="preserve">entres of </w:t>
      </w:r>
      <w:r>
        <w:rPr>
          <w:rFonts w:cstheme="minorHAnsi"/>
          <w:szCs w:val="24"/>
        </w:rPr>
        <w:t>e</w:t>
      </w:r>
      <w:r w:rsidRPr="00957B6C">
        <w:rPr>
          <w:rFonts w:cstheme="minorHAnsi"/>
          <w:szCs w:val="24"/>
        </w:rPr>
        <w:t>xcellence</w:t>
      </w:r>
      <w:r w:rsidR="00C46154">
        <w:rPr>
          <w:rFonts w:cstheme="minorHAnsi"/>
          <w:szCs w:val="24"/>
        </w:rPr>
        <w:t>,</w:t>
      </w:r>
      <w:r w:rsidRPr="00957B6C">
        <w:rPr>
          <w:rFonts w:cstheme="minorHAnsi"/>
          <w:szCs w:val="24"/>
        </w:rPr>
        <w:t xml:space="preserve"> the private sector</w:t>
      </w:r>
      <w:r>
        <w:rPr>
          <w:rFonts w:cstheme="minorHAnsi"/>
          <w:szCs w:val="24"/>
        </w:rPr>
        <w:t>,</w:t>
      </w:r>
      <w:r w:rsidRPr="00957B6C">
        <w:rPr>
          <w:rFonts w:cstheme="minorHAnsi"/>
          <w:szCs w:val="24"/>
        </w:rPr>
        <w:t xml:space="preserve"> and academia. </w:t>
      </w:r>
    </w:p>
    <w:p w:rsidR="00E3381F" w:rsidRPr="002F42F5" w:rsidRDefault="00E3381F" w:rsidP="00E3381F">
      <w:pPr>
        <w:overflowPunct/>
        <w:autoSpaceDE/>
        <w:autoSpaceDN/>
        <w:adjustRightInd/>
        <w:spacing w:after="120"/>
        <w:textAlignment w:val="auto"/>
        <w:rPr>
          <w:rFonts w:cstheme="minorHAnsi"/>
          <w:szCs w:val="24"/>
        </w:rPr>
      </w:pPr>
      <w:r w:rsidRPr="007B36B3">
        <w:rPr>
          <w:rFonts w:cstheme="minorHAnsi"/>
          <w:szCs w:val="24"/>
          <w:u w:val="single"/>
        </w:rPr>
        <w:t>The</w:t>
      </w:r>
      <w:hyperlink r:id="rId32" w:history="1">
        <w:r w:rsidRPr="007B36B3">
          <w:rPr>
            <w:rStyle w:val="Hyperlink"/>
            <w:rFonts w:cstheme="minorHAnsi"/>
            <w:color w:val="auto"/>
            <w:szCs w:val="24"/>
          </w:rPr>
          <w:t xml:space="preserve"> Global ICT Capacity Building Symposium (CBS)</w:t>
        </w:r>
      </w:hyperlink>
      <w:r w:rsidRPr="00957B6C">
        <w:rPr>
          <w:rStyle w:val="Hyperlink"/>
          <w:rFonts w:cstheme="minorHAnsi"/>
          <w:color w:val="auto"/>
          <w:szCs w:val="24"/>
          <w:u w:val="none"/>
        </w:rPr>
        <w:t>,</w:t>
      </w:r>
      <w:r w:rsidRPr="00957B6C">
        <w:rPr>
          <w:rFonts w:cstheme="minorHAnsi"/>
          <w:szCs w:val="24"/>
        </w:rPr>
        <w:t xml:space="preserve"> held in Santo Domingo, Dominican Republic, from 18 to 20 June 2018, attracted 331 participants from 36 countries. The theme was developing skills for the digital economy and society. The outcomes of the symposium provided strategic guidance to the national and international community on issues relating to skill development in the field of ICTs and digital technologies. </w:t>
      </w:r>
    </w:p>
    <w:p w:rsidR="00E3381F" w:rsidRPr="00957B6C" w:rsidRDefault="00E3381F" w:rsidP="00E3381F">
      <w:pPr>
        <w:spacing w:after="120"/>
        <w:rPr>
          <w:rFonts w:cstheme="minorHAnsi"/>
          <w:szCs w:val="24"/>
        </w:rPr>
      </w:pPr>
      <w:r w:rsidRPr="00957B6C">
        <w:rPr>
          <w:rFonts w:cstheme="minorHAnsi"/>
          <w:szCs w:val="24"/>
        </w:rPr>
        <w:t>The publication “</w:t>
      </w:r>
      <w:r w:rsidRPr="007B36B3">
        <w:rPr>
          <w:rFonts w:cstheme="minorHAnsi"/>
          <w:szCs w:val="24"/>
          <w:u w:val="single"/>
        </w:rPr>
        <w:t>Capacity Building in a Changing ICT Environment 2018</w:t>
      </w:r>
      <w:r w:rsidRPr="00957B6C">
        <w:rPr>
          <w:rFonts w:cstheme="minorHAnsi"/>
          <w:szCs w:val="24"/>
        </w:rPr>
        <w:t xml:space="preserve">” features articles highlighting the different levels of skills required, from basic digital skills to more advanced </w:t>
      </w:r>
      <w:r>
        <w:rPr>
          <w:rFonts w:cstheme="minorHAnsi"/>
          <w:szCs w:val="24"/>
        </w:rPr>
        <w:t xml:space="preserve">competencies </w:t>
      </w:r>
      <w:r w:rsidRPr="00957B6C">
        <w:rPr>
          <w:rFonts w:cstheme="minorHAnsi"/>
          <w:szCs w:val="24"/>
        </w:rPr>
        <w:t>such as network management and data analytics.</w:t>
      </w:r>
    </w:p>
    <w:tbl>
      <w:tblPr>
        <w:tblStyle w:val="TableGrid"/>
        <w:tblW w:w="0" w:type="auto"/>
        <w:tblLook w:val="04A0" w:firstRow="1" w:lastRow="0" w:firstColumn="1" w:lastColumn="0" w:noHBand="0" w:noVBand="1"/>
      </w:tblPr>
      <w:tblGrid>
        <w:gridCol w:w="9629"/>
      </w:tblGrid>
      <w:tr w:rsidR="00E3381F" w:rsidRPr="00957B6C" w:rsidTr="00A93172">
        <w:tc>
          <w:tcPr>
            <w:tcW w:w="9629" w:type="dxa"/>
          </w:tcPr>
          <w:p w:rsidR="00E3381F" w:rsidRPr="00957B6C" w:rsidRDefault="00E3381F" w:rsidP="00A93172">
            <w:pPr>
              <w:spacing w:after="120"/>
              <w:rPr>
                <w:rFonts w:cstheme="minorHAnsi"/>
                <w:color w:val="000000" w:themeColor="text1"/>
                <w:szCs w:val="24"/>
              </w:rPr>
            </w:pPr>
            <w:r w:rsidRPr="00957B6C">
              <w:rPr>
                <w:rFonts w:eastAsia="Calibri"/>
              </w:rPr>
              <w:t>TDAG noted the document</w:t>
            </w:r>
            <w:r>
              <w:rPr>
                <w:rFonts w:eastAsia="Calibri"/>
              </w:rPr>
              <w:t xml:space="preserve"> with appreciation </w:t>
            </w:r>
            <w:r w:rsidRPr="00957B6C">
              <w:rPr>
                <w:rFonts w:eastAsia="Calibri" w:cs="Calibri"/>
                <w:szCs w:val="24"/>
              </w:rPr>
              <w:t xml:space="preserve">and noted the important activities related to the </w:t>
            </w:r>
            <w:r>
              <w:rPr>
                <w:rFonts w:eastAsia="Calibri" w:cs="Calibri"/>
                <w:szCs w:val="24"/>
              </w:rPr>
              <w:t>c</w:t>
            </w:r>
            <w:r w:rsidRPr="00957B6C">
              <w:rPr>
                <w:rFonts w:eastAsia="Calibri" w:cs="Calibri"/>
                <w:szCs w:val="24"/>
              </w:rPr>
              <w:t xml:space="preserve">entres of </w:t>
            </w:r>
            <w:r>
              <w:rPr>
                <w:rFonts w:eastAsia="Calibri" w:cs="Calibri"/>
                <w:szCs w:val="24"/>
              </w:rPr>
              <w:t>e</w:t>
            </w:r>
            <w:r w:rsidRPr="00957B6C">
              <w:rPr>
                <w:rFonts w:eastAsia="Calibri" w:cs="Calibri"/>
                <w:szCs w:val="24"/>
              </w:rPr>
              <w:t>xcellence, ITU Academy</w:t>
            </w:r>
            <w:r>
              <w:rPr>
                <w:rFonts w:eastAsia="Calibri" w:cs="Calibri"/>
                <w:szCs w:val="24"/>
              </w:rPr>
              <w:t>,</w:t>
            </w:r>
            <w:r w:rsidRPr="00957B6C">
              <w:rPr>
                <w:rFonts w:eastAsia="Calibri" w:cs="Calibri"/>
                <w:szCs w:val="24"/>
              </w:rPr>
              <w:t xml:space="preserve"> and working in partnership with other stakeholders. TDAG suggested that BDT </w:t>
            </w:r>
            <w:r w:rsidR="006B005C">
              <w:rPr>
                <w:rFonts w:eastAsia="Calibri" w:cs="Calibri"/>
                <w:szCs w:val="24"/>
              </w:rPr>
              <w:t>c</w:t>
            </w:r>
            <w:r w:rsidRPr="00957B6C">
              <w:rPr>
                <w:rFonts w:eastAsia="Calibri" w:cs="Calibri"/>
                <w:szCs w:val="24"/>
              </w:rPr>
              <w:t>ould explore mechanisms to leverage the expertise created through the training activities and emphasized the importance of including the gender dimension in capacity building and skills development work.</w:t>
            </w:r>
          </w:p>
        </w:tc>
      </w:tr>
    </w:tbl>
    <w:p w:rsidR="004A5CF9" w:rsidRPr="007B36B3" w:rsidRDefault="00DE3AA4" w:rsidP="007B36B3">
      <w:pPr>
        <w:spacing w:before="240" w:after="120"/>
        <w:rPr>
          <w:rFonts w:cstheme="minorHAnsi"/>
          <w:b/>
          <w:bCs/>
          <w:szCs w:val="24"/>
        </w:rPr>
      </w:pPr>
      <w:r>
        <w:rPr>
          <w:rFonts w:cstheme="minorHAnsi"/>
          <w:color w:val="000000" w:themeColor="text1"/>
          <w:szCs w:val="24"/>
        </w:rPr>
        <w:t>T</w:t>
      </w:r>
      <w:r w:rsidRPr="00957B6C">
        <w:rPr>
          <w:rFonts w:cstheme="minorHAnsi"/>
          <w:color w:val="000000" w:themeColor="text1"/>
          <w:szCs w:val="24"/>
        </w:rPr>
        <w:t xml:space="preserve">he </w:t>
      </w:r>
      <w:r w:rsidRPr="007B36B3">
        <w:rPr>
          <w:rFonts w:cstheme="minorHAnsi"/>
          <w:color w:val="000000" w:themeColor="text1"/>
          <w:szCs w:val="24"/>
          <w:u w:val="single"/>
        </w:rPr>
        <w:t>Group on Capacity Building Initiatives</w:t>
      </w:r>
      <w:r w:rsidRPr="00957B6C">
        <w:rPr>
          <w:rFonts w:cstheme="minorHAnsi"/>
          <w:color w:val="000000" w:themeColor="text1"/>
          <w:szCs w:val="24"/>
        </w:rPr>
        <w:t xml:space="preserve"> (GCBI)</w:t>
      </w:r>
      <w:r>
        <w:rPr>
          <w:rFonts w:cstheme="minorHAnsi"/>
          <w:color w:val="000000" w:themeColor="text1"/>
          <w:szCs w:val="24"/>
        </w:rPr>
        <w:t xml:space="preserve"> </w:t>
      </w:r>
      <w:r w:rsidRPr="00957B6C">
        <w:rPr>
          <w:rFonts w:cstheme="minorHAnsi"/>
          <w:szCs w:val="24"/>
        </w:rPr>
        <w:t>was established pursuant to Resolution 40, adopted at WTDC-10, and revised at WTDC-2017 to advise the BDT Director on matters relating to capacity building.</w:t>
      </w:r>
      <w:r>
        <w:rPr>
          <w:rStyle w:val="StyleComplex12pt"/>
          <w:rFonts w:cstheme="minorHAnsi"/>
          <w:b/>
          <w:bCs/>
        </w:rPr>
        <w:t xml:space="preserve"> </w:t>
      </w:r>
      <w:hyperlink r:id="rId33" w:history="1">
        <w:r w:rsidR="004A5CF9" w:rsidRPr="00957B6C">
          <w:rPr>
            <w:rStyle w:val="Hyperlink"/>
            <w:rFonts w:cstheme="minorHAnsi"/>
            <w:b/>
            <w:bCs/>
            <w:szCs w:val="24"/>
          </w:rPr>
          <w:t>Document 17</w:t>
        </w:r>
      </w:hyperlink>
      <w:r>
        <w:rPr>
          <w:rFonts w:cstheme="minorHAnsi"/>
          <w:b/>
          <w:bCs/>
          <w:color w:val="000000" w:themeColor="text1"/>
          <w:szCs w:val="24"/>
        </w:rPr>
        <w:t xml:space="preserve"> </w:t>
      </w:r>
      <w:r>
        <w:rPr>
          <w:rFonts w:cstheme="minorHAnsi"/>
          <w:color w:val="000000" w:themeColor="text1"/>
          <w:szCs w:val="24"/>
        </w:rPr>
        <w:t>provides a summary of their work.</w:t>
      </w:r>
      <w:r w:rsidR="00070DBE">
        <w:rPr>
          <w:rFonts w:cstheme="minorHAnsi"/>
          <w:color w:val="000000" w:themeColor="text1"/>
          <w:szCs w:val="24"/>
        </w:rPr>
        <w:t xml:space="preserve"> </w:t>
      </w:r>
    </w:p>
    <w:p w:rsidR="004A5CF9" w:rsidRPr="00957B6C" w:rsidRDefault="004A5CF9" w:rsidP="004A5CF9">
      <w:pPr>
        <w:tabs>
          <w:tab w:val="left" w:pos="884"/>
        </w:tabs>
        <w:spacing w:beforeLines="40" w:before="96" w:after="120"/>
        <w:rPr>
          <w:rFonts w:eastAsia="SimSun" w:cstheme="minorHAnsi"/>
          <w:szCs w:val="24"/>
        </w:rPr>
      </w:pPr>
      <w:r w:rsidRPr="00957B6C">
        <w:rPr>
          <w:rFonts w:eastAsia="SimSun" w:cstheme="minorHAnsi"/>
          <w:szCs w:val="24"/>
        </w:rPr>
        <w:t xml:space="preserve">During its </w:t>
      </w:r>
      <w:r w:rsidRPr="00957B6C">
        <w:rPr>
          <w:rFonts w:cstheme="minorHAnsi"/>
          <w:szCs w:val="24"/>
        </w:rPr>
        <w:t>meeting on 27-28 February 2018 in Geneva, GCBI e</w:t>
      </w:r>
      <w:r w:rsidRPr="00957B6C">
        <w:rPr>
          <w:rFonts w:eastAsia="SimSun" w:cstheme="minorHAnsi"/>
          <w:szCs w:val="24"/>
        </w:rPr>
        <w:t xml:space="preserve">xchanged regional experiences and noted an </w:t>
      </w:r>
      <w:bookmarkStart w:id="12" w:name="_Hlk8836056"/>
      <w:r w:rsidRPr="00957B6C">
        <w:rPr>
          <w:rFonts w:eastAsia="SimSun" w:cstheme="minorHAnsi"/>
          <w:szCs w:val="24"/>
        </w:rPr>
        <w:t>increase in the demand for digitally skilled workers in all regions and the inability of most countries to develop the requisite skills at the pace required by digital transformation.</w:t>
      </w:r>
      <w:bookmarkEnd w:id="12"/>
      <w:r w:rsidRPr="00957B6C">
        <w:rPr>
          <w:rFonts w:eastAsia="SimSun" w:cstheme="minorHAnsi"/>
          <w:szCs w:val="24"/>
        </w:rPr>
        <w:t xml:space="preserve"> The target audience for capacity-building activities needs to be broad and include professionals, such as middle and senior-level managers, young people and students, researchers, SMEs, underserved communities and other ICT users. </w:t>
      </w:r>
    </w:p>
    <w:p w:rsidR="004A5CF9" w:rsidRPr="00957B6C" w:rsidRDefault="004A5CF9" w:rsidP="004A5CF9">
      <w:pPr>
        <w:tabs>
          <w:tab w:val="left" w:pos="884"/>
        </w:tabs>
        <w:spacing w:beforeLines="40" w:before="96" w:after="120"/>
        <w:rPr>
          <w:rFonts w:eastAsia="Calibri" w:cs="Calibri"/>
          <w:szCs w:val="24"/>
        </w:rPr>
      </w:pPr>
      <w:r w:rsidRPr="00957B6C">
        <w:rPr>
          <w:rFonts w:eastAsia="Calibri" w:cs="Calibri"/>
          <w:szCs w:val="24"/>
        </w:rPr>
        <w:t xml:space="preserve">TDAG welcomed the work of GCBI, thanked the previous Chairman Mr </w:t>
      </w:r>
      <w:r w:rsidRPr="00957B6C">
        <w:rPr>
          <w:rFonts w:ascii="Calibri" w:hAnsi="Calibri" w:cs="Calibri"/>
          <w:szCs w:val="24"/>
          <w:lang w:eastAsia="zh-CN"/>
        </w:rPr>
        <w:t>Santiago Reyes‐</w:t>
      </w:r>
      <w:proofErr w:type="spellStart"/>
      <w:r w:rsidRPr="00957B6C">
        <w:rPr>
          <w:rFonts w:ascii="Calibri" w:hAnsi="Calibri" w:cs="Calibri"/>
          <w:szCs w:val="24"/>
          <w:lang w:eastAsia="zh-CN"/>
        </w:rPr>
        <w:t>Borda</w:t>
      </w:r>
      <w:proofErr w:type="spellEnd"/>
      <w:r w:rsidRPr="00957B6C">
        <w:rPr>
          <w:rFonts w:eastAsia="Calibri" w:cs="Calibri"/>
          <w:szCs w:val="24"/>
        </w:rPr>
        <w:t xml:space="preserve"> </w:t>
      </w:r>
      <w:r w:rsidR="00DE3AA4">
        <w:rPr>
          <w:rFonts w:eastAsia="Calibri" w:cs="Calibri"/>
          <w:szCs w:val="24"/>
        </w:rPr>
        <w:t>(</w:t>
      </w:r>
      <w:r w:rsidR="00DE3AA4" w:rsidRPr="007B36B3">
        <w:rPr>
          <w:rFonts w:eastAsia="Calibri" w:cs="Calibri"/>
          <w:b/>
          <w:szCs w:val="24"/>
        </w:rPr>
        <w:t>Canada</w:t>
      </w:r>
      <w:r w:rsidR="00DE3AA4">
        <w:rPr>
          <w:rFonts w:eastAsia="Calibri" w:cs="Calibri"/>
          <w:szCs w:val="24"/>
        </w:rPr>
        <w:t xml:space="preserve">) </w:t>
      </w:r>
      <w:r w:rsidRPr="00957B6C">
        <w:rPr>
          <w:rFonts w:eastAsia="Calibri" w:cs="Calibri"/>
          <w:szCs w:val="24"/>
        </w:rPr>
        <w:t xml:space="preserve">for his </w:t>
      </w:r>
      <w:r w:rsidR="00DE3AA4">
        <w:rPr>
          <w:rFonts w:eastAsia="Calibri" w:cs="Calibri"/>
          <w:szCs w:val="24"/>
        </w:rPr>
        <w:t xml:space="preserve">hard </w:t>
      </w:r>
      <w:r w:rsidRPr="00957B6C">
        <w:rPr>
          <w:rFonts w:eastAsia="Calibri" w:cs="Calibri"/>
          <w:szCs w:val="24"/>
        </w:rPr>
        <w:t>work and charismatic leadership</w:t>
      </w:r>
      <w:r w:rsidR="00DE3AA4">
        <w:rPr>
          <w:rFonts w:eastAsia="Calibri" w:cs="Calibri"/>
          <w:szCs w:val="24"/>
        </w:rPr>
        <w:t>,</w:t>
      </w:r>
      <w:r w:rsidRPr="00957B6C">
        <w:rPr>
          <w:rFonts w:eastAsia="Calibri" w:cs="Calibri"/>
          <w:szCs w:val="24"/>
        </w:rPr>
        <w:t xml:space="preserve"> and welcomed the new GCBI Chairman </w:t>
      </w:r>
      <w:r w:rsidRPr="00957B6C">
        <w:rPr>
          <w:rFonts w:ascii="Calibri" w:hAnsi="Calibri" w:cs="Calibri"/>
          <w:szCs w:val="24"/>
          <w:lang w:eastAsia="zh-CN"/>
        </w:rPr>
        <w:t xml:space="preserve">Dr Lidia </w:t>
      </w:r>
      <w:proofErr w:type="spellStart"/>
      <w:r w:rsidRPr="00957B6C">
        <w:rPr>
          <w:rFonts w:ascii="Calibri" w:hAnsi="Calibri" w:cs="Calibri"/>
          <w:szCs w:val="24"/>
          <w:lang w:eastAsia="zh-CN"/>
        </w:rPr>
        <w:t>Stępińska-Ustasiak</w:t>
      </w:r>
      <w:proofErr w:type="spellEnd"/>
      <w:r w:rsidRPr="00957B6C">
        <w:rPr>
          <w:rFonts w:ascii="Calibri" w:hAnsi="Calibri" w:cs="Calibri"/>
          <w:szCs w:val="24"/>
          <w:lang w:eastAsia="zh-CN"/>
        </w:rPr>
        <w:t>, Counsellor, Head of Social Policy Unit, Office of Electronic Communications (UKE) of</w:t>
      </w:r>
      <w:r w:rsidRPr="007B36B3">
        <w:rPr>
          <w:rFonts w:ascii="Calibri" w:hAnsi="Calibri" w:cs="Calibri"/>
          <w:b/>
          <w:szCs w:val="24"/>
          <w:lang w:eastAsia="zh-CN"/>
        </w:rPr>
        <w:t xml:space="preserve"> Poland</w:t>
      </w:r>
      <w:r w:rsidRPr="00957B6C">
        <w:rPr>
          <w:rFonts w:eastAsia="Calibri" w:cs="Calibri"/>
          <w:szCs w:val="24"/>
        </w:rPr>
        <w:t xml:space="preserve">. TDAG expressed appreciation for the proposed future work of GCBI, including </w:t>
      </w:r>
      <w:r w:rsidR="00DE3AA4">
        <w:rPr>
          <w:rFonts w:eastAsia="Calibri" w:cs="Calibri"/>
          <w:szCs w:val="24"/>
        </w:rPr>
        <w:t xml:space="preserve">plans to develop </w:t>
      </w:r>
      <w:r w:rsidRPr="00957B6C">
        <w:rPr>
          <w:rFonts w:eastAsia="Calibri" w:cs="Calibri"/>
          <w:szCs w:val="24"/>
        </w:rPr>
        <w:t xml:space="preserve">an ITU capacity building framework, a harmonized way </w:t>
      </w:r>
      <w:r w:rsidR="00E3381F">
        <w:rPr>
          <w:rFonts w:eastAsia="Calibri" w:cs="Calibri"/>
          <w:szCs w:val="24"/>
        </w:rPr>
        <w:t>t</w:t>
      </w:r>
      <w:r w:rsidRPr="00957B6C">
        <w:rPr>
          <w:rFonts w:eastAsia="Calibri" w:cs="Calibri"/>
          <w:szCs w:val="24"/>
        </w:rPr>
        <w:t xml:space="preserve">o </w:t>
      </w:r>
      <w:r w:rsidR="00E3381F">
        <w:rPr>
          <w:rFonts w:eastAsia="Calibri" w:cs="Calibri"/>
          <w:szCs w:val="24"/>
        </w:rPr>
        <w:t xml:space="preserve">take </w:t>
      </w:r>
      <w:r w:rsidRPr="00957B6C">
        <w:rPr>
          <w:rFonts w:eastAsia="Calibri" w:cs="Calibri"/>
          <w:szCs w:val="24"/>
        </w:rPr>
        <w:t>stock</w:t>
      </w:r>
      <w:r w:rsidR="00E3381F">
        <w:rPr>
          <w:rFonts w:eastAsia="Calibri" w:cs="Calibri"/>
          <w:szCs w:val="24"/>
        </w:rPr>
        <w:t xml:space="preserve"> </w:t>
      </w:r>
      <w:r w:rsidRPr="00957B6C">
        <w:rPr>
          <w:rFonts w:eastAsia="Calibri" w:cs="Calibri"/>
          <w:szCs w:val="24"/>
        </w:rPr>
        <w:t xml:space="preserve">of activities, and new models </w:t>
      </w:r>
      <w:r w:rsidR="00E3381F">
        <w:rPr>
          <w:rFonts w:eastAsia="Calibri" w:cs="Calibri"/>
          <w:szCs w:val="24"/>
        </w:rPr>
        <w:t>t</w:t>
      </w:r>
      <w:r w:rsidRPr="00957B6C">
        <w:rPr>
          <w:rFonts w:eastAsia="Calibri" w:cs="Calibri"/>
          <w:szCs w:val="24"/>
        </w:rPr>
        <w:t xml:space="preserve">o identify different target audiences. </w:t>
      </w:r>
    </w:p>
    <w:tbl>
      <w:tblPr>
        <w:tblStyle w:val="TableGrid"/>
        <w:tblW w:w="0" w:type="auto"/>
        <w:tblLook w:val="04A0" w:firstRow="1" w:lastRow="0" w:firstColumn="1" w:lastColumn="0" w:noHBand="0" w:noVBand="1"/>
      </w:tblPr>
      <w:tblGrid>
        <w:gridCol w:w="9629"/>
      </w:tblGrid>
      <w:tr w:rsidR="004A5CF9" w:rsidRPr="00957B6C" w:rsidTr="008D0BF6">
        <w:tc>
          <w:tcPr>
            <w:tcW w:w="9629" w:type="dxa"/>
          </w:tcPr>
          <w:p w:rsidR="004A5CF9" w:rsidRPr="00957B6C" w:rsidRDefault="004A5CF9" w:rsidP="007B36B3">
            <w:pPr>
              <w:tabs>
                <w:tab w:val="left" w:pos="884"/>
              </w:tabs>
              <w:spacing w:beforeLines="40" w:before="96" w:after="120"/>
              <w:rPr>
                <w:rFonts w:cstheme="minorHAnsi"/>
                <w:color w:val="000000" w:themeColor="text1"/>
                <w:szCs w:val="24"/>
              </w:rPr>
            </w:pPr>
            <w:r w:rsidRPr="00957B6C">
              <w:rPr>
                <w:rFonts w:eastAsia="Calibri"/>
              </w:rPr>
              <w:t xml:space="preserve">TDAG </w:t>
            </w:r>
            <w:r w:rsidRPr="00BF5B1F">
              <w:rPr>
                <w:rFonts w:eastAsia="Calibri"/>
              </w:rPr>
              <w:t>noted</w:t>
            </w:r>
            <w:r w:rsidRPr="00957B6C">
              <w:rPr>
                <w:rFonts w:eastAsia="Calibri"/>
              </w:rPr>
              <w:t xml:space="preserve"> the document</w:t>
            </w:r>
            <w:r w:rsidR="00DE3AA4">
              <w:rPr>
                <w:rFonts w:eastAsia="Calibri"/>
              </w:rPr>
              <w:t xml:space="preserve"> with appreciation, </w:t>
            </w:r>
            <w:bookmarkStart w:id="13" w:name="_Hlk8836190"/>
            <w:r w:rsidR="00421511">
              <w:rPr>
                <w:rFonts w:eastAsia="Calibri"/>
              </w:rPr>
              <w:t xml:space="preserve">recognizing </w:t>
            </w:r>
            <w:r w:rsidR="00DE3AA4" w:rsidRPr="00957B6C">
              <w:rPr>
                <w:rFonts w:eastAsia="Calibri" w:cs="Calibri"/>
                <w:szCs w:val="24"/>
              </w:rPr>
              <w:t xml:space="preserve">the importance of doing work </w:t>
            </w:r>
            <w:r w:rsidR="00421511">
              <w:rPr>
                <w:rFonts w:eastAsia="Calibri" w:cs="Calibri"/>
                <w:szCs w:val="24"/>
              </w:rPr>
              <w:t>t</w:t>
            </w:r>
            <w:r w:rsidR="00DE3AA4" w:rsidRPr="00957B6C">
              <w:rPr>
                <w:rFonts w:eastAsia="Calibri" w:cs="Calibri"/>
                <w:szCs w:val="24"/>
              </w:rPr>
              <w:t>o build capacity for digital inclusion, including digital literacy</w:t>
            </w:r>
            <w:bookmarkEnd w:id="13"/>
            <w:r w:rsidR="00DE3AA4" w:rsidRPr="00957B6C">
              <w:rPr>
                <w:rFonts w:eastAsia="Calibri" w:cs="Calibri"/>
                <w:szCs w:val="24"/>
              </w:rPr>
              <w:t>.</w:t>
            </w:r>
          </w:p>
        </w:tc>
      </w:tr>
    </w:tbl>
    <w:p w:rsidR="004A5CF9" w:rsidRPr="001E3DC6" w:rsidRDefault="00256D72" w:rsidP="00EA4144">
      <w:pPr>
        <w:ind w:left="391" w:hanging="391"/>
        <w:rPr>
          <w:b/>
          <w:bCs/>
          <w:lang w:val="en-US"/>
        </w:rPr>
      </w:pPr>
      <w:r>
        <w:rPr>
          <w:b/>
          <w:bCs/>
          <w:lang w:val="en-US"/>
        </w:rPr>
        <w:t>6.8</w:t>
      </w:r>
      <w:r w:rsidR="00EA4144">
        <w:rPr>
          <w:b/>
          <w:bCs/>
          <w:lang w:val="en-US"/>
        </w:rPr>
        <w:tab/>
      </w:r>
      <w:r w:rsidR="004A5CF9">
        <w:rPr>
          <w:b/>
          <w:bCs/>
          <w:lang w:val="en-US"/>
        </w:rPr>
        <w:t>Breakout session:</w:t>
      </w:r>
      <w:r w:rsidR="004A5CF9" w:rsidRPr="001E3DC6">
        <w:rPr>
          <w:b/>
          <w:bCs/>
          <w:lang w:val="en-US"/>
        </w:rPr>
        <w:t xml:space="preserve"> Capacity </w:t>
      </w:r>
      <w:r w:rsidR="004A5CF9">
        <w:rPr>
          <w:b/>
          <w:bCs/>
          <w:lang w:val="en-US"/>
        </w:rPr>
        <w:t>b</w:t>
      </w:r>
      <w:r w:rsidR="004A5CF9" w:rsidRPr="001E3DC6">
        <w:rPr>
          <w:b/>
          <w:bCs/>
          <w:lang w:val="en-US"/>
        </w:rPr>
        <w:t xml:space="preserve">uilding and </w:t>
      </w:r>
      <w:r w:rsidR="004A5CF9">
        <w:rPr>
          <w:b/>
          <w:bCs/>
          <w:lang w:val="en-US"/>
        </w:rPr>
        <w:t>s</w:t>
      </w:r>
      <w:r w:rsidR="004A5CF9" w:rsidRPr="001E3DC6">
        <w:rPr>
          <w:b/>
          <w:bCs/>
          <w:lang w:val="en-US"/>
        </w:rPr>
        <w:t xml:space="preserve">kills </w:t>
      </w:r>
      <w:r w:rsidR="004A5CF9">
        <w:rPr>
          <w:b/>
          <w:bCs/>
          <w:lang w:val="en-US"/>
        </w:rPr>
        <w:t>d</w:t>
      </w:r>
      <w:r w:rsidR="004A5CF9" w:rsidRPr="001E3DC6">
        <w:rPr>
          <w:b/>
          <w:bCs/>
          <w:lang w:val="en-US"/>
        </w:rPr>
        <w:t>evelopment</w:t>
      </w:r>
    </w:p>
    <w:p w:rsidR="004A5CF9" w:rsidRPr="00DA258C" w:rsidRDefault="004A5CF9" w:rsidP="004A5CF9">
      <w:pPr>
        <w:rPr>
          <w:lang w:val="en-US"/>
        </w:rPr>
      </w:pPr>
      <w:r>
        <w:rPr>
          <w:lang w:val="en-US"/>
        </w:rPr>
        <w:t>During the breakout session on c</w:t>
      </w:r>
      <w:r w:rsidRPr="00FC30AA">
        <w:rPr>
          <w:lang w:val="en-US"/>
        </w:rPr>
        <w:t>apacity building and skills development</w:t>
      </w:r>
      <w:r>
        <w:rPr>
          <w:lang w:val="en-US"/>
        </w:rPr>
        <w:t>,</w:t>
      </w:r>
      <w:r w:rsidRPr="001E3DC6">
        <w:rPr>
          <w:lang w:val="en-US"/>
        </w:rPr>
        <w:t xml:space="preserve"> </w:t>
      </w:r>
      <w:r>
        <w:rPr>
          <w:lang w:val="en-US"/>
        </w:rPr>
        <w:t>t</w:t>
      </w:r>
      <w:r w:rsidRPr="001E3DC6">
        <w:rPr>
          <w:lang w:val="en-US"/>
        </w:rPr>
        <w:t xml:space="preserve">here was overall agreement that certified, structured training courses </w:t>
      </w:r>
      <w:r>
        <w:rPr>
          <w:lang w:val="en-US"/>
        </w:rPr>
        <w:t>add</w:t>
      </w:r>
      <w:r w:rsidRPr="001E3DC6">
        <w:rPr>
          <w:lang w:val="en-US"/>
        </w:rPr>
        <w:t xml:space="preserve"> </w:t>
      </w:r>
      <w:r>
        <w:rPr>
          <w:lang w:val="en-US"/>
        </w:rPr>
        <w:t>greater</w:t>
      </w:r>
      <w:r w:rsidRPr="001E3DC6">
        <w:rPr>
          <w:lang w:val="en-US"/>
        </w:rPr>
        <w:t xml:space="preserve"> value and impact compared </w:t>
      </w:r>
      <w:r>
        <w:rPr>
          <w:lang w:val="en-US"/>
        </w:rPr>
        <w:t>with</w:t>
      </w:r>
      <w:r w:rsidRPr="001E3DC6">
        <w:rPr>
          <w:lang w:val="en-US"/>
        </w:rPr>
        <w:t xml:space="preserve"> typical capacity</w:t>
      </w:r>
      <w:r>
        <w:rPr>
          <w:lang w:val="en-US"/>
        </w:rPr>
        <w:t>-</w:t>
      </w:r>
      <w:r w:rsidRPr="001E3DC6">
        <w:rPr>
          <w:lang w:val="en-US"/>
        </w:rPr>
        <w:t xml:space="preserve">building workshops. In addition to the courses currently offered on the ITU Academy platform, </w:t>
      </w:r>
      <w:r w:rsidR="006B005C">
        <w:rPr>
          <w:lang w:val="en-US"/>
        </w:rPr>
        <w:t xml:space="preserve">participants suggested that </w:t>
      </w:r>
      <w:r w:rsidRPr="001E3DC6">
        <w:rPr>
          <w:lang w:val="en-US"/>
        </w:rPr>
        <w:t>training was also needed for policy</w:t>
      </w:r>
      <w:r>
        <w:rPr>
          <w:lang w:val="en-US"/>
        </w:rPr>
        <w:t>-</w:t>
      </w:r>
      <w:r w:rsidRPr="001E3DC6">
        <w:rPr>
          <w:lang w:val="en-US"/>
        </w:rPr>
        <w:t>makers at decision</w:t>
      </w:r>
      <w:r>
        <w:rPr>
          <w:lang w:val="en-US"/>
        </w:rPr>
        <w:t>-</w:t>
      </w:r>
      <w:r w:rsidRPr="001E3DC6">
        <w:rPr>
          <w:lang w:val="en-US"/>
        </w:rPr>
        <w:t>making and less technical level</w:t>
      </w:r>
      <w:r>
        <w:rPr>
          <w:lang w:val="en-US"/>
        </w:rPr>
        <w:t>s</w:t>
      </w:r>
      <w:r w:rsidRPr="001E3DC6">
        <w:rPr>
          <w:lang w:val="en-US"/>
        </w:rPr>
        <w:t xml:space="preserve">. </w:t>
      </w:r>
      <w:r w:rsidR="006B005C">
        <w:rPr>
          <w:lang w:val="en-US"/>
        </w:rPr>
        <w:t xml:space="preserve">Participants </w:t>
      </w:r>
      <w:r w:rsidRPr="001E3DC6">
        <w:rPr>
          <w:lang w:val="en-US"/>
        </w:rPr>
        <w:t>agree</w:t>
      </w:r>
      <w:r w:rsidR="006B005C">
        <w:rPr>
          <w:lang w:val="en-US"/>
        </w:rPr>
        <w:t xml:space="preserve">d </w:t>
      </w:r>
      <w:r w:rsidRPr="001E3DC6">
        <w:rPr>
          <w:lang w:val="en-US"/>
        </w:rPr>
        <w:t xml:space="preserve">that ITU should expand its capacity development work </w:t>
      </w:r>
      <w:r w:rsidR="006B005C">
        <w:rPr>
          <w:lang w:val="en-US"/>
        </w:rPr>
        <w:t xml:space="preserve">to </w:t>
      </w:r>
      <w:r w:rsidRPr="001E3DC6">
        <w:rPr>
          <w:lang w:val="en-US"/>
        </w:rPr>
        <w:t xml:space="preserve">provide digital skills training to those at the bottom of the pyramid </w:t>
      </w:r>
      <w:r>
        <w:rPr>
          <w:lang w:val="en-US"/>
        </w:rPr>
        <w:t>and</w:t>
      </w:r>
      <w:r w:rsidRPr="001E3DC6">
        <w:rPr>
          <w:lang w:val="en-US"/>
        </w:rPr>
        <w:t xml:space="preserve"> outside the ICT sector. Such capacity</w:t>
      </w:r>
      <w:r>
        <w:rPr>
          <w:lang w:val="en-US"/>
        </w:rPr>
        <w:t>-</w:t>
      </w:r>
      <w:r w:rsidRPr="001E3DC6">
        <w:rPr>
          <w:lang w:val="en-US"/>
        </w:rPr>
        <w:t xml:space="preserve">building work could be </w:t>
      </w:r>
      <w:r>
        <w:rPr>
          <w:lang w:val="en-US"/>
        </w:rPr>
        <w:t>performed</w:t>
      </w:r>
      <w:r w:rsidRPr="001E3DC6">
        <w:rPr>
          <w:lang w:val="en-US"/>
        </w:rPr>
        <w:t xml:space="preserve"> </w:t>
      </w:r>
      <w:r>
        <w:rPr>
          <w:lang w:val="en-US"/>
        </w:rPr>
        <w:t>by</w:t>
      </w:r>
      <w:r w:rsidRPr="001E3DC6">
        <w:rPr>
          <w:lang w:val="en-US"/>
        </w:rPr>
        <w:t xml:space="preserve"> involving local community networks and implementing training-of-trainers courses. Regional telecommunication </w:t>
      </w:r>
      <w:r w:rsidRPr="001E3DC6">
        <w:rPr>
          <w:lang w:val="en-US"/>
        </w:rPr>
        <w:lastRenderedPageBreak/>
        <w:t xml:space="preserve">organizations could help </w:t>
      </w:r>
      <w:r w:rsidR="006B005C">
        <w:rPr>
          <w:lang w:val="en-US"/>
        </w:rPr>
        <w:t xml:space="preserve">to </w:t>
      </w:r>
      <w:r w:rsidRPr="001E3DC6">
        <w:rPr>
          <w:lang w:val="en-US"/>
        </w:rPr>
        <w:t xml:space="preserve">map capacity development initiatives, </w:t>
      </w:r>
      <w:r>
        <w:rPr>
          <w:lang w:val="en-US"/>
        </w:rPr>
        <w:t>select</w:t>
      </w:r>
      <w:r w:rsidRPr="001E3DC6">
        <w:rPr>
          <w:lang w:val="en-US"/>
        </w:rPr>
        <w:t xml:space="preserve"> experts</w:t>
      </w:r>
      <w:r>
        <w:rPr>
          <w:lang w:val="en-US"/>
        </w:rPr>
        <w:t>,</w:t>
      </w:r>
      <w:r w:rsidRPr="001E3DC6">
        <w:rPr>
          <w:lang w:val="en-US"/>
        </w:rPr>
        <w:t xml:space="preserve"> and identify digital skills gaps and needs in the regions. </w:t>
      </w:r>
    </w:p>
    <w:p w:rsidR="004A5CF9" w:rsidRPr="00BF5B1F" w:rsidRDefault="004A5CF9" w:rsidP="007B36B3">
      <w:pPr>
        <w:pStyle w:val="ListParagraph"/>
        <w:keepNext/>
        <w:numPr>
          <w:ilvl w:val="1"/>
          <w:numId w:val="30"/>
        </w:numPr>
        <w:spacing w:before="240" w:after="120"/>
        <w:rPr>
          <w:rStyle w:val="StyleComplex12pt"/>
          <w:rFonts w:cstheme="minorHAnsi"/>
          <w:b/>
          <w:bCs/>
        </w:rPr>
      </w:pPr>
      <w:r w:rsidRPr="00BF5B1F">
        <w:rPr>
          <w:rStyle w:val="StyleComplex12pt"/>
          <w:rFonts w:cstheme="minorHAnsi"/>
          <w:b/>
          <w:bCs/>
        </w:rPr>
        <w:t xml:space="preserve"> ICT data and statistics, including World Telecommunication/ICT Indicators Symposium (WTIS)</w:t>
      </w:r>
    </w:p>
    <w:p w:rsidR="004A5CF9" w:rsidRPr="00957B6C" w:rsidRDefault="00EA4144" w:rsidP="004A5CF9">
      <w:pPr>
        <w:spacing w:after="120"/>
        <w:rPr>
          <w:rFonts w:cstheme="minorHAnsi"/>
          <w:szCs w:val="24"/>
        </w:rPr>
      </w:pPr>
      <w:hyperlink r:id="rId34" w:history="1">
        <w:r w:rsidR="004A5CF9" w:rsidRPr="00957B6C">
          <w:rPr>
            <w:rStyle w:val="Hyperlink"/>
            <w:rFonts w:cstheme="minorHAnsi"/>
            <w:b/>
            <w:bCs/>
            <w:szCs w:val="24"/>
          </w:rPr>
          <w:t>Document 19</w:t>
        </w:r>
      </w:hyperlink>
      <w:r w:rsidR="004A5CF9" w:rsidRPr="00957B6C">
        <w:rPr>
          <w:rFonts w:cstheme="minorHAnsi"/>
          <w:b/>
          <w:bCs/>
          <w:color w:val="000000" w:themeColor="text1"/>
          <w:szCs w:val="24"/>
        </w:rPr>
        <w:t>:</w:t>
      </w:r>
      <w:r w:rsidR="004A5CF9" w:rsidRPr="00957B6C">
        <w:rPr>
          <w:rFonts w:cstheme="minorHAnsi"/>
          <w:color w:val="000000" w:themeColor="text1"/>
          <w:szCs w:val="24"/>
        </w:rPr>
        <w:t xml:space="preserve"> “Report on ICT Data and Statistics 2018”</w:t>
      </w:r>
      <w:r w:rsidR="004A5CF9" w:rsidRPr="00957B6C">
        <w:rPr>
          <w:rFonts w:cstheme="minorHAnsi"/>
          <w:szCs w:val="24"/>
        </w:rPr>
        <w:t xml:space="preserve"> provides a summary of the work carried out in 2018. The report covers data collection and dissemination, methodology development, data analysis</w:t>
      </w:r>
      <w:r w:rsidR="004A5CF9">
        <w:rPr>
          <w:rFonts w:cstheme="minorHAnsi"/>
          <w:szCs w:val="24"/>
        </w:rPr>
        <w:t>,</w:t>
      </w:r>
      <w:r w:rsidR="004A5CF9" w:rsidRPr="00957B6C">
        <w:rPr>
          <w:rFonts w:cstheme="minorHAnsi"/>
          <w:szCs w:val="24"/>
        </w:rPr>
        <w:t xml:space="preserve"> and capacity building. </w:t>
      </w:r>
    </w:p>
    <w:p w:rsidR="004A5CF9" w:rsidRPr="00957B6C" w:rsidRDefault="004A5CF9" w:rsidP="004A5CF9">
      <w:pPr>
        <w:spacing w:after="120"/>
        <w:rPr>
          <w:rFonts w:cstheme="minorHAnsi"/>
          <w:szCs w:val="24"/>
        </w:rPr>
      </w:pPr>
      <w:r w:rsidRPr="00957B6C">
        <w:rPr>
          <w:rFonts w:cstheme="minorHAnsi"/>
          <w:szCs w:val="24"/>
        </w:rPr>
        <w:t>ITU continued to collect internationally comparable ICT statistics through three questionnaires: the World Telecommunication Indicators questionnaire, the questionnaire on access and use of ICTs by households and individuals</w:t>
      </w:r>
      <w:r>
        <w:rPr>
          <w:rFonts w:cstheme="minorHAnsi"/>
          <w:szCs w:val="24"/>
        </w:rPr>
        <w:t>,</w:t>
      </w:r>
      <w:r w:rsidRPr="00957B6C">
        <w:rPr>
          <w:rFonts w:cstheme="minorHAnsi"/>
          <w:szCs w:val="24"/>
        </w:rPr>
        <w:t xml:space="preserve"> and the ICT Price Basket questionnaire. Data collected were disseminated through the ITU World Telecommunication/ICT Indicators Database. </w:t>
      </w:r>
    </w:p>
    <w:p w:rsidR="004A5CF9" w:rsidRPr="00957B6C" w:rsidRDefault="004A5CF9" w:rsidP="004A5CF9">
      <w:pPr>
        <w:spacing w:after="120"/>
        <w:rPr>
          <w:rFonts w:cstheme="minorHAnsi"/>
          <w:szCs w:val="24"/>
        </w:rPr>
      </w:pPr>
      <w:r w:rsidRPr="00957B6C">
        <w:rPr>
          <w:rFonts w:cstheme="minorHAnsi"/>
          <w:szCs w:val="24"/>
        </w:rPr>
        <w:t xml:space="preserve">Methodologies and international standards on ICT statistics are continuously improved through the work of the </w:t>
      </w:r>
      <w:r w:rsidRPr="007B36B3">
        <w:rPr>
          <w:rFonts w:cstheme="minorHAnsi"/>
          <w:szCs w:val="24"/>
          <w:u w:val="single"/>
        </w:rPr>
        <w:t>Expert Group on Telecommunication/ICT Indicators</w:t>
      </w:r>
      <w:r w:rsidRPr="00957B6C">
        <w:rPr>
          <w:rFonts w:cstheme="minorHAnsi"/>
          <w:szCs w:val="24"/>
        </w:rPr>
        <w:t xml:space="preserve"> (EGTI) and the </w:t>
      </w:r>
      <w:r w:rsidRPr="007B36B3">
        <w:rPr>
          <w:rFonts w:cstheme="minorHAnsi"/>
          <w:szCs w:val="24"/>
          <w:u w:val="single"/>
        </w:rPr>
        <w:t>Expert Group on ICT Household Indicators</w:t>
      </w:r>
      <w:r w:rsidRPr="00957B6C">
        <w:rPr>
          <w:rFonts w:cstheme="minorHAnsi"/>
          <w:szCs w:val="24"/>
        </w:rPr>
        <w:t xml:space="preserve"> (EGH). Meetings of EGTI and EGH took place in Geneva, in October 2018. Nearly 130 statistical experts from ICT ministries, national statistical offices telecommunication regulators</w:t>
      </w:r>
      <w:r>
        <w:rPr>
          <w:rFonts w:cstheme="minorHAnsi"/>
          <w:szCs w:val="24"/>
        </w:rPr>
        <w:t xml:space="preserve"> </w:t>
      </w:r>
      <w:r w:rsidRPr="00957B6C">
        <w:rPr>
          <w:rFonts w:cstheme="minorHAnsi"/>
          <w:szCs w:val="24"/>
        </w:rPr>
        <w:t>from 54 countries and international organizations attended the meetings and discussed how to better track access to and use of ICTs by households and individuals.</w:t>
      </w:r>
    </w:p>
    <w:p w:rsidR="004A5CF9" w:rsidRPr="00FC30AA" w:rsidRDefault="004A5CF9" w:rsidP="004A5CF9">
      <w:pPr>
        <w:spacing w:after="120"/>
        <w:rPr>
          <w:rFonts w:cstheme="minorHAnsi"/>
          <w:color w:val="000000" w:themeColor="text1"/>
          <w:szCs w:val="24"/>
        </w:rPr>
      </w:pPr>
      <w:r w:rsidRPr="00957B6C">
        <w:rPr>
          <w:rFonts w:cstheme="minorHAnsi"/>
          <w:szCs w:val="24"/>
        </w:rPr>
        <w:t xml:space="preserve">BDT also successfully organized the </w:t>
      </w:r>
      <w:r w:rsidRPr="007B36B3">
        <w:rPr>
          <w:u w:val="single"/>
        </w:rPr>
        <w:t xml:space="preserve">16th World Telecommunication/ICT Indicators Symposium </w:t>
      </w:r>
      <w:r w:rsidRPr="00FC30AA">
        <w:t>(WTIS-18)</w:t>
      </w:r>
      <w:r w:rsidRPr="00957B6C">
        <w:rPr>
          <w:rFonts w:cstheme="minorHAnsi"/>
          <w:szCs w:val="24"/>
        </w:rPr>
        <w:t xml:space="preserve"> in Geneva, which attracted more than 320 participants from 85 countries, representing public and private organizations, including ministries, regulators, national statistical agencies, universities and research institutions, telecommunication operators, ICT firms and regional and international organizations. The “</w:t>
      </w:r>
      <w:r w:rsidRPr="00FC30AA">
        <w:t>Measuring the Information Society Report 2018 - Volume 1</w:t>
      </w:r>
      <w:r w:rsidRPr="00957B6C">
        <w:rPr>
          <w:rFonts w:cstheme="minorHAnsi"/>
          <w:szCs w:val="24"/>
        </w:rPr>
        <w:t xml:space="preserve">” was released during WTIS-18. </w:t>
      </w:r>
      <w:r w:rsidR="006B005C">
        <w:rPr>
          <w:rFonts w:cstheme="minorHAnsi"/>
          <w:szCs w:val="24"/>
        </w:rPr>
        <w:t xml:space="preserve">Unlike </w:t>
      </w:r>
      <w:r w:rsidRPr="00957B6C">
        <w:rPr>
          <w:rFonts w:cstheme="minorHAnsi"/>
          <w:szCs w:val="24"/>
        </w:rPr>
        <w:t xml:space="preserve">previous editions, </w:t>
      </w:r>
      <w:r w:rsidR="006B005C">
        <w:rPr>
          <w:rFonts w:cstheme="minorHAnsi"/>
          <w:szCs w:val="24"/>
        </w:rPr>
        <w:t xml:space="preserve">however, </w:t>
      </w:r>
      <w:r w:rsidRPr="00957B6C">
        <w:rPr>
          <w:rFonts w:cstheme="minorHAnsi"/>
          <w:szCs w:val="24"/>
        </w:rPr>
        <w:t>it did not feature the</w:t>
      </w:r>
      <w:r w:rsidRPr="00957B6C">
        <w:rPr>
          <w:color w:val="00B0F0"/>
        </w:rPr>
        <w:t xml:space="preserve"> </w:t>
      </w:r>
      <w:r w:rsidRPr="00FC30AA">
        <w:rPr>
          <w:color w:val="000000" w:themeColor="text1"/>
        </w:rPr>
        <w:t xml:space="preserve">ICT Development Index (IDI). </w:t>
      </w:r>
    </w:p>
    <w:p w:rsidR="00C6098F" w:rsidRDefault="004A5CF9" w:rsidP="004A5CF9">
      <w:r>
        <w:t xml:space="preserve">BDT explained that in 2018, the IDI was not published because of the limited data submitted by countries which required ITU to make </w:t>
      </w:r>
      <w:r w:rsidR="00E45491">
        <w:t xml:space="preserve">excessive </w:t>
      </w:r>
      <w:r>
        <w:t>estimates and concerns over the quality of data submitted for some of the new indicators</w:t>
      </w:r>
      <w:r w:rsidR="00C6098F">
        <w:t xml:space="preserve">, even though </w:t>
      </w:r>
      <w:r>
        <w:t xml:space="preserve">BDT had organized capacity-building workshops </w:t>
      </w:r>
      <w:r w:rsidR="00C6098F">
        <w:t xml:space="preserve">to help address the new indicators </w:t>
      </w:r>
      <w:r>
        <w:t xml:space="preserve">in all the regions. </w:t>
      </w:r>
    </w:p>
    <w:p w:rsidR="004A5CF9" w:rsidRDefault="004A5CF9">
      <w:pPr>
        <w:rPr>
          <w:color w:val="000000" w:themeColor="text1"/>
          <w:szCs w:val="24"/>
        </w:rPr>
      </w:pPr>
      <w:r>
        <w:t xml:space="preserve">In order to remedy the issue and publish the IDI in 2019, the ICT Data and Statistics Division (IDS) has embarked on another series of capacity building workshops around the world. While this has helped </w:t>
      </w:r>
      <w:r w:rsidR="00046F78">
        <w:t xml:space="preserve">to </w:t>
      </w:r>
      <w:r>
        <w:t>improv</w:t>
      </w:r>
      <w:r w:rsidR="00046F78">
        <w:t xml:space="preserve">e </w:t>
      </w:r>
      <w:r>
        <w:t xml:space="preserve">the quality of data, it </w:t>
      </w:r>
      <w:r>
        <w:rPr>
          <w:rFonts w:ascii="Calibri" w:hAnsi="Calibri"/>
          <w:color w:val="000000"/>
          <w:szCs w:val="24"/>
        </w:rPr>
        <w:t>may</w:t>
      </w:r>
      <w:r>
        <w:t xml:space="preserve"> not solve all of the issues. An option for 2019 will be to use the old indicators for the IDI, and to phase in new indicators only when certain thresholds are met in terms of quantity and quality of the data provided by Member States. However, this will make ITU statistics lag behind developments in the ICT sector and not reflect the true technological evolution.</w:t>
      </w:r>
      <w:r w:rsidR="00046F78">
        <w:t xml:space="preserve"> </w:t>
      </w:r>
      <w:r w:rsidR="00C6098F">
        <w:rPr>
          <w:color w:val="000000" w:themeColor="text1"/>
          <w:szCs w:val="24"/>
        </w:rPr>
        <w:t xml:space="preserve">TDAG noted that </w:t>
      </w:r>
      <w:r w:rsidRPr="00FC30AA">
        <w:rPr>
          <w:color w:val="000000" w:themeColor="text1"/>
          <w:szCs w:val="24"/>
        </w:rPr>
        <w:t>Resolution 131 (</w:t>
      </w:r>
      <w:r>
        <w:rPr>
          <w:color w:val="000000" w:themeColor="text1"/>
          <w:szCs w:val="24"/>
        </w:rPr>
        <w:t>R</w:t>
      </w:r>
      <w:r w:rsidRPr="00FC30AA">
        <w:rPr>
          <w:color w:val="000000" w:themeColor="text1"/>
          <w:szCs w:val="24"/>
        </w:rPr>
        <w:t>ev.</w:t>
      </w:r>
      <w:r w:rsidR="00070DBE">
        <w:rPr>
          <w:color w:val="000000" w:themeColor="text1"/>
          <w:szCs w:val="24"/>
        </w:rPr>
        <w:t xml:space="preserve"> </w:t>
      </w:r>
      <w:r w:rsidRPr="00FC30AA">
        <w:rPr>
          <w:color w:val="000000" w:themeColor="text1"/>
          <w:szCs w:val="24"/>
        </w:rPr>
        <w:t>2018</w:t>
      </w:r>
      <w:r w:rsidR="00BA6656">
        <w:rPr>
          <w:color w:val="000000" w:themeColor="text1"/>
          <w:szCs w:val="24"/>
        </w:rPr>
        <w:t>, Dubai</w:t>
      </w:r>
      <w:r w:rsidRPr="00FC30AA">
        <w:rPr>
          <w:color w:val="000000" w:themeColor="text1"/>
          <w:szCs w:val="24"/>
        </w:rPr>
        <w:t>) has p</w:t>
      </w:r>
      <w:r w:rsidR="00C6098F">
        <w:rPr>
          <w:color w:val="000000" w:themeColor="text1"/>
          <w:szCs w:val="24"/>
        </w:rPr>
        <w:t xml:space="preserve">laced </w:t>
      </w:r>
      <w:r w:rsidRPr="00FC30AA">
        <w:rPr>
          <w:color w:val="000000" w:themeColor="text1"/>
          <w:szCs w:val="24"/>
        </w:rPr>
        <w:t xml:space="preserve">more demands on the staff in the division, and in order to carry out the work, resources will need to be increased. </w:t>
      </w:r>
    </w:p>
    <w:p w:rsidR="004A5CF9" w:rsidRPr="00427837" w:rsidRDefault="004A5CF9" w:rsidP="004A5CF9">
      <w:pPr>
        <w:spacing w:after="120"/>
        <w:rPr>
          <w:rFonts w:cstheme="minorHAnsi"/>
          <w:color w:val="000000" w:themeColor="text1"/>
          <w:szCs w:val="24"/>
        </w:rPr>
      </w:pPr>
      <w:r w:rsidRPr="00427837">
        <w:rPr>
          <w:rFonts w:eastAsia="Calibri" w:cs="Calibri"/>
          <w:color w:val="000000" w:themeColor="text1"/>
          <w:szCs w:val="24"/>
        </w:rPr>
        <w:t xml:space="preserve">The BDT Director noted that the quality and reliability of ITU data provides the basis for analysis and decision-making across the ITU membership and beyond. ITU will continue to provide capacity building </w:t>
      </w:r>
      <w:r>
        <w:t>for</w:t>
      </w:r>
      <w:r w:rsidRPr="00427837">
        <w:rPr>
          <w:rFonts w:eastAsia="Calibri" w:cs="Calibri"/>
          <w:color w:val="000000" w:themeColor="text1"/>
          <w:szCs w:val="24"/>
        </w:rPr>
        <w:t xml:space="preserve"> ITU Member States</w:t>
      </w:r>
      <w:r w:rsidR="00046F78">
        <w:rPr>
          <w:rFonts w:eastAsia="Calibri" w:cs="Calibri"/>
          <w:color w:val="000000" w:themeColor="text1"/>
          <w:szCs w:val="24"/>
        </w:rPr>
        <w:t>,</w:t>
      </w:r>
      <w:r w:rsidRPr="00427837">
        <w:rPr>
          <w:rFonts w:eastAsia="Calibri" w:cs="Calibri"/>
          <w:color w:val="000000" w:themeColor="text1"/>
          <w:szCs w:val="24"/>
        </w:rPr>
        <w:t xml:space="preserve"> and ITU regional offices can play a central role in interfacing with administrations. The BDT Director will </w:t>
      </w:r>
      <w:r w:rsidR="00C65A7A">
        <w:rPr>
          <w:rFonts w:eastAsia="Calibri" w:cs="Calibri"/>
          <w:color w:val="000000" w:themeColor="text1"/>
          <w:szCs w:val="24"/>
        </w:rPr>
        <w:t xml:space="preserve">submit </w:t>
      </w:r>
      <w:r w:rsidRPr="00427837">
        <w:rPr>
          <w:rFonts w:eastAsia="Calibri" w:cs="Calibri"/>
          <w:color w:val="000000" w:themeColor="text1"/>
          <w:szCs w:val="24"/>
        </w:rPr>
        <w:t xml:space="preserve">a </w:t>
      </w:r>
      <w:r w:rsidRPr="00BF5B1F">
        <w:rPr>
          <w:rFonts w:eastAsia="Calibri" w:cs="Calibri"/>
          <w:color w:val="000000" w:themeColor="text1"/>
          <w:szCs w:val="24"/>
        </w:rPr>
        <w:t>proposal to Council-19</w:t>
      </w:r>
      <w:r w:rsidRPr="00427837">
        <w:rPr>
          <w:rFonts w:eastAsia="Calibri" w:cs="Calibri"/>
          <w:color w:val="000000" w:themeColor="text1"/>
          <w:szCs w:val="24"/>
        </w:rPr>
        <w:t xml:space="preserve"> to strengthen internal statistical capacity.</w:t>
      </w:r>
    </w:p>
    <w:tbl>
      <w:tblPr>
        <w:tblStyle w:val="TableGrid"/>
        <w:tblW w:w="0" w:type="auto"/>
        <w:tblLook w:val="04A0" w:firstRow="1" w:lastRow="0" w:firstColumn="1" w:lastColumn="0" w:noHBand="0" w:noVBand="1"/>
      </w:tblPr>
      <w:tblGrid>
        <w:gridCol w:w="9629"/>
      </w:tblGrid>
      <w:tr w:rsidR="004A5CF9" w:rsidRPr="00957B6C" w:rsidTr="008D0BF6">
        <w:tc>
          <w:tcPr>
            <w:tcW w:w="9629" w:type="dxa"/>
          </w:tcPr>
          <w:p w:rsidR="00C6098F" w:rsidRPr="00FC30AA" w:rsidRDefault="00C6098F" w:rsidP="00C6098F">
            <w:pPr>
              <w:spacing w:after="120"/>
              <w:rPr>
                <w:color w:val="000000" w:themeColor="text1"/>
                <w:szCs w:val="24"/>
              </w:rPr>
            </w:pPr>
            <w:r>
              <w:rPr>
                <w:rFonts w:eastAsia="Calibri" w:cs="Calibri"/>
              </w:rPr>
              <w:lastRenderedPageBreak/>
              <w:t xml:space="preserve">TDAG noted </w:t>
            </w:r>
            <w:r w:rsidR="006A3788">
              <w:rPr>
                <w:rFonts w:eastAsia="Calibri" w:cs="Calibri"/>
              </w:rPr>
              <w:t xml:space="preserve">the document with interest and appreciation, recognizing </w:t>
            </w:r>
            <w:r>
              <w:rPr>
                <w:rFonts w:eastAsia="Calibri" w:cs="Calibri"/>
              </w:rPr>
              <w:t xml:space="preserve">that </w:t>
            </w:r>
            <w:r w:rsidRPr="00FC30AA">
              <w:rPr>
                <w:color w:val="000000" w:themeColor="text1"/>
                <w:szCs w:val="24"/>
              </w:rPr>
              <w:t>ICT statistics a</w:t>
            </w:r>
            <w:r>
              <w:rPr>
                <w:color w:val="000000" w:themeColor="text1"/>
                <w:szCs w:val="24"/>
              </w:rPr>
              <w:t xml:space="preserve">re a critical </w:t>
            </w:r>
            <w:r w:rsidRPr="00FC30AA">
              <w:rPr>
                <w:color w:val="000000" w:themeColor="text1"/>
                <w:szCs w:val="24"/>
              </w:rPr>
              <w:t xml:space="preserve">output of ITU and an essential input </w:t>
            </w:r>
            <w:r w:rsidR="00365B4A">
              <w:rPr>
                <w:color w:val="000000" w:themeColor="text1"/>
                <w:szCs w:val="24"/>
              </w:rPr>
              <w:t xml:space="preserve">for </w:t>
            </w:r>
            <w:r w:rsidRPr="00FC30AA">
              <w:rPr>
                <w:color w:val="000000" w:themeColor="text1"/>
                <w:szCs w:val="24"/>
              </w:rPr>
              <w:t>ICT policy</w:t>
            </w:r>
            <w:r w:rsidR="006A3788">
              <w:rPr>
                <w:color w:val="000000" w:themeColor="text1"/>
                <w:szCs w:val="24"/>
              </w:rPr>
              <w:t>.</w:t>
            </w:r>
            <w:r w:rsidR="00070DBE">
              <w:rPr>
                <w:color w:val="000000" w:themeColor="text1"/>
                <w:szCs w:val="24"/>
              </w:rPr>
              <w:t xml:space="preserve"> </w:t>
            </w:r>
            <w:r w:rsidR="006A3788">
              <w:rPr>
                <w:color w:val="000000" w:themeColor="text1"/>
                <w:szCs w:val="24"/>
              </w:rPr>
              <w:t xml:space="preserve">TDAG also </w:t>
            </w:r>
            <w:r>
              <w:rPr>
                <w:color w:val="000000" w:themeColor="text1"/>
                <w:szCs w:val="24"/>
              </w:rPr>
              <w:t>str</w:t>
            </w:r>
            <w:r w:rsidRPr="00FC30AA">
              <w:rPr>
                <w:color w:val="000000" w:themeColor="text1"/>
                <w:szCs w:val="24"/>
              </w:rPr>
              <w:t xml:space="preserve">essed that statistics published </w:t>
            </w:r>
            <w:r>
              <w:rPr>
                <w:color w:val="000000" w:themeColor="text1"/>
                <w:szCs w:val="24"/>
              </w:rPr>
              <w:t xml:space="preserve">by ITU must be reliable </w:t>
            </w:r>
            <w:r w:rsidRPr="00FC30AA">
              <w:rPr>
                <w:color w:val="000000" w:themeColor="text1"/>
                <w:szCs w:val="24"/>
              </w:rPr>
              <w:t>and trustworthy.</w:t>
            </w:r>
            <w:r w:rsidR="00070DBE">
              <w:rPr>
                <w:color w:val="000000" w:themeColor="text1"/>
                <w:szCs w:val="24"/>
              </w:rPr>
              <w:t xml:space="preserve"> </w:t>
            </w:r>
            <w:r w:rsidR="00046F78">
              <w:rPr>
                <w:color w:val="000000" w:themeColor="text1"/>
                <w:szCs w:val="24"/>
              </w:rPr>
              <w:t>TDAG encouraged experts from Member States to contribute actively in the ongoing work.</w:t>
            </w:r>
          </w:p>
          <w:p w:rsidR="004A5CF9" w:rsidRPr="00957B6C" w:rsidRDefault="004A5CF9" w:rsidP="008D0BF6">
            <w:pPr>
              <w:spacing w:after="120"/>
              <w:rPr>
                <w:rFonts w:cstheme="minorHAnsi"/>
                <w:color w:val="000000" w:themeColor="text1"/>
                <w:szCs w:val="24"/>
              </w:rPr>
            </w:pPr>
            <w:r w:rsidRPr="00957B6C">
              <w:rPr>
                <w:rFonts w:eastAsia="Calibri" w:cs="Calibri"/>
              </w:rPr>
              <w:t xml:space="preserve">BDT </w:t>
            </w:r>
            <w:r w:rsidR="00C6098F">
              <w:rPr>
                <w:rFonts w:eastAsia="Calibri" w:cs="Calibri"/>
              </w:rPr>
              <w:t xml:space="preserve">agreed that it </w:t>
            </w:r>
            <w:r w:rsidRPr="00957B6C">
              <w:rPr>
                <w:rFonts w:eastAsia="Calibri" w:cs="Calibri"/>
              </w:rPr>
              <w:t xml:space="preserve">will continue to make best efforts to collect the data associated with the new indicators including through capacity building workshops, and will engage </w:t>
            </w:r>
            <w:r w:rsidRPr="00BF5B1F">
              <w:rPr>
                <w:rFonts w:eastAsia="Calibri" w:cs="Calibri"/>
              </w:rPr>
              <w:t>the regional offices</w:t>
            </w:r>
            <w:r w:rsidRPr="00957B6C">
              <w:rPr>
                <w:rFonts w:eastAsia="Calibri" w:cs="Calibri"/>
              </w:rPr>
              <w:t xml:space="preserve"> in these efforts.</w:t>
            </w:r>
          </w:p>
        </w:tc>
      </w:tr>
    </w:tbl>
    <w:p w:rsidR="004A5CF9" w:rsidRPr="00D35C6B" w:rsidRDefault="00EA4144" w:rsidP="00EA4144">
      <w:pPr>
        <w:spacing w:after="120"/>
        <w:ind w:left="505" w:hanging="505"/>
        <w:rPr>
          <w:b/>
          <w:bCs/>
          <w:lang w:val="en-US"/>
        </w:rPr>
      </w:pPr>
      <w:r>
        <w:rPr>
          <w:b/>
          <w:bCs/>
          <w:lang w:val="en-US"/>
        </w:rPr>
        <w:t>6.10</w:t>
      </w:r>
      <w:r>
        <w:rPr>
          <w:b/>
          <w:bCs/>
          <w:lang w:val="en-US"/>
        </w:rPr>
        <w:tab/>
      </w:r>
      <w:r w:rsidR="004A5CF9">
        <w:rPr>
          <w:b/>
          <w:bCs/>
          <w:lang w:val="en-US"/>
        </w:rPr>
        <w:t>Breakout session:</w:t>
      </w:r>
      <w:r w:rsidR="004A5CF9" w:rsidRPr="00D35C6B">
        <w:rPr>
          <w:b/>
          <w:bCs/>
          <w:lang w:val="en-US"/>
        </w:rPr>
        <w:t xml:space="preserve"> ICT data and statistics</w:t>
      </w:r>
    </w:p>
    <w:p w:rsidR="004A5CF9" w:rsidRDefault="004A5CF9" w:rsidP="004A5CF9">
      <w:pPr>
        <w:rPr>
          <w:lang w:val="en-US"/>
        </w:rPr>
      </w:pPr>
      <w:r>
        <w:t xml:space="preserve">During the breakout session on ICT data and statistics, participants underlined the need to </w:t>
      </w:r>
      <w:r>
        <w:rPr>
          <w:rFonts w:ascii="Calibri" w:hAnsi="Calibri"/>
        </w:rPr>
        <w:t>maintain</w:t>
      </w:r>
      <w:r w:rsidRPr="00370AB8">
        <w:rPr>
          <w:rFonts w:ascii="Calibri" w:hAnsi="Calibri"/>
        </w:rPr>
        <w:t xml:space="preserve"> ITU</w:t>
      </w:r>
      <w:r>
        <w:rPr>
          <w:rFonts w:ascii="Calibri" w:hAnsi="Calibri"/>
        </w:rPr>
        <w:t>’s role</w:t>
      </w:r>
      <w:r w:rsidRPr="00D35C6B">
        <w:rPr>
          <w:lang w:val="en-US"/>
        </w:rPr>
        <w:t xml:space="preserve"> as the main source for </w:t>
      </w:r>
      <w:r w:rsidR="007F6580" w:rsidRPr="00D35C6B">
        <w:rPr>
          <w:lang w:val="en-US"/>
        </w:rPr>
        <w:t xml:space="preserve">global </w:t>
      </w:r>
      <w:r w:rsidRPr="00D35C6B">
        <w:rPr>
          <w:lang w:val="en-US"/>
        </w:rPr>
        <w:t xml:space="preserve">ICT data, </w:t>
      </w:r>
      <w:r w:rsidR="007F6580">
        <w:rPr>
          <w:lang w:val="en-US"/>
        </w:rPr>
        <w:t xml:space="preserve">and that </w:t>
      </w:r>
      <w:r w:rsidRPr="00D35C6B">
        <w:rPr>
          <w:lang w:val="en-US"/>
        </w:rPr>
        <w:t xml:space="preserve">trust, relevance, visibility, </w:t>
      </w:r>
      <w:r>
        <w:rPr>
          <w:lang w:val="en-US"/>
        </w:rPr>
        <w:t>accessibility</w:t>
      </w:r>
      <w:r w:rsidRPr="00D35C6B">
        <w:rPr>
          <w:lang w:val="en-US"/>
        </w:rPr>
        <w:t xml:space="preserve"> to data</w:t>
      </w:r>
      <w:r w:rsidR="007F6580">
        <w:rPr>
          <w:lang w:val="en-US"/>
        </w:rPr>
        <w:t>,</w:t>
      </w:r>
      <w:r w:rsidRPr="00D35C6B">
        <w:rPr>
          <w:lang w:val="en-US"/>
        </w:rPr>
        <w:t xml:space="preserve"> and cooperation with various stakeholders are essential components. </w:t>
      </w:r>
      <w:r w:rsidR="007F6580">
        <w:rPr>
          <w:lang w:val="en-US"/>
        </w:rPr>
        <w:t xml:space="preserve">Participants agreed that </w:t>
      </w:r>
      <w:r>
        <w:t xml:space="preserve">data </w:t>
      </w:r>
      <w:r w:rsidR="00DF01C2">
        <w:t xml:space="preserve">should be </w:t>
      </w:r>
      <w:r>
        <w:t xml:space="preserve">collected on emerging topics and new services, in partnership with other relevant organizations. Statistical work should be shared with </w:t>
      </w:r>
      <w:r w:rsidRPr="00370AB8">
        <w:rPr>
          <w:rFonts w:ascii="Calibri" w:hAnsi="Calibri"/>
        </w:rPr>
        <w:t>ITU study groups</w:t>
      </w:r>
      <w:r>
        <w:rPr>
          <w:rFonts w:ascii="Calibri" w:hAnsi="Calibri"/>
        </w:rPr>
        <w:t xml:space="preserve"> as needed</w:t>
      </w:r>
      <w:r>
        <w:t>.</w:t>
      </w:r>
      <w:r w:rsidRPr="00D35C6B">
        <w:rPr>
          <w:lang w:val="en-US"/>
        </w:rPr>
        <w:t xml:space="preserve"> The </w:t>
      </w:r>
      <w:r w:rsidRPr="00443450">
        <w:t>Measuring the Information Society Report</w:t>
      </w:r>
      <w:r w:rsidRPr="00443450" w:rsidDel="00443450">
        <w:rPr>
          <w:lang w:val="en-US"/>
        </w:rPr>
        <w:t xml:space="preserve"> </w:t>
      </w:r>
      <w:r w:rsidRPr="00D35C6B">
        <w:rPr>
          <w:lang w:val="en-US"/>
        </w:rPr>
        <w:t>could be divided into a series of smaller, more focused reports, which would enhance visibility and impact</w:t>
      </w:r>
      <w:r>
        <w:t xml:space="preserve">. However, participants noted that there </w:t>
      </w:r>
      <w:r>
        <w:rPr>
          <w:rFonts w:ascii="Calibri" w:hAnsi="Calibri"/>
        </w:rPr>
        <w:t xml:space="preserve">could be </w:t>
      </w:r>
      <w:r>
        <w:t xml:space="preserve">drawbacks with this approach as they wanted everything contained in one publication that could serve as reference. Cost implications should be studied on submitting questionnaires in all the six languages, including translation of all documents into all official languages. Some suggested that </w:t>
      </w:r>
      <w:r w:rsidRPr="00D35C6B">
        <w:rPr>
          <w:lang w:val="en-US"/>
        </w:rPr>
        <w:t xml:space="preserve">ITU should be pragmatic and realistic when including new indicators in the </w:t>
      </w:r>
      <w:r>
        <w:rPr>
          <w:lang w:val="en-US"/>
        </w:rPr>
        <w:t>ICT Development Index</w:t>
      </w:r>
      <w:r w:rsidRPr="00D35C6B">
        <w:rPr>
          <w:lang w:val="en-US"/>
        </w:rPr>
        <w:t xml:space="preserve">, focusing on indicators with widely available </w:t>
      </w:r>
      <w:r>
        <w:rPr>
          <w:lang w:val="en-US"/>
        </w:rPr>
        <w:t xml:space="preserve">quality </w:t>
      </w:r>
      <w:r w:rsidRPr="00D35C6B">
        <w:rPr>
          <w:lang w:val="en-US"/>
        </w:rPr>
        <w:t xml:space="preserve">data. The conceptual framework </w:t>
      </w:r>
      <w:r>
        <w:rPr>
          <w:lang w:val="en-US"/>
        </w:rPr>
        <w:t xml:space="preserve">also </w:t>
      </w:r>
      <w:r w:rsidRPr="00D35C6B">
        <w:rPr>
          <w:lang w:val="en-US"/>
        </w:rPr>
        <w:t xml:space="preserve">needs to be </w:t>
      </w:r>
      <w:r>
        <w:t xml:space="preserve">continuously </w:t>
      </w:r>
      <w:r w:rsidRPr="00D35C6B">
        <w:rPr>
          <w:lang w:val="en-US"/>
        </w:rPr>
        <w:t xml:space="preserve">revisited. The </w:t>
      </w:r>
      <w:r>
        <w:rPr>
          <w:lang w:val="en-US"/>
        </w:rPr>
        <w:t>ICT Development Index</w:t>
      </w:r>
      <w:r w:rsidRPr="00D35C6B" w:rsidDel="00443450">
        <w:rPr>
          <w:lang w:val="en-US"/>
        </w:rPr>
        <w:t xml:space="preserve"> </w:t>
      </w:r>
      <w:r w:rsidRPr="00D35C6B">
        <w:rPr>
          <w:lang w:val="en-US"/>
        </w:rPr>
        <w:t xml:space="preserve">analysis could be enhanced by exploring a number of factors that potentially impact the rankings and </w:t>
      </w:r>
      <w:r>
        <w:rPr>
          <w:lang w:val="en-US"/>
        </w:rPr>
        <w:t xml:space="preserve">by </w:t>
      </w:r>
      <w:r w:rsidRPr="00D35C6B">
        <w:rPr>
          <w:lang w:val="en-US"/>
        </w:rPr>
        <w:t>including policy recommendations.</w:t>
      </w:r>
    </w:p>
    <w:p w:rsidR="007F6580" w:rsidRDefault="007F6580" w:rsidP="00667E60">
      <w:pPr>
        <w:rPr>
          <w:rStyle w:val="Hyperlink"/>
          <w:color w:val="auto"/>
          <w:u w:val="none"/>
        </w:rPr>
      </w:pPr>
      <w:r>
        <w:rPr>
          <w:lang w:val="en-US"/>
        </w:rPr>
        <w:t xml:space="preserve">In </w:t>
      </w:r>
      <w:hyperlink r:id="rId35" w:history="1">
        <w:r w:rsidR="004A5CF9" w:rsidRPr="00957B6C">
          <w:rPr>
            <w:rStyle w:val="Hyperlink"/>
            <w:rFonts w:cstheme="minorHAnsi"/>
            <w:b/>
            <w:bCs/>
            <w:szCs w:val="24"/>
          </w:rPr>
          <w:t>Document 35</w:t>
        </w:r>
      </w:hyperlink>
      <w:r>
        <w:rPr>
          <w:rStyle w:val="Hyperlink"/>
          <w:rFonts w:cstheme="minorHAnsi"/>
          <w:b/>
          <w:bCs/>
          <w:szCs w:val="24"/>
        </w:rPr>
        <w:t xml:space="preserve">, </w:t>
      </w:r>
      <w:r>
        <w:rPr>
          <w:rFonts w:cstheme="minorHAnsi"/>
          <w:color w:val="000000" w:themeColor="text1"/>
          <w:szCs w:val="24"/>
        </w:rPr>
        <w:t xml:space="preserve">the </w:t>
      </w:r>
      <w:r w:rsidRPr="00E7531C">
        <w:rPr>
          <w:rFonts w:cstheme="minorHAnsi"/>
          <w:b/>
          <w:color w:val="000000" w:themeColor="text1"/>
          <w:szCs w:val="24"/>
        </w:rPr>
        <w:t>Russian Federation</w:t>
      </w:r>
      <w:r>
        <w:rPr>
          <w:rFonts w:cstheme="minorHAnsi"/>
          <w:color w:val="000000" w:themeColor="text1"/>
          <w:szCs w:val="24"/>
        </w:rPr>
        <w:t xml:space="preserve"> </w:t>
      </w:r>
      <w:r w:rsidRPr="00957B6C">
        <w:rPr>
          <w:rFonts w:cstheme="minorHAnsi"/>
          <w:color w:val="000000" w:themeColor="text1"/>
          <w:szCs w:val="24"/>
        </w:rPr>
        <w:t>suggest</w:t>
      </w:r>
      <w:r>
        <w:rPr>
          <w:rFonts w:cstheme="minorHAnsi"/>
          <w:color w:val="000000" w:themeColor="text1"/>
          <w:szCs w:val="24"/>
        </w:rPr>
        <w:t xml:space="preserve">ed </w:t>
      </w:r>
      <w:r w:rsidRPr="00957B6C">
        <w:rPr>
          <w:rFonts w:cstheme="minorHAnsi"/>
          <w:color w:val="000000" w:themeColor="text1"/>
          <w:szCs w:val="24"/>
        </w:rPr>
        <w:t xml:space="preserve">actions to fulfil the new instruction given in </w:t>
      </w:r>
      <w:r w:rsidR="004A5CF9" w:rsidRPr="00957B6C">
        <w:rPr>
          <w:rFonts w:cstheme="minorHAnsi"/>
          <w:color w:val="000000" w:themeColor="text1"/>
          <w:szCs w:val="24"/>
        </w:rPr>
        <w:t xml:space="preserve">Resolution 131 (Rev. Dubai, 2018) </w:t>
      </w:r>
      <w:r>
        <w:rPr>
          <w:rFonts w:cstheme="minorHAnsi"/>
          <w:color w:val="000000" w:themeColor="text1"/>
          <w:szCs w:val="24"/>
        </w:rPr>
        <w:t>(</w:t>
      </w:r>
      <w:r w:rsidR="004A5CF9" w:rsidRPr="00957B6C">
        <w:rPr>
          <w:rFonts w:cstheme="minorHAnsi"/>
          <w:color w:val="000000" w:themeColor="text1"/>
          <w:szCs w:val="24"/>
        </w:rPr>
        <w:t>Measuring Information and Communication Technologies to Build an Integrating and Inclusive Information Society</w:t>
      </w:r>
      <w:r>
        <w:rPr>
          <w:rFonts w:cstheme="minorHAnsi"/>
          <w:color w:val="000000" w:themeColor="text1"/>
          <w:szCs w:val="24"/>
        </w:rPr>
        <w:t xml:space="preserve">) for </w:t>
      </w:r>
      <w:r w:rsidR="004A5CF9" w:rsidRPr="00957B6C">
        <w:rPr>
          <w:rFonts w:cstheme="minorHAnsi"/>
          <w:szCs w:val="24"/>
        </w:rPr>
        <w:t xml:space="preserve">ITU-D study groups to take into account the relevant findings </w:t>
      </w:r>
      <w:r>
        <w:rPr>
          <w:rFonts w:cstheme="minorHAnsi"/>
          <w:szCs w:val="24"/>
        </w:rPr>
        <w:t xml:space="preserve">in </w:t>
      </w:r>
      <w:r w:rsidR="004A5CF9" w:rsidRPr="00957B6C">
        <w:rPr>
          <w:rFonts w:cstheme="minorHAnsi"/>
          <w:szCs w:val="24"/>
        </w:rPr>
        <w:t>the “</w:t>
      </w:r>
      <w:hyperlink r:id="rId36" w:history="1">
        <w:r w:rsidR="004A5CF9" w:rsidRPr="009578E6">
          <w:rPr>
            <w:rStyle w:val="Hyperlink"/>
          </w:rPr>
          <w:t>Measuring the Information Society Report</w:t>
        </w:r>
      </w:hyperlink>
      <w:r w:rsidR="004A5CF9">
        <w:rPr>
          <w:rStyle w:val="Hyperlink"/>
          <w:color w:val="auto"/>
          <w:u w:val="none"/>
        </w:rPr>
        <w:t>” (MISR)</w:t>
      </w:r>
      <w:r w:rsidR="00DF01C2">
        <w:rPr>
          <w:rStyle w:val="Hyperlink"/>
          <w:color w:val="auto"/>
          <w:u w:val="none"/>
        </w:rPr>
        <w:t>.</w:t>
      </w:r>
    </w:p>
    <w:p w:rsidR="004A5CF9" w:rsidRPr="00427837" w:rsidRDefault="004A5CF9" w:rsidP="004A5CF9">
      <w:pPr>
        <w:spacing w:after="120"/>
        <w:rPr>
          <w:color w:val="000000" w:themeColor="text1"/>
        </w:rPr>
      </w:pPr>
      <w:r w:rsidRPr="00427837">
        <w:rPr>
          <w:color w:val="000000" w:themeColor="text1"/>
        </w:rPr>
        <w:t xml:space="preserve">TDAG agreed that IDS staff should present data to study group meetings relevant to questions under consideration. Rapporteurs or vice-chairmen of study groups could also attend the statistical expert meetings </w:t>
      </w:r>
      <w:r>
        <w:t xml:space="preserve">and could </w:t>
      </w:r>
      <w:r w:rsidRPr="00427837">
        <w:rPr>
          <w:color w:val="000000" w:themeColor="text1"/>
        </w:rPr>
        <w:t>provide inputs. However, this should not add to the workload of study groups.</w:t>
      </w:r>
    </w:p>
    <w:tbl>
      <w:tblPr>
        <w:tblStyle w:val="TableGrid"/>
        <w:tblW w:w="0" w:type="auto"/>
        <w:tblLook w:val="04A0" w:firstRow="1" w:lastRow="0" w:firstColumn="1" w:lastColumn="0" w:noHBand="0" w:noVBand="1"/>
      </w:tblPr>
      <w:tblGrid>
        <w:gridCol w:w="9629"/>
      </w:tblGrid>
      <w:tr w:rsidR="004A5CF9" w:rsidRPr="00957B6C" w:rsidTr="008D0BF6">
        <w:tc>
          <w:tcPr>
            <w:tcW w:w="9629" w:type="dxa"/>
          </w:tcPr>
          <w:p w:rsidR="004A5CF9" w:rsidRPr="00957B6C" w:rsidRDefault="004A5CF9" w:rsidP="008D0BF6">
            <w:pPr>
              <w:keepLines/>
              <w:spacing w:after="120"/>
              <w:rPr>
                <w:rFonts w:cstheme="minorHAnsi"/>
                <w:color w:val="000000" w:themeColor="text1"/>
                <w:szCs w:val="24"/>
              </w:rPr>
            </w:pPr>
            <w:r w:rsidRPr="00477AE6">
              <w:rPr>
                <w:rFonts w:eastAsia="Calibri" w:cs="Calibri"/>
              </w:rPr>
              <w:t xml:space="preserve">TDAG agreed that relevant ITU ICT statistics and information on the latest publications should be made available to study groups, that revision or update to such data should </w:t>
            </w:r>
            <w:r w:rsidR="007813FF">
              <w:rPr>
                <w:rFonts w:eastAsia="Calibri" w:cs="Calibri"/>
              </w:rPr>
              <w:t xml:space="preserve">be made by experts in the statistics field in the expert group </w:t>
            </w:r>
            <w:r w:rsidRPr="00477AE6">
              <w:rPr>
                <w:rFonts w:eastAsia="Calibri" w:cs="Calibri"/>
              </w:rPr>
              <w:t>and that members of study groups c</w:t>
            </w:r>
            <w:r w:rsidR="00DF01C2">
              <w:rPr>
                <w:rFonts w:eastAsia="Calibri" w:cs="Calibri"/>
              </w:rPr>
              <w:t xml:space="preserve">ould </w:t>
            </w:r>
            <w:r w:rsidRPr="00477AE6">
              <w:rPr>
                <w:rFonts w:eastAsia="Calibri" w:cs="Calibri"/>
              </w:rPr>
              <w:t>be invited to attend these meetings</w:t>
            </w:r>
            <w:r w:rsidR="00877E0B">
              <w:rPr>
                <w:rFonts w:eastAsia="Calibri" w:cs="Calibri"/>
              </w:rPr>
              <w:t>,</w:t>
            </w:r>
            <w:r w:rsidRPr="00477AE6">
              <w:rPr>
                <w:rFonts w:eastAsia="Calibri" w:cs="Calibri"/>
              </w:rPr>
              <w:t xml:space="preserve"> as appropriate.</w:t>
            </w:r>
            <w:r>
              <w:rPr>
                <w:rFonts w:eastAsia="Calibri" w:cs="Calibri"/>
              </w:rPr>
              <w:t xml:space="preserve"> </w:t>
            </w:r>
          </w:p>
        </w:tc>
      </w:tr>
    </w:tbl>
    <w:p w:rsidR="004A5CF9" w:rsidRPr="00BF5B1F" w:rsidRDefault="00256D72" w:rsidP="00EA4144">
      <w:pPr>
        <w:keepNext/>
        <w:spacing w:before="240" w:after="120"/>
        <w:ind w:left="505" w:hanging="505"/>
        <w:rPr>
          <w:rStyle w:val="StyleComplex12pt"/>
          <w:rFonts w:cstheme="minorHAnsi"/>
          <w:b/>
          <w:bCs/>
        </w:rPr>
      </w:pPr>
      <w:r>
        <w:rPr>
          <w:rStyle w:val="StyleComplex12pt"/>
          <w:rFonts w:cstheme="minorHAnsi"/>
          <w:b/>
          <w:bCs/>
        </w:rPr>
        <w:t>6.11</w:t>
      </w:r>
      <w:r w:rsidR="00EA4144">
        <w:rPr>
          <w:rStyle w:val="StyleComplex12pt"/>
          <w:rFonts w:cstheme="minorHAnsi"/>
          <w:b/>
          <w:bCs/>
        </w:rPr>
        <w:tab/>
      </w:r>
      <w:r w:rsidR="004A5CF9" w:rsidRPr="00BF5B1F">
        <w:rPr>
          <w:rStyle w:val="StyleComplex12pt"/>
          <w:rFonts w:cstheme="minorHAnsi"/>
          <w:b/>
          <w:bCs/>
        </w:rPr>
        <w:t>Emergency telecommunications, climate change, e-waste, LDCs, LLDCs, and SIDS</w:t>
      </w:r>
    </w:p>
    <w:p w:rsidR="004A5CF9" w:rsidRPr="00957B6C" w:rsidRDefault="00EA4144" w:rsidP="004A5CF9">
      <w:pPr>
        <w:tabs>
          <w:tab w:val="clear" w:pos="1134"/>
          <w:tab w:val="clear" w:pos="1871"/>
          <w:tab w:val="clear" w:pos="2268"/>
        </w:tabs>
        <w:overflowPunct/>
        <w:autoSpaceDE/>
        <w:autoSpaceDN/>
        <w:adjustRightInd/>
        <w:spacing w:after="120"/>
        <w:textAlignment w:val="auto"/>
        <w:rPr>
          <w:rFonts w:eastAsia="Calibri" w:cstheme="minorHAnsi"/>
          <w:szCs w:val="24"/>
        </w:rPr>
      </w:pPr>
      <w:hyperlink r:id="rId37" w:history="1">
        <w:r w:rsidR="004A5CF9" w:rsidRPr="00957B6C">
          <w:rPr>
            <w:rStyle w:val="Hyperlink"/>
            <w:rFonts w:cstheme="minorHAnsi"/>
            <w:b/>
            <w:bCs/>
            <w:szCs w:val="24"/>
          </w:rPr>
          <w:t>Document 26</w:t>
        </w:r>
      </w:hyperlink>
      <w:r w:rsidR="004A5CF9" w:rsidRPr="00957B6C">
        <w:rPr>
          <w:rFonts w:cstheme="minorHAnsi"/>
          <w:b/>
          <w:bCs/>
          <w:color w:val="000000" w:themeColor="text1"/>
          <w:szCs w:val="24"/>
        </w:rPr>
        <w:t>:</w:t>
      </w:r>
      <w:r w:rsidR="004A5CF9" w:rsidRPr="00957B6C">
        <w:rPr>
          <w:rFonts w:cstheme="minorHAnsi"/>
          <w:color w:val="000000" w:themeColor="text1"/>
          <w:szCs w:val="24"/>
        </w:rPr>
        <w:t xml:space="preserve"> provides a summary of work on </w:t>
      </w:r>
      <w:r w:rsidR="007813FF">
        <w:rPr>
          <w:rFonts w:cstheme="minorHAnsi"/>
          <w:color w:val="000000" w:themeColor="text1"/>
          <w:szCs w:val="24"/>
        </w:rPr>
        <w:t xml:space="preserve">these topics and describes </w:t>
      </w:r>
      <w:r w:rsidR="004A5CF9" w:rsidRPr="00957B6C">
        <w:rPr>
          <w:rFonts w:cstheme="minorHAnsi"/>
          <w:szCs w:val="24"/>
        </w:rPr>
        <w:t>concentrated assistance to l</w:t>
      </w:r>
      <w:r w:rsidR="004A5CF9" w:rsidRPr="00957B6C">
        <w:rPr>
          <w:rFonts w:eastAsia="Batang" w:cstheme="minorHAnsi"/>
          <w:color w:val="000000" w:themeColor="text1"/>
          <w:szCs w:val="24"/>
        </w:rPr>
        <w:t>east developed countries (LDCs), landlocked developing countries (LLDCs) and small island developing states (SIDS)</w:t>
      </w:r>
      <w:r w:rsidR="004A5CF9" w:rsidRPr="00957B6C">
        <w:rPr>
          <w:rFonts w:eastAsia="Calibri" w:cstheme="minorHAnsi"/>
          <w:szCs w:val="24"/>
        </w:rPr>
        <w:t xml:space="preserve">. </w:t>
      </w:r>
    </w:p>
    <w:p w:rsidR="004A5CF9" w:rsidRPr="00957B6C" w:rsidRDefault="004A5CF9" w:rsidP="004A5CF9">
      <w:pPr>
        <w:tabs>
          <w:tab w:val="clear" w:pos="1134"/>
          <w:tab w:val="clear" w:pos="1871"/>
          <w:tab w:val="clear" w:pos="2268"/>
        </w:tabs>
        <w:overflowPunct/>
        <w:autoSpaceDE/>
        <w:autoSpaceDN/>
        <w:adjustRightInd/>
        <w:spacing w:after="120"/>
        <w:textAlignment w:val="auto"/>
        <w:rPr>
          <w:rFonts w:cstheme="minorHAnsi"/>
          <w:szCs w:val="24"/>
        </w:rPr>
      </w:pPr>
      <w:r w:rsidRPr="00957B6C">
        <w:rPr>
          <w:rFonts w:eastAsia="Calibri" w:cstheme="minorHAnsi"/>
          <w:szCs w:val="24"/>
        </w:rPr>
        <w:t>Activities implemented in 2018 included face-to-face and online training, sharing guidelines and good practices on ICT access and use as part of policy guidance. A</w:t>
      </w:r>
      <w:r w:rsidRPr="00957B6C">
        <w:rPr>
          <w:rFonts w:cstheme="minorHAnsi"/>
          <w:szCs w:val="24"/>
        </w:rPr>
        <w:t xml:space="preserve"> special </w:t>
      </w:r>
      <w:r w:rsidRPr="00957B6C">
        <w:rPr>
          <w:rFonts w:eastAsia="Batang" w:cstheme="minorHAnsi"/>
          <w:szCs w:val="24"/>
        </w:rPr>
        <w:t>report “</w:t>
      </w:r>
      <w:hyperlink r:id="rId38" w:history="1">
        <w:r w:rsidRPr="00957B6C">
          <w:rPr>
            <w:rStyle w:val="Hyperlink"/>
            <w:rFonts w:eastAsia="Batang" w:cstheme="minorHAnsi"/>
            <w:color w:val="auto"/>
            <w:szCs w:val="24"/>
            <w:u w:val="none"/>
          </w:rPr>
          <w:t xml:space="preserve">ICTs, LDCs, and </w:t>
        </w:r>
        <w:r w:rsidRPr="00957B6C">
          <w:rPr>
            <w:rStyle w:val="Hyperlink"/>
            <w:rFonts w:eastAsia="Batang" w:cstheme="minorHAnsi"/>
            <w:color w:val="auto"/>
            <w:szCs w:val="24"/>
            <w:u w:val="none"/>
          </w:rPr>
          <w:lastRenderedPageBreak/>
          <w:t xml:space="preserve">the SDGs – </w:t>
        </w:r>
        <w:r w:rsidRPr="007B36B3">
          <w:rPr>
            <w:rStyle w:val="Hyperlink"/>
            <w:rFonts w:eastAsia="Batang" w:cstheme="minorHAnsi"/>
            <w:color w:val="auto"/>
            <w:szCs w:val="24"/>
          </w:rPr>
          <w:t>Achieving Universal and Affordable Internet in the LDCs</w:t>
        </w:r>
      </w:hyperlink>
      <w:r w:rsidRPr="00957B6C">
        <w:rPr>
          <w:rFonts w:eastAsia="Batang" w:cstheme="minorHAnsi"/>
          <w:szCs w:val="24"/>
        </w:rPr>
        <w:t>” has been published, highlighting that</w:t>
      </w:r>
      <w:bookmarkStart w:id="14" w:name="_Hlk8839145"/>
      <w:r w:rsidRPr="00957B6C">
        <w:rPr>
          <w:rFonts w:eastAsia="Batang" w:cstheme="minorHAnsi"/>
          <w:szCs w:val="24"/>
        </w:rPr>
        <w:t xml:space="preserve">, while Internet access has increased substantially, </w:t>
      </w:r>
      <w:r w:rsidRPr="00957B6C">
        <w:rPr>
          <w:rFonts w:cstheme="minorHAnsi"/>
          <w:szCs w:val="24"/>
        </w:rPr>
        <w:t xml:space="preserve">800 million people in LDCs </w:t>
      </w:r>
      <w:r>
        <w:rPr>
          <w:rFonts w:cstheme="minorHAnsi"/>
          <w:szCs w:val="24"/>
        </w:rPr>
        <w:t>are still unconnected</w:t>
      </w:r>
      <w:r w:rsidRPr="00957B6C">
        <w:rPr>
          <w:rFonts w:cstheme="minorHAnsi"/>
          <w:szCs w:val="24"/>
        </w:rPr>
        <w:t xml:space="preserve">. </w:t>
      </w:r>
      <w:bookmarkEnd w:id="14"/>
    </w:p>
    <w:p w:rsidR="004A5CF9" w:rsidRPr="00957B6C" w:rsidRDefault="004A5CF9" w:rsidP="004A5CF9">
      <w:pPr>
        <w:overflowPunct/>
        <w:autoSpaceDE/>
        <w:autoSpaceDN/>
        <w:adjustRightInd/>
        <w:spacing w:after="120"/>
        <w:textAlignment w:val="auto"/>
        <w:rPr>
          <w:rFonts w:cstheme="minorHAnsi"/>
          <w:bCs/>
          <w:szCs w:val="24"/>
          <w:bdr w:val="none" w:sz="0" w:space="0" w:color="auto" w:frame="1"/>
          <w:shd w:val="clear" w:color="auto" w:fill="FFFFFF"/>
          <w:lang w:eastAsia="zh-CN"/>
        </w:rPr>
      </w:pPr>
      <w:r w:rsidRPr="00957B6C">
        <w:rPr>
          <w:rFonts w:cstheme="minorHAnsi"/>
          <w:szCs w:val="24"/>
        </w:rPr>
        <w:t>BDT worked within the Environment Management Group (EMG) and was instrumental in</w:t>
      </w:r>
      <w:r w:rsidR="00070DBE">
        <w:rPr>
          <w:rFonts w:cstheme="minorHAnsi"/>
          <w:szCs w:val="24"/>
        </w:rPr>
        <w:t xml:space="preserve"> </w:t>
      </w:r>
      <w:r w:rsidRPr="00957B6C">
        <w:rPr>
          <w:rFonts w:cstheme="minorHAnsi"/>
          <w:szCs w:val="24"/>
        </w:rPr>
        <w:t>establish</w:t>
      </w:r>
      <w:r w:rsidR="007813FF">
        <w:rPr>
          <w:rFonts w:cstheme="minorHAnsi"/>
          <w:szCs w:val="24"/>
        </w:rPr>
        <w:t xml:space="preserve">ing </w:t>
      </w:r>
      <w:r w:rsidRPr="00957B6C">
        <w:rPr>
          <w:rFonts w:cstheme="minorHAnsi"/>
          <w:szCs w:val="24"/>
        </w:rPr>
        <w:t xml:space="preserve">what is now known as the </w:t>
      </w:r>
      <w:r w:rsidRPr="007B36B3">
        <w:rPr>
          <w:rFonts w:cstheme="minorHAnsi"/>
          <w:szCs w:val="24"/>
          <w:u w:val="single"/>
        </w:rPr>
        <w:t>E-waste Coalition</w:t>
      </w:r>
      <w:r w:rsidRPr="00957B6C">
        <w:rPr>
          <w:rFonts w:cstheme="minorHAnsi"/>
          <w:szCs w:val="24"/>
        </w:rPr>
        <w:t xml:space="preserve">. During the annual meeting of the World Economic Forum in Davos, the E-waste Coalition published the report </w:t>
      </w:r>
      <w:r w:rsidRPr="00957B6C">
        <w:rPr>
          <w:rFonts w:cstheme="minorHAnsi"/>
          <w:bCs/>
          <w:szCs w:val="24"/>
        </w:rPr>
        <w:t>“</w:t>
      </w:r>
      <w:hyperlink r:id="rId39" w:history="1">
        <w:r w:rsidRPr="00957B6C">
          <w:rPr>
            <w:rStyle w:val="Hyperlink"/>
            <w:rFonts w:cstheme="minorHAnsi"/>
            <w:bCs/>
            <w:color w:val="auto"/>
            <w:szCs w:val="24"/>
            <w:u w:val="none"/>
          </w:rPr>
          <w:t>A New Circular Vision for Electronics - Time for a Global Reboot</w:t>
        </w:r>
      </w:hyperlink>
      <w:r w:rsidRPr="00957B6C">
        <w:rPr>
          <w:rFonts w:cstheme="minorHAnsi"/>
          <w:szCs w:val="24"/>
        </w:rPr>
        <w:t xml:space="preserve">”, in which ITU and six other UN entities came together, with the </w:t>
      </w:r>
      <w:r w:rsidRPr="00957B6C">
        <w:rPr>
          <w:rFonts w:cstheme="minorHAnsi"/>
          <w:bCs/>
          <w:szCs w:val="24"/>
          <w:bdr w:val="none" w:sz="0" w:space="0" w:color="auto" w:frame="1"/>
          <w:shd w:val="clear" w:color="auto" w:fill="FFFFFF"/>
          <w:lang w:eastAsia="zh-CN"/>
        </w:rPr>
        <w:t>support of the World Economic Forum and World Business Council for Sustainable Development, and called for an overhaul of the current electronic system, with the aim of supporting international efforts to address challenges relating to e-waste.</w:t>
      </w:r>
    </w:p>
    <w:p w:rsidR="004A5CF9" w:rsidRPr="00957B6C" w:rsidRDefault="004A5CF9" w:rsidP="004A5CF9">
      <w:pPr>
        <w:overflowPunct/>
        <w:autoSpaceDE/>
        <w:autoSpaceDN/>
        <w:adjustRightInd/>
        <w:spacing w:after="120"/>
        <w:textAlignment w:val="auto"/>
        <w:rPr>
          <w:rFonts w:ascii="Droid Serif" w:hAnsi="Droid Serif" w:cs="Droid Serif"/>
          <w:color w:val="000000"/>
        </w:rPr>
      </w:pPr>
      <w:r w:rsidRPr="00957B6C">
        <w:rPr>
          <w:rFonts w:cstheme="minorHAnsi"/>
          <w:szCs w:val="24"/>
        </w:rPr>
        <w:t xml:space="preserve">BDT organized the 3rd Global Forum on Emergency Telecommunications (GET-19): Saving Lives, held from 6 to 8 March 2019, in Balaclava, Mauritius. It was attended by multi-stakeholders from governments and private sector, international and non-governmental organizations. </w:t>
      </w:r>
    </w:p>
    <w:p w:rsidR="004A5CF9" w:rsidRDefault="004A5CF9" w:rsidP="004A5CF9">
      <w:pPr>
        <w:overflowPunct/>
        <w:autoSpaceDE/>
        <w:autoSpaceDN/>
        <w:adjustRightInd/>
        <w:spacing w:after="120"/>
        <w:textAlignment w:val="auto"/>
        <w:rPr>
          <w:rFonts w:ascii="Calibri" w:hAnsi="Calibri"/>
          <w:b/>
          <w:bCs/>
          <w:color w:val="000000"/>
          <w:lang w:val="en-US"/>
        </w:rPr>
      </w:pPr>
      <w:r w:rsidRPr="002F42F5">
        <w:rPr>
          <w:rFonts w:cstheme="minorHAnsi"/>
          <w:szCs w:val="24"/>
        </w:rPr>
        <w:t>A question was raised as to whether BDT plans to</w:t>
      </w:r>
      <w:r>
        <w:rPr>
          <w:rFonts w:cstheme="minorHAnsi"/>
          <w:szCs w:val="24"/>
        </w:rPr>
        <w:t xml:space="preserve"> write</w:t>
      </w:r>
      <w:r w:rsidRPr="002F42F5">
        <w:rPr>
          <w:rFonts w:cstheme="minorHAnsi"/>
          <w:szCs w:val="24"/>
        </w:rPr>
        <w:t xml:space="preserve"> similar reports on LLDCs and SIDS</w:t>
      </w:r>
      <w:r>
        <w:rPr>
          <w:rFonts w:cstheme="minorHAnsi"/>
          <w:szCs w:val="24"/>
        </w:rPr>
        <w:t xml:space="preserve"> that</w:t>
      </w:r>
      <w:r w:rsidRPr="002F42F5">
        <w:rPr>
          <w:rFonts w:cstheme="minorHAnsi"/>
          <w:szCs w:val="24"/>
        </w:rPr>
        <w:t xml:space="preserve"> face unique challenges due to transit relationship.</w:t>
      </w:r>
      <w:r>
        <w:rPr>
          <w:rFonts w:cstheme="minorHAnsi"/>
          <w:szCs w:val="24"/>
        </w:rPr>
        <w:t xml:space="preserve"> BDT confirmed that similar reports </w:t>
      </w:r>
      <w:r w:rsidRPr="0062597A">
        <w:rPr>
          <w:rFonts w:ascii="Calibri" w:hAnsi="Calibri"/>
          <w:color w:val="000000"/>
          <w:lang w:val="en-US"/>
        </w:rPr>
        <w:t>are being prepared jointly with the Office of the High Representative for LDCs, LLDCs and SIDS in New York.</w:t>
      </w:r>
    </w:p>
    <w:p w:rsidR="004A5CF9" w:rsidRPr="007D7141" w:rsidRDefault="004A5CF9" w:rsidP="004A5CF9">
      <w:pPr>
        <w:pStyle w:val="NormalWeb"/>
        <w:spacing w:before="120" w:beforeAutospacing="0" w:after="120" w:afterAutospacing="0"/>
        <w:rPr>
          <w:rFonts w:asciiTheme="minorHAnsi" w:hAnsiTheme="minorHAnsi"/>
        </w:rPr>
      </w:pPr>
      <w:r w:rsidRPr="007D7141">
        <w:rPr>
          <w:rFonts w:asciiTheme="minorHAnsi" w:hAnsiTheme="minorHAnsi" w:cs="Droid Serif"/>
        </w:rPr>
        <w:t xml:space="preserve">Clarification was </w:t>
      </w:r>
      <w:r>
        <w:rPr>
          <w:rFonts w:asciiTheme="minorHAnsi" w:hAnsiTheme="minorHAnsi" w:cs="Droid Serif"/>
        </w:rPr>
        <w:t xml:space="preserve">also </w:t>
      </w:r>
      <w:r w:rsidRPr="007D7141">
        <w:rPr>
          <w:rFonts w:asciiTheme="minorHAnsi" w:hAnsiTheme="minorHAnsi" w:cs="Droid Serif"/>
        </w:rPr>
        <w:t xml:space="preserve">sought on the </w:t>
      </w:r>
      <w:r w:rsidRPr="007D7141">
        <w:rPr>
          <w:rFonts w:asciiTheme="minorHAnsi" w:hAnsiTheme="minorHAnsi" w:cs="Droid Serif"/>
          <w:lang w:val="en-US"/>
        </w:rPr>
        <w:t xml:space="preserve">methodology used in the </w:t>
      </w:r>
      <w:hyperlink r:id="rId40" w:history="1">
        <w:r w:rsidRPr="007D7141">
          <w:rPr>
            <w:rStyle w:val="Hyperlink"/>
            <w:rFonts w:asciiTheme="minorHAnsi" w:hAnsiTheme="minorHAnsi" w:cs="Droid Serif"/>
            <w:color w:val="auto"/>
            <w:u w:val="none"/>
            <w:lang w:val="en-US"/>
          </w:rPr>
          <w:t>country case studies</w:t>
        </w:r>
      </w:hyperlink>
      <w:r w:rsidRPr="007D7141">
        <w:rPr>
          <w:rFonts w:asciiTheme="minorHAnsi" w:hAnsiTheme="minorHAnsi" w:cs="Droid Serif"/>
          <w:lang w:val="en-US"/>
        </w:rPr>
        <w:t xml:space="preserve"> referenced in the document and on whether ITU had discussed possible synergies with the case studies which the </w:t>
      </w:r>
      <w:r w:rsidRPr="007D7141">
        <w:rPr>
          <w:rFonts w:asciiTheme="minorHAnsi" w:hAnsiTheme="minorHAnsi"/>
        </w:rPr>
        <w:t>United Nations Conference on Trade and Development (</w:t>
      </w:r>
      <w:r w:rsidRPr="007D7141">
        <w:rPr>
          <w:rFonts w:asciiTheme="minorHAnsi" w:hAnsiTheme="minorHAnsi" w:cs="Droid Serif"/>
          <w:lang w:val="en-US"/>
        </w:rPr>
        <w:t xml:space="preserve">UNCTAD) </w:t>
      </w:r>
      <w:r w:rsidRPr="007D7141">
        <w:rPr>
          <w:rFonts w:asciiTheme="minorHAnsi" w:hAnsiTheme="minorHAnsi"/>
        </w:rPr>
        <w:t xml:space="preserve">is carrying </w:t>
      </w:r>
      <w:r>
        <w:rPr>
          <w:rFonts w:asciiTheme="minorHAnsi" w:hAnsiTheme="minorHAnsi"/>
        </w:rPr>
        <w:t>out under its “</w:t>
      </w:r>
      <w:hyperlink r:id="rId41" w:history="1">
        <w:r w:rsidRPr="007D7141">
          <w:rPr>
            <w:rFonts w:asciiTheme="minorHAnsi" w:hAnsiTheme="minorHAnsi"/>
          </w:rPr>
          <w:t xml:space="preserve">Rapid </w:t>
        </w:r>
        <w:proofErr w:type="spellStart"/>
        <w:r w:rsidRPr="007D7141">
          <w:rPr>
            <w:rFonts w:asciiTheme="minorHAnsi" w:hAnsiTheme="minorHAnsi"/>
          </w:rPr>
          <w:t>eTrade</w:t>
        </w:r>
        <w:proofErr w:type="spellEnd"/>
        <w:r w:rsidRPr="007D7141">
          <w:rPr>
            <w:rFonts w:asciiTheme="minorHAnsi" w:hAnsiTheme="minorHAnsi"/>
          </w:rPr>
          <w:t xml:space="preserve"> Readiness Assessment of Least Developed Countries (</w:t>
        </w:r>
        <w:proofErr w:type="spellStart"/>
        <w:r w:rsidRPr="007D7141">
          <w:rPr>
            <w:rFonts w:asciiTheme="minorHAnsi" w:hAnsiTheme="minorHAnsi"/>
          </w:rPr>
          <w:t>eT</w:t>
        </w:r>
        <w:proofErr w:type="spellEnd"/>
        <w:r w:rsidRPr="007D7141">
          <w:rPr>
            <w:rFonts w:asciiTheme="minorHAnsi" w:hAnsiTheme="minorHAnsi"/>
          </w:rPr>
          <w:t xml:space="preserve"> Ready)</w:t>
        </w:r>
      </w:hyperlink>
      <w:r>
        <w:rPr>
          <w:rFonts w:asciiTheme="minorHAnsi" w:hAnsiTheme="minorHAnsi"/>
        </w:rPr>
        <w:t>”</w:t>
      </w:r>
      <w:r w:rsidRPr="007D7141">
        <w:rPr>
          <w:rFonts w:asciiTheme="minorHAnsi" w:hAnsiTheme="minorHAnsi"/>
        </w:rPr>
        <w:t>,</w:t>
      </w:r>
      <w:r w:rsidRPr="007D7141">
        <w:rPr>
          <w:rFonts w:asciiTheme="minorHAnsi" w:hAnsiTheme="minorHAnsi" w:cs="Droid Serif"/>
          <w:lang w:val="en-US"/>
        </w:rPr>
        <w:t xml:space="preserve"> especially given that one of the seven areas of those studies is “ICT infrastructure and services”.</w:t>
      </w:r>
    </w:p>
    <w:p w:rsidR="004A5CF9" w:rsidRPr="00957B6C" w:rsidRDefault="004A5CF9" w:rsidP="004A5CF9">
      <w:pPr>
        <w:spacing w:after="120"/>
        <w:rPr>
          <w:rFonts w:cstheme="minorHAnsi"/>
          <w:szCs w:val="24"/>
        </w:rPr>
      </w:pPr>
      <w:r w:rsidRPr="007D7141">
        <w:rPr>
          <w:lang w:val="en-US"/>
        </w:rPr>
        <w:t>BDT</w:t>
      </w:r>
      <w:r>
        <w:rPr>
          <w:lang w:val="en-US"/>
        </w:rPr>
        <w:t xml:space="preserve"> explained that its</w:t>
      </w:r>
      <w:r w:rsidRPr="007D7141">
        <w:rPr>
          <w:lang w:val="en-US"/>
        </w:rPr>
        <w:t xml:space="preserve"> case studies were carried out on the basis of structured interviews, survey data, and document review which translates to both primary and secondary sources. </w:t>
      </w:r>
      <w:r w:rsidRPr="007D7141">
        <w:rPr>
          <w:rStyle w:val="Strong"/>
          <w:b w:val="0"/>
          <w:bCs w:val="0"/>
          <w:lang w:val="en-US"/>
        </w:rPr>
        <w:t xml:space="preserve">The UNCTAD </w:t>
      </w:r>
      <w:proofErr w:type="spellStart"/>
      <w:r w:rsidRPr="007D7141">
        <w:rPr>
          <w:rStyle w:val="Strong"/>
          <w:b w:val="0"/>
          <w:bCs w:val="0"/>
          <w:lang w:val="en-US"/>
        </w:rPr>
        <w:t>Programme</w:t>
      </w:r>
      <w:proofErr w:type="spellEnd"/>
      <w:r w:rsidRPr="007D7141">
        <w:rPr>
          <w:rStyle w:val="Strong"/>
          <w:b w:val="0"/>
          <w:bCs w:val="0"/>
          <w:lang w:val="en-US"/>
        </w:rPr>
        <w:t xml:space="preserve"> on Rapid </w:t>
      </w:r>
      <w:proofErr w:type="spellStart"/>
      <w:r w:rsidRPr="007D7141">
        <w:rPr>
          <w:rStyle w:val="Strong"/>
          <w:b w:val="0"/>
          <w:bCs w:val="0"/>
          <w:lang w:val="en-US"/>
        </w:rPr>
        <w:t>eTrade</w:t>
      </w:r>
      <w:proofErr w:type="spellEnd"/>
      <w:r w:rsidRPr="007D7141">
        <w:rPr>
          <w:rStyle w:val="Strong"/>
          <w:b w:val="0"/>
          <w:bCs w:val="0"/>
          <w:lang w:val="en-US"/>
        </w:rPr>
        <w:t xml:space="preserve"> Readiness Assessment</w:t>
      </w:r>
      <w:r w:rsidRPr="007D7141">
        <w:rPr>
          <w:lang w:val="en-US"/>
        </w:rPr>
        <w:t xml:space="preserve"> was designed to provide a thorough overview of the current e-commerce situation in the countries. BDT works very closely with UNCTAD and the World Trade Organization (WTO) on the role of ICTs in facilitating trade. BDT is a partner on the “</w:t>
      </w:r>
      <w:r w:rsidRPr="007B36B3">
        <w:rPr>
          <w:u w:val="single"/>
          <w:lang w:val="en-US"/>
        </w:rPr>
        <w:t>e-Trade for All initiative</w:t>
      </w:r>
      <w:r w:rsidRPr="007D7141">
        <w:rPr>
          <w:lang w:val="en-US"/>
        </w:rPr>
        <w:t xml:space="preserve">”, and participates in the annual UNCTAD e-Commerce week. UNCTAD and ITU also work closely as members of the Partnership on Measuring ICT for Development. BDT will create links to the </w:t>
      </w:r>
      <w:r w:rsidR="00DF01C2" w:rsidRPr="007D7141">
        <w:rPr>
          <w:lang w:val="en-US"/>
        </w:rPr>
        <w:t xml:space="preserve">UNCTAD </w:t>
      </w:r>
      <w:r>
        <w:rPr>
          <w:lang w:val="en-US"/>
        </w:rPr>
        <w:t>“</w:t>
      </w:r>
      <w:proofErr w:type="spellStart"/>
      <w:r w:rsidRPr="007D7141">
        <w:rPr>
          <w:lang w:val="en-US"/>
        </w:rPr>
        <w:t>eT</w:t>
      </w:r>
      <w:proofErr w:type="spellEnd"/>
      <w:r>
        <w:rPr>
          <w:lang w:val="en-US"/>
        </w:rPr>
        <w:t xml:space="preserve"> </w:t>
      </w:r>
      <w:r w:rsidRPr="007D7141">
        <w:rPr>
          <w:lang w:val="en-US"/>
        </w:rPr>
        <w:t>Ready</w:t>
      </w:r>
      <w:r>
        <w:rPr>
          <w:lang w:val="en-US"/>
        </w:rPr>
        <w:t>”</w:t>
      </w:r>
      <w:r w:rsidRPr="007D7141">
        <w:rPr>
          <w:lang w:val="en-US"/>
        </w:rPr>
        <w:t xml:space="preserve"> assessments and explore </w:t>
      </w:r>
      <w:r w:rsidR="00DF01C2">
        <w:rPr>
          <w:lang w:val="en-US"/>
        </w:rPr>
        <w:t xml:space="preserve">whether it could </w:t>
      </w:r>
      <w:r w:rsidRPr="007D7141">
        <w:rPr>
          <w:lang w:val="en-US"/>
        </w:rPr>
        <w:t xml:space="preserve">link to ITU’s work on LDCs. </w:t>
      </w:r>
    </w:p>
    <w:tbl>
      <w:tblPr>
        <w:tblStyle w:val="TableGrid"/>
        <w:tblW w:w="0" w:type="auto"/>
        <w:tblLook w:val="04A0" w:firstRow="1" w:lastRow="0" w:firstColumn="1" w:lastColumn="0" w:noHBand="0" w:noVBand="1"/>
      </w:tblPr>
      <w:tblGrid>
        <w:gridCol w:w="9629"/>
      </w:tblGrid>
      <w:tr w:rsidR="004A5CF9" w:rsidRPr="00957B6C" w:rsidTr="008D0BF6">
        <w:tc>
          <w:tcPr>
            <w:tcW w:w="9629" w:type="dxa"/>
          </w:tcPr>
          <w:p w:rsidR="004A5CF9" w:rsidRPr="00957B6C" w:rsidRDefault="004A5CF9" w:rsidP="008D0BF6">
            <w:pPr>
              <w:spacing w:after="120"/>
              <w:rPr>
                <w:rFonts w:cstheme="minorHAnsi"/>
                <w:color w:val="000000" w:themeColor="text1"/>
                <w:szCs w:val="24"/>
              </w:rPr>
            </w:pPr>
            <w:r w:rsidRPr="00957B6C">
              <w:rPr>
                <w:rFonts w:eastAsia="Calibri"/>
              </w:rPr>
              <w:t xml:space="preserve">TDAG </w:t>
            </w:r>
            <w:r w:rsidR="00DF01C2">
              <w:rPr>
                <w:rFonts w:eastAsia="Calibri"/>
              </w:rPr>
              <w:t xml:space="preserve">noted the report with </w:t>
            </w:r>
            <w:r w:rsidR="006A3788">
              <w:rPr>
                <w:rFonts w:eastAsia="Calibri"/>
              </w:rPr>
              <w:t xml:space="preserve">interest and </w:t>
            </w:r>
            <w:r w:rsidR="00DF01C2">
              <w:rPr>
                <w:rFonts w:eastAsia="Calibri"/>
              </w:rPr>
              <w:t xml:space="preserve">appreciation, </w:t>
            </w:r>
            <w:r w:rsidRPr="00957B6C">
              <w:rPr>
                <w:rFonts w:eastAsia="Calibri"/>
              </w:rPr>
              <w:t>recogniz</w:t>
            </w:r>
            <w:r w:rsidR="00DF01C2">
              <w:rPr>
                <w:rFonts w:eastAsia="Calibri"/>
              </w:rPr>
              <w:t xml:space="preserve">ing </w:t>
            </w:r>
            <w:r w:rsidRPr="00957B6C">
              <w:rPr>
                <w:rFonts w:eastAsia="Calibri"/>
              </w:rPr>
              <w:t xml:space="preserve">the importance of initiatives on </w:t>
            </w:r>
            <w:r w:rsidRPr="00957B6C">
              <w:rPr>
                <w:rFonts w:cstheme="minorBidi"/>
              </w:rPr>
              <w:t>emergency telecommunications, climate change, e-waste, LDCs, LLDCs, and SIDS</w:t>
            </w:r>
            <w:r w:rsidR="008E5C48">
              <w:rPr>
                <w:rFonts w:cstheme="minorBidi"/>
              </w:rPr>
              <w:t xml:space="preserve"> to all members</w:t>
            </w:r>
            <w:r w:rsidRPr="00957B6C">
              <w:rPr>
                <w:rFonts w:cstheme="minorBidi"/>
              </w:rPr>
              <w:t>.</w:t>
            </w:r>
          </w:p>
        </w:tc>
      </w:tr>
    </w:tbl>
    <w:p w:rsidR="004A5CF9" w:rsidRPr="00BF5B1F" w:rsidRDefault="00256D72" w:rsidP="00EA4144">
      <w:pPr>
        <w:keepNext/>
        <w:spacing w:before="240" w:after="120"/>
        <w:ind w:left="505" w:hanging="505"/>
        <w:rPr>
          <w:rStyle w:val="StyleComplex12pt"/>
          <w:rFonts w:cstheme="minorHAnsi"/>
          <w:b/>
          <w:bCs/>
        </w:rPr>
      </w:pPr>
      <w:r>
        <w:rPr>
          <w:rStyle w:val="StyleComplex12pt"/>
          <w:rFonts w:cstheme="minorHAnsi"/>
          <w:b/>
          <w:bCs/>
        </w:rPr>
        <w:t>6.12</w:t>
      </w:r>
      <w:r w:rsidR="00EA4144">
        <w:rPr>
          <w:rStyle w:val="StyleComplex12pt"/>
          <w:rFonts w:cstheme="minorHAnsi"/>
          <w:b/>
          <w:bCs/>
        </w:rPr>
        <w:tab/>
      </w:r>
      <w:r w:rsidR="004A5CF9" w:rsidRPr="00BF5B1F">
        <w:rPr>
          <w:rStyle w:val="StyleComplex12pt"/>
          <w:rFonts w:cstheme="minorHAnsi"/>
          <w:b/>
          <w:bCs/>
        </w:rPr>
        <w:t>ITU-D projects</w:t>
      </w:r>
    </w:p>
    <w:p w:rsidR="004A5CF9" w:rsidRPr="00957B6C" w:rsidRDefault="00EA4144" w:rsidP="004A5CF9">
      <w:pPr>
        <w:tabs>
          <w:tab w:val="clear" w:pos="1134"/>
          <w:tab w:val="clear" w:pos="1871"/>
          <w:tab w:val="clear" w:pos="2268"/>
        </w:tabs>
        <w:overflowPunct/>
        <w:autoSpaceDE/>
        <w:autoSpaceDN/>
        <w:adjustRightInd/>
        <w:spacing w:after="120"/>
        <w:textAlignment w:val="auto"/>
        <w:rPr>
          <w:rFonts w:cstheme="minorHAnsi"/>
          <w:szCs w:val="24"/>
        </w:rPr>
      </w:pPr>
      <w:hyperlink r:id="rId42" w:history="1">
        <w:r w:rsidR="004A5CF9" w:rsidRPr="00957B6C">
          <w:rPr>
            <w:rStyle w:val="Hyperlink"/>
            <w:rFonts w:cstheme="minorHAnsi"/>
            <w:b/>
            <w:bCs/>
            <w:szCs w:val="24"/>
          </w:rPr>
          <w:t>Document 27</w:t>
        </w:r>
      </w:hyperlink>
      <w:r w:rsidR="004A5CF9" w:rsidRPr="00957B6C">
        <w:rPr>
          <w:rFonts w:cstheme="minorHAnsi"/>
          <w:b/>
          <w:bCs/>
          <w:color w:val="000000" w:themeColor="text1"/>
          <w:szCs w:val="24"/>
        </w:rPr>
        <w:t>:</w:t>
      </w:r>
      <w:r w:rsidR="004A5CF9" w:rsidRPr="00957B6C">
        <w:rPr>
          <w:rFonts w:cstheme="minorHAnsi"/>
          <w:color w:val="000000" w:themeColor="text1"/>
          <w:szCs w:val="24"/>
        </w:rPr>
        <w:t xml:space="preserve"> “ITU-D Projects”</w:t>
      </w:r>
      <w:r w:rsidR="004A5CF9" w:rsidRPr="00957B6C">
        <w:rPr>
          <w:rFonts w:cstheme="minorHAnsi"/>
          <w:b/>
          <w:bCs/>
          <w:color w:val="000000" w:themeColor="text1"/>
          <w:szCs w:val="24"/>
        </w:rPr>
        <w:t xml:space="preserve"> </w:t>
      </w:r>
      <w:r w:rsidR="004A5CF9" w:rsidRPr="00957B6C">
        <w:rPr>
          <w:rFonts w:cstheme="minorHAnsi"/>
          <w:szCs w:val="24"/>
        </w:rPr>
        <w:t xml:space="preserve">provides an overview of the </w:t>
      </w:r>
      <w:r w:rsidR="00DF01C2">
        <w:rPr>
          <w:rFonts w:cstheme="minorHAnsi"/>
          <w:szCs w:val="24"/>
        </w:rPr>
        <w:t xml:space="preserve">project implementation and </w:t>
      </w:r>
      <w:r w:rsidR="004A5CF9" w:rsidRPr="00957B6C">
        <w:rPr>
          <w:rFonts w:cstheme="minorHAnsi"/>
          <w:szCs w:val="24"/>
        </w:rPr>
        <w:t>outcomes</w:t>
      </w:r>
      <w:r w:rsidR="00070DBE">
        <w:rPr>
          <w:rFonts w:cstheme="minorHAnsi"/>
          <w:szCs w:val="24"/>
        </w:rPr>
        <w:t xml:space="preserve"> </w:t>
      </w:r>
      <w:r w:rsidR="004A5CF9" w:rsidRPr="00957B6C">
        <w:rPr>
          <w:rFonts w:cstheme="minorHAnsi"/>
          <w:szCs w:val="24"/>
        </w:rPr>
        <w:t xml:space="preserve">in the six </w:t>
      </w:r>
      <w:r w:rsidR="00DF01C2">
        <w:rPr>
          <w:rFonts w:cstheme="minorHAnsi"/>
          <w:szCs w:val="24"/>
        </w:rPr>
        <w:t xml:space="preserve">ITU-D </w:t>
      </w:r>
      <w:r w:rsidR="004A5CF9" w:rsidRPr="00957B6C">
        <w:rPr>
          <w:rFonts w:cstheme="minorHAnsi"/>
          <w:szCs w:val="24"/>
        </w:rPr>
        <w:t>regions</w:t>
      </w:r>
      <w:r w:rsidR="00DF01C2">
        <w:rPr>
          <w:rFonts w:cstheme="minorHAnsi"/>
          <w:szCs w:val="24"/>
        </w:rPr>
        <w:t xml:space="preserve">: </w:t>
      </w:r>
      <w:r w:rsidR="004A5CF9" w:rsidRPr="00957B6C">
        <w:rPr>
          <w:rFonts w:cstheme="minorHAnsi"/>
          <w:szCs w:val="24"/>
        </w:rPr>
        <w:t>Africa, Americas, Arab States, Asia</w:t>
      </w:r>
      <w:r w:rsidR="004A5CF9">
        <w:rPr>
          <w:rFonts w:cstheme="minorHAnsi"/>
          <w:szCs w:val="24"/>
        </w:rPr>
        <w:t>-</w:t>
      </w:r>
      <w:r w:rsidR="004A5CF9" w:rsidRPr="00957B6C">
        <w:rPr>
          <w:rFonts w:cstheme="minorHAnsi"/>
          <w:szCs w:val="24"/>
        </w:rPr>
        <w:t>Pacific, Commonwealth of Independent States (CIS)</w:t>
      </w:r>
      <w:r w:rsidR="00DF01C2">
        <w:rPr>
          <w:rFonts w:cstheme="minorHAnsi"/>
          <w:szCs w:val="24"/>
        </w:rPr>
        <w:t>,</w:t>
      </w:r>
      <w:r w:rsidR="004A5CF9" w:rsidRPr="00957B6C">
        <w:rPr>
          <w:rFonts w:cstheme="minorHAnsi"/>
          <w:szCs w:val="24"/>
        </w:rPr>
        <w:t xml:space="preserve"> Europe, as well as global</w:t>
      </w:r>
      <w:r w:rsidR="004A5CF9">
        <w:rPr>
          <w:rFonts w:cstheme="minorHAnsi"/>
          <w:szCs w:val="24"/>
        </w:rPr>
        <w:t>ly</w:t>
      </w:r>
      <w:r w:rsidR="004A5CF9" w:rsidRPr="00957B6C">
        <w:rPr>
          <w:rFonts w:cstheme="minorHAnsi"/>
          <w:szCs w:val="24"/>
        </w:rPr>
        <w:t xml:space="preserve">. </w:t>
      </w:r>
    </w:p>
    <w:p w:rsidR="004A5CF9" w:rsidRPr="00957B6C" w:rsidRDefault="004A5CF9" w:rsidP="004A5CF9">
      <w:pPr>
        <w:pStyle w:val="Heading2"/>
        <w:keepNext w:val="0"/>
        <w:keepLines w:val="0"/>
        <w:spacing w:before="120" w:after="120"/>
        <w:ind w:left="0" w:firstLine="0"/>
        <w:rPr>
          <w:rFonts w:cstheme="minorHAnsi"/>
          <w:b w:val="0"/>
          <w:bCs/>
          <w:szCs w:val="24"/>
        </w:rPr>
      </w:pPr>
      <w:r w:rsidRPr="00957B6C">
        <w:rPr>
          <w:rFonts w:cstheme="minorHAnsi"/>
          <w:b w:val="0"/>
          <w:bCs/>
          <w:szCs w:val="24"/>
        </w:rPr>
        <w:t>Some 20 new projects, valued at around CHF 10.8 million, were developed and signed in 2018. Most projects are developed for Member States, co-financed by ITU and external partners.</w:t>
      </w:r>
    </w:p>
    <w:p w:rsidR="004A5CF9" w:rsidRPr="00957B6C" w:rsidRDefault="004A5CF9" w:rsidP="004A5CF9">
      <w:pPr>
        <w:pStyle w:val="Heading2"/>
        <w:keepNext w:val="0"/>
        <w:keepLines w:val="0"/>
        <w:spacing w:before="120" w:after="120"/>
        <w:ind w:left="0" w:firstLine="0"/>
        <w:rPr>
          <w:rFonts w:cstheme="minorHAnsi"/>
          <w:b w:val="0"/>
          <w:bCs/>
          <w:szCs w:val="24"/>
        </w:rPr>
      </w:pPr>
      <w:r w:rsidRPr="00957B6C">
        <w:rPr>
          <w:rFonts w:cstheme="minorHAnsi"/>
          <w:b w:val="0"/>
          <w:bCs/>
          <w:szCs w:val="24"/>
        </w:rPr>
        <w:t>As at year-end 2018, the ITU project portfolio</w:t>
      </w:r>
      <w:r w:rsidRPr="00957B6C">
        <w:rPr>
          <w:rFonts w:cstheme="minorHAnsi"/>
          <w:b w:val="0"/>
          <w:szCs w:val="24"/>
        </w:rPr>
        <w:t xml:space="preserve"> had </w:t>
      </w:r>
      <w:r w:rsidRPr="00957B6C">
        <w:rPr>
          <w:rFonts w:cstheme="minorHAnsi"/>
          <w:b w:val="0"/>
          <w:bCs/>
          <w:szCs w:val="24"/>
        </w:rPr>
        <w:t>63 ongoing projects, valued at CHF 68 413 879 and with the following regional distribution</w:t>
      </w:r>
      <w:r w:rsidRPr="00E25977">
        <w:rPr>
          <w:rFonts w:cstheme="minorHAnsi"/>
          <w:b w:val="0"/>
          <w:bCs/>
          <w:szCs w:val="24"/>
        </w:rPr>
        <w:t xml:space="preserve"> </w:t>
      </w:r>
      <w:r>
        <w:rPr>
          <w:rFonts w:cstheme="minorHAnsi"/>
          <w:b w:val="0"/>
          <w:bCs/>
          <w:szCs w:val="24"/>
        </w:rPr>
        <w:t xml:space="preserve">of </w:t>
      </w:r>
      <w:r w:rsidRPr="00957B6C">
        <w:rPr>
          <w:rFonts w:cstheme="minorHAnsi"/>
          <w:b w:val="0"/>
          <w:bCs/>
          <w:szCs w:val="24"/>
        </w:rPr>
        <w:t xml:space="preserve">projects: Asia-Pacific </w:t>
      </w:r>
      <w:r>
        <w:rPr>
          <w:rFonts w:cstheme="minorHAnsi"/>
          <w:b w:val="0"/>
          <w:bCs/>
          <w:szCs w:val="24"/>
        </w:rPr>
        <w:t>(11)</w:t>
      </w:r>
      <w:r w:rsidRPr="00957B6C">
        <w:rPr>
          <w:rFonts w:cstheme="minorHAnsi"/>
          <w:b w:val="0"/>
          <w:bCs/>
          <w:szCs w:val="24"/>
        </w:rPr>
        <w:t xml:space="preserve">; Africa </w:t>
      </w:r>
      <w:r>
        <w:rPr>
          <w:rFonts w:cstheme="minorHAnsi"/>
          <w:b w:val="0"/>
          <w:bCs/>
          <w:szCs w:val="24"/>
        </w:rPr>
        <w:t>(11)</w:t>
      </w:r>
      <w:r w:rsidRPr="00957B6C">
        <w:rPr>
          <w:rFonts w:cstheme="minorHAnsi"/>
          <w:b w:val="0"/>
          <w:bCs/>
          <w:szCs w:val="24"/>
        </w:rPr>
        <w:t xml:space="preserve">; Americas </w:t>
      </w:r>
      <w:r>
        <w:rPr>
          <w:rFonts w:cstheme="minorHAnsi"/>
          <w:b w:val="0"/>
          <w:bCs/>
          <w:szCs w:val="24"/>
        </w:rPr>
        <w:t>(8)</w:t>
      </w:r>
      <w:r w:rsidRPr="00957B6C">
        <w:rPr>
          <w:rFonts w:cstheme="minorHAnsi"/>
          <w:b w:val="0"/>
          <w:bCs/>
          <w:szCs w:val="24"/>
        </w:rPr>
        <w:t>; Arab States</w:t>
      </w:r>
      <w:r>
        <w:rPr>
          <w:rFonts w:cstheme="minorHAnsi"/>
          <w:b w:val="0"/>
          <w:bCs/>
          <w:szCs w:val="24"/>
        </w:rPr>
        <w:t xml:space="preserve"> (9)</w:t>
      </w:r>
      <w:r w:rsidRPr="00957B6C">
        <w:rPr>
          <w:rFonts w:cstheme="minorHAnsi"/>
          <w:b w:val="0"/>
          <w:bCs/>
          <w:szCs w:val="24"/>
        </w:rPr>
        <w:t>; and CIS</w:t>
      </w:r>
      <w:r>
        <w:rPr>
          <w:rFonts w:cstheme="minorHAnsi"/>
          <w:b w:val="0"/>
          <w:bCs/>
          <w:szCs w:val="24"/>
        </w:rPr>
        <w:t xml:space="preserve"> (1)</w:t>
      </w:r>
      <w:r w:rsidRPr="00957B6C">
        <w:rPr>
          <w:rFonts w:cstheme="minorHAnsi"/>
          <w:b w:val="0"/>
          <w:bCs/>
          <w:szCs w:val="24"/>
        </w:rPr>
        <w:t xml:space="preserve">. ITU projects are mostly funded through extra-budgetary resources. </w:t>
      </w:r>
      <w:r w:rsidRPr="00957B6C">
        <w:rPr>
          <w:rFonts w:cstheme="minorHAnsi"/>
          <w:b w:val="0"/>
          <w:bCs/>
          <w:szCs w:val="24"/>
        </w:rPr>
        <w:lastRenderedPageBreak/>
        <w:t>Projects have four types of funding sources: Funds in Trust (FIT), ICT Development Fund (ICTDF), voluntary contributions</w:t>
      </w:r>
      <w:r>
        <w:rPr>
          <w:rFonts w:cstheme="minorHAnsi"/>
          <w:b w:val="0"/>
          <w:bCs/>
          <w:szCs w:val="24"/>
        </w:rPr>
        <w:t>,</w:t>
      </w:r>
      <w:r w:rsidRPr="00957B6C">
        <w:rPr>
          <w:rFonts w:cstheme="minorHAnsi"/>
          <w:b w:val="0"/>
          <w:bCs/>
          <w:szCs w:val="24"/>
        </w:rPr>
        <w:t xml:space="preserve"> and the ITU </w:t>
      </w:r>
      <w:r>
        <w:rPr>
          <w:rFonts w:cstheme="minorHAnsi"/>
          <w:b w:val="0"/>
          <w:bCs/>
          <w:szCs w:val="24"/>
        </w:rPr>
        <w:t>r</w:t>
      </w:r>
      <w:r w:rsidRPr="00957B6C">
        <w:rPr>
          <w:rFonts w:cstheme="minorHAnsi"/>
          <w:b w:val="0"/>
          <w:bCs/>
          <w:szCs w:val="24"/>
        </w:rPr>
        <w:t xml:space="preserve">egular </w:t>
      </w:r>
      <w:r>
        <w:rPr>
          <w:rFonts w:cstheme="minorHAnsi"/>
          <w:b w:val="0"/>
          <w:bCs/>
          <w:szCs w:val="24"/>
        </w:rPr>
        <w:t>b</w:t>
      </w:r>
      <w:r w:rsidRPr="00957B6C">
        <w:rPr>
          <w:rFonts w:cstheme="minorHAnsi"/>
          <w:b w:val="0"/>
          <w:bCs/>
          <w:szCs w:val="24"/>
        </w:rPr>
        <w:t xml:space="preserve">udget. Most projects have at least two funding sources. </w:t>
      </w:r>
    </w:p>
    <w:p w:rsidR="004A5CF9" w:rsidRPr="00957B6C" w:rsidRDefault="004A5CF9" w:rsidP="004A5CF9">
      <w:pPr>
        <w:spacing w:after="120"/>
        <w:rPr>
          <w:rFonts w:cstheme="minorHAnsi"/>
          <w:szCs w:val="24"/>
        </w:rPr>
      </w:pPr>
      <w:r w:rsidRPr="00957B6C">
        <w:rPr>
          <w:rFonts w:cstheme="minorHAnsi"/>
          <w:szCs w:val="24"/>
        </w:rPr>
        <w:t xml:space="preserve">Funds from ICTDF are granted as seed money </w:t>
      </w:r>
      <w:r w:rsidR="00DF01C2">
        <w:rPr>
          <w:rFonts w:cstheme="minorHAnsi"/>
          <w:szCs w:val="24"/>
        </w:rPr>
        <w:t>t</w:t>
      </w:r>
      <w:r w:rsidRPr="00957B6C">
        <w:rPr>
          <w:rFonts w:cstheme="minorHAnsi"/>
          <w:szCs w:val="24"/>
        </w:rPr>
        <w:t xml:space="preserve">o implement projects related to BDT areas of action in developing and least developed countries. Projects are chosen based on their potential long-term sustainable impact and their facilitation of multi-national cooperation and partnership. </w:t>
      </w:r>
    </w:p>
    <w:p w:rsidR="004A5CF9" w:rsidRPr="00957B6C" w:rsidRDefault="004A5CF9" w:rsidP="004A5CF9">
      <w:pPr>
        <w:spacing w:after="120"/>
        <w:rPr>
          <w:rFonts w:cstheme="minorHAnsi"/>
          <w:szCs w:val="24"/>
        </w:rPr>
      </w:pPr>
      <w:r w:rsidRPr="00957B6C">
        <w:rPr>
          <w:rFonts w:cstheme="minorHAnsi"/>
          <w:szCs w:val="24"/>
        </w:rPr>
        <w:t xml:space="preserve">For funding projects </w:t>
      </w:r>
      <w:r w:rsidR="000F57AD">
        <w:rPr>
          <w:rFonts w:cstheme="minorHAnsi"/>
          <w:szCs w:val="24"/>
        </w:rPr>
        <w:t xml:space="preserve">which </w:t>
      </w:r>
      <w:r w:rsidRPr="00957B6C">
        <w:rPr>
          <w:rFonts w:cstheme="minorHAnsi"/>
          <w:szCs w:val="24"/>
        </w:rPr>
        <w:t xml:space="preserve">implement the WTDC-17 </w:t>
      </w:r>
      <w:r>
        <w:rPr>
          <w:rFonts w:cstheme="minorHAnsi"/>
          <w:szCs w:val="24"/>
        </w:rPr>
        <w:t>r</w:t>
      </w:r>
      <w:r w:rsidRPr="00957B6C">
        <w:rPr>
          <w:rFonts w:cstheme="minorHAnsi"/>
          <w:szCs w:val="24"/>
        </w:rPr>
        <w:t xml:space="preserve">egional </w:t>
      </w:r>
      <w:r>
        <w:rPr>
          <w:rFonts w:cstheme="minorHAnsi"/>
          <w:szCs w:val="24"/>
        </w:rPr>
        <w:t>i</w:t>
      </w:r>
      <w:r w:rsidRPr="00957B6C">
        <w:rPr>
          <w:rFonts w:cstheme="minorHAnsi"/>
          <w:szCs w:val="24"/>
        </w:rPr>
        <w:t>nitiatives, ITU Council-18 allocate</w:t>
      </w:r>
      <w:r w:rsidR="000F57AD">
        <w:rPr>
          <w:rFonts w:cstheme="minorHAnsi"/>
          <w:szCs w:val="24"/>
        </w:rPr>
        <w:t>d</w:t>
      </w:r>
      <w:r w:rsidRPr="00957B6C">
        <w:rPr>
          <w:rFonts w:cstheme="minorHAnsi"/>
          <w:szCs w:val="24"/>
        </w:rPr>
        <w:t xml:space="preserve"> CHF 2 million for the period 2018-2019 from the 2017 </w:t>
      </w:r>
      <w:r>
        <w:rPr>
          <w:rFonts w:cstheme="minorHAnsi"/>
          <w:szCs w:val="24"/>
        </w:rPr>
        <w:t>o</w:t>
      </w:r>
      <w:r w:rsidRPr="00957B6C">
        <w:rPr>
          <w:rFonts w:cstheme="minorHAnsi"/>
          <w:szCs w:val="24"/>
        </w:rPr>
        <w:t xml:space="preserve">perational </w:t>
      </w:r>
      <w:r>
        <w:rPr>
          <w:rFonts w:cstheme="minorHAnsi"/>
          <w:szCs w:val="24"/>
        </w:rPr>
        <w:t>p</w:t>
      </w:r>
      <w:r w:rsidRPr="00957B6C">
        <w:rPr>
          <w:rFonts w:cstheme="minorHAnsi"/>
          <w:szCs w:val="24"/>
        </w:rPr>
        <w:t>lan and include</w:t>
      </w:r>
      <w:r>
        <w:rPr>
          <w:rFonts w:cstheme="minorHAnsi"/>
          <w:szCs w:val="24"/>
        </w:rPr>
        <w:t>d</w:t>
      </w:r>
      <w:r w:rsidRPr="00957B6C">
        <w:rPr>
          <w:rFonts w:cstheme="minorHAnsi"/>
          <w:szCs w:val="24"/>
        </w:rPr>
        <w:t xml:space="preserve"> CHF 3 million for 2020-2021 in the Financial Plan 2020-2023. These funds were allocated as seed </w:t>
      </w:r>
      <w:r>
        <w:rPr>
          <w:rFonts w:cstheme="minorHAnsi"/>
          <w:szCs w:val="24"/>
        </w:rPr>
        <w:t xml:space="preserve">money </w:t>
      </w:r>
      <w:r w:rsidRPr="00957B6C">
        <w:rPr>
          <w:rFonts w:cstheme="minorHAnsi"/>
          <w:szCs w:val="24"/>
        </w:rPr>
        <w:t>to attract funds from partners. As an initial step towards the implementation of regional initiatives, ten new projects from all regions were under development at the end of 2018 for implementation from 2019.</w:t>
      </w:r>
    </w:p>
    <w:tbl>
      <w:tblPr>
        <w:tblStyle w:val="TableGrid"/>
        <w:tblW w:w="0" w:type="auto"/>
        <w:tblLook w:val="04A0" w:firstRow="1" w:lastRow="0" w:firstColumn="1" w:lastColumn="0" w:noHBand="0" w:noVBand="1"/>
      </w:tblPr>
      <w:tblGrid>
        <w:gridCol w:w="9629"/>
      </w:tblGrid>
      <w:tr w:rsidR="004A5CF9" w:rsidRPr="00957B6C" w:rsidTr="008D0BF6">
        <w:tc>
          <w:tcPr>
            <w:tcW w:w="9629" w:type="dxa"/>
          </w:tcPr>
          <w:p w:rsidR="004A5CF9" w:rsidRPr="00957B6C" w:rsidRDefault="004A5CF9" w:rsidP="008D0BF6">
            <w:pPr>
              <w:spacing w:after="120"/>
              <w:rPr>
                <w:rFonts w:cstheme="minorHAnsi"/>
                <w:color w:val="000000" w:themeColor="text1"/>
                <w:szCs w:val="24"/>
              </w:rPr>
            </w:pPr>
            <w:r w:rsidRPr="00957B6C">
              <w:rPr>
                <w:szCs w:val="24"/>
              </w:rPr>
              <w:t>TDAG noted the</w:t>
            </w:r>
            <w:r w:rsidR="006A3788">
              <w:rPr>
                <w:szCs w:val="24"/>
              </w:rPr>
              <w:t xml:space="preserve">se efforts </w:t>
            </w:r>
            <w:r w:rsidR="000F57AD">
              <w:rPr>
                <w:szCs w:val="24"/>
              </w:rPr>
              <w:t xml:space="preserve">with </w:t>
            </w:r>
            <w:r w:rsidR="00365B4A">
              <w:rPr>
                <w:szCs w:val="24"/>
              </w:rPr>
              <w:t xml:space="preserve">interest and </w:t>
            </w:r>
            <w:r w:rsidR="000F57AD">
              <w:rPr>
                <w:szCs w:val="24"/>
              </w:rPr>
              <w:t>appreciation</w:t>
            </w:r>
            <w:r w:rsidRPr="00957B6C">
              <w:rPr>
                <w:szCs w:val="24"/>
              </w:rPr>
              <w:t>.</w:t>
            </w:r>
          </w:p>
        </w:tc>
      </w:tr>
    </w:tbl>
    <w:p w:rsidR="004A5CF9" w:rsidRPr="00BF5B1F" w:rsidRDefault="004A5CF9" w:rsidP="00EA4144">
      <w:pPr>
        <w:pStyle w:val="ListParagraph"/>
        <w:keepNext/>
        <w:numPr>
          <w:ilvl w:val="1"/>
          <w:numId w:val="35"/>
        </w:numPr>
        <w:spacing w:before="240" w:after="120"/>
        <w:ind w:left="505" w:hanging="505"/>
        <w:contextualSpacing w:val="0"/>
        <w:rPr>
          <w:rStyle w:val="StyleComplex12pt"/>
          <w:rFonts w:cstheme="minorHAnsi"/>
          <w:b/>
          <w:bCs/>
        </w:rPr>
      </w:pPr>
      <w:r w:rsidRPr="00BF5B1F">
        <w:rPr>
          <w:rStyle w:val="StyleComplex12pt"/>
          <w:rFonts w:cstheme="minorHAnsi"/>
          <w:b/>
          <w:bCs/>
        </w:rPr>
        <w:t>Innovation</w:t>
      </w:r>
    </w:p>
    <w:p w:rsidR="004A5CF9" w:rsidRPr="001E76F4" w:rsidRDefault="00EA4144" w:rsidP="004A5CF9">
      <w:pPr>
        <w:tabs>
          <w:tab w:val="clear" w:pos="1134"/>
          <w:tab w:val="clear" w:pos="1871"/>
          <w:tab w:val="clear" w:pos="2268"/>
        </w:tabs>
        <w:overflowPunct/>
        <w:autoSpaceDE/>
        <w:autoSpaceDN/>
        <w:adjustRightInd/>
        <w:spacing w:after="120"/>
        <w:textAlignment w:val="auto"/>
        <w:rPr>
          <w:rFonts w:eastAsia="Calibri" w:cstheme="minorHAnsi"/>
          <w:szCs w:val="24"/>
          <w:highlight w:val="yellow"/>
        </w:rPr>
      </w:pPr>
      <w:hyperlink r:id="rId43" w:history="1">
        <w:r w:rsidR="004A5CF9" w:rsidRPr="00957B6C">
          <w:rPr>
            <w:rStyle w:val="Hyperlink"/>
            <w:rFonts w:cstheme="minorHAnsi"/>
            <w:b/>
            <w:bCs/>
            <w:szCs w:val="24"/>
          </w:rPr>
          <w:t>Document 22</w:t>
        </w:r>
      </w:hyperlink>
      <w:r w:rsidR="004A5CF9" w:rsidRPr="00957B6C">
        <w:rPr>
          <w:rFonts w:cstheme="minorHAnsi"/>
          <w:b/>
          <w:bCs/>
          <w:color w:val="000000" w:themeColor="text1"/>
          <w:szCs w:val="24"/>
        </w:rPr>
        <w:t>:</w:t>
      </w:r>
      <w:r w:rsidR="004A5CF9" w:rsidRPr="00957B6C">
        <w:rPr>
          <w:rFonts w:cstheme="minorHAnsi"/>
          <w:color w:val="000000" w:themeColor="text1"/>
          <w:szCs w:val="24"/>
        </w:rPr>
        <w:t xml:space="preserve"> </w:t>
      </w:r>
      <w:r w:rsidR="004A5CF9" w:rsidRPr="001E76F4">
        <w:rPr>
          <w:rFonts w:cstheme="minorHAnsi"/>
          <w:szCs w:val="24"/>
        </w:rPr>
        <w:t>“ITU-D Innovation”</w:t>
      </w:r>
      <w:r w:rsidR="004A5CF9" w:rsidRPr="001E76F4">
        <w:rPr>
          <w:rFonts w:cstheme="minorHAnsi"/>
          <w:b/>
          <w:bCs/>
          <w:szCs w:val="24"/>
        </w:rPr>
        <w:t xml:space="preserve"> </w:t>
      </w:r>
      <w:r w:rsidR="004A5CF9" w:rsidRPr="001E76F4">
        <w:rPr>
          <w:rFonts w:eastAsia="Calibri" w:cstheme="minorHAnsi"/>
          <w:szCs w:val="24"/>
        </w:rPr>
        <w:t>provides an overview of ITU-D innovation as one of the outputs and goals adopted at WTDC-17 and endorsed at PP-18.</w:t>
      </w:r>
    </w:p>
    <w:p w:rsidR="004A5CF9" w:rsidRPr="001E76F4" w:rsidRDefault="004A5CF9" w:rsidP="004A5CF9">
      <w:pPr>
        <w:spacing w:after="120"/>
        <w:rPr>
          <w:rStyle w:val="StyleComplex12pt"/>
          <w:rFonts w:cstheme="minorHAnsi"/>
          <w:b/>
          <w:bCs/>
        </w:rPr>
      </w:pPr>
      <w:r w:rsidRPr="001E76F4">
        <w:rPr>
          <w:szCs w:val="24"/>
        </w:rPr>
        <w:t xml:space="preserve">TDAG noted the various actions implemented by BDT, particularly, in knowledge sharing, empowering stakeholders through innovation capacity building and in national innovation ecosystem assessments through close coordination with regional offices. TDAG welcomed the ways forward with regard to strengthening innovation activities, in particular, the launch of new toolkits to accelerate digital transformation, building an entrepreneurial ecosystem and nurturing innovation communities; scaling up expert-led digital innovation profile assessments; increasing innovation capacity building at the national, regional and global levels and creating synergies between different ITU platforms, for example ITU Telecom </w:t>
      </w:r>
      <w:r>
        <w:rPr>
          <w:szCs w:val="24"/>
        </w:rPr>
        <w:t xml:space="preserve">World </w:t>
      </w:r>
      <w:r w:rsidRPr="001E76F4">
        <w:rPr>
          <w:szCs w:val="24"/>
        </w:rPr>
        <w:t>and WSIS.</w:t>
      </w:r>
    </w:p>
    <w:tbl>
      <w:tblPr>
        <w:tblStyle w:val="TableGrid"/>
        <w:tblW w:w="0" w:type="auto"/>
        <w:tblLook w:val="04A0" w:firstRow="1" w:lastRow="0" w:firstColumn="1" w:lastColumn="0" w:noHBand="0" w:noVBand="1"/>
      </w:tblPr>
      <w:tblGrid>
        <w:gridCol w:w="9629"/>
      </w:tblGrid>
      <w:tr w:rsidR="004A5CF9" w:rsidRPr="00957B6C" w:rsidTr="008D0BF6">
        <w:tc>
          <w:tcPr>
            <w:tcW w:w="9629" w:type="dxa"/>
          </w:tcPr>
          <w:p w:rsidR="004A5CF9" w:rsidRPr="00957B6C" w:rsidRDefault="004A5CF9" w:rsidP="008D0BF6">
            <w:pPr>
              <w:spacing w:after="120"/>
              <w:rPr>
                <w:rFonts w:cstheme="minorHAnsi"/>
                <w:color w:val="000000" w:themeColor="text1"/>
                <w:szCs w:val="24"/>
              </w:rPr>
            </w:pPr>
            <w:r w:rsidRPr="008E5C48">
              <w:rPr>
                <w:szCs w:val="24"/>
              </w:rPr>
              <w:t>TDAG noted the document</w:t>
            </w:r>
            <w:r w:rsidR="008E5C48" w:rsidRPr="007B36B3">
              <w:rPr>
                <w:szCs w:val="24"/>
              </w:rPr>
              <w:t xml:space="preserve"> with interest and </w:t>
            </w:r>
            <w:r w:rsidR="008E5C48">
              <w:rPr>
                <w:szCs w:val="24"/>
              </w:rPr>
              <w:t>appreciation, recognizing innovation as an imperative for future growth in all sectors</w:t>
            </w:r>
            <w:r w:rsidRPr="008E5C48">
              <w:rPr>
                <w:szCs w:val="24"/>
              </w:rPr>
              <w:t>.</w:t>
            </w:r>
          </w:p>
        </w:tc>
      </w:tr>
    </w:tbl>
    <w:p w:rsidR="004A5CF9" w:rsidRPr="00E91F79" w:rsidRDefault="00256D72" w:rsidP="00EA4144">
      <w:pPr>
        <w:keepNext/>
        <w:spacing w:before="240" w:after="120"/>
        <w:ind w:left="505" w:hanging="505"/>
        <w:rPr>
          <w:b/>
          <w:bCs/>
          <w:lang w:val="en-US"/>
        </w:rPr>
      </w:pPr>
      <w:r>
        <w:rPr>
          <w:b/>
          <w:bCs/>
          <w:lang w:val="en-US"/>
        </w:rPr>
        <w:t>6.14</w:t>
      </w:r>
      <w:r w:rsidR="00EA4144">
        <w:rPr>
          <w:b/>
          <w:bCs/>
          <w:lang w:val="en-US"/>
        </w:rPr>
        <w:tab/>
      </w:r>
      <w:r w:rsidR="004A5CF9">
        <w:rPr>
          <w:b/>
          <w:bCs/>
          <w:lang w:val="en-US"/>
        </w:rPr>
        <w:t>Breakout session: ITU-D Innovation</w:t>
      </w:r>
    </w:p>
    <w:p w:rsidR="004A5CF9" w:rsidRPr="00E91F79" w:rsidRDefault="004A5CF9" w:rsidP="004A5CF9">
      <w:pPr>
        <w:rPr>
          <w:lang w:val="en-US"/>
        </w:rPr>
      </w:pPr>
      <w:r>
        <w:rPr>
          <w:lang w:val="en-US"/>
        </w:rPr>
        <w:t xml:space="preserve">The breakout session </w:t>
      </w:r>
      <w:r w:rsidRPr="00E91F79">
        <w:rPr>
          <w:lang w:val="en-US"/>
        </w:rPr>
        <w:t xml:space="preserve">on innovation </w:t>
      </w:r>
      <w:r w:rsidR="0032113F">
        <w:rPr>
          <w:lang w:val="en-US"/>
        </w:rPr>
        <w:t xml:space="preserve">aimed to </w:t>
      </w:r>
      <w:r w:rsidRPr="00E91F79">
        <w:rPr>
          <w:lang w:val="en-US"/>
        </w:rPr>
        <w:t>scal</w:t>
      </w:r>
      <w:r w:rsidR="0032113F">
        <w:rPr>
          <w:lang w:val="en-US"/>
        </w:rPr>
        <w:t xml:space="preserve">e </w:t>
      </w:r>
      <w:r w:rsidRPr="00E91F79">
        <w:rPr>
          <w:lang w:val="en-US"/>
        </w:rPr>
        <w:t>up</w:t>
      </w:r>
      <w:r>
        <w:rPr>
          <w:lang w:val="en-US"/>
        </w:rPr>
        <w:t xml:space="preserve"> the</w:t>
      </w:r>
      <w:r w:rsidRPr="00E91F79">
        <w:rPr>
          <w:lang w:val="en-US"/>
        </w:rPr>
        <w:t xml:space="preserve"> impact and delivery of the </w:t>
      </w:r>
      <w:r>
        <w:rPr>
          <w:lang w:val="en-US"/>
        </w:rPr>
        <w:t>i</w:t>
      </w:r>
      <w:r w:rsidRPr="00E91F79">
        <w:rPr>
          <w:lang w:val="en-US"/>
        </w:rPr>
        <w:t xml:space="preserve">nnovation </w:t>
      </w:r>
      <w:proofErr w:type="spellStart"/>
      <w:r>
        <w:rPr>
          <w:lang w:val="en-US"/>
        </w:rPr>
        <w:t>p</w:t>
      </w:r>
      <w:r w:rsidRPr="00E91F79">
        <w:rPr>
          <w:lang w:val="en-US"/>
        </w:rPr>
        <w:t>rogram</w:t>
      </w:r>
      <w:r w:rsidR="00667E60">
        <w:rPr>
          <w:lang w:val="en-US"/>
        </w:rPr>
        <w:t>me</w:t>
      </w:r>
      <w:proofErr w:type="spellEnd"/>
      <w:r w:rsidRPr="00E91F79">
        <w:rPr>
          <w:lang w:val="en-US"/>
        </w:rPr>
        <w:t xml:space="preserve"> throughout the organization. Discussions highlighted the need to build a culture of innovation in ITU (potentially</w:t>
      </w:r>
      <w:r>
        <w:rPr>
          <w:lang w:val="en-US"/>
        </w:rPr>
        <w:t xml:space="preserve"> by including</w:t>
      </w:r>
      <w:r w:rsidRPr="00E91F79">
        <w:rPr>
          <w:lang w:val="en-US"/>
        </w:rPr>
        <w:t xml:space="preserve"> physical innovation spaces) in</w:t>
      </w:r>
      <w:r>
        <w:rPr>
          <w:lang w:val="en-US"/>
        </w:rPr>
        <w:t xml:space="preserve"> </w:t>
      </w:r>
      <w:r w:rsidRPr="00E91F79">
        <w:rPr>
          <w:lang w:val="en-US"/>
        </w:rPr>
        <w:t xml:space="preserve">line with the objectives set forth by </w:t>
      </w:r>
      <w:r>
        <w:rPr>
          <w:lang w:val="en-US"/>
        </w:rPr>
        <w:t xml:space="preserve">the </w:t>
      </w:r>
      <w:r w:rsidRPr="00E91F79">
        <w:rPr>
          <w:lang w:val="en-US"/>
        </w:rPr>
        <w:t>membership. The need to inject innovation into ITU’s products and services through co-creation with membership and promoti</w:t>
      </w:r>
      <w:r>
        <w:rPr>
          <w:lang w:val="en-US"/>
        </w:rPr>
        <w:t>on of</w:t>
      </w:r>
      <w:r w:rsidRPr="00E91F79">
        <w:rPr>
          <w:lang w:val="en-US"/>
        </w:rPr>
        <w:t xml:space="preserve"> </w:t>
      </w:r>
      <w:r w:rsidR="0032113F">
        <w:rPr>
          <w:lang w:val="en-US"/>
        </w:rPr>
        <w:t>e</w:t>
      </w:r>
      <w:r w:rsidRPr="00E91F79">
        <w:rPr>
          <w:lang w:val="en-US"/>
        </w:rPr>
        <w:t>ntr</w:t>
      </w:r>
      <w:r w:rsidR="0032113F">
        <w:rPr>
          <w:lang w:val="en-US"/>
        </w:rPr>
        <w:t>e</w:t>
      </w:r>
      <w:r w:rsidRPr="00E91F79">
        <w:rPr>
          <w:lang w:val="en-US"/>
        </w:rPr>
        <w:t xml:space="preserve">preneurship were key recommendations. Additionally, </w:t>
      </w:r>
      <w:r w:rsidR="0032113F">
        <w:rPr>
          <w:lang w:val="en-US"/>
        </w:rPr>
        <w:t xml:space="preserve">participants </w:t>
      </w:r>
      <w:r>
        <w:rPr>
          <w:lang w:val="en-US"/>
        </w:rPr>
        <w:t>highlighted</w:t>
      </w:r>
      <w:r w:rsidRPr="00E91F79">
        <w:rPr>
          <w:lang w:val="en-US"/>
        </w:rPr>
        <w:t xml:space="preserve"> </w:t>
      </w:r>
      <w:r w:rsidR="0032113F">
        <w:rPr>
          <w:lang w:val="en-US"/>
        </w:rPr>
        <w:t xml:space="preserve">the importance </w:t>
      </w:r>
      <w:r w:rsidRPr="00E91F79">
        <w:rPr>
          <w:lang w:val="en-US"/>
        </w:rPr>
        <w:t>of a national, regional and global platform t</w:t>
      </w:r>
      <w:r w:rsidR="0032113F">
        <w:rPr>
          <w:lang w:val="en-US"/>
        </w:rPr>
        <w:t xml:space="preserve">o </w:t>
      </w:r>
      <w:r w:rsidRPr="00E91F79">
        <w:rPr>
          <w:lang w:val="en-US"/>
        </w:rPr>
        <w:t xml:space="preserve">facilitate interaction between stakeholders and </w:t>
      </w:r>
      <w:r w:rsidR="0032113F">
        <w:rPr>
          <w:lang w:val="en-US"/>
        </w:rPr>
        <w:t xml:space="preserve">to </w:t>
      </w:r>
      <w:r w:rsidRPr="00E91F79">
        <w:rPr>
          <w:lang w:val="en-US"/>
        </w:rPr>
        <w:t>enable knowledge sharing for sustainability. Furthermore, other measures</w:t>
      </w:r>
      <w:r>
        <w:rPr>
          <w:lang w:val="en-US"/>
        </w:rPr>
        <w:t>,</w:t>
      </w:r>
      <w:r w:rsidRPr="00E91F79">
        <w:rPr>
          <w:lang w:val="en-US"/>
        </w:rPr>
        <w:t xml:space="preserve"> such as a measurement framework to help scale ICT</w:t>
      </w:r>
      <w:r>
        <w:rPr>
          <w:lang w:val="en-US"/>
        </w:rPr>
        <w:t>-</w:t>
      </w:r>
      <w:r w:rsidRPr="00E91F79">
        <w:rPr>
          <w:lang w:val="en-US"/>
        </w:rPr>
        <w:t>centric innovation and the development of an innovation assistance fund</w:t>
      </w:r>
      <w:r>
        <w:rPr>
          <w:lang w:val="en-US"/>
        </w:rPr>
        <w:t>,</w:t>
      </w:r>
      <w:r w:rsidRPr="00E91F79">
        <w:rPr>
          <w:lang w:val="en-US"/>
        </w:rPr>
        <w:t xml:space="preserve"> were seen as beneficial to scale impact.</w:t>
      </w:r>
      <w:r>
        <w:rPr>
          <w:lang w:val="en-US"/>
        </w:rPr>
        <w:t xml:space="preserve"> </w:t>
      </w:r>
    </w:p>
    <w:p w:rsidR="004A5CF9" w:rsidRPr="00BF5B1F" w:rsidRDefault="004A5CF9" w:rsidP="00EA4144">
      <w:pPr>
        <w:pStyle w:val="ListParagraph"/>
        <w:keepNext/>
        <w:numPr>
          <w:ilvl w:val="1"/>
          <w:numId w:val="36"/>
        </w:numPr>
        <w:spacing w:before="240" w:after="120"/>
        <w:ind w:left="505" w:hanging="505"/>
        <w:contextualSpacing w:val="0"/>
        <w:rPr>
          <w:rStyle w:val="StyleComplex12pt"/>
          <w:rFonts w:cstheme="minorHAnsi"/>
          <w:b/>
          <w:bCs/>
        </w:rPr>
      </w:pPr>
      <w:r w:rsidRPr="00BF5B1F">
        <w:rPr>
          <w:rStyle w:val="StyleComplex12pt"/>
          <w:rFonts w:cstheme="minorHAnsi"/>
          <w:b/>
          <w:bCs/>
        </w:rPr>
        <w:lastRenderedPageBreak/>
        <w:t>Membership, partnership and private sector-related matters</w:t>
      </w:r>
    </w:p>
    <w:p w:rsidR="004A5CF9" w:rsidRPr="00957B6C" w:rsidRDefault="00EA4144" w:rsidP="004A5CF9">
      <w:pPr>
        <w:tabs>
          <w:tab w:val="clear" w:pos="1134"/>
          <w:tab w:val="clear" w:pos="1871"/>
          <w:tab w:val="clear" w:pos="2268"/>
        </w:tabs>
        <w:overflowPunct/>
        <w:autoSpaceDE/>
        <w:autoSpaceDN/>
        <w:adjustRightInd/>
        <w:spacing w:after="120"/>
        <w:textAlignment w:val="auto"/>
        <w:rPr>
          <w:rFonts w:cstheme="minorHAnsi"/>
          <w:szCs w:val="24"/>
        </w:rPr>
      </w:pPr>
      <w:hyperlink r:id="rId44" w:history="1">
        <w:r w:rsidR="004A5CF9" w:rsidRPr="00957B6C">
          <w:rPr>
            <w:rStyle w:val="Hyperlink"/>
            <w:rFonts w:cstheme="minorHAnsi"/>
            <w:b/>
            <w:bCs/>
            <w:szCs w:val="24"/>
          </w:rPr>
          <w:t>Document 20</w:t>
        </w:r>
      </w:hyperlink>
      <w:r w:rsidR="004A5CF9" w:rsidRPr="00957B6C">
        <w:rPr>
          <w:rFonts w:cstheme="minorHAnsi"/>
          <w:b/>
          <w:bCs/>
          <w:color w:val="000000" w:themeColor="text1"/>
          <w:szCs w:val="24"/>
        </w:rPr>
        <w:t>:</w:t>
      </w:r>
      <w:r w:rsidR="004A5CF9" w:rsidRPr="00957B6C">
        <w:rPr>
          <w:rFonts w:cstheme="minorHAnsi"/>
          <w:color w:val="000000" w:themeColor="text1"/>
          <w:szCs w:val="24"/>
        </w:rPr>
        <w:t xml:space="preserve"> “ITU-D Sector Membership</w:t>
      </w:r>
      <w:r w:rsidR="004A5CF9" w:rsidRPr="00957B6C">
        <w:rPr>
          <w:rFonts w:cstheme="minorHAnsi"/>
          <w:szCs w:val="24"/>
        </w:rPr>
        <w:t>”</w:t>
      </w:r>
      <w:r w:rsidR="004A5CF9" w:rsidRPr="00957B6C">
        <w:rPr>
          <w:rFonts w:cstheme="minorHAnsi"/>
          <w:b/>
          <w:bCs/>
          <w:szCs w:val="24"/>
        </w:rPr>
        <w:t xml:space="preserve"> </w:t>
      </w:r>
      <w:r w:rsidR="004A5CF9" w:rsidRPr="00957B6C">
        <w:rPr>
          <w:rFonts w:cstheme="minorHAnsi"/>
          <w:szCs w:val="24"/>
        </w:rPr>
        <w:t xml:space="preserve">provides an overview of the evolution of ITU-D Sector membership and its strategies and actions to strengthen membership in accordance with the outcomes of WTDC-17 and PP-18. </w:t>
      </w:r>
    </w:p>
    <w:p w:rsidR="004A5CF9" w:rsidRDefault="004A5CF9" w:rsidP="007B36B3">
      <w:pPr>
        <w:spacing w:after="120"/>
      </w:pPr>
      <w:r w:rsidRPr="00957B6C">
        <w:rPr>
          <w:rFonts w:cstheme="minorHAnsi"/>
          <w:szCs w:val="24"/>
        </w:rPr>
        <w:t xml:space="preserve">A number of strategic objectives were highlighted and include reaching out to new entities to join as Sector </w:t>
      </w:r>
      <w:r>
        <w:rPr>
          <w:rFonts w:cstheme="minorHAnsi"/>
          <w:szCs w:val="24"/>
        </w:rPr>
        <w:t>M</w:t>
      </w:r>
      <w:r w:rsidRPr="00957B6C">
        <w:rPr>
          <w:rFonts w:cstheme="minorHAnsi"/>
          <w:szCs w:val="24"/>
        </w:rPr>
        <w:t xml:space="preserve">embers, </w:t>
      </w:r>
      <w:r>
        <w:rPr>
          <w:rFonts w:cstheme="minorHAnsi"/>
          <w:szCs w:val="24"/>
        </w:rPr>
        <w:t>A</w:t>
      </w:r>
      <w:r w:rsidRPr="00957B6C">
        <w:rPr>
          <w:rFonts w:cstheme="minorHAnsi"/>
          <w:szCs w:val="24"/>
        </w:rPr>
        <w:t>ssociates</w:t>
      </w:r>
      <w:r>
        <w:rPr>
          <w:rFonts w:cstheme="minorHAnsi"/>
          <w:szCs w:val="24"/>
        </w:rPr>
        <w:t xml:space="preserve">, </w:t>
      </w:r>
      <w:r w:rsidRPr="00957B6C">
        <w:rPr>
          <w:rFonts w:cstheme="minorHAnsi"/>
          <w:szCs w:val="24"/>
        </w:rPr>
        <w:t>Academia</w:t>
      </w:r>
      <w:r>
        <w:rPr>
          <w:rFonts w:cstheme="minorHAnsi"/>
          <w:szCs w:val="24"/>
        </w:rPr>
        <w:t xml:space="preserve"> and </w:t>
      </w:r>
      <w:r w:rsidRPr="00427837">
        <w:rPr>
          <w:rFonts w:eastAsia="Calibri" w:cs="Calibri"/>
          <w:color w:val="000000" w:themeColor="text1"/>
          <w:szCs w:val="24"/>
        </w:rPr>
        <w:t>small and medium-sized enterprises (SMEs)</w:t>
      </w:r>
      <w:r>
        <w:rPr>
          <w:rFonts w:eastAsia="Calibri" w:cs="Calibri"/>
          <w:color w:val="000000" w:themeColor="text1"/>
          <w:szCs w:val="24"/>
        </w:rPr>
        <w:t xml:space="preserve">. Reaching out to new entities </w:t>
      </w:r>
      <w:r w:rsidRPr="000D278F">
        <w:rPr>
          <w:lang w:val="en-US"/>
        </w:rPr>
        <w:t xml:space="preserve">is </w:t>
      </w:r>
      <w:r>
        <w:rPr>
          <w:lang w:val="en-US"/>
        </w:rPr>
        <w:t xml:space="preserve">done </w:t>
      </w:r>
      <w:r w:rsidRPr="000D278F">
        <w:rPr>
          <w:lang w:val="en-US"/>
        </w:rPr>
        <w:t>in close coordination and cooperation with regional and area offices at various regional and international events</w:t>
      </w:r>
      <w:r>
        <w:rPr>
          <w:lang w:val="en-US"/>
        </w:rPr>
        <w:t xml:space="preserve">, and </w:t>
      </w:r>
      <w:r w:rsidRPr="000D278F">
        <w:rPr>
          <w:lang w:val="en-US"/>
        </w:rPr>
        <w:t xml:space="preserve">goes hand in hand with communicating and promoting BDT </w:t>
      </w:r>
      <w:proofErr w:type="spellStart"/>
      <w:r w:rsidRPr="000D278F">
        <w:rPr>
          <w:lang w:val="en-US"/>
        </w:rPr>
        <w:t>program</w:t>
      </w:r>
      <w:r w:rsidR="00667E60">
        <w:rPr>
          <w:lang w:val="en-US"/>
        </w:rPr>
        <w:t>me</w:t>
      </w:r>
      <w:r w:rsidR="007321ED">
        <w:rPr>
          <w:lang w:val="en-US"/>
        </w:rPr>
        <w:t>s</w:t>
      </w:r>
      <w:proofErr w:type="spellEnd"/>
      <w:r w:rsidRPr="000D278F">
        <w:rPr>
          <w:lang w:val="en-US"/>
        </w:rPr>
        <w:t xml:space="preserve">, projects, initiatives and actions. </w:t>
      </w:r>
      <w:r>
        <w:rPr>
          <w:lang w:val="en-US"/>
        </w:rPr>
        <w:t>A</w:t>
      </w:r>
      <w:r w:rsidRPr="000D278F">
        <w:t xml:space="preserve"> pilot project implemented by ITU-D study groups to encourage SMEs to participate in their work has proved to be an attractive initiative. </w:t>
      </w:r>
      <w:r>
        <w:rPr>
          <w:lang w:val="en-US"/>
        </w:rPr>
        <w:t xml:space="preserve">It is hoped that the </w:t>
      </w:r>
      <w:r w:rsidRPr="00490C93">
        <w:rPr>
          <w:szCs w:val="24"/>
        </w:rPr>
        <w:t>decision of PP-18 to introduce reduced fees for SMEs will help increase industry participation, particularly from developing countries.</w:t>
      </w:r>
      <w:r w:rsidRPr="00490C93">
        <w:rPr>
          <w:szCs w:val="24"/>
          <w:lang w:val="en-US"/>
        </w:rPr>
        <w:t xml:space="preserve"> </w:t>
      </w:r>
      <w:r w:rsidRPr="000D278F">
        <w:rPr>
          <w:lang w:val="en-US"/>
        </w:rPr>
        <w:t>Academia is the main growing segment</w:t>
      </w:r>
      <w:r>
        <w:rPr>
          <w:lang w:val="en-US"/>
        </w:rPr>
        <w:t xml:space="preserve">, with </w:t>
      </w:r>
      <w:r w:rsidRPr="002E2FA0">
        <w:t>37 new affiliated academic institutions</w:t>
      </w:r>
      <w:r>
        <w:t xml:space="preserve"> having joined the work of all three Sectors</w:t>
      </w:r>
      <w:r>
        <w:rPr>
          <w:lang w:val="en-US"/>
        </w:rPr>
        <w:t>. O</w:t>
      </w:r>
      <w:r w:rsidRPr="000D278F">
        <w:rPr>
          <w:lang w:val="en-US"/>
        </w:rPr>
        <w:t xml:space="preserve">utreach </w:t>
      </w:r>
      <w:r>
        <w:rPr>
          <w:lang w:val="en-US"/>
        </w:rPr>
        <w:t xml:space="preserve">for Academia </w:t>
      </w:r>
      <w:r w:rsidRPr="000D278F">
        <w:rPr>
          <w:lang w:val="en-US"/>
        </w:rPr>
        <w:t>is led by the General Secretariat</w:t>
      </w:r>
      <w:r>
        <w:rPr>
          <w:lang w:val="en-US"/>
        </w:rPr>
        <w:t>,</w:t>
      </w:r>
      <w:r w:rsidRPr="000D278F">
        <w:rPr>
          <w:lang w:val="en-US"/>
        </w:rPr>
        <w:t xml:space="preserve"> with th</w:t>
      </w:r>
      <w:r>
        <w:rPr>
          <w:lang w:val="en-US"/>
        </w:rPr>
        <w:t>e support of the three Sectors.</w:t>
      </w:r>
      <w:r w:rsidRPr="003B4A21">
        <w:t xml:space="preserve"> </w:t>
      </w:r>
    </w:p>
    <w:p w:rsidR="004A5CF9" w:rsidRPr="007B36B3" w:rsidRDefault="004A5CF9" w:rsidP="007B36B3">
      <w:pPr>
        <w:spacing w:after="120"/>
        <w:rPr>
          <w:lang w:val="en-US"/>
        </w:rPr>
      </w:pPr>
      <w:r>
        <w:rPr>
          <w:lang w:val="en-US"/>
        </w:rPr>
        <w:t>I</w:t>
      </w:r>
      <w:r w:rsidRPr="00E7188C">
        <w:rPr>
          <w:szCs w:val="24"/>
        </w:rPr>
        <w:t>n 2018 ITU-D attracted</w:t>
      </w:r>
      <w:r>
        <w:rPr>
          <w:szCs w:val="24"/>
        </w:rPr>
        <w:t xml:space="preserve"> eight</w:t>
      </w:r>
      <w:r w:rsidRPr="00E7188C">
        <w:rPr>
          <w:szCs w:val="24"/>
        </w:rPr>
        <w:t xml:space="preserve"> new Sector Members: </w:t>
      </w:r>
      <w:r w:rsidRPr="000D278F">
        <w:rPr>
          <w:lang w:val="en-US"/>
        </w:rPr>
        <w:t xml:space="preserve">ECPAT International </w:t>
      </w:r>
      <w:r w:rsidRPr="007B36B3">
        <w:rPr>
          <w:b/>
          <w:lang w:val="en-US"/>
        </w:rPr>
        <w:t>(Thailand</w:t>
      </w:r>
      <w:r w:rsidRPr="000D278F">
        <w:rPr>
          <w:lang w:val="en-US"/>
        </w:rPr>
        <w:t xml:space="preserve">); World Wide Web Foundation </w:t>
      </w:r>
      <w:r w:rsidRPr="007B36B3">
        <w:rPr>
          <w:b/>
          <w:lang w:val="en-US"/>
        </w:rPr>
        <w:t>(U</w:t>
      </w:r>
      <w:r w:rsidR="0032113F">
        <w:rPr>
          <w:b/>
          <w:lang w:val="en-US"/>
        </w:rPr>
        <w:t xml:space="preserve">nited </w:t>
      </w:r>
      <w:r w:rsidRPr="007B36B3">
        <w:rPr>
          <w:b/>
          <w:lang w:val="en-US"/>
        </w:rPr>
        <w:t>S</w:t>
      </w:r>
      <w:r w:rsidR="0032113F">
        <w:rPr>
          <w:b/>
          <w:lang w:val="en-US"/>
        </w:rPr>
        <w:t>tates</w:t>
      </w:r>
      <w:r w:rsidRPr="000D278F">
        <w:rPr>
          <w:lang w:val="en-US"/>
        </w:rPr>
        <w:t>); Common Market for Eastern and Southern Africa (</w:t>
      </w:r>
      <w:r w:rsidRPr="007B36B3">
        <w:rPr>
          <w:b/>
          <w:lang w:val="en-US"/>
        </w:rPr>
        <w:t>Zambia</w:t>
      </w:r>
      <w:r w:rsidRPr="000D278F">
        <w:rPr>
          <w:lang w:val="en-US"/>
        </w:rPr>
        <w:t xml:space="preserve">); Mobile and Wireless Forum IVZW </w:t>
      </w:r>
      <w:r w:rsidRPr="007B36B3">
        <w:rPr>
          <w:b/>
          <w:lang w:val="en-US"/>
        </w:rPr>
        <w:t>(Belgium</w:t>
      </w:r>
      <w:r w:rsidRPr="000D278F">
        <w:rPr>
          <w:lang w:val="en-US"/>
        </w:rPr>
        <w:t xml:space="preserve">); </w:t>
      </w:r>
      <w:proofErr w:type="spellStart"/>
      <w:r w:rsidRPr="000D278F">
        <w:rPr>
          <w:lang w:val="en-US"/>
        </w:rPr>
        <w:t>Turkcell</w:t>
      </w:r>
      <w:proofErr w:type="spellEnd"/>
      <w:r w:rsidRPr="000D278F">
        <w:rPr>
          <w:lang w:val="en-US"/>
        </w:rPr>
        <w:t xml:space="preserve"> </w:t>
      </w:r>
      <w:proofErr w:type="spellStart"/>
      <w:r w:rsidRPr="000D278F">
        <w:rPr>
          <w:lang w:val="en-US"/>
        </w:rPr>
        <w:t>Iletisim</w:t>
      </w:r>
      <w:proofErr w:type="spellEnd"/>
      <w:r w:rsidRPr="000D278F">
        <w:rPr>
          <w:lang w:val="en-US"/>
        </w:rPr>
        <w:t xml:space="preserve"> </w:t>
      </w:r>
      <w:proofErr w:type="spellStart"/>
      <w:r w:rsidRPr="000D278F">
        <w:rPr>
          <w:lang w:val="en-US"/>
        </w:rPr>
        <w:t>Hizmetleri</w:t>
      </w:r>
      <w:proofErr w:type="spellEnd"/>
      <w:r w:rsidRPr="000D278F">
        <w:rPr>
          <w:lang w:val="en-US"/>
        </w:rPr>
        <w:t xml:space="preserve"> A.S (</w:t>
      </w:r>
      <w:r w:rsidRPr="007B36B3">
        <w:rPr>
          <w:b/>
          <w:lang w:val="en-US"/>
        </w:rPr>
        <w:t>Turkey</w:t>
      </w:r>
      <w:r w:rsidRPr="000D278F">
        <w:rPr>
          <w:lang w:val="en-US"/>
        </w:rPr>
        <w:t>); Sigma Telecom (</w:t>
      </w:r>
      <w:r w:rsidRPr="007B36B3">
        <w:rPr>
          <w:b/>
          <w:lang w:val="en-US"/>
        </w:rPr>
        <w:t>Turkey</w:t>
      </w:r>
      <w:r w:rsidRPr="000D278F">
        <w:rPr>
          <w:lang w:val="en-US"/>
        </w:rPr>
        <w:t>); Symantec Corporation (</w:t>
      </w:r>
      <w:r w:rsidRPr="007B36B3">
        <w:rPr>
          <w:b/>
          <w:lang w:val="en-US"/>
        </w:rPr>
        <w:t>U</w:t>
      </w:r>
      <w:r w:rsidR="0032113F" w:rsidRPr="007B36B3">
        <w:rPr>
          <w:b/>
          <w:lang w:val="en-US"/>
        </w:rPr>
        <w:t xml:space="preserve">nited </w:t>
      </w:r>
      <w:r w:rsidRPr="007B36B3">
        <w:rPr>
          <w:b/>
          <w:lang w:val="en-US"/>
        </w:rPr>
        <w:t>S</w:t>
      </w:r>
      <w:r w:rsidR="0032113F" w:rsidRPr="007B36B3">
        <w:rPr>
          <w:b/>
          <w:lang w:val="en-US"/>
        </w:rPr>
        <w:t>tates</w:t>
      </w:r>
      <w:r w:rsidRPr="000D278F">
        <w:rPr>
          <w:lang w:val="en-US"/>
        </w:rPr>
        <w:t xml:space="preserve">); </w:t>
      </w:r>
      <w:proofErr w:type="spellStart"/>
      <w:r w:rsidRPr="000D278F">
        <w:rPr>
          <w:lang w:val="en-US"/>
        </w:rPr>
        <w:t>Masyarakat</w:t>
      </w:r>
      <w:proofErr w:type="spellEnd"/>
      <w:r w:rsidRPr="000D278F">
        <w:rPr>
          <w:lang w:val="en-US"/>
        </w:rPr>
        <w:t xml:space="preserve"> </w:t>
      </w:r>
      <w:proofErr w:type="spellStart"/>
      <w:r w:rsidRPr="000D278F">
        <w:rPr>
          <w:lang w:val="en-US"/>
        </w:rPr>
        <w:t>Telematika</w:t>
      </w:r>
      <w:proofErr w:type="spellEnd"/>
      <w:r w:rsidRPr="000D278F">
        <w:rPr>
          <w:lang w:val="en-US"/>
        </w:rPr>
        <w:t xml:space="preserve"> Indonesia (</w:t>
      </w:r>
      <w:r w:rsidRPr="007B36B3">
        <w:rPr>
          <w:b/>
          <w:lang w:val="en-US"/>
        </w:rPr>
        <w:t>Indonesia</w:t>
      </w:r>
      <w:r w:rsidRPr="000D278F">
        <w:rPr>
          <w:lang w:val="en-US"/>
        </w:rPr>
        <w:t xml:space="preserve">). </w:t>
      </w:r>
      <w:r>
        <w:rPr>
          <w:lang w:val="en-US"/>
        </w:rPr>
        <w:t>Furthermore, the following four joined as Associates</w:t>
      </w:r>
      <w:r w:rsidRPr="000D278F">
        <w:rPr>
          <w:lang w:val="en-US"/>
        </w:rPr>
        <w:t>: High-tech Bridge SA (Switzerland); Konkan Railway Corporation Ltd. (</w:t>
      </w:r>
      <w:r w:rsidRPr="007B36B3">
        <w:rPr>
          <w:b/>
          <w:lang w:val="en-US"/>
        </w:rPr>
        <w:t>India</w:t>
      </w:r>
      <w:r w:rsidRPr="000D278F">
        <w:rPr>
          <w:lang w:val="en-US"/>
        </w:rPr>
        <w:t>); Axon Partners Group Consulting (</w:t>
      </w:r>
      <w:r w:rsidRPr="007B36B3">
        <w:rPr>
          <w:b/>
          <w:lang w:val="en-US"/>
        </w:rPr>
        <w:t>Spain</w:t>
      </w:r>
      <w:r w:rsidRPr="000D278F">
        <w:rPr>
          <w:lang w:val="en-US"/>
        </w:rPr>
        <w:t>); and NRD Cyber Security (</w:t>
      </w:r>
      <w:r w:rsidRPr="007B36B3">
        <w:rPr>
          <w:b/>
          <w:lang w:val="en-US"/>
        </w:rPr>
        <w:t>Lithuania</w:t>
      </w:r>
      <w:r w:rsidRPr="000D278F">
        <w:rPr>
          <w:lang w:val="en-US"/>
        </w:rPr>
        <w:t xml:space="preserve">). </w:t>
      </w:r>
      <w:r>
        <w:rPr>
          <w:szCs w:val="24"/>
          <w:lang w:val="en-US"/>
        </w:rPr>
        <w:t>D</w:t>
      </w:r>
      <w:proofErr w:type="spellStart"/>
      <w:r>
        <w:rPr>
          <w:szCs w:val="24"/>
        </w:rPr>
        <w:t>uring</w:t>
      </w:r>
      <w:proofErr w:type="spellEnd"/>
      <w:r>
        <w:rPr>
          <w:szCs w:val="24"/>
        </w:rPr>
        <w:t xml:space="preserve"> the same period, nine </w:t>
      </w:r>
      <w:r w:rsidRPr="000D278F">
        <w:rPr>
          <w:lang w:val="en-US"/>
        </w:rPr>
        <w:t>Sector Members</w:t>
      </w:r>
      <w:r>
        <w:rPr>
          <w:lang w:val="en-US"/>
        </w:rPr>
        <w:t xml:space="preserve"> and </w:t>
      </w:r>
      <w:r w:rsidRPr="000D278F">
        <w:rPr>
          <w:lang w:val="en-US"/>
        </w:rPr>
        <w:t>one Associate</w:t>
      </w:r>
      <w:r>
        <w:rPr>
          <w:lang w:val="en-US"/>
        </w:rPr>
        <w:t xml:space="preserve"> left ITU-D</w:t>
      </w:r>
      <w:r w:rsidRPr="000D278F">
        <w:rPr>
          <w:lang w:val="en-US"/>
        </w:rPr>
        <w:t xml:space="preserve">: </w:t>
      </w:r>
      <w:r w:rsidRPr="000D278F">
        <w:rPr>
          <w:szCs w:val="24"/>
          <w:lang w:val="en-US"/>
        </w:rPr>
        <w:t xml:space="preserve">Sri Lanka Telecom Ltd. </w:t>
      </w:r>
      <w:r>
        <w:rPr>
          <w:szCs w:val="24"/>
          <w:lang w:val="en-US"/>
        </w:rPr>
        <w:t>(</w:t>
      </w:r>
      <w:r w:rsidRPr="007B36B3">
        <w:rPr>
          <w:b/>
          <w:szCs w:val="24"/>
          <w:lang w:val="en-US"/>
        </w:rPr>
        <w:t>Sri Lanka</w:t>
      </w:r>
      <w:r>
        <w:rPr>
          <w:szCs w:val="24"/>
          <w:lang w:val="en-US"/>
        </w:rPr>
        <w:t>)</w:t>
      </w:r>
      <w:r w:rsidRPr="000D278F">
        <w:rPr>
          <w:lang w:val="en-US"/>
        </w:rPr>
        <w:t xml:space="preserve">; </w:t>
      </w:r>
      <w:proofErr w:type="spellStart"/>
      <w:r w:rsidRPr="000D278F">
        <w:rPr>
          <w:szCs w:val="24"/>
          <w:lang w:val="en-US"/>
        </w:rPr>
        <w:t>Thuraya</w:t>
      </w:r>
      <w:proofErr w:type="spellEnd"/>
      <w:r w:rsidRPr="000D278F">
        <w:rPr>
          <w:szCs w:val="24"/>
          <w:lang w:val="en-US"/>
        </w:rPr>
        <w:t xml:space="preserve"> Telecommunications Company</w:t>
      </w:r>
      <w:r w:rsidRPr="000D278F">
        <w:rPr>
          <w:lang w:val="en-US"/>
        </w:rPr>
        <w:t xml:space="preserve">; </w:t>
      </w:r>
      <w:r w:rsidRPr="000D278F">
        <w:rPr>
          <w:szCs w:val="24"/>
          <w:lang w:val="en-US"/>
        </w:rPr>
        <w:t xml:space="preserve">PT </w:t>
      </w:r>
      <w:proofErr w:type="spellStart"/>
      <w:r w:rsidRPr="000D278F">
        <w:rPr>
          <w:szCs w:val="24"/>
          <w:lang w:val="en-US"/>
        </w:rPr>
        <w:t>Indosat</w:t>
      </w:r>
      <w:proofErr w:type="spellEnd"/>
      <w:r w:rsidRPr="000D278F">
        <w:rPr>
          <w:szCs w:val="24"/>
          <w:lang w:val="en-US"/>
        </w:rPr>
        <w:t xml:space="preserve"> </w:t>
      </w:r>
      <w:proofErr w:type="spellStart"/>
      <w:r w:rsidRPr="000D278F">
        <w:rPr>
          <w:szCs w:val="24"/>
          <w:lang w:val="en-US"/>
        </w:rPr>
        <w:t>Tbk</w:t>
      </w:r>
      <w:proofErr w:type="spellEnd"/>
      <w:r w:rsidRPr="000D278F">
        <w:rPr>
          <w:szCs w:val="24"/>
          <w:lang w:val="en-US"/>
        </w:rPr>
        <w:t xml:space="preserve">. </w:t>
      </w:r>
      <w:r>
        <w:rPr>
          <w:szCs w:val="24"/>
          <w:lang w:val="en-US"/>
        </w:rPr>
        <w:t>(</w:t>
      </w:r>
      <w:r w:rsidRPr="000D278F">
        <w:rPr>
          <w:szCs w:val="24"/>
          <w:lang w:val="en-US"/>
        </w:rPr>
        <w:t>I</w:t>
      </w:r>
      <w:r w:rsidRPr="007B36B3">
        <w:rPr>
          <w:b/>
          <w:szCs w:val="24"/>
          <w:lang w:val="en-US"/>
        </w:rPr>
        <w:t>ndonesia</w:t>
      </w:r>
      <w:r>
        <w:rPr>
          <w:szCs w:val="24"/>
          <w:lang w:val="en-US"/>
        </w:rPr>
        <w:t>)</w:t>
      </w:r>
      <w:r w:rsidRPr="000D278F">
        <w:rPr>
          <w:lang w:val="en-US"/>
        </w:rPr>
        <w:t xml:space="preserve">; </w:t>
      </w:r>
      <w:r w:rsidRPr="000D278F">
        <w:rPr>
          <w:szCs w:val="24"/>
          <w:lang w:val="en-US"/>
        </w:rPr>
        <w:t xml:space="preserve">ADD International </w:t>
      </w:r>
      <w:r>
        <w:rPr>
          <w:szCs w:val="24"/>
          <w:lang w:val="en-US"/>
        </w:rPr>
        <w:t>(</w:t>
      </w:r>
      <w:r w:rsidRPr="007B36B3">
        <w:rPr>
          <w:b/>
          <w:szCs w:val="24"/>
          <w:lang w:val="en-US"/>
        </w:rPr>
        <w:t>Bangladesh</w:t>
      </w:r>
      <w:r>
        <w:rPr>
          <w:szCs w:val="24"/>
          <w:lang w:val="en-US"/>
        </w:rPr>
        <w:t>)</w:t>
      </w:r>
      <w:r w:rsidRPr="000D278F">
        <w:rPr>
          <w:lang w:val="en-US"/>
        </w:rPr>
        <w:t xml:space="preserve">; </w:t>
      </w:r>
      <w:proofErr w:type="spellStart"/>
      <w:r w:rsidRPr="000D278F">
        <w:rPr>
          <w:szCs w:val="24"/>
          <w:lang w:val="en-US"/>
        </w:rPr>
        <w:t>Sitronics</w:t>
      </w:r>
      <w:proofErr w:type="spellEnd"/>
      <w:r w:rsidRPr="000D278F">
        <w:rPr>
          <w:szCs w:val="24"/>
          <w:lang w:val="en-US"/>
        </w:rPr>
        <w:t xml:space="preserve"> Ex. JSC Intellect Telecom </w:t>
      </w:r>
      <w:r>
        <w:rPr>
          <w:szCs w:val="24"/>
          <w:lang w:val="en-US"/>
        </w:rPr>
        <w:t>(</w:t>
      </w:r>
      <w:r w:rsidRPr="007B36B3">
        <w:rPr>
          <w:b/>
          <w:szCs w:val="24"/>
          <w:lang w:val="en-US"/>
        </w:rPr>
        <w:t>Russian Federation</w:t>
      </w:r>
      <w:r>
        <w:rPr>
          <w:szCs w:val="24"/>
          <w:lang w:val="en-US"/>
        </w:rPr>
        <w:t>)</w:t>
      </w:r>
      <w:r w:rsidRPr="000D278F">
        <w:rPr>
          <w:lang w:val="en-US"/>
        </w:rPr>
        <w:t xml:space="preserve">; </w:t>
      </w:r>
      <w:r w:rsidRPr="000D278F">
        <w:rPr>
          <w:szCs w:val="24"/>
          <w:lang w:val="en-US"/>
        </w:rPr>
        <w:t xml:space="preserve">Guyana Telephone and Telegraph Co. Ltd. </w:t>
      </w:r>
      <w:r>
        <w:rPr>
          <w:szCs w:val="24"/>
          <w:lang w:val="en-US"/>
        </w:rPr>
        <w:t>(</w:t>
      </w:r>
      <w:r w:rsidRPr="007B36B3">
        <w:rPr>
          <w:b/>
          <w:szCs w:val="24"/>
          <w:lang w:val="en-US"/>
        </w:rPr>
        <w:t>Guyana</w:t>
      </w:r>
      <w:r>
        <w:rPr>
          <w:szCs w:val="24"/>
          <w:lang w:val="en-US"/>
        </w:rPr>
        <w:t>)</w:t>
      </w:r>
      <w:r w:rsidRPr="000D278F">
        <w:rPr>
          <w:lang w:val="en-US"/>
        </w:rPr>
        <w:t xml:space="preserve">; </w:t>
      </w:r>
      <w:r w:rsidRPr="000D278F">
        <w:rPr>
          <w:szCs w:val="24"/>
          <w:lang w:val="en-US"/>
        </w:rPr>
        <w:t xml:space="preserve">Central Science Research Telecommunications </w:t>
      </w:r>
      <w:r>
        <w:rPr>
          <w:szCs w:val="24"/>
          <w:lang w:val="en-US"/>
        </w:rPr>
        <w:t>(</w:t>
      </w:r>
      <w:r w:rsidRPr="007B36B3">
        <w:rPr>
          <w:b/>
          <w:szCs w:val="24"/>
          <w:lang w:val="en-US"/>
        </w:rPr>
        <w:t>Russian Federation</w:t>
      </w:r>
      <w:r>
        <w:rPr>
          <w:szCs w:val="24"/>
          <w:lang w:val="en-US"/>
        </w:rPr>
        <w:t>)</w:t>
      </w:r>
      <w:r w:rsidRPr="000D278F">
        <w:rPr>
          <w:lang w:val="en-US"/>
        </w:rPr>
        <w:t xml:space="preserve">; UMTS Forum </w:t>
      </w:r>
      <w:r>
        <w:rPr>
          <w:lang w:val="en-US"/>
        </w:rPr>
        <w:t>(</w:t>
      </w:r>
      <w:r w:rsidRPr="007B36B3">
        <w:rPr>
          <w:b/>
          <w:lang w:val="en-US"/>
        </w:rPr>
        <w:t>United Kingdom</w:t>
      </w:r>
      <w:r>
        <w:rPr>
          <w:lang w:val="en-US"/>
        </w:rPr>
        <w:t>)</w:t>
      </w:r>
      <w:r w:rsidRPr="000D278F">
        <w:rPr>
          <w:lang w:val="en-US"/>
        </w:rPr>
        <w:t xml:space="preserve">; </w:t>
      </w:r>
      <w:r w:rsidRPr="000D278F">
        <w:rPr>
          <w:szCs w:val="24"/>
          <w:lang w:val="en-US"/>
        </w:rPr>
        <w:t xml:space="preserve">Telecom Egypt Data S.A.E (TE Data) </w:t>
      </w:r>
      <w:r w:rsidRPr="007B36B3">
        <w:rPr>
          <w:b/>
          <w:szCs w:val="24"/>
          <w:lang w:val="en-US"/>
        </w:rPr>
        <w:t>(Egypt</w:t>
      </w:r>
      <w:r>
        <w:rPr>
          <w:szCs w:val="24"/>
          <w:lang w:val="en-US"/>
        </w:rPr>
        <w:t>)</w:t>
      </w:r>
      <w:r w:rsidRPr="000D278F">
        <w:rPr>
          <w:lang w:val="en-US"/>
        </w:rPr>
        <w:t xml:space="preserve">; and </w:t>
      </w:r>
      <w:proofErr w:type="spellStart"/>
      <w:r w:rsidRPr="000D278F">
        <w:rPr>
          <w:szCs w:val="24"/>
          <w:lang w:val="en-US"/>
        </w:rPr>
        <w:t>Sysoco</w:t>
      </w:r>
      <w:proofErr w:type="spellEnd"/>
      <w:r w:rsidRPr="000D278F">
        <w:rPr>
          <w:szCs w:val="24"/>
          <w:lang w:val="en-US"/>
        </w:rPr>
        <w:t xml:space="preserve"> </w:t>
      </w:r>
      <w:r>
        <w:rPr>
          <w:szCs w:val="24"/>
          <w:lang w:val="en-US"/>
        </w:rPr>
        <w:t>(</w:t>
      </w:r>
      <w:r w:rsidRPr="007B36B3">
        <w:rPr>
          <w:b/>
          <w:szCs w:val="24"/>
          <w:lang w:val="en-US"/>
        </w:rPr>
        <w:t>France</w:t>
      </w:r>
      <w:r>
        <w:rPr>
          <w:szCs w:val="24"/>
          <w:lang w:val="en-US"/>
        </w:rPr>
        <w:t>)</w:t>
      </w:r>
      <w:r w:rsidRPr="000D278F">
        <w:rPr>
          <w:szCs w:val="24"/>
          <w:lang w:val="en-US"/>
        </w:rPr>
        <w:t xml:space="preserve"> (Associate)</w:t>
      </w:r>
      <w:r>
        <w:rPr>
          <w:szCs w:val="24"/>
          <w:lang w:val="en-US"/>
        </w:rPr>
        <w:t>.</w:t>
      </w:r>
    </w:p>
    <w:p w:rsidR="004A5CF9" w:rsidRPr="000D278F" w:rsidRDefault="004A5CF9" w:rsidP="004A5CF9">
      <w:pPr>
        <w:rPr>
          <w:lang w:val="en-US"/>
        </w:rPr>
      </w:pPr>
      <w:r>
        <w:rPr>
          <w:lang w:val="en-US"/>
        </w:rPr>
        <w:t xml:space="preserve">In terms of </w:t>
      </w:r>
      <w:r w:rsidRPr="000D278F">
        <w:rPr>
          <w:lang w:val="en-US"/>
        </w:rPr>
        <w:t>Academia</w:t>
      </w:r>
      <w:r>
        <w:rPr>
          <w:lang w:val="en-US"/>
        </w:rPr>
        <w:t xml:space="preserve">, the following five </w:t>
      </w:r>
      <w:r w:rsidRPr="000D278F">
        <w:rPr>
          <w:lang w:val="en-US"/>
        </w:rPr>
        <w:t xml:space="preserve">left all ITU Sectors: </w:t>
      </w:r>
      <w:proofErr w:type="spellStart"/>
      <w:r w:rsidRPr="000D278F">
        <w:rPr>
          <w:szCs w:val="24"/>
          <w:lang w:val="en-US"/>
        </w:rPr>
        <w:t>Ecole</w:t>
      </w:r>
      <w:proofErr w:type="spellEnd"/>
      <w:r w:rsidRPr="000D278F">
        <w:rPr>
          <w:szCs w:val="24"/>
          <w:lang w:val="en-US"/>
        </w:rPr>
        <w:t xml:space="preserve"> </w:t>
      </w:r>
      <w:proofErr w:type="spellStart"/>
      <w:r w:rsidRPr="000D278F">
        <w:rPr>
          <w:szCs w:val="24"/>
          <w:lang w:val="en-US"/>
        </w:rPr>
        <w:t>Pol</w:t>
      </w:r>
      <w:r w:rsidRPr="000D278F">
        <w:rPr>
          <w:lang w:val="en-US"/>
        </w:rPr>
        <w:t>ytechnique</w:t>
      </w:r>
      <w:proofErr w:type="spellEnd"/>
      <w:r w:rsidRPr="000D278F">
        <w:rPr>
          <w:lang w:val="en-US"/>
        </w:rPr>
        <w:t xml:space="preserve"> </w:t>
      </w:r>
      <w:proofErr w:type="spellStart"/>
      <w:r w:rsidRPr="000D278F">
        <w:rPr>
          <w:lang w:val="en-US"/>
        </w:rPr>
        <w:t>Federale</w:t>
      </w:r>
      <w:proofErr w:type="spellEnd"/>
      <w:r w:rsidRPr="000D278F">
        <w:rPr>
          <w:lang w:val="en-US"/>
        </w:rPr>
        <w:t xml:space="preserve"> de Lausanne</w:t>
      </w:r>
      <w:r>
        <w:rPr>
          <w:lang w:val="en-US"/>
        </w:rPr>
        <w:t xml:space="preserve"> (</w:t>
      </w:r>
      <w:r w:rsidRPr="007B36B3">
        <w:rPr>
          <w:b/>
          <w:lang w:val="en-US"/>
        </w:rPr>
        <w:t>Switzerland</w:t>
      </w:r>
      <w:r>
        <w:rPr>
          <w:lang w:val="en-US"/>
        </w:rPr>
        <w:t>)</w:t>
      </w:r>
      <w:r w:rsidRPr="000D278F">
        <w:rPr>
          <w:lang w:val="en-US"/>
        </w:rPr>
        <w:t xml:space="preserve">; Lund University </w:t>
      </w:r>
      <w:r>
        <w:rPr>
          <w:lang w:val="en-US"/>
        </w:rPr>
        <w:t>(</w:t>
      </w:r>
      <w:r w:rsidRPr="007B36B3">
        <w:rPr>
          <w:b/>
          <w:lang w:val="en-US"/>
        </w:rPr>
        <w:t>Sweden</w:t>
      </w:r>
      <w:r>
        <w:rPr>
          <w:lang w:val="en-US"/>
        </w:rPr>
        <w:t>)</w:t>
      </w:r>
      <w:r w:rsidRPr="000D278F">
        <w:rPr>
          <w:lang w:val="en-US"/>
        </w:rPr>
        <w:t xml:space="preserve">; </w:t>
      </w:r>
      <w:r w:rsidRPr="000D278F">
        <w:rPr>
          <w:szCs w:val="24"/>
          <w:lang w:val="en-US"/>
        </w:rPr>
        <w:t xml:space="preserve">Aarhus University Department of Engineering </w:t>
      </w:r>
      <w:r>
        <w:rPr>
          <w:szCs w:val="24"/>
          <w:lang w:val="en-US"/>
        </w:rPr>
        <w:t>(</w:t>
      </w:r>
      <w:r w:rsidRPr="007B36B3">
        <w:rPr>
          <w:b/>
          <w:szCs w:val="24"/>
          <w:lang w:val="en-US"/>
        </w:rPr>
        <w:t>Denmark</w:t>
      </w:r>
      <w:r>
        <w:rPr>
          <w:szCs w:val="24"/>
          <w:lang w:val="en-US"/>
        </w:rPr>
        <w:t>)</w:t>
      </w:r>
      <w:r w:rsidRPr="000D278F">
        <w:rPr>
          <w:lang w:val="en-US"/>
        </w:rPr>
        <w:t xml:space="preserve">; </w:t>
      </w:r>
      <w:r w:rsidRPr="000D278F">
        <w:rPr>
          <w:szCs w:val="24"/>
          <w:lang w:val="en-US"/>
        </w:rPr>
        <w:t xml:space="preserve">University of Groningen </w:t>
      </w:r>
      <w:r>
        <w:rPr>
          <w:szCs w:val="24"/>
          <w:lang w:val="en-US"/>
        </w:rPr>
        <w:t>(</w:t>
      </w:r>
      <w:r w:rsidRPr="007B36B3">
        <w:rPr>
          <w:b/>
          <w:szCs w:val="24"/>
          <w:lang w:val="en-US"/>
        </w:rPr>
        <w:t>Netherlands</w:t>
      </w:r>
      <w:r>
        <w:rPr>
          <w:szCs w:val="24"/>
          <w:lang w:val="en-US"/>
        </w:rPr>
        <w:t>)</w:t>
      </w:r>
      <w:r w:rsidRPr="000D278F">
        <w:rPr>
          <w:lang w:val="en-US"/>
        </w:rPr>
        <w:t xml:space="preserve">; and </w:t>
      </w:r>
      <w:r w:rsidRPr="000D278F">
        <w:rPr>
          <w:szCs w:val="24"/>
          <w:lang w:val="en-US"/>
        </w:rPr>
        <w:t xml:space="preserve">King Abdullah University of Science </w:t>
      </w:r>
      <w:r>
        <w:rPr>
          <w:szCs w:val="24"/>
          <w:lang w:val="en-US"/>
        </w:rPr>
        <w:t>(</w:t>
      </w:r>
      <w:r w:rsidRPr="007B36B3">
        <w:rPr>
          <w:b/>
          <w:szCs w:val="24"/>
          <w:lang w:val="en-US"/>
        </w:rPr>
        <w:t>Saudi Arabia</w:t>
      </w:r>
      <w:r>
        <w:rPr>
          <w:szCs w:val="24"/>
          <w:lang w:val="en-US"/>
        </w:rPr>
        <w:t>)</w:t>
      </w:r>
      <w:r w:rsidRPr="000D278F">
        <w:rPr>
          <w:lang w:val="en-US"/>
        </w:rPr>
        <w:t>.</w:t>
      </w:r>
    </w:p>
    <w:p w:rsidR="004A5CF9" w:rsidRPr="00640281" w:rsidRDefault="004A5CF9" w:rsidP="004A5CF9">
      <w:pPr>
        <w:spacing w:after="120"/>
        <w:rPr>
          <w:rFonts w:cstheme="minorHAnsi"/>
          <w:color w:val="000000" w:themeColor="text1"/>
          <w:szCs w:val="24"/>
        </w:rPr>
      </w:pPr>
      <w:r w:rsidRPr="00640281">
        <w:rPr>
          <w:rFonts w:cstheme="minorHAnsi"/>
          <w:color w:val="000000" w:themeColor="text1"/>
          <w:szCs w:val="24"/>
        </w:rPr>
        <w:t xml:space="preserve">TDAG discussed measures to increase Sector membership while taking note that </w:t>
      </w:r>
      <w:r>
        <w:rPr>
          <w:rFonts w:cstheme="minorHAnsi"/>
          <w:color w:val="000000" w:themeColor="text1"/>
          <w:szCs w:val="24"/>
        </w:rPr>
        <w:t>A</w:t>
      </w:r>
      <w:r w:rsidRPr="00640281">
        <w:rPr>
          <w:rFonts w:cstheme="minorHAnsi"/>
          <w:color w:val="000000" w:themeColor="text1"/>
          <w:szCs w:val="24"/>
        </w:rPr>
        <w:t xml:space="preserve">cademia and </w:t>
      </w:r>
      <w:r>
        <w:rPr>
          <w:rFonts w:cstheme="minorHAnsi"/>
          <w:color w:val="000000" w:themeColor="text1"/>
          <w:szCs w:val="24"/>
        </w:rPr>
        <w:t>A</w:t>
      </w:r>
      <w:r w:rsidRPr="00640281">
        <w:rPr>
          <w:rFonts w:cstheme="minorHAnsi"/>
          <w:color w:val="000000" w:themeColor="text1"/>
          <w:szCs w:val="24"/>
        </w:rPr>
        <w:t xml:space="preserve">ssociate categories are the main growing segments of membership. Member States, regional offices and Sector </w:t>
      </w:r>
      <w:r>
        <w:rPr>
          <w:rFonts w:cstheme="minorHAnsi"/>
          <w:color w:val="000000" w:themeColor="text1"/>
          <w:szCs w:val="24"/>
        </w:rPr>
        <w:t>M</w:t>
      </w:r>
      <w:r w:rsidRPr="00640281">
        <w:rPr>
          <w:rFonts w:cstheme="minorHAnsi"/>
          <w:color w:val="000000" w:themeColor="text1"/>
          <w:szCs w:val="24"/>
        </w:rPr>
        <w:t xml:space="preserve">ember industry associations were invited to further engage and reach out to existing and prospective members, including SMEs, in national and regional events and the Private Sector Chief Regulatory Officers (CRO) meeting to be held at GSR-19. </w:t>
      </w:r>
    </w:p>
    <w:tbl>
      <w:tblPr>
        <w:tblStyle w:val="TableGrid"/>
        <w:tblW w:w="0" w:type="auto"/>
        <w:tblLook w:val="04A0" w:firstRow="1" w:lastRow="0" w:firstColumn="1" w:lastColumn="0" w:noHBand="0" w:noVBand="1"/>
      </w:tblPr>
      <w:tblGrid>
        <w:gridCol w:w="9629"/>
      </w:tblGrid>
      <w:tr w:rsidR="004A5CF9" w:rsidRPr="00957B6C" w:rsidTr="008D0BF6">
        <w:tc>
          <w:tcPr>
            <w:tcW w:w="9629" w:type="dxa"/>
          </w:tcPr>
          <w:p w:rsidR="004A5CF9" w:rsidRPr="00957B6C" w:rsidRDefault="003273F7" w:rsidP="008D0BF6">
            <w:pPr>
              <w:spacing w:after="120"/>
              <w:rPr>
                <w:rFonts w:cstheme="minorHAnsi"/>
                <w:color w:val="000000" w:themeColor="text1"/>
                <w:szCs w:val="24"/>
              </w:rPr>
            </w:pPr>
            <w:r>
              <w:rPr>
                <w:rFonts w:eastAsia="Calibri" w:cs="Calibri"/>
              </w:rPr>
              <w:t xml:space="preserve">TDAG noted </w:t>
            </w:r>
            <w:r w:rsidRPr="00BF5B1F">
              <w:rPr>
                <w:rFonts w:eastAsia="Calibri" w:cs="Calibri"/>
              </w:rPr>
              <w:t xml:space="preserve">these efforts with </w:t>
            </w:r>
            <w:r w:rsidR="00B7347D">
              <w:rPr>
                <w:rFonts w:eastAsia="Calibri" w:cs="Calibri"/>
              </w:rPr>
              <w:t xml:space="preserve">interest and </w:t>
            </w:r>
            <w:r w:rsidRPr="00BF5B1F">
              <w:rPr>
                <w:rFonts w:eastAsia="Calibri" w:cs="Calibri"/>
              </w:rPr>
              <w:t>appreciation</w:t>
            </w:r>
            <w:r w:rsidR="007321ED" w:rsidRPr="00BF5B1F">
              <w:rPr>
                <w:rFonts w:eastAsia="Calibri" w:cs="Calibri"/>
              </w:rPr>
              <w:t>,</w:t>
            </w:r>
            <w:r w:rsidR="007321ED">
              <w:rPr>
                <w:rFonts w:eastAsia="Calibri" w:cs="Calibri"/>
              </w:rPr>
              <w:t xml:space="preserve"> and </w:t>
            </w:r>
            <w:r w:rsidR="004A5CF9" w:rsidRPr="00957B6C">
              <w:rPr>
                <w:rFonts w:eastAsia="Calibri" w:cs="Calibri"/>
              </w:rPr>
              <w:t xml:space="preserve">BDT agreed to make best efforts to maintain existing members and recruit new ones, and would list all Sector </w:t>
            </w:r>
            <w:r w:rsidR="004A5CF9">
              <w:rPr>
                <w:rFonts w:eastAsia="Calibri" w:cs="Calibri"/>
              </w:rPr>
              <w:t>M</w:t>
            </w:r>
            <w:r w:rsidR="004A5CF9" w:rsidRPr="00957B6C">
              <w:rPr>
                <w:rFonts w:eastAsia="Calibri" w:cs="Calibri"/>
              </w:rPr>
              <w:t>embers in the region</w:t>
            </w:r>
            <w:r w:rsidR="004A5CF9">
              <w:rPr>
                <w:rFonts w:eastAsia="Calibri" w:cs="Calibri"/>
              </w:rPr>
              <w:t>s</w:t>
            </w:r>
            <w:r w:rsidR="004A5CF9" w:rsidRPr="00957B6C">
              <w:rPr>
                <w:rFonts w:eastAsia="Calibri" w:cs="Calibri"/>
              </w:rPr>
              <w:t xml:space="preserve"> on the </w:t>
            </w:r>
            <w:r w:rsidR="004A5CF9">
              <w:rPr>
                <w:rFonts w:eastAsia="Calibri" w:cs="Calibri"/>
              </w:rPr>
              <w:t>R</w:t>
            </w:r>
            <w:r w:rsidR="004A5CF9" w:rsidRPr="00957B6C">
              <w:rPr>
                <w:rFonts w:eastAsia="Calibri" w:cs="Calibri"/>
              </w:rPr>
              <w:t xml:space="preserve">egional </w:t>
            </w:r>
            <w:r w:rsidR="004A5CF9">
              <w:rPr>
                <w:rFonts w:eastAsia="Calibri" w:cs="Calibri"/>
              </w:rPr>
              <w:t>P</w:t>
            </w:r>
            <w:r w:rsidR="004A5CF9" w:rsidRPr="00957B6C">
              <w:rPr>
                <w:rFonts w:eastAsia="Calibri" w:cs="Calibri"/>
              </w:rPr>
              <w:t>resence website.</w:t>
            </w:r>
          </w:p>
        </w:tc>
      </w:tr>
    </w:tbl>
    <w:p w:rsidR="004A5CF9" w:rsidRPr="00427837" w:rsidRDefault="00EA4144" w:rsidP="004A5CF9">
      <w:pPr>
        <w:spacing w:after="120"/>
        <w:rPr>
          <w:rFonts w:ascii="Calibri" w:hAnsi="Calibri"/>
          <w:color w:val="000000" w:themeColor="text1"/>
          <w:sz w:val="22"/>
          <w:lang w:eastAsia="zh-CN"/>
        </w:rPr>
      </w:pPr>
      <w:hyperlink r:id="rId45" w:history="1">
        <w:r w:rsidR="004A5CF9" w:rsidRPr="00957B6C">
          <w:rPr>
            <w:rStyle w:val="Hyperlink"/>
            <w:b/>
            <w:bCs/>
          </w:rPr>
          <w:t>Document 21</w:t>
        </w:r>
      </w:hyperlink>
      <w:r w:rsidR="004A5CF9" w:rsidRPr="00957B6C">
        <w:rPr>
          <w:b/>
          <w:bCs/>
          <w:color w:val="000000"/>
        </w:rPr>
        <w:t>:</w:t>
      </w:r>
      <w:r w:rsidR="004A5CF9" w:rsidRPr="00957B6C">
        <w:rPr>
          <w:color w:val="000000"/>
        </w:rPr>
        <w:t xml:space="preserve"> “</w:t>
      </w:r>
      <w:r w:rsidR="004A5CF9" w:rsidRPr="00427837">
        <w:rPr>
          <w:color w:val="000000" w:themeColor="text1"/>
        </w:rPr>
        <w:t>ITU-D Partnership and resource mobilization” presents the key objective, actions for results-based management, and ways forward to enhance partnership and resource mobilization.</w:t>
      </w:r>
    </w:p>
    <w:p w:rsidR="004A5CF9" w:rsidRPr="007B36B3" w:rsidRDefault="004A5CF9" w:rsidP="007B36B3">
      <w:pPr>
        <w:spacing w:after="120"/>
        <w:rPr>
          <w:color w:val="000000" w:themeColor="text1"/>
        </w:rPr>
      </w:pPr>
      <w:r w:rsidRPr="00427837">
        <w:rPr>
          <w:color w:val="000000" w:themeColor="text1"/>
        </w:rPr>
        <w:lastRenderedPageBreak/>
        <w:t>After recalling the importance of partnership and resource mobilization highlighted by WTDC-17 and PP-18, the document presents</w:t>
      </w:r>
      <w:r w:rsidRPr="00427837">
        <w:rPr>
          <w:rFonts w:ascii="Georgia" w:hAnsi="Georgia"/>
          <w:color w:val="000000" w:themeColor="text1"/>
          <w:sz w:val="32"/>
          <w:szCs w:val="32"/>
        </w:rPr>
        <w:t xml:space="preserve"> </w:t>
      </w:r>
      <w:r w:rsidRPr="00427837">
        <w:rPr>
          <w:color w:val="000000" w:themeColor="text1"/>
        </w:rPr>
        <w:t xml:space="preserve">an overview of the key objective, actions for results-based management, and </w:t>
      </w:r>
      <w:r w:rsidR="007321ED">
        <w:rPr>
          <w:color w:val="000000" w:themeColor="text1"/>
        </w:rPr>
        <w:t xml:space="preserve">future plans </w:t>
      </w:r>
      <w:r w:rsidRPr="00427837">
        <w:rPr>
          <w:color w:val="000000" w:themeColor="text1"/>
        </w:rPr>
        <w:t>to enhance partnership and resource mobilization with diverse stakeholders including other United Nations agencies</w:t>
      </w:r>
      <w:r w:rsidR="007321ED">
        <w:rPr>
          <w:color w:val="000000" w:themeColor="text1"/>
        </w:rPr>
        <w:t xml:space="preserve"> and </w:t>
      </w:r>
      <w:r w:rsidRPr="00427837">
        <w:rPr>
          <w:color w:val="000000" w:themeColor="text1"/>
        </w:rPr>
        <w:t>international and regional organizations.</w:t>
      </w:r>
      <w:r w:rsidR="007321ED">
        <w:rPr>
          <w:color w:val="000000" w:themeColor="text1"/>
        </w:rPr>
        <w:t xml:space="preserve"> T</w:t>
      </w:r>
      <w:r>
        <w:rPr>
          <w:rFonts w:ascii="Calibri" w:hAnsi="Calibri"/>
          <w:szCs w:val="24"/>
        </w:rPr>
        <w:t>he document</w:t>
      </w:r>
      <w:r w:rsidRPr="00127A5B">
        <w:rPr>
          <w:rFonts w:ascii="Calibri" w:hAnsi="Calibri"/>
          <w:szCs w:val="24"/>
        </w:rPr>
        <w:t xml:space="preserve"> </w:t>
      </w:r>
      <w:r w:rsidR="007321ED">
        <w:rPr>
          <w:rFonts w:ascii="Calibri" w:hAnsi="Calibri"/>
          <w:szCs w:val="24"/>
        </w:rPr>
        <w:t xml:space="preserve">also </w:t>
      </w:r>
      <w:r w:rsidRPr="00127A5B">
        <w:rPr>
          <w:rFonts w:ascii="Calibri" w:hAnsi="Calibri"/>
          <w:szCs w:val="24"/>
        </w:rPr>
        <w:t>provides an analysis o</w:t>
      </w:r>
      <w:r w:rsidR="007321ED">
        <w:rPr>
          <w:rFonts w:ascii="Calibri" w:hAnsi="Calibri"/>
          <w:szCs w:val="24"/>
        </w:rPr>
        <w:t>f</w:t>
      </w:r>
      <w:r w:rsidRPr="00127A5B">
        <w:rPr>
          <w:rFonts w:ascii="Calibri" w:hAnsi="Calibri"/>
          <w:szCs w:val="24"/>
        </w:rPr>
        <w:t xml:space="preserve"> the number of new partnership</w:t>
      </w:r>
      <w:r>
        <w:rPr>
          <w:rFonts w:ascii="Calibri" w:hAnsi="Calibri"/>
          <w:szCs w:val="24"/>
        </w:rPr>
        <w:t>s</w:t>
      </w:r>
      <w:r w:rsidRPr="00127A5B">
        <w:rPr>
          <w:rFonts w:ascii="Calibri" w:hAnsi="Calibri"/>
          <w:szCs w:val="24"/>
        </w:rPr>
        <w:t xml:space="preserve"> signed during the four</w:t>
      </w:r>
      <w:r>
        <w:rPr>
          <w:rFonts w:ascii="Calibri" w:hAnsi="Calibri"/>
          <w:szCs w:val="24"/>
        </w:rPr>
        <w:t>-</w:t>
      </w:r>
      <w:r w:rsidRPr="00127A5B">
        <w:rPr>
          <w:rFonts w:ascii="Calibri" w:hAnsi="Calibri"/>
          <w:szCs w:val="24"/>
        </w:rPr>
        <w:t>year development cycle</w:t>
      </w:r>
      <w:r>
        <w:rPr>
          <w:rFonts w:ascii="Calibri" w:hAnsi="Calibri"/>
          <w:szCs w:val="24"/>
        </w:rPr>
        <w:t xml:space="preserve">. </w:t>
      </w:r>
      <w:r w:rsidRPr="00127A5B">
        <w:rPr>
          <w:rFonts w:ascii="Calibri" w:hAnsi="Calibri"/>
          <w:szCs w:val="24"/>
        </w:rPr>
        <w:t xml:space="preserve">In 2018, forty-three new partnership agreements and seven addenda/amendments were signed between BDT and various stakeholders. </w:t>
      </w:r>
    </w:p>
    <w:p w:rsidR="004A5CF9" w:rsidRPr="00127A5B" w:rsidRDefault="004A5CF9" w:rsidP="004A5CF9">
      <w:pPr>
        <w:pStyle w:val="ceonormal0"/>
        <w:autoSpaceDE w:val="0"/>
        <w:autoSpaceDN w:val="0"/>
        <w:textAlignment w:val="baseline"/>
        <w:rPr>
          <w:sz w:val="22"/>
          <w:szCs w:val="22"/>
        </w:rPr>
      </w:pPr>
      <w:r w:rsidRPr="00127A5B">
        <w:rPr>
          <w:rFonts w:ascii="Calibri" w:hAnsi="Calibri"/>
          <w:sz w:val="24"/>
          <w:szCs w:val="24"/>
        </w:rPr>
        <w:t>BDT will continue to enhance resource mobilization and strengthen the partnership with multi-stakeholders from not only the ICT sector</w:t>
      </w:r>
      <w:r>
        <w:rPr>
          <w:rFonts w:ascii="Calibri" w:hAnsi="Calibri"/>
          <w:sz w:val="24"/>
          <w:szCs w:val="24"/>
        </w:rPr>
        <w:t>,</w:t>
      </w:r>
      <w:r w:rsidRPr="00127A5B">
        <w:rPr>
          <w:rFonts w:ascii="Calibri" w:hAnsi="Calibri"/>
          <w:sz w:val="24"/>
          <w:szCs w:val="24"/>
        </w:rPr>
        <w:t xml:space="preserve"> but also beyond in the converged ecosystem </w:t>
      </w:r>
      <w:r w:rsidR="007321ED">
        <w:rPr>
          <w:rFonts w:ascii="Calibri" w:hAnsi="Calibri"/>
          <w:sz w:val="24"/>
          <w:szCs w:val="24"/>
        </w:rPr>
        <w:t>t</w:t>
      </w:r>
      <w:r w:rsidRPr="00127A5B">
        <w:rPr>
          <w:rFonts w:ascii="Calibri" w:hAnsi="Calibri"/>
          <w:sz w:val="24"/>
          <w:szCs w:val="24"/>
        </w:rPr>
        <w:t>o</w:t>
      </w:r>
      <w:r w:rsidR="00070DBE">
        <w:rPr>
          <w:rFonts w:ascii="Calibri" w:hAnsi="Calibri"/>
          <w:sz w:val="24"/>
          <w:szCs w:val="24"/>
        </w:rPr>
        <w:t xml:space="preserve"> </w:t>
      </w:r>
      <w:r w:rsidRPr="00127A5B">
        <w:rPr>
          <w:rFonts w:ascii="Calibri" w:hAnsi="Calibri"/>
          <w:sz w:val="24"/>
          <w:szCs w:val="24"/>
        </w:rPr>
        <w:t>implement WTDC-17 outcomes</w:t>
      </w:r>
      <w:r w:rsidRPr="00427837">
        <w:rPr>
          <w:rFonts w:ascii="Calibri" w:hAnsi="Calibri"/>
          <w:sz w:val="24"/>
          <w:szCs w:val="24"/>
        </w:rPr>
        <w:t>, WSIS Goals, and PP-18 Goals – especially new Goal 5 - as well as the contribution to the Sustainable Development Goals (SDGs), SDG 17 in particular.</w:t>
      </w:r>
    </w:p>
    <w:tbl>
      <w:tblPr>
        <w:tblStyle w:val="TableGrid"/>
        <w:tblW w:w="0" w:type="auto"/>
        <w:tblLook w:val="04A0" w:firstRow="1" w:lastRow="0" w:firstColumn="1" w:lastColumn="0" w:noHBand="0" w:noVBand="1"/>
      </w:tblPr>
      <w:tblGrid>
        <w:gridCol w:w="9629"/>
      </w:tblGrid>
      <w:tr w:rsidR="004A5CF9" w:rsidRPr="00957B6C" w:rsidTr="008D0BF6">
        <w:tc>
          <w:tcPr>
            <w:tcW w:w="9629" w:type="dxa"/>
          </w:tcPr>
          <w:p w:rsidR="004A5CF9" w:rsidRPr="007969D3" w:rsidRDefault="004A5CF9" w:rsidP="008D0BF6">
            <w:pPr>
              <w:spacing w:after="120"/>
            </w:pPr>
            <w:r w:rsidRPr="00957B6C">
              <w:t>TDAG noted the document</w:t>
            </w:r>
            <w:r w:rsidR="007321ED">
              <w:t xml:space="preserve"> with </w:t>
            </w:r>
            <w:r w:rsidR="006A3788">
              <w:t xml:space="preserve">interest and </w:t>
            </w:r>
            <w:r w:rsidR="007321ED">
              <w:t>appreciation</w:t>
            </w:r>
            <w:r w:rsidR="00FB11AF">
              <w:t>, recognizing the importance of partnerships to assist the ITU through the BDT address the gaps in ICT connectivity, access and use.</w:t>
            </w:r>
          </w:p>
        </w:tc>
      </w:tr>
    </w:tbl>
    <w:p w:rsidR="004A5CF9" w:rsidRDefault="00EA4144" w:rsidP="00EA4144">
      <w:pPr>
        <w:keepNext/>
        <w:spacing w:before="240" w:after="120"/>
        <w:ind w:left="505" w:hanging="505"/>
        <w:rPr>
          <w:b/>
          <w:bCs/>
          <w:lang w:val="en-US"/>
        </w:rPr>
      </w:pPr>
      <w:r>
        <w:rPr>
          <w:b/>
          <w:bCs/>
          <w:lang w:val="en-US"/>
        </w:rPr>
        <w:t>6.16</w:t>
      </w:r>
      <w:r>
        <w:rPr>
          <w:b/>
          <w:bCs/>
          <w:lang w:val="en-US"/>
        </w:rPr>
        <w:tab/>
      </w:r>
      <w:r w:rsidR="004A5CF9">
        <w:rPr>
          <w:b/>
          <w:bCs/>
          <w:lang w:val="en-US"/>
        </w:rPr>
        <w:t>Breakout session:</w:t>
      </w:r>
      <w:r w:rsidR="004A5CF9" w:rsidRPr="0041195E">
        <w:rPr>
          <w:b/>
          <w:bCs/>
          <w:lang w:val="en-US"/>
        </w:rPr>
        <w:t xml:space="preserve"> Partnership building and resource mobilization for projects</w:t>
      </w:r>
    </w:p>
    <w:p w:rsidR="004A5CF9" w:rsidRDefault="004A5CF9" w:rsidP="004A5CF9">
      <w:pPr>
        <w:rPr>
          <w:lang w:val="en-US"/>
        </w:rPr>
      </w:pPr>
      <w:r>
        <w:rPr>
          <w:lang w:val="en-US"/>
        </w:rPr>
        <w:t>The b</w:t>
      </w:r>
      <w:r w:rsidRPr="00DA258C">
        <w:rPr>
          <w:lang w:val="en-US"/>
        </w:rPr>
        <w:t xml:space="preserve">reakout </w:t>
      </w:r>
      <w:r>
        <w:rPr>
          <w:lang w:val="en-US"/>
        </w:rPr>
        <w:t>s</w:t>
      </w:r>
      <w:r w:rsidRPr="00DA258C">
        <w:rPr>
          <w:lang w:val="en-US"/>
        </w:rPr>
        <w:t xml:space="preserve">ession on </w:t>
      </w:r>
      <w:r>
        <w:rPr>
          <w:lang w:val="en-US"/>
        </w:rPr>
        <w:t>p</w:t>
      </w:r>
      <w:r w:rsidRPr="00DA258C">
        <w:rPr>
          <w:lang w:val="en-US"/>
        </w:rPr>
        <w:t xml:space="preserve">artnership </w:t>
      </w:r>
      <w:r>
        <w:rPr>
          <w:lang w:val="en-US"/>
        </w:rPr>
        <w:t>b</w:t>
      </w:r>
      <w:r w:rsidRPr="00DA258C">
        <w:rPr>
          <w:lang w:val="en-US"/>
        </w:rPr>
        <w:t xml:space="preserve">uilding and resource mobilization for projects </w:t>
      </w:r>
      <w:r w:rsidR="0032113F">
        <w:rPr>
          <w:lang w:val="en-US"/>
        </w:rPr>
        <w:t xml:space="preserve">aimed to </w:t>
      </w:r>
      <w:r w:rsidRPr="00DA258C">
        <w:rPr>
          <w:lang w:val="en-US"/>
        </w:rPr>
        <w:t xml:space="preserve">strengthen strategic partnerships (including </w:t>
      </w:r>
      <w:r>
        <w:rPr>
          <w:lang w:val="en-US"/>
        </w:rPr>
        <w:t>r</w:t>
      </w:r>
      <w:r w:rsidRPr="00DA258C">
        <w:rPr>
          <w:lang w:val="en-US"/>
        </w:rPr>
        <w:t xml:space="preserve">esource mobilization) with a variety of stakeholders. Discussions highlighted the need to </w:t>
      </w:r>
      <w:r>
        <w:rPr>
          <w:lang w:val="en-US"/>
        </w:rPr>
        <w:t>adopt a</w:t>
      </w:r>
      <w:r w:rsidRPr="00DA258C">
        <w:rPr>
          <w:lang w:val="en-US"/>
        </w:rPr>
        <w:t xml:space="preserve"> multi-stakeholder platform approach</w:t>
      </w:r>
      <w:r>
        <w:rPr>
          <w:lang w:val="en-US"/>
        </w:rPr>
        <w:t>,</w:t>
      </w:r>
      <w:r w:rsidRPr="00DA258C">
        <w:rPr>
          <w:lang w:val="en-US"/>
        </w:rPr>
        <w:t xml:space="preserve"> taking into consideration the interests and complementary capabilities of all parties, not only the beneficiary countries. A more flexible and modular approach towards project design and implementation w</w:t>
      </w:r>
      <w:r>
        <w:rPr>
          <w:lang w:val="en-US"/>
        </w:rPr>
        <w:t>as</w:t>
      </w:r>
      <w:r w:rsidRPr="00DA258C">
        <w:rPr>
          <w:lang w:val="en-US"/>
        </w:rPr>
        <w:t xml:space="preserve"> recommended for more inclusive stakeholder participation at different stages of the project cycle. </w:t>
      </w:r>
      <w:r w:rsidR="0032113F">
        <w:rPr>
          <w:lang w:val="en-US"/>
        </w:rPr>
        <w:t>Participants stressed t</w:t>
      </w:r>
      <w:r w:rsidRPr="00DA258C">
        <w:rPr>
          <w:lang w:val="en-US"/>
        </w:rPr>
        <w:t>he importance</w:t>
      </w:r>
      <w:r>
        <w:rPr>
          <w:lang w:val="en-US"/>
        </w:rPr>
        <w:t xml:space="preserve"> </w:t>
      </w:r>
      <w:r w:rsidRPr="00DA258C">
        <w:rPr>
          <w:lang w:val="en-US"/>
        </w:rPr>
        <w:t xml:space="preserve">of enhancing </w:t>
      </w:r>
      <w:r w:rsidR="0032113F">
        <w:rPr>
          <w:lang w:val="en-US"/>
        </w:rPr>
        <w:t xml:space="preserve">efforts to raise </w:t>
      </w:r>
      <w:r w:rsidRPr="00DA258C">
        <w:rPr>
          <w:lang w:val="en-US"/>
        </w:rPr>
        <w:t>awareness</w:t>
      </w:r>
      <w:r w:rsidR="0032113F">
        <w:rPr>
          <w:lang w:val="en-US"/>
        </w:rPr>
        <w:t xml:space="preserve"> about </w:t>
      </w:r>
      <w:r w:rsidRPr="00DA258C">
        <w:rPr>
          <w:lang w:val="en-US"/>
        </w:rPr>
        <w:t>ITU’s work including partnership opportunities</w:t>
      </w:r>
      <w:r>
        <w:rPr>
          <w:lang w:val="en-US"/>
        </w:rPr>
        <w:t xml:space="preserve">, and </w:t>
      </w:r>
      <w:r w:rsidRPr="00DA258C">
        <w:rPr>
          <w:lang w:val="en-US"/>
        </w:rPr>
        <w:t xml:space="preserve">exploring more strategic alliances with development banks and other UN </w:t>
      </w:r>
      <w:r>
        <w:rPr>
          <w:lang w:val="en-US"/>
        </w:rPr>
        <w:t>a</w:t>
      </w:r>
      <w:r w:rsidRPr="00DA258C">
        <w:rPr>
          <w:lang w:val="en-US"/>
        </w:rPr>
        <w:t xml:space="preserve">gencies. </w:t>
      </w:r>
      <w:r>
        <w:rPr>
          <w:lang w:val="en-US"/>
        </w:rPr>
        <w:t>Lastly</w:t>
      </w:r>
      <w:r w:rsidRPr="00DA258C">
        <w:rPr>
          <w:lang w:val="en-US"/>
        </w:rPr>
        <w:t xml:space="preserve">, participants recalled the </w:t>
      </w:r>
      <w:r>
        <w:rPr>
          <w:lang w:val="en-US"/>
        </w:rPr>
        <w:t>key</w:t>
      </w:r>
      <w:r w:rsidRPr="00DA258C">
        <w:rPr>
          <w:lang w:val="en-US"/>
        </w:rPr>
        <w:t xml:space="preserve"> role of ITU </w:t>
      </w:r>
      <w:r>
        <w:rPr>
          <w:lang w:val="en-US"/>
        </w:rPr>
        <w:t>m</w:t>
      </w:r>
      <w:r w:rsidRPr="00DA258C">
        <w:rPr>
          <w:lang w:val="en-US"/>
        </w:rPr>
        <w:t xml:space="preserve">embership in promoting the work of </w:t>
      </w:r>
      <w:r>
        <w:rPr>
          <w:lang w:val="en-US"/>
        </w:rPr>
        <w:t>ITU-D</w:t>
      </w:r>
      <w:r w:rsidRPr="00DA258C">
        <w:rPr>
          <w:lang w:val="en-US"/>
        </w:rPr>
        <w:t xml:space="preserve"> and supporting resource mobilization efforts for </w:t>
      </w:r>
      <w:r>
        <w:rPr>
          <w:lang w:val="en-US"/>
        </w:rPr>
        <w:t>r</w:t>
      </w:r>
      <w:r w:rsidRPr="00DA258C">
        <w:rPr>
          <w:lang w:val="en-US"/>
        </w:rPr>
        <w:t xml:space="preserve">egional </w:t>
      </w:r>
      <w:r>
        <w:rPr>
          <w:lang w:val="en-US"/>
        </w:rPr>
        <w:t>i</w:t>
      </w:r>
      <w:r w:rsidRPr="00DA258C">
        <w:rPr>
          <w:lang w:val="en-US"/>
        </w:rPr>
        <w:t xml:space="preserve">nitiatives and </w:t>
      </w:r>
      <w:r>
        <w:rPr>
          <w:lang w:val="en-US"/>
        </w:rPr>
        <w:t>p</w:t>
      </w:r>
      <w:r w:rsidRPr="00DA258C">
        <w:rPr>
          <w:lang w:val="en-US"/>
        </w:rPr>
        <w:t>rojects.</w:t>
      </w:r>
    </w:p>
    <w:p w:rsidR="00591147" w:rsidRDefault="00591147" w:rsidP="00EA4144">
      <w:pPr>
        <w:pStyle w:val="ListParagraph"/>
        <w:numPr>
          <w:ilvl w:val="0"/>
          <w:numId w:val="36"/>
        </w:numPr>
        <w:spacing w:after="120"/>
        <w:ind w:left="391" w:hanging="391"/>
        <w:contextualSpacing w:val="0"/>
        <w:rPr>
          <w:rStyle w:val="StyleComplex12pt"/>
          <w:rFonts w:cstheme="minorHAnsi"/>
          <w:b/>
          <w:bCs/>
        </w:rPr>
      </w:pPr>
      <w:r>
        <w:rPr>
          <w:rStyle w:val="StyleComplex12pt"/>
          <w:rFonts w:cstheme="minorHAnsi"/>
          <w:b/>
          <w:bCs/>
        </w:rPr>
        <w:t xml:space="preserve">REPORTS FROM THE REGIONS: </w:t>
      </w:r>
      <w:r w:rsidRPr="007B36B3">
        <w:rPr>
          <w:rStyle w:val="StyleComplex12pt"/>
          <w:rFonts w:cstheme="minorHAnsi"/>
          <w:b/>
          <w:bCs/>
        </w:rPr>
        <w:t>ACTIVITIES</w:t>
      </w:r>
      <w:r>
        <w:rPr>
          <w:rStyle w:val="StyleComplex12pt"/>
          <w:rFonts w:cstheme="minorHAnsi"/>
          <w:b/>
          <w:bCs/>
        </w:rPr>
        <w:t xml:space="preserve"> and TRENDS</w:t>
      </w:r>
    </w:p>
    <w:p w:rsidR="00882D0D" w:rsidRPr="00BF5B1F" w:rsidRDefault="00882D0D">
      <w:pPr>
        <w:rPr>
          <w:rFonts w:eastAsiaTheme="minorHAnsi" w:cstheme="minorBidi"/>
          <w:color w:val="000000" w:themeColor="text1"/>
          <w:szCs w:val="22"/>
        </w:rPr>
      </w:pPr>
      <w:r>
        <w:t>WTDC-17 and PP-18 actions made clear that the ITU regional presence was an important priority for membership in all Sectors, and that the regional offices should play an active role in carrying out the overall ITU strategic plan.</w:t>
      </w:r>
      <w:r w:rsidR="00070DBE">
        <w:t xml:space="preserve"> </w:t>
      </w:r>
      <w:r>
        <w:t>In addition to TDAG’s six informal sessions</w:t>
      </w:r>
      <w:r w:rsidRPr="00BF5B1F">
        <w:rPr>
          <w:rFonts w:cstheme="minorBidi"/>
          <w:color w:val="000000" w:themeColor="text1"/>
          <w:lang w:val="en-US"/>
        </w:rPr>
        <w:t xml:space="preserve"> during which all ITU Regional Directors, accompanied by staff from the </w:t>
      </w:r>
      <w:r w:rsidR="006C6935">
        <w:rPr>
          <w:rFonts w:cstheme="minorBidi"/>
          <w:color w:val="000000" w:themeColor="text1"/>
          <w:lang w:val="en-US"/>
        </w:rPr>
        <w:t>r</w:t>
      </w:r>
      <w:r w:rsidRPr="00BF5B1F">
        <w:rPr>
          <w:rFonts w:cstheme="minorBidi"/>
          <w:color w:val="000000" w:themeColor="text1"/>
          <w:lang w:val="en-US"/>
        </w:rPr>
        <w:t xml:space="preserve">egional </w:t>
      </w:r>
      <w:r w:rsidR="006C6935">
        <w:rPr>
          <w:rFonts w:cstheme="minorBidi"/>
          <w:color w:val="000000" w:themeColor="text1"/>
          <w:lang w:val="en-US"/>
        </w:rPr>
        <w:t>o</w:t>
      </w:r>
      <w:r w:rsidRPr="00BF5B1F">
        <w:rPr>
          <w:rFonts w:cstheme="minorBidi"/>
          <w:color w:val="000000" w:themeColor="text1"/>
          <w:lang w:val="en-US"/>
        </w:rPr>
        <w:t>ffices, described activities undertaken to serve ITU membership in the field, particularly to implement the regional initiatives adopted at WTDC-17</w:t>
      </w:r>
      <w:r w:rsidRPr="00BF5B1F">
        <w:rPr>
          <w:color w:val="000000" w:themeColor="text1"/>
        </w:rPr>
        <w:t xml:space="preserve">, </w:t>
      </w:r>
      <w:r>
        <w:rPr>
          <w:color w:val="000000" w:themeColor="text1"/>
        </w:rPr>
        <w:t xml:space="preserve">all </w:t>
      </w:r>
      <w:r w:rsidRPr="00BF5B1F">
        <w:rPr>
          <w:color w:val="000000" w:themeColor="text1"/>
        </w:rPr>
        <w:t>Regional Directors presented reports on their annual activities for 2018</w:t>
      </w:r>
      <w:r>
        <w:rPr>
          <w:color w:val="000000" w:themeColor="text1"/>
        </w:rPr>
        <w:t xml:space="preserve"> </w:t>
      </w:r>
      <w:r w:rsidR="00A24681">
        <w:rPr>
          <w:color w:val="000000" w:themeColor="text1"/>
        </w:rPr>
        <w:t xml:space="preserve">and recent </w:t>
      </w:r>
      <w:r>
        <w:rPr>
          <w:color w:val="000000" w:themeColor="text1"/>
        </w:rPr>
        <w:t>ongoing activities</w:t>
      </w:r>
      <w:r w:rsidR="00A24681">
        <w:rPr>
          <w:color w:val="000000" w:themeColor="text1"/>
        </w:rPr>
        <w:t xml:space="preserve"> including capacity building, which going forward will include interfacing with </w:t>
      </w:r>
      <w:r w:rsidR="006C6935">
        <w:rPr>
          <w:color w:val="000000" w:themeColor="text1"/>
        </w:rPr>
        <w:t>a</w:t>
      </w:r>
      <w:r w:rsidR="00A24681">
        <w:rPr>
          <w:color w:val="000000" w:themeColor="text1"/>
        </w:rPr>
        <w:t>dministrations in the regions to build capacity in data collection and statistics.</w:t>
      </w:r>
      <w:r w:rsidR="00070DBE">
        <w:rPr>
          <w:color w:val="000000" w:themeColor="text1"/>
        </w:rPr>
        <w:t xml:space="preserve"> </w:t>
      </w:r>
      <w:r w:rsidR="00A24681">
        <w:rPr>
          <w:color w:val="000000" w:themeColor="text1"/>
        </w:rPr>
        <w:t xml:space="preserve">Information on the </w:t>
      </w:r>
      <w:r w:rsidR="00116D0F">
        <w:rPr>
          <w:color w:val="000000" w:themeColor="text1"/>
        </w:rPr>
        <w:t>r</w:t>
      </w:r>
      <w:r w:rsidRPr="00BF5B1F">
        <w:rPr>
          <w:color w:val="000000" w:themeColor="text1"/>
        </w:rPr>
        <w:t xml:space="preserve">egional </w:t>
      </w:r>
      <w:r w:rsidR="00116D0F">
        <w:rPr>
          <w:color w:val="000000" w:themeColor="text1"/>
        </w:rPr>
        <w:t>d</w:t>
      </w:r>
      <w:r w:rsidRPr="00BF5B1F">
        <w:rPr>
          <w:color w:val="000000" w:themeColor="text1"/>
        </w:rPr>
        <w:t xml:space="preserve">evelopment </w:t>
      </w:r>
      <w:r w:rsidR="00116D0F">
        <w:rPr>
          <w:color w:val="000000" w:themeColor="text1"/>
        </w:rPr>
        <w:t>f</w:t>
      </w:r>
      <w:r w:rsidRPr="00BF5B1F">
        <w:rPr>
          <w:color w:val="000000" w:themeColor="text1"/>
        </w:rPr>
        <w:t>orums scheduled for 2019</w:t>
      </w:r>
      <w:r w:rsidR="00A24681">
        <w:rPr>
          <w:color w:val="000000" w:themeColor="text1"/>
        </w:rPr>
        <w:t xml:space="preserve"> was also presented and </w:t>
      </w:r>
      <w:r w:rsidRPr="00BF5B1F">
        <w:rPr>
          <w:color w:val="000000" w:themeColor="text1"/>
        </w:rPr>
        <w:t>TDAG</w:t>
      </w:r>
      <w:r w:rsidR="00421511">
        <w:rPr>
          <w:color w:val="000000" w:themeColor="text1"/>
        </w:rPr>
        <w:t xml:space="preserve"> participants</w:t>
      </w:r>
      <w:r w:rsidRPr="00BF5B1F">
        <w:rPr>
          <w:color w:val="000000" w:themeColor="text1"/>
        </w:rPr>
        <w:t xml:space="preserve"> </w:t>
      </w:r>
      <w:r w:rsidR="00A24681">
        <w:rPr>
          <w:color w:val="000000" w:themeColor="text1"/>
        </w:rPr>
        <w:t>engaged</w:t>
      </w:r>
      <w:r w:rsidRPr="00BF5B1F">
        <w:rPr>
          <w:color w:val="000000" w:themeColor="text1"/>
        </w:rPr>
        <w:t xml:space="preserve"> in a brainstorming breakout session </w:t>
      </w:r>
      <w:r w:rsidR="00365B4A">
        <w:rPr>
          <w:color w:val="000000" w:themeColor="text1"/>
        </w:rPr>
        <w:t xml:space="preserve">to </w:t>
      </w:r>
      <w:r w:rsidRPr="00BF5B1F">
        <w:rPr>
          <w:color w:val="000000" w:themeColor="text1"/>
        </w:rPr>
        <w:t>raise questions, exchange views and provide ideas and input on the ITU regional presence.</w:t>
      </w:r>
      <w:r w:rsidR="00070DBE">
        <w:rPr>
          <w:color w:val="000000" w:themeColor="text1"/>
        </w:rPr>
        <w:t xml:space="preserve"> </w:t>
      </w:r>
      <w:r w:rsidRPr="00BF5B1F">
        <w:rPr>
          <w:rFonts w:cstheme="minorBidi"/>
          <w:color w:val="000000" w:themeColor="text1"/>
          <w:lang w:val="en-US"/>
        </w:rPr>
        <w:t>T</w:t>
      </w:r>
      <w:r w:rsidRPr="005F491D">
        <w:t xml:space="preserve">he six informal sessions on the regional initiatives are summarized here: </w:t>
      </w:r>
      <w:hyperlink r:id="rId46" w:history="1">
        <w:r w:rsidRPr="005F491D">
          <w:rPr>
            <w:rStyle w:val="Hyperlink"/>
          </w:rPr>
          <w:t>TDAG-19/DT/11</w:t>
        </w:r>
      </w:hyperlink>
      <w:r>
        <w:rPr>
          <w:rStyle w:val="Hyperlink"/>
        </w:rPr>
        <w:t>,</w:t>
      </w:r>
      <w:r w:rsidRPr="00BF5B1F">
        <w:rPr>
          <w:rFonts w:eastAsia="Calibri" w:cs="Calibri"/>
        </w:rPr>
        <w:t xml:space="preserve"> and summaries of the breakout session can be found in </w:t>
      </w:r>
      <w:r w:rsidRPr="007B36B3">
        <w:rPr>
          <w:rFonts w:eastAsia="Calibri" w:cs="Calibri"/>
          <w:b/>
        </w:rPr>
        <w:t>Section 7.4</w:t>
      </w:r>
      <w:r w:rsidR="00A24681" w:rsidRPr="007B36B3">
        <w:rPr>
          <w:rFonts w:eastAsia="Calibri" w:cs="Calibri"/>
          <w:b/>
        </w:rPr>
        <w:t xml:space="preserve"> below</w:t>
      </w:r>
      <w:r w:rsidRPr="00BF5B1F">
        <w:rPr>
          <w:rFonts w:eastAsia="Calibri" w:cs="Calibri"/>
        </w:rPr>
        <w:t xml:space="preserve"> (brief) and in </w:t>
      </w:r>
      <w:r w:rsidRPr="007B36B3">
        <w:rPr>
          <w:rFonts w:eastAsia="Calibri" w:cs="Calibri"/>
          <w:b/>
        </w:rPr>
        <w:t>Annex 2</w:t>
      </w:r>
      <w:r w:rsidRPr="00BF5B1F">
        <w:rPr>
          <w:rFonts w:eastAsia="Calibri" w:cs="Calibri"/>
        </w:rPr>
        <w:t xml:space="preserve"> (full)</w:t>
      </w:r>
      <w:r w:rsidR="00A24681">
        <w:rPr>
          <w:rFonts w:eastAsia="Calibri" w:cs="Calibri"/>
        </w:rPr>
        <w:t xml:space="preserve"> in this report</w:t>
      </w:r>
      <w:r w:rsidRPr="00BF5B1F">
        <w:rPr>
          <w:rFonts w:eastAsia="Calibri" w:cs="Calibri"/>
        </w:rPr>
        <w:t>.</w:t>
      </w:r>
    </w:p>
    <w:p w:rsidR="00475951" w:rsidRPr="007B36B3" w:rsidRDefault="00256D72" w:rsidP="00EA4144">
      <w:pPr>
        <w:keepNext/>
        <w:spacing w:after="120"/>
        <w:ind w:left="391" w:hanging="391"/>
        <w:rPr>
          <w:rStyle w:val="StyleComplex12pt"/>
          <w:rFonts w:cstheme="minorHAnsi"/>
          <w:b/>
          <w:bCs/>
        </w:rPr>
      </w:pPr>
      <w:r>
        <w:rPr>
          <w:rStyle w:val="StyleComplex12pt"/>
          <w:rFonts w:cstheme="minorHAnsi"/>
          <w:b/>
          <w:bCs/>
        </w:rPr>
        <w:lastRenderedPageBreak/>
        <w:t>7</w:t>
      </w:r>
      <w:r w:rsidR="00EA4144">
        <w:rPr>
          <w:rStyle w:val="StyleComplex12pt"/>
          <w:rFonts w:cstheme="minorHAnsi"/>
          <w:b/>
          <w:bCs/>
        </w:rPr>
        <w:t>.1</w:t>
      </w:r>
      <w:r w:rsidR="00EA4144">
        <w:rPr>
          <w:rStyle w:val="StyleComplex12pt"/>
          <w:rFonts w:cstheme="minorHAnsi"/>
          <w:b/>
          <w:bCs/>
        </w:rPr>
        <w:tab/>
      </w:r>
      <w:r w:rsidR="002121C9">
        <w:rPr>
          <w:rStyle w:val="StyleComplex12pt"/>
          <w:rFonts w:cstheme="minorHAnsi"/>
          <w:b/>
          <w:bCs/>
        </w:rPr>
        <w:t>Activities in 2018</w:t>
      </w:r>
    </w:p>
    <w:p w:rsidR="00FE2D30" w:rsidRPr="00957B6C" w:rsidRDefault="00EA4144">
      <w:pPr>
        <w:pStyle w:val="CEONormal"/>
        <w:rPr>
          <w:rFonts w:ascii="Calibri" w:hAnsi="Calibri"/>
          <w:sz w:val="24"/>
          <w:szCs w:val="24"/>
        </w:rPr>
      </w:pPr>
      <w:hyperlink r:id="rId47" w:history="1">
        <w:r w:rsidR="003745A9" w:rsidRPr="003745A9">
          <w:rPr>
            <w:rStyle w:val="Hyperlink"/>
            <w:rFonts w:ascii="Calibri" w:hAnsi="Calibri"/>
            <w:sz w:val="24"/>
            <w:szCs w:val="24"/>
          </w:rPr>
          <w:t xml:space="preserve">Annex 1 to </w:t>
        </w:r>
        <w:r w:rsidR="00506B7F" w:rsidRPr="003745A9">
          <w:rPr>
            <w:rStyle w:val="Hyperlink"/>
            <w:rFonts w:ascii="Calibri" w:hAnsi="Calibri"/>
            <w:sz w:val="24"/>
            <w:szCs w:val="24"/>
          </w:rPr>
          <w:t>Performance R</w:t>
        </w:r>
        <w:r w:rsidR="00720527" w:rsidRPr="003745A9">
          <w:rPr>
            <w:rStyle w:val="Hyperlink"/>
            <w:rFonts w:ascii="Calibri" w:hAnsi="Calibri"/>
            <w:sz w:val="24"/>
            <w:szCs w:val="24"/>
          </w:rPr>
          <w:t>eport 2018</w:t>
        </w:r>
      </w:hyperlink>
      <w:r w:rsidR="007D618D" w:rsidRPr="00957B6C">
        <w:rPr>
          <w:rFonts w:ascii="Calibri" w:hAnsi="Calibri"/>
          <w:sz w:val="24"/>
          <w:szCs w:val="24"/>
        </w:rPr>
        <w:t xml:space="preserve"> </w:t>
      </w:r>
      <w:r w:rsidR="00720527" w:rsidRPr="00957B6C">
        <w:rPr>
          <w:rFonts w:ascii="Calibri" w:hAnsi="Calibri"/>
          <w:sz w:val="24"/>
          <w:szCs w:val="24"/>
        </w:rPr>
        <w:t>features world and regional trends in access to and use of ICTs from 2005 to 2018</w:t>
      </w:r>
      <w:r w:rsidR="001D471F" w:rsidRPr="00957B6C">
        <w:rPr>
          <w:rFonts w:ascii="Calibri" w:hAnsi="Calibri"/>
          <w:sz w:val="24"/>
          <w:szCs w:val="24"/>
        </w:rPr>
        <w:t>,</w:t>
      </w:r>
      <w:r w:rsidR="00720527" w:rsidRPr="00957B6C">
        <w:rPr>
          <w:rFonts w:ascii="Calibri" w:hAnsi="Calibri"/>
          <w:sz w:val="24"/>
          <w:szCs w:val="24"/>
        </w:rPr>
        <w:t xml:space="preserve"> </w:t>
      </w:r>
      <w:r w:rsidR="00720527" w:rsidRPr="00957B6C">
        <w:rPr>
          <w:rFonts w:asciiTheme="minorHAnsi" w:hAnsiTheme="minorHAnsi" w:cs="Calibri Light"/>
          <w:color w:val="000000"/>
          <w:sz w:val="24"/>
          <w:szCs w:val="24"/>
        </w:rPr>
        <w:t>a</w:t>
      </w:r>
      <w:r w:rsidR="00010BB2">
        <w:rPr>
          <w:rFonts w:asciiTheme="minorHAnsi" w:hAnsiTheme="minorHAnsi" w:cs="Calibri Light"/>
          <w:color w:val="000000"/>
          <w:sz w:val="24"/>
          <w:szCs w:val="24"/>
        </w:rPr>
        <w:t xml:space="preserve">s well as </w:t>
      </w:r>
      <w:r w:rsidR="00720527" w:rsidRPr="00957B6C">
        <w:rPr>
          <w:rFonts w:asciiTheme="minorHAnsi" w:hAnsiTheme="minorHAnsi" w:cs="Calibri Light"/>
          <w:color w:val="000000"/>
          <w:sz w:val="24"/>
          <w:szCs w:val="24"/>
        </w:rPr>
        <w:t>information on the</w:t>
      </w:r>
      <w:r w:rsidR="00720527" w:rsidRPr="00957B6C">
        <w:rPr>
          <w:rFonts w:ascii="Calibri" w:hAnsi="Calibri"/>
          <w:sz w:val="24"/>
          <w:szCs w:val="24"/>
        </w:rPr>
        <w:t xml:space="preserve"> implementation of regional initiatives </w:t>
      </w:r>
      <w:r w:rsidR="003C5C8E" w:rsidRPr="00957B6C">
        <w:rPr>
          <w:rFonts w:ascii="Calibri" w:hAnsi="Calibri"/>
          <w:sz w:val="24"/>
          <w:szCs w:val="24"/>
        </w:rPr>
        <w:t xml:space="preserve">in </w:t>
      </w:r>
      <w:r w:rsidR="00720527" w:rsidRPr="00957B6C">
        <w:rPr>
          <w:rFonts w:ascii="Calibri" w:hAnsi="Calibri"/>
          <w:sz w:val="24"/>
          <w:szCs w:val="24"/>
        </w:rPr>
        <w:t>2018</w:t>
      </w:r>
      <w:r w:rsidR="006D1496">
        <w:rPr>
          <w:rFonts w:ascii="Calibri" w:hAnsi="Calibri"/>
          <w:sz w:val="24"/>
          <w:szCs w:val="24"/>
        </w:rPr>
        <w:t>.</w:t>
      </w:r>
    </w:p>
    <w:p w:rsidR="00B31F6A" w:rsidRPr="00512A66" w:rsidRDefault="00741433" w:rsidP="009B5B24">
      <w:pPr>
        <w:pStyle w:val="CEONormal"/>
        <w:rPr>
          <w:rFonts w:asciiTheme="minorHAnsi" w:eastAsia="Calibri" w:hAnsiTheme="minorHAnsi" w:cs="Calibri"/>
          <w:color w:val="000000" w:themeColor="text1"/>
          <w:sz w:val="24"/>
          <w:szCs w:val="24"/>
        </w:rPr>
      </w:pPr>
      <w:r>
        <w:rPr>
          <w:rFonts w:asciiTheme="minorHAnsi" w:eastAsia="Calibri" w:hAnsiTheme="minorHAnsi" w:cs="Calibri"/>
          <w:color w:val="000000" w:themeColor="text1"/>
          <w:sz w:val="24"/>
          <w:szCs w:val="24"/>
        </w:rPr>
        <w:t xml:space="preserve">All </w:t>
      </w:r>
      <w:r w:rsidR="00B31F6A" w:rsidRPr="00512A66">
        <w:rPr>
          <w:rFonts w:asciiTheme="minorHAnsi" w:eastAsia="Calibri" w:hAnsiTheme="minorHAnsi" w:cs="Calibri"/>
          <w:color w:val="000000" w:themeColor="text1"/>
          <w:sz w:val="24"/>
          <w:szCs w:val="24"/>
        </w:rPr>
        <w:t>Regional Directors gave brief summaries of regional activities</w:t>
      </w:r>
      <w:r w:rsidR="007D1EF4" w:rsidRPr="00512A66">
        <w:rPr>
          <w:rFonts w:asciiTheme="minorHAnsi" w:eastAsia="Calibri" w:hAnsiTheme="minorHAnsi" w:cs="Calibri"/>
          <w:color w:val="000000" w:themeColor="text1"/>
          <w:sz w:val="24"/>
          <w:szCs w:val="24"/>
        </w:rPr>
        <w:t xml:space="preserve"> undertaken during 2018</w:t>
      </w:r>
      <w:r w:rsidR="00B31F6A" w:rsidRPr="00512A66">
        <w:rPr>
          <w:rFonts w:asciiTheme="minorHAnsi" w:eastAsia="Calibri" w:hAnsiTheme="minorHAnsi" w:cs="Calibri"/>
          <w:color w:val="000000" w:themeColor="text1"/>
          <w:sz w:val="24"/>
          <w:szCs w:val="24"/>
        </w:rPr>
        <w:t xml:space="preserve">. They emphasized the importance of partnerships and mobilizing additional funding from ITU membership and </w:t>
      </w:r>
      <w:r w:rsidR="006D1496">
        <w:rPr>
          <w:rFonts w:asciiTheme="minorHAnsi" w:eastAsia="Calibri" w:hAnsiTheme="minorHAnsi" w:cs="Calibri"/>
          <w:color w:val="000000" w:themeColor="text1"/>
          <w:sz w:val="24"/>
          <w:szCs w:val="24"/>
        </w:rPr>
        <w:t xml:space="preserve">other sources </w:t>
      </w:r>
      <w:r>
        <w:rPr>
          <w:rFonts w:asciiTheme="minorHAnsi" w:eastAsia="Calibri" w:hAnsiTheme="minorHAnsi" w:cs="Calibri"/>
          <w:color w:val="000000" w:themeColor="text1"/>
          <w:sz w:val="24"/>
          <w:szCs w:val="24"/>
        </w:rPr>
        <w:t>t</w:t>
      </w:r>
      <w:r w:rsidR="00B31F6A" w:rsidRPr="00512A66">
        <w:rPr>
          <w:rFonts w:asciiTheme="minorHAnsi" w:eastAsia="Calibri" w:hAnsiTheme="minorHAnsi" w:cs="Calibri"/>
          <w:color w:val="000000" w:themeColor="text1"/>
          <w:sz w:val="24"/>
          <w:szCs w:val="24"/>
        </w:rPr>
        <w:t>o implement the regional initiatives. Ways of collaboration and coordination among the regions and between regional and global activities of the three ITU Sectors were discussed.</w:t>
      </w:r>
    </w:p>
    <w:p w:rsidR="00BB5BFB" w:rsidRDefault="00056D1A" w:rsidP="00BB5BFB">
      <w:pPr>
        <w:spacing w:after="120"/>
      </w:pPr>
      <w:r w:rsidRPr="00957B6C">
        <w:t>In the</w:t>
      </w:r>
      <w:r w:rsidR="00B930CB" w:rsidRPr="00957B6C">
        <w:t xml:space="preserve"> </w:t>
      </w:r>
      <w:r w:rsidR="00B930CB" w:rsidRPr="007B36B3">
        <w:rPr>
          <w:b/>
          <w:bCs/>
          <w:u w:val="single"/>
        </w:rPr>
        <w:t>Africa</w:t>
      </w:r>
      <w:r w:rsidRPr="007B36B3">
        <w:rPr>
          <w:b/>
          <w:bCs/>
          <w:u w:val="single"/>
        </w:rPr>
        <w:t xml:space="preserve"> region</w:t>
      </w:r>
      <w:r w:rsidR="00B930CB" w:rsidRPr="00957B6C">
        <w:rPr>
          <w:b/>
          <w:bCs/>
        </w:rPr>
        <w:t>,</w:t>
      </w:r>
      <w:r w:rsidR="00CD22A7" w:rsidRPr="00957B6C">
        <w:rPr>
          <w:rFonts w:eastAsia="Calibri" w:cs="Calibri"/>
        </w:rPr>
        <w:t xml:space="preserve"> activities were implemented under</w:t>
      </w:r>
      <w:r w:rsidR="00B930CB" w:rsidRPr="00957B6C">
        <w:t xml:space="preserve"> 13 technical cooperation projects </w:t>
      </w:r>
      <w:r w:rsidR="00AA631F" w:rsidRPr="00957B6C">
        <w:t>with an overall cost</w:t>
      </w:r>
      <w:r w:rsidR="007D1EF4" w:rsidRPr="00957B6C">
        <w:t xml:space="preserve"> of USD </w:t>
      </w:r>
      <w:r w:rsidR="00B930CB" w:rsidRPr="00957B6C">
        <w:t>2.8 million</w:t>
      </w:r>
      <w:r w:rsidR="00505271" w:rsidRPr="00516433">
        <w:t>, in collaboration with Member States</w:t>
      </w:r>
      <w:r w:rsidR="00B930CB" w:rsidRPr="00957B6C">
        <w:t xml:space="preserve">. In addition, 41 actions </w:t>
      </w:r>
      <w:r w:rsidR="00CD19D8">
        <w:t xml:space="preserve">under </w:t>
      </w:r>
      <w:r w:rsidR="00B930CB" w:rsidRPr="00957B6C">
        <w:t xml:space="preserve">the BDT </w:t>
      </w:r>
      <w:r w:rsidR="00512A66">
        <w:t>o</w:t>
      </w:r>
      <w:r w:rsidR="00B930CB" w:rsidRPr="00957B6C">
        <w:t xml:space="preserve">perational </w:t>
      </w:r>
      <w:r w:rsidR="00512A66">
        <w:t>p</w:t>
      </w:r>
      <w:r w:rsidR="00B930CB" w:rsidRPr="00957B6C">
        <w:t xml:space="preserve">lan were implemented for an amount of </w:t>
      </w:r>
      <w:r w:rsidR="007D1EF4" w:rsidRPr="00957B6C">
        <w:t xml:space="preserve">CHF </w:t>
      </w:r>
      <w:r w:rsidR="00B930CB" w:rsidRPr="00957B6C">
        <w:t>850</w:t>
      </w:r>
      <w:r w:rsidR="004137CB" w:rsidRPr="00957B6C">
        <w:t xml:space="preserve"> </w:t>
      </w:r>
      <w:r w:rsidR="007D1EF4" w:rsidRPr="00957B6C">
        <w:t>000</w:t>
      </w:r>
      <w:r w:rsidR="00B930CB" w:rsidRPr="00957B6C">
        <w:t xml:space="preserve">. </w:t>
      </w:r>
    </w:p>
    <w:p w:rsidR="00B930CB" w:rsidRPr="00957B6C" w:rsidRDefault="00871569">
      <w:pPr>
        <w:spacing w:after="120"/>
      </w:pPr>
      <w:r>
        <w:t xml:space="preserve">For example, </w:t>
      </w:r>
      <w:r w:rsidR="00B930CB" w:rsidRPr="00957B6C">
        <w:t xml:space="preserve">ITU provided support to </w:t>
      </w:r>
      <w:r w:rsidR="00512A66">
        <w:t xml:space="preserve">the </w:t>
      </w:r>
      <w:r w:rsidR="00B930CB" w:rsidRPr="00957B6C">
        <w:t xml:space="preserve">Africa Telecommunications Union (ATU) in organizing the preparatory meetings </w:t>
      </w:r>
      <w:r w:rsidR="00776A1E">
        <w:t>for</w:t>
      </w:r>
      <w:r w:rsidR="003508E2" w:rsidRPr="00957B6C">
        <w:t xml:space="preserve"> the </w:t>
      </w:r>
      <w:r w:rsidR="00512A66" w:rsidRPr="004C0883">
        <w:rPr>
          <w:szCs w:val="24"/>
        </w:rPr>
        <w:t xml:space="preserve">World </w:t>
      </w:r>
      <w:proofErr w:type="spellStart"/>
      <w:r w:rsidR="00512A66" w:rsidRPr="004C0883">
        <w:rPr>
          <w:szCs w:val="24"/>
        </w:rPr>
        <w:t>Radiocommunication</w:t>
      </w:r>
      <w:proofErr w:type="spellEnd"/>
      <w:r w:rsidR="00512A66" w:rsidRPr="004C0883">
        <w:rPr>
          <w:szCs w:val="24"/>
        </w:rPr>
        <w:t xml:space="preserve"> Conference </w:t>
      </w:r>
      <w:r w:rsidR="00512A66">
        <w:rPr>
          <w:szCs w:val="24"/>
        </w:rPr>
        <w:t>(</w:t>
      </w:r>
      <w:r w:rsidR="003508E2" w:rsidRPr="00957B6C">
        <w:t>WRC</w:t>
      </w:r>
      <w:r w:rsidR="004137CB" w:rsidRPr="00957B6C">
        <w:t>-</w:t>
      </w:r>
      <w:r w:rsidR="003508E2" w:rsidRPr="00957B6C">
        <w:t>19</w:t>
      </w:r>
      <w:r w:rsidR="00512A66">
        <w:t>)</w:t>
      </w:r>
      <w:r w:rsidR="00AD4EF3">
        <w:t xml:space="preserve"> </w:t>
      </w:r>
      <w:r w:rsidR="00AD4EF3" w:rsidRPr="00516433">
        <w:t>and other global events</w:t>
      </w:r>
      <w:r w:rsidR="00B930CB" w:rsidRPr="00957B6C">
        <w:t xml:space="preserve">. </w:t>
      </w:r>
      <w:r w:rsidR="00776A1E" w:rsidRPr="00516433">
        <w:t>ITU</w:t>
      </w:r>
      <w:r w:rsidR="00070DBE">
        <w:t xml:space="preserve"> </w:t>
      </w:r>
      <w:r>
        <w:t xml:space="preserve">assisted countries as they sought to </w:t>
      </w:r>
      <w:r w:rsidR="00776A1E" w:rsidRPr="00516433">
        <w:t>harmoniz</w:t>
      </w:r>
      <w:r>
        <w:t>e</w:t>
      </w:r>
      <w:r w:rsidR="00776A1E" w:rsidRPr="00516433">
        <w:t xml:space="preserve"> policies and regulatory frameworks in the region</w:t>
      </w:r>
      <w:r w:rsidR="00776A1E">
        <w:t>.</w:t>
      </w:r>
      <w:r w:rsidR="00070DBE">
        <w:t xml:space="preserve"> </w:t>
      </w:r>
      <w:r>
        <w:t xml:space="preserve">Ongoing </w:t>
      </w:r>
      <w:r w:rsidR="00B930CB" w:rsidRPr="00957B6C">
        <w:t xml:space="preserve">projects </w:t>
      </w:r>
      <w:r>
        <w:t xml:space="preserve">include: </w:t>
      </w:r>
      <w:r w:rsidR="00B930CB" w:rsidRPr="00957B6C">
        <w:t xml:space="preserve">institutional reform, telemedicine, wireless broadband, judiciary training, computer incident response team (CIRT), m-diabetes, and m-cervical cancer. Several regional workshops were organized </w:t>
      </w:r>
      <w:r w:rsidR="007D1EF4" w:rsidRPr="00957B6C">
        <w:t>o</w:t>
      </w:r>
      <w:r>
        <w:t>n</w:t>
      </w:r>
      <w:r w:rsidR="007D1EF4" w:rsidRPr="00957B6C">
        <w:t xml:space="preserve"> </w:t>
      </w:r>
      <w:r w:rsidR="00B930CB" w:rsidRPr="00957B6C">
        <w:t>conformance and interoperability, IP</w:t>
      </w:r>
      <w:r w:rsidR="00512A66">
        <w:t>v</w:t>
      </w:r>
      <w:r w:rsidR="00B930CB" w:rsidRPr="00957B6C">
        <w:t>6, cybersecurity, Internet of Things (</w:t>
      </w:r>
      <w:proofErr w:type="spellStart"/>
      <w:r w:rsidR="00B930CB" w:rsidRPr="00957B6C">
        <w:t>I</w:t>
      </w:r>
      <w:r w:rsidR="007D1EF4" w:rsidRPr="00957B6C">
        <w:t>o</w:t>
      </w:r>
      <w:r w:rsidR="00B930CB" w:rsidRPr="00957B6C">
        <w:t>T</w:t>
      </w:r>
      <w:proofErr w:type="spellEnd"/>
      <w:r w:rsidR="00B930CB" w:rsidRPr="00957B6C">
        <w:t>), ICT economics and finance, quality of service, international roaming, and ICT accessibility and digital inclusion.</w:t>
      </w:r>
      <w:r w:rsidR="00776A1E">
        <w:t xml:space="preserve"> </w:t>
      </w:r>
      <w:r w:rsidR="00776A1E" w:rsidRPr="00516433">
        <w:t xml:space="preserve">Several national workshops were </w:t>
      </w:r>
      <w:r w:rsidR="00793AF3">
        <w:t xml:space="preserve">also </w:t>
      </w:r>
      <w:r w:rsidR="00776A1E" w:rsidRPr="00516433">
        <w:t>organized</w:t>
      </w:r>
      <w:r w:rsidR="00776A1E">
        <w:t>.</w:t>
      </w:r>
    </w:p>
    <w:p w:rsidR="00BB5BFB" w:rsidRDefault="00B930CB" w:rsidP="00BD1A73">
      <w:pPr>
        <w:spacing w:after="120"/>
      </w:pPr>
      <w:r w:rsidRPr="00957B6C">
        <w:t xml:space="preserve">In the </w:t>
      </w:r>
      <w:r w:rsidRPr="007B36B3">
        <w:rPr>
          <w:b/>
          <w:bCs/>
          <w:u w:val="single"/>
        </w:rPr>
        <w:t>Americas</w:t>
      </w:r>
      <w:r w:rsidR="00ED042F" w:rsidRPr="007B36B3">
        <w:rPr>
          <w:b/>
          <w:bCs/>
          <w:u w:val="single"/>
        </w:rPr>
        <w:t xml:space="preserve"> region</w:t>
      </w:r>
      <w:r w:rsidRPr="00957B6C">
        <w:t xml:space="preserve">, activities </w:t>
      </w:r>
      <w:r w:rsidR="00BD1A73">
        <w:t xml:space="preserve">were </w:t>
      </w:r>
      <w:r w:rsidR="003508E2" w:rsidRPr="00957B6C">
        <w:t xml:space="preserve">implemented </w:t>
      </w:r>
      <w:r w:rsidRPr="00957B6C">
        <w:t>under 12 technical cooperation projects</w:t>
      </w:r>
      <w:r w:rsidR="00505271">
        <w:t xml:space="preserve"> </w:t>
      </w:r>
      <w:r w:rsidR="00696F2C">
        <w:t xml:space="preserve">for </w:t>
      </w:r>
      <w:r w:rsidR="00505271">
        <w:t xml:space="preserve">an </w:t>
      </w:r>
      <w:r w:rsidR="00696F2C">
        <w:t xml:space="preserve">amount </w:t>
      </w:r>
      <w:r w:rsidR="00505271">
        <w:t xml:space="preserve">of </w:t>
      </w:r>
      <w:r w:rsidR="00505271" w:rsidRPr="00957B6C">
        <w:t>USD 1 million</w:t>
      </w:r>
      <w:r w:rsidR="00505271" w:rsidRPr="00516433">
        <w:t>, in collaboration with Member States</w:t>
      </w:r>
      <w:r w:rsidR="003508E2" w:rsidRPr="00957B6C">
        <w:t>. In</w:t>
      </w:r>
      <w:r w:rsidRPr="00957B6C">
        <w:t xml:space="preserve"> addition, activities under 35 actions </w:t>
      </w:r>
      <w:r w:rsidR="00871569">
        <w:t xml:space="preserve">in </w:t>
      </w:r>
      <w:r w:rsidRPr="00957B6C">
        <w:t xml:space="preserve">the BDT </w:t>
      </w:r>
      <w:r w:rsidR="00BD1A73">
        <w:t>o</w:t>
      </w:r>
      <w:r w:rsidRPr="00957B6C">
        <w:t xml:space="preserve">perational </w:t>
      </w:r>
      <w:r w:rsidR="00BD1A73">
        <w:t>p</w:t>
      </w:r>
      <w:r w:rsidRPr="00957B6C">
        <w:t xml:space="preserve">lan were implemented for a total amount of </w:t>
      </w:r>
      <w:r w:rsidR="00ED042F" w:rsidRPr="00957B6C">
        <w:t>USD 589 </w:t>
      </w:r>
      <w:r w:rsidR="003508E2" w:rsidRPr="00957B6C">
        <w:t>000</w:t>
      </w:r>
      <w:r w:rsidRPr="00957B6C">
        <w:t xml:space="preserve">. </w:t>
      </w:r>
    </w:p>
    <w:p w:rsidR="00B930CB" w:rsidRPr="00957B6C" w:rsidRDefault="00BD1A73" w:rsidP="003B5BCE">
      <w:pPr>
        <w:spacing w:after="120"/>
        <w:rPr>
          <w:sz w:val="22"/>
          <w:lang w:eastAsia="zh-CN"/>
        </w:rPr>
      </w:pPr>
      <w:r>
        <w:t xml:space="preserve">Twenty-two </w:t>
      </w:r>
      <w:r w:rsidR="00B930CB" w:rsidRPr="00957B6C">
        <w:t xml:space="preserve">additional </w:t>
      </w:r>
      <w:r w:rsidR="00793AF3" w:rsidRPr="00957B6C">
        <w:t xml:space="preserve">capacity building </w:t>
      </w:r>
      <w:r w:rsidR="00B930CB" w:rsidRPr="00957B6C">
        <w:t xml:space="preserve">activities were implemented </w:t>
      </w:r>
      <w:r w:rsidR="003508E2" w:rsidRPr="00957B6C">
        <w:t xml:space="preserve">in </w:t>
      </w:r>
      <w:r w:rsidR="00B930CB" w:rsidRPr="00957B6C">
        <w:t xml:space="preserve">ICT policy and regulation, </w:t>
      </w:r>
      <w:proofErr w:type="spellStart"/>
      <w:r w:rsidR="00B930CB" w:rsidRPr="00957B6C">
        <w:t>IoT</w:t>
      </w:r>
      <w:proofErr w:type="spellEnd"/>
      <w:r w:rsidR="00B930CB" w:rsidRPr="00957B6C">
        <w:t xml:space="preserve"> communication protocols, LTE radio access technologies, radio</w:t>
      </w:r>
      <w:r w:rsidR="003B5BCE">
        <w:t>-frequency</w:t>
      </w:r>
      <w:r w:rsidR="00B930CB" w:rsidRPr="00957B6C">
        <w:t xml:space="preserve"> spectrum, cybersecurity, emergency communications, satellite communications, digital </w:t>
      </w:r>
      <w:r w:rsidR="00056D1A" w:rsidRPr="00957B6C">
        <w:t>television</w:t>
      </w:r>
      <w:r w:rsidR="003508E2" w:rsidRPr="00957B6C">
        <w:t xml:space="preserve">, ICTs and climate change, </w:t>
      </w:r>
      <w:r w:rsidR="00056D1A" w:rsidRPr="00957B6C">
        <w:t>Internet exchange points (</w:t>
      </w:r>
      <w:r w:rsidR="003508E2" w:rsidRPr="00957B6C">
        <w:t>IXPs</w:t>
      </w:r>
      <w:r w:rsidR="00056D1A" w:rsidRPr="00957B6C">
        <w:t>)</w:t>
      </w:r>
      <w:r w:rsidR="003508E2" w:rsidRPr="00957B6C">
        <w:t xml:space="preserve"> and</w:t>
      </w:r>
      <w:r w:rsidR="00B930CB" w:rsidRPr="00957B6C">
        <w:t xml:space="preserve"> optical access in network communications. </w:t>
      </w:r>
      <w:r w:rsidR="00AD4EF3">
        <w:t xml:space="preserve">Direct assistance </w:t>
      </w:r>
      <w:r w:rsidR="003B5BCE">
        <w:t xml:space="preserve">was </w:t>
      </w:r>
      <w:r w:rsidR="00E43DE8">
        <w:t xml:space="preserve">also </w:t>
      </w:r>
      <w:r w:rsidR="00AD4EF3">
        <w:t xml:space="preserve">provided to different countries </w:t>
      </w:r>
      <w:r w:rsidR="009B5BEF">
        <w:t>in e-waste management, national ICT plans, transition from analogue to digital broadcasting, infrastructure deployment and web accessibility</w:t>
      </w:r>
      <w:r w:rsidR="00AD4EF3">
        <w:t xml:space="preserve">. </w:t>
      </w:r>
      <w:r w:rsidR="009B5BEF">
        <w:t>Several regional workshops and forums on conformance and interoperability, Internet governance, cyberbullying, ICT accessibility and digital inclusion, cybersecurity and cyber</w:t>
      </w:r>
      <w:r w:rsidR="007321ED">
        <w:t xml:space="preserve"> </w:t>
      </w:r>
      <w:r w:rsidR="009B5BEF">
        <w:t xml:space="preserve">drills, emergency telecommunications, and </w:t>
      </w:r>
      <w:proofErr w:type="spellStart"/>
      <w:r w:rsidR="009B5BEF">
        <w:t>I</w:t>
      </w:r>
      <w:r w:rsidR="004D65C8">
        <w:t>o</w:t>
      </w:r>
      <w:r w:rsidR="009B5BEF">
        <w:t>T</w:t>
      </w:r>
      <w:proofErr w:type="spellEnd"/>
      <w:r w:rsidR="009B5BEF">
        <w:t xml:space="preserve"> were organized.</w:t>
      </w:r>
      <w:r w:rsidR="009B5BEF" w:rsidRPr="00957B6C" w:rsidDel="005E34CF">
        <w:t xml:space="preserve"> </w:t>
      </w:r>
    </w:p>
    <w:p w:rsidR="005E34CF" w:rsidRDefault="00A81044" w:rsidP="00BB5BFB">
      <w:pPr>
        <w:spacing w:after="120"/>
        <w:rPr>
          <w:rFonts w:eastAsia="Calibri" w:cs="Calibri"/>
        </w:rPr>
      </w:pPr>
      <w:r w:rsidRPr="00957B6C">
        <w:rPr>
          <w:rFonts w:eastAsia="Calibri" w:cs="Calibri"/>
        </w:rPr>
        <w:t xml:space="preserve">In </w:t>
      </w:r>
      <w:r w:rsidR="003508E2" w:rsidRPr="00957B6C">
        <w:rPr>
          <w:rFonts w:eastAsia="Calibri" w:cs="Calibri"/>
        </w:rPr>
        <w:t xml:space="preserve">the </w:t>
      </w:r>
      <w:r w:rsidR="003508E2" w:rsidRPr="007B36B3">
        <w:rPr>
          <w:rFonts w:eastAsia="Calibri" w:cs="Calibri"/>
          <w:b/>
          <w:bCs/>
          <w:u w:val="single"/>
        </w:rPr>
        <w:t>Arab States</w:t>
      </w:r>
      <w:r w:rsidR="00056D1A" w:rsidRPr="007B36B3">
        <w:rPr>
          <w:rFonts w:eastAsia="Calibri" w:cs="Calibri"/>
          <w:b/>
          <w:bCs/>
          <w:u w:val="single"/>
        </w:rPr>
        <w:t xml:space="preserve"> region</w:t>
      </w:r>
      <w:r w:rsidRPr="00957B6C">
        <w:rPr>
          <w:rFonts w:eastAsia="Calibri" w:cs="Calibri"/>
        </w:rPr>
        <w:t xml:space="preserve">, activities </w:t>
      </w:r>
      <w:r w:rsidR="00D56F21" w:rsidRPr="00957B6C">
        <w:rPr>
          <w:rFonts w:eastAsia="Calibri" w:cs="Calibri"/>
        </w:rPr>
        <w:t xml:space="preserve">were implemented </w:t>
      </w:r>
      <w:r w:rsidRPr="00957B6C">
        <w:rPr>
          <w:rFonts w:eastAsia="Calibri" w:cs="Calibri"/>
        </w:rPr>
        <w:t xml:space="preserve">under five technical cooperation projects for </w:t>
      </w:r>
      <w:r w:rsidR="00056D1A" w:rsidRPr="00957B6C">
        <w:rPr>
          <w:rFonts w:eastAsia="Calibri" w:cs="Calibri"/>
        </w:rPr>
        <w:t>USD 872 </w:t>
      </w:r>
      <w:r w:rsidR="00D56F21" w:rsidRPr="00957B6C">
        <w:rPr>
          <w:rFonts w:eastAsia="Calibri" w:cs="Calibri"/>
        </w:rPr>
        <w:t>000</w:t>
      </w:r>
      <w:r w:rsidR="00BB5BFB" w:rsidRPr="00516433">
        <w:rPr>
          <w:rFonts w:eastAsia="Calibri" w:cs="Calibri"/>
        </w:rPr>
        <w:t>, in collaboration with Member States</w:t>
      </w:r>
      <w:r w:rsidRPr="00957B6C">
        <w:rPr>
          <w:rFonts w:eastAsia="Calibri" w:cs="Calibri"/>
        </w:rPr>
        <w:t xml:space="preserve">. In addition, 29 </w:t>
      </w:r>
      <w:r w:rsidR="00E43DE8">
        <w:rPr>
          <w:rFonts w:eastAsia="Calibri" w:cs="Calibri"/>
        </w:rPr>
        <w:t xml:space="preserve">activities </w:t>
      </w:r>
      <w:r w:rsidRPr="00957B6C">
        <w:rPr>
          <w:rFonts w:eastAsia="Calibri" w:cs="Calibri"/>
        </w:rPr>
        <w:t xml:space="preserve">were implemented for an amount of </w:t>
      </w:r>
      <w:r w:rsidR="00056D1A" w:rsidRPr="00957B6C">
        <w:rPr>
          <w:rFonts w:eastAsia="Calibri" w:cs="Calibri"/>
        </w:rPr>
        <w:t>CHF 404 </w:t>
      </w:r>
      <w:r w:rsidR="00D56F21" w:rsidRPr="00957B6C">
        <w:rPr>
          <w:rFonts w:eastAsia="Calibri" w:cs="Calibri"/>
        </w:rPr>
        <w:t>000</w:t>
      </w:r>
      <w:r w:rsidRPr="00957B6C">
        <w:rPr>
          <w:rFonts w:eastAsia="Calibri" w:cs="Calibri"/>
        </w:rPr>
        <w:t xml:space="preserve">. </w:t>
      </w:r>
    </w:p>
    <w:p w:rsidR="00A81044" w:rsidRPr="00957B6C" w:rsidRDefault="00A81044">
      <w:pPr>
        <w:spacing w:after="120"/>
        <w:rPr>
          <w:rFonts w:eastAsia="Calibri" w:cs="Calibri"/>
        </w:rPr>
      </w:pPr>
      <w:r w:rsidRPr="00957B6C">
        <w:rPr>
          <w:rFonts w:eastAsia="Calibri" w:cs="Calibri"/>
        </w:rPr>
        <w:t xml:space="preserve">Through the ITU Arab States region centres of excellence network, 13 capacity building courses were implemented in different aspects of ICT applications and services, new technologies and broadband. A cooperation agreement was signed </w:t>
      </w:r>
      <w:r w:rsidR="00E43DE8">
        <w:rPr>
          <w:rFonts w:eastAsia="Calibri" w:cs="Calibri"/>
        </w:rPr>
        <w:t>t</w:t>
      </w:r>
      <w:r w:rsidRPr="00957B6C">
        <w:rPr>
          <w:rFonts w:eastAsia="Calibri" w:cs="Calibri"/>
        </w:rPr>
        <w:t>o organiz</w:t>
      </w:r>
      <w:r w:rsidR="00E43DE8">
        <w:rPr>
          <w:rFonts w:eastAsia="Calibri" w:cs="Calibri"/>
        </w:rPr>
        <w:t xml:space="preserve">e </w:t>
      </w:r>
      <w:r w:rsidRPr="00957B6C">
        <w:rPr>
          <w:rFonts w:eastAsia="Calibri" w:cs="Calibri"/>
        </w:rPr>
        <w:t xml:space="preserve">Girls in ICT Day events until 2019. Assistance was provided to the Arab Incubators and </w:t>
      </w:r>
      <w:proofErr w:type="spellStart"/>
      <w:r w:rsidRPr="00957B6C">
        <w:rPr>
          <w:rFonts w:eastAsia="Calibri" w:cs="Calibri"/>
        </w:rPr>
        <w:t>Technoparks</w:t>
      </w:r>
      <w:proofErr w:type="spellEnd"/>
      <w:r w:rsidRPr="00957B6C">
        <w:rPr>
          <w:rFonts w:eastAsia="Calibri" w:cs="Calibri"/>
        </w:rPr>
        <w:t xml:space="preserve"> Network, and a study was conducted on Internet networks and IXPs development in the region. </w:t>
      </w:r>
      <w:r w:rsidR="00C07ECF" w:rsidRPr="00C07ECF">
        <w:rPr>
          <w:rFonts w:eastAsia="Calibri" w:cs="Calibri"/>
        </w:rPr>
        <w:t xml:space="preserve">Capacity building activities </w:t>
      </w:r>
      <w:r w:rsidR="00C07ECF" w:rsidRPr="00516433">
        <w:rPr>
          <w:rFonts w:eastAsia="Calibri" w:cs="Calibri"/>
        </w:rPr>
        <w:t>were organized</w:t>
      </w:r>
      <w:r w:rsidR="00E43DE8">
        <w:rPr>
          <w:rFonts w:eastAsia="Calibri" w:cs="Calibri"/>
        </w:rPr>
        <w:t xml:space="preserve"> and d</w:t>
      </w:r>
      <w:r w:rsidR="00C07ECF" w:rsidRPr="00516433">
        <w:rPr>
          <w:rFonts w:eastAsia="Calibri" w:cs="Calibri"/>
        </w:rPr>
        <w:t>irect assistance was provided to</w:t>
      </w:r>
      <w:r w:rsidR="00C07ECF">
        <w:rPr>
          <w:rFonts w:eastAsia="Calibri" w:cs="Calibri"/>
        </w:rPr>
        <w:t xml:space="preserve"> </w:t>
      </w:r>
      <w:r w:rsidR="00E43DE8">
        <w:rPr>
          <w:rFonts w:eastAsia="Calibri" w:cs="Calibri"/>
        </w:rPr>
        <w:t>various</w:t>
      </w:r>
      <w:r w:rsidR="00C15835">
        <w:rPr>
          <w:rFonts w:eastAsia="Calibri" w:cs="Calibri"/>
        </w:rPr>
        <w:t xml:space="preserve"> </w:t>
      </w:r>
      <w:r w:rsidR="00C07ECF">
        <w:rPr>
          <w:rFonts w:eastAsia="Calibri" w:cs="Calibri"/>
        </w:rPr>
        <w:t xml:space="preserve">countries. </w:t>
      </w:r>
      <w:r w:rsidR="00C07ECF" w:rsidRPr="00516433">
        <w:rPr>
          <w:rFonts w:eastAsia="Calibri" w:cs="Calibri"/>
        </w:rPr>
        <w:t>Efforts relat</w:t>
      </w:r>
      <w:r w:rsidR="00E43DE8">
        <w:rPr>
          <w:rFonts w:eastAsia="Calibri" w:cs="Calibri"/>
        </w:rPr>
        <w:t xml:space="preserve">ed </w:t>
      </w:r>
      <w:r w:rsidR="00C07ECF" w:rsidRPr="00516433">
        <w:rPr>
          <w:rFonts w:eastAsia="Calibri" w:cs="Calibri"/>
        </w:rPr>
        <w:t xml:space="preserve">to cybersecurity </w:t>
      </w:r>
      <w:r w:rsidR="00E43DE8">
        <w:rPr>
          <w:rFonts w:eastAsia="Calibri" w:cs="Calibri"/>
        </w:rPr>
        <w:t xml:space="preserve">were continued, e.g., </w:t>
      </w:r>
      <w:r w:rsidR="00C07ECF" w:rsidRPr="00516433">
        <w:rPr>
          <w:rFonts w:eastAsia="Calibri" w:cs="Calibri"/>
        </w:rPr>
        <w:t>through</w:t>
      </w:r>
      <w:r w:rsidR="00C07ECF">
        <w:rPr>
          <w:rFonts w:eastAsia="Calibri" w:cs="Calibri"/>
        </w:rPr>
        <w:t xml:space="preserve"> organiz</w:t>
      </w:r>
      <w:r w:rsidR="00E43DE8">
        <w:rPr>
          <w:rFonts w:eastAsia="Calibri" w:cs="Calibri"/>
        </w:rPr>
        <w:t xml:space="preserve">ing </w:t>
      </w:r>
      <w:r w:rsidR="00C07ECF">
        <w:rPr>
          <w:rFonts w:eastAsia="Calibri" w:cs="Calibri"/>
        </w:rPr>
        <w:t>the regional Cybersecurity Week</w:t>
      </w:r>
      <w:r w:rsidR="00E43DE8">
        <w:rPr>
          <w:rFonts w:eastAsia="Calibri" w:cs="Calibri"/>
        </w:rPr>
        <w:t>,</w:t>
      </w:r>
      <w:r w:rsidR="00070DBE">
        <w:rPr>
          <w:rFonts w:eastAsia="Calibri" w:cs="Calibri"/>
        </w:rPr>
        <w:t xml:space="preserve"> </w:t>
      </w:r>
      <w:r w:rsidR="00C07ECF" w:rsidRPr="00516433">
        <w:rPr>
          <w:rFonts w:eastAsia="Calibri" w:cs="Calibri"/>
        </w:rPr>
        <w:t xml:space="preserve">child </w:t>
      </w:r>
      <w:r w:rsidR="00C07ECF" w:rsidRPr="00516433">
        <w:rPr>
          <w:rFonts w:eastAsia="Calibri" w:cs="Calibri"/>
        </w:rPr>
        <w:lastRenderedPageBreak/>
        <w:t xml:space="preserve">online protection and </w:t>
      </w:r>
      <w:r w:rsidR="00E43DE8">
        <w:rPr>
          <w:rFonts w:eastAsia="Calibri" w:cs="Calibri"/>
        </w:rPr>
        <w:t xml:space="preserve">other </w:t>
      </w:r>
      <w:r w:rsidR="00C07ECF" w:rsidRPr="00516433">
        <w:rPr>
          <w:rFonts w:eastAsia="Calibri" w:cs="Calibri"/>
        </w:rPr>
        <w:t>cybersecurity activities.</w:t>
      </w:r>
      <w:r w:rsidR="003D113B">
        <w:rPr>
          <w:rFonts w:eastAsia="Calibri" w:cs="Calibri"/>
        </w:rPr>
        <w:t xml:space="preserve"> </w:t>
      </w:r>
      <w:r w:rsidR="00E43DE8">
        <w:rPr>
          <w:rFonts w:eastAsia="Calibri" w:cs="Calibri"/>
        </w:rPr>
        <w:t xml:space="preserve">The office promoted </w:t>
      </w:r>
      <w:r w:rsidR="003D113B" w:rsidRPr="00516433">
        <w:rPr>
          <w:rFonts w:eastAsia="Calibri" w:cs="Calibri"/>
        </w:rPr>
        <w:t xml:space="preserve">ICT </w:t>
      </w:r>
      <w:r w:rsidR="003D113B">
        <w:rPr>
          <w:rFonts w:eastAsia="Calibri" w:cs="Calibri"/>
        </w:rPr>
        <w:t>a</w:t>
      </w:r>
      <w:r w:rsidR="003D113B" w:rsidRPr="00516433">
        <w:rPr>
          <w:rFonts w:eastAsia="Calibri" w:cs="Calibri"/>
        </w:rPr>
        <w:t xml:space="preserve">ccessibility </w:t>
      </w:r>
      <w:r w:rsidR="00E43DE8">
        <w:rPr>
          <w:rFonts w:eastAsia="Calibri" w:cs="Calibri"/>
        </w:rPr>
        <w:t xml:space="preserve">by </w:t>
      </w:r>
      <w:r w:rsidR="003D113B" w:rsidRPr="00516433">
        <w:rPr>
          <w:rFonts w:eastAsia="Calibri" w:cs="Calibri"/>
        </w:rPr>
        <w:t>organiz</w:t>
      </w:r>
      <w:r w:rsidR="00E43DE8">
        <w:rPr>
          <w:rFonts w:eastAsia="Calibri" w:cs="Calibri"/>
        </w:rPr>
        <w:t xml:space="preserve">ing the </w:t>
      </w:r>
      <w:r w:rsidR="003D113B">
        <w:rPr>
          <w:rFonts w:eastAsia="Calibri" w:cs="Calibri"/>
        </w:rPr>
        <w:t>r</w:t>
      </w:r>
      <w:r w:rsidR="003D113B" w:rsidRPr="00516433">
        <w:rPr>
          <w:rFonts w:eastAsia="Calibri" w:cs="Calibri"/>
        </w:rPr>
        <w:t>egional ICT Accessibility Week.</w:t>
      </w:r>
    </w:p>
    <w:p w:rsidR="00A81044" w:rsidRPr="00957B6C" w:rsidRDefault="00A81044">
      <w:pPr>
        <w:spacing w:after="120"/>
      </w:pPr>
      <w:r w:rsidRPr="00957B6C">
        <w:t xml:space="preserve">In </w:t>
      </w:r>
      <w:r w:rsidR="00B860DF" w:rsidRPr="00957B6C">
        <w:t xml:space="preserve">the </w:t>
      </w:r>
      <w:r w:rsidRPr="007B36B3">
        <w:rPr>
          <w:b/>
          <w:bCs/>
          <w:u w:val="single"/>
        </w:rPr>
        <w:t>Asia and the Pacific</w:t>
      </w:r>
      <w:r w:rsidR="00056D1A" w:rsidRPr="007B36B3">
        <w:rPr>
          <w:b/>
          <w:bCs/>
          <w:u w:val="single"/>
        </w:rPr>
        <w:t xml:space="preserve"> region</w:t>
      </w:r>
      <w:r w:rsidRPr="00957B6C">
        <w:t>,</w:t>
      </w:r>
      <w:r w:rsidR="00D56F21" w:rsidRPr="00957B6C">
        <w:t xml:space="preserve"> </w:t>
      </w:r>
      <w:r w:rsidRPr="00957B6C">
        <w:t xml:space="preserve">activities </w:t>
      </w:r>
      <w:r w:rsidR="00D56F21" w:rsidRPr="00957B6C">
        <w:t>were implem</w:t>
      </w:r>
      <w:r w:rsidR="00B765A9" w:rsidRPr="00957B6C">
        <w:t>ented</w:t>
      </w:r>
      <w:r w:rsidR="00D56F21" w:rsidRPr="00957B6C">
        <w:t xml:space="preserve"> </w:t>
      </w:r>
      <w:r w:rsidRPr="00957B6C">
        <w:t xml:space="preserve">under ten technical cooperation projects for a total amount of </w:t>
      </w:r>
      <w:r w:rsidR="00056D1A" w:rsidRPr="00957B6C">
        <w:t>USD</w:t>
      </w:r>
      <w:r w:rsidR="00B765A9" w:rsidRPr="00957B6C">
        <w:t xml:space="preserve"> </w:t>
      </w:r>
      <w:r w:rsidR="00056D1A" w:rsidRPr="00957B6C">
        <w:t>668 </w:t>
      </w:r>
      <w:r w:rsidR="00D56F21" w:rsidRPr="00957B6C">
        <w:t>000</w:t>
      </w:r>
      <w:r w:rsidR="00BB5BFB" w:rsidRPr="00516433">
        <w:t>, in collaboration with Member States and partners</w:t>
      </w:r>
      <w:r w:rsidRPr="00957B6C">
        <w:t>. In addition, 35 acti</w:t>
      </w:r>
      <w:r w:rsidR="001B43E9">
        <w:t xml:space="preserve">vities </w:t>
      </w:r>
      <w:r w:rsidRPr="00957B6C">
        <w:t xml:space="preserve">were implemented for an amount of </w:t>
      </w:r>
      <w:r w:rsidR="00056D1A" w:rsidRPr="00957B6C">
        <w:t>CHF </w:t>
      </w:r>
      <w:r w:rsidRPr="00957B6C">
        <w:t>402 </w:t>
      </w:r>
      <w:r w:rsidR="00D56F21" w:rsidRPr="00957B6C">
        <w:t>000</w:t>
      </w:r>
      <w:r w:rsidRPr="00957B6C">
        <w:t>.</w:t>
      </w:r>
    </w:p>
    <w:p w:rsidR="005E34CF" w:rsidRDefault="005E34CF">
      <w:pPr>
        <w:spacing w:after="120"/>
      </w:pPr>
      <w:r w:rsidRPr="005E34CF">
        <w:t>The key emphasis was on specialized assistance and capacity building in the areas of radio spectrum management and monitoring, spectrum master plans, policy and regulatory frameworks, cybersecurity, CIRT, national cybersecurity strategies and child online protecti</w:t>
      </w:r>
      <w:r>
        <w:t xml:space="preserve">on, broadband, conformance and </w:t>
      </w:r>
      <w:r w:rsidRPr="005E34CF">
        <w:t>interoperability, ICT applications, telecommunication sector road</w:t>
      </w:r>
      <w:r w:rsidR="003B5BCE">
        <w:t xml:space="preserve"> </w:t>
      </w:r>
      <w:r w:rsidRPr="005E34CF">
        <w:t xml:space="preserve">maps and e-applications for Pacific Islands, quality of service, ICT indicators and statistics, Internet of Things, implementation of IPv6, ICTs for promoting innovation, ICTs for the empowerment of women, e-governance, smart and sustainable cities, e-agriculture, </w:t>
      </w:r>
      <w:r w:rsidR="00503D3F">
        <w:t xml:space="preserve">and </w:t>
      </w:r>
      <w:r w:rsidRPr="005E34CF">
        <w:t>emergency telecommunications.</w:t>
      </w:r>
      <w:r w:rsidR="00503D3F">
        <w:t xml:space="preserve"> </w:t>
      </w:r>
      <w:r w:rsidR="00503D3F" w:rsidRPr="00516433">
        <w:t xml:space="preserve">In </w:t>
      </w:r>
      <w:r w:rsidR="003B5BCE">
        <w:t xml:space="preserve">terms </w:t>
      </w:r>
      <w:r w:rsidR="00503D3F" w:rsidRPr="00516433">
        <w:t>of training, the focus was</w:t>
      </w:r>
      <w:r w:rsidR="00503D3F">
        <w:t xml:space="preserve"> </w:t>
      </w:r>
      <w:r w:rsidR="00503D3F" w:rsidRPr="00516433">
        <w:t>on</w:t>
      </w:r>
      <w:r w:rsidR="00503D3F">
        <w:t xml:space="preserve"> </w:t>
      </w:r>
      <w:r w:rsidR="00A4351E">
        <w:t xml:space="preserve">the areas above and </w:t>
      </w:r>
      <w:r w:rsidR="00AD25E0">
        <w:t>on</w:t>
      </w:r>
      <w:r w:rsidR="00667E60">
        <w:t xml:space="preserve"> </w:t>
      </w:r>
      <w:r w:rsidR="00450E6D">
        <w:t>q</w:t>
      </w:r>
      <w:r w:rsidR="001B43E9">
        <w:t xml:space="preserve">uality </w:t>
      </w:r>
      <w:r w:rsidR="00503D3F" w:rsidRPr="00503D3F">
        <w:t>o</w:t>
      </w:r>
      <w:r w:rsidR="001B43E9">
        <w:t>f service</w:t>
      </w:r>
      <w:r w:rsidR="00503D3F" w:rsidRPr="00503D3F">
        <w:t xml:space="preserve">, </w:t>
      </w:r>
      <w:proofErr w:type="spellStart"/>
      <w:r w:rsidR="00503D3F">
        <w:t>blockchain</w:t>
      </w:r>
      <w:proofErr w:type="spellEnd"/>
      <w:r w:rsidR="00503D3F" w:rsidRPr="00503D3F">
        <w:t xml:space="preserve">, </w:t>
      </w:r>
      <w:r w:rsidR="003B23C7">
        <w:t xml:space="preserve">Geographic </w:t>
      </w:r>
      <w:r w:rsidR="00503D3F" w:rsidRPr="00503D3F">
        <w:t>I</w:t>
      </w:r>
      <w:r w:rsidR="003B23C7">
        <w:t xml:space="preserve">nformation </w:t>
      </w:r>
      <w:r w:rsidR="00503D3F" w:rsidRPr="00503D3F">
        <w:t>S</w:t>
      </w:r>
      <w:r w:rsidR="003B23C7">
        <w:t>ystems (GIS)</w:t>
      </w:r>
      <w:r w:rsidR="00503D3F" w:rsidRPr="00503D3F">
        <w:t xml:space="preserve"> for agriculture, digital financial services, </w:t>
      </w:r>
      <w:proofErr w:type="gramStart"/>
      <w:r w:rsidR="00503D3F" w:rsidRPr="00503D3F">
        <w:t>digital</w:t>
      </w:r>
      <w:proofErr w:type="gramEnd"/>
      <w:r w:rsidR="00503D3F" w:rsidRPr="00503D3F">
        <w:t xml:space="preserve"> skills for job creation</w:t>
      </w:r>
      <w:r w:rsidR="00A4351E">
        <w:t>, among others</w:t>
      </w:r>
      <w:r w:rsidR="00503D3F" w:rsidRPr="00503D3F">
        <w:t>.</w:t>
      </w:r>
    </w:p>
    <w:p w:rsidR="002910A0" w:rsidRDefault="00D132D1" w:rsidP="005E34CF">
      <w:pPr>
        <w:spacing w:after="120"/>
        <w:rPr>
          <w:rFonts w:eastAsia="Calibri" w:cs="Calibri"/>
        </w:rPr>
      </w:pPr>
      <w:r w:rsidRPr="00957B6C">
        <w:rPr>
          <w:rFonts w:eastAsia="Calibri" w:cs="Calibri"/>
        </w:rPr>
        <w:t>In</w:t>
      </w:r>
      <w:r w:rsidR="0052435B" w:rsidRPr="00957B6C">
        <w:rPr>
          <w:rFonts w:eastAsia="Calibri" w:cs="Calibri"/>
        </w:rPr>
        <w:t xml:space="preserve"> the </w:t>
      </w:r>
      <w:r w:rsidR="0052435B" w:rsidRPr="007B36B3">
        <w:rPr>
          <w:rFonts w:eastAsia="Calibri" w:cs="Calibri"/>
          <w:b/>
          <w:bCs/>
          <w:u w:val="single"/>
        </w:rPr>
        <w:t>Commonwealth</w:t>
      </w:r>
      <w:r w:rsidRPr="007B36B3">
        <w:rPr>
          <w:rFonts w:eastAsia="Calibri" w:cs="Calibri"/>
          <w:b/>
          <w:bCs/>
          <w:u w:val="single"/>
        </w:rPr>
        <w:t xml:space="preserve"> of Independent States (CIS)</w:t>
      </w:r>
      <w:r w:rsidR="00B860DF" w:rsidRPr="007B36B3">
        <w:rPr>
          <w:rFonts w:eastAsia="Calibri" w:cs="Calibri"/>
          <w:b/>
          <w:bCs/>
          <w:u w:val="single"/>
        </w:rPr>
        <w:t xml:space="preserve"> region</w:t>
      </w:r>
      <w:r w:rsidRPr="00957B6C">
        <w:rPr>
          <w:rFonts w:eastAsia="Calibri" w:cs="Calibri"/>
        </w:rPr>
        <w:t xml:space="preserve">, BDT implemented </w:t>
      </w:r>
      <w:r w:rsidR="003B23C7">
        <w:rPr>
          <w:rFonts w:eastAsia="Calibri" w:cs="Calibri"/>
        </w:rPr>
        <w:t xml:space="preserve">20 </w:t>
      </w:r>
      <w:r w:rsidRPr="00957B6C">
        <w:rPr>
          <w:rFonts w:eastAsia="Calibri" w:cs="Calibri"/>
        </w:rPr>
        <w:t xml:space="preserve">activities </w:t>
      </w:r>
      <w:r w:rsidR="003B23C7">
        <w:rPr>
          <w:rFonts w:eastAsia="Calibri" w:cs="Calibri"/>
        </w:rPr>
        <w:t>f</w:t>
      </w:r>
      <w:r w:rsidRPr="00957B6C">
        <w:rPr>
          <w:rFonts w:eastAsia="Calibri" w:cs="Calibri"/>
        </w:rPr>
        <w:t xml:space="preserve">or an amount of </w:t>
      </w:r>
      <w:r w:rsidR="00852A91" w:rsidRPr="00957B6C">
        <w:rPr>
          <w:rFonts w:eastAsia="Calibri" w:cs="Calibri"/>
        </w:rPr>
        <w:t>CHF</w:t>
      </w:r>
      <w:r w:rsidR="00852A91">
        <w:rPr>
          <w:rFonts w:eastAsia="Calibri" w:cs="Calibri"/>
        </w:rPr>
        <w:t> </w:t>
      </w:r>
      <w:r w:rsidR="00852A91" w:rsidRPr="00957B6C">
        <w:rPr>
          <w:rFonts w:eastAsia="Calibri" w:cs="Calibri"/>
        </w:rPr>
        <w:t>292</w:t>
      </w:r>
      <w:r w:rsidR="00852A91">
        <w:rPr>
          <w:rFonts w:eastAsia="Calibri" w:cs="Calibri"/>
        </w:rPr>
        <w:t> </w:t>
      </w:r>
      <w:r w:rsidR="00B860DF" w:rsidRPr="00957B6C">
        <w:rPr>
          <w:rFonts w:eastAsia="Calibri" w:cs="Calibri"/>
        </w:rPr>
        <w:t>000</w:t>
      </w:r>
      <w:r w:rsidRPr="00957B6C">
        <w:rPr>
          <w:rFonts w:eastAsia="Calibri" w:cs="Calibri"/>
        </w:rPr>
        <w:t xml:space="preserve">. </w:t>
      </w:r>
    </w:p>
    <w:p w:rsidR="00D132D1" w:rsidRPr="00957B6C" w:rsidRDefault="00D132D1">
      <w:pPr>
        <w:spacing w:after="120"/>
        <w:rPr>
          <w:rFonts w:eastAsia="Calibri" w:cs="Calibri"/>
        </w:rPr>
      </w:pPr>
      <w:r w:rsidRPr="00957B6C">
        <w:t xml:space="preserve">To raise </w:t>
      </w:r>
      <w:r w:rsidR="003B23C7">
        <w:t>ITU member</w:t>
      </w:r>
      <w:r w:rsidR="001068D7">
        <w:t>s</w:t>
      </w:r>
      <w:r w:rsidR="003B23C7">
        <w:t xml:space="preserve">’ </w:t>
      </w:r>
      <w:r w:rsidRPr="00957B6C">
        <w:t>awareness and disseminat</w:t>
      </w:r>
      <w:r w:rsidR="003B23C7">
        <w:t>e</w:t>
      </w:r>
      <w:r w:rsidRPr="00957B6C">
        <w:t xml:space="preserve"> best practices, regional events</w:t>
      </w:r>
      <w:r w:rsidR="00B765A9" w:rsidRPr="00957B6C">
        <w:t xml:space="preserve"> were organized</w:t>
      </w:r>
      <w:r w:rsidRPr="00957B6C">
        <w:t xml:space="preserve"> on e-health, cybersecurity and </w:t>
      </w:r>
      <w:r w:rsidR="00B765A9" w:rsidRPr="00957B6C">
        <w:t>child online protection</w:t>
      </w:r>
      <w:r w:rsidRPr="00957B6C">
        <w:t xml:space="preserve">, digital transformation, mobile number portability and </w:t>
      </w:r>
      <w:r w:rsidR="00B860DF" w:rsidRPr="00957B6C">
        <w:rPr>
          <w:rStyle w:val="Emphasis"/>
          <w:i w:val="0"/>
          <w:iCs w:val="0"/>
        </w:rPr>
        <w:t>conform</w:t>
      </w:r>
      <w:r w:rsidR="00C41140">
        <w:rPr>
          <w:rStyle w:val="Emphasis"/>
          <w:i w:val="0"/>
          <w:iCs w:val="0"/>
        </w:rPr>
        <w:t>ance</w:t>
      </w:r>
      <w:r w:rsidR="00B860DF" w:rsidRPr="00957B6C">
        <w:rPr>
          <w:rStyle w:val="Emphasis"/>
          <w:i w:val="0"/>
          <w:iCs w:val="0"/>
        </w:rPr>
        <w:t xml:space="preserve"> and interoperability</w:t>
      </w:r>
      <w:r w:rsidRPr="00957B6C">
        <w:t xml:space="preserve">, </w:t>
      </w:r>
      <w:r w:rsidR="00C41140">
        <w:t>b</w:t>
      </w:r>
      <w:r w:rsidRPr="00957B6C">
        <w:t xml:space="preserve">ig </w:t>
      </w:r>
      <w:r w:rsidR="00C41140">
        <w:t>d</w:t>
      </w:r>
      <w:r w:rsidRPr="00957B6C">
        <w:t xml:space="preserve">ata and cloud computing, </w:t>
      </w:r>
      <w:proofErr w:type="spellStart"/>
      <w:r w:rsidRPr="00957B6C">
        <w:t>IoT</w:t>
      </w:r>
      <w:proofErr w:type="spellEnd"/>
      <w:r w:rsidRPr="00957B6C">
        <w:t xml:space="preserve"> and future n</w:t>
      </w:r>
      <w:r w:rsidR="00F54BA7" w:rsidRPr="00957B6C">
        <w:t>etworks, spectrum management</w:t>
      </w:r>
      <w:r w:rsidR="00B860DF" w:rsidRPr="00957B6C">
        <w:t>,</w:t>
      </w:r>
      <w:r w:rsidR="00F54BA7" w:rsidRPr="00957B6C">
        <w:t xml:space="preserve"> and</w:t>
      </w:r>
      <w:r w:rsidRPr="00957B6C">
        <w:t xml:space="preserve"> IMT-2020/5G. </w:t>
      </w:r>
      <w:r w:rsidR="00AD4EF3">
        <w:t xml:space="preserve">Other </w:t>
      </w:r>
      <w:r w:rsidR="00C41140">
        <w:t>activities</w:t>
      </w:r>
      <w:r w:rsidR="00AD4EF3">
        <w:t xml:space="preserve"> include online training courses on e-health for students, doctors and IT professionals</w:t>
      </w:r>
      <w:r w:rsidR="0048666F">
        <w:t>,</w:t>
      </w:r>
      <w:r w:rsidR="00AD4EF3">
        <w:t xml:space="preserve"> </w:t>
      </w:r>
      <w:r w:rsidR="00C41140">
        <w:t>i</w:t>
      </w:r>
      <w:r w:rsidR="00AD4EF3">
        <w:t xml:space="preserve">mplementing ITU-T </w:t>
      </w:r>
      <w:r w:rsidR="00C41140">
        <w:t>i</w:t>
      </w:r>
      <w:r w:rsidR="00AD4EF3">
        <w:t xml:space="preserve">nternational </w:t>
      </w:r>
      <w:r w:rsidR="00C41140">
        <w:t>s</w:t>
      </w:r>
      <w:r w:rsidR="00AD4EF3">
        <w:t xml:space="preserve">tandards to </w:t>
      </w:r>
      <w:r w:rsidR="00C41140">
        <w:t>s</w:t>
      </w:r>
      <w:r w:rsidR="00AD4EF3">
        <w:t xml:space="preserve">hape </w:t>
      </w:r>
      <w:r w:rsidR="00C41140">
        <w:t>s</w:t>
      </w:r>
      <w:r w:rsidR="00AD4EF3">
        <w:t xml:space="preserve">mart </w:t>
      </w:r>
      <w:r w:rsidR="00C41140">
        <w:t>s</w:t>
      </w:r>
      <w:r w:rsidR="00AD4EF3">
        <w:t xml:space="preserve">ustainable </w:t>
      </w:r>
      <w:r w:rsidR="00C41140">
        <w:t>c</w:t>
      </w:r>
      <w:r w:rsidR="00AD4EF3">
        <w:t>ities</w:t>
      </w:r>
      <w:r w:rsidR="00C41140">
        <w:t>, country a</w:t>
      </w:r>
      <w:r w:rsidR="00AD4EF3">
        <w:t xml:space="preserve">ssistance </w:t>
      </w:r>
      <w:r w:rsidR="00C41140">
        <w:t>o</w:t>
      </w:r>
      <w:r w:rsidR="00AD4EF3">
        <w:t xml:space="preserve">n redistributing digital dividend frequencies for new technologies including </w:t>
      </w:r>
      <w:proofErr w:type="spellStart"/>
      <w:r w:rsidR="00AD4EF3">
        <w:t>IoT</w:t>
      </w:r>
      <w:proofErr w:type="spellEnd"/>
      <w:r w:rsidR="00C41140">
        <w:t>,</w:t>
      </w:r>
      <w:r w:rsidR="00AD25E0">
        <w:t xml:space="preserve"> as well as</w:t>
      </w:r>
      <w:r w:rsidR="00C41140">
        <w:t xml:space="preserve"> </w:t>
      </w:r>
      <w:r w:rsidR="00AD25E0">
        <w:t>a</w:t>
      </w:r>
      <w:r w:rsidR="00AD4EF3">
        <w:t>ssessment of readiness to implement a national CIRT.</w:t>
      </w:r>
    </w:p>
    <w:p w:rsidR="0052435B" w:rsidRPr="00957B6C" w:rsidRDefault="0052435B">
      <w:pPr>
        <w:spacing w:after="120"/>
      </w:pPr>
      <w:r w:rsidRPr="00957B6C">
        <w:t>In</w:t>
      </w:r>
      <w:r w:rsidR="00B860DF" w:rsidRPr="00957B6C">
        <w:t xml:space="preserve"> the</w:t>
      </w:r>
      <w:r w:rsidRPr="00957B6C">
        <w:t xml:space="preserve"> </w:t>
      </w:r>
      <w:r w:rsidRPr="007B36B3">
        <w:rPr>
          <w:b/>
          <w:bCs/>
          <w:u w:val="single"/>
        </w:rPr>
        <w:t>Europe</w:t>
      </w:r>
      <w:r w:rsidR="00B860DF" w:rsidRPr="007B36B3">
        <w:rPr>
          <w:b/>
          <w:bCs/>
          <w:u w:val="single"/>
        </w:rPr>
        <w:t xml:space="preserve"> region</w:t>
      </w:r>
      <w:r w:rsidRPr="00957B6C">
        <w:t>, BDT implemented activities under two technical cooperation project</w:t>
      </w:r>
      <w:r w:rsidR="00B860DF" w:rsidRPr="00957B6C">
        <w:t>s</w:t>
      </w:r>
      <w:r w:rsidRPr="00957B6C">
        <w:t xml:space="preserve"> for a total amount of </w:t>
      </w:r>
      <w:r w:rsidR="00B765A9" w:rsidRPr="00957B6C">
        <w:t xml:space="preserve">USD </w:t>
      </w:r>
      <w:r w:rsidRPr="00957B6C">
        <w:t>493</w:t>
      </w:r>
      <w:r w:rsidR="00B765A9" w:rsidRPr="00957B6C">
        <w:t xml:space="preserve"> </w:t>
      </w:r>
      <w:r w:rsidR="00B860DF" w:rsidRPr="00957B6C">
        <w:t>000</w:t>
      </w:r>
      <w:r w:rsidR="00B765A9" w:rsidRPr="00957B6C">
        <w:t xml:space="preserve"> </w:t>
      </w:r>
      <w:r w:rsidRPr="00957B6C">
        <w:t xml:space="preserve">in collaboration with Member States. In addition, </w:t>
      </w:r>
      <w:r w:rsidR="003B23C7">
        <w:t xml:space="preserve">26 </w:t>
      </w:r>
      <w:r w:rsidRPr="00957B6C">
        <w:t xml:space="preserve">activities were implemented for an amount of </w:t>
      </w:r>
      <w:r w:rsidR="00B765A9" w:rsidRPr="00957B6C">
        <w:t xml:space="preserve">CHF </w:t>
      </w:r>
      <w:r w:rsidRPr="00957B6C">
        <w:t>257</w:t>
      </w:r>
      <w:r w:rsidR="00B765A9" w:rsidRPr="00957B6C">
        <w:t xml:space="preserve"> </w:t>
      </w:r>
      <w:r w:rsidR="00B860DF" w:rsidRPr="00957B6C">
        <w:t>000</w:t>
      </w:r>
      <w:r w:rsidRPr="00957B6C">
        <w:t>.</w:t>
      </w:r>
    </w:p>
    <w:p w:rsidR="00B31F6A" w:rsidRPr="00957B6C" w:rsidRDefault="0052435B" w:rsidP="008A0D8D">
      <w:pPr>
        <w:spacing w:after="120"/>
      </w:pPr>
      <w:r w:rsidRPr="00957B6C">
        <w:t>Efforts to strengthen the implementation mechanism for the region were continued, including</w:t>
      </w:r>
      <w:r w:rsidR="00070DBE">
        <w:t xml:space="preserve"> </w:t>
      </w:r>
      <w:r w:rsidRPr="00957B6C">
        <w:t>coordinatin</w:t>
      </w:r>
      <w:r w:rsidR="003B23C7">
        <w:t>g</w:t>
      </w:r>
      <w:r w:rsidRPr="00957B6C">
        <w:t xml:space="preserve"> actions with relevant organizations and UN</w:t>
      </w:r>
      <w:r w:rsidR="00B860DF" w:rsidRPr="00957B6C">
        <w:t xml:space="preserve"> bodies in the region</w:t>
      </w:r>
      <w:r w:rsidRPr="00957B6C">
        <w:t xml:space="preserve">. </w:t>
      </w:r>
      <w:r w:rsidR="00836DA0">
        <w:t>M</w:t>
      </w:r>
      <w:r w:rsidRPr="00957B6C">
        <w:t>ore than 32</w:t>
      </w:r>
      <w:r w:rsidR="00AD25E0">
        <w:t xml:space="preserve"> </w:t>
      </w:r>
      <w:r w:rsidRPr="00957B6C">
        <w:t xml:space="preserve">workshops, seminars, </w:t>
      </w:r>
      <w:r w:rsidR="003B23C7">
        <w:t xml:space="preserve">and </w:t>
      </w:r>
      <w:r w:rsidRPr="00957B6C">
        <w:t>expert group meetings on broadcasting, broadband, accessibility, cybersecurity, innovation, human capacity building were organized</w:t>
      </w:r>
      <w:r w:rsidR="00836DA0">
        <w:t xml:space="preserve"> in 2018</w:t>
      </w:r>
      <w:r w:rsidRPr="00957B6C">
        <w:t>. In addition, human capacity of more than 660</w:t>
      </w:r>
      <w:r w:rsidR="00AD25E0">
        <w:t xml:space="preserve"> </w:t>
      </w:r>
      <w:r w:rsidRPr="00957B6C">
        <w:t xml:space="preserve">professionals was built through the Europe region network of centres of excellence that offered more than 17 training opportunities in 2018. Direct assistance was provided to several countries in the fields of innovation, broadcasting, broadband, cybersecurity, and ICT applications. </w:t>
      </w:r>
      <w:r w:rsidR="00836DA0" w:rsidRPr="00836DA0">
        <w:t xml:space="preserve">More than 10 publications and reports </w:t>
      </w:r>
      <w:r w:rsidR="00AD25E0">
        <w:t xml:space="preserve">were written </w:t>
      </w:r>
      <w:r w:rsidR="00836DA0">
        <w:t>during the year.</w:t>
      </w:r>
    </w:p>
    <w:tbl>
      <w:tblPr>
        <w:tblStyle w:val="TableGrid"/>
        <w:tblW w:w="0" w:type="auto"/>
        <w:tblLook w:val="04A0" w:firstRow="1" w:lastRow="0" w:firstColumn="1" w:lastColumn="0" w:noHBand="0" w:noVBand="1"/>
      </w:tblPr>
      <w:tblGrid>
        <w:gridCol w:w="9629"/>
      </w:tblGrid>
      <w:tr w:rsidR="00237BB0" w:rsidRPr="00957B6C" w:rsidTr="4BA30F97">
        <w:tc>
          <w:tcPr>
            <w:tcW w:w="9629" w:type="dxa"/>
          </w:tcPr>
          <w:p w:rsidR="00237BB0" w:rsidRPr="00957B6C" w:rsidRDefault="003B23C7" w:rsidP="009B5B24">
            <w:pPr>
              <w:spacing w:after="120"/>
              <w:rPr>
                <w:rFonts w:cstheme="minorBidi"/>
                <w:color w:val="000000" w:themeColor="text1"/>
              </w:rPr>
            </w:pPr>
            <w:r w:rsidRPr="00957B6C">
              <w:t xml:space="preserve">TDAG </w:t>
            </w:r>
            <w:r w:rsidR="006A3788">
              <w:t xml:space="preserve">noted all activities with interest and appreciation, and </w:t>
            </w:r>
            <w:r w:rsidRPr="00957B6C">
              <w:t xml:space="preserve">welcomed </w:t>
            </w:r>
            <w:r w:rsidRPr="007B36B3">
              <w:rPr>
                <w:bCs/>
              </w:rPr>
              <w:t xml:space="preserve">this open dialogue and interaction with </w:t>
            </w:r>
            <w:r w:rsidR="006A3788">
              <w:rPr>
                <w:bCs/>
              </w:rPr>
              <w:t xml:space="preserve">the </w:t>
            </w:r>
            <w:r w:rsidRPr="007B36B3">
              <w:rPr>
                <w:bCs/>
              </w:rPr>
              <w:t>Regional Directors</w:t>
            </w:r>
            <w:r w:rsidRPr="00957B6C">
              <w:t xml:space="preserve"> as a source of first-hand information allowing TDAG to </w:t>
            </w:r>
            <w:r w:rsidR="006A3788">
              <w:t xml:space="preserve">become apprised of the tremendous amount of work on behalf of members, and to </w:t>
            </w:r>
            <w:r w:rsidRPr="00957B6C">
              <w:t xml:space="preserve">provide guidance and advice where needed. With so many activities implemented, TDAG </w:t>
            </w:r>
            <w:r w:rsidR="006A3788">
              <w:t xml:space="preserve">asked </w:t>
            </w:r>
            <w:r w:rsidRPr="00957B6C">
              <w:t xml:space="preserve">how the impact </w:t>
            </w:r>
            <w:r w:rsidR="006A3788">
              <w:t xml:space="preserve">of the activities </w:t>
            </w:r>
            <w:r w:rsidRPr="00957B6C">
              <w:t xml:space="preserve">could be best measured, suggesting that all success stories be widely shared, and any challenges faced in implementing planned activities be </w:t>
            </w:r>
            <w:r>
              <w:t>documented as lessons learned</w:t>
            </w:r>
            <w:r w:rsidRPr="00957B6C">
              <w:t>.</w:t>
            </w:r>
          </w:p>
        </w:tc>
      </w:tr>
    </w:tbl>
    <w:p w:rsidR="00741433" w:rsidRDefault="00256D72" w:rsidP="00EA4144">
      <w:pPr>
        <w:spacing w:after="120"/>
        <w:ind w:left="391" w:hanging="391"/>
        <w:rPr>
          <w:rStyle w:val="StyleComplex12pt"/>
          <w:rFonts w:cstheme="minorHAnsi"/>
          <w:b/>
          <w:bCs/>
        </w:rPr>
      </w:pPr>
      <w:r>
        <w:rPr>
          <w:rStyle w:val="StyleComplex12pt"/>
          <w:rFonts w:cstheme="minorHAnsi"/>
          <w:b/>
          <w:bCs/>
        </w:rPr>
        <w:lastRenderedPageBreak/>
        <w:t>7</w:t>
      </w:r>
      <w:r w:rsidR="00374CD6">
        <w:rPr>
          <w:rStyle w:val="StyleComplex12pt"/>
          <w:rFonts w:cstheme="minorHAnsi"/>
          <w:b/>
          <w:bCs/>
        </w:rPr>
        <w:t>.2</w:t>
      </w:r>
      <w:r w:rsidR="00EA4144">
        <w:rPr>
          <w:rStyle w:val="StyleComplex12pt"/>
          <w:rFonts w:cstheme="minorHAnsi"/>
          <w:b/>
          <w:bCs/>
        </w:rPr>
        <w:tab/>
      </w:r>
      <w:r w:rsidR="002121C9">
        <w:rPr>
          <w:rStyle w:val="StyleComplex12pt"/>
          <w:rFonts w:cstheme="minorHAnsi"/>
          <w:b/>
          <w:bCs/>
        </w:rPr>
        <w:t xml:space="preserve">2019 </w:t>
      </w:r>
      <w:r w:rsidR="00741433" w:rsidRPr="00957B6C">
        <w:rPr>
          <w:rStyle w:val="StyleComplex12pt"/>
          <w:rFonts w:cstheme="minorHAnsi"/>
          <w:b/>
          <w:bCs/>
        </w:rPr>
        <w:t xml:space="preserve">Regional Development Forums </w:t>
      </w:r>
    </w:p>
    <w:p w:rsidR="00741433" w:rsidRPr="00957B6C" w:rsidRDefault="003B23C7" w:rsidP="00741433">
      <w:pPr>
        <w:keepNext/>
        <w:spacing w:after="120"/>
        <w:rPr>
          <w:szCs w:val="24"/>
        </w:rPr>
      </w:pPr>
      <w:r>
        <w:rPr>
          <w:szCs w:val="24"/>
        </w:rPr>
        <w:t>T</w:t>
      </w:r>
      <w:r w:rsidR="00741433" w:rsidRPr="00957B6C">
        <w:rPr>
          <w:szCs w:val="24"/>
        </w:rPr>
        <w:t xml:space="preserve">he status of preparations for regional development forums </w:t>
      </w:r>
      <w:r w:rsidR="00741433">
        <w:rPr>
          <w:szCs w:val="24"/>
        </w:rPr>
        <w:t xml:space="preserve">(RDFs) </w:t>
      </w:r>
      <w:r w:rsidR="00741433" w:rsidRPr="00957B6C">
        <w:rPr>
          <w:szCs w:val="24"/>
        </w:rPr>
        <w:t>to be held in 2019</w:t>
      </w:r>
      <w:r w:rsidR="00741433">
        <w:rPr>
          <w:szCs w:val="24"/>
        </w:rPr>
        <w:t xml:space="preserve"> </w:t>
      </w:r>
      <w:r>
        <w:rPr>
          <w:szCs w:val="24"/>
        </w:rPr>
        <w:t xml:space="preserve">can be found in </w:t>
      </w:r>
      <w:hyperlink r:id="rId48">
        <w:r w:rsidR="00741433" w:rsidRPr="00957B6C">
          <w:rPr>
            <w:rStyle w:val="Hyperlink"/>
            <w:rFonts w:cstheme="minorBidi"/>
            <w:b/>
            <w:bCs/>
          </w:rPr>
          <w:t>Document 14</w:t>
        </w:r>
      </w:hyperlink>
      <w:r w:rsidR="00741433" w:rsidRPr="00957B6C">
        <w:rPr>
          <w:szCs w:val="24"/>
        </w:rPr>
        <w:t>.</w:t>
      </w:r>
      <w:r w:rsidR="00070DBE">
        <w:rPr>
          <w:szCs w:val="24"/>
        </w:rPr>
        <w:t xml:space="preserve"> </w:t>
      </w:r>
      <w:r w:rsidR="00741433" w:rsidRPr="00957B6C">
        <w:t xml:space="preserve">TDAG was invited to provide </w:t>
      </w:r>
      <w:r w:rsidR="00741433">
        <w:t xml:space="preserve">appropriate </w:t>
      </w:r>
      <w:r w:rsidR="00741433" w:rsidRPr="00957B6C">
        <w:t xml:space="preserve">guidance to ensure that </w:t>
      </w:r>
      <w:r w:rsidR="00741433">
        <w:t>the</w:t>
      </w:r>
      <w:r w:rsidR="00741433" w:rsidRPr="00957B6C">
        <w:t xml:space="preserve"> forums provide </w:t>
      </w:r>
      <w:r w:rsidR="00741433">
        <w:t xml:space="preserve">the </w:t>
      </w:r>
      <w:r w:rsidR="00741433" w:rsidRPr="00957B6C">
        <w:t>best possible value to the Development Sector, while contributing to the implementation of the WSIS action lines and achievement of SDGs.</w:t>
      </w:r>
    </w:p>
    <w:p w:rsidR="00741433" w:rsidRPr="00957B6C" w:rsidRDefault="00741433" w:rsidP="00741433">
      <w:pPr>
        <w:tabs>
          <w:tab w:val="left" w:pos="567"/>
        </w:tabs>
        <w:spacing w:after="120"/>
        <w:rPr>
          <w:szCs w:val="24"/>
        </w:rPr>
      </w:pPr>
      <w:r w:rsidRPr="00957B6C">
        <w:rPr>
          <w:szCs w:val="24"/>
        </w:rPr>
        <w:t xml:space="preserve">PP-18 </w:t>
      </w:r>
      <w:r>
        <w:rPr>
          <w:szCs w:val="24"/>
        </w:rPr>
        <w:t xml:space="preserve">reviewed </w:t>
      </w:r>
      <w:r w:rsidRPr="00957B6C">
        <w:rPr>
          <w:szCs w:val="24"/>
        </w:rPr>
        <w:t xml:space="preserve">the role of regional offices, </w:t>
      </w:r>
      <w:r>
        <w:rPr>
          <w:szCs w:val="24"/>
        </w:rPr>
        <w:t xml:space="preserve">requesting </w:t>
      </w:r>
      <w:r w:rsidR="003B23C7">
        <w:rPr>
          <w:szCs w:val="24"/>
        </w:rPr>
        <w:t xml:space="preserve">that </w:t>
      </w:r>
      <w:r w:rsidRPr="00957B6C">
        <w:rPr>
          <w:szCs w:val="24"/>
        </w:rPr>
        <w:t xml:space="preserve">ITU ensure that all planned activities of the three Sectors and the General Secretariat in the regions are consolidated into the parts of the operational plans relating to regions and implemented </w:t>
      </w:r>
      <w:r>
        <w:rPr>
          <w:szCs w:val="24"/>
        </w:rPr>
        <w:t>in</w:t>
      </w:r>
      <w:r w:rsidRPr="00957B6C">
        <w:rPr>
          <w:szCs w:val="24"/>
        </w:rPr>
        <w:t xml:space="preserve"> coordination </w:t>
      </w:r>
      <w:r>
        <w:rPr>
          <w:szCs w:val="24"/>
        </w:rPr>
        <w:t>with</w:t>
      </w:r>
      <w:r w:rsidRPr="00957B6C">
        <w:rPr>
          <w:szCs w:val="24"/>
        </w:rPr>
        <w:t xml:space="preserve"> the regional offices. </w:t>
      </w:r>
    </w:p>
    <w:p w:rsidR="00741433" w:rsidRPr="00957B6C" w:rsidRDefault="00741433" w:rsidP="00741433">
      <w:pPr>
        <w:keepNext/>
        <w:spacing w:after="120"/>
        <w:rPr>
          <w:szCs w:val="24"/>
        </w:rPr>
      </w:pPr>
      <w:r w:rsidRPr="00957B6C">
        <w:rPr>
          <w:szCs w:val="24"/>
        </w:rPr>
        <w:t xml:space="preserve">WTDC-17 resolved to reinforce the platforms for regional coordination, including regional development forums, with the aim of strengthening the regional presence as an extension of ITU as whole, and ensuring that the activities of the </w:t>
      </w:r>
      <w:proofErr w:type="spellStart"/>
      <w:r w:rsidRPr="00957B6C">
        <w:rPr>
          <w:szCs w:val="24"/>
        </w:rPr>
        <w:t>Radi</w:t>
      </w:r>
      <w:r>
        <w:rPr>
          <w:szCs w:val="24"/>
        </w:rPr>
        <w:t>o</w:t>
      </w:r>
      <w:r w:rsidRPr="00957B6C">
        <w:rPr>
          <w:szCs w:val="24"/>
        </w:rPr>
        <w:t>communication</w:t>
      </w:r>
      <w:proofErr w:type="spellEnd"/>
      <w:r w:rsidRPr="00957B6C">
        <w:rPr>
          <w:szCs w:val="24"/>
        </w:rPr>
        <w:t xml:space="preserve"> Bureau (BR) and the Telecommunication Standardization Sector (TSB) are effectively incorporated in the actions of regional offices. A series of regional development forums have been scheduled in 2019 with this in mind.</w:t>
      </w:r>
    </w:p>
    <w:p w:rsidR="00741433" w:rsidRPr="00957B6C" w:rsidRDefault="00741433">
      <w:pPr>
        <w:tabs>
          <w:tab w:val="clear" w:pos="1134"/>
          <w:tab w:val="clear" w:pos="1871"/>
          <w:tab w:val="clear" w:pos="2268"/>
        </w:tabs>
        <w:overflowPunct/>
        <w:autoSpaceDE/>
        <w:autoSpaceDN/>
        <w:adjustRightInd/>
        <w:spacing w:after="120"/>
        <w:textAlignment w:val="auto"/>
      </w:pPr>
      <w:r w:rsidRPr="00957B6C">
        <w:t xml:space="preserve">Building upon PP-18 and WTDC-17 outcomes, </w:t>
      </w:r>
      <w:r>
        <w:t>RDF</w:t>
      </w:r>
      <w:r w:rsidRPr="00957B6C">
        <w:rPr>
          <w:rFonts w:cstheme="minorBidi"/>
          <w:color w:val="000000" w:themeColor="text1"/>
        </w:rPr>
        <w:t>s</w:t>
      </w:r>
      <w:r w:rsidRPr="00957B6C">
        <w:t xml:space="preserve"> should provide </w:t>
      </w:r>
      <w:r>
        <w:t>an</w:t>
      </w:r>
      <w:r w:rsidRPr="00957B6C">
        <w:t xml:space="preserve"> opportunity for dialogue between regional offices and decision-makers </w:t>
      </w:r>
      <w:r>
        <w:t>in</w:t>
      </w:r>
      <w:r w:rsidRPr="00957B6C">
        <w:t xml:space="preserve"> ITU Member States and Sector Members on the activities carried out at the regional level, so that they can play a part in implementin</w:t>
      </w:r>
      <w:r>
        <w:t>g</w:t>
      </w:r>
      <w:r w:rsidRPr="00957B6C">
        <w:t xml:space="preserve"> the ITU strategic plan </w:t>
      </w:r>
      <w:r>
        <w:t>and</w:t>
      </w:r>
      <w:r w:rsidR="00070DBE">
        <w:t xml:space="preserve"> </w:t>
      </w:r>
      <w:r w:rsidRPr="00957B6C">
        <w:t>the programmes, projects and regional initiatives set out in Resolution 17 (Rev. Buenos Aires, 2017) of WTDC.</w:t>
      </w:r>
      <w:r w:rsidR="003B23C7">
        <w:t xml:space="preserve"> </w:t>
      </w:r>
      <w:r w:rsidRPr="00957B6C">
        <w:t xml:space="preserve">The format and function of </w:t>
      </w:r>
      <w:r>
        <w:t>RDF</w:t>
      </w:r>
      <w:r w:rsidRPr="00957B6C">
        <w:rPr>
          <w:szCs w:val="24"/>
        </w:rPr>
        <w:t>s</w:t>
      </w:r>
      <w:r w:rsidRPr="00957B6C">
        <w:t xml:space="preserve"> have evolved based on the membership guidance in Resolution 25 (Rev. Dubai, 2018). </w:t>
      </w:r>
    </w:p>
    <w:tbl>
      <w:tblPr>
        <w:tblStyle w:val="TableGrid"/>
        <w:tblW w:w="0" w:type="auto"/>
        <w:tblLook w:val="04A0" w:firstRow="1" w:lastRow="0" w:firstColumn="1" w:lastColumn="0" w:noHBand="0" w:noVBand="1"/>
      </w:tblPr>
      <w:tblGrid>
        <w:gridCol w:w="9629"/>
      </w:tblGrid>
      <w:tr w:rsidR="00741433" w:rsidRPr="00957B6C" w:rsidTr="001B43E9">
        <w:tc>
          <w:tcPr>
            <w:tcW w:w="9629" w:type="dxa"/>
          </w:tcPr>
          <w:p w:rsidR="00741433" w:rsidRPr="00957B6C" w:rsidRDefault="00741433" w:rsidP="001B43E9">
            <w:pPr>
              <w:spacing w:after="120"/>
              <w:rPr>
                <w:rFonts w:cstheme="minorBidi"/>
                <w:color w:val="000000" w:themeColor="text1"/>
              </w:rPr>
            </w:pPr>
            <w:r w:rsidRPr="00957B6C">
              <w:rPr>
                <w:rFonts w:eastAsia="Calibri"/>
              </w:rPr>
              <w:t xml:space="preserve">TDAG noted the </w:t>
            </w:r>
            <w:r w:rsidR="001B43E9">
              <w:rPr>
                <w:rFonts w:eastAsia="Calibri"/>
              </w:rPr>
              <w:t xml:space="preserve">contents of the </w:t>
            </w:r>
            <w:r w:rsidRPr="00957B6C">
              <w:rPr>
                <w:rFonts w:eastAsia="Calibri"/>
              </w:rPr>
              <w:t>document</w:t>
            </w:r>
            <w:r w:rsidR="001B43E9">
              <w:rPr>
                <w:rFonts w:eastAsia="Calibri"/>
              </w:rPr>
              <w:t xml:space="preserve"> with appreciation, and, as mentioned, in discussing the report on WSIS activities,</w:t>
            </w:r>
            <w:r w:rsidR="00070DBE">
              <w:rPr>
                <w:rFonts w:eastAsia="Calibri"/>
              </w:rPr>
              <w:t xml:space="preserve"> </w:t>
            </w:r>
            <w:r w:rsidR="001B43E9" w:rsidRPr="007B36B3">
              <w:rPr>
                <w:rFonts w:eastAsia="Calibri" w:cs="Calibri"/>
              </w:rPr>
              <w:t xml:space="preserve">agreed that </w:t>
            </w:r>
            <w:r w:rsidR="00B7347D">
              <w:rPr>
                <w:rFonts w:eastAsia="Calibri" w:cs="Calibri"/>
              </w:rPr>
              <w:t xml:space="preserve">going forward </w:t>
            </w:r>
            <w:r w:rsidR="001B43E9" w:rsidRPr="007B36B3">
              <w:rPr>
                <w:rFonts w:eastAsia="Calibri" w:cs="Calibri"/>
              </w:rPr>
              <w:t xml:space="preserve">a segment on WSIS and SDGs should be included as a regular agenda item </w:t>
            </w:r>
            <w:r w:rsidR="006A3788">
              <w:rPr>
                <w:rFonts w:eastAsia="Calibri" w:cs="Calibri"/>
              </w:rPr>
              <w:t>at</w:t>
            </w:r>
            <w:r w:rsidR="001B43E9" w:rsidRPr="007B36B3">
              <w:rPr>
                <w:rFonts w:eastAsia="Calibri" w:cs="Calibri"/>
              </w:rPr>
              <w:t xml:space="preserve"> </w:t>
            </w:r>
            <w:r w:rsidR="00B7347D">
              <w:rPr>
                <w:rFonts w:eastAsia="Calibri" w:cs="Calibri"/>
              </w:rPr>
              <w:t xml:space="preserve">the </w:t>
            </w:r>
            <w:r w:rsidR="001B43E9" w:rsidRPr="007B36B3">
              <w:rPr>
                <w:rFonts w:eastAsia="Calibri" w:cs="Calibri"/>
              </w:rPr>
              <w:t>regional development forums</w:t>
            </w:r>
            <w:r w:rsidR="001B43E9" w:rsidRPr="00BF5B1F">
              <w:rPr>
                <w:rFonts w:eastAsia="Calibri" w:cs="Calibri"/>
              </w:rPr>
              <w:t>.</w:t>
            </w:r>
          </w:p>
        </w:tc>
      </w:tr>
    </w:tbl>
    <w:p w:rsidR="00374CD6" w:rsidRDefault="00256D72" w:rsidP="00EA4144">
      <w:pPr>
        <w:spacing w:after="120"/>
        <w:ind w:left="391" w:hanging="391"/>
        <w:rPr>
          <w:b/>
          <w:bCs/>
          <w:lang w:val="en-US"/>
        </w:rPr>
      </w:pPr>
      <w:r>
        <w:rPr>
          <w:b/>
          <w:bCs/>
          <w:lang w:val="en-US"/>
        </w:rPr>
        <w:t>7</w:t>
      </w:r>
      <w:r w:rsidR="00374CD6">
        <w:rPr>
          <w:b/>
          <w:bCs/>
          <w:lang w:val="en-US"/>
        </w:rPr>
        <w:t>.3</w:t>
      </w:r>
      <w:r w:rsidR="00EA4144">
        <w:rPr>
          <w:b/>
          <w:bCs/>
          <w:lang w:val="en-US"/>
        </w:rPr>
        <w:tab/>
      </w:r>
      <w:r w:rsidR="00374CD6">
        <w:rPr>
          <w:b/>
          <w:bCs/>
          <w:lang w:val="en-US"/>
        </w:rPr>
        <w:t>Financing Regional Initiatives</w:t>
      </w:r>
    </w:p>
    <w:p w:rsidR="00741433" w:rsidRPr="00F75A52" w:rsidRDefault="002121C9">
      <w:pPr>
        <w:rPr>
          <w:rStyle w:val="tlid-translation"/>
          <w:rFonts w:cstheme="minorHAnsi"/>
          <w:szCs w:val="24"/>
        </w:rPr>
      </w:pPr>
      <w:r w:rsidRPr="007B36B3">
        <w:rPr>
          <w:bCs/>
          <w:lang w:val="en-US"/>
        </w:rPr>
        <w:t>The</w:t>
      </w:r>
      <w:r>
        <w:rPr>
          <w:b/>
          <w:bCs/>
          <w:lang w:val="en-US"/>
        </w:rPr>
        <w:t xml:space="preserve"> </w:t>
      </w:r>
      <w:r w:rsidR="00667E60" w:rsidRPr="003B2E95">
        <w:rPr>
          <w:b/>
          <w:bCs/>
          <w:lang w:val="en-US"/>
        </w:rPr>
        <w:t xml:space="preserve">Regional Commonwealth in the Field of Communications (RCC) </w:t>
      </w:r>
      <w:r>
        <w:rPr>
          <w:bCs/>
          <w:lang w:val="en-US"/>
        </w:rPr>
        <w:t xml:space="preserve">submitted </w:t>
      </w:r>
      <w:hyperlink r:id="rId49">
        <w:r w:rsidR="00741433" w:rsidRPr="00F75A52">
          <w:rPr>
            <w:rStyle w:val="Hyperlink"/>
            <w:rFonts w:cstheme="minorHAnsi"/>
            <w:b/>
            <w:bCs/>
            <w:szCs w:val="24"/>
          </w:rPr>
          <w:t>Document 37</w:t>
        </w:r>
      </w:hyperlink>
      <w:r w:rsidR="00741433" w:rsidRPr="00F75A52">
        <w:rPr>
          <w:rFonts w:cstheme="minorHAnsi"/>
          <w:b/>
          <w:bCs/>
          <w:color w:val="000000" w:themeColor="text1"/>
          <w:szCs w:val="24"/>
        </w:rPr>
        <w:t xml:space="preserve">: </w:t>
      </w:r>
      <w:r w:rsidR="00741433" w:rsidRPr="00F75A52">
        <w:rPr>
          <w:rFonts w:cstheme="minorHAnsi"/>
          <w:color w:val="000000" w:themeColor="text1"/>
          <w:szCs w:val="24"/>
        </w:rPr>
        <w:t>“</w:t>
      </w:r>
      <w:r w:rsidR="00741433" w:rsidRPr="00F75A52">
        <w:rPr>
          <w:rFonts w:cstheme="minorHAnsi"/>
          <w:bCs/>
          <w:szCs w:val="24"/>
        </w:rPr>
        <w:t>Proposals for Financing Regional Initiatives”</w:t>
      </w:r>
      <w:r w:rsidR="00741433" w:rsidRPr="00F75A52">
        <w:rPr>
          <w:rFonts w:cstheme="minorHAnsi"/>
          <w:szCs w:val="24"/>
        </w:rPr>
        <w:t xml:space="preserve"> </w:t>
      </w:r>
      <w:r>
        <w:rPr>
          <w:rFonts w:cstheme="minorHAnsi"/>
          <w:szCs w:val="24"/>
        </w:rPr>
        <w:t>which e</w:t>
      </w:r>
      <w:r w:rsidR="00741433">
        <w:rPr>
          <w:rStyle w:val="tlid-translation"/>
          <w:rFonts w:cstheme="minorHAnsi"/>
          <w:szCs w:val="24"/>
        </w:rPr>
        <w:t xml:space="preserve">xamines </w:t>
      </w:r>
      <w:r>
        <w:rPr>
          <w:rStyle w:val="tlid-translation"/>
          <w:rFonts w:cstheme="minorHAnsi"/>
          <w:szCs w:val="24"/>
        </w:rPr>
        <w:t xml:space="preserve">the </w:t>
      </w:r>
      <w:r w:rsidR="00741433">
        <w:rPr>
          <w:rStyle w:val="tlid-translation"/>
          <w:rFonts w:cstheme="minorHAnsi"/>
          <w:szCs w:val="24"/>
        </w:rPr>
        <w:t>practice by which ITU partners</w:t>
      </w:r>
      <w:r w:rsidR="00741433" w:rsidRPr="00F75A52">
        <w:rPr>
          <w:rStyle w:val="tlid-translation"/>
          <w:rFonts w:cstheme="minorHAnsi"/>
          <w:szCs w:val="24"/>
        </w:rPr>
        <w:t xml:space="preserve"> conclud</w:t>
      </w:r>
      <w:r w:rsidR="00741433">
        <w:rPr>
          <w:rStyle w:val="tlid-translation"/>
          <w:rFonts w:cstheme="minorHAnsi"/>
          <w:szCs w:val="24"/>
        </w:rPr>
        <w:t xml:space="preserve">e </w:t>
      </w:r>
      <w:r w:rsidR="00741433" w:rsidRPr="00F75A52">
        <w:rPr>
          <w:rStyle w:val="tlid-translation"/>
          <w:rFonts w:cstheme="minorHAnsi"/>
          <w:szCs w:val="24"/>
        </w:rPr>
        <w:t xml:space="preserve">agreements </w:t>
      </w:r>
      <w:r w:rsidR="00741433">
        <w:rPr>
          <w:rStyle w:val="tlid-translation"/>
          <w:rFonts w:cstheme="minorHAnsi"/>
          <w:szCs w:val="24"/>
        </w:rPr>
        <w:t>t</w:t>
      </w:r>
      <w:r w:rsidR="00741433" w:rsidRPr="00F75A52">
        <w:rPr>
          <w:rStyle w:val="tlid-translation"/>
          <w:rFonts w:cstheme="minorHAnsi"/>
          <w:szCs w:val="24"/>
        </w:rPr>
        <w:t>o</w:t>
      </w:r>
      <w:r w:rsidR="00741433">
        <w:rPr>
          <w:rStyle w:val="tlid-translation"/>
          <w:rFonts w:cstheme="minorHAnsi"/>
          <w:szCs w:val="24"/>
        </w:rPr>
        <w:t xml:space="preserve"> </w:t>
      </w:r>
      <w:r w:rsidR="00741433" w:rsidRPr="00F75A52">
        <w:rPr>
          <w:rStyle w:val="tlid-translation"/>
          <w:rFonts w:cstheme="minorHAnsi"/>
          <w:szCs w:val="24"/>
        </w:rPr>
        <w:t xml:space="preserve">implement projects within the framework of </w:t>
      </w:r>
      <w:r w:rsidR="00741433">
        <w:rPr>
          <w:rStyle w:val="tlid-translation"/>
          <w:rFonts w:cstheme="minorHAnsi"/>
          <w:szCs w:val="24"/>
        </w:rPr>
        <w:t xml:space="preserve">the </w:t>
      </w:r>
      <w:r w:rsidR="00741433" w:rsidRPr="00F75A52">
        <w:rPr>
          <w:rStyle w:val="tlid-translation"/>
          <w:rFonts w:cstheme="minorHAnsi"/>
          <w:szCs w:val="24"/>
        </w:rPr>
        <w:t>regional initiatives</w:t>
      </w:r>
      <w:r w:rsidR="00741433">
        <w:rPr>
          <w:rStyle w:val="tlid-translation"/>
          <w:rFonts w:cstheme="minorHAnsi"/>
          <w:szCs w:val="24"/>
        </w:rPr>
        <w:t xml:space="preserve"> that contain in-kind</w:t>
      </w:r>
      <w:r w:rsidR="00741433" w:rsidRPr="00F75A52">
        <w:rPr>
          <w:rStyle w:val="tlid-translation"/>
          <w:rFonts w:cstheme="minorHAnsi"/>
          <w:szCs w:val="24"/>
        </w:rPr>
        <w:t xml:space="preserve"> contributions</w:t>
      </w:r>
      <w:r w:rsidR="00741433">
        <w:rPr>
          <w:rStyle w:val="tlid-translation"/>
          <w:rFonts w:cstheme="minorHAnsi"/>
          <w:szCs w:val="24"/>
        </w:rPr>
        <w:t>.</w:t>
      </w:r>
      <w:r w:rsidR="00070DBE">
        <w:rPr>
          <w:rStyle w:val="tlid-translation"/>
          <w:rFonts w:cstheme="minorHAnsi"/>
          <w:szCs w:val="24"/>
        </w:rPr>
        <w:t xml:space="preserve"> </w:t>
      </w:r>
      <w:r w:rsidR="00741433" w:rsidRPr="00F75A52">
        <w:rPr>
          <w:rStyle w:val="tlid-translation"/>
          <w:rFonts w:cstheme="minorHAnsi"/>
          <w:szCs w:val="24"/>
        </w:rPr>
        <w:t>On</w:t>
      </w:r>
      <w:r w:rsidR="00741433">
        <w:rPr>
          <w:rStyle w:val="tlid-translation"/>
          <w:rFonts w:cstheme="minorHAnsi"/>
          <w:szCs w:val="24"/>
        </w:rPr>
        <w:t>e</w:t>
      </w:r>
      <w:r w:rsidR="00741433" w:rsidRPr="00F75A52">
        <w:rPr>
          <w:rStyle w:val="tlid-translation"/>
          <w:rFonts w:cstheme="minorHAnsi"/>
          <w:szCs w:val="24"/>
        </w:rPr>
        <w:t xml:space="preserve"> reason for this approach</w:t>
      </w:r>
      <w:r w:rsidR="00133AAD">
        <w:rPr>
          <w:rStyle w:val="tlid-translation"/>
          <w:rFonts w:cstheme="minorHAnsi"/>
          <w:szCs w:val="24"/>
        </w:rPr>
        <w:t>, they explain,</w:t>
      </w:r>
      <w:r w:rsidR="00741433" w:rsidRPr="00F75A52">
        <w:rPr>
          <w:rStyle w:val="tlid-translation"/>
          <w:rFonts w:cstheme="minorHAnsi"/>
          <w:szCs w:val="24"/>
        </w:rPr>
        <w:t xml:space="preserve"> </w:t>
      </w:r>
      <w:r w:rsidR="003B23C7">
        <w:rPr>
          <w:rStyle w:val="tlid-translation"/>
          <w:rFonts w:cstheme="minorHAnsi"/>
          <w:szCs w:val="24"/>
        </w:rPr>
        <w:t>i</w:t>
      </w:r>
      <w:r w:rsidR="00741433" w:rsidRPr="00F75A52">
        <w:rPr>
          <w:rStyle w:val="tlid-translation"/>
          <w:rFonts w:cstheme="minorHAnsi"/>
          <w:szCs w:val="24"/>
        </w:rPr>
        <w:t>s the difficult</w:t>
      </w:r>
      <w:r w:rsidR="00741433">
        <w:rPr>
          <w:rStyle w:val="tlid-translation"/>
          <w:rFonts w:cstheme="minorHAnsi"/>
          <w:szCs w:val="24"/>
        </w:rPr>
        <w:t>y</w:t>
      </w:r>
      <w:r w:rsidR="00741433" w:rsidRPr="00F75A52">
        <w:rPr>
          <w:rStyle w:val="tlid-translation"/>
          <w:rFonts w:cstheme="minorHAnsi"/>
          <w:szCs w:val="24"/>
        </w:rPr>
        <w:t xml:space="preserve"> a number of developing countries </w:t>
      </w:r>
      <w:r w:rsidR="00741433">
        <w:rPr>
          <w:rStyle w:val="tlid-translation"/>
          <w:rFonts w:cstheme="minorHAnsi"/>
          <w:szCs w:val="24"/>
        </w:rPr>
        <w:t xml:space="preserve">have </w:t>
      </w:r>
      <w:r w:rsidR="00741433" w:rsidRPr="00F75A52">
        <w:rPr>
          <w:rStyle w:val="tlid-translation"/>
          <w:rFonts w:cstheme="minorHAnsi"/>
          <w:szCs w:val="24"/>
        </w:rPr>
        <w:t xml:space="preserve">to allocate money </w:t>
      </w:r>
      <w:r w:rsidR="00133AAD">
        <w:rPr>
          <w:rStyle w:val="tlid-translation"/>
          <w:rFonts w:cstheme="minorHAnsi"/>
          <w:szCs w:val="24"/>
        </w:rPr>
        <w:t xml:space="preserve">for projects </w:t>
      </w:r>
      <w:r w:rsidR="00741433" w:rsidRPr="00F75A52">
        <w:rPr>
          <w:rStyle w:val="tlid-translation"/>
          <w:rFonts w:cstheme="minorHAnsi"/>
          <w:szCs w:val="24"/>
        </w:rPr>
        <w:t>from the</w:t>
      </w:r>
      <w:r>
        <w:rPr>
          <w:rStyle w:val="tlid-translation"/>
          <w:rFonts w:cstheme="minorHAnsi"/>
          <w:szCs w:val="24"/>
        </w:rPr>
        <w:t>ir</w:t>
      </w:r>
      <w:r w:rsidR="00741433" w:rsidRPr="00F75A52">
        <w:rPr>
          <w:rStyle w:val="tlid-translation"/>
          <w:rFonts w:cstheme="minorHAnsi"/>
          <w:szCs w:val="24"/>
        </w:rPr>
        <w:t xml:space="preserve"> national budget, </w:t>
      </w:r>
      <w:r w:rsidR="00133AAD">
        <w:rPr>
          <w:rStyle w:val="tlid-translation"/>
          <w:rFonts w:cstheme="minorHAnsi"/>
          <w:szCs w:val="24"/>
        </w:rPr>
        <w:t xml:space="preserve">which </w:t>
      </w:r>
      <w:r w:rsidR="00741433">
        <w:rPr>
          <w:rStyle w:val="tlid-translation"/>
          <w:rFonts w:cstheme="minorHAnsi"/>
          <w:szCs w:val="24"/>
        </w:rPr>
        <w:t xml:space="preserve">is often </w:t>
      </w:r>
      <w:r w:rsidR="00741433" w:rsidRPr="00F75A52">
        <w:rPr>
          <w:rStyle w:val="tlid-translation"/>
          <w:rFonts w:cstheme="minorHAnsi"/>
          <w:szCs w:val="24"/>
        </w:rPr>
        <w:t>approved long before the deadline for coordinating projects</w:t>
      </w:r>
      <w:r w:rsidR="00741433">
        <w:rPr>
          <w:rStyle w:val="tlid-translation"/>
          <w:rFonts w:cstheme="minorHAnsi"/>
          <w:szCs w:val="24"/>
        </w:rPr>
        <w:t xml:space="preserve"> t</w:t>
      </w:r>
      <w:r w:rsidR="00133AAD">
        <w:rPr>
          <w:rStyle w:val="tlid-translation"/>
          <w:rFonts w:cstheme="minorHAnsi"/>
          <w:szCs w:val="24"/>
        </w:rPr>
        <w:t xml:space="preserve">o </w:t>
      </w:r>
      <w:r w:rsidR="00741433" w:rsidRPr="00F75A52">
        <w:rPr>
          <w:rStyle w:val="tlid-translation"/>
          <w:rFonts w:cstheme="minorHAnsi"/>
          <w:szCs w:val="24"/>
        </w:rPr>
        <w:t xml:space="preserve">implement </w:t>
      </w:r>
      <w:r w:rsidR="00741433">
        <w:rPr>
          <w:rStyle w:val="tlid-translation"/>
          <w:rFonts w:cstheme="minorHAnsi"/>
          <w:szCs w:val="24"/>
        </w:rPr>
        <w:t xml:space="preserve">the </w:t>
      </w:r>
      <w:r w:rsidR="00741433" w:rsidRPr="00F75A52">
        <w:rPr>
          <w:rStyle w:val="tlid-translation"/>
          <w:rFonts w:cstheme="minorHAnsi"/>
          <w:szCs w:val="24"/>
        </w:rPr>
        <w:t xml:space="preserve">regional initiatives. </w:t>
      </w:r>
    </w:p>
    <w:p w:rsidR="00741433" w:rsidRPr="00F75A52" w:rsidRDefault="00741433" w:rsidP="00741433">
      <w:pPr>
        <w:pStyle w:val="ListParagraph"/>
        <w:spacing w:after="120"/>
        <w:ind w:left="0"/>
        <w:contextualSpacing w:val="0"/>
        <w:rPr>
          <w:rStyle w:val="tlid-translation"/>
          <w:rFonts w:cstheme="minorHAnsi"/>
          <w:szCs w:val="24"/>
        </w:rPr>
      </w:pPr>
      <w:r w:rsidRPr="00F75A52">
        <w:rPr>
          <w:rStyle w:val="tlid-translation"/>
          <w:rFonts w:cstheme="minorHAnsi"/>
          <w:szCs w:val="24"/>
        </w:rPr>
        <w:t xml:space="preserve">A proposal was put forward to preserve the practice of accepting the </w:t>
      </w:r>
      <w:r>
        <w:rPr>
          <w:rStyle w:val="tlid-translation"/>
          <w:rFonts w:cstheme="minorHAnsi"/>
          <w:szCs w:val="24"/>
        </w:rPr>
        <w:t xml:space="preserve">in-kind </w:t>
      </w:r>
      <w:r w:rsidRPr="00F75A52">
        <w:rPr>
          <w:rStyle w:val="tlid-translation"/>
          <w:rFonts w:cstheme="minorHAnsi"/>
          <w:szCs w:val="24"/>
        </w:rPr>
        <w:t>contribution</w:t>
      </w:r>
      <w:r>
        <w:rPr>
          <w:rStyle w:val="tlid-translation"/>
          <w:rFonts w:cstheme="minorHAnsi"/>
          <w:szCs w:val="24"/>
        </w:rPr>
        <w:t>s</w:t>
      </w:r>
      <w:r w:rsidRPr="00F75A52">
        <w:rPr>
          <w:rStyle w:val="tlid-translation"/>
          <w:rFonts w:cstheme="minorHAnsi"/>
          <w:szCs w:val="24"/>
        </w:rPr>
        <w:t xml:space="preserve"> of project pa</w:t>
      </w:r>
      <w:r>
        <w:rPr>
          <w:rStyle w:val="tlid-translation"/>
          <w:rFonts w:cstheme="minorHAnsi"/>
          <w:szCs w:val="24"/>
        </w:rPr>
        <w:t>rtners.</w:t>
      </w:r>
    </w:p>
    <w:p w:rsidR="00741433" w:rsidRPr="007B36B3" w:rsidRDefault="00741433" w:rsidP="007B36B3">
      <w:pPr>
        <w:pStyle w:val="ListParagraph"/>
        <w:spacing w:after="120"/>
        <w:ind w:left="0"/>
        <w:contextualSpacing w:val="0"/>
        <w:rPr>
          <w:rFonts w:eastAsia="Calibri" w:cs="Calibri"/>
          <w:szCs w:val="24"/>
        </w:rPr>
      </w:pPr>
      <w:r w:rsidRPr="00F75A52">
        <w:rPr>
          <w:rFonts w:eastAsia="Calibri" w:cs="Calibri"/>
          <w:szCs w:val="24"/>
        </w:rPr>
        <w:t>BDT clarified that in-kind contributions c</w:t>
      </w:r>
      <w:r>
        <w:rPr>
          <w:rFonts w:eastAsia="Calibri" w:cs="Calibri"/>
          <w:szCs w:val="24"/>
        </w:rPr>
        <w:t>an</w:t>
      </w:r>
      <w:r w:rsidRPr="00F75A52">
        <w:rPr>
          <w:rFonts w:eastAsia="Calibri" w:cs="Calibri"/>
          <w:szCs w:val="24"/>
        </w:rPr>
        <w:t xml:space="preserve"> only be accepted </w:t>
      </w:r>
      <w:r>
        <w:rPr>
          <w:rFonts w:eastAsia="Calibri" w:cs="Calibri"/>
          <w:szCs w:val="24"/>
        </w:rPr>
        <w:t>to</w:t>
      </w:r>
      <w:r w:rsidRPr="00F75A52">
        <w:rPr>
          <w:rFonts w:eastAsia="Calibri" w:cs="Calibri"/>
          <w:szCs w:val="24"/>
        </w:rPr>
        <w:t xml:space="preserve"> financ</w:t>
      </w:r>
      <w:r>
        <w:rPr>
          <w:rFonts w:eastAsia="Calibri" w:cs="Calibri"/>
          <w:szCs w:val="24"/>
        </w:rPr>
        <w:t>e</w:t>
      </w:r>
      <w:r w:rsidRPr="00F75A52">
        <w:rPr>
          <w:rFonts w:eastAsia="Calibri" w:cs="Calibri"/>
          <w:szCs w:val="24"/>
        </w:rPr>
        <w:t xml:space="preserve"> regional initiatives if they can be quantified using a sound methodology and </w:t>
      </w:r>
      <w:r>
        <w:rPr>
          <w:rFonts w:eastAsia="Calibri" w:cs="Calibri"/>
          <w:szCs w:val="24"/>
        </w:rPr>
        <w:t xml:space="preserve">have </w:t>
      </w:r>
      <w:r w:rsidRPr="00F75A52">
        <w:rPr>
          <w:rFonts w:eastAsia="Calibri" w:cs="Calibri"/>
          <w:szCs w:val="24"/>
        </w:rPr>
        <w:t>all supporting documentation</w:t>
      </w:r>
      <w:r>
        <w:rPr>
          <w:rFonts w:eastAsia="Calibri" w:cs="Calibri"/>
          <w:szCs w:val="24"/>
        </w:rPr>
        <w:t xml:space="preserve"> to</w:t>
      </w:r>
      <w:r w:rsidRPr="00F75A52">
        <w:rPr>
          <w:rFonts w:eastAsia="Calibri" w:cs="Calibri"/>
          <w:szCs w:val="24"/>
        </w:rPr>
        <w:t xml:space="preserve"> ensur</w:t>
      </w:r>
      <w:r>
        <w:rPr>
          <w:rFonts w:eastAsia="Calibri" w:cs="Calibri"/>
          <w:szCs w:val="24"/>
        </w:rPr>
        <w:t>e</w:t>
      </w:r>
      <w:r w:rsidRPr="00F75A52">
        <w:rPr>
          <w:rFonts w:eastAsia="Calibri" w:cs="Calibri"/>
          <w:szCs w:val="24"/>
        </w:rPr>
        <w:t xml:space="preserve"> compliance with internal financial regulations and external audit requirements.</w:t>
      </w:r>
      <w:r w:rsidR="002121C9">
        <w:rPr>
          <w:rFonts w:eastAsia="Calibri" w:cs="Calibri"/>
          <w:szCs w:val="24"/>
        </w:rPr>
        <w:t xml:space="preserve"> </w:t>
      </w:r>
      <w:r w:rsidRPr="00211564">
        <w:rPr>
          <w:szCs w:val="24"/>
        </w:rPr>
        <w:t>The</w:t>
      </w:r>
      <w:r w:rsidR="00133AAD">
        <w:rPr>
          <w:szCs w:val="24"/>
        </w:rPr>
        <w:t>y stressed that</w:t>
      </w:r>
      <w:r w:rsidR="00070DBE">
        <w:rPr>
          <w:szCs w:val="24"/>
        </w:rPr>
        <w:t xml:space="preserve"> </w:t>
      </w:r>
      <w:r w:rsidRPr="00211564">
        <w:rPr>
          <w:szCs w:val="24"/>
        </w:rPr>
        <w:t xml:space="preserve">accounting </w:t>
      </w:r>
      <w:r w:rsidR="002121C9">
        <w:rPr>
          <w:szCs w:val="24"/>
        </w:rPr>
        <w:t>for</w:t>
      </w:r>
      <w:r w:rsidRPr="00211564">
        <w:rPr>
          <w:szCs w:val="24"/>
        </w:rPr>
        <w:t xml:space="preserve"> in-kind contributions will </w:t>
      </w:r>
      <w:r w:rsidR="002121C9">
        <w:rPr>
          <w:szCs w:val="24"/>
        </w:rPr>
        <w:t xml:space="preserve">occur </w:t>
      </w:r>
      <w:r w:rsidRPr="00211564">
        <w:rPr>
          <w:szCs w:val="24"/>
        </w:rPr>
        <w:t>in accordance with IPSAS (international public sector accounting standards</w:t>
      </w:r>
      <w:r>
        <w:rPr>
          <w:szCs w:val="24"/>
        </w:rPr>
        <w:t>)</w:t>
      </w:r>
      <w:r w:rsidRPr="00211564">
        <w:rPr>
          <w:szCs w:val="24"/>
        </w:rPr>
        <w:t>.</w:t>
      </w:r>
    </w:p>
    <w:tbl>
      <w:tblPr>
        <w:tblStyle w:val="TableGrid"/>
        <w:tblW w:w="0" w:type="auto"/>
        <w:tblLook w:val="04A0" w:firstRow="1" w:lastRow="0" w:firstColumn="1" w:lastColumn="0" w:noHBand="0" w:noVBand="1"/>
      </w:tblPr>
      <w:tblGrid>
        <w:gridCol w:w="9629"/>
      </w:tblGrid>
      <w:tr w:rsidR="00475951" w:rsidRPr="00957B6C" w:rsidTr="001B43E9">
        <w:tc>
          <w:tcPr>
            <w:tcW w:w="9629" w:type="dxa"/>
          </w:tcPr>
          <w:p w:rsidR="00475951" w:rsidRPr="00BF5B1F" w:rsidRDefault="00475951" w:rsidP="001B43E9">
            <w:pPr>
              <w:pStyle w:val="PlainText"/>
              <w:snapToGrid w:val="0"/>
              <w:spacing w:before="120" w:after="120"/>
              <w:rPr>
                <w:color w:val="000000" w:themeColor="text1"/>
                <w:szCs w:val="24"/>
              </w:rPr>
            </w:pPr>
            <w:r w:rsidRPr="007B36B3">
              <w:rPr>
                <w:rFonts w:eastAsia="Calibri" w:cs="Calibri"/>
                <w:sz w:val="24"/>
                <w:szCs w:val="24"/>
              </w:rPr>
              <w:t xml:space="preserve">In discussing the seed money that has been allocated by the Council </w:t>
            </w:r>
            <w:r w:rsidR="00B56712" w:rsidRPr="007B36B3">
              <w:rPr>
                <w:rFonts w:eastAsia="Calibri" w:cs="Calibri"/>
                <w:sz w:val="24"/>
                <w:szCs w:val="24"/>
              </w:rPr>
              <w:t xml:space="preserve">for </w:t>
            </w:r>
            <w:r w:rsidRPr="007B36B3">
              <w:rPr>
                <w:rFonts w:eastAsia="Calibri" w:cs="Calibri"/>
                <w:sz w:val="24"/>
                <w:szCs w:val="24"/>
              </w:rPr>
              <w:t>the regional initiatives</w:t>
            </w:r>
            <w:r w:rsidRPr="00BF5B1F">
              <w:rPr>
                <w:rFonts w:eastAsia="Calibri" w:cs="Calibri"/>
                <w:sz w:val="24"/>
                <w:szCs w:val="24"/>
              </w:rPr>
              <w:t xml:space="preserve">, </w:t>
            </w:r>
            <w:r w:rsidRPr="007B36B3">
              <w:rPr>
                <w:rFonts w:eastAsia="Calibri" w:cs="Calibri"/>
                <w:sz w:val="24"/>
                <w:szCs w:val="24"/>
              </w:rPr>
              <w:t xml:space="preserve">TDAG agreed that in-kind contributions that can be quantified can be included in project </w:t>
            </w:r>
            <w:r w:rsidRPr="007B36B3">
              <w:rPr>
                <w:rFonts w:eastAsia="Calibri" w:cs="Calibri"/>
                <w:sz w:val="24"/>
                <w:szCs w:val="24"/>
              </w:rPr>
              <w:lastRenderedPageBreak/>
              <w:t>documents as one of the funding sources</w:t>
            </w:r>
            <w:r w:rsidR="00B56712" w:rsidRPr="007B36B3">
              <w:rPr>
                <w:rFonts w:eastAsia="Calibri" w:cs="Calibri"/>
                <w:sz w:val="24"/>
                <w:szCs w:val="24"/>
              </w:rPr>
              <w:t>,</w:t>
            </w:r>
            <w:r w:rsidRPr="007B36B3">
              <w:rPr>
                <w:rFonts w:eastAsia="Calibri" w:cs="Calibri"/>
                <w:sz w:val="24"/>
                <w:szCs w:val="24"/>
              </w:rPr>
              <w:t xml:space="preserve"> and must be submitted with the initial project document</w:t>
            </w:r>
            <w:r w:rsidRPr="00BF5B1F">
              <w:rPr>
                <w:rFonts w:eastAsia="Calibri" w:cs="Calibri"/>
                <w:sz w:val="24"/>
                <w:szCs w:val="24"/>
              </w:rPr>
              <w:t>.</w:t>
            </w:r>
          </w:p>
        </w:tc>
      </w:tr>
    </w:tbl>
    <w:p w:rsidR="00735F7F" w:rsidRDefault="00256D72" w:rsidP="00EA4144">
      <w:pPr>
        <w:spacing w:after="120"/>
        <w:ind w:left="391" w:hanging="391"/>
        <w:rPr>
          <w:b/>
          <w:bCs/>
          <w:lang w:val="en-US"/>
        </w:rPr>
      </w:pPr>
      <w:r>
        <w:rPr>
          <w:b/>
          <w:bCs/>
          <w:lang w:val="en-US"/>
        </w:rPr>
        <w:lastRenderedPageBreak/>
        <w:t>7</w:t>
      </w:r>
      <w:r w:rsidR="00B56712">
        <w:rPr>
          <w:b/>
          <w:bCs/>
          <w:lang w:val="en-US"/>
        </w:rPr>
        <w:t>.4</w:t>
      </w:r>
      <w:r w:rsidR="00EA4144">
        <w:rPr>
          <w:b/>
          <w:bCs/>
          <w:lang w:val="en-US"/>
        </w:rPr>
        <w:tab/>
      </w:r>
      <w:r w:rsidR="00855A13">
        <w:rPr>
          <w:b/>
          <w:bCs/>
          <w:lang w:val="en-US"/>
        </w:rPr>
        <w:t>Breakout session:</w:t>
      </w:r>
      <w:r w:rsidR="00855A13" w:rsidRPr="00B54FD0">
        <w:rPr>
          <w:b/>
          <w:bCs/>
          <w:lang w:val="en-US"/>
        </w:rPr>
        <w:t xml:space="preserve"> </w:t>
      </w:r>
      <w:r w:rsidR="00735F7F" w:rsidRPr="00B54FD0">
        <w:rPr>
          <w:b/>
          <w:bCs/>
          <w:lang w:val="en-US"/>
        </w:rPr>
        <w:t>The role of regional presence</w:t>
      </w:r>
    </w:p>
    <w:p w:rsidR="00735F7F" w:rsidRDefault="008A0D8D" w:rsidP="00BA06BF">
      <w:pPr>
        <w:rPr>
          <w:lang w:val="en-US"/>
        </w:rPr>
      </w:pPr>
      <w:r>
        <w:rPr>
          <w:lang w:val="en-US"/>
        </w:rPr>
        <w:t>During a b</w:t>
      </w:r>
      <w:r w:rsidR="00735F7F" w:rsidRPr="00DA258C">
        <w:rPr>
          <w:lang w:val="en-US"/>
        </w:rPr>
        <w:t xml:space="preserve">reakout </w:t>
      </w:r>
      <w:r>
        <w:rPr>
          <w:lang w:val="en-US"/>
        </w:rPr>
        <w:t xml:space="preserve">session on the role of regional presence, </w:t>
      </w:r>
      <w:r w:rsidR="00735F7F" w:rsidRPr="00DA258C">
        <w:rPr>
          <w:lang w:val="en-US"/>
        </w:rPr>
        <w:t xml:space="preserve">discussions included suggestions </w:t>
      </w:r>
      <w:r w:rsidR="002E1227" w:rsidRPr="004D22C2">
        <w:rPr>
          <w:rStyle w:val="Hyperlink"/>
          <w:color w:val="auto"/>
          <w:szCs w:val="24"/>
          <w:u w:val="none"/>
          <w:lang w:val="en-US"/>
        </w:rPr>
        <w:t xml:space="preserve">on ways the </w:t>
      </w:r>
      <w:r w:rsidR="002E1227" w:rsidRPr="008F20E8">
        <w:rPr>
          <w:lang w:val="en-US"/>
        </w:rPr>
        <w:t xml:space="preserve">regional and area </w:t>
      </w:r>
      <w:r w:rsidR="00735F7F" w:rsidRPr="008F20E8">
        <w:rPr>
          <w:lang w:val="en-US"/>
        </w:rPr>
        <w:t>office</w:t>
      </w:r>
      <w:r w:rsidR="002E1227" w:rsidRPr="008F20E8">
        <w:rPr>
          <w:lang w:val="en-US"/>
        </w:rPr>
        <w:t>s</w:t>
      </w:r>
      <w:r w:rsidR="00735F7F" w:rsidRPr="008F20E8">
        <w:rPr>
          <w:lang w:val="en-US"/>
        </w:rPr>
        <w:t xml:space="preserve"> </w:t>
      </w:r>
      <w:r w:rsidR="002E1227" w:rsidRPr="004D22C2">
        <w:rPr>
          <w:rStyle w:val="Hyperlink"/>
          <w:color w:val="auto"/>
          <w:szCs w:val="24"/>
          <w:u w:val="none"/>
          <w:lang w:val="en-US"/>
        </w:rPr>
        <w:t xml:space="preserve">can better respond to the needs of the members, represent the ITU as a whole, and leverage ITU’s membership in the wider </w:t>
      </w:r>
      <w:r w:rsidR="00AD25E0">
        <w:rPr>
          <w:rStyle w:val="Hyperlink"/>
          <w:color w:val="auto"/>
          <w:szCs w:val="24"/>
          <w:u w:val="none"/>
          <w:lang w:val="en-US"/>
        </w:rPr>
        <w:t xml:space="preserve">United Nations </w:t>
      </w:r>
      <w:r w:rsidR="002E1227" w:rsidRPr="004D22C2">
        <w:rPr>
          <w:rStyle w:val="Hyperlink"/>
          <w:color w:val="auto"/>
          <w:szCs w:val="24"/>
          <w:u w:val="none"/>
          <w:lang w:val="en-US"/>
        </w:rPr>
        <w:t>family by working with UN Resident Coordinators</w:t>
      </w:r>
      <w:r w:rsidR="00735F7F" w:rsidRPr="008F20E8">
        <w:rPr>
          <w:lang w:val="en-US"/>
        </w:rPr>
        <w:t xml:space="preserve">. </w:t>
      </w:r>
      <w:r w:rsidR="002E1227" w:rsidRPr="004D22C2">
        <w:rPr>
          <w:rStyle w:val="Hyperlink"/>
          <w:color w:val="auto"/>
          <w:szCs w:val="24"/>
          <w:u w:val="none"/>
          <w:lang w:val="en-US"/>
        </w:rPr>
        <w:t xml:space="preserve">The need to ensure that regional and area </w:t>
      </w:r>
      <w:r w:rsidR="00735F7F" w:rsidRPr="008F20E8">
        <w:rPr>
          <w:lang w:val="en-US"/>
        </w:rPr>
        <w:t xml:space="preserve">offices </w:t>
      </w:r>
      <w:r w:rsidR="002E1227" w:rsidRPr="004D22C2">
        <w:rPr>
          <w:rStyle w:val="Hyperlink"/>
          <w:color w:val="auto"/>
          <w:szCs w:val="24"/>
          <w:u w:val="none"/>
          <w:lang w:val="en-US"/>
        </w:rPr>
        <w:t>possess the right skill sets to be able to provide direct assistance to members was also stressed. Bringing the work of the study groups close</w:t>
      </w:r>
      <w:r w:rsidR="0077718C">
        <w:rPr>
          <w:rStyle w:val="Hyperlink"/>
          <w:color w:val="auto"/>
          <w:szCs w:val="24"/>
          <w:u w:val="none"/>
          <w:lang w:val="en-US"/>
        </w:rPr>
        <w:t>r</w:t>
      </w:r>
      <w:r w:rsidR="002E1227" w:rsidRPr="004D22C2">
        <w:rPr>
          <w:rStyle w:val="Hyperlink"/>
          <w:color w:val="auto"/>
          <w:szCs w:val="24"/>
          <w:u w:val="none"/>
          <w:lang w:val="en-US"/>
        </w:rPr>
        <w:t xml:space="preserve"> to the countries was also </w:t>
      </w:r>
      <w:r w:rsidR="00531A9F">
        <w:rPr>
          <w:rStyle w:val="Hyperlink"/>
          <w:color w:val="auto"/>
          <w:szCs w:val="24"/>
          <w:u w:val="none"/>
          <w:lang w:val="en-US"/>
        </w:rPr>
        <w:t>mentioned</w:t>
      </w:r>
      <w:r w:rsidR="002E1227" w:rsidRPr="004D22C2">
        <w:rPr>
          <w:rStyle w:val="Hyperlink"/>
          <w:color w:val="auto"/>
          <w:szCs w:val="24"/>
          <w:u w:val="none"/>
          <w:lang w:val="en-US"/>
        </w:rPr>
        <w:t xml:space="preserve">. </w:t>
      </w:r>
      <w:r w:rsidR="00735F7F" w:rsidRPr="00DA258C">
        <w:rPr>
          <w:lang w:val="en-US"/>
        </w:rPr>
        <w:t xml:space="preserve">Roles and relationships </w:t>
      </w:r>
      <w:r w:rsidR="008F0ADB">
        <w:rPr>
          <w:lang w:val="en-US"/>
        </w:rPr>
        <w:t xml:space="preserve">of </w:t>
      </w:r>
      <w:r w:rsidR="00BA06BF">
        <w:rPr>
          <w:lang w:val="en-US"/>
        </w:rPr>
        <w:t>ITU S</w:t>
      </w:r>
      <w:r w:rsidR="00735F7F">
        <w:rPr>
          <w:lang w:val="en-US"/>
        </w:rPr>
        <w:t xml:space="preserve">ectors and </w:t>
      </w:r>
      <w:r w:rsidR="008F0ADB">
        <w:rPr>
          <w:lang w:val="en-US"/>
        </w:rPr>
        <w:t>regional</w:t>
      </w:r>
      <w:r w:rsidR="00BA06BF">
        <w:rPr>
          <w:lang w:val="en-US"/>
        </w:rPr>
        <w:t xml:space="preserve"> and </w:t>
      </w:r>
      <w:r w:rsidR="008F0ADB">
        <w:rPr>
          <w:lang w:val="en-US"/>
        </w:rPr>
        <w:t xml:space="preserve">area </w:t>
      </w:r>
      <w:r w:rsidR="00735F7F">
        <w:rPr>
          <w:lang w:val="en-US"/>
        </w:rPr>
        <w:t>offices</w:t>
      </w:r>
      <w:r w:rsidR="00735F7F" w:rsidRPr="00DA258C">
        <w:rPr>
          <w:lang w:val="en-US"/>
        </w:rPr>
        <w:t xml:space="preserve"> should be </w:t>
      </w:r>
      <w:r w:rsidR="008F0ADB">
        <w:rPr>
          <w:lang w:val="en-US"/>
        </w:rPr>
        <w:t xml:space="preserve">further </w:t>
      </w:r>
      <w:r w:rsidR="00735F7F" w:rsidRPr="00DA258C">
        <w:rPr>
          <w:lang w:val="en-US"/>
        </w:rPr>
        <w:t xml:space="preserve">clarified to strengthen collaboration and synergies. The </w:t>
      </w:r>
      <w:r w:rsidR="008F0ADB">
        <w:rPr>
          <w:lang w:val="en-US"/>
        </w:rPr>
        <w:t xml:space="preserve">breakout session </w:t>
      </w:r>
      <w:r w:rsidR="00735F7F" w:rsidRPr="00DA258C">
        <w:rPr>
          <w:lang w:val="en-US"/>
        </w:rPr>
        <w:t xml:space="preserve">also emphasized the need to comply with </w:t>
      </w:r>
      <w:r w:rsidR="00735F7F" w:rsidRPr="004154AE">
        <w:t>Joint Inspection Unit</w:t>
      </w:r>
      <w:r w:rsidR="00735F7F" w:rsidRPr="00DA258C">
        <w:rPr>
          <w:lang w:val="en-US"/>
        </w:rPr>
        <w:t xml:space="preserve"> recommendations.</w:t>
      </w:r>
    </w:p>
    <w:p w:rsidR="00EB5336" w:rsidRPr="00957B6C" w:rsidRDefault="00F3581A" w:rsidP="00EA4144">
      <w:pPr>
        <w:pStyle w:val="ListParagraph"/>
        <w:numPr>
          <w:ilvl w:val="0"/>
          <w:numId w:val="36"/>
        </w:numPr>
        <w:spacing w:after="120"/>
        <w:ind w:left="391" w:hanging="391"/>
        <w:contextualSpacing w:val="0"/>
        <w:rPr>
          <w:rStyle w:val="StyleComplex12pt"/>
          <w:rFonts w:cstheme="minorHAnsi"/>
          <w:b/>
          <w:bCs/>
        </w:rPr>
      </w:pPr>
      <w:r w:rsidRPr="00957B6C">
        <w:rPr>
          <w:rStyle w:val="StyleComplex12pt"/>
          <w:rFonts w:cstheme="minorHAnsi"/>
          <w:b/>
          <w:bCs/>
        </w:rPr>
        <w:t xml:space="preserve">ITU-D </w:t>
      </w:r>
      <w:r w:rsidR="00C64C3D">
        <w:rPr>
          <w:rStyle w:val="StyleComplex12pt"/>
          <w:rFonts w:cstheme="minorHAnsi"/>
          <w:b/>
          <w:bCs/>
        </w:rPr>
        <w:t>STUDY GROUPS</w:t>
      </w:r>
    </w:p>
    <w:p w:rsidR="00C4216D" w:rsidRDefault="00B56712" w:rsidP="009B5B24">
      <w:pPr>
        <w:spacing w:after="120"/>
        <w:rPr>
          <w:rFonts w:cstheme="minorBidi"/>
          <w:color w:val="000000" w:themeColor="text1"/>
        </w:rPr>
      </w:pPr>
      <w:r>
        <w:rPr>
          <w:rFonts w:cstheme="minorBidi"/>
          <w:color w:val="000000" w:themeColor="text1"/>
        </w:rPr>
        <w:t xml:space="preserve">Reports from both study groups, found in </w:t>
      </w:r>
      <w:r w:rsidR="25A7936B" w:rsidRPr="00957B6C">
        <w:rPr>
          <w:rFonts w:cstheme="minorBidi"/>
          <w:color w:val="000000" w:themeColor="text1"/>
        </w:rPr>
        <w:t>Documents 12 and 13</w:t>
      </w:r>
      <w:r>
        <w:rPr>
          <w:rFonts w:cstheme="minorBidi"/>
          <w:color w:val="000000" w:themeColor="text1"/>
        </w:rPr>
        <w:t>,</w:t>
      </w:r>
      <w:r w:rsidR="25A7936B" w:rsidRPr="00957B6C">
        <w:rPr>
          <w:rFonts w:cstheme="minorBidi"/>
          <w:color w:val="000000" w:themeColor="text1"/>
        </w:rPr>
        <w:t xml:space="preserve"> were considered together.</w:t>
      </w:r>
    </w:p>
    <w:p w:rsidR="007418CE" w:rsidRPr="007B36B3" w:rsidRDefault="00EA4144" w:rsidP="00EA4144">
      <w:pPr>
        <w:spacing w:after="120"/>
        <w:ind w:left="391" w:hanging="391"/>
        <w:rPr>
          <w:rFonts w:cstheme="minorBidi"/>
          <w:b/>
          <w:color w:val="000000" w:themeColor="text1"/>
        </w:rPr>
      </w:pPr>
      <w:r>
        <w:rPr>
          <w:rFonts w:cstheme="minorBidi"/>
          <w:b/>
          <w:color w:val="000000" w:themeColor="text1"/>
        </w:rPr>
        <w:t>8.1</w:t>
      </w:r>
      <w:r>
        <w:rPr>
          <w:rFonts w:cstheme="minorBidi"/>
          <w:b/>
          <w:color w:val="000000" w:themeColor="text1"/>
        </w:rPr>
        <w:tab/>
      </w:r>
      <w:r w:rsidR="007418CE" w:rsidRPr="007B36B3">
        <w:rPr>
          <w:rFonts w:cstheme="minorBidi"/>
          <w:b/>
          <w:color w:val="000000" w:themeColor="text1"/>
        </w:rPr>
        <w:t>Study Group 1</w:t>
      </w:r>
    </w:p>
    <w:p w:rsidR="001353F2" w:rsidRPr="00957B6C" w:rsidRDefault="00133AAD">
      <w:pPr>
        <w:rPr>
          <w:bCs/>
        </w:rPr>
      </w:pPr>
      <w:r w:rsidRPr="007418CE">
        <w:rPr>
          <w:rFonts w:cstheme="minorBidi"/>
          <w:color w:val="000000" w:themeColor="text1"/>
        </w:rPr>
        <w:t xml:space="preserve">Ms Regina Fleur </w:t>
      </w:r>
      <w:proofErr w:type="spellStart"/>
      <w:r w:rsidRPr="007418CE">
        <w:rPr>
          <w:rFonts w:cstheme="minorBidi"/>
          <w:color w:val="000000" w:themeColor="text1"/>
        </w:rPr>
        <w:t>Assoumou</w:t>
      </w:r>
      <w:proofErr w:type="spellEnd"/>
      <w:r w:rsidRPr="007418CE">
        <w:rPr>
          <w:rFonts w:cstheme="minorBidi"/>
          <w:color w:val="000000" w:themeColor="text1"/>
        </w:rPr>
        <w:t xml:space="preserve"> </w:t>
      </w:r>
      <w:proofErr w:type="spellStart"/>
      <w:r w:rsidRPr="007418CE">
        <w:rPr>
          <w:rFonts w:cstheme="minorBidi"/>
          <w:color w:val="000000" w:themeColor="text1"/>
        </w:rPr>
        <w:t>Bessou</w:t>
      </w:r>
      <w:proofErr w:type="spellEnd"/>
      <w:r w:rsidRPr="007418CE">
        <w:rPr>
          <w:rFonts w:cstheme="minorBidi"/>
          <w:color w:val="000000" w:themeColor="text1"/>
        </w:rPr>
        <w:t xml:space="preserve">, </w:t>
      </w:r>
      <w:r w:rsidR="007418CE" w:rsidRPr="007418CE">
        <w:rPr>
          <w:rFonts w:cstheme="minorBidi"/>
          <w:color w:val="000000" w:themeColor="text1"/>
        </w:rPr>
        <w:t>Chair</w:t>
      </w:r>
      <w:r w:rsidR="00116D0F">
        <w:rPr>
          <w:rFonts w:cstheme="minorBidi"/>
          <w:color w:val="000000" w:themeColor="text1"/>
        </w:rPr>
        <w:t>man</w:t>
      </w:r>
      <w:r w:rsidR="007418CE" w:rsidRPr="007418CE">
        <w:rPr>
          <w:rFonts w:cstheme="minorBidi"/>
          <w:color w:val="000000" w:themeColor="text1"/>
        </w:rPr>
        <w:t xml:space="preserve"> of Study Group 1</w:t>
      </w:r>
      <w:r w:rsidR="00116D0F">
        <w:rPr>
          <w:rFonts w:cstheme="minorBidi"/>
          <w:color w:val="000000" w:themeColor="text1"/>
        </w:rPr>
        <w:t xml:space="preserve">, </w:t>
      </w:r>
      <w:r w:rsidRPr="007418CE">
        <w:rPr>
          <w:rFonts w:cstheme="minorBidi"/>
          <w:color w:val="000000" w:themeColor="text1"/>
        </w:rPr>
        <w:t>pr</w:t>
      </w:r>
      <w:r w:rsidRPr="007B36B3">
        <w:rPr>
          <w:rFonts w:ascii="Calibri" w:hAnsi="Calibri"/>
          <w:szCs w:val="24"/>
        </w:rPr>
        <w:t xml:space="preserve">esented the status of work undertaken in </w:t>
      </w:r>
      <w:r w:rsidR="007418CE" w:rsidRPr="007B36B3">
        <w:rPr>
          <w:rFonts w:ascii="Calibri" w:hAnsi="Calibri"/>
          <w:szCs w:val="24"/>
        </w:rPr>
        <w:t>this group</w:t>
      </w:r>
      <w:r w:rsidRPr="007B36B3">
        <w:rPr>
          <w:rFonts w:ascii="Calibri" w:hAnsi="Calibri"/>
          <w:szCs w:val="24"/>
        </w:rPr>
        <w:t xml:space="preserve"> since the start of the new study period (2018-2021). Her report may be found in </w:t>
      </w:r>
      <w:hyperlink r:id="rId50">
        <w:r w:rsidR="679FFC7F" w:rsidRPr="00957B6C">
          <w:rPr>
            <w:rStyle w:val="Hyperlink"/>
            <w:rFonts w:cstheme="minorBidi"/>
            <w:b/>
            <w:bCs/>
          </w:rPr>
          <w:t>Document 12</w:t>
        </w:r>
      </w:hyperlink>
      <w:r>
        <w:rPr>
          <w:rStyle w:val="Hyperlink"/>
          <w:rFonts w:cstheme="minorBidi"/>
          <w:b/>
          <w:bCs/>
        </w:rPr>
        <w:t xml:space="preserve">. </w:t>
      </w:r>
      <w:r w:rsidR="007418CE" w:rsidRPr="007B36B3">
        <w:rPr>
          <w:rFonts w:cstheme="minorBidi"/>
          <w:bCs/>
          <w:color w:val="000000" w:themeColor="text1"/>
        </w:rPr>
        <w:t>With seven Questions,</w:t>
      </w:r>
      <w:r w:rsidR="007418CE">
        <w:rPr>
          <w:rFonts w:cstheme="minorBidi"/>
          <w:b/>
          <w:bCs/>
          <w:color w:val="000000" w:themeColor="text1"/>
        </w:rPr>
        <w:t xml:space="preserve"> </w:t>
      </w:r>
      <w:r w:rsidR="00116D0F" w:rsidRPr="007418CE">
        <w:rPr>
          <w:rFonts w:cstheme="minorBidi"/>
          <w:color w:val="000000" w:themeColor="text1"/>
        </w:rPr>
        <w:t>Study Group 1</w:t>
      </w:r>
      <w:r w:rsidR="00116D0F">
        <w:rPr>
          <w:rFonts w:cstheme="minorBidi"/>
          <w:color w:val="000000" w:themeColor="text1"/>
        </w:rPr>
        <w:t xml:space="preserve"> </w:t>
      </w:r>
      <w:r w:rsidR="00D65E55" w:rsidRPr="00957B6C">
        <w:rPr>
          <w:rFonts w:cs="Arial"/>
        </w:rPr>
        <w:t xml:space="preserve">covers </w:t>
      </w:r>
      <w:r w:rsidR="000B3816" w:rsidRPr="00957B6C">
        <w:rPr>
          <w:rFonts w:cs="Arial"/>
        </w:rPr>
        <w:t>the enabling environment for telecommunications/</w:t>
      </w:r>
      <w:r w:rsidR="0043797D" w:rsidRPr="00957B6C">
        <w:rPr>
          <w:bCs/>
        </w:rPr>
        <w:t>ICTs</w:t>
      </w:r>
      <w:r>
        <w:rPr>
          <w:rFonts w:cs="Arial"/>
        </w:rPr>
        <w:t>.</w:t>
      </w:r>
      <w:r w:rsidR="00070DBE">
        <w:rPr>
          <w:rFonts w:cs="Arial"/>
        </w:rPr>
        <w:t xml:space="preserve"> </w:t>
      </w:r>
      <w:r w:rsidR="003C35CC">
        <w:rPr>
          <w:rFonts w:cs="Arial"/>
        </w:rPr>
        <w:t xml:space="preserve">One hundred thirty one delegates </w:t>
      </w:r>
      <w:r w:rsidR="003C35CC" w:rsidRPr="00957B6C">
        <w:rPr>
          <w:bCs/>
        </w:rPr>
        <w:t>from 57 Member States</w:t>
      </w:r>
      <w:r w:rsidR="003C35CC">
        <w:rPr>
          <w:bCs/>
        </w:rPr>
        <w:t xml:space="preserve"> attended th</w:t>
      </w:r>
      <w:r w:rsidR="00B118AC">
        <w:rPr>
          <w:rFonts w:cs="Arial"/>
        </w:rPr>
        <w:t xml:space="preserve">e </w:t>
      </w:r>
      <w:r w:rsidR="00D65E55" w:rsidRPr="00957B6C">
        <w:rPr>
          <w:rFonts w:cs="Arial"/>
        </w:rPr>
        <w:t xml:space="preserve">first </w:t>
      </w:r>
      <w:r w:rsidR="00D65E55" w:rsidRPr="00957B6C">
        <w:t xml:space="preserve">meeting </w:t>
      </w:r>
      <w:r w:rsidR="00B118AC">
        <w:t>in</w:t>
      </w:r>
      <w:r w:rsidR="00D65E55" w:rsidRPr="00957B6C">
        <w:t xml:space="preserve"> the 2018-2021 study period </w:t>
      </w:r>
      <w:r w:rsidR="001F6AA0">
        <w:t>(</w:t>
      </w:r>
      <w:r w:rsidR="007A6140" w:rsidRPr="00957B6C">
        <w:t>30 April to 4 May 2018</w:t>
      </w:r>
      <w:r w:rsidR="001F6AA0">
        <w:t>, ITU Headquarters, Geneva</w:t>
      </w:r>
      <w:r w:rsidR="00B118AC">
        <w:t>)</w:t>
      </w:r>
      <w:r w:rsidR="003C35CC">
        <w:t>.</w:t>
      </w:r>
      <w:r w:rsidR="00070DBE">
        <w:t xml:space="preserve"> </w:t>
      </w:r>
      <w:r w:rsidR="003C35CC">
        <w:t xml:space="preserve">Notable </w:t>
      </w:r>
      <w:r w:rsidR="007A6140" w:rsidRPr="00957B6C">
        <w:rPr>
          <w:bCs/>
        </w:rPr>
        <w:t>fro</w:t>
      </w:r>
      <w:r w:rsidR="0043797D" w:rsidRPr="00957B6C">
        <w:rPr>
          <w:bCs/>
        </w:rPr>
        <w:t>m</w:t>
      </w:r>
      <w:r w:rsidR="007A6140" w:rsidRPr="00957B6C">
        <w:rPr>
          <w:bCs/>
        </w:rPr>
        <w:t xml:space="preserve"> this meeting</w:t>
      </w:r>
      <w:r w:rsidR="003C35CC">
        <w:rPr>
          <w:bCs/>
        </w:rPr>
        <w:t xml:space="preserve">: </w:t>
      </w:r>
      <w:r w:rsidR="001F5057" w:rsidRPr="00957B6C">
        <w:t xml:space="preserve">the </w:t>
      </w:r>
      <w:r w:rsidR="005F3123" w:rsidRPr="00957B6C">
        <w:rPr>
          <w:bCs/>
        </w:rPr>
        <w:t xml:space="preserve">appointment of </w:t>
      </w:r>
      <w:r w:rsidR="00FD787E" w:rsidRPr="00957B6C">
        <w:rPr>
          <w:bCs/>
        </w:rPr>
        <w:t xml:space="preserve">9 </w:t>
      </w:r>
      <w:r w:rsidR="005F3123" w:rsidRPr="00957B6C">
        <w:rPr>
          <w:bCs/>
        </w:rPr>
        <w:t>r</w:t>
      </w:r>
      <w:r w:rsidR="00FD787E" w:rsidRPr="00957B6C">
        <w:rPr>
          <w:bCs/>
        </w:rPr>
        <w:t>apporteurs/co-</w:t>
      </w:r>
      <w:r w:rsidR="005F3123" w:rsidRPr="00957B6C">
        <w:rPr>
          <w:bCs/>
        </w:rPr>
        <w:t>rapporteurs and 71 v</w:t>
      </w:r>
      <w:r w:rsidR="00FD787E" w:rsidRPr="00957B6C">
        <w:rPr>
          <w:bCs/>
        </w:rPr>
        <w:t>ice-</w:t>
      </w:r>
      <w:r w:rsidR="005F3123" w:rsidRPr="00957B6C">
        <w:rPr>
          <w:bCs/>
        </w:rPr>
        <w:t>r</w:t>
      </w:r>
      <w:r w:rsidR="00FD787E" w:rsidRPr="00957B6C">
        <w:rPr>
          <w:bCs/>
        </w:rPr>
        <w:t>apporteurs to lead the Questions under study</w:t>
      </w:r>
      <w:r w:rsidR="00993676" w:rsidRPr="00957B6C">
        <w:rPr>
          <w:bCs/>
        </w:rPr>
        <w:t xml:space="preserve">; </w:t>
      </w:r>
      <w:r w:rsidR="00FD787E" w:rsidRPr="00957B6C">
        <w:rPr>
          <w:bCs/>
        </w:rPr>
        <w:t>93</w:t>
      </w:r>
      <w:r w:rsidR="00C8426E" w:rsidRPr="00957B6C">
        <w:rPr>
          <w:bCs/>
        </w:rPr>
        <w:t xml:space="preserve"> </w:t>
      </w:r>
      <w:r w:rsidR="00FD787E" w:rsidRPr="00957B6C">
        <w:rPr>
          <w:bCs/>
        </w:rPr>
        <w:t>contributions</w:t>
      </w:r>
      <w:r w:rsidR="003C5C8E" w:rsidRPr="00957B6C">
        <w:rPr>
          <w:bCs/>
        </w:rPr>
        <w:t xml:space="preserve">; </w:t>
      </w:r>
      <w:r w:rsidR="00B118AC" w:rsidRPr="00957B6C">
        <w:rPr>
          <w:bCs/>
        </w:rPr>
        <w:t xml:space="preserve">the approval </w:t>
      </w:r>
      <w:r w:rsidR="00B118AC">
        <w:rPr>
          <w:bCs/>
        </w:rPr>
        <w:t>of</w:t>
      </w:r>
      <w:r w:rsidR="00B118AC" w:rsidRPr="00957B6C">
        <w:rPr>
          <w:bCs/>
        </w:rPr>
        <w:t xml:space="preserve"> work plans </w:t>
      </w:r>
      <w:r w:rsidR="00B118AC">
        <w:rPr>
          <w:bCs/>
        </w:rPr>
        <w:t xml:space="preserve">and </w:t>
      </w:r>
      <w:r w:rsidR="00B118AC" w:rsidRPr="00957B6C">
        <w:rPr>
          <w:bCs/>
        </w:rPr>
        <w:t xml:space="preserve">initial outlines/tables of contents </w:t>
      </w:r>
      <w:r w:rsidR="00B118AC">
        <w:rPr>
          <w:bCs/>
        </w:rPr>
        <w:t xml:space="preserve">for all </w:t>
      </w:r>
      <w:r w:rsidR="00B118AC" w:rsidRPr="00957B6C">
        <w:rPr>
          <w:bCs/>
        </w:rPr>
        <w:t xml:space="preserve">expected outputs </w:t>
      </w:r>
      <w:r w:rsidR="00B118AC">
        <w:rPr>
          <w:bCs/>
        </w:rPr>
        <w:t xml:space="preserve">assigned by WTDC-17; </w:t>
      </w:r>
      <w:r w:rsidR="00FD787E" w:rsidRPr="00957B6C">
        <w:rPr>
          <w:bCs/>
        </w:rPr>
        <w:t>29 incoming liaison statements</w:t>
      </w:r>
      <w:r w:rsidR="00B118AC">
        <w:rPr>
          <w:bCs/>
        </w:rPr>
        <w:t xml:space="preserve"> and </w:t>
      </w:r>
      <w:r w:rsidR="00FD787E" w:rsidRPr="00957B6C">
        <w:rPr>
          <w:bCs/>
        </w:rPr>
        <w:t>13 outgoing liaison statements</w:t>
      </w:r>
      <w:r w:rsidR="00FE7EFB" w:rsidRPr="00957B6C">
        <w:rPr>
          <w:bCs/>
        </w:rPr>
        <w:t>.</w:t>
      </w:r>
      <w:r w:rsidR="00410404">
        <w:t xml:space="preserve"> Subsequent </w:t>
      </w:r>
      <w:r w:rsidR="00B118AC">
        <w:t>R</w:t>
      </w:r>
      <w:r w:rsidR="002205CD" w:rsidRPr="00957B6C">
        <w:t xml:space="preserve">apporteur group </w:t>
      </w:r>
      <w:r w:rsidR="00FD787E" w:rsidRPr="00957B6C">
        <w:t>meetings</w:t>
      </w:r>
      <w:r w:rsidR="00410404">
        <w:t xml:space="preserve"> (1</w:t>
      </w:r>
      <w:r w:rsidR="00FD787E" w:rsidRPr="00957B6C">
        <w:t>7 to 28 September 2018</w:t>
      </w:r>
      <w:r w:rsidR="00410404">
        <w:t>)</w:t>
      </w:r>
      <w:r w:rsidR="00860C54" w:rsidRPr="00957B6C">
        <w:rPr>
          <w:bCs/>
        </w:rPr>
        <w:t xml:space="preserve"> refined the </w:t>
      </w:r>
      <w:r w:rsidR="00740481" w:rsidRPr="00957B6C">
        <w:rPr>
          <w:bCs/>
        </w:rPr>
        <w:t>outlines of study group Question deliverables</w:t>
      </w:r>
      <w:r w:rsidR="007418CE">
        <w:rPr>
          <w:bCs/>
        </w:rPr>
        <w:t xml:space="preserve">, presented for </w:t>
      </w:r>
      <w:r w:rsidR="001F6AA0">
        <w:rPr>
          <w:bCs/>
        </w:rPr>
        <w:t xml:space="preserve">review </w:t>
      </w:r>
      <w:r w:rsidR="007418CE">
        <w:rPr>
          <w:bCs/>
        </w:rPr>
        <w:t xml:space="preserve">a report on </w:t>
      </w:r>
      <w:r w:rsidR="001F6AA0">
        <w:t>trends in new broadcasting technologies</w:t>
      </w:r>
      <w:r w:rsidR="00740481" w:rsidRPr="00957B6C">
        <w:rPr>
          <w:bCs/>
        </w:rPr>
        <w:t xml:space="preserve"> </w:t>
      </w:r>
      <w:r w:rsidR="001F6AA0">
        <w:rPr>
          <w:bCs/>
        </w:rPr>
        <w:t xml:space="preserve">for consideration at the upcoming annual </w:t>
      </w:r>
      <w:r w:rsidR="00116D0F" w:rsidRPr="007418CE">
        <w:rPr>
          <w:rFonts w:cstheme="minorBidi"/>
          <w:color w:val="000000" w:themeColor="text1"/>
        </w:rPr>
        <w:t>Study Group 1</w:t>
      </w:r>
      <w:r w:rsidR="00116D0F">
        <w:rPr>
          <w:rFonts w:cstheme="minorBidi"/>
          <w:color w:val="000000" w:themeColor="text1"/>
        </w:rPr>
        <w:t xml:space="preserve"> </w:t>
      </w:r>
      <w:r w:rsidR="001F6AA0">
        <w:rPr>
          <w:bCs/>
        </w:rPr>
        <w:t xml:space="preserve">meeting as an annual deliverable, </w:t>
      </w:r>
      <w:r w:rsidR="00740481" w:rsidRPr="00957B6C">
        <w:rPr>
          <w:bCs/>
        </w:rPr>
        <w:t xml:space="preserve">and </w:t>
      </w:r>
      <w:r w:rsidR="00860C54" w:rsidRPr="00957B6C">
        <w:rPr>
          <w:bCs/>
        </w:rPr>
        <w:t xml:space="preserve">continued </w:t>
      </w:r>
      <w:r w:rsidR="00C856FA" w:rsidRPr="00957B6C">
        <w:rPr>
          <w:bCs/>
        </w:rPr>
        <w:t>t</w:t>
      </w:r>
      <w:r w:rsidR="00B118AC">
        <w:rPr>
          <w:bCs/>
        </w:rPr>
        <w:t>o</w:t>
      </w:r>
      <w:r w:rsidR="00C856FA" w:rsidRPr="00957B6C">
        <w:rPr>
          <w:bCs/>
        </w:rPr>
        <w:t xml:space="preserve"> </w:t>
      </w:r>
      <w:r w:rsidR="00860C54" w:rsidRPr="00957B6C">
        <w:rPr>
          <w:bCs/>
        </w:rPr>
        <w:t>exchang</w:t>
      </w:r>
      <w:r w:rsidR="00B118AC">
        <w:rPr>
          <w:bCs/>
        </w:rPr>
        <w:t>e</w:t>
      </w:r>
      <w:r w:rsidR="00C856FA" w:rsidRPr="00957B6C">
        <w:rPr>
          <w:bCs/>
        </w:rPr>
        <w:t xml:space="preserve"> </w:t>
      </w:r>
      <w:r w:rsidR="00163931" w:rsidRPr="00957B6C">
        <w:rPr>
          <w:bCs/>
        </w:rPr>
        <w:t xml:space="preserve">information </w:t>
      </w:r>
      <w:r w:rsidR="00B118AC">
        <w:rPr>
          <w:bCs/>
        </w:rPr>
        <w:t xml:space="preserve">and develop text </w:t>
      </w:r>
      <w:r w:rsidR="003C35CC">
        <w:rPr>
          <w:bCs/>
        </w:rPr>
        <w:t xml:space="preserve">to be included </w:t>
      </w:r>
      <w:r w:rsidR="00B118AC">
        <w:rPr>
          <w:bCs/>
        </w:rPr>
        <w:t>in</w:t>
      </w:r>
      <w:r w:rsidR="00860C54" w:rsidRPr="00957B6C">
        <w:rPr>
          <w:bCs/>
        </w:rPr>
        <w:t xml:space="preserve"> the reports, guidelines and case studies. </w:t>
      </w:r>
    </w:p>
    <w:p w:rsidR="00064E76" w:rsidRDefault="00064E76" w:rsidP="009B5B24">
      <w:pPr>
        <w:spacing w:after="120"/>
        <w:rPr>
          <w:bCs/>
          <w:szCs w:val="24"/>
        </w:rPr>
      </w:pPr>
      <w:r w:rsidRPr="00957B6C">
        <w:rPr>
          <w:bCs/>
          <w:szCs w:val="24"/>
        </w:rPr>
        <w:t xml:space="preserve">The second </w:t>
      </w:r>
      <w:r w:rsidR="00005A48">
        <w:rPr>
          <w:bCs/>
          <w:szCs w:val="24"/>
        </w:rPr>
        <w:t xml:space="preserve">annual </w:t>
      </w:r>
      <w:r w:rsidRPr="00957B6C">
        <w:rPr>
          <w:bCs/>
          <w:szCs w:val="24"/>
        </w:rPr>
        <w:t>meeting of Study Group</w:t>
      </w:r>
      <w:r w:rsidR="005B1CAD" w:rsidRPr="00957B6C">
        <w:rPr>
          <w:bCs/>
          <w:szCs w:val="24"/>
        </w:rPr>
        <w:t xml:space="preserve"> </w:t>
      </w:r>
      <w:r w:rsidR="00124DAF" w:rsidRPr="00957B6C">
        <w:rPr>
          <w:bCs/>
          <w:szCs w:val="24"/>
        </w:rPr>
        <w:t>1</w:t>
      </w:r>
      <w:r w:rsidRPr="00957B6C">
        <w:rPr>
          <w:bCs/>
          <w:szCs w:val="24"/>
        </w:rPr>
        <w:t xml:space="preserve"> </w:t>
      </w:r>
      <w:r w:rsidR="003C35CC">
        <w:rPr>
          <w:bCs/>
          <w:szCs w:val="24"/>
        </w:rPr>
        <w:t>(</w:t>
      </w:r>
      <w:r w:rsidR="00124DAF" w:rsidRPr="00957B6C">
        <w:rPr>
          <w:bCs/>
          <w:szCs w:val="24"/>
        </w:rPr>
        <w:t>18 to 22 March 2019</w:t>
      </w:r>
      <w:r w:rsidR="003C35CC">
        <w:rPr>
          <w:bCs/>
          <w:szCs w:val="24"/>
        </w:rPr>
        <w:t>)</w:t>
      </w:r>
      <w:r w:rsidRPr="00957B6C">
        <w:rPr>
          <w:bCs/>
          <w:szCs w:val="24"/>
        </w:rPr>
        <w:t xml:space="preserve"> </w:t>
      </w:r>
      <w:r w:rsidR="00550318">
        <w:rPr>
          <w:bCs/>
          <w:szCs w:val="24"/>
        </w:rPr>
        <w:t xml:space="preserve">which </w:t>
      </w:r>
      <w:r w:rsidR="00550318">
        <w:rPr>
          <w:szCs w:val="24"/>
        </w:rPr>
        <w:t xml:space="preserve">immediately preceded TDAG-19, </w:t>
      </w:r>
      <w:r w:rsidRPr="00957B6C">
        <w:rPr>
          <w:bCs/>
          <w:szCs w:val="24"/>
        </w:rPr>
        <w:t xml:space="preserve">attracted 160 participants from 57 Member States. </w:t>
      </w:r>
      <w:r w:rsidR="00410404">
        <w:rPr>
          <w:bCs/>
          <w:szCs w:val="24"/>
        </w:rPr>
        <w:t>Participants</w:t>
      </w:r>
      <w:r w:rsidR="001F6AA0">
        <w:rPr>
          <w:bCs/>
          <w:szCs w:val="24"/>
        </w:rPr>
        <w:t xml:space="preserve"> </w:t>
      </w:r>
      <w:r w:rsidR="00124DAF" w:rsidRPr="00957B6C">
        <w:rPr>
          <w:bCs/>
          <w:szCs w:val="24"/>
        </w:rPr>
        <w:t>appointed n</w:t>
      </w:r>
      <w:r w:rsidRPr="00957B6C">
        <w:rPr>
          <w:bCs/>
          <w:szCs w:val="24"/>
        </w:rPr>
        <w:t>ine additional vice-rapporteurs to support the Questions under study</w:t>
      </w:r>
      <w:r w:rsidR="00124DAF" w:rsidRPr="00957B6C">
        <w:rPr>
          <w:bCs/>
          <w:szCs w:val="24"/>
        </w:rPr>
        <w:t xml:space="preserve">; received </w:t>
      </w:r>
      <w:r w:rsidRPr="00957B6C">
        <w:rPr>
          <w:bCs/>
          <w:szCs w:val="24"/>
        </w:rPr>
        <w:t>152 contributions to advance the work;</w:t>
      </w:r>
      <w:r w:rsidR="00124DAF" w:rsidRPr="00957B6C">
        <w:rPr>
          <w:bCs/>
          <w:szCs w:val="24"/>
        </w:rPr>
        <w:t xml:space="preserve"> received </w:t>
      </w:r>
      <w:r w:rsidRPr="00957B6C">
        <w:rPr>
          <w:bCs/>
          <w:szCs w:val="24"/>
        </w:rPr>
        <w:t xml:space="preserve">23 incoming liaison statements </w:t>
      </w:r>
      <w:r w:rsidR="00124DAF" w:rsidRPr="00957B6C">
        <w:rPr>
          <w:bCs/>
          <w:szCs w:val="24"/>
        </w:rPr>
        <w:t xml:space="preserve">and dispatched </w:t>
      </w:r>
      <w:r w:rsidR="00D8267D" w:rsidRPr="00957B6C">
        <w:rPr>
          <w:bCs/>
          <w:szCs w:val="24"/>
        </w:rPr>
        <w:t xml:space="preserve">five </w:t>
      </w:r>
      <w:r w:rsidRPr="00957B6C">
        <w:rPr>
          <w:bCs/>
          <w:szCs w:val="24"/>
        </w:rPr>
        <w:t>outgoing liaison statements.</w:t>
      </w:r>
      <w:r w:rsidR="001F6AA0">
        <w:rPr>
          <w:bCs/>
          <w:szCs w:val="24"/>
        </w:rPr>
        <w:t xml:space="preserve"> </w:t>
      </w:r>
      <w:r w:rsidR="007418CE">
        <w:rPr>
          <w:bCs/>
          <w:szCs w:val="24"/>
        </w:rPr>
        <w:t xml:space="preserve">The meeting also featured a successful </w:t>
      </w:r>
      <w:r w:rsidR="001F6AA0">
        <w:rPr>
          <w:bCs/>
          <w:szCs w:val="24"/>
        </w:rPr>
        <w:t xml:space="preserve">discussion </w:t>
      </w:r>
      <w:r w:rsidR="007418CE">
        <w:rPr>
          <w:bCs/>
          <w:szCs w:val="24"/>
        </w:rPr>
        <w:t>panel on trends in new broadcasting technologies, services and applications</w:t>
      </w:r>
      <w:r w:rsidR="001F6AA0">
        <w:rPr>
          <w:bCs/>
          <w:szCs w:val="24"/>
        </w:rPr>
        <w:t xml:space="preserve">, </w:t>
      </w:r>
      <w:r w:rsidR="00005A48">
        <w:rPr>
          <w:bCs/>
          <w:szCs w:val="24"/>
        </w:rPr>
        <w:t xml:space="preserve">which also highlighted a report produced by the </w:t>
      </w:r>
      <w:r w:rsidR="001F6AA0">
        <w:rPr>
          <w:bCs/>
          <w:szCs w:val="24"/>
        </w:rPr>
        <w:t>Question 2/1 Rapporteur Group report on this topic.</w:t>
      </w:r>
    </w:p>
    <w:p w:rsidR="007418CE" w:rsidRPr="007B36B3" w:rsidRDefault="00256D72" w:rsidP="00EA4144">
      <w:pPr>
        <w:spacing w:after="120"/>
        <w:ind w:left="391" w:hanging="391"/>
        <w:rPr>
          <w:b/>
          <w:bCs/>
          <w:szCs w:val="24"/>
        </w:rPr>
      </w:pPr>
      <w:r>
        <w:rPr>
          <w:b/>
          <w:bCs/>
          <w:szCs w:val="24"/>
        </w:rPr>
        <w:t>8</w:t>
      </w:r>
      <w:r w:rsidR="00EA4144">
        <w:rPr>
          <w:b/>
          <w:bCs/>
          <w:szCs w:val="24"/>
        </w:rPr>
        <w:t>.2</w:t>
      </w:r>
      <w:r w:rsidR="00EA4144">
        <w:rPr>
          <w:b/>
          <w:bCs/>
          <w:szCs w:val="24"/>
        </w:rPr>
        <w:tab/>
      </w:r>
      <w:r w:rsidR="007418CE" w:rsidRPr="007B36B3">
        <w:rPr>
          <w:b/>
          <w:bCs/>
          <w:szCs w:val="24"/>
        </w:rPr>
        <w:t>Study Group 2</w:t>
      </w:r>
    </w:p>
    <w:p w:rsidR="00F84914" w:rsidRPr="00957B6C" w:rsidRDefault="00133AAD">
      <w:pPr>
        <w:spacing w:before="0"/>
        <w:rPr>
          <w:rFonts w:ascii="Calibri" w:hAnsi="Calibri"/>
          <w:szCs w:val="24"/>
        </w:rPr>
      </w:pPr>
      <w:r w:rsidRPr="00957B6C">
        <w:rPr>
          <w:rFonts w:cstheme="minorBidi"/>
          <w:color w:val="000000" w:themeColor="text1"/>
        </w:rPr>
        <w:t xml:space="preserve">Dr Ahmad Reza </w:t>
      </w:r>
      <w:proofErr w:type="spellStart"/>
      <w:r w:rsidRPr="00957B6C">
        <w:rPr>
          <w:rFonts w:cstheme="minorBidi"/>
          <w:color w:val="000000" w:themeColor="text1"/>
        </w:rPr>
        <w:t>Sharafat</w:t>
      </w:r>
      <w:proofErr w:type="spellEnd"/>
      <w:r w:rsidRPr="00957B6C">
        <w:rPr>
          <w:rFonts w:cstheme="minorBidi"/>
          <w:color w:val="000000" w:themeColor="text1"/>
        </w:rPr>
        <w:t xml:space="preserve">, </w:t>
      </w:r>
      <w:r>
        <w:rPr>
          <w:rFonts w:cstheme="minorBidi"/>
          <w:color w:val="000000" w:themeColor="text1"/>
        </w:rPr>
        <w:t>Chairman of Study Group 2</w:t>
      </w:r>
      <w:r w:rsidR="00070DBE">
        <w:rPr>
          <w:rFonts w:cstheme="minorBidi"/>
          <w:color w:val="000000" w:themeColor="text1"/>
        </w:rPr>
        <w:t xml:space="preserve"> </w:t>
      </w:r>
      <w:r w:rsidRPr="00957B6C">
        <w:rPr>
          <w:rFonts w:cstheme="minorBidi"/>
          <w:color w:val="000000" w:themeColor="text1"/>
        </w:rPr>
        <w:t>pr</w:t>
      </w:r>
      <w:r w:rsidRPr="00957B6C">
        <w:rPr>
          <w:rFonts w:ascii="Calibri" w:hAnsi="Calibri"/>
          <w:szCs w:val="24"/>
        </w:rPr>
        <w:t>esent</w:t>
      </w:r>
      <w:r>
        <w:rPr>
          <w:rFonts w:ascii="Calibri" w:hAnsi="Calibri"/>
          <w:szCs w:val="24"/>
        </w:rPr>
        <w:t>ed</w:t>
      </w:r>
      <w:r w:rsidRPr="00957B6C">
        <w:rPr>
          <w:rFonts w:ascii="Calibri" w:hAnsi="Calibri"/>
          <w:szCs w:val="24"/>
        </w:rPr>
        <w:t xml:space="preserve"> the status of work </w:t>
      </w:r>
      <w:r w:rsidR="007418CE">
        <w:rPr>
          <w:rFonts w:ascii="Calibri" w:hAnsi="Calibri"/>
          <w:szCs w:val="24"/>
        </w:rPr>
        <w:t xml:space="preserve">in this group </w:t>
      </w:r>
      <w:r w:rsidRPr="00957B6C">
        <w:rPr>
          <w:rFonts w:ascii="Calibri" w:hAnsi="Calibri"/>
          <w:szCs w:val="24"/>
        </w:rPr>
        <w:t xml:space="preserve">since the </w:t>
      </w:r>
      <w:r w:rsidR="007418CE">
        <w:rPr>
          <w:rFonts w:ascii="Calibri" w:hAnsi="Calibri"/>
          <w:szCs w:val="24"/>
        </w:rPr>
        <w:t xml:space="preserve">start of the </w:t>
      </w:r>
      <w:r w:rsidRPr="00957B6C">
        <w:rPr>
          <w:rFonts w:ascii="Calibri" w:hAnsi="Calibri"/>
          <w:szCs w:val="24"/>
        </w:rPr>
        <w:t>new study period (2018-2021).</w:t>
      </w:r>
      <w:r w:rsidR="00070DBE">
        <w:rPr>
          <w:rFonts w:ascii="Calibri" w:hAnsi="Calibri"/>
          <w:szCs w:val="24"/>
        </w:rPr>
        <w:t xml:space="preserve"> </w:t>
      </w:r>
      <w:r>
        <w:rPr>
          <w:rFonts w:ascii="Calibri" w:hAnsi="Calibri"/>
          <w:szCs w:val="24"/>
        </w:rPr>
        <w:t>His report may be found</w:t>
      </w:r>
      <w:r w:rsidR="007418CE">
        <w:rPr>
          <w:rFonts w:ascii="Calibri" w:hAnsi="Calibri"/>
          <w:szCs w:val="24"/>
        </w:rPr>
        <w:t xml:space="preserve"> in </w:t>
      </w:r>
      <w:hyperlink r:id="rId51">
        <w:r w:rsidR="2D9C0B70" w:rsidRPr="00957B6C">
          <w:rPr>
            <w:rStyle w:val="Hyperlink"/>
            <w:rFonts w:cstheme="minorBidi"/>
            <w:b/>
            <w:bCs/>
          </w:rPr>
          <w:t>Document 13</w:t>
        </w:r>
      </w:hyperlink>
      <w:r w:rsidR="007418CE">
        <w:rPr>
          <w:rFonts w:cstheme="minorBidi"/>
          <w:color w:val="000000" w:themeColor="text1"/>
        </w:rPr>
        <w:t>.</w:t>
      </w:r>
      <w:r w:rsidR="007418CE">
        <w:rPr>
          <w:rFonts w:cs="Arial"/>
        </w:rPr>
        <w:t xml:space="preserve"> With seven questions</w:t>
      </w:r>
      <w:r w:rsidR="001F6AA0">
        <w:rPr>
          <w:rFonts w:cs="Arial"/>
        </w:rPr>
        <w:t>,</w:t>
      </w:r>
      <w:r w:rsidR="007418CE">
        <w:rPr>
          <w:rFonts w:cs="Arial"/>
        </w:rPr>
        <w:t xml:space="preserve"> </w:t>
      </w:r>
      <w:r w:rsidR="00116D0F" w:rsidRPr="007418CE">
        <w:rPr>
          <w:rFonts w:cstheme="minorBidi"/>
          <w:color w:val="000000" w:themeColor="text1"/>
        </w:rPr>
        <w:t xml:space="preserve">Study Group </w:t>
      </w:r>
      <w:r w:rsidR="00116D0F">
        <w:rPr>
          <w:rFonts w:cstheme="minorBidi"/>
          <w:color w:val="000000" w:themeColor="text1"/>
        </w:rPr>
        <w:t xml:space="preserve">2 </w:t>
      </w:r>
      <w:r w:rsidR="00CC01DC" w:rsidRPr="00957B6C">
        <w:rPr>
          <w:szCs w:val="24"/>
        </w:rPr>
        <w:t xml:space="preserve">covers </w:t>
      </w:r>
      <w:r w:rsidR="007418CE">
        <w:rPr>
          <w:szCs w:val="24"/>
        </w:rPr>
        <w:t>I</w:t>
      </w:r>
      <w:r w:rsidR="00CC01DC" w:rsidRPr="00957B6C">
        <w:rPr>
          <w:szCs w:val="24"/>
        </w:rPr>
        <w:t>CT services and applications to promote sustainable development</w:t>
      </w:r>
      <w:r w:rsidR="007418CE">
        <w:rPr>
          <w:rFonts w:cs="Arial"/>
        </w:rPr>
        <w:t xml:space="preserve">. </w:t>
      </w:r>
      <w:r w:rsidR="00410404">
        <w:rPr>
          <w:rFonts w:cs="Arial"/>
        </w:rPr>
        <w:t xml:space="preserve">The </w:t>
      </w:r>
      <w:r w:rsidR="00EC73BB" w:rsidRPr="00957B6C">
        <w:rPr>
          <w:rFonts w:cs="Arial"/>
        </w:rPr>
        <w:t xml:space="preserve">first </w:t>
      </w:r>
      <w:r w:rsidR="00EC73BB" w:rsidRPr="00957B6C">
        <w:rPr>
          <w:szCs w:val="24"/>
        </w:rPr>
        <w:t xml:space="preserve">meeting </w:t>
      </w:r>
      <w:r w:rsidR="00410404">
        <w:rPr>
          <w:szCs w:val="24"/>
        </w:rPr>
        <w:t xml:space="preserve">in </w:t>
      </w:r>
      <w:r w:rsidR="00492025" w:rsidRPr="00957B6C">
        <w:rPr>
          <w:szCs w:val="24"/>
        </w:rPr>
        <w:t xml:space="preserve">the </w:t>
      </w:r>
      <w:r w:rsidR="00EC73BB" w:rsidRPr="00957B6C">
        <w:rPr>
          <w:szCs w:val="24"/>
        </w:rPr>
        <w:t>2018-2021</w:t>
      </w:r>
      <w:r w:rsidR="00492025" w:rsidRPr="00957B6C">
        <w:rPr>
          <w:szCs w:val="24"/>
        </w:rPr>
        <w:t xml:space="preserve"> study </w:t>
      </w:r>
      <w:r w:rsidR="00695B65" w:rsidRPr="00957B6C">
        <w:rPr>
          <w:szCs w:val="24"/>
        </w:rPr>
        <w:t>period</w:t>
      </w:r>
      <w:r w:rsidR="00C638AC" w:rsidRPr="00957B6C">
        <w:rPr>
          <w:rFonts w:cs="Arial"/>
        </w:rPr>
        <w:t xml:space="preserve"> </w:t>
      </w:r>
      <w:r w:rsidR="00410404">
        <w:rPr>
          <w:rFonts w:cs="Arial"/>
        </w:rPr>
        <w:t>(</w:t>
      </w:r>
      <w:r w:rsidR="00C638AC" w:rsidRPr="00957B6C">
        <w:rPr>
          <w:rFonts w:cs="Arial"/>
        </w:rPr>
        <w:t xml:space="preserve">7 to 11 </w:t>
      </w:r>
      <w:r w:rsidR="00C638AC" w:rsidRPr="00957B6C">
        <w:rPr>
          <w:rFonts w:ascii="Calibri" w:hAnsi="Calibri"/>
          <w:szCs w:val="24"/>
        </w:rPr>
        <w:t>May 2018</w:t>
      </w:r>
      <w:r w:rsidR="001F6AA0">
        <w:rPr>
          <w:rFonts w:ascii="Calibri" w:hAnsi="Calibri"/>
          <w:szCs w:val="24"/>
        </w:rPr>
        <w:t xml:space="preserve">, ITU </w:t>
      </w:r>
      <w:r w:rsidR="00116D0F">
        <w:rPr>
          <w:rFonts w:ascii="Calibri" w:hAnsi="Calibri"/>
          <w:szCs w:val="24"/>
        </w:rPr>
        <w:t>h</w:t>
      </w:r>
      <w:r w:rsidR="001F6AA0">
        <w:rPr>
          <w:rFonts w:ascii="Calibri" w:hAnsi="Calibri"/>
          <w:szCs w:val="24"/>
        </w:rPr>
        <w:t>eadquarters, Geneva</w:t>
      </w:r>
      <w:r w:rsidR="00410404">
        <w:rPr>
          <w:rFonts w:ascii="Calibri" w:hAnsi="Calibri"/>
          <w:szCs w:val="24"/>
        </w:rPr>
        <w:t xml:space="preserve">) </w:t>
      </w:r>
      <w:r w:rsidR="00116D0F">
        <w:rPr>
          <w:rFonts w:ascii="Calibri" w:hAnsi="Calibri"/>
          <w:szCs w:val="24"/>
        </w:rPr>
        <w:t>was</w:t>
      </w:r>
      <w:r w:rsidR="001F5057" w:rsidRPr="00957B6C">
        <w:rPr>
          <w:szCs w:val="24"/>
        </w:rPr>
        <w:t xml:space="preserve"> </w:t>
      </w:r>
      <w:r w:rsidR="00931EE9" w:rsidRPr="00957B6C">
        <w:rPr>
          <w:szCs w:val="24"/>
        </w:rPr>
        <w:t xml:space="preserve">attended by </w:t>
      </w:r>
      <w:r w:rsidR="00931EE9" w:rsidRPr="00957B6C">
        <w:rPr>
          <w:bCs/>
          <w:szCs w:val="24"/>
        </w:rPr>
        <w:t>125 participants from 49 countries</w:t>
      </w:r>
      <w:r w:rsidR="00993676" w:rsidRPr="00957B6C">
        <w:rPr>
          <w:szCs w:val="24"/>
        </w:rPr>
        <w:t xml:space="preserve">. Highlights </w:t>
      </w:r>
      <w:r w:rsidR="00EC73BB" w:rsidRPr="00957B6C">
        <w:rPr>
          <w:szCs w:val="24"/>
        </w:rPr>
        <w:t xml:space="preserve">from this meeting </w:t>
      </w:r>
      <w:r w:rsidR="007F047F" w:rsidRPr="00957B6C">
        <w:rPr>
          <w:szCs w:val="24"/>
        </w:rPr>
        <w:t>include</w:t>
      </w:r>
      <w:r w:rsidR="00005A48">
        <w:rPr>
          <w:szCs w:val="24"/>
        </w:rPr>
        <w:t>:</w:t>
      </w:r>
      <w:r w:rsidR="00931EE9" w:rsidRPr="00957B6C">
        <w:rPr>
          <w:szCs w:val="24"/>
        </w:rPr>
        <w:t xml:space="preserve"> </w:t>
      </w:r>
      <w:r w:rsidR="007F047F" w:rsidRPr="00957B6C">
        <w:rPr>
          <w:bCs/>
          <w:szCs w:val="24"/>
        </w:rPr>
        <w:t xml:space="preserve">12 </w:t>
      </w:r>
      <w:r w:rsidR="00931EE9" w:rsidRPr="00957B6C">
        <w:rPr>
          <w:bCs/>
          <w:szCs w:val="24"/>
        </w:rPr>
        <w:t>r</w:t>
      </w:r>
      <w:r w:rsidR="007F047F" w:rsidRPr="00957B6C">
        <w:rPr>
          <w:bCs/>
          <w:szCs w:val="24"/>
        </w:rPr>
        <w:t>apporteurs/co-</w:t>
      </w:r>
      <w:r w:rsidR="00931EE9" w:rsidRPr="00957B6C">
        <w:rPr>
          <w:bCs/>
          <w:szCs w:val="24"/>
        </w:rPr>
        <w:t>r</w:t>
      </w:r>
      <w:r w:rsidR="007F047F" w:rsidRPr="00957B6C">
        <w:rPr>
          <w:bCs/>
          <w:szCs w:val="24"/>
        </w:rPr>
        <w:t xml:space="preserve">apporteurs and 47 </w:t>
      </w:r>
      <w:r w:rsidR="00931EE9" w:rsidRPr="00957B6C">
        <w:rPr>
          <w:bCs/>
          <w:szCs w:val="24"/>
        </w:rPr>
        <w:t>v</w:t>
      </w:r>
      <w:r w:rsidR="007F047F" w:rsidRPr="00957B6C">
        <w:rPr>
          <w:bCs/>
          <w:szCs w:val="24"/>
        </w:rPr>
        <w:t>ice-</w:t>
      </w:r>
      <w:r w:rsidR="00931EE9" w:rsidRPr="00957B6C">
        <w:rPr>
          <w:bCs/>
          <w:szCs w:val="24"/>
        </w:rPr>
        <w:t>r</w:t>
      </w:r>
      <w:r w:rsidR="007F047F" w:rsidRPr="00957B6C">
        <w:rPr>
          <w:bCs/>
          <w:szCs w:val="24"/>
        </w:rPr>
        <w:t xml:space="preserve">apporteurs </w:t>
      </w:r>
      <w:r w:rsidR="00005A48">
        <w:rPr>
          <w:bCs/>
          <w:szCs w:val="24"/>
        </w:rPr>
        <w:t xml:space="preserve">appointed </w:t>
      </w:r>
      <w:r w:rsidR="007F047F" w:rsidRPr="00957B6C">
        <w:rPr>
          <w:bCs/>
          <w:szCs w:val="24"/>
        </w:rPr>
        <w:t>to lead the Questions under study;</w:t>
      </w:r>
      <w:r w:rsidR="007F047F" w:rsidRPr="00957B6C">
        <w:rPr>
          <w:szCs w:val="24"/>
        </w:rPr>
        <w:t xml:space="preserve"> </w:t>
      </w:r>
      <w:r w:rsidR="007F047F" w:rsidRPr="00957B6C">
        <w:rPr>
          <w:bCs/>
          <w:szCs w:val="24"/>
        </w:rPr>
        <w:t>99 contributions;</w:t>
      </w:r>
      <w:r w:rsidR="007F047F" w:rsidRPr="00957B6C">
        <w:rPr>
          <w:szCs w:val="24"/>
        </w:rPr>
        <w:t xml:space="preserve"> </w:t>
      </w:r>
      <w:r w:rsidR="007F047F" w:rsidRPr="00957B6C">
        <w:rPr>
          <w:bCs/>
          <w:szCs w:val="24"/>
        </w:rPr>
        <w:t>40 incoming liaison statements</w:t>
      </w:r>
      <w:r w:rsidR="003C5C8E" w:rsidRPr="00957B6C">
        <w:rPr>
          <w:bCs/>
          <w:szCs w:val="24"/>
        </w:rPr>
        <w:t>;</w:t>
      </w:r>
      <w:r w:rsidR="003C5C8E" w:rsidRPr="00957B6C">
        <w:rPr>
          <w:szCs w:val="24"/>
        </w:rPr>
        <w:t xml:space="preserve"> </w:t>
      </w:r>
      <w:r w:rsidR="007F047F" w:rsidRPr="00957B6C">
        <w:rPr>
          <w:bCs/>
          <w:szCs w:val="24"/>
        </w:rPr>
        <w:t xml:space="preserve">18 outgoing liaison </w:t>
      </w:r>
      <w:r w:rsidR="007F047F" w:rsidRPr="00957B6C">
        <w:rPr>
          <w:bCs/>
          <w:szCs w:val="24"/>
        </w:rPr>
        <w:lastRenderedPageBreak/>
        <w:t>statements</w:t>
      </w:r>
      <w:r w:rsidR="00FE7EFB" w:rsidRPr="00957B6C">
        <w:rPr>
          <w:bCs/>
          <w:szCs w:val="24"/>
        </w:rPr>
        <w:t xml:space="preserve">; </w:t>
      </w:r>
      <w:r w:rsidR="0002269B" w:rsidRPr="00957B6C">
        <w:rPr>
          <w:bCs/>
          <w:szCs w:val="24"/>
        </w:rPr>
        <w:t xml:space="preserve">the approval of </w:t>
      </w:r>
      <w:r w:rsidR="00FE7EFB" w:rsidRPr="00957B6C">
        <w:rPr>
          <w:bCs/>
          <w:szCs w:val="24"/>
        </w:rPr>
        <w:t xml:space="preserve">draft work plans </w:t>
      </w:r>
      <w:r w:rsidR="0002269B" w:rsidRPr="00957B6C">
        <w:rPr>
          <w:bCs/>
          <w:szCs w:val="24"/>
        </w:rPr>
        <w:t xml:space="preserve">and </w:t>
      </w:r>
      <w:r w:rsidR="00FE7EFB" w:rsidRPr="00957B6C">
        <w:rPr>
          <w:bCs/>
          <w:szCs w:val="24"/>
        </w:rPr>
        <w:t xml:space="preserve">initial outlines/tables of contents </w:t>
      </w:r>
      <w:r w:rsidR="00005A48">
        <w:rPr>
          <w:bCs/>
          <w:szCs w:val="24"/>
        </w:rPr>
        <w:t>f</w:t>
      </w:r>
      <w:r w:rsidR="00FE7EFB" w:rsidRPr="00957B6C">
        <w:rPr>
          <w:bCs/>
          <w:szCs w:val="24"/>
        </w:rPr>
        <w:t>o</w:t>
      </w:r>
      <w:r w:rsidR="00005A48">
        <w:rPr>
          <w:bCs/>
          <w:szCs w:val="24"/>
        </w:rPr>
        <w:t>r</w:t>
      </w:r>
      <w:r w:rsidR="00FE7EFB" w:rsidRPr="00957B6C">
        <w:rPr>
          <w:bCs/>
          <w:szCs w:val="24"/>
        </w:rPr>
        <w:t xml:space="preserve"> </w:t>
      </w:r>
      <w:r w:rsidR="00005A48">
        <w:rPr>
          <w:bCs/>
          <w:szCs w:val="24"/>
        </w:rPr>
        <w:t>all</w:t>
      </w:r>
      <w:r w:rsidR="00070DBE">
        <w:rPr>
          <w:bCs/>
          <w:szCs w:val="24"/>
        </w:rPr>
        <w:t xml:space="preserve"> </w:t>
      </w:r>
      <w:r w:rsidR="00FE7EFB" w:rsidRPr="00957B6C">
        <w:rPr>
          <w:bCs/>
          <w:szCs w:val="24"/>
        </w:rPr>
        <w:t xml:space="preserve">expected outputs </w:t>
      </w:r>
      <w:r w:rsidR="00005A48">
        <w:rPr>
          <w:bCs/>
          <w:szCs w:val="24"/>
        </w:rPr>
        <w:t>assigned by WTDC-17</w:t>
      </w:r>
      <w:r w:rsidR="00FE7EFB" w:rsidRPr="00957B6C">
        <w:rPr>
          <w:bCs/>
          <w:szCs w:val="24"/>
        </w:rPr>
        <w:t>.</w:t>
      </w:r>
      <w:r w:rsidR="007418CE">
        <w:rPr>
          <w:szCs w:val="24"/>
        </w:rPr>
        <w:t xml:space="preserve"> </w:t>
      </w:r>
      <w:r w:rsidR="00410404">
        <w:rPr>
          <w:szCs w:val="24"/>
        </w:rPr>
        <w:t xml:space="preserve">Subsequent </w:t>
      </w:r>
      <w:r w:rsidR="00116D0F">
        <w:rPr>
          <w:rFonts w:ascii="Calibri" w:hAnsi="Calibri"/>
          <w:szCs w:val="24"/>
        </w:rPr>
        <w:t>r</w:t>
      </w:r>
      <w:r w:rsidR="000A3CE0" w:rsidRPr="00957B6C">
        <w:rPr>
          <w:rFonts w:ascii="Calibri" w:hAnsi="Calibri"/>
          <w:szCs w:val="24"/>
        </w:rPr>
        <w:t xml:space="preserve">apporteur group </w:t>
      </w:r>
      <w:r w:rsidR="002943EA" w:rsidRPr="00957B6C">
        <w:rPr>
          <w:rFonts w:ascii="Calibri" w:hAnsi="Calibri"/>
          <w:szCs w:val="24"/>
        </w:rPr>
        <w:t xml:space="preserve">meetings </w:t>
      </w:r>
      <w:r w:rsidR="00410404">
        <w:rPr>
          <w:rFonts w:ascii="Calibri" w:hAnsi="Calibri"/>
          <w:szCs w:val="24"/>
        </w:rPr>
        <w:t>(</w:t>
      </w:r>
      <w:r w:rsidR="001F5057" w:rsidRPr="00957B6C">
        <w:rPr>
          <w:rFonts w:ascii="Calibri" w:hAnsi="Calibri"/>
          <w:szCs w:val="24"/>
        </w:rPr>
        <w:t>1 to 1</w:t>
      </w:r>
      <w:r w:rsidR="002943EA" w:rsidRPr="00957B6C">
        <w:rPr>
          <w:rFonts w:ascii="Calibri" w:hAnsi="Calibri"/>
          <w:szCs w:val="24"/>
        </w:rPr>
        <w:t>1 October 2</w:t>
      </w:r>
      <w:r w:rsidR="00740481" w:rsidRPr="00957B6C">
        <w:rPr>
          <w:rFonts w:ascii="Calibri" w:hAnsi="Calibri"/>
          <w:szCs w:val="24"/>
        </w:rPr>
        <w:t>018</w:t>
      </w:r>
      <w:r w:rsidR="00410404">
        <w:rPr>
          <w:rFonts w:ascii="Calibri" w:hAnsi="Calibri"/>
          <w:szCs w:val="24"/>
        </w:rPr>
        <w:t>)</w:t>
      </w:r>
      <w:r w:rsidR="008421E5" w:rsidRPr="00957B6C">
        <w:rPr>
          <w:rFonts w:ascii="Calibri" w:hAnsi="Calibri"/>
          <w:szCs w:val="24"/>
        </w:rPr>
        <w:t xml:space="preserve"> </w:t>
      </w:r>
      <w:r w:rsidR="00740481" w:rsidRPr="00957B6C">
        <w:rPr>
          <w:bCs/>
          <w:szCs w:val="24"/>
        </w:rPr>
        <w:t xml:space="preserve">refined the outlines of study group Question deliverables and continued </w:t>
      </w:r>
      <w:r w:rsidR="0002269B" w:rsidRPr="00957B6C">
        <w:rPr>
          <w:bCs/>
          <w:szCs w:val="24"/>
        </w:rPr>
        <w:t>t</w:t>
      </w:r>
      <w:r w:rsidR="007418CE">
        <w:rPr>
          <w:bCs/>
          <w:szCs w:val="24"/>
        </w:rPr>
        <w:t>o</w:t>
      </w:r>
      <w:r w:rsidR="0002269B" w:rsidRPr="00957B6C">
        <w:rPr>
          <w:bCs/>
          <w:szCs w:val="24"/>
        </w:rPr>
        <w:t xml:space="preserve"> </w:t>
      </w:r>
      <w:r w:rsidR="007418CE" w:rsidRPr="00957B6C">
        <w:rPr>
          <w:bCs/>
          <w:szCs w:val="24"/>
        </w:rPr>
        <w:t>exchang</w:t>
      </w:r>
      <w:r w:rsidR="007418CE">
        <w:rPr>
          <w:bCs/>
          <w:szCs w:val="24"/>
        </w:rPr>
        <w:t>e</w:t>
      </w:r>
      <w:r w:rsidR="007418CE" w:rsidRPr="00957B6C">
        <w:rPr>
          <w:bCs/>
          <w:szCs w:val="24"/>
        </w:rPr>
        <w:t xml:space="preserve"> information </w:t>
      </w:r>
      <w:r w:rsidR="007418CE">
        <w:rPr>
          <w:bCs/>
          <w:szCs w:val="24"/>
        </w:rPr>
        <w:t>and develop text to be included in</w:t>
      </w:r>
      <w:r w:rsidR="007418CE" w:rsidRPr="00957B6C">
        <w:rPr>
          <w:bCs/>
          <w:szCs w:val="24"/>
        </w:rPr>
        <w:t xml:space="preserve"> the reports, guidelines and case studies.</w:t>
      </w:r>
    </w:p>
    <w:p w:rsidR="00005A48" w:rsidRDefault="00CA46E1" w:rsidP="00005A48">
      <w:pPr>
        <w:spacing w:after="120"/>
        <w:rPr>
          <w:bCs/>
          <w:szCs w:val="24"/>
        </w:rPr>
      </w:pPr>
      <w:r w:rsidRPr="00957B6C">
        <w:rPr>
          <w:rFonts w:ascii="Calibri" w:hAnsi="Calibri"/>
          <w:szCs w:val="24"/>
        </w:rPr>
        <w:t xml:space="preserve">The second </w:t>
      </w:r>
      <w:r w:rsidR="00005A48">
        <w:rPr>
          <w:rFonts w:ascii="Calibri" w:hAnsi="Calibri"/>
          <w:szCs w:val="24"/>
        </w:rPr>
        <w:t xml:space="preserve">annual </w:t>
      </w:r>
      <w:r w:rsidRPr="00957B6C">
        <w:rPr>
          <w:rFonts w:ascii="Calibri" w:hAnsi="Calibri"/>
          <w:szCs w:val="24"/>
        </w:rPr>
        <w:t xml:space="preserve">meeting </w:t>
      </w:r>
      <w:r w:rsidR="00410404">
        <w:rPr>
          <w:szCs w:val="24"/>
        </w:rPr>
        <w:t>(2</w:t>
      </w:r>
      <w:r w:rsidR="004C368B" w:rsidRPr="00957B6C">
        <w:rPr>
          <w:szCs w:val="24"/>
        </w:rPr>
        <w:t>5 to 29 March 2019</w:t>
      </w:r>
      <w:r w:rsidR="00410404">
        <w:rPr>
          <w:szCs w:val="24"/>
        </w:rPr>
        <w:t>)</w:t>
      </w:r>
      <w:r w:rsidRPr="00957B6C">
        <w:rPr>
          <w:szCs w:val="24"/>
        </w:rPr>
        <w:t xml:space="preserve"> </w:t>
      </w:r>
      <w:r w:rsidR="00550318">
        <w:rPr>
          <w:szCs w:val="24"/>
        </w:rPr>
        <w:t>which immediately preceded TDAG-19,</w:t>
      </w:r>
      <w:r w:rsidR="00070DBE">
        <w:rPr>
          <w:szCs w:val="24"/>
        </w:rPr>
        <w:t xml:space="preserve"> </w:t>
      </w:r>
      <w:r w:rsidRPr="00957B6C">
        <w:rPr>
          <w:szCs w:val="24"/>
        </w:rPr>
        <w:t>brought together</w:t>
      </w:r>
      <w:r w:rsidR="00B31A42" w:rsidRPr="00957B6C">
        <w:rPr>
          <w:szCs w:val="24"/>
        </w:rPr>
        <w:t xml:space="preserve"> </w:t>
      </w:r>
      <w:r w:rsidRPr="00957B6C">
        <w:rPr>
          <w:bCs/>
          <w:szCs w:val="24"/>
        </w:rPr>
        <w:t xml:space="preserve">133 participants from 49 countries. </w:t>
      </w:r>
      <w:r w:rsidR="00410404">
        <w:rPr>
          <w:bCs/>
          <w:szCs w:val="24"/>
        </w:rPr>
        <w:t>Participants at t</w:t>
      </w:r>
      <w:r w:rsidRPr="00957B6C">
        <w:rPr>
          <w:bCs/>
          <w:szCs w:val="24"/>
        </w:rPr>
        <w:t xml:space="preserve">his meeting appointed </w:t>
      </w:r>
      <w:r w:rsidRPr="00957B6C">
        <w:rPr>
          <w:szCs w:val="24"/>
        </w:rPr>
        <w:t xml:space="preserve">two </w:t>
      </w:r>
      <w:r w:rsidRPr="00957B6C">
        <w:rPr>
          <w:bCs/>
          <w:szCs w:val="24"/>
        </w:rPr>
        <w:t>additional co-rapporteurs and seven additional vice-rapporteurs to support the Questions under study;</w:t>
      </w:r>
      <w:r w:rsidRPr="00957B6C">
        <w:rPr>
          <w:szCs w:val="24"/>
        </w:rPr>
        <w:t xml:space="preserve"> received </w:t>
      </w:r>
      <w:r w:rsidRPr="00957B6C">
        <w:rPr>
          <w:bCs/>
          <w:szCs w:val="24"/>
        </w:rPr>
        <w:t>101 contributions to advance the work, including draft chapters for final output reports and annual deliverables;</w:t>
      </w:r>
      <w:r w:rsidRPr="00957B6C">
        <w:rPr>
          <w:szCs w:val="24"/>
        </w:rPr>
        <w:t xml:space="preserve"> received </w:t>
      </w:r>
      <w:r w:rsidRPr="00957B6C">
        <w:rPr>
          <w:bCs/>
          <w:szCs w:val="24"/>
        </w:rPr>
        <w:t xml:space="preserve">27 incoming liaison statements and agreed on and </w:t>
      </w:r>
      <w:r w:rsidR="008A0D8D" w:rsidRPr="00957B6C">
        <w:rPr>
          <w:bCs/>
          <w:szCs w:val="24"/>
        </w:rPr>
        <w:t>dispatched</w:t>
      </w:r>
      <w:r w:rsidRPr="00957B6C">
        <w:rPr>
          <w:bCs/>
          <w:szCs w:val="24"/>
        </w:rPr>
        <w:t xml:space="preserve"> 15 outgoing liaison statements.</w:t>
      </w:r>
      <w:r w:rsidR="00760C4A" w:rsidRPr="00957B6C">
        <w:rPr>
          <w:szCs w:val="24"/>
        </w:rPr>
        <w:t xml:space="preserve"> </w:t>
      </w:r>
      <w:r w:rsidR="00005A48">
        <w:rPr>
          <w:bCs/>
          <w:szCs w:val="24"/>
        </w:rPr>
        <w:t xml:space="preserve">The meeting also featured a successful discussion panel on a </w:t>
      </w:r>
      <w:r w:rsidR="00005A48" w:rsidRPr="00957B6C">
        <w:rPr>
          <w:szCs w:val="24"/>
          <w:lang w:eastAsia="fr-FR"/>
        </w:rPr>
        <w:t>holistic approach to creating smart societies</w:t>
      </w:r>
      <w:r w:rsidR="00005A48">
        <w:rPr>
          <w:szCs w:val="24"/>
          <w:lang w:eastAsia="fr-FR"/>
        </w:rPr>
        <w:t xml:space="preserve"> which also </w:t>
      </w:r>
      <w:r w:rsidR="00005A48">
        <w:rPr>
          <w:bCs/>
          <w:szCs w:val="24"/>
        </w:rPr>
        <w:t>highlighted a report produced by the Question 1/2 Rapporteur Group on this topic.</w:t>
      </w:r>
    </w:p>
    <w:p w:rsidR="007418CE" w:rsidRPr="007B36B3" w:rsidRDefault="00256D72" w:rsidP="00EA4144">
      <w:pPr>
        <w:tabs>
          <w:tab w:val="clear" w:pos="1134"/>
          <w:tab w:val="clear" w:pos="1871"/>
          <w:tab w:val="clear" w:pos="2268"/>
          <w:tab w:val="left" w:pos="794"/>
          <w:tab w:val="left" w:pos="1191"/>
          <w:tab w:val="left" w:pos="1588"/>
          <w:tab w:val="left" w:pos="1985"/>
        </w:tabs>
        <w:spacing w:after="120"/>
        <w:ind w:left="391" w:hanging="391"/>
        <w:rPr>
          <w:b/>
          <w:bCs/>
        </w:rPr>
      </w:pPr>
      <w:r>
        <w:rPr>
          <w:b/>
          <w:bCs/>
        </w:rPr>
        <w:t>8</w:t>
      </w:r>
      <w:r w:rsidR="007418CE" w:rsidRPr="007B36B3">
        <w:rPr>
          <w:b/>
          <w:bCs/>
        </w:rPr>
        <w:t>.3</w:t>
      </w:r>
      <w:r w:rsidR="00EA4144">
        <w:rPr>
          <w:b/>
          <w:bCs/>
        </w:rPr>
        <w:tab/>
      </w:r>
      <w:r w:rsidR="007418CE" w:rsidRPr="007B36B3">
        <w:rPr>
          <w:b/>
          <w:bCs/>
        </w:rPr>
        <w:t>Annual Reports</w:t>
      </w:r>
    </w:p>
    <w:p w:rsidR="00F81BBB" w:rsidRDefault="00550318">
      <w:pPr>
        <w:tabs>
          <w:tab w:val="clear" w:pos="1134"/>
          <w:tab w:val="clear" w:pos="1871"/>
          <w:tab w:val="clear" w:pos="2268"/>
          <w:tab w:val="left" w:pos="794"/>
          <w:tab w:val="left" w:pos="1191"/>
          <w:tab w:val="left" w:pos="1588"/>
          <w:tab w:val="left" w:pos="1985"/>
        </w:tabs>
        <w:spacing w:after="120"/>
        <w:textAlignment w:val="auto"/>
      </w:pPr>
      <w:r w:rsidRPr="00957B6C">
        <w:rPr>
          <w:bCs/>
          <w:szCs w:val="24"/>
        </w:rPr>
        <w:t>A</w:t>
      </w:r>
      <w:r>
        <w:rPr>
          <w:bCs/>
          <w:szCs w:val="24"/>
        </w:rPr>
        <w:t xml:space="preserve">s encouraged by WTDC-17 and the </w:t>
      </w:r>
      <w:r w:rsidR="00587A91">
        <w:rPr>
          <w:bCs/>
          <w:szCs w:val="24"/>
        </w:rPr>
        <w:t>chairmen</w:t>
      </w:r>
      <w:r>
        <w:rPr>
          <w:bCs/>
          <w:szCs w:val="24"/>
        </w:rPr>
        <w:t xml:space="preserve"> of the study groups, at their second annual meetings </w:t>
      </w:r>
      <w:r w:rsidR="007335A8">
        <w:rPr>
          <w:bCs/>
          <w:szCs w:val="24"/>
        </w:rPr>
        <w:t xml:space="preserve">(March 2019) </w:t>
      </w:r>
      <w:r>
        <w:rPr>
          <w:bCs/>
          <w:szCs w:val="24"/>
        </w:rPr>
        <w:t>that immediately preceded TDAG-19,</w:t>
      </w:r>
      <w:r w:rsidR="00070DBE">
        <w:rPr>
          <w:bCs/>
          <w:szCs w:val="24"/>
        </w:rPr>
        <w:t xml:space="preserve"> </w:t>
      </w:r>
      <w:r w:rsidR="00587A91" w:rsidRPr="007418CE">
        <w:rPr>
          <w:rFonts w:cstheme="minorBidi"/>
          <w:color w:val="000000" w:themeColor="text1"/>
        </w:rPr>
        <w:t>Study Group 1</w:t>
      </w:r>
      <w:r w:rsidR="009D2C8D">
        <w:rPr>
          <w:bCs/>
          <w:szCs w:val="24"/>
        </w:rPr>
        <w:t xml:space="preserve"> and</w:t>
      </w:r>
      <w:r w:rsidR="00070DBE">
        <w:rPr>
          <w:bCs/>
          <w:szCs w:val="24"/>
        </w:rPr>
        <w:t xml:space="preserve"> </w:t>
      </w:r>
      <w:r w:rsidR="00587A91" w:rsidRPr="007418CE">
        <w:rPr>
          <w:rFonts w:cstheme="minorBidi"/>
          <w:color w:val="000000" w:themeColor="text1"/>
        </w:rPr>
        <w:t xml:space="preserve">Study Group </w:t>
      </w:r>
      <w:r w:rsidR="00587A91">
        <w:rPr>
          <w:rFonts w:cstheme="minorBidi"/>
          <w:color w:val="000000" w:themeColor="text1"/>
        </w:rPr>
        <w:t>2</w:t>
      </w:r>
      <w:r w:rsidR="009D2C8D">
        <w:rPr>
          <w:bCs/>
          <w:szCs w:val="24"/>
        </w:rPr>
        <w:t xml:space="preserve"> </w:t>
      </w:r>
      <w:r w:rsidR="00005A48">
        <w:rPr>
          <w:bCs/>
          <w:szCs w:val="24"/>
        </w:rPr>
        <w:t xml:space="preserve">each </w:t>
      </w:r>
      <w:r>
        <w:rPr>
          <w:bCs/>
          <w:szCs w:val="24"/>
        </w:rPr>
        <w:t>presented the f</w:t>
      </w:r>
      <w:r w:rsidRPr="00957B6C">
        <w:rPr>
          <w:bCs/>
          <w:szCs w:val="24"/>
        </w:rPr>
        <w:t xml:space="preserve">irst </w:t>
      </w:r>
      <w:r w:rsidR="00005A48">
        <w:rPr>
          <w:bCs/>
          <w:szCs w:val="24"/>
        </w:rPr>
        <w:t>“</w:t>
      </w:r>
      <w:r w:rsidRPr="00957B6C">
        <w:rPr>
          <w:bCs/>
          <w:szCs w:val="24"/>
        </w:rPr>
        <w:t>annual deliverable</w:t>
      </w:r>
      <w:r>
        <w:rPr>
          <w:bCs/>
          <w:szCs w:val="24"/>
        </w:rPr>
        <w:t>s</w:t>
      </w:r>
      <w:r w:rsidR="00005A48">
        <w:rPr>
          <w:bCs/>
          <w:szCs w:val="24"/>
        </w:rPr>
        <w:t>”</w:t>
      </w:r>
      <w:r w:rsidRPr="00957B6C">
        <w:rPr>
          <w:bCs/>
          <w:szCs w:val="24"/>
        </w:rPr>
        <w:t xml:space="preserve"> </w:t>
      </w:r>
      <w:r>
        <w:rPr>
          <w:bCs/>
          <w:szCs w:val="24"/>
        </w:rPr>
        <w:t>produced by the ITU-D study groups</w:t>
      </w:r>
      <w:r w:rsidR="00005A48">
        <w:rPr>
          <w:bCs/>
          <w:szCs w:val="24"/>
        </w:rPr>
        <w:t xml:space="preserve"> since their inception</w:t>
      </w:r>
      <w:r>
        <w:rPr>
          <w:bCs/>
          <w:szCs w:val="24"/>
        </w:rPr>
        <w:t>.</w:t>
      </w:r>
      <w:r w:rsidR="00070DBE">
        <w:rPr>
          <w:bCs/>
          <w:szCs w:val="24"/>
        </w:rPr>
        <w:t xml:space="preserve"> </w:t>
      </w:r>
      <w:r w:rsidR="00587A91" w:rsidRPr="007418CE">
        <w:rPr>
          <w:rFonts w:cstheme="minorBidi"/>
          <w:color w:val="000000" w:themeColor="text1"/>
        </w:rPr>
        <w:t>Study Group 1</w:t>
      </w:r>
      <w:r w:rsidR="00587A91">
        <w:rPr>
          <w:rFonts w:cstheme="minorBidi"/>
          <w:color w:val="000000" w:themeColor="text1"/>
        </w:rPr>
        <w:t xml:space="preserve"> </w:t>
      </w:r>
      <w:r>
        <w:rPr>
          <w:bCs/>
          <w:szCs w:val="24"/>
        </w:rPr>
        <w:t xml:space="preserve">presented a report entitled </w:t>
      </w:r>
      <w:r w:rsidRPr="007B36B3">
        <w:rPr>
          <w:b/>
          <w:bCs/>
          <w:i/>
          <w:szCs w:val="24"/>
        </w:rPr>
        <w:t xml:space="preserve">Trends in </w:t>
      </w:r>
      <w:r w:rsidR="00C64C3D">
        <w:rPr>
          <w:b/>
          <w:bCs/>
          <w:i/>
          <w:szCs w:val="24"/>
        </w:rPr>
        <w:t>New</w:t>
      </w:r>
      <w:r w:rsidRPr="007B36B3">
        <w:rPr>
          <w:b/>
          <w:bCs/>
          <w:i/>
          <w:szCs w:val="24"/>
        </w:rPr>
        <w:t xml:space="preserve"> </w:t>
      </w:r>
      <w:r w:rsidR="00C64C3D">
        <w:rPr>
          <w:b/>
          <w:bCs/>
          <w:i/>
          <w:szCs w:val="24"/>
        </w:rPr>
        <w:t>B</w:t>
      </w:r>
      <w:r w:rsidRPr="007B36B3">
        <w:rPr>
          <w:b/>
          <w:bCs/>
          <w:i/>
          <w:szCs w:val="24"/>
        </w:rPr>
        <w:t xml:space="preserve">roadcasting </w:t>
      </w:r>
      <w:r w:rsidR="00C64C3D">
        <w:rPr>
          <w:b/>
          <w:bCs/>
          <w:i/>
          <w:szCs w:val="24"/>
        </w:rPr>
        <w:t>T</w:t>
      </w:r>
      <w:r w:rsidRPr="007B36B3">
        <w:rPr>
          <w:b/>
          <w:bCs/>
          <w:i/>
          <w:szCs w:val="24"/>
        </w:rPr>
        <w:t xml:space="preserve">echnologies, </w:t>
      </w:r>
      <w:r w:rsidR="00C64C3D">
        <w:rPr>
          <w:b/>
          <w:bCs/>
          <w:i/>
          <w:szCs w:val="24"/>
        </w:rPr>
        <w:t>S</w:t>
      </w:r>
      <w:r w:rsidRPr="007B36B3">
        <w:rPr>
          <w:b/>
          <w:bCs/>
          <w:i/>
          <w:szCs w:val="24"/>
        </w:rPr>
        <w:t xml:space="preserve">ervices and </w:t>
      </w:r>
      <w:r w:rsidR="00C64C3D">
        <w:rPr>
          <w:b/>
          <w:bCs/>
          <w:i/>
          <w:szCs w:val="24"/>
        </w:rPr>
        <w:t>A</w:t>
      </w:r>
      <w:r w:rsidRPr="007B36B3">
        <w:rPr>
          <w:b/>
          <w:bCs/>
          <w:i/>
          <w:szCs w:val="24"/>
        </w:rPr>
        <w:t>pplications</w:t>
      </w:r>
      <w:r w:rsidR="007335A8">
        <w:rPr>
          <w:rStyle w:val="FootnoteReference"/>
          <w:b/>
          <w:bCs/>
          <w:i/>
          <w:szCs w:val="24"/>
        </w:rPr>
        <w:footnoteReference w:id="8"/>
      </w:r>
      <w:r>
        <w:rPr>
          <w:bCs/>
          <w:szCs w:val="24"/>
        </w:rPr>
        <w:t xml:space="preserve"> and</w:t>
      </w:r>
      <w:r w:rsidR="00070DBE">
        <w:rPr>
          <w:bCs/>
          <w:szCs w:val="24"/>
        </w:rPr>
        <w:t xml:space="preserve"> </w:t>
      </w:r>
      <w:r w:rsidR="00587A91" w:rsidRPr="007418CE">
        <w:rPr>
          <w:rFonts w:cstheme="minorBidi"/>
          <w:color w:val="000000" w:themeColor="text1"/>
        </w:rPr>
        <w:t xml:space="preserve">Study Group </w:t>
      </w:r>
      <w:r w:rsidR="00587A91">
        <w:rPr>
          <w:rFonts w:cstheme="minorBidi"/>
          <w:color w:val="000000" w:themeColor="text1"/>
        </w:rPr>
        <w:t xml:space="preserve">2 </w:t>
      </w:r>
      <w:r>
        <w:rPr>
          <w:bCs/>
          <w:szCs w:val="24"/>
        </w:rPr>
        <w:t xml:space="preserve">presented </w:t>
      </w:r>
      <w:r w:rsidR="00FE3E4A">
        <w:t xml:space="preserve">a report </w:t>
      </w:r>
      <w:r w:rsidR="009D1EB3" w:rsidRPr="00957B6C">
        <w:t xml:space="preserve">entitled </w:t>
      </w:r>
      <w:r w:rsidR="009D1EB3" w:rsidRPr="007B36B3">
        <w:rPr>
          <w:b/>
          <w:i/>
        </w:rPr>
        <w:t xml:space="preserve">A </w:t>
      </w:r>
      <w:r w:rsidR="00C64C3D">
        <w:rPr>
          <w:b/>
          <w:i/>
        </w:rPr>
        <w:t>H</w:t>
      </w:r>
      <w:r w:rsidR="009D1EB3" w:rsidRPr="007B36B3">
        <w:rPr>
          <w:b/>
          <w:i/>
        </w:rPr>
        <w:t xml:space="preserve">olistic </w:t>
      </w:r>
      <w:r w:rsidR="00C64C3D">
        <w:rPr>
          <w:b/>
          <w:i/>
        </w:rPr>
        <w:t>A</w:t>
      </w:r>
      <w:r w:rsidR="009D1EB3" w:rsidRPr="007B36B3">
        <w:rPr>
          <w:b/>
          <w:i/>
        </w:rPr>
        <w:t xml:space="preserve">pproach to </w:t>
      </w:r>
      <w:r w:rsidR="00C64C3D">
        <w:rPr>
          <w:b/>
          <w:i/>
        </w:rPr>
        <w:t>C</w:t>
      </w:r>
      <w:r w:rsidR="009D1EB3" w:rsidRPr="007B36B3">
        <w:rPr>
          <w:b/>
          <w:i/>
        </w:rPr>
        <w:t xml:space="preserve">reating </w:t>
      </w:r>
      <w:r w:rsidR="00C64C3D">
        <w:rPr>
          <w:b/>
          <w:i/>
        </w:rPr>
        <w:t>S</w:t>
      </w:r>
      <w:r w:rsidR="009D1EB3" w:rsidRPr="007B36B3">
        <w:rPr>
          <w:b/>
          <w:i/>
        </w:rPr>
        <w:t xml:space="preserve">mart </w:t>
      </w:r>
      <w:r w:rsidR="00C64C3D">
        <w:rPr>
          <w:b/>
          <w:i/>
        </w:rPr>
        <w:t>S</w:t>
      </w:r>
      <w:r w:rsidR="009D1EB3" w:rsidRPr="007B36B3">
        <w:rPr>
          <w:b/>
          <w:i/>
        </w:rPr>
        <w:t>ocieties</w:t>
      </w:r>
      <w:r w:rsidR="007335A8">
        <w:rPr>
          <w:b/>
          <w:i/>
        </w:rPr>
        <w:t>.</w:t>
      </w:r>
      <w:r w:rsidR="007335A8">
        <w:rPr>
          <w:rStyle w:val="FootnoteReference"/>
          <w:b/>
          <w:i/>
        </w:rPr>
        <w:footnoteReference w:id="9"/>
      </w:r>
      <w:r w:rsidR="007335A8">
        <w:rPr>
          <w:b/>
          <w:i/>
        </w:rPr>
        <w:t xml:space="preserve"> </w:t>
      </w:r>
      <w:r w:rsidR="009D1EB3" w:rsidRPr="00957B6C">
        <w:t xml:space="preserve">The </w:t>
      </w:r>
      <w:r w:rsidR="007335A8">
        <w:t xml:space="preserve">latter report suggests </w:t>
      </w:r>
      <w:r w:rsidR="009D1EB3" w:rsidRPr="00957B6C">
        <w:rPr>
          <w:szCs w:val="24"/>
          <w:lang w:eastAsia="fr-FR"/>
        </w:rPr>
        <w:t xml:space="preserve">key principles </w:t>
      </w:r>
      <w:r w:rsidR="007335A8">
        <w:rPr>
          <w:szCs w:val="24"/>
          <w:lang w:eastAsia="fr-FR"/>
        </w:rPr>
        <w:t xml:space="preserve">in </w:t>
      </w:r>
      <w:r w:rsidR="00B31A42" w:rsidRPr="00957B6C">
        <w:rPr>
          <w:szCs w:val="24"/>
          <w:lang w:eastAsia="fr-FR"/>
        </w:rPr>
        <w:t>a holistic approach to creating</w:t>
      </w:r>
      <w:r w:rsidR="009D1EB3" w:rsidRPr="00957B6C">
        <w:rPr>
          <w:szCs w:val="24"/>
          <w:lang w:eastAsia="fr-FR"/>
        </w:rPr>
        <w:t xml:space="preserve"> smart societies, describe</w:t>
      </w:r>
      <w:r w:rsidR="00B31A42" w:rsidRPr="00957B6C">
        <w:rPr>
          <w:szCs w:val="24"/>
          <w:lang w:eastAsia="fr-FR"/>
        </w:rPr>
        <w:t>s</w:t>
      </w:r>
      <w:r w:rsidR="009D1EB3" w:rsidRPr="00957B6C">
        <w:rPr>
          <w:szCs w:val="24"/>
          <w:lang w:eastAsia="fr-FR"/>
        </w:rPr>
        <w:t xml:space="preserve"> components of a layered architecture </w:t>
      </w:r>
      <w:r w:rsidR="007335A8">
        <w:rPr>
          <w:szCs w:val="24"/>
          <w:lang w:eastAsia="fr-FR"/>
        </w:rPr>
        <w:t>f</w:t>
      </w:r>
      <w:r w:rsidR="009D1EB3" w:rsidRPr="00957B6C">
        <w:rPr>
          <w:szCs w:val="24"/>
          <w:lang w:eastAsia="fr-FR"/>
        </w:rPr>
        <w:t>o</w:t>
      </w:r>
      <w:r w:rsidR="007335A8">
        <w:rPr>
          <w:szCs w:val="24"/>
          <w:lang w:eastAsia="fr-FR"/>
        </w:rPr>
        <w:t>r</w:t>
      </w:r>
      <w:r w:rsidR="009D1EB3" w:rsidRPr="00957B6C">
        <w:rPr>
          <w:szCs w:val="24"/>
          <w:lang w:eastAsia="fr-FR"/>
        </w:rPr>
        <w:t xml:space="preserve"> a smart city and society</w:t>
      </w:r>
      <w:r w:rsidR="00B31A42" w:rsidRPr="00957B6C">
        <w:rPr>
          <w:szCs w:val="24"/>
          <w:lang w:eastAsia="fr-FR"/>
        </w:rPr>
        <w:t xml:space="preserve"> and features </w:t>
      </w:r>
      <w:r w:rsidR="009D1EB3" w:rsidRPr="00957B6C">
        <w:rPr>
          <w:szCs w:val="24"/>
          <w:lang w:eastAsia="fr-FR"/>
        </w:rPr>
        <w:t xml:space="preserve">some related case studies. </w:t>
      </w:r>
    </w:p>
    <w:p w:rsidR="00ED7BFD" w:rsidRPr="009F247A" w:rsidRDefault="007335A8">
      <w:pPr>
        <w:tabs>
          <w:tab w:val="clear" w:pos="1134"/>
          <w:tab w:val="clear" w:pos="1871"/>
          <w:tab w:val="clear" w:pos="2268"/>
          <w:tab w:val="left" w:pos="794"/>
          <w:tab w:val="left" w:pos="1191"/>
          <w:tab w:val="left" w:pos="1588"/>
          <w:tab w:val="left" w:pos="1985"/>
        </w:tabs>
        <w:spacing w:after="120"/>
        <w:textAlignment w:val="auto"/>
        <w:rPr>
          <w:szCs w:val="24"/>
        </w:rPr>
      </w:pPr>
      <w:r w:rsidRPr="00957B6C">
        <w:rPr>
          <w:bCs/>
          <w:szCs w:val="24"/>
        </w:rPr>
        <w:t>Th</w:t>
      </w:r>
      <w:r>
        <w:rPr>
          <w:bCs/>
          <w:szCs w:val="24"/>
        </w:rPr>
        <w:t xml:space="preserve">ese reports </w:t>
      </w:r>
      <w:r w:rsidRPr="00957B6C">
        <w:rPr>
          <w:bCs/>
          <w:szCs w:val="24"/>
        </w:rPr>
        <w:t>w</w:t>
      </w:r>
      <w:r>
        <w:rPr>
          <w:bCs/>
          <w:szCs w:val="24"/>
        </w:rPr>
        <w:t xml:space="preserve">ill be published on the ITU-D study group website </w:t>
      </w:r>
      <w:r w:rsidRPr="00957B6C">
        <w:rPr>
          <w:bCs/>
          <w:szCs w:val="24"/>
        </w:rPr>
        <w:t>under the auspices of the Chai</w:t>
      </w:r>
      <w:r>
        <w:rPr>
          <w:bCs/>
          <w:szCs w:val="24"/>
        </w:rPr>
        <w:t>r</w:t>
      </w:r>
      <w:r w:rsidR="00587A91">
        <w:rPr>
          <w:bCs/>
          <w:szCs w:val="24"/>
        </w:rPr>
        <w:t>men</w:t>
      </w:r>
      <w:r w:rsidR="00070DBE">
        <w:rPr>
          <w:bCs/>
          <w:szCs w:val="24"/>
        </w:rPr>
        <w:t xml:space="preserve"> </w:t>
      </w:r>
      <w:r w:rsidRPr="00957B6C">
        <w:rPr>
          <w:bCs/>
          <w:szCs w:val="24"/>
        </w:rPr>
        <w:t>of Study Group</w:t>
      </w:r>
      <w:r>
        <w:rPr>
          <w:bCs/>
          <w:szCs w:val="24"/>
        </w:rPr>
        <w:t>s</w:t>
      </w:r>
      <w:r w:rsidRPr="00957B6C">
        <w:rPr>
          <w:bCs/>
          <w:szCs w:val="24"/>
        </w:rPr>
        <w:t xml:space="preserve"> 1 </w:t>
      </w:r>
      <w:r>
        <w:rPr>
          <w:bCs/>
          <w:szCs w:val="24"/>
        </w:rPr>
        <w:t xml:space="preserve">and 2 respectively, under a new section to be added titled “Ongoing Work.” The reports are published </w:t>
      </w:r>
      <w:r w:rsidR="003A43C0">
        <w:rPr>
          <w:bCs/>
          <w:szCs w:val="24"/>
        </w:rPr>
        <w:t xml:space="preserve">there </w:t>
      </w:r>
      <w:r w:rsidRPr="00957B6C">
        <w:rPr>
          <w:bCs/>
          <w:szCs w:val="24"/>
        </w:rPr>
        <w:t xml:space="preserve">to </w:t>
      </w:r>
      <w:r>
        <w:rPr>
          <w:bCs/>
          <w:szCs w:val="24"/>
        </w:rPr>
        <w:t xml:space="preserve">provide ITU membership with timely information, to </w:t>
      </w:r>
      <w:r w:rsidRPr="00957B6C">
        <w:rPr>
          <w:bCs/>
          <w:szCs w:val="24"/>
        </w:rPr>
        <w:t xml:space="preserve">inform the public of the </w:t>
      </w:r>
      <w:r>
        <w:rPr>
          <w:bCs/>
          <w:szCs w:val="24"/>
        </w:rPr>
        <w:t xml:space="preserve">ongoing </w:t>
      </w:r>
      <w:r w:rsidRPr="00957B6C">
        <w:rPr>
          <w:bCs/>
          <w:szCs w:val="24"/>
        </w:rPr>
        <w:t>work</w:t>
      </w:r>
      <w:r>
        <w:rPr>
          <w:bCs/>
          <w:szCs w:val="24"/>
        </w:rPr>
        <w:t>,</w:t>
      </w:r>
      <w:r w:rsidRPr="00957B6C">
        <w:rPr>
          <w:bCs/>
          <w:szCs w:val="24"/>
        </w:rPr>
        <w:t xml:space="preserve"> and to stimulate and encourage further contributions</w:t>
      </w:r>
      <w:r>
        <w:rPr>
          <w:bCs/>
          <w:szCs w:val="24"/>
        </w:rPr>
        <w:t xml:space="preserve"> on these topics.</w:t>
      </w:r>
      <w:r w:rsidR="00FB11AF">
        <w:rPr>
          <w:bCs/>
          <w:szCs w:val="24"/>
        </w:rPr>
        <w:t xml:space="preserve"> </w:t>
      </w:r>
      <w:bookmarkStart w:id="15" w:name="_Hlk8984943"/>
      <w:r w:rsidR="00ED7BFD" w:rsidRPr="009F247A">
        <w:rPr>
          <w:bCs/>
          <w:szCs w:val="24"/>
        </w:rPr>
        <w:t xml:space="preserve">TDAG noted that </w:t>
      </w:r>
      <w:r w:rsidR="00ED7BFD" w:rsidRPr="009F247A">
        <w:rPr>
          <w:szCs w:val="24"/>
        </w:rPr>
        <w:t xml:space="preserve">annual reports/deliverables produced by the study groups </w:t>
      </w:r>
      <w:r w:rsidR="00ED7BFD" w:rsidRPr="009F247A">
        <w:rPr>
          <w:bCs/>
          <w:szCs w:val="24"/>
        </w:rPr>
        <w:t xml:space="preserve">are desirable as a means to provide more timely information on important issues to study group participants and others, and as encouraged by WTDC-17 are new in the </w:t>
      </w:r>
      <w:r w:rsidR="00587A91">
        <w:rPr>
          <w:bCs/>
          <w:szCs w:val="24"/>
        </w:rPr>
        <w:t>Development S</w:t>
      </w:r>
      <w:r w:rsidR="00ED7BFD" w:rsidRPr="009F247A">
        <w:rPr>
          <w:bCs/>
          <w:szCs w:val="24"/>
        </w:rPr>
        <w:t xml:space="preserve">ector and not yet </w:t>
      </w:r>
      <w:r w:rsidR="00ED7BFD" w:rsidRPr="009F247A">
        <w:rPr>
          <w:szCs w:val="24"/>
        </w:rPr>
        <w:t>covered in Resolution 1 (ITU-D Rules of Procedure).</w:t>
      </w:r>
    </w:p>
    <w:tbl>
      <w:tblPr>
        <w:tblStyle w:val="TableGrid"/>
        <w:tblW w:w="0" w:type="auto"/>
        <w:tblLook w:val="04A0" w:firstRow="1" w:lastRow="0" w:firstColumn="1" w:lastColumn="0" w:noHBand="0" w:noVBand="1"/>
      </w:tblPr>
      <w:tblGrid>
        <w:gridCol w:w="9629"/>
      </w:tblGrid>
      <w:tr w:rsidR="00B80F70" w:rsidRPr="00957B6C" w:rsidTr="2D9C0B70">
        <w:tc>
          <w:tcPr>
            <w:tcW w:w="9629" w:type="dxa"/>
          </w:tcPr>
          <w:bookmarkEnd w:id="15"/>
          <w:p w:rsidR="006A3788" w:rsidRPr="00957B6C" w:rsidRDefault="006A3788">
            <w:pPr>
              <w:spacing w:after="120"/>
              <w:rPr>
                <w:szCs w:val="24"/>
              </w:rPr>
            </w:pPr>
            <w:r w:rsidRPr="00957B6C">
              <w:rPr>
                <w:szCs w:val="24"/>
              </w:rPr>
              <w:t xml:space="preserve">TDAG </w:t>
            </w:r>
            <w:r>
              <w:rPr>
                <w:szCs w:val="24"/>
              </w:rPr>
              <w:t>not</w:t>
            </w:r>
            <w:r w:rsidR="002609BD">
              <w:rPr>
                <w:szCs w:val="24"/>
              </w:rPr>
              <w:t xml:space="preserve">ed </w:t>
            </w:r>
            <w:r>
              <w:rPr>
                <w:szCs w:val="24"/>
              </w:rPr>
              <w:t xml:space="preserve">the reports on study group activities with interest and appreciation, and observed that both study groups and all 14 </w:t>
            </w:r>
            <w:r w:rsidR="00587A91">
              <w:rPr>
                <w:szCs w:val="24"/>
              </w:rPr>
              <w:t>Q</w:t>
            </w:r>
            <w:r>
              <w:rPr>
                <w:szCs w:val="24"/>
              </w:rPr>
              <w:t>uestions were making good progress towards the WTDC expected outputs</w:t>
            </w:r>
            <w:r w:rsidR="002609BD">
              <w:rPr>
                <w:szCs w:val="24"/>
              </w:rPr>
              <w:t xml:space="preserve"> under the leadership of the study group chair</w:t>
            </w:r>
            <w:r w:rsidR="00E06614">
              <w:rPr>
                <w:szCs w:val="24"/>
              </w:rPr>
              <w:t>men</w:t>
            </w:r>
            <w:r>
              <w:rPr>
                <w:szCs w:val="24"/>
              </w:rPr>
              <w:t>.</w:t>
            </w:r>
            <w:r w:rsidR="00070DBE">
              <w:rPr>
                <w:szCs w:val="24"/>
              </w:rPr>
              <w:t xml:space="preserve"> </w:t>
            </w:r>
            <w:r>
              <w:rPr>
                <w:szCs w:val="24"/>
              </w:rPr>
              <w:t xml:space="preserve">TDAG </w:t>
            </w:r>
            <w:r w:rsidRPr="00957B6C">
              <w:rPr>
                <w:szCs w:val="24"/>
              </w:rPr>
              <w:t>commended the Chair</w:t>
            </w:r>
            <w:r w:rsidR="00E06614">
              <w:rPr>
                <w:szCs w:val="24"/>
              </w:rPr>
              <w:t>man</w:t>
            </w:r>
            <w:r w:rsidRPr="00957B6C">
              <w:rPr>
                <w:szCs w:val="24"/>
              </w:rPr>
              <w:t xml:space="preserve"> of ITU-D Study Group 1, Ms Regina Fleur </w:t>
            </w:r>
            <w:proofErr w:type="spellStart"/>
            <w:r w:rsidRPr="00957B6C">
              <w:rPr>
                <w:szCs w:val="24"/>
              </w:rPr>
              <w:t>Assoumou</w:t>
            </w:r>
            <w:proofErr w:type="spellEnd"/>
            <w:r w:rsidRPr="00957B6C">
              <w:rPr>
                <w:szCs w:val="24"/>
              </w:rPr>
              <w:t xml:space="preserve"> </w:t>
            </w:r>
            <w:proofErr w:type="spellStart"/>
            <w:r w:rsidRPr="00957B6C">
              <w:rPr>
                <w:szCs w:val="24"/>
              </w:rPr>
              <w:t>Bessou</w:t>
            </w:r>
            <w:proofErr w:type="spellEnd"/>
            <w:r>
              <w:rPr>
                <w:szCs w:val="24"/>
              </w:rPr>
              <w:t xml:space="preserve"> and the </w:t>
            </w:r>
            <w:r w:rsidRPr="00957B6C">
              <w:rPr>
                <w:szCs w:val="24"/>
              </w:rPr>
              <w:t xml:space="preserve">Chairman of ITU-D Study Group 2, Dr Ahmad Reza </w:t>
            </w:r>
            <w:proofErr w:type="spellStart"/>
            <w:r w:rsidRPr="00957B6C">
              <w:rPr>
                <w:szCs w:val="24"/>
              </w:rPr>
              <w:t>Sharafat</w:t>
            </w:r>
            <w:proofErr w:type="spellEnd"/>
            <w:r w:rsidRPr="00957B6C">
              <w:rPr>
                <w:szCs w:val="24"/>
              </w:rPr>
              <w:t xml:space="preserve"> for the </w:t>
            </w:r>
            <w:r>
              <w:rPr>
                <w:szCs w:val="24"/>
              </w:rPr>
              <w:t>impressive</w:t>
            </w:r>
            <w:r w:rsidRPr="00957B6C">
              <w:rPr>
                <w:szCs w:val="24"/>
              </w:rPr>
              <w:t xml:space="preserve"> achievements </w:t>
            </w:r>
            <w:r>
              <w:rPr>
                <w:szCs w:val="24"/>
              </w:rPr>
              <w:t xml:space="preserve">both study groups have </w:t>
            </w:r>
            <w:r w:rsidRPr="00957B6C">
              <w:rPr>
                <w:szCs w:val="24"/>
              </w:rPr>
              <w:t xml:space="preserve">made </w:t>
            </w:r>
            <w:r w:rsidR="002609BD">
              <w:rPr>
                <w:szCs w:val="24"/>
              </w:rPr>
              <w:t xml:space="preserve">in just one year </w:t>
            </w:r>
            <w:r>
              <w:rPr>
                <w:szCs w:val="24"/>
              </w:rPr>
              <w:t xml:space="preserve">in </w:t>
            </w:r>
            <w:r w:rsidRPr="00957B6C">
              <w:rPr>
                <w:szCs w:val="24"/>
              </w:rPr>
              <w:t xml:space="preserve">the </w:t>
            </w:r>
            <w:r w:rsidR="002609BD" w:rsidRPr="00957B6C">
              <w:rPr>
                <w:szCs w:val="24"/>
              </w:rPr>
              <w:t>2018-2021</w:t>
            </w:r>
            <w:r w:rsidRPr="00957B6C">
              <w:rPr>
                <w:szCs w:val="24"/>
              </w:rPr>
              <w:t xml:space="preserve"> period. </w:t>
            </w:r>
          </w:p>
          <w:p w:rsidR="00FE3E4A" w:rsidRDefault="00FE3E4A" w:rsidP="009B5B24">
            <w:pPr>
              <w:spacing w:after="120"/>
            </w:pPr>
            <w:r>
              <w:t>Recognizing that e</w:t>
            </w:r>
            <w:r w:rsidRPr="00957B6C">
              <w:t xml:space="preserve">xpert knowledge exchanges on specific study topics </w:t>
            </w:r>
            <w:r>
              <w:t xml:space="preserve">had been </w:t>
            </w:r>
            <w:r w:rsidRPr="00957B6C">
              <w:t>conducted in several countries in 2018</w:t>
            </w:r>
            <w:r>
              <w:t xml:space="preserve">, </w:t>
            </w:r>
            <w:r w:rsidRPr="00957B6C">
              <w:t xml:space="preserve">TDAG </w:t>
            </w:r>
            <w:r w:rsidR="00F81BBB">
              <w:t xml:space="preserve">appreciated </w:t>
            </w:r>
            <w:r w:rsidRPr="00957B6C">
              <w:t xml:space="preserve">that both study groups had been building synergies between the work undertaken in the study Questions and the activities in the regions. </w:t>
            </w:r>
            <w:r>
              <w:t>TDAG also noted that g</w:t>
            </w:r>
            <w:r w:rsidRPr="00957B6C">
              <w:t xml:space="preserve">ood progress </w:t>
            </w:r>
            <w:r w:rsidR="00F81BBB">
              <w:t xml:space="preserve">was being </w:t>
            </w:r>
            <w:r w:rsidRPr="00957B6C">
              <w:t xml:space="preserve">made </w:t>
            </w:r>
            <w:r w:rsidR="00F81BBB">
              <w:t xml:space="preserve">to </w:t>
            </w:r>
            <w:r w:rsidRPr="00957B6C">
              <w:t>identify possible link</w:t>
            </w:r>
            <w:r w:rsidR="00F81BBB">
              <w:t>s</w:t>
            </w:r>
            <w:r w:rsidRPr="00957B6C">
              <w:t xml:space="preserve"> between ITU-D study </w:t>
            </w:r>
            <w:r w:rsidRPr="00957B6C">
              <w:lastRenderedPageBreak/>
              <w:t xml:space="preserve">Questions </w:t>
            </w:r>
            <w:r w:rsidR="00F81BBB">
              <w:t xml:space="preserve">and </w:t>
            </w:r>
            <w:r w:rsidRPr="00957B6C">
              <w:t xml:space="preserve">ITU projects, ITU capacity building and WSIS activities, as well as with work in the other ITU Sectors. </w:t>
            </w:r>
            <w:r>
              <w:t>TDAG acknowledged t</w:t>
            </w:r>
            <w:r w:rsidRPr="00957B6C">
              <w:t xml:space="preserve">he value of topical panel sessions </w:t>
            </w:r>
            <w:r w:rsidR="002609BD">
              <w:t xml:space="preserve">held </w:t>
            </w:r>
            <w:r w:rsidRPr="00957B6C">
              <w:t>during the study group and rapporteur group meetings</w:t>
            </w:r>
            <w:r>
              <w:t>,</w:t>
            </w:r>
            <w:r w:rsidRPr="00957B6C">
              <w:t xml:space="preserve"> </w:t>
            </w:r>
            <w:r>
              <w:t>including the</w:t>
            </w:r>
            <w:r w:rsidRPr="00957B6C">
              <w:t xml:space="preserve"> additional sessions planned for the upcoming rapporteur group meetings in October 2019. </w:t>
            </w:r>
          </w:p>
          <w:p w:rsidR="00B80F70" w:rsidRPr="00957B6C" w:rsidRDefault="00E150E9" w:rsidP="008B7452">
            <w:pPr>
              <w:spacing w:after="120"/>
              <w:rPr>
                <w:rFonts w:ascii="Calibri" w:hAnsi="Calibri"/>
                <w:szCs w:val="24"/>
                <w:lang w:eastAsia="zh-CN"/>
              </w:rPr>
            </w:pPr>
            <w:r w:rsidRPr="00E150E9">
              <w:rPr>
                <w:szCs w:val="24"/>
              </w:rPr>
              <w:t xml:space="preserve">TDAG noted that the ITU-D study group website will feature a new </w:t>
            </w:r>
            <w:r w:rsidR="00410404">
              <w:rPr>
                <w:szCs w:val="24"/>
              </w:rPr>
              <w:t xml:space="preserve">section </w:t>
            </w:r>
            <w:r w:rsidRPr="00E150E9">
              <w:rPr>
                <w:szCs w:val="24"/>
              </w:rPr>
              <w:t xml:space="preserve">that </w:t>
            </w:r>
            <w:r w:rsidR="00410404">
              <w:rPr>
                <w:szCs w:val="24"/>
              </w:rPr>
              <w:t xml:space="preserve">will </w:t>
            </w:r>
            <w:r w:rsidRPr="00E150E9">
              <w:rPr>
                <w:szCs w:val="24"/>
              </w:rPr>
              <w:t>showcase ongoing work</w:t>
            </w:r>
            <w:r w:rsidR="00C64C3D">
              <w:rPr>
                <w:szCs w:val="24"/>
              </w:rPr>
              <w:t xml:space="preserve"> and will include the </w:t>
            </w:r>
            <w:r w:rsidR="002609BD">
              <w:rPr>
                <w:szCs w:val="24"/>
              </w:rPr>
              <w:t xml:space="preserve">annual </w:t>
            </w:r>
            <w:r w:rsidR="00C64C3D">
              <w:rPr>
                <w:szCs w:val="24"/>
              </w:rPr>
              <w:t>reports described above</w:t>
            </w:r>
            <w:r>
              <w:rPr>
                <w:szCs w:val="24"/>
              </w:rPr>
              <w:t xml:space="preserve">. </w:t>
            </w:r>
            <w:r w:rsidR="00F80EA8" w:rsidRPr="00957B6C">
              <w:rPr>
                <w:szCs w:val="24"/>
              </w:rPr>
              <w:t xml:space="preserve">TDAG </w:t>
            </w:r>
            <w:r w:rsidR="00FB11AF">
              <w:rPr>
                <w:szCs w:val="24"/>
              </w:rPr>
              <w:t xml:space="preserve">participants </w:t>
            </w:r>
            <w:r w:rsidR="00F80EA8" w:rsidRPr="00957B6C">
              <w:rPr>
                <w:szCs w:val="24"/>
              </w:rPr>
              <w:t xml:space="preserve">also </w:t>
            </w:r>
            <w:r w:rsidR="00FB11AF">
              <w:rPr>
                <w:szCs w:val="24"/>
              </w:rPr>
              <w:t xml:space="preserve">considered </w:t>
            </w:r>
            <w:r w:rsidR="00F80EA8" w:rsidRPr="00957B6C">
              <w:rPr>
                <w:szCs w:val="24"/>
              </w:rPr>
              <w:t xml:space="preserve">the </w:t>
            </w:r>
            <w:r w:rsidR="002609BD">
              <w:rPr>
                <w:szCs w:val="24"/>
              </w:rPr>
              <w:t xml:space="preserve">possibility </w:t>
            </w:r>
            <w:r w:rsidR="00F80EA8" w:rsidRPr="00957B6C">
              <w:rPr>
                <w:szCs w:val="24"/>
              </w:rPr>
              <w:t xml:space="preserve">of involving external publishing companies to showcase quality work, and noted that </w:t>
            </w:r>
            <w:r w:rsidR="002609BD">
              <w:rPr>
                <w:szCs w:val="24"/>
              </w:rPr>
              <w:t xml:space="preserve">it would </w:t>
            </w:r>
            <w:r w:rsidR="00F80EA8" w:rsidRPr="00957B6C">
              <w:rPr>
                <w:szCs w:val="24"/>
              </w:rPr>
              <w:t>be discussed further.</w:t>
            </w:r>
          </w:p>
        </w:tc>
      </w:tr>
    </w:tbl>
    <w:p w:rsidR="00892B52" w:rsidRDefault="00256D72" w:rsidP="00EA4144">
      <w:pPr>
        <w:spacing w:after="120"/>
        <w:ind w:left="391" w:hanging="391"/>
        <w:rPr>
          <w:rStyle w:val="StyleComplex12pt"/>
          <w:rFonts w:cstheme="minorHAnsi"/>
          <w:b/>
          <w:bCs/>
        </w:rPr>
      </w:pPr>
      <w:r>
        <w:rPr>
          <w:rStyle w:val="StyleComplex12pt"/>
          <w:rFonts w:cstheme="minorHAnsi"/>
          <w:b/>
          <w:bCs/>
        </w:rPr>
        <w:lastRenderedPageBreak/>
        <w:t>8</w:t>
      </w:r>
      <w:r w:rsidR="00892B52">
        <w:rPr>
          <w:rStyle w:val="StyleComplex12pt"/>
          <w:rFonts w:cstheme="minorHAnsi"/>
          <w:b/>
          <w:bCs/>
        </w:rPr>
        <w:t>.4</w:t>
      </w:r>
      <w:r w:rsidR="00892B52">
        <w:rPr>
          <w:rStyle w:val="StyleComplex12pt"/>
          <w:rFonts w:cstheme="minorHAnsi"/>
          <w:b/>
          <w:bCs/>
        </w:rPr>
        <w:tab/>
        <w:t xml:space="preserve">Appointment </w:t>
      </w:r>
      <w:r w:rsidR="00892B52" w:rsidRPr="003B551C">
        <w:rPr>
          <w:rStyle w:val="StyleComplex12pt"/>
          <w:rFonts w:cstheme="minorHAnsi"/>
          <w:b/>
          <w:bCs/>
        </w:rPr>
        <w:t>of two new Study Group Vice-Chairmen to vacant positions</w:t>
      </w:r>
    </w:p>
    <w:p w:rsidR="00FB1235" w:rsidRPr="00E7531C" w:rsidRDefault="00FB1235" w:rsidP="00FB1235">
      <w:pPr>
        <w:keepNext/>
        <w:spacing w:before="240" w:after="120"/>
        <w:rPr>
          <w:rStyle w:val="StyleComplex12pt"/>
          <w:rFonts w:cstheme="minorHAnsi"/>
          <w:b/>
          <w:bCs/>
        </w:rPr>
      </w:pPr>
      <w:r>
        <w:t>N</w:t>
      </w:r>
      <w:r w:rsidRPr="00957B6C">
        <w:t xml:space="preserve">omination letters from the administrations of the </w:t>
      </w:r>
      <w:r w:rsidRPr="00E7531C">
        <w:rPr>
          <w:b/>
        </w:rPr>
        <w:t>Russian Federation</w:t>
      </w:r>
      <w:r w:rsidRPr="00957B6C">
        <w:t xml:space="preserve"> and the</w:t>
      </w:r>
      <w:r w:rsidRPr="00957B6C">
        <w:rPr>
          <w:rFonts w:cstheme="minorBidi"/>
        </w:rPr>
        <w:t xml:space="preserve"> </w:t>
      </w:r>
      <w:r w:rsidRPr="00E7531C">
        <w:rPr>
          <w:rFonts w:cstheme="minorBidi"/>
          <w:b/>
        </w:rPr>
        <w:t>United Arab Emirates</w:t>
      </w:r>
      <w:r>
        <w:rPr>
          <w:rFonts w:cstheme="minorBidi"/>
          <w:b/>
        </w:rPr>
        <w:t xml:space="preserve"> </w:t>
      </w:r>
      <w:r>
        <w:rPr>
          <w:rFonts w:cstheme="minorBidi"/>
        </w:rPr>
        <w:t xml:space="preserve">for these candidates may be found in </w:t>
      </w:r>
      <w:hyperlink r:id="rId52" w:history="1">
        <w:r w:rsidRPr="00957B6C">
          <w:rPr>
            <w:rStyle w:val="Hyperlink"/>
            <w:rFonts w:cstheme="minorBidi"/>
            <w:b/>
            <w:bCs/>
          </w:rPr>
          <w:t>Document 8</w:t>
        </w:r>
      </w:hyperlink>
      <w:r>
        <w:rPr>
          <w:rStyle w:val="Hyperlink"/>
          <w:rFonts w:cstheme="minorBidi"/>
          <w:b/>
          <w:bCs/>
        </w:rPr>
        <w:t>.</w:t>
      </w:r>
      <w:r w:rsidR="00070DBE">
        <w:rPr>
          <w:rStyle w:val="Hyperlink"/>
          <w:rFonts w:cstheme="minorBidi"/>
          <w:b/>
          <w:bCs/>
        </w:rPr>
        <w:t xml:space="preserve"> </w:t>
      </w:r>
    </w:p>
    <w:tbl>
      <w:tblPr>
        <w:tblStyle w:val="TableGrid"/>
        <w:tblW w:w="0" w:type="auto"/>
        <w:tblLook w:val="04A0" w:firstRow="1" w:lastRow="0" w:firstColumn="1" w:lastColumn="0" w:noHBand="0" w:noVBand="1"/>
      </w:tblPr>
      <w:tblGrid>
        <w:gridCol w:w="9629"/>
      </w:tblGrid>
      <w:tr w:rsidR="00892B52" w:rsidRPr="00957B6C" w:rsidTr="008D0BF6">
        <w:tc>
          <w:tcPr>
            <w:tcW w:w="9629" w:type="dxa"/>
          </w:tcPr>
          <w:p w:rsidR="00892B52" w:rsidRPr="00957B6C" w:rsidRDefault="00892B52" w:rsidP="008D0BF6">
            <w:pPr>
              <w:spacing w:after="120"/>
              <w:rPr>
                <w:rFonts w:cstheme="minorBidi"/>
                <w:color w:val="000000" w:themeColor="text1"/>
              </w:rPr>
            </w:pPr>
            <w:r w:rsidRPr="00957B6C">
              <w:rPr>
                <w:rFonts w:cstheme="minorHAnsi"/>
                <w:szCs w:val="24"/>
              </w:rPr>
              <w:t xml:space="preserve">TDAG appointed by acclamation </w:t>
            </w:r>
            <w:r w:rsidRPr="00957B6C">
              <w:rPr>
                <w:b/>
                <w:bCs/>
              </w:rPr>
              <w:t xml:space="preserve">Ms Anastasia </w:t>
            </w:r>
            <w:proofErr w:type="spellStart"/>
            <w:r w:rsidRPr="00957B6C">
              <w:rPr>
                <w:b/>
                <w:bCs/>
              </w:rPr>
              <w:t>Sergeyevna</w:t>
            </w:r>
            <w:proofErr w:type="spellEnd"/>
            <w:r w:rsidRPr="00957B6C">
              <w:rPr>
                <w:b/>
                <w:bCs/>
              </w:rPr>
              <w:t xml:space="preserve"> </w:t>
            </w:r>
            <w:proofErr w:type="spellStart"/>
            <w:r w:rsidRPr="00957B6C">
              <w:rPr>
                <w:b/>
                <w:bCs/>
              </w:rPr>
              <w:t>Konukhova</w:t>
            </w:r>
            <w:proofErr w:type="spellEnd"/>
            <w:r>
              <w:rPr>
                <w:b/>
                <w:bCs/>
              </w:rPr>
              <w:t xml:space="preserve">, </w:t>
            </w:r>
            <w:r w:rsidRPr="00957B6C">
              <w:t xml:space="preserve">an international legal protection specialist at the Analysis </w:t>
            </w:r>
            <w:proofErr w:type="spellStart"/>
            <w:r w:rsidRPr="00957B6C">
              <w:t>Center</w:t>
            </w:r>
            <w:proofErr w:type="spellEnd"/>
            <w:r w:rsidRPr="00957B6C">
              <w:t xml:space="preserve"> of the Federal State Unitary Enterprise Radio Research and Development Institute</w:t>
            </w:r>
            <w:r w:rsidRPr="00957B6C">
              <w:rPr>
                <w:b/>
                <w:bCs/>
                <w:szCs w:val="24"/>
              </w:rPr>
              <w:t xml:space="preserve"> </w:t>
            </w:r>
            <w:r w:rsidRPr="00E7531C">
              <w:rPr>
                <w:bCs/>
                <w:szCs w:val="24"/>
              </w:rPr>
              <w:t>to serve</w:t>
            </w:r>
            <w:r>
              <w:rPr>
                <w:b/>
                <w:bCs/>
                <w:szCs w:val="24"/>
              </w:rPr>
              <w:t xml:space="preserve"> </w:t>
            </w:r>
            <w:r w:rsidRPr="00957B6C">
              <w:rPr>
                <w:rFonts w:cstheme="minorBidi"/>
                <w:color w:val="000000" w:themeColor="text1"/>
              </w:rPr>
              <w:t>as a Vice-Chairman of ITU-D Study Group 1.</w:t>
            </w:r>
          </w:p>
          <w:p w:rsidR="00892B52" w:rsidRPr="00957B6C" w:rsidRDefault="00892B52" w:rsidP="008D0BF6">
            <w:pPr>
              <w:spacing w:after="120"/>
              <w:rPr>
                <w:rFonts w:cstheme="minorBidi"/>
                <w:color w:val="000000" w:themeColor="text1"/>
              </w:rPr>
            </w:pPr>
            <w:r w:rsidRPr="00957B6C">
              <w:rPr>
                <w:rFonts w:cstheme="minorHAnsi"/>
                <w:szCs w:val="24"/>
              </w:rPr>
              <w:t xml:space="preserve">TDAG appointed by acclamation </w:t>
            </w:r>
            <w:r w:rsidRPr="00957B6C">
              <w:rPr>
                <w:b/>
                <w:bCs/>
                <w:szCs w:val="24"/>
              </w:rPr>
              <w:t xml:space="preserve">Mr </w:t>
            </w:r>
            <w:proofErr w:type="spellStart"/>
            <w:r w:rsidRPr="00957B6C">
              <w:rPr>
                <w:b/>
                <w:bCs/>
                <w:szCs w:val="24"/>
              </w:rPr>
              <w:t>Abdelaziz</w:t>
            </w:r>
            <w:proofErr w:type="spellEnd"/>
            <w:r w:rsidRPr="00957B6C">
              <w:rPr>
                <w:b/>
                <w:bCs/>
                <w:szCs w:val="24"/>
              </w:rPr>
              <w:t xml:space="preserve"> </w:t>
            </w:r>
            <w:proofErr w:type="spellStart"/>
            <w:r w:rsidRPr="00957B6C">
              <w:rPr>
                <w:b/>
                <w:bCs/>
                <w:szCs w:val="24"/>
              </w:rPr>
              <w:t>Alzarooni</w:t>
            </w:r>
            <w:proofErr w:type="spellEnd"/>
            <w:r>
              <w:rPr>
                <w:b/>
                <w:bCs/>
                <w:szCs w:val="24"/>
              </w:rPr>
              <w:t xml:space="preserve">, </w:t>
            </w:r>
            <w:r w:rsidRPr="00957B6C">
              <w:t>Information Security Engineer</w:t>
            </w:r>
            <w:r w:rsidRPr="00957B6C">
              <w:rPr>
                <w:szCs w:val="24"/>
              </w:rPr>
              <w:t xml:space="preserve"> </w:t>
            </w:r>
            <w:r>
              <w:rPr>
                <w:szCs w:val="24"/>
              </w:rPr>
              <w:t xml:space="preserve">to serve </w:t>
            </w:r>
            <w:r w:rsidRPr="00957B6C">
              <w:rPr>
                <w:szCs w:val="24"/>
              </w:rPr>
              <w:t>as a Vice-Chairman of ITU-D Study Group 2.</w:t>
            </w:r>
          </w:p>
        </w:tc>
      </w:tr>
    </w:tbl>
    <w:p w:rsidR="00EC4DCA" w:rsidRPr="00F342CB" w:rsidRDefault="00256D72" w:rsidP="00F342CB">
      <w:pPr>
        <w:spacing w:after="120"/>
        <w:ind w:left="391" w:hanging="391"/>
        <w:rPr>
          <w:b/>
          <w:bCs/>
          <w:szCs w:val="24"/>
          <w:lang w:val="en-US"/>
        </w:rPr>
      </w:pPr>
      <w:r w:rsidRPr="00F342CB">
        <w:rPr>
          <w:b/>
          <w:bCs/>
          <w:szCs w:val="24"/>
          <w:lang w:val="en-US"/>
        </w:rPr>
        <w:t>8</w:t>
      </w:r>
      <w:r w:rsidR="00B56712" w:rsidRPr="00F342CB">
        <w:rPr>
          <w:b/>
          <w:bCs/>
          <w:szCs w:val="24"/>
          <w:lang w:val="en-US"/>
        </w:rPr>
        <w:t>.</w:t>
      </w:r>
      <w:r w:rsidRPr="00F342CB">
        <w:rPr>
          <w:b/>
          <w:bCs/>
          <w:szCs w:val="24"/>
          <w:lang w:val="en-US"/>
        </w:rPr>
        <w:t>5</w:t>
      </w:r>
      <w:r w:rsidR="00F342CB" w:rsidRPr="00F342CB">
        <w:rPr>
          <w:b/>
          <w:bCs/>
          <w:szCs w:val="24"/>
          <w:lang w:val="en-US"/>
        </w:rPr>
        <w:tab/>
      </w:r>
      <w:r w:rsidR="00855A13" w:rsidRPr="00F342CB">
        <w:rPr>
          <w:b/>
          <w:bCs/>
          <w:szCs w:val="24"/>
          <w:lang w:val="en-US"/>
        </w:rPr>
        <w:t xml:space="preserve">Breakout session: </w:t>
      </w:r>
      <w:r w:rsidR="00EC4DCA" w:rsidRPr="00F342CB">
        <w:rPr>
          <w:b/>
          <w:bCs/>
          <w:szCs w:val="24"/>
          <w:lang w:val="en-US"/>
        </w:rPr>
        <w:t>ITU-D study groups - increasing efficiency</w:t>
      </w:r>
    </w:p>
    <w:p w:rsidR="00EC4DCA" w:rsidRPr="00F342CB" w:rsidRDefault="00EC4DCA" w:rsidP="00F342CB">
      <w:pPr>
        <w:spacing w:after="120"/>
        <w:rPr>
          <w:szCs w:val="24"/>
          <w:lang w:val="en-US"/>
        </w:rPr>
      </w:pPr>
      <w:r w:rsidRPr="00F342CB">
        <w:rPr>
          <w:szCs w:val="24"/>
          <w:lang w:val="en-US"/>
        </w:rPr>
        <w:t>The breakout session on ITU-D study groups considered three main issues to identify approaches and mechanisms to increase the efficiency and meaningfulness of ITU-D study group activities and outputs: (1) ITU-D study groups as a platform, (2) ITU-D study group deliverables and (3) the generation by members of great inputs for excellent outputs of ITU-D study groups. To allow for in-depth discussions in ITU-D study group meetings, the participation of experts should be ensured. Alternative mechanisms could be further explored (</w:t>
      </w:r>
      <w:r w:rsidR="000A0585" w:rsidRPr="00F342CB">
        <w:rPr>
          <w:szCs w:val="24"/>
          <w:lang w:val="en-US"/>
        </w:rPr>
        <w:t xml:space="preserve">including </w:t>
      </w:r>
      <w:r w:rsidRPr="00F342CB">
        <w:rPr>
          <w:szCs w:val="24"/>
          <w:lang w:val="en-US"/>
        </w:rPr>
        <w:t xml:space="preserve">1-1 matchmaking </w:t>
      </w:r>
      <w:r w:rsidR="000A0585" w:rsidRPr="00F342CB">
        <w:rPr>
          <w:szCs w:val="24"/>
          <w:lang w:val="en-US"/>
        </w:rPr>
        <w:t xml:space="preserve">and </w:t>
      </w:r>
      <w:r w:rsidRPr="00F342CB">
        <w:rPr>
          <w:szCs w:val="24"/>
          <w:lang w:val="en-US"/>
        </w:rPr>
        <w:t>online collaboration and exchange) to provide stakeholders with opportunities to exchange experiences. While the content of the deliverables was satisfactory overall, more efforts are needed to raise awareness, present and share such reports and guidelines</w:t>
      </w:r>
      <w:r w:rsidR="00F312C2" w:rsidRPr="00F342CB">
        <w:rPr>
          <w:szCs w:val="24"/>
          <w:lang w:val="en-US"/>
        </w:rPr>
        <w:t xml:space="preserve"> to a wider audience</w:t>
      </w:r>
      <w:r w:rsidRPr="00F342CB">
        <w:rPr>
          <w:szCs w:val="24"/>
          <w:lang w:val="en-US"/>
        </w:rPr>
        <w:t xml:space="preserve">. Consolidated topical reports and the revision of existing reports to ensure that they reflect the changing digital environment was encouraged. Countries in particular regions would further benefit from deliverables that are customized to specific needs of the regions. Such a regional focus and additional in-depth input from the countries could be achieved through closer collaboration with regional and area offices. As for the meetings of ITU-D study groups, it is necessary to reconsider the structure and schedule of work to balance the allocated time and associated workload of each </w:t>
      </w:r>
      <w:r w:rsidR="00C2145C" w:rsidRPr="00F342CB">
        <w:rPr>
          <w:szCs w:val="24"/>
          <w:lang w:val="en-US"/>
        </w:rPr>
        <w:t>r</w:t>
      </w:r>
      <w:r w:rsidRPr="00F342CB">
        <w:rPr>
          <w:szCs w:val="24"/>
          <w:lang w:val="en-US"/>
        </w:rPr>
        <w:t xml:space="preserve">apporteur </w:t>
      </w:r>
      <w:r w:rsidR="00C2145C" w:rsidRPr="00F342CB">
        <w:rPr>
          <w:szCs w:val="24"/>
          <w:lang w:val="en-US"/>
        </w:rPr>
        <w:t>g</w:t>
      </w:r>
      <w:r w:rsidRPr="00F342CB">
        <w:rPr>
          <w:szCs w:val="24"/>
          <w:lang w:val="en-US"/>
        </w:rPr>
        <w:t>roup.</w:t>
      </w:r>
    </w:p>
    <w:p w:rsidR="00EB5336" w:rsidRPr="00F342CB" w:rsidRDefault="007621F7" w:rsidP="00F342CB">
      <w:pPr>
        <w:pStyle w:val="ListParagraph"/>
        <w:keepNext/>
        <w:numPr>
          <w:ilvl w:val="0"/>
          <w:numId w:val="36"/>
        </w:numPr>
        <w:spacing w:after="120"/>
        <w:ind w:left="391" w:hanging="391"/>
        <w:contextualSpacing w:val="0"/>
        <w:rPr>
          <w:rStyle w:val="StyleComplex12pt"/>
          <w:rFonts w:cstheme="minorHAnsi"/>
          <w:b/>
          <w:bCs/>
        </w:rPr>
      </w:pPr>
      <w:bookmarkStart w:id="16" w:name="_Hlk8896873"/>
      <w:r w:rsidRPr="00F342CB">
        <w:rPr>
          <w:rStyle w:val="StyleComplex12pt"/>
          <w:rFonts w:cstheme="minorHAnsi"/>
          <w:b/>
          <w:bCs/>
        </w:rPr>
        <w:t>C</w:t>
      </w:r>
      <w:r w:rsidR="00CC4B7A" w:rsidRPr="00F342CB">
        <w:rPr>
          <w:rStyle w:val="StyleComplex12pt"/>
          <w:rFonts w:cstheme="minorHAnsi"/>
          <w:b/>
          <w:bCs/>
        </w:rPr>
        <w:t xml:space="preserve">OLLABORATION with the OTHER </w:t>
      </w:r>
      <w:r w:rsidRPr="00F342CB">
        <w:rPr>
          <w:rStyle w:val="StyleComplex12pt"/>
          <w:rFonts w:cstheme="minorHAnsi"/>
          <w:b/>
          <w:bCs/>
        </w:rPr>
        <w:t>S</w:t>
      </w:r>
      <w:r w:rsidR="00CC4B7A" w:rsidRPr="00F342CB">
        <w:rPr>
          <w:rStyle w:val="StyleComplex12pt"/>
          <w:rFonts w:cstheme="minorHAnsi"/>
          <w:b/>
          <w:bCs/>
        </w:rPr>
        <w:t>ECTORS</w:t>
      </w:r>
    </w:p>
    <w:p w:rsidR="00256D72" w:rsidRPr="00F342CB" w:rsidRDefault="00240545" w:rsidP="00F342CB">
      <w:pPr>
        <w:spacing w:after="120"/>
        <w:rPr>
          <w:szCs w:val="24"/>
        </w:rPr>
      </w:pPr>
      <w:r w:rsidRPr="00F342CB">
        <w:rPr>
          <w:szCs w:val="24"/>
        </w:rPr>
        <w:t>Documents 5, 9, 10, 11, 24, 28, 38 and 41 were considered together.</w:t>
      </w:r>
      <w:r w:rsidR="00070DBE">
        <w:rPr>
          <w:szCs w:val="24"/>
        </w:rPr>
        <w:t xml:space="preserve"> </w:t>
      </w:r>
      <w:bookmarkStart w:id="17" w:name="_Hlk8935022"/>
      <w:r w:rsidR="0038393B" w:rsidRPr="00F342CB">
        <w:rPr>
          <w:szCs w:val="24"/>
        </w:rPr>
        <w:t>The</w:t>
      </w:r>
      <w:r w:rsidR="0038393B" w:rsidRPr="00F342CB">
        <w:rPr>
          <w:b/>
          <w:szCs w:val="24"/>
        </w:rPr>
        <w:t xml:space="preserve"> TDAG </w:t>
      </w:r>
      <w:r w:rsidR="00C330B0" w:rsidRPr="00F342CB">
        <w:rPr>
          <w:b/>
          <w:szCs w:val="24"/>
        </w:rPr>
        <w:t>b</w:t>
      </w:r>
      <w:r w:rsidR="0038393B" w:rsidRPr="00F342CB">
        <w:rPr>
          <w:b/>
          <w:szCs w:val="24"/>
        </w:rPr>
        <w:t xml:space="preserve">ureau </w:t>
      </w:r>
      <w:r w:rsidR="0038393B" w:rsidRPr="00F342CB">
        <w:rPr>
          <w:szCs w:val="24"/>
        </w:rPr>
        <w:t>will consult on all liaison statements involving inter-Sector coordination and will provide appropriate responses within the time frame requested.</w:t>
      </w:r>
    </w:p>
    <w:bookmarkEnd w:id="17"/>
    <w:p w:rsidR="00D63E4E" w:rsidRPr="00F342CB" w:rsidRDefault="00256D72" w:rsidP="00F342CB">
      <w:pPr>
        <w:spacing w:after="120"/>
        <w:ind w:left="391" w:hanging="391"/>
        <w:rPr>
          <w:szCs w:val="24"/>
        </w:rPr>
      </w:pPr>
      <w:r w:rsidRPr="00F342CB">
        <w:rPr>
          <w:rFonts w:cstheme="minorHAnsi"/>
          <w:b/>
          <w:szCs w:val="24"/>
        </w:rPr>
        <w:t>9</w:t>
      </w:r>
      <w:r w:rsidR="00C81DC2" w:rsidRPr="00F342CB">
        <w:rPr>
          <w:rFonts w:cstheme="minorHAnsi"/>
          <w:b/>
          <w:szCs w:val="24"/>
        </w:rPr>
        <w:t>.1</w:t>
      </w:r>
      <w:r w:rsidR="00F342CB">
        <w:rPr>
          <w:rFonts w:cstheme="minorHAnsi"/>
          <w:b/>
          <w:szCs w:val="24"/>
        </w:rPr>
        <w:tab/>
      </w:r>
      <w:r w:rsidR="00D63E4E" w:rsidRPr="00F342CB">
        <w:rPr>
          <w:rFonts w:cstheme="minorHAnsi"/>
          <w:b/>
          <w:szCs w:val="24"/>
        </w:rPr>
        <w:t>Inter-Sector Coordination Group (ISCG) on issues of mutual interest</w:t>
      </w:r>
    </w:p>
    <w:p w:rsidR="000572AB" w:rsidRPr="00F342CB" w:rsidRDefault="00D63E4E" w:rsidP="00F342CB">
      <w:pPr>
        <w:pStyle w:val="NormalWeb"/>
        <w:spacing w:before="120" w:beforeAutospacing="0" w:after="120" w:afterAutospacing="0"/>
        <w:rPr>
          <w:rFonts w:asciiTheme="minorHAnsi" w:hAnsiTheme="minorHAnsi" w:cstheme="minorHAnsi"/>
        </w:rPr>
      </w:pPr>
      <w:r w:rsidRPr="00F342CB">
        <w:rPr>
          <w:rFonts w:asciiTheme="minorHAnsi" w:hAnsiTheme="minorHAnsi" w:cstheme="minorHAnsi"/>
        </w:rPr>
        <w:t>T</w:t>
      </w:r>
      <w:r w:rsidR="0069422F" w:rsidRPr="00F342CB">
        <w:rPr>
          <w:rFonts w:asciiTheme="minorHAnsi" w:hAnsiTheme="minorHAnsi" w:cstheme="minorHAnsi"/>
        </w:rPr>
        <w:t xml:space="preserve">he Inter-Sector Coordination Group (ISCG) on issues of mutual </w:t>
      </w:r>
      <w:r w:rsidRPr="00F342CB">
        <w:rPr>
          <w:rFonts w:asciiTheme="minorHAnsi" w:hAnsiTheme="minorHAnsi" w:cstheme="minorHAnsi"/>
        </w:rPr>
        <w:t xml:space="preserve">interest </w:t>
      </w:r>
      <w:r w:rsidR="0069422F" w:rsidRPr="00F342CB">
        <w:rPr>
          <w:rFonts w:asciiTheme="minorHAnsi" w:hAnsiTheme="minorHAnsi" w:cstheme="minorHAnsi"/>
        </w:rPr>
        <w:t xml:space="preserve">was established through decisions of the Sector advisory groups </w:t>
      </w:r>
      <w:r w:rsidR="00CC00D9" w:rsidRPr="00F342CB">
        <w:rPr>
          <w:rFonts w:asciiTheme="minorHAnsi" w:hAnsiTheme="minorHAnsi" w:cstheme="minorHAnsi"/>
        </w:rPr>
        <w:t xml:space="preserve">to </w:t>
      </w:r>
      <w:r w:rsidR="0069422F" w:rsidRPr="00F342CB">
        <w:rPr>
          <w:rFonts w:asciiTheme="minorHAnsi" w:hAnsiTheme="minorHAnsi" w:cstheme="minorHAnsi"/>
        </w:rPr>
        <w:t xml:space="preserve">optimize use of </w:t>
      </w:r>
      <w:r w:rsidR="00214668" w:rsidRPr="00F342CB">
        <w:rPr>
          <w:rFonts w:asciiTheme="minorHAnsi" w:hAnsiTheme="minorHAnsi" w:cstheme="minorHAnsi"/>
        </w:rPr>
        <w:t xml:space="preserve">ITU </w:t>
      </w:r>
      <w:r w:rsidR="0069422F" w:rsidRPr="00F342CB">
        <w:rPr>
          <w:rFonts w:asciiTheme="minorHAnsi" w:hAnsiTheme="minorHAnsi" w:cstheme="minorHAnsi"/>
        </w:rPr>
        <w:t xml:space="preserve">resources. </w:t>
      </w:r>
      <w:hyperlink r:id="rId53" w:history="1">
        <w:r w:rsidR="25A7936B" w:rsidRPr="00F342CB">
          <w:rPr>
            <w:rStyle w:val="Hyperlink"/>
            <w:rFonts w:asciiTheme="minorHAnsi" w:hAnsiTheme="minorHAnsi" w:cstheme="minorHAnsi"/>
            <w:b/>
            <w:bCs/>
          </w:rPr>
          <w:t xml:space="preserve">Document </w:t>
        </w:r>
        <w:r w:rsidR="0020482A" w:rsidRPr="00F342CB">
          <w:rPr>
            <w:rStyle w:val="Hyperlink"/>
            <w:rFonts w:asciiTheme="minorHAnsi" w:hAnsiTheme="minorHAnsi" w:cstheme="minorHAnsi"/>
            <w:b/>
            <w:bCs/>
          </w:rPr>
          <w:t>5</w:t>
        </w:r>
      </w:hyperlink>
      <w:r w:rsidR="00214668" w:rsidRPr="00F342CB">
        <w:rPr>
          <w:rStyle w:val="Hyperlink"/>
          <w:rFonts w:asciiTheme="minorHAnsi" w:hAnsiTheme="minorHAnsi" w:cstheme="minorHAnsi"/>
          <w:b/>
          <w:bCs/>
        </w:rPr>
        <w:t>,</w:t>
      </w:r>
      <w:bookmarkStart w:id="18" w:name="_Hlk8902770"/>
      <w:r w:rsidR="00497A8F" w:rsidRPr="00F342CB">
        <w:rPr>
          <w:rFonts w:asciiTheme="minorHAnsi" w:hAnsiTheme="minorHAnsi" w:cstheme="minorHAnsi"/>
        </w:rPr>
        <w:t xml:space="preserve"> </w:t>
      </w:r>
      <w:r w:rsidR="000E4933" w:rsidRPr="00F342CB">
        <w:rPr>
          <w:rFonts w:asciiTheme="minorHAnsi" w:hAnsiTheme="minorHAnsi" w:cstheme="minorHAnsi"/>
        </w:rPr>
        <w:t xml:space="preserve">introduced </w:t>
      </w:r>
      <w:r w:rsidR="000E4933" w:rsidRPr="00F342CB">
        <w:rPr>
          <w:rFonts w:asciiTheme="minorHAnsi" w:hAnsiTheme="minorHAnsi" w:cstheme="minorHAnsi"/>
        </w:rPr>
        <w:lastRenderedPageBreak/>
        <w:t xml:space="preserve">by the ISCG Chairman, </w:t>
      </w:r>
      <w:r w:rsidR="007A23B0" w:rsidRPr="00F342CB">
        <w:rPr>
          <w:rFonts w:asciiTheme="minorHAnsi" w:hAnsiTheme="minorHAnsi" w:cstheme="minorHAnsi"/>
        </w:rPr>
        <w:t>M</w:t>
      </w:r>
      <w:r w:rsidR="000E4933" w:rsidRPr="00F342CB">
        <w:rPr>
          <w:rFonts w:asciiTheme="minorHAnsi" w:hAnsiTheme="minorHAnsi" w:cstheme="minorHAnsi"/>
        </w:rPr>
        <w:t xml:space="preserve">r Fabio </w:t>
      </w:r>
      <w:proofErr w:type="spellStart"/>
      <w:r w:rsidR="000E4933" w:rsidRPr="00F342CB">
        <w:rPr>
          <w:rFonts w:asciiTheme="minorHAnsi" w:hAnsiTheme="minorHAnsi" w:cstheme="minorHAnsi"/>
        </w:rPr>
        <w:t>Bigi</w:t>
      </w:r>
      <w:proofErr w:type="spellEnd"/>
      <w:r w:rsidR="00F64487" w:rsidRPr="00F342CB">
        <w:rPr>
          <w:rFonts w:asciiTheme="minorHAnsi" w:hAnsiTheme="minorHAnsi" w:cstheme="minorHAnsi"/>
        </w:rPr>
        <w:t xml:space="preserve"> (</w:t>
      </w:r>
      <w:r w:rsidR="00F64487" w:rsidRPr="00F342CB">
        <w:rPr>
          <w:rFonts w:asciiTheme="minorHAnsi" w:hAnsiTheme="minorHAnsi" w:cstheme="minorHAnsi"/>
          <w:b/>
        </w:rPr>
        <w:t>Italy</w:t>
      </w:r>
      <w:r w:rsidR="00F64487" w:rsidRPr="00F342CB">
        <w:rPr>
          <w:rFonts w:asciiTheme="minorHAnsi" w:hAnsiTheme="minorHAnsi" w:cstheme="minorHAnsi"/>
        </w:rPr>
        <w:t>)</w:t>
      </w:r>
      <w:r w:rsidR="000E4933" w:rsidRPr="00F342CB">
        <w:rPr>
          <w:rFonts w:asciiTheme="minorHAnsi" w:hAnsiTheme="minorHAnsi" w:cstheme="minorHAnsi"/>
          <w:b/>
        </w:rPr>
        <w:t>,</w:t>
      </w:r>
      <w:r w:rsidR="000E4933" w:rsidRPr="00F342CB">
        <w:rPr>
          <w:rFonts w:asciiTheme="minorHAnsi" w:hAnsiTheme="minorHAnsi" w:cstheme="minorHAnsi"/>
        </w:rPr>
        <w:t xml:space="preserve"> </w:t>
      </w:r>
      <w:r w:rsidR="00214668" w:rsidRPr="00F342CB">
        <w:rPr>
          <w:rFonts w:asciiTheme="minorHAnsi" w:hAnsiTheme="minorHAnsi" w:cstheme="minorHAnsi"/>
        </w:rPr>
        <w:t xml:space="preserve">contains the group’s </w:t>
      </w:r>
      <w:r w:rsidR="00BA2D9D" w:rsidRPr="00F342CB">
        <w:rPr>
          <w:rFonts w:asciiTheme="minorHAnsi" w:hAnsiTheme="minorHAnsi" w:cstheme="minorHAnsi"/>
        </w:rPr>
        <w:t xml:space="preserve">most recent </w:t>
      </w:r>
      <w:r w:rsidR="00214668" w:rsidRPr="00F342CB">
        <w:rPr>
          <w:rFonts w:asciiTheme="minorHAnsi" w:hAnsiTheme="minorHAnsi" w:cstheme="minorHAnsi"/>
        </w:rPr>
        <w:t xml:space="preserve">progress report which </w:t>
      </w:r>
      <w:r w:rsidR="00CB5E3F" w:rsidRPr="00F342CB">
        <w:rPr>
          <w:rFonts w:asciiTheme="minorHAnsi" w:hAnsiTheme="minorHAnsi" w:cstheme="minorHAnsi"/>
        </w:rPr>
        <w:t>highlights</w:t>
      </w:r>
      <w:r w:rsidR="000C4E83" w:rsidRPr="00F342CB">
        <w:rPr>
          <w:rFonts w:asciiTheme="minorHAnsi" w:hAnsiTheme="minorHAnsi" w:cstheme="minorHAnsi"/>
        </w:rPr>
        <w:t xml:space="preserve"> </w:t>
      </w:r>
      <w:r w:rsidR="000E4933" w:rsidRPr="00F342CB">
        <w:rPr>
          <w:rFonts w:asciiTheme="minorHAnsi" w:hAnsiTheme="minorHAnsi" w:cstheme="minorHAnsi"/>
        </w:rPr>
        <w:t xml:space="preserve">recent achievements and </w:t>
      </w:r>
      <w:r w:rsidR="00F64487" w:rsidRPr="00F342CB">
        <w:rPr>
          <w:rFonts w:asciiTheme="minorHAnsi" w:hAnsiTheme="minorHAnsi" w:cstheme="minorHAnsi"/>
        </w:rPr>
        <w:t>future plans</w:t>
      </w:r>
      <w:r w:rsidR="0069422F" w:rsidRPr="00F342CB">
        <w:rPr>
          <w:rFonts w:asciiTheme="minorHAnsi" w:hAnsiTheme="minorHAnsi" w:cstheme="minorHAnsi"/>
        </w:rPr>
        <w:t>.</w:t>
      </w:r>
      <w:r w:rsidR="00070DBE">
        <w:rPr>
          <w:rFonts w:asciiTheme="minorHAnsi" w:hAnsiTheme="minorHAnsi" w:cstheme="minorHAnsi"/>
        </w:rPr>
        <w:t xml:space="preserve"> </w:t>
      </w:r>
    </w:p>
    <w:p w:rsidR="00050E08" w:rsidRPr="00F342CB" w:rsidRDefault="0069422F" w:rsidP="00F342CB">
      <w:pPr>
        <w:tabs>
          <w:tab w:val="left" w:pos="567"/>
          <w:tab w:val="left" w:pos="851"/>
        </w:tabs>
        <w:spacing w:after="120"/>
        <w:rPr>
          <w:szCs w:val="24"/>
        </w:rPr>
      </w:pPr>
      <w:r w:rsidRPr="00F342CB">
        <w:rPr>
          <w:rFonts w:cs="Segoe UI"/>
          <w:szCs w:val="24"/>
        </w:rPr>
        <w:t xml:space="preserve">Under </w:t>
      </w:r>
      <w:r w:rsidR="00050E08" w:rsidRPr="00F342CB">
        <w:rPr>
          <w:rFonts w:cs="Arial"/>
          <w:szCs w:val="24"/>
        </w:rPr>
        <w:t xml:space="preserve">Resolution 191 (Rev. Dubai, 2018) </w:t>
      </w:r>
      <w:r w:rsidRPr="00F342CB">
        <w:rPr>
          <w:szCs w:val="24"/>
        </w:rPr>
        <w:t>(</w:t>
      </w:r>
      <w:r w:rsidR="00050E08" w:rsidRPr="00F342CB">
        <w:rPr>
          <w:szCs w:val="24"/>
        </w:rPr>
        <w:t>coordination efforts among the three Sectors</w:t>
      </w:r>
      <w:r w:rsidRPr="00F342CB">
        <w:rPr>
          <w:szCs w:val="24"/>
        </w:rPr>
        <w:t>)</w:t>
      </w:r>
      <w:r w:rsidR="00050E08" w:rsidRPr="00F342CB">
        <w:rPr>
          <w:szCs w:val="24"/>
        </w:rPr>
        <w:t xml:space="preserve"> </w:t>
      </w:r>
      <w:r w:rsidR="001274C1" w:rsidRPr="00F342CB">
        <w:rPr>
          <w:szCs w:val="24"/>
        </w:rPr>
        <w:t>the I</w:t>
      </w:r>
      <w:r w:rsidR="00050E08" w:rsidRPr="00F342CB">
        <w:rPr>
          <w:szCs w:val="24"/>
        </w:rPr>
        <w:t xml:space="preserve">SCG </w:t>
      </w:r>
      <w:r w:rsidRPr="00F342CB">
        <w:rPr>
          <w:szCs w:val="24"/>
        </w:rPr>
        <w:t xml:space="preserve">mandate is </w:t>
      </w:r>
      <w:r w:rsidR="00050E08" w:rsidRPr="00F342CB">
        <w:rPr>
          <w:szCs w:val="24"/>
        </w:rPr>
        <w:t xml:space="preserve">now </w:t>
      </w:r>
      <w:r w:rsidRPr="00F342CB">
        <w:rPr>
          <w:szCs w:val="24"/>
        </w:rPr>
        <w:t xml:space="preserve">to </w:t>
      </w:r>
      <w:r w:rsidR="00050E08" w:rsidRPr="00F342CB">
        <w:rPr>
          <w:szCs w:val="24"/>
        </w:rPr>
        <w:t>identif</w:t>
      </w:r>
      <w:r w:rsidRPr="00F342CB">
        <w:rPr>
          <w:szCs w:val="24"/>
        </w:rPr>
        <w:t>y</w:t>
      </w:r>
      <w:r w:rsidR="00050E08" w:rsidRPr="00F342CB">
        <w:rPr>
          <w:szCs w:val="24"/>
        </w:rPr>
        <w:t xml:space="preserve"> mechanisms to strengthen cooperation and joint activity on issues of mutual interest among the three Sectors a</w:t>
      </w:r>
      <w:r w:rsidRPr="00F342CB">
        <w:rPr>
          <w:szCs w:val="24"/>
        </w:rPr>
        <w:t xml:space="preserve">nd </w:t>
      </w:r>
      <w:r w:rsidR="00050E08" w:rsidRPr="00F342CB">
        <w:rPr>
          <w:szCs w:val="24"/>
        </w:rPr>
        <w:t>the General Secretariat, paying particular attention</w:t>
      </w:r>
      <w:r w:rsidR="00070DBE">
        <w:rPr>
          <w:szCs w:val="24"/>
        </w:rPr>
        <w:t xml:space="preserve"> </w:t>
      </w:r>
      <w:r w:rsidR="002C74AD" w:rsidRPr="00F342CB">
        <w:rPr>
          <w:szCs w:val="24"/>
        </w:rPr>
        <w:t xml:space="preserve">to </w:t>
      </w:r>
      <w:r w:rsidR="00050E08" w:rsidRPr="00F342CB">
        <w:rPr>
          <w:szCs w:val="24"/>
        </w:rPr>
        <w:t>developing countr</w:t>
      </w:r>
      <w:r w:rsidR="003F04A6" w:rsidRPr="00F342CB">
        <w:rPr>
          <w:szCs w:val="24"/>
        </w:rPr>
        <w:t>y</w:t>
      </w:r>
      <w:r w:rsidR="00050E08" w:rsidRPr="00F342CB">
        <w:rPr>
          <w:szCs w:val="24"/>
        </w:rPr>
        <w:t xml:space="preserve"> </w:t>
      </w:r>
      <w:r w:rsidRPr="00F342CB">
        <w:rPr>
          <w:szCs w:val="24"/>
        </w:rPr>
        <w:t xml:space="preserve">interests </w:t>
      </w:r>
      <w:r w:rsidR="00050E08" w:rsidRPr="00F342CB">
        <w:rPr>
          <w:szCs w:val="24"/>
        </w:rPr>
        <w:t>and tak</w:t>
      </w:r>
      <w:r w:rsidR="002C74AD" w:rsidRPr="00F342CB">
        <w:rPr>
          <w:szCs w:val="24"/>
        </w:rPr>
        <w:t xml:space="preserve">ing </w:t>
      </w:r>
      <w:r w:rsidR="00050E08" w:rsidRPr="00F342CB">
        <w:rPr>
          <w:szCs w:val="24"/>
        </w:rPr>
        <w:t xml:space="preserve">into </w:t>
      </w:r>
      <w:r w:rsidR="0032718C" w:rsidRPr="00F342CB">
        <w:rPr>
          <w:szCs w:val="24"/>
        </w:rPr>
        <w:t>a</w:t>
      </w:r>
      <w:r w:rsidR="00050E08" w:rsidRPr="00F342CB">
        <w:rPr>
          <w:szCs w:val="24"/>
        </w:rPr>
        <w:t>ccount regional offices</w:t>
      </w:r>
      <w:r w:rsidR="002C74AD" w:rsidRPr="00F342CB">
        <w:rPr>
          <w:szCs w:val="24"/>
        </w:rPr>
        <w:t xml:space="preserve"> activities and </w:t>
      </w:r>
      <w:r w:rsidR="00050E08" w:rsidRPr="00F342CB">
        <w:rPr>
          <w:szCs w:val="24"/>
        </w:rPr>
        <w:t xml:space="preserve">their role </w:t>
      </w:r>
      <w:r w:rsidRPr="00F342CB">
        <w:rPr>
          <w:szCs w:val="24"/>
        </w:rPr>
        <w:t xml:space="preserve">to </w:t>
      </w:r>
      <w:r w:rsidR="00050E08" w:rsidRPr="00F342CB">
        <w:rPr>
          <w:szCs w:val="24"/>
        </w:rPr>
        <w:t>organiz</w:t>
      </w:r>
      <w:r w:rsidRPr="00F342CB">
        <w:rPr>
          <w:szCs w:val="24"/>
        </w:rPr>
        <w:t xml:space="preserve">e </w:t>
      </w:r>
      <w:r w:rsidR="00050E08" w:rsidRPr="00F342CB">
        <w:rPr>
          <w:szCs w:val="24"/>
        </w:rPr>
        <w:t>events</w:t>
      </w:r>
      <w:r w:rsidR="00C81DC2" w:rsidRPr="00F342CB">
        <w:rPr>
          <w:szCs w:val="24"/>
        </w:rPr>
        <w:t xml:space="preserve">, </w:t>
      </w:r>
      <w:r w:rsidR="00050E08" w:rsidRPr="00F342CB">
        <w:rPr>
          <w:szCs w:val="24"/>
        </w:rPr>
        <w:t xml:space="preserve">workshops, seminars, </w:t>
      </w:r>
      <w:r w:rsidR="00C70997" w:rsidRPr="00F342CB">
        <w:rPr>
          <w:szCs w:val="24"/>
        </w:rPr>
        <w:t xml:space="preserve">and </w:t>
      </w:r>
      <w:r w:rsidR="00050E08" w:rsidRPr="00F342CB">
        <w:rPr>
          <w:szCs w:val="24"/>
        </w:rPr>
        <w:t xml:space="preserve">symposia. </w:t>
      </w:r>
    </w:p>
    <w:p w:rsidR="00BF152D" w:rsidRPr="00F342CB" w:rsidRDefault="002C74AD" w:rsidP="00F342CB">
      <w:pPr>
        <w:spacing w:after="120"/>
        <w:rPr>
          <w:szCs w:val="24"/>
        </w:rPr>
      </w:pPr>
      <w:r w:rsidRPr="00F342CB">
        <w:rPr>
          <w:szCs w:val="24"/>
        </w:rPr>
        <w:t xml:space="preserve">At its </w:t>
      </w:r>
      <w:r w:rsidR="00E44A93" w:rsidRPr="00F342CB">
        <w:rPr>
          <w:szCs w:val="24"/>
        </w:rPr>
        <w:t>4 April</w:t>
      </w:r>
      <w:r w:rsidR="001274C1" w:rsidRPr="00F342CB">
        <w:rPr>
          <w:szCs w:val="24"/>
        </w:rPr>
        <w:t xml:space="preserve"> 2019</w:t>
      </w:r>
      <w:r w:rsidRPr="00F342CB">
        <w:rPr>
          <w:szCs w:val="24"/>
        </w:rPr>
        <w:t xml:space="preserve"> meeting</w:t>
      </w:r>
      <w:r w:rsidR="0081545B" w:rsidRPr="00F342CB">
        <w:rPr>
          <w:szCs w:val="24"/>
        </w:rPr>
        <w:t xml:space="preserve">, </w:t>
      </w:r>
      <w:r w:rsidR="00E44A93" w:rsidRPr="00F342CB">
        <w:rPr>
          <w:rFonts w:cs="Segoe UI"/>
          <w:szCs w:val="24"/>
        </w:rPr>
        <w:t>ISCG</w:t>
      </w:r>
      <w:r w:rsidR="00CC00D9" w:rsidRPr="00F342CB">
        <w:rPr>
          <w:szCs w:val="24"/>
        </w:rPr>
        <w:t>:</w:t>
      </w:r>
      <w:r w:rsidR="00214668" w:rsidRPr="00F342CB">
        <w:rPr>
          <w:szCs w:val="24"/>
        </w:rPr>
        <w:t xml:space="preserve"> </w:t>
      </w:r>
      <w:r w:rsidR="00E44A93" w:rsidRPr="00F342CB">
        <w:rPr>
          <w:szCs w:val="24"/>
          <w:u w:val="single"/>
        </w:rPr>
        <w:t>agreed</w:t>
      </w:r>
      <w:r w:rsidR="00E44A93" w:rsidRPr="00F342CB">
        <w:rPr>
          <w:szCs w:val="24"/>
        </w:rPr>
        <w:t xml:space="preserve"> to </w:t>
      </w:r>
      <w:r w:rsidR="001274C1" w:rsidRPr="00F342CB">
        <w:rPr>
          <w:szCs w:val="24"/>
        </w:rPr>
        <w:t>a</w:t>
      </w:r>
      <w:r w:rsidR="00E44A93" w:rsidRPr="00F342CB">
        <w:rPr>
          <w:szCs w:val="24"/>
        </w:rPr>
        <w:t xml:space="preserve"> revised list of areas of mutual interest</w:t>
      </w:r>
      <w:r w:rsidR="00CC00D9" w:rsidRPr="00F342CB">
        <w:rPr>
          <w:szCs w:val="24"/>
        </w:rPr>
        <w:t>;</w:t>
      </w:r>
      <w:r w:rsidR="00CC00D9" w:rsidRPr="00F342CB">
        <w:rPr>
          <w:szCs w:val="24"/>
          <w:u w:val="single"/>
        </w:rPr>
        <w:t xml:space="preserve"> </w:t>
      </w:r>
      <w:r w:rsidR="00E44A93" w:rsidRPr="00F342CB">
        <w:rPr>
          <w:szCs w:val="24"/>
          <w:u w:val="single"/>
        </w:rPr>
        <w:t>agreed</w:t>
      </w:r>
      <w:r w:rsidR="00E44A93" w:rsidRPr="00F342CB">
        <w:rPr>
          <w:szCs w:val="24"/>
        </w:rPr>
        <w:t xml:space="preserve"> to</w:t>
      </w:r>
      <w:r w:rsidR="00321FDD" w:rsidRPr="00F342CB">
        <w:rPr>
          <w:szCs w:val="24"/>
        </w:rPr>
        <w:t xml:space="preserve"> </w:t>
      </w:r>
      <w:r w:rsidR="0069422F" w:rsidRPr="00F342CB">
        <w:rPr>
          <w:szCs w:val="24"/>
        </w:rPr>
        <w:t>revise</w:t>
      </w:r>
      <w:r w:rsidR="00321FDD" w:rsidRPr="00F342CB">
        <w:rPr>
          <w:szCs w:val="24"/>
        </w:rPr>
        <w:t xml:space="preserve"> its </w:t>
      </w:r>
      <w:r w:rsidR="00E44A93" w:rsidRPr="00F342CB">
        <w:rPr>
          <w:szCs w:val="24"/>
        </w:rPr>
        <w:t>terms of reference</w:t>
      </w:r>
      <w:r w:rsidR="003F04A6" w:rsidRPr="00F342CB">
        <w:rPr>
          <w:rStyle w:val="FootnoteReference"/>
          <w:sz w:val="24"/>
          <w:szCs w:val="24"/>
        </w:rPr>
        <w:footnoteReference w:id="10"/>
      </w:r>
      <w:r w:rsidR="003F04A6" w:rsidRPr="00F342CB">
        <w:rPr>
          <w:szCs w:val="24"/>
        </w:rPr>
        <w:t xml:space="preserve"> </w:t>
      </w:r>
      <w:r w:rsidR="0014023E" w:rsidRPr="00F342CB">
        <w:rPr>
          <w:szCs w:val="24"/>
        </w:rPr>
        <w:t xml:space="preserve">to </w:t>
      </w:r>
      <w:r w:rsidR="00214668" w:rsidRPr="00F342CB">
        <w:rPr>
          <w:szCs w:val="24"/>
        </w:rPr>
        <w:t>change the names of the TDAG representatives to ISCG, with Mr Al-</w:t>
      </w:r>
      <w:proofErr w:type="spellStart"/>
      <w:r w:rsidR="00214668" w:rsidRPr="00F342CB">
        <w:rPr>
          <w:szCs w:val="24"/>
        </w:rPr>
        <w:t>ansari</w:t>
      </w:r>
      <w:proofErr w:type="spellEnd"/>
      <w:r w:rsidR="00214668" w:rsidRPr="00F342CB">
        <w:rPr>
          <w:szCs w:val="24"/>
        </w:rPr>
        <w:t xml:space="preserve"> </w:t>
      </w:r>
      <w:proofErr w:type="spellStart"/>
      <w:r w:rsidR="00214668" w:rsidRPr="00F342CB">
        <w:rPr>
          <w:szCs w:val="24"/>
        </w:rPr>
        <w:t>Almashakbeh</w:t>
      </w:r>
      <w:proofErr w:type="spellEnd"/>
      <w:r w:rsidR="00214668" w:rsidRPr="00F342CB">
        <w:rPr>
          <w:szCs w:val="24"/>
        </w:rPr>
        <w:t xml:space="preserve"> replacing Ms </w:t>
      </w:r>
      <w:proofErr w:type="spellStart"/>
      <w:r w:rsidR="00214668" w:rsidRPr="00F342CB">
        <w:rPr>
          <w:szCs w:val="24"/>
        </w:rPr>
        <w:t>Nurzat</w:t>
      </w:r>
      <w:proofErr w:type="spellEnd"/>
      <w:r w:rsidR="00214668" w:rsidRPr="00F342CB">
        <w:rPr>
          <w:szCs w:val="24"/>
        </w:rPr>
        <w:t xml:space="preserve"> </w:t>
      </w:r>
      <w:proofErr w:type="spellStart"/>
      <w:r w:rsidR="00214668" w:rsidRPr="00F342CB">
        <w:rPr>
          <w:szCs w:val="24"/>
        </w:rPr>
        <w:t>Boljobekova</w:t>
      </w:r>
      <w:proofErr w:type="spellEnd"/>
      <w:r w:rsidR="00214668" w:rsidRPr="00F342CB">
        <w:rPr>
          <w:szCs w:val="24"/>
        </w:rPr>
        <w:t>;</w:t>
      </w:r>
      <w:r w:rsidR="0014023E" w:rsidRPr="00F342CB">
        <w:rPr>
          <w:szCs w:val="24"/>
        </w:rPr>
        <w:t xml:space="preserve"> </w:t>
      </w:r>
      <w:r w:rsidR="0014023E" w:rsidRPr="00F342CB">
        <w:rPr>
          <w:szCs w:val="24"/>
          <w:u w:val="single"/>
        </w:rPr>
        <w:t>agreed</w:t>
      </w:r>
      <w:r w:rsidR="0014023E" w:rsidRPr="00F342CB">
        <w:rPr>
          <w:szCs w:val="24"/>
        </w:rPr>
        <w:t xml:space="preserve"> to request RAG and TSAG to add a hyperlink of the </w:t>
      </w:r>
      <w:hyperlink r:id="rId54" w:history="1">
        <w:r w:rsidR="0014023E" w:rsidRPr="00F342CB">
          <w:rPr>
            <w:rStyle w:val="Hyperlink"/>
            <w:szCs w:val="24"/>
          </w:rPr>
          <w:t>ISCG website</w:t>
        </w:r>
      </w:hyperlink>
      <w:r w:rsidR="0014023E" w:rsidRPr="00F342CB">
        <w:rPr>
          <w:szCs w:val="24"/>
        </w:rPr>
        <w:t xml:space="preserve"> to their own websites</w:t>
      </w:r>
      <w:r w:rsidR="00850299" w:rsidRPr="00F342CB">
        <w:rPr>
          <w:szCs w:val="24"/>
        </w:rPr>
        <w:t xml:space="preserve">; </w:t>
      </w:r>
      <w:r w:rsidR="00E44A93" w:rsidRPr="00F342CB">
        <w:rPr>
          <w:szCs w:val="24"/>
          <w:u w:val="single"/>
        </w:rPr>
        <w:t>decided</w:t>
      </w:r>
      <w:r w:rsidR="00E44A93" w:rsidRPr="00F342CB">
        <w:rPr>
          <w:szCs w:val="24"/>
        </w:rPr>
        <w:t xml:space="preserve"> to post a mapping table of </w:t>
      </w:r>
      <w:r w:rsidR="00850299" w:rsidRPr="00F342CB">
        <w:rPr>
          <w:szCs w:val="24"/>
        </w:rPr>
        <w:t xml:space="preserve">the </w:t>
      </w:r>
      <w:r w:rsidR="00C70997" w:rsidRPr="00F342CB">
        <w:rPr>
          <w:szCs w:val="24"/>
        </w:rPr>
        <w:t xml:space="preserve">ITU-D and ITU-T </w:t>
      </w:r>
      <w:r w:rsidR="00E44A93" w:rsidRPr="00F342CB">
        <w:rPr>
          <w:szCs w:val="24"/>
        </w:rPr>
        <w:t xml:space="preserve">study group Questions on the </w:t>
      </w:r>
      <w:hyperlink r:id="rId55" w:history="1">
        <w:r w:rsidR="00E44A93" w:rsidRPr="00F342CB">
          <w:rPr>
            <w:rStyle w:val="Hyperlink"/>
            <w:szCs w:val="24"/>
          </w:rPr>
          <w:t>ISCG website</w:t>
        </w:r>
      </w:hyperlink>
      <w:r w:rsidR="00850299" w:rsidRPr="00F342CB">
        <w:rPr>
          <w:rStyle w:val="Hyperlink"/>
          <w:szCs w:val="24"/>
        </w:rPr>
        <w:t>,</w:t>
      </w:r>
      <w:r w:rsidR="00E44A93" w:rsidRPr="00F342CB">
        <w:rPr>
          <w:szCs w:val="24"/>
        </w:rPr>
        <w:t xml:space="preserve"> to update th</w:t>
      </w:r>
      <w:r w:rsidR="00E773B5" w:rsidRPr="00F342CB">
        <w:rPr>
          <w:szCs w:val="24"/>
        </w:rPr>
        <w:t>e</w:t>
      </w:r>
      <w:r w:rsidR="00E44A93" w:rsidRPr="00F342CB">
        <w:rPr>
          <w:szCs w:val="24"/>
        </w:rPr>
        <w:t xml:space="preserve"> table as a living document</w:t>
      </w:r>
      <w:r w:rsidR="0014023E" w:rsidRPr="00F342CB">
        <w:rPr>
          <w:szCs w:val="24"/>
        </w:rPr>
        <w:t>,</w:t>
      </w:r>
      <w:r w:rsidR="003F04A6" w:rsidRPr="00F342CB">
        <w:rPr>
          <w:rStyle w:val="FootnoteReference"/>
          <w:sz w:val="24"/>
          <w:szCs w:val="24"/>
        </w:rPr>
        <w:footnoteReference w:id="11"/>
      </w:r>
      <w:r w:rsidR="0014023E" w:rsidRPr="00F342CB">
        <w:rPr>
          <w:szCs w:val="24"/>
        </w:rPr>
        <w:t xml:space="preserve"> and to request t</w:t>
      </w:r>
      <w:r w:rsidR="00557DCB" w:rsidRPr="00F342CB">
        <w:rPr>
          <w:szCs w:val="24"/>
        </w:rPr>
        <w:t>he Inter-Sector Coordination Task Force (ISC-TF) to review th</w:t>
      </w:r>
      <w:r w:rsidR="00850299" w:rsidRPr="00F342CB">
        <w:rPr>
          <w:szCs w:val="24"/>
        </w:rPr>
        <w:t xml:space="preserve">e </w:t>
      </w:r>
      <w:r w:rsidR="00557DCB" w:rsidRPr="00F342CB">
        <w:rPr>
          <w:szCs w:val="24"/>
        </w:rPr>
        <w:t>table to eliminat</w:t>
      </w:r>
      <w:r w:rsidR="00C70997" w:rsidRPr="00F342CB">
        <w:rPr>
          <w:szCs w:val="24"/>
        </w:rPr>
        <w:t xml:space="preserve">e </w:t>
      </w:r>
      <w:r w:rsidR="00557DCB" w:rsidRPr="00F342CB">
        <w:rPr>
          <w:szCs w:val="24"/>
        </w:rPr>
        <w:t xml:space="preserve">possible </w:t>
      </w:r>
      <w:r w:rsidR="00850299" w:rsidRPr="00F342CB">
        <w:rPr>
          <w:szCs w:val="24"/>
        </w:rPr>
        <w:t>duplication</w:t>
      </w:r>
      <w:r w:rsidR="002223F8" w:rsidRPr="00F342CB">
        <w:rPr>
          <w:szCs w:val="24"/>
        </w:rPr>
        <w:t xml:space="preserve">; </w:t>
      </w:r>
      <w:r w:rsidR="00A442BF" w:rsidRPr="00F342CB">
        <w:rPr>
          <w:szCs w:val="24"/>
          <w:u w:val="single"/>
        </w:rPr>
        <w:t>decided</w:t>
      </w:r>
      <w:r w:rsidR="00A442BF" w:rsidRPr="00F342CB">
        <w:rPr>
          <w:szCs w:val="24"/>
        </w:rPr>
        <w:t xml:space="preserve"> to post the table of resolutions </w:t>
      </w:r>
      <w:r w:rsidR="0014023E" w:rsidRPr="00F342CB">
        <w:rPr>
          <w:szCs w:val="24"/>
        </w:rPr>
        <w:t xml:space="preserve">adopted by </w:t>
      </w:r>
      <w:r w:rsidR="00BF152D" w:rsidRPr="00F342CB">
        <w:rPr>
          <w:szCs w:val="24"/>
        </w:rPr>
        <w:t>the Plenipotentiary Conference (</w:t>
      </w:r>
      <w:r w:rsidR="00A442BF" w:rsidRPr="00F342CB">
        <w:rPr>
          <w:szCs w:val="24"/>
        </w:rPr>
        <w:t>PP</w:t>
      </w:r>
      <w:r w:rsidR="00BF152D" w:rsidRPr="00F342CB">
        <w:rPr>
          <w:szCs w:val="24"/>
        </w:rPr>
        <w:t>)</w:t>
      </w:r>
      <w:r w:rsidR="00A442BF" w:rsidRPr="00F342CB">
        <w:rPr>
          <w:szCs w:val="24"/>
        </w:rPr>
        <w:t xml:space="preserve">, </w:t>
      </w:r>
      <w:proofErr w:type="spellStart"/>
      <w:r w:rsidR="00BF152D" w:rsidRPr="00F342CB">
        <w:rPr>
          <w:szCs w:val="24"/>
        </w:rPr>
        <w:t>Radiocommunication</w:t>
      </w:r>
      <w:proofErr w:type="spellEnd"/>
      <w:r w:rsidR="00BF152D" w:rsidRPr="00F342CB">
        <w:rPr>
          <w:szCs w:val="24"/>
        </w:rPr>
        <w:t xml:space="preserve"> Assembly (RA), World </w:t>
      </w:r>
      <w:proofErr w:type="spellStart"/>
      <w:r w:rsidR="00BF152D" w:rsidRPr="00F342CB">
        <w:rPr>
          <w:szCs w:val="24"/>
        </w:rPr>
        <w:t>Radiocommunication</w:t>
      </w:r>
      <w:proofErr w:type="spellEnd"/>
      <w:r w:rsidR="00BF152D" w:rsidRPr="00F342CB">
        <w:rPr>
          <w:szCs w:val="24"/>
        </w:rPr>
        <w:t xml:space="preserve"> Conference (</w:t>
      </w:r>
      <w:r w:rsidR="00A442BF" w:rsidRPr="00F342CB">
        <w:rPr>
          <w:szCs w:val="24"/>
        </w:rPr>
        <w:t>WRC</w:t>
      </w:r>
      <w:r w:rsidR="00BF152D" w:rsidRPr="00F342CB">
        <w:rPr>
          <w:szCs w:val="24"/>
        </w:rPr>
        <w:t>)</w:t>
      </w:r>
      <w:r w:rsidR="00A442BF" w:rsidRPr="00F342CB">
        <w:rPr>
          <w:szCs w:val="24"/>
        </w:rPr>
        <w:t xml:space="preserve">, </w:t>
      </w:r>
      <w:r w:rsidR="00BF152D" w:rsidRPr="00F342CB">
        <w:rPr>
          <w:szCs w:val="24"/>
        </w:rPr>
        <w:t>World Telecommunication Standardization Assembly (</w:t>
      </w:r>
      <w:r w:rsidR="00A442BF" w:rsidRPr="00F342CB">
        <w:rPr>
          <w:szCs w:val="24"/>
        </w:rPr>
        <w:t>WTSA</w:t>
      </w:r>
      <w:r w:rsidR="00BF152D" w:rsidRPr="00F342CB">
        <w:rPr>
          <w:szCs w:val="24"/>
        </w:rPr>
        <w:t>)</w:t>
      </w:r>
      <w:r w:rsidR="00A442BF" w:rsidRPr="00F342CB">
        <w:rPr>
          <w:szCs w:val="24"/>
        </w:rPr>
        <w:t xml:space="preserve"> and WTDC on the </w:t>
      </w:r>
      <w:hyperlink r:id="rId56" w:history="1">
        <w:r w:rsidR="00A442BF" w:rsidRPr="00F342CB">
          <w:rPr>
            <w:rStyle w:val="Hyperlink"/>
            <w:szCs w:val="24"/>
          </w:rPr>
          <w:t>ISCG website</w:t>
        </w:r>
      </w:hyperlink>
      <w:r w:rsidR="00A0487E" w:rsidRPr="00F342CB">
        <w:rPr>
          <w:rStyle w:val="Hyperlink"/>
          <w:szCs w:val="24"/>
        </w:rPr>
        <w:t>,</w:t>
      </w:r>
      <w:r w:rsidR="00A442BF" w:rsidRPr="00F342CB">
        <w:rPr>
          <w:szCs w:val="24"/>
        </w:rPr>
        <w:t xml:space="preserve"> </w:t>
      </w:r>
      <w:r w:rsidR="00A0487E" w:rsidRPr="00F342CB">
        <w:rPr>
          <w:szCs w:val="24"/>
        </w:rPr>
        <w:t>s</w:t>
      </w:r>
      <w:r w:rsidR="00E773B5" w:rsidRPr="00F342CB">
        <w:rPr>
          <w:szCs w:val="24"/>
        </w:rPr>
        <w:t>o that e</w:t>
      </w:r>
      <w:r w:rsidR="00A442BF" w:rsidRPr="00F342CB">
        <w:rPr>
          <w:szCs w:val="24"/>
        </w:rPr>
        <w:t xml:space="preserve">ach Sector </w:t>
      </w:r>
      <w:r w:rsidR="00E773B5" w:rsidRPr="00F342CB">
        <w:rPr>
          <w:szCs w:val="24"/>
        </w:rPr>
        <w:t xml:space="preserve">could </w:t>
      </w:r>
      <w:r w:rsidR="00A442BF" w:rsidRPr="00F342CB">
        <w:rPr>
          <w:szCs w:val="24"/>
        </w:rPr>
        <w:t>review, comment and use th</w:t>
      </w:r>
      <w:r w:rsidRPr="00F342CB">
        <w:rPr>
          <w:szCs w:val="24"/>
        </w:rPr>
        <w:t xml:space="preserve">e </w:t>
      </w:r>
      <w:r w:rsidR="00A442BF" w:rsidRPr="00F342CB">
        <w:rPr>
          <w:szCs w:val="24"/>
        </w:rPr>
        <w:t xml:space="preserve">mapping table </w:t>
      </w:r>
      <w:r w:rsidRPr="00F342CB">
        <w:rPr>
          <w:szCs w:val="24"/>
        </w:rPr>
        <w:t>t</w:t>
      </w:r>
      <w:r w:rsidR="00A442BF" w:rsidRPr="00F342CB">
        <w:rPr>
          <w:szCs w:val="24"/>
        </w:rPr>
        <w:t>o streamlin</w:t>
      </w:r>
      <w:r w:rsidRPr="00F342CB">
        <w:rPr>
          <w:szCs w:val="24"/>
        </w:rPr>
        <w:t xml:space="preserve">e </w:t>
      </w:r>
      <w:r w:rsidR="00A442BF" w:rsidRPr="00F342CB">
        <w:rPr>
          <w:szCs w:val="24"/>
        </w:rPr>
        <w:t>resolutions</w:t>
      </w:r>
      <w:r w:rsidR="00CC00D9" w:rsidRPr="00F342CB">
        <w:rPr>
          <w:szCs w:val="24"/>
        </w:rPr>
        <w:t xml:space="preserve"> as appropriate</w:t>
      </w:r>
      <w:r w:rsidR="00A442BF" w:rsidRPr="00F342CB">
        <w:rPr>
          <w:szCs w:val="24"/>
        </w:rPr>
        <w:t>.</w:t>
      </w:r>
      <w:r w:rsidR="00BF152D" w:rsidRPr="00F342CB">
        <w:rPr>
          <w:szCs w:val="24"/>
        </w:rPr>
        <w:t xml:space="preserve"> </w:t>
      </w:r>
    </w:p>
    <w:p w:rsidR="00A0487E" w:rsidRPr="00F342CB" w:rsidRDefault="00CD6966" w:rsidP="00F342CB">
      <w:pPr>
        <w:spacing w:after="120"/>
        <w:rPr>
          <w:szCs w:val="24"/>
        </w:rPr>
      </w:pPr>
      <w:r w:rsidRPr="00F342CB">
        <w:rPr>
          <w:szCs w:val="24"/>
        </w:rPr>
        <w:t xml:space="preserve">ISCG </w:t>
      </w:r>
      <w:r w:rsidR="00850299" w:rsidRPr="00F342CB">
        <w:rPr>
          <w:szCs w:val="24"/>
        </w:rPr>
        <w:t xml:space="preserve">also </w:t>
      </w:r>
      <w:r w:rsidR="00A442BF" w:rsidRPr="00F342CB">
        <w:rPr>
          <w:szCs w:val="24"/>
        </w:rPr>
        <w:t>proposed to start a practical trial of cooperation among the three Sectors and the General Secretariat on two or three specific topics</w:t>
      </w:r>
      <w:r w:rsidR="00CC00D9" w:rsidRPr="00F342CB">
        <w:rPr>
          <w:szCs w:val="24"/>
        </w:rPr>
        <w:t xml:space="preserve"> </w:t>
      </w:r>
      <w:r w:rsidR="00A442BF" w:rsidRPr="00F342CB">
        <w:rPr>
          <w:szCs w:val="24"/>
        </w:rPr>
        <w:t>to be discussed at the next meeting</w:t>
      </w:r>
      <w:r w:rsidR="00850299" w:rsidRPr="00F342CB">
        <w:rPr>
          <w:szCs w:val="24"/>
        </w:rPr>
        <w:t>.</w:t>
      </w:r>
      <w:r w:rsidR="00850299" w:rsidRPr="00F342CB">
        <w:rPr>
          <w:rStyle w:val="FootnoteReference"/>
          <w:sz w:val="24"/>
          <w:szCs w:val="24"/>
        </w:rPr>
        <w:footnoteReference w:id="12"/>
      </w:r>
      <w:r w:rsidR="00850299" w:rsidRPr="00F342CB">
        <w:rPr>
          <w:szCs w:val="24"/>
        </w:rPr>
        <w:t xml:space="preserve"> </w:t>
      </w:r>
    </w:p>
    <w:tbl>
      <w:tblPr>
        <w:tblStyle w:val="TableGrid"/>
        <w:tblW w:w="0" w:type="auto"/>
        <w:tblLook w:val="04A0" w:firstRow="1" w:lastRow="0" w:firstColumn="1" w:lastColumn="0" w:noHBand="0" w:noVBand="1"/>
      </w:tblPr>
      <w:tblGrid>
        <w:gridCol w:w="9629"/>
      </w:tblGrid>
      <w:tr w:rsidR="00A442BF" w:rsidRPr="00F342CB" w:rsidTr="00F9789D">
        <w:tc>
          <w:tcPr>
            <w:tcW w:w="9629" w:type="dxa"/>
          </w:tcPr>
          <w:bookmarkEnd w:id="18"/>
          <w:p w:rsidR="00A442BF" w:rsidRPr="00F342CB" w:rsidRDefault="0069422F" w:rsidP="00F342CB">
            <w:pPr>
              <w:spacing w:after="120"/>
              <w:rPr>
                <w:rFonts w:cstheme="minorBidi"/>
                <w:color w:val="000000" w:themeColor="text1"/>
                <w:szCs w:val="24"/>
              </w:rPr>
            </w:pPr>
            <w:r w:rsidRPr="00F342CB">
              <w:rPr>
                <w:szCs w:val="24"/>
              </w:rPr>
              <w:t xml:space="preserve">TDAG welcomed the progress report and commended Mr </w:t>
            </w:r>
            <w:proofErr w:type="spellStart"/>
            <w:r w:rsidRPr="00F342CB">
              <w:rPr>
                <w:szCs w:val="24"/>
              </w:rPr>
              <w:t>Bigi</w:t>
            </w:r>
            <w:proofErr w:type="spellEnd"/>
            <w:r w:rsidRPr="00F342CB">
              <w:rPr>
                <w:szCs w:val="24"/>
              </w:rPr>
              <w:t xml:space="preserve"> for the group</w:t>
            </w:r>
            <w:r w:rsidR="00321FDD" w:rsidRPr="00F342CB">
              <w:rPr>
                <w:szCs w:val="24"/>
              </w:rPr>
              <w:t>’</w:t>
            </w:r>
            <w:r w:rsidRPr="00F342CB">
              <w:rPr>
                <w:szCs w:val="24"/>
              </w:rPr>
              <w:t>s achievements</w:t>
            </w:r>
            <w:r w:rsidR="00321FDD" w:rsidRPr="00F342CB">
              <w:rPr>
                <w:szCs w:val="24"/>
              </w:rPr>
              <w:t>.</w:t>
            </w:r>
            <w:r w:rsidRPr="00F342CB">
              <w:rPr>
                <w:rFonts w:eastAsia="Calibri"/>
                <w:szCs w:val="24"/>
              </w:rPr>
              <w:t xml:space="preserve"> </w:t>
            </w:r>
            <w:r w:rsidR="00A442BF" w:rsidRPr="00F342CB">
              <w:rPr>
                <w:rFonts w:eastAsia="Calibri"/>
                <w:szCs w:val="24"/>
              </w:rPr>
              <w:t>TDAG approved the way forward and the appointment of Mr Al</w:t>
            </w:r>
            <w:r w:rsidR="006B6987" w:rsidRPr="00F342CB">
              <w:rPr>
                <w:rFonts w:eastAsia="Calibri"/>
                <w:szCs w:val="24"/>
              </w:rPr>
              <w:t>-</w:t>
            </w:r>
            <w:proofErr w:type="spellStart"/>
            <w:r w:rsidR="006B6987" w:rsidRPr="00F342CB">
              <w:rPr>
                <w:rFonts w:eastAsia="Calibri"/>
                <w:szCs w:val="24"/>
              </w:rPr>
              <w:t>a</w:t>
            </w:r>
            <w:r w:rsidR="00A442BF" w:rsidRPr="00F342CB">
              <w:rPr>
                <w:rFonts w:eastAsia="Calibri"/>
                <w:szCs w:val="24"/>
              </w:rPr>
              <w:t>nsari</w:t>
            </w:r>
            <w:proofErr w:type="spellEnd"/>
            <w:r w:rsidR="00A442BF" w:rsidRPr="00F342CB">
              <w:rPr>
                <w:rFonts w:eastAsia="Calibri"/>
                <w:szCs w:val="24"/>
              </w:rPr>
              <w:t xml:space="preserve"> </w:t>
            </w:r>
            <w:proofErr w:type="spellStart"/>
            <w:r w:rsidR="006B6987" w:rsidRPr="00F342CB">
              <w:rPr>
                <w:rFonts w:eastAsia="Calibri"/>
                <w:szCs w:val="24"/>
              </w:rPr>
              <w:t>Almashakbeh</w:t>
            </w:r>
            <w:proofErr w:type="spellEnd"/>
            <w:r w:rsidR="006B6987" w:rsidRPr="00F342CB">
              <w:rPr>
                <w:rFonts w:eastAsia="Calibri"/>
                <w:szCs w:val="24"/>
              </w:rPr>
              <w:t xml:space="preserve"> </w:t>
            </w:r>
            <w:r w:rsidRPr="00F342CB">
              <w:rPr>
                <w:rFonts w:eastAsia="Calibri"/>
                <w:szCs w:val="24"/>
              </w:rPr>
              <w:t>(</w:t>
            </w:r>
            <w:r w:rsidRPr="00F342CB">
              <w:rPr>
                <w:rFonts w:eastAsia="Calibri"/>
                <w:b/>
                <w:szCs w:val="24"/>
              </w:rPr>
              <w:t>Jordan</w:t>
            </w:r>
            <w:r w:rsidRPr="00F342CB">
              <w:rPr>
                <w:rFonts w:eastAsia="Calibri"/>
                <w:szCs w:val="24"/>
              </w:rPr>
              <w:t xml:space="preserve">) </w:t>
            </w:r>
            <w:r w:rsidR="00A442BF" w:rsidRPr="00F342CB">
              <w:rPr>
                <w:rFonts w:eastAsia="Calibri"/>
                <w:szCs w:val="24"/>
              </w:rPr>
              <w:t>as</w:t>
            </w:r>
            <w:r w:rsidR="006A16A1" w:rsidRPr="00F342CB">
              <w:rPr>
                <w:rFonts w:eastAsia="Calibri"/>
                <w:szCs w:val="24"/>
              </w:rPr>
              <w:t xml:space="preserve"> </w:t>
            </w:r>
            <w:r w:rsidRPr="00F342CB">
              <w:rPr>
                <w:rFonts w:eastAsia="Calibri"/>
                <w:szCs w:val="24"/>
              </w:rPr>
              <w:t xml:space="preserve">one of two </w:t>
            </w:r>
            <w:r w:rsidR="00A442BF" w:rsidRPr="00F342CB">
              <w:rPr>
                <w:rFonts w:eastAsia="Calibri"/>
                <w:szCs w:val="24"/>
              </w:rPr>
              <w:t>TDAG representative</w:t>
            </w:r>
            <w:r w:rsidRPr="00F342CB">
              <w:rPr>
                <w:rFonts w:eastAsia="Calibri"/>
                <w:szCs w:val="24"/>
              </w:rPr>
              <w:t>s</w:t>
            </w:r>
            <w:r w:rsidR="004D3BE3" w:rsidRPr="00F342CB">
              <w:rPr>
                <w:rFonts w:eastAsia="Calibri"/>
                <w:szCs w:val="24"/>
              </w:rPr>
              <w:t xml:space="preserve"> to the ISCG</w:t>
            </w:r>
            <w:r w:rsidR="00A442BF" w:rsidRPr="00F342CB">
              <w:rPr>
                <w:rFonts w:eastAsia="Calibri"/>
                <w:szCs w:val="24"/>
              </w:rPr>
              <w:t>.</w:t>
            </w:r>
          </w:p>
        </w:tc>
      </w:tr>
    </w:tbl>
    <w:p w:rsidR="008F2F30" w:rsidRPr="00F342CB" w:rsidRDefault="00C330B0" w:rsidP="00F342CB">
      <w:pPr>
        <w:tabs>
          <w:tab w:val="left" w:pos="567"/>
          <w:tab w:val="left" w:pos="851"/>
        </w:tabs>
        <w:spacing w:after="120"/>
        <w:rPr>
          <w:szCs w:val="24"/>
        </w:rPr>
      </w:pPr>
      <w:hyperlink r:id="rId57" w:history="1">
        <w:r w:rsidR="008D129D" w:rsidRPr="00F342CB">
          <w:rPr>
            <w:rStyle w:val="Hyperlink"/>
            <w:b/>
            <w:bCs/>
            <w:szCs w:val="24"/>
          </w:rPr>
          <w:t>Document 10</w:t>
        </w:r>
      </w:hyperlink>
      <w:r w:rsidR="008D129D" w:rsidRPr="00F342CB">
        <w:rPr>
          <w:szCs w:val="24"/>
        </w:rPr>
        <w:t xml:space="preserve"> , an incoming liaison statement from ISCG dated </w:t>
      </w:r>
      <w:r w:rsidR="008F2F30" w:rsidRPr="00F342CB">
        <w:rPr>
          <w:szCs w:val="24"/>
        </w:rPr>
        <w:t>3 December 2018, submi</w:t>
      </w:r>
      <w:r w:rsidR="00164995" w:rsidRPr="00F342CB">
        <w:rPr>
          <w:szCs w:val="24"/>
        </w:rPr>
        <w:t xml:space="preserve">ts </w:t>
      </w:r>
      <w:r w:rsidR="00441CB1" w:rsidRPr="00F342CB">
        <w:rPr>
          <w:szCs w:val="24"/>
        </w:rPr>
        <w:t xml:space="preserve">to RAG, TSAG and TDAG for review, comment and approval </w:t>
      </w:r>
      <w:r w:rsidR="009E08BA" w:rsidRPr="00F342CB">
        <w:rPr>
          <w:szCs w:val="24"/>
        </w:rPr>
        <w:t xml:space="preserve">revisions to </w:t>
      </w:r>
      <w:r w:rsidR="008F2F30" w:rsidRPr="00F342CB">
        <w:rPr>
          <w:szCs w:val="24"/>
        </w:rPr>
        <w:t>its terms of reference t</w:t>
      </w:r>
      <w:r w:rsidR="00441CB1" w:rsidRPr="00F342CB">
        <w:rPr>
          <w:szCs w:val="24"/>
        </w:rPr>
        <w:t>hat</w:t>
      </w:r>
      <w:r w:rsidR="008F2F30" w:rsidRPr="00F342CB">
        <w:rPr>
          <w:szCs w:val="24"/>
        </w:rPr>
        <w:t xml:space="preserve"> </w:t>
      </w:r>
      <w:r w:rsidR="00164995" w:rsidRPr="00F342CB">
        <w:rPr>
          <w:szCs w:val="24"/>
        </w:rPr>
        <w:t>update the list of representatives to include Mr Al-</w:t>
      </w:r>
      <w:proofErr w:type="spellStart"/>
      <w:r w:rsidR="00164995" w:rsidRPr="00F342CB">
        <w:rPr>
          <w:szCs w:val="24"/>
        </w:rPr>
        <w:t>ansari</w:t>
      </w:r>
      <w:proofErr w:type="spellEnd"/>
      <w:r w:rsidR="00164995" w:rsidRPr="00F342CB">
        <w:rPr>
          <w:szCs w:val="24"/>
        </w:rPr>
        <w:t xml:space="preserve"> </w:t>
      </w:r>
      <w:proofErr w:type="spellStart"/>
      <w:r w:rsidR="00164995" w:rsidRPr="00F342CB">
        <w:rPr>
          <w:szCs w:val="24"/>
        </w:rPr>
        <w:t>Almashakbeh</w:t>
      </w:r>
      <w:proofErr w:type="spellEnd"/>
      <w:r w:rsidR="008F2F30" w:rsidRPr="00F342CB">
        <w:rPr>
          <w:szCs w:val="24"/>
        </w:rPr>
        <w:t>. The revised terms are based o</w:t>
      </w:r>
      <w:r w:rsidR="00C70997" w:rsidRPr="00F342CB">
        <w:rPr>
          <w:szCs w:val="24"/>
        </w:rPr>
        <w:t>n</w:t>
      </w:r>
      <w:r w:rsidR="008F2F30" w:rsidRPr="00F342CB">
        <w:rPr>
          <w:szCs w:val="24"/>
        </w:rPr>
        <w:t xml:space="preserve"> discussions that took place during the TDAG meeting and April 2018 Council meeting, a</w:t>
      </w:r>
      <w:r w:rsidR="00C70997" w:rsidRPr="00F342CB">
        <w:rPr>
          <w:szCs w:val="24"/>
        </w:rPr>
        <w:t xml:space="preserve">nd </w:t>
      </w:r>
      <w:r w:rsidR="008F2F30" w:rsidRPr="00F342CB">
        <w:rPr>
          <w:szCs w:val="24"/>
        </w:rPr>
        <w:t xml:space="preserve">on revisions to </w:t>
      </w:r>
      <w:r w:rsidR="008F2F30" w:rsidRPr="00F342CB">
        <w:rPr>
          <w:rFonts w:cs="Arial"/>
          <w:szCs w:val="24"/>
        </w:rPr>
        <w:t xml:space="preserve">Resolution 191 (Rev. Dubai, 2018) </w:t>
      </w:r>
      <w:r w:rsidR="008D129D" w:rsidRPr="00F342CB">
        <w:rPr>
          <w:rFonts w:cs="Arial"/>
          <w:szCs w:val="24"/>
        </w:rPr>
        <w:t>(</w:t>
      </w:r>
      <w:r w:rsidR="008F2F30" w:rsidRPr="00F342CB">
        <w:rPr>
          <w:szCs w:val="24"/>
        </w:rPr>
        <w:t>coordination efforts among the three Sectors</w:t>
      </w:r>
      <w:r w:rsidR="008D129D" w:rsidRPr="00F342CB">
        <w:rPr>
          <w:szCs w:val="24"/>
        </w:rPr>
        <w:t>)</w:t>
      </w:r>
      <w:r w:rsidR="008F2F30" w:rsidRPr="00F342CB">
        <w:rPr>
          <w:szCs w:val="24"/>
        </w:rPr>
        <w:t>.</w:t>
      </w:r>
    </w:p>
    <w:tbl>
      <w:tblPr>
        <w:tblStyle w:val="TableGrid"/>
        <w:tblW w:w="0" w:type="auto"/>
        <w:tblLook w:val="04A0" w:firstRow="1" w:lastRow="0" w:firstColumn="1" w:lastColumn="0" w:noHBand="0" w:noVBand="1"/>
      </w:tblPr>
      <w:tblGrid>
        <w:gridCol w:w="9629"/>
      </w:tblGrid>
      <w:tr w:rsidR="008F2F30" w:rsidRPr="00F342CB" w:rsidTr="005A5381">
        <w:tc>
          <w:tcPr>
            <w:tcW w:w="9629" w:type="dxa"/>
          </w:tcPr>
          <w:p w:rsidR="008F2F30" w:rsidRPr="00F342CB" w:rsidRDefault="008F2F30" w:rsidP="00F342CB">
            <w:pPr>
              <w:spacing w:after="120"/>
              <w:rPr>
                <w:rFonts w:cstheme="minorBidi"/>
                <w:color w:val="000000" w:themeColor="text1"/>
                <w:szCs w:val="24"/>
              </w:rPr>
            </w:pPr>
            <w:r w:rsidRPr="00F342CB">
              <w:rPr>
                <w:rFonts w:eastAsia="Calibri"/>
                <w:szCs w:val="24"/>
              </w:rPr>
              <w:t>TDAG noted the document.</w:t>
            </w:r>
          </w:p>
        </w:tc>
      </w:tr>
    </w:tbl>
    <w:p w:rsidR="008F2F30" w:rsidRPr="00F342CB" w:rsidRDefault="008D129D" w:rsidP="00F342CB">
      <w:pPr>
        <w:tabs>
          <w:tab w:val="left" w:pos="567"/>
          <w:tab w:val="left" w:pos="851"/>
        </w:tabs>
        <w:spacing w:after="120"/>
        <w:rPr>
          <w:szCs w:val="24"/>
        </w:rPr>
      </w:pPr>
      <w:r w:rsidRPr="00F342CB">
        <w:rPr>
          <w:szCs w:val="24"/>
        </w:rPr>
        <w:t xml:space="preserve">Through </w:t>
      </w:r>
      <w:hyperlink r:id="rId58" w:history="1">
        <w:r w:rsidR="008F2F30" w:rsidRPr="00F342CB">
          <w:rPr>
            <w:rStyle w:val="Hyperlink"/>
            <w:b/>
            <w:bCs/>
            <w:szCs w:val="24"/>
          </w:rPr>
          <w:t>Document 24</w:t>
        </w:r>
      </w:hyperlink>
      <w:r w:rsidRPr="00F342CB">
        <w:rPr>
          <w:szCs w:val="24"/>
        </w:rPr>
        <w:t>,</w:t>
      </w:r>
      <w:r w:rsidR="008F2F30" w:rsidRPr="00F342CB">
        <w:rPr>
          <w:szCs w:val="24"/>
        </w:rPr>
        <w:t xml:space="preserve"> </w:t>
      </w:r>
      <w:r w:rsidRPr="00F342CB">
        <w:rPr>
          <w:szCs w:val="24"/>
        </w:rPr>
        <w:t>(</w:t>
      </w:r>
      <w:r w:rsidR="008F2F30" w:rsidRPr="00F342CB">
        <w:rPr>
          <w:szCs w:val="24"/>
        </w:rPr>
        <w:t>Incoming liaison statement</w:t>
      </w:r>
      <w:r w:rsidRPr="00F342CB">
        <w:rPr>
          <w:szCs w:val="24"/>
        </w:rPr>
        <w:t>) T</w:t>
      </w:r>
      <w:r w:rsidR="00164995" w:rsidRPr="00F342CB">
        <w:rPr>
          <w:szCs w:val="24"/>
        </w:rPr>
        <w:t>S</w:t>
      </w:r>
      <w:r w:rsidRPr="00F342CB">
        <w:rPr>
          <w:szCs w:val="24"/>
        </w:rPr>
        <w:t xml:space="preserve">AG </w:t>
      </w:r>
      <w:r w:rsidR="008F2F30" w:rsidRPr="00F342CB">
        <w:rPr>
          <w:szCs w:val="24"/>
        </w:rPr>
        <w:t>reports that</w:t>
      </w:r>
      <w:r w:rsidRPr="00F342CB">
        <w:rPr>
          <w:szCs w:val="24"/>
        </w:rPr>
        <w:t xml:space="preserve"> it</w:t>
      </w:r>
      <w:r w:rsidR="008F2F30" w:rsidRPr="00F342CB">
        <w:rPr>
          <w:szCs w:val="24"/>
        </w:rPr>
        <w:t xml:space="preserve"> approved </w:t>
      </w:r>
      <w:r w:rsidRPr="00F342CB">
        <w:rPr>
          <w:szCs w:val="24"/>
        </w:rPr>
        <w:t>the ISCG’s p</w:t>
      </w:r>
      <w:r w:rsidR="008F2F30" w:rsidRPr="00F342CB">
        <w:rPr>
          <w:szCs w:val="24"/>
        </w:rPr>
        <w:t>roposed revised terms of reference</w:t>
      </w:r>
      <w:r w:rsidR="00C70997" w:rsidRPr="00F342CB">
        <w:rPr>
          <w:szCs w:val="24"/>
        </w:rPr>
        <w:t xml:space="preserve"> a</w:t>
      </w:r>
      <w:r w:rsidR="008F2F30" w:rsidRPr="00F342CB">
        <w:rPr>
          <w:szCs w:val="24"/>
        </w:rPr>
        <w:t xml:space="preserve">t its </w:t>
      </w:r>
      <w:r w:rsidR="00C70997" w:rsidRPr="00F342CB">
        <w:rPr>
          <w:szCs w:val="24"/>
        </w:rPr>
        <w:t xml:space="preserve">December 2018 </w:t>
      </w:r>
      <w:r w:rsidR="008F2F30" w:rsidRPr="00F342CB">
        <w:rPr>
          <w:szCs w:val="24"/>
        </w:rPr>
        <w:t>meeting in Geneva</w:t>
      </w:r>
      <w:r w:rsidR="00C70997" w:rsidRPr="00F342CB">
        <w:rPr>
          <w:szCs w:val="24"/>
        </w:rPr>
        <w:t>.</w:t>
      </w:r>
      <w:r w:rsidR="00070DBE">
        <w:rPr>
          <w:szCs w:val="24"/>
        </w:rPr>
        <w:t xml:space="preserve"> </w:t>
      </w:r>
      <w:r w:rsidR="00C70997" w:rsidRPr="00F342CB">
        <w:rPr>
          <w:szCs w:val="24"/>
        </w:rPr>
        <w:t>Also, in accord with revis</w:t>
      </w:r>
      <w:r w:rsidR="00164995" w:rsidRPr="00F342CB">
        <w:rPr>
          <w:szCs w:val="24"/>
        </w:rPr>
        <w:t>i</w:t>
      </w:r>
      <w:r w:rsidR="00C70997" w:rsidRPr="00F342CB">
        <w:rPr>
          <w:szCs w:val="24"/>
        </w:rPr>
        <w:t xml:space="preserve">ons to Resolution 191 at PP-18 (Dubai), </w:t>
      </w:r>
      <w:r w:rsidR="008F2F30" w:rsidRPr="00F342CB">
        <w:rPr>
          <w:szCs w:val="24"/>
        </w:rPr>
        <w:t xml:space="preserve">TSAG </w:t>
      </w:r>
      <w:r w:rsidR="00C70997" w:rsidRPr="00F342CB">
        <w:rPr>
          <w:szCs w:val="24"/>
        </w:rPr>
        <w:t xml:space="preserve">corrected the </w:t>
      </w:r>
      <w:r w:rsidR="008F2F30" w:rsidRPr="00F342CB">
        <w:rPr>
          <w:szCs w:val="24"/>
        </w:rPr>
        <w:t xml:space="preserve">terms of reference </w:t>
      </w:r>
      <w:r w:rsidR="00164995" w:rsidRPr="00F342CB">
        <w:rPr>
          <w:szCs w:val="24"/>
        </w:rPr>
        <w:t xml:space="preserve">to add </w:t>
      </w:r>
      <w:r w:rsidR="008F2F30" w:rsidRPr="00F342CB">
        <w:rPr>
          <w:szCs w:val="24"/>
        </w:rPr>
        <w:t xml:space="preserve">the </w:t>
      </w:r>
      <w:r w:rsidR="00164995" w:rsidRPr="00F342CB">
        <w:rPr>
          <w:szCs w:val="24"/>
        </w:rPr>
        <w:t xml:space="preserve">phrase </w:t>
      </w:r>
      <w:r w:rsidR="008F2F30" w:rsidRPr="00F342CB">
        <w:rPr>
          <w:szCs w:val="24"/>
        </w:rPr>
        <w:t>“General Secretariat”</w:t>
      </w:r>
      <w:r w:rsidR="00164995" w:rsidRPr="00F342CB">
        <w:rPr>
          <w:szCs w:val="24"/>
        </w:rPr>
        <w:t xml:space="preserve"> a</w:t>
      </w:r>
      <w:r w:rsidR="008F2F30" w:rsidRPr="00F342CB">
        <w:rPr>
          <w:szCs w:val="24"/>
        </w:rPr>
        <w:t xml:space="preserve">nd sent them to ISCG, and to TDAG and RAG for information. </w:t>
      </w:r>
    </w:p>
    <w:tbl>
      <w:tblPr>
        <w:tblStyle w:val="TableGrid"/>
        <w:tblW w:w="0" w:type="auto"/>
        <w:tblLook w:val="04A0" w:firstRow="1" w:lastRow="0" w:firstColumn="1" w:lastColumn="0" w:noHBand="0" w:noVBand="1"/>
      </w:tblPr>
      <w:tblGrid>
        <w:gridCol w:w="9629"/>
      </w:tblGrid>
      <w:tr w:rsidR="008F2F30" w:rsidRPr="00F342CB" w:rsidTr="005A5381">
        <w:tc>
          <w:tcPr>
            <w:tcW w:w="9629" w:type="dxa"/>
          </w:tcPr>
          <w:p w:rsidR="008F2F30" w:rsidRPr="00F342CB" w:rsidRDefault="008F2F30" w:rsidP="00F342CB">
            <w:pPr>
              <w:spacing w:after="120"/>
              <w:rPr>
                <w:rFonts w:cstheme="minorBidi"/>
                <w:color w:val="000000" w:themeColor="text1"/>
                <w:szCs w:val="24"/>
              </w:rPr>
            </w:pPr>
            <w:r w:rsidRPr="00F342CB">
              <w:rPr>
                <w:rFonts w:eastAsia="Calibri"/>
                <w:szCs w:val="24"/>
              </w:rPr>
              <w:t xml:space="preserve">TDAG noted the </w:t>
            </w:r>
            <w:r w:rsidR="002B5349" w:rsidRPr="00F342CB">
              <w:rPr>
                <w:rFonts w:eastAsia="Calibri"/>
                <w:szCs w:val="24"/>
              </w:rPr>
              <w:t xml:space="preserve">updates </w:t>
            </w:r>
            <w:r w:rsidR="00164995" w:rsidRPr="00F342CB">
              <w:rPr>
                <w:rFonts w:eastAsia="Calibri"/>
                <w:szCs w:val="24"/>
              </w:rPr>
              <w:t>with interest.</w:t>
            </w:r>
          </w:p>
        </w:tc>
      </w:tr>
    </w:tbl>
    <w:p w:rsidR="008F2F30" w:rsidRPr="00F342CB" w:rsidRDefault="00256D72" w:rsidP="00E47194">
      <w:pPr>
        <w:tabs>
          <w:tab w:val="left" w:pos="567"/>
          <w:tab w:val="left" w:pos="851"/>
        </w:tabs>
        <w:spacing w:after="120"/>
        <w:ind w:left="391" w:hanging="391"/>
        <w:rPr>
          <w:b/>
          <w:szCs w:val="24"/>
        </w:rPr>
      </w:pPr>
      <w:r w:rsidRPr="00F342CB">
        <w:rPr>
          <w:b/>
          <w:szCs w:val="24"/>
        </w:rPr>
        <w:lastRenderedPageBreak/>
        <w:t>9</w:t>
      </w:r>
      <w:r w:rsidR="00C81DC2" w:rsidRPr="00F342CB">
        <w:rPr>
          <w:b/>
          <w:szCs w:val="24"/>
        </w:rPr>
        <w:t>.2</w:t>
      </w:r>
      <w:r w:rsidR="00E47194">
        <w:rPr>
          <w:b/>
          <w:szCs w:val="24"/>
        </w:rPr>
        <w:tab/>
      </w:r>
      <w:r w:rsidR="00C81DC2" w:rsidRPr="00F342CB">
        <w:rPr>
          <w:b/>
          <w:szCs w:val="24"/>
        </w:rPr>
        <w:t>Mapping Links between ITU-D</w:t>
      </w:r>
      <w:r w:rsidR="002B5349" w:rsidRPr="00F342CB">
        <w:rPr>
          <w:b/>
          <w:szCs w:val="24"/>
        </w:rPr>
        <w:t>,</w:t>
      </w:r>
      <w:r w:rsidR="00C81DC2" w:rsidRPr="00F342CB">
        <w:rPr>
          <w:b/>
          <w:szCs w:val="24"/>
        </w:rPr>
        <w:t xml:space="preserve"> ITU-T</w:t>
      </w:r>
      <w:r w:rsidR="002B5349" w:rsidRPr="00F342CB">
        <w:rPr>
          <w:b/>
          <w:szCs w:val="24"/>
        </w:rPr>
        <w:t>, and ITU-R Study Group</w:t>
      </w:r>
      <w:r w:rsidR="00C81DC2" w:rsidRPr="00F342CB">
        <w:rPr>
          <w:b/>
          <w:szCs w:val="24"/>
        </w:rPr>
        <w:t xml:space="preserve"> Activities</w:t>
      </w:r>
    </w:p>
    <w:p w:rsidR="002B7F3A" w:rsidRPr="00B6374F" w:rsidRDefault="00E773B5" w:rsidP="009B5B24">
      <w:pPr>
        <w:spacing w:after="120"/>
        <w:rPr>
          <w:rFonts w:eastAsia="Batang" w:cs="Calibri"/>
          <w:bCs/>
        </w:rPr>
      </w:pPr>
      <w:r>
        <w:rPr>
          <w:rFonts w:eastAsia="Batang" w:cs="Calibri"/>
          <w:bCs/>
        </w:rPr>
        <w:t>M</w:t>
      </w:r>
      <w:r w:rsidR="009B3BB7" w:rsidRPr="00957B6C">
        <w:rPr>
          <w:rFonts w:eastAsia="Batang" w:cs="Calibri"/>
          <w:bCs/>
        </w:rPr>
        <w:t xml:space="preserve">apping </w:t>
      </w:r>
      <w:r w:rsidR="009B3BB7" w:rsidRPr="001E0B05">
        <w:rPr>
          <w:rFonts w:eastAsia="Batang" w:cs="Calibri"/>
          <w:bCs/>
        </w:rPr>
        <w:t>between ITU-T study groups, working</w:t>
      </w:r>
      <w:r w:rsidR="009B3BB7" w:rsidRPr="00957B6C">
        <w:rPr>
          <w:rFonts w:eastAsia="Batang" w:cs="Calibri"/>
          <w:bCs/>
        </w:rPr>
        <w:t xml:space="preserve"> parties</w:t>
      </w:r>
      <w:r w:rsidR="00164995">
        <w:rPr>
          <w:rFonts w:eastAsia="Batang" w:cs="Calibri"/>
          <w:bCs/>
        </w:rPr>
        <w:t>,</w:t>
      </w:r>
      <w:r w:rsidR="009B3BB7" w:rsidRPr="00957B6C">
        <w:rPr>
          <w:rFonts w:eastAsia="Batang" w:cs="Calibri"/>
          <w:bCs/>
        </w:rPr>
        <w:t xml:space="preserve"> work items, and ITU-D study Questions </w:t>
      </w:r>
      <w:r>
        <w:rPr>
          <w:rFonts w:eastAsia="Batang" w:cs="Calibri"/>
          <w:bCs/>
        </w:rPr>
        <w:t xml:space="preserve">was initiated by ITU-T and began </w:t>
      </w:r>
      <w:r w:rsidR="009B3BB7" w:rsidRPr="00957B6C">
        <w:rPr>
          <w:rFonts w:eastAsia="Batang" w:cs="Calibri"/>
          <w:bCs/>
        </w:rPr>
        <w:t>in the 2014-2017 study period</w:t>
      </w:r>
      <w:r w:rsidR="00A52A78" w:rsidRPr="00957B6C">
        <w:rPr>
          <w:rFonts w:eastAsia="Batang" w:cs="Calibri"/>
          <w:bCs/>
        </w:rPr>
        <w:t xml:space="preserve">. </w:t>
      </w:r>
      <w:r>
        <w:rPr>
          <w:rFonts w:eastAsia="Batang" w:cs="Calibri"/>
          <w:bCs/>
        </w:rPr>
        <w:t xml:space="preserve">Three such tables </w:t>
      </w:r>
      <w:r w:rsidR="007E64CD">
        <w:rPr>
          <w:rFonts w:eastAsia="Batang" w:cs="Calibri"/>
          <w:bCs/>
        </w:rPr>
        <w:t xml:space="preserve">have been developed: </w:t>
      </w:r>
      <w:r w:rsidR="007E64CD" w:rsidRPr="001E0B05">
        <w:t>Table 1</w:t>
      </w:r>
      <w:r w:rsidR="007E64CD" w:rsidRPr="00BF5B1F">
        <w:t>: ITU-D Questions vis-à-vis ITU-T Questions, including relevant work items (constantly evolving); Table 2: Matrix of ITU-D and ITU-T Questions; and Table 3: List of ITU-T Questions which could be related to ITU-D Questions even if no relevant ITU-T work items</w:t>
      </w:r>
      <w:r w:rsidR="007E64CD" w:rsidRPr="008F1F45">
        <w:t xml:space="preserve"> are planned/underway.</w:t>
      </w:r>
    </w:p>
    <w:p w:rsidR="00930483" w:rsidRDefault="00BF002E">
      <w:pPr>
        <w:spacing w:after="120"/>
      </w:pPr>
      <w:r w:rsidRPr="00957B6C">
        <w:rPr>
          <w:rFonts w:eastAsia="Batang" w:cs="Calibri"/>
          <w:bCs/>
          <w:szCs w:val="24"/>
        </w:rPr>
        <w:t xml:space="preserve">To facilitate coordination and further strengthen collaboration between the ITU-D study groups </w:t>
      </w:r>
      <w:r w:rsidRPr="00957B6C">
        <w:rPr>
          <w:szCs w:val="24"/>
        </w:rPr>
        <w:t xml:space="preserve">and the study groups in the other </w:t>
      </w:r>
      <w:r w:rsidR="003A2AEB" w:rsidRPr="00957B6C">
        <w:rPr>
          <w:szCs w:val="24"/>
        </w:rPr>
        <w:t xml:space="preserve">ITU </w:t>
      </w:r>
      <w:r w:rsidRPr="00957B6C">
        <w:rPr>
          <w:szCs w:val="24"/>
        </w:rPr>
        <w:t xml:space="preserve">Sectors, </w:t>
      </w:r>
      <w:r w:rsidR="00E06614" w:rsidRPr="007418CE">
        <w:rPr>
          <w:rFonts w:cstheme="minorBidi"/>
          <w:color w:val="000000" w:themeColor="text1"/>
        </w:rPr>
        <w:t>Study Group 1</w:t>
      </w:r>
      <w:r w:rsidR="00E06614">
        <w:rPr>
          <w:rFonts w:cstheme="minorBidi"/>
          <w:color w:val="000000" w:themeColor="text1"/>
        </w:rPr>
        <w:t xml:space="preserve"> </w:t>
      </w:r>
      <w:r w:rsidR="007E64CD" w:rsidRPr="00957B6C">
        <w:rPr>
          <w:szCs w:val="24"/>
        </w:rPr>
        <w:t>and</w:t>
      </w:r>
      <w:r w:rsidR="00E06614">
        <w:rPr>
          <w:szCs w:val="24"/>
        </w:rPr>
        <w:t xml:space="preserve"> </w:t>
      </w:r>
      <w:r w:rsidR="00E06614" w:rsidRPr="007418CE">
        <w:rPr>
          <w:rFonts w:cstheme="minorBidi"/>
          <w:color w:val="000000" w:themeColor="text1"/>
        </w:rPr>
        <w:t xml:space="preserve">Study Group </w:t>
      </w:r>
      <w:r w:rsidR="007E64CD">
        <w:rPr>
          <w:szCs w:val="24"/>
        </w:rPr>
        <w:t xml:space="preserve">2 </w:t>
      </w:r>
      <w:r w:rsidR="007E64CD" w:rsidRPr="00957B6C">
        <w:rPr>
          <w:bCs/>
          <w:szCs w:val="24"/>
        </w:rPr>
        <w:t xml:space="preserve">updated </w:t>
      </w:r>
      <w:r w:rsidR="007E64CD">
        <w:rPr>
          <w:bCs/>
          <w:szCs w:val="24"/>
        </w:rPr>
        <w:t xml:space="preserve">these </w:t>
      </w:r>
      <w:r w:rsidR="007E64CD" w:rsidRPr="00957B6C">
        <w:rPr>
          <w:bCs/>
          <w:szCs w:val="24"/>
        </w:rPr>
        <w:t>three tables a</w:t>
      </w:r>
      <w:r w:rsidR="007E64CD" w:rsidRPr="00957B6C">
        <w:rPr>
          <w:szCs w:val="24"/>
        </w:rPr>
        <w:t xml:space="preserve">t their first meetings </w:t>
      </w:r>
      <w:r w:rsidR="007E64CD">
        <w:rPr>
          <w:szCs w:val="24"/>
        </w:rPr>
        <w:t>in</w:t>
      </w:r>
      <w:r w:rsidR="007E64CD" w:rsidRPr="00957B6C">
        <w:rPr>
          <w:bCs/>
          <w:szCs w:val="24"/>
        </w:rPr>
        <w:t xml:space="preserve"> </w:t>
      </w:r>
      <w:r w:rsidR="007E64CD">
        <w:rPr>
          <w:bCs/>
          <w:szCs w:val="24"/>
        </w:rPr>
        <w:t xml:space="preserve">the </w:t>
      </w:r>
      <w:r w:rsidR="007E64CD" w:rsidRPr="00957B6C">
        <w:rPr>
          <w:bCs/>
          <w:szCs w:val="24"/>
        </w:rPr>
        <w:t>2018-2021 study period</w:t>
      </w:r>
      <w:r w:rsidR="007E64CD">
        <w:rPr>
          <w:bCs/>
          <w:szCs w:val="24"/>
        </w:rPr>
        <w:t xml:space="preserve"> (</w:t>
      </w:r>
      <w:r w:rsidR="007E64CD" w:rsidRPr="00957B6C">
        <w:rPr>
          <w:bCs/>
          <w:szCs w:val="24"/>
        </w:rPr>
        <w:t>April-May 2018</w:t>
      </w:r>
      <w:r w:rsidR="007E64CD">
        <w:rPr>
          <w:bCs/>
          <w:szCs w:val="24"/>
        </w:rPr>
        <w:t xml:space="preserve">), and continued this </w:t>
      </w:r>
      <w:r w:rsidRPr="00957B6C">
        <w:rPr>
          <w:szCs w:val="24"/>
        </w:rPr>
        <w:t xml:space="preserve">work </w:t>
      </w:r>
      <w:r w:rsidR="007E64CD">
        <w:rPr>
          <w:szCs w:val="24"/>
        </w:rPr>
        <w:t>d</w:t>
      </w:r>
      <w:r w:rsidRPr="00957B6C">
        <w:rPr>
          <w:szCs w:val="24"/>
        </w:rPr>
        <w:t>uring the ITU-D rapporteur group meetings in</w:t>
      </w:r>
      <w:r w:rsidR="002B7F3A" w:rsidRPr="00957B6C">
        <w:rPr>
          <w:bCs/>
          <w:szCs w:val="24"/>
        </w:rPr>
        <w:t xml:space="preserve"> September </w:t>
      </w:r>
      <w:r w:rsidRPr="00957B6C">
        <w:rPr>
          <w:bCs/>
          <w:szCs w:val="24"/>
        </w:rPr>
        <w:t>and</w:t>
      </w:r>
      <w:r w:rsidR="002B7F3A" w:rsidRPr="00957B6C">
        <w:rPr>
          <w:bCs/>
          <w:szCs w:val="24"/>
        </w:rPr>
        <w:t xml:space="preserve"> October 2018.</w:t>
      </w:r>
      <w:r w:rsidR="002B7F3A" w:rsidRPr="00957B6C">
        <w:rPr>
          <w:szCs w:val="24"/>
        </w:rPr>
        <w:t>.</w:t>
      </w:r>
      <w:r w:rsidR="002E1947" w:rsidRPr="00957B6C">
        <w:rPr>
          <w:szCs w:val="24"/>
        </w:rPr>
        <w:t xml:space="preserve"> </w:t>
      </w:r>
      <w:r w:rsidR="009003A4" w:rsidRPr="00957B6C">
        <w:t>TDAG</w:t>
      </w:r>
      <w:r w:rsidR="00C11EC8" w:rsidRPr="00957B6C">
        <w:t xml:space="preserve"> submitted </w:t>
      </w:r>
      <w:r w:rsidR="009003A4" w:rsidRPr="00957B6C">
        <w:t>the three</w:t>
      </w:r>
      <w:r w:rsidR="00C11EC8" w:rsidRPr="00957B6C">
        <w:t xml:space="preserve"> updated</w:t>
      </w:r>
      <w:r w:rsidR="009003A4" w:rsidRPr="00957B6C">
        <w:t xml:space="preserve"> </w:t>
      </w:r>
      <w:r w:rsidR="00C11EC8" w:rsidRPr="00957B6C">
        <w:t xml:space="preserve">mapping tables to </w:t>
      </w:r>
      <w:r w:rsidR="002E1947" w:rsidRPr="00957B6C">
        <w:t xml:space="preserve">the </w:t>
      </w:r>
      <w:r w:rsidR="00C11EC8" w:rsidRPr="00957B6C">
        <w:t>TSAG</w:t>
      </w:r>
      <w:r w:rsidR="009003A4" w:rsidRPr="00957B6C">
        <w:t xml:space="preserve"> meeting in December 2018 </w:t>
      </w:r>
      <w:r w:rsidR="00C11EC8" w:rsidRPr="00957B6C">
        <w:t>for comment and any further action deemed appropriate</w:t>
      </w:r>
      <w:r w:rsidR="009003A4" w:rsidRPr="00957B6C">
        <w:t>.</w:t>
      </w:r>
      <w:r w:rsidR="00930483">
        <w:t xml:space="preserve"> </w:t>
      </w:r>
    </w:p>
    <w:p w:rsidR="007E64CD" w:rsidRPr="00957B6C" w:rsidRDefault="00930483" w:rsidP="007B36B3">
      <w:pPr>
        <w:spacing w:after="120"/>
      </w:pPr>
      <w:r>
        <w:t xml:space="preserve">Through </w:t>
      </w:r>
      <w:hyperlink r:id="rId59" w:history="1">
        <w:r w:rsidR="007E64CD" w:rsidRPr="00957B6C">
          <w:rPr>
            <w:rStyle w:val="Hyperlink"/>
            <w:b/>
            <w:bCs/>
          </w:rPr>
          <w:t>Document 9</w:t>
        </w:r>
      </w:hyperlink>
      <w:r w:rsidR="007E64CD" w:rsidRPr="00957B6C">
        <w:t xml:space="preserve">: </w:t>
      </w:r>
      <w:r>
        <w:t>(</w:t>
      </w:r>
      <w:r w:rsidR="007E64CD" w:rsidRPr="00957B6C">
        <w:t>Outgoing liaison statement</w:t>
      </w:r>
      <w:r>
        <w:t xml:space="preserve">) TDAG </w:t>
      </w:r>
      <w:r w:rsidR="007E64CD" w:rsidRPr="00957B6C">
        <w:rPr>
          <w:szCs w:val="24"/>
        </w:rPr>
        <w:t xml:space="preserve">presents updates to </w:t>
      </w:r>
      <w:r w:rsidR="001D4ABC">
        <w:rPr>
          <w:szCs w:val="24"/>
        </w:rPr>
        <w:t xml:space="preserve">the </w:t>
      </w:r>
      <w:r w:rsidR="007E64CD" w:rsidRPr="00957B6C">
        <w:rPr>
          <w:szCs w:val="24"/>
        </w:rPr>
        <w:t xml:space="preserve">three tables </w:t>
      </w:r>
      <w:r w:rsidR="007E64CD">
        <w:rPr>
          <w:szCs w:val="24"/>
        </w:rPr>
        <w:t xml:space="preserve">that </w:t>
      </w:r>
      <w:r w:rsidR="007E64CD" w:rsidRPr="00957B6C">
        <w:rPr>
          <w:szCs w:val="24"/>
        </w:rPr>
        <w:t>link ITU-D study Questions to related ITU-T work items and study Questions</w:t>
      </w:r>
      <w:r w:rsidR="00164995">
        <w:rPr>
          <w:szCs w:val="24"/>
        </w:rPr>
        <w:t xml:space="preserve"> that </w:t>
      </w:r>
      <w:r w:rsidR="007E64CD">
        <w:rPr>
          <w:szCs w:val="24"/>
        </w:rPr>
        <w:t xml:space="preserve">TDAG sent </w:t>
      </w:r>
      <w:r>
        <w:rPr>
          <w:szCs w:val="24"/>
        </w:rPr>
        <w:t xml:space="preserve">to TSAG </w:t>
      </w:r>
      <w:r w:rsidR="00164995">
        <w:rPr>
          <w:szCs w:val="24"/>
        </w:rPr>
        <w:t xml:space="preserve">in </w:t>
      </w:r>
      <w:r w:rsidR="007E64CD" w:rsidRPr="00957B6C">
        <w:t>December 2018</w:t>
      </w:r>
      <w:r>
        <w:t>.</w:t>
      </w:r>
      <w:r w:rsidR="00070DBE">
        <w:t xml:space="preserve"> </w:t>
      </w:r>
    </w:p>
    <w:tbl>
      <w:tblPr>
        <w:tblStyle w:val="TableGrid"/>
        <w:tblW w:w="0" w:type="auto"/>
        <w:tblLook w:val="04A0" w:firstRow="1" w:lastRow="0" w:firstColumn="1" w:lastColumn="0" w:noHBand="0" w:noVBand="1"/>
      </w:tblPr>
      <w:tblGrid>
        <w:gridCol w:w="9629"/>
      </w:tblGrid>
      <w:tr w:rsidR="008830BC" w:rsidRPr="00957B6C" w:rsidTr="004C0883">
        <w:tc>
          <w:tcPr>
            <w:tcW w:w="9629" w:type="dxa"/>
          </w:tcPr>
          <w:p w:rsidR="008830BC" w:rsidRPr="00957B6C" w:rsidRDefault="008830BC" w:rsidP="004C0883">
            <w:pPr>
              <w:spacing w:after="120"/>
              <w:rPr>
                <w:rFonts w:cstheme="minorBidi"/>
                <w:color w:val="000000" w:themeColor="text1"/>
              </w:rPr>
            </w:pPr>
            <w:r w:rsidRPr="00957B6C">
              <w:rPr>
                <w:rFonts w:eastAsia="Calibri"/>
              </w:rPr>
              <w:t>TDAG noted the document</w:t>
            </w:r>
            <w:r w:rsidR="00164995">
              <w:rPr>
                <w:rFonts w:eastAsia="Calibri"/>
              </w:rPr>
              <w:t xml:space="preserve">, and </w:t>
            </w:r>
            <w:r w:rsidR="00164995" w:rsidRPr="00957B6C">
              <w:rPr>
                <w:szCs w:val="24"/>
              </w:rPr>
              <w:t xml:space="preserve">thanked the chairmen of the ITU-D study groups </w:t>
            </w:r>
            <w:r w:rsidR="00164995">
              <w:rPr>
                <w:szCs w:val="24"/>
              </w:rPr>
              <w:t xml:space="preserve">along with </w:t>
            </w:r>
            <w:proofErr w:type="spellStart"/>
            <w:r w:rsidR="00164995">
              <w:rPr>
                <w:szCs w:val="24"/>
              </w:rPr>
              <w:t>Arseny</w:t>
            </w:r>
            <w:proofErr w:type="spellEnd"/>
            <w:r w:rsidR="002B5349">
              <w:rPr>
                <w:szCs w:val="24"/>
              </w:rPr>
              <w:t xml:space="preserve"> </w:t>
            </w:r>
            <w:proofErr w:type="spellStart"/>
            <w:r w:rsidR="002B5349">
              <w:rPr>
                <w:szCs w:val="24"/>
              </w:rPr>
              <w:t>Plossky</w:t>
            </w:r>
            <w:proofErr w:type="spellEnd"/>
            <w:r w:rsidR="00164995">
              <w:rPr>
                <w:szCs w:val="24"/>
              </w:rPr>
              <w:t xml:space="preserve"> (</w:t>
            </w:r>
            <w:r w:rsidR="00164995" w:rsidRPr="00E7531C">
              <w:rPr>
                <w:b/>
                <w:szCs w:val="24"/>
              </w:rPr>
              <w:t>Russian Federation</w:t>
            </w:r>
            <w:r w:rsidR="00164995" w:rsidRPr="00E7531C">
              <w:rPr>
                <w:szCs w:val="24"/>
              </w:rPr>
              <w:t>)</w:t>
            </w:r>
            <w:r w:rsidR="00164995">
              <w:rPr>
                <w:szCs w:val="24"/>
              </w:rPr>
              <w:t xml:space="preserve"> and Dr Haim </w:t>
            </w:r>
            <w:proofErr w:type="spellStart"/>
            <w:r w:rsidR="00164995">
              <w:rPr>
                <w:szCs w:val="24"/>
              </w:rPr>
              <w:t>Mazar</w:t>
            </w:r>
            <w:proofErr w:type="spellEnd"/>
            <w:r w:rsidR="00164995">
              <w:rPr>
                <w:szCs w:val="24"/>
              </w:rPr>
              <w:t xml:space="preserve"> (</w:t>
            </w:r>
            <w:r w:rsidR="00930483" w:rsidRPr="007B36B3">
              <w:rPr>
                <w:b/>
                <w:szCs w:val="24"/>
              </w:rPr>
              <w:t>ATDI Group</w:t>
            </w:r>
            <w:r w:rsidR="00164995">
              <w:rPr>
                <w:szCs w:val="24"/>
              </w:rPr>
              <w:t xml:space="preserve">) </w:t>
            </w:r>
            <w:r w:rsidR="00164995" w:rsidRPr="00957B6C">
              <w:rPr>
                <w:szCs w:val="24"/>
              </w:rPr>
              <w:t xml:space="preserve">for </w:t>
            </w:r>
            <w:r w:rsidR="00F04A40">
              <w:rPr>
                <w:szCs w:val="24"/>
              </w:rPr>
              <w:t xml:space="preserve">their hard work to </w:t>
            </w:r>
            <w:r w:rsidR="00164995" w:rsidRPr="00957B6C">
              <w:rPr>
                <w:szCs w:val="24"/>
              </w:rPr>
              <w:t>updat</w:t>
            </w:r>
            <w:r w:rsidR="00F04A40">
              <w:rPr>
                <w:szCs w:val="24"/>
              </w:rPr>
              <w:t xml:space="preserve">e </w:t>
            </w:r>
            <w:r w:rsidR="00164995" w:rsidRPr="00957B6C">
              <w:rPr>
                <w:szCs w:val="24"/>
              </w:rPr>
              <w:t>the tables so comprehensively to support coordination between the Sectors</w:t>
            </w:r>
            <w:r w:rsidR="00164995">
              <w:rPr>
                <w:szCs w:val="24"/>
              </w:rPr>
              <w:t>.</w:t>
            </w:r>
          </w:p>
        </w:tc>
      </w:tr>
    </w:tbl>
    <w:p w:rsidR="00F04A40" w:rsidRPr="007B36B3" w:rsidRDefault="00441CB1">
      <w:pPr>
        <w:tabs>
          <w:tab w:val="left" w:pos="567"/>
          <w:tab w:val="left" w:pos="851"/>
        </w:tabs>
        <w:spacing w:after="120"/>
        <w:rPr>
          <w:b/>
          <w:bCs/>
          <w:color w:val="0000FF"/>
          <w:u w:val="single"/>
        </w:rPr>
      </w:pPr>
      <w:r w:rsidRPr="00646D24">
        <w:rPr>
          <w:rFonts w:cstheme="minorBidi"/>
        </w:rPr>
        <w:t>In</w:t>
      </w:r>
      <w:r>
        <w:rPr>
          <w:rFonts w:cstheme="minorBidi"/>
        </w:rPr>
        <w:t xml:space="preserve"> </w:t>
      </w:r>
      <w:r w:rsidR="00F04A40" w:rsidRPr="00646D24">
        <w:rPr>
          <w:rStyle w:val="Hyperlink"/>
          <w:b/>
          <w:bCs/>
        </w:rPr>
        <w:t xml:space="preserve">Document </w:t>
      </w:r>
      <w:hyperlink r:id="rId60" w:history="1">
        <w:r w:rsidR="00F04A40" w:rsidRPr="00646D24">
          <w:rPr>
            <w:rStyle w:val="Hyperlink"/>
            <w:b/>
            <w:bCs/>
          </w:rPr>
          <w:t>41</w:t>
        </w:r>
      </w:hyperlink>
      <w:r w:rsidR="00F04A40">
        <w:rPr>
          <w:rFonts w:cstheme="minorBidi"/>
        </w:rPr>
        <w:t>:</w:t>
      </w:r>
      <w:r w:rsidR="00F04A40" w:rsidRPr="00646D24">
        <w:rPr>
          <w:rFonts w:cstheme="minorBidi"/>
        </w:rPr>
        <w:t xml:space="preserve"> </w:t>
      </w:r>
      <w:r>
        <w:rPr>
          <w:rFonts w:cstheme="minorBidi"/>
        </w:rPr>
        <w:t>(I</w:t>
      </w:r>
      <w:r w:rsidR="00F04A40" w:rsidRPr="00646D24">
        <w:rPr>
          <w:rFonts w:cstheme="minorBidi"/>
        </w:rPr>
        <w:t>ncoming liaison statement</w:t>
      </w:r>
      <w:r>
        <w:rPr>
          <w:rFonts w:cstheme="minorBidi"/>
        </w:rPr>
        <w:t xml:space="preserve">) the </w:t>
      </w:r>
      <w:r w:rsidR="00F04A40" w:rsidRPr="00646D24">
        <w:rPr>
          <w:rFonts w:cstheme="minorBidi"/>
        </w:rPr>
        <w:t xml:space="preserve">Chairmen of ITU-D </w:t>
      </w:r>
      <w:r w:rsidR="00E06614" w:rsidRPr="007418CE">
        <w:rPr>
          <w:rFonts w:cstheme="minorBidi"/>
          <w:color w:val="000000" w:themeColor="text1"/>
        </w:rPr>
        <w:t>Study Group 1</w:t>
      </w:r>
      <w:r w:rsidR="00070DBE">
        <w:rPr>
          <w:rFonts w:cstheme="minorBidi"/>
          <w:color w:val="000000" w:themeColor="text1"/>
        </w:rPr>
        <w:t xml:space="preserve"> </w:t>
      </w:r>
      <w:r w:rsidR="00F04A40" w:rsidRPr="00646D24">
        <w:rPr>
          <w:rFonts w:cstheme="minorBidi"/>
        </w:rPr>
        <w:t>and</w:t>
      </w:r>
      <w:r w:rsidR="00070DBE">
        <w:rPr>
          <w:rFonts w:cstheme="minorBidi"/>
        </w:rPr>
        <w:t xml:space="preserve"> </w:t>
      </w:r>
      <w:r w:rsidR="00E06614" w:rsidRPr="007418CE">
        <w:rPr>
          <w:rFonts w:cstheme="minorBidi"/>
          <w:color w:val="000000" w:themeColor="text1"/>
        </w:rPr>
        <w:t xml:space="preserve">Study Group </w:t>
      </w:r>
      <w:r w:rsidR="00F04A40" w:rsidRPr="00646D24">
        <w:rPr>
          <w:rFonts w:cstheme="minorBidi"/>
        </w:rPr>
        <w:t xml:space="preserve">2 </w:t>
      </w:r>
      <w:r>
        <w:rPr>
          <w:rFonts w:cstheme="minorBidi"/>
        </w:rPr>
        <w:t xml:space="preserve">present </w:t>
      </w:r>
      <w:r w:rsidR="00F04A40" w:rsidRPr="00646D24">
        <w:rPr>
          <w:rFonts w:cstheme="minorBidi"/>
        </w:rPr>
        <w:t xml:space="preserve">to TDAG </w:t>
      </w:r>
      <w:r w:rsidR="00930483">
        <w:rPr>
          <w:rFonts w:cstheme="minorBidi"/>
        </w:rPr>
        <w:t xml:space="preserve">updates to charts </w:t>
      </w:r>
      <w:r w:rsidR="00F04A40" w:rsidRPr="007B36B3">
        <w:rPr>
          <w:rFonts w:cstheme="minorBidi"/>
        </w:rPr>
        <w:t>mapping ITU-D Question</w:t>
      </w:r>
      <w:r w:rsidR="00F04A40" w:rsidRPr="00646D24">
        <w:rPr>
          <w:rFonts w:cstheme="minorBidi"/>
        </w:rPr>
        <w:t>-to-Question, ITU-D to ITU-T, and ITU-D to ITU-R to support collaboration</w:t>
      </w:r>
      <w:r>
        <w:rPr>
          <w:rFonts w:cstheme="minorBidi"/>
        </w:rPr>
        <w:t>. As many study group participants expressed uncertainty about the goal of the growing and extensive mapping exercises between and among the three Sectors, the statement also clarifies their understanding of the purpose of the various mapping exercises.</w:t>
      </w:r>
    </w:p>
    <w:tbl>
      <w:tblPr>
        <w:tblStyle w:val="TableGrid"/>
        <w:tblW w:w="0" w:type="auto"/>
        <w:tblLook w:val="04A0" w:firstRow="1" w:lastRow="0" w:firstColumn="1" w:lastColumn="0" w:noHBand="0" w:noVBand="1"/>
      </w:tblPr>
      <w:tblGrid>
        <w:gridCol w:w="9629"/>
      </w:tblGrid>
      <w:tr w:rsidR="00F04A40" w:rsidRPr="00957B6C" w:rsidTr="005A5381">
        <w:tc>
          <w:tcPr>
            <w:tcW w:w="9629" w:type="dxa"/>
          </w:tcPr>
          <w:p w:rsidR="00F04A40" w:rsidRPr="00957B6C" w:rsidRDefault="00F04A40" w:rsidP="005A5381">
            <w:pPr>
              <w:pStyle w:val="Default"/>
              <w:spacing w:before="120" w:after="120"/>
              <w:rPr>
                <w:rFonts w:cstheme="minorBidi"/>
                <w:color w:val="000000" w:themeColor="text1"/>
              </w:rPr>
            </w:pPr>
            <w:r w:rsidRPr="00646D24">
              <w:rPr>
                <w:lang w:val="en-GB"/>
              </w:rPr>
              <w:t xml:space="preserve">TDAG welcomed the liaison statement, </w:t>
            </w:r>
            <w:r>
              <w:rPr>
                <w:lang w:val="en-GB"/>
              </w:rPr>
              <w:t xml:space="preserve">noting that it </w:t>
            </w:r>
            <w:r w:rsidRPr="00646D24">
              <w:rPr>
                <w:lang w:val="en-GB"/>
              </w:rPr>
              <w:t>is a result of extensive discussions in the ITU-D study groups</w:t>
            </w:r>
            <w:r w:rsidR="00B6091A">
              <w:rPr>
                <w:lang w:val="en-GB"/>
              </w:rPr>
              <w:t>,</w:t>
            </w:r>
            <w:r w:rsidRPr="00646D24">
              <w:rPr>
                <w:lang w:val="en-GB"/>
              </w:rPr>
              <w:t xml:space="preserve"> and </w:t>
            </w:r>
            <w:r w:rsidR="00B6091A">
              <w:rPr>
                <w:lang w:val="en-GB"/>
              </w:rPr>
              <w:t xml:space="preserve">that the statement </w:t>
            </w:r>
            <w:r>
              <w:rPr>
                <w:lang w:val="en-GB"/>
              </w:rPr>
              <w:t xml:space="preserve">clarifies their understanding that the purpose of the mapping tables is </w:t>
            </w:r>
            <w:r w:rsidRPr="00BF5B1F">
              <w:rPr>
                <w:lang w:val="en-GB"/>
              </w:rPr>
              <w:t xml:space="preserve">to </w:t>
            </w:r>
            <w:r w:rsidR="00B6091A" w:rsidRPr="00BF5B1F">
              <w:rPr>
                <w:lang w:val="en-GB"/>
              </w:rPr>
              <w:t xml:space="preserve">identify topics of mutual interest and the entities responsible across the three ITU Sectors in accord with their mandates and Constitution and Convention of the Union, to improve information exchange within the Union on the topics of mutual interest, and </w:t>
            </w:r>
            <w:r w:rsidR="00B6091A" w:rsidRPr="00441CB1">
              <w:rPr>
                <w:lang w:val="en-GB"/>
              </w:rPr>
              <w:t xml:space="preserve">so responsible entities in each Sector will know whom to contact </w:t>
            </w:r>
            <w:r w:rsidR="004B1BB3">
              <w:rPr>
                <w:lang w:val="en-GB"/>
              </w:rPr>
              <w:t xml:space="preserve">for </w:t>
            </w:r>
            <w:r w:rsidR="00B6091A" w:rsidRPr="00BF5B1F">
              <w:rPr>
                <w:lang w:val="en-GB"/>
              </w:rPr>
              <w:t>incoming and outgoing communications on such topics.</w:t>
            </w:r>
            <w:r w:rsidR="00070DBE">
              <w:rPr>
                <w:lang w:val="en-GB"/>
              </w:rPr>
              <w:t xml:space="preserve"> </w:t>
            </w:r>
          </w:p>
        </w:tc>
      </w:tr>
    </w:tbl>
    <w:p w:rsidR="008928EE" w:rsidRPr="00957B6C" w:rsidRDefault="00F04A40" w:rsidP="00E47194">
      <w:pPr>
        <w:tabs>
          <w:tab w:val="clear" w:pos="1134"/>
          <w:tab w:val="clear" w:pos="1871"/>
          <w:tab w:val="clear" w:pos="2268"/>
          <w:tab w:val="left" w:pos="0"/>
        </w:tabs>
        <w:spacing w:after="120"/>
      </w:pPr>
      <w:bookmarkStart w:id="19" w:name="_Hlk8919747"/>
      <w:r w:rsidRPr="00957B6C">
        <w:rPr>
          <w:szCs w:val="24"/>
        </w:rPr>
        <w:t>In</w:t>
      </w:r>
      <w:r>
        <w:rPr>
          <w:szCs w:val="24"/>
        </w:rPr>
        <w:t xml:space="preserve"> </w:t>
      </w:r>
      <w:hyperlink r:id="rId61" w:history="1">
        <w:r w:rsidR="004A212E" w:rsidRPr="00957B6C">
          <w:rPr>
            <w:rStyle w:val="Hyperlink"/>
            <w:b/>
            <w:bCs/>
            <w:szCs w:val="24"/>
          </w:rPr>
          <w:t>Document 11:</w:t>
        </w:r>
      </w:hyperlink>
      <w:r w:rsidR="004A212E" w:rsidRPr="00957B6C">
        <w:rPr>
          <w:szCs w:val="24"/>
        </w:rPr>
        <w:t xml:space="preserve"> </w:t>
      </w:r>
      <w:r>
        <w:rPr>
          <w:szCs w:val="24"/>
        </w:rPr>
        <w:t>(</w:t>
      </w:r>
      <w:r w:rsidR="00EF4A90" w:rsidRPr="00957B6C">
        <w:rPr>
          <w:szCs w:val="24"/>
        </w:rPr>
        <w:t>Incoming liaison statement</w:t>
      </w:r>
      <w:r>
        <w:rPr>
          <w:szCs w:val="24"/>
        </w:rPr>
        <w:t>)</w:t>
      </w:r>
      <w:r w:rsidR="00070DBE">
        <w:rPr>
          <w:szCs w:val="24"/>
        </w:rPr>
        <w:t xml:space="preserve"> </w:t>
      </w:r>
      <w:r w:rsidR="00F17CF7" w:rsidRPr="007B36B3">
        <w:rPr>
          <w:b/>
          <w:szCs w:val="24"/>
        </w:rPr>
        <w:t xml:space="preserve">TSAG </w:t>
      </w:r>
      <w:r w:rsidR="00145F20" w:rsidRPr="00957B6C">
        <w:rPr>
          <w:szCs w:val="24"/>
        </w:rPr>
        <w:t xml:space="preserve">provides </w:t>
      </w:r>
      <w:r w:rsidR="00145F20" w:rsidRPr="00BF5B1F">
        <w:rPr>
          <w:szCs w:val="24"/>
        </w:rPr>
        <w:t>updated mappings</w:t>
      </w:r>
      <w:r w:rsidR="00145F20" w:rsidRPr="00957B6C">
        <w:rPr>
          <w:szCs w:val="24"/>
        </w:rPr>
        <w:t xml:space="preserve"> of common areas of work between the ITU-D and ITU-T study groups and between the ITU-R and ITU-T study groups for ITU inter-Sector coordination</w:t>
      </w:r>
      <w:r w:rsidR="004B1BB3">
        <w:rPr>
          <w:szCs w:val="24"/>
        </w:rPr>
        <w:t>, specifically a chart: (</w:t>
      </w:r>
      <w:proofErr w:type="spellStart"/>
      <w:r w:rsidR="004B1BB3">
        <w:rPr>
          <w:szCs w:val="24"/>
        </w:rPr>
        <w:t>i</w:t>
      </w:r>
      <w:proofErr w:type="spellEnd"/>
      <w:r w:rsidR="004B1BB3">
        <w:rPr>
          <w:szCs w:val="24"/>
        </w:rPr>
        <w:t>)</w:t>
      </w:r>
      <w:r>
        <w:rPr>
          <w:szCs w:val="24"/>
        </w:rPr>
        <w:t xml:space="preserve"> </w:t>
      </w:r>
      <w:r w:rsidR="004B1BB3">
        <w:t>m</w:t>
      </w:r>
      <w:r w:rsidR="008928EE" w:rsidRPr="00957B6C">
        <w:t xml:space="preserve">atching ITU-D </w:t>
      </w:r>
      <w:r w:rsidR="001B24AF">
        <w:t xml:space="preserve">Study Group 1 </w:t>
      </w:r>
      <w:r w:rsidR="008928EE" w:rsidRPr="00957B6C">
        <w:t>and 2 Questions of interest to ITU-T study groups</w:t>
      </w:r>
      <w:r w:rsidR="004B1BB3">
        <w:t>; and (ii) m</w:t>
      </w:r>
      <w:r w:rsidR="008928EE" w:rsidRPr="00957B6C">
        <w:t xml:space="preserve">atching ITU-R </w:t>
      </w:r>
      <w:r w:rsidR="001B24AF">
        <w:t>2w</w:t>
      </w:r>
      <w:r w:rsidR="00A170EA" w:rsidRPr="00957B6C">
        <w:t xml:space="preserve">orking </w:t>
      </w:r>
      <w:r w:rsidR="001B24AF">
        <w:t>p</w:t>
      </w:r>
      <w:r w:rsidR="00A170EA" w:rsidRPr="00957B6C">
        <w:t>artie</w:t>
      </w:r>
      <w:r w:rsidR="008928EE" w:rsidRPr="00957B6C">
        <w:t>s of interest to ITU-T study groups.</w:t>
      </w:r>
    </w:p>
    <w:p w:rsidR="008928EE" w:rsidRPr="00957B6C" w:rsidRDefault="008928EE" w:rsidP="00E47194">
      <w:pPr>
        <w:tabs>
          <w:tab w:val="left" w:pos="0"/>
        </w:tabs>
        <w:spacing w:after="120"/>
      </w:pPr>
      <w:r w:rsidRPr="007B36B3">
        <w:rPr>
          <w:b/>
        </w:rPr>
        <w:t>T</w:t>
      </w:r>
      <w:r w:rsidR="004B1BB3" w:rsidRPr="007B36B3">
        <w:rPr>
          <w:b/>
        </w:rPr>
        <w:t xml:space="preserve">SAG </w:t>
      </w:r>
      <w:r w:rsidR="004B1BB3">
        <w:t>indicated that t</w:t>
      </w:r>
      <w:r w:rsidRPr="00957B6C">
        <w:t xml:space="preserve">he mappings </w:t>
      </w:r>
      <w:r w:rsidR="009131D0" w:rsidRPr="00957B6C">
        <w:t xml:space="preserve">indicate </w:t>
      </w:r>
      <w:r w:rsidRPr="00957B6C">
        <w:t>either ongoing ITU inter-Sector cooperation or possibilities for new inter-Sector cooperation</w:t>
      </w:r>
      <w:r w:rsidR="004B1BB3">
        <w:t>,</w:t>
      </w:r>
      <w:r w:rsidR="00CD6A46" w:rsidRPr="00957B6C">
        <w:t xml:space="preserve"> and are expected to help the three Sectors avoid overlap.</w:t>
      </w:r>
      <w:r w:rsidRPr="00957B6C">
        <w:t xml:space="preserve"> TSAG</w:t>
      </w:r>
      <w:r w:rsidR="005F4489" w:rsidRPr="00957B6C">
        <w:rPr>
          <w:szCs w:val="24"/>
        </w:rPr>
        <w:t xml:space="preserve"> </w:t>
      </w:r>
      <w:r w:rsidRPr="00BF5B1F">
        <w:t>encourage</w:t>
      </w:r>
      <w:r w:rsidR="005F4489" w:rsidRPr="00BF5B1F">
        <w:t>d</w:t>
      </w:r>
      <w:r w:rsidRPr="00BF5B1F">
        <w:t xml:space="preserve"> the groups to </w:t>
      </w:r>
      <w:r w:rsidR="004B6B1D">
        <w:t xml:space="preserve">“take the next step” and </w:t>
      </w:r>
      <w:r w:rsidRPr="00BF5B1F">
        <w:t>engag</w:t>
      </w:r>
      <w:r w:rsidR="004B1BB3">
        <w:t xml:space="preserve">e </w:t>
      </w:r>
      <w:r w:rsidRPr="00BF5B1F">
        <w:t>in bilateral inter-Sector coordination</w:t>
      </w:r>
      <w:r w:rsidR="004B1BB3">
        <w:t xml:space="preserve">, and </w:t>
      </w:r>
      <w:r w:rsidR="005F4489" w:rsidRPr="00957B6C">
        <w:t>i</w:t>
      </w:r>
      <w:r w:rsidRPr="00957B6C">
        <w:t>nvit</w:t>
      </w:r>
      <w:r w:rsidR="005F4489" w:rsidRPr="00957B6C">
        <w:t>ed</w:t>
      </w:r>
      <w:r w:rsidRPr="00957B6C">
        <w:t xml:space="preserve"> any suggestions that would improve the collaboration and cooperation </w:t>
      </w:r>
      <w:r w:rsidRPr="00957B6C">
        <w:lastRenderedPageBreak/>
        <w:t>between the ITU Sectors</w:t>
      </w:r>
      <w:r w:rsidR="004B1BB3">
        <w:t>. TSAG also</w:t>
      </w:r>
      <w:r w:rsidRPr="00957B6C">
        <w:t xml:space="preserve"> </w:t>
      </w:r>
      <w:r w:rsidR="005F4489" w:rsidRPr="00957B6C">
        <w:t xml:space="preserve">requested </w:t>
      </w:r>
      <w:r w:rsidRPr="00957B6C">
        <w:t>to be informed of any overlap or possible duplication of work</w:t>
      </w:r>
      <w:r w:rsidR="004B6B1D">
        <w:t xml:space="preserve">, and requested comments by </w:t>
      </w:r>
      <w:r w:rsidR="004B6B1D" w:rsidRPr="00BF5B1F">
        <w:t>30 August 2019</w:t>
      </w:r>
      <w:r w:rsidRPr="00BF5B1F">
        <w:t>.</w:t>
      </w:r>
    </w:p>
    <w:tbl>
      <w:tblPr>
        <w:tblStyle w:val="TableGrid"/>
        <w:tblW w:w="0" w:type="auto"/>
        <w:tblLook w:val="04A0" w:firstRow="1" w:lastRow="0" w:firstColumn="1" w:lastColumn="0" w:noHBand="0" w:noVBand="1"/>
      </w:tblPr>
      <w:tblGrid>
        <w:gridCol w:w="9629"/>
      </w:tblGrid>
      <w:tr w:rsidR="00B467EC" w:rsidRPr="00957B6C" w:rsidTr="00A943E7">
        <w:tc>
          <w:tcPr>
            <w:tcW w:w="9629" w:type="dxa"/>
          </w:tcPr>
          <w:bookmarkEnd w:id="19"/>
          <w:p w:rsidR="00B467EC" w:rsidRPr="00957B6C" w:rsidRDefault="00B467EC" w:rsidP="00E47194">
            <w:pPr>
              <w:spacing w:after="120"/>
              <w:rPr>
                <w:rFonts w:cstheme="minorBidi"/>
                <w:color w:val="000000" w:themeColor="text1"/>
              </w:rPr>
            </w:pPr>
            <w:r w:rsidRPr="00957B6C">
              <w:rPr>
                <w:rFonts w:eastAsia="Calibri"/>
              </w:rPr>
              <w:t>TDAG noted the document</w:t>
            </w:r>
            <w:r w:rsidR="00D63E4E">
              <w:rPr>
                <w:rFonts w:eastAsia="Calibri"/>
              </w:rPr>
              <w:t xml:space="preserve"> with interest.</w:t>
            </w:r>
          </w:p>
        </w:tc>
      </w:tr>
    </w:tbl>
    <w:p w:rsidR="005A5381" w:rsidRPr="00957B6C" w:rsidRDefault="004B1BB3" w:rsidP="00E47194">
      <w:pPr>
        <w:tabs>
          <w:tab w:val="left" w:pos="567"/>
          <w:tab w:val="left" w:pos="851"/>
        </w:tabs>
        <w:spacing w:after="120"/>
      </w:pPr>
      <w:r>
        <w:rPr>
          <w:szCs w:val="24"/>
        </w:rPr>
        <w:t>Through</w:t>
      </w:r>
      <w:r>
        <w:rPr>
          <w:rStyle w:val="Hyperlink"/>
          <w:b/>
          <w:bCs/>
          <w:szCs w:val="24"/>
        </w:rPr>
        <w:t xml:space="preserve"> </w:t>
      </w:r>
      <w:hyperlink r:id="rId62" w:history="1">
        <w:r w:rsidR="00C93261" w:rsidRPr="00957B6C">
          <w:rPr>
            <w:rStyle w:val="Hyperlink"/>
            <w:b/>
            <w:bCs/>
            <w:szCs w:val="24"/>
          </w:rPr>
          <w:t>Document 28</w:t>
        </w:r>
      </w:hyperlink>
      <w:r w:rsidR="00C93261" w:rsidRPr="00957B6C">
        <w:rPr>
          <w:szCs w:val="24"/>
        </w:rPr>
        <w:t xml:space="preserve">: </w:t>
      </w:r>
      <w:r>
        <w:rPr>
          <w:szCs w:val="24"/>
        </w:rPr>
        <w:t>(</w:t>
      </w:r>
      <w:r w:rsidR="00CC736E" w:rsidRPr="00957B6C">
        <w:rPr>
          <w:szCs w:val="24"/>
        </w:rPr>
        <w:t>Incoming liaison statement</w:t>
      </w:r>
      <w:r>
        <w:rPr>
          <w:szCs w:val="24"/>
        </w:rPr>
        <w:t xml:space="preserve">) </w:t>
      </w:r>
      <w:r w:rsidRPr="007B36B3">
        <w:rPr>
          <w:b/>
          <w:szCs w:val="24"/>
        </w:rPr>
        <w:t xml:space="preserve">TSAG </w:t>
      </w:r>
      <w:r w:rsidR="00845C28" w:rsidRPr="00957B6C">
        <w:rPr>
          <w:szCs w:val="24"/>
        </w:rPr>
        <w:t>provides</w:t>
      </w:r>
      <w:r w:rsidR="005A5381">
        <w:rPr>
          <w:szCs w:val="24"/>
        </w:rPr>
        <w:t xml:space="preserve"> a </w:t>
      </w:r>
      <w:r>
        <w:rPr>
          <w:szCs w:val="24"/>
        </w:rPr>
        <w:t xml:space="preserve">table that maps </w:t>
      </w:r>
      <w:r w:rsidRPr="007B36B3">
        <w:rPr>
          <w:szCs w:val="24"/>
        </w:rPr>
        <w:t>t</w:t>
      </w:r>
      <w:r w:rsidR="00845C28" w:rsidRPr="00BF5B1F">
        <w:rPr>
          <w:szCs w:val="24"/>
        </w:rPr>
        <w:t>he</w:t>
      </w:r>
      <w:r w:rsidR="00845C28" w:rsidRPr="00957B6C">
        <w:rPr>
          <w:szCs w:val="24"/>
        </w:rPr>
        <w:t xml:space="preserve"> ITU </w:t>
      </w:r>
      <w:r w:rsidR="001E0B05" w:rsidRPr="00957B6C">
        <w:rPr>
          <w:szCs w:val="24"/>
        </w:rPr>
        <w:t>Plenipotentiary</w:t>
      </w:r>
      <w:r w:rsidR="00516DF8" w:rsidRPr="00957B6C">
        <w:rPr>
          <w:szCs w:val="24"/>
        </w:rPr>
        <w:t xml:space="preserve"> Conf</w:t>
      </w:r>
      <w:r w:rsidR="004B06A5" w:rsidRPr="00957B6C">
        <w:rPr>
          <w:szCs w:val="24"/>
        </w:rPr>
        <w:t>e</w:t>
      </w:r>
      <w:r w:rsidR="00516DF8" w:rsidRPr="00957B6C">
        <w:rPr>
          <w:szCs w:val="24"/>
        </w:rPr>
        <w:t xml:space="preserve">rence </w:t>
      </w:r>
      <w:r w:rsidR="00DB0554" w:rsidRPr="00957B6C">
        <w:rPr>
          <w:szCs w:val="24"/>
        </w:rPr>
        <w:t>r</w:t>
      </w:r>
      <w:r w:rsidR="00845C28" w:rsidRPr="00957B6C">
        <w:rPr>
          <w:szCs w:val="24"/>
        </w:rPr>
        <w:t>esolutions</w:t>
      </w:r>
      <w:r w:rsidR="00DB0554" w:rsidRPr="00957B6C">
        <w:rPr>
          <w:szCs w:val="24"/>
        </w:rPr>
        <w:t xml:space="preserve"> </w:t>
      </w:r>
      <w:r w:rsidR="005A5381">
        <w:rPr>
          <w:szCs w:val="24"/>
        </w:rPr>
        <w:t>with</w:t>
      </w:r>
      <w:r w:rsidR="005A5381" w:rsidRPr="00957B6C">
        <w:t xml:space="preserve"> </w:t>
      </w:r>
      <w:r w:rsidR="005A5381" w:rsidRPr="00957B6C">
        <w:rPr>
          <w:szCs w:val="24"/>
        </w:rPr>
        <w:t>WTSA</w:t>
      </w:r>
      <w:r w:rsidR="005A5381" w:rsidRPr="00957B6C">
        <w:t xml:space="preserve">, WTDC and RA </w:t>
      </w:r>
      <w:r w:rsidR="005A5381">
        <w:t xml:space="preserve">resolutions, </w:t>
      </w:r>
      <w:r w:rsidR="00DB0554" w:rsidRPr="00957B6C">
        <w:rPr>
          <w:szCs w:val="24"/>
        </w:rPr>
        <w:t>aim</w:t>
      </w:r>
      <w:r w:rsidR="0020267D" w:rsidRPr="00957B6C">
        <w:rPr>
          <w:szCs w:val="24"/>
        </w:rPr>
        <w:t>ed at</w:t>
      </w:r>
      <w:r w:rsidR="00DB0554" w:rsidRPr="00957B6C">
        <w:rPr>
          <w:szCs w:val="24"/>
        </w:rPr>
        <w:t xml:space="preserve"> </w:t>
      </w:r>
      <w:r w:rsidR="00845C28" w:rsidRPr="00957B6C">
        <w:rPr>
          <w:szCs w:val="24"/>
        </w:rPr>
        <w:t>identify</w:t>
      </w:r>
      <w:r w:rsidR="0020267D" w:rsidRPr="00957B6C">
        <w:rPr>
          <w:szCs w:val="24"/>
        </w:rPr>
        <w:t>ing</w:t>
      </w:r>
      <w:r w:rsidR="00DB0554" w:rsidRPr="00957B6C">
        <w:rPr>
          <w:szCs w:val="24"/>
        </w:rPr>
        <w:t xml:space="preserve"> candidate r</w:t>
      </w:r>
      <w:r w:rsidR="00845C28" w:rsidRPr="00957B6C">
        <w:rPr>
          <w:szCs w:val="24"/>
        </w:rPr>
        <w:t>esolutions for streamlining.</w:t>
      </w:r>
      <w:r w:rsidR="005A5381">
        <w:rPr>
          <w:szCs w:val="24"/>
        </w:rPr>
        <w:t xml:space="preserve"> </w:t>
      </w:r>
      <w:r w:rsidR="00C445F2" w:rsidRPr="00957B6C">
        <w:t>TSAG welcome</w:t>
      </w:r>
      <w:r w:rsidR="005A5381">
        <w:t>s comments</w:t>
      </w:r>
      <w:r w:rsidR="00C445F2" w:rsidRPr="00957B6C">
        <w:t xml:space="preserve"> </w:t>
      </w:r>
      <w:r w:rsidR="00C445F2" w:rsidRPr="007B609A">
        <w:t>by 31 August 2019</w:t>
      </w:r>
      <w:r w:rsidR="00C445F2" w:rsidRPr="00957B6C">
        <w:t>.</w:t>
      </w:r>
    </w:p>
    <w:tbl>
      <w:tblPr>
        <w:tblStyle w:val="TableGrid"/>
        <w:tblW w:w="0" w:type="auto"/>
        <w:tblLook w:val="04A0" w:firstRow="1" w:lastRow="0" w:firstColumn="1" w:lastColumn="0" w:noHBand="0" w:noVBand="1"/>
      </w:tblPr>
      <w:tblGrid>
        <w:gridCol w:w="9629"/>
      </w:tblGrid>
      <w:tr w:rsidR="00B467EC" w:rsidRPr="00957B6C" w:rsidTr="00A943E7">
        <w:tc>
          <w:tcPr>
            <w:tcW w:w="9629" w:type="dxa"/>
          </w:tcPr>
          <w:p w:rsidR="00B467EC" w:rsidRPr="00957B6C" w:rsidRDefault="00B467EC" w:rsidP="00E47194">
            <w:pPr>
              <w:spacing w:after="120"/>
              <w:rPr>
                <w:rFonts w:cstheme="minorBidi"/>
                <w:color w:val="000000" w:themeColor="text1"/>
              </w:rPr>
            </w:pPr>
            <w:r w:rsidRPr="00957B6C">
              <w:rPr>
                <w:rFonts w:eastAsia="Calibri"/>
              </w:rPr>
              <w:t>TDAG noted the document</w:t>
            </w:r>
            <w:r w:rsidR="005A5381">
              <w:rPr>
                <w:rFonts w:eastAsia="Calibri"/>
              </w:rPr>
              <w:t xml:space="preserve"> with interest</w:t>
            </w:r>
            <w:r w:rsidR="0038393B">
              <w:rPr>
                <w:rFonts w:eastAsia="Calibri"/>
              </w:rPr>
              <w:t>.</w:t>
            </w:r>
          </w:p>
        </w:tc>
      </w:tr>
    </w:tbl>
    <w:p w:rsidR="007B3487" w:rsidRPr="007B36B3" w:rsidRDefault="004B6B1D" w:rsidP="00E47194">
      <w:pPr>
        <w:tabs>
          <w:tab w:val="clear" w:pos="1134"/>
          <w:tab w:val="clear" w:pos="1871"/>
          <w:tab w:val="clear" w:pos="2268"/>
          <w:tab w:val="left" w:pos="0"/>
        </w:tabs>
        <w:spacing w:after="120"/>
        <w:rPr>
          <w:rFonts w:cs="Calibri"/>
          <w:b/>
          <w:bCs/>
          <w:color w:val="0000FF"/>
          <w:szCs w:val="24"/>
          <w:u w:val="single"/>
        </w:rPr>
      </w:pPr>
      <w:r>
        <w:rPr>
          <w:szCs w:val="24"/>
        </w:rPr>
        <w:t xml:space="preserve">At its meeting </w:t>
      </w:r>
      <w:r w:rsidRPr="00957B6C">
        <w:t>10</w:t>
      </w:r>
      <w:r>
        <w:t>-</w:t>
      </w:r>
      <w:r w:rsidRPr="00957B6C">
        <w:t>14</w:t>
      </w:r>
      <w:r w:rsidRPr="004A016D">
        <w:rPr>
          <w:szCs w:val="24"/>
        </w:rPr>
        <w:t xml:space="preserve"> December 2018</w:t>
      </w:r>
      <w:r>
        <w:rPr>
          <w:szCs w:val="24"/>
        </w:rPr>
        <w:t>, T</w:t>
      </w:r>
      <w:r w:rsidRPr="004A016D">
        <w:rPr>
          <w:szCs w:val="24"/>
        </w:rPr>
        <w:t xml:space="preserve">SAG had </w:t>
      </w:r>
      <w:r>
        <w:rPr>
          <w:szCs w:val="24"/>
        </w:rPr>
        <w:t xml:space="preserve">asked </w:t>
      </w:r>
      <w:r w:rsidRPr="004A016D">
        <w:rPr>
          <w:szCs w:val="24"/>
        </w:rPr>
        <w:t>whether inclu</w:t>
      </w:r>
      <w:r>
        <w:rPr>
          <w:szCs w:val="24"/>
        </w:rPr>
        <w:t xml:space="preserve">ding </w:t>
      </w:r>
      <w:r w:rsidRPr="004A016D">
        <w:rPr>
          <w:szCs w:val="24"/>
        </w:rPr>
        <w:t xml:space="preserve">rapidly evolving work items </w:t>
      </w:r>
      <w:r>
        <w:rPr>
          <w:szCs w:val="24"/>
        </w:rPr>
        <w:t xml:space="preserve">in the mapping tables </w:t>
      </w:r>
      <w:r w:rsidRPr="004A016D">
        <w:rPr>
          <w:szCs w:val="24"/>
        </w:rPr>
        <w:t>is an appropriate way to support collaboration and cooperation across the Sectors</w:t>
      </w:r>
      <w:r>
        <w:rPr>
          <w:szCs w:val="24"/>
        </w:rPr>
        <w:t>,</w:t>
      </w:r>
      <w:r w:rsidRPr="004A016D">
        <w:rPr>
          <w:szCs w:val="24"/>
        </w:rPr>
        <w:t xml:space="preserve"> or </w:t>
      </w:r>
      <w:r>
        <w:rPr>
          <w:szCs w:val="24"/>
        </w:rPr>
        <w:t xml:space="preserve">whether </w:t>
      </w:r>
      <w:r w:rsidRPr="004A016D">
        <w:rPr>
          <w:szCs w:val="24"/>
        </w:rPr>
        <w:t xml:space="preserve">it </w:t>
      </w:r>
      <w:r>
        <w:rPr>
          <w:szCs w:val="24"/>
        </w:rPr>
        <w:t xml:space="preserve">would be </w:t>
      </w:r>
      <w:r w:rsidRPr="004A016D">
        <w:rPr>
          <w:szCs w:val="24"/>
        </w:rPr>
        <w:t xml:space="preserve">sufficient to </w:t>
      </w:r>
      <w:r>
        <w:rPr>
          <w:szCs w:val="24"/>
        </w:rPr>
        <w:t xml:space="preserve">include </w:t>
      </w:r>
      <w:r w:rsidRPr="004A016D">
        <w:rPr>
          <w:szCs w:val="24"/>
        </w:rPr>
        <w:t>the study group Questions alone</w:t>
      </w:r>
      <w:r>
        <w:rPr>
          <w:szCs w:val="24"/>
        </w:rPr>
        <w:t>.</w:t>
      </w:r>
      <w:r>
        <w:rPr>
          <w:rStyle w:val="Hyperlink"/>
          <w:rFonts w:cs="Calibri"/>
          <w:b/>
          <w:bCs/>
          <w:szCs w:val="24"/>
        </w:rPr>
        <w:t xml:space="preserve"> </w:t>
      </w:r>
      <w:r w:rsidR="005A5381">
        <w:rPr>
          <w:rFonts w:cstheme="minorBidi"/>
          <w:szCs w:val="24"/>
        </w:rPr>
        <w:t>Through</w:t>
      </w:r>
      <w:r w:rsidR="005A5381" w:rsidRPr="00FB2701">
        <w:rPr>
          <w:rStyle w:val="Hyperlink"/>
          <w:rFonts w:cs="Calibri"/>
          <w:b/>
          <w:bCs/>
          <w:szCs w:val="24"/>
        </w:rPr>
        <w:t xml:space="preserve"> </w:t>
      </w:r>
      <w:r w:rsidR="009D4066" w:rsidRPr="00FB2701">
        <w:rPr>
          <w:rStyle w:val="Hyperlink"/>
          <w:rFonts w:cs="Calibri"/>
          <w:b/>
          <w:bCs/>
          <w:szCs w:val="24"/>
        </w:rPr>
        <w:t xml:space="preserve">Document </w:t>
      </w:r>
      <w:hyperlink r:id="rId63" w:history="1">
        <w:r w:rsidR="009D4066" w:rsidRPr="00FB2701">
          <w:rPr>
            <w:rStyle w:val="Hyperlink"/>
            <w:rFonts w:cs="Calibri"/>
            <w:b/>
            <w:bCs/>
            <w:szCs w:val="24"/>
          </w:rPr>
          <w:t>38</w:t>
        </w:r>
      </w:hyperlink>
      <w:r w:rsidR="005A5381">
        <w:rPr>
          <w:rFonts w:cstheme="minorBidi"/>
          <w:szCs w:val="24"/>
        </w:rPr>
        <w:t>,</w:t>
      </w:r>
      <w:r w:rsidR="004A016D">
        <w:rPr>
          <w:rFonts w:cstheme="minorBidi"/>
          <w:szCs w:val="24"/>
        </w:rPr>
        <w:t xml:space="preserve"> </w:t>
      </w:r>
      <w:r w:rsidR="005A5381">
        <w:rPr>
          <w:rFonts w:cstheme="minorBidi"/>
          <w:szCs w:val="24"/>
        </w:rPr>
        <w:t>(</w:t>
      </w:r>
      <w:r w:rsidR="004A016D">
        <w:rPr>
          <w:rFonts w:cstheme="minorBidi"/>
          <w:szCs w:val="24"/>
        </w:rPr>
        <w:t>I</w:t>
      </w:r>
      <w:r w:rsidR="009D4066" w:rsidRPr="004A016D">
        <w:rPr>
          <w:rFonts w:cstheme="minorBidi"/>
          <w:szCs w:val="24"/>
        </w:rPr>
        <w:t>ncoming liaison statement</w:t>
      </w:r>
      <w:r w:rsidR="005A5381">
        <w:rPr>
          <w:rFonts w:cstheme="minorBidi"/>
          <w:szCs w:val="24"/>
        </w:rPr>
        <w:t xml:space="preserve">) </w:t>
      </w:r>
      <w:r w:rsidR="007B3487" w:rsidRPr="007B36B3">
        <w:rPr>
          <w:rFonts w:cstheme="minorBidi"/>
          <w:b/>
          <w:szCs w:val="24"/>
        </w:rPr>
        <w:t>ITU-T Study Group 11</w:t>
      </w:r>
      <w:r w:rsidR="007B3487" w:rsidRPr="00BF5B1F">
        <w:rPr>
          <w:rFonts w:cstheme="minorBidi"/>
          <w:szCs w:val="24"/>
        </w:rPr>
        <w:t xml:space="preserve"> rep</w:t>
      </w:r>
      <w:r w:rsidR="005A5381">
        <w:rPr>
          <w:rFonts w:cstheme="minorBidi"/>
          <w:szCs w:val="24"/>
        </w:rPr>
        <w:t>orts that a</w:t>
      </w:r>
      <w:r w:rsidR="005A5381" w:rsidRPr="004A016D">
        <w:rPr>
          <w:rFonts w:cstheme="minorBidi"/>
          <w:szCs w:val="24"/>
        </w:rPr>
        <w:t xml:space="preserve">t its </w:t>
      </w:r>
      <w:r w:rsidR="005A5381">
        <w:rPr>
          <w:rFonts w:cstheme="minorBidi"/>
          <w:szCs w:val="24"/>
        </w:rPr>
        <w:t xml:space="preserve">most recent </w:t>
      </w:r>
      <w:r w:rsidR="005A5381" w:rsidRPr="004A016D">
        <w:rPr>
          <w:rFonts w:cstheme="minorBidi"/>
          <w:szCs w:val="24"/>
        </w:rPr>
        <w:t xml:space="preserve">meeting </w:t>
      </w:r>
      <w:r w:rsidR="005A5381">
        <w:rPr>
          <w:rFonts w:eastAsia="SimSun" w:cstheme="majorBidi"/>
          <w:szCs w:val="24"/>
          <w:lang w:eastAsia="zh-CN"/>
        </w:rPr>
        <w:t>(</w:t>
      </w:r>
      <w:r w:rsidR="005A5381" w:rsidRPr="004A016D">
        <w:rPr>
          <w:rFonts w:eastAsia="SimSun" w:cstheme="majorBidi"/>
          <w:szCs w:val="24"/>
          <w:lang w:eastAsia="zh-CN"/>
        </w:rPr>
        <w:t>6 to 15 March 2019,</w:t>
      </w:r>
      <w:r w:rsidR="005A5381">
        <w:rPr>
          <w:rFonts w:eastAsia="SimSun" w:cstheme="majorBidi"/>
          <w:szCs w:val="24"/>
          <w:lang w:eastAsia="zh-CN"/>
        </w:rPr>
        <w:t xml:space="preserve"> Geneva) </w:t>
      </w:r>
      <w:r>
        <w:rPr>
          <w:rFonts w:eastAsia="SimSun" w:cstheme="majorBidi"/>
          <w:szCs w:val="24"/>
          <w:lang w:eastAsia="zh-CN"/>
        </w:rPr>
        <w:t>the decision was made to eliminate work items from the mapping lists</w:t>
      </w:r>
      <w:r w:rsidR="005A5381" w:rsidRPr="00BF5B1F">
        <w:rPr>
          <w:rFonts w:cstheme="minorBidi"/>
          <w:szCs w:val="24"/>
        </w:rPr>
        <w:t xml:space="preserve"> </w:t>
      </w:r>
      <w:r w:rsidRPr="004A016D">
        <w:rPr>
          <w:szCs w:val="24"/>
        </w:rPr>
        <w:t>because details of Questions and related work items are already listed on study group websites</w:t>
      </w:r>
      <w:r>
        <w:rPr>
          <w:rFonts w:cstheme="minorBidi"/>
          <w:szCs w:val="24"/>
        </w:rPr>
        <w:t>.</w:t>
      </w:r>
      <w:r w:rsidR="00070DBE">
        <w:rPr>
          <w:rFonts w:cstheme="minorBidi"/>
          <w:szCs w:val="24"/>
        </w:rPr>
        <w:t xml:space="preserve"> </w:t>
      </w:r>
      <w:r>
        <w:rPr>
          <w:rFonts w:cstheme="minorBidi"/>
          <w:szCs w:val="24"/>
        </w:rPr>
        <w:t xml:space="preserve">Since the tables will now include the study </w:t>
      </w:r>
      <w:r w:rsidR="00587A91">
        <w:rPr>
          <w:rFonts w:cstheme="minorBidi"/>
          <w:szCs w:val="24"/>
        </w:rPr>
        <w:t>Q</w:t>
      </w:r>
      <w:r>
        <w:rPr>
          <w:rFonts w:cstheme="minorBidi"/>
          <w:szCs w:val="24"/>
        </w:rPr>
        <w:t xml:space="preserve">uestions only, </w:t>
      </w:r>
      <w:r w:rsidRPr="004A016D">
        <w:rPr>
          <w:rFonts w:cstheme="minorBidi"/>
          <w:szCs w:val="24"/>
        </w:rPr>
        <w:t>Study Group 11</w:t>
      </w:r>
      <w:r w:rsidRPr="004A016D">
        <w:rPr>
          <w:szCs w:val="24"/>
        </w:rPr>
        <w:t xml:space="preserve"> </w:t>
      </w:r>
      <w:r>
        <w:rPr>
          <w:szCs w:val="24"/>
        </w:rPr>
        <w:t xml:space="preserve">reported that it </w:t>
      </w:r>
      <w:r w:rsidRPr="004A016D">
        <w:rPr>
          <w:szCs w:val="24"/>
        </w:rPr>
        <w:t xml:space="preserve">does not have any updates to the matching tables provided by ITU-D study groups. </w:t>
      </w:r>
    </w:p>
    <w:p w:rsidR="00F04A40" w:rsidRPr="00957B6C" w:rsidRDefault="00F04A40" w:rsidP="00E47194">
      <w:pPr>
        <w:spacing w:after="120"/>
      </w:pPr>
      <w:r w:rsidRPr="00957B6C">
        <w:t>TSAG welcome</w:t>
      </w:r>
      <w:r w:rsidR="005A5381">
        <w:t>s</w:t>
      </w:r>
      <w:r w:rsidRPr="00957B6C">
        <w:t xml:space="preserve"> any comments </w:t>
      </w:r>
      <w:r w:rsidRPr="007B36B3">
        <w:t>by 31 August 2019</w:t>
      </w:r>
      <w:r w:rsidRPr="00BF5B1F">
        <w:t>.</w:t>
      </w:r>
    </w:p>
    <w:tbl>
      <w:tblPr>
        <w:tblStyle w:val="TableGrid"/>
        <w:tblW w:w="0" w:type="auto"/>
        <w:tblLook w:val="04A0" w:firstRow="1" w:lastRow="0" w:firstColumn="1" w:lastColumn="0" w:noHBand="0" w:noVBand="1"/>
      </w:tblPr>
      <w:tblGrid>
        <w:gridCol w:w="9629"/>
      </w:tblGrid>
      <w:tr w:rsidR="009D4066" w:rsidRPr="00957B6C" w:rsidTr="00A943E7">
        <w:tc>
          <w:tcPr>
            <w:tcW w:w="9629" w:type="dxa"/>
          </w:tcPr>
          <w:p w:rsidR="009D4066" w:rsidRPr="00957B6C" w:rsidRDefault="009D4066" w:rsidP="00E47194">
            <w:pPr>
              <w:spacing w:after="120"/>
              <w:rPr>
                <w:rFonts w:cstheme="minorBidi"/>
                <w:color w:val="000000" w:themeColor="text1"/>
              </w:rPr>
            </w:pPr>
            <w:r w:rsidRPr="00957B6C">
              <w:rPr>
                <w:rFonts w:eastAsia="Calibri"/>
              </w:rPr>
              <w:t>TDAG noted the document.</w:t>
            </w:r>
          </w:p>
        </w:tc>
      </w:tr>
    </w:tbl>
    <w:p w:rsidR="00A51BC5" w:rsidRPr="00A51BC5" w:rsidRDefault="00A51BC5" w:rsidP="00A30F3B">
      <w:pPr>
        <w:tabs>
          <w:tab w:val="clear" w:pos="1134"/>
          <w:tab w:val="clear" w:pos="1871"/>
          <w:tab w:val="clear" w:pos="2268"/>
        </w:tabs>
        <w:overflowPunct/>
        <w:autoSpaceDE/>
        <w:autoSpaceDN/>
        <w:adjustRightInd/>
        <w:spacing w:after="120"/>
        <w:ind w:left="391" w:hanging="391"/>
        <w:textAlignment w:val="auto"/>
        <w:rPr>
          <w:rFonts w:cstheme="minorHAnsi"/>
          <w:b/>
          <w:szCs w:val="24"/>
          <w:lang w:val="en-US"/>
        </w:rPr>
      </w:pPr>
      <w:r w:rsidRPr="00A51BC5">
        <w:rPr>
          <w:rFonts w:cstheme="minorHAnsi"/>
          <w:b/>
          <w:color w:val="000000"/>
          <w:szCs w:val="24"/>
          <w:lang w:val="en-US"/>
        </w:rPr>
        <w:t>10.</w:t>
      </w:r>
      <w:r w:rsidR="00A30F3B">
        <w:rPr>
          <w:rFonts w:cstheme="minorHAnsi"/>
          <w:b/>
          <w:color w:val="000000"/>
          <w:szCs w:val="24"/>
          <w:lang w:val="en-US"/>
        </w:rPr>
        <w:tab/>
      </w:r>
      <w:r w:rsidRPr="00A51BC5">
        <w:rPr>
          <w:rFonts w:cstheme="minorHAnsi"/>
          <w:b/>
          <w:color w:val="000000"/>
          <w:szCs w:val="24"/>
          <w:lang w:val="en-US"/>
        </w:rPr>
        <w:t>PREPARATIONS for WTDC-21</w:t>
      </w:r>
    </w:p>
    <w:p w:rsidR="00A2048E" w:rsidRPr="007B36B3" w:rsidRDefault="00A2048E" w:rsidP="00A30F3B">
      <w:pPr>
        <w:pStyle w:val="ListParagraph"/>
        <w:spacing w:after="120"/>
        <w:ind w:left="505" w:hanging="505"/>
        <w:contextualSpacing w:val="0"/>
        <w:rPr>
          <w:b/>
          <w:szCs w:val="24"/>
        </w:rPr>
      </w:pPr>
      <w:r w:rsidRPr="007B36B3">
        <w:rPr>
          <w:b/>
          <w:szCs w:val="24"/>
        </w:rPr>
        <w:t>10.1</w:t>
      </w:r>
      <w:r w:rsidR="00A30F3B">
        <w:rPr>
          <w:b/>
          <w:szCs w:val="24"/>
        </w:rPr>
        <w:tab/>
      </w:r>
      <w:r w:rsidRPr="007B36B3">
        <w:rPr>
          <w:b/>
          <w:szCs w:val="24"/>
        </w:rPr>
        <w:t>Invitations and Contributions</w:t>
      </w:r>
    </w:p>
    <w:p w:rsidR="00D46249" w:rsidRPr="00957B6C" w:rsidRDefault="00D46249" w:rsidP="00E47194">
      <w:pPr>
        <w:pStyle w:val="ListParagraph"/>
        <w:spacing w:after="120"/>
        <w:ind w:left="0"/>
        <w:contextualSpacing w:val="0"/>
      </w:pPr>
      <w:r>
        <w:rPr>
          <w:szCs w:val="24"/>
        </w:rPr>
        <w:t xml:space="preserve">In </w:t>
      </w:r>
      <w:r w:rsidRPr="00E7531C">
        <w:rPr>
          <w:b/>
          <w:szCs w:val="24"/>
        </w:rPr>
        <w:t>Document 39</w:t>
      </w:r>
      <w:r>
        <w:rPr>
          <w:szCs w:val="24"/>
        </w:rPr>
        <w:t>, BDT presented</w:t>
      </w:r>
      <w:r w:rsidRPr="00957B6C">
        <w:rPr>
          <w:szCs w:val="24"/>
        </w:rPr>
        <w:t xml:space="preserve"> </w:t>
      </w:r>
      <w:r>
        <w:rPr>
          <w:szCs w:val="24"/>
        </w:rPr>
        <w:t xml:space="preserve">the </w:t>
      </w:r>
      <w:r w:rsidRPr="00957B6C">
        <w:rPr>
          <w:szCs w:val="24"/>
        </w:rPr>
        <w:t xml:space="preserve">invitation from the Government of the </w:t>
      </w:r>
      <w:r w:rsidRPr="007B36B3">
        <w:rPr>
          <w:b/>
          <w:szCs w:val="24"/>
        </w:rPr>
        <w:t>Federal Democratic Republic of Ethiopia</w:t>
      </w:r>
      <w:r w:rsidRPr="00957B6C">
        <w:rPr>
          <w:szCs w:val="24"/>
        </w:rPr>
        <w:t xml:space="preserve"> to host</w:t>
      </w:r>
      <w:r>
        <w:rPr>
          <w:szCs w:val="24"/>
        </w:rPr>
        <w:t xml:space="preserve"> WTDC-21</w:t>
      </w:r>
      <w:r w:rsidRPr="00957B6C">
        <w:rPr>
          <w:szCs w:val="24"/>
        </w:rPr>
        <w:t xml:space="preserve"> in Addis Ababa </w:t>
      </w:r>
      <w:r w:rsidR="001B24AF">
        <w:rPr>
          <w:szCs w:val="24"/>
        </w:rPr>
        <w:t xml:space="preserve">in the last quarter of </w:t>
      </w:r>
      <w:r w:rsidRPr="00957B6C">
        <w:rPr>
          <w:szCs w:val="24"/>
        </w:rPr>
        <w:t>2021.</w:t>
      </w:r>
      <w:r w:rsidR="00070DBE">
        <w:rPr>
          <w:szCs w:val="24"/>
        </w:rPr>
        <w:t xml:space="preserve"> </w:t>
      </w:r>
      <w:r>
        <w:rPr>
          <w:szCs w:val="24"/>
        </w:rPr>
        <w:t xml:space="preserve">BDT indicated </w:t>
      </w:r>
      <w:r w:rsidRPr="00957B6C">
        <w:t xml:space="preserve">that consultations </w:t>
      </w:r>
      <w:r>
        <w:t>were</w:t>
      </w:r>
      <w:r w:rsidRPr="00957B6C">
        <w:t xml:space="preserve"> under way with the Government of Ethiopia through its Ministry of Innovation and Technology in order to agree on the requirements for holding WTDC-21 outside Geneva. The offer from the Government of Ethiopia will be submitted to </w:t>
      </w:r>
      <w:r w:rsidRPr="007B36B3">
        <w:t>the ITU Council</w:t>
      </w:r>
      <w:r w:rsidRPr="00957B6C">
        <w:t xml:space="preserve"> meeting in Geneva on 10-20 June 2019 to approve the place and dates in accordance with No. 42 of the ITU Convention. </w:t>
      </w:r>
    </w:p>
    <w:tbl>
      <w:tblPr>
        <w:tblStyle w:val="TableGrid"/>
        <w:tblW w:w="0" w:type="auto"/>
        <w:tblLook w:val="04A0" w:firstRow="1" w:lastRow="0" w:firstColumn="1" w:lastColumn="0" w:noHBand="0" w:noVBand="1"/>
      </w:tblPr>
      <w:tblGrid>
        <w:gridCol w:w="9629"/>
      </w:tblGrid>
      <w:tr w:rsidR="00D46249" w:rsidRPr="00957B6C" w:rsidTr="006A3788">
        <w:tc>
          <w:tcPr>
            <w:tcW w:w="9629" w:type="dxa"/>
          </w:tcPr>
          <w:p w:rsidR="00D46249" w:rsidRPr="00957B6C" w:rsidRDefault="00D46249" w:rsidP="00E47194">
            <w:pPr>
              <w:spacing w:after="120"/>
              <w:rPr>
                <w:rFonts w:cstheme="minorHAnsi"/>
                <w:color w:val="000000" w:themeColor="text1"/>
                <w:szCs w:val="24"/>
              </w:rPr>
            </w:pPr>
            <w:r w:rsidRPr="00957B6C">
              <w:rPr>
                <w:rFonts w:eastAsia="Calibri" w:cs="Calibri"/>
              </w:rPr>
              <w:t>TDAG</w:t>
            </w:r>
            <w:r>
              <w:rPr>
                <w:rFonts w:eastAsia="Calibri" w:cs="Calibri"/>
              </w:rPr>
              <w:t xml:space="preserve"> </w:t>
            </w:r>
            <w:r w:rsidRPr="00957B6C">
              <w:rPr>
                <w:rFonts w:eastAsia="Calibri" w:cs="Calibri"/>
              </w:rPr>
              <w:t>thanked Ethiopia for the kind and generous invitation</w:t>
            </w:r>
            <w:r>
              <w:rPr>
                <w:rFonts w:eastAsia="Calibri" w:cs="Calibri"/>
              </w:rPr>
              <w:t>,</w:t>
            </w:r>
            <w:r>
              <w:rPr>
                <w:rFonts w:cstheme="minorBidi"/>
                <w:color w:val="000000" w:themeColor="text1"/>
                <w:lang w:val="en-US"/>
              </w:rPr>
              <w:t xml:space="preserve"> expressed significant support</w:t>
            </w:r>
            <w:r w:rsidRPr="00957B6C">
              <w:rPr>
                <w:rFonts w:eastAsia="Calibri" w:cs="Calibri"/>
              </w:rPr>
              <w:t xml:space="preserve"> </w:t>
            </w:r>
            <w:r>
              <w:rPr>
                <w:rFonts w:eastAsia="Calibri" w:cs="Calibri"/>
              </w:rPr>
              <w:t xml:space="preserve">for the proposal </w:t>
            </w:r>
            <w:r w:rsidRPr="00957B6C">
              <w:rPr>
                <w:rFonts w:eastAsia="Calibri" w:cs="Calibri"/>
              </w:rPr>
              <w:t xml:space="preserve">and noted the importance of beginning to make concrete plans, including decisions about </w:t>
            </w:r>
            <w:r>
              <w:rPr>
                <w:rFonts w:eastAsia="Calibri" w:cs="Calibri"/>
              </w:rPr>
              <w:t xml:space="preserve">regional preparatory meetings. TDAG </w:t>
            </w:r>
            <w:r w:rsidRPr="00957B6C">
              <w:rPr>
                <w:rFonts w:eastAsia="Calibri" w:cs="Calibri"/>
              </w:rPr>
              <w:t xml:space="preserve">Correspondence groups </w:t>
            </w:r>
            <w:r>
              <w:rPr>
                <w:rFonts w:eastAsia="Calibri" w:cs="Calibri"/>
              </w:rPr>
              <w:t xml:space="preserve">on WTDC </w:t>
            </w:r>
            <w:r w:rsidRPr="00957B6C">
              <w:rPr>
                <w:rFonts w:eastAsia="Calibri" w:cs="Calibri"/>
              </w:rPr>
              <w:t>will begin in 2020.</w:t>
            </w:r>
          </w:p>
        </w:tc>
      </w:tr>
    </w:tbl>
    <w:p w:rsidR="007D53CA" w:rsidRPr="004C6944" w:rsidRDefault="00EA4144" w:rsidP="007B36B3">
      <w:pPr>
        <w:pStyle w:val="Heading2"/>
        <w:spacing w:before="120" w:after="120"/>
        <w:ind w:left="0" w:firstLine="0"/>
      </w:pPr>
      <w:hyperlink r:id="rId64">
        <w:r w:rsidR="00A3080B" w:rsidRPr="00957B6C">
          <w:rPr>
            <w:rStyle w:val="Hyperlink"/>
            <w:rFonts w:cstheme="minorBidi"/>
            <w:bCs/>
          </w:rPr>
          <w:t>Document 33</w:t>
        </w:r>
      </w:hyperlink>
      <w:r w:rsidR="00A3080B" w:rsidRPr="00957B6C">
        <w:rPr>
          <w:rFonts w:cstheme="minorBidi"/>
          <w:color w:val="000000" w:themeColor="text1"/>
        </w:rPr>
        <w:t>:</w:t>
      </w:r>
      <w:r w:rsidR="00A3080B" w:rsidRPr="00957B6C">
        <w:rPr>
          <w:rFonts w:cstheme="minorBidi"/>
          <w:b w:val="0"/>
          <w:bCs/>
          <w:color w:val="000000" w:themeColor="text1"/>
        </w:rPr>
        <w:t xml:space="preserve"> “Streamlining PP Resolution 208 and WTDC Resolutions 1 and 61”</w:t>
      </w:r>
      <w:r w:rsidR="00154494" w:rsidRPr="00957B6C">
        <w:rPr>
          <w:rFonts w:cstheme="minorBidi"/>
          <w:b w:val="0"/>
          <w:bCs/>
          <w:color w:val="000000" w:themeColor="text1"/>
        </w:rPr>
        <w:t xml:space="preserve"> </w:t>
      </w:r>
      <w:r w:rsidR="00855A13">
        <w:rPr>
          <w:rFonts w:cstheme="minorBidi"/>
          <w:b w:val="0"/>
          <w:bCs/>
          <w:color w:val="000000" w:themeColor="text1"/>
        </w:rPr>
        <w:t>(</w:t>
      </w:r>
      <w:r w:rsidR="00855A13" w:rsidRPr="00B6374F">
        <w:rPr>
          <w:rFonts w:cstheme="minorBidi"/>
          <w:bCs/>
          <w:color w:val="000000" w:themeColor="text1"/>
        </w:rPr>
        <w:t>Russian Federation</w:t>
      </w:r>
      <w:r w:rsidR="00855A13">
        <w:rPr>
          <w:rFonts w:cstheme="minorBidi"/>
          <w:b w:val="0"/>
          <w:bCs/>
          <w:color w:val="000000" w:themeColor="text1"/>
        </w:rPr>
        <w:t xml:space="preserve">) </w:t>
      </w:r>
      <w:r w:rsidR="0091009E" w:rsidRPr="00957B6C">
        <w:rPr>
          <w:b w:val="0"/>
        </w:rPr>
        <w:t>p</w:t>
      </w:r>
      <w:r w:rsidR="00FA03AA" w:rsidRPr="00957B6C">
        <w:rPr>
          <w:b w:val="0"/>
        </w:rPr>
        <w:t>ropose</w:t>
      </w:r>
      <w:r w:rsidR="00154494" w:rsidRPr="00957B6C">
        <w:rPr>
          <w:b w:val="0"/>
        </w:rPr>
        <w:t>s t</w:t>
      </w:r>
      <w:r w:rsidR="0038393B">
        <w:rPr>
          <w:b w:val="0"/>
        </w:rPr>
        <w:t xml:space="preserve">o </w:t>
      </w:r>
      <w:r w:rsidR="00154494" w:rsidRPr="00957B6C">
        <w:rPr>
          <w:b w:val="0"/>
        </w:rPr>
        <w:t xml:space="preserve">suppress </w:t>
      </w:r>
      <w:r w:rsidR="00FA03AA" w:rsidRPr="00957B6C">
        <w:rPr>
          <w:b w:val="0"/>
        </w:rPr>
        <w:t>Resolution 61 (Rev. Dubai, 2014)</w:t>
      </w:r>
      <w:r w:rsidR="00E050C2" w:rsidRPr="00957B6C">
        <w:rPr>
          <w:b w:val="0"/>
        </w:rPr>
        <w:t xml:space="preserve"> </w:t>
      </w:r>
      <w:r w:rsidR="000E4D58" w:rsidRPr="00957B6C">
        <w:rPr>
          <w:b w:val="0"/>
        </w:rPr>
        <w:t>of WTDC</w:t>
      </w:r>
      <w:r w:rsidR="00E42E9A" w:rsidRPr="00957B6C">
        <w:rPr>
          <w:b w:val="0"/>
        </w:rPr>
        <w:t xml:space="preserve"> </w:t>
      </w:r>
      <w:r w:rsidR="00E42E9A" w:rsidRPr="00957B6C">
        <w:rPr>
          <w:rFonts w:ascii="Calibri" w:hAnsi="Calibri"/>
          <w:b w:val="0"/>
          <w:bCs/>
          <w:szCs w:val="24"/>
        </w:rPr>
        <w:t>on the appointment and maximum term</w:t>
      </w:r>
      <w:r w:rsidR="0038393B">
        <w:rPr>
          <w:rFonts w:ascii="Calibri" w:hAnsi="Calibri"/>
          <w:b w:val="0"/>
          <w:bCs/>
          <w:szCs w:val="24"/>
        </w:rPr>
        <w:t xml:space="preserve">s for TDAG and ITU-D study group </w:t>
      </w:r>
      <w:r w:rsidR="00E42E9A" w:rsidRPr="00957B6C">
        <w:rPr>
          <w:rFonts w:ascii="Calibri" w:hAnsi="Calibri"/>
          <w:b w:val="0"/>
          <w:bCs/>
          <w:szCs w:val="24"/>
        </w:rPr>
        <w:t>chairmen and vice-chairmen</w:t>
      </w:r>
      <w:r w:rsidR="004C6944" w:rsidRPr="00BF5B1F">
        <w:rPr>
          <w:rFonts w:ascii="Calibri" w:hAnsi="Calibri"/>
          <w:b w:val="0"/>
          <w:bCs/>
          <w:szCs w:val="24"/>
        </w:rPr>
        <w:t xml:space="preserve">, </w:t>
      </w:r>
      <w:r w:rsidR="004C6944" w:rsidRPr="004C6944">
        <w:rPr>
          <w:b w:val="0"/>
        </w:rPr>
        <w:t xml:space="preserve">because </w:t>
      </w:r>
      <w:r w:rsidR="007167A9" w:rsidRPr="004C6944">
        <w:rPr>
          <w:b w:val="0"/>
        </w:rPr>
        <w:t>PP</w:t>
      </w:r>
      <w:r w:rsidR="005809CA" w:rsidRPr="004C6944">
        <w:rPr>
          <w:b w:val="0"/>
        </w:rPr>
        <w:t>-</w:t>
      </w:r>
      <w:r w:rsidR="00C4791D" w:rsidRPr="004C6944">
        <w:rPr>
          <w:b w:val="0"/>
        </w:rPr>
        <w:t>18</w:t>
      </w:r>
      <w:r w:rsidR="00FA03AA" w:rsidRPr="004C6944">
        <w:rPr>
          <w:b w:val="0"/>
        </w:rPr>
        <w:t xml:space="preserve"> a</w:t>
      </w:r>
      <w:r w:rsidR="00D45E58" w:rsidRPr="004C6944">
        <w:rPr>
          <w:b w:val="0"/>
        </w:rPr>
        <w:t xml:space="preserve">pproved </w:t>
      </w:r>
      <w:r w:rsidR="00FA03AA" w:rsidRPr="004C6944">
        <w:rPr>
          <w:b w:val="0"/>
        </w:rPr>
        <w:t>new Resolution 208</w:t>
      </w:r>
      <w:r w:rsidR="00AF0F0D" w:rsidRPr="004C6944">
        <w:rPr>
          <w:b w:val="0"/>
        </w:rPr>
        <w:t xml:space="preserve"> </w:t>
      </w:r>
      <w:r w:rsidR="004C6944" w:rsidRPr="004C6944">
        <w:rPr>
          <w:b w:val="0"/>
        </w:rPr>
        <w:t xml:space="preserve">on this topic, and </w:t>
      </w:r>
      <w:r w:rsidR="004E5E06" w:rsidRPr="004C6944">
        <w:rPr>
          <w:rFonts w:ascii="Calibri" w:hAnsi="Calibri"/>
          <w:b w:val="0"/>
          <w:szCs w:val="24"/>
        </w:rPr>
        <w:t>contains similar text found in Resolution 61</w:t>
      </w:r>
      <w:r w:rsidR="00D7086B" w:rsidRPr="004C6944">
        <w:rPr>
          <w:rFonts w:ascii="Calibri" w:hAnsi="Calibri"/>
          <w:b w:val="0"/>
          <w:szCs w:val="24"/>
        </w:rPr>
        <w:t>.</w:t>
      </w:r>
      <w:r w:rsidR="004E5E06" w:rsidRPr="004C6944">
        <w:rPr>
          <w:b w:val="0"/>
        </w:rPr>
        <w:t xml:space="preserve"> </w:t>
      </w:r>
      <w:r w:rsidR="004C6944" w:rsidRPr="004C6944">
        <w:rPr>
          <w:b w:val="0"/>
        </w:rPr>
        <w:t>TDAG discussions indicated that w</w:t>
      </w:r>
      <w:r w:rsidR="00DB0BD2" w:rsidRPr="004C6944">
        <w:rPr>
          <w:b w:val="0"/>
        </w:rPr>
        <w:t xml:space="preserve">hile this </w:t>
      </w:r>
      <w:r w:rsidR="007D53CA" w:rsidRPr="004C6944">
        <w:rPr>
          <w:rFonts w:ascii="Calibri" w:hAnsi="Calibri"/>
          <w:b w:val="0"/>
          <w:szCs w:val="24"/>
        </w:rPr>
        <w:t>suppression</w:t>
      </w:r>
      <w:r w:rsidR="000E4D58" w:rsidRPr="004C6944">
        <w:rPr>
          <w:rFonts w:ascii="Calibri" w:hAnsi="Calibri"/>
          <w:b w:val="0"/>
          <w:szCs w:val="24"/>
        </w:rPr>
        <w:t xml:space="preserve"> is justified</w:t>
      </w:r>
      <w:r w:rsidR="00DB0BD2" w:rsidRPr="004C6944">
        <w:rPr>
          <w:rFonts w:ascii="Calibri" w:hAnsi="Calibri"/>
          <w:b w:val="0"/>
          <w:szCs w:val="24"/>
        </w:rPr>
        <w:t xml:space="preserve">, it will be necessary to modify Resolution 1 (Rev. Buenos Aires, 2017) of WTDC </w:t>
      </w:r>
      <w:r w:rsidR="004C6944" w:rsidRPr="004C6944">
        <w:rPr>
          <w:rFonts w:ascii="Calibri" w:hAnsi="Calibri"/>
          <w:b w:val="0"/>
          <w:szCs w:val="24"/>
        </w:rPr>
        <w:t>(</w:t>
      </w:r>
      <w:r w:rsidR="00E42E9A" w:rsidRPr="004C6944">
        <w:rPr>
          <w:rFonts w:ascii="Calibri" w:hAnsi="Calibri"/>
          <w:b w:val="0"/>
          <w:szCs w:val="24"/>
        </w:rPr>
        <w:t>Rules of procedure of the ITU Telecommunication Development Sector</w:t>
      </w:r>
      <w:r w:rsidR="004C6944" w:rsidRPr="004C6944">
        <w:rPr>
          <w:rFonts w:ascii="Calibri" w:hAnsi="Calibri"/>
          <w:b w:val="0"/>
          <w:szCs w:val="24"/>
        </w:rPr>
        <w:t>)</w:t>
      </w:r>
      <w:r w:rsidR="00E42E9A" w:rsidRPr="004C6944">
        <w:rPr>
          <w:rFonts w:ascii="Calibri" w:hAnsi="Calibri"/>
          <w:b w:val="0"/>
          <w:szCs w:val="24"/>
        </w:rPr>
        <w:t xml:space="preserve"> </w:t>
      </w:r>
      <w:r w:rsidR="00DB0BD2" w:rsidRPr="004C6944">
        <w:rPr>
          <w:rFonts w:ascii="Calibri" w:hAnsi="Calibri"/>
          <w:b w:val="0"/>
          <w:szCs w:val="24"/>
        </w:rPr>
        <w:t xml:space="preserve">to </w:t>
      </w:r>
      <w:r w:rsidR="007D53CA" w:rsidRPr="004C6944">
        <w:rPr>
          <w:rFonts w:ascii="Calibri" w:hAnsi="Calibri"/>
          <w:b w:val="0"/>
          <w:szCs w:val="24"/>
        </w:rPr>
        <w:t xml:space="preserve">ensure that </w:t>
      </w:r>
      <w:r w:rsidR="00DB0BD2" w:rsidRPr="004C6944">
        <w:rPr>
          <w:rFonts w:ascii="Calibri" w:hAnsi="Calibri"/>
          <w:b w:val="0"/>
          <w:szCs w:val="24"/>
        </w:rPr>
        <w:t xml:space="preserve">it captures </w:t>
      </w:r>
      <w:r w:rsidR="007D53CA" w:rsidRPr="004C6944">
        <w:rPr>
          <w:rFonts w:ascii="Calibri" w:hAnsi="Calibri"/>
          <w:b w:val="0"/>
          <w:szCs w:val="24"/>
        </w:rPr>
        <w:t xml:space="preserve">all relevant content </w:t>
      </w:r>
      <w:r w:rsidR="004C6944" w:rsidRPr="004C6944">
        <w:rPr>
          <w:rFonts w:ascii="Calibri" w:hAnsi="Calibri"/>
          <w:b w:val="0"/>
          <w:szCs w:val="24"/>
        </w:rPr>
        <w:t xml:space="preserve">in advance of supressing </w:t>
      </w:r>
      <w:r w:rsidR="00BD4323" w:rsidRPr="004C6944">
        <w:rPr>
          <w:rFonts w:ascii="Calibri" w:hAnsi="Calibri"/>
          <w:b w:val="0"/>
          <w:szCs w:val="24"/>
        </w:rPr>
        <w:t xml:space="preserve">Resolution 61 </w:t>
      </w:r>
      <w:r w:rsidR="004E5E06" w:rsidRPr="004C6944">
        <w:rPr>
          <w:rFonts w:ascii="Calibri" w:hAnsi="Calibri"/>
          <w:b w:val="0"/>
          <w:szCs w:val="24"/>
        </w:rPr>
        <w:t>at WTDC-21.</w:t>
      </w:r>
    </w:p>
    <w:tbl>
      <w:tblPr>
        <w:tblStyle w:val="TableGrid"/>
        <w:tblW w:w="0" w:type="auto"/>
        <w:tblLook w:val="04A0" w:firstRow="1" w:lastRow="0" w:firstColumn="1" w:lastColumn="0" w:noHBand="0" w:noVBand="1"/>
      </w:tblPr>
      <w:tblGrid>
        <w:gridCol w:w="9629"/>
      </w:tblGrid>
      <w:tr w:rsidR="00FA03AA" w:rsidRPr="00957B6C" w:rsidTr="00BA6B37">
        <w:tc>
          <w:tcPr>
            <w:tcW w:w="9629" w:type="dxa"/>
          </w:tcPr>
          <w:p w:rsidR="00FA03AA" w:rsidRPr="00957B6C" w:rsidRDefault="003B4508">
            <w:pPr>
              <w:spacing w:after="120"/>
              <w:rPr>
                <w:rFonts w:cstheme="minorBidi"/>
                <w:color w:val="000000" w:themeColor="text1"/>
              </w:rPr>
            </w:pPr>
            <w:r w:rsidRPr="00957B6C">
              <w:rPr>
                <w:rFonts w:eastAsia="Calibri"/>
              </w:rPr>
              <w:t xml:space="preserve">TDAG </w:t>
            </w:r>
            <w:r w:rsidR="00D45E58">
              <w:rPr>
                <w:rFonts w:eastAsia="Calibri"/>
              </w:rPr>
              <w:t>thanked the Russi</w:t>
            </w:r>
            <w:r w:rsidR="004C6944">
              <w:rPr>
                <w:rFonts w:eastAsia="Calibri"/>
              </w:rPr>
              <w:t>a</w:t>
            </w:r>
            <w:r w:rsidR="00D45E58">
              <w:rPr>
                <w:rFonts w:eastAsia="Calibri"/>
              </w:rPr>
              <w:t xml:space="preserve">n Federation, </w:t>
            </w:r>
            <w:r w:rsidRPr="00957B6C">
              <w:rPr>
                <w:rFonts w:eastAsia="Calibri"/>
              </w:rPr>
              <w:t>noted the document</w:t>
            </w:r>
            <w:r w:rsidR="00D45E58">
              <w:rPr>
                <w:rFonts w:eastAsia="Calibri"/>
              </w:rPr>
              <w:t xml:space="preserve"> with appreciation and agreed to take it into account in preparations for WTDC-21 and in proposals to update ITU-D Resolution 1 (rules of procedure).</w:t>
            </w:r>
          </w:p>
        </w:tc>
      </w:tr>
    </w:tbl>
    <w:p w:rsidR="00927CE2" w:rsidRDefault="00C330B0">
      <w:pPr>
        <w:spacing w:after="120"/>
        <w:rPr>
          <w:rFonts w:cstheme="minorBidi"/>
          <w:color w:val="000000" w:themeColor="text1"/>
        </w:rPr>
      </w:pPr>
      <w:hyperlink r:id="rId65">
        <w:r w:rsidR="00FA03AA" w:rsidRPr="00957B6C">
          <w:rPr>
            <w:rStyle w:val="Hyperlink"/>
            <w:rFonts w:cstheme="minorBidi"/>
            <w:b/>
            <w:bCs/>
          </w:rPr>
          <w:t>Document 34</w:t>
        </w:r>
      </w:hyperlink>
      <w:r w:rsidR="00FA03AA" w:rsidRPr="00957B6C">
        <w:rPr>
          <w:rFonts w:cstheme="minorBidi"/>
          <w:color w:val="000000" w:themeColor="text1"/>
        </w:rPr>
        <w:t>:</w:t>
      </w:r>
      <w:r w:rsidR="00FA03AA" w:rsidRPr="00957B6C">
        <w:rPr>
          <w:rFonts w:cstheme="minorBidi"/>
          <w:b/>
          <w:bCs/>
          <w:color w:val="000000" w:themeColor="text1"/>
        </w:rPr>
        <w:t xml:space="preserve"> </w:t>
      </w:r>
      <w:r w:rsidR="004C6944">
        <w:rPr>
          <w:rFonts w:cstheme="minorBidi"/>
          <w:bCs/>
          <w:color w:val="000000" w:themeColor="text1"/>
        </w:rPr>
        <w:t xml:space="preserve">the </w:t>
      </w:r>
      <w:r w:rsidR="004C6944" w:rsidRPr="00855A13">
        <w:rPr>
          <w:rFonts w:cstheme="minorBidi"/>
          <w:color w:val="000000" w:themeColor="text1"/>
        </w:rPr>
        <w:t>Russian Federation</w:t>
      </w:r>
      <w:r w:rsidR="004C6944">
        <w:rPr>
          <w:rFonts w:cstheme="minorBidi"/>
          <w:color w:val="000000" w:themeColor="text1"/>
        </w:rPr>
        <w:t xml:space="preserve"> proposes that </w:t>
      </w:r>
      <w:r w:rsidR="00927CE2">
        <w:rPr>
          <w:rFonts w:cstheme="minorBidi"/>
          <w:color w:val="000000" w:themeColor="text1"/>
        </w:rPr>
        <w:t>resolutions on WSIS and the 2030 Agenda for Sustainable Development adopted by PP and WTDC be streamlined at WTDC</w:t>
      </w:r>
      <w:r w:rsidR="002E6A8A">
        <w:rPr>
          <w:rFonts w:cstheme="minorBidi"/>
          <w:color w:val="000000" w:themeColor="text1"/>
        </w:rPr>
        <w:t>-</w:t>
      </w:r>
      <w:r w:rsidR="00927CE2">
        <w:rPr>
          <w:rFonts w:cstheme="minorBidi"/>
          <w:color w:val="000000" w:themeColor="text1"/>
        </w:rPr>
        <w:t xml:space="preserve">21, specifically </w:t>
      </w:r>
      <w:r w:rsidR="004C6944">
        <w:rPr>
          <w:rFonts w:cstheme="minorBidi"/>
          <w:color w:val="000000" w:themeColor="text1"/>
        </w:rPr>
        <w:t>PP</w:t>
      </w:r>
      <w:r w:rsidR="00FA03AA" w:rsidRPr="00957B6C">
        <w:rPr>
          <w:rFonts w:cstheme="minorBidi"/>
          <w:color w:val="000000" w:themeColor="text1"/>
        </w:rPr>
        <w:t xml:space="preserve"> Resolution 140 (Rev.</w:t>
      </w:r>
      <w:r w:rsidR="001E0B05">
        <w:rPr>
          <w:rFonts w:cstheme="minorBidi"/>
          <w:color w:val="000000" w:themeColor="text1"/>
        </w:rPr>
        <w:t xml:space="preserve"> </w:t>
      </w:r>
      <w:r w:rsidR="00FA03AA" w:rsidRPr="00957B6C">
        <w:rPr>
          <w:rFonts w:cstheme="minorBidi"/>
          <w:color w:val="000000" w:themeColor="text1"/>
        </w:rPr>
        <w:t>Dubai,</w:t>
      </w:r>
      <w:r w:rsidR="00E42E9A" w:rsidRPr="00957B6C">
        <w:rPr>
          <w:rFonts w:cstheme="minorBidi"/>
          <w:color w:val="000000" w:themeColor="text1"/>
        </w:rPr>
        <w:t xml:space="preserve"> </w:t>
      </w:r>
      <w:r w:rsidR="00FA03AA" w:rsidRPr="00957B6C">
        <w:rPr>
          <w:rFonts w:cstheme="minorBidi"/>
          <w:color w:val="000000" w:themeColor="text1"/>
        </w:rPr>
        <w:t xml:space="preserve">2018) </w:t>
      </w:r>
      <w:r w:rsidR="00927CE2" w:rsidRPr="00184D22">
        <w:rPr>
          <w:bCs/>
        </w:rPr>
        <w:t>on “ITU's role in implementing the outcomes of the World Summit on the Information Society and the 2030 Agenda for Sustainable Developme</w:t>
      </w:r>
      <w:r w:rsidR="00927CE2">
        <w:rPr>
          <w:bCs/>
        </w:rPr>
        <w:t>nt</w:t>
      </w:r>
      <w:r w:rsidR="007E5B50" w:rsidRPr="00184D22">
        <w:rPr>
          <w:bCs/>
        </w:rPr>
        <w:t>”</w:t>
      </w:r>
      <w:r w:rsidR="007E5B50">
        <w:rPr>
          <w:bCs/>
        </w:rPr>
        <w:t xml:space="preserve"> </w:t>
      </w:r>
      <w:r w:rsidR="00927CE2">
        <w:rPr>
          <w:bCs/>
        </w:rPr>
        <w:t xml:space="preserve">and </w:t>
      </w:r>
      <w:r w:rsidR="00927CE2" w:rsidRPr="00957B6C">
        <w:rPr>
          <w:rFonts w:cstheme="minorBidi"/>
          <w:color w:val="000000" w:themeColor="text1"/>
        </w:rPr>
        <w:t>WTDC Resolution</w:t>
      </w:r>
      <w:r w:rsidR="00927CE2">
        <w:rPr>
          <w:rFonts w:cstheme="minorBidi"/>
          <w:color w:val="000000" w:themeColor="text1"/>
        </w:rPr>
        <w:t> </w:t>
      </w:r>
      <w:r w:rsidR="00927CE2" w:rsidRPr="00957B6C">
        <w:rPr>
          <w:rFonts w:cstheme="minorBidi"/>
          <w:color w:val="000000" w:themeColor="text1"/>
        </w:rPr>
        <w:t>30</w:t>
      </w:r>
      <w:r w:rsidR="00927CE2">
        <w:rPr>
          <w:bCs/>
        </w:rPr>
        <w:t xml:space="preserve"> </w:t>
      </w:r>
      <w:r w:rsidR="00927CE2" w:rsidRPr="00184D22">
        <w:rPr>
          <w:bCs/>
        </w:rPr>
        <w:t>(Rev. Buenos Aires, 2017) on the “Role of the ITU Telecommunication Development Sector in implementing the outcomes of the World Summit on the Information Society, taking into account the 2030 Agenda for Sustainable Development</w:t>
      </w:r>
      <w:r w:rsidR="00927CE2">
        <w:rPr>
          <w:bCs/>
        </w:rPr>
        <w:t>.</w:t>
      </w:r>
      <w:r w:rsidR="00927CE2" w:rsidRPr="00184D22">
        <w:rPr>
          <w:bCs/>
        </w:rPr>
        <w:t>”</w:t>
      </w:r>
    </w:p>
    <w:tbl>
      <w:tblPr>
        <w:tblStyle w:val="TableGrid"/>
        <w:tblW w:w="0" w:type="auto"/>
        <w:tblLook w:val="04A0" w:firstRow="1" w:lastRow="0" w:firstColumn="1" w:lastColumn="0" w:noHBand="0" w:noVBand="1"/>
      </w:tblPr>
      <w:tblGrid>
        <w:gridCol w:w="9629"/>
      </w:tblGrid>
      <w:tr w:rsidR="00436A36" w:rsidRPr="00957B6C" w:rsidTr="00004F04">
        <w:tc>
          <w:tcPr>
            <w:tcW w:w="9629" w:type="dxa"/>
          </w:tcPr>
          <w:p w:rsidR="00436A36" w:rsidRPr="00957B6C" w:rsidRDefault="00927CE2">
            <w:pPr>
              <w:spacing w:after="120"/>
              <w:rPr>
                <w:rFonts w:cstheme="minorBidi"/>
                <w:color w:val="000000" w:themeColor="text1"/>
              </w:rPr>
            </w:pPr>
            <w:r w:rsidRPr="00957B6C">
              <w:rPr>
                <w:rFonts w:eastAsia="Calibri"/>
              </w:rPr>
              <w:t xml:space="preserve">TDAG </w:t>
            </w:r>
            <w:r>
              <w:rPr>
                <w:rFonts w:eastAsia="Calibri"/>
              </w:rPr>
              <w:t xml:space="preserve">thanked the Russian Federation, </w:t>
            </w:r>
            <w:r w:rsidRPr="00957B6C">
              <w:rPr>
                <w:rFonts w:eastAsia="Calibri"/>
              </w:rPr>
              <w:t>noted the document</w:t>
            </w:r>
            <w:r>
              <w:rPr>
                <w:rFonts w:eastAsia="Calibri"/>
              </w:rPr>
              <w:t xml:space="preserve"> with appreciation and agreed to take it into account in preparations for WTDC-21.</w:t>
            </w:r>
          </w:p>
        </w:tc>
      </w:tr>
    </w:tbl>
    <w:bookmarkEnd w:id="16"/>
    <w:p w:rsidR="00312094" w:rsidRPr="004A5CF9" w:rsidRDefault="00A2048E" w:rsidP="003F14A9">
      <w:pPr>
        <w:spacing w:after="120"/>
        <w:ind w:left="505" w:hanging="505"/>
        <w:rPr>
          <w:b/>
          <w:bCs/>
          <w:lang w:val="en-US"/>
        </w:rPr>
      </w:pPr>
      <w:r>
        <w:rPr>
          <w:b/>
          <w:bCs/>
          <w:lang w:val="en-US"/>
        </w:rPr>
        <w:t>10.2</w:t>
      </w:r>
      <w:r w:rsidR="003F14A9">
        <w:rPr>
          <w:b/>
          <w:bCs/>
          <w:lang w:val="en-US"/>
        </w:rPr>
        <w:tab/>
      </w:r>
      <w:r w:rsidR="00855A13" w:rsidRPr="004A5CF9">
        <w:rPr>
          <w:b/>
          <w:bCs/>
          <w:lang w:val="en-US"/>
        </w:rPr>
        <w:t xml:space="preserve">Breakout session: </w:t>
      </w:r>
      <w:r w:rsidR="00312094" w:rsidRPr="004A5CF9">
        <w:rPr>
          <w:b/>
          <w:bCs/>
          <w:lang w:val="en-US"/>
        </w:rPr>
        <w:t>WTDC preparatory process and format</w:t>
      </w:r>
    </w:p>
    <w:p w:rsidR="009A0EE6" w:rsidRDefault="001E0B05">
      <w:pPr>
        <w:rPr>
          <w:lang w:val="en-US"/>
        </w:rPr>
      </w:pPr>
      <w:r>
        <w:rPr>
          <w:lang w:val="en-US"/>
        </w:rPr>
        <w:t>During the breakout session on the WTDC preparatory process and format, p</w:t>
      </w:r>
      <w:r w:rsidR="00312094" w:rsidRPr="00B146E7">
        <w:rPr>
          <w:lang w:val="en-US"/>
        </w:rPr>
        <w:t xml:space="preserve">articipants highlighted that </w:t>
      </w:r>
      <w:r w:rsidR="00D02916">
        <w:rPr>
          <w:lang w:val="en-US"/>
        </w:rPr>
        <w:t xml:space="preserve">during the previous WTDC </w:t>
      </w:r>
      <w:r w:rsidR="00312094" w:rsidRPr="00B146E7">
        <w:rPr>
          <w:lang w:val="en-US"/>
        </w:rPr>
        <w:t xml:space="preserve">the first three days were </w:t>
      </w:r>
      <w:r w:rsidR="00D02916">
        <w:rPr>
          <w:lang w:val="en-US"/>
        </w:rPr>
        <w:t xml:space="preserve">largely </w:t>
      </w:r>
      <w:r w:rsidR="00312094" w:rsidRPr="00B146E7">
        <w:rPr>
          <w:lang w:val="en-US"/>
        </w:rPr>
        <w:t xml:space="preserve">spent on policy statements. </w:t>
      </w:r>
      <w:r w:rsidR="00D02916">
        <w:rPr>
          <w:lang w:val="en-US"/>
        </w:rPr>
        <w:t xml:space="preserve">It was emphasized based on the experience of the last Plenipotentiary Conference that committees should start their meetings as soon as possible and preferably from day one of the conference, the policy statements could run in parallel with committee meetings. It was further </w:t>
      </w:r>
      <w:r w:rsidR="00312094">
        <w:rPr>
          <w:lang w:val="en-US"/>
        </w:rPr>
        <w:t>suggest</w:t>
      </w:r>
      <w:r w:rsidR="00D02916">
        <w:rPr>
          <w:lang w:val="en-US"/>
        </w:rPr>
        <w:t>ed</w:t>
      </w:r>
      <w:r w:rsidR="00312094">
        <w:rPr>
          <w:lang w:val="en-US"/>
        </w:rPr>
        <w:t xml:space="preserve"> </w:t>
      </w:r>
      <w:r w:rsidR="00D02916">
        <w:rPr>
          <w:lang w:val="en-US"/>
        </w:rPr>
        <w:t xml:space="preserve">to consider </w:t>
      </w:r>
      <w:r w:rsidR="00312094" w:rsidRPr="00B146E7">
        <w:rPr>
          <w:lang w:val="en-US"/>
        </w:rPr>
        <w:t>organiz</w:t>
      </w:r>
      <w:r w:rsidR="00D02916">
        <w:rPr>
          <w:lang w:val="en-US"/>
        </w:rPr>
        <w:t>ing</w:t>
      </w:r>
      <w:r w:rsidR="00312094" w:rsidRPr="00B146E7">
        <w:rPr>
          <w:lang w:val="en-US"/>
        </w:rPr>
        <w:t xml:space="preserve"> </w:t>
      </w:r>
      <w:r>
        <w:rPr>
          <w:lang w:val="en-US"/>
        </w:rPr>
        <w:t xml:space="preserve">dialogue </w:t>
      </w:r>
      <w:r w:rsidR="00D02916">
        <w:rPr>
          <w:lang w:val="en-US"/>
        </w:rPr>
        <w:t>sessions/</w:t>
      </w:r>
      <w:r w:rsidR="00312094" w:rsidRPr="00B146E7">
        <w:rPr>
          <w:lang w:val="en-US"/>
        </w:rPr>
        <w:t xml:space="preserve">round tables one day </w:t>
      </w:r>
      <w:r w:rsidR="009A0EE6">
        <w:rPr>
          <w:lang w:val="en-US"/>
        </w:rPr>
        <w:t xml:space="preserve">prior to </w:t>
      </w:r>
      <w:r w:rsidR="00312094" w:rsidRPr="00B146E7">
        <w:rPr>
          <w:lang w:val="en-US"/>
        </w:rPr>
        <w:t xml:space="preserve">WTDC </w:t>
      </w:r>
      <w:r w:rsidR="009A0EE6">
        <w:rPr>
          <w:lang w:val="en-US"/>
        </w:rPr>
        <w:t xml:space="preserve">opening. </w:t>
      </w:r>
    </w:p>
    <w:p w:rsidR="005F1A16" w:rsidRDefault="00312094">
      <w:pPr>
        <w:rPr>
          <w:lang w:val="en-US"/>
        </w:rPr>
      </w:pPr>
      <w:r w:rsidRPr="00B146E7">
        <w:rPr>
          <w:lang w:val="en-US"/>
        </w:rPr>
        <w:t xml:space="preserve">The discussions on </w:t>
      </w:r>
      <w:r>
        <w:rPr>
          <w:lang w:val="en-US"/>
        </w:rPr>
        <w:t>regional preparatory meetings</w:t>
      </w:r>
      <w:r w:rsidRPr="00B146E7">
        <w:rPr>
          <w:lang w:val="en-US"/>
        </w:rPr>
        <w:t xml:space="preserve"> </w:t>
      </w:r>
      <w:r w:rsidR="009A0EE6">
        <w:rPr>
          <w:lang w:val="en-US"/>
        </w:rPr>
        <w:t xml:space="preserve">(RPMs) </w:t>
      </w:r>
      <w:r w:rsidR="005F1A16">
        <w:rPr>
          <w:lang w:val="en-US"/>
        </w:rPr>
        <w:t xml:space="preserve">were </w:t>
      </w:r>
      <w:r w:rsidRPr="00B146E7">
        <w:rPr>
          <w:lang w:val="en-US"/>
        </w:rPr>
        <w:t xml:space="preserve">focused on </w:t>
      </w:r>
      <w:r w:rsidR="009A0EE6">
        <w:rPr>
          <w:lang w:val="en-US"/>
        </w:rPr>
        <w:t xml:space="preserve">how </w:t>
      </w:r>
      <w:r w:rsidRPr="00B146E7">
        <w:rPr>
          <w:lang w:val="en-US"/>
        </w:rPr>
        <w:t xml:space="preserve">these meetings </w:t>
      </w:r>
      <w:r w:rsidR="009A0EE6">
        <w:rPr>
          <w:lang w:val="en-US"/>
        </w:rPr>
        <w:t xml:space="preserve">could become more effective. There </w:t>
      </w:r>
      <w:r w:rsidRPr="00B146E7">
        <w:rPr>
          <w:lang w:val="en-US"/>
        </w:rPr>
        <w:t xml:space="preserve">was general agreement </w:t>
      </w:r>
      <w:r w:rsidR="009A0EE6">
        <w:rPr>
          <w:lang w:val="en-US"/>
        </w:rPr>
        <w:t xml:space="preserve">that RPMs should be held </w:t>
      </w:r>
      <w:r w:rsidRPr="00B146E7">
        <w:rPr>
          <w:lang w:val="en-US"/>
        </w:rPr>
        <w:t xml:space="preserve">back-to-back </w:t>
      </w:r>
      <w:r w:rsidR="009A0EE6">
        <w:rPr>
          <w:lang w:val="en-US"/>
        </w:rPr>
        <w:t xml:space="preserve">or </w:t>
      </w:r>
      <w:r w:rsidR="00F312C2">
        <w:rPr>
          <w:lang w:val="en-US"/>
        </w:rPr>
        <w:t xml:space="preserve">together </w:t>
      </w:r>
      <w:r w:rsidRPr="00B146E7">
        <w:rPr>
          <w:lang w:val="en-US"/>
        </w:rPr>
        <w:t>with other preparatory meetings</w:t>
      </w:r>
      <w:r w:rsidR="009A0EE6">
        <w:rPr>
          <w:lang w:val="en-US"/>
        </w:rPr>
        <w:t xml:space="preserve"> organized </w:t>
      </w:r>
      <w:r w:rsidRPr="00B146E7">
        <w:rPr>
          <w:lang w:val="en-US"/>
        </w:rPr>
        <w:t>by regional organizations.</w:t>
      </w:r>
      <w:r w:rsidR="009A0EE6">
        <w:rPr>
          <w:lang w:val="en-US"/>
        </w:rPr>
        <w:t xml:space="preserve"> The group discussed as well that organizing i</w:t>
      </w:r>
      <w:r w:rsidR="00F312C2">
        <w:rPr>
          <w:lang w:val="en-US"/>
        </w:rPr>
        <w:t>nformal i</w:t>
      </w:r>
      <w:r w:rsidRPr="00B146E7">
        <w:rPr>
          <w:lang w:val="en-US"/>
        </w:rPr>
        <w:t>nter-regional meetings</w:t>
      </w:r>
      <w:r>
        <w:rPr>
          <w:lang w:val="en-US"/>
        </w:rPr>
        <w:t xml:space="preserve"> </w:t>
      </w:r>
      <w:r>
        <w:t xml:space="preserve">could </w:t>
      </w:r>
      <w:r w:rsidR="009A0EE6">
        <w:t xml:space="preserve">also </w:t>
      </w:r>
      <w:r w:rsidR="005F1A16">
        <w:t xml:space="preserve">facilitate discussion during WTDC, and suggested that this meeting(s) can </w:t>
      </w:r>
      <w:r>
        <w:t>be</w:t>
      </w:r>
      <w:r w:rsidRPr="00922801">
        <w:t xml:space="preserve"> scheduled one day before the last TDAG prior to WTDC</w:t>
      </w:r>
      <w:r>
        <w:rPr>
          <w:lang w:val="en-US"/>
        </w:rPr>
        <w:t>.</w:t>
      </w:r>
      <w:r w:rsidRPr="00B146E7">
        <w:rPr>
          <w:lang w:val="en-US"/>
        </w:rPr>
        <w:t xml:space="preserve"> </w:t>
      </w:r>
    </w:p>
    <w:p w:rsidR="00312094" w:rsidRPr="00B146E7" w:rsidRDefault="005F1A16">
      <w:pPr>
        <w:rPr>
          <w:lang w:val="en-US"/>
        </w:rPr>
      </w:pPr>
      <w:r>
        <w:rPr>
          <w:lang w:val="en-US"/>
        </w:rPr>
        <w:t xml:space="preserve">It was highlighted that there is a </w:t>
      </w:r>
      <w:r w:rsidR="00312094" w:rsidRPr="00B146E7">
        <w:rPr>
          <w:lang w:val="en-US"/>
        </w:rPr>
        <w:t xml:space="preserve">need to balance the work between committees </w:t>
      </w:r>
      <w:r>
        <w:rPr>
          <w:lang w:val="en-US"/>
        </w:rPr>
        <w:t xml:space="preserve">(in particular committees </w:t>
      </w:r>
      <w:r w:rsidR="00312094" w:rsidRPr="00B146E7">
        <w:rPr>
          <w:lang w:val="en-US"/>
        </w:rPr>
        <w:t>3 and 4</w:t>
      </w:r>
      <w:r>
        <w:rPr>
          <w:lang w:val="en-US"/>
        </w:rPr>
        <w:t>), and also run committees in parallel as necessary</w:t>
      </w:r>
      <w:r w:rsidR="00312094" w:rsidRPr="00B146E7">
        <w:rPr>
          <w:lang w:val="en-US"/>
        </w:rPr>
        <w:t xml:space="preserve">. </w:t>
      </w:r>
      <w:r>
        <w:rPr>
          <w:lang w:val="en-US"/>
        </w:rPr>
        <w:t xml:space="preserve">It was also suggested </w:t>
      </w:r>
      <w:r w:rsidR="00312094" w:rsidRPr="00B146E7">
        <w:rPr>
          <w:lang w:val="en-US"/>
        </w:rPr>
        <w:t xml:space="preserve">to engage </w:t>
      </w:r>
      <w:r>
        <w:rPr>
          <w:lang w:val="en-US"/>
        </w:rPr>
        <w:t xml:space="preserve">more closely with </w:t>
      </w:r>
      <w:r w:rsidR="00312094" w:rsidRPr="00B146E7">
        <w:rPr>
          <w:lang w:val="en-US"/>
        </w:rPr>
        <w:t>other stakeholders, including academia and NGOs in the preparat</w:t>
      </w:r>
      <w:r>
        <w:rPr>
          <w:lang w:val="en-US"/>
        </w:rPr>
        <w:t>ory</w:t>
      </w:r>
      <w:r w:rsidR="00312094" w:rsidRPr="00B146E7">
        <w:rPr>
          <w:lang w:val="en-US"/>
        </w:rPr>
        <w:t xml:space="preserve"> </w:t>
      </w:r>
      <w:r>
        <w:rPr>
          <w:lang w:val="en-US"/>
        </w:rPr>
        <w:t>process</w:t>
      </w:r>
      <w:r w:rsidR="00312094" w:rsidRPr="00B146E7">
        <w:rPr>
          <w:lang w:val="en-US"/>
        </w:rPr>
        <w:t xml:space="preserve">. </w:t>
      </w:r>
    </w:p>
    <w:p w:rsidR="00312094" w:rsidRDefault="005F1A16">
      <w:pPr>
        <w:rPr>
          <w:lang w:val="en-US"/>
        </w:rPr>
      </w:pPr>
      <w:r>
        <w:rPr>
          <w:lang w:val="en-US"/>
        </w:rPr>
        <w:t xml:space="preserve">The need to have a full understanding of </w:t>
      </w:r>
      <w:r w:rsidR="00312094" w:rsidRPr="00B146E7">
        <w:rPr>
          <w:lang w:val="en-US"/>
        </w:rPr>
        <w:t xml:space="preserve">the financial implications of </w:t>
      </w:r>
      <w:r>
        <w:rPr>
          <w:lang w:val="en-US"/>
        </w:rPr>
        <w:t xml:space="preserve">conference </w:t>
      </w:r>
      <w:r w:rsidR="00312094" w:rsidRPr="00B146E7">
        <w:rPr>
          <w:lang w:val="en-US"/>
        </w:rPr>
        <w:t>propos</w:t>
      </w:r>
      <w:r w:rsidR="00897E2C">
        <w:rPr>
          <w:lang w:val="en-US"/>
        </w:rPr>
        <w:t>als</w:t>
      </w:r>
      <w:r>
        <w:rPr>
          <w:lang w:val="en-US"/>
        </w:rPr>
        <w:t>,</w:t>
      </w:r>
      <w:r w:rsidR="00312094" w:rsidRPr="00B146E7">
        <w:rPr>
          <w:lang w:val="en-US"/>
        </w:rPr>
        <w:t xml:space="preserve"> </w:t>
      </w:r>
      <w:r w:rsidR="00F312C2">
        <w:rPr>
          <w:lang w:val="en-US"/>
        </w:rPr>
        <w:t xml:space="preserve">including </w:t>
      </w:r>
      <w:r>
        <w:rPr>
          <w:lang w:val="en-US"/>
        </w:rPr>
        <w:t xml:space="preserve">the </w:t>
      </w:r>
      <w:r w:rsidR="00312094" w:rsidRPr="00B146E7">
        <w:rPr>
          <w:lang w:val="en-US"/>
        </w:rPr>
        <w:t xml:space="preserve">regional initiatives, </w:t>
      </w:r>
      <w:r>
        <w:rPr>
          <w:lang w:val="en-US"/>
        </w:rPr>
        <w:t>prior to their adoption was stressed</w:t>
      </w:r>
      <w:r w:rsidR="00312094" w:rsidRPr="00B146E7">
        <w:rPr>
          <w:lang w:val="en-US"/>
        </w:rPr>
        <w:t>.</w:t>
      </w:r>
    </w:p>
    <w:p w:rsidR="00A2048E" w:rsidRDefault="00A2048E">
      <w:pPr>
        <w:rPr>
          <w:lang w:val="en-US"/>
        </w:rPr>
      </w:pPr>
    </w:p>
    <w:p w:rsidR="00965FD2" w:rsidRPr="00957B6C" w:rsidRDefault="00A2048E" w:rsidP="003F14A9">
      <w:pPr>
        <w:ind w:left="391" w:hanging="391"/>
        <w:rPr>
          <w:rStyle w:val="StyleComplex12pt"/>
          <w:rFonts w:cstheme="minorHAnsi"/>
          <w:b/>
          <w:bCs/>
        </w:rPr>
      </w:pPr>
      <w:r>
        <w:rPr>
          <w:b/>
          <w:bCs/>
          <w:lang w:val="en-US"/>
        </w:rPr>
        <w:lastRenderedPageBreak/>
        <w:t>11</w:t>
      </w:r>
      <w:r w:rsidR="003F14A9">
        <w:rPr>
          <w:b/>
          <w:bCs/>
          <w:lang w:val="en-US"/>
        </w:rPr>
        <w:t>.</w:t>
      </w:r>
      <w:r w:rsidR="003F14A9">
        <w:rPr>
          <w:b/>
          <w:bCs/>
          <w:lang w:val="en-US"/>
        </w:rPr>
        <w:tab/>
      </w:r>
      <w:r w:rsidR="00965FD2" w:rsidRPr="00957B6C">
        <w:rPr>
          <w:rStyle w:val="StyleComplex12pt"/>
          <w:rFonts w:cstheme="minorHAnsi"/>
          <w:b/>
          <w:bCs/>
        </w:rPr>
        <w:t>C</w:t>
      </w:r>
      <w:r>
        <w:rPr>
          <w:rStyle w:val="StyleComplex12pt"/>
          <w:rFonts w:cstheme="minorHAnsi"/>
          <w:b/>
          <w:bCs/>
        </w:rPr>
        <w:t xml:space="preserve">ALENDAR </w:t>
      </w:r>
      <w:r w:rsidR="00965FD2" w:rsidRPr="00957B6C">
        <w:rPr>
          <w:rStyle w:val="StyleComplex12pt"/>
          <w:rFonts w:cstheme="minorHAnsi"/>
          <w:b/>
          <w:bCs/>
        </w:rPr>
        <w:t xml:space="preserve">of ITU-D </w:t>
      </w:r>
      <w:r>
        <w:rPr>
          <w:rStyle w:val="StyleComplex12pt"/>
          <w:rFonts w:cstheme="minorHAnsi"/>
          <w:b/>
          <w:bCs/>
        </w:rPr>
        <w:t>EVENTS</w:t>
      </w:r>
    </w:p>
    <w:p w:rsidR="00965FD2" w:rsidRPr="00957B6C" w:rsidRDefault="00C330B0">
      <w:pPr>
        <w:tabs>
          <w:tab w:val="left" w:pos="540"/>
        </w:tabs>
        <w:spacing w:after="120"/>
        <w:rPr>
          <w:rFonts w:cstheme="minorHAnsi"/>
          <w:szCs w:val="24"/>
        </w:rPr>
      </w:pPr>
      <w:hyperlink r:id="rId66">
        <w:r w:rsidR="00965FD2" w:rsidRPr="00957B6C">
          <w:rPr>
            <w:rStyle w:val="Hyperlink"/>
            <w:rFonts w:cstheme="minorHAnsi"/>
            <w:b/>
            <w:bCs/>
            <w:szCs w:val="24"/>
          </w:rPr>
          <w:t>Document 15</w:t>
        </w:r>
      </w:hyperlink>
      <w:r w:rsidR="00965FD2" w:rsidRPr="00957B6C">
        <w:rPr>
          <w:rFonts w:cstheme="minorHAnsi"/>
          <w:b/>
          <w:bCs/>
          <w:color w:val="000000" w:themeColor="text1"/>
          <w:szCs w:val="24"/>
        </w:rPr>
        <w:t xml:space="preserve">: </w:t>
      </w:r>
      <w:r w:rsidR="00965FD2" w:rsidRPr="00957B6C">
        <w:rPr>
          <w:rFonts w:cstheme="minorHAnsi"/>
          <w:color w:val="000000" w:themeColor="text1"/>
          <w:szCs w:val="24"/>
        </w:rPr>
        <w:t>“Calendar of ITU-D Events in 2019-2022”</w:t>
      </w:r>
      <w:r w:rsidR="00965FD2" w:rsidRPr="00957B6C">
        <w:rPr>
          <w:rFonts w:cstheme="minorHAnsi"/>
          <w:b/>
          <w:bCs/>
          <w:color w:val="000000" w:themeColor="text1"/>
          <w:szCs w:val="24"/>
        </w:rPr>
        <w:t xml:space="preserve"> </w:t>
      </w:r>
      <w:r w:rsidR="00965FD2" w:rsidRPr="00957B6C">
        <w:rPr>
          <w:rFonts w:cstheme="minorHAnsi"/>
          <w:szCs w:val="24"/>
        </w:rPr>
        <w:t xml:space="preserve">provides an overview of major meetings foreseen in this period, including the </w:t>
      </w:r>
      <w:r w:rsidR="002E6A8A">
        <w:rPr>
          <w:rFonts w:cstheme="minorHAnsi"/>
          <w:szCs w:val="24"/>
        </w:rPr>
        <w:t>W</w:t>
      </w:r>
      <w:r w:rsidR="00965FD2" w:rsidRPr="00957B6C">
        <w:rPr>
          <w:rFonts w:cstheme="minorHAnsi"/>
          <w:szCs w:val="24"/>
        </w:rPr>
        <w:t xml:space="preserve">orld </w:t>
      </w:r>
      <w:r w:rsidR="002E6A8A">
        <w:rPr>
          <w:rFonts w:cstheme="minorHAnsi"/>
          <w:szCs w:val="24"/>
        </w:rPr>
        <w:t>T</w:t>
      </w:r>
      <w:r w:rsidR="00965FD2" w:rsidRPr="00957B6C">
        <w:rPr>
          <w:rFonts w:cstheme="minorHAnsi"/>
          <w:szCs w:val="24"/>
        </w:rPr>
        <w:t xml:space="preserve">elecommunication </w:t>
      </w:r>
      <w:r w:rsidR="002E6A8A">
        <w:rPr>
          <w:rFonts w:cstheme="minorHAnsi"/>
          <w:szCs w:val="24"/>
        </w:rPr>
        <w:t>D</w:t>
      </w:r>
      <w:r w:rsidR="00965FD2" w:rsidRPr="00957B6C">
        <w:rPr>
          <w:rFonts w:cstheme="minorHAnsi"/>
          <w:szCs w:val="24"/>
        </w:rPr>
        <w:t xml:space="preserve">evelopment </w:t>
      </w:r>
      <w:r w:rsidR="002E6A8A">
        <w:rPr>
          <w:rFonts w:cstheme="minorHAnsi"/>
          <w:szCs w:val="24"/>
        </w:rPr>
        <w:t>C</w:t>
      </w:r>
      <w:r w:rsidR="00965FD2" w:rsidRPr="00957B6C">
        <w:rPr>
          <w:rFonts w:cstheme="minorHAnsi"/>
          <w:szCs w:val="24"/>
        </w:rPr>
        <w:t xml:space="preserve">onference to be held in the last quarter of 2021, in line with Resolution 77 (Rev. Dubai, 2018) </w:t>
      </w:r>
      <w:r w:rsidR="00EA1797">
        <w:rPr>
          <w:rFonts w:cstheme="minorHAnsi"/>
          <w:szCs w:val="24"/>
        </w:rPr>
        <w:t>(</w:t>
      </w:r>
      <w:r w:rsidR="00965FD2" w:rsidRPr="00957B6C">
        <w:rPr>
          <w:rFonts w:cstheme="minorHAnsi"/>
          <w:szCs w:val="24"/>
        </w:rPr>
        <w:t xml:space="preserve">scheduling future conferences, forums, </w:t>
      </w:r>
      <w:r w:rsidR="00EA1797">
        <w:rPr>
          <w:rFonts w:cstheme="minorHAnsi"/>
          <w:szCs w:val="24"/>
        </w:rPr>
        <w:t xml:space="preserve">Council etc. </w:t>
      </w:r>
      <w:r w:rsidR="00965FD2" w:rsidRPr="00957B6C">
        <w:rPr>
          <w:rFonts w:cstheme="minorHAnsi"/>
          <w:szCs w:val="24"/>
        </w:rPr>
        <w:t>2019-2023</w:t>
      </w:r>
      <w:r w:rsidR="00EA1797">
        <w:rPr>
          <w:rFonts w:cstheme="minorHAnsi"/>
          <w:szCs w:val="24"/>
        </w:rPr>
        <w:t>)</w:t>
      </w:r>
      <w:r w:rsidR="00965FD2" w:rsidRPr="00957B6C">
        <w:rPr>
          <w:rFonts w:cstheme="minorHAnsi"/>
          <w:szCs w:val="24"/>
        </w:rPr>
        <w:t xml:space="preserve">. </w:t>
      </w:r>
      <w:r w:rsidR="00CC4B7A" w:rsidRPr="006209A6">
        <w:rPr>
          <w:rFonts w:cstheme="minorHAnsi"/>
          <w:szCs w:val="24"/>
        </w:rPr>
        <w:t>The TDAG Chair</w:t>
      </w:r>
      <w:r w:rsidR="001B24AF">
        <w:rPr>
          <w:rFonts w:cstheme="minorHAnsi"/>
          <w:szCs w:val="24"/>
        </w:rPr>
        <w:t>man</w:t>
      </w:r>
      <w:r w:rsidR="00CC4B7A" w:rsidRPr="006209A6">
        <w:rPr>
          <w:rFonts w:cstheme="minorHAnsi"/>
          <w:szCs w:val="24"/>
        </w:rPr>
        <w:t xml:space="preserve"> </w:t>
      </w:r>
      <w:r w:rsidR="00EA1797" w:rsidRPr="007B36B3">
        <w:rPr>
          <w:rFonts w:cstheme="minorHAnsi"/>
          <w:szCs w:val="24"/>
        </w:rPr>
        <w:t xml:space="preserve">stressed ITU-D </w:t>
      </w:r>
      <w:r w:rsidR="00CC4B7A" w:rsidRPr="006209A6">
        <w:rPr>
          <w:rFonts w:cstheme="minorHAnsi"/>
          <w:szCs w:val="24"/>
        </w:rPr>
        <w:t xml:space="preserve">Resolution 1 Section </w:t>
      </w:r>
      <w:r w:rsidR="00DA29FB" w:rsidRPr="007B36B3">
        <w:rPr>
          <w:rFonts w:cstheme="minorHAnsi"/>
          <w:szCs w:val="24"/>
        </w:rPr>
        <w:t>11(32)</w:t>
      </w:r>
      <w:r w:rsidR="00CC4B7A" w:rsidRPr="006209A6">
        <w:rPr>
          <w:rFonts w:cstheme="minorHAnsi"/>
          <w:szCs w:val="24"/>
        </w:rPr>
        <w:t xml:space="preserve">, which provides that </w:t>
      </w:r>
      <w:r w:rsidR="00EA1797" w:rsidRPr="006209A6">
        <w:rPr>
          <w:rFonts w:cstheme="minorHAnsi"/>
          <w:szCs w:val="24"/>
        </w:rPr>
        <w:t>T</w:t>
      </w:r>
      <w:r w:rsidR="00EA1797">
        <w:rPr>
          <w:rFonts w:cstheme="minorHAnsi"/>
          <w:szCs w:val="24"/>
        </w:rPr>
        <w:t xml:space="preserve">DAG meetings should not take place in conjunction with the study group meetings, and that holding the TDAG meetings back to back with the </w:t>
      </w:r>
      <w:r w:rsidR="002E6A8A">
        <w:rPr>
          <w:rFonts w:cstheme="minorHAnsi"/>
          <w:szCs w:val="24"/>
        </w:rPr>
        <w:t>s</w:t>
      </w:r>
      <w:r w:rsidR="00EA1797">
        <w:rPr>
          <w:rFonts w:cstheme="minorHAnsi"/>
          <w:szCs w:val="24"/>
        </w:rPr>
        <w:t xml:space="preserve">tudy </w:t>
      </w:r>
      <w:r w:rsidR="002E6A8A">
        <w:rPr>
          <w:rFonts w:cstheme="minorHAnsi"/>
          <w:szCs w:val="24"/>
        </w:rPr>
        <w:t>g</w:t>
      </w:r>
      <w:r w:rsidR="00EA1797">
        <w:rPr>
          <w:rFonts w:cstheme="minorHAnsi"/>
          <w:szCs w:val="24"/>
        </w:rPr>
        <w:t>roup</w:t>
      </w:r>
      <w:r w:rsidR="006209A6">
        <w:rPr>
          <w:rFonts w:cstheme="minorHAnsi"/>
          <w:szCs w:val="24"/>
        </w:rPr>
        <w:t xml:space="preserve"> meetings </w:t>
      </w:r>
      <w:r w:rsidR="00EA1797">
        <w:rPr>
          <w:rFonts w:cstheme="minorHAnsi"/>
          <w:szCs w:val="24"/>
        </w:rPr>
        <w:t xml:space="preserve">and WSIS results in </w:t>
      </w:r>
      <w:r w:rsidR="002E6A8A">
        <w:rPr>
          <w:rFonts w:cstheme="minorHAnsi"/>
          <w:szCs w:val="24"/>
        </w:rPr>
        <w:t>four</w:t>
      </w:r>
      <w:r w:rsidR="00EA1797">
        <w:rPr>
          <w:rFonts w:cstheme="minorHAnsi"/>
          <w:szCs w:val="24"/>
        </w:rPr>
        <w:t xml:space="preserve"> consecutive weeks of meetings for the </w:t>
      </w:r>
      <w:r w:rsidR="002E6A8A">
        <w:rPr>
          <w:rFonts w:cstheme="minorHAnsi"/>
          <w:szCs w:val="24"/>
        </w:rPr>
        <w:t>Development S</w:t>
      </w:r>
      <w:r w:rsidR="00EA1797">
        <w:rPr>
          <w:rFonts w:cstheme="minorHAnsi"/>
          <w:szCs w:val="24"/>
        </w:rPr>
        <w:t>ector.</w:t>
      </w:r>
      <w:r w:rsidR="00070DBE">
        <w:rPr>
          <w:rFonts w:cstheme="minorHAnsi"/>
          <w:szCs w:val="24"/>
        </w:rPr>
        <w:t xml:space="preserve"> </w:t>
      </w:r>
      <w:r w:rsidR="001D6831">
        <w:rPr>
          <w:rFonts w:cstheme="minorHAnsi"/>
          <w:szCs w:val="24"/>
        </w:rPr>
        <w:t>C</w:t>
      </w:r>
      <w:r w:rsidR="00EA1797">
        <w:rPr>
          <w:rFonts w:cstheme="minorHAnsi"/>
          <w:szCs w:val="24"/>
        </w:rPr>
        <w:t xml:space="preserve">lustering major </w:t>
      </w:r>
      <w:r w:rsidR="001D6831">
        <w:rPr>
          <w:rFonts w:cstheme="minorHAnsi"/>
          <w:szCs w:val="24"/>
        </w:rPr>
        <w:t xml:space="preserve">Sector </w:t>
      </w:r>
      <w:r w:rsidR="00EA1797">
        <w:rPr>
          <w:rFonts w:cstheme="minorHAnsi"/>
          <w:szCs w:val="24"/>
        </w:rPr>
        <w:t xml:space="preserve">meetings </w:t>
      </w:r>
      <w:r w:rsidR="006209A6">
        <w:rPr>
          <w:rFonts w:cstheme="minorHAnsi"/>
          <w:szCs w:val="24"/>
        </w:rPr>
        <w:t>all together in this was</w:t>
      </w:r>
      <w:r w:rsidR="00EA1797">
        <w:rPr>
          <w:rFonts w:cstheme="minorHAnsi"/>
          <w:szCs w:val="24"/>
        </w:rPr>
        <w:t xml:space="preserve"> an approach raised </w:t>
      </w:r>
      <w:r w:rsidR="006209A6">
        <w:rPr>
          <w:rFonts w:cstheme="minorHAnsi"/>
          <w:szCs w:val="24"/>
        </w:rPr>
        <w:t xml:space="preserve">at PP-18 </w:t>
      </w:r>
      <w:r w:rsidR="00EA1797">
        <w:rPr>
          <w:rFonts w:cstheme="minorHAnsi"/>
          <w:szCs w:val="24"/>
        </w:rPr>
        <w:t xml:space="preserve">and expressly rejected by </w:t>
      </w:r>
      <w:r w:rsidR="002E6A8A">
        <w:rPr>
          <w:rFonts w:cstheme="minorHAnsi"/>
          <w:szCs w:val="24"/>
        </w:rPr>
        <w:t>m</w:t>
      </w:r>
      <w:r w:rsidR="00EA1797">
        <w:rPr>
          <w:rFonts w:cstheme="minorHAnsi"/>
          <w:szCs w:val="24"/>
        </w:rPr>
        <w:t>embership, she noted.</w:t>
      </w:r>
      <w:r w:rsidR="00070DBE">
        <w:rPr>
          <w:rFonts w:cstheme="minorHAnsi"/>
          <w:szCs w:val="24"/>
        </w:rPr>
        <w:t xml:space="preserve"> </w:t>
      </w:r>
      <w:r w:rsidR="00EA1797">
        <w:rPr>
          <w:rFonts w:cstheme="minorHAnsi"/>
          <w:szCs w:val="24"/>
        </w:rPr>
        <w:t>Participants also requested that</w:t>
      </w:r>
      <w:r w:rsidR="00070DBE">
        <w:rPr>
          <w:rFonts w:cstheme="minorHAnsi"/>
          <w:szCs w:val="24"/>
        </w:rPr>
        <w:t xml:space="preserve"> </w:t>
      </w:r>
      <w:r w:rsidR="00EA1797">
        <w:rPr>
          <w:rFonts w:cstheme="minorHAnsi"/>
          <w:szCs w:val="24"/>
        </w:rPr>
        <w:t xml:space="preserve">BDT make efforts </w:t>
      </w:r>
      <w:r w:rsidR="006209A6">
        <w:rPr>
          <w:rFonts w:cstheme="minorHAnsi"/>
          <w:szCs w:val="24"/>
        </w:rPr>
        <w:t xml:space="preserve">to </w:t>
      </w:r>
      <w:r w:rsidR="00EA1797">
        <w:rPr>
          <w:rFonts w:cstheme="minorHAnsi"/>
          <w:szCs w:val="24"/>
        </w:rPr>
        <w:t xml:space="preserve">refrain from holding meetings that conflict with </w:t>
      </w:r>
      <w:r w:rsidR="006209A6">
        <w:rPr>
          <w:rFonts w:cstheme="minorHAnsi"/>
          <w:szCs w:val="24"/>
        </w:rPr>
        <w:t xml:space="preserve">the </w:t>
      </w:r>
      <w:r w:rsidR="00EA1797">
        <w:rPr>
          <w:rFonts w:cstheme="minorHAnsi"/>
          <w:szCs w:val="24"/>
        </w:rPr>
        <w:t>Mobile World Congress</w:t>
      </w:r>
      <w:r w:rsidR="006209A6">
        <w:rPr>
          <w:rFonts w:cstheme="minorHAnsi"/>
          <w:szCs w:val="24"/>
        </w:rPr>
        <w:t xml:space="preserve"> meetings</w:t>
      </w:r>
      <w:r w:rsidR="00EA1797">
        <w:rPr>
          <w:rFonts w:cstheme="minorHAnsi"/>
          <w:szCs w:val="24"/>
        </w:rPr>
        <w:t>.</w:t>
      </w:r>
    </w:p>
    <w:tbl>
      <w:tblPr>
        <w:tblStyle w:val="TableGrid"/>
        <w:tblW w:w="0" w:type="auto"/>
        <w:tblLook w:val="04A0" w:firstRow="1" w:lastRow="0" w:firstColumn="1" w:lastColumn="0" w:noHBand="0" w:noVBand="1"/>
      </w:tblPr>
      <w:tblGrid>
        <w:gridCol w:w="9629"/>
      </w:tblGrid>
      <w:tr w:rsidR="00965FD2" w:rsidRPr="00957B6C" w:rsidTr="4BA30F97">
        <w:tc>
          <w:tcPr>
            <w:tcW w:w="9629" w:type="dxa"/>
          </w:tcPr>
          <w:p w:rsidR="00965FD2" w:rsidRPr="00957B6C" w:rsidRDefault="00273ADF" w:rsidP="009B5B24">
            <w:pPr>
              <w:spacing w:after="120"/>
              <w:rPr>
                <w:rFonts w:cstheme="minorHAnsi"/>
                <w:color w:val="000000" w:themeColor="text1"/>
                <w:szCs w:val="24"/>
              </w:rPr>
            </w:pPr>
            <w:r w:rsidRPr="00957B6C">
              <w:rPr>
                <w:rFonts w:eastAsia="Calibri" w:cs="Calibri"/>
              </w:rPr>
              <w:t>TDAG n</w:t>
            </w:r>
            <w:r w:rsidR="000B1F31" w:rsidRPr="00957B6C">
              <w:rPr>
                <w:rFonts w:eastAsia="Calibri" w:cs="Calibri"/>
              </w:rPr>
              <w:t xml:space="preserve">oted the document and </w:t>
            </w:r>
            <w:r w:rsidR="00CC4B7A">
              <w:rPr>
                <w:rFonts w:eastAsia="Calibri" w:cs="Calibri"/>
              </w:rPr>
              <w:t>emphasized</w:t>
            </w:r>
            <w:r w:rsidR="000B1F31" w:rsidRPr="00957B6C">
              <w:rPr>
                <w:rFonts w:eastAsia="Calibri" w:cs="Calibri"/>
              </w:rPr>
              <w:t xml:space="preserve"> the need to avoid </w:t>
            </w:r>
            <w:r w:rsidR="00EA1797">
              <w:rPr>
                <w:rFonts w:eastAsia="Calibri" w:cs="Calibri"/>
              </w:rPr>
              <w:t xml:space="preserve">conflicts with religious holidays, </w:t>
            </w:r>
            <w:r w:rsidR="000B1F31" w:rsidRPr="00957B6C">
              <w:rPr>
                <w:rFonts w:eastAsia="Calibri" w:cs="Calibri"/>
              </w:rPr>
              <w:t>consecutive meetings of study groups, TDAG and WSIS</w:t>
            </w:r>
            <w:r w:rsidR="006209A6">
              <w:rPr>
                <w:rFonts w:eastAsia="Calibri" w:cs="Calibri"/>
              </w:rPr>
              <w:t>, and major conferences in the sector.</w:t>
            </w:r>
          </w:p>
        </w:tc>
      </w:tr>
    </w:tbl>
    <w:p w:rsidR="00880C45" w:rsidRPr="00880C45" w:rsidRDefault="00880C45" w:rsidP="00880C45">
      <w:pPr>
        <w:rPr>
          <w:rStyle w:val="StyleComplex12pt"/>
          <w:rFonts w:cstheme="minorBidi"/>
          <w:color w:val="000000" w:themeColor="text1"/>
        </w:rPr>
      </w:pPr>
    </w:p>
    <w:p w:rsidR="00965FD2" w:rsidRPr="005724E7" w:rsidRDefault="00965FD2" w:rsidP="0062097A">
      <w:pPr>
        <w:spacing w:before="0"/>
        <w:jc w:val="center"/>
        <w:rPr>
          <w:rStyle w:val="StyleComplex12pt"/>
          <w:rFonts w:cstheme="minorBidi"/>
          <w:b/>
          <w:bCs/>
          <w:color w:val="000000" w:themeColor="text1"/>
          <w:sz w:val="28"/>
          <w:szCs w:val="28"/>
        </w:rPr>
      </w:pPr>
      <w:r w:rsidRPr="00957B6C">
        <w:rPr>
          <w:rStyle w:val="StyleComplex12pt"/>
          <w:rFonts w:cstheme="minorBidi"/>
          <w:b/>
          <w:bCs/>
          <w:color w:val="000000" w:themeColor="text1"/>
        </w:rPr>
        <w:br w:type="column"/>
      </w:r>
      <w:r w:rsidRPr="005724E7">
        <w:rPr>
          <w:rStyle w:val="StyleComplex12pt"/>
          <w:rFonts w:cstheme="minorBidi"/>
          <w:b/>
          <w:bCs/>
          <w:color w:val="000000" w:themeColor="text1"/>
          <w:sz w:val="28"/>
          <w:szCs w:val="28"/>
        </w:rPr>
        <w:lastRenderedPageBreak/>
        <w:t>ANNEX 1</w:t>
      </w:r>
    </w:p>
    <w:p w:rsidR="00965FD2" w:rsidRPr="005724E7" w:rsidRDefault="00965FD2" w:rsidP="0062097A">
      <w:pPr>
        <w:keepNext/>
        <w:spacing w:before="240" w:after="240"/>
        <w:jc w:val="center"/>
        <w:rPr>
          <w:b/>
          <w:bCs/>
          <w:sz w:val="28"/>
          <w:szCs w:val="22"/>
        </w:rPr>
      </w:pPr>
      <w:r w:rsidRPr="005724E7">
        <w:rPr>
          <w:b/>
          <w:bCs/>
          <w:sz w:val="28"/>
          <w:szCs w:val="22"/>
        </w:rPr>
        <w:t>TDAG Chairman and Vice-chairmen</w:t>
      </w:r>
      <w:r w:rsidR="00BF5B1F">
        <w:rPr>
          <w:b/>
          <w:bCs/>
          <w:sz w:val="28"/>
          <w:szCs w:val="22"/>
        </w:rPr>
        <w:t>:</w:t>
      </w:r>
      <w:r w:rsidR="00B037A1">
        <w:rPr>
          <w:b/>
          <w:bCs/>
          <w:sz w:val="28"/>
          <w:szCs w:val="22"/>
        </w:rPr>
        <w:t xml:space="preserve"> </w:t>
      </w:r>
      <w:r w:rsidR="00B037A1" w:rsidRPr="005724E7">
        <w:rPr>
          <w:b/>
          <w:bCs/>
          <w:sz w:val="28"/>
          <w:szCs w:val="22"/>
        </w:rPr>
        <w:t>Areas of work</w:t>
      </w:r>
    </w:p>
    <w:tbl>
      <w:tblPr>
        <w:tblW w:w="4992" w:type="pct"/>
        <w:shd w:val="clear" w:color="auto" w:fill="FFFFFF"/>
        <w:tblCellMar>
          <w:left w:w="0" w:type="dxa"/>
          <w:right w:w="0" w:type="dxa"/>
        </w:tblCellMar>
        <w:tblLook w:val="04A0" w:firstRow="1" w:lastRow="0" w:firstColumn="1" w:lastColumn="0" w:noHBand="0" w:noVBand="1"/>
      </w:tblPr>
      <w:tblGrid>
        <w:gridCol w:w="562"/>
        <w:gridCol w:w="3549"/>
        <w:gridCol w:w="5513"/>
      </w:tblGrid>
      <w:tr w:rsidR="00965FD2" w:rsidRPr="00957B6C" w:rsidTr="00660D9E">
        <w:trPr>
          <w:trHeight w:val="304"/>
        </w:trPr>
        <w:tc>
          <w:tcPr>
            <w:tcW w:w="292" w:type="pct"/>
            <w:tcBorders>
              <w:top w:val="single" w:sz="4" w:space="0" w:color="4F81BD" w:themeColor="accent1"/>
              <w:left w:val="nil"/>
              <w:bottom w:val="single" w:sz="4" w:space="0" w:color="4F81BD" w:themeColor="accent1"/>
              <w:right w:val="nil"/>
            </w:tcBorders>
            <w:shd w:val="clear" w:color="auto" w:fill="DBE5F1" w:themeFill="accent1" w:themeFillTint="33"/>
            <w:tcMar>
              <w:top w:w="105" w:type="dxa"/>
              <w:left w:w="75" w:type="dxa"/>
              <w:bottom w:w="90" w:type="dxa"/>
              <w:right w:w="75" w:type="dxa"/>
            </w:tcMar>
          </w:tcPr>
          <w:p w:rsidR="00965FD2" w:rsidRPr="00957B6C" w:rsidRDefault="00965FD2" w:rsidP="00660D9E">
            <w:pPr>
              <w:rPr>
                <w:rFonts w:cs="Arial"/>
                <w:color w:val="444444"/>
              </w:rPr>
            </w:pPr>
          </w:p>
        </w:tc>
        <w:tc>
          <w:tcPr>
            <w:tcW w:w="1844" w:type="pct"/>
            <w:tcBorders>
              <w:top w:val="single" w:sz="4" w:space="0" w:color="4F81BD" w:themeColor="accent1"/>
              <w:left w:val="nil"/>
              <w:bottom w:val="single" w:sz="4" w:space="0" w:color="4F81BD" w:themeColor="accent1"/>
              <w:right w:val="nil"/>
            </w:tcBorders>
            <w:shd w:val="clear" w:color="auto" w:fill="DBE5F1" w:themeFill="accent1" w:themeFillTint="33"/>
            <w:tcMar>
              <w:top w:w="105" w:type="dxa"/>
              <w:left w:w="75" w:type="dxa"/>
              <w:bottom w:w="90" w:type="dxa"/>
              <w:right w:w="75" w:type="dxa"/>
            </w:tcMar>
          </w:tcPr>
          <w:p w:rsidR="00965FD2" w:rsidRPr="00957B6C" w:rsidRDefault="00965FD2" w:rsidP="00583714">
            <w:pPr>
              <w:spacing w:before="0"/>
              <w:rPr>
                <w:rFonts w:cs="Arial"/>
                <w:b/>
                <w:bCs/>
                <w:color w:val="444444"/>
                <w:bdr w:val="none" w:sz="0" w:space="0" w:color="auto" w:frame="1"/>
              </w:rPr>
            </w:pPr>
            <w:r w:rsidRPr="00957B6C">
              <w:rPr>
                <w:rFonts w:cs="Arial"/>
                <w:b/>
                <w:bCs/>
                <w:color w:val="444444"/>
                <w:bdr w:val="none" w:sz="0" w:space="0" w:color="auto" w:frame="1"/>
              </w:rPr>
              <w:t>Key Areas of Work</w:t>
            </w:r>
          </w:p>
        </w:tc>
        <w:tc>
          <w:tcPr>
            <w:tcW w:w="2864" w:type="pct"/>
            <w:tcBorders>
              <w:top w:val="single" w:sz="4" w:space="0" w:color="4F81BD" w:themeColor="accent1"/>
              <w:bottom w:val="single" w:sz="4" w:space="0" w:color="4F81BD" w:themeColor="accent1"/>
            </w:tcBorders>
            <w:shd w:val="clear" w:color="auto" w:fill="DBE5F1" w:themeFill="accent1" w:themeFillTint="33"/>
          </w:tcPr>
          <w:p w:rsidR="00965FD2" w:rsidRPr="00957B6C" w:rsidRDefault="00965FD2" w:rsidP="008A5D13">
            <w:pPr>
              <w:spacing w:before="0"/>
              <w:rPr>
                <w:rFonts w:cs="Arial"/>
                <w:b/>
                <w:bCs/>
                <w:color w:val="444444"/>
                <w:bdr w:val="none" w:sz="0" w:space="0" w:color="auto" w:frame="1"/>
              </w:rPr>
            </w:pPr>
            <w:r w:rsidRPr="00957B6C">
              <w:rPr>
                <w:rFonts w:cs="Arial"/>
                <w:b/>
                <w:bCs/>
                <w:color w:val="444444"/>
                <w:bdr w:val="none" w:sz="0" w:space="0" w:color="auto" w:frame="1"/>
              </w:rPr>
              <w:t>Leaders/</w:t>
            </w:r>
            <w:r w:rsidRPr="00957B6C">
              <w:rPr>
                <w:rFonts w:cs="Arial"/>
                <w:color w:val="444444"/>
                <w:bdr w:val="none" w:sz="0" w:space="0" w:color="auto" w:frame="1"/>
              </w:rPr>
              <w:t>Co-leaders</w:t>
            </w:r>
          </w:p>
        </w:tc>
      </w:tr>
      <w:tr w:rsidR="00965FD2" w:rsidRPr="00957B6C" w:rsidTr="00660D9E">
        <w:trPr>
          <w:trHeight w:val="592"/>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965FD2" w:rsidRPr="00957B6C" w:rsidRDefault="00965FD2" w:rsidP="00660D9E">
            <w:pPr>
              <w:rPr>
                <w:rFonts w:cs="Arial"/>
                <w:color w:val="444444"/>
              </w:rPr>
            </w:pPr>
            <w:r w:rsidRPr="00957B6C">
              <w:rPr>
                <w:rFonts w:cs="Arial"/>
                <w:color w:val="444444"/>
              </w:rPr>
              <w:t>1</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965FD2" w:rsidRPr="00957B6C" w:rsidRDefault="00965FD2" w:rsidP="0062097A">
            <w:pPr>
              <w:rPr>
                <w:rFonts w:cs="Arial"/>
                <w:color w:val="444444"/>
              </w:rPr>
            </w:pPr>
            <w:r w:rsidRPr="00957B6C">
              <w:rPr>
                <w:rFonts w:cs="Arial"/>
                <w:color w:val="444444"/>
              </w:rPr>
              <w:t>Strategic Plan, Operational Plan and Declaration</w:t>
            </w:r>
          </w:p>
        </w:tc>
        <w:tc>
          <w:tcPr>
            <w:tcW w:w="2864" w:type="pct"/>
            <w:tcBorders>
              <w:top w:val="single" w:sz="4" w:space="0" w:color="4F81BD" w:themeColor="accent1"/>
              <w:left w:val="nil"/>
              <w:bottom w:val="single" w:sz="4" w:space="0" w:color="4F81BD" w:themeColor="accent1"/>
              <w:right w:val="nil"/>
            </w:tcBorders>
            <w:shd w:val="clear" w:color="auto" w:fill="FFFFFF"/>
          </w:tcPr>
          <w:p w:rsidR="00965FD2" w:rsidRPr="00957B6C" w:rsidRDefault="00965FD2" w:rsidP="0062097A">
            <w:pPr>
              <w:rPr>
                <w:rFonts w:cs="Arial"/>
                <w:color w:val="444444"/>
              </w:rPr>
            </w:pPr>
            <w:r w:rsidRPr="00957B6C">
              <w:rPr>
                <w:rFonts w:cs="Arial"/>
                <w:b/>
                <w:bCs/>
                <w:color w:val="444444"/>
              </w:rPr>
              <w:t>Ms Blanca Gonzalez</w:t>
            </w:r>
            <w:r w:rsidRPr="00957B6C">
              <w:rPr>
                <w:rFonts w:cs="Arial"/>
                <w:color w:val="444444"/>
              </w:rPr>
              <w:t xml:space="preserve"> (Spain)</w:t>
            </w:r>
          </w:p>
          <w:p w:rsidR="00965FD2" w:rsidRPr="00957B6C" w:rsidRDefault="00965FD2" w:rsidP="00583714">
            <w:pPr>
              <w:spacing w:before="0"/>
              <w:rPr>
                <w:rFonts w:cs="Arial"/>
                <w:color w:val="444444"/>
              </w:rPr>
            </w:pPr>
            <w:r w:rsidRPr="00957B6C">
              <w:rPr>
                <w:rFonts w:cs="Arial"/>
                <w:color w:val="444444"/>
              </w:rPr>
              <w:t xml:space="preserve">Mr Christopher </w:t>
            </w:r>
            <w:proofErr w:type="spellStart"/>
            <w:r w:rsidRPr="00957B6C">
              <w:rPr>
                <w:rFonts w:cs="Arial"/>
                <w:color w:val="444444"/>
              </w:rPr>
              <w:t>Kipkoech</w:t>
            </w:r>
            <w:proofErr w:type="spellEnd"/>
            <w:r w:rsidRPr="00957B6C">
              <w:rPr>
                <w:rFonts w:cs="Arial"/>
                <w:color w:val="444444"/>
              </w:rPr>
              <w:t xml:space="preserve"> </w:t>
            </w:r>
            <w:proofErr w:type="spellStart"/>
            <w:r w:rsidRPr="00957B6C">
              <w:rPr>
                <w:rFonts w:cs="Arial"/>
                <w:color w:val="444444"/>
              </w:rPr>
              <w:t>Kemei</w:t>
            </w:r>
            <w:proofErr w:type="spellEnd"/>
            <w:r w:rsidRPr="00957B6C">
              <w:rPr>
                <w:rFonts w:cs="Arial"/>
                <w:b/>
                <w:bCs/>
                <w:color w:val="444444"/>
              </w:rPr>
              <w:t xml:space="preserve"> </w:t>
            </w:r>
            <w:r w:rsidRPr="00957B6C">
              <w:rPr>
                <w:rFonts w:cs="Arial"/>
                <w:color w:val="444444"/>
              </w:rPr>
              <w:t>(Kenya)</w:t>
            </w:r>
          </w:p>
          <w:p w:rsidR="00965FD2" w:rsidRPr="00957B6C" w:rsidRDefault="00965FD2" w:rsidP="00583714">
            <w:pPr>
              <w:spacing w:before="0"/>
              <w:rPr>
                <w:rFonts w:cs="Arial"/>
                <w:color w:val="444444"/>
              </w:rPr>
            </w:pPr>
            <w:r w:rsidRPr="00957B6C">
              <w:rPr>
                <w:rFonts w:cs="Arial"/>
                <w:color w:val="444444"/>
              </w:rPr>
              <w:t xml:space="preserve">Mr </w:t>
            </w:r>
            <w:proofErr w:type="spellStart"/>
            <w:r w:rsidRPr="00957B6C">
              <w:rPr>
                <w:rFonts w:cs="Arial"/>
                <w:color w:val="444444"/>
              </w:rPr>
              <w:t>Wim</w:t>
            </w:r>
            <w:proofErr w:type="spellEnd"/>
            <w:r w:rsidRPr="00957B6C">
              <w:rPr>
                <w:rFonts w:cs="Arial"/>
                <w:color w:val="444444"/>
              </w:rPr>
              <w:t xml:space="preserve"> </w:t>
            </w:r>
            <w:proofErr w:type="spellStart"/>
            <w:r w:rsidRPr="00957B6C">
              <w:rPr>
                <w:rFonts w:cs="Arial"/>
                <w:color w:val="444444"/>
              </w:rPr>
              <w:t>Rullens</w:t>
            </w:r>
            <w:proofErr w:type="spellEnd"/>
            <w:r w:rsidRPr="00957B6C">
              <w:rPr>
                <w:rFonts w:cs="Arial"/>
                <w:color w:val="444444"/>
              </w:rPr>
              <w:t xml:space="preserve"> (Netherlands)</w:t>
            </w:r>
          </w:p>
        </w:tc>
      </w:tr>
      <w:tr w:rsidR="00965FD2" w:rsidRPr="00957B6C" w:rsidTr="00660D9E">
        <w:trPr>
          <w:trHeight w:val="286"/>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965FD2" w:rsidRPr="00957B6C" w:rsidRDefault="00965FD2" w:rsidP="00660D9E">
            <w:pPr>
              <w:rPr>
                <w:rFonts w:cs="Arial"/>
                <w:color w:val="444444"/>
              </w:rPr>
            </w:pPr>
            <w:r w:rsidRPr="00957B6C">
              <w:rPr>
                <w:rFonts w:cs="Arial"/>
                <w:color w:val="444444"/>
              </w:rPr>
              <w:t>2</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965FD2" w:rsidRPr="00957B6C" w:rsidRDefault="00965FD2" w:rsidP="0062097A">
            <w:pPr>
              <w:rPr>
                <w:rFonts w:cs="Arial"/>
                <w:color w:val="444444"/>
              </w:rPr>
            </w:pPr>
            <w:r w:rsidRPr="00957B6C">
              <w:rPr>
                <w:rFonts w:cs="Arial"/>
                <w:color w:val="444444"/>
              </w:rPr>
              <w:t>Rules of procedure of ITU-D</w:t>
            </w:r>
            <w:r w:rsidRPr="00957B6C">
              <w:rPr>
                <w:rFonts w:cs="Arial"/>
                <w:color w:val="444444"/>
              </w:rPr>
              <w:br/>
              <w:t>(WTDC Resolution 1)</w:t>
            </w:r>
          </w:p>
        </w:tc>
        <w:tc>
          <w:tcPr>
            <w:tcW w:w="2864" w:type="pct"/>
            <w:tcBorders>
              <w:top w:val="single" w:sz="4" w:space="0" w:color="4F81BD" w:themeColor="accent1"/>
              <w:left w:val="nil"/>
              <w:bottom w:val="single" w:sz="4" w:space="0" w:color="4F81BD" w:themeColor="accent1"/>
              <w:right w:val="nil"/>
            </w:tcBorders>
            <w:shd w:val="clear" w:color="auto" w:fill="FFFFFF"/>
          </w:tcPr>
          <w:p w:rsidR="00965FD2" w:rsidRPr="002F42F5" w:rsidRDefault="00965FD2" w:rsidP="008A5D13">
            <w:pPr>
              <w:rPr>
                <w:rFonts w:cs="Arial"/>
                <w:color w:val="444444"/>
                <w:lang w:val="fr-CH"/>
              </w:rPr>
            </w:pPr>
            <w:r w:rsidRPr="002F42F5">
              <w:rPr>
                <w:rFonts w:cs="Arial"/>
                <w:b/>
                <w:bCs/>
                <w:color w:val="444444"/>
                <w:lang w:val="fr-CH"/>
              </w:rPr>
              <w:t xml:space="preserve">Ms Regina Fleur </w:t>
            </w:r>
            <w:proofErr w:type="spellStart"/>
            <w:r w:rsidRPr="002F42F5">
              <w:rPr>
                <w:rFonts w:cs="Arial"/>
                <w:b/>
                <w:bCs/>
                <w:color w:val="444444"/>
                <w:lang w:val="fr-CH"/>
              </w:rPr>
              <w:t>Assoumou</w:t>
            </w:r>
            <w:proofErr w:type="spellEnd"/>
            <w:r w:rsidRPr="002F42F5">
              <w:rPr>
                <w:rFonts w:cs="Arial"/>
                <w:b/>
                <w:bCs/>
                <w:color w:val="444444"/>
                <w:lang w:val="fr-CH"/>
              </w:rPr>
              <w:t xml:space="preserve"> </w:t>
            </w:r>
            <w:proofErr w:type="spellStart"/>
            <w:r w:rsidRPr="002F42F5">
              <w:rPr>
                <w:rFonts w:cs="Arial"/>
                <w:b/>
                <w:bCs/>
                <w:color w:val="444444"/>
                <w:lang w:val="fr-CH"/>
              </w:rPr>
              <w:t>Bessou</w:t>
            </w:r>
            <w:proofErr w:type="spellEnd"/>
            <w:r w:rsidRPr="002F42F5">
              <w:rPr>
                <w:rFonts w:cs="Arial"/>
                <w:color w:val="444444"/>
                <w:lang w:val="fr-CH"/>
              </w:rPr>
              <w:t xml:space="preserve">, Chairman, </w:t>
            </w:r>
            <w:proofErr w:type="spellStart"/>
            <w:r w:rsidR="008A5D13">
              <w:rPr>
                <w:rFonts w:cs="Arial"/>
                <w:color w:val="444444"/>
                <w:lang w:val="fr-CH"/>
              </w:rPr>
              <w:t>Study</w:t>
            </w:r>
            <w:proofErr w:type="spellEnd"/>
            <w:r w:rsidR="008A5D13">
              <w:rPr>
                <w:rFonts w:cs="Arial"/>
                <w:color w:val="444444"/>
                <w:lang w:val="fr-CH"/>
              </w:rPr>
              <w:t xml:space="preserve"> Group 1</w:t>
            </w:r>
            <w:r w:rsidRPr="002F42F5">
              <w:rPr>
                <w:rFonts w:cs="Arial"/>
                <w:color w:val="444444"/>
                <w:lang w:val="fr-CH"/>
              </w:rPr>
              <w:t xml:space="preserve"> (Côte d'Ivoire)</w:t>
            </w:r>
          </w:p>
          <w:p w:rsidR="00965FD2" w:rsidRPr="00957B6C" w:rsidRDefault="00965FD2" w:rsidP="00583714">
            <w:pPr>
              <w:spacing w:before="0"/>
              <w:rPr>
                <w:rFonts w:cs="Arial"/>
                <w:color w:val="444444"/>
              </w:rPr>
            </w:pPr>
            <w:r w:rsidRPr="00957B6C">
              <w:rPr>
                <w:rFonts w:cs="Arial"/>
                <w:color w:val="444444"/>
              </w:rPr>
              <w:t xml:space="preserve">Mr Nguyen </w:t>
            </w:r>
            <w:proofErr w:type="spellStart"/>
            <w:r w:rsidRPr="00957B6C">
              <w:rPr>
                <w:rFonts w:cs="Arial"/>
                <w:color w:val="444444"/>
              </w:rPr>
              <w:t>Quy</w:t>
            </w:r>
            <w:proofErr w:type="spellEnd"/>
            <w:r w:rsidRPr="00957B6C">
              <w:rPr>
                <w:rFonts w:cs="Arial"/>
                <w:color w:val="444444"/>
              </w:rPr>
              <w:t xml:space="preserve"> </w:t>
            </w:r>
            <w:proofErr w:type="spellStart"/>
            <w:r w:rsidRPr="00957B6C">
              <w:rPr>
                <w:rFonts w:cs="Arial"/>
                <w:color w:val="444444"/>
              </w:rPr>
              <w:t>Quyen</w:t>
            </w:r>
            <w:proofErr w:type="spellEnd"/>
            <w:r w:rsidRPr="00957B6C">
              <w:rPr>
                <w:rFonts w:cs="Arial"/>
                <w:color w:val="444444"/>
              </w:rPr>
              <w:t xml:space="preserve"> (Viet Nam)</w:t>
            </w:r>
          </w:p>
        </w:tc>
      </w:tr>
      <w:tr w:rsidR="00965FD2" w:rsidRPr="00EA4144" w:rsidTr="00660D9E">
        <w:trPr>
          <w:trHeight w:val="448"/>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965FD2" w:rsidRPr="00957B6C" w:rsidRDefault="00965FD2" w:rsidP="00660D9E">
            <w:pPr>
              <w:rPr>
                <w:rFonts w:cs="Arial"/>
                <w:color w:val="444444"/>
              </w:rPr>
            </w:pPr>
            <w:r w:rsidRPr="00957B6C">
              <w:rPr>
                <w:rFonts w:cs="Arial"/>
                <w:color w:val="444444"/>
              </w:rPr>
              <w:t>3</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965FD2" w:rsidRPr="00957B6C" w:rsidRDefault="00965FD2" w:rsidP="0062097A">
            <w:pPr>
              <w:rPr>
                <w:rFonts w:cs="Arial"/>
                <w:color w:val="444444"/>
              </w:rPr>
            </w:pPr>
            <w:r w:rsidRPr="00957B6C">
              <w:rPr>
                <w:rFonts w:cs="Arial"/>
                <w:color w:val="444444"/>
              </w:rPr>
              <w:t>Collaboration with other Sectors</w:t>
            </w:r>
          </w:p>
        </w:tc>
        <w:tc>
          <w:tcPr>
            <w:tcW w:w="2864" w:type="pct"/>
            <w:tcBorders>
              <w:top w:val="single" w:sz="4" w:space="0" w:color="4F81BD" w:themeColor="accent1"/>
              <w:left w:val="nil"/>
              <w:bottom w:val="single" w:sz="4" w:space="0" w:color="4F81BD" w:themeColor="accent1"/>
              <w:right w:val="nil"/>
            </w:tcBorders>
            <w:shd w:val="clear" w:color="auto" w:fill="FFFFFF"/>
          </w:tcPr>
          <w:p w:rsidR="00965FD2" w:rsidRDefault="00965FD2" w:rsidP="00583714">
            <w:pPr>
              <w:spacing w:before="0"/>
              <w:rPr>
                <w:rFonts w:cs="Arial"/>
                <w:color w:val="444444"/>
              </w:rPr>
            </w:pPr>
            <w:r w:rsidRPr="004D22C2">
              <w:rPr>
                <w:rFonts w:cs="Arial"/>
                <w:b/>
                <w:bCs/>
                <w:color w:val="444444"/>
              </w:rPr>
              <w:t xml:space="preserve">Mr </w:t>
            </w:r>
            <w:proofErr w:type="spellStart"/>
            <w:r w:rsidRPr="004D22C2">
              <w:rPr>
                <w:rFonts w:cs="Arial"/>
                <w:b/>
                <w:bCs/>
                <w:color w:val="444444"/>
              </w:rPr>
              <w:t>Arseny</w:t>
            </w:r>
            <w:proofErr w:type="spellEnd"/>
            <w:r w:rsidRPr="004D22C2">
              <w:rPr>
                <w:rFonts w:cs="Arial"/>
                <w:b/>
                <w:bCs/>
                <w:color w:val="444444"/>
              </w:rPr>
              <w:t xml:space="preserve"> </w:t>
            </w:r>
            <w:proofErr w:type="spellStart"/>
            <w:r w:rsidRPr="004D22C2">
              <w:rPr>
                <w:rFonts w:cs="Arial"/>
                <w:b/>
                <w:bCs/>
                <w:color w:val="444444"/>
              </w:rPr>
              <w:t>Plossky</w:t>
            </w:r>
            <w:proofErr w:type="spellEnd"/>
            <w:r w:rsidRPr="00957B6C">
              <w:rPr>
                <w:rFonts w:cs="Arial"/>
                <w:color w:val="444444"/>
              </w:rPr>
              <w:t xml:space="preserve"> (Russian Federation)</w:t>
            </w:r>
          </w:p>
          <w:p w:rsidR="006A6B70" w:rsidRPr="004D22C2" w:rsidRDefault="004C547C" w:rsidP="00583714">
            <w:pPr>
              <w:spacing w:before="0"/>
              <w:rPr>
                <w:rFonts w:cs="Arial"/>
                <w:color w:val="444444"/>
                <w:lang w:val="es-ES"/>
              </w:rPr>
            </w:pPr>
            <w:proofErr w:type="spellStart"/>
            <w:r w:rsidRPr="002F42F5">
              <w:rPr>
                <w:rFonts w:cs="Arial"/>
                <w:color w:val="444444"/>
                <w:lang w:val="es-ES_tradnl"/>
              </w:rPr>
              <w:t>Mr</w:t>
            </w:r>
            <w:proofErr w:type="spellEnd"/>
            <w:r w:rsidRPr="002F42F5">
              <w:rPr>
                <w:rFonts w:cs="Arial"/>
                <w:color w:val="444444"/>
                <w:lang w:val="es-ES_tradnl"/>
              </w:rPr>
              <w:t xml:space="preserve"> Al-</w:t>
            </w:r>
            <w:proofErr w:type="spellStart"/>
            <w:r w:rsidRPr="002F42F5">
              <w:rPr>
                <w:rFonts w:cs="Arial"/>
                <w:color w:val="444444"/>
                <w:lang w:val="es-ES_tradnl"/>
              </w:rPr>
              <w:t>ansari</w:t>
            </w:r>
            <w:proofErr w:type="spellEnd"/>
            <w:r w:rsidRPr="002F42F5">
              <w:rPr>
                <w:rFonts w:cs="Arial"/>
                <w:color w:val="444444"/>
                <w:lang w:val="es-ES_tradnl"/>
              </w:rPr>
              <w:t xml:space="preserve"> </w:t>
            </w:r>
            <w:proofErr w:type="spellStart"/>
            <w:r w:rsidRPr="002F42F5">
              <w:rPr>
                <w:rFonts w:cs="Arial"/>
                <w:color w:val="444444"/>
                <w:lang w:val="es-ES_tradnl"/>
              </w:rPr>
              <w:t>Almashakbeh</w:t>
            </w:r>
            <w:proofErr w:type="spellEnd"/>
            <w:r w:rsidRPr="002F42F5">
              <w:rPr>
                <w:rFonts w:cs="Arial"/>
                <w:color w:val="444444"/>
                <w:lang w:val="es-ES_tradnl"/>
              </w:rPr>
              <w:t xml:space="preserve"> (</w:t>
            </w:r>
            <w:proofErr w:type="spellStart"/>
            <w:r w:rsidRPr="002F42F5">
              <w:rPr>
                <w:rFonts w:cs="Arial"/>
                <w:color w:val="444444"/>
                <w:lang w:val="es-ES_tradnl"/>
              </w:rPr>
              <w:t>Jordan</w:t>
            </w:r>
            <w:proofErr w:type="spellEnd"/>
            <w:r w:rsidRPr="002F42F5">
              <w:rPr>
                <w:rFonts w:cs="Arial"/>
                <w:color w:val="444444"/>
                <w:lang w:val="es-ES_tradnl"/>
              </w:rPr>
              <w:t>)</w:t>
            </w:r>
          </w:p>
        </w:tc>
      </w:tr>
      <w:tr w:rsidR="00965FD2" w:rsidRPr="00957B6C" w:rsidTr="00660D9E">
        <w:trPr>
          <w:trHeight w:val="286"/>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965FD2" w:rsidRPr="00957B6C" w:rsidRDefault="00965FD2" w:rsidP="00660D9E">
            <w:pPr>
              <w:rPr>
                <w:rFonts w:cs="Arial"/>
                <w:color w:val="444444"/>
              </w:rPr>
            </w:pPr>
            <w:r w:rsidRPr="00957B6C">
              <w:rPr>
                <w:rFonts w:cs="Arial"/>
                <w:color w:val="444444"/>
              </w:rPr>
              <w:t>4</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965FD2" w:rsidRPr="00957B6C" w:rsidRDefault="00965FD2" w:rsidP="0062097A">
            <w:pPr>
              <w:rPr>
                <w:rFonts w:cs="Arial"/>
                <w:color w:val="444444"/>
              </w:rPr>
            </w:pPr>
            <w:r w:rsidRPr="00957B6C">
              <w:rPr>
                <w:rFonts w:cs="Arial"/>
                <w:color w:val="444444"/>
              </w:rPr>
              <w:t>Capacity building and Academia</w:t>
            </w:r>
          </w:p>
        </w:tc>
        <w:tc>
          <w:tcPr>
            <w:tcW w:w="2864" w:type="pct"/>
            <w:tcBorders>
              <w:top w:val="single" w:sz="4" w:space="0" w:color="4F81BD" w:themeColor="accent1"/>
              <w:left w:val="nil"/>
              <w:bottom w:val="single" w:sz="4" w:space="0" w:color="4F81BD" w:themeColor="accent1"/>
              <w:right w:val="nil"/>
            </w:tcBorders>
            <w:shd w:val="clear" w:color="auto" w:fill="FFFFFF"/>
          </w:tcPr>
          <w:p w:rsidR="00965FD2" w:rsidRPr="00957B6C" w:rsidRDefault="00965FD2" w:rsidP="008A5D13">
            <w:pPr>
              <w:rPr>
                <w:rFonts w:cs="Arial"/>
                <w:b/>
                <w:bCs/>
                <w:color w:val="444444"/>
              </w:rPr>
            </w:pPr>
            <w:r w:rsidRPr="00957B6C">
              <w:rPr>
                <w:rFonts w:cs="Arial"/>
                <w:b/>
                <w:bCs/>
                <w:color w:val="444444"/>
              </w:rPr>
              <w:t xml:space="preserve">Mr Ahmad Reza </w:t>
            </w:r>
            <w:proofErr w:type="spellStart"/>
            <w:r w:rsidRPr="00957B6C">
              <w:rPr>
                <w:rFonts w:cs="Arial"/>
                <w:b/>
                <w:bCs/>
                <w:color w:val="444444"/>
              </w:rPr>
              <w:t>Sharafat</w:t>
            </w:r>
            <w:proofErr w:type="spellEnd"/>
            <w:r w:rsidRPr="00957B6C">
              <w:rPr>
                <w:rFonts w:cs="Arial"/>
                <w:color w:val="444444"/>
              </w:rPr>
              <w:t xml:space="preserve">, Chairman, </w:t>
            </w:r>
            <w:r w:rsidR="008A5D13">
              <w:rPr>
                <w:rFonts w:cs="Arial"/>
                <w:color w:val="444444"/>
              </w:rPr>
              <w:t>Study Group 2</w:t>
            </w:r>
            <w:r w:rsidRPr="00957B6C">
              <w:rPr>
                <w:rFonts w:cs="Arial"/>
                <w:color w:val="444444"/>
              </w:rPr>
              <w:t xml:space="preserve"> (Islamic Republic of Iran)</w:t>
            </w:r>
          </w:p>
          <w:p w:rsidR="00965FD2" w:rsidRPr="00957B6C" w:rsidRDefault="00965FD2" w:rsidP="00583714">
            <w:pPr>
              <w:spacing w:before="0"/>
              <w:rPr>
                <w:rFonts w:cs="Arial"/>
                <w:color w:val="444444"/>
                <w:bdr w:val="none" w:sz="0" w:space="0" w:color="auto" w:frame="1"/>
              </w:rPr>
            </w:pPr>
            <w:r w:rsidRPr="00957B6C">
              <w:rPr>
                <w:rFonts w:cs="Arial"/>
                <w:color w:val="444444"/>
                <w:bdr w:val="none" w:sz="0" w:space="0" w:color="auto" w:frame="1"/>
              </w:rPr>
              <w:t xml:space="preserve">Mr </w:t>
            </w:r>
            <w:proofErr w:type="spellStart"/>
            <w:r w:rsidRPr="00957B6C">
              <w:rPr>
                <w:rFonts w:cs="Arial"/>
                <w:color w:val="444444"/>
                <w:bdr w:val="none" w:sz="0" w:space="0" w:color="auto" w:frame="1"/>
              </w:rPr>
              <w:t>Abdulkarim</w:t>
            </w:r>
            <w:proofErr w:type="spellEnd"/>
            <w:r w:rsidRPr="00957B6C">
              <w:rPr>
                <w:rFonts w:cs="Arial"/>
                <w:color w:val="444444"/>
                <w:bdr w:val="none" w:sz="0" w:space="0" w:color="auto" w:frame="1"/>
              </w:rPr>
              <w:t xml:space="preserve"> </w:t>
            </w:r>
            <w:proofErr w:type="spellStart"/>
            <w:r w:rsidRPr="00957B6C">
              <w:rPr>
                <w:rFonts w:cs="Arial"/>
                <w:color w:val="444444"/>
                <w:bdr w:val="none" w:sz="0" w:space="0" w:color="auto" w:frame="1"/>
              </w:rPr>
              <w:t>Ayopo</w:t>
            </w:r>
            <w:proofErr w:type="spellEnd"/>
            <w:r w:rsidRPr="00957B6C">
              <w:rPr>
                <w:rFonts w:cs="Arial"/>
                <w:color w:val="444444"/>
                <w:bdr w:val="none" w:sz="0" w:space="0" w:color="auto" w:frame="1"/>
              </w:rPr>
              <w:t xml:space="preserve"> </w:t>
            </w:r>
            <w:proofErr w:type="spellStart"/>
            <w:r w:rsidRPr="00957B6C">
              <w:rPr>
                <w:rFonts w:cs="Arial"/>
                <w:color w:val="444444"/>
                <w:bdr w:val="none" w:sz="0" w:space="0" w:color="auto" w:frame="1"/>
              </w:rPr>
              <w:t>Oloyede</w:t>
            </w:r>
            <w:proofErr w:type="spellEnd"/>
            <w:r w:rsidRPr="00957B6C">
              <w:rPr>
                <w:rFonts w:cs="Arial"/>
                <w:color w:val="444444"/>
                <w:bdr w:val="none" w:sz="0" w:space="0" w:color="auto" w:frame="1"/>
              </w:rPr>
              <w:t xml:space="preserve"> (Nigeria)</w:t>
            </w:r>
          </w:p>
          <w:p w:rsidR="00965FD2" w:rsidRPr="002F42F5" w:rsidRDefault="00965FD2" w:rsidP="00583714">
            <w:pPr>
              <w:spacing w:before="0"/>
              <w:rPr>
                <w:rFonts w:cs="Arial"/>
                <w:color w:val="444444"/>
                <w:lang w:val="es-ES_tradnl"/>
              </w:rPr>
            </w:pPr>
            <w:r w:rsidRPr="002F42F5">
              <w:rPr>
                <w:rFonts w:cs="Arial"/>
                <w:color w:val="444444"/>
                <w:lang w:val="es-ES_tradnl"/>
              </w:rPr>
              <w:t>Mr Hugo Darío Miguel (Argentina)</w:t>
            </w:r>
          </w:p>
          <w:p w:rsidR="00965FD2" w:rsidRPr="00957B6C" w:rsidRDefault="00965FD2" w:rsidP="00583714">
            <w:pPr>
              <w:spacing w:before="0"/>
              <w:rPr>
                <w:rFonts w:cs="Arial"/>
                <w:color w:val="444444"/>
              </w:rPr>
            </w:pPr>
            <w:r w:rsidRPr="00957B6C">
              <w:rPr>
                <w:rFonts w:cs="Arial"/>
                <w:color w:val="444444"/>
              </w:rPr>
              <w:t xml:space="preserve">Mr Tariq H </w:t>
            </w:r>
            <w:proofErr w:type="spellStart"/>
            <w:r w:rsidRPr="00957B6C">
              <w:rPr>
                <w:rFonts w:cs="Arial"/>
                <w:color w:val="444444"/>
              </w:rPr>
              <w:t>Alamri</w:t>
            </w:r>
            <w:proofErr w:type="spellEnd"/>
            <w:r w:rsidRPr="00957B6C">
              <w:rPr>
                <w:rFonts w:cs="Arial"/>
                <w:color w:val="444444"/>
              </w:rPr>
              <w:t xml:space="preserve"> (Saudi Arabia)</w:t>
            </w:r>
          </w:p>
        </w:tc>
      </w:tr>
      <w:tr w:rsidR="00965FD2" w:rsidRPr="00EA4144" w:rsidTr="00660D9E">
        <w:trPr>
          <w:trHeight w:val="286"/>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965FD2" w:rsidRPr="00957B6C" w:rsidRDefault="00965FD2" w:rsidP="00660D9E">
            <w:pPr>
              <w:rPr>
                <w:rFonts w:cs="Arial"/>
                <w:color w:val="444444"/>
              </w:rPr>
            </w:pPr>
            <w:r w:rsidRPr="00957B6C">
              <w:rPr>
                <w:rFonts w:cs="Arial"/>
                <w:color w:val="444444"/>
              </w:rPr>
              <w:t>5</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965FD2" w:rsidRPr="00957B6C" w:rsidRDefault="00965FD2" w:rsidP="0062097A">
            <w:pPr>
              <w:rPr>
                <w:rFonts w:cs="Arial"/>
                <w:color w:val="444444"/>
              </w:rPr>
            </w:pPr>
            <w:r w:rsidRPr="00957B6C">
              <w:rPr>
                <w:rFonts w:cs="Arial"/>
                <w:color w:val="444444"/>
              </w:rPr>
              <w:t>Private sector</w:t>
            </w:r>
          </w:p>
        </w:tc>
        <w:tc>
          <w:tcPr>
            <w:tcW w:w="2864" w:type="pct"/>
            <w:tcBorders>
              <w:top w:val="single" w:sz="4" w:space="0" w:color="4F81BD" w:themeColor="accent1"/>
              <w:left w:val="nil"/>
              <w:bottom w:val="single" w:sz="4" w:space="0" w:color="4F81BD" w:themeColor="accent1"/>
              <w:right w:val="nil"/>
            </w:tcBorders>
            <w:shd w:val="clear" w:color="auto" w:fill="FFFFFF"/>
          </w:tcPr>
          <w:p w:rsidR="00965FD2" w:rsidRPr="00957B6C" w:rsidRDefault="00965FD2" w:rsidP="0062097A">
            <w:pPr>
              <w:rPr>
                <w:rFonts w:cs="Arial"/>
                <w:color w:val="444444"/>
              </w:rPr>
            </w:pPr>
            <w:r w:rsidRPr="00957B6C">
              <w:rPr>
                <w:rFonts w:cs="Arial"/>
                <w:b/>
                <w:bCs/>
                <w:color w:val="444444"/>
              </w:rPr>
              <w:t xml:space="preserve">Mr Kishore </w:t>
            </w:r>
            <w:proofErr w:type="spellStart"/>
            <w:r w:rsidRPr="00957B6C">
              <w:rPr>
                <w:rFonts w:cs="Arial"/>
                <w:b/>
                <w:bCs/>
                <w:color w:val="444444"/>
              </w:rPr>
              <w:t>Babu</w:t>
            </w:r>
            <w:proofErr w:type="spellEnd"/>
            <w:r w:rsidRPr="00957B6C">
              <w:rPr>
                <w:rFonts w:cs="Arial"/>
                <w:b/>
                <w:bCs/>
                <w:color w:val="444444"/>
              </w:rPr>
              <w:t xml:space="preserve"> GSC </w:t>
            </w:r>
            <w:proofErr w:type="spellStart"/>
            <w:r w:rsidRPr="00957B6C">
              <w:rPr>
                <w:rFonts w:cs="Arial"/>
                <w:b/>
                <w:bCs/>
                <w:color w:val="444444"/>
              </w:rPr>
              <w:t>Yerraballa</w:t>
            </w:r>
            <w:proofErr w:type="spellEnd"/>
            <w:r w:rsidRPr="00957B6C">
              <w:rPr>
                <w:rFonts w:cs="Arial"/>
                <w:color w:val="444444"/>
              </w:rPr>
              <w:t xml:space="preserve"> (India)</w:t>
            </w:r>
          </w:p>
          <w:p w:rsidR="00965FD2" w:rsidRPr="002F42F5" w:rsidRDefault="00965FD2">
            <w:pPr>
              <w:spacing w:before="0"/>
              <w:rPr>
                <w:rFonts w:cs="Arial"/>
                <w:color w:val="444444"/>
                <w:lang w:val="es-ES_tradnl"/>
              </w:rPr>
            </w:pPr>
            <w:proofErr w:type="spellStart"/>
            <w:r w:rsidRPr="002F42F5">
              <w:rPr>
                <w:rFonts w:cs="Arial"/>
                <w:color w:val="444444"/>
                <w:lang w:val="es-ES_tradnl"/>
              </w:rPr>
              <w:t>Mr</w:t>
            </w:r>
            <w:proofErr w:type="spellEnd"/>
            <w:r w:rsidRPr="002F42F5">
              <w:rPr>
                <w:rFonts w:cs="Arial"/>
                <w:color w:val="444444"/>
                <w:lang w:val="es-ES_tradnl"/>
              </w:rPr>
              <w:t xml:space="preserve"> Al-</w:t>
            </w:r>
            <w:proofErr w:type="spellStart"/>
            <w:r w:rsidR="00E51996">
              <w:rPr>
                <w:rFonts w:cs="Arial"/>
                <w:color w:val="444444"/>
                <w:lang w:val="es-ES_tradnl"/>
              </w:rPr>
              <w:t>a</w:t>
            </w:r>
            <w:r w:rsidRPr="002F42F5">
              <w:rPr>
                <w:rFonts w:cs="Arial"/>
                <w:color w:val="444444"/>
                <w:lang w:val="es-ES_tradnl"/>
              </w:rPr>
              <w:t>nsari</w:t>
            </w:r>
            <w:proofErr w:type="spellEnd"/>
            <w:r w:rsidRPr="002F42F5">
              <w:rPr>
                <w:rFonts w:cs="Arial"/>
                <w:color w:val="444444"/>
                <w:lang w:val="es-ES_tradnl"/>
              </w:rPr>
              <w:t xml:space="preserve"> </w:t>
            </w:r>
            <w:proofErr w:type="spellStart"/>
            <w:r w:rsidRPr="002F42F5">
              <w:rPr>
                <w:rFonts w:cs="Arial"/>
                <w:color w:val="444444"/>
                <w:lang w:val="es-ES_tradnl"/>
              </w:rPr>
              <w:t>Almashakbeh</w:t>
            </w:r>
            <w:proofErr w:type="spellEnd"/>
            <w:r w:rsidRPr="002F42F5">
              <w:rPr>
                <w:rFonts w:cs="Arial"/>
                <w:color w:val="444444"/>
                <w:lang w:val="es-ES_tradnl"/>
              </w:rPr>
              <w:t xml:space="preserve"> (</w:t>
            </w:r>
            <w:proofErr w:type="spellStart"/>
            <w:r w:rsidRPr="002F42F5">
              <w:rPr>
                <w:rFonts w:cs="Arial"/>
                <w:color w:val="444444"/>
                <w:lang w:val="es-ES_tradnl"/>
              </w:rPr>
              <w:t>Jordan</w:t>
            </w:r>
            <w:proofErr w:type="spellEnd"/>
            <w:r w:rsidRPr="002F42F5">
              <w:rPr>
                <w:rFonts w:cs="Arial"/>
                <w:color w:val="444444"/>
                <w:lang w:val="es-ES_tradnl"/>
              </w:rPr>
              <w:t>)</w:t>
            </w:r>
          </w:p>
        </w:tc>
      </w:tr>
      <w:tr w:rsidR="00965FD2" w:rsidRPr="00957B6C" w:rsidTr="00660D9E">
        <w:trPr>
          <w:trHeight w:val="551"/>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965FD2" w:rsidRPr="00957B6C" w:rsidRDefault="00965FD2" w:rsidP="00660D9E">
            <w:pPr>
              <w:rPr>
                <w:rFonts w:cs="Arial"/>
                <w:color w:val="444444"/>
              </w:rPr>
            </w:pPr>
            <w:r w:rsidRPr="00957B6C">
              <w:rPr>
                <w:rFonts w:cs="Arial"/>
                <w:color w:val="444444"/>
              </w:rPr>
              <w:t>6</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965FD2" w:rsidRPr="00957B6C" w:rsidRDefault="00965FD2" w:rsidP="00121A98">
            <w:pPr>
              <w:rPr>
                <w:rFonts w:cs="Arial"/>
                <w:color w:val="444444"/>
              </w:rPr>
            </w:pPr>
            <w:r w:rsidRPr="00957B6C">
              <w:rPr>
                <w:rFonts w:cs="Arial"/>
                <w:color w:val="444444"/>
              </w:rPr>
              <w:t>TDAG mandate (WTDC Resolution 24)</w:t>
            </w:r>
          </w:p>
        </w:tc>
        <w:tc>
          <w:tcPr>
            <w:tcW w:w="2864" w:type="pct"/>
            <w:tcBorders>
              <w:top w:val="single" w:sz="4" w:space="0" w:color="4F81BD" w:themeColor="accent1"/>
              <w:left w:val="nil"/>
              <w:bottom w:val="single" w:sz="4" w:space="0" w:color="4F81BD" w:themeColor="accent1"/>
              <w:right w:val="nil"/>
            </w:tcBorders>
            <w:shd w:val="clear" w:color="auto" w:fill="FFFFFF"/>
          </w:tcPr>
          <w:p w:rsidR="00965FD2" w:rsidRPr="00957B6C" w:rsidRDefault="00965FD2" w:rsidP="0062097A">
            <w:pPr>
              <w:rPr>
                <w:rFonts w:cs="Arial"/>
                <w:color w:val="444444"/>
              </w:rPr>
            </w:pPr>
            <w:r w:rsidRPr="004D22C2">
              <w:rPr>
                <w:rFonts w:cs="Arial"/>
                <w:b/>
                <w:bCs/>
                <w:color w:val="444444"/>
              </w:rPr>
              <w:t>Ms Roxanne McElvane Webber</w:t>
            </w:r>
            <w:r w:rsidRPr="00957B6C">
              <w:rPr>
                <w:rFonts w:cs="Arial"/>
                <w:color w:val="444444"/>
              </w:rPr>
              <w:t xml:space="preserve"> (United States of America)</w:t>
            </w:r>
          </w:p>
        </w:tc>
      </w:tr>
    </w:tbl>
    <w:p w:rsidR="00965FD2" w:rsidRDefault="00965FD2" w:rsidP="001779D8">
      <w:pPr>
        <w:spacing w:before="0"/>
        <w:jc w:val="center"/>
        <w:rPr>
          <w:rStyle w:val="StyleComplex12pt"/>
          <w:rFonts w:cstheme="minorBidi"/>
        </w:rPr>
      </w:pPr>
    </w:p>
    <w:p w:rsidR="002807C2" w:rsidRDefault="002807C2">
      <w:pPr>
        <w:tabs>
          <w:tab w:val="clear" w:pos="1134"/>
          <w:tab w:val="clear" w:pos="1871"/>
          <w:tab w:val="clear" w:pos="2268"/>
        </w:tabs>
        <w:overflowPunct/>
        <w:autoSpaceDE/>
        <w:autoSpaceDN/>
        <w:adjustRightInd/>
        <w:spacing w:before="0"/>
        <w:textAlignment w:val="auto"/>
        <w:rPr>
          <w:rStyle w:val="StyleComplex12pt"/>
          <w:rFonts w:cstheme="minorBidi"/>
        </w:rPr>
      </w:pPr>
      <w:r>
        <w:rPr>
          <w:rStyle w:val="StyleComplex12pt"/>
          <w:rFonts w:cstheme="minorBidi"/>
        </w:rPr>
        <w:br w:type="page"/>
      </w:r>
    </w:p>
    <w:p w:rsidR="002807C2" w:rsidRPr="005724E7" w:rsidRDefault="002807C2" w:rsidP="002807C2">
      <w:pPr>
        <w:spacing w:before="0"/>
        <w:jc w:val="center"/>
        <w:rPr>
          <w:rStyle w:val="StyleComplex12pt"/>
          <w:rFonts w:cstheme="minorBidi"/>
          <w:b/>
          <w:bCs/>
          <w:color w:val="000000" w:themeColor="text1"/>
          <w:sz w:val="28"/>
          <w:szCs w:val="28"/>
        </w:rPr>
      </w:pPr>
      <w:r w:rsidRPr="005724E7">
        <w:rPr>
          <w:rStyle w:val="StyleComplex12pt"/>
          <w:rFonts w:cstheme="minorBidi"/>
          <w:b/>
          <w:bCs/>
          <w:color w:val="000000" w:themeColor="text1"/>
          <w:sz w:val="28"/>
          <w:szCs w:val="28"/>
        </w:rPr>
        <w:lastRenderedPageBreak/>
        <w:t>ANNEX 2</w:t>
      </w:r>
    </w:p>
    <w:p w:rsidR="00247548" w:rsidRPr="005724E7" w:rsidRDefault="002807C2" w:rsidP="00074BAA">
      <w:pPr>
        <w:keepNext/>
        <w:spacing w:before="240" w:after="240"/>
        <w:jc w:val="center"/>
        <w:rPr>
          <w:b/>
          <w:bCs/>
          <w:sz w:val="28"/>
          <w:szCs w:val="22"/>
        </w:rPr>
      </w:pPr>
      <w:r w:rsidRPr="005724E7">
        <w:rPr>
          <w:b/>
          <w:bCs/>
          <w:sz w:val="28"/>
          <w:szCs w:val="22"/>
        </w:rPr>
        <w:t>Summaries of TDAG-19 breakout sessions</w:t>
      </w:r>
    </w:p>
    <w:p w:rsidR="00074BAA" w:rsidRPr="00074BAA" w:rsidRDefault="00074BAA" w:rsidP="00074BAA">
      <w:pPr>
        <w:keepNext/>
        <w:spacing w:before="240" w:after="240"/>
        <w:jc w:val="center"/>
        <w:rPr>
          <w:b/>
          <w:bCs/>
        </w:rPr>
      </w:pPr>
      <w:bookmarkStart w:id="20" w:name="_Hlk8758916"/>
    </w:p>
    <w:p w:rsidR="00247548" w:rsidRPr="00EA4144" w:rsidRDefault="00247548" w:rsidP="004D22C2">
      <w:pPr>
        <w:pStyle w:val="ListParagraph"/>
        <w:numPr>
          <w:ilvl w:val="0"/>
          <w:numId w:val="23"/>
        </w:numPr>
        <w:spacing w:after="120"/>
        <w:ind w:left="357" w:hanging="357"/>
        <w:rPr>
          <w:rFonts w:cstheme="minorHAnsi"/>
          <w:b/>
          <w:bCs/>
        </w:rPr>
      </w:pPr>
      <w:r w:rsidRPr="00EA4144">
        <w:rPr>
          <w:rFonts w:cstheme="minorHAnsi"/>
          <w:b/>
          <w:bCs/>
        </w:rPr>
        <w:t>Process</w:t>
      </w:r>
      <w:r w:rsidR="003E6A33" w:rsidRPr="00EA4144">
        <w:rPr>
          <w:rFonts w:cstheme="minorHAnsi"/>
          <w:b/>
          <w:bCs/>
        </w:rPr>
        <w:t xml:space="preserve"> and governance t</w:t>
      </w:r>
      <w:r w:rsidRPr="00EA4144">
        <w:rPr>
          <w:rFonts w:cstheme="minorHAnsi"/>
          <w:b/>
          <w:bCs/>
        </w:rPr>
        <w:t>opics</w:t>
      </w:r>
    </w:p>
    <w:p w:rsidR="00247548" w:rsidRPr="006510BD" w:rsidRDefault="00C27497" w:rsidP="004D22C2">
      <w:pPr>
        <w:keepNext/>
        <w:spacing w:after="120"/>
        <w:ind w:left="425" w:hanging="425"/>
        <w:rPr>
          <w:rFonts w:cstheme="minorHAnsi"/>
          <w:b/>
          <w:bCs/>
        </w:rPr>
      </w:pPr>
      <w:r>
        <w:rPr>
          <w:rFonts w:cstheme="minorHAnsi"/>
          <w:b/>
          <w:bCs/>
        </w:rPr>
        <w:t>1.1</w:t>
      </w:r>
      <w:r>
        <w:rPr>
          <w:rFonts w:cstheme="minorHAnsi"/>
          <w:b/>
          <w:bCs/>
        </w:rPr>
        <w:tab/>
      </w:r>
      <w:r w:rsidR="00247548" w:rsidRPr="006510BD">
        <w:rPr>
          <w:rFonts w:cstheme="minorHAnsi"/>
          <w:b/>
          <w:bCs/>
        </w:rPr>
        <w:t>Partnership building and resource mobilization for projects</w:t>
      </w:r>
    </w:p>
    <w:p w:rsidR="00247548" w:rsidRPr="006510BD" w:rsidRDefault="00247548" w:rsidP="00247548">
      <w:pPr>
        <w:keepNext/>
        <w:spacing w:after="120"/>
        <w:rPr>
          <w:rFonts w:cstheme="minorHAnsi"/>
          <w:b/>
          <w:bCs/>
        </w:rPr>
      </w:pPr>
      <w:r w:rsidRPr="006510BD">
        <w:rPr>
          <w:rFonts w:cstheme="minorHAnsi"/>
          <w:b/>
          <w:bCs/>
        </w:rPr>
        <w:t>Key takeaways:</w:t>
      </w:r>
    </w:p>
    <w:p w:rsidR="00247548" w:rsidRPr="006510BD" w:rsidRDefault="00247548" w:rsidP="00247548">
      <w:pPr>
        <w:pStyle w:val="ListParagraph"/>
        <w:numPr>
          <w:ilvl w:val="0"/>
          <w:numId w:val="10"/>
        </w:numPr>
        <w:tabs>
          <w:tab w:val="clear" w:pos="1134"/>
          <w:tab w:val="clear" w:pos="1871"/>
          <w:tab w:val="clear" w:pos="2268"/>
        </w:tabs>
        <w:overflowPunct/>
        <w:autoSpaceDE/>
        <w:autoSpaceDN/>
        <w:adjustRightInd/>
        <w:spacing w:after="120"/>
        <w:ind w:left="426" w:hanging="426"/>
        <w:textAlignment w:val="auto"/>
        <w:rPr>
          <w:rFonts w:cstheme="minorHAnsi"/>
        </w:rPr>
      </w:pPr>
      <w:r w:rsidRPr="006510BD">
        <w:rPr>
          <w:rFonts w:cstheme="minorHAnsi"/>
        </w:rPr>
        <w:t>The Telecommunication Bureau (BDT)</w:t>
      </w:r>
      <w:r>
        <w:rPr>
          <w:rFonts w:cstheme="minorHAnsi"/>
        </w:rPr>
        <w:t xml:space="preserve"> is</w:t>
      </w:r>
      <w:r w:rsidRPr="006510BD">
        <w:rPr>
          <w:rFonts w:cstheme="minorHAnsi"/>
        </w:rPr>
        <w:t xml:space="preserve"> to focus on a multi-stakeholder platform approach taking into consideration the interests and complementary capabilities of all parties, not</w:t>
      </w:r>
      <w:r w:rsidR="00184D22">
        <w:rPr>
          <w:rFonts w:cstheme="minorHAnsi"/>
        </w:rPr>
        <w:t xml:space="preserve"> only the beneficiary countries.</w:t>
      </w:r>
    </w:p>
    <w:p w:rsidR="00247548" w:rsidRPr="006510BD" w:rsidRDefault="00247548" w:rsidP="00247548">
      <w:pPr>
        <w:pStyle w:val="ListParagraph"/>
        <w:numPr>
          <w:ilvl w:val="0"/>
          <w:numId w:val="10"/>
        </w:numPr>
        <w:tabs>
          <w:tab w:val="clear" w:pos="1134"/>
          <w:tab w:val="clear" w:pos="1871"/>
          <w:tab w:val="clear" w:pos="2268"/>
        </w:tabs>
        <w:overflowPunct/>
        <w:autoSpaceDE/>
        <w:autoSpaceDN/>
        <w:adjustRightInd/>
        <w:spacing w:after="120"/>
        <w:ind w:left="426" w:hanging="426"/>
        <w:textAlignment w:val="auto"/>
        <w:rPr>
          <w:rFonts w:cstheme="minorHAnsi"/>
        </w:rPr>
      </w:pPr>
      <w:r w:rsidRPr="006510BD">
        <w:rPr>
          <w:rFonts w:cstheme="minorHAnsi"/>
        </w:rPr>
        <w:t xml:space="preserve">BDT </w:t>
      </w:r>
      <w:r>
        <w:rPr>
          <w:rFonts w:cstheme="minorHAnsi"/>
        </w:rPr>
        <w:t xml:space="preserve">is </w:t>
      </w:r>
      <w:r w:rsidRPr="006510BD">
        <w:rPr>
          <w:rFonts w:cstheme="minorHAnsi"/>
        </w:rPr>
        <w:t xml:space="preserve">to consider a flexible and modular approach towards project design (governance structure, type of agreements and time-frame) and implementation (global and regional partnerships/projects open to embracing </w:t>
      </w:r>
      <w:r w:rsidR="00184D22">
        <w:rPr>
          <w:rFonts w:cstheme="minorHAnsi"/>
        </w:rPr>
        <w:t>new partners at various stages).</w:t>
      </w:r>
    </w:p>
    <w:p w:rsidR="00247548" w:rsidRPr="006510BD" w:rsidRDefault="00247548" w:rsidP="00247548">
      <w:pPr>
        <w:pStyle w:val="ListParagraph"/>
        <w:numPr>
          <w:ilvl w:val="0"/>
          <w:numId w:val="10"/>
        </w:numPr>
        <w:tabs>
          <w:tab w:val="clear" w:pos="1134"/>
          <w:tab w:val="clear" w:pos="1871"/>
          <w:tab w:val="clear" w:pos="2268"/>
        </w:tabs>
        <w:overflowPunct/>
        <w:autoSpaceDE/>
        <w:autoSpaceDN/>
        <w:adjustRightInd/>
        <w:spacing w:after="120"/>
        <w:ind w:left="426" w:hanging="426"/>
        <w:textAlignment w:val="auto"/>
        <w:rPr>
          <w:rFonts w:cstheme="minorHAnsi"/>
        </w:rPr>
      </w:pPr>
      <w:r w:rsidRPr="006510BD">
        <w:rPr>
          <w:rFonts w:cstheme="minorHAnsi"/>
        </w:rPr>
        <w:t xml:space="preserve">BDT and its membership </w:t>
      </w:r>
      <w:r>
        <w:rPr>
          <w:rFonts w:cstheme="minorHAnsi"/>
        </w:rPr>
        <w:t xml:space="preserve">are </w:t>
      </w:r>
      <w:r w:rsidRPr="006510BD">
        <w:rPr>
          <w:rFonts w:cstheme="minorHAnsi"/>
        </w:rPr>
        <w:t xml:space="preserve">to enhance awareness-raising of ITU’s work, including partnership opportunities, exploring more strategic alliances with development banks and other UN </w:t>
      </w:r>
      <w:r>
        <w:rPr>
          <w:rFonts w:cstheme="minorHAnsi"/>
        </w:rPr>
        <w:t>a</w:t>
      </w:r>
      <w:r w:rsidR="00184D22">
        <w:rPr>
          <w:rFonts w:cstheme="minorHAnsi"/>
        </w:rPr>
        <w:t>gencies.</w:t>
      </w:r>
    </w:p>
    <w:p w:rsidR="00247548" w:rsidRPr="006510BD" w:rsidRDefault="00247548" w:rsidP="008A5D13">
      <w:pPr>
        <w:pStyle w:val="ListParagraph"/>
        <w:numPr>
          <w:ilvl w:val="0"/>
          <w:numId w:val="10"/>
        </w:numPr>
        <w:tabs>
          <w:tab w:val="clear" w:pos="1134"/>
          <w:tab w:val="clear" w:pos="1871"/>
          <w:tab w:val="clear" w:pos="2268"/>
        </w:tabs>
        <w:overflowPunct/>
        <w:autoSpaceDE/>
        <w:autoSpaceDN/>
        <w:adjustRightInd/>
        <w:spacing w:after="120"/>
        <w:ind w:left="426" w:hanging="426"/>
        <w:textAlignment w:val="auto"/>
        <w:rPr>
          <w:rFonts w:cstheme="minorHAnsi"/>
        </w:rPr>
      </w:pPr>
      <w:r w:rsidRPr="006510BD">
        <w:rPr>
          <w:rFonts w:cstheme="minorHAnsi"/>
        </w:rPr>
        <w:t xml:space="preserve">Recall ITU-D membership’s key role in promoting the work of ITU-D and supporting resource mobilization efforts for </w:t>
      </w:r>
      <w:r w:rsidR="008A5D13">
        <w:rPr>
          <w:rFonts w:cstheme="minorHAnsi"/>
        </w:rPr>
        <w:t>r</w:t>
      </w:r>
      <w:r w:rsidRPr="006510BD">
        <w:rPr>
          <w:rFonts w:cstheme="minorHAnsi"/>
        </w:rPr>
        <w:t xml:space="preserve">egional </w:t>
      </w:r>
      <w:r w:rsidR="008A5D13">
        <w:rPr>
          <w:rFonts w:cstheme="minorHAnsi"/>
        </w:rPr>
        <w:t>i</w:t>
      </w:r>
      <w:r w:rsidRPr="006510BD">
        <w:rPr>
          <w:rFonts w:cstheme="minorHAnsi"/>
        </w:rPr>
        <w:t xml:space="preserve">nitiatives and </w:t>
      </w:r>
      <w:r w:rsidR="008A5D13">
        <w:rPr>
          <w:rFonts w:cstheme="minorHAnsi"/>
        </w:rPr>
        <w:t>p</w:t>
      </w:r>
      <w:r w:rsidRPr="006510BD">
        <w:rPr>
          <w:rFonts w:cstheme="minorHAnsi"/>
        </w:rPr>
        <w:t xml:space="preserve">rojects. </w:t>
      </w:r>
    </w:p>
    <w:p w:rsidR="00247548" w:rsidRPr="006510BD" w:rsidRDefault="00247548" w:rsidP="00247548">
      <w:pPr>
        <w:keepNext/>
        <w:spacing w:after="120"/>
        <w:rPr>
          <w:rFonts w:cstheme="minorHAnsi"/>
          <w:b/>
          <w:bCs/>
        </w:rPr>
      </w:pPr>
      <w:r w:rsidRPr="006510BD">
        <w:rPr>
          <w:rFonts w:cstheme="minorHAnsi"/>
          <w:b/>
          <w:bCs/>
        </w:rPr>
        <w:t>Discussion summary:</w:t>
      </w:r>
    </w:p>
    <w:p w:rsidR="00247548" w:rsidRPr="006510BD" w:rsidRDefault="00247548" w:rsidP="008A5D13">
      <w:pPr>
        <w:spacing w:after="120"/>
        <w:rPr>
          <w:rFonts w:cstheme="minorHAnsi"/>
        </w:rPr>
      </w:pPr>
      <w:r w:rsidRPr="006510BD">
        <w:rPr>
          <w:rFonts w:cstheme="minorHAnsi"/>
        </w:rPr>
        <w:t xml:space="preserve">The ITU </w:t>
      </w:r>
      <w:r w:rsidRPr="003F7B17">
        <w:rPr>
          <w:rFonts w:cstheme="minorHAnsi"/>
        </w:rPr>
        <w:t xml:space="preserve">Telecommunication Development Advisory Group </w:t>
      </w:r>
      <w:r>
        <w:rPr>
          <w:rFonts w:cstheme="minorHAnsi"/>
        </w:rPr>
        <w:t>(</w:t>
      </w:r>
      <w:r w:rsidRPr="006510BD">
        <w:rPr>
          <w:rFonts w:cstheme="minorHAnsi"/>
        </w:rPr>
        <w:t>TDAG</w:t>
      </w:r>
      <w:r>
        <w:rPr>
          <w:rFonts w:cstheme="minorHAnsi"/>
        </w:rPr>
        <w:t>)</w:t>
      </w:r>
      <w:r w:rsidRPr="006510BD">
        <w:rPr>
          <w:rFonts w:cstheme="minorHAnsi"/>
        </w:rPr>
        <w:t xml:space="preserve"> breakout session on partnership building and resource mobilization for projects was carried out with the objective of strengthening strategic partnerships (including resource mobilization) with a variety of stakeholders. Discussions focused on the need to adopt a multi-stakeholder platform approach for which projects can be modulated to accommodate interests from beneficiaries, donors and other partners. In particular, participants agreed on the need to better understand private</w:t>
      </w:r>
      <w:r w:rsidR="008A5D13">
        <w:rPr>
          <w:rFonts w:cstheme="minorHAnsi"/>
        </w:rPr>
        <w:t>-</w:t>
      </w:r>
      <w:r w:rsidRPr="006510BD">
        <w:rPr>
          <w:rFonts w:cstheme="minorHAnsi"/>
        </w:rPr>
        <w:t xml:space="preserve">sector motivations and seek closer alignment with those of beneficiary countries. </w:t>
      </w:r>
    </w:p>
    <w:p w:rsidR="00247548" w:rsidRPr="006510BD" w:rsidRDefault="00247548" w:rsidP="00247548">
      <w:pPr>
        <w:spacing w:after="120"/>
        <w:rPr>
          <w:rFonts w:cstheme="minorHAnsi"/>
        </w:rPr>
      </w:pPr>
      <w:r w:rsidRPr="006510BD">
        <w:rPr>
          <w:rFonts w:cstheme="minorHAnsi"/>
        </w:rPr>
        <w:t xml:space="preserve">A more flexible and modular approach towards project design and implementation was recommended. For all partners to benefit from the project and to ensure inclusiveness, their interests and capabilities should be matched within the structure of </w:t>
      </w:r>
      <w:r>
        <w:rPr>
          <w:rFonts w:cstheme="minorHAnsi"/>
        </w:rPr>
        <w:t xml:space="preserve">the </w:t>
      </w:r>
      <w:r w:rsidRPr="006510BD">
        <w:rPr>
          <w:rFonts w:cstheme="minorHAnsi"/>
        </w:rPr>
        <w:t>project.</w:t>
      </w:r>
      <w:r>
        <w:rPr>
          <w:rFonts w:cstheme="minorHAnsi"/>
        </w:rPr>
        <w:t xml:space="preserve"> </w:t>
      </w:r>
      <w:r w:rsidRPr="006510BD">
        <w:rPr>
          <w:rFonts w:cstheme="minorHAnsi"/>
        </w:rPr>
        <w:t>Flexibility is required</w:t>
      </w:r>
      <w:r>
        <w:rPr>
          <w:rFonts w:cstheme="minorHAnsi"/>
        </w:rPr>
        <w:t xml:space="preserve"> </w:t>
      </w:r>
      <w:r w:rsidRPr="006510BD">
        <w:rPr>
          <w:rFonts w:cstheme="minorHAnsi"/>
        </w:rPr>
        <w:t>regarding the types of agreements and partnership</w:t>
      </w:r>
      <w:r>
        <w:rPr>
          <w:rFonts w:cstheme="minorHAnsi"/>
        </w:rPr>
        <w:t>s</w:t>
      </w:r>
      <w:r w:rsidRPr="006510BD">
        <w:rPr>
          <w:rFonts w:cstheme="minorHAnsi"/>
        </w:rPr>
        <w:t xml:space="preserve"> to enable partners to get involved</w:t>
      </w:r>
      <w:r>
        <w:rPr>
          <w:rFonts w:cstheme="minorHAnsi"/>
        </w:rPr>
        <w:t xml:space="preserve"> </w:t>
      </w:r>
      <w:r w:rsidRPr="006510BD">
        <w:rPr>
          <w:rFonts w:cstheme="minorHAnsi"/>
        </w:rPr>
        <w:t xml:space="preserve">at different stages. </w:t>
      </w:r>
    </w:p>
    <w:p w:rsidR="00247548" w:rsidRPr="006510BD" w:rsidRDefault="00247548" w:rsidP="00247548">
      <w:pPr>
        <w:spacing w:after="120"/>
        <w:rPr>
          <w:rFonts w:cstheme="minorHAnsi"/>
        </w:rPr>
      </w:pPr>
      <w:r w:rsidRPr="006510BD">
        <w:rPr>
          <w:rFonts w:cstheme="minorHAnsi"/>
        </w:rPr>
        <w:t>Platforms for sharing information and opportunities were mentioned, while</w:t>
      </w:r>
      <w:r>
        <w:rPr>
          <w:rFonts w:cstheme="minorHAnsi"/>
        </w:rPr>
        <w:t xml:space="preserve"> </w:t>
      </w:r>
      <w:r w:rsidRPr="006510BD">
        <w:rPr>
          <w:rFonts w:cstheme="minorHAnsi"/>
        </w:rPr>
        <w:t>recognizing that the current fundraising scenario is very competitive. Participants agreed on the need for further efforts to raise awareness of ITU’s work and project portfolio. It was recommended that ITU continue to explore large-scale projects with strategic partners such as development banks and other UN agencies to (</w:t>
      </w:r>
      <w:proofErr w:type="spellStart"/>
      <w:r w:rsidRPr="006510BD">
        <w:rPr>
          <w:rFonts w:cstheme="minorHAnsi"/>
        </w:rPr>
        <w:t>i</w:t>
      </w:r>
      <w:proofErr w:type="spellEnd"/>
      <w:r w:rsidRPr="006510BD">
        <w:rPr>
          <w:rFonts w:cstheme="minorHAnsi"/>
        </w:rPr>
        <w:t xml:space="preserve">) raise ITU’s visibility, (ii) avoid duplications and (iii) open to new sources of funds and partners. </w:t>
      </w:r>
    </w:p>
    <w:p w:rsidR="00247548" w:rsidRPr="006510BD" w:rsidRDefault="00247548" w:rsidP="008A5D13">
      <w:pPr>
        <w:spacing w:after="120"/>
        <w:rPr>
          <w:rFonts w:cstheme="minorHAnsi"/>
        </w:rPr>
      </w:pPr>
      <w:r w:rsidRPr="006510BD">
        <w:rPr>
          <w:rFonts w:cstheme="minorHAnsi"/>
        </w:rPr>
        <w:t xml:space="preserve">National experiences with </w:t>
      </w:r>
      <w:r w:rsidR="008A5D13">
        <w:rPr>
          <w:rFonts w:cstheme="minorHAnsi"/>
        </w:rPr>
        <w:t>p</w:t>
      </w:r>
      <w:r w:rsidRPr="006510BD">
        <w:rPr>
          <w:rFonts w:cstheme="minorHAnsi"/>
        </w:rPr>
        <w:t>ublic</w:t>
      </w:r>
      <w:r w:rsidR="008A5D13">
        <w:rPr>
          <w:rFonts w:cstheme="minorHAnsi"/>
        </w:rPr>
        <w:t>-p</w:t>
      </w:r>
      <w:r w:rsidRPr="006510BD">
        <w:rPr>
          <w:rFonts w:cstheme="minorHAnsi"/>
        </w:rPr>
        <w:t xml:space="preserve">rivate </w:t>
      </w:r>
      <w:r w:rsidR="008A5D13">
        <w:rPr>
          <w:rFonts w:cstheme="minorHAnsi"/>
        </w:rPr>
        <w:t>p</w:t>
      </w:r>
      <w:r w:rsidRPr="006510BD">
        <w:rPr>
          <w:rFonts w:cstheme="minorHAnsi"/>
        </w:rPr>
        <w:t>artnerships (PPP</w:t>
      </w:r>
      <w:r w:rsidR="008A5D13">
        <w:rPr>
          <w:rFonts w:cstheme="minorHAnsi"/>
        </w:rPr>
        <w:t>s</w:t>
      </w:r>
      <w:r w:rsidRPr="006510BD">
        <w:rPr>
          <w:rFonts w:cstheme="minorHAnsi"/>
        </w:rPr>
        <w:t>) w</w:t>
      </w:r>
      <w:r>
        <w:rPr>
          <w:rFonts w:cstheme="minorHAnsi"/>
        </w:rPr>
        <w:t>ere</w:t>
      </w:r>
      <w:r w:rsidRPr="006510BD">
        <w:rPr>
          <w:rFonts w:cstheme="minorHAnsi"/>
        </w:rPr>
        <w:t xml:space="preserve"> also shared, highlighting the importance of having appropriate national legislation and systems in place for the smooth functioning of PPPs. A forth “P” was noted, related to placing “people” (civil society) at the centre to th</w:t>
      </w:r>
      <w:r>
        <w:rPr>
          <w:rFonts w:cstheme="minorHAnsi"/>
        </w:rPr>
        <w:t>ereby</w:t>
      </w:r>
      <w:r w:rsidRPr="006510BD">
        <w:rPr>
          <w:rFonts w:cstheme="minorHAnsi"/>
        </w:rPr>
        <w:t xml:space="preserve"> ensure a more inclusive approach. </w:t>
      </w:r>
      <w:r>
        <w:rPr>
          <w:rFonts w:cstheme="minorHAnsi"/>
        </w:rPr>
        <w:t>T</w:t>
      </w:r>
      <w:r w:rsidRPr="006510BD">
        <w:rPr>
          <w:rFonts w:cstheme="minorHAnsi"/>
        </w:rPr>
        <w:t>he concept of an “anchor partner” was shared, i.e. the key player(s) with high stakes in a project and therefore an interest in securing its success.</w:t>
      </w:r>
    </w:p>
    <w:p w:rsidR="00247548" w:rsidRPr="006510BD" w:rsidRDefault="00247548" w:rsidP="00247548">
      <w:pPr>
        <w:spacing w:after="120"/>
        <w:rPr>
          <w:rFonts w:cstheme="minorHAnsi"/>
        </w:rPr>
      </w:pPr>
      <w:r w:rsidRPr="006510BD">
        <w:rPr>
          <w:rFonts w:cstheme="minorHAnsi"/>
        </w:rPr>
        <w:lastRenderedPageBreak/>
        <w:t>Lastly, participants recognized the competitiveness of fundraising. While ITU is a catalyst, as it already brings multi</w:t>
      </w:r>
      <w:r w:rsidR="00170C8C">
        <w:rPr>
          <w:rFonts w:cstheme="minorHAnsi"/>
        </w:rPr>
        <w:t xml:space="preserve"> </w:t>
      </w:r>
      <w:r w:rsidRPr="006510BD">
        <w:rPr>
          <w:rFonts w:cstheme="minorHAnsi"/>
        </w:rPr>
        <w:t>stakeholders together, it requires support from its membership in its effort to mobilize resources.</w:t>
      </w:r>
      <w:r>
        <w:rPr>
          <w:rFonts w:cstheme="minorHAnsi"/>
        </w:rPr>
        <w:t xml:space="preserve"> </w:t>
      </w:r>
      <w:r w:rsidRPr="006510BD">
        <w:rPr>
          <w:rFonts w:cstheme="minorHAnsi"/>
        </w:rPr>
        <w:t xml:space="preserve">It was therefore recommended that ITU membership take an active role in promoting the work of BDT for partnerships. </w:t>
      </w:r>
    </w:p>
    <w:p w:rsidR="00247548" w:rsidRPr="006510BD" w:rsidRDefault="00C27497" w:rsidP="004D22C2">
      <w:pPr>
        <w:keepNext/>
        <w:spacing w:after="120"/>
        <w:ind w:left="425" w:hanging="425"/>
        <w:rPr>
          <w:rFonts w:cstheme="minorHAnsi"/>
          <w:b/>
          <w:bCs/>
        </w:rPr>
      </w:pPr>
      <w:r>
        <w:rPr>
          <w:rFonts w:cstheme="minorHAnsi"/>
          <w:b/>
          <w:bCs/>
        </w:rPr>
        <w:t>1.2</w:t>
      </w:r>
      <w:r>
        <w:rPr>
          <w:rFonts w:cstheme="minorHAnsi"/>
          <w:b/>
          <w:bCs/>
        </w:rPr>
        <w:tab/>
      </w:r>
      <w:r w:rsidR="00247548" w:rsidRPr="006510BD">
        <w:rPr>
          <w:rFonts w:cstheme="minorHAnsi"/>
          <w:b/>
          <w:bCs/>
        </w:rPr>
        <w:t xml:space="preserve">The </w:t>
      </w:r>
      <w:r w:rsidR="00247548" w:rsidRPr="00973CFA">
        <w:rPr>
          <w:rFonts w:cstheme="minorHAnsi"/>
          <w:b/>
          <w:bCs/>
        </w:rPr>
        <w:t>role of regional presence</w:t>
      </w:r>
    </w:p>
    <w:p w:rsidR="00247548" w:rsidRPr="00546B83" w:rsidRDefault="00247548" w:rsidP="00E16FDE">
      <w:pPr>
        <w:spacing w:after="120"/>
        <w:rPr>
          <w:rFonts w:cstheme="minorHAnsi"/>
        </w:rPr>
      </w:pPr>
      <w:r w:rsidRPr="00546B83">
        <w:rPr>
          <w:rFonts w:cstheme="minorHAnsi"/>
        </w:rPr>
        <w:t xml:space="preserve">The </w:t>
      </w:r>
      <w:r w:rsidR="00185AB7">
        <w:rPr>
          <w:rFonts w:cstheme="minorHAnsi"/>
        </w:rPr>
        <w:t xml:space="preserve">discussions </w:t>
      </w:r>
      <w:r w:rsidR="00C469C7" w:rsidRPr="00546B83">
        <w:rPr>
          <w:rFonts w:cstheme="minorHAnsi"/>
        </w:rPr>
        <w:t xml:space="preserve">of the </w:t>
      </w:r>
      <w:r w:rsidR="00E16FDE">
        <w:rPr>
          <w:rFonts w:cstheme="minorHAnsi"/>
        </w:rPr>
        <w:t xml:space="preserve">participants </w:t>
      </w:r>
      <w:r w:rsidR="00C469C7" w:rsidRPr="00546B83">
        <w:rPr>
          <w:rFonts w:cstheme="minorHAnsi"/>
        </w:rPr>
        <w:t>includ</w:t>
      </w:r>
      <w:r w:rsidR="00D0141A" w:rsidRPr="00546B83">
        <w:rPr>
          <w:rFonts w:cstheme="minorHAnsi"/>
        </w:rPr>
        <w:t xml:space="preserve">ed </w:t>
      </w:r>
      <w:r w:rsidR="00C469C7" w:rsidRPr="00546B83">
        <w:rPr>
          <w:rFonts w:cstheme="minorHAnsi"/>
        </w:rPr>
        <w:t xml:space="preserve">suggestions </w:t>
      </w:r>
      <w:r w:rsidR="00C469C7" w:rsidRPr="00546B83">
        <w:rPr>
          <w:rStyle w:val="Hyperlink"/>
          <w:color w:val="auto"/>
          <w:szCs w:val="24"/>
          <w:u w:val="none"/>
          <w:lang w:val="en-US"/>
        </w:rPr>
        <w:t xml:space="preserve">on ways the </w:t>
      </w:r>
      <w:r w:rsidRPr="00546B83">
        <w:rPr>
          <w:rFonts w:cstheme="minorHAnsi"/>
        </w:rPr>
        <w:t xml:space="preserve">regional </w:t>
      </w:r>
      <w:r w:rsidR="00D0141A" w:rsidRPr="00546B83">
        <w:rPr>
          <w:rFonts w:cstheme="minorHAnsi"/>
        </w:rPr>
        <w:t xml:space="preserve">and </w:t>
      </w:r>
      <w:r w:rsidRPr="00546B83">
        <w:rPr>
          <w:rFonts w:cstheme="minorHAnsi"/>
        </w:rPr>
        <w:t>area offices</w:t>
      </w:r>
      <w:r w:rsidR="00427837" w:rsidRPr="00546B83">
        <w:rPr>
          <w:rFonts w:cstheme="minorHAnsi"/>
        </w:rPr>
        <w:t xml:space="preserve"> </w:t>
      </w:r>
      <w:r w:rsidR="00A86889" w:rsidRPr="00546B83">
        <w:rPr>
          <w:rStyle w:val="Hyperlink"/>
          <w:color w:val="auto"/>
          <w:szCs w:val="24"/>
          <w:u w:val="none"/>
          <w:lang w:val="en-US"/>
        </w:rPr>
        <w:t>can better respond to the needs of the members, represent the ITU as a whole, leverage ITU’s membership in the wider UN family by working with UN Resident Coordinators</w:t>
      </w:r>
      <w:r w:rsidR="00AE7F56">
        <w:rPr>
          <w:rStyle w:val="Hyperlink"/>
          <w:color w:val="auto"/>
          <w:szCs w:val="24"/>
          <w:u w:val="none"/>
          <w:lang w:val="en-US"/>
        </w:rPr>
        <w:t>,</w:t>
      </w:r>
      <w:r w:rsidR="00A86889" w:rsidRPr="00546B83">
        <w:rPr>
          <w:rStyle w:val="Hyperlink"/>
          <w:color w:val="auto"/>
          <w:szCs w:val="24"/>
          <w:u w:val="none"/>
          <w:lang w:val="en-US"/>
        </w:rPr>
        <w:t xml:space="preserve"> </w:t>
      </w:r>
      <w:r w:rsidRPr="00546B83">
        <w:rPr>
          <w:rFonts w:cstheme="minorHAnsi"/>
        </w:rPr>
        <w:t xml:space="preserve">and endeavour to increase its presence for countries. Field offices should monitor and evaluate projects in the field and bridge information flows between members. </w:t>
      </w:r>
      <w:r w:rsidR="007E3823" w:rsidRPr="00546B83">
        <w:rPr>
          <w:rFonts w:cstheme="minorHAnsi"/>
        </w:rPr>
        <w:t xml:space="preserve">It was suggested to </w:t>
      </w:r>
      <w:r w:rsidR="00AE629C">
        <w:rPr>
          <w:rFonts w:cstheme="minorHAnsi"/>
        </w:rPr>
        <w:t>consider</w:t>
      </w:r>
      <w:r w:rsidR="007E3823" w:rsidRPr="00546B83">
        <w:rPr>
          <w:rFonts w:cstheme="minorHAnsi"/>
        </w:rPr>
        <w:t xml:space="preserve"> a</w:t>
      </w:r>
      <w:r w:rsidRPr="00546B83">
        <w:rPr>
          <w:rFonts w:cstheme="minorHAnsi"/>
        </w:rPr>
        <w:t xml:space="preserve"> specific number of online and </w:t>
      </w:r>
      <w:r w:rsidR="001F07C9" w:rsidRPr="00546B83">
        <w:rPr>
          <w:rFonts w:cstheme="minorHAnsi"/>
        </w:rPr>
        <w:t xml:space="preserve">physical </w:t>
      </w:r>
      <w:r w:rsidRPr="00546B83">
        <w:rPr>
          <w:rFonts w:cstheme="minorHAnsi"/>
        </w:rPr>
        <w:t xml:space="preserve">meetings with countries </w:t>
      </w:r>
      <w:r w:rsidR="007E3823" w:rsidRPr="00546B83">
        <w:rPr>
          <w:rFonts w:cstheme="minorHAnsi"/>
        </w:rPr>
        <w:t xml:space="preserve">and reflect that in </w:t>
      </w:r>
      <w:r w:rsidRPr="00546B83">
        <w:rPr>
          <w:rFonts w:cstheme="minorHAnsi"/>
        </w:rPr>
        <w:t xml:space="preserve">a calendar </w:t>
      </w:r>
      <w:r w:rsidR="00185AB7">
        <w:rPr>
          <w:rFonts w:cstheme="minorHAnsi"/>
        </w:rPr>
        <w:t xml:space="preserve">shared with </w:t>
      </w:r>
      <w:r w:rsidRPr="00546B83">
        <w:rPr>
          <w:rFonts w:cstheme="minorHAnsi"/>
        </w:rPr>
        <w:t xml:space="preserve">members. </w:t>
      </w:r>
    </w:p>
    <w:p w:rsidR="00247548" w:rsidRPr="00546B83" w:rsidRDefault="00207086">
      <w:pPr>
        <w:spacing w:after="120"/>
        <w:rPr>
          <w:rFonts w:cstheme="minorHAnsi"/>
        </w:rPr>
      </w:pPr>
      <w:r>
        <w:rPr>
          <w:rFonts w:cstheme="minorHAnsi"/>
        </w:rPr>
        <w:t>N</w:t>
      </w:r>
      <w:r w:rsidR="001F07C9" w:rsidRPr="00546B83">
        <w:rPr>
          <w:rFonts w:cstheme="minorHAnsi"/>
        </w:rPr>
        <w:t xml:space="preserve">ecessary </w:t>
      </w:r>
      <w:r w:rsidR="00247548" w:rsidRPr="00546B83">
        <w:rPr>
          <w:rFonts w:cstheme="minorHAnsi"/>
        </w:rPr>
        <w:t xml:space="preserve">human and financial resources </w:t>
      </w:r>
      <w:r w:rsidR="001F07C9" w:rsidRPr="00546B83">
        <w:rPr>
          <w:rFonts w:cstheme="minorHAnsi"/>
        </w:rPr>
        <w:t xml:space="preserve">should </w:t>
      </w:r>
      <w:r w:rsidR="00247548" w:rsidRPr="00546B83">
        <w:rPr>
          <w:rFonts w:cstheme="minorHAnsi"/>
        </w:rPr>
        <w:t xml:space="preserve">be </w:t>
      </w:r>
      <w:r w:rsidR="00AE629C">
        <w:rPr>
          <w:rFonts w:cstheme="minorHAnsi"/>
        </w:rPr>
        <w:t xml:space="preserve">reviewed </w:t>
      </w:r>
      <w:r w:rsidR="00185AB7">
        <w:rPr>
          <w:rFonts w:cstheme="minorHAnsi"/>
        </w:rPr>
        <w:t xml:space="preserve">in view of </w:t>
      </w:r>
      <w:r w:rsidR="00247548" w:rsidRPr="00546B83">
        <w:rPr>
          <w:rFonts w:cstheme="minorHAnsi"/>
        </w:rPr>
        <w:t xml:space="preserve">the </w:t>
      </w:r>
      <w:r w:rsidR="00185AB7">
        <w:rPr>
          <w:rFonts w:cstheme="minorHAnsi"/>
        </w:rPr>
        <w:t>limited resources</w:t>
      </w:r>
      <w:r>
        <w:rPr>
          <w:rFonts w:cstheme="minorHAnsi"/>
        </w:rPr>
        <w:t xml:space="preserve"> available</w:t>
      </w:r>
      <w:r w:rsidR="00247548" w:rsidRPr="00546B83">
        <w:rPr>
          <w:rFonts w:cstheme="minorHAnsi"/>
        </w:rPr>
        <w:t>. In this regard, the financial procedures</w:t>
      </w:r>
      <w:r w:rsidR="00AE629C">
        <w:rPr>
          <w:rFonts w:cstheme="minorHAnsi"/>
        </w:rPr>
        <w:t>,</w:t>
      </w:r>
      <w:r w:rsidR="00247548" w:rsidRPr="00546B83">
        <w:rPr>
          <w:rFonts w:cstheme="minorHAnsi"/>
        </w:rPr>
        <w:t xml:space="preserve"> transfer </w:t>
      </w:r>
      <w:r w:rsidR="007E3823" w:rsidRPr="00546B83">
        <w:rPr>
          <w:rFonts w:cstheme="minorHAnsi"/>
        </w:rPr>
        <w:t xml:space="preserve">of </w:t>
      </w:r>
      <w:r w:rsidR="00247548" w:rsidRPr="00546B83">
        <w:rPr>
          <w:rFonts w:cstheme="minorHAnsi"/>
        </w:rPr>
        <w:t xml:space="preserve">funds </w:t>
      </w:r>
      <w:r w:rsidR="007E3823" w:rsidRPr="00546B83">
        <w:rPr>
          <w:rFonts w:cstheme="minorHAnsi"/>
        </w:rPr>
        <w:t xml:space="preserve">for </w:t>
      </w:r>
      <w:r w:rsidR="00247548" w:rsidRPr="00546B83">
        <w:rPr>
          <w:rFonts w:cstheme="minorHAnsi"/>
        </w:rPr>
        <w:t>specific projects in the region</w:t>
      </w:r>
      <w:r w:rsidR="00AE629C">
        <w:rPr>
          <w:rFonts w:cstheme="minorHAnsi"/>
        </w:rPr>
        <w:t>, and related controls should also be reviewed</w:t>
      </w:r>
      <w:r w:rsidR="00247548" w:rsidRPr="00546B83">
        <w:rPr>
          <w:rFonts w:cstheme="minorHAnsi"/>
        </w:rPr>
        <w:t>.</w:t>
      </w:r>
    </w:p>
    <w:p w:rsidR="00247548" w:rsidRPr="00546B83" w:rsidRDefault="00C30C93" w:rsidP="00E16FDE">
      <w:pPr>
        <w:spacing w:after="120"/>
        <w:rPr>
          <w:rFonts w:cstheme="minorHAnsi"/>
        </w:rPr>
      </w:pPr>
      <w:r w:rsidRPr="00546B83">
        <w:rPr>
          <w:rStyle w:val="Hyperlink"/>
          <w:color w:val="auto"/>
          <w:szCs w:val="24"/>
          <w:u w:val="none"/>
          <w:lang w:val="en-US"/>
        </w:rPr>
        <w:t xml:space="preserve">The need to ensure that regional and area offices possess the right skill sets in order to be able to provide direct assistance to members was also stressed. </w:t>
      </w:r>
      <w:r w:rsidR="00CB6410" w:rsidRPr="00546B83">
        <w:rPr>
          <w:rStyle w:val="Hyperlink"/>
          <w:color w:val="auto"/>
          <w:szCs w:val="24"/>
          <w:u w:val="none"/>
          <w:lang w:val="en-US"/>
        </w:rPr>
        <w:t>Bringing the work of the study groups close</w:t>
      </w:r>
      <w:r w:rsidR="00E16FDE">
        <w:rPr>
          <w:rStyle w:val="Hyperlink"/>
          <w:color w:val="auto"/>
          <w:szCs w:val="24"/>
          <w:u w:val="none"/>
          <w:lang w:val="en-US"/>
        </w:rPr>
        <w:t>r</w:t>
      </w:r>
      <w:r w:rsidR="00CB6410" w:rsidRPr="00546B83">
        <w:rPr>
          <w:rStyle w:val="Hyperlink"/>
          <w:color w:val="auto"/>
          <w:szCs w:val="24"/>
          <w:u w:val="none"/>
          <w:lang w:val="en-US"/>
        </w:rPr>
        <w:t xml:space="preserve"> to the countries was also noted.</w:t>
      </w:r>
      <w:r w:rsidR="00247548" w:rsidRPr="00546B83">
        <w:rPr>
          <w:rFonts w:cstheme="minorHAnsi"/>
        </w:rPr>
        <w:t xml:space="preserve"> Capacity building for field office staff should be conducted.</w:t>
      </w:r>
      <w:r w:rsidR="00BE016B" w:rsidRPr="00546B83">
        <w:rPr>
          <w:rFonts w:cstheme="minorHAnsi"/>
        </w:rPr>
        <w:t xml:space="preserve"> </w:t>
      </w:r>
    </w:p>
    <w:p w:rsidR="00247548" w:rsidRPr="006510BD" w:rsidRDefault="00E16FDE" w:rsidP="00E16FDE">
      <w:pPr>
        <w:spacing w:after="120"/>
        <w:rPr>
          <w:rFonts w:cstheme="minorHAnsi"/>
        </w:rPr>
      </w:pPr>
      <w:r>
        <w:rPr>
          <w:rFonts w:cstheme="minorHAnsi"/>
        </w:rPr>
        <w:t>Participants</w:t>
      </w:r>
      <w:r w:rsidR="00247548" w:rsidRPr="006510BD">
        <w:rPr>
          <w:rFonts w:cstheme="minorHAnsi"/>
        </w:rPr>
        <w:t xml:space="preserve"> discussed the need to strengthen collaboration </w:t>
      </w:r>
      <w:r w:rsidR="00513D0F">
        <w:rPr>
          <w:rFonts w:cstheme="minorHAnsi"/>
        </w:rPr>
        <w:t xml:space="preserve">and synergies </w:t>
      </w:r>
      <w:r w:rsidR="00247548" w:rsidRPr="006510BD">
        <w:rPr>
          <w:rFonts w:cstheme="minorHAnsi"/>
        </w:rPr>
        <w:t>between the regional</w:t>
      </w:r>
      <w:r w:rsidR="00247548">
        <w:rPr>
          <w:rFonts w:cstheme="minorHAnsi"/>
        </w:rPr>
        <w:t xml:space="preserve"> and </w:t>
      </w:r>
      <w:r w:rsidR="00247548" w:rsidRPr="006510BD">
        <w:rPr>
          <w:rFonts w:cstheme="minorHAnsi"/>
        </w:rPr>
        <w:t>area offices</w:t>
      </w:r>
      <w:r w:rsidR="00247548">
        <w:rPr>
          <w:rFonts w:cstheme="minorHAnsi"/>
        </w:rPr>
        <w:t>,</w:t>
      </w:r>
      <w:r w:rsidR="00247548" w:rsidRPr="006510BD">
        <w:rPr>
          <w:rFonts w:cstheme="minorHAnsi"/>
        </w:rPr>
        <w:t xml:space="preserve"> and other </w:t>
      </w:r>
      <w:r>
        <w:rPr>
          <w:rFonts w:cstheme="minorHAnsi"/>
        </w:rPr>
        <w:t>ITU S</w:t>
      </w:r>
      <w:r w:rsidR="00247548" w:rsidRPr="006510BD">
        <w:rPr>
          <w:rFonts w:cstheme="minorHAnsi"/>
        </w:rPr>
        <w:t xml:space="preserve">ectors. To that end, the roles </w:t>
      </w:r>
      <w:r w:rsidR="00C30C93">
        <w:rPr>
          <w:rFonts w:cstheme="minorHAnsi"/>
        </w:rPr>
        <w:t xml:space="preserve">and relationships </w:t>
      </w:r>
      <w:r w:rsidR="00247548" w:rsidRPr="006510BD">
        <w:rPr>
          <w:rFonts w:cstheme="minorHAnsi"/>
        </w:rPr>
        <w:t>concer</w:t>
      </w:r>
      <w:r w:rsidR="00247548">
        <w:rPr>
          <w:rFonts w:cstheme="minorHAnsi"/>
        </w:rPr>
        <w:t>n</w:t>
      </w:r>
      <w:r w:rsidR="00247548" w:rsidRPr="006510BD">
        <w:rPr>
          <w:rFonts w:cstheme="minorHAnsi"/>
        </w:rPr>
        <w:t xml:space="preserve">ing cooperation between </w:t>
      </w:r>
      <w:r>
        <w:rPr>
          <w:rFonts w:cstheme="minorHAnsi"/>
        </w:rPr>
        <w:t>S</w:t>
      </w:r>
      <w:r w:rsidR="00247548" w:rsidRPr="006510BD">
        <w:rPr>
          <w:rFonts w:cstheme="minorHAnsi"/>
        </w:rPr>
        <w:t xml:space="preserve">ectors and field offices </w:t>
      </w:r>
      <w:r w:rsidR="00972550">
        <w:rPr>
          <w:rFonts w:cstheme="minorHAnsi"/>
        </w:rPr>
        <w:t xml:space="preserve">should </w:t>
      </w:r>
      <w:r w:rsidR="00247548" w:rsidRPr="006510BD">
        <w:rPr>
          <w:rFonts w:cstheme="minorHAnsi"/>
        </w:rPr>
        <w:t xml:space="preserve">be </w:t>
      </w:r>
      <w:r w:rsidR="00513D0F">
        <w:rPr>
          <w:rFonts w:cstheme="minorHAnsi"/>
        </w:rPr>
        <w:t xml:space="preserve">further </w:t>
      </w:r>
      <w:r w:rsidR="00247548" w:rsidRPr="006510BD">
        <w:rPr>
          <w:rFonts w:cstheme="minorHAnsi"/>
        </w:rPr>
        <w:t>clarified.</w:t>
      </w:r>
    </w:p>
    <w:p w:rsidR="00247548" w:rsidRPr="006510BD" w:rsidRDefault="00E16FDE" w:rsidP="00E16FDE">
      <w:pPr>
        <w:spacing w:after="120"/>
        <w:rPr>
          <w:rFonts w:cstheme="minorHAnsi"/>
        </w:rPr>
      </w:pPr>
      <w:r>
        <w:rPr>
          <w:rFonts w:cstheme="minorHAnsi"/>
        </w:rPr>
        <w:t>Participants</w:t>
      </w:r>
      <w:r w:rsidR="00247548" w:rsidRPr="006510BD">
        <w:rPr>
          <w:rFonts w:cstheme="minorHAnsi"/>
        </w:rPr>
        <w:t xml:space="preserve"> </w:t>
      </w:r>
      <w:r w:rsidR="00C31722">
        <w:rPr>
          <w:rFonts w:cstheme="minorHAnsi"/>
        </w:rPr>
        <w:t xml:space="preserve">also </w:t>
      </w:r>
      <w:r w:rsidR="00247548" w:rsidRPr="006510BD">
        <w:rPr>
          <w:rFonts w:cstheme="minorHAnsi"/>
        </w:rPr>
        <w:t xml:space="preserve">emphasized the need to comply with Joint Inspection Unit recommendations. </w:t>
      </w:r>
    </w:p>
    <w:p w:rsidR="00247548" w:rsidRPr="006510BD" w:rsidRDefault="00C27497" w:rsidP="004D22C2">
      <w:pPr>
        <w:keepNext/>
        <w:spacing w:after="120"/>
        <w:ind w:left="425" w:hanging="425"/>
        <w:rPr>
          <w:rFonts w:cstheme="minorHAnsi"/>
          <w:b/>
          <w:bCs/>
        </w:rPr>
      </w:pPr>
      <w:r>
        <w:rPr>
          <w:rFonts w:cstheme="minorHAnsi"/>
          <w:b/>
          <w:bCs/>
        </w:rPr>
        <w:t>1.3</w:t>
      </w:r>
      <w:r>
        <w:rPr>
          <w:rFonts w:cstheme="minorHAnsi"/>
          <w:b/>
          <w:bCs/>
        </w:rPr>
        <w:tab/>
      </w:r>
      <w:r w:rsidR="00247548" w:rsidRPr="006510BD">
        <w:rPr>
          <w:rFonts w:cstheme="minorHAnsi"/>
          <w:b/>
          <w:bCs/>
        </w:rPr>
        <w:t xml:space="preserve">WTDC preparatory process and format </w:t>
      </w:r>
    </w:p>
    <w:p w:rsidR="00247548" w:rsidRPr="006510BD" w:rsidRDefault="00247548" w:rsidP="00247548">
      <w:pPr>
        <w:spacing w:after="120"/>
        <w:rPr>
          <w:rFonts w:cstheme="minorHAnsi"/>
        </w:rPr>
      </w:pPr>
      <w:r w:rsidRPr="006510BD">
        <w:rPr>
          <w:rFonts w:cstheme="minorHAnsi"/>
        </w:rPr>
        <w:t xml:space="preserve">Policy statements, regional preparatory meetings, inter-regional meetings, WTDC </w:t>
      </w:r>
      <w:r>
        <w:rPr>
          <w:rFonts w:cstheme="minorHAnsi"/>
        </w:rPr>
        <w:t>c</w:t>
      </w:r>
      <w:r w:rsidRPr="006510BD">
        <w:rPr>
          <w:rFonts w:cstheme="minorHAnsi"/>
        </w:rPr>
        <w:t>ommittees, other stakeholders, and regional initiatives.</w:t>
      </w:r>
    </w:p>
    <w:p w:rsidR="00D42557" w:rsidRDefault="00247548" w:rsidP="00D42557">
      <w:pPr>
        <w:rPr>
          <w:lang w:val="en-US"/>
        </w:rPr>
      </w:pPr>
      <w:r w:rsidRPr="006510BD">
        <w:rPr>
          <w:rFonts w:cstheme="minorHAnsi"/>
        </w:rPr>
        <w:t xml:space="preserve">Participants </w:t>
      </w:r>
      <w:r w:rsidR="00D42557" w:rsidRPr="00B146E7">
        <w:rPr>
          <w:lang w:val="en-US"/>
        </w:rPr>
        <w:t xml:space="preserve">highlighted that </w:t>
      </w:r>
      <w:r w:rsidR="00D42557">
        <w:rPr>
          <w:lang w:val="en-US"/>
        </w:rPr>
        <w:t>during the previous WTDC</w:t>
      </w:r>
      <w:r w:rsidR="002672C2">
        <w:rPr>
          <w:lang w:val="en-US"/>
        </w:rPr>
        <w:t>,</w:t>
      </w:r>
      <w:r w:rsidR="00D42557">
        <w:rPr>
          <w:lang w:val="en-US"/>
        </w:rPr>
        <w:t xml:space="preserve"> </w:t>
      </w:r>
      <w:r w:rsidR="00D42557" w:rsidRPr="00B146E7">
        <w:rPr>
          <w:lang w:val="en-US"/>
        </w:rPr>
        <w:t xml:space="preserve">the first three days were </w:t>
      </w:r>
      <w:r w:rsidR="00D42557">
        <w:rPr>
          <w:lang w:val="en-US"/>
        </w:rPr>
        <w:t xml:space="preserve">largely </w:t>
      </w:r>
      <w:r w:rsidR="00D42557" w:rsidRPr="00B146E7">
        <w:rPr>
          <w:lang w:val="en-US"/>
        </w:rPr>
        <w:t xml:space="preserve">spent on policy statements. </w:t>
      </w:r>
      <w:r w:rsidR="00D42557">
        <w:rPr>
          <w:lang w:val="en-US"/>
        </w:rPr>
        <w:t xml:space="preserve">It was emphasized based on the experience of the last Plenipotentiary Conference that committees should start their meetings as soon as possible and preferably from day one of the conference, the policy statements could run in parallel with committee meetings. It was further suggested to consider </w:t>
      </w:r>
      <w:r w:rsidR="00D42557" w:rsidRPr="00B146E7">
        <w:rPr>
          <w:lang w:val="en-US"/>
        </w:rPr>
        <w:t>organiz</w:t>
      </w:r>
      <w:r w:rsidR="00D42557">
        <w:rPr>
          <w:lang w:val="en-US"/>
        </w:rPr>
        <w:t>ing</w:t>
      </w:r>
      <w:r w:rsidR="00D42557" w:rsidRPr="00B146E7">
        <w:rPr>
          <w:lang w:val="en-US"/>
        </w:rPr>
        <w:t xml:space="preserve"> </w:t>
      </w:r>
      <w:r w:rsidR="00D42557">
        <w:rPr>
          <w:lang w:val="en-US"/>
        </w:rPr>
        <w:t>dialogue sessions/</w:t>
      </w:r>
      <w:r w:rsidR="00D42557" w:rsidRPr="00B146E7">
        <w:rPr>
          <w:lang w:val="en-US"/>
        </w:rPr>
        <w:t xml:space="preserve">round tables one day </w:t>
      </w:r>
      <w:r w:rsidR="00D42557">
        <w:rPr>
          <w:lang w:val="en-US"/>
        </w:rPr>
        <w:t xml:space="preserve">prior to </w:t>
      </w:r>
      <w:r w:rsidR="00D42557" w:rsidRPr="00B146E7">
        <w:rPr>
          <w:lang w:val="en-US"/>
        </w:rPr>
        <w:t xml:space="preserve">WTDC </w:t>
      </w:r>
      <w:r w:rsidR="00D42557">
        <w:rPr>
          <w:lang w:val="en-US"/>
        </w:rPr>
        <w:t xml:space="preserve">opening. </w:t>
      </w:r>
    </w:p>
    <w:p w:rsidR="00D42557" w:rsidRDefault="00D42557" w:rsidP="002672C2">
      <w:pPr>
        <w:rPr>
          <w:lang w:val="en-US"/>
        </w:rPr>
      </w:pPr>
      <w:r w:rsidRPr="00B146E7">
        <w:rPr>
          <w:lang w:val="en-US"/>
        </w:rPr>
        <w:t xml:space="preserve">The discussions on </w:t>
      </w:r>
      <w:r>
        <w:rPr>
          <w:lang w:val="en-US"/>
        </w:rPr>
        <w:t>regional preparatory meetings</w:t>
      </w:r>
      <w:r w:rsidRPr="00B146E7">
        <w:rPr>
          <w:lang w:val="en-US"/>
        </w:rPr>
        <w:t xml:space="preserve"> </w:t>
      </w:r>
      <w:r>
        <w:rPr>
          <w:lang w:val="en-US"/>
        </w:rPr>
        <w:t xml:space="preserve">(RPMs) were </w:t>
      </w:r>
      <w:r w:rsidRPr="00B146E7">
        <w:rPr>
          <w:lang w:val="en-US"/>
        </w:rPr>
        <w:t xml:space="preserve">focused on </w:t>
      </w:r>
      <w:r>
        <w:rPr>
          <w:lang w:val="en-US"/>
        </w:rPr>
        <w:t xml:space="preserve">how </w:t>
      </w:r>
      <w:r w:rsidRPr="00B146E7">
        <w:rPr>
          <w:lang w:val="en-US"/>
        </w:rPr>
        <w:t xml:space="preserve">these meetings </w:t>
      </w:r>
      <w:r>
        <w:rPr>
          <w:lang w:val="en-US"/>
        </w:rPr>
        <w:t xml:space="preserve">could become more effective. There </w:t>
      </w:r>
      <w:r w:rsidRPr="00B146E7">
        <w:rPr>
          <w:lang w:val="en-US"/>
        </w:rPr>
        <w:t xml:space="preserve">was general agreement </w:t>
      </w:r>
      <w:r>
        <w:rPr>
          <w:lang w:val="en-US"/>
        </w:rPr>
        <w:t xml:space="preserve">that RPMs should be held </w:t>
      </w:r>
      <w:r w:rsidRPr="00B146E7">
        <w:rPr>
          <w:lang w:val="en-US"/>
        </w:rPr>
        <w:t xml:space="preserve">back-to-back </w:t>
      </w:r>
      <w:r>
        <w:rPr>
          <w:lang w:val="en-US"/>
        </w:rPr>
        <w:t xml:space="preserve">or together </w:t>
      </w:r>
      <w:r w:rsidRPr="00B146E7">
        <w:rPr>
          <w:lang w:val="en-US"/>
        </w:rPr>
        <w:t>with other preparatory meetings</w:t>
      </w:r>
      <w:r>
        <w:rPr>
          <w:lang w:val="en-US"/>
        </w:rPr>
        <w:t xml:space="preserve"> organized </w:t>
      </w:r>
      <w:r w:rsidRPr="00B146E7">
        <w:rPr>
          <w:lang w:val="en-US"/>
        </w:rPr>
        <w:t>by regional organizations.</w:t>
      </w:r>
      <w:r>
        <w:rPr>
          <w:lang w:val="en-US"/>
        </w:rPr>
        <w:t xml:space="preserve"> The group discussed as well that organizing informal i</w:t>
      </w:r>
      <w:r w:rsidRPr="00B146E7">
        <w:rPr>
          <w:lang w:val="en-US"/>
        </w:rPr>
        <w:t>nter-regional meetings</w:t>
      </w:r>
      <w:r>
        <w:rPr>
          <w:lang w:val="en-US"/>
        </w:rPr>
        <w:t xml:space="preserve"> </w:t>
      </w:r>
      <w:r>
        <w:t>could also facilitate discussion during WTDC, and suggested that this meeting(s) can be</w:t>
      </w:r>
      <w:r w:rsidRPr="00922801">
        <w:t xml:space="preserve"> scheduled one day before the last TDAG prior to WTDC</w:t>
      </w:r>
      <w:r>
        <w:rPr>
          <w:lang w:val="en-US"/>
        </w:rPr>
        <w:t>.</w:t>
      </w:r>
      <w:r w:rsidRPr="00B146E7">
        <w:rPr>
          <w:lang w:val="en-US"/>
        </w:rPr>
        <w:t xml:space="preserve"> </w:t>
      </w:r>
    </w:p>
    <w:p w:rsidR="00D42557" w:rsidRPr="00B146E7" w:rsidRDefault="00D42557" w:rsidP="00D42557">
      <w:pPr>
        <w:rPr>
          <w:lang w:val="en-US"/>
        </w:rPr>
      </w:pPr>
      <w:r>
        <w:rPr>
          <w:lang w:val="en-US"/>
        </w:rPr>
        <w:t xml:space="preserve">It was highlighted that there is a </w:t>
      </w:r>
      <w:r w:rsidRPr="00B146E7">
        <w:rPr>
          <w:lang w:val="en-US"/>
        </w:rPr>
        <w:t xml:space="preserve">need to balance the work between committees </w:t>
      </w:r>
      <w:r>
        <w:rPr>
          <w:lang w:val="en-US"/>
        </w:rPr>
        <w:t xml:space="preserve">(in particular committees </w:t>
      </w:r>
      <w:r w:rsidRPr="00B146E7">
        <w:rPr>
          <w:lang w:val="en-US"/>
        </w:rPr>
        <w:t>3 and 4</w:t>
      </w:r>
      <w:r>
        <w:rPr>
          <w:lang w:val="en-US"/>
        </w:rPr>
        <w:t>), and also run committees in parallel as necessary</w:t>
      </w:r>
      <w:r w:rsidRPr="00B146E7">
        <w:rPr>
          <w:lang w:val="en-US"/>
        </w:rPr>
        <w:t xml:space="preserve">. </w:t>
      </w:r>
      <w:r>
        <w:rPr>
          <w:lang w:val="en-US"/>
        </w:rPr>
        <w:t xml:space="preserve">It was also suggested </w:t>
      </w:r>
      <w:r w:rsidRPr="00B146E7">
        <w:rPr>
          <w:lang w:val="en-US"/>
        </w:rPr>
        <w:t xml:space="preserve">to engage </w:t>
      </w:r>
      <w:r>
        <w:rPr>
          <w:lang w:val="en-US"/>
        </w:rPr>
        <w:t xml:space="preserve">more closely with </w:t>
      </w:r>
      <w:r w:rsidRPr="00B146E7">
        <w:rPr>
          <w:lang w:val="en-US"/>
        </w:rPr>
        <w:t>other stakeholders, including academia and NGOs in the preparat</w:t>
      </w:r>
      <w:r>
        <w:rPr>
          <w:lang w:val="en-US"/>
        </w:rPr>
        <w:t>ory</w:t>
      </w:r>
      <w:r w:rsidRPr="00B146E7">
        <w:rPr>
          <w:lang w:val="en-US"/>
        </w:rPr>
        <w:t xml:space="preserve"> </w:t>
      </w:r>
      <w:r>
        <w:rPr>
          <w:lang w:val="en-US"/>
        </w:rPr>
        <w:t>process</w:t>
      </w:r>
      <w:r w:rsidRPr="00B146E7">
        <w:rPr>
          <w:lang w:val="en-US"/>
        </w:rPr>
        <w:t xml:space="preserve">. </w:t>
      </w:r>
    </w:p>
    <w:p w:rsidR="00D42557" w:rsidRPr="006510BD" w:rsidRDefault="00D42557">
      <w:pPr>
        <w:spacing w:after="120"/>
        <w:rPr>
          <w:rFonts w:cstheme="minorHAnsi"/>
        </w:rPr>
      </w:pPr>
      <w:r>
        <w:rPr>
          <w:lang w:val="en-US"/>
        </w:rPr>
        <w:t xml:space="preserve">The need to have a full understanding of </w:t>
      </w:r>
      <w:r w:rsidRPr="00B146E7">
        <w:rPr>
          <w:lang w:val="en-US"/>
        </w:rPr>
        <w:t xml:space="preserve">the financial implications of </w:t>
      </w:r>
      <w:r>
        <w:rPr>
          <w:lang w:val="en-US"/>
        </w:rPr>
        <w:t xml:space="preserve">conference </w:t>
      </w:r>
      <w:r w:rsidRPr="00B146E7">
        <w:rPr>
          <w:lang w:val="en-US"/>
        </w:rPr>
        <w:t>propos</w:t>
      </w:r>
      <w:r w:rsidR="00897E2C">
        <w:rPr>
          <w:lang w:val="en-US"/>
        </w:rPr>
        <w:t>als</w:t>
      </w:r>
      <w:r>
        <w:rPr>
          <w:lang w:val="en-US"/>
        </w:rPr>
        <w:t>,</w:t>
      </w:r>
      <w:r w:rsidRPr="00B146E7">
        <w:rPr>
          <w:lang w:val="en-US"/>
        </w:rPr>
        <w:t xml:space="preserve"> </w:t>
      </w:r>
      <w:r>
        <w:rPr>
          <w:lang w:val="en-US"/>
        </w:rPr>
        <w:t xml:space="preserve">including the </w:t>
      </w:r>
      <w:r w:rsidRPr="00B146E7">
        <w:rPr>
          <w:lang w:val="en-US"/>
        </w:rPr>
        <w:t xml:space="preserve">regional initiatives, </w:t>
      </w:r>
      <w:r>
        <w:rPr>
          <w:lang w:val="en-US"/>
        </w:rPr>
        <w:t>prior to their adoption was stressed</w:t>
      </w:r>
      <w:r w:rsidRPr="00B146E7">
        <w:rPr>
          <w:lang w:val="en-US"/>
        </w:rPr>
        <w:t>.</w:t>
      </w:r>
    </w:p>
    <w:p w:rsidR="00247548" w:rsidRPr="006510BD" w:rsidRDefault="00C27497" w:rsidP="004D22C2">
      <w:pPr>
        <w:keepNext/>
        <w:spacing w:after="120"/>
        <w:ind w:left="425" w:hanging="425"/>
        <w:rPr>
          <w:rFonts w:cstheme="minorHAnsi"/>
          <w:b/>
          <w:lang w:val="en-US"/>
        </w:rPr>
      </w:pPr>
      <w:r>
        <w:rPr>
          <w:rFonts w:cstheme="minorHAnsi"/>
          <w:b/>
          <w:lang w:val="en-US"/>
        </w:rPr>
        <w:lastRenderedPageBreak/>
        <w:t>1.4</w:t>
      </w:r>
      <w:r>
        <w:rPr>
          <w:rFonts w:cstheme="minorHAnsi"/>
          <w:b/>
          <w:lang w:val="en-US"/>
        </w:rPr>
        <w:tab/>
      </w:r>
      <w:r w:rsidR="00247548" w:rsidRPr="006510BD">
        <w:rPr>
          <w:rFonts w:cstheme="minorHAnsi"/>
          <w:b/>
          <w:lang w:val="en-US"/>
        </w:rPr>
        <w:t xml:space="preserve">ITU-D study groups - increasing efficiency </w:t>
      </w:r>
    </w:p>
    <w:p w:rsidR="00247548" w:rsidRPr="006510BD" w:rsidRDefault="00247548" w:rsidP="00247548">
      <w:pPr>
        <w:keepNext/>
        <w:spacing w:after="120"/>
        <w:rPr>
          <w:rFonts w:cstheme="minorHAnsi"/>
          <w:b/>
          <w:lang w:val="en-US"/>
        </w:rPr>
      </w:pPr>
      <w:r w:rsidRPr="006510BD">
        <w:rPr>
          <w:rFonts w:cstheme="minorHAnsi"/>
          <w:b/>
          <w:lang w:val="en-US"/>
        </w:rPr>
        <w:t>Key takeaways:</w:t>
      </w:r>
    </w:p>
    <w:p w:rsidR="00247548" w:rsidRPr="006510BD" w:rsidRDefault="00247548" w:rsidP="00247548">
      <w:pPr>
        <w:pStyle w:val="ListParagraph"/>
        <w:numPr>
          <w:ilvl w:val="0"/>
          <w:numId w:val="11"/>
        </w:numPr>
        <w:tabs>
          <w:tab w:val="clear" w:pos="1134"/>
          <w:tab w:val="clear" w:pos="1871"/>
          <w:tab w:val="clear" w:pos="2268"/>
        </w:tabs>
        <w:overflowPunct/>
        <w:autoSpaceDE/>
        <w:autoSpaceDN/>
        <w:adjustRightInd/>
        <w:spacing w:after="120"/>
        <w:textAlignment w:val="auto"/>
        <w:rPr>
          <w:rFonts w:cstheme="minorHAnsi"/>
          <w:lang w:val="en-US"/>
        </w:rPr>
      </w:pPr>
      <w:r w:rsidRPr="006510BD">
        <w:rPr>
          <w:rFonts w:cstheme="minorHAnsi"/>
          <w:b/>
          <w:bCs/>
          <w:lang w:val="en-US"/>
        </w:rPr>
        <w:t>In-depth discussions in ITU-D study groups could be facilitated</w:t>
      </w:r>
      <w:r w:rsidRPr="006510BD">
        <w:rPr>
          <w:rFonts w:cstheme="minorHAnsi"/>
          <w:lang w:val="en-US"/>
        </w:rPr>
        <w:t xml:space="preserve"> by ensuring the participation of experts and providing stakeholders with opportunities to exchange experiences </w:t>
      </w:r>
      <w:r w:rsidRPr="00184D22">
        <w:rPr>
          <w:rFonts w:cstheme="minorHAnsi"/>
          <w:lang w:val="en-US"/>
        </w:rPr>
        <w:t>(1-1</w:t>
      </w:r>
      <w:r w:rsidRPr="006510BD">
        <w:rPr>
          <w:rFonts w:cstheme="minorHAnsi"/>
          <w:lang w:val="en-US"/>
        </w:rPr>
        <w:t xml:space="preserve"> matchmaking, online collaboration and exchange, etc.), in addition to the formal study group settings.</w:t>
      </w:r>
    </w:p>
    <w:p w:rsidR="00247548" w:rsidRPr="006510BD" w:rsidRDefault="00247548" w:rsidP="00247548">
      <w:pPr>
        <w:pStyle w:val="ListParagraph"/>
        <w:numPr>
          <w:ilvl w:val="0"/>
          <w:numId w:val="11"/>
        </w:numPr>
        <w:tabs>
          <w:tab w:val="clear" w:pos="1134"/>
          <w:tab w:val="clear" w:pos="1871"/>
          <w:tab w:val="clear" w:pos="2268"/>
        </w:tabs>
        <w:overflowPunct/>
        <w:autoSpaceDE/>
        <w:autoSpaceDN/>
        <w:adjustRightInd/>
        <w:spacing w:after="120"/>
        <w:textAlignment w:val="auto"/>
        <w:rPr>
          <w:rFonts w:cstheme="minorHAnsi"/>
          <w:lang w:val="en-US"/>
        </w:rPr>
      </w:pPr>
      <w:r w:rsidRPr="006510BD">
        <w:rPr>
          <w:rFonts w:cstheme="minorHAnsi"/>
          <w:lang w:val="en-US"/>
        </w:rPr>
        <w:t xml:space="preserve">While the content of the deliverables was satisfactory overall, further efforts are needed to </w:t>
      </w:r>
      <w:r w:rsidRPr="006510BD">
        <w:rPr>
          <w:rFonts w:cstheme="minorHAnsi"/>
          <w:b/>
          <w:bCs/>
          <w:lang w:val="en-US"/>
        </w:rPr>
        <w:t>raise awareness, present and share</w:t>
      </w:r>
      <w:r w:rsidRPr="006510BD">
        <w:rPr>
          <w:rFonts w:cstheme="minorHAnsi"/>
          <w:lang w:val="en-US"/>
        </w:rPr>
        <w:t xml:space="preserve"> such reports and guidelines. Consolidated topical reports and the revision of existing reports to ensure that they reflect the changing digital environment was encouraged.</w:t>
      </w:r>
    </w:p>
    <w:p w:rsidR="00247548" w:rsidRPr="006510BD" w:rsidRDefault="00247548" w:rsidP="00247548">
      <w:pPr>
        <w:pStyle w:val="ListParagraph"/>
        <w:numPr>
          <w:ilvl w:val="0"/>
          <w:numId w:val="11"/>
        </w:numPr>
        <w:tabs>
          <w:tab w:val="clear" w:pos="1134"/>
          <w:tab w:val="clear" w:pos="1871"/>
          <w:tab w:val="clear" w:pos="2268"/>
        </w:tabs>
        <w:overflowPunct/>
        <w:autoSpaceDE/>
        <w:autoSpaceDN/>
        <w:adjustRightInd/>
        <w:spacing w:after="120"/>
        <w:textAlignment w:val="auto"/>
        <w:rPr>
          <w:rFonts w:cstheme="minorHAnsi"/>
          <w:lang w:val="en-US"/>
        </w:rPr>
      </w:pPr>
      <w:r w:rsidRPr="006510BD">
        <w:rPr>
          <w:rFonts w:cstheme="minorHAnsi"/>
          <w:lang w:val="en-US"/>
        </w:rPr>
        <w:t xml:space="preserve">Countries in particular regions would further benefit from </w:t>
      </w:r>
      <w:r w:rsidRPr="006510BD">
        <w:rPr>
          <w:rFonts w:cstheme="minorHAnsi"/>
          <w:b/>
          <w:bCs/>
          <w:lang w:val="en-US"/>
        </w:rPr>
        <w:t xml:space="preserve">deliverables that are customized to </w:t>
      </w:r>
      <w:r>
        <w:rPr>
          <w:rFonts w:cstheme="minorHAnsi"/>
          <w:b/>
          <w:bCs/>
          <w:lang w:val="en-US"/>
        </w:rPr>
        <w:t xml:space="preserve">the </w:t>
      </w:r>
      <w:r w:rsidRPr="006510BD">
        <w:rPr>
          <w:rFonts w:cstheme="minorHAnsi"/>
          <w:b/>
          <w:bCs/>
          <w:lang w:val="en-US"/>
        </w:rPr>
        <w:t>specific needs of the regions.</w:t>
      </w:r>
      <w:r w:rsidRPr="006510BD">
        <w:rPr>
          <w:rFonts w:cstheme="minorHAnsi"/>
          <w:lang w:val="en-US"/>
        </w:rPr>
        <w:t xml:space="preserve"> Such a regional focus and additional in-depth input from the countries could be achieved through closer collaboration with regional and area offices.</w:t>
      </w:r>
    </w:p>
    <w:p w:rsidR="00247548" w:rsidRPr="006510BD" w:rsidRDefault="00247548" w:rsidP="00247548">
      <w:pPr>
        <w:keepNext/>
        <w:spacing w:after="120"/>
        <w:rPr>
          <w:rFonts w:cstheme="minorHAnsi"/>
          <w:b/>
          <w:lang w:val="en-US"/>
        </w:rPr>
      </w:pPr>
      <w:r w:rsidRPr="006510BD">
        <w:rPr>
          <w:rFonts w:cstheme="minorHAnsi"/>
          <w:b/>
          <w:lang w:val="en-US"/>
        </w:rPr>
        <w:t>Discussion summary:</w:t>
      </w:r>
    </w:p>
    <w:p w:rsidR="00247548" w:rsidRPr="006510BD" w:rsidRDefault="00247548" w:rsidP="00247548">
      <w:pPr>
        <w:pStyle w:val="ListParagraph"/>
        <w:numPr>
          <w:ilvl w:val="0"/>
          <w:numId w:val="14"/>
        </w:numPr>
        <w:tabs>
          <w:tab w:val="clear" w:pos="1134"/>
          <w:tab w:val="clear" w:pos="1871"/>
          <w:tab w:val="clear" w:pos="2268"/>
        </w:tabs>
        <w:overflowPunct/>
        <w:autoSpaceDE/>
        <w:autoSpaceDN/>
        <w:adjustRightInd/>
        <w:spacing w:after="120"/>
        <w:ind w:left="357" w:hanging="357"/>
        <w:textAlignment w:val="auto"/>
        <w:rPr>
          <w:rFonts w:cstheme="minorHAnsi"/>
        </w:rPr>
      </w:pPr>
      <w:r w:rsidRPr="006510BD">
        <w:rPr>
          <w:rFonts w:cstheme="minorHAnsi"/>
        </w:rPr>
        <w:t xml:space="preserve">Regarding possible improvements to </w:t>
      </w:r>
      <w:r w:rsidRPr="006510BD">
        <w:rPr>
          <w:rFonts w:cstheme="minorHAnsi"/>
          <w:b/>
          <w:bCs/>
        </w:rPr>
        <w:t>ITU-D study groups as exchange platforms</w:t>
      </w:r>
      <w:r w:rsidRPr="006510BD">
        <w:rPr>
          <w:rFonts w:cstheme="minorHAnsi"/>
        </w:rPr>
        <w:t>, the following points were raised:</w:t>
      </w:r>
    </w:p>
    <w:p w:rsidR="00247548" w:rsidRPr="006510BD" w:rsidRDefault="00247548" w:rsidP="002672C2">
      <w:pPr>
        <w:pStyle w:val="ListParagraph"/>
        <w:numPr>
          <w:ilvl w:val="0"/>
          <w:numId w:val="12"/>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rPr>
        <w:t xml:space="preserve">Ensure a </w:t>
      </w:r>
      <w:r w:rsidRPr="006510BD">
        <w:rPr>
          <w:rFonts w:cstheme="minorHAnsi"/>
          <w:b/>
          <w:bCs/>
        </w:rPr>
        <w:t xml:space="preserve">more flexible </w:t>
      </w:r>
      <w:r w:rsidRPr="006510BD">
        <w:rPr>
          <w:rFonts w:cstheme="minorHAnsi"/>
          <w:b/>
          <w:bCs/>
          <w:lang w:val="en-US"/>
        </w:rPr>
        <w:t xml:space="preserve">work structure and </w:t>
      </w:r>
      <w:r w:rsidRPr="006510BD">
        <w:rPr>
          <w:rFonts w:cstheme="minorHAnsi"/>
          <w:b/>
          <w:bCs/>
        </w:rPr>
        <w:t>time management plan</w:t>
      </w:r>
      <w:r w:rsidRPr="006510BD">
        <w:rPr>
          <w:rFonts w:cstheme="minorHAnsi"/>
        </w:rPr>
        <w:t xml:space="preserve"> by allocating time to each </w:t>
      </w:r>
      <w:r w:rsidR="002672C2">
        <w:rPr>
          <w:rFonts w:cstheme="minorHAnsi"/>
        </w:rPr>
        <w:t>r</w:t>
      </w:r>
      <w:r w:rsidRPr="006510BD">
        <w:rPr>
          <w:rFonts w:cstheme="minorHAnsi"/>
        </w:rPr>
        <w:t xml:space="preserve">apporteur </w:t>
      </w:r>
      <w:r w:rsidR="002672C2">
        <w:rPr>
          <w:rFonts w:cstheme="minorHAnsi"/>
        </w:rPr>
        <w:t>g</w:t>
      </w:r>
      <w:r w:rsidRPr="006510BD">
        <w:rPr>
          <w:rFonts w:cstheme="minorHAnsi"/>
        </w:rPr>
        <w:t>roup in proportion to the number of contributions received for consideration. This would require a flexible time management plan that is fixed when the contribution deadline is</w:t>
      </w:r>
      <w:r>
        <w:rPr>
          <w:rFonts w:cstheme="minorHAnsi"/>
        </w:rPr>
        <w:t xml:space="preserve"> </w:t>
      </w:r>
      <w:r w:rsidRPr="006510BD">
        <w:rPr>
          <w:rFonts w:cstheme="minorHAnsi"/>
        </w:rPr>
        <w:t xml:space="preserve">reached. At the same, changing the time management plan too close to the meeting should be avoided to allow members to plan their participation relating to specific </w:t>
      </w:r>
      <w:r w:rsidR="00587A91">
        <w:rPr>
          <w:rFonts w:cstheme="minorHAnsi"/>
        </w:rPr>
        <w:t>q</w:t>
      </w:r>
      <w:r w:rsidRPr="006510BD">
        <w:rPr>
          <w:rFonts w:cstheme="minorHAnsi"/>
        </w:rPr>
        <w:t>uestions of interest</w:t>
      </w:r>
      <w:r w:rsidRPr="006510BD">
        <w:rPr>
          <w:rFonts w:cstheme="minorHAnsi"/>
          <w:lang w:val="en-US"/>
        </w:rPr>
        <w:t>.</w:t>
      </w:r>
      <w:r>
        <w:rPr>
          <w:rFonts w:cstheme="minorHAnsi"/>
          <w:lang w:val="en-US"/>
        </w:rPr>
        <w:t xml:space="preserve"> </w:t>
      </w:r>
      <w:r w:rsidRPr="006510BD">
        <w:rPr>
          <w:rFonts w:cstheme="minorHAnsi"/>
          <w:lang w:val="en-US"/>
        </w:rPr>
        <w:t>Extending the deadline from 12 days to around 30 days may therefore be required</w:t>
      </w:r>
      <w:r w:rsidR="002672C2">
        <w:rPr>
          <w:rFonts w:cstheme="minorHAnsi"/>
        </w:rPr>
        <w:t>.</w:t>
      </w:r>
    </w:p>
    <w:p w:rsidR="00247548" w:rsidRPr="006510BD" w:rsidRDefault="00247548" w:rsidP="00247548">
      <w:pPr>
        <w:pStyle w:val="ListParagraph"/>
        <w:numPr>
          <w:ilvl w:val="0"/>
          <w:numId w:val="12"/>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rPr>
        <w:t xml:space="preserve">Encourage </w:t>
      </w:r>
      <w:r w:rsidRPr="006510BD">
        <w:rPr>
          <w:rFonts w:cstheme="minorHAnsi"/>
          <w:b/>
          <w:bCs/>
        </w:rPr>
        <w:t>more active use of the collaborative site</w:t>
      </w:r>
      <w:r w:rsidRPr="006510BD">
        <w:rPr>
          <w:rFonts w:cstheme="minorHAnsi"/>
        </w:rPr>
        <w:t xml:space="preserve"> that facilitates online exchange of information during and between meetings (e.g. use of the platform to connect members with specific questions with members who have experiences in a specific area)</w:t>
      </w:r>
      <w:r w:rsidR="002672C2">
        <w:rPr>
          <w:rFonts w:cstheme="minorHAnsi"/>
        </w:rPr>
        <w:t>.</w:t>
      </w:r>
    </w:p>
    <w:p w:rsidR="00247548" w:rsidRPr="006510BD" w:rsidRDefault="00247548" w:rsidP="002672C2">
      <w:pPr>
        <w:pStyle w:val="ListParagraph"/>
        <w:numPr>
          <w:ilvl w:val="0"/>
          <w:numId w:val="12"/>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rPr>
        <w:t xml:space="preserve">Encourage </w:t>
      </w:r>
      <w:r w:rsidR="002672C2">
        <w:rPr>
          <w:rFonts w:cstheme="minorHAnsi"/>
        </w:rPr>
        <w:t>“</w:t>
      </w:r>
      <w:r w:rsidRPr="006510BD">
        <w:rPr>
          <w:rFonts w:cstheme="minorHAnsi"/>
          <w:b/>
          <w:bCs/>
        </w:rPr>
        <w:t>speed-dating</w:t>
      </w:r>
      <w:r w:rsidR="002672C2">
        <w:rPr>
          <w:rFonts w:cstheme="minorHAnsi"/>
          <w:b/>
          <w:bCs/>
        </w:rPr>
        <w:t>”</w:t>
      </w:r>
      <w:r w:rsidRPr="006510BD">
        <w:rPr>
          <w:rFonts w:cstheme="minorHAnsi"/>
          <w:b/>
          <w:bCs/>
        </w:rPr>
        <w:t xml:space="preserve"> sessions</w:t>
      </w:r>
      <w:r w:rsidRPr="006510BD">
        <w:rPr>
          <w:rFonts w:cstheme="minorHAnsi"/>
        </w:rPr>
        <w:t xml:space="preserve"> by organizing in-depth exchange sessions to facilitate the sharing of experiences </w:t>
      </w:r>
      <w:r>
        <w:rPr>
          <w:rFonts w:cstheme="minorHAnsi"/>
        </w:rPr>
        <w:t>among</w:t>
      </w:r>
      <w:r w:rsidRPr="006510BD">
        <w:rPr>
          <w:rFonts w:cstheme="minorHAnsi"/>
        </w:rPr>
        <w:t xml:space="preserve"> specific countries and stakeholders to better understand commonalities, differences and lessons learned</w:t>
      </w:r>
      <w:r w:rsidR="002672C2">
        <w:rPr>
          <w:rFonts w:cstheme="minorHAnsi"/>
        </w:rPr>
        <w:t>.</w:t>
      </w:r>
    </w:p>
    <w:p w:rsidR="00247548" w:rsidRPr="006510BD" w:rsidRDefault="00247548" w:rsidP="002672C2">
      <w:pPr>
        <w:pStyle w:val="ListParagraph"/>
        <w:numPr>
          <w:ilvl w:val="0"/>
          <w:numId w:val="12"/>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rPr>
        <w:t xml:space="preserve">Encourage </w:t>
      </w:r>
      <w:r w:rsidRPr="006510BD">
        <w:rPr>
          <w:rFonts w:cstheme="minorHAnsi"/>
          <w:b/>
          <w:bCs/>
        </w:rPr>
        <w:t>participation of authors of contributions</w:t>
      </w:r>
      <w:r w:rsidRPr="006510BD">
        <w:rPr>
          <w:rFonts w:cstheme="minorHAnsi"/>
        </w:rPr>
        <w:t xml:space="preserve"> to ensure that sufficient expertise is available to answer more in-depth questions from other members when contributions are presented</w:t>
      </w:r>
      <w:r w:rsidR="002672C2">
        <w:rPr>
          <w:rFonts w:cstheme="minorHAnsi"/>
        </w:rPr>
        <w:t>.</w:t>
      </w:r>
    </w:p>
    <w:p w:rsidR="00247548" w:rsidRPr="006510BD" w:rsidRDefault="00247548" w:rsidP="00247548">
      <w:pPr>
        <w:pStyle w:val="ListParagraph"/>
        <w:numPr>
          <w:ilvl w:val="0"/>
          <w:numId w:val="12"/>
        </w:numPr>
        <w:tabs>
          <w:tab w:val="clear" w:pos="1134"/>
          <w:tab w:val="clear" w:pos="1871"/>
          <w:tab w:val="clear" w:pos="2268"/>
        </w:tabs>
        <w:overflowPunct/>
        <w:autoSpaceDE/>
        <w:autoSpaceDN/>
        <w:adjustRightInd/>
        <w:spacing w:after="120"/>
        <w:ind w:left="357" w:hanging="357"/>
        <w:contextualSpacing w:val="0"/>
        <w:textAlignment w:val="auto"/>
        <w:rPr>
          <w:rFonts w:cstheme="minorHAnsi"/>
        </w:rPr>
      </w:pPr>
      <w:r w:rsidRPr="006510BD">
        <w:rPr>
          <w:rFonts w:cstheme="minorHAnsi"/>
        </w:rPr>
        <w:t xml:space="preserve">Encourage </w:t>
      </w:r>
      <w:r w:rsidRPr="006510BD">
        <w:rPr>
          <w:rFonts w:cstheme="minorHAnsi"/>
          <w:b/>
          <w:bCs/>
        </w:rPr>
        <w:t>an open discussion between members of the management teams</w:t>
      </w:r>
      <w:r w:rsidRPr="006510BD">
        <w:rPr>
          <w:rFonts w:cstheme="minorHAnsi"/>
        </w:rPr>
        <w:t>, for example, to discuss what actions are undertaken by each member, identify problems to better measure progress made, etc.</w:t>
      </w:r>
    </w:p>
    <w:p w:rsidR="00247548" w:rsidRPr="006510BD" w:rsidRDefault="00247548" w:rsidP="00247548">
      <w:pPr>
        <w:pStyle w:val="ListParagraph"/>
        <w:numPr>
          <w:ilvl w:val="0"/>
          <w:numId w:val="14"/>
        </w:numPr>
        <w:tabs>
          <w:tab w:val="clear" w:pos="1134"/>
          <w:tab w:val="clear" w:pos="1871"/>
          <w:tab w:val="clear" w:pos="2268"/>
        </w:tabs>
        <w:overflowPunct/>
        <w:autoSpaceDE/>
        <w:autoSpaceDN/>
        <w:adjustRightInd/>
        <w:spacing w:after="120"/>
        <w:ind w:left="357" w:hanging="357"/>
        <w:textAlignment w:val="auto"/>
        <w:rPr>
          <w:rFonts w:cstheme="minorHAnsi"/>
        </w:rPr>
      </w:pPr>
      <w:r w:rsidRPr="006510BD">
        <w:rPr>
          <w:rFonts w:cstheme="minorHAnsi"/>
        </w:rPr>
        <w:t xml:space="preserve">Regarding the quality of </w:t>
      </w:r>
      <w:r w:rsidRPr="006510BD">
        <w:rPr>
          <w:rFonts w:cstheme="minorHAnsi"/>
          <w:b/>
          <w:bCs/>
        </w:rPr>
        <w:t>ITU-D study group deliverables</w:t>
      </w:r>
      <w:r w:rsidRPr="006510BD">
        <w:rPr>
          <w:rFonts w:cstheme="minorHAnsi"/>
        </w:rPr>
        <w:t xml:space="preserve"> and ensuring their usefulness for the ITU membership, the following points were raised:</w:t>
      </w:r>
    </w:p>
    <w:p w:rsidR="00247548" w:rsidRPr="006510BD" w:rsidRDefault="00247548" w:rsidP="00247548">
      <w:pPr>
        <w:pStyle w:val="ListParagraph"/>
        <w:numPr>
          <w:ilvl w:val="0"/>
          <w:numId w:val="13"/>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b/>
          <w:bCs/>
        </w:rPr>
        <w:t>Dissemination of deliverables/reports</w:t>
      </w:r>
      <w:r w:rsidRPr="006510BD">
        <w:rPr>
          <w:rFonts w:cstheme="minorHAnsi"/>
        </w:rPr>
        <w:t xml:space="preserve">: the reports are of good quality, countries need to be more aware of them to assist them in responding to their national priorities. One possible </w:t>
      </w:r>
      <w:r>
        <w:rPr>
          <w:rFonts w:cstheme="minorHAnsi"/>
        </w:rPr>
        <w:t>approach</w:t>
      </w:r>
      <w:r w:rsidRPr="006510BD">
        <w:rPr>
          <w:rFonts w:cstheme="minorHAnsi"/>
        </w:rPr>
        <w:t xml:space="preserve"> is to extend expert meetings and exchanges in the regions on the topics under study and the deliverables that are elaborated on</w:t>
      </w:r>
      <w:r w:rsidR="00AD0EFF">
        <w:rPr>
          <w:rFonts w:cstheme="minorHAnsi"/>
        </w:rPr>
        <w:t>.</w:t>
      </w:r>
    </w:p>
    <w:p w:rsidR="00247548" w:rsidRPr="006510BD" w:rsidRDefault="00247548" w:rsidP="00247548">
      <w:pPr>
        <w:pStyle w:val="ListParagraph"/>
        <w:numPr>
          <w:ilvl w:val="0"/>
          <w:numId w:val="13"/>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b/>
          <w:bCs/>
        </w:rPr>
        <w:t>Consolidation of deliverables/reports</w:t>
      </w:r>
      <w:r w:rsidRPr="006510BD">
        <w:rPr>
          <w:rFonts w:cstheme="minorHAnsi"/>
        </w:rPr>
        <w:t>: centralize all information on a topic in a single document and consider revising existing reports instead of creating a new report on the same topic. Parts of reports that are common to several Questions could be merged and shared in topical reports</w:t>
      </w:r>
      <w:r w:rsidR="00AD0EFF">
        <w:rPr>
          <w:rFonts w:cstheme="minorHAnsi"/>
        </w:rPr>
        <w:t>.</w:t>
      </w:r>
    </w:p>
    <w:p w:rsidR="00247548" w:rsidRPr="006510BD" w:rsidRDefault="00247548" w:rsidP="00AD0EFF">
      <w:pPr>
        <w:pStyle w:val="ListParagraph"/>
        <w:numPr>
          <w:ilvl w:val="0"/>
          <w:numId w:val="13"/>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b/>
          <w:bCs/>
        </w:rPr>
        <w:lastRenderedPageBreak/>
        <w:t>Revision of current deliverables/reports</w:t>
      </w:r>
      <w:r w:rsidRPr="006510BD">
        <w:rPr>
          <w:rFonts w:cstheme="minorHAnsi"/>
        </w:rPr>
        <w:t xml:space="preserve">: consider revising the reports on Question topics that span several study periods rather than creating new ones (as is currently done for ITU-D Recommendations and in ITU-R </w:t>
      </w:r>
      <w:r w:rsidR="00AD0EFF">
        <w:rPr>
          <w:rFonts w:cstheme="minorHAnsi"/>
        </w:rPr>
        <w:t>s</w:t>
      </w:r>
      <w:r w:rsidRPr="006510BD">
        <w:rPr>
          <w:rFonts w:cstheme="minorHAnsi"/>
        </w:rPr>
        <w:t xml:space="preserve">tudy </w:t>
      </w:r>
      <w:r w:rsidR="00AD0EFF">
        <w:rPr>
          <w:rFonts w:cstheme="minorHAnsi"/>
        </w:rPr>
        <w:t>g</w:t>
      </w:r>
      <w:r w:rsidRPr="006510BD">
        <w:rPr>
          <w:rFonts w:cstheme="minorHAnsi"/>
        </w:rPr>
        <w:t>roups)</w:t>
      </w:r>
      <w:r w:rsidR="00AD0EFF">
        <w:rPr>
          <w:rFonts w:cstheme="minorHAnsi"/>
        </w:rPr>
        <w:t>.</w:t>
      </w:r>
    </w:p>
    <w:p w:rsidR="00247548" w:rsidRPr="006510BD" w:rsidRDefault="00247548" w:rsidP="00AD0EFF">
      <w:pPr>
        <w:pStyle w:val="ListParagraph"/>
        <w:numPr>
          <w:ilvl w:val="0"/>
          <w:numId w:val="13"/>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b/>
          <w:bCs/>
        </w:rPr>
        <w:t>Region-specific reports</w:t>
      </w:r>
      <w:r w:rsidRPr="006510BD">
        <w:rPr>
          <w:rFonts w:cstheme="minorHAnsi"/>
        </w:rPr>
        <w:t>: reports, guidelines and/or conclusions</w:t>
      </w:r>
      <w:r w:rsidRPr="006510BD" w:rsidDel="00421CA6">
        <w:rPr>
          <w:rFonts w:cstheme="minorHAnsi"/>
        </w:rPr>
        <w:t xml:space="preserve"> </w:t>
      </w:r>
      <w:r w:rsidRPr="006510BD">
        <w:rPr>
          <w:rFonts w:cstheme="minorHAnsi"/>
        </w:rPr>
        <w:t xml:space="preserve">could be tailored to meet </w:t>
      </w:r>
      <w:r>
        <w:rPr>
          <w:rFonts w:cstheme="minorHAnsi"/>
        </w:rPr>
        <w:t xml:space="preserve">the </w:t>
      </w:r>
      <w:r w:rsidRPr="006510BD">
        <w:rPr>
          <w:rFonts w:cstheme="minorHAnsi"/>
        </w:rPr>
        <w:t>specific needs of the different regions</w:t>
      </w:r>
      <w:r w:rsidR="00AD0EFF">
        <w:rPr>
          <w:rFonts w:cstheme="minorHAnsi"/>
        </w:rPr>
        <w:t>.</w:t>
      </w:r>
    </w:p>
    <w:p w:rsidR="00247548" w:rsidRPr="006510BD" w:rsidRDefault="00247548" w:rsidP="00247548">
      <w:pPr>
        <w:pStyle w:val="ListParagraph"/>
        <w:numPr>
          <w:ilvl w:val="0"/>
          <w:numId w:val="13"/>
        </w:numPr>
        <w:tabs>
          <w:tab w:val="clear" w:pos="1134"/>
          <w:tab w:val="clear" w:pos="1871"/>
          <w:tab w:val="clear" w:pos="2268"/>
        </w:tabs>
        <w:overflowPunct/>
        <w:autoSpaceDE/>
        <w:autoSpaceDN/>
        <w:adjustRightInd/>
        <w:spacing w:after="120"/>
        <w:ind w:left="357" w:hanging="357"/>
        <w:contextualSpacing w:val="0"/>
        <w:textAlignment w:val="auto"/>
        <w:rPr>
          <w:rFonts w:cstheme="minorHAnsi"/>
        </w:rPr>
      </w:pPr>
      <w:r w:rsidRPr="006510BD">
        <w:rPr>
          <w:rFonts w:cstheme="minorHAnsi"/>
          <w:b/>
          <w:bCs/>
        </w:rPr>
        <w:t>Language and user-friendliness of reports</w:t>
      </w:r>
      <w:r w:rsidRPr="006510BD">
        <w:rPr>
          <w:rFonts w:cstheme="minorHAnsi"/>
        </w:rPr>
        <w:t xml:space="preserve">: a more </w:t>
      </w:r>
      <w:r w:rsidRPr="006510BD">
        <w:rPr>
          <w:rFonts w:cstheme="minorHAnsi"/>
          <w:b/>
          <w:bCs/>
        </w:rPr>
        <w:t>user-friendly and focused presentation</w:t>
      </w:r>
      <w:r w:rsidRPr="006510BD">
        <w:rPr>
          <w:rFonts w:cstheme="minorHAnsi"/>
        </w:rPr>
        <w:t xml:space="preserve"> of the deliverables/reports explaining complex technical matters in a </w:t>
      </w:r>
      <w:r w:rsidRPr="006510BD">
        <w:rPr>
          <w:rFonts w:cstheme="minorHAnsi"/>
          <w:b/>
          <w:bCs/>
        </w:rPr>
        <w:t>simple language</w:t>
      </w:r>
      <w:r w:rsidRPr="006510BD">
        <w:rPr>
          <w:rFonts w:cstheme="minorHAnsi"/>
        </w:rPr>
        <w:t xml:space="preserve"> was encouraged, noting that policy</w:t>
      </w:r>
      <w:r w:rsidR="00AD0EFF">
        <w:rPr>
          <w:rFonts w:cstheme="minorHAnsi"/>
        </w:rPr>
        <w:t>-</w:t>
      </w:r>
      <w:r w:rsidRPr="006510BD">
        <w:rPr>
          <w:rFonts w:cstheme="minorHAnsi"/>
        </w:rPr>
        <w:t>makers are not necessarily technical experts.</w:t>
      </w:r>
    </w:p>
    <w:p w:rsidR="00247548" w:rsidRPr="006510BD" w:rsidRDefault="00247548" w:rsidP="00AD0EFF">
      <w:pPr>
        <w:pStyle w:val="ListParagraph"/>
        <w:numPr>
          <w:ilvl w:val="0"/>
          <w:numId w:val="14"/>
        </w:numPr>
        <w:tabs>
          <w:tab w:val="clear" w:pos="1134"/>
          <w:tab w:val="clear" w:pos="1871"/>
          <w:tab w:val="clear" w:pos="2268"/>
        </w:tabs>
        <w:overflowPunct/>
        <w:autoSpaceDE/>
        <w:autoSpaceDN/>
        <w:adjustRightInd/>
        <w:spacing w:after="120"/>
        <w:ind w:left="357" w:hanging="357"/>
        <w:contextualSpacing w:val="0"/>
        <w:textAlignment w:val="auto"/>
        <w:rPr>
          <w:rFonts w:cstheme="minorHAnsi"/>
        </w:rPr>
      </w:pPr>
      <w:r w:rsidRPr="006510BD">
        <w:rPr>
          <w:rFonts w:cstheme="minorHAnsi"/>
        </w:rPr>
        <w:t xml:space="preserve">Regarding the </w:t>
      </w:r>
      <w:r w:rsidRPr="006510BD">
        <w:rPr>
          <w:rFonts w:cstheme="minorHAnsi"/>
          <w:b/>
          <w:bCs/>
        </w:rPr>
        <w:t>generation of great inputs for excellent outputs</w:t>
      </w:r>
      <w:r w:rsidRPr="006510BD">
        <w:rPr>
          <w:rFonts w:cstheme="minorHAnsi"/>
        </w:rPr>
        <w:t xml:space="preserve">, a suggestion was made to </w:t>
      </w:r>
      <w:r w:rsidRPr="006510BD">
        <w:rPr>
          <w:rFonts w:cstheme="minorHAnsi"/>
          <w:b/>
          <w:bCs/>
        </w:rPr>
        <w:t>work more closely with regional offices</w:t>
      </w:r>
      <w:r w:rsidRPr="006510BD">
        <w:rPr>
          <w:rFonts w:cstheme="minorHAnsi"/>
        </w:rPr>
        <w:t xml:space="preserve">. National data that </w:t>
      </w:r>
      <w:r w:rsidR="00AD0EFF">
        <w:rPr>
          <w:rFonts w:cstheme="minorHAnsi"/>
        </w:rPr>
        <w:t>are</w:t>
      </w:r>
      <w:r w:rsidRPr="006510BD">
        <w:rPr>
          <w:rFonts w:cstheme="minorHAnsi"/>
        </w:rPr>
        <w:t xml:space="preserve"> collected in the countries in the regions could be made available to the study groups for specific studies,</w:t>
      </w:r>
      <w:r>
        <w:rPr>
          <w:rFonts w:cstheme="minorHAnsi"/>
        </w:rPr>
        <w:t xml:space="preserve"> </w:t>
      </w:r>
      <w:r w:rsidRPr="006510BD">
        <w:rPr>
          <w:rFonts w:cstheme="minorHAnsi"/>
        </w:rPr>
        <w:t>through close collaboration between the regional ITU-D</w:t>
      </w:r>
      <w:r w:rsidR="00184D22">
        <w:rPr>
          <w:rFonts w:cstheme="minorHAnsi"/>
        </w:rPr>
        <w:t xml:space="preserve"> Study Group 1 and 2 vice-chairmen</w:t>
      </w:r>
      <w:r w:rsidRPr="006510BD">
        <w:rPr>
          <w:rFonts w:cstheme="minorHAnsi"/>
        </w:rPr>
        <w:t>, the Directors and focal points in the regional and area offices. Regional groups for ITU-D study groups, or certain study Questions, could be established as is done in ITU-T study groups</w:t>
      </w:r>
      <w:r w:rsidR="00DE1078">
        <w:rPr>
          <w:rFonts w:cstheme="minorHAnsi"/>
        </w:rPr>
        <w:t>.</w:t>
      </w:r>
    </w:p>
    <w:p w:rsidR="00247548" w:rsidRPr="00513650" w:rsidRDefault="00247548" w:rsidP="00513650">
      <w:pPr>
        <w:pStyle w:val="ListParagraph"/>
        <w:numPr>
          <w:ilvl w:val="0"/>
          <w:numId w:val="23"/>
        </w:numPr>
        <w:spacing w:before="240" w:after="120"/>
        <w:ind w:left="357" w:hanging="357"/>
        <w:contextualSpacing w:val="0"/>
        <w:rPr>
          <w:rFonts w:cstheme="minorHAnsi"/>
          <w:b/>
          <w:bCs/>
        </w:rPr>
      </w:pPr>
      <w:r w:rsidRPr="00513650">
        <w:rPr>
          <w:rFonts w:cstheme="minorHAnsi"/>
          <w:b/>
          <w:bCs/>
        </w:rPr>
        <w:t>Programme</w:t>
      </w:r>
      <w:r w:rsidR="00F60EA3" w:rsidRPr="00513650">
        <w:rPr>
          <w:rFonts w:cstheme="minorHAnsi"/>
          <w:b/>
          <w:bCs/>
        </w:rPr>
        <w:t xml:space="preserve"> topics</w:t>
      </w:r>
    </w:p>
    <w:p w:rsidR="00247548" w:rsidRPr="006510BD" w:rsidRDefault="00C27497" w:rsidP="004D22C2">
      <w:pPr>
        <w:keepNext/>
        <w:spacing w:after="120"/>
        <w:ind w:left="425" w:hanging="425"/>
        <w:rPr>
          <w:rFonts w:cstheme="minorHAnsi"/>
          <w:b/>
        </w:rPr>
      </w:pPr>
      <w:r>
        <w:rPr>
          <w:rFonts w:cstheme="minorHAnsi"/>
          <w:b/>
        </w:rPr>
        <w:t>2.1</w:t>
      </w:r>
      <w:r>
        <w:rPr>
          <w:rFonts w:cstheme="minorHAnsi"/>
          <w:b/>
        </w:rPr>
        <w:tab/>
      </w:r>
      <w:r w:rsidR="00247548" w:rsidRPr="006510BD">
        <w:rPr>
          <w:rFonts w:cstheme="minorHAnsi"/>
          <w:b/>
        </w:rPr>
        <w:t xml:space="preserve">ICT </w:t>
      </w:r>
      <w:r w:rsidR="00247548" w:rsidRPr="00973CFA">
        <w:rPr>
          <w:rFonts w:cstheme="minorHAnsi"/>
          <w:b/>
        </w:rPr>
        <w:t xml:space="preserve">data </w:t>
      </w:r>
      <w:r w:rsidR="00247548" w:rsidRPr="006510BD">
        <w:rPr>
          <w:rFonts w:cstheme="minorHAnsi"/>
          <w:b/>
        </w:rPr>
        <w:t>and statistics</w:t>
      </w:r>
    </w:p>
    <w:p w:rsidR="00247548" w:rsidRPr="006510BD" w:rsidRDefault="00247548" w:rsidP="00247548">
      <w:pPr>
        <w:keepNext/>
        <w:spacing w:after="120"/>
        <w:rPr>
          <w:rFonts w:cstheme="minorHAnsi"/>
          <w:b/>
        </w:rPr>
      </w:pPr>
      <w:r w:rsidRPr="006510BD">
        <w:rPr>
          <w:rFonts w:cstheme="minorHAnsi"/>
          <w:b/>
        </w:rPr>
        <w:t>Key takeaways:</w:t>
      </w:r>
    </w:p>
    <w:p w:rsidR="00247548" w:rsidRPr="006510BD" w:rsidRDefault="00247548" w:rsidP="00247548">
      <w:pPr>
        <w:pStyle w:val="ListParagraph"/>
        <w:numPr>
          <w:ilvl w:val="0"/>
          <w:numId w:val="11"/>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rPr>
        <w:t>Trust, relevance, visibility, accessibility to data and cooperation are essential components to re-establish ITU as the main global source for ICT statistics.</w:t>
      </w:r>
    </w:p>
    <w:p w:rsidR="00247548" w:rsidRPr="006510BD" w:rsidRDefault="00247548" w:rsidP="00247548">
      <w:pPr>
        <w:pStyle w:val="ListParagraph"/>
        <w:numPr>
          <w:ilvl w:val="0"/>
          <w:numId w:val="11"/>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rPr>
        <w:t>Be pragmatic and realistic when including new indicators in the ICT Development Index (IDI). Revisit the conceptual framework and focus on indicators with widely available quality data.</w:t>
      </w:r>
    </w:p>
    <w:p w:rsidR="00247548" w:rsidRPr="006510BD" w:rsidRDefault="00247548" w:rsidP="00247548">
      <w:pPr>
        <w:pStyle w:val="ListParagraph"/>
        <w:numPr>
          <w:ilvl w:val="0"/>
          <w:numId w:val="11"/>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rPr>
        <w:t xml:space="preserve">There are benefits and drawbacks </w:t>
      </w:r>
      <w:r>
        <w:rPr>
          <w:rFonts w:cstheme="minorHAnsi"/>
        </w:rPr>
        <w:t>to</w:t>
      </w:r>
      <w:r w:rsidRPr="006510BD">
        <w:rPr>
          <w:rFonts w:cstheme="minorHAnsi"/>
        </w:rPr>
        <w:t xml:space="preserve"> dividing the Measuring the Information Society Report into a series of smaller, more focused, high-impact reports. Cost implications need to be studied, including translation into all official ITU languages.</w:t>
      </w:r>
    </w:p>
    <w:p w:rsidR="00247548" w:rsidRPr="006510BD" w:rsidRDefault="00247548" w:rsidP="00247548">
      <w:pPr>
        <w:pStyle w:val="ListParagraph"/>
        <w:numPr>
          <w:ilvl w:val="0"/>
          <w:numId w:val="11"/>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rPr>
        <w:t>The IDI analysis should explore various factors, including the size of the country, and should go beyond reporting rankings by also providing policy recommendations.</w:t>
      </w:r>
    </w:p>
    <w:p w:rsidR="00247548" w:rsidRPr="006510BD" w:rsidRDefault="00247548" w:rsidP="00247548">
      <w:pPr>
        <w:keepNext/>
        <w:spacing w:after="120"/>
        <w:rPr>
          <w:rFonts w:cstheme="minorHAnsi"/>
          <w:b/>
        </w:rPr>
      </w:pPr>
      <w:r w:rsidRPr="006510BD">
        <w:rPr>
          <w:rFonts w:cstheme="minorHAnsi"/>
          <w:b/>
        </w:rPr>
        <w:t>Discussion summary:</w:t>
      </w:r>
    </w:p>
    <w:p w:rsidR="00247548" w:rsidRPr="006510BD" w:rsidRDefault="00247548" w:rsidP="00247548">
      <w:pPr>
        <w:spacing w:after="120"/>
        <w:rPr>
          <w:rFonts w:cstheme="minorHAnsi"/>
        </w:rPr>
      </w:pPr>
      <w:r w:rsidRPr="006510BD">
        <w:rPr>
          <w:rFonts w:cstheme="minorHAnsi"/>
        </w:rPr>
        <w:t>The discussion on ICT data and statistics cent</w:t>
      </w:r>
      <w:r>
        <w:rPr>
          <w:rFonts w:cstheme="minorHAnsi"/>
        </w:rPr>
        <w:t>red</w:t>
      </w:r>
      <w:r w:rsidRPr="006510BD">
        <w:rPr>
          <w:rFonts w:cstheme="minorHAnsi"/>
        </w:rPr>
        <w:t xml:space="preserve"> on three questions. The first was how to re-establish ITU as the main global source for ICT data. Trust, relevance, visibility, accessibility to data and cooperation with diverse stakeholders were seen to be the essential components. Visibility and accessibility can be improved by ensuring that access to statistics is free and simple th</w:t>
      </w:r>
      <w:r w:rsidR="00AD0EFF">
        <w:rPr>
          <w:rFonts w:cstheme="minorHAnsi"/>
        </w:rPr>
        <w:t>r</w:t>
      </w:r>
      <w:r w:rsidRPr="006510BD">
        <w:rPr>
          <w:rFonts w:cstheme="minorHAnsi"/>
        </w:rPr>
        <w:t xml:space="preserve">ough the ITU website. This would prevent users from having recourse to other organizations that are using ITU data without due acknowledgement. Trust can be enhanced by ensuring that the website reflects the most recent version of methodologies. By developing methodologies and collecting data on emerging trends and new services, such as social media, OTT, </w:t>
      </w:r>
      <w:proofErr w:type="spellStart"/>
      <w:r w:rsidRPr="006510BD">
        <w:rPr>
          <w:rFonts w:cstheme="minorHAnsi"/>
        </w:rPr>
        <w:t>IoT</w:t>
      </w:r>
      <w:proofErr w:type="spellEnd"/>
      <w:r w:rsidRPr="006510BD">
        <w:rPr>
          <w:rFonts w:cstheme="minorHAnsi"/>
        </w:rPr>
        <w:t xml:space="preserve"> and AI, ITU will remain a relevant actor. It is important to reinforce and establish partnerships with other stakeholders, such as OECD and Eurostat and with other ITU </w:t>
      </w:r>
      <w:r w:rsidR="00AD0EFF">
        <w:rPr>
          <w:rFonts w:cstheme="minorHAnsi"/>
        </w:rPr>
        <w:t>S</w:t>
      </w:r>
      <w:r w:rsidRPr="006510BD">
        <w:rPr>
          <w:rFonts w:cstheme="minorHAnsi"/>
        </w:rPr>
        <w:t>ectors. The functioning of expert groups can be improved by leveraging the vast knowledge of study groups when developing indicators on new topics, such as spectrum allocation. ITU delegates should have automatic access to the online expert groups, for example through their TIES account.</w:t>
      </w:r>
    </w:p>
    <w:p w:rsidR="00247548" w:rsidRPr="006510BD" w:rsidRDefault="00247548" w:rsidP="00247548">
      <w:pPr>
        <w:spacing w:after="120"/>
        <w:rPr>
          <w:rFonts w:cstheme="minorHAnsi"/>
        </w:rPr>
      </w:pPr>
      <w:r w:rsidRPr="006510BD">
        <w:rPr>
          <w:rFonts w:cstheme="minorHAnsi"/>
        </w:rPr>
        <w:t xml:space="preserve">The second question focused on problems encountered in the 2018 IDI calculations and a possible way forward for the publication of the IDI in 2019. It was noted that during the IDI revision in 2017, indicators were proposed for inclusion therein without addressing what the underlying </w:t>
      </w:r>
      <w:r w:rsidRPr="006510BD">
        <w:rPr>
          <w:rFonts w:cstheme="minorHAnsi"/>
        </w:rPr>
        <w:lastRenderedPageBreak/>
        <w:t>conceptual framework should be, leading to an unstable index. While some of the new indicators were appropriate, such as mobile network coverage, others have low data availability and are not fully harmonized among countries. Currently, too many data must be estimated.</w:t>
      </w:r>
      <w:r>
        <w:rPr>
          <w:rFonts w:cstheme="minorHAnsi"/>
        </w:rPr>
        <w:t xml:space="preserve"> A</w:t>
      </w:r>
      <w:r w:rsidRPr="006510BD">
        <w:rPr>
          <w:rFonts w:cstheme="minorHAnsi"/>
        </w:rPr>
        <w:t>n assessment should be conducted if sufficient high-quality data are available before the inclusion of a new indicator. ITU should be realistic and pragmatic. Partnerships should be strengthened with other international and regional organizations, NGOs, academia, etc., and countries should have access to the raw data.</w:t>
      </w:r>
    </w:p>
    <w:p w:rsidR="00247548" w:rsidRPr="006510BD" w:rsidRDefault="00247548" w:rsidP="00AD0EFF">
      <w:pPr>
        <w:spacing w:after="120"/>
        <w:rPr>
          <w:rFonts w:cstheme="minorHAnsi"/>
        </w:rPr>
      </w:pPr>
      <w:r w:rsidRPr="006510BD">
        <w:rPr>
          <w:rFonts w:cstheme="minorHAnsi"/>
        </w:rPr>
        <w:t xml:space="preserve">The third question concerned the publication of the Measuring the Information Society Report as a single report or as a series of smaller, more focused reports, which would also ensure a more timely release of the data. While a number of delegates noted that a series of shorter reports would enhance the visibility and impact of ITU data, others observed that since many different reports were already released every year – from ITU and from other organizations – there were benefits to maintaining the collated report. In any case, the financial implications should be studied, including translation of all reports into all official languages. Certain analytical suggestions were made. IDI rankings should be accompanied by recommendations for countries on improving their ranking. The report should also analyse the impact of various factors on the ranking, such as size of the country, and discuss separately </w:t>
      </w:r>
      <w:r w:rsidR="00AD0EFF">
        <w:rPr>
          <w:rFonts w:cstheme="minorHAnsi"/>
        </w:rPr>
        <w:t>l</w:t>
      </w:r>
      <w:r w:rsidRPr="006510BD">
        <w:rPr>
          <w:rFonts w:cstheme="minorHAnsi"/>
        </w:rPr>
        <w:t xml:space="preserve">andlocked </w:t>
      </w:r>
      <w:r w:rsidR="00AD0EFF">
        <w:rPr>
          <w:rFonts w:cstheme="minorHAnsi"/>
        </w:rPr>
        <w:t>d</w:t>
      </w:r>
      <w:r w:rsidRPr="006510BD">
        <w:rPr>
          <w:rFonts w:cstheme="minorHAnsi"/>
        </w:rPr>
        <w:t xml:space="preserve">eveloping </w:t>
      </w:r>
      <w:r w:rsidR="00AD0EFF">
        <w:rPr>
          <w:rFonts w:cstheme="minorHAnsi"/>
        </w:rPr>
        <w:t>c</w:t>
      </w:r>
      <w:r w:rsidRPr="006510BD">
        <w:rPr>
          <w:rFonts w:cstheme="minorHAnsi"/>
        </w:rPr>
        <w:t xml:space="preserve">ountries and </w:t>
      </w:r>
      <w:r w:rsidR="00AD0EFF">
        <w:rPr>
          <w:rFonts w:cstheme="minorHAnsi"/>
        </w:rPr>
        <w:t>s</w:t>
      </w:r>
      <w:r w:rsidRPr="006510BD">
        <w:rPr>
          <w:rFonts w:cstheme="minorHAnsi"/>
        </w:rPr>
        <w:t xml:space="preserve">mall </w:t>
      </w:r>
      <w:r w:rsidR="00AD0EFF">
        <w:rPr>
          <w:rFonts w:cstheme="minorHAnsi"/>
        </w:rPr>
        <w:t>i</w:t>
      </w:r>
      <w:r w:rsidRPr="006510BD">
        <w:rPr>
          <w:rFonts w:cstheme="minorHAnsi"/>
        </w:rPr>
        <w:t xml:space="preserve">sland </w:t>
      </w:r>
      <w:r w:rsidR="00AD0EFF">
        <w:rPr>
          <w:rFonts w:cstheme="minorHAnsi"/>
        </w:rPr>
        <w:t>d</w:t>
      </w:r>
      <w:r w:rsidRPr="006510BD">
        <w:rPr>
          <w:rFonts w:cstheme="minorHAnsi"/>
        </w:rPr>
        <w:t xml:space="preserve">eveloping </w:t>
      </w:r>
      <w:r w:rsidR="00AD0EFF">
        <w:rPr>
          <w:rFonts w:cstheme="minorHAnsi"/>
        </w:rPr>
        <w:t>s</w:t>
      </w:r>
      <w:r w:rsidRPr="006510BD">
        <w:rPr>
          <w:rFonts w:cstheme="minorHAnsi"/>
        </w:rPr>
        <w:t xml:space="preserve">tates. A high level of interest was also expressed in the price basket analysis. </w:t>
      </w:r>
    </w:p>
    <w:p w:rsidR="00247548" w:rsidRPr="006510BD" w:rsidRDefault="00C27497" w:rsidP="004D22C2">
      <w:pPr>
        <w:spacing w:after="120"/>
        <w:ind w:left="425" w:hanging="425"/>
        <w:rPr>
          <w:rFonts w:cstheme="minorHAnsi"/>
          <w:b/>
          <w:lang w:val="en-US"/>
        </w:rPr>
      </w:pPr>
      <w:r>
        <w:rPr>
          <w:rFonts w:cstheme="minorHAnsi"/>
          <w:b/>
          <w:lang w:val="en-US"/>
        </w:rPr>
        <w:t>2.2</w:t>
      </w:r>
      <w:r>
        <w:rPr>
          <w:rFonts w:cstheme="minorHAnsi"/>
          <w:b/>
          <w:lang w:val="en-US"/>
        </w:rPr>
        <w:tab/>
      </w:r>
      <w:r w:rsidR="00247548" w:rsidRPr="006510BD">
        <w:rPr>
          <w:rFonts w:cstheme="minorHAnsi"/>
          <w:b/>
          <w:lang w:val="en-US"/>
        </w:rPr>
        <w:t>ITU-D Innovation</w:t>
      </w:r>
    </w:p>
    <w:p w:rsidR="00247548" w:rsidRPr="006510BD" w:rsidRDefault="00247548" w:rsidP="00247548">
      <w:pPr>
        <w:spacing w:after="120"/>
        <w:rPr>
          <w:rFonts w:cstheme="minorHAnsi"/>
          <w:b/>
          <w:lang w:val="en-US"/>
        </w:rPr>
      </w:pPr>
      <w:r w:rsidRPr="006510BD">
        <w:rPr>
          <w:rFonts w:cstheme="minorHAnsi"/>
          <w:b/>
          <w:lang w:val="en-US"/>
        </w:rPr>
        <w:t>Key takeaways:</w:t>
      </w:r>
    </w:p>
    <w:p w:rsidR="00247548" w:rsidRPr="006510BD" w:rsidRDefault="00247548" w:rsidP="00247548">
      <w:pPr>
        <w:pStyle w:val="ListParagraph"/>
        <w:numPr>
          <w:ilvl w:val="0"/>
          <w:numId w:val="11"/>
        </w:numPr>
        <w:tabs>
          <w:tab w:val="clear" w:pos="1134"/>
          <w:tab w:val="clear" w:pos="1871"/>
          <w:tab w:val="clear" w:pos="2268"/>
        </w:tabs>
        <w:overflowPunct/>
        <w:autoSpaceDE/>
        <w:autoSpaceDN/>
        <w:adjustRightInd/>
        <w:spacing w:after="120"/>
        <w:textAlignment w:val="auto"/>
        <w:rPr>
          <w:rFonts w:cstheme="minorHAnsi"/>
          <w:lang w:val="en-US"/>
        </w:rPr>
      </w:pPr>
      <w:r w:rsidRPr="006510BD">
        <w:rPr>
          <w:rFonts w:cstheme="minorHAnsi"/>
          <w:lang w:val="en-US"/>
        </w:rPr>
        <w:t>Build an innovation culture at ITU: ITU should inject innovation into its products and services through creation with membership and promotion of intrapreneurship, developing innovative business models, innovation risk management and an innovation lab.</w:t>
      </w:r>
    </w:p>
    <w:p w:rsidR="00247548" w:rsidRPr="006510BD" w:rsidRDefault="00247548" w:rsidP="00247548">
      <w:pPr>
        <w:pStyle w:val="ListParagraph"/>
        <w:numPr>
          <w:ilvl w:val="0"/>
          <w:numId w:val="11"/>
        </w:numPr>
        <w:tabs>
          <w:tab w:val="clear" w:pos="1134"/>
          <w:tab w:val="clear" w:pos="1871"/>
          <w:tab w:val="clear" w:pos="2268"/>
        </w:tabs>
        <w:overflowPunct/>
        <w:autoSpaceDE/>
        <w:autoSpaceDN/>
        <w:adjustRightInd/>
        <w:spacing w:after="120"/>
        <w:textAlignment w:val="auto"/>
        <w:rPr>
          <w:rFonts w:cstheme="minorHAnsi"/>
          <w:lang w:val="en-US"/>
        </w:rPr>
      </w:pPr>
      <w:r w:rsidRPr="006510BD">
        <w:rPr>
          <w:rFonts w:cstheme="minorHAnsi"/>
          <w:lang w:val="en-US"/>
        </w:rPr>
        <w:t xml:space="preserve">Encourage membership to help scale ICT-centric innovation works: a national, regional or global platform should be developed that facilitates interaction </w:t>
      </w:r>
      <w:r>
        <w:rPr>
          <w:rFonts w:cstheme="minorHAnsi"/>
          <w:lang w:val="en-US"/>
        </w:rPr>
        <w:t>among</w:t>
      </w:r>
      <w:r w:rsidRPr="006510BD">
        <w:rPr>
          <w:rFonts w:cstheme="minorHAnsi"/>
          <w:lang w:val="en-US"/>
        </w:rPr>
        <w:t xml:space="preserve"> stakeholders (including diaspora) and shares success stories, good practices, problems and solutions.</w:t>
      </w:r>
    </w:p>
    <w:p w:rsidR="00247548" w:rsidRPr="006510BD" w:rsidRDefault="00247548" w:rsidP="00247548">
      <w:pPr>
        <w:pStyle w:val="ListParagraph"/>
        <w:numPr>
          <w:ilvl w:val="0"/>
          <w:numId w:val="11"/>
        </w:numPr>
        <w:tabs>
          <w:tab w:val="clear" w:pos="1134"/>
          <w:tab w:val="clear" w:pos="1871"/>
          <w:tab w:val="clear" w:pos="2268"/>
        </w:tabs>
        <w:overflowPunct/>
        <w:autoSpaceDE/>
        <w:autoSpaceDN/>
        <w:adjustRightInd/>
        <w:spacing w:after="120"/>
        <w:textAlignment w:val="auto"/>
        <w:rPr>
          <w:rFonts w:cstheme="minorHAnsi"/>
          <w:lang w:val="en-US"/>
        </w:rPr>
      </w:pPr>
      <w:r w:rsidRPr="006510BD">
        <w:rPr>
          <w:rFonts w:cstheme="minorHAnsi"/>
          <w:lang w:val="en-US"/>
        </w:rPr>
        <w:t>Scale assistance to countries: provision should be made for</w:t>
      </w:r>
      <w:r>
        <w:rPr>
          <w:rFonts w:cstheme="minorHAnsi"/>
          <w:lang w:val="en-US"/>
        </w:rPr>
        <w:t xml:space="preserve"> </w:t>
      </w:r>
      <w:r w:rsidRPr="006510BD">
        <w:rPr>
          <w:rFonts w:cstheme="minorHAnsi"/>
          <w:lang w:val="en-US"/>
        </w:rPr>
        <w:t>an innovation road</w:t>
      </w:r>
      <w:r w:rsidR="00AD0EFF">
        <w:rPr>
          <w:rFonts w:cstheme="minorHAnsi"/>
          <w:lang w:val="en-US"/>
        </w:rPr>
        <w:t xml:space="preserve"> </w:t>
      </w:r>
      <w:r w:rsidRPr="006510BD">
        <w:rPr>
          <w:rFonts w:cstheme="minorHAnsi"/>
          <w:lang w:val="en-US"/>
        </w:rPr>
        <w:t>map and institutional framework for its implementation, and a measurement framework to help scale ICT-centric innovation.</w:t>
      </w:r>
    </w:p>
    <w:p w:rsidR="00247548" w:rsidRPr="006510BD" w:rsidRDefault="00247548" w:rsidP="00247548">
      <w:pPr>
        <w:pStyle w:val="ListParagraph"/>
        <w:numPr>
          <w:ilvl w:val="0"/>
          <w:numId w:val="11"/>
        </w:numPr>
        <w:tabs>
          <w:tab w:val="clear" w:pos="1134"/>
          <w:tab w:val="clear" w:pos="1871"/>
          <w:tab w:val="clear" w:pos="2268"/>
        </w:tabs>
        <w:overflowPunct/>
        <w:autoSpaceDE/>
        <w:autoSpaceDN/>
        <w:adjustRightInd/>
        <w:spacing w:after="120"/>
        <w:textAlignment w:val="auto"/>
        <w:rPr>
          <w:rFonts w:cstheme="minorHAnsi"/>
          <w:lang w:val="en-US"/>
        </w:rPr>
      </w:pPr>
      <w:r w:rsidRPr="006510BD">
        <w:rPr>
          <w:rFonts w:cstheme="minorHAnsi"/>
        </w:rPr>
        <w:t>Help accelerate the innovation agenda of countries: innovation assistance funds can be established to accelerate countries’ innovation agendas.</w:t>
      </w:r>
    </w:p>
    <w:p w:rsidR="00247548" w:rsidRPr="006510BD" w:rsidRDefault="00247548" w:rsidP="00247548">
      <w:pPr>
        <w:spacing w:after="120"/>
        <w:rPr>
          <w:rFonts w:cstheme="minorHAnsi"/>
          <w:b/>
          <w:lang w:val="en-US"/>
        </w:rPr>
      </w:pPr>
      <w:r w:rsidRPr="006510BD">
        <w:rPr>
          <w:rFonts w:cstheme="minorHAnsi"/>
          <w:b/>
          <w:lang w:val="en-US"/>
        </w:rPr>
        <w:t>Discussion summary:</w:t>
      </w:r>
    </w:p>
    <w:p w:rsidR="00247548" w:rsidRPr="006510BD" w:rsidRDefault="00247548" w:rsidP="00247548">
      <w:pPr>
        <w:spacing w:after="120"/>
        <w:rPr>
          <w:rFonts w:cstheme="minorHAnsi"/>
          <w:b/>
          <w:bCs/>
          <w:lang w:val="en-US"/>
        </w:rPr>
      </w:pPr>
      <w:r w:rsidRPr="006510BD">
        <w:rPr>
          <w:rFonts w:cstheme="minorHAnsi"/>
          <w:b/>
          <w:bCs/>
        </w:rPr>
        <w:t>1. How can ITU build a culture of innovation throughout the organization?</w:t>
      </w:r>
    </w:p>
    <w:p w:rsidR="00247548" w:rsidRPr="006510BD" w:rsidRDefault="00247548" w:rsidP="00490F07">
      <w:pPr>
        <w:pStyle w:val="ListParagraph"/>
        <w:numPr>
          <w:ilvl w:val="0"/>
          <w:numId w:val="15"/>
        </w:numPr>
        <w:tabs>
          <w:tab w:val="clear" w:pos="1134"/>
          <w:tab w:val="clear" w:pos="1871"/>
          <w:tab w:val="clear" w:pos="2268"/>
        </w:tabs>
        <w:overflowPunct/>
        <w:autoSpaceDE/>
        <w:autoSpaceDN/>
        <w:adjustRightInd/>
        <w:spacing w:after="120"/>
        <w:textAlignment w:val="auto"/>
        <w:rPr>
          <w:rFonts w:cstheme="minorHAnsi"/>
          <w:lang w:val="en-US"/>
        </w:rPr>
      </w:pPr>
      <w:r w:rsidRPr="006510BD">
        <w:rPr>
          <w:rFonts w:cstheme="minorHAnsi"/>
          <w:lang w:val="en-US"/>
        </w:rPr>
        <w:t>ITU, in designing products and services, must inject innovation by co-creating and involving Member States (all stakeholders, young people, both genders, and persons with disabilities and specific needs) using a structured approach at the early stages</w:t>
      </w:r>
      <w:r w:rsidR="00490F07">
        <w:rPr>
          <w:rFonts w:cstheme="minorHAnsi"/>
          <w:lang w:val="en-US"/>
        </w:rPr>
        <w:t>.</w:t>
      </w:r>
    </w:p>
    <w:p w:rsidR="00247548" w:rsidRPr="006510BD" w:rsidRDefault="00247548" w:rsidP="00490F07">
      <w:pPr>
        <w:pStyle w:val="ListParagraph"/>
        <w:numPr>
          <w:ilvl w:val="0"/>
          <w:numId w:val="15"/>
        </w:numPr>
        <w:tabs>
          <w:tab w:val="clear" w:pos="1134"/>
          <w:tab w:val="clear" w:pos="1871"/>
          <w:tab w:val="clear" w:pos="2268"/>
        </w:tabs>
        <w:overflowPunct/>
        <w:autoSpaceDE/>
        <w:autoSpaceDN/>
        <w:adjustRightInd/>
        <w:spacing w:after="120"/>
        <w:textAlignment w:val="auto"/>
        <w:rPr>
          <w:rFonts w:cstheme="minorHAnsi"/>
          <w:lang w:val="en-US"/>
        </w:rPr>
      </w:pPr>
      <w:r w:rsidRPr="006510BD">
        <w:rPr>
          <w:rFonts w:cstheme="minorHAnsi"/>
          <w:lang w:val="en-US"/>
        </w:rPr>
        <w:t>Other proposals included promoting intrapreneurship, building frameworks to address the objectives set by Member States and developing innovative business models to deliver sustainably on the objectives</w:t>
      </w:r>
      <w:r w:rsidR="00490F07">
        <w:rPr>
          <w:rFonts w:cstheme="minorHAnsi"/>
          <w:lang w:val="en-US"/>
        </w:rPr>
        <w:t>.</w:t>
      </w:r>
      <w:r w:rsidRPr="006510BD">
        <w:rPr>
          <w:rFonts w:cstheme="minorHAnsi"/>
          <w:lang w:val="en-US"/>
        </w:rPr>
        <w:t xml:space="preserve"> </w:t>
      </w:r>
    </w:p>
    <w:p w:rsidR="00247548" w:rsidRPr="006510BD" w:rsidRDefault="00247548" w:rsidP="00247548">
      <w:pPr>
        <w:pStyle w:val="ListParagraph"/>
        <w:numPr>
          <w:ilvl w:val="0"/>
          <w:numId w:val="15"/>
        </w:numPr>
        <w:tabs>
          <w:tab w:val="clear" w:pos="1134"/>
          <w:tab w:val="clear" w:pos="1871"/>
          <w:tab w:val="clear" w:pos="2268"/>
        </w:tabs>
        <w:overflowPunct/>
        <w:autoSpaceDE/>
        <w:autoSpaceDN/>
        <w:adjustRightInd/>
        <w:spacing w:after="120"/>
        <w:textAlignment w:val="auto"/>
        <w:rPr>
          <w:rFonts w:cstheme="minorHAnsi"/>
          <w:lang w:val="en-US"/>
        </w:rPr>
      </w:pPr>
      <w:r w:rsidRPr="006510BD">
        <w:rPr>
          <w:rFonts w:cstheme="minorHAnsi"/>
          <w:lang w:val="en-US"/>
        </w:rPr>
        <w:t xml:space="preserve">The breakout group also noted the lack of experimentation space in ITU and proposed that ITU build an innovation lab. </w:t>
      </w:r>
    </w:p>
    <w:p w:rsidR="00247548" w:rsidRPr="006510BD" w:rsidRDefault="00247548" w:rsidP="00247548">
      <w:pPr>
        <w:spacing w:after="120"/>
        <w:rPr>
          <w:rFonts w:cstheme="minorHAnsi"/>
          <w:b/>
          <w:bCs/>
        </w:rPr>
      </w:pPr>
      <w:r w:rsidRPr="006510BD">
        <w:rPr>
          <w:rFonts w:cstheme="minorHAnsi"/>
          <w:b/>
          <w:bCs/>
        </w:rPr>
        <w:t>2. How might ITU membership help scale assistance to the countries to foster ICT-centric innovation ecosystems?</w:t>
      </w:r>
    </w:p>
    <w:p w:rsidR="00247548" w:rsidRPr="006510BD" w:rsidRDefault="00247548" w:rsidP="00490F07">
      <w:pPr>
        <w:pStyle w:val="ListParagraph"/>
        <w:numPr>
          <w:ilvl w:val="0"/>
          <w:numId w:val="16"/>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rPr>
        <w:lastRenderedPageBreak/>
        <w:t>A platform is needed to work with all stakeholders in clusters, providing a space for people to improve innovation in their communities at an early stage</w:t>
      </w:r>
      <w:r w:rsidR="00490F07">
        <w:rPr>
          <w:rFonts w:cstheme="minorHAnsi"/>
        </w:rPr>
        <w:t>.</w:t>
      </w:r>
      <w:r w:rsidR="00490F07" w:rsidRPr="006510BD">
        <w:rPr>
          <w:rFonts w:cstheme="minorHAnsi"/>
        </w:rPr>
        <w:t xml:space="preserve"> </w:t>
      </w:r>
    </w:p>
    <w:p w:rsidR="00247548" w:rsidRPr="006510BD" w:rsidRDefault="00247548" w:rsidP="00247548">
      <w:pPr>
        <w:pStyle w:val="ListParagraph"/>
        <w:numPr>
          <w:ilvl w:val="0"/>
          <w:numId w:val="16"/>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rPr>
        <w:t>Countries should be encouraged to showcase their innovations, products and services,</w:t>
      </w:r>
      <w:r>
        <w:rPr>
          <w:rFonts w:cstheme="minorHAnsi"/>
        </w:rPr>
        <w:t xml:space="preserve"> </w:t>
      </w:r>
      <w:r w:rsidRPr="006510BD">
        <w:rPr>
          <w:rFonts w:cstheme="minorHAnsi"/>
        </w:rPr>
        <w:t>enabling people to find solutions and addressing similar challenges shared by others. For example, regional offices can consider a system allowing them to highlight specific innovative ideas brought by a particular country</w:t>
      </w:r>
      <w:r w:rsidR="00490F07">
        <w:rPr>
          <w:rFonts w:cstheme="minorHAnsi"/>
        </w:rPr>
        <w:t>.</w:t>
      </w:r>
    </w:p>
    <w:p w:rsidR="00247548" w:rsidRPr="006510BD" w:rsidRDefault="00247548" w:rsidP="00247548">
      <w:pPr>
        <w:pStyle w:val="ListParagraph"/>
        <w:numPr>
          <w:ilvl w:val="0"/>
          <w:numId w:val="16"/>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rPr>
        <w:t>Countries can share good practices with others</w:t>
      </w:r>
      <w:r>
        <w:rPr>
          <w:rFonts w:cstheme="minorHAnsi"/>
        </w:rPr>
        <w:t xml:space="preserve"> </w:t>
      </w:r>
      <w:r w:rsidRPr="006510BD">
        <w:rPr>
          <w:rFonts w:cstheme="minorHAnsi"/>
        </w:rPr>
        <w:t>through ITU</w:t>
      </w:r>
      <w:r w:rsidR="00490F07">
        <w:rPr>
          <w:rFonts w:cstheme="minorHAnsi"/>
        </w:rPr>
        <w:t>.</w:t>
      </w:r>
    </w:p>
    <w:p w:rsidR="00247548" w:rsidRPr="006510BD" w:rsidRDefault="00247548" w:rsidP="00247548">
      <w:pPr>
        <w:pStyle w:val="ListParagraph"/>
        <w:numPr>
          <w:ilvl w:val="0"/>
          <w:numId w:val="16"/>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rPr>
        <w:t>Countries require national entities to steer their innovations. They should establish a national innovation agenda</w:t>
      </w:r>
      <w:r>
        <w:rPr>
          <w:rFonts w:cstheme="minorHAnsi"/>
        </w:rPr>
        <w:t xml:space="preserve"> and</w:t>
      </w:r>
      <w:r w:rsidRPr="006510BD">
        <w:rPr>
          <w:rFonts w:cstheme="minorHAnsi"/>
        </w:rPr>
        <w:t xml:space="preserve"> mechanisms for development</w:t>
      </w:r>
      <w:r>
        <w:rPr>
          <w:rFonts w:cstheme="minorHAnsi"/>
        </w:rPr>
        <w:t>,</w:t>
      </w:r>
      <w:r w:rsidRPr="006510BD">
        <w:rPr>
          <w:rFonts w:cstheme="minorHAnsi"/>
        </w:rPr>
        <w:t xml:space="preserve"> and receive assistance in building their road</w:t>
      </w:r>
      <w:r w:rsidR="00490F07">
        <w:rPr>
          <w:rFonts w:cstheme="minorHAnsi"/>
        </w:rPr>
        <w:t xml:space="preserve"> </w:t>
      </w:r>
      <w:r w:rsidRPr="006510BD">
        <w:rPr>
          <w:rFonts w:cstheme="minorHAnsi"/>
        </w:rPr>
        <w:t>maps to scale implementation.</w:t>
      </w:r>
    </w:p>
    <w:p w:rsidR="00247548" w:rsidRPr="006510BD" w:rsidRDefault="00247548" w:rsidP="00247548">
      <w:pPr>
        <w:spacing w:after="120"/>
        <w:rPr>
          <w:rFonts w:cstheme="minorHAnsi"/>
          <w:b/>
          <w:bCs/>
        </w:rPr>
      </w:pPr>
      <w:r w:rsidRPr="006510BD">
        <w:rPr>
          <w:rFonts w:cstheme="minorHAnsi"/>
          <w:b/>
          <w:bCs/>
        </w:rPr>
        <w:t>3. How might countries contribute to sharing of good practices, monitoring of ICT innovation capabilities and developing action plans that address the growing digital innovation gap?</w:t>
      </w:r>
    </w:p>
    <w:p w:rsidR="00247548" w:rsidRPr="006510BD" w:rsidRDefault="00247548" w:rsidP="00490F07">
      <w:pPr>
        <w:pStyle w:val="ListParagraph"/>
        <w:numPr>
          <w:ilvl w:val="0"/>
          <w:numId w:val="17"/>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rPr>
        <w:t>ITU should develop a key performance indicator system for countries to monitor and measure the progress of innovation within their countries</w:t>
      </w:r>
      <w:r w:rsidR="00490F07">
        <w:rPr>
          <w:rFonts w:cstheme="minorHAnsi"/>
        </w:rPr>
        <w:t>.</w:t>
      </w:r>
      <w:r w:rsidR="00BE016B">
        <w:rPr>
          <w:rFonts w:cstheme="minorHAnsi"/>
        </w:rPr>
        <w:t xml:space="preserve"> </w:t>
      </w:r>
    </w:p>
    <w:p w:rsidR="00247548" w:rsidRPr="006510BD" w:rsidRDefault="00247548" w:rsidP="00247548">
      <w:pPr>
        <w:pStyle w:val="ListParagraph"/>
        <w:numPr>
          <w:ilvl w:val="0"/>
          <w:numId w:val="17"/>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rPr>
        <w:t>Innovation assistance funds can help accelerate the innovation agenda.</w:t>
      </w:r>
    </w:p>
    <w:p w:rsidR="00247548" w:rsidRPr="006510BD" w:rsidRDefault="00C27497" w:rsidP="00490F07">
      <w:pPr>
        <w:spacing w:after="120"/>
        <w:ind w:left="425" w:hanging="425"/>
        <w:rPr>
          <w:rFonts w:cstheme="minorHAnsi"/>
          <w:b/>
          <w:lang w:val="en-US"/>
        </w:rPr>
      </w:pPr>
      <w:r>
        <w:rPr>
          <w:rFonts w:cstheme="minorHAnsi"/>
          <w:b/>
          <w:lang w:val="en-US"/>
        </w:rPr>
        <w:t>2.3</w:t>
      </w:r>
      <w:r>
        <w:rPr>
          <w:rFonts w:cstheme="minorHAnsi"/>
          <w:b/>
          <w:lang w:val="en-US"/>
        </w:rPr>
        <w:tab/>
      </w:r>
      <w:r w:rsidR="00247548" w:rsidRPr="006510BD">
        <w:rPr>
          <w:rFonts w:cstheme="minorHAnsi"/>
          <w:b/>
          <w:lang w:val="en-US"/>
        </w:rPr>
        <w:t xml:space="preserve">Telecoms/ICT </w:t>
      </w:r>
      <w:r w:rsidR="00490F07">
        <w:rPr>
          <w:rFonts w:cstheme="minorHAnsi"/>
          <w:b/>
          <w:lang w:val="en-US"/>
        </w:rPr>
        <w:t>n</w:t>
      </w:r>
      <w:r w:rsidR="00247548" w:rsidRPr="006510BD">
        <w:rPr>
          <w:rFonts w:cstheme="minorHAnsi"/>
          <w:b/>
          <w:lang w:val="en-US"/>
        </w:rPr>
        <w:t>etwork</w:t>
      </w:r>
      <w:r w:rsidR="00490F07">
        <w:rPr>
          <w:rFonts w:cstheme="minorHAnsi"/>
          <w:b/>
          <w:lang w:val="en-US"/>
        </w:rPr>
        <w:t xml:space="preserve"> i</w:t>
      </w:r>
      <w:r w:rsidR="00247548" w:rsidRPr="006510BD">
        <w:rPr>
          <w:rFonts w:cstheme="minorHAnsi"/>
          <w:b/>
          <w:lang w:val="en-US"/>
        </w:rPr>
        <w:t>nfrastructure</w:t>
      </w:r>
    </w:p>
    <w:p w:rsidR="00247548" w:rsidRPr="006510BD" w:rsidRDefault="00247548" w:rsidP="00247548">
      <w:pPr>
        <w:spacing w:after="120"/>
        <w:rPr>
          <w:rFonts w:cstheme="minorHAnsi"/>
          <w:b/>
          <w:lang w:val="en-US"/>
        </w:rPr>
      </w:pPr>
      <w:r w:rsidRPr="006510BD">
        <w:rPr>
          <w:rFonts w:cstheme="minorHAnsi"/>
          <w:b/>
          <w:lang w:val="en-US"/>
        </w:rPr>
        <w:t>Key takeaways:</w:t>
      </w:r>
    </w:p>
    <w:p w:rsidR="00247548" w:rsidRPr="006510BD" w:rsidRDefault="00247548" w:rsidP="00490F07">
      <w:pPr>
        <w:pStyle w:val="ListParagraph"/>
        <w:numPr>
          <w:ilvl w:val="0"/>
          <w:numId w:val="11"/>
        </w:numPr>
        <w:tabs>
          <w:tab w:val="clear" w:pos="1134"/>
          <w:tab w:val="clear" w:pos="1871"/>
          <w:tab w:val="clear" w:pos="2268"/>
        </w:tabs>
        <w:overflowPunct/>
        <w:autoSpaceDE/>
        <w:autoSpaceDN/>
        <w:adjustRightInd/>
        <w:spacing w:after="120"/>
        <w:textAlignment w:val="auto"/>
        <w:rPr>
          <w:rFonts w:cstheme="minorHAnsi"/>
          <w:lang w:val="en-US"/>
        </w:rPr>
      </w:pPr>
      <w:r w:rsidRPr="006510BD">
        <w:rPr>
          <w:rFonts w:cstheme="minorHAnsi"/>
          <w:lang w:val="en-US"/>
        </w:rPr>
        <w:t xml:space="preserve">Compilation of case studies on last mile connectivity, for example business and financing models, regulations and policies, </w:t>
      </w:r>
      <w:r w:rsidRPr="006510BD">
        <w:rPr>
          <w:rFonts w:cstheme="minorHAnsi"/>
        </w:rPr>
        <w:t xml:space="preserve">and preparation of </w:t>
      </w:r>
      <w:r w:rsidRPr="006510BD">
        <w:rPr>
          <w:rFonts w:cstheme="minorHAnsi"/>
          <w:lang w:val="en-US"/>
        </w:rPr>
        <w:t>g</w:t>
      </w:r>
      <w:proofErr w:type="spellStart"/>
      <w:r w:rsidRPr="006510BD">
        <w:rPr>
          <w:rFonts w:cstheme="minorHAnsi"/>
        </w:rPr>
        <w:t>uidelines</w:t>
      </w:r>
      <w:proofErr w:type="spellEnd"/>
      <w:r w:rsidRPr="006510BD">
        <w:rPr>
          <w:rFonts w:cstheme="minorHAnsi"/>
        </w:rPr>
        <w:t xml:space="preserve"> on the possible solutions.</w:t>
      </w:r>
      <w:r w:rsidR="00BE016B">
        <w:rPr>
          <w:rFonts w:cstheme="minorHAnsi"/>
          <w:lang w:val="en-US"/>
        </w:rPr>
        <w:t xml:space="preserve"> </w:t>
      </w:r>
    </w:p>
    <w:p w:rsidR="00247548" w:rsidRPr="006510BD" w:rsidRDefault="00247548" w:rsidP="00247548">
      <w:pPr>
        <w:pStyle w:val="ListParagraph"/>
        <w:numPr>
          <w:ilvl w:val="0"/>
          <w:numId w:val="11"/>
        </w:numPr>
        <w:tabs>
          <w:tab w:val="clear" w:pos="1134"/>
          <w:tab w:val="clear" w:pos="1871"/>
          <w:tab w:val="clear" w:pos="2268"/>
        </w:tabs>
        <w:overflowPunct/>
        <w:autoSpaceDE/>
        <w:autoSpaceDN/>
        <w:adjustRightInd/>
        <w:spacing w:after="120"/>
        <w:textAlignment w:val="auto"/>
        <w:rPr>
          <w:rFonts w:cstheme="minorHAnsi"/>
          <w:lang w:val="en-US"/>
        </w:rPr>
      </w:pPr>
      <w:r w:rsidRPr="006510BD">
        <w:rPr>
          <w:rFonts w:cstheme="minorHAnsi"/>
          <w:lang w:val="en-US"/>
        </w:rPr>
        <w:t>Creation of a platform to engage different stakeholders and promotion of collaboration on last mile connectivity and services.</w:t>
      </w:r>
    </w:p>
    <w:p w:rsidR="00247548" w:rsidRPr="006510BD" w:rsidRDefault="00247548" w:rsidP="00247548">
      <w:pPr>
        <w:pStyle w:val="ListParagraph"/>
        <w:numPr>
          <w:ilvl w:val="0"/>
          <w:numId w:val="11"/>
        </w:numPr>
        <w:tabs>
          <w:tab w:val="clear" w:pos="1134"/>
          <w:tab w:val="clear" w:pos="1871"/>
          <w:tab w:val="clear" w:pos="2268"/>
        </w:tabs>
        <w:overflowPunct/>
        <w:autoSpaceDE/>
        <w:autoSpaceDN/>
        <w:adjustRightInd/>
        <w:spacing w:after="120"/>
        <w:textAlignment w:val="auto"/>
        <w:rPr>
          <w:rFonts w:cstheme="minorHAnsi"/>
          <w:lang w:val="en-US"/>
        </w:rPr>
      </w:pPr>
      <w:r w:rsidRPr="006510BD">
        <w:rPr>
          <w:rFonts w:cstheme="minorHAnsi"/>
          <w:lang w:val="en-US"/>
        </w:rPr>
        <w:t>Promotion of the visibility and use of broadband maps, for example, through a link on the regulators’ and ICT ministries’ web</w:t>
      </w:r>
      <w:r w:rsidR="00490F07">
        <w:rPr>
          <w:rFonts w:cstheme="minorHAnsi"/>
          <w:lang w:val="en-US"/>
        </w:rPr>
        <w:t xml:space="preserve"> </w:t>
      </w:r>
      <w:r w:rsidRPr="006510BD">
        <w:rPr>
          <w:rFonts w:cstheme="minorHAnsi"/>
          <w:lang w:val="en-US"/>
        </w:rPr>
        <w:t xml:space="preserve">pages. </w:t>
      </w:r>
    </w:p>
    <w:p w:rsidR="00247548" w:rsidRPr="006510BD" w:rsidRDefault="00247548" w:rsidP="00247548">
      <w:pPr>
        <w:pStyle w:val="ListParagraph"/>
        <w:numPr>
          <w:ilvl w:val="0"/>
          <w:numId w:val="11"/>
        </w:numPr>
        <w:tabs>
          <w:tab w:val="clear" w:pos="1134"/>
          <w:tab w:val="clear" w:pos="1871"/>
          <w:tab w:val="clear" w:pos="2268"/>
        </w:tabs>
        <w:overflowPunct/>
        <w:autoSpaceDE/>
        <w:autoSpaceDN/>
        <w:adjustRightInd/>
        <w:spacing w:after="120"/>
        <w:textAlignment w:val="auto"/>
        <w:rPr>
          <w:rFonts w:cstheme="minorHAnsi"/>
          <w:lang w:val="en-US"/>
        </w:rPr>
      </w:pPr>
      <w:proofErr w:type="spellStart"/>
      <w:r w:rsidRPr="006510BD">
        <w:rPr>
          <w:rFonts w:cstheme="minorHAnsi"/>
        </w:rPr>
        <w:t>Promot</w:t>
      </w:r>
      <w:proofErr w:type="spellEnd"/>
      <w:r w:rsidRPr="006510BD">
        <w:rPr>
          <w:rFonts w:cstheme="minorHAnsi"/>
          <w:lang w:val="en-US"/>
        </w:rPr>
        <w:t>ion of</w:t>
      </w:r>
      <w:r w:rsidRPr="006510BD">
        <w:rPr>
          <w:rFonts w:cstheme="minorHAnsi"/>
        </w:rPr>
        <w:t xml:space="preserve"> the impact</w:t>
      </w:r>
      <w:r w:rsidRPr="006510BD">
        <w:rPr>
          <w:rFonts w:cstheme="minorHAnsi"/>
          <w:lang w:val="en-US"/>
        </w:rPr>
        <w:t>s</w:t>
      </w:r>
      <w:r w:rsidRPr="006510BD">
        <w:rPr>
          <w:rFonts w:cstheme="minorHAnsi"/>
        </w:rPr>
        <w:t xml:space="preserve"> and benefits of the </w:t>
      </w:r>
      <w:r w:rsidRPr="006510BD">
        <w:rPr>
          <w:rFonts w:cstheme="minorHAnsi"/>
          <w:lang w:val="en-US"/>
        </w:rPr>
        <w:t xml:space="preserve">analogue to digital broadcasting transition in specific regions and countries. </w:t>
      </w:r>
    </w:p>
    <w:p w:rsidR="00247548" w:rsidRPr="006510BD" w:rsidRDefault="00247548" w:rsidP="00247548">
      <w:pPr>
        <w:spacing w:after="120"/>
        <w:rPr>
          <w:rFonts w:cstheme="minorHAnsi"/>
          <w:b/>
          <w:lang w:val="en-US"/>
        </w:rPr>
      </w:pPr>
      <w:r w:rsidRPr="006510BD">
        <w:rPr>
          <w:rFonts w:cstheme="minorHAnsi"/>
          <w:b/>
          <w:lang w:val="en-US"/>
        </w:rPr>
        <w:t>Discussion summary:</w:t>
      </w:r>
    </w:p>
    <w:p w:rsidR="00247548" w:rsidRPr="006510BD" w:rsidRDefault="00247548" w:rsidP="00247548">
      <w:pPr>
        <w:tabs>
          <w:tab w:val="left" w:pos="6126"/>
        </w:tabs>
        <w:spacing w:after="120"/>
        <w:rPr>
          <w:rFonts w:cstheme="minorHAnsi"/>
          <w:lang w:val="en-US"/>
        </w:rPr>
      </w:pPr>
      <w:r w:rsidRPr="006510BD">
        <w:rPr>
          <w:rFonts w:cstheme="minorHAnsi"/>
          <w:lang w:val="en-US"/>
        </w:rPr>
        <w:t xml:space="preserve">The discussion on </w:t>
      </w:r>
      <w:r w:rsidRPr="006510BD">
        <w:rPr>
          <w:rFonts w:cstheme="minorHAnsi"/>
        </w:rPr>
        <w:t>telecoms/ICT network infrastructure</w:t>
      </w:r>
      <w:r w:rsidRPr="006510BD">
        <w:rPr>
          <w:rFonts w:cstheme="minorHAnsi"/>
          <w:lang w:val="en-US"/>
        </w:rPr>
        <w:t xml:space="preserve"> focused on the following questions:</w:t>
      </w:r>
    </w:p>
    <w:p w:rsidR="00247548" w:rsidRPr="006510BD" w:rsidRDefault="00247548" w:rsidP="00247548">
      <w:pPr>
        <w:pStyle w:val="ListParagraph"/>
        <w:numPr>
          <w:ilvl w:val="0"/>
          <w:numId w:val="1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rPr>
      </w:pPr>
      <w:r w:rsidRPr="006510BD">
        <w:rPr>
          <w:rFonts w:cstheme="minorHAnsi"/>
        </w:rPr>
        <w:t>How can ITU/ BDT most effectively assist countries in improving their last</w:t>
      </w:r>
      <w:r w:rsidRPr="006510BD">
        <w:rPr>
          <w:rFonts w:cstheme="minorHAnsi"/>
          <w:lang w:val="en-US"/>
        </w:rPr>
        <w:t xml:space="preserve"> </w:t>
      </w:r>
      <w:r w:rsidRPr="006510BD">
        <w:rPr>
          <w:rFonts w:cstheme="minorHAnsi"/>
        </w:rPr>
        <w:t>mile connectivity?</w:t>
      </w:r>
    </w:p>
    <w:p w:rsidR="00247548" w:rsidRPr="006510BD" w:rsidRDefault="00247548" w:rsidP="00247548">
      <w:pPr>
        <w:pStyle w:val="ListParagraph"/>
        <w:numPr>
          <w:ilvl w:val="0"/>
          <w:numId w:val="1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rPr>
      </w:pPr>
      <w:r w:rsidRPr="006510BD">
        <w:rPr>
          <w:rFonts w:cstheme="minorHAnsi"/>
        </w:rPr>
        <w:t xml:space="preserve">How </w:t>
      </w:r>
      <w:r w:rsidRPr="006510BD">
        <w:rPr>
          <w:rFonts w:cstheme="minorHAnsi"/>
          <w:lang w:val="en-US"/>
        </w:rPr>
        <w:t>can</w:t>
      </w:r>
      <w:r w:rsidRPr="006510BD">
        <w:rPr>
          <w:rFonts w:cstheme="minorHAnsi"/>
        </w:rPr>
        <w:t xml:space="preserve"> the information contained in the broadband maps be best used?</w:t>
      </w:r>
    </w:p>
    <w:p w:rsidR="00247548" w:rsidRPr="006510BD" w:rsidRDefault="00247548" w:rsidP="00247548">
      <w:pPr>
        <w:pStyle w:val="ListParagraph"/>
        <w:numPr>
          <w:ilvl w:val="0"/>
          <w:numId w:val="1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rPr>
      </w:pPr>
      <w:r w:rsidRPr="006510BD">
        <w:rPr>
          <w:rFonts w:cstheme="minorHAnsi"/>
        </w:rPr>
        <w:t>What are the impediments countries are facing to completing the digital broadcasting transition and how can ITU assist them</w:t>
      </w:r>
      <w:r w:rsidRPr="006510BD">
        <w:rPr>
          <w:rFonts w:cstheme="minorHAnsi"/>
          <w:lang w:val="en-US"/>
        </w:rPr>
        <w:t>?</w:t>
      </w:r>
    </w:p>
    <w:p w:rsidR="00247548" w:rsidRPr="006510BD" w:rsidRDefault="00247548" w:rsidP="00247548">
      <w:pPr>
        <w:spacing w:after="120"/>
        <w:rPr>
          <w:rFonts w:cstheme="minorHAnsi"/>
          <w:lang w:val="en-US"/>
        </w:rPr>
      </w:pPr>
      <w:r w:rsidRPr="006510BD">
        <w:rPr>
          <w:rFonts w:cstheme="minorHAnsi"/>
          <w:lang w:val="en-US"/>
        </w:rPr>
        <w:t>The discussion on Question 1 recognized that although different resources exist relating to last mile connectivity</w:t>
      </w:r>
      <w:r>
        <w:rPr>
          <w:rFonts w:cstheme="minorHAnsi"/>
          <w:lang w:val="en-US"/>
        </w:rPr>
        <w:t>,</w:t>
      </w:r>
      <w:r w:rsidRPr="006510BD">
        <w:rPr>
          <w:rFonts w:cstheme="minorHAnsi"/>
          <w:lang w:val="en-US"/>
        </w:rPr>
        <w:t xml:space="preserve"> the material is not easily accessible. It was also acknowledged that gaps in last mile connectivity exist both within a country and between neighboring countries. The main suggestions are:</w:t>
      </w:r>
      <w:r w:rsidR="00BE016B">
        <w:rPr>
          <w:rFonts w:cstheme="minorHAnsi"/>
          <w:lang w:val="en-US"/>
        </w:rPr>
        <w:t xml:space="preserve"> </w:t>
      </w:r>
    </w:p>
    <w:p w:rsidR="00247548" w:rsidRPr="006510BD" w:rsidRDefault="00DE1078" w:rsidP="00247548">
      <w:pPr>
        <w:pStyle w:val="ListParagraph"/>
        <w:numPr>
          <w:ilvl w:val="0"/>
          <w:numId w:val="1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lang w:val="en-US"/>
        </w:rPr>
      </w:pPr>
      <w:r>
        <w:rPr>
          <w:rFonts w:cstheme="minorHAnsi"/>
          <w:lang w:val="en-US"/>
        </w:rPr>
        <w:t>c</w:t>
      </w:r>
      <w:r w:rsidR="00247548" w:rsidRPr="006510BD">
        <w:rPr>
          <w:rFonts w:cstheme="minorHAnsi"/>
          <w:lang w:val="en-US"/>
        </w:rPr>
        <w:t xml:space="preserve">ompilation of case studies on last mile connectivity, presenting the </w:t>
      </w:r>
      <w:r w:rsidR="00247548" w:rsidRPr="006510BD">
        <w:rPr>
          <w:rFonts w:cstheme="minorHAnsi"/>
        </w:rPr>
        <w:t>countries’ experiences</w:t>
      </w:r>
      <w:r w:rsidR="00247548" w:rsidRPr="006510BD">
        <w:rPr>
          <w:rFonts w:cstheme="minorHAnsi"/>
          <w:lang w:val="en-US"/>
        </w:rPr>
        <w:t xml:space="preserve"> and practices, business models, policies and </w:t>
      </w:r>
      <w:r w:rsidR="00247548" w:rsidRPr="006510BD">
        <w:rPr>
          <w:rFonts w:cstheme="minorHAnsi"/>
        </w:rPr>
        <w:t>regulations;</w:t>
      </w:r>
    </w:p>
    <w:p w:rsidR="00247548" w:rsidRPr="006510BD" w:rsidRDefault="00DE1078" w:rsidP="00247548">
      <w:pPr>
        <w:pStyle w:val="ListParagraph"/>
        <w:numPr>
          <w:ilvl w:val="0"/>
          <w:numId w:val="1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lang w:val="en-US"/>
        </w:rPr>
      </w:pPr>
      <w:r>
        <w:rPr>
          <w:rFonts w:cstheme="minorHAnsi"/>
          <w:lang w:val="en-US"/>
        </w:rPr>
        <w:t>c</w:t>
      </w:r>
      <w:proofErr w:type="spellStart"/>
      <w:r w:rsidR="00247548" w:rsidRPr="006510BD">
        <w:rPr>
          <w:rFonts w:cstheme="minorHAnsi"/>
        </w:rPr>
        <w:t>onsideration</w:t>
      </w:r>
      <w:proofErr w:type="spellEnd"/>
      <w:r w:rsidR="00247548" w:rsidRPr="006510BD">
        <w:rPr>
          <w:rFonts w:cstheme="minorHAnsi"/>
          <w:lang w:val="en-US"/>
        </w:rPr>
        <w:t xml:space="preserve"> of </w:t>
      </w:r>
      <w:r w:rsidR="00247548" w:rsidRPr="006510BD">
        <w:rPr>
          <w:rFonts w:cstheme="minorHAnsi"/>
        </w:rPr>
        <w:t>community network models</w:t>
      </w:r>
      <w:r w:rsidR="00247548" w:rsidRPr="006510BD">
        <w:rPr>
          <w:rFonts w:cstheme="minorHAnsi"/>
          <w:lang w:val="en-US"/>
        </w:rPr>
        <w:t xml:space="preserve"> in policies and regulations by the regulators;</w:t>
      </w:r>
    </w:p>
    <w:p w:rsidR="00247548" w:rsidRPr="006510BD" w:rsidRDefault="00490F07" w:rsidP="00247548">
      <w:pPr>
        <w:pStyle w:val="ListParagraph"/>
        <w:numPr>
          <w:ilvl w:val="0"/>
          <w:numId w:val="1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lang w:val="en-US"/>
        </w:rPr>
      </w:pPr>
      <w:r>
        <w:rPr>
          <w:rFonts w:cstheme="minorHAnsi"/>
          <w:lang w:val="en-US"/>
        </w:rPr>
        <w:t>d</w:t>
      </w:r>
      <w:r w:rsidR="00247548" w:rsidRPr="006510BD">
        <w:rPr>
          <w:rFonts w:cstheme="minorHAnsi"/>
          <w:lang w:val="en-US"/>
        </w:rPr>
        <w:t>evelopment of p</w:t>
      </w:r>
      <w:proofErr w:type="spellStart"/>
      <w:r w:rsidR="00247548" w:rsidRPr="006510BD">
        <w:rPr>
          <w:rFonts w:cstheme="minorHAnsi"/>
        </w:rPr>
        <w:t>olicies</w:t>
      </w:r>
      <w:proofErr w:type="spellEnd"/>
      <w:r w:rsidR="00247548" w:rsidRPr="006510BD">
        <w:rPr>
          <w:rFonts w:cstheme="minorHAnsi"/>
        </w:rPr>
        <w:t xml:space="preserve"> </w:t>
      </w:r>
      <w:r w:rsidR="00247548" w:rsidRPr="006510BD">
        <w:rPr>
          <w:rFonts w:cstheme="minorHAnsi"/>
          <w:lang w:val="en-US"/>
        </w:rPr>
        <w:t xml:space="preserve">and </w:t>
      </w:r>
      <w:r w:rsidR="00247548" w:rsidRPr="006510BD">
        <w:rPr>
          <w:rFonts w:cstheme="minorHAnsi"/>
        </w:rPr>
        <w:t xml:space="preserve">regulations </w:t>
      </w:r>
      <w:r w:rsidR="00247548" w:rsidRPr="006510BD">
        <w:rPr>
          <w:rFonts w:cstheme="minorHAnsi"/>
          <w:lang w:val="en-US"/>
        </w:rPr>
        <w:t>to promote the</w:t>
      </w:r>
      <w:r w:rsidR="00247548" w:rsidRPr="006510BD">
        <w:rPr>
          <w:rFonts w:cstheme="minorHAnsi"/>
        </w:rPr>
        <w:t xml:space="preserve"> last mile </w:t>
      </w:r>
      <w:r w:rsidR="00247548" w:rsidRPr="006510BD">
        <w:rPr>
          <w:rFonts w:cstheme="minorHAnsi"/>
          <w:lang w:val="en-US"/>
        </w:rPr>
        <w:t xml:space="preserve">connectivity </w:t>
      </w:r>
      <w:r w:rsidR="00247548" w:rsidRPr="006510BD">
        <w:rPr>
          <w:rFonts w:cstheme="minorHAnsi"/>
        </w:rPr>
        <w:t xml:space="preserve">between and within </w:t>
      </w:r>
      <w:proofErr w:type="spellStart"/>
      <w:r w:rsidR="00247548" w:rsidRPr="006510BD">
        <w:rPr>
          <w:rFonts w:cstheme="minorHAnsi"/>
        </w:rPr>
        <w:t>countr</w:t>
      </w:r>
      <w:r w:rsidR="00247548" w:rsidRPr="006510BD">
        <w:rPr>
          <w:rFonts w:cstheme="minorHAnsi"/>
          <w:lang w:val="en-US"/>
        </w:rPr>
        <w:t>ies</w:t>
      </w:r>
      <w:proofErr w:type="spellEnd"/>
      <w:r w:rsidR="00247548" w:rsidRPr="006510BD">
        <w:rPr>
          <w:rFonts w:cstheme="minorHAnsi"/>
          <w:lang w:val="en-US"/>
        </w:rPr>
        <w:t>;</w:t>
      </w:r>
    </w:p>
    <w:p w:rsidR="00247548" w:rsidRPr="006510BD" w:rsidRDefault="00DE1078" w:rsidP="00247548">
      <w:pPr>
        <w:pStyle w:val="ListParagraph"/>
        <w:numPr>
          <w:ilvl w:val="0"/>
          <w:numId w:val="1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lang w:val="en-US"/>
        </w:rPr>
      </w:pPr>
      <w:proofErr w:type="spellStart"/>
      <w:r>
        <w:rPr>
          <w:rFonts w:cstheme="minorHAnsi"/>
          <w:lang w:val="en-US"/>
        </w:rPr>
        <w:t>i</w:t>
      </w:r>
      <w:r w:rsidR="00247548" w:rsidRPr="006510BD">
        <w:rPr>
          <w:rFonts w:cstheme="minorHAnsi"/>
        </w:rPr>
        <w:t>nnovative</w:t>
      </w:r>
      <w:proofErr w:type="spellEnd"/>
      <w:r w:rsidR="00247548" w:rsidRPr="006510BD">
        <w:rPr>
          <w:rFonts w:cstheme="minorHAnsi"/>
        </w:rPr>
        <w:t xml:space="preserve"> thinking around financing, business and taxation models</w:t>
      </w:r>
      <w:r w:rsidR="00247548" w:rsidRPr="006510BD">
        <w:rPr>
          <w:rFonts w:cstheme="minorHAnsi"/>
          <w:lang w:val="en-US"/>
        </w:rPr>
        <w:t xml:space="preserve"> to promote last mile connectivity;</w:t>
      </w:r>
      <w:r w:rsidR="00BE016B">
        <w:rPr>
          <w:rFonts w:cstheme="minorHAnsi"/>
          <w:lang w:val="en-US"/>
        </w:rPr>
        <w:t xml:space="preserve"> </w:t>
      </w:r>
    </w:p>
    <w:p w:rsidR="00247548" w:rsidRPr="006510BD" w:rsidRDefault="00DE1078" w:rsidP="00247548">
      <w:pPr>
        <w:pStyle w:val="ListParagraph"/>
        <w:numPr>
          <w:ilvl w:val="0"/>
          <w:numId w:val="1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lang w:val="en-US"/>
        </w:rPr>
      </w:pPr>
      <w:r>
        <w:rPr>
          <w:rFonts w:cstheme="minorHAnsi"/>
          <w:lang w:val="en-US"/>
        </w:rPr>
        <w:lastRenderedPageBreak/>
        <w:t>c</w:t>
      </w:r>
      <w:r w:rsidR="00247548" w:rsidRPr="006510BD">
        <w:rPr>
          <w:rFonts w:cstheme="minorHAnsi"/>
          <w:lang w:val="en-US"/>
        </w:rPr>
        <w:t xml:space="preserve">reation of a </w:t>
      </w:r>
      <w:r w:rsidR="00247548" w:rsidRPr="006510BD">
        <w:rPr>
          <w:rFonts w:cstheme="minorHAnsi"/>
        </w:rPr>
        <w:t>platform to engage stakeholders</w:t>
      </w:r>
      <w:r w:rsidR="00247548" w:rsidRPr="006510BD">
        <w:rPr>
          <w:rFonts w:cstheme="minorHAnsi"/>
          <w:lang w:val="en-US"/>
        </w:rPr>
        <w:t xml:space="preserve"> (e.g. through </w:t>
      </w:r>
      <w:r w:rsidR="00247548" w:rsidRPr="006510BD">
        <w:rPr>
          <w:rFonts w:cstheme="minorHAnsi"/>
        </w:rPr>
        <w:t>success stories and business cases</w:t>
      </w:r>
      <w:r w:rsidR="00247548" w:rsidRPr="006510BD">
        <w:rPr>
          <w:rFonts w:cstheme="minorHAnsi"/>
          <w:lang w:val="en-US"/>
        </w:rPr>
        <w:t>) and</w:t>
      </w:r>
      <w:r w:rsidR="00BE016B">
        <w:rPr>
          <w:rFonts w:cstheme="minorHAnsi"/>
          <w:lang w:val="en-US"/>
        </w:rPr>
        <w:t xml:space="preserve"> </w:t>
      </w:r>
      <w:r w:rsidR="00247548" w:rsidRPr="006510BD">
        <w:rPr>
          <w:rFonts w:cstheme="minorHAnsi"/>
          <w:lang w:val="en-US"/>
        </w:rPr>
        <w:t>promote c</w:t>
      </w:r>
      <w:r w:rsidR="00247548" w:rsidRPr="00DE1078">
        <w:rPr>
          <w:rFonts w:cstheme="minorHAnsi"/>
          <w:lang w:val="en-US"/>
        </w:rPr>
        <w:t>ooperation between</w:t>
      </w:r>
      <w:r w:rsidR="00247548" w:rsidRPr="006510BD">
        <w:rPr>
          <w:rFonts w:cstheme="minorHAnsi"/>
        </w:rPr>
        <w:t xml:space="preserve"> satellite and terrestrial operators </w:t>
      </w:r>
      <w:r w:rsidR="00247548" w:rsidRPr="006510BD">
        <w:rPr>
          <w:rFonts w:cstheme="minorHAnsi"/>
          <w:lang w:val="en-US"/>
        </w:rPr>
        <w:t>to provide last mile connectivity;</w:t>
      </w:r>
    </w:p>
    <w:p w:rsidR="00247548" w:rsidRPr="006510BD" w:rsidRDefault="00DE1078" w:rsidP="00247548">
      <w:pPr>
        <w:pStyle w:val="ListParagraph"/>
        <w:numPr>
          <w:ilvl w:val="0"/>
          <w:numId w:val="1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lang w:val="en-US"/>
        </w:rPr>
      </w:pPr>
      <w:r>
        <w:rPr>
          <w:rFonts w:cstheme="minorHAnsi"/>
          <w:lang w:val="en-US"/>
        </w:rPr>
        <w:t>u</w:t>
      </w:r>
      <w:r w:rsidR="00247548" w:rsidRPr="006510BD">
        <w:rPr>
          <w:rFonts w:cstheme="minorHAnsi"/>
        </w:rPr>
        <w:t xml:space="preserve">se the universal </w:t>
      </w:r>
      <w:r w:rsidR="00247548" w:rsidRPr="006510BD">
        <w:rPr>
          <w:rFonts w:cstheme="minorHAnsi"/>
          <w:lang w:val="en-US"/>
        </w:rPr>
        <w:t>service/access</w:t>
      </w:r>
      <w:r w:rsidR="00247548" w:rsidRPr="006510BD">
        <w:rPr>
          <w:rFonts w:cstheme="minorHAnsi"/>
        </w:rPr>
        <w:t xml:space="preserve"> funds</w:t>
      </w:r>
      <w:r w:rsidR="00247548" w:rsidRPr="006510BD">
        <w:rPr>
          <w:rFonts w:cstheme="minorHAnsi"/>
          <w:lang w:val="en-US"/>
        </w:rPr>
        <w:t xml:space="preserve"> </w:t>
      </w:r>
      <w:r w:rsidR="00247548">
        <w:rPr>
          <w:rFonts w:cstheme="minorHAnsi"/>
          <w:lang w:val="en-US"/>
        </w:rPr>
        <w:t xml:space="preserve">for </w:t>
      </w:r>
      <w:r w:rsidR="00247548" w:rsidRPr="006510BD">
        <w:rPr>
          <w:rFonts w:cstheme="minorHAnsi"/>
          <w:lang w:val="en-US"/>
        </w:rPr>
        <w:t>last mile connectivity projects;</w:t>
      </w:r>
    </w:p>
    <w:p w:rsidR="00247548" w:rsidRPr="006510BD" w:rsidRDefault="00DE1078" w:rsidP="00247548">
      <w:pPr>
        <w:pStyle w:val="ListParagraph"/>
        <w:numPr>
          <w:ilvl w:val="0"/>
          <w:numId w:val="1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lang w:val="en-US"/>
        </w:rPr>
      </w:pPr>
      <w:proofErr w:type="gramStart"/>
      <w:r>
        <w:rPr>
          <w:rFonts w:cstheme="minorHAnsi"/>
          <w:lang w:val="en-US"/>
        </w:rPr>
        <w:t>c</w:t>
      </w:r>
      <w:r w:rsidR="00247548" w:rsidRPr="006510BD">
        <w:rPr>
          <w:rFonts w:cstheme="minorHAnsi"/>
          <w:lang w:val="en-US"/>
        </w:rPr>
        <w:t>reation</w:t>
      </w:r>
      <w:proofErr w:type="gramEnd"/>
      <w:r w:rsidR="00247548" w:rsidRPr="006510BD">
        <w:rPr>
          <w:rFonts w:cstheme="minorHAnsi"/>
          <w:lang w:val="en-US"/>
        </w:rPr>
        <w:t xml:space="preserve"> of new business models to</w:t>
      </w:r>
      <w:r w:rsidR="00247548" w:rsidRPr="006510BD">
        <w:rPr>
          <w:rFonts w:cstheme="minorHAnsi"/>
        </w:rPr>
        <w:t xml:space="preserve"> attract </w:t>
      </w:r>
      <w:r w:rsidR="00247548" w:rsidRPr="006510BD">
        <w:rPr>
          <w:rFonts w:cstheme="minorHAnsi"/>
          <w:lang w:val="en-US"/>
        </w:rPr>
        <w:t xml:space="preserve">additional </w:t>
      </w:r>
      <w:r w:rsidR="00247548" w:rsidRPr="006510BD">
        <w:rPr>
          <w:rFonts w:cstheme="minorHAnsi"/>
        </w:rPr>
        <w:t>fun</w:t>
      </w:r>
      <w:r w:rsidR="00247548" w:rsidRPr="006510BD">
        <w:rPr>
          <w:rFonts w:cstheme="minorHAnsi"/>
          <w:lang w:val="en-US"/>
        </w:rPr>
        <w:t>ding.</w:t>
      </w:r>
    </w:p>
    <w:p w:rsidR="00247548" w:rsidRPr="006510BD" w:rsidRDefault="00247548" w:rsidP="00247548">
      <w:pPr>
        <w:spacing w:after="120"/>
        <w:rPr>
          <w:rFonts w:cstheme="minorHAnsi"/>
          <w:lang w:val="en-US"/>
        </w:rPr>
      </w:pPr>
      <w:r w:rsidRPr="006510BD">
        <w:rPr>
          <w:rFonts w:cstheme="minorHAnsi"/>
          <w:lang w:val="en-US"/>
        </w:rPr>
        <w:t xml:space="preserve">Regarding </w:t>
      </w:r>
      <w:r w:rsidR="00490F07">
        <w:rPr>
          <w:rFonts w:cstheme="minorHAnsi"/>
          <w:lang w:val="en-US"/>
        </w:rPr>
        <w:t>q</w:t>
      </w:r>
      <w:r w:rsidRPr="006510BD">
        <w:rPr>
          <w:rFonts w:cstheme="minorHAnsi"/>
          <w:lang w:val="en-US"/>
        </w:rPr>
        <w:t>uestion 2, the importance of the data being collected and displayed on the broadband map was acknowledged. These data provide reliable information on broadband, for example for investments. Drawing on another example from an NGO, access to the broadband map was recalled to promote innovation, allowing users to consider new solutions to connectivity problems. Recommendations were made for greater</w:t>
      </w:r>
      <w:r w:rsidRPr="006510BD">
        <w:rPr>
          <w:rFonts w:cstheme="minorHAnsi"/>
        </w:rPr>
        <w:t xml:space="preserve"> visibility </w:t>
      </w:r>
      <w:r w:rsidRPr="006510BD">
        <w:rPr>
          <w:rFonts w:cstheme="minorHAnsi"/>
          <w:lang w:val="en-US"/>
        </w:rPr>
        <w:t xml:space="preserve">of the broadband map </w:t>
      </w:r>
      <w:r w:rsidRPr="006510BD">
        <w:rPr>
          <w:rFonts w:cstheme="minorHAnsi"/>
        </w:rPr>
        <w:t>on the ITU website and other platforms,</w:t>
      </w:r>
      <w:r w:rsidRPr="006510BD">
        <w:rPr>
          <w:rFonts w:cstheme="minorHAnsi"/>
          <w:lang w:val="en-US"/>
        </w:rPr>
        <w:t xml:space="preserve"> to a</w:t>
      </w:r>
      <w:proofErr w:type="spellStart"/>
      <w:r w:rsidRPr="006510BD">
        <w:rPr>
          <w:rFonts w:cstheme="minorHAnsi"/>
        </w:rPr>
        <w:t>llow</w:t>
      </w:r>
      <w:proofErr w:type="spellEnd"/>
      <w:r w:rsidRPr="006510BD">
        <w:rPr>
          <w:rFonts w:cstheme="minorHAnsi"/>
        </w:rPr>
        <w:t xml:space="preserve"> </w:t>
      </w:r>
      <w:r w:rsidRPr="006510BD">
        <w:rPr>
          <w:rFonts w:cstheme="minorHAnsi"/>
          <w:lang w:val="en-US"/>
        </w:rPr>
        <w:t xml:space="preserve">more </w:t>
      </w:r>
      <w:r w:rsidRPr="006510BD">
        <w:rPr>
          <w:rFonts w:cstheme="minorHAnsi"/>
        </w:rPr>
        <w:t xml:space="preserve">people to </w:t>
      </w:r>
      <w:r w:rsidRPr="006510BD">
        <w:rPr>
          <w:rFonts w:cstheme="minorHAnsi"/>
          <w:lang w:val="en-US"/>
        </w:rPr>
        <w:t xml:space="preserve">use and </w:t>
      </w:r>
      <w:r w:rsidRPr="006510BD">
        <w:rPr>
          <w:rFonts w:cstheme="minorHAnsi"/>
        </w:rPr>
        <w:t xml:space="preserve">contribute to </w:t>
      </w:r>
      <w:r w:rsidRPr="006510BD">
        <w:rPr>
          <w:rFonts w:cstheme="minorHAnsi"/>
          <w:lang w:val="en-US"/>
        </w:rPr>
        <w:t xml:space="preserve">the </w:t>
      </w:r>
      <w:r>
        <w:rPr>
          <w:rFonts w:cstheme="minorHAnsi"/>
          <w:lang w:val="en-US"/>
        </w:rPr>
        <w:t>m</w:t>
      </w:r>
      <w:r w:rsidRPr="006510BD">
        <w:rPr>
          <w:rFonts w:cstheme="minorHAnsi"/>
          <w:lang w:val="en-US"/>
        </w:rPr>
        <w:t>ap. Regulators</w:t>
      </w:r>
      <w:r w:rsidRPr="006510BD">
        <w:rPr>
          <w:rFonts w:cstheme="minorHAnsi"/>
        </w:rPr>
        <w:t xml:space="preserve"> and </w:t>
      </w:r>
      <w:r w:rsidRPr="006510BD">
        <w:rPr>
          <w:rFonts w:cstheme="minorHAnsi"/>
          <w:lang w:val="en-US"/>
        </w:rPr>
        <w:t>ICT ministries could be invited to include a link to the broadband map on their website, for example.</w:t>
      </w:r>
      <w:r w:rsidR="00BE016B">
        <w:rPr>
          <w:rFonts w:cstheme="minorHAnsi"/>
          <w:lang w:val="en-US"/>
        </w:rPr>
        <w:t xml:space="preserve"> </w:t>
      </w:r>
      <w:r w:rsidRPr="006510BD">
        <w:rPr>
          <w:rFonts w:cstheme="minorHAnsi"/>
          <w:lang w:val="en-US"/>
        </w:rPr>
        <w:t xml:space="preserve">Lastly, it was suggested that countries should be asked </w:t>
      </w:r>
      <w:r w:rsidRPr="006510BD">
        <w:rPr>
          <w:rFonts w:cstheme="minorHAnsi"/>
        </w:rPr>
        <w:t>to provide data</w:t>
      </w:r>
      <w:r w:rsidRPr="006510BD">
        <w:rPr>
          <w:rFonts w:cstheme="minorHAnsi"/>
          <w:lang w:val="en-US"/>
        </w:rPr>
        <w:t xml:space="preserve">. </w:t>
      </w:r>
    </w:p>
    <w:p w:rsidR="00247548" w:rsidRPr="006510BD" w:rsidRDefault="00247548" w:rsidP="00490F07">
      <w:pPr>
        <w:spacing w:after="120"/>
        <w:rPr>
          <w:rFonts w:cstheme="minorHAnsi"/>
          <w:lang w:val="en-US"/>
        </w:rPr>
      </w:pPr>
      <w:r w:rsidRPr="006510BD">
        <w:rPr>
          <w:rFonts w:cstheme="minorHAnsi"/>
          <w:lang w:val="en-US"/>
        </w:rPr>
        <w:t xml:space="preserve">Concerning </w:t>
      </w:r>
      <w:r w:rsidR="00490F07">
        <w:rPr>
          <w:rFonts w:cstheme="minorHAnsi"/>
          <w:lang w:val="en-US"/>
        </w:rPr>
        <w:t>q</w:t>
      </w:r>
      <w:r w:rsidRPr="006510BD">
        <w:rPr>
          <w:rFonts w:cstheme="minorHAnsi"/>
          <w:lang w:val="en-US"/>
        </w:rPr>
        <w:t>uestion 3, participants recognized that migration issues were central to countries’ policies.</w:t>
      </w:r>
      <w:r w:rsidR="00BE016B">
        <w:rPr>
          <w:rFonts w:cstheme="minorHAnsi"/>
          <w:lang w:val="en-US"/>
        </w:rPr>
        <w:t xml:space="preserve"> </w:t>
      </w:r>
      <w:r>
        <w:rPr>
          <w:rFonts w:cstheme="minorHAnsi"/>
          <w:lang w:val="en-US"/>
        </w:rPr>
        <w:t>P</w:t>
      </w:r>
      <w:proofErr w:type="spellStart"/>
      <w:r w:rsidRPr="006510BD">
        <w:rPr>
          <w:rFonts w:cstheme="minorHAnsi"/>
        </w:rPr>
        <w:t>romot</w:t>
      </w:r>
      <w:r>
        <w:rPr>
          <w:rFonts w:cstheme="minorHAnsi"/>
        </w:rPr>
        <w:t>ion</w:t>
      </w:r>
      <w:proofErr w:type="spellEnd"/>
      <w:r>
        <w:rPr>
          <w:rFonts w:cstheme="minorHAnsi"/>
        </w:rPr>
        <w:t xml:space="preserve"> of</w:t>
      </w:r>
      <w:r w:rsidRPr="006510BD">
        <w:rPr>
          <w:rFonts w:cstheme="minorHAnsi"/>
        </w:rPr>
        <w:t xml:space="preserve"> the impact</w:t>
      </w:r>
      <w:r w:rsidRPr="006510BD">
        <w:rPr>
          <w:rFonts w:cstheme="minorHAnsi"/>
          <w:lang w:val="en-US"/>
        </w:rPr>
        <w:t>s</w:t>
      </w:r>
      <w:r w:rsidRPr="006510BD">
        <w:rPr>
          <w:rFonts w:cstheme="minorHAnsi"/>
        </w:rPr>
        <w:t xml:space="preserve"> and benefits of migration </w:t>
      </w:r>
      <w:r w:rsidRPr="006510BD">
        <w:rPr>
          <w:rFonts w:cstheme="minorHAnsi"/>
          <w:lang w:val="en-US"/>
        </w:rPr>
        <w:t xml:space="preserve">(e.g. through </w:t>
      </w:r>
      <w:r w:rsidRPr="006510BD">
        <w:rPr>
          <w:rFonts w:cstheme="minorHAnsi"/>
        </w:rPr>
        <w:t>workshops and platforms</w:t>
      </w:r>
      <w:r w:rsidRPr="006510BD">
        <w:rPr>
          <w:rFonts w:cstheme="minorHAnsi"/>
          <w:lang w:val="en-US"/>
        </w:rPr>
        <w:t>)</w:t>
      </w:r>
      <w:r w:rsidRPr="006510BD">
        <w:rPr>
          <w:rFonts w:cstheme="minorHAnsi"/>
        </w:rPr>
        <w:t xml:space="preserve"> </w:t>
      </w:r>
      <w:r w:rsidRPr="006510BD">
        <w:rPr>
          <w:rFonts w:cstheme="minorHAnsi"/>
          <w:lang w:val="en-US"/>
        </w:rPr>
        <w:t>and ITU</w:t>
      </w:r>
      <w:r>
        <w:rPr>
          <w:rFonts w:cstheme="minorHAnsi"/>
          <w:lang w:val="en-US"/>
        </w:rPr>
        <w:t>’s involvement</w:t>
      </w:r>
      <w:r w:rsidRPr="006510BD">
        <w:rPr>
          <w:rFonts w:cstheme="minorHAnsi"/>
        </w:rPr>
        <w:t xml:space="preserve"> in the policies, regulations and implementation</w:t>
      </w:r>
      <w:r w:rsidRPr="006510BD">
        <w:rPr>
          <w:rFonts w:cstheme="minorHAnsi"/>
          <w:lang w:val="en-US"/>
        </w:rPr>
        <w:t xml:space="preserve"> at country level</w:t>
      </w:r>
      <w:r>
        <w:rPr>
          <w:rFonts w:cstheme="minorHAnsi"/>
          <w:lang w:val="en-US"/>
        </w:rPr>
        <w:t xml:space="preserve"> was proposed</w:t>
      </w:r>
      <w:r w:rsidRPr="006510BD">
        <w:rPr>
          <w:rFonts w:cstheme="minorHAnsi"/>
          <w:lang w:val="en-US"/>
        </w:rPr>
        <w:t xml:space="preserve">. </w:t>
      </w:r>
    </w:p>
    <w:p w:rsidR="00247548" w:rsidRPr="006510BD" w:rsidRDefault="00C27497" w:rsidP="004D22C2">
      <w:pPr>
        <w:spacing w:after="120"/>
        <w:ind w:left="425" w:hanging="425"/>
        <w:rPr>
          <w:rFonts w:cstheme="minorHAnsi"/>
          <w:b/>
        </w:rPr>
      </w:pPr>
      <w:r>
        <w:rPr>
          <w:rFonts w:cstheme="minorHAnsi"/>
          <w:b/>
        </w:rPr>
        <w:t>2.4</w:t>
      </w:r>
      <w:r>
        <w:rPr>
          <w:rFonts w:cstheme="minorHAnsi"/>
          <w:b/>
        </w:rPr>
        <w:tab/>
      </w:r>
      <w:r w:rsidR="00247548" w:rsidRPr="006510BD">
        <w:rPr>
          <w:rFonts w:cstheme="minorHAnsi"/>
          <w:b/>
        </w:rPr>
        <w:t xml:space="preserve">Capacity </w:t>
      </w:r>
      <w:r w:rsidR="00247548" w:rsidRPr="00973CFA">
        <w:rPr>
          <w:rFonts w:cstheme="minorHAnsi"/>
          <w:b/>
        </w:rPr>
        <w:t>building and skills development</w:t>
      </w:r>
    </w:p>
    <w:p w:rsidR="00247548" w:rsidRPr="006510BD" w:rsidRDefault="00247548" w:rsidP="00247548">
      <w:pPr>
        <w:spacing w:after="120"/>
        <w:rPr>
          <w:rFonts w:cstheme="minorHAnsi"/>
          <w:b/>
        </w:rPr>
      </w:pPr>
      <w:r w:rsidRPr="006510BD">
        <w:rPr>
          <w:rFonts w:cstheme="minorHAnsi"/>
          <w:b/>
        </w:rPr>
        <w:t>Key takeaways:</w:t>
      </w:r>
    </w:p>
    <w:p w:rsidR="00247548" w:rsidRPr="006510BD" w:rsidRDefault="00247548" w:rsidP="00247548">
      <w:pPr>
        <w:pStyle w:val="ListParagraph"/>
        <w:numPr>
          <w:ilvl w:val="0"/>
          <w:numId w:val="11"/>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rPr>
        <w:t>ITU should extend its capacity development activities and provide digital skills training to those at the bottom of the pyramid and reach the unconnected</w:t>
      </w:r>
      <w:r>
        <w:rPr>
          <w:rFonts w:cstheme="minorHAnsi"/>
        </w:rPr>
        <w:t>. T</w:t>
      </w:r>
      <w:r w:rsidRPr="006510BD">
        <w:rPr>
          <w:rFonts w:cstheme="minorHAnsi"/>
        </w:rPr>
        <w:t xml:space="preserve">raining-of-trainers is a good approach in this regard. </w:t>
      </w:r>
    </w:p>
    <w:p w:rsidR="00247548" w:rsidRPr="006510BD" w:rsidRDefault="00247548" w:rsidP="00247548">
      <w:pPr>
        <w:pStyle w:val="ListParagraph"/>
        <w:numPr>
          <w:ilvl w:val="0"/>
          <w:numId w:val="11"/>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rPr>
        <w:t>ITU should also provide training for decision-makers, including from non-ICT sectors</w:t>
      </w:r>
      <w:r>
        <w:rPr>
          <w:rFonts w:cstheme="minorHAnsi"/>
        </w:rPr>
        <w:t>. T</w:t>
      </w:r>
      <w:r w:rsidRPr="006510BD">
        <w:rPr>
          <w:rFonts w:cstheme="minorHAnsi"/>
        </w:rPr>
        <w:t>his training should be policy-related and not overly technical.</w:t>
      </w:r>
    </w:p>
    <w:p w:rsidR="00247548" w:rsidRPr="006510BD" w:rsidRDefault="00247548" w:rsidP="00247548">
      <w:pPr>
        <w:pStyle w:val="ListParagraph"/>
        <w:numPr>
          <w:ilvl w:val="0"/>
          <w:numId w:val="11"/>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rPr>
        <w:t>Certified training is the best approach towards capacity building as it adds value and has a greater impact.</w:t>
      </w:r>
    </w:p>
    <w:p w:rsidR="00247548" w:rsidRPr="006510BD" w:rsidRDefault="00247548" w:rsidP="00247548">
      <w:pPr>
        <w:pStyle w:val="ListParagraph"/>
        <w:numPr>
          <w:ilvl w:val="0"/>
          <w:numId w:val="11"/>
        </w:numPr>
        <w:tabs>
          <w:tab w:val="clear" w:pos="1134"/>
          <w:tab w:val="clear" w:pos="1871"/>
          <w:tab w:val="clear" w:pos="2268"/>
        </w:tabs>
        <w:overflowPunct/>
        <w:autoSpaceDE/>
        <w:autoSpaceDN/>
        <w:adjustRightInd/>
        <w:spacing w:after="120"/>
        <w:textAlignment w:val="auto"/>
        <w:rPr>
          <w:rFonts w:cstheme="minorHAnsi"/>
        </w:rPr>
      </w:pPr>
      <w:r w:rsidRPr="006510BD">
        <w:rPr>
          <w:rFonts w:cstheme="minorHAnsi"/>
        </w:rPr>
        <w:t xml:space="preserve">Regional telecommunication organizations and local community networks should be involved in identifying gaps and reaching out to all citizens. </w:t>
      </w:r>
    </w:p>
    <w:p w:rsidR="00247548" w:rsidRPr="006510BD" w:rsidRDefault="00247548" w:rsidP="00247548">
      <w:pPr>
        <w:spacing w:after="120"/>
        <w:rPr>
          <w:rFonts w:cstheme="minorHAnsi"/>
          <w:b/>
        </w:rPr>
      </w:pPr>
      <w:r w:rsidRPr="006510BD">
        <w:rPr>
          <w:rFonts w:cstheme="minorHAnsi"/>
          <w:b/>
        </w:rPr>
        <w:t>Discussion summary:</w:t>
      </w:r>
    </w:p>
    <w:p w:rsidR="00A14B1F" w:rsidRDefault="00247548" w:rsidP="00A14B1F">
      <w:pPr>
        <w:rPr>
          <w:rFonts w:cstheme="minorHAnsi"/>
        </w:rPr>
      </w:pPr>
      <w:r w:rsidRPr="006510BD">
        <w:rPr>
          <w:rFonts w:cstheme="minorHAnsi"/>
        </w:rPr>
        <w:t>Around 30 delegates participated in the breakout group, including representatives from countries and Geneva missions. All three questions received due attention, with more emphasis on question 3 regarding extending ITU’s work on capacity and skills development to other target audiences. There was overall agreement that certified, structured training courses have greater value and impact compared with typical capacity-building workshops. In addition to the courses currently offered on the ITU Academy platform, training was also needed for policy</w:t>
      </w:r>
      <w:r w:rsidR="002672C2">
        <w:rPr>
          <w:rFonts w:cstheme="minorHAnsi"/>
        </w:rPr>
        <w:t>-</w:t>
      </w:r>
      <w:r w:rsidRPr="006510BD">
        <w:rPr>
          <w:rFonts w:cstheme="minorHAnsi"/>
        </w:rPr>
        <w:t>makers at decision-making and less technical levels. There was agreement that ITU should expand its capacity development work and provide digital skills training to those at the bottom of the pyramid and outside the ICT sector. In order to reach those currently unconnected, basic digital skills training for all age g</w:t>
      </w:r>
      <w:r>
        <w:rPr>
          <w:rFonts w:cstheme="minorHAnsi"/>
        </w:rPr>
        <w:t>r</w:t>
      </w:r>
      <w:r w:rsidRPr="006510BD">
        <w:rPr>
          <w:rFonts w:cstheme="minorHAnsi"/>
        </w:rPr>
        <w:t xml:space="preserve">oups was required. Such capacity-building work could be performed by involving local community networks, and developing and implementing training-of-trainers courses. Regional telecommunication organizations could help in the process of mapping capacity development initiatives, selecting experts, and identifying digital skills gaps and needs in the regions. An interregional approach could strengthen capacity development efforts and increase impact. </w:t>
      </w:r>
      <w:bookmarkEnd w:id="20"/>
    </w:p>
    <w:p w:rsidR="00965FD2" w:rsidRPr="00957B6C" w:rsidRDefault="00965FD2" w:rsidP="00D85A95">
      <w:pPr>
        <w:spacing w:before="0"/>
        <w:jc w:val="center"/>
        <w:rPr>
          <w:bCs/>
        </w:rPr>
      </w:pPr>
      <w:r w:rsidRPr="00957B6C">
        <w:rPr>
          <w:rStyle w:val="StyleComplex12pt"/>
          <w:rFonts w:cstheme="minorBidi"/>
          <w:color w:val="000000" w:themeColor="text1"/>
        </w:rPr>
        <w:t>________________</w:t>
      </w:r>
    </w:p>
    <w:sectPr w:rsidR="00965FD2" w:rsidRPr="00957B6C" w:rsidSect="00164733">
      <w:headerReference w:type="default" r:id="rId67"/>
      <w:footerReference w:type="even" r:id="rId68"/>
      <w:footerReference w:type="first" r:id="rId6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25B" w:rsidRDefault="00A7625B">
      <w:r>
        <w:separator/>
      </w:r>
    </w:p>
  </w:endnote>
  <w:endnote w:type="continuationSeparator" w:id="0">
    <w:p w:rsidR="00A7625B" w:rsidRDefault="00A7625B">
      <w:r>
        <w:continuationSeparator/>
      </w:r>
    </w:p>
  </w:endnote>
  <w:endnote w:type="continuationNotice" w:id="1">
    <w:p w:rsidR="00A7625B" w:rsidRDefault="00A7625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roid Serif">
    <w:altName w:val="Times New Roman"/>
    <w:charset w:val="00"/>
    <w:family w:val="roman"/>
    <w:pitch w:val="variable"/>
    <w:sig w:usb0="00000001" w:usb1="4000205B" w:usb2="00000028"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4" w:rsidRDefault="00EA4144">
    <w:pPr>
      <w:framePr w:wrap="around" w:vAnchor="text" w:hAnchor="margin" w:xAlign="right" w:y="1"/>
    </w:pPr>
    <w:r>
      <w:fldChar w:fldCharType="begin"/>
    </w:r>
    <w:r>
      <w:instrText xml:space="preserve">PAGE  </w:instrText>
    </w:r>
    <w:r>
      <w:fldChar w:fldCharType="separate"/>
    </w:r>
    <w:r>
      <w:rPr>
        <w:noProof/>
      </w:rPr>
      <w:t>1</w:t>
    </w:r>
    <w:r>
      <w:fldChar w:fldCharType="end"/>
    </w:r>
  </w:p>
  <w:p w:rsidR="00EA4144" w:rsidRPr="0041348E" w:rsidRDefault="00EA4144">
    <w:pPr>
      <w:ind w:right="360"/>
      <w:rPr>
        <w:lang w:val="en-US"/>
      </w:rPr>
    </w:pPr>
    <w:r>
      <w:fldChar w:fldCharType="begin"/>
    </w:r>
    <w:r w:rsidRPr="0041348E">
      <w:rPr>
        <w:lang w:val="en-US"/>
      </w:rPr>
      <w:instrText xml:space="preserve"> FILENAME \p  \* MERGEFORMAT </w:instrText>
    </w:r>
    <w:r>
      <w:fldChar w:fldCharType="separate"/>
    </w:r>
    <w:r>
      <w:rPr>
        <w:noProof/>
        <w:lang w:val="en-US"/>
      </w:rPr>
      <w:t>N:\TDAG\TDAG 19\TDAG 19 CHAIRMAN'S-REPORT 05 19.docx</w:t>
    </w:r>
    <w:r>
      <w:fldChar w:fldCharType="end"/>
    </w:r>
    <w:r w:rsidRPr="0041348E">
      <w:rPr>
        <w:lang w:val="en-US"/>
      </w:rPr>
      <w:tab/>
    </w:r>
    <w:r>
      <w:fldChar w:fldCharType="begin"/>
    </w:r>
    <w:r>
      <w:instrText xml:space="preserve"> SAVEDATE \@ DD.MM.YY </w:instrText>
    </w:r>
    <w:r>
      <w:fldChar w:fldCharType="separate"/>
    </w:r>
    <w:r>
      <w:rPr>
        <w:noProof/>
      </w:rPr>
      <w:t>30.05.19</w:t>
    </w:r>
    <w:r>
      <w:fldChar w:fldCharType="end"/>
    </w:r>
    <w:r w:rsidRPr="0041348E">
      <w:rPr>
        <w:lang w:val="en-US"/>
      </w:rPr>
      <w:tab/>
    </w:r>
    <w:r>
      <w:fldChar w:fldCharType="begin"/>
    </w:r>
    <w:r>
      <w:instrText xml:space="preserve"> PRINTDATE \@ DD.MM.YY </w:instrText>
    </w:r>
    <w:r>
      <w:fldChar w:fldCharType="separate"/>
    </w:r>
    <w:r>
      <w:rPr>
        <w:noProof/>
      </w:rPr>
      <w:t>16.05.19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EA4144" w:rsidRPr="001B09A2" w:rsidTr="007709CE">
      <w:tc>
        <w:tcPr>
          <w:tcW w:w="1526" w:type="dxa"/>
          <w:tcBorders>
            <w:top w:val="single" w:sz="4" w:space="0" w:color="000000" w:themeColor="text1"/>
          </w:tcBorders>
          <w:shd w:val="clear" w:color="auto" w:fill="auto"/>
        </w:tcPr>
        <w:p w:rsidR="00EA4144" w:rsidRPr="004D495C" w:rsidRDefault="00EA4144" w:rsidP="25A7936B">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shd w:val="clear" w:color="auto" w:fill="auto"/>
        </w:tcPr>
        <w:p w:rsidR="00EA4144" w:rsidRPr="004D495C" w:rsidRDefault="00EA4144" w:rsidP="25A7936B">
          <w:pPr>
            <w:pStyle w:val="FirstFooter"/>
            <w:tabs>
              <w:tab w:val="left" w:pos="2302"/>
            </w:tabs>
            <w:ind w:left="2302" w:hanging="2302"/>
            <w:rPr>
              <w:sz w:val="18"/>
              <w:szCs w:val="18"/>
              <w:lang w:val="en-US"/>
            </w:rPr>
          </w:pPr>
          <w:r w:rsidRPr="25A7936B">
            <w:rPr>
              <w:sz w:val="18"/>
              <w:szCs w:val="18"/>
              <w:lang w:val="en-US"/>
            </w:rPr>
            <w:t>Name/Organization/Entity:</w:t>
          </w:r>
        </w:p>
      </w:tc>
      <w:tc>
        <w:tcPr>
          <w:tcW w:w="5987" w:type="dxa"/>
          <w:tcBorders>
            <w:top w:val="single" w:sz="4" w:space="0" w:color="000000" w:themeColor="text1"/>
          </w:tcBorders>
          <w:shd w:val="clear" w:color="auto" w:fill="auto"/>
        </w:tcPr>
        <w:p w:rsidR="00EA4144" w:rsidRPr="001B09A2" w:rsidRDefault="00EA4144" w:rsidP="2D9C0B70">
          <w:pPr>
            <w:pStyle w:val="FirstFooter"/>
            <w:tabs>
              <w:tab w:val="left" w:pos="2302"/>
            </w:tabs>
            <w:rPr>
              <w:sz w:val="18"/>
              <w:szCs w:val="18"/>
              <w:highlight w:val="yellow"/>
            </w:rPr>
          </w:pPr>
          <w:bookmarkStart w:id="22" w:name="OrgName"/>
          <w:bookmarkEnd w:id="22"/>
          <w:r w:rsidRPr="001B09A2">
            <w:rPr>
              <w:sz w:val="18"/>
              <w:szCs w:val="18"/>
            </w:rPr>
            <w:t xml:space="preserve">Ms Roxanne McElvane Webber, </w:t>
          </w:r>
          <w:r>
            <w:rPr>
              <w:sz w:val="18"/>
              <w:szCs w:val="18"/>
            </w:rPr>
            <w:t>TDAG Chairman</w:t>
          </w:r>
        </w:p>
      </w:tc>
    </w:tr>
    <w:tr w:rsidR="00EA4144" w:rsidRPr="004D495C" w:rsidTr="2D9C0B70">
      <w:tc>
        <w:tcPr>
          <w:tcW w:w="1526" w:type="dxa"/>
          <w:shd w:val="clear" w:color="auto" w:fill="auto"/>
        </w:tcPr>
        <w:p w:rsidR="00EA4144" w:rsidRPr="001B09A2" w:rsidRDefault="00EA4144" w:rsidP="00D83BF5">
          <w:pPr>
            <w:pStyle w:val="FirstFooter"/>
            <w:tabs>
              <w:tab w:val="left" w:pos="1559"/>
              <w:tab w:val="left" w:pos="3828"/>
            </w:tabs>
            <w:rPr>
              <w:sz w:val="20"/>
            </w:rPr>
          </w:pPr>
        </w:p>
      </w:tc>
      <w:tc>
        <w:tcPr>
          <w:tcW w:w="2410" w:type="dxa"/>
          <w:shd w:val="clear" w:color="auto" w:fill="auto"/>
        </w:tcPr>
        <w:p w:rsidR="00EA4144" w:rsidRPr="004D495C" w:rsidRDefault="00EA4144" w:rsidP="25A7936B">
          <w:pPr>
            <w:pStyle w:val="FirstFooter"/>
            <w:tabs>
              <w:tab w:val="left" w:pos="2302"/>
            </w:tabs>
            <w:rPr>
              <w:sz w:val="18"/>
              <w:szCs w:val="18"/>
              <w:lang w:val="en-US"/>
            </w:rPr>
          </w:pPr>
          <w:r w:rsidRPr="25A7936B">
            <w:rPr>
              <w:sz w:val="18"/>
              <w:szCs w:val="18"/>
              <w:lang w:val="en-US"/>
            </w:rPr>
            <w:t>Phone number:</w:t>
          </w:r>
        </w:p>
      </w:tc>
      <w:tc>
        <w:tcPr>
          <w:tcW w:w="5987" w:type="dxa"/>
          <w:shd w:val="clear" w:color="auto" w:fill="auto"/>
        </w:tcPr>
        <w:p w:rsidR="00EA4144" w:rsidRPr="004D495C" w:rsidRDefault="00EA4144" w:rsidP="2D9C0B70">
          <w:pPr>
            <w:pStyle w:val="FirstFooter"/>
            <w:tabs>
              <w:tab w:val="left" w:pos="2302"/>
            </w:tabs>
            <w:rPr>
              <w:sz w:val="18"/>
              <w:szCs w:val="18"/>
              <w:highlight w:val="yellow"/>
              <w:lang w:val="en-US"/>
            </w:rPr>
          </w:pPr>
          <w:bookmarkStart w:id="23" w:name="PhoneNo"/>
          <w:bookmarkEnd w:id="23"/>
          <w:r w:rsidRPr="001B09A2">
            <w:rPr>
              <w:sz w:val="18"/>
              <w:szCs w:val="18"/>
            </w:rPr>
            <w:t>+1 202 418 1489</w:t>
          </w:r>
        </w:p>
      </w:tc>
    </w:tr>
    <w:tr w:rsidR="00EA4144" w:rsidRPr="004D495C" w:rsidTr="2D9C0B70">
      <w:tc>
        <w:tcPr>
          <w:tcW w:w="1526" w:type="dxa"/>
          <w:shd w:val="clear" w:color="auto" w:fill="auto"/>
        </w:tcPr>
        <w:p w:rsidR="00EA4144" w:rsidRPr="004D495C" w:rsidRDefault="00EA4144" w:rsidP="00D83BF5">
          <w:pPr>
            <w:pStyle w:val="FirstFooter"/>
            <w:tabs>
              <w:tab w:val="left" w:pos="1559"/>
              <w:tab w:val="left" w:pos="3828"/>
            </w:tabs>
            <w:rPr>
              <w:sz w:val="20"/>
              <w:lang w:val="en-US"/>
            </w:rPr>
          </w:pPr>
        </w:p>
      </w:tc>
      <w:tc>
        <w:tcPr>
          <w:tcW w:w="2410" w:type="dxa"/>
          <w:shd w:val="clear" w:color="auto" w:fill="auto"/>
        </w:tcPr>
        <w:p w:rsidR="00EA4144" w:rsidRPr="004D495C" w:rsidRDefault="00EA4144" w:rsidP="25A7936B">
          <w:pPr>
            <w:pStyle w:val="FirstFooter"/>
            <w:tabs>
              <w:tab w:val="left" w:pos="2302"/>
            </w:tabs>
            <w:rPr>
              <w:sz w:val="18"/>
              <w:szCs w:val="18"/>
              <w:lang w:val="en-US"/>
            </w:rPr>
          </w:pPr>
          <w:r w:rsidRPr="25A7936B">
            <w:rPr>
              <w:sz w:val="18"/>
              <w:szCs w:val="18"/>
              <w:lang w:val="en-US"/>
            </w:rPr>
            <w:t>E-mail:</w:t>
          </w:r>
        </w:p>
      </w:tc>
      <w:bookmarkStart w:id="24" w:name="Email"/>
      <w:bookmarkEnd w:id="24"/>
      <w:tc>
        <w:tcPr>
          <w:tcW w:w="5987" w:type="dxa"/>
          <w:shd w:val="clear" w:color="auto" w:fill="auto"/>
        </w:tcPr>
        <w:p w:rsidR="00EA4144" w:rsidRPr="004D495C" w:rsidRDefault="00EA4144" w:rsidP="25A7936B">
          <w:pPr>
            <w:pStyle w:val="FirstFooter"/>
            <w:tabs>
              <w:tab w:val="left" w:pos="2302"/>
            </w:tabs>
            <w:rPr>
              <w:sz w:val="18"/>
              <w:szCs w:val="18"/>
              <w:highlight w:val="yellow"/>
              <w:lang w:val="en-US"/>
            </w:rPr>
          </w:pPr>
          <w:r w:rsidRPr="25A7936B">
            <w:fldChar w:fldCharType="begin"/>
          </w:r>
          <w:r>
            <w:rPr>
              <w:sz w:val="18"/>
              <w:szCs w:val="18"/>
              <w:lang w:val="en-US"/>
            </w:rPr>
            <w:instrText xml:space="preserve"> HYPERLINK "mailto:r</w:instrText>
          </w:r>
          <w:r w:rsidRPr="001B09A2">
            <w:rPr>
              <w:sz w:val="18"/>
              <w:szCs w:val="18"/>
              <w:lang w:val="en-US"/>
            </w:rPr>
            <w:instrText>oxanne.webber@fcc.gov</w:instrText>
          </w:r>
          <w:r>
            <w:rPr>
              <w:sz w:val="18"/>
              <w:szCs w:val="18"/>
              <w:lang w:val="en-US"/>
            </w:rPr>
            <w:instrText xml:space="preserve">" </w:instrText>
          </w:r>
          <w:r w:rsidRPr="25A7936B">
            <w:rPr>
              <w:sz w:val="18"/>
              <w:szCs w:val="18"/>
              <w:lang w:val="en-US"/>
            </w:rPr>
            <w:fldChar w:fldCharType="separate"/>
          </w:r>
          <w:r w:rsidRPr="008A25D1">
            <w:rPr>
              <w:rStyle w:val="Hyperlink"/>
              <w:sz w:val="18"/>
              <w:szCs w:val="18"/>
              <w:lang w:val="en-US"/>
            </w:rPr>
            <w:t>roxanne.webber@fcc.gov</w:t>
          </w:r>
          <w:r w:rsidRPr="25A7936B">
            <w:fldChar w:fldCharType="end"/>
          </w:r>
          <w:r>
            <w:rPr>
              <w:sz w:val="18"/>
              <w:szCs w:val="18"/>
              <w:lang w:val="en-US"/>
            </w:rPr>
            <w:t xml:space="preserve"> </w:t>
          </w:r>
        </w:p>
      </w:tc>
    </w:tr>
  </w:tbl>
  <w:p w:rsidR="00EA4144" w:rsidRPr="00D83BF5" w:rsidRDefault="00EA4144" w:rsidP="001E252D">
    <w:pPr>
      <w:jc w:val="center"/>
    </w:pPr>
    <w:hyperlink r:id="rId1" w:history="1">
      <w:r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25B" w:rsidRDefault="00A7625B">
      <w:r>
        <w:rPr>
          <w:b/>
        </w:rPr>
        <w:t>_______________</w:t>
      </w:r>
    </w:p>
  </w:footnote>
  <w:footnote w:type="continuationSeparator" w:id="0">
    <w:p w:rsidR="00A7625B" w:rsidRDefault="00A7625B">
      <w:r>
        <w:continuationSeparator/>
      </w:r>
    </w:p>
  </w:footnote>
  <w:footnote w:type="continuationNotice" w:id="1">
    <w:p w:rsidR="00A7625B" w:rsidRDefault="00A7625B">
      <w:pPr>
        <w:spacing w:before="0"/>
      </w:pPr>
    </w:p>
  </w:footnote>
  <w:footnote w:id="2">
    <w:p w:rsidR="00EA4144" w:rsidRPr="007B36B3" w:rsidRDefault="00EA4144" w:rsidP="007E5B50">
      <w:pPr>
        <w:pStyle w:val="FootnoteText"/>
        <w:rPr>
          <w:lang w:val="en-US"/>
        </w:rPr>
      </w:pPr>
      <w:r>
        <w:rPr>
          <w:rStyle w:val="FootnoteReference"/>
        </w:rPr>
        <w:footnoteRef/>
      </w:r>
      <w:r>
        <w:t xml:space="preserve"> </w:t>
      </w:r>
      <w:r w:rsidRPr="007B36B3">
        <w:rPr>
          <w:sz w:val="20"/>
          <w:lang w:val="en-US"/>
        </w:rPr>
        <w:t>Once appointed, Vice Chair</w:t>
      </w:r>
      <w:r>
        <w:rPr>
          <w:sz w:val="20"/>
          <w:lang w:val="en-US"/>
        </w:rPr>
        <w:t>men</w:t>
      </w:r>
      <w:r w:rsidRPr="007B36B3">
        <w:rPr>
          <w:sz w:val="20"/>
          <w:lang w:val="en-US"/>
        </w:rPr>
        <w:t xml:space="preserve"> </w:t>
      </w:r>
      <w:r>
        <w:rPr>
          <w:sz w:val="20"/>
          <w:lang w:val="en-US"/>
        </w:rPr>
        <w:t xml:space="preserve">for the Americas region </w:t>
      </w:r>
      <w:r w:rsidRPr="007B36B3">
        <w:rPr>
          <w:sz w:val="20"/>
        </w:rPr>
        <w:t xml:space="preserve">Ms Amparo </w:t>
      </w:r>
      <w:proofErr w:type="spellStart"/>
      <w:r w:rsidRPr="007B36B3">
        <w:rPr>
          <w:sz w:val="20"/>
        </w:rPr>
        <w:t>Arango</w:t>
      </w:r>
      <w:proofErr w:type="spellEnd"/>
      <w:r w:rsidRPr="007B36B3">
        <w:rPr>
          <w:sz w:val="20"/>
        </w:rPr>
        <w:t xml:space="preserve"> </w:t>
      </w:r>
      <w:proofErr w:type="spellStart"/>
      <w:r w:rsidRPr="007B36B3">
        <w:rPr>
          <w:sz w:val="20"/>
        </w:rPr>
        <w:t>Echeverri</w:t>
      </w:r>
      <w:proofErr w:type="spellEnd"/>
      <w:r w:rsidRPr="007B36B3">
        <w:rPr>
          <w:sz w:val="20"/>
          <w:lang w:val="en-US"/>
        </w:rPr>
        <w:t xml:space="preserve"> </w:t>
      </w:r>
      <w:r>
        <w:rPr>
          <w:sz w:val="20"/>
          <w:lang w:val="en-US"/>
        </w:rPr>
        <w:t>(</w:t>
      </w:r>
      <w:r w:rsidRPr="007B36B3">
        <w:rPr>
          <w:b/>
          <w:sz w:val="20"/>
          <w:lang w:val="en-US"/>
        </w:rPr>
        <w:t>Dominican Republic</w:t>
      </w:r>
      <w:r>
        <w:rPr>
          <w:sz w:val="20"/>
          <w:lang w:val="en-US"/>
        </w:rPr>
        <w:t xml:space="preserve">) </w:t>
      </w:r>
      <w:r w:rsidRPr="007B36B3">
        <w:rPr>
          <w:sz w:val="20"/>
          <w:lang w:val="en-US"/>
        </w:rPr>
        <w:t>participated in the meetings remotely.</w:t>
      </w:r>
      <w:r>
        <w:rPr>
          <w:sz w:val="20"/>
          <w:lang w:val="en-US"/>
        </w:rPr>
        <w:t xml:space="preserve"> </w:t>
      </w:r>
      <w:r w:rsidRPr="00BF5B1F">
        <w:rPr>
          <w:sz w:val="20"/>
          <w:lang w:val="en-US"/>
        </w:rPr>
        <w:t>TDAG Vice Chair</w:t>
      </w:r>
      <w:r>
        <w:rPr>
          <w:sz w:val="20"/>
          <w:lang w:val="en-US"/>
        </w:rPr>
        <w:t>men</w:t>
      </w:r>
      <w:r w:rsidRPr="00BF5B1F">
        <w:rPr>
          <w:sz w:val="20"/>
          <w:lang w:val="en-US"/>
        </w:rPr>
        <w:t xml:space="preserve"> </w:t>
      </w:r>
      <w:proofErr w:type="spellStart"/>
      <w:r w:rsidRPr="007B36B3">
        <w:rPr>
          <w:sz w:val="20"/>
          <w:lang w:val="en-US"/>
        </w:rPr>
        <w:t>Nquyen</w:t>
      </w:r>
      <w:proofErr w:type="spellEnd"/>
      <w:r w:rsidRPr="007B36B3">
        <w:rPr>
          <w:sz w:val="20"/>
          <w:lang w:val="en-US"/>
        </w:rPr>
        <w:t xml:space="preserve"> </w:t>
      </w:r>
      <w:proofErr w:type="spellStart"/>
      <w:r w:rsidRPr="007B36B3">
        <w:rPr>
          <w:sz w:val="20"/>
          <w:lang w:val="en-US"/>
        </w:rPr>
        <w:t>Quyen</w:t>
      </w:r>
      <w:proofErr w:type="spellEnd"/>
      <w:r w:rsidRPr="007B36B3">
        <w:rPr>
          <w:sz w:val="20"/>
          <w:lang w:val="en-US"/>
        </w:rPr>
        <w:t xml:space="preserve"> (</w:t>
      </w:r>
      <w:r w:rsidRPr="007B36B3">
        <w:rPr>
          <w:b/>
          <w:sz w:val="20"/>
          <w:lang w:val="en-US"/>
        </w:rPr>
        <w:t>Viet Nam</w:t>
      </w:r>
      <w:r w:rsidRPr="007B36B3">
        <w:rPr>
          <w:sz w:val="20"/>
          <w:lang w:val="en-US"/>
        </w:rPr>
        <w:t xml:space="preserve">) Kishore </w:t>
      </w:r>
      <w:proofErr w:type="spellStart"/>
      <w:r w:rsidRPr="007B36B3">
        <w:rPr>
          <w:sz w:val="20"/>
          <w:lang w:val="en-US"/>
        </w:rPr>
        <w:t>Babu</w:t>
      </w:r>
      <w:proofErr w:type="spellEnd"/>
      <w:r w:rsidRPr="007B36B3">
        <w:rPr>
          <w:sz w:val="20"/>
          <w:lang w:val="en-US"/>
        </w:rPr>
        <w:t xml:space="preserve"> </w:t>
      </w:r>
      <w:proofErr w:type="spellStart"/>
      <w:r w:rsidRPr="007B36B3">
        <w:rPr>
          <w:sz w:val="20"/>
          <w:lang w:val="en-US"/>
        </w:rPr>
        <w:t>Yerraballa</w:t>
      </w:r>
      <w:proofErr w:type="spellEnd"/>
      <w:r w:rsidRPr="007B36B3">
        <w:rPr>
          <w:sz w:val="20"/>
          <w:lang w:val="en-US"/>
        </w:rPr>
        <w:t xml:space="preserve"> (</w:t>
      </w:r>
      <w:r w:rsidRPr="007B36B3">
        <w:rPr>
          <w:b/>
          <w:sz w:val="20"/>
          <w:lang w:val="en-US"/>
        </w:rPr>
        <w:t>India</w:t>
      </w:r>
      <w:r w:rsidRPr="007B36B3">
        <w:rPr>
          <w:sz w:val="20"/>
          <w:lang w:val="en-US"/>
        </w:rPr>
        <w:t>) Hugo Dario Miguel (</w:t>
      </w:r>
      <w:r w:rsidRPr="007B36B3">
        <w:rPr>
          <w:b/>
          <w:sz w:val="20"/>
          <w:lang w:val="en-US"/>
        </w:rPr>
        <w:t>Argentina</w:t>
      </w:r>
      <w:r w:rsidRPr="007B36B3">
        <w:rPr>
          <w:sz w:val="20"/>
          <w:lang w:val="en-US"/>
        </w:rPr>
        <w:t xml:space="preserve">) and Tariq </w:t>
      </w:r>
      <w:proofErr w:type="spellStart"/>
      <w:r w:rsidRPr="007B36B3">
        <w:rPr>
          <w:sz w:val="20"/>
          <w:lang w:val="en-US"/>
        </w:rPr>
        <w:t>Alamri</w:t>
      </w:r>
      <w:proofErr w:type="spellEnd"/>
      <w:r w:rsidRPr="007B36B3">
        <w:rPr>
          <w:sz w:val="20"/>
          <w:lang w:val="en-US"/>
        </w:rPr>
        <w:t xml:space="preserve"> (</w:t>
      </w:r>
      <w:r w:rsidRPr="007B36B3">
        <w:rPr>
          <w:b/>
          <w:sz w:val="20"/>
          <w:lang w:val="en-US"/>
        </w:rPr>
        <w:t>Saudi Arabia</w:t>
      </w:r>
      <w:r w:rsidRPr="007B36B3">
        <w:rPr>
          <w:sz w:val="20"/>
          <w:lang w:val="en-US"/>
        </w:rPr>
        <w:t>)</w:t>
      </w:r>
      <w:r w:rsidRPr="00BF5B1F">
        <w:rPr>
          <w:sz w:val="20"/>
          <w:lang w:val="en-US"/>
        </w:rPr>
        <w:t xml:space="preserve">, and </w:t>
      </w:r>
      <w:r w:rsidRPr="007B36B3">
        <w:rPr>
          <w:bCs/>
          <w:sz w:val="20"/>
        </w:rPr>
        <w:t xml:space="preserve">Ms </w:t>
      </w:r>
      <w:proofErr w:type="spellStart"/>
      <w:r w:rsidRPr="007B36B3">
        <w:rPr>
          <w:bCs/>
          <w:sz w:val="20"/>
        </w:rPr>
        <w:t>Aichurok</w:t>
      </w:r>
      <w:proofErr w:type="spellEnd"/>
      <w:r w:rsidRPr="007B36B3">
        <w:rPr>
          <w:bCs/>
          <w:sz w:val="20"/>
        </w:rPr>
        <w:t xml:space="preserve"> </w:t>
      </w:r>
      <w:proofErr w:type="spellStart"/>
      <w:r w:rsidRPr="007B36B3">
        <w:rPr>
          <w:bCs/>
          <w:sz w:val="20"/>
        </w:rPr>
        <w:t>Maralbek</w:t>
      </w:r>
      <w:proofErr w:type="spellEnd"/>
      <w:r w:rsidRPr="007B36B3">
        <w:rPr>
          <w:bCs/>
          <w:sz w:val="20"/>
        </w:rPr>
        <w:t xml:space="preserve"> </w:t>
      </w:r>
      <w:proofErr w:type="spellStart"/>
      <w:r w:rsidRPr="007B36B3">
        <w:rPr>
          <w:bCs/>
          <w:sz w:val="20"/>
        </w:rPr>
        <w:t>Kyzy</w:t>
      </w:r>
      <w:proofErr w:type="spellEnd"/>
      <w:r w:rsidRPr="007B36B3">
        <w:rPr>
          <w:sz w:val="20"/>
          <w:lang w:val="en-US"/>
        </w:rPr>
        <w:t xml:space="preserve"> (</w:t>
      </w:r>
      <w:r w:rsidRPr="007B36B3">
        <w:rPr>
          <w:b/>
          <w:sz w:val="20"/>
          <w:lang w:val="en-US"/>
        </w:rPr>
        <w:t>Kyrgyz Republic</w:t>
      </w:r>
      <w:r w:rsidRPr="007B36B3">
        <w:rPr>
          <w:sz w:val="20"/>
          <w:lang w:val="en-US"/>
        </w:rPr>
        <w:t xml:space="preserve">) </w:t>
      </w:r>
      <w:r w:rsidRPr="00BF5B1F">
        <w:rPr>
          <w:sz w:val="20"/>
          <w:lang w:val="en-US"/>
        </w:rPr>
        <w:t xml:space="preserve">were unable to </w:t>
      </w:r>
      <w:r>
        <w:rPr>
          <w:sz w:val="20"/>
          <w:lang w:val="en-US"/>
        </w:rPr>
        <w:t xml:space="preserve">attend. </w:t>
      </w:r>
    </w:p>
  </w:footnote>
  <w:footnote w:id="3">
    <w:p w:rsidR="00EA4144" w:rsidRPr="00A96622" w:rsidRDefault="00EA4144">
      <w:pPr>
        <w:pStyle w:val="FootnoteText"/>
        <w:rPr>
          <w:lang w:val="en-US"/>
        </w:rPr>
      </w:pPr>
      <w:r>
        <w:rPr>
          <w:rStyle w:val="FootnoteReference"/>
        </w:rPr>
        <w:footnoteRef/>
      </w:r>
      <w:r>
        <w:rPr>
          <w:sz w:val="20"/>
          <w:lang w:val="en-US"/>
        </w:rPr>
        <w:t xml:space="preserve"> (</w:t>
      </w:r>
      <w:proofErr w:type="spellStart"/>
      <w:r>
        <w:rPr>
          <w:sz w:val="20"/>
          <w:lang w:val="en-US"/>
        </w:rPr>
        <w:t>i</w:t>
      </w:r>
      <w:proofErr w:type="spellEnd"/>
      <w:r>
        <w:rPr>
          <w:sz w:val="20"/>
          <w:lang w:val="en-US"/>
        </w:rPr>
        <w:t xml:space="preserve">) </w:t>
      </w:r>
      <w:r w:rsidRPr="00A96622">
        <w:rPr>
          <w:sz w:val="20"/>
          <w:lang w:val="en-US"/>
        </w:rPr>
        <w:t xml:space="preserve">Infrastructure and </w:t>
      </w:r>
      <w:r>
        <w:rPr>
          <w:sz w:val="20"/>
          <w:lang w:val="en-US"/>
        </w:rPr>
        <w:t>S</w:t>
      </w:r>
      <w:r w:rsidRPr="00A96622">
        <w:rPr>
          <w:sz w:val="20"/>
          <w:lang w:val="en-US"/>
        </w:rPr>
        <w:t xml:space="preserve">pectrum </w:t>
      </w:r>
      <w:r>
        <w:rPr>
          <w:sz w:val="20"/>
          <w:lang w:val="en-US"/>
        </w:rPr>
        <w:t>M</w:t>
      </w:r>
      <w:r w:rsidRPr="00A96622">
        <w:rPr>
          <w:sz w:val="20"/>
          <w:lang w:val="en-US"/>
        </w:rPr>
        <w:t xml:space="preserve">anagement; </w:t>
      </w:r>
      <w:r>
        <w:rPr>
          <w:sz w:val="20"/>
          <w:lang w:val="en-US"/>
        </w:rPr>
        <w:t xml:space="preserve">(ii) </w:t>
      </w:r>
      <w:r w:rsidRPr="00A96622">
        <w:rPr>
          <w:sz w:val="20"/>
          <w:lang w:val="en-US"/>
        </w:rPr>
        <w:t xml:space="preserve">Cybersecurity </w:t>
      </w:r>
      <w:r>
        <w:rPr>
          <w:sz w:val="20"/>
          <w:lang w:val="en-US"/>
        </w:rPr>
        <w:t>and</w:t>
      </w:r>
      <w:r w:rsidRPr="00A96622">
        <w:rPr>
          <w:sz w:val="20"/>
          <w:lang w:val="en-US"/>
        </w:rPr>
        <w:t xml:space="preserve"> ICT applications, </w:t>
      </w:r>
      <w:r>
        <w:rPr>
          <w:sz w:val="20"/>
          <w:lang w:val="en-US"/>
        </w:rPr>
        <w:t xml:space="preserve">(iii) </w:t>
      </w:r>
      <w:r w:rsidRPr="00A96622">
        <w:rPr>
          <w:sz w:val="20"/>
          <w:lang w:val="en-US"/>
        </w:rPr>
        <w:t xml:space="preserve">Regulatory and </w:t>
      </w:r>
      <w:r>
        <w:rPr>
          <w:sz w:val="20"/>
          <w:lang w:val="en-US"/>
        </w:rPr>
        <w:t>M</w:t>
      </w:r>
      <w:r w:rsidRPr="00A96622">
        <w:rPr>
          <w:sz w:val="20"/>
          <w:lang w:val="en-US"/>
        </w:rPr>
        <w:t xml:space="preserve">arket </w:t>
      </w:r>
      <w:r>
        <w:rPr>
          <w:sz w:val="20"/>
          <w:lang w:val="en-US"/>
        </w:rPr>
        <w:t>E</w:t>
      </w:r>
      <w:r w:rsidRPr="00A96622">
        <w:rPr>
          <w:sz w:val="20"/>
          <w:lang w:val="en-US"/>
        </w:rPr>
        <w:t xml:space="preserve">nvironment, </w:t>
      </w:r>
      <w:r>
        <w:rPr>
          <w:sz w:val="20"/>
          <w:lang w:val="en-US"/>
        </w:rPr>
        <w:t>(iv) D</w:t>
      </w:r>
      <w:r w:rsidRPr="00A96622">
        <w:rPr>
          <w:sz w:val="20"/>
          <w:lang w:val="en-US"/>
        </w:rPr>
        <w:t xml:space="preserve">igital inclusion, </w:t>
      </w:r>
      <w:r>
        <w:rPr>
          <w:sz w:val="20"/>
          <w:lang w:val="en-US"/>
        </w:rPr>
        <w:t>(v) C</w:t>
      </w:r>
      <w:r w:rsidRPr="00A96622">
        <w:rPr>
          <w:sz w:val="20"/>
          <w:lang w:val="en-US"/>
        </w:rPr>
        <w:t xml:space="preserve">apacity </w:t>
      </w:r>
      <w:r>
        <w:rPr>
          <w:sz w:val="20"/>
          <w:lang w:val="en-US"/>
        </w:rPr>
        <w:t>B</w:t>
      </w:r>
      <w:r w:rsidRPr="00A96622">
        <w:rPr>
          <w:sz w:val="20"/>
          <w:lang w:val="en-US"/>
        </w:rPr>
        <w:t xml:space="preserve">uilding, </w:t>
      </w:r>
      <w:r>
        <w:rPr>
          <w:sz w:val="20"/>
          <w:lang w:val="en-US"/>
        </w:rPr>
        <w:t xml:space="preserve">(vi) </w:t>
      </w:r>
      <w:r w:rsidRPr="00A96622">
        <w:rPr>
          <w:sz w:val="20"/>
          <w:lang w:val="en-US"/>
        </w:rPr>
        <w:t xml:space="preserve">ICT </w:t>
      </w:r>
      <w:r>
        <w:rPr>
          <w:sz w:val="20"/>
          <w:lang w:val="en-US"/>
        </w:rPr>
        <w:t>D</w:t>
      </w:r>
      <w:r w:rsidRPr="00A96622">
        <w:rPr>
          <w:sz w:val="20"/>
          <w:lang w:val="en-US"/>
        </w:rPr>
        <w:t xml:space="preserve">ata and </w:t>
      </w:r>
      <w:r>
        <w:rPr>
          <w:sz w:val="20"/>
          <w:lang w:val="en-US"/>
        </w:rPr>
        <w:t>S</w:t>
      </w:r>
      <w:r w:rsidRPr="00A96622">
        <w:rPr>
          <w:sz w:val="20"/>
          <w:lang w:val="en-US"/>
        </w:rPr>
        <w:t xml:space="preserve">tatistics, </w:t>
      </w:r>
      <w:r>
        <w:rPr>
          <w:sz w:val="20"/>
          <w:lang w:val="en-US"/>
        </w:rPr>
        <w:t>(vii) E</w:t>
      </w:r>
      <w:r w:rsidRPr="00A96622">
        <w:rPr>
          <w:sz w:val="20"/>
          <w:lang w:val="en-US"/>
        </w:rPr>
        <w:t xml:space="preserve">mergency </w:t>
      </w:r>
      <w:r>
        <w:rPr>
          <w:sz w:val="20"/>
          <w:lang w:val="en-US"/>
        </w:rPr>
        <w:t>T</w:t>
      </w:r>
      <w:r w:rsidRPr="00A96622">
        <w:rPr>
          <w:sz w:val="20"/>
          <w:lang w:val="en-US"/>
        </w:rPr>
        <w:t xml:space="preserve">elecommunications, </w:t>
      </w:r>
      <w:r>
        <w:rPr>
          <w:sz w:val="20"/>
          <w:lang w:val="en-US"/>
        </w:rPr>
        <w:t>C</w:t>
      </w:r>
      <w:r w:rsidRPr="00A96622">
        <w:rPr>
          <w:sz w:val="20"/>
          <w:lang w:val="en-US"/>
        </w:rPr>
        <w:t xml:space="preserve">limate </w:t>
      </w:r>
      <w:r>
        <w:rPr>
          <w:sz w:val="20"/>
          <w:lang w:val="en-US"/>
        </w:rPr>
        <w:t>C</w:t>
      </w:r>
      <w:r w:rsidRPr="00A96622">
        <w:rPr>
          <w:sz w:val="20"/>
          <w:lang w:val="en-US"/>
        </w:rPr>
        <w:t xml:space="preserve">hange, </w:t>
      </w:r>
      <w:r>
        <w:rPr>
          <w:sz w:val="20"/>
          <w:lang w:val="en-US"/>
        </w:rPr>
        <w:t>E</w:t>
      </w:r>
      <w:r w:rsidRPr="00A96622">
        <w:rPr>
          <w:sz w:val="20"/>
          <w:lang w:val="en-US"/>
        </w:rPr>
        <w:t>-waste, L</w:t>
      </w:r>
      <w:r>
        <w:rPr>
          <w:sz w:val="20"/>
          <w:lang w:val="en-US"/>
        </w:rPr>
        <w:t>DCs,</w:t>
      </w:r>
      <w:r w:rsidRPr="00A96622">
        <w:rPr>
          <w:sz w:val="20"/>
          <w:lang w:val="en-US"/>
        </w:rPr>
        <w:t xml:space="preserve"> LLDCs and SIDs, </w:t>
      </w:r>
      <w:r>
        <w:rPr>
          <w:sz w:val="20"/>
          <w:lang w:val="en-US"/>
        </w:rPr>
        <w:t xml:space="preserve">(viii) </w:t>
      </w:r>
      <w:r w:rsidRPr="00A96622">
        <w:rPr>
          <w:sz w:val="20"/>
          <w:lang w:val="en-US"/>
        </w:rPr>
        <w:t xml:space="preserve">ITU-D </w:t>
      </w:r>
      <w:r>
        <w:rPr>
          <w:sz w:val="20"/>
          <w:lang w:val="en-US"/>
        </w:rPr>
        <w:t>P</w:t>
      </w:r>
      <w:r w:rsidRPr="00A96622">
        <w:rPr>
          <w:sz w:val="20"/>
          <w:lang w:val="en-US"/>
        </w:rPr>
        <w:t>r</w:t>
      </w:r>
      <w:r>
        <w:rPr>
          <w:sz w:val="20"/>
          <w:lang w:val="en-US"/>
        </w:rPr>
        <w:t>o</w:t>
      </w:r>
      <w:r w:rsidRPr="00A96622">
        <w:rPr>
          <w:sz w:val="20"/>
          <w:lang w:val="en-US"/>
        </w:rPr>
        <w:t xml:space="preserve">jects, </w:t>
      </w:r>
      <w:r>
        <w:rPr>
          <w:sz w:val="20"/>
          <w:lang w:val="en-US"/>
        </w:rPr>
        <w:t xml:space="preserve">(IX) </w:t>
      </w:r>
      <w:r w:rsidRPr="00A96622">
        <w:rPr>
          <w:sz w:val="20"/>
          <w:lang w:val="en-US"/>
        </w:rPr>
        <w:t xml:space="preserve">Innovation, </w:t>
      </w:r>
      <w:r>
        <w:rPr>
          <w:sz w:val="20"/>
          <w:lang w:val="en-US"/>
        </w:rPr>
        <w:t xml:space="preserve">(X) </w:t>
      </w:r>
      <w:r w:rsidRPr="00A96622">
        <w:rPr>
          <w:sz w:val="20"/>
          <w:lang w:val="en-US"/>
        </w:rPr>
        <w:t>Membership, Partnership and Private Sector matters</w:t>
      </w:r>
      <w:r>
        <w:rPr>
          <w:sz w:val="20"/>
          <w:lang w:val="en-US"/>
        </w:rPr>
        <w:t>.</w:t>
      </w:r>
    </w:p>
  </w:footnote>
  <w:footnote w:id="4">
    <w:p w:rsidR="00EA4144" w:rsidRPr="005F45BA" w:rsidRDefault="00EA4144" w:rsidP="002B0955">
      <w:pPr>
        <w:pStyle w:val="FootnoteText"/>
        <w:rPr>
          <w:lang w:val="en-US"/>
        </w:rPr>
      </w:pPr>
      <w:r w:rsidRPr="00BF5B1F">
        <w:rPr>
          <w:rStyle w:val="FootnoteReference"/>
        </w:rPr>
        <w:footnoteRef/>
      </w:r>
      <w:r w:rsidRPr="007B36B3">
        <w:rPr>
          <w:sz w:val="20"/>
        </w:rPr>
        <w:t xml:space="preserve">Key areas of work for members of the TDAG </w:t>
      </w:r>
      <w:r>
        <w:rPr>
          <w:sz w:val="20"/>
        </w:rPr>
        <w:t>b</w:t>
      </w:r>
      <w:r w:rsidRPr="007B36B3">
        <w:rPr>
          <w:sz w:val="20"/>
        </w:rPr>
        <w:t>ureau can be found in Annex 1 to this report.</w:t>
      </w:r>
    </w:p>
  </w:footnote>
  <w:footnote w:id="5">
    <w:p w:rsidR="00EA4144" w:rsidRPr="00CA2F79" w:rsidRDefault="00EA4144" w:rsidP="007B36B3">
      <w:pPr>
        <w:pStyle w:val="ListParagraph"/>
        <w:rPr>
          <w:szCs w:val="24"/>
        </w:rPr>
      </w:pPr>
      <w:r>
        <w:rPr>
          <w:rStyle w:val="FootnoteReference"/>
        </w:rPr>
        <w:footnoteRef/>
      </w:r>
      <w:r w:rsidRPr="007B36B3">
        <w:rPr>
          <w:sz w:val="20"/>
        </w:rPr>
        <w:t>The plan contains the vision, mission, values, and five strategic goals for the Union; a set of common targets; the ITU results framework, including the four ITU-D objectives adopted by World Telecommunication Development Conference 2017 (WTDC-17); links to the 2030 Agenda for Sustainable Development and the Sustainable Development Goals (SDGs); and links to the financial plan, including resources to be allocated to goals, objectives and outputs.</w:t>
      </w:r>
    </w:p>
    <w:p w:rsidR="00EA4144" w:rsidRPr="007B36B3" w:rsidRDefault="00EA4144">
      <w:pPr>
        <w:pStyle w:val="FootnoteText"/>
        <w:rPr>
          <w:lang w:val="en-US"/>
        </w:rPr>
      </w:pPr>
      <w:r>
        <w:t xml:space="preserve"> </w:t>
      </w:r>
    </w:p>
  </w:footnote>
  <w:footnote w:id="6">
    <w:p w:rsidR="00EA4144" w:rsidRPr="007B36B3" w:rsidRDefault="00EA4144">
      <w:pPr>
        <w:rPr>
          <w:rFonts w:eastAsiaTheme="majorEastAsia" w:cstheme="minorHAnsi"/>
          <w:sz w:val="20"/>
        </w:rPr>
      </w:pPr>
      <w:r>
        <w:rPr>
          <w:rStyle w:val="FootnoteReference"/>
        </w:rPr>
        <w:footnoteRef/>
      </w:r>
      <w:r w:rsidRPr="007B36B3">
        <w:rPr>
          <w:rFonts w:eastAsiaTheme="majorEastAsia" w:cstheme="minorHAnsi"/>
          <w:sz w:val="20"/>
        </w:rPr>
        <w:t xml:space="preserve">In the case of ITU-D </w:t>
      </w:r>
      <w:r>
        <w:rPr>
          <w:rFonts w:eastAsiaTheme="majorEastAsia" w:cstheme="minorHAnsi"/>
          <w:sz w:val="20"/>
        </w:rPr>
        <w:t>Study Group 1</w:t>
      </w:r>
      <w:r w:rsidRPr="007B36B3">
        <w:rPr>
          <w:rFonts w:eastAsiaTheme="majorEastAsia" w:cstheme="minorHAnsi"/>
          <w:sz w:val="20"/>
        </w:rPr>
        <w:t>, the Questions are</w:t>
      </w:r>
      <w:r w:rsidRPr="007B36B3">
        <w:rPr>
          <w:sz w:val="20"/>
        </w:rPr>
        <w:t>: Question 1/1 on broadband deployment in developing countries; Question 2/1 on migration and adoption of digital broadcasting and implementation of new services; Question 4/1 on economic policies and methods of determining service cost; Question 5/1 on ICTs for rural and remote areas; and Question 7/1 on access to telecommunications/ICTs by persons with disabilities and with specific needs.</w:t>
      </w:r>
      <w:r w:rsidRPr="007B36B3">
        <w:rPr>
          <w:i/>
          <w:iCs/>
          <w:sz w:val="20"/>
        </w:rPr>
        <w:t xml:space="preserve"> </w:t>
      </w:r>
    </w:p>
    <w:p w:rsidR="00EA4144" w:rsidRPr="007B36B3" w:rsidRDefault="00EA4144" w:rsidP="00982251">
      <w:pPr>
        <w:rPr>
          <w:rFonts w:eastAsiaTheme="majorEastAsia" w:cstheme="minorHAnsi"/>
          <w:sz w:val="20"/>
        </w:rPr>
      </w:pPr>
      <w:r w:rsidRPr="007B36B3">
        <w:rPr>
          <w:sz w:val="20"/>
        </w:rPr>
        <w:t>For ITU-D Study Group 2</w:t>
      </w:r>
      <w:r>
        <w:rPr>
          <w:sz w:val="20"/>
        </w:rPr>
        <w:t>,</w:t>
      </w:r>
      <w:r w:rsidRPr="007B36B3">
        <w:rPr>
          <w:sz w:val="20"/>
        </w:rPr>
        <w:t xml:space="preserve"> the </w:t>
      </w:r>
      <w:r w:rsidRPr="007B36B3">
        <w:rPr>
          <w:rFonts w:eastAsiaTheme="majorEastAsia" w:cstheme="minorHAnsi"/>
          <w:sz w:val="20"/>
        </w:rPr>
        <w:t>Questions are</w:t>
      </w:r>
      <w:r w:rsidRPr="007B36B3">
        <w:rPr>
          <w:sz w:val="20"/>
        </w:rPr>
        <w:t>: Question 1/2 on creating smart cities and society;</w:t>
      </w:r>
      <w:r w:rsidR="00070DBE">
        <w:rPr>
          <w:sz w:val="20"/>
        </w:rPr>
        <w:t xml:space="preserve"> </w:t>
      </w:r>
      <w:r w:rsidRPr="007B36B3">
        <w:rPr>
          <w:sz w:val="20"/>
        </w:rPr>
        <w:t>Question 4/2 on conformance and interoperability and combating counterfeit ICT equipment and mobile device theft; and Question7/2 on human exposure to electromagnetic fields.</w:t>
      </w:r>
    </w:p>
    <w:p w:rsidR="00EA4144" w:rsidRPr="007B36B3" w:rsidRDefault="00EA4144">
      <w:pPr>
        <w:pStyle w:val="FootnoteText"/>
        <w:rPr>
          <w:lang w:val="en-US"/>
        </w:rPr>
      </w:pPr>
      <w:r>
        <w:t xml:space="preserve"> </w:t>
      </w:r>
    </w:p>
  </w:footnote>
  <w:footnote w:id="7">
    <w:p w:rsidR="00EA4144" w:rsidRPr="00E7531C" w:rsidRDefault="00EA4144" w:rsidP="002609BD">
      <w:pPr>
        <w:pStyle w:val="FootnoteText"/>
        <w:rPr>
          <w:lang w:val="en-US"/>
        </w:rPr>
      </w:pPr>
      <w:r>
        <w:rPr>
          <w:rStyle w:val="FootnoteReference"/>
        </w:rPr>
        <w:footnoteRef/>
      </w:r>
      <w:r w:rsidRPr="00E7531C">
        <w:rPr>
          <w:sz w:val="20"/>
        </w:rPr>
        <w:t xml:space="preserve">A full summary of </w:t>
      </w:r>
      <w:r>
        <w:rPr>
          <w:sz w:val="20"/>
        </w:rPr>
        <w:t xml:space="preserve">all breakout </w:t>
      </w:r>
      <w:r w:rsidRPr="00E7531C">
        <w:rPr>
          <w:sz w:val="20"/>
        </w:rPr>
        <w:t>session</w:t>
      </w:r>
      <w:r>
        <w:rPr>
          <w:sz w:val="20"/>
        </w:rPr>
        <w:t>s</w:t>
      </w:r>
      <w:r w:rsidRPr="00E7531C">
        <w:rPr>
          <w:sz w:val="20"/>
        </w:rPr>
        <w:t xml:space="preserve"> </w:t>
      </w:r>
      <w:r w:rsidRPr="00E7531C">
        <w:rPr>
          <w:rFonts w:cstheme="minorBidi"/>
          <w:color w:val="000000" w:themeColor="text1"/>
          <w:sz w:val="20"/>
          <w:lang w:val="en-US"/>
        </w:rPr>
        <w:t xml:space="preserve">can be found in </w:t>
      </w:r>
      <w:r w:rsidRPr="00E7531C">
        <w:rPr>
          <w:rFonts w:cstheme="minorBidi"/>
          <w:b/>
          <w:bCs/>
          <w:color w:val="000000" w:themeColor="text1"/>
          <w:sz w:val="20"/>
          <w:lang w:val="en-US"/>
        </w:rPr>
        <w:t>Annex 2</w:t>
      </w:r>
      <w:r w:rsidRPr="00E7531C">
        <w:rPr>
          <w:rFonts w:cstheme="minorBidi"/>
          <w:color w:val="000000" w:themeColor="text1"/>
          <w:sz w:val="20"/>
          <w:lang w:val="en-US"/>
        </w:rPr>
        <w:t>.</w:t>
      </w:r>
      <w:r>
        <w:t xml:space="preserve"> </w:t>
      </w:r>
    </w:p>
  </w:footnote>
  <w:footnote w:id="8">
    <w:p w:rsidR="00EA4144" w:rsidRPr="007B36B3" w:rsidRDefault="00EA4144" w:rsidP="007B36B3">
      <w:pPr>
        <w:pStyle w:val="FootnoteText"/>
        <w:spacing w:before="0"/>
        <w:rPr>
          <w:sz w:val="20"/>
          <w:lang w:val="en-US"/>
        </w:rPr>
      </w:pPr>
      <w:r>
        <w:rPr>
          <w:rStyle w:val="FootnoteReference"/>
        </w:rPr>
        <w:footnoteRef/>
      </w:r>
      <w:r w:rsidRPr="007B36B3">
        <w:rPr>
          <w:bCs/>
          <w:sz w:val="20"/>
        </w:rPr>
        <w:t>This report was submitted by the Rapporteur Group for Question 2/1 (DTV transition and new services implementation).</w:t>
      </w:r>
      <w:r w:rsidR="00070DBE">
        <w:rPr>
          <w:bCs/>
          <w:sz w:val="20"/>
        </w:rPr>
        <w:t xml:space="preserve"> </w:t>
      </w:r>
    </w:p>
  </w:footnote>
  <w:footnote w:id="9">
    <w:p w:rsidR="00EA4144" w:rsidRPr="00E7531C" w:rsidRDefault="00EA4144" w:rsidP="007B36B3">
      <w:pPr>
        <w:pStyle w:val="FootnoteText"/>
        <w:spacing w:before="0"/>
        <w:rPr>
          <w:lang w:val="en-US"/>
        </w:rPr>
      </w:pPr>
      <w:r w:rsidRPr="007B36B3">
        <w:rPr>
          <w:rStyle w:val="FootnoteReference"/>
          <w:sz w:val="20"/>
        </w:rPr>
        <w:footnoteRef/>
      </w:r>
      <w:r w:rsidRPr="007B36B3">
        <w:rPr>
          <w:sz w:val="20"/>
        </w:rPr>
        <w:t>This report was submitted by the Rapporteur Group for Smart Cities/ICTs for social and economic development</w:t>
      </w:r>
      <w:r w:rsidR="00070DBE">
        <w:rPr>
          <w:sz w:val="20"/>
        </w:rPr>
        <w:t xml:space="preserve"> </w:t>
      </w:r>
      <w:r w:rsidRPr="007B36B3">
        <w:rPr>
          <w:sz w:val="20"/>
        </w:rPr>
        <w:t>(Question 1/2).</w:t>
      </w:r>
      <w:r w:rsidR="00070DBE">
        <w:t xml:space="preserve"> </w:t>
      </w:r>
    </w:p>
  </w:footnote>
  <w:footnote w:id="10">
    <w:p w:rsidR="00EA4144" w:rsidRPr="007B36B3" w:rsidRDefault="00EA4144" w:rsidP="007B36B3">
      <w:pPr>
        <w:pStyle w:val="FootnoteText"/>
        <w:spacing w:before="0"/>
        <w:rPr>
          <w:lang w:val="en-US"/>
        </w:rPr>
      </w:pPr>
      <w:r>
        <w:rPr>
          <w:rStyle w:val="FootnoteReference"/>
        </w:rPr>
        <w:footnoteRef/>
      </w:r>
      <w:r w:rsidRPr="007B36B3">
        <w:rPr>
          <w:sz w:val="20"/>
        </w:rPr>
        <w:t>Through a liaison statement dated 3 December 2018, ISCG new terms of reference were submitted to RAG, TSAG and TDAG for review, comment and approval.</w:t>
      </w:r>
      <w:r>
        <w:t xml:space="preserve"> </w:t>
      </w:r>
    </w:p>
  </w:footnote>
  <w:footnote w:id="11">
    <w:p w:rsidR="00EA4144" w:rsidRPr="007B36B3" w:rsidRDefault="00EA4144" w:rsidP="007B36B3">
      <w:pPr>
        <w:pStyle w:val="FootnoteText"/>
        <w:spacing w:before="0"/>
        <w:rPr>
          <w:lang w:val="en-US"/>
        </w:rPr>
      </w:pPr>
      <w:r>
        <w:rPr>
          <w:rStyle w:val="FootnoteReference"/>
        </w:rPr>
        <w:footnoteRef/>
      </w:r>
      <w:r w:rsidRPr="007B36B3">
        <w:rPr>
          <w:sz w:val="20"/>
        </w:rPr>
        <w:t xml:space="preserve">For this purpose, </w:t>
      </w:r>
      <w:r w:rsidRPr="007B36B3">
        <w:rPr>
          <w:rFonts w:cs="Segoe UI"/>
          <w:sz w:val="20"/>
        </w:rPr>
        <w:t>ISCG</w:t>
      </w:r>
      <w:r w:rsidRPr="007B36B3">
        <w:rPr>
          <w:sz w:val="20"/>
        </w:rPr>
        <w:t xml:space="preserve"> also agreed to send a liaison statement to RAG, TSAG and TDAG requesting this mapping table to be updated regularly</w:t>
      </w:r>
      <w:r>
        <w:rPr>
          <w:sz w:val="20"/>
        </w:rPr>
        <w:t>.</w:t>
      </w:r>
      <w:r>
        <w:t xml:space="preserve"> </w:t>
      </w:r>
    </w:p>
  </w:footnote>
  <w:footnote w:id="12">
    <w:p w:rsidR="00EA4144" w:rsidRPr="007B36B3" w:rsidRDefault="00EA4144" w:rsidP="007B36B3">
      <w:pPr>
        <w:pStyle w:val="FootnoteText"/>
        <w:spacing w:before="0"/>
        <w:rPr>
          <w:lang w:val="en-US"/>
        </w:rPr>
      </w:pPr>
      <w:r>
        <w:rPr>
          <w:rStyle w:val="FootnoteReference"/>
        </w:rPr>
        <w:footnoteRef/>
      </w:r>
      <w:r>
        <w:rPr>
          <w:sz w:val="20"/>
        </w:rPr>
        <w:t xml:space="preserve">ISCG will next meet during </w:t>
      </w:r>
      <w:r w:rsidRPr="007B36B3">
        <w:rPr>
          <w:sz w:val="20"/>
        </w:rPr>
        <w:t>TDAG-20</w:t>
      </w:r>
      <w:r>
        <w:rPr>
          <w:sz w:val="20"/>
        </w:rPr>
        <w:t>, which</w:t>
      </w:r>
      <w:r w:rsidRPr="007B36B3">
        <w:rPr>
          <w:sz w:val="20"/>
        </w:rPr>
        <w:t xml:space="preserve"> is planned for 24-27 March 2020. If necessary, ISCG may hold an e-meeting in conjunction with the TSAG-19 meeting (23-27 September 2019).</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4" w:rsidRPr="00D83BF5" w:rsidRDefault="00EA4144" w:rsidP="005176DF">
    <w:pPr>
      <w:tabs>
        <w:tab w:val="clear" w:pos="1134"/>
        <w:tab w:val="clear" w:pos="1871"/>
        <w:tab w:val="clear" w:pos="2268"/>
        <w:tab w:val="center" w:pos="4820"/>
        <w:tab w:val="right" w:pos="10206"/>
      </w:tabs>
      <w:ind w:right="1"/>
      <w:rPr>
        <w:smallCaps/>
        <w:sz w:val="22"/>
        <w:szCs w:val="22"/>
        <w:lang w:val="es-ES"/>
      </w:rPr>
    </w:pPr>
    <w:r w:rsidRPr="004D495C">
      <w:rPr>
        <w:sz w:val="22"/>
        <w:szCs w:val="22"/>
      </w:rPr>
      <w:tab/>
    </w:r>
    <w:r w:rsidRPr="00D761DE">
      <w:rPr>
        <w:sz w:val="22"/>
        <w:szCs w:val="22"/>
        <w:lang w:val="es-ES"/>
      </w:rPr>
      <w:t>TDAG-19/</w:t>
    </w:r>
    <w:bookmarkStart w:id="21" w:name="DocNo2"/>
    <w:bookmarkEnd w:id="21"/>
    <w:r>
      <w:rPr>
        <w:sz w:val="22"/>
        <w:szCs w:val="22"/>
        <w:lang w:val="es-ES"/>
      </w:rPr>
      <w:t>4</w:t>
    </w:r>
    <w:r w:rsidR="005176DF">
      <w:rPr>
        <w:sz w:val="22"/>
        <w:szCs w:val="22"/>
        <w:lang w:val="es-ES"/>
      </w:rPr>
      <w:t>4</w:t>
    </w:r>
    <w:r w:rsidRPr="00D761DE">
      <w:rPr>
        <w:sz w:val="22"/>
        <w:szCs w:val="22"/>
        <w:lang w:val="es-ES"/>
      </w:rPr>
      <w:t>-E</w:t>
    </w:r>
    <w:r w:rsidRPr="00D761DE">
      <w:rPr>
        <w:sz w:val="22"/>
        <w:szCs w:val="22"/>
        <w:lang w:val="es-ES_tradnl"/>
      </w:rPr>
      <w:tab/>
    </w:r>
    <w:r w:rsidRPr="00D761DE">
      <w:rPr>
        <w:sz w:val="22"/>
        <w:szCs w:val="22"/>
        <w:lang w:val="es-ES"/>
      </w:rPr>
      <w:t xml:space="preserve">Page </w:t>
    </w:r>
    <w:r w:rsidRPr="00D761DE">
      <w:rPr>
        <w:noProof/>
        <w:sz w:val="22"/>
        <w:szCs w:val="22"/>
        <w:lang w:val="es-ES"/>
      </w:rPr>
      <w:fldChar w:fldCharType="begin"/>
    </w:r>
    <w:r w:rsidRPr="00D761DE">
      <w:rPr>
        <w:sz w:val="22"/>
        <w:szCs w:val="22"/>
        <w:lang w:val="es-ES_tradnl"/>
      </w:rPr>
      <w:instrText xml:space="preserve"> PAGE </w:instrText>
    </w:r>
    <w:r w:rsidRPr="00D761DE">
      <w:rPr>
        <w:sz w:val="22"/>
        <w:szCs w:val="22"/>
      </w:rPr>
      <w:fldChar w:fldCharType="separate"/>
    </w:r>
    <w:r w:rsidR="00C53E72">
      <w:rPr>
        <w:noProof/>
        <w:sz w:val="22"/>
        <w:szCs w:val="22"/>
        <w:lang w:val="es-ES_tradnl"/>
      </w:rPr>
      <w:t>12</w:t>
    </w:r>
    <w:r w:rsidRPr="00D761DE">
      <w:rPr>
        <w:noProof/>
        <w:sz w:val="22"/>
        <w:szCs w:val="22"/>
        <w:lang w:val="es-E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96214"/>
    <w:multiLevelType w:val="hybridMultilevel"/>
    <w:tmpl w:val="A580B41C"/>
    <w:lvl w:ilvl="0" w:tplc="0A14F2C2">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272C7"/>
    <w:multiLevelType w:val="hybridMultilevel"/>
    <w:tmpl w:val="0F0C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303E2"/>
    <w:multiLevelType w:val="multilevel"/>
    <w:tmpl w:val="7B0E3E60"/>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9A25AF"/>
    <w:multiLevelType w:val="hybridMultilevel"/>
    <w:tmpl w:val="8028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701E4"/>
    <w:multiLevelType w:val="multilevel"/>
    <w:tmpl w:val="5BA8AA8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E267DB"/>
    <w:multiLevelType w:val="hybridMultilevel"/>
    <w:tmpl w:val="3088566C"/>
    <w:lvl w:ilvl="0" w:tplc="C642754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393E18"/>
    <w:multiLevelType w:val="hybridMultilevel"/>
    <w:tmpl w:val="8C4EFD88"/>
    <w:lvl w:ilvl="0" w:tplc="08090001">
      <w:start w:val="1"/>
      <w:numFmt w:val="bullet"/>
      <w:lvlText w:val=""/>
      <w:lvlJc w:val="left"/>
      <w:pPr>
        <w:ind w:left="720" w:hanging="360"/>
      </w:pPr>
      <w:rPr>
        <w:rFonts w:ascii="Symbol" w:hAnsi="Symbol" w:hint="default"/>
      </w:rPr>
    </w:lvl>
    <w:lvl w:ilvl="1" w:tplc="06A2C15A">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387892"/>
    <w:multiLevelType w:val="multilevel"/>
    <w:tmpl w:val="7E6C7FD2"/>
    <w:lvl w:ilvl="0">
      <w:start w:val="6"/>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9E35AE"/>
    <w:multiLevelType w:val="multilevel"/>
    <w:tmpl w:val="0B38A2CE"/>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CE6B8A"/>
    <w:multiLevelType w:val="hybridMultilevel"/>
    <w:tmpl w:val="A600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0B627B"/>
    <w:multiLevelType w:val="hybridMultilevel"/>
    <w:tmpl w:val="C322966C"/>
    <w:lvl w:ilvl="0" w:tplc="9CDC48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436C61"/>
    <w:multiLevelType w:val="hybridMultilevel"/>
    <w:tmpl w:val="1B3C0D6C"/>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7327C1"/>
    <w:multiLevelType w:val="hybridMultilevel"/>
    <w:tmpl w:val="095C4C3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795DD7"/>
    <w:multiLevelType w:val="hybridMultilevel"/>
    <w:tmpl w:val="49D62F00"/>
    <w:lvl w:ilvl="0" w:tplc="8AA453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866507"/>
    <w:multiLevelType w:val="multilevel"/>
    <w:tmpl w:val="02DE52C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0E3561"/>
    <w:multiLevelType w:val="hybridMultilevel"/>
    <w:tmpl w:val="40F2136A"/>
    <w:lvl w:ilvl="0" w:tplc="2160DC14">
      <w:start w:val="1"/>
      <w:numFmt w:val="decimal"/>
      <w:pStyle w:val="normalWSIS"/>
      <w:lvlText w:val="%1."/>
      <w:lvlJc w:val="left"/>
      <w:pPr>
        <w:ind w:left="4613"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7" w15:restartNumberingAfterBreak="0">
    <w:nsid w:val="33B01720"/>
    <w:multiLevelType w:val="multilevel"/>
    <w:tmpl w:val="A0AC96C2"/>
    <w:lvl w:ilvl="0">
      <w:start w:val="6"/>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94368F"/>
    <w:multiLevelType w:val="hybridMultilevel"/>
    <w:tmpl w:val="E384DBE2"/>
    <w:lvl w:ilvl="0" w:tplc="2542BA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4C753E"/>
    <w:multiLevelType w:val="hybridMultilevel"/>
    <w:tmpl w:val="1A4C2D14"/>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E296E5F"/>
    <w:multiLevelType w:val="hybridMultilevel"/>
    <w:tmpl w:val="E4BEF6AA"/>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F833D38"/>
    <w:multiLevelType w:val="hybridMultilevel"/>
    <w:tmpl w:val="C1DE079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402A5A61"/>
    <w:multiLevelType w:val="hybridMultilevel"/>
    <w:tmpl w:val="1D8E3AC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5E8075F"/>
    <w:multiLevelType w:val="multilevel"/>
    <w:tmpl w:val="F822C9CA"/>
    <w:lvl w:ilvl="0">
      <w:start w:val="6"/>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7A03D5"/>
    <w:multiLevelType w:val="hybridMultilevel"/>
    <w:tmpl w:val="F9A4CA94"/>
    <w:lvl w:ilvl="0" w:tplc="2542BA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B12BAF"/>
    <w:multiLevelType w:val="multilevel"/>
    <w:tmpl w:val="4A889492"/>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E46F0F"/>
    <w:multiLevelType w:val="hybridMultilevel"/>
    <w:tmpl w:val="D8A25672"/>
    <w:lvl w:ilvl="0" w:tplc="2542BA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E2779F"/>
    <w:multiLevelType w:val="multilevel"/>
    <w:tmpl w:val="9D902A24"/>
    <w:lvl w:ilvl="0">
      <w:start w:val="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344244A"/>
    <w:multiLevelType w:val="hybridMultilevel"/>
    <w:tmpl w:val="C928A412"/>
    <w:lvl w:ilvl="0" w:tplc="AA003B62">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3D7552"/>
    <w:multiLevelType w:val="hybridMultilevel"/>
    <w:tmpl w:val="44C6E058"/>
    <w:lvl w:ilvl="0" w:tplc="AA24D3F6">
      <w:numFmt w:val="bullet"/>
      <w:lvlText w:val="•"/>
      <w:lvlJc w:val="left"/>
      <w:pPr>
        <w:ind w:left="720" w:hanging="72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3F5E0A"/>
    <w:multiLevelType w:val="hybridMultilevel"/>
    <w:tmpl w:val="B2A60E94"/>
    <w:lvl w:ilvl="0" w:tplc="2542BA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19210B"/>
    <w:multiLevelType w:val="hybridMultilevel"/>
    <w:tmpl w:val="221CE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C5B29"/>
    <w:multiLevelType w:val="hybridMultilevel"/>
    <w:tmpl w:val="CD548AA2"/>
    <w:lvl w:ilvl="0" w:tplc="2542BA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C223C2"/>
    <w:multiLevelType w:val="hybridMultilevel"/>
    <w:tmpl w:val="E95614D8"/>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F358AC"/>
    <w:multiLevelType w:val="hybridMultilevel"/>
    <w:tmpl w:val="2006FC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52112F"/>
    <w:multiLevelType w:val="multilevel"/>
    <w:tmpl w:val="E9B2D93A"/>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727A2C"/>
    <w:multiLevelType w:val="hybridMultilevel"/>
    <w:tmpl w:val="92D44E0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9"/>
  </w:num>
  <w:num w:numId="4">
    <w:abstractNumId w:val="34"/>
  </w:num>
  <w:num w:numId="5">
    <w:abstractNumId w:val="11"/>
  </w:num>
  <w:num w:numId="6">
    <w:abstractNumId w:val="6"/>
  </w:num>
  <w:num w:numId="7">
    <w:abstractNumId w:val="33"/>
  </w:num>
  <w:num w:numId="8">
    <w:abstractNumId w:val="15"/>
  </w:num>
  <w:num w:numId="9">
    <w:abstractNumId w:val="22"/>
  </w:num>
  <w:num w:numId="10">
    <w:abstractNumId w:val="29"/>
  </w:num>
  <w:num w:numId="11">
    <w:abstractNumId w:val="21"/>
  </w:num>
  <w:num w:numId="12">
    <w:abstractNumId w:val="30"/>
  </w:num>
  <w:num w:numId="13">
    <w:abstractNumId w:val="26"/>
  </w:num>
  <w:num w:numId="14">
    <w:abstractNumId w:val="5"/>
  </w:num>
  <w:num w:numId="15">
    <w:abstractNumId w:val="18"/>
  </w:num>
  <w:num w:numId="16">
    <w:abstractNumId w:val="24"/>
  </w:num>
  <w:num w:numId="17">
    <w:abstractNumId w:val="32"/>
  </w:num>
  <w:num w:numId="18">
    <w:abstractNumId w:val="0"/>
  </w:num>
  <w:num w:numId="19">
    <w:abstractNumId w:val="12"/>
  </w:num>
  <w:num w:numId="20">
    <w:abstractNumId w:val="10"/>
  </w:num>
  <w:num w:numId="21">
    <w:abstractNumId w:val="28"/>
  </w:num>
  <w:num w:numId="22">
    <w:abstractNumId w:val="3"/>
  </w:num>
  <w:num w:numId="23">
    <w:abstractNumId w:val="31"/>
  </w:num>
  <w:num w:numId="24">
    <w:abstractNumId w:val="13"/>
  </w:num>
  <w:num w:numId="25">
    <w:abstractNumId w:val="9"/>
  </w:num>
  <w:num w:numId="26">
    <w:abstractNumId w:val="20"/>
  </w:num>
  <w:num w:numId="27">
    <w:abstractNumId w:val="1"/>
  </w:num>
  <w:num w:numId="28">
    <w:abstractNumId w:val="4"/>
  </w:num>
  <w:num w:numId="29">
    <w:abstractNumId w:val="27"/>
  </w:num>
  <w:num w:numId="30">
    <w:abstractNumId w:val="14"/>
  </w:num>
  <w:num w:numId="31">
    <w:abstractNumId w:val="17"/>
  </w:num>
  <w:num w:numId="32">
    <w:abstractNumId w:val="23"/>
  </w:num>
  <w:num w:numId="33">
    <w:abstractNumId w:val="8"/>
  </w:num>
  <w:num w:numId="34">
    <w:abstractNumId w:val="25"/>
  </w:num>
  <w:num w:numId="35">
    <w:abstractNumId w:val="35"/>
  </w:num>
  <w:num w:numId="36">
    <w:abstractNumId w:val="7"/>
  </w:num>
  <w:num w:numId="37">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F04"/>
    <w:rsid w:val="00005A48"/>
    <w:rsid w:val="00010BB2"/>
    <w:rsid w:val="00010F59"/>
    <w:rsid w:val="0001111C"/>
    <w:rsid w:val="00011CFA"/>
    <w:rsid w:val="000129FD"/>
    <w:rsid w:val="000144AD"/>
    <w:rsid w:val="00014F1A"/>
    <w:rsid w:val="00016C45"/>
    <w:rsid w:val="000213DA"/>
    <w:rsid w:val="0002217D"/>
    <w:rsid w:val="0002269B"/>
    <w:rsid w:val="00022A29"/>
    <w:rsid w:val="00023645"/>
    <w:rsid w:val="000247E7"/>
    <w:rsid w:val="0003556D"/>
    <w:rsid w:val="000355FD"/>
    <w:rsid w:val="000415EC"/>
    <w:rsid w:val="000437AB"/>
    <w:rsid w:val="00044AA0"/>
    <w:rsid w:val="00045576"/>
    <w:rsid w:val="000457D3"/>
    <w:rsid w:val="00046F78"/>
    <w:rsid w:val="00050E08"/>
    <w:rsid w:val="00051E39"/>
    <w:rsid w:val="000535D9"/>
    <w:rsid w:val="000542ED"/>
    <w:rsid w:val="00054512"/>
    <w:rsid w:val="00056327"/>
    <w:rsid w:val="00056D1A"/>
    <w:rsid w:val="00056F3E"/>
    <w:rsid w:val="000572AB"/>
    <w:rsid w:val="000575A8"/>
    <w:rsid w:val="0006001B"/>
    <w:rsid w:val="00062D6A"/>
    <w:rsid w:val="00064E76"/>
    <w:rsid w:val="00066228"/>
    <w:rsid w:val="000708BF"/>
    <w:rsid w:val="00070DBE"/>
    <w:rsid w:val="00071125"/>
    <w:rsid w:val="00071376"/>
    <w:rsid w:val="00072711"/>
    <w:rsid w:val="0007296F"/>
    <w:rsid w:val="00073987"/>
    <w:rsid w:val="00074293"/>
    <w:rsid w:val="00074BAA"/>
    <w:rsid w:val="00075206"/>
    <w:rsid w:val="0007538F"/>
    <w:rsid w:val="00075862"/>
    <w:rsid w:val="00075C63"/>
    <w:rsid w:val="00077239"/>
    <w:rsid w:val="000778E8"/>
    <w:rsid w:val="00077FDF"/>
    <w:rsid w:val="00080905"/>
    <w:rsid w:val="000822BE"/>
    <w:rsid w:val="00082B22"/>
    <w:rsid w:val="00084616"/>
    <w:rsid w:val="00086491"/>
    <w:rsid w:val="00087F9A"/>
    <w:rsid w:val="00091346"/>
    <w:rsid w:val="0009411B"/>
    <w:rsid w:val="00094D67"/>
    <w:rsid w:val="00095769"/>
    <w:rsid w:val="00096ED0"/>
    <w:rsid w:val="00096FD2"/>
    <w:rsid w:val="000A0585"/>
    <w:rsid w:val="000A3CE0"/>
    <w:rsid w:val="000A5CE0"/>
    <w:rsid w:val="000A7159"/>
    <w:rsid w:val="000A7C0C"/>
    <w:rsid w:val="000B1D14"/>
    <w:rsid w:val="000B1F31"/>
    <w:rsid w:val="000B2599"/>
    <w:rsid w:val="000B3109"/>
    <w:rsid w:val="000B3322"/>
    <w:rsid w:val="000B3816"/>
    <w:rsid w:val="000B5F43"/>
    <w:rsid w:val="000C3365"/>
    <w:rsid w:val="000C4E83"/>
    <w:rsid w:val="000C4F89"/>
    <w:rsid w:val="000C57C6"/>
    <w:rsid w:val="000C661C"/>
    <w:rsid w:val="000D065C"/>
    <w:rsid w:val="000D4875"/>
    <w:rsid w:val="000D5552"/>
    <w:rsid w:val="000D5B8E"/>
    <w:rsid w:val="000D5BE6"/>
    <w:rsid w:val="000D6D02"/>
    <w:rsid w:val="000E169C"/>
    <w:rsid w:val="000E1FDE"/>
    <w:rsid w:val="000E3BD2"/>
    <w:rsid w:val="000E3F07"/>
    <w:rsid w:val="000E4031"/>
    <w:rsid w:val="000E4933"/>
    <w:rsid w:val="000E4D58"/>
    <w:rsid w:val="000E6331"/>
    <w:rsid w:val="000E6467"/>
    <w:rsid w:val="000F0DFC"/>
    <w:rsid w:val="000F16A2"/>
    <w:rsid w:val="000F2AAF"/>
    <w:rsid w:val="000F3E1F"/>
    <w:rsid w:val="000F43C6"/>
    <w:rsid w:val="000F4BFB"/>
    <w:rsid w:val="000F57AD"/>
    <w:rsid w:val="000F57CC"/>
    <w:rsid w:val="000F662E"/>
    <w:rsid w:val="000F6BAB"/>
    <w:rsid w:val="000F73FF"/>
    <w:rsid w:val="000F7C70"/>
    <w:rsid w:val="00100F60"/>
    <w:rsid w:val="00102DD4"/>
    <w:rsid w:val="0010364C"/>
    <w:rsid w:val="001046E2"/>
    <w:rsid w:val="0010476A"/>
    <w:rsid w:val="001068D7"/>
    <w:rsid w:val="00111897"/>
    <w:rsid w:val="00112D28"/>
    <w:rsid w:val="00112F6A"/>
    <w:rsid w:val="00113547"/>
    <w:rsid w:val="0011382E"/>
    <w:rsid w:val="00113F80"/>
    <w:rsid w:val="001149D3"/>
    <w:rsid w:val="00114CF7"/>
    <w:rsid w:val="00116134"/>
    <w:rsid w:val="001162D0"/>
    <w:rsid w:val="00116D0F"/>
    <w:rsid w:val="00120DB3"/>
    <w:rsid w:val="00121136"/>
    <w:rsid w:val="00121A98"/>
    <w:rsid w:val="00123251"/>
    <w:rsid w:val="00123B68"/>
    <w:rsid w:val="00123F1D"/>
    <w:rsid w:val="00124DAF"/>
    <w:rsid w:val="001259C8"/>
    <w:rsid w:val="00125C33"/>
    <w:rsid w:val="0012658E"/>
    <w:rsid w:val="00126F2E"/>
    <w:rsid w:val="001274C1"/>
    <w:rsid w:val="00127A5B"/>
    <w:rsid w:val="00133AAD"/>
    <w:rsid w:val="00134C0A"/>
    <w:rsid w:val="00134C1E"/>
    <w:rsid w:val="001353F2"/>
    <w:rsid w:val="0013724A"/>
    <w:rsid w:val="00137C23"/>
    <w:rsid w:val="00137F39"/>
    <w:rsid w:val="0014023E"/>
    <w:rsid w:val="00140805"/>
    <w:rsid w:val="001437BD"/>
    <w:rsid w:val="00145AF0"/>
    <w:rsid w:val="00145F20"/>
    <w:rsid w:val="00146F6F"/>
    <w:rsid w:val="001470FB"/>
    <w:rsid w:val="00147ADC"/>
    <w:rsid w:val="00147DA1"/>
    <w:rsid w:val="001500A3"/>
    <w:rsid w:val="00150C1A"/>
    <w:rsid w:val="00150CCD"/>
    <w:rsid w:val="00152042"/>
    <w:rsid w:val="00152957"/>
    <w:rsid w:val="00152A31"/>
    <w:rsid w:val="001532B8"/>
    <w:rsid w:val="00153505"/>
    <w:rsid w:val="00154183"/>
    <w:rsid w:val="001541C5"/>
    <w:rsid w:val="0015440A"/>
    <w:rsid w:val="00154494"/>
    <w:rsid w:val="00160BB8"/>
    <w:rsid w:val="00162C00"/>
    <w:rsid w:val="00163746"/>
    <w:rsid w:val="00163931"/>
    <w:rsid w:val="00163DB2"/>
    <w:rsid w:val="00164096"/>
    <w:rsid w:val="00164733"/>
    <w:rsid w:val="00164995"/>
    <w:rsid w:val="00170C8C"/>
    <w:rsid w:val="00172141"/>
    <w:rsid w:val="0017265C"/>
    <w:rsid w:val="0017319F"/>
    <w:rsid w:val="001739B0"/>
    <w:rsid w:val="00176B56"/>
    <w:rsid w:val="001779D8"/>
    <w:rsid w:val="00180632"/>
    <w:rsid w:val="001809DF"/>
    <w:rsid w:val="001822FC"/>
    <w:rsid w:val="00184D22"/>
    <w:rsid w:val="001851AC"/>
    <w:rsid w:val="00185AB7"/>
    <w:rsid w:val="001869D5"/>
    <w:rsid w:val="00187BD9"/>
    <w:rsid w:val="00190B55"/>
    <w:rsid w:val="00194CFB"/>
    <w:rsid w:val="00195A20"/>
    <w:rsid w:val="001A1440"/>
    <w:rsid w:val="001A1479"/>
    <w:rsid w:val="001A1C93"/>
    <w:rsid w:val="001A2DB2"/>
    <w:rsid w:val="001A2FDD"/>
    <w:rsid w:val="001B09A2"/>
    <w:rsid w:val="001B1D4B"/>
    <w:rsid w:val="001B24AF"/>
    <w:rsid w:val="001B2718"/>
    <w:rsid w:val="001B2ED3"/>
    <w:rsid w:val="001B43E9"/>
    <w:rsid w:val="001B6806"/>
    <w:rsid w:val="001B7E4B"/>
    <w:rsid w:val="001B7EA3"/>
    <w:rsid w:val="001C0982"/>
    <w:rsid w:val="001C1648"/>
    <w:rsid w:val="001C3B5F"/>
    <w:rsid w:val="001C4436"/>
    <w:rsid w:val="001C77A7"/>
    <w:rsid w:val="001D0065"/>
    <w:rsid w:val="001D0395"/>
    <w:rsid w:val="001D058F"/>
    <w:rsid w:val="001D3ABD"/>
    <w:rsid w:val="001D3E05"/>
    <w:rsid w:val="001D451B"/>
    <w:rsid w:val="001D471F"/>
    <w:rsid w:val="001D4ABC"/>
    <w:rsid w:val="001D6026"/>
    <w:rsid w:val="001D6831"/>
    <w:rsid w:val="001D7DAE"/>
    <w:rsid w:val="001E03AA"/>
    <w:rsid w:val="001E0B05"/>
    <w:rsid w:val="001E252D"/>
    <w:rsid w:val="001E2CFC"/>
    <w:rsid w:val="001E648B"/>
    <w:rsid w:val="001E662A"/>
    <w:rsid w:val="001E7494"/>
    <w:rsid w:val="001E76F4"/>
    <w:rsid w:val="001E7A51"/>
    <w:rsid w:val="001F056A"/>
    <w:rsid w:val="001F07C9"/>
    <w:rsid w:val="001F3540"/>
    <w:rsid w:val="001F4043"/>
    <w:rsid w:val="001F5057"/>
    <w:rsid w:val="001F6AA0"/>
    <w:rsid w:val="001F72B2"/>
    <w:rsid w:val="002009EA"/>
    <w:rsid w:val="00201975"/>
    <w:rsid w:val="0020267D"/>
    <w:rsid w:val="00202CA0"/>
    <w:rsid w:val="0020482A"/>
    <w:rsid w:val="00204F56"/>
    <w:rsid w:val="00207086"/>
    <w:rsid w:val="00210652"/>
    <w:rsid w:val="002121C9"/>
    <w:rsid w:val="002126D2"/>
    <w:rsid w:val="0021287C"/>
    <w:rsid w:val="00213408"/>
    <w:rsid w:val="00213C89"/>
    <w:rsid w:val="00214668"/>
    <w:rsid w:val="0021504A"/>
    <w:rsid w:val="002154A6"/>
    <w:rsid w:val="00215CE9"/>
    <w:rsid w:val="002162CD"/>
    <w:rsid w:val="002205CD"/>
    <w:rsid w:val="002213E0"/>
    <w:rsid w:val="0022155C"/>
    <w:rsid w:val="002223F8"/>
    <w:rsid w:val="0022496E"/>
    <w:rsid w:val="00224F08"/>
    <w:rsid w:val="002255B3"/>
    <w:rsid w:val="00226E26"/>
    <w:rsid w:val="00227FD1"/>
    <w:rsid w:val="00231EE1"/>
    <w:rsid w:val="00231EFA"/>
    <w:rsid w:val="00233CDA"/>
    <w:rsid w:val="00233EEB"/>
    <w:rsid w:val="0023502B"/>
    <w:rsid w:val="002352F1"/>
    <w:rsid w:val="00235C93"/>
    <w:rsid w:val="00236131"/>
    <w:rsid w:val="002369BC"/>
    <w:rsid w:val="00236E8A"/>
    <w:rsid w:val="00237BB0"/>
    <w:rsid w:val="00240545"/>
    <w:rsid w:val="002415A3"/>
    <w:rsid w:val="002441B5"/>
    <w:rsid w:val="002452C5"/>
    <w:rsid w:val="00247548"/>
    <w:rsid w:val="0025634D"/>
    <w:rsid w:val="00256AA7"/>
    <w:rsid w:val="00256D72"/>
    <w:rsid w:val="0026038D"/>
    <w:rsid w:val="00260955"/>
    <w:rsid w:val="002609BD"/>
    <w:rsid w:val="002628D8"/>
    <w:rsid w:val="00265CBE"/>
    <w:rsid w:val="00266C0F"/>
    <w:rsid w:val="002672C2"/>
    <w:rsid w:val="002679C0"/>
    <w:rsid w:val="0027042F"/>
    <w:rsid w:val="00271316"/>
    <w:rsid w:val="00271BD2"/>
    <w:rsid w:val="002725A9"/>
    <w:rsid w:val="00273821"/>
    <w:rsid w:val="00273ADF"/>
    <w:rsid w:val="0027570B"/>
    <w:rsid w:val="00276C1D"/>
    <w:rsid w:val="00277A26"/>
    <w:rsid w:val="002807C2"/>
    <w:rsid w:val="0028119E"/>
    <w:rsid w:val="00285B1E"/>
    <w:rsid w:val="002910A0"/>
    <w:rsid w:val="00291DFF"/>
    <w:rsid w:val="00293464"/>
    <w:rsid w:val="002943EA"/>
    <w:rsid w:val="00295071"/>
    <w:rsid w:val="002956EF"/>
    <w:rsid w:val="002962F0"/>
    <w:rsid w:val="00296313"/>
    <w:rsid w:val="002A067A"/>
    <w:rsid w:val="002A15B9"/>
    <w:rsid w:val="002A1CAA"/>
    <w:rsid w:val="002A30D1"/>
    <w:rsid w:val="002A5D8A"/>
    <w:rsid w:val="002A5E8C"/>
    <w:rsid w:val="002B0955"/>
    <w:rsid w:val="002B3C84"/>
    <w:rsid w:val="002B5349"/>
    <w:rsid w:val="002B7F3A"/>
    <w:rsid w:val="002C0BE1"/>
    <w:rsid w:val="002C1A73"/>
    <w:rsid w:val="002C2717"/>
    <w:rsid w:val="002C3571"/>
    <w:rsid w:val="002C474C"/>
    <w:rsid w:val="002C5BC9"/>
    <w:rsid w:val="002C5BFC"/>
    <w:rsid w:val="002C724F"/>
    <w:rsid w:val="002C74AD"/>
    <w:rsid w:val="002C75E2"/>
    <w:rsid w:val="002C79D4"/>
    <w:rsid w:val="002D1ED3"/>
    <w:rsid w:val="002D3083"/>
    <w:rsid w:val="002D37BF"/>
    <w:rsid w:val="002D46A5"/>
    <w:rsid w:val="002D58BE"/>
    <w:rsid w:val="002D59D9"/>
    <w:rsid w:val="002D63CA"/>
    <w:rsid w:val="002D7D47"/>
    <w:rsid w:val="002D7E0D"/>
    <w:rsid w:val="002E1227"/>
    <w:rsid w:val="002E1947"/>
    <w:rsid w:val="002E1A52"/>
    <w:rsid w:val="002E2602"/>
    <w:rsid w:val="002E3CFA"/>
    <w:rsid w:val="002E4376"/>
    <w:rsid w:val="002E5174"/>
    <w:rsid w:val="002E6884"/>
    <w:rsid w:val="002E6A8A"/>
    <w:rsid w:val="002F0268"/>
    <w:rsid w:val="002F1929"/>
    <w:rsid w:val="002F42F5"/>
    <w:rsid w:val="002F453A"/>
    <w:rsid w:val="002F7A8D"/>
    <w:rsid w:val="003013EE"/>
    <w:rsid w:val="00301A34"/>
    <w:rsid w:val="003022C7"/>
    <w:rsid w:val="00302903"/>
    <w:rsid w:val="00302A91"/>
    <w:rsid w:val="00303CB7"/>
    <w:rsid w:val="00304E62"/>
    <w:rsid w:val="00305C24"/>
    <w:rsid w:val="00306077"/>
    <w:rsid w:val="003063AB"/>
    <w:rsid w:val="00312094"/>
    <w:rsid w:val="00312B14"/>
    <w:rsid w:val="00312B9D"/>
    <w:rsid w:val="0031339B"/>
    <w:rsid w:val="00313E3D"/>
    <w:rsid w:val="00314F16"/>
    <w:rsid w:val="00317631"/>
    <w:rsid w:val="003179CD"/>
    <w:rsid w:val="00317FCC"/>
    <w:rsid w:val="00318574"/>
    <w:rsid w:val="0031E0FF"/>
    <w:rsid w:val="0032113F"/>
    <w:rsid w:val="00321883"/>
    <w:rsid w:val="00321FDD"/>
    <w:rsid w:val="003220C6"/>
    <w:rsid w:val="003248A1"/>
    <w:rsid w:val="0032718C"/>
    <w:rsid w:val="003273F7"/>
    <w:rsid w:val="0032798C"/>
    <w:rsid w:val="00333762"/>
    <w:rsid w:val="00340AA0"/>
    <w:rsid w:val="003422F4"/>
    <w:rsid w:val="00342628"/>
    <w:rsid w:val="00342FA7"/>
    <w:rsid w:val="00343542"/>
    <w:rsid w:val="00344536"/>
    <w:rsid w:val="00345B1A"/>
    <w:rsid w:val="00346FC5"/>
    <w:rsid w:val="00346FF9"/>
    <w:rsid w:val="00350027"/>
    <w:rsid w:val="003508E2"/>
    <w:rsid w:val="00351852"/>
    <w:rsid w:val="003520E3"/>
    <w:rsid w:val="00352431"/>
    <w:rsid w:val="00354CAF"/>
    <w:rsid w:val="0035598B"/>
    <w:rsid w:val="00356C74"/>
    <w:rsid w:val="0036021A"/>
    <w:rsid w:val="003607BA"/>
    <w:rsid w:val="00360AEB"/>
    <w:rsid w:val="00360CE5"/>
    <w:rsid w:val="00361A7A"/>
    <w:rsid w:val="00362C41"/>
    <w:rsid w:val="003637EA"/>
    <w:rsid w:val="00363F50"/>
    <w:rsid w:val="003655B2"/>
    <w:rsid w:val="00365A32"/>
    <w:rsid w:val="00365B4A"/>
    <w:rsid w:val="0036670C"/>
    <w:rsid w:val="00371B06"/>
    <w:rsid w:val="00371D91"/>
    <w:rsid w:val="00373BB6"/>
    <w:rsid w:val="003745A9"/>
    <w:rsid w:val="003746AB"/>
    <w:rsid w:val="00374CD6"/>
    <w:rsid w:val="00377230"/>
    <w:rsid w:val="00377BD3"/>
    <w:rsid w:val="00377E68"/>
    <w:rsid w:val="00380143"/>
    <w:rsid w:val="0038096E"/>
    <w:rsid w:val="0038393B"/>
    <w:rsid w:val="00384088"/>
    <w:rsid w:val="0038489B"/>
    <w:rsid w:val="003860C6"/>
    <w:rsid w:val="0039169B"/>
    <w:rsid w:val="00394F72"/>
    <w:rsid w:val="003A0A38"/>
    <w:rsid w:val="003A1BEC"/>
    <w:rsid w:val="003A2AB3"/>
    <w:rsid w:val="003A2AEB"/>
    <w:rsid w:val="003A43C0"/>
    <w:rsid w:val="003A6222"/>
    <w:rsid w:val="003A7862"/>
    <w:rsid w:val="003A7F8C"/>
    <w:rsid w:val="003B1995"/>
    <w:rsid w:val="003B2171"/>
    <w:rsid w:val="003B23C7"/>
    <w:rsid w:val="003B2AC9"/>
    <w:rsid w:val="003B380B"/>
    <w:rsid w:val="003B4508"/>
    <w:rsid w:val="003B4A21"/>
    <w:rsid w:val="003B5154"/>
    <w:rsid w:val="003B532E"/>
    <w:rsid w:val="003B551C"/>
    <w:rsid w:val="003B5BCE"/>
    <w:rsid w:val="003B6F14"/>
    <w:rsid w:val="003B79C6"/>
    <w:rsid w:val="003C05DA"/>
    <w:rsid w:val="003C13C8"/>
    <w:rsid w:val="003C17C9"/>
    <w:rsid w:val="003C1CCA"/>
    <w:rsid w:val="003C1E35"/>
    <w:rsid w:val="003C3435"/>
    <w:rsid w:val="003C35CC"/>
    <w:rsid w:val="003C3BBB"/>
    <w:rsid w:val="003C5944"/>
    <w:rsid w:val="003C5C8E"/>
    <w:rsid w:val="003D035E"/>
    <w:rsid w:val="003D0F8B"/>
    <w:rsid w:val="003D113B"/>
    <w:rsid w:val="003D243D"/>
    <w:rsid w:val="003D24CF"/>
    <w:rsid w:val="003D491D"/>
    <w:rsid w:val="003D75A4"/>
    <w:rsid w:val="003E3EEC"/>
    <w:rsid w:val="003E4BD0"/>
    <w:rsid w:val="003E5620"/>
    <w:rsid w:val="003E6A33"/>
    <w:rsid w:val="003F04A6"/>
    <w:rsid w:val="003F11A9"/>
    <w:rsid w:val="003F127E"/>
    <w:rsid w:val="003F14A9"/>
    <w:rsid w:val="003F186F"/>
    <w:rsid w:val="003F2B17"/>
    <w:rsid w:val="003F3176"/>
    <w:rsid w:val="003F3F5B"/>
    <w:rsid w:val="003F6DDB"/>
    <w:rsid w:val="00400022"/>
    <w:rsid w:val="00400B3F"/>
    <w:rsid w:val="004017F3"/>
    <w:rsid w:val="00403690"/>
    <w:rsid w:val="00403A52"/>
    <w:rsid w:val="00405691"/>
    <w:rsid w:val="004057D3"/>
    <w:rsid w:val="00406118"/>
    <w:rsid w:val="00406324"/>
    <w:rsid w:val="00406CFE"/>
    <w:rsid w:val="00410404"/>
    <w:rsid w:val="00410EC1"/>
    <w:rsid w:val="00410F99"/>
    <w:rsid w:val="00411CC6"/>
    <w:rsid w:val="004131D4"/>
    <w:rsid w:val="0041348E"/>
    <w:rsid w:val="004137CB"/>
    <w:rsid w:val="0041384E"/>
    <w:rsid w:val="00413965"/>
    <w:rsid w:val="00413A0F"/>
    <w:rsid w:val="00416761"/>
    <w:rsid w:val="0042062E"/>
    <w:rsid w:val="00421511"/>
    <w:rsid w:val="0042155B"/>
    <w:rsid w:val="00421631"/>
    <w:rsid w:val="00422662"/>
    <w:rsid w:val="00424DA6"/>
    <w:rsid w:val="00424E3B"/>
    <w:rsid w:val="00425355"/>
    <w:rsid w:val="00425D5E"/>
    <w:rsid w:val="00425F8C"/>
    <w:rsid w:val="0042720D"/>
    <w:rsid w:val="0042729D"/>
    <w:rsid w:val="00427837"/>
    <w:rsid w:val="00430616"/>
    <w:rsid w:val="00430B57"/>
    <w:rsid w:val="00432191"/>
    <w:rsid w:val="00436557"/>
    <w:rsid w:val="00436A36"/>
    <w:rsid w:val="0043797D"/>
    <w:rsid w:val="00437F58"/>
    <w:rsid w:val="004407C3"/>
    <w:rsid w:val="00441CB1"/>
    <w:rsid w:val="00442BB3"/>
    <w:rsid w:val="004441F7"/>
    <w:rsid w:val="00444397"/>
    <w:rsid w:val="00445BE1"/>
    <w:rsid w:val="00447308"/>
    <w:rsid w:val="00450E6D"/>
    <w:rsid w:val="00452723"/>
    <w:rsid w:val="00452C03"/>
    <w:rsid w:val="00454882"/>
    <w:rsid w:val="004625D6"/>
    <w:rsid w:val="00462919"/>
    <w:rsid w:val="00462A5C"/>
    <w:rsid w:val="00464CDB"/>
    <w:rsid w:val="00465B18"/>
    <w:rsid w:val="00467B30"/>
    <w:rsid w:val="00470030"/>
    <w:rsid w:val="00471388"/>
    <w:rsid w:val="00471BEE"/>
    <w:rsid w:val="00471D40"/>
    <w:rsid w:val="00471FBF"/>
    <w:rsid w:val="00472113"/>
    <w:rsid w:val="0047299B"/>
    <w:rsid w:val="004750A2"/>
    <w:rsid w:val="0047517E"/>
    <w:rsid w:val="00475951"/>
    <w:rsid w:val="004765FF"/>
    <w:rsid w:val="0047666C"/>
    <w:rsid w:val="00477AE6"/>
    <w:rsid w:val="004822E4"/>
    <w:rsid w:val="004847F4"/>
    <w:rsid w:val="0048666F"/>
    <w:rsid w:val="004875F5"/>
    <w:rsid w:val="00490C93"/>
    <w:rsid w:val="00490F07"/>
    <w:rsid w:val="00491398"/>
    <w:rsid w:val="004918B4"/>
    <w:rsid w:val="00492025"/>
    <w:rsid w:val="00492075"/>
    <w:rsid w:val="00492A89"/>
    <w:rsid w:val="004938C8"/>
    <w:rsid w:val="004969AD"/>
    <w:rsid w:val="00497A8F"/>
    <w:rsid w:val="00497B67"/>
    <w:rsid w:val="004A016D"/>
    <w:rsid w:val="004A030E"/>
    <w:rsid w:val="004A212E"/>
    <w:rsid w:val="004A471E"/>
    <w:rsid w:val="004A5CF9"/>
    <w:rsid w:val="004A693F"/>
    <w:rsid w:val="004A7616"/>
    <w:rsid w:val="004A7723"/>
    <w:rsid w:val="004B06A5"/>
    <w:rsid w:val="004B13CB"/>
    <w:rsid w:val="004B1BB3"/>
    <w:rsid w:val="004B2C3D"/>
    <w:rsid w:val="004B3EC2"/>
    <w:rsid w:val="004B4573"/>
    <w:rsid w:val="004B4FDF"/>
    <w:rsid w:val="004B6B1D"/>
    <w:rsid w:val="004B6BFC"/>
    <w:rsid w:val="004B7C8C"/>
    <w:rsid w:val="004C0883"/>
    <w:rsid w:val="004C2663"/>
    <w:rsid w:val="004C2E3D"/>
    <w:rsid w:val="004C368B"/>
    <w:rsid w:val="004C4092"/>
    <w:rsid w:val="004C4F2F"/>
    <w:rsid w:val="004C547C"/>
    <w:rsid w:val="004C5AD0"/>
    <w:rsid w:val="004C5AD9"/>
    <w:rsid w:val="004C6601"/>
    <w:rsid w:val="004C6944"/>
    <w:rsid w:val="004C75FD"/>
    <w:rsid w:val="004D0226"/>
    <w:rsid w:val="004D22C2"/>
    <w:rsid w:val="004D28C9"/>
    <w:rsid w:val="004D3BE3"/>
    <w:rsid w:val="004D5D5C"/>
    <w:rsid w:val="004D6280"/>
    <w:rsid w:val="004D65C8"/>
    <w:rsid w:val="004E205D"/>
    <w:rsid w:val="004E28F5"/>
    <w:rsid w:val="004E3B3A"/>
    <w:rsid w:val="004E4010"/>
    <w:rsid w:val="004E5E06"/>
    <w:rsid w:val="004E6C1E"/>
    <w:rsid w:val="004E7073"/>
    <w:rsid w:val="004E793D"/>
    <w:rsid w:val="004F0157"/>
    <w:rsid w:val="004F0EB6"/>
    <w:rsid w:val="004F2EEF"/>
    <w:rsid w:val="004F33DD"/>
    <w:rsid w:val="004F3A09"/>
    <w:rsid w:val="004F5DF7"/>
    <w:rsid w:val="004F626F"/>
    <w:rsid w:val="004F63D6"/>
    <w:rsid w:val="004F6937"/>
    <w:rsid w:val="004F71A0"/>
    <w:rsid w:val="0050139F"/>
    <w:rsid w:val="00502C46"/>
    <w:rsid w:val="00503D3F"/>
    <w:rsid w:val="005043A9"/>
    <w:rsid w:val="0050460B"/>
    <w:rsid w:val="00505271"/>
    <w:rsid w:val="00506B7F"/>
    <w:rsid w:val="00506EFE"/>
    <w:rsid w:val="005079D0"/>
    <w:rsid w:val="00512476"/>
    <w:rsid w:val="0051271B"/>
    <w:rsid w:val="00512A66"/>
    <w:rsid w:val="00513650"/>
    <w:rsid w:val="00513D0F"/>
    <w:rsid w:val="00515678"/>
    <w:rsid w:val="00515BD8"/>
    <w:rsid w:val="00516DF8"/>
    <w:rsid w:val="005176DF"/>
    <w:rsid w:val="00520DC2"/>
    <w:rsid w:val="00521223"/>
    <w:rsid w:val="005218B2"/>
    <w:rsid w:val="00522033"/>
    <w:rsid w:val="005224E9"/>
    <w:rsid w:val="00523D14"/>
    <w:rsid w:val="00523DC4"/>
    <w:rsid w:val="00523F52"/>
    <w:rsid w:val="0052435B"/>
    <w:rsid w:val="00524655"/>
    <w:rsid w:val="00524DF1"/>
    <w:rsid w:val="00531A9F"/>
    <w:rsid w:val="0053719A"/>
    <w:rsid w:val="00537DC9"/>
    <w:rsid w:val="0054005B"/>
    <w:rsid w:val="00544478"/>
    <w:rsid w:val="005445AD"/>
    <w:rsid w:val="005450E5"/>
    <w:rsid w:val="005454FB"/>
    <w:rsid w:val="00546B83"/>
    <w:rsid w:val="00550318"/>
    <w:rsid w:val="005506AB"/>
    <w:rsid w:val="0055140B"/>
    <w:rsid w:val="005515E0"/>
    <w:rsid w:val="0055180A"/>
    <w:rsid w:val="0055277C"/>
    <w:rsid w:val="00554C4F"/>
    <w:rsid w:val="005576FA"/>
    <w:rsid w:val="00557DCB"/>
    <w:rsid w:val="005612D5"/>
    <w:rsid w:val="00561D72"/>
    <w:rsid w:val="00563422"/>
    <w:rsid w:val="00563D5C"/>
    <w:rsid w:val="00566DAF"/>
    <w:rsid w:val="005670F1"/>
    <w:rsid w:val="00571356"/>
    <w:rsid w:val="00571944"/>
    <w:rsid w:val="00571C74"/>
    <w:rsid w:val="005724E7"/>
    <w:rsid w:val="005745F5"/>
    <w:rsid w:val="0057675A"/>
    <w:rsid w:val="00576FCD"/>
    <w:rsid w:val="00577C1A"/>
    <w:rsid w:val="00577F3F"/>
    <w:rsid w:val="005809CA"/>
    <w:rsid w:val="00580AB4"/>
    <w:rsid w:val="005816BF"/>
    <w:rsid w:val="00582286"/>
    <w:rsid w:val="00583714"/>
    <w:rsid w:val="00584A13"/>
    <w:rsid w:val="00587A91"/>
    <w:rsid w:val="00590754"/>
    <w:rsid w:val="00590AF3"/>
    <w:rsid w:val="00591147"/>
    <w:rsid w:val="00595317"/>
    <w:rsid w:val="00595684"/>
    <w:rsid w:val="00595BD5"/>
    <w:rsid w:val="005964AB"/>
    <w:rsid w:val="005A0FE1"/>
    <w:rsid w:val="005A1DD5"/>
    <w:rsid w:val="005A4755"/>
    <w:rsid w:val="005A47C0"/>
    <w:rsid w:val="005A4C8C"/>
    <w:rsid w:val="005A5381"/>
    <w:rsid w:val="005A5EDE"/>
    <w:rsid w:val="005A7FE5"/>
    <w:rsid w:val="005B0A1F"/>
    <w:rsid w:val="005B1840"/>
    <w:rsid w:val="005B1CAD"/>
    <w:rsid w:val="005B1F92"/>
    <w:rsid w:val="005B3A54"/>
    <w:rsid w:val="005B42D3"/>
    <w:rsid w:val="005B44F5"/>
    <w:rsid w:val="005B5C3D"/>
    <w:rsid w:val="005B696A"/>
    <w:rsid w:val="005C099A"/>
    <w:rsid w:val="005C2359"/>
    <w:rsid w:val="005C31A5"/>
    <w:rsid w:val="005C400E"/>
    <w:rsid w:val="005C4975"/>
    <w:rsid w:val="005C61F3"/>
    <w:rsid w:val="005C730F"/>
    <w:rsid w:val="005C78F4"/>
    <w:rsid w:val="005D0576"/>
    <w:rsid w:val="005D0EA5"/>
    <w:rsid w:val="005D33A0"/>
    <w:rsid w:val="005D498B"/>
    <w:rsid w:val="005D6DF6"/>
    <w:rsid w:val="005D70F3"/>
    <w:rsid w:val="005D7383"/>
    <w:rsid w:val="005E09F3"/>
    <w:rsid w:val="005E10C9"/>
    <w:rsid w:val="005E163E"/>
    <w:rsid w:val="005E187B"/>
    <w:rsid w:val="005E34CF"/>
    <w:rsid w:val="005E61DD"/>
    <w:rsid w:val="005E6321"/>
    <w:rsid w:val="005E65F8"/>
    <w:rsid w:val="005E7468"/>
    <w:rsid w:val="005F1A16"/>
    <w:rsid w:val="005F3123"/>
    <w:rsid w:val="005F4489"/>
    <w:rsid w:val="005F45BA"/>
    <w:rsid w:val="005F489F"/>
    <w:rsid w:val="005F73FE"/>
    <w:rsid w:val="0060083B"/>
    <w:rsid w:val="0060106F"/>
    <w:rsid w:val="006023DF"/>
    <w:rsid w:val="00603572"/>
    <w:rsid w:val="006045E7"/>
    <w:rsid w:val="006052D5"/>
    <w:rsid w:val="00605CEB"/>
    <w:rsid w:val="00606D44"/>
    <w:rsid w:val="00607E52"/>
    <w:rsid w:val="0061253A"/>
    <w:rsid w:val="00613524"/>
    <w:rsid w:val="00614A6D"/>
    <w:rsid w:val="00614FF6"/>
    <w:rsid w:val="00616F42"/>
    <w:rsid w:val="00617548"/>
    <w:rsid w:val="00617926"/>
    <w:rsid w:val="00617B61"/>
    <w:rsid w:val="006205BE"/>
    <w:rsid w:val="0062097A"/>
    <w:rsid w:val="006209A6"/>
    <w:rsid w:val="00621670"/>
    <w:rsid w:val="00622A59"/>
    <w:rsid w:val="00622E99"/>
    <w:rsid w:val="00623F86"/>
    <w:rsid w:val="00624B4D"/>
    <w:rsid w:val="0062597A"/>
    <w:rsid w:val="0062751D"/>
    <w:rsid w:val="00627AEB"/>
    <w:rsid w:val="00630B29"/>
    <w:rsid w:val="00634DCE"/>
    <w:rsid w:val="00635715"/>
    <w:rsid w:val="00635D7C"/>
    <w:rsid w:val="00635FD8"/>
    <w:rsid w:val="00636129"/>
    <w:rsid w:val="00637B95"/>
    <w:rsid w:val="00637D26"/>
    <w:rsid w:val="00640281"/>
    <w:rsid w:val="00640501"/>
    <w:rsid w:val="00640651"/>
    <w:rsid w:val="00642979"/>
    <w:rsid w:val="00642F8F"/>
    <w:rsid w:val="0064322F"/>
    <w:rsid w:val="0064648F"/>
    <w:rsid w:val="00646D24"/>
    <w:rsid w:val="006471E1"/>
    <w:rsid w:val="006505D0"/>
    <w:rsid w:val="0065102A"/>
    <w:rsid w:val="006511E4"/>
    <w:rsid w:val="0065307C"/>
    <w:rsid w:val="0065494F"/>
    <w:rsid w:val="006555CC"/>
    <w:rsid w:val="006559FD"/>
    <w:rsid w:val="0065615E"/>
    <w:rsid w:val="00657027"/>
    <w:rsid w:val="00657DE0"/>
    <w:rsid w:val="00660A4A"/>
    <w:rsid w:val="00660D9E"/>
    <w:rsid w:val="00661D2E"/>
    <w:rsid w:val="00662AA2"/>
    <w:rsid w:val="006634C4"/>
    <w:rsid w:val="00663ABC"/>
    <w:rsid w:val="00663DA1"/>
    <w:rsid w:val="00666922"/>
    <w:rsid w:val="006676D7"/>
    <w:rsid w:val="00667E60"/>
    <w:rsid w:val="00670689"/>
    <w:rsid w:val="00670EB8"/>
    <w:rsid w:val="006715B0"/>
    <w:rsid w:val="0067199F"/>
    <w:rsid w:val="00673C1F"/>
    <w:rsid w:val="00674103"/>
    <w:rsid w:val="006746A3"/>
    <w:rsid w:val="00677048"/>
    <w:rsid w:val="00677895"/>
    <w:rsid w:val="00683512"/>
    <w:rsid w:val="00685313"/>
    <w:rsid w:val="00687283"/>
    <w:rsid w:val="006907E2"/>
    <w:rsid w:val="00690FCE"/>
    <w:rsid w:val="0069177D"/>
    <w:rsid w:val="00691943"/>
    <w:rsid w:val="006920BF"/>
    <w:rsid w:val="00692A97"/>
    <w:rsid w:val="00692C4C"/>
    <w:rsid w:val="0069311E"/>
    <w:rsid w:val="0069422F"/>
    <w:rsid w:val="00695B65"/>
    <w:rsid w:val="00696F2C"/>
    <w:rsid w:val="00697BFD"/>
    <w:rsid w:val="006A08DB"/>
    <w:rsid w:val="006A0B32"/>
    <w:rsid w:val="006A112E"/>
    <w:rsid w:val="006A16A1"/>
    <w:rsid w:val="006A1F0B"/>
    <w:rsid w:val="006A2507"/>
    <w:rsid w:val="006A3788"/>
    <w:rsid w:val="006A5158"/>
    <w:rsid w:val="006A6B70"/>
    <w:rsid w:val="006A6E9B"/>
    <w:rsid w:val="006B005C"/>
    <w:rsid w:val="006B0198"/>
    <w:rsid w:val="006B3E2B"/>
    <w:rsid w:val="006B434E"/>
    <w:rsid w:val="006B4C24"/>
    <w:rsid w:val="006B5C68"/>
    <w:rsid w:val="006B6987"/>
    <w:rsid w:val="006B7C2A"/>
    <w:rsid w:val="006B7C86"/>
    <w:rsid w:val="006B7F0B"/>
    <w:rsid w:val="006C23DA"/>
    <w:rsid w:val="006C3497"/>
    <w:rsid w:val="006C51A9"/>
    <w:rsid w:val="006C56B4"/>
    <w:rsid w:val="006C5F2C"/>
    <w:rsid w:val="006C6935"/>
    <w:rsid w:val="006D0F1F"/>
    <w:rsid w:val="006D1496"/>
    <w:rsid w:val="006D15A4"/>
    <w:rsid w:val="006D1838"/>
    <w:rsid w:val="006D1D68"/>
    <w:rsid w:val="006D1DFA"/>
    <w:rsid w:val="006D45C3"/>
    <w:rsid w:val="006D48A6"/>
    <w:rsid w:val="006D4B10"/>
    <w:rsid w:val="006D53D6"/>
    <w:rsid w:val="006E00E3"/>
    <w:rsid w:val="006E0E2D"/>
    <w:rsid w:val="006E1701"/>
    <w:rsid w:val="006E3855"/>
    <w:rsid w:val="006E3D45"/>
    <w:rsid w:val="006E3F81"/>
    <w:rsid w:val="006E6720"/>
    <w:rsid w:val="006E6A76"/>
    <w:rsid w:val="006E6BB6"/>
    <w:rsid w:val="006E6E93"/>
    <w:rsid w:val="006E73F1"/>
    <w:rsid w:val="006F0468"/>
    <w:rsid w:val="006F38BF"/>
    <w:rsid w:val="006F5C96"/>
    <w:rsid w:val="006F6158"/>
    <w:rsid w:val="006F67EE"/>
    <w:rsid w:val="007008D1"/>
    <w:rsid w:val="007029FB"/>
    <w:rsid w:val="00703784"/>
    <w:rsid w:val="00705894"/>
    <w:rsid w:val="0071055B"/>
    <w:rsid w:val="007117C2"/>
    <w:rsid w:val="007133D0"/>
    <w:rsid w:val="00713AC3"/>
    <w:rsid w:val="007149F9"/>
    <w:rsid w:val="00715351"/>
    <w:rsid w:val="00716366"/>
    <w:rsid w:val="007167A9"/>
    <w:rsid w:val="00720527"/>
    <w:rsid w:val="00720F35"/>
    <w:rsid w:val="00722951"/>
    <w:rsid w:val="00723802"/>
    <w:rsid w:val="00723982"/>
    <w:rsid w:val="00725888"/>
    <w:rsid w:val="0072620E"/>
    <w:rsid w:val="0072639D"/>
    <w:rsid w:val="0073219E"/>
    <w:rsid w:val="007321ED"/>
    <w:rsid w:val="00732296"/>
    <w:rsid w:val="007335A8"/>
    <w:rsid w:val="0073381C"/>
    <w:rsid w:val="00733A30"/>
    <w:rsid w:val="00733E55"/>
    <w:rsid w:val="00734A46"/>
    <w:rsid w:val="007354A7"/>
    <w:rsid w:val="00735F7F"/>
    <w:rsid w:val="00736E62"/>
    <w:rsid w:val="0073794C"/>
    <w:rsid w:val="00740407"/>
    <w:rsid w:val="00740481"/>
    <w:rsid w:val="00740598"/>
    <w:rsid w:val="00741433"/>
    <w:rsid w:val="007418C3"/>
    <w:rsid w:val="007418CE"/>
    <w:rsid w:val="00741F40"/>
    <w:rsid w:val="0074204D"/>
    <w:rsid w:val="007442BF"/>
    <w:rsid w:val="00745AEE"/>
    <w:rsid w:val="007479EA"/>
    <w:rsid w:val="00747DE8"/>
    <w:rsid w:val="00750F10"/>
    <w:rsid w:val="00751AD8"/>
    <w:rsid w:val="007527E2"/>
    <w:rsid w:val="00753429"/>
    <w:rsid w:val="007544FA"/>
    <w:rsid w:val="00754549"/>
    <w:rsid w:val="0075515D"/>
    <w:rsid w:val="00756B1C"/>
    <w:rsid w:val="00760C4A"/>
    <w:rsid w:val="007621F7"/>
    <w:rsid w:val="007627FC"/>
    <w:rsid w:val="00764C47"/>
    <w:rsid w:val="0076564E"/>
    <w:rsid w:val="00767AFD"/>
    <w:rsid w:val="00767CE0"/>
    <w:rsid w:val="007709CE"/>
    <w:rsid w:val="00771F2D"/>
    <w:rsid w:val="007725B9"/>
    <w:rsid w:val="0077277B"/>
    <w:rsid w:val="007737C7"/>
    <w:rsid w:val="007742CA"/>
    <w:rsid w:val="00775330"/>
    <w:rsid w:val="00775FBB"/>
    <w:rsid w:val="00776353"/>
    <w:rsid w:val="00776A1E"/>
    <w:rsid w:val="0077718C"/>
    <w:rsid w:val="007813FF"/>
    <w:rsid w:val="00782058"/>
    <w:rsid w:val="00782399"/>
    <w:rsid w:val="00782722"/>
    <w:rsid w:val="00783772"/>
    <w:rsid w:val="00784155"/>
    <w:rsid w:val="00785EFC"/>
    <w:rsid w:val="0078755A"/>
    <w:rsid w:val="00787A1A"/>
    <w:rsid w:val="00790B94"/>
    <w:rsid w:val="00791B42"/>
    <w:rsid w:val="00793ACF"/>
    <w:rsid w:val="00793AF3"/>
    <w:rsid w:val="007962BF"/>
    <w:rsid w:val="00796747"/>
    <w:rsid w:val="007969D3"/>
    <w:rsid w:val="00796A48"/>
    <w:rsid w:val="007A23B0"/>
    <w:rsid w:val="007A247E"/>
    <w:rsid w:val="007A2485"/>
    <w:rsid w:val="007A3328"/>
    <w:rsid w:val="007A39AC"/>
    <w:rsid w:val="007A6140"/>
    <w:rsid w:val="007A7100"/>
    <w:rsid w:val="007A7F65"/>
    <w:rsid w:val="007B0316"/>
    <w:rsid w:val="007B1B0B"/>
    <w:rsid w:val="007B345D"/>
    <w:rsid w:val="007B3487"/>
    <w:rsid w:val="007B36B3"/>
    <w:rsid w:val="007B3C32"/>
    <w:rsid w:val="007B5299"/>
    <w:rsid w:val="007B6009"/>
    <w:rsid w:val="007B609A"/>
    <w:rsid w:val="007B7053"/>
    <w:rsid w:val="007B707C"/>
    <w:rsid w:val="007B7216"/>
    <w:rsid w:val="007C036A"/>
    <w:rsid w:val="007C1CEE"/>
    <w:rsid w:val="007C32FC"/>
    <w:rsid w:val="007C3321"/>
    <w:rsid w:val="007C5AF8"/>
    <w:rsid w:val="007C7763"/>
    <w:rsid w:val="007D00B2"/>
    <w:rsid w:val="007D04BF"/>
    <w:rsid w:val="007D06F0"/>
    <w:rsid w:val="007D1EF4"/>
    <w:rsid w:val="007D354E"/>
    <w:rsid w:val="007D3E23"/>
    <w:rsid w:val="007D41FD"/>
    <w:rsid w:val="007D45E3"/>
    <w:rsid w:val="007D5320"/>
    <w:rsid w:val="007D53CA"/>
    <w:rsid w:val="007D5C95"/>
    <w:rsid w:val="007D618D"/>
    <w:rsid w:val="007D64C8"/>
    <w:rsid w:val="007D6F9F"/>
    <w:rsid w:val="007D7831"/>
    <w:rsid w:val="007D7BA6"/>
    <w:rsid w:val="007E17DA"/>
    <w:rsid w:val="007E3823"/>
    <w:rsid w:val="007E5B50"/>
    <w:rsid w:val="007E64CD"/>
    <w:rsid w:val="007E684D"/>
    <w:rsid w:val="007E77F4"/>
    <w:rsid w:val="007F047F"/>
    <w:rsid w:val="007F0B1C"/>
    <w:rsid w:val="007F33FF"/>
    <w:rsid w:val="007F4258"/>
    <w:rsid w:val="007F4900"/>
    <w:rsid w:val="007F6580"/>
    <w:rsid w:val="007F694B"/>
    <w:rsid w:val="007F735C"/>
    <w:rsid w:val="00800972"/>
    <w:rsid w:val="00800E20"/>
    <w:rsid w:val="00801DFE"/>
    <w:rsid w:val="00802DFC"/>
    <w:rsid w:val="008031AE"/>
    <w:rsid w:val="00803583"/>
    <w:rsid w:val="00803756"/>
    <w:rsid w:val="00804475"/>
    <w:rsid w:val="0080695B"/>
    <w:rsid w:val="0081047D"/>
    <w:rsid w:val="0081101D"/>
    <w:rsid w:val="00811633"/>
    <w:rsid w:val="00811F77"/>
    <w:rsid w:val="00812D8D"/>
    <w:rsid w:val="0081545B"/>
    <w:rsid w:val="00816EA7"/>
    <w:rsid w:val="0081711A"/>
    <w:rsid w:val="00821C39"/>
    <w:rsid w:val="00821CEF"/>
    <w:rsid w:val="008245C9"/>
    <w:rsid w:val="00830432"/>
    <w:rsid w:val="0083161E"/>
    <w:rsid w:val="00832828"/>
    <w:rsid w:val="008334F3"/>
    <w:rsid w:val="00833775"/>
    <w:rsid w:val="00834102"/>
    <w:rsid w:val="0083645A"/>
    <w:rsid w:val="00836DA0"/>
    <w:rsid w:val="00840B0F"/>
    <w:rsid w:val="00840B82"/>
    <w:rsid w:val="00841303"/>
    <w:rsid w:val="008421E5"/>
    <w:rsid w:val="008433A5"/>
    <w:rsid w:val="00845C28"/>
    <w:rsid w:val="00845C81"/>
    <w:rsid w:val="00846CD6"/>
    <w:rsid w:val="008477F7"/>
    <w:rsid w:val="00850299"/>
    <w:rsid w:val="00850DF7"/>
    <w:rsid w:val="00852A91"/>
    <w:rsid w:val="00855014"/>
    <w:rsid w:val="0085532D"/>
    <w:rsid w:val="00855A13"/>
    <w:rsid w:val="0085653B"/>
    <w:rsid w:val="00856855"/>
    <w:rsid w:val="00857FD5"/>
    <w:rsid w:val="00860C54"/>
    <w:rsid w:val="00860F2E"/>
    <w:rsid w:val="008614FC"/>
    <w:rsid w:val="00863D37"/>
    <w:rsid w:val="00863E30"/>
    <w:rsid w:val="00864DBC"/>
    <w:rsid w:val="0086560B"/>
    <w:rsid w:val="00865642"/>
    <w:rsid w:val="00865AA5"/>
    <w:rsid w:val="00865DF3"/>
    <w:rsid w:val="008677F1"/>
    <w:rsid w:val="00867880"/>
    <w:rsid w:val="008711AE"/>
    <w:rsid w:val="00871569"/>
    <w:rsid w:val="00871900"/>
    <w:rsid w:val="00872FC8"/>
    <w:rsid w:val="00872FE4"/>
    <w:rsid w:val="0087323E"/>
    <w:rsid w:val="00873DBB"/>
    <w:rsid w:val="008747D2"/>
    <w:rsid w:val="00874B22"/>
    <w:rsid w:val="00875627"/>
    <w:rsid w:val="008772F7"/>
    <w:rsid w:val="00877D95"/>
    <w:rsid w:val="00877E0B"/>
    <w:rsid w:val="008801D3"/>
    <w:rsid w:val="00880C45"/>
    <w:rsid w:val="00882C2F"/>
    <w:rsid w:val="00882D0D"/>
    <w:rsid w:val="008830BC"/>
    <w:rsid w:val="008845D0"/>
    <w:rsid w:val="008854D0"/>
    <w:rsid w:val="008928EE"/>
    <w:rsid w:val="00892905"/>
    <w:rsid w:val="00892B52"/>
    <w:rsid w:val="008943E1"/>
    <w:rsid w:val="00895764"/>
    <w:rsid w:val="008977EC"/>
    <w:rsid w:val="00897E2C"/>
    <w:rsid w:val="008A0D8D"/>
    <w:rsid w:val="008A18F2"/>
    <w:rsid w:val="008A1F88"/>
    <w:rsid w:val="008A2B2B"/>
    <w:rsid w:val="008A2ECD"/>
    <w:rsid w:val="008A3918"/>
    <w:rsid w:val="008A3933"/>
    <w:rsid w:val="008A4072"/>
    <w:rsid w:val="008A41BC"/>
    <w:rsid w:val="008A50C3"/>
    <w:rsid w:val="008A5B1F"/>
    <w:rsid w:val="008A5D13"/>
    <w:rsid w:val="008A6805"/>
    <w:rsid w:val="008B0058"/>
    <w:rsid w:val="008B013F"/>
    <w:rsid w:val="008B07CE"/>
    <w:rsid w:val="008B1511"/>
    <w:rsid w:val="008B43F2"/>
    <w:rsid w:val="008B61EA"/>
    <w:rsid w:val="008B6CFF"/>
    <w:rsid w:val="008B7452"/>
    <w:rsid w:val="008C3044"/>
    <w:rsid w:val="008C3930"/>
    <w:rsid w:val="008C48E9"/>
    <w:rsid w:val="008C4B32"/>
    <w:rsid w:val="008D0BF6"/>
    <w:rsid w:val="008D129D"/>
    <w:rsid w:val="008D1FE4"/>
    <w:rsid w:val="008D20C7"/>
    <w:rsid w:val="008D2190"/>
    <w:rsid w:val="008D30C6"/>
    <w:rsid w:val="008E151D"/>
    <w:rsid w:val="008E22B6"/>
    <w:rsid w:val="008E257A"/>
    <w:rsid w:val="008E2757"/>
    <w:rsid w:val="008E2948"/>
    <w:rsid w:val="008E34FC"/>
    <w:rsid w:val="008E36B4"/>
    <w:rsid w:val="008E5C48"/>
    <w:rsid w:val="008F096E"/>
    <w:rsid w:val="008F0975"/>
    <w:rsid w:val="008F0ADB"/>
    <w:rsid w:val="008F1D07"/>
    <w:rsid w:val="008F1F45"/>
    <w:rsid w:val="008F20E8"/>
    <w:rsid w:val="008F2F30"/>
    <w:rsid w:val="008F51E6"/>
    <w:rsid w:val="008F64DE"/>
    <w:rsid w:val="008F6E86"/>
    <w:rsid w:val="009003A4"/>
    <w:rsid w:val="00902EEE"/>
    <w:rsid w:val="0090375C"/>
    <w:rsid w:val="0090377A"/>
    <w:rsid w:val="00903D75"/>
    <w:rsid w:val="009054E3"/>
    <w:rsid w:val="009062E7"/>
    <w:rsid w:val="0090694C"/>
    <w:rsid w:val="00907B06"/>
    <w:rsid w:val="0091009E"/>
    <w:rsid w:val="00910B26"/>
    <w:rsid w:val="00911B02"/>
    <w:rsid w:val="009122EF"/>
    <w:rsid w:val="0091250D"/>
    <w:rsid w:val="009126EC"/>
    <w:rsid w:val="009131D0"/>
    <w:rsid w:val="00913C21"/>
    <w:rsid w:val="00913E56"/>
    <w:rsid w:val="009148B3"/>
    <w:rsid w:val="00915F55"/>
    <w:rsid w:val="00916D81"/>
    <w:rsid w:val="00916F8F"/>
    <w:rsid w:val="00920758"/>
    <w:rsid w:val="00920EB4"/>
    <w:rsid w:val="0092217E"/>
    <w:rsid w:val="009226DA"/>
    <w:rsid w:val="00922B93"/>
    <w:rsid w:val="00922F12"/>
    <w:rsid w:val="009274B4"/>
    <w:rsid w:val="00927712"/>
    <w:rsid w:val="00927CE2"/>
    <w:rsid w:val="00930483"/>
    <w:rsid w:val="00931EE9"/>
    <w:rsid w:val="00933932"/>
    <w:rsid w:val="00934A02"/>
    <w:rsid w:val="00934EA2"/>
    <w:rsid w:val="00936CA9"/>
    <w:rsid w:val="00937459"/>
    <w:rsid w:val="00942A41"/>
    <w:rsid w:val="00944A5C"/>
    <w:rsid w:val="00944B9B"/>
    <w:rsid w:val="009452E0"/>
    <w:rsid w:val="009465C0"/>
    <w:rsid w:val="00946967"/>
    <w:rsid w:val="00946A78"/>
    <w:rsid w:val="0095001A"/>
    <w:rsid w:val="009506F8"/>
    <w:rsid w:val="00951D1D"/>
    <w:rsid w:val="00952A66"/>
    <w:rsid w:val="009554BD"/>
    <w:rsid w:val="00955599"/>
    <w:rsid w:val="009556DE"/>
    <w:rsid w:val="009557F3"/>
    <w:rsid w:val="0095585F"/>
    <w:rsid w:val="00956BB3"/>
    <w:rsid w:val="009578E6"/>
    <w:rsid w:val="00957A5C"/>
    <w:rsid w:val="00957A67"/>
    <w:rsid w:val="00957B6C"/>
    <w:rsid w:val="009609E7"/>
    <w:rsid w:val="0096260D"/>
    <w:rsid w:val="00963713"/>
    <w:rsid w:val="00964127"/>
    <w:rsid w:val="0096456E"/>
    <w:rsid w:val="00965FD2"/>
    <w:rsid w:val="00966064"/>
    <w:rsid w:val="009661EF"/>
    <w:rsid w:val="00966525"/>
    <w:rsid w:val="00967B57"/>
    <w:rsid w:val="00970CE5"/>
    <w:rsid w:val="0097149C"/>
    <w:rsid w:val="00972100"/>
    <w:rsid w:val="00972550"/>
    <w:rsid w:val="009725C3"/>
    <w:rsid w:val="00972EDF"/>
    <w:rsid w:val="00975459"/>
    <w:rsid w:val="00981393"/>
    <w:rsid w:val="00982251"/>
    <w:rsid w:val="009824CF"/>
    <w:rsid w:val="00983223"/>
    <w:rsid w:val="00984B33"/>
    <w:rsid w:val="00984E5D"/>
    <w:rsid w:val="00985626"/>
    <w:rsid w:val="009859B9"/>
    <w:rsid w:val="009869D1"/>
    <w:rsid w:val="00986CD3"/>
    <w:rsid w:val="0098724E"/>
    <w:rsid w:val="0098774E"/>
    <w:rsid w:val="00990B26"/>
    <w:rsid w:val="00993676"/>
    <w:rsid w:val="00994C94"/>
    <w:rsid w:val="009964C9"/>
    <w:rsid w:val="009A072B"/>
    <w:rsid w:val="009A0EE6"/>
    <w:rsid w:val="009A2418"/>
    <w:rsid w:val="009A31A0"/>
    <w:rsid w:val="009A33F6"/>
    <w:rsid w:val="009A4ACE"/>
    <w:rsid w:val="009A4E6F"/>
    <w:rsid w:val="009B12F1"/>
    <w:rsid w:val="009B25B5"/>
    <w:rsid w:val="009B3BB7"/>
    <w:rsid w:val="009B5B24"/>
    <w:rsid w:val="009B5BEF"/>
    <w:rsid w:val="009B75FF"/>
    <w:rsid w:val="009B7B81"/>
    <w:rsid w:val="009C0124"/>
    <w:rsid w:val="009C21E1"/>
    <w:rsid w:val="009C2369"/>
    <w:rsid w:val="009C4203"/>
    <w:rsid w:val="009C56E5"/>
    <w:rsid w:val="009C78B8"/>
    <w:rsid w:val="009D0866"/>
    <w:rsid w:val="009D09B5"/>
    <w:rsid w:val="009D0FF8"/>
    <w:rsid w:val="009D1EB3"/>
    <w:rsid w:val="009D2C8D"/>
    <w:rsid w:val="009D2DC8"/>
    <w:rsid w:val="009D4066"/>
    <w:rsid w:val="009D4E19"/>
    <w:rsid w:val="009E053F"/>
    <w:rsid w:val="009E08BA"/>
    <w:rsid w:val="009E23E0"/>
    <w:rsid w:val="009E25A0"/>
    <w:rsid w:val="009E4E51"/>
    <w:rsid w:val="009E5FC8"/>
    <w:rsid w:val="009E662D"/>
    <w:rsid w:val="009E687A"/>
    <w:rsid w:val="009E6972"/>
    <w:rsid w:val="009E70D3"/>
    <w:rsid w:val="009E7742"/>
    <w:rsid w:val="009F33B1"/>
    <w:rsid w:val="009F41DF"/>
    <w:rsid w:val="00A0066C"/>
    <w:rsid w:val="00A01B7E"/>
    <w:rsid w:val="00A02A1E"/>
    <w:rsid w:val="00A03200"/>
    <w:rsid w:val="00A03938"/>
    <w:rsid w:val="00A03997"/>
    <w:rsid w:val="00A03C5C"/>
    <w:rsid w:val="00A0487E"/>
    <w:rsid w:val="00A066F1"/>
    <w:rsid w:val="00A104D8"/>
    <w:rsid w:val="00A112E5"/>
    <w:rsid w:val="00A124B4"/>
    <w:rsid w:val="00A130CC"/>
    <w:rsid w:val="00A141AF"/>
    <w:rsid w:val="00A14452"/>
    <w:rsid w:val="00A14B1F"/>
    <w:rsid w:val="00A16282"/>
    <w:rsid w:val="00A16543"/>
    <w:rsid w:val="00A16726"/>
    <w:rsid w:val="00A16D29"/>
    <w:rsid w:val="00A170EA"/>
    <w:rsid w:val="00A20015"/>
    <w:rsid w:val="00A201E2"/>
    <w:rsid w:val="00A2048E"/>
    <w:rsid w:val="00A20E5E"/>
    <w:rsid w:val="00A226BD"/>
    <w:rsid w:val="00A2370F"/>
    <w:rsid w:val="00A23775"/>
    <w:rsid w:val="00A2460E"/>
    <w:rsid w:val="00A24681"/>
    <w:rsid w:val="00A26392"/>
    <w:rsid w:val="00A30305"/>
    <w:rsid w:val="00A3080B"/>
    <w:rsid w:val="00A30F3B"/>
    <w:rsid w:val="00A31006"/>
    <w:rsid w:val="00A31D2D"/>
    <w:rsid w:val="00A32522"/>
    <w:rsid w:val="00A3326D"/>
    <w:rsid w:val="00A3504D"/>
    <w:rsid w:val="00A36F2A"/>
    <w:rsid w:val="00A3726E"/>
    <w:rsid w:val="00A37565"/>
    <w:rsid w:val="00A40016"/>
    <w:rsid w:val="00A406FE"/>
    <w:rsid w:val="00A415B2"/>
    <w:rsid w:val="00A4351E"/>
    <w:rsid w:val="00A442BF"/>
    <w:rsid w:val="00A4464D"/>
    <w:rsid w:val="00A4600A"/>
    <w:rsid w:val="00A50014"/>
    <w:rsid w:val="00A503CC"/>
    <w:rsid w:val="00A51A30"/>
    <w:rsid w:val="00A51BC5"/>
    <w:rsid w:val="00A52A78"/>
    <w:rsid w:val="00A52C56"/>
    <w:rsid w:val="00A5372D"/>
    <w:rsid w:val="00A538A6"/>
    <w:rsid w:val="00A54C25"/>
    <w:rsid w:val="00A64A50"/>
    <w:rsid w:val="00A6539E"/>
    <w:rsid w:val="00A65AF2"/>
    <w:rsid w:val="00A65CDF"/>
    <w:rsid w:val="00A66711"/>
    <w:rsid w:val="00A710E7"/>
    <w:rsid w:val="00A7372E"/>
    <w:rsid w:val="00A738A3"/>
    <w:rsid w:val="00A739BA"/>
    <w:rsid w:val="00A74629"/>
    <w:rsid w:val="00A7625B"/>
    <w:rsid w:val="00A77729"/>
    <w:rsid w:val="00A81044"/>
    <w:rsid w:val="00A81585"/>
    <w:rsid w:val="00A819EB"/>
    <w:rsid w:val="00A81EE6"/>
    <w:rsid w:val="00A8445F"/>
    <w:rsid w:val="00A84A57"/>
    <w:rsid w:val="00A856CE"/>
    <w:rsid w:val="00A86889"/>
    <w:rsid w:val="00A8689E"/>
    <w:rsid w:val="00A90501"/>
    <w:rsid w:val="00A90616"/>
    <w:rsid w:val="00A906F0"/>
    <w:rsid w:val="00A90A72"/>
    <w:rsid w:val="00A91026"/>
    <w:rsid w:val="00A91BE1"/>
    <w:rsid w:val="00A9215A"/>
    <w:rsid w:val="00A92D0D"/>
    <w:rsid w:val="00A93172"/>
    <w:rsid w:val="00A93B85"/>
    <w:rsid w:val="00A943E7"/>
    <w:rsid w:val="00A9489C"/>
    <w:rsid w:val="00A94C32"/>
    <w:rsid w:val="00A95FB6"/>
    <w:rsid w:val="00A967C0"/>
    <w:rsid w:val="00A969E2"/>
    <w:rsid w:val="00A97034"/>
    <w:rsid w:val="00AA0B18"/>
    <w:rsid w:val="00AA17CD"/>
    <w:rsid w:val="00AA1C4F"/>
    <w:rsid w:val="00AA2CDA"/>
    <w:rsid w:val="00AA30FD"/>
    <w:rsid w:val="00AA58D6"/>
    <w:rsid w:val="00AA5B01"/>
    <w:rsid w:val="00AA6124"/>
    <w:rsid w:val="00AA631F"/>
    <w:rsid w:val="00AA666F"/>
    <w:rsid w:val="00AB1BC6"/>
    <w:rsid w:val="00AB1E9C"/>
    <w:rsid w:val="00AB293E"/>
    <w:rsid w:val="00AB2B97"/>
    <w:rsid w:val="00AB4927"/>
    <w:rsid w:val="00AB4E29"/>
    <w:rsid w:val="00AB6F75"/>
    <w:rsid w:val="00AB720C"/>
    <w:rsid w:val="00AB7C09"/>
    <w:rsid w:val="00AC0040"/>
    <w:rsid w:val="00AC034F"/>
    <w:rsid w:val="00AC40E4"/>
    <w:rsid w:val="00AC5C55"/>
    <w:rsid w:val="00AC5F35"/>
    <w:rsid w:val="00AC6F62"/>
    <w:rsid w:val="00AD020D"/>
    <w:rsid w:val="00AD0D25"/>
    <w:rsid w:val="00AD0EFF"/>
    <w:rsid w:val="00AD25E0"/>
    <w:rsid w:val="00AD4EF3"/>
    <w:rsid w:val="00AE0C7E"/>
    <w:rsid w:val="00AE2809"/>
    <w:rsid w:val="00AE3E1D"/>
    <w:rsid w:val="00AE3E85"/>
    <w:rsid w:val="00AE629C"/>
    <w:rsid w:val="00AE6930"/>
    <w:rsid w:val="00AE6A69"/>
    <w:rsid w:val="00AE73C2"/>
    <w:rsid w:val="00AE7724"/>
    <w:rsid w:val="00AE7F56"/>
    <w:rsid w:val="00AF0F0D"/>
    <w:rsid w:val="00AF11BB"/>
    <w:rsid w:val="00AF2824"/>
    <w:rsid w:val="00AF3065"/>
    <w:rsid w:val="00AF6D52"/>
    <w:rsid w:val="00B004E5"/>
    <w:rsid w:val="00B02ABA"/>
    <w:rsid w:val="00B02DD7"/>
    <w:rsid w:val="00B037A1"/>
    <w:rsid w:val="00B057B2"/>
    <w:rsid w:val="00B06431"/>
    <w:rsid w:val="00B06E28"/>
    <w:rsid w:val="00B118AC"/>
    <w:rsid w:val="00B11997"/>
    <w:rsid w:val="00B12CC9"/>
    <w:rsid w:val="00B12F8B"/>
    <w:rsid w:val="00B13EB0"/>
    <w:rsid w:val="00B141D3"/>
    <w:rsid w:val="00B15F9D"/>
    <w:rsid w:val="00B16F55"/>
    <w:rsid w:val="00B2101E"/>
    <w:rsid w:val="00B214A6"/>
    <w:rsid w:val="00B25599"/>
    <w:rsid w:val="00B26443"/>
    <w:rsid w:val="00B26BC7"/>
    <w:rsid w:val="00B30020"/>
    <w:rsid w:val="00B30941"/>
    <w:rsid w:val="00B31A42"/>
    <w:rsid w:val="00B31C9D"/>
    <w:rsid w:val="00B31F6A"/>
    <w:rsid w:val="00B33C77"/>
    <w:rsid w:val="00B40483"/>
    <w:rsid w:val="00B40C20"/>
    <w:rsid w:val="00B41208"/>
    <w:rsid w:val="00B41642"/>
    <w:rsid w:val="00B44154"/>
    <w:rsid w:val="00B467EC"/>
    <w:rsid w:val="00B47CB1"/>
    <w:rsid w:val="00B47E8C"/>
    <w:rsid w:val="00B5264D"/>
    <w:rsid w:val="00B5453F"/>
    <w:rsid w:val="00B56712"/>
    <w:rsid w:val="00B567B2"/>
    <w:rsid w:val="00B57DC0"/>
    <w:rsid w:val="00B6091A"/>
    <w:rsid w:val="00B62312"/>
    <w:rsid w:val="00B6374F"/>
    <w:rsid w:val="00B639E9"/>
    <w:rsid w:val="00B643ED"/>
    <w:rsid w:val="00B64DA9"/>
    <w:rsid w:val="00B6515C"/>
    <w:rsid w:val="00B6528A"/>
    <w:rsid w:val="00B65765"/>
    <w:rsid w:val="00B668B8"/>
    <w:rsid w:val="00B67544"/>
    <w:rsid w:val="00B675B8"/>
    <w:rsid w:val="00B67BF4"/>
    <w:rsid w:val="00B71D57"/>
    <w:rsid w:val="00B72CA1"/>
    <w:rsid w:val="00B7347D"/>
    <w:rsid w:val="00B73531"/>
    <w:rsid w:val="00B75D8B"/>
    <w:rsid w:val="00B765A9"/>
    <w:rsid w:val="00B77483"/>
    <w:rsid w:val="00B80F70"/>
    <w:rsid w:val="00B817CD"/>
    <w:rsid w:val="00B83340"/>
    <w:rsid w:val="00B85688"/>
    <w:rsid w:val="00B860DF"/>
    <w:rsid w:val="00B90F31"/>
    <w:rsid w:val="00B90FD2"/>
    <w:rsid w:val="00B911B2"/>
    <w:rsid w:val="00B930CB"/>
    <w:rsid w:val="00B931E3"/>
    <w:rsid w:val="00B937A3"/>
    <w:rsid w:val="00B937F5"/>
    <w:rsid w:val="00B94B2E"/>
    <w:rsid w:val="00B951D0"/>
    <w:rsid w:val="00B95A39"/>
    <w:rsid w:val="00B95DA2"/>
    <w:rsid w:val="00B9ACEA"/>
    <w:rsid w:val="00BA06BF"/>
    <w:rsid w:val="00BA084A"/>
    <w:rsid w:val="00BA25EA"/>
    <w:rsid w:val="00BA2D9D"/>
    <w:rsid w:val="00BA2E47"/>
    <w:rsid w:val="00BA3E69"/>
    <w:rsid w:val="00BA3F40"/>
    <w:rsid w:val="00BA4677"/>
    <w:rsid w:val="00BA4719"/>
    <w:rsid w:val="00BA4B6A"/>
    <w:rsid w:val="00BA54A8"/>
    <w:rsid w:val="00BA6656"/>
    <w:rsid w:val="00BA6B37"/>
    <w:rsid w:val="00BB29C8"/>
    <w:rsid w:val="00BB3A95"/>
    <w:rsid w:val="00BB4000"/>
    <w:rsid w:val="00BB5279"/>
    <w:rsid w:val="00BB5BFB"/>
    <w:rsid w:val="00BB6500"/>
    <w:rsid w:val="00BB72C2"/>
    <w:rsid w:val="00BC0382"/>
    <w:rsid w:val="00BC109A"/>
    <w:rsid w:val="00BC7C7D"/>
    <w:rsid w:val="00BD06BE"/>
    <w:rsid w:val="00BD167E"/>
    <w:rsid w:val="00BD1A73"/>
    <w:rsid w:val="00BD1E15"/>
    <w:rsid w:val="00BD2A33"/>
    <w:rsid w:val="00BD3C46"/>
    <w:rsid w:val="00BD4323"/>
    <w:rsid w:val="00BD62C6"/>
    <w:rsid w:val="00BD73B5"/>
    <w:rsid w:val="00BE016B"/>
    <w:rsid w:val="00BE317E"/>
    <w:rsid w:val="00BE3468"/>
    <w:rsid w:val="00BE43B4"/>
    <w:rsid w:val="00BE5E82"/>
    <w:rsid w:val="00BE7302"/>
    <w:rsid w:val="00BF002E"/>
    <w:rsid w:val="00BF0593"/>
    <w:rsid w:val="00BF152D"/>
    <w:rsid w:val="00BF38EA"/>
    <w:rsid w:val="00BF5B1F"/>
    <w:rsid w:val="00BF5B22"/>
    <w:rsid w:val="00BF5BFA"/>
    <w:rsid w:val="00BF6353"/>
    <w:rsid w:val="00C0018F"/>
    <w:rsid w:val="00C00FED"/>
    <w:rsid w:val="00C02A51"/>
    <w:rsid w:val="00C051CA"/>
    <w:rsid w:val="00C0624E"/>
    <w:rsid w:val="00C07024"/>
    <w:rsid w:val="00C07ECF"/>
    <w:rsid w:val="00C10F70"/>
    <w:rsid w:val="00C116B2"/>
    <w:rsid w:val="00C11EC8"/>
    <w:rsid w:val="00C15835"/>
    <w:rsid w:val="00C15C48"/>
    <w:rsid w:val="00C15EAC"/>
    <w:rsid w:val="00C16D30"/>
    <w:rsid w:val="00C20229"/>
    <w:rsid w:val="00C20466"/>
    <w:rsid w:val="00C2145C"/>
    <w:rsid w:val="00C214ED"/>
    <w:rsid w:val="00C21CB9"/>
    <w:rsid w:val="00C22711"/>
    <w:rsid w:val="00C234E6"/>
    <w:rsid w:val="00C257B3"/>
    <w:rsid w:val="00C25B78"/>
    <w:rsid w:val="00C27497"/>
    <w:rsid w:val="00C30C93"/>
    <w:rsid w:val="00C30F27"/>
    <w:rsid w:val="00C31722"/>
    <w:rsid w:val="00C322F5"/>
    <w:rsid w:val="00C324A8"/>
    <w:rsid w:val="00C32A81"/>
    <w:rsid w:val="00C330B0"/>
    <w:rsid w:val="00C334D0"/>
    <w:rsid w:val="00C336CC"/>
    <w:rsid w:val="00C33E1A"/>
    <w:rsid w:val="00C3542C"/>
    <w:rsid w:val="00C367B6"/>
    <w:rsid w:val="00C37705"/>
    <w:rsid w:val="00C40A09"/>
    <w:rsid w:val="00C41140"/>
    <w:rsid w:val="00C4216D"/>
    <w:rsid w:val="00C42733"/>
    <w:rsid w:val="00C436D4"/>
    <w:rsid w:val="00C43732"/>
    <w:rsid w:val="00C445F2"/>
    <w:rsid w:val="00C46154"/>
    <w:rsid w:val="00C469C7"/>
    <w:rsid w:val="00C4791D"/>
    <w:rsid w:val="00C50BBF"/>
    <w:rsid w:val="00C51349"/>
    <w:rsid w:val="00C53029"/>
    <w:rsid w:val="00C53E72"/>
    <w:rsid w:val="00C54517"/>
    <w:rsid w:val="00C554E1"/>
    <w:rsid w:val="00C55E83"/>
    <w:rsid w:val="00C56FAE"/>
    <w:rsid w:val="00C57180"/>
    <w:rsid w:val="00C576B3"/>
    <w:rsid w:val="00C6098F"/>
    <w:rsid w:val="00C610DC"/>
    <w:rsid w:val="00C622C1"/>
    <w:rsid w:val="00C638AC"/>
    <w:rsid w:val="00C63D80"/>
    <w:rsid w:val="00C64A76"/>
    <w:rsid w:val="00C64C3D"/>
    <w:rsid w:val="00C64CD8"/>
    <w:rsid w:val="00C65A7A"/>
    <w:rsid w:val="00C65DDC"/>
    <w:rsid w:val="00C67140"/>
    <w:rsid w:val="00C676F1"/>
    <w:rsid w:val="00C67F6F"/>
    <w:rsid w:val="00C70997"/>
    <w:rsid w:val="00C72C8F"/>
    <w:rsid w:val="00C759F3"/>
    <w:rsid w:val="00C75B59"/>
    <w:rsid w:val="00C77D8A"/>
    <w:rsid w:val="00C81A64"/>
    <w:rsid w:val="00C81DC2"/>
    <w:rsid w:val="00C8339C"/>
    <w:rsid w:val="00C840D9"/>
    <w:rsid w:val="00C8426E"/>
    <w:rsid w:val="00C856FA"/>
    <w:rsid w:val="00C86369"/>
    <w:rsid w:val="00C91D5F"/>
    <w:rsid w:val="00C93261"/>
    <w:rsid w:val="00C93571"/>
    <w:rsid w:val="00C93C3A"/>
    <w:rsid w:val="00C97C68"/>
    <w:rsid w:val="00C97E63"/>
    <w:rsid w:val="00CA00F3"/>
    <w:rsid w:val="00CA1A47"/>
    <w:rsid w:val="00CA2F79"/>
    <w:rsid w:val="00CA46E1"/>
    <w:rsid w:val="00CA5815"/>
    <w:rsid w:val="00CA5FD4"/>
    <w:rsid w:val="00CA65F5"/>
    <w:rsid w:val="00CA73F1"/>
    <w:rsid w:val="00CB4E0E"/>
    <w:rsid w:val="00CB5E3F"/>
    <w:rsid w:val="00CB6410"/>
    <w:rsid w:val="00CB6D62"/>
    <w:rsid w:val="00CB727A"/>
    <w:rsid w:val="00CB7522"/>
    <w:rsid w:val="00CC00D9"/>
    <w:rsid w:val="00CC01DC"/>
    <w:rsid w:val="00CC0E03"/>
    <w:rsid w:val="00CC247A"/>
    <w:rsid w:val="00CC4B7A"/>
    <w:rsid w:val="00CC736E"/>
    <w:rsid w:val="00CD0068"/>
    <w:rsid w:val="00CD19D8"/>
    <w:rsid w:val="00CD22A7"/>
    <w:rsid w:val="00CD2977"/>
    <w:rsid w:val="00CD401D"/>
    <w:rsid w:val="00CD4163"/>
    <w:rsid w:val="00CD46D2"/>
    <w:rsid w:val="00CD6467"/>
    <w:rsid w:val="00CD6966"/>
    <w:rsid w:val="00CD6A46"/>
    <w:rsid w:val="00CD7421"/>
    <w:rsid w:val="00CD77C7"/>
    <w:rsid w:val="00CD78F3"/>
    <w:rsid w:val="00CD7CA8"/>
    <w:rsid w:val="00CE01ED"/>
    <w:rsid w:val="00CE020E"/>
    <w:rsid w:val="00CE13E9"/>
    <w:rsid w:val="00CE27F9"/>
    <w:rsid w:val="00CE2FDD"/>
    <w:rsid w:val="00CE5C3D"/>
    <w:rsid w:val="00CE5E47"/>
    <w:rsid w:val="00CE63C7"/>
    <w:rsid w:val="00CE6488"/>
    <w:rsid w:val="00CE66B8"/>
    <w:rsid w:val="00CE6D21"/>
    <w:rsid w:val="00CE7E83"/>
    <w:rsid w:val="00CF0106"/>
    <w:rsid w:val="00CF020F"/>
    <w:rsid w:val="00CF0CFB"/>
    <w:rsid w:val="00CF0F21"/>
    <w:rsid w:val="00CF0FE5"/>
    <w:rsid w:val="00CF1CE4"/>
    <w:rsid w:val="00CF2B5B"/>
    <w:rsid w:val="00CF472D"/>
    <w:rsid w:val="00CF4C68"/>
    <w:rsid w:val="00D0141A"/>
    <w:rsid w:val="00D02916"/>
    <w:rsid w:val="00D0334A"/>
    <w:rsid w:val="00D041DF"/>
    <w:rsid w:val="00D046A6"/>
    <w:rsid w:val="00D04B75"/>
    <w:rsid w:val="00D05C83"/>
    <w:rsid w:val="00D10685"/>
    <w:rsid w:val="00D115C0"/>
    <w:rsid w:val="00D1254F"/>
    <w:rsid w:val="00D1274F"/>
    <w:rsid w:val="00D132D1"/>
    <w:rsid w:val="00D14CE0"/>
    <w:rsid w:val="00D17BF5"/>
    <w:rsid w:val="00D21658"/>
    <w:rsid w:val="00D22395"/>
    <w:rsid w:val="00D23E88"/>
    <w:rsid w:val="00D24898"/>
    <w:rsid w:val="00D25374"/>
    <w:rsid w:val="00D25C0F"/>
    <w:rsid w:val="00D27DF1"/>
    <w:rsid w:val="00D30EB0"/>
    <w:rsid w:val="00D322DC"/>
    <w:rsid w:val="00D3353D"/>
    <w:rsid w:val="00D33BCB"/>
    <w:rsid w:val="00D36333"/>
    <w:rsid w:val="00D36645"/>
    <w:rsid w:val="00D373B3"/>
    <w:rsid w:val="00D4156F"/>
    <w:rsid w:val="00D41907"/>
    <w:rsid w:val="00D42026"/>
    <w:rsid w:val="00D42557"/>
    <w:rsid w:val="00D43272"/>
    <w:rsid w:val="00D43307"/>
    <w:rsid w:val="00D44740"/>
    <w:rsid w:val="00D44A61"/>
    <w:rsid w:val="00D45B2E"/>
    <w:rsid w:val="00D45E58"/>
    <w:rsid w:val="00D46249"/>
    <w:rsid w:val="00D51D43"/>
    <w:rsid w:val="00D53CDF"/>
    <w:rsid w:val="00D5651D"/>
    <w:rsid w:val="00D56577"/>
    <w:rsid w:val="00D56F21"/>
    <w:rsid w:val="00D56FE6"/>
    <w:rsid w:val="00D60305"/>
    <w:rsid w:val="00D60596"/>
    <w:rsid w:val="00D6080F"/>
    <w:rsid w:val="00D60EAA"/>
    <w:rsid w:val="00D616E4"/>
    <w:rsid w:val="00D62FDF"/>
    <w:rsid w:val="00D63E4E"/>
    <w:rsid w:val="00D65E55"/>
    <w:rsid w:val="00D674F1"/>
    <w:rsid w:val="00D7086B"/>
    <w:rsid w:val="00D736C9"/>
    <w:rsid w:val="00D74427"/>
    <w:rsid w:val="00D74898"/>
    <w:rsid w:val="00D756FB"/>
    <w:rsid w:val="00D761DE"/>
    <w:rsid w:val="00D7686D"/>
    <w:rsid w:val="00D801ED"/>
    <w:rsid w:val="00D8267D"/>
    <w:rsid w:val="00D83BF5"/>
    <w:rsid w:val="00D84391"/>
    <w:rsid w:val="00D85A95"/>
    <w:rsid w:val="00D86CB8"/>
    <w:rsid w:val="00D87CE5"/>
    <w:rsid w:val="00D925C2"/>
    <w:rsid w:val="00D936BC"/>
    <w:rsid w:val="00D9621A"/>
    <w:rsid w:val="00D96530"/>
    <w:rsid w:val="00D96B4B"/>
    <w:rsid w:val="00D97E16"/>
    <w:rsid w:val="00DA055C"/>
    <w:rsid w:val="00DA0BEC"/>
    <w:rsid w:val="00DA0E89"/>
    <w:rsid w:val="00DA2345"/>
    <w:rsid w:val="00DA29FB"/>
    <w:rsid w:val="00DA420B"/>
    <w:rsid w:val="00DA453A"/>
    <w:rsid w:val="00DA4FC4"/>
    <w:rsid w:val="00DA7078"/>
    <w:rsid w:val="00DB0554"/>
    <w:rsid w:val="00DB0BD2"/>
    <w:rsid w:val="00DB1819"/>
    <w:rsid w:val="00DB3AF1"/>
    <w:rsid w:val="00DB4748"/>
    <w:rsid w:val="00DB6404"/>
    <w:rsid w:val="00DB6FD7"/>
    <w:rsid w:val="00DC0BD6"/>
    <w:rsid w:val="00DC359C"/>
    <w:rsid w:val="00DC4121"/>
    <w:rsid w:val="00DC4864"/>
    <w:rsid w:val="00DC4CB0"/>
    <w:rsid w:val="00DC5429"/>
    <w:rsid w:val="00DC5A07"/>
    <w:rsid w:val="00DC5D72"/>
    <w:rsid w:val="00DC7551"/>
    <w:rsid w:val="00DD08B4"/>
    <w:rsid w:val="00DD44AF"/>
    <w:rsid w:val="00DD4A53"/>
    <w:rsid w:val="00DD5ACE"/>
    <w:rsid w:val="00DE08E2"/>
    <w:rsid w:val="00DE08EE"/>
    <w:rsid w:val="00DE1078"/>
    <w:rsid w:val="00DE1F6D"/>
    <w:rsid w:val="00DE2273"/>
    <w:rsid w:val="00DE2289"/>
    <w:rsid w:val="00DE2AC3"/>
    <w:rsid w:val="00DE3AA4"/>
    <w:rsid w:val="00DE434C"/>
    <w:rsid w:val="00DE5381"/>
    <w:rsid w:val="00DE5692"/>
    <w:rsid w:val="00DF01C2"/>
    <w:rsid w:val="00DF2C5B"/>
    <w:rsid w:val="00DF2E9D"/>
    <w:rsid w:val="00DF2E9E"/>
    <w:rsid w:val="00DF3899"/>
    <w:rsid w:val="00DF42F3"/>
    <w:rsid w:val="00DF6672"/>
    <w:rsid w:val="00DF68D8"/>
    <w:rsid w:val="00DF6F8E"/>
    <w:rsid w:val="00E002F6"/>
    <w:rsid w:val="00E00976"/>
    <w:rsid w:val="00E00DD7"/>
    <w:rsid w:val="00E013D7"/>
    <w:rsid w:val="00E03C94"/>
    <w:rsid w:val="00E050C2"/>
    <w:rsid w:val="00E05C30"/>
    <w:rsid w:val="00E06614"/>
    <w:rsid w:val="00E069D4"/>
    <w:rsid w:val="00E07105"/>
    <w:rsid w:val="00E07ECE"/>
    <w:rsid w:val="00E1018A"/>
    <w:rsid w:val="00E13958"/>
    <w:rsid w:val="00E14147"/>
    <w:rsid w:val="00E150E9"/>
    <w:rsid w:val="00E16FDE"/>
    <w:rsid w:val="00E17885"/>
    <w:rsid w:val="00E23DBE"/>
    <w:rsid w:val="00E248A6"/>
    <w:rsid w:val="00E2496A"/>
    <w:rsid w:val="00E24F09"/>
    <w:rsid w:val="00E25179"/>
    <w:rsid w:val="00E25977"/>
    <w:rsid w:val="00E26226"/>
    <w:rsid w:val="00E26AC5"/>
    <w:rsid w:val="00E26B3E"/>
    <w:rsid w:val="00E27C47"/>
    <w:rsid w:val="00E3076C"/>
    <w:rsid w:val="00E3151A"/>
    <w:rsid w:val="00E31A07"/>
    <w:rsid w:val="00E3381F"/>
    <w:rsid w:val="00E353F3"/>
    <w:rsid w:val="00E354B2"/>
    <w:rsid w:val="00E35548"/>
    <w:rsid w:val="00E358BF"/>
    <w:rsid w:val="00E41598"/>
    <w:rsid w:val="00E4165C"/>
    <w:rsid w:val="00E42E9A"/>
    <w:rsid w:val="00E43DE8"/>
    <w:rsid w:val="00E445C2"/>
    <w:rsid w:val="00E44A93"/>
    <w:rsid w:val="00E45491"/>
    <w:rsid w:val="00E45D05"/>
    <w:rsid w:val="00E45ED6"/>
    <w:rsid w:val="00E46DD0"/>
    <w:rsid w:val="00E47194"/>
    <w:rsid w:val="00E50990"/>
    <w:rsid w:val="00E51996"/>
    <w:rsid w:val="00E5217B"/>
    <w:rsid w:val="00E5458C"/>
    <w:rsid w:val="00E54A6E"/>
    <w:rsid w:val="00E55243"/>
    <w:rsid w:val="00E55816"/>
    <w:rsid w:val="00E55AEF"/>
    <w:rsid w:val="00E56ECA"/>
    <w:rsid w:val="00E57BDF"/>
    <w:rsid w:val="00E61017"/>
    <w:rsid w:val="00E62F97"/>
    <w:rsid w:val="00E64E9D"/>
    <w:rsid w:val="00E67082"/>
    <w:rsid w:val="00E70AE2"/>
    <w:rsid w:val="00E724AC"/>
    <w:rsid w:val="00E74E97"/>
    <w:rsid w:val="00E75B86"/>
    <w:rsid w:val="00E76468"/>
    <w:rsid w:val="00E76CED"/>
    <w:rsid w:val="00E773B5"/>
    <w:rsid w:val="00E8022A"/>
    <w:rsid w:val="00E824AD"/>
    <w:rsid w:val="00E83591"/>
    <w:rsid w:val="00E8715B"/>
    <w:rsid w:val="00E876AF"/>
    <w:rsid w:val="00E91A50"/>
    <w:rsid w:val="00E92948"/>
    <w:rsid w:val="00E954C2"/>
    <w:rsid w:val="00E96C9B"/>
    <w:rsid w:val="00E96CA8"/>
    <w:rsid w:val="00E974A1"/>
    <w:rsid w:val="00E975EE"/>
    <w:rsid w:val="00E976C1"/>
    <w:rsid w:val="00EA09FB"/>
    <w:rsid w:val="00EA12E5"/>
    <w:rsid w:val="00EA1797"/>
    <w:rsid w:val="00EA20A1"/>
    <w:rsid w:val="00EA2354"/>
    <w:rsid w:val="00EA2E73"/>
    <w:rsid w:val="00EA3A22"/>
    <w:rsid w:val="00EA3C1E"/>
    <w:rsid w:val="00EA3F1F"/>
    <w:rsid w:val="00EA4144"/>
    <w:rsid w:val="00EA49BF"/>
    <w:rsid w:val="00EA682C"/>
    <w:rsid w:val="00EA6B2A"/>
    <w:rsid w:val="00EB02E7"/>
    <w:rsid w:val="00EB09D9"/>
    <w:rsid w:val="00EB14E0"/>
    <w:rsid w:val="00EB1B45"/>
    <w:rsid w:val="00EB219D"/>
    <w:rsid w:val="00EB5336"/>
    <w:rsid w:val="00EB7782"/>
    <w:rsid w:val="00EC075D"/>
    <w:rsid w:val="00EC1B1E"/>
    <w:rsid w:val="00EC1D4F"/>
    <w:rsid w:val="00EC32E8"/>
    <w:rsid w:val="00EC4AEF"/>
    <w:rsid w:val="00EC4DCA"/>
    <w:rsid w:val="00EC4E9B"/>
    <w:rsid w:val="00EC70FB"/>
    <w:rsid w:val="00EC72E2"/>
    <w:rsid w:val="00EC73BB"/>
    <w:rsid w:val="00EC7813"/>
    <w:rsid w:val="00ED042F"/>
    <w:rsid w:val="00ED2DF3"/>
    <w:rsid w:val="00ED3073"/>
    <w:rsid w:val="00ED471E"/>
    <w:rsid w:val="00ED68E3"/>
    <w:rsid w:val="00ED754F"/>
    <w:rsid w:val="00ED7BFD"/>
    <w:rsid w:val="00EE411B"/>
    <w:rsid w:val="00EE72FE"/>
    <w:rsid w:val="00EE7C18"/>
    <w:rsid w:val="00EE7CDF"/>
    <w:rsid w:val="00EF3307"/>
    <w:rsid w:val="00EF3980"/>
    <w:rsid w:val="00EF49DB"/>
    <w:rsid w:val="00EF4A90"/>
    <w:rsid w:val="00EF5EB5"/>
    <w:rsid w:val="00EF6211"/>
    <w:rsid w:val="00F0014B"/>
    <w:rsid w:val="00F0158D"/>
    <w:rsid w:val="00F02766"/>
    <w:rsid w:val="00F0332A"/>
    <w:rsid w:val="00F0333E"/>
    <w:rsid w:val="00F04067"/>
    <w:rsid w:val="00F04A40"/>
    <w:rsid w:val="00F05897"/>
    <w:rsid w:val="00F05BD4"/>
    <w:rsid w:val="00F060E8"/>
    <w:rsid w:val="00F067E3"/>
    <w:rsid w:val="00F06F7D"/>
    <w:rsid w:val="00F078F4"/>
    <w:rsid w:val="00F10B92"/>
    <w:rsid w:val="00F11A98"/>
    <w:rsid w:val="00F11DA9"/>
    <w:rsid w:val="00F1256F"/>
    <w:rsid w:val="00F12624"/>
    <w:rsid w:val="00F13646"/>
    <w:rsid w:val="00F13C7E"/>
    <w:rsid w:val="00F17570"/>
    <w:rsid w:val="00F17CF7"/>
    <w:rsid w:val="00F17F12"/>
    <w:rsid w:val="00F2199E"/>
    <w:rsid w:val="00F21A1D"/>
    <w:rsid w:val="00F21C52"/>
    <w:rsid w:val="00F21F05"/>
    <w:rsid w:val="00F22AC3"/>
    <w:rsid w:val="00F23B18"/>
    <w:rsid w:val="00F2442F"/>
    <w:rsid w:val="00F249C5"/>
    <w:rsid w:val="00F27747"/>
    <w:rsid w:val="00F305A4"/>
    <w:rsid w:val="00F30B4D"/>
    <w:rsid w:val="00F312C2"/>
    <w:rsid w:val="00F33027"/>
    <w:rsid w:val="00F342CB"/>
    <w:rsid w:val="00F34DFA"/>
    <w:rsid w:val="00F3581A"/>
    <w:rsid w:val="00F40734"/>
    <w:rsid w:val="00F414C1"/>
    <w:rsid w:val="00F41C43"/>
    <w:rsid w:val="00F421C6"/>
    <w:rsid w:val="00F44498"/>
    <w:rsid w:val="00F46BE0"/>
    <w:rsid w:val="00F4701E"/>
    <w:rsid w:val="00F47E14"/>
    <w:rsid w:val="00F50ECF"/>
    <w:rsid w:val="00F53E6A"/>
    <w:rsid w:val="00F549B5"/>
    <w:rsid w:val="00F54AA7"/>
    <w:rsid w:val="00F54BA7"/>
    <w:rsid w:val="00F55279"/>
    <w:rsid w:val="00F55421"/>
    <w:rsid w:val="00F60E3E"/>
    <w:rsid w:val="00F60EA3"/>
    <w:rsid w:val="00F6111F"/>
    <w:rsid w:val="00F613C6"/>
    <w:rsid w:val="00F625F6"/>
    <w:rsid w:val="00F63655"/>
    <w:rsid w:val="00F63781"/>
    <w:rsid w:val="00F637E8"/>
    <w:rsid w:val="00F64487"/>
    <w:rsid w:val="00F65C19"/>
    <w:rsid w:val="00F6609E"/>
    <w:rsid w:val="00F70D2B"/>
    <w:rsid w:val="00F713ED"/>
    <w:rsid w:val="00F71863"/>
    <w:rsid w:val="00F7296C"/>
    <w:rsid w:val="00F729F8"/>
    <w:rsid w:val="00F72CBC"/>
    <w:rsid w:val="00F734CB"/>
    <w:rsid w:val="00F73726"/>
    <w:rsid w:val="00F73A25"/>
    <w:rsid w:val="00F74967"/>
    <w:rsid w:val="00F7584B"/>
    <w:rsid w:val="00F75A52"/>
    <w:rsid w:val="00F76C66"/>
    <w:rsid w:val="00F76EDA"/>
    <w:rsid w:val="00F807E1"/>
    <w:rsid w:val="00F80EA8"/>
    <w:rsid w:val="00F81BBB"/>
    <w:rsid w:val="00F81ECE"/>
    <w:rsid w:val="00F824ED"/>
    <w:rsid w:val="00F84914"/>
    <w:rsid w:val="00F84E4E"/>
    <w:rsid w:val="00F8577E"/>
    <w:rsid w:val="00F85EEE"/>
    <w:rsid w:val="00F9192A"/>
    <w:rsid w:val="00F93541"/>
    <w:rsid w:val="00F9455A"/>
    <w:rsid w:val="00F9465A"/>
    <w:rsid w:val="00F9466F"/>
    <w:rsid w:val="00F951A6"/>
    <w:rsid w:val="00F953C1"/>
    <w:rsid w:val="00F9789D"/>
    <w:rsid w:val="00FA03AA"/>
    <w:rsid w:val="00FA16F3"/>
    <w:rsid w:val="00FA2672"/>
    <w:rsid w:val="00FA418C"/>
    <w:rsid w:val="00FA577E"/>
    <w:rsid w:val="00FA5FA0"/>
    <w:rsid w:val="00FA6433"/>
    <w:rsid w:val="00FA7338"/>
    <w:rsid w:val="00FA7579"/>
    <w:rsid w:val="00FA77C8"/>
    <w:rsid w:val="00FB11AF"/>
    <w:rsid w:val="00FB1235"/>
    <w:rsid w:val="00FB1599"/>
    <w:rsid w:val="00FB1B6C"/>
    <w:rsid w:val="00FB24B8"/>
    <w:rsid w:val="00FB2701"/>
    <w:rsid w:val="00FB2DE4"/>
    <w:rsid w:val="00FB2FC4"/>
    <w:rsid w:val="00FB3618"/>
    <w:rsid w:val="00FB3707"/>
    <w:rsid w:val="00FB3AF8"/>
    <w:rsid w:val="00FB489E"/>
    <w:rsid w:val="00FB4E96"/>
    <w:rsid w:val="00FB608A"/>
    <w:rsid w:val="00FB6CD0"/>
    <w:rsid w:val="00FC08B8"/>
    <w:rsid w:val="00FC0C66"/>
    <w:rsid w:val="00FC1185"/>
    <w:rsid w:val="00FC1433"/>
    <w:rsid w:val="00FC2A63"/>
    <w:rsid w:val="00FC30AA"/>
    <w:rsid w:val="00FC3362"/>
    <w:rsid w:val="00FC385E"/>
    <w:rsid w:val="00FC4E4F"/>
    <w:rsid w:val="00FC4E8E"/>
    <w:rsid w:val="00FC4ED1"/>
    <w:rsid w:val="00FC5036"/>
    <w:rsid w:val="00FC7DCC"/>
    <w:rsid w:val="00FD0BC7"/>
    <w:rsid w:val="00FD1160"/>
    <w:rsid w:val="00FD19FE"/>
    <w:rsid w:val="00FD1E59"/>
    <w:rsid w:val="00FD2546"/>
    <w:rsid w:val="00FD36D8"/>
    <w:rsid w:val="00FD4B6C"/>
    <w:rsid w:val="00FD7150"/>
    <w:rsid w:val="00FD772E"/>
    <w:rsid w:val="00FD787E"/>
    <w:rsid w:val="00FD7B51"/>
    <w:rsid w:val="00FE0804"/>
    <w:rsid w:val="00FE2375"/>
    <w:rsid w:val="00FE2D30"/>
    <w:rsid w:val="00FE3926"/>
    <w:rsid w:val="00FE3E4A"/>
    <w:rsid w:val="00FE741D"/>
    <w:rsid w:val="00FE78C7"/>
    <w:rsid w:val="00FE7EFB"/>
    <w:rsid w:val="00FF09D9"/>
    <w:rsid w:val="00FF28DE"/>
    <w:rsid w:val="00FF3AEA"/>
    <w:rsid w:val="00FF43AC"/>
    <w:rsid w:val="00FF6B5A"/>
    <w:rsid w:val="00FF6C5E"/>
    <w:rsid w:val="00FF74DD"/>
    <w:rsid w:val="00FF7ABB"/>
    <w:rsid w:val="00FF7E59"/>
    <w:rsid w:val="00FFFB83"/>
    <w:rsid w:val="010425A7"/>
    <w:rsid w:val="01EE12B0"/>
    <w:rsid w:val="01F5A425"/>
    <w:rsid w:val="032E65A2"/>
    <w:rsid w:val="037662B9"/>
    <w:rsid w:val="03A88665"/>
    <w:rsid w:val="03C4502A"/>
    <w:rsid w:val="04047801"/>
    <w:rsid w:val="042C05C3"/>
    <w:rsid w:val="0492C639"/>
    <w:rsid w:val="04A1AD47"/>
    <w:rsid w:val="04B414C9"/>
    <w:rsid w:val="05162F29"/>
    <w:rsid w:val="05178C15"/>
    <w:rsid w:val="058EAB85"/>
    <w:rsid w:val="0593804F"/>
    <w:rsid w:val="05A05A70"/>
    <w:rsid w:val="068594AB"/>
    <w:rsid w:val="06C61FF0"/>
    <w:rsid w:val="07902935"/>
    <w:rsid w:val="07C49612"/>
    <w:rsid w:val="07F51907"/>
    <w:rsid w:val="0822FABE"/>
    <w:rsid w:val="083374C4"/>
    <w:rsid w:val="087A383A"/>
    <w:rsid w:val="08978E7C"/>
    <w:rsid w:val="08AF52D3"/>
    <w:rsid w:val="08BB472A"/>
    <w:rsid w:val="097E639A"/>
    <w:rsid w:val="099BBFB8"/>
    <w:rsid w:val="0A4935EA"/>
    <w:rsid w:val="0A4CDC4A"/>
    <w:rsid w:val="0A7019CA"/>
    <w:rsid w:val="0AA3F288"/>
    <w:rsid w:val="0AEB8F58"/>
    <w:rsid w:val="0C17616B"/>
    <w:rsid w:val="0CD62641"/>
    <w:rsid w:val="0CEE6594"/>
    <w:rsid w:val="0D3DA80E"/>
    <w:rsid w:val="0D4187D3"/>
    <w:rsid w:val="0D919E0E"/>
    <w:rsid w:val="0D9C4D20"/>
    <w:rsid w:val="0DA7A21C"/>
    <w:rsid w:val="0DE6F7B3"/>
    <w:rsid w:val="0E1DA6EF"/>
    <w:rsid w:val="0E498BAC"/>
    <w:rsid w:val="0E7E5A0E"/>
    <w:rsid w:val="0EB95DBD"/>
    <w:rsid w:val="0EC27089"/>
    <w:rsid w:val="0EE5F698"/>
    <w:rsid w:val="0F40D1B4"/>
    <w:rsid w:val="0F418533"/>
    <w:rsid w:val="10300E59"/>
    <w:rsid w:val="1032D4BA"/>
    <w:rsid w:val="10B2455C"/>
    <w:rsid w:val="11663EA4"/>
    <w:rsid w:val="119B2B28"/>
    <w:rsid w:val="12851173"/>
    <w:rsid w:val="12A72035"/>
    <w:rsid w:val="12E081C2"/>
    <w:rsid w:val="130DBA36"/>
    <w:rsid w:val="136FE8A6"/>
    <w:rsid w:val="13BF467C"/>
    <w:rsid w:val="1439B875"/>
    <w:rsid w:val="14C1C2E9"/>
    <w:rsid w:val="14D7977F"/>
    <w:rsid w:val="1523C77A"/>
    <w:rsid w:val="15653C4F"/>
    <w:rsid w:val="165D35A4"/>
    <w:rsid w:val="17AAF5B6"/>
    <w:rsid w:val="1841E4F3"/>
    <w:rsid w:val="18E4C996"/>
    <w:rsid w:val="19D1C63F"/>
    <w:rsid w:val="1A0D569C"/>
    <w:rsid w:val="1AE8BD96"/>
    <w:rsid w:val="1B60507B"/>
    <w:rsid w:val="1B738F23"/>
    <w:rsid w:val="1C0881EC"/>
    <w:rsid w:val="1C9B6E9F"/>
    <w:rsid w:val="1CF00C2F"/>
    <w:rsid w:val="1D112DCA"/>
    <w:rsid w:val="1D18375E"/>
    <w:rsid w:val="1D1B3D86"/>
    <w:rsid w:val="1DA2128F"/>
    <w:rsid w:val="1DA67844"/>
    <w:rsid w:val="1E0D8212"/>
    <w:rsid w:val="1F571224"/>
    <w:rsid w:val="1FCC86D7"/>
    <w:rsid w:val="1FD62064"/>
    <w:rsid w:val="204B8EF8"/>
    <w:rsid w:val="20A06617"/>
    <w:rsid w:val="21951F0A"/>
    <w:rsid w:val="219BCB36"/>
    <w:rsid w:val="220DA55F"/>
    <w:rsid w:val="22125764"/>
    <w:rsid w:val="221D62CA"/>
    <w:rsid w:val="245BE3C4"/>
    <w:rsid w:val="24612B69"/>
    <w:rsid w:val="24713036"/>
    <w:rsid w:val="25154F43"/>
    <w:rsid w:val="253748A3"/>
    <w:rsid w:val="2548DB44"/>
    <w:rsid w:val="259A1721"/>
    <w:rsid w:val="25A7936B"/>
    <w:rsid w:val="25FF81C5"/>
    <w:rsid w:val="274F6ACB"/>
    <w:rsid w:val="27CC2B50"/>
    <w:rsid w:val="2803FAEC"/>
    <w:rsid w:val="284AEEEE"/>
    <w:rsid w:val="284E2C71"/>
    <w:rsid w:val="28876EB7"/>
    <w:rsid w:val="28AF3083"/>
    <w:rsid w:val="28CA0581"/>
    <w:rsid w:val="28D31664"/>
    <w:rsid w:val="2911BC3D"/>
    <w:rsid w:val="29E1A228"/>
    <w:rsid w:val="2A8452C1"/>
    <w:rsid w:val="2A84A358"/>
    <w:rsid w:val="2A916331"/>
    <w:rsid w:val="2A9C1243"/>
    <w:rsid w:val="2B085E9E"/>
    <w:rsid w:val="2B74758C"/>
    <w:rsid w:val="2BDAF343"/>
    <w:rsid w:val="2C11E9B7"/>
    <w:rsid w:val="2C5E8491"/>
    <w:rsid w:val="2C6F647C"/>
    <w:rsid w:val="2D024DEF"/>
    <w:rsid w:val="2D9C0B70"/>
    <w:rsid w:val="2F46A0B4"/>
    <w:rsid w:val="2F84A0A3"/>
    <w:rsid w:val="2FB92C9D"/>
    <w:rsid w:val="313FC3A1"/>
    <w:rsid w:val="3194CF26"/>
    <w:rsid w:val="321CE110"/>
    <w:rsid w:val="33752920"/>
    <w:rsid w:val="33DF4490"/>
    <w:rsid w:val="34089537"/>
    <w:rsid w:val="3436B8FA"/>
    <w:rsid w:val="34716339"/>
    <w:rsid w:val="34F5608B"/>
    <w:rsid w:val="35606219"/>
    <w:rsid w:val="3598417E"/>
    <w:rsid w:val="3621CAB5"/>
    <w:rsid w:val="369BEF95"/>
    <w:rsid w:val="372DBD21"/>
    <w:rsid w:val="37652C8F"/>
    <w:rsid w:val="3765744D"/>
    <w:rsid w:val="3782B97C"/>
    <w:rsid w:val="378C4FF3"/>
    <w:rsid w:val="37DF28B5"/>
    <w:rsid w:val="37FD2E16"/>
    <w:rsid w:val="37FD7D31"/>
    <w:rsid w:val="39844EFD"/>
    <w:rsid w:val="3A1E04DE"/>
    <w:rsid w:val="3A25BF93"/>
    <w:rsid w:val="3AB4C6BE"/>
    <w:rsid w:val="3AD0CF68"/>
    <w:rsid w:val="3ADAECDE"/>
    <w:rsid w:val="3B99ABBF"/>
    <w:rsid w:val="3BA706D1"/>
    <w:rsid w:val="3BB9BB10"/>
    <w:rsid w:val="3BFC77C6"/>
    <w:rsid w:val="3CE427E4"/>
    <w:rsid w:val="3D0F5763"/>
    <w:rsid w:val="3D5EEDCD"/>
    <w:rsid w:val="3E5B1B58"/>
    <w:rsid w:val="3EFC8BEE"/>
    <w:rsid w:val="405382E8"/>
    <w:rsid w:val="40B8AC49"/>
    <w:rsid w:val="40E1C3CE"/>
    <w:rsid w:val="4136E862"/>
    <w:rsid w:val="413EFEA2"/>
    <w:rsid w:val="418AF34F"/>
    <w:rsid w:val="41CA2BE4"/>
    <w:rsid w:val="42A340BB"/>
    <w:rsid w:val="42A78901"/>
    <w:rsid w:val="4390D873"/>
    <w:rsid w:val="451609B2"/>
    <w:rsid w:val="4516A3A1"/>
    <w:rsid w:val="45553BE5"/>
    <w:rsid w:val="4598DFE6"/>
    <w:rsid w:val="45BF4E63"/>
    <w:rsid w:val="46D82A44"/>
    <w:rsid w:val="46F5977A"/>
    <w:rsid w:val="47304D76"/>
    <w:rsid w:val="484FDEFB"/>
    <w:rsid w:val="48E551EC"/>
    <w:rsid w:val="48E71854"/>
    <w:rsid w:val="4912B0F3"/>
    <w:rsid w:val="496897BB"/>
    <w:rsid w:val="49D312BA"/>
    <w:rsid w:val="4A6A8185"/>
    <w:rsid w:val="4ABAABD0"/>
    <w:rsid w:val="4AE064F6"/>
    <w:rsid w:val="4AFCEA8D"/>
    <w:rsid w:val="4B7188FC"/>
    <w:rsid w:val="4BA30F97"/>
    <w:rsid w:val="4BF5AAF0"/>
    <w:rsid w:val="4C14BAE2"/>
    <w:rsid w:val="4C56A0CE"/>
    <w:rsid w:val="4C5D07F6"/>
    <w:rsid w:val="4C731B58"/>
    <w:rsid w:val="4C79E30A"/>
    <w:rsid w:val="4D580A70"/>
    <w:rsid w:val="4DA16215"/>
    <w:rsid w:val="4DB46AAC"/>
    <w:rsid w:val="4E3BC081"/>
    <w:rsid w:val="4E3DB67A"/>
    <w:rsid w:val="4E91C7C9"/>
    <w:rsid w:val="4EF2310F"/>
    <w:rsid w:val="4F37EB2D"/>
    <w:rsid w:val="4F6B90BE"/>
    <w:rsid w:val="4F80302C"/>
    <w:rsid w:val="4F90826E"/>
    <w:rsid w:val="4FF33D62"/>
    <w:rsid w:val="5156EEB0"/>
    <w:rsid w:val="51C9C2F6"/>
    <w:rsid w:val="51D96187"/>
    <w:rsid w:val="520B62CA"/>
    <w:rsid w:val="521A2A91"/>
    <w:rsid w:val="524D2D73"/>
    <w:rsid w:val="529F4FD2"/>
    <w:rsid w:val="5403A19B"/>
    <w:rsid w:val="54089DA3"/>
    <w:rsid w:val="54515338"/>
    <w:rsid w:val="5458F0A8"/>
    <w:rsid w:val="548BC911"/>
    <w:rsid w:val="54F1836F"/>
    <w:rsid w:val="55B75D35"/>
    <w:rsid w:val="55D53980"/>
    <w:rsid w:val="567B8A9D"/>
    <w:rsid w:val="5694BA52"/>
    <w:rsid w:val="56A03E88"/>
    <w:rsid w:val="570567E9"/>
    <w:rsid w:val="575FCA4E"/>
    <w:rsid w:val="57A25C05"/>
    <w:rsid w:val="58ABB745"/>
    <w:rsid w:val="5907E098"/>
    <w:rsid w:val="59CEAD61"/>
    <w:rsid w:val="59E0D684"/>
    <w:rsid w:val="5AB3B3C4"/>
    <w:rsid w:val="5AC72FD5"/>
    <w:rsid w:val="5AE35D5F"/>
    <w:rsid w:val="5B389306"/>
    <w:rsid w:val="5B842E2A"/>
    <w:rsid w:val="5B9486E7"/>
    <w:rsid w:val="5BA650E3"/>
    <w:rsid w:val="5BBA6188"/>
    <w:rsid w:val="5C349F77"/>
    <w:rsid w:val="5C7D661F"/>
    <w:rsid w:val="5C9D8980"/>
    <w:rsid w:val="5CFA0B7A"/>
    <w:rsid w:val="5D1C79D0"/>
    <w:rsid w:val="5E051D77"/>
    <w:rsid w:val="5E6FCF21"/>
    <w:rsid w:val="5ED4E838"/>
    <w:rsid w:val="5EE2525B"/>
    <w:rsid w:val="5FFD3D01"/>
    <w:rsid w:val="6008B5A4"/>
    <w:rsid w:val="608CD630"/>
    <w:rsid w:val="60C832F8"/>
    <w:rsid w:val="622A64A6"/>
    <w:rsid w:val="624853DC"/>
    <w:rsid w:val="62B840BB"/>
    <w:rsid w:val="630CAF59"/>
    <w:rsid w:val="6653C245"/>
    <w:rsid w:val="668843D1"/>
    <w:rsid w:val="6702C35F"/>
    <w:rsid w:val="673AB5D9"/>
    <w:rsid w:val="677AC14D"/>
    <w:rsid w:val="679FFC7F"/>
    <w:rsid w:val="67E09B4E"/>
    <w:rsid w:val="681D3CD0"/>
    <w:rsid w:val="6852D721"/>
    <w:rsid w:val="686A789A"/>
    <w:rsid w:val="688F082B"/>
    <w:rsid w:val="69A8829E"/>
    <w:rsid w:val="69DF822E"/>
    <w:rsid w:val="6A500801"/>
    <w:rsid w:val="6C13D31E"/>
    <w:rsid w:val="6C76B051"/>
    <w:rsid w:val="6DBE414E"/>
    <w:rsid w:val="6DDF6E20"/>
    <w:rsid w:val="6E370525"/>
    <w:rsid w:val="6EB786D8"/>
    <w:rsid w:val="6EE78E43"/>
    <w:rsid w:val="6F1684FE"/>
    <w:rsid w:val="6F49AD78"/>
    <w:rsid w:val="7096D01D"/>
    <w:rsid w:val="70DFEE33"/>
    <w:rsid w:val="70F8B7AC"/>
    <w:rsid w:val="7125ACB1"/>
    <w:rsid w:val="71808A12"/>
    <w:rsid w:val="725ED88C"/>
    <w:rsid w:val="72857F5F"/>
    <w:rsid w:val="72B9432B"/>
    <w:rsid w:val="7327AEAB"/>
    <w:rsid w:val="734D40EF"/>
    <w:rsid w:val="740B64BC"/>
    <w:rsid w:val="742E6F9D"/>
    <w:rsid w:val="7458D692"/>
    <w:rsid w:val="745A3853"/>
    <w:rsid w:val="74E5B751"/>
    <w:rsid w:val="755F6178"/>
    <w:rsid w:val="7616F1CC"/>
    <w:rsid w:val="76C686F4"/>
    <w:rsid w:val="77769A58"/>
    <w:rsid w:val="77EBF2C1"/>
    <w:rsid w:val="78146191"/>
    <w:rsid w:val="78817E97"/>
    <w:rsid w:val="7916FB00"/>
    <w:rsid w:val="7950CA50"/>
    <w:rsid w:val="7A87199F"/>
    <w:rsid w:val="7A95F66C"/>
    <w:rsid w:val="7AD206F6"/>
    <w:rsid w:val="7AEC7E0B"/>
    <w:rsid w:val="7B2D369C"/>
    <w:rsid w:val="7B33A7BD"/>
    <w:rsid w:val="7B9992D1"/>
    <w:rsid w:val="7C592E71"/>
    <w:rsid w:val="7D4D7D62"/>
    <w:rsid w:val="7D750F41"/>
    <w:rsid w:val="7DCC810A"/>
    <w:rsid w:val="7E03D864"/>
    <w:rsid w:val="7E578536"/>
    <w:rsid w:val="7E64B506"/>
    <w:rsid w:val="7E6AD8E4"/>
    <w:rsid w:val="7EC5A7EC"/>
    <w:rsid w:val="7ED1B57F"/>
    <w:rsid w:val="7EDBB073"/>
    <w:rsid w:val="7F2BACA9"/>
    <w:rsid w:val="7F4AD7C5"/>
    <w:rsid w:val="7F6E91EF"/>
    <w:rsid w:val="7FD3A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6D3C3C-ECF7-44BD-874E-C158DA27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E411B"/>
    <w:rPr>
      <w:sz w:val="16"/>
      <w:szCs w:val="16"/>
    </w:rPr>
  </w:style>
  <w:style w:type="paragraph" w:styleId="CommentText">
    <w:name w:val="annotation text"/>
    <w:basedOn w:val="Normal"/>
    <w:link w:val="CommentTextChar"/>
    <w:uiPriority w:val="99"/>
    <w:semiHidden/>
    <w:unhideWhenUsed/>
    <w:rsid w:val="00EE411B"/>
    <w:rPr>
      <w:sz w:val="20"/>
    </w:rPr>
  </w:style>
  <w:style w:type="character" w:customStyle="1" w:styleId="CommentTextChar">
    <w:name w:val="Comment Text Char"/>
    <w:basedOn w:val="DefaultParagraphFont"/>
    <w:link w:val="CommentText"/>
    <w:uiPriority w:val="99"/>
    <w:semiHidden/>
    <w:rsid w:val="00EE411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E411B"/>
    <w:rPr>
      <w:b/>
      <w:bCs/>
    </w:rPr>
  </w:style>
  <w:style w:type="character" w:customStyle="1" w:styleId="CommentSubjectChar">
    <w:name w:val="Comment Subject Char"/>
    <w:basedOn w:val="CommentTextChar"/>
    <w:link w:val="CommentSubject"/>
    <w:semiHidden/>
    <w:rsid w:val="00EE411B"/>
    <w:rPr>
      <w:rFonts w:asciiTheme="minorHAnsi" w:hAnsiTheme="minorHAnsi"/>
      <w:b/>
      <w:bCs/>
      <w:lang w:val="en-GB" w:eastAsia="en-US"/>
    </w:rPr>
  </w:style>
  <w:style w:type="character" w:styleId="FollowedHyperlink">
    <w:name w:val="FollowedHyperlink"/>
    <w:basedOn w:val="DefaultParagraphFont"/>
    <w:semiHidden/>
    <w:unhideWhenUsed/>
    <w:rsid w:val="00B5453F"/>
    <w:rPr>
      <w:color w:val="800080" w:themeColor="followedHyperlink"/>
      <w:u w:val="single"/>
    </w:rPr>
  </w:style>
  <w:style w:type="paragraph" w:customStyle="1" w:styleId="paragraph">
    <w:name w:val="paragraph"/>
    <w:basedOn w:val="Normal"/>
    <w:rsid w:val="00834102"/>
    <w:pPr>
      <w:tabs>
        <w:tab w:val="clear" w:pos="1134"/>
        <w:tab w:val="clear" w:pos="1871"/>
        <w:tab w:val="clear" w:pos="2268"/>
      </w:tabs>
      <w:overflowPunct/>
      <w:autoSpaceDE/>
      <w:autoSpaceDN/>
      <w:adjustRightInd/>
      <w:spacing w:before="0"/>
      <w:textAlignment w:val="auto"/>
    </w:pPr>
    <w:rPr>
      <w:rFonts w:ascii="Times New Roman" w:hAnsi="Times New Roman"/>
      <w:szCs w:val="24"/>
      <w:lang w:eastAsia="zh-CN"/>
    </w:rPr>
  </w:style>
  <w:style w:type="character" w:customStyle="1" w:styleId="normaltextrun1">
    <w:name w:val="normaltextrun1"/>
    <w:basedOn w:val="DefaultParagraphFont"/>
    <w:rsid w:val="00834102"/>
  </w:style>
  <w:style w:type="character" w:customStyle="1" w:styleId="eop">
    <w:name w:val="eop"/>
    <w:basedOn w:val="DefaultParagraphFont"/>
    <w:rsid w:val="00834102"/>
  </w:style>
  <w:style w:type="paragraph" w:customStyle="1" w:styleId="CEONormal">
    <w:name w:val="CEO_Normal"/>
    <w:link w:val="CEONormalChar"/>
    <w:qFormat/>
    <w:rsid w:val="004F63D6"/>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4F63D6"/>
    <w:rPr>
      <w:rFonts w:ascii="Verdana" w:eastAsia="SimHei" w:hAnsi="Verdana" w:cs="Simplified Arabic"/>
      <w:sz w:val="19"/>
      <w:szCs w:val="28"/>
      <w:lang w:val="en-GB" w:eastAsia="en-US"/>
    </w:rPr>
  </w:style>
  <w:style w:type="paragraph" w:styleId="Revision">
    <w:name w:val="Revision"/>
    <w:hidden/>
    <w:uiPriority w:val="99"/>
    <w:semiHidden/>
    <w:rsid w:val="007F33FF"/>
    <w:rPr>
      <w:rFonts w:asciiTheme="minorHAnsi" w:hAnsiTheme="minorHAnsi"/>
      <w:sz w:val="24"/>
      <w:lang w:val="en-GB" w:eastAsia="en-US"/>
    </w:rPr>
  </w:style>
  <w:style w:type="character" w:customStyle="1" w:styleId="StyleComplexBodyCSArial">
    <w:name w:val="Style (Complex) +Body CS (Arial)"/>
    <w:basedOn w:val="DefaultParagraphFont"/>
    <w:rsid w:val="00865642"/>
    <w:rPr>
      <w:rFonts w:asciiTheme="minorHAnsi" w:hAnsiTheme="minorHAnsi" w:cstheme="minorBidi"/>
    </w:rPr>
  </w:style>
  <w:style w:type="character" w:customStyle="1" w:styleId="StyleComplexBodyCSArial1">
    <w:name w:val="Style (Complex) +Body CS (Arial)1"/>
    <w:basedOn w:val="DefaultParagraphFont"/>
    <w:rsid w:val="00865642"/>
    <w:rPr>
      <w:rFonts w:asciiTheme="minorHAnsi" w:hAnsiTheme="minorHAnsi" w:cstheme="minorBidi"/>
    </w:rPr>
  </w:style>
  <w:style w:type="character" w:customStyle="1" w:styleId="StyleComplexBodyCSArialCustomColorRGB686868">
    <w:name w:val="Style (Complex) +Body CS (Arial) Custom Color(RGB(686868))"/>
    <w:basedOn w:val="DefaultParagraphFont"/>
    <w:rsid w:val="00865642"/>
    <w:rPr>
      <w:rFonts w:asciiTheme="minorHAnsi" w:hAnsiTheme="minorHAnsi" w:cstheme="minorBidi"/>
      <w:color w:val="444444"/>
    </w:rPr>
  </w:style>
  <w:style w:type="character" w:customStyle="1" w:styleId="StyleComplex12pt">
    <w:name w:val="Style (Complex) 12 pt"/>
    <w:basedOn w:val="DefaultParagraphFont"/>
    <w:rsid w:val="00865642"/>
    <w:rPr>
      <w:rFonts w:asciiTheme="minorHAnsi" w:hAnsiTheme="minorHAnsi" w:cs="Calibri"/>
      <w:szCs w:val="24"/>
    </w:rPr>
  </w:style>
  <w:style w:type="character" w:customStyle="1" w:styleId="StyleComplexBodyCSArialBold">
    <w:name w:val="Style (Complex) +Body CS (Arial) Bold"/>
    <w:basedOn w:val="DefaultParagraphFont"/>
    <w:rsid w:val="00865642"/>
    <w:rPr>
      <w:rFonts w:asciiTheme="minorHAnsi" w:hAnsiTheme="minorHAnsi" w:cstheme="minorBidi"/>
      <w:b/>
      <w:bCs/>
    </w:rPr>
  </w:style>
  <w:style w:type="character" w:customStyle="1" w:styleId="StyleComplexBodyCSArialBold1">
    <w:name w:val="Style (Complex) +Body CS (Arial) Bold1"/>
    <w:basedOn w:val="DefaultParagraphFont"/>
    <w:rsid w:val="00865642"/>
    <w:rPr>
      <w:rFonts w:asciiTheme="minorHAnsi" w:hAnsiTheme="minorHAnsi" w:cstheme="minorBidi"/>
      <w:b/>
      <w:bCs/>
    </w:rPr>
  </w:style>
  <w:style w:type="character" w:customStyle="1" w:styleId="StyleComplexBodyCSArial2">
    <w:name w:val="Style (Complex) +Body CS (Arial)2"/>
    <w:basedOn w:val="DefaultParagraphFont"/>
    <w:rsid w:val="00865642"/>
    <w:rPr>
      <w:rFonts w:asciiTheme="minorHAnsi" w:hAnsiTheme="minorHAnsi" w:cs="Calibri"/>
    </w:rPr>
  </w:style>
  <w:style w:type="character" w:customStyle="1" w:styleId="StyleComplex12ptBold">
    <w:name w:val="Style (Complex) 12 pt Bold"/>
    <w:basedOn w:val="DefaultParagraphFont"/>
    <w:rsid w:val="00865642"/>
    <w:rPr>
      <w:rFonts w:asciiTheme="minorHAnsi" w:hAnsiTheme="minorHAnsi" w:cs="Calibri"/>
      <w:b/>
      <w:bCs/>
      <w:iCs w:val="0"/>
      <w:szCs w:val="24"/>
    </w:rPr>
  </w:style>
  <w:style w:type="character" w:customStyle="1" w:styleId="StyleComplexBodyCSArial3">
    <w:name w:val="Style (Complex) +Body CS (Arial)3"/>
    <w:basedOn w:val="DefaultParagraphFont"/>
    <w:rsid w:val="00865642"/>
    <w:rPr>
      <w:rFonts w:ascii="Calibri" w:hAnsi="Calibri" w:cs="Calibri"/>
    </w:rPr>
  </w:style>
  <w:style w:type="character" w:customStyle="1" w:styleId="StyleComplexBodyCSArial4">
    <w:name w:val="Style (Complex) +Body CS (Arial)4"/>
    <w:basedOn w:val="DefaultParagraphFont"/>
    <w:rsid w:val="00865642"/>
    <w:rPr>
      <w:rFonts w:asciiTheme="minorHAnsi" w:hAnsiTheme="minorHAnsi" w:cs="Calibri"/>
    </w:rPr>
  </w:style>
  <w:style w:type="character" w:customStyle="1" w:styleId="StyleComplexBodyCSArial5">
    <w:name w:val="Style (Complex) +Body CS (Arial)5"/>
    <w:basedOn w:val="DefaultParagraphFont"/>
    <w:rsid w:val="00865642"/>
    <w:rPr>
      <w:rFonts w:asciiTheme="minorHAnsi" w:hAnsiTheme="minorHAnsi" w:cs="Calibri"/>
    </w:rPr>
  </w:style>
  <w:style w:type="character" w:customStyle="1" w:styleId="StyleComplexBodyCSArial6">
    <w:name w:val="Style (Complex) +Body CS (Arial)6"/>
    <w:basedOn w:val="DefaultParagraphFont"/>
    <w:rsid w:val="00865642"/>
    <w:rPr>
      <w:rFonts w:asciiTheme="minorHAnsi" w:hAnsiTheme="minorHAnsi" w:cs="Calibri"/>
    </w:rPr>
  </w:style>
  <w:style w:type="character" w:customStyle="1" w:styleId="StyleComplexBodyCSArial7">
    <w:name w:val="Style (Complex) +Body CS (Arial)7"/>
    <w:basedOn w:val="DefaultParagraphFont"/>
    <w:rsid w:val="00865642"/>
    <w:rPr>
      <w:rFonts w:asciiTheme="minorHAnsi" w:hAnsiTheme="minorHAnsi" w:cs="Calibri"/>
    </w:rPr>
  </w:style>
  <w:style w:type="character" w:customStyle="1" w:styleId="StyleComplexBodyCSArial8">
    <w:name w:val="Style (Complex) +Body CS (Arial)8"/>
    <w:basedOn w:val="DefaultParagraphFont"/>
    <w:rsid w:val="00865642"/>
    <w:rPr>
      <w:rFonts w:asciiTheme="minorHAnsi" w:hAnsiTheme="minorHAnsi" w:cs="Calibri"/>
    </w:rPr>
  </w:style>
  <w:style w:type="character" w:customStyle="1" w:styleId="StyleComplexBodyCSArialComplex12pt">
    <w:name w:val="Style (Complex) +Body CS (Arial) (Complex) 12 pt"/>
    <w:basedOn w:val="DefaultParagraphFont"/>
    <w:rsid w:val="00865642"/>
    <w:rPr>
      <w:rFonts w:asciiTheme="minorHAnsi" w:hAnsiTheme="minorHAnsi" w:cs="Calibri"/>
      <w:szCs w:val="24"/>
    </w:rPr>
  </w:style>
  <w:style w:type="character" w:customStyle="1" w:styleId="StyleComplexBodyCSArialComplex12pt1">
    <w:name w:val="Style (Complex) +Body CS (Arial) (Complex) 12 pt1"/>
    <w:basedOn w:val="DefaultParagraphFont"/>
    <w:rsid w:val="00865642"/>
    <w:rPr>
      <w:rFonts w:asciiTheme="minorHAnsi" w:hAnsiTheme="minorHAnsi" w:cs="Calibri"/>
      <w:szCs w:val="24"/>
    </w:rPr>
  </w:style>
  <w:style w:type="character" w:customStyle="1" w:styleId="StyleComplexBodyCSArialBoldCustomColorRGB686868">
    <w:name w:val="Style (Complex) +Body CS (Arial) Bold Custom Color(RGB(686868))"/>
    <w:basedOn w:val="DefaultParagraphFont"/>
    <w:rsid w:val="00865642"/>
    <w:rPr>
      <w:rFonts w:asciiTheme="minorHAnsi" w:hAnsiTheme="minorHAnsi" w:cs="Calibri"/>
      <w:b/>
      <w:bCs/>
      <w:iCs w:val="0"/>
      <w:color w:val="444444"/>
    </w:rPr>
  </w:style>
  <w:style w:type="character" w:customStyle="1" w:styleId="StyleComplexBodyCSArialBoldCustomColorRGB6868681">
    <w:name w:val="Style (Complex) +Body CS (Arial) Bold Custom Color(RGB(686868))1"/>
    <w:basedOn w:val="DefaultParagraphFont"/>
    <w:rsid w:val="00865642"/>
    <w:rPr>
      <w:rFonts w:asciiTheme="minorHAnsi" w:hAnsiTheme="minorHAnsi" w:cs="Calibri"/>
      <w:b/>
      <w:bCs/>
      <w:iCs w:val="0"/>
      <w:color w:val="444444"/>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F729F8"/>
    <w:rPr>
      <w:rFonts w:asciiTheme="minorHAnsi" w:hAnsiTheme="minorHAnsi"/>
      <w:sz w:val="24"/>
      <w:lang w:val="en-GB" w:eastAsia="en-US"/>
    </w:rPr>
  </w:style>
  <w:style w:type="paragraph" w:customStyle="1" w:styleId="Default">
    <w:name w:val="Default"/>
    <w:rsid w:val="00F60E3E"/>
    <w:pPr>
      <w:autoSpaceDE w:val="0"/>
      <w:autoSpaceDN w:val="0"/>
      <w:adjustRightInd w:val="0"/>
    </w:pPr>
    <w:rPr>
      <w:rFonts w:ascii="Calibri" w:eastAsiaTheme="minorEastAsia" w:hAnsi="Calibri" w:cs="Calibri"/>
      <w:color w:val="000000"/>
      <w:sz w:val="24"/>
      <w:szCs w:val="24"/>
    </w:rPr>
  </w:style>
  <w:style w:type="character" w:customStyle="1" w:styleId="xmsofootnotereference">
    <w:name w:val="x_msofootnotereference"/>
    <w:basedOn w:val="DefaultParagraphFont"/>
    <w:rsid w:val="00FB3618"/>
  </w:style>
  <w:style w:type="paragraph" w:styleId="NoSpacing">
    <w:name w:val="No Spacing"/>
    <w:uiPriority w:val="1"/>
    <w:qFormat/>
    <w:rsid w:val="00F93541"/>
    <w:pPr>
      <w:jc w:val="both"/>
    </w:pPr>
    <w:rPr>
      <w:rFonts w:ascii="Calibri" w:eastAsia="SimSun" w:hAnsi="Calibri" w:cs="Arial"/>
      <w:sz w:val="22"/>
      <w:szCs w:val="22"/>
    </w:rPr>
  </w:style>
  <w:style w:type="character" w:styleId="Emphasis">
    <w:name w:val="Emphasis"/>
    <w:basedOn w:val="DefaultParagraphFont"/>
    <w:uiPriority w:val="20"/>
    <w:qFormat/>
    <w:rsid w:val="005E65F8"/>
    <w:rPr>
      <w:i/>
      <w:iCs/>
    </w:rPr>
  </w:style>
  <w:style w:type="paragraph" w:customStyle="1" w:styleId="normalWSIS">
    <w:name w:val="normal WSIS"/>
    <w:basedOn w:val="ListParagraph"/>
    <w:link w:val="normalWSISChar"/>
    <w:qFormat/>
    <w:rsid w:val="004F0157"/>
    <w:pPr>
      <w:numPr>
        <w:numId w:val="2"/>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4"/>
      <w:lang w:val="en-US" w:eastAsia="zh-CN"/>
    </w:rPr>
  </w:style>
  <w:style w:type="character" w:customStyle="1" w:styleId="Heading1Char">
    <w:name w:val="Heading 1 Char"/>
    <w:basedOn w:val="DefaultParagraphFont"/>
    <w:link w:val="Heading1"/>
    <w:uiPriority w:val="9"/>
    <w:rsid w:val="002452C5"/>
    <w:rPr>
      <w:rFonts w:asciiTheme="minorHAnsi" w:hAnsiTheme="minorHAnsi"/>
      <w:b/>
      <w:sz w:val="28"/>
      <w:lang w:val="en-GB" w:eastAsia="en-US"/>
    </w:rPr>
  </w:style>
  <w:style w:type="paragraph" w:customStyle="1" w:styleId="Bulletlist1">
    <w:name w:val="Bullet list 1"/>
    <w:basedOn w:val="Normal"/>
    <w:rsid w:val="00FD36D8"/>
    <w:pPr>
      <w:tabs>
        <w:tab w:val="clear" w:pos="1134"/>
        <w:tab w:val="clear" w:pos="1871"/>
        <w:tab w:val="clear" w:pos="2268"/>
      </w:tabs>
      <w:overflowPunct/>
      <w:autoSpaceDE/>
      <w:autoSpaceDN/>
      <w:adjustRightInd/>
      <w:ind w:left="425" w:hanging="425"/>
      <w:textAlignment w:val="auto"/>
    </w:pPr>
    <w:rPr>
      <w:rFonts w:ascii="Calibri" w:eastAsiaTheme="minorEastAsia" w:hAnsi="Calibri"/>
      <w:sz w:val="21"/>
      <w:szCs w:val="22"/>
      <w:lang w:val="en-US" w:eastAsia="fr-FR"/>
    </w:rPr>
  </w:style>
  <w:style w:type="paragraph" w:styleId="NormalWeb">
    <w:name w:val="Normal (Web)"/>
    <w:basedOn w:val="Normal"/>
    <w:uiPriority w:val="99"/>
    <w:unhideWhenUsed/>
    <w:rsid w:val="000572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normalWSISChar">
    <w:name w:val="normal WSIS Char"/>
    <w:basedOn w:val="DefaultParagraphFont"/>
    <w:link w:val="normalWSIS"/>
    <w:rsid w:val="000213DA"/>
    <w:rPr>
      <w:rFonts w:ascii="Calibri" w:eastAsia="SimSun" w:hAnsi="Calibri" w:cs="Arial"/>
      <w:sz w:val="22"/>
      <w:szCs w:val="24"/>
    </w:rPr>
  </w:style>
  <w:style w:type="paragraph" w:customStyle="1" w:styleId="Heading4nextpage">
    <w:name w:val="Heading 4 next page"/>
    <w:basedOn w:val="Heading4"/>
    <w:rsid w:val="00A03938"/>
    <w:pPr>
      <w:keepLines w:val="0"/>
      <w:tabs>
        <w:tab w:val="clear" w:pos="1871"/>
        <w:tab w:val="clear" w:pos="2268"/>
        <w:tab w:val="left" w:pos="993"/>
      </w:tabs>
      <w:overflowPunct/>
      <w:autoSpaceDE/>
      <w:autoSpaceDN/>
      <w:adjustRightInd/>
      <w:spacing w:before="240"/>
      <w:ind w:left="0" w:firstLine="0"/>
      <w:textAlignment w:val="auto"/>
    </w:pPr>
    <w:rPr>
      <w:rFonts w:ascii="Calibri" w:eastAsiaTheme="minorEastAsia" w:hAnsi="Calibri"/>
      <w:b w:val="0"/>
      <w:bCs/>
      <w:color w:val="548DD4" w:themeColor="text2" w:themeTint="99"/>
      <w:sz w:val="22"/>
      <w:szCs w:val="22"/>
      <w:lang w:eastAsia="en-CA"/>
    </w:rPr>
  </w:style>
  <w:style w:type="paragraph" w:customStyle="1" w:styleId="Heading2noindent">
    <w:name w:val="Heading 2 no indent"/>
    <w:basedOn w:val="Heading2"/>
    <w:next w:val="Normal"/>
    <w:rsid w:val="00A03938"/>
    <w:pPr>
      <w:keepLines w:val="0"/>
      <w:tabs>
        <w:tab w:val="clear" w:pos="1134"/>
        <w:tab w:val="clear" w:pos="1871"/>
        <w:tab w:val="clear" w:pos="2268"/>
        <w:tab w:val="left" w:pos="851"/>
      </w:tabs>
      <w:overflowPunct/>
      <w:autoSpaceDE/>
      <w:autoSpaceDN/>
      <w:adjustRightInd/>
      <w:spacing w:before="400"/>
      <w:ind w:left="0" w:firstLine="0"/>
      <w:textAlignment w:val="auto"/>
    </w:pPr>
    <w:rPr>
      <w:rFonts w:eastAsiaTheme="minorEastAsia" w:cs="Helvetica"/>
      <w:b w:val="0"/>
      <w:bCs/>
      <w:color w:val="548DD4" w:themeColor="text2" w:themeTint="99"/>
      <w:sz w:val="26"/>
      <w:szCs w:val="32"/>
      <w:lang w:val="en-US" w:eastAsia="fr-FR"/>
    </w:rPr>
  </w:style>
  <w:style w:type="character" w:customStyle="1" w:styleId="tlid-translation">
    <w:name w:val="tlid-translation"/>
    <w:basedOn w:val="DefaultParagraphFont"/>
    <w:rsid w:val="00C436D4"/>
  </w:style>
  <w:style w:type="paragraph" w:customStyle="1" w:styleId="Style180">
    <w:name w:val="Style180"/>
    <w:basedOn w:val="Normal"/>
    <w:uiPriority w:val="99"/>
    <w:rsid w:val="00C436D4"/>
    <w:pPr>
      <w:widowControl w:val="0"/>
      <w:tabs>
        <w:tab w:val="clear" w:pos="1134"/>
        <w:tab w:val="clear" w:pos="1871"/>
        <w:tab w:val="clear" w:pos="2268"/>
      </w:tabs>
      <w:overflowPunct/>
      <w:spacing w:before="0" w:line="259" w:lineRule="exact"/>
      <w:jc w:val="both"/>
      <w:textAlignment w:val="auto"/>
    </w:pPr>
    <w:rPr>
      <w:rFonts w:ascii="Calibri" w:eastAsiaTheme="minorEastAsia" w:hAnsi="Calibri"/>
      <w:szCs w:val="24"/>
      <w:lang w:val="ru-RU" w:eastAsia="ru-RU"/>
    </w:rPr>
  </w:style>
  <w:style w:type="paragraph" w:customStyle="1" w:styleId="ceonormal0">
    <w:name w:val="ceonormal0"/>
    <w:basedOn w:val="Normal"/>
    <w:rsid w:val="00754549"/>
    <w:pPr>
      <w:tabs>
        <w:tab w:val="clear" w:pos="1134"/>
        <w:tab w:val="clear" w:pos="1871"/>
        <w:tab w:val="clear" w:pos="2268"/>
      </w:tabs>
      <w:overflowPunct/>
      <w:autoSpaceDE/>
      <w:autoSpaceDN/>
      <w:adjustRightInd/>
      <w:spacing w:after="120"/>
      <w:textAlignment w:val="auto"/>
    </w:pPr>
    <w:rPr>
      <w:rFonts w:ascii="Verdana" w:eastAsiaTheme="minorEastAsia" w:hAnsi="Verdana"/>
      <w:sz w:val="20"/>
      <w:lang w:eastAsia="zh-CN"/>
    </w:rPr>
  </w:style>
  <w:style w:type="character" w:styleId="Strong">
    <w:name w:val="Strong"/>
    <w:basedOn w:val="DefaultParagraphFont"/>
    <w:uiPriority w:val="22"/>
    <w:qFormat/>
    <w:rsid w:val="009D0FF8"/>
    <w:rPr>
      <w:b/>
      <w:bCs/>
    </w:rPr>
  </w:style>
  <w:style w:type="paragraph" w:styleId="PlainText">
    <w:name w:val="Plain Text"/>
    <w:basedOn w:val="Normal"/>
    <w:link w:val="PlainTextChar"/>
    <w:uiPriority w:val="99"/>
    <w:unhideWhenUsed/>
    <w:rsid w:val="00E25179"/>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E25179"/>
    <w:rPr>
      <w:rFonts w:ascii="Calibri" w:eastAsiaTheme="minorEastAsia" w:hAnsi="Calibri" w:cstheme="minorBid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01608">
      <w:bodyDiv w:val="1"/>
      <w:marLeft w:val="0"/>
      <w:marRight w:val="0"/>
      <w:marTop w:val="0"/>
      <w:marBottom w:val="0"/>
      <w:divBdr>
        <w:top w:val="none" w:sz="0" w:space="0" w:color="auto"/>
        <w:left w:val="none" w:sz="0" w:space="0" w:color="auto"/>
        <w:bottom w:val="none" w:sz="0" w:space="0" w:color="auto"/>
        <w:right w:val="none" w:sz="0" w:space="0" w:color="auto"/>
      </w:divBdr>
    </w:div>
    <w:div w:id="298925362">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2555751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771585369">
      <w:bodyDiv w:val="1"/>
      <w:marLeft w:val="0"/>
      <w:marRight w:val="0"/>
      <w:marTop w:val="0"/>
      <w:marBottom w:val="0"/>
      <w:divBdr>
        <w:top w:val="none" w:sz="0" w:space="0" w:color="auto"/>
        <w:left w:val="none" w:sz="0" w:space="0" w:color="auto"/>
        <w:bottom w:val="none" w:sz="0" w:space="0" w:color="auto"/>
        <w:right w:val="none" w:sz="0" w:space="0" w:color="auto"/>
      </w:divBdr>
      <w:divsChild>
        <w:div w:id="1952859901">
          <w:marLeft w:val="0"/>
          <w:marRight w:val="0"/>
          <w:marTop w:val="0"/>
          <w:marBottom w:val="0"/>
          <w:divBdr>
            <w:top w:val="none" w:sz="0" w:space="0" w:color="auto"/>
            <w:left w:val="none" w:sz="0" w:space="0" w:color="auto"/>
            <w:bottom w:val="none" w:sz="0" w:space="0" w:color="auto"/>
            <w:right w:val="none" w:sz="0" w:space="0" w:color="auto"/>
          </w:divBdr>
          <w:divsChild>
            <w:div w:id="1382317752">
              <w:marLeft w:val="0"/>
              <w:marRight w:val="0"/>
              <w:marTop w:val="0"/>
              <w:marBottom w:val="0"/>
              <w:divBdr>
                <w:top w:val="none" w:sz="0" w:space="0" w:color="auto"/>
                <w:left w:val="none" w:sz="0" w:space="0" w:color="auto"/>
                <w:bottom w:val="none" w:sz="0" w:space="0" w:color="auto"/>
                <w:right w:val="none" w:sz="0" w:space="0" w:color="auto"/>
              </w:divBdr>
              <w:divsChild>
                <w:div w:id="1725524318">
                  <w:marLeft w:val="0"/>
                  <w:marRight w:val="0"/>
                  <w:marTop w:val="0"/>
                  <w:marBottom w:val="0"/>
                  <w:divBdr>
                    <w:top w:val="none" w:sz="0" w:space="0" w:color="auto"/>
                    <w:left w:val="none" w:sz="0" w:space="0" w:color="auto"/>
                    <w:bottom w:val="none" w:sz="0" w:space="0" w:color="auto"/>
                    <w:right w:val="none" w:sz="0" w:space="0" w:color="auto"/>
                  </w:divBdr>
                  <w:divsChild>
                    <w:div w:id="721365941">
                      <w:marLeft w:val="0"/>
                      <w:marRight w:val="0"/>
                      <w:marTop w:val="0"/>
                      <w:marBottom w:val="0"/>
                      <w:divBdr>
                        <w:top w:val="none" w:sz="0" w:space="0" w:color="auto"/>
                        <w:left w:val="none" w:sz="0" w:space="0" w:color="auto"/>
                        <w:bottom w:val="none" w:sz="0" w:space="0" w:color="auto"/>
                        <w:right w:val="none" w:sz="0" w:space="0" w:color="auto"/>
                      </w:divBdr>
                      <w:divsChild>
                        <w:div w:id="1816723567">
                          <w:marLeft w:val="0"/>
                          <w:marRight w:val="0"/>
                          <w:marTop w:val="0"/>
                          <w:marBottom w:val="0"/>
                          <w:divBdr>
                            <w:top w:val="none" w:sz="0" w:space="0" w:color="auto"/>
                            <w:left w:val="none" w:sz="0" w:space="0" w:color="auto"/>
                            <w:bottom w:val="none" w:sz="0" w:space="0" w:color="auto"/>
                            <w:right w:val="none" w:sz="0" w:space="0" w:color="auto"/>
                          </w:divBdr>
                          <w:divsChild>
                            <w:div w:id="833297713">
                              <w:marLeft w:val="0"/>
                              <w:marRight w:val="0"/>
                              <w:marTop w:val="0"/>
                              <w:marBottom w:val="0"/>
                              <w:divBdr>
                                <w:top w:val="none" w:sz="0" w:space="0" w:color="auto"/>
                                <w:left w:val="none" w:sz="0" w:space="0" w:color="auto"/>
                                <w:bottom w:val="none" w:sz="0" w:space="0" w:color="auto"/>
                                <w:right w:val="none" w:sz="0" w:space="0" w:color="auto"/>
                              </w:divBdr>
                              <w:divsChild>
                                <w:div w:id="1706564147">
                                  <w:marLeft w:val="0"/>
                                  <w:marRight w:val="0"/>
                                  <w:marTop w:val="0"/>
                                  <w:marBottom w:val="0"/>
                                  <w:divBdr>
                                    <w:top w:val="none" w:sz="0" w:space="0" w:color="auto"/>
                                    <w:left w:val="none" w:sz="0" w:space="0" w:color="auto"/>
                                    <w:bottom w:val="none" w:sz="0" w:space="0" w:color="auto"/>
                                    <w:right w:val="none" w:sz="0" w:space="0" w:color="auto"/>
                                  </w:divBdr>
                                  <w:divsChild>
                                    <w:div w:id="1236040952">
                                      <w:marLeft w:val="0"/>
                                      <w:marRight w:val="0"/>
                                      <w:marTop w:val="0"/>
                                      <w:marBottom w:val="0"/>
                                      <w:divBdr>
                                        <w:top w:val="none" w:sz="0" w:space="0" w:color="auto"/>
                                        <w:left w:val="none" w:sz="0" w:space="0" w:color="auto"/>
                                        <w:bottom w:val="none" w:sz="0" w:space="0" w:color="auto"/>
                                        <w:right w:val="none" w:sz="0" w:space="0" w:color="auto"/>
                                      </w:divBdr>
                                      <w:divsChild>
                                        <w:div w:id="1552381442">
                                          <w:marLeft w:val="0"/>
                                          <w:marRight w:val="0"/>
                                          <w:marTop w:val="0"/>
                                          <w:marBottom w:val="0"/>
                                          <w:divBdr>
                                            <w:top w:val="none" w:sz="0" w:space="0" w:color="auto"/>
                                            <w:left w:val="none" w:sz="0" w:space="0" w:color="auto"/>
                                            <w:bottom w:val="none" w:sz="0" w:space="0" w:color="auto"/>
                                            <w:right w:val="none" w:sz="0" w:space="0" w:color="auto"/>
                                          </w:divBdr>
                                          <w:divsChild>
                                            <w:div w:id="430709911">
                                              <w:marLeft w:val="0"/>
                                              <w:marRight w:val="0"/>
                                              <w:marTop w:val="0"/>
                                              <w:marBottom w:val="0"/>
                                              <w:divBdr>
                                                <w:top w:val="none" w:sz="0" w:space="0" w:color="auto"/>
                                                <w:left w:val="none" w:sz="0" w:space="0" w:color="auto"/>
                                                <w:bottom w:val="none" w:sz="0" w:space="0" w:color="auto"/>
                                                <w:right w:val="none" w:sz="0" w:space="0" w:color="auto"/>
                                              </w:divBdr>
                                              <w:divsChild>
                                                <w:div w:id="55785220">
                                                  <w:marLeft w:val="0"/>
                                                  <w:marRight w:val="0"/>
                                                  <w:marTop w:val="0"/>
                                                  <w:marBottom w:val="0"/>
                                                  <w:divBdr>
                                                    <w:top w:val="single" w:sz="6" w:space="0" w:color="ABABAB"/>
                                                    <w:left w:val="single" w:sz="6" w:space="0" w:color="ABABAB"/>
                                                    <w:bottom w:val="none" w:sz="0" w:space="0" w:color="auto"/>
                                                    <w:right w:val="single" w:sz="6" w:space="0" w:color="ABABAB"/>
                                                  </w:divBdr>
                                                  <w:divsChild>
                                                    <w:div w:id="1664890817">
                                                      <w:marLeft w:val="0"/>
                                                      <w:marRight w:val="0"/>
                                                      <w:marTop w:val="0"/>
                                                      <w:marBottom w:val="0"/>
                                                      <w:divBdr>
                                                        <w:top w:val="none" w:sz="0" w:space="0" w:color="auto"/>
                                                        <w:left w:val="none" w:sz="0" w:space="0" w:color="auto"/>
                                                        <w:bottom w:val="none" w:sz="0" w:space="0" w:color="auto"/>
                                                        <w:right w:val="none" w:sz="0" w:space="0" w:color="auto"/>
                                                      </w:divBdr>
                                                      <w:divsChild>
                                                        <w:div w:id="1618482377">
                                                          <w:marLeft w:val="0"/>
                                                          <w:marRight w:val="0"/>
                                                          <w:marTop w:val="0"/>
                                                          <w:marBottom w:val="0"/>
                                                          <w:divBdr>
                                                            <w:top w:val="none" w:sz="0" w:space="0" w:color="auto"/>
                                                            <w:left w:val="none" w:sz="0" w:space="0" w:color="auto"/>
                                                            <w:bottom w:val="none" w:sz="0" w:space="0" w:color="auto"/>
                                                            <w:right w:val="none" w:sz="0" w:space="0" w:color="auto"/>
                                                          </w:divBdr>
                                                          <w:divsChild>
                                                            <w:div w:id="12418353">
                                                              <w:marLeft w:val="0"/>
                                                              <w:marRight w:val="0"/>
                                                              <w:marTop w:val="0"/>
                                                              <w:marBottom w:val="0"/>
                                                              <w:divBdr>
                                                                <w:top w:val="none" w:sz="0" w:space="0" w:color="auto"/>
                                                                <w:left w:val="none" w:sz="0" w:space="0" w:color="auto"/>
                                                                <w:bottom w:val="none" w:sz="0" w:space="0" w:color="auto"/>
                                                                <w:right w:val="none" w:sz="0" w:space="0" w:color="auto"/>
                                                              </w:divBdr>
                                                              <w:divsChild>
                                                                <w:div w:id="1595244192">
                                                                  <w:marLeft w:val="0"/>
                                                                  <w:marRight w:val="0"/>
                                                                  <w:marTop w:val="0"/>
                                                                  <w:marBottom w:val="0"/>
                                                                  <w:divBdr>
                                                                    <w:top w:val="none" w:sz="0" w:space="0" w:color="auto"/>
                                                                    <w:left w:val="none" w:sz="0" w:space="0" w:color="auto"/>
                                                                    <w:bottom w:val="none" w:sz="0" w:space="0" w:color="auto"/>
                                                                    <w:right w:val="none" w:sz="0" w:space="0" w:color="auto"/>
                                                                  </w:divBdr>
                                                                  <w:divsChild>
                                                                    <w:div w:id="699284396">
                                                                      <w:marLeft w:val="0"/>
                                                                      <w:marRight w:val="0"/>
                                                                      <w:marTop w:val="0"/>
                                                                      <w:marBottom w:val="0"/>
                                                                      <w:divBdr>
                                                                        <w:top w:val="none" w:sz="0" w:space="0" w:color="auto"/>
                                                                        <w:left w:val="none" w:sz="0" w:space="0" w:color="auto"/>
                                                                        <w:bottom w:val="none" w:sz="0" w:space="0" w:color="auto"/>
                                                                        <w:right w:val="none" w:sz="0" w:space="0" w:color="auto"/>
                                                                      </w:divBdr>
                                                                      <w:divsChild>
                                                                        <w:div w:id="1718773525">
                                                                          <w:marLeft w:val="0"/>
                                                                          <w:marRight w:val="0"/>
                                                                          <w:marTop w:val="0"/>
                                                                          <w:marBottom w:val="0"/>
                                                                          <w:divBdr>
                                                                            <w:top w:val="none" w:sz="0" w:space="0" w:color="auto"/>
                                                                            <w:left w:val="none" w:sz="0" w:space="0" w:color="auto"/>
                                                                            <w:bottom w:val="none" w:sz="0" w:space="0" w:color="auto"/>
                                                                            <w:right w:val="none" w:sz="0" w:space="0" w:color="auto"/>
                                                                          </w:divBdr>
                                                                          <w:divsChild>
                                                                            <w:div w:id="8687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802617">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28366314">
      <w:bodyDiv w:val="1"/>
      <w:marLeft w:val="0"/>
      <w:marRight w:val="0"/>
      <w:marTop w:val="0"/>
      <w:marBottom w:val="0"/>
      <w:divBdr>
        <w:top w:val="none" w:sz="0" w:space="0" w:color="auto"/>
        <w:left w:val="none" w:sz="0" w:space="0" w:color="auto"/>
        <w:bottom w:val="none" w:sz="0" w:space="0" w:color="auto"/>
        <w:right w:val="none" w:sz="0" w:space="0" w:color="auto"/>
      </w:divBdr>
    </w:div>
    <w:div w:id="209658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4-C-0003/" TargetMode="External"/><Relationship Id="rId18" Type="http://schemas.openxmlformats.org/officeDocument/2006/relationships/hyperlink" Target="https://www.itu.int/md/D18-TDAG24-C-0032/" TargetMode="External"/><Relationship Id="rId26" Type="http://schemas.openxmlformats.org/officeDocument/2006/relationships/hyperlink" Target="https://www.itu.int/en/ITU-D/Regulatory-Market/Pages/Collaborative_Regulation/App_Economy.aspx" TargetMode="External"/><Relationship Id="rId39" Type="http://schemas.openxmlformats.org/officeDocument/2006/relationships/hyperlink" Target="https://www.itu.int/en/ITU-D/Climate-Change/Pages/ewaste/A-New-Circular-Vision-for-Electronics-Time-for-a-Global-Reboot.aspx" TargetMode="External"/><Relationship Id="rId21" Type="http://schemas.openxmlformats.org/officeDocument/2006/relationships/hyperlink" Target="https://www.itu.int/md/D18-TDAG24-C-0030/" TargetMode="External"/><Relationship Id="rId34" Type="http://schemas.openxmlformats.org/officeDocument/2006/relationships/hyperlink" Target="https://www.itu.int/md/D18-TDAG24-C-0019/" TargetMode="External"/><Relationship Id="rId42" Type="http://schemas.openxmlformats.org/officeDocument/2006/relationships/hyperlink" Target="https://www.itu.int/md/D18-TDAG24-C-0027/" TargetMode="External"/><Relationship Id="rId47" Type="http://schemas.openxmlformats.org/officeDocument/2006/relationships/hyperlink" Target="https://www.itu.int/md/D18-TDAG24-C-0002/" TargetMode="External"/><Relationship Id="rId50" Type="http://schemas.openxmlformats.org/officeDocument/2006/relationships/hyperlink" Target="https://www.itu.int/md/D18-TDAG24-C-0012/" TargetMode="External"/><Relationship Id="rId55" Type="http://schemas.openxmlformats.org/officeDocument/2006/relationships/hyperlink" Target="https://www.itu.int/en/ITU-D/Conferences/TDAG/Pages/inter-sectoral-team-on-issues-of-mutual-interest.aspx" TargetMode="External"/><Relationship Id="rId63" Type="http://schemas.openxmlformats.org/officeDocument/2006/relationships/hyperlink" Target="https://www.itu.int/md/meetingdoc.asp?lang=en&amp;parent=D18-TDAG24-C-0038"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D18-TDAG24-C-0002/" TargetMode="External"/><Relationship Id="rId29" Type="http://schemas.openxmlformats.org/officeDocument/2006/relationships/hyperlink" Target="https://www.itu.int/en/ITU-D/Digital-Inclusion/Persons-with-Disabilities/Pages/Internet-for-@ll.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4-C-0007/" TargetMode="External"/><Relationship Id="rId24" Type="http://schemas.openxmlformats.org/officeDocument/2006/relationships/hyperlink" Target="https://www.itu.int/en/ITU-D/Regulatory-Market/Pages/bestpractices.aspx" TargetMode="External"/><Relationship Id="rId32" Type="http://schemas.openxmlformats.org/officeDocument/2006/relationships/hyperlink" Target="https://www.itu.int/en/ITU-D/Capacity-Building/Pages/events/CBS/2018/default.aspx" TargetMode="External"/><Relationship Id="rId37" Type="http://schemas.openxmlformats.org/officeDocument/2006/relationships/hyperlink" Target="https://www.itu.int/md/D18-TDAG24-C-0026/" TargetMode="External"/><Relationship Id="rId40" Type="http://schemas.openxmlformats.org/officeDocument/2006/relationships/hyperlink" Target="https://www.itu.int/en/ITU-D/LDCs/Pages/Publications.aspx" TargetMode="External"/><Relationship Id="rId45" Type="http://schemas.openxmlformats.org/officeDocument/2006/relationships/hyperlink" Target="https://www.itu.int/md/D18-TDAG24-C-0021/" TargetMode="External"/><Relationship Id="rId53" Type="http://schemas.openxmlformats.org/officeDocument/2006/relationships/hyperlink" Target="https://www.itu.int/md/D18-TDAG24-C-0005/" TargetMode="External"/><Relationship Id="rId58" Type="http://schemas.openxmlformats.org/officeDocument/2006/relationships/hyperlink" Target="https://www.itu.int/md/D18-TDAG24-C-0024/" TargetMode="External"/><Relationship Id="rId66" Type="http://schemas.openxmlformats.org/officeDocument/2006/relationships/hyperlink" Target="https://www.itu.int/md/D18-TDAG24-C-0015/" TargetMode="External"/><Relationship Id="rId5" Type="http://schemas.openxmlformats.org/officeDocument/2006/relationships/webSettings" Target="webSettings.xml"/><Relationship Id="rId15" Type="http://schemas.openxmlformats.org/officeDocument/2006/relationships/hyperlink" Target="https://www.itu.int/md/D18-TDAG24-C-0025/" TargetMode="External"/><Relationship Id="rId23" Type="http://schemas.openxmlformats.org/officeDocument/2006/relationships/hyperlink" Target="https://www.itu.int/md/D18-TDAG24-C-0016/" TargetMode="External"/><Relationship Id="rId28" Type="http://schemas.openxmlformats.org/officeDocument/2006/relationships/hyperlink" Target="https://www.itu.int/md/D18-TDAG24-C-0031/" TargetMode="External"/><Relationship Id="rId36" Type="http://schemas.openxmlformats.org/officeDocument/2006/relationships/hyperlink" Target="https://www.itu.int/en/ITU-D/Statistics/Pages/publications/misr2018.aspx" TargetMode="External"/><Relationship Id="rId49" Type="http://schemas.openxmlformats.org/officeDocument/2006/relationships/hyperlink" Target="https://www.itu.int/md/D18-TDAG24-C-0037/" TargetMode="External"/><Relationship Id="rId57" Type="http://schemas.openxmlformats.org/officeDocument/2006/relationships/hyperlink" Target="https://www.itu.int/md/D18-TDAG24-C-0010/" TargetMode="External"/><Relationship Id="rId61" Type="http://schemas.openxmlformats.org/officeDocument/2006/relationships/hyperlink" Target="https://www.itu.int/md/D18-TDAG24-C-0011/" TargetMode="External"/><Relationship Id="rId10" Type="http://schemas.openxmlformats.org/officeDocument/2006/relationships/hyperlink" Target="https://www.itu.int/md/D18-TDAG24-C-0001/" TargetMode="External"/><Relationship Id="rId19" Type="http://schemas.openxmlformats.org/officeDocument/2006/relationships/hyperlink" Target="https://www.itu.int/md/D18-TDAG24-C-0036/" TargetMode="External"/><Relationship Id="rId31" Type="http://schemas.openxmlformats.org/officeDocument/2006/relationships/hyperlink" Target="https://www.itu.int/md/D18-TDAG24-C-0018/" TargetMode="External"/><Relationship Id="rId44" Type="http://schemas.openxmlformats.org/officeDocument/2006/relationships/hyperlink" Target="https://www.itu.int/md/D18-TDAG24-C-0020/" TargetMode="External"/><Relationship Id="rId52" Type="http://schemas.openxmlformats.org/officeDocument/2006/relationships/hyperlink" Target="https://www.itu.int/md/D18-TDAG24-C-0008/" TargetMode="External"/><Relationship Id="rId60" Type="http://schemas.openxmlformats.org/officeDocument/2006/relationships/hyperlink" Target="https://www.itu.int/md/meetingdoc.asp?lang=en&amp;parent=D18-TDAG24-C-0041" TargetMode="External"/><Relationship Id="rId65" Type="http://schemas.openxmlformats.org/officeDocument/2006/relationships/hyperlink" Target="https://www.itu.int/md/D18-TDAG24-C-0034/" TargetMode="External"/><Relationship Id="rId4" Type="http://schemas.openxmlformats.org/officeDocument/2006/relationships/settings" Target="settings.xml"/><Relationship Id="rId9" Type="http://schemas.openxmlformats.org/officeDocument/2006/relationships/hyperlink" Target="https://www.itu.int/md/D18-TDAG24-190403-TD-0011/en" TargetMode="External"/><Relationship Id="rId14" Type="http://schemas.openxmlformats.org/officeDocument/2006/relationships/hyperlink" Target="https://www.itu.int/md/D18-TDAG24-C-0006/" TargetMode="External"/><Relationship Id="rId22" Type="http://schemas.openxmlformats.org/officeDocument/2006/relationships/hyperlink" Target="https://www.itu.int/dms_pub/itu-d/opb/str/D-STR-CYB_GUIDE.01-2018-PDF-E.pdf" TargetMode="External"/><Relationship Id="rId27" Type="http://schemas.openxmlformats.org/officeDocument/2006/relationships/hyperlink" Target="https://www.itu.int/dms_pub/itu-d/opb/pref/D-PREF-BB.POW_ECO-2018-PDF-E.pdf" TargetMode="External"/><Relationship Id="rId30" Type="http://schemas.openxmlformats.org/officeDocument/2006/relationships/hyperlink" Target="https://academy.itu.int/index.php?lang=en" TargetMode="External"/><Relationship Id="rId35" Type="http://schemas.openxmlformats.org/officeDocument/2006/relationships/hyperlink" Target="https://www.itu.int/md/D18-TDAG24-C-0035/" TargetMode="External"/><Relationship Id="rId43" Type="http://schemas.openxmlformats.org/officeDocument/2006/relationships/hyperlink" Target="https://www.itu.int/md/D18-TDAG24-C-0022/" TargetMode="External"/><Relationship Id="rId48" Type="http://schemas.openxmlformats.org/officeDocument/2006/relationships/hyperlink" Target="https://www.itu.int/md/D18-TDAG24-C-0014/" TargetMode="External"/><Relationship Id="rId56" Type="http://schemas.openxmlformats.org/officeDocument/2006/relationships/hyperlink" Target="https://www.itu.int/en/ITU-D/Conferences/TDAG/Pages/inter-sectoral-team-on-issues-of-mutual-interest.aspx" TargetMode="External"/><Relationship Id="rId64" Type="http://schemas.openxmlformats.org/officeDocument/2006/relationships/hyperlink" Target="https://www.itu.int/md/D18-TDAG24-C-0033/" TargetMode="External"/><Relationship Id="rId69"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itu.int/md/D18-TDAG24-C-0013/" TargetMode="External"/><Relationship Id="rId3" Type="http://schemas.openxmlformats.org/officeDocument/2006/relationships/styles" Target="styles.xml"/><Relationship Id="rId12" Type="http://schemas.openxmlformats.org/officeDocument/2006/relationships/hyperlink" Target="https://www.itu.int/md/D18-TDAG24-C-0004/" TargetMode="External"/><Relationship Id="rId17" Type="http://schemas.openxmlformats.org/officeDocument/2006/relationships/hyperlink" Target="https://www.itu.int/md/D18-TDAG24-C-0029/" TargetMode="External"/><Relationship Id="rId25" Type="http://schemas.openxmlformats.org/officeDocument/2006/relationships/hyperlink" Target="https://www.itu.int/en/ITU-T/extcoop/figisymposium/Pages/default.aspx" TargetMode="External"/><Relationship Id="rId33" Type="http://schemas.openxmlformats.org/officeDocument/2006/relationships/hyperlink" Target="https://www.itu.int/md/D18-TDAG24-C-0017/" TargetMode="External"/><Relationship Id="rId38" Type="http://schemas.openxmlformats.org/officeDocument/2006/relationships/hyperlink" Target="https://www.itu.int/en/ITU-D/LDCs/Pages/ICTs-for-SDGs-in-LDCs-Report.aspx" TargetMode="External"/><Relationship Id="rId46" Type="http://schemas.openxmlformats.org/officeDocument/2006/relationships/hyperlink" Target="https://www.itu.int/md/D18-TDAG24-190403-TD-0011/en" TargetMode="External"/><Relationship Id="rId59" Type="http://schemas.openxmlformats.org/officeDocument/2006/relationships/hyperlink" Target="https://www.itu.int/md/D18-TDAG24-C-0009/" TargetMode="External"/><Relationship Id="rId67" Type="http://schemas.openxmlformats.org/officeDocument/2006/relationships/header" Target="header1.xml"/><Relationship Id="rId20" Type="http://schemas.openxmlformats.org/officeDocument/2006/relationships/hyperlink" Target="https://www.itu.int/md/D18-TDAG24-C-0040/en" TargetMode="External"/><Relationship Id="rId41" Type="http://schemas.openxmlformats.org/officeDocument/2006/relationships/hyperlink" Target="https://unctad.org/en/Pages/Publications/E-Trade-Readiness-Assessment.aspx" TargetMode="External"/><Relationship Id="rId54" Type="http://schemas.openxmlformats.org/officeDocument/2006/relationships/hyperlink" Target="https://www.itu.int/en/ITU-D/Conferences/TDAG/Pages/inter-sectoral-team-on-issues-of-mutual-interest.aspx" TargetMode="External"/><Relationship Id="rId62" Type="http://schemas.openxmlformats.org/officeDocument/2006/relationships/hyperlink" Target="https://www.itu.int/md/D18-TDAG24-C-0028/" TargetMode="Externa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F3989-665D-453D-9706-4AC0A16B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38</Pages>
  <Words>18355</Words>
  <Characters>104624</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122734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McElvane Webber</dc:creator>
  <cp:keywords/>
  <dc:description/>
  <cp:lastModifiedBy>BDT</cp:lastModifiedBy>
  <cp:revision>13</cp:revision>
  <cp:lastPrinted>2019-05-16T23:27:00Z</cp:lastPrinted>
  <dcterms:created xsi:type="dcterms:W3CDTF">2019-05-31T13:03:00Z</dcterms:created>
  <dcterms:modified xsi:type="dcterms:W3CDTF">2019-05-31T13:20:00Z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