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0C32E3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0C32E3" w:rsidRDefault="00D372A5" w:rsidP="00770267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0C32E3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0C32E3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0C32E3" w:rsidRDefault="004E7861" w:rsidP="00770267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0C32E3">
              <w:rPr>
                <w:b/>
                <w:bCs/>
                <w:sz w:val="26"/>
                <w:szCs w:val="26"/>
                <w:lang w:val="es-ES_tradnl"/>
              </w:rPr>
              <w:t>24ª reunión, Ginebra, 3-5 de abril de 2019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0C32E3" w:rsidRDefault="004E7861" w:rsidP="00770267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0C32E3">
              <w:rPr>
                <w:color w:val="3399FF"/>
                <w:lang w:val="es-ES_tradnl" w:eastAsia="zh-CN"/>
              </w:rPr>
              <w:drawing>
                <wp:inline distT="0" distB="0" distL="0" distR="0" wp14:anchorId="3180C089" wp14:editId="33672535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0C32E3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0C32E3" w:rsidRDefault="004B7893" w:rsidP="00770267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0C32E3" w:rsidRDefault="004B7893" w:rsidP="00770267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0C32E3" w:rsidTr="004B7893">
        <w:trPr>
          <w:cantSplit/>
        </w:trPr>
        <w:tc>
          <w:tcPr>
            <w:tcW w:w="6663" w:type="dxa"/>
          </w:tcPr>
          <w:p w:rsidR="004B7893" w:rsidRPr="000C32E3" w:rsidRDefault="004B7893" w:rsidP="00770267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0C32E3" w:rsidRDefault="005637B9" w:rsidP="00701E89">
            <w:pPr>
              <w:spacing w:before="0"/>
              <w:rPr>
                <w:bCs/>
                <w:lang w:val="es-ES_tradnl"/>
              </w:rPr>
            </w:pPr>
            <w:r w:rsidRPr="000C32E3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0C32E3">
              <w:rPr>
                <w:b/>
                <w:bCs/>
                <w:lang w:val="es-ES_tradnl"/>
              </w:rPr>
              <w:t>TDAG</w:t>
            </w:r>
            <w:r w:rsidR="00602B27" w:rsidRPr="000C32E3">
              <w:rPr>
                <w:b/>
                <w:bCs/>
                <w:lang w:val="es-ES_tradnl"/>
              </w:rPr>
              <w:t>-</w:t>
            </w:r>
            <w:r w:rsidRPr="000C32E3">
              <w:rPr>
                <w:b/>
                <w:bCs/>
                <w:lang w:val="es-ES_tradnl"/>
              </w:rPr>
              <w:t>1</w:t>
            </w:r>
            <w:r w:rsidR="004E7861" w:rsidRPr="000C32E3">
              <w:rPr>
                <w:b/>
                <w:bCs/>
                <w:lang w:val="es-ES_tradnl"/>
              </w:rPr>
              <w:t>9</w:t>
            </w:r>
            <w:r w:rsidRPr="000C32E3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701E89" w:rsidRPr="000C32E3">
              <w:rPr>
                <w:b/>
                <w:bCs/>
                <w:lang w:val="es-ES_tradnl"/>
              </w:rPr>
              <w:t>32</w:t>
            </w:r>
            <w:r w:rsidRPr="000C32E3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0C32E3" w:rsidTr="004B7893">
        <w:trPr>
          <w:cantSplit/>
        </w:trPr>
        <w:tc>
          <w:tcPr>
            <w:tcW w:w="6663" w:type="dxa"/>
          </w:tcPr>
          <w:p w:rsidR="004B7893" w:rsidRPr="000C32E3" w:rsidRDefault="004B7893" w:rsidP="00770267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0C32E3" w:rsidRDefault="00701E89" w:rsidP="00701E89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0C32E3">
              <w:rPr>
                <w:b/>
                <w:bCs/>
                <w:szCs w:val="28"/>
                <w:lang w:val="es-ES_tradnl"/>
              </w:rPr>
              <w:t>12</w:t>
            </w:r>
            <w:r w:rsidR="00296323" w:rsidRPr="000C32E3">
              <w:rPr>
                <w:b/>
                <w:bCs/>
                <w:szCs w:val="28"/>
                <w:lang w:val="es-ES_tradnl"/>
              </w:rPr>
              <w:t xml:space="preserve"> de </w:t>
            </w:r>
            <w:r w:rsidRPr="000C32E3">
              <w:rPr>
                <w:b/>
                <w:bCs/>
                <w:szCs w:val="28"/>
                <w:lang w:val="es-ES_tradnl"/>
              </w:rPr>
              <w:t>febr</w:t>
            </w:r>
            <w:r w:rsidR="00296323" w:rsidRPr="000C32E3">
              <w:rPr>
                <w:b/>
                <w:bCs/>
                <w:szCs w:val="28"/>
                <w:lang w:val="es-ES_tradnl"/>
              </w:rPr>
              <w:t>ero de</w:t>
            </w:r>
            <w:r w:rsidR="00BC7208" w:rsidRPr="000C32E3">
              <w:rPr>
                <w:b/>
                <w:bCs/>
                <w:szCs w:val="28"/>
                <w:lang w:val="es-ES_tradnl"/>
              </w:rPr>
              <w:t xml:space="preserve"> 201</w:t>
            </w:r>
            <w:r w:rsidR="004E7861" w:rsidRPr="000C32E3">
              <w:rPr>
                <w:b/>
                <w:bCs/>
                <w:szCs w:val="28"/>
                <w:lang w:val="es-ES_tradnl"/>
              </w:rPr>
              <w:t>9</w:t>
            </w:r>
          </w:p>
        </w:tc>
      </w:tr>
      <w:tr w:rsidR="004B7893" w:rsidRPr="000C32E3" w:rsidTr="004B7893">
        <w:trPr>
          <w:cantSplit/>
        </w:trPr>
        <w:tc>
          <w:tcPr>
            <w:tcW w:w="6663" w:type="dxa"/>
          </w:tcPr>
          <w:p w:rsidR="004B7893" w:rsidRPr="000C32E3" w:rsidRDefault="004B7893" w:rsidP="00770267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0C32E3" w:rsidRDefault="005637B9" w:rsidP="00770267">
            <w:pPr>
              <w:spacing w:before="0"/>
              <w:rPr>
                <w:szCs w:val="24"/>
                <w:lang w:val="es-ES_tradnl"/>
              </w:rPr>
            </w:pPr>
            <w:r w:rsidRPr="000C32E3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0C32E3">
              <w:rPr>
                <w:b/>
                <w:lang w:val="es-ES_tradnl"/>
              </w:rPr>
              <w:t xml:space="preserve"> </w:t>
            </w:r>
            <w:r w:rsidR="00296323" w:rsidRPr="000C32E3">
              <w:rPr>
                <w:b/>
                <w:lang w:val="es-ES_tradnl"/>
              </w:rPr>
              <w:t>inglés</w:t>
            </w:r>
          </w:p>
        </w:tc>
      </w:tr>
      <w:tr w:rsidR="004B7893" w:rsidRPr="000C32E3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0C32E3" w:rsidRDefault="00904021" w:rsidP="00770267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0C32E3">
              <w:rPr>
                <w:rFonts w:ascii="Calibri" w:hAnsi="Calibri"/>
                <w:lang w:val="es-ES_tradnl"/>
              </w:rPr>
              <w:t>Directora de la Oficina de Desarrollo de las Telecomunicaciones</w:t>
            </w:r>
          </w:p>
        </w:tc>
      </w:tr>
      <w:tr w:rsidR="004B7893" w:rsidRPr="000C32E3" w:rsidTr="004B7893">
        <w:trPr>
          <w:cantSplit/>
        </w:trPr>
        <w:tc>
          <w:tcPr>
            <w:tcW w:w="9888" w:type="dxa"/>
            <w:gridSpan w:val="2"/>
          </w:tcPr>
          <w:p w:rsidR="004B7893" w:rsidRPr="000C32E3" w:rsidRDefault="00701E89" w:rsidP="00770267">
            <w:pPr>
              <w:pStyle w:val="Title1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0C32E3">
              <w:rPr>
                <w:lang w:val="es-ES_tradnl"/>
              </w:rPr>
              <w:t>implementación de la resolución 9 (rev. buenos aires 2017) de la cmdt</w:t>
            </w:r>
          </w:p>
        </w:tc>
      </w:tr>
      <w:tr w:rsidR="004B7893" w:rsidRPr="000C32E3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0C32E3" w:rsidRDefault="004B7893" w:rsidP="00770267">
            <w:pPr>
              <w:rPr>
                <w:lang w:val="es-ES_tradnl"/>
              </w:rPr>
            </w:pPr>
          </w:p>
        </w:tc>
      </w:tr>
      <w:tr w:rsidR="004B7893" w:rsidRPr="000C32E3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0C32E3" w:rsidRDefault="004B7893" w:rsidP="00A34A7A">
            <w:pPr>
              <w:spacing w:before="240"/>
              <w:rPr>
                <w:b/>
                <w:bCs/>
                <w:lang w:val="es-ES_tradnl"/>
              </w:rPr>
            </w:pPr>
            <w:r w:rsidRPr="000C32E3">
              <w:rPr>
                <w:b/>
                <w:bCs/>
                <w:lang w:val="es-ES_tradnl"/>
              </w:rPr>
              <w:t>Resumen:</w:t>
            </w:r>
          </w:p>
          <w:p w:rsidR="004B7893" w:rsidRPr="000C32E3" w:rsidRDefault="004B10C1" w:rsidP="00701E89">
            <w:pPr>
              <w:rPr>
                <w:szCs w:val="24"/>
                <w:lang w:val="es-ES_tradnl"/>
              </w:rPr>
            </w:pPr>
            <w:r w:rsidRPr="000C32E3">
              <w:rPr>
                <w:szCs w:val="24"/>
                <w:lang w:val="es-ES_tradnl"/>
              </w:rPr>
              <w:t xml:space="preserve">En este documento se </w:t>
            </w:r>
            <w:r w:rsidR="00701E89" w:rsidRPr="000C32E3">
              <w:rPr>
                <w:szCs w:val="24"/>
                <w:lang w:val="es-ES_tradnl"/>
              </w:rPr>
              <w:t>presenta un resumen de las actividades del UIT-D para la imp</w:t>
            </w:r>
            <w:r w:rsidR="00711CED" w:rsidRPr="000C32E3">
              <w:rPr>
                <w:szCs w:val="24"/>
                <w:lang w:val="es-ES_tradnl"/>
              </w:rPr>
              <w:t>lementación de la Resolución 9.</w:t>
            </w:r>
          </w:p>
          <w:p w:rsidR="004B7893" w:rsidRPr="000C32E3" w:rsidRDefault="004B05C5" w:rsidP="00A34A7A">
            <w:pPr>
              <w:rPr>
                <w:b/>
                <w:bCs/>
                <w:lang w:val="es-ES_tradnl"/>
              </w:rPr>
            </w:pPr>
            <w:r w:rsidRPr="000C32E3">
              <w:rPr>
                <w:b/>
                <w:bCs/>
                <w:lang w:val="es-ES_tradnl"/>
              </w:rPr>
              <w:t>Acción solicitada:</w:t>
            </w:r>
          </w:p>
          <w:p w:rsidR="004B7893" w:rsidRPr="000C32E3" w:rsidRDefault="00864332" w:rsidP="00701E89">
            <w:pPr>
              <w:rPr>
                <w:rFonts w:cstheme="minorHAnsi"/>
                <w:color w:val="000000"/>
                <w:szCs w:val="24"/>
                <w:lang w:val="es-ES_tradnl"/>
              </w:rPr>
            </w:pPr>
            <w:r w:rsidRPr="000C32E3">
              <w:rPr>
                <w:rFonts w:cstheme="minorHAnsi"/>
                <w:color w:val="000000"/>
                <w:szCs w:val="24"/>
                <w:lang w:val="es-ES_tradnl"/>
              </w:rPr>
              <w:t xml:space="preserve">Se invita al GADT a que tome nota del presente </w:t>
            </w:r>
            <w:r w:rsidR="00701E89" w:rsidRPr="000C32E3">
              <w:rPr>
                <w:rFonts w:cstheme="minorHAnsi"/>
                <w:color w:val="000000"/>
                <w:szCs w:val="24"/>
                <w:lang w:val="es-ES_tradnl"/>
              </w:rPr>
              <w:t>documento</w:t>
            </w:r>
            <w:r w:rsidRPr="000C32E3">
              <w:rPr>
                <w:rFonts w:cstheme="minorHAnsi"/>
                <w:color w:val="000000"/>
                <w:szCs w:val="24"/>
                <w:lang w:val="es-ES_tradnl"/>
              </w:rPr>
              <w:t xml:space="preserve"> y </w:t>
            </w:r>
            <w:r w:rsidR="00701E89" w:rsidRPr="000C32E3">
              <w:rPr>
                <w:rFonts w:cstheme="minorHAnsi"/>
                <w:color w:val="000000"/>
                <w:szCs w:val="24"/>
                <w:lang w:val="es-ES_tradnl"/>
              </w:rPr>
              <w:t>facilite las orientaciones que considere oportunas</w:t>
            </w:r>
            <w:r w:rsidRPr="000C32E3">
              <w:rPr>
                <w:rFonts w:cstheme="minorHAnsi"/>
                <w:color w:val="000000"/>
                <w:szCs w:val="24"/>
                <w:lang w:val="es-ES_tradnl"/>
              </w:rPr>
              <w:t>.</w:t>
            </w:r>
          </w:p>
          <w:p w:rsidR="00701E89" w:rsidRPr="000C32E3" w:rsidRDefault="00701E89" w:rsidP="00701E89">
            <w:pPr>
              <w:rPr>
                <w:b/>
                <w:bCs/>
                <w:lang w:val="es-ES_tradnl"/>
              </w:rPr>
            </w:pPr>
            <w:r w:rsidRPr="000C32E3">
              <w:rPr>
                <w:b/>
                <w:bCs/>
                <w:lang w:val="es-ES_tradnl"/>
              </w:rPr>
              <w:t>Referencias:</w:t>
            </w:r>
          </w:p>
          <w:p w:rsidR="00701E89" w:rsidRPr="000C32E3" w:rsidRDefault="00701E89" w:rsidP="00711CED">
            <w:pPr>
              <w:spacing w:after="120"/>
              <w:rPr>
                <w:b/>
                <w:bCs/>
                <w:lang w:val="es-ES_tradnl"/>
              </w:rPr>
            </w:pPr>
            <w:r w:rsidRPr="000C32E3">
              <w:rPr>
                <w:rFonts w:cstheme="minorHAnsi"/>
                <w:color w:val="000000"/>
                <w:szCs w:val="24"/>
                <w:lang w:val="es-ES_tradnl"/>
              </w:rPr>
              <w:t>Resolución 9 (Rev. Buenos Aires, 2017) de la CMDT</w:t>
            </w:r>
          </w:p>
        </w:tc>
      </w:tr>
    </w:tbl>
    <w:p w:rsidR="00296323" w:rsidRPr="000C32E3" w:rsidRDefault="00296323" w:rsidP="007702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lang w:val="es-ES_tradnl"/>
        </w:rPr>
      </w:pPr>
      <w:r w:rsidRPr="000C32E3">
        <w:rPr>
          <w:lang w:val="es-ES_tradnl"/>
        </w:rPr>
        <w:br w:type="page"/>
      </w:r>
    </w:p>
    <w:p w:rsidR="00B33FCC" w:rsidRPr="000C32E3" w:rsidRDefault="00B33FCC" w:rsidP="00447968">
      <w:pPr>
        <w:pStyle w:val="Headingb"/>
        <w:rPr>
          <w:lang w:val="es-ES_tradnl"/>
        </w:rPr>
      </w:pPr>
      <w:bookmarkStart w:id="6" w:name="_Toc500930609"/>
      <w:r w:rsidRPr="000C32E3">
        <w:rPr>
          <w:lang w:val="es-ES_tradnl"/>
        </w:rPr>
        <w:lastRenderedPageBreak/>
        <w:t>Introducción</w:t>
      </w:r>
    </w:p>
    <w:p w:rsidR="00B33FCC" w:rsidRPr="000C32E3" w:rsidRDefault="00B33FCC" w:rsidP="00391F2E">
      <w:pPr>
        <w:keepNext/>
        <w:keepLines/>
        <w:rPr>
          <w:rFonts w:ascii="Calibri" w:hAnsi="Calibri"/>
          <w:bCs/>
          <w:szCs w:val="24"/>
          <w:lang w:val="es-ES_tradnl"/>
        </w:rPr>
      </w:pPr>
      <w:r w:rsidRPr="000C32E3">
        <w:rPr>
          <w:rFonts w:ascii="Calibri" w:hAnsi="Calibri"/>
          <w:bCs/>
          <w:szCs w:val="24"/>
          <w:lang w:val="es-ES_tradnl"/>
        </w:rPr>
        <w:t xml:space="preserve">La CMDT-17 aprobó en Buenos Aires la revisión de la Resolución 9: </w:t>
      </w:r>
      <w:bookmarkEnd w:id="6"/>
      <w:r w:rsidRPr="000C32E3">
        <w:rPr>
          <w:rFonts w:ascii="Calibri" w:hAnsi="Calibri"/>
          <w:bCs/>
          <w:szCs w:val="24"/>
          <w:lang w:val="es-ES_tradnl"/>
        </w:rPr>
        <w:t>Participación de los países, en particular de los países en desarrollo, en la gestión del espectro de frecuencias.</w:t>
      </w:r>
    </w:p>
    <w:p w:rsidR="00B33FCC" w:rsidRPr="000C32E3" w:rsidRDefault="00815B00" w:rsidP="004E142C">
      <w:pPr>
        <w:rPr>
          <w:rFonts w:ascii="Calibri" w:hAnsi="Calibri"/>
          <w:szCs w:val="24"/>
          <w:lang w:val="es-ES_tradnl"/>
        </w:rPr>
      </w:pPr>
      <w:r w:rsidRPr="000C32E3">
        <w:rPr>
          <w:rFonts w:ascii="Calibri" w:hAnsi="Calibri"/>
          <w:szCs w:val="24"/>
          <w:lang w:val="es-ES_tradnl"/>
        </w:rPr>
        <w:t xml:space="preserve">En </w:t>
      </w:r>
      <w:r w:rsidR="002450C5" w:rsidRPr="000C32E3">
        <w:rPr>
          <w:rFonts w:ascii="Calibri" w:hAnsi="Calibri"/>
          <w:szCs w:val="24"/>
          <w:lang w:val="es-ES_tradnl"/>
        </w:rPr>
        <w:t>el</w:t>
      </w:r>
      <w:bookmarkStart w:id="7" w:name="_GoBack"/>
      <w:bookmarkEnd w:id="7"/>
      <w:r w:rsidR="002450C5" w:rsidRPr="000C32E3">
        <w:rPr>
          <w:rFonts w:ascii="Calibri" w:hAnsi="Calibri"/>
          <w:szCs w:val="24"/>
          <w:lang w:val="es-ES_tradnl"/>
        </w:rPr>
        <w:t xml:space="preserve"> </w:t>
      </w:r>
      <w:r w:rsidR="002450C5" w:rsidRPr="000C32E3">
        <w:rPr>
          <w:rFonts w:ascii="Calibri" w:hAnsi="Calibri"/>
          <w:i/>
          <w:iCs/>
          <w:szCs w:val="24"/>
          <w:lang w:val="es-ES_tradnl"/>
        </w:rPr>
        <w:t>encarga al Director de la Oficina de Desarrollo de las Telecomunicaciones</w:t>
      </w:r>
      <w:r w:rsidR="002450C5" w:rsidRPr="000C32E3">
        <w:rPr>
          <w:rFonts w:ascii="Calibri" w:hAnsi="Calibri"/>
          <w:szCs w:val="24"/>
          <w:lang w:val="es-ES_tradnl"/>
        </w:rPr>
        <w:t xml:space="preserve"> 4 de esta </w:t>
      </w:r>
      <w:r w:rsidR="002450C5" w:rsidRPr="000C32E3">
        <w:rPr>
          <w:rFonts w:ascii="Calibri" w:hAnsi="Calibri"/>
          <w:bCs/>
          <w:szCs w:val="24"/>
          <w:lang w:val="es-ES_tradnl"/>
        </w:rPr>
        <w:t>Resolución</w:t>
      </w:r>
      <w:r w:rsidR="002450C5" w:rsidRPr="000C32E3">
        <w:rPr>
          <w:rFonts w:ascii="Calibri" w:hAnsi="Calibri"/>
          <w:szCs w:val="24"/>
          <w:lang w:val="es-ES_tradnl"/>
        </w:rPr>
        <w:t xml:space="preserve">, </w:t>
      </w:r>
      <w:r w:rsidRPr="000C32E3">
        <w:rPr>
          <w:rFonts w:ascii="Calibri" w:hAnsi="Calibri"/>
          <w:szCs w:val="24"/>
          <w:lang w:val="es-ES_tradnl"/>
        </w:rPr>
        <w:t xml:space="preserve">se indica que </w:t>
      </w:r>
      <w:r w:rsidR="002450C5" w:rsidRPr="000C32E3">
        <w:rPr>
          <w:rFonts w:ascii="Calibri" w:hAnsi="Calibri"/>
          <w:szCs w:val="24"/>
          <w:lang w:val="es-ES_tradnl"/>
        </w:rPr>
        <w:t>el Director debe proporcionar informes anuales al GADT sobre la aplicación de la presente Resolución.</w:t>
      </w:r>
    </w:p>
    <w:p w:rsidR="00B33FCC" w:rsidRPr="000C32E3" w:rsidRDefault="00B33FCC" w:rsidP="00890815">
      <w:pPr>
        <w:pStyle w:val="Headingb"/>
        <w:rPr>
          <w:lang w:val="es-ES_tradnl"/>
        </w:rPr>
      </w:pPr>
      <w:r w:rsidRPr="000C32E3">
        <w:rPr>
          <w:lang w:val="es-ES_tradnl"/>
        </w:rPr>
        <w:t>Implementación de la Resolución 9</w:t>
      </w:r>
    </w:p>
    <w:p w:rsidR="00B33FCC" w:rsidRPr="000C32E3" w:rsidRDefault="00B33FCC" w:rsidP="00391F2E">
      <w:pPr>
        <w:rPr>
          <w:rFonts w:ascii="Calibri" w:hAnsi="Calibri"/>
          <w:bCs/>
          <w:szCs w:val="24"/>
          <w:lang w:val="es-ES_tradnl"/>
        </w:rPr>
      </w:pPr>
      <w:r w:rsidRPr="000C32E3">
        <w:rPr>
          <w:rFonts w:ascii="Calibri" w:hAnsi="Calibri"/>
          <w:bCs/>
          <w:szCs w:val="24"/>
          <w:lang w:val="es-ES_tradnl"/>
        </w:rPr>
        <w:t xml:space="preserve">En </w:t>
      </w:r>
      <w:r w:rsidRPr="000C32E3">
        <w:rPr>
          <w:rFonts w:ascii="Calibri" w:hAnsi="Calibri"/>
          <w:szCs w:val="24"/>
          <w:lang w:val="es-ES_tradnl"/>
        </w:rPr>
        <w:t>este</w:t>
      </w:r>
      <w:r w:rsidRPr="000C32E3">
        <w:rPr>
          <w:rFonts w:ascii="Calibri" w:hAnsi="Calibri"/>
          <w:bCs/>
          <w:szCs w:val="24"/>
          <w:lang w:val="es-ES_tradnl"/>
        </w:rPr>
        <w:t xml:space="preserve"> documento se facilita un resumen de las acti</w:t>
      </w:r>
      <w:r w:rsidR="00890815" w:rsidRPr="000C32E3">
        <w:rPr>
          <w:rFonts w:ascii="Calibri" w:hAnsi="Calibri"/>
          <w:bCs/>
          <w:szCs w:val="24"/>
          <w:lang w:val="es-ES_tradnl"/>
        </w:rPr>
        <w:t>vidades de la UIT con miras a l</w:t>
      </w:r>
      <w:r w:rsidRPr="000C32E3">
        <w:rPr>
          <w:rFonts w:ascii="Calibri" w:hAnsi="Calibri"/>
          <w:bCs/>
          <w:szCs w:val="24"/>
          <w:lang w:val="es-ES_tradnl"/>
        </w:rPr>
        <w:t xml:space="preserve">a implementación de la Resolución 9. En el Anexo 1 a la Resolución 9 se presentan ejemplos de necesidades específicas de los países en desarrollo en materia de gestión del </w:t>
      </w:r>
      <w:r w:rsidR="00890815" w:rsidRPr="000C32E3">
        <w:rPr>
          <w:rFonts w:ascii="Calibri" w:hAnsi="Calibri"/>
          <w:bCs/>
          <w:szCs w:val="24"/>
          <w:lang w:val="es-ES_tradnl"/>
        </w:rPr>
        <w:t>espectro.</w:t>
      </w:r>
    </w:p>
    <w:p w:rsidR="00B33FCC" w:rsidRPr="000C32E3" w:rsidRDefault="00B33FCC" w:rsidP="003374CC">
      <w:pPr>
        <w:rPr>
          <w:rFonts w:ascii="Calibri" w:hAnsi="Calibri"/>
          <w:szCs w:val="24"/>
          <w:lang w:val="es-ES_tradnl"/>
        </w:rPr>
      </w:pPr>
      <w:r w:rsidRPr="000C32E3">
        <w:rPr>
          <w:rFonts w:ascii="Calibri" w:hAnsi="Calibri"/>
          <w:szCs w:val="24"/>
          <w:lang w:val="es-ES_tradnl"/>
        </w:rPr>
        <w:t>Los temas principales son los siguientes:</w:t>
      </w:r>
    </w:p>
    <w:p w:rsidR="00B33FCC" w:rsidRPr="000C32E3" w:rsidRDefault="00770091" w:rsidP="00770091">
      <w:pPr>
        <w:pStyle w:val="enumlev1"/>
        <w:rPr>
          <w:lang w:val="es-ES_tradnl"/>
        </w:rPr>
      </w:pPr>
      <w:r w:rsidRPr="000C32E3">
        <w:rPr>
          <w:szCs w:val="24"/>
          <w:lang w:val="es-ES_tradnl"/>
        </w:rPr>
        <w:t>1)</w:t>
      </w:r>
      <w:r w:rsidRPr="000C32E3">
        <w:rPr>
          <w:szCs w:val="24"/>
          <w:lang w:val="es-ES_tradnl"/>
        </w:rPr>
        <w:tab/>
      </w:r>
      <w:r w:rsidR="00B33FCC" w:rsidRPr="000C32E3">
        <w:rPr>
          <w:lang w:val="es-ES_tradnl"/>
        </w:rPr>
        <w:t>Asistencia en la sensibilización de los legisladores nacionales acerca de la importancia de la gestión eficaz del espectro de frecuencias para el desarro</w:t>
      </w:r>
      <w:r w:rsidRPr="000C32E3">
        <w:rPr>
          <w:lang w:val="es-ES_tradnl"/>
        </w:rPr>
        <w:t>llo económico y social del país.</w:t>
      </w:r>
    </w:p>
    <w:p w:rsidR="00B33FCC" w:rsidRPr="000C32E3" w:rsidRDefault="00DA5922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2)</w:t>
      </w:r>
      <w:r w:rsidRPr="000C32E3">
        <w:rPr>
          <w:lang w:val="es-ES_tradnl"/>
        </w:rPr>
        <w:tab/>
      </w:r>
      <w:r w:rsidR="00B33FCC" w:rsidRPr="000C32E3">
        <w:rPr>
          <w:lang w:val="es-ES_tradnl"/>
        </w:rPr>
        <w:t>Capacitación y divulgación de la doc</w:t>
      </w:r>
      <w:r w:rsidRPr="000C32E3">
        <w:rPr>
          <w:lang w:val="es-ES_tradnl"/>
        </w:rPr>
        <w:t>umentación disponible en la UIT.</w:t>
      </w:r>
    </w:p>
    <w:p w:rsidR="00B33FCC" w:rsidRPr="000C32E3" w:rsidRDefault="006B0276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3)</w:t>
      </w:r>
      <w:r w:rsidRPr="000C32E3">
        <w:rPr>
          <w:lang w:val="es-ES_tradnl"/>
        </w:rPr>
        <w:tab/>
      </w:r>
      <w:r w:rsidR="00B33FCC" w:rsidRPr="000C32E3">
        <w:rPr>
          <w:lang w:val="es-ES_tradnl"/>
        </w:rPr>
        <w:t>Ayuda para el establecimiento de metodologías que permitan la elaboración de Cuadros nacionales de atribución de bandas de frecuencias y</w:t>
      </w:r>
      <w:r w:rsidRPr="000C32E3">
        <w:rPr>
          <w:lang w:val="es-ES_tradnl"/>
        </w:rPr>
        <w:t xml:space="preserve"> de redistribución del espectro.</w:t>
      </w:r>
    </w:p>
    <w:p w:rsidR="00B33FCC" w:rsidRPr="000C32E3" w:rsidRDefault="00AE6C0A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4)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Ayuda para la creación de sistemas automatizados de gestión y control de las frecuencias</w:t>
      </w:r>
      <w:r w:rsidRPr="000C32E3">
        <w:rPr>
          <w:lang w:val="es-ES_tradnl"/>
        </w:rPr>
        <w:t>.</w:t>
      </w:r>
    </w:p>
    <w:p w:rsidR="00B33FCC" w:rsidRPr="000C32E3" w:rsidRDefault="00AE6C0A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5)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Aspectos económicos y financieros de la gestión del espectro de frecuencias</w:t>
      </w:r>
      <w:r w:rsidRPr="000C32E3">
        <w:rPr>
          <w:lang w:val="es-ES_tradnl"/>
        </w:rPr>
        <w:t>.</w:t>
      </w:r>
    </w:p>
    <w:p w:rsidR="00B33FCC" w:rsidRPr="000C32E3" w:rsidRDefault="00594B0A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6)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Ayuda para la preparación de las Conferencias Mundiales de Radiocomunicaciones (CMR) y el seguimiento y aplicación de sus decisiones</w:t>
      </w:r>
      <w:r w:rsidRPr="000C32E3">
        <w:rPr>
          <w:lang w:val="es-ES_tradnl"/>
        </w:rPr>
        <w:t>.</w:t>
      </w:r>
    </w:p>
    <w:p w:rsidR="00B33FCC" w:rsidRPr="000C32E3" w:rsidRDefault="002A2E71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7)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Ayuda a la participación en los trabajos de las Comisiones de Estudio pertinentes del UIT-R y de sus Grupos de Trabajo</w:t>
      </w:r>
      <w:r w:rsidRPr="000C32E3">
        <w:rPr>
          <w:lang w:val="es-ES_tradnl"/>
        </w:rPr>
        <w:t>.</w:t>
      </w:r>
    </w:p>
    <w:p w:rsidR="00B33FCC" w:rsidRPr="000C32E3" w:rsidRDefault="00830936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8)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Transición a la radiodifusión digital terrenal de televisión</w:t>
      </w:r>
      <w:r w:rsidRPr="000C32E3">
        <w:rPr>
          <w:lang w:val="es-ES_tradnl"/>
        </w:rPr>
        <w:t>.</w:t>
      </w:r>
    </w:p>
    <w:p w:rsidR="00B33FCC" w:rsidRPr="000C32E3" w:rsidRDefault="009838F6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9)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Asistencia en la determinación de las formas más eficaces de utilizar el dividendo digital</w:t>
      </w:r>
      <w:r w:rsidRPr="000C32E3">
        <w:rPr>
          <w:lang w:val="es-ES_tradnl"/>
        </w:rPr>
        <w:t>.</w:t>
      </w:r>
    </w:p>
    <w:p w:rsidR="00B33FCC" w:rsidRPr="000C32E3" w:rsidRDefault="00D87592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10)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Nuevas tecnologías y modalidades de utilización del espectro</w:t>
      </w:r>
      <w:r w:rsidRPr="000C32E3">
        <w:rPr>
          <w:lang w:val="es-ES_tradnl"/>
        </w:rPr>
        <w:t>.</w:t>
      </w:r>
    </w:p>
    <w:p w:rsidR="00B33FCC" w:rsidRPr="000C32E3" w:rsidRDefault="001F3A79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11)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Métodos innovadores de concesión de licencias del espectro</w:t>
      </w:r>
      <w:r w:rsidRPr="000C32E3">
        <w:rPr>
          <w:lang w:val="es-ES_tradnl"/>
        </w:rPr>
        <w:t>.</w:t>
      </w:r>
    </w:p>
    <w:p w:rsidR="00B33FCC" w:rsidRPr="000C32E3" w:rsidRDefault="00516DD1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12)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Prestación de asistencia en caso de interferencia causada por dispositivos que no funcionan con arreglo a las atribuciones nacionales de espectro</w:t>
      </w:r>
      <w:r w:rsidRPr="000C32E3">
        <w:rPr>
          <w:lang w:val="es-ES_tradnl"/>
        </w:rPr>
        <w:t>.</w:t>
      </w:r>
    </w:p>
    <w:p w:rsidR="00B33FCC" w:rsidRPr="000C32E3" w:rsidRDefault="0063236F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13)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Prestación de asistencia para resolver la interferencia causada por la propagación anómala de las ondas radioeléctricas</w:t>
      </w:r>
      <w:r w:rsidRPr="000C32E3">
        <w:rPr>
          <w:lang w:val="es-ES_tradnl"/>
        </w:rPr>
        <w:t>.</w:t>
      </w:r>
    </w:p>
    <w:p w:rsidR="008564EC" w:rsidRPr="000C32E3" w:rsidRDefault="00913124" w:rsidP="00770091">
      <w:pPr>
        <w:pStyle w:val="enumlev1"/>
        <w:rPr>
          <w:lang w:val="es-ES_tradnl"/>
        </w:rPr>
      </w:pPr>
      <w:r w:rsidRPr="000C32E3">
        <w:rPr>
          <w:lang w:val="es-ES_tradnl"/>
        </w:rPr>
        <w:t>14)</w:t>
      </w:r>
      <w:r w:rsidRPr="000C32E3">
        <w:rPr>
          <w:lang w:val="es-ES_tradnl"/>
        </w:rPr>
        <w:tab/>
      </w:r>
      <w:r w:rsidR="008564EC" w:rsidRPr="000C32E3">
        <w:rPr>
          <w:lang w:val="es-ES_tradnl"/>
        </w:rPr>
        <w:t>Desarrollo y formación de SMS4DC.</w:t>
      </w:r>
    </w:p>
    <w:p w:rsidR="00B33FCC" w:rsidRPr="000C32E3" w:rsidRDefault="008564EC" w:rsidP="00254E67">
      <w:pPr>
        <w:rPr>
          <w:rFonts w:ascii="Calibri" w:hAnsi="Calibri"/>
          <w:szCs w:val="24"/>
          <w:lang w:val="es-ES_tradnl"/>
        </w:rPr>
      </w:pPr>
      <w:r w:rsidRPr="000C32E3">
        <w:rPr>
          <w:rFonts w:ascii="Calibri" w:hAnsi="Calibri"/>
          <w:szCs w:val="24"/>
          <w:lang w:val="es-ES_tradnl"/>
        </w:rPr>
        <w:t xml:space="preserve">En el Cuadro 1 que figura más abajo se ofrece una visión global del número de casos de asistencia prestada, desglosados por tema. </w:t>
      </w:r>
      <w:r w:rsidR="004F644C" w:rsidRPr="000C32E3">
        <w:rPr>
          <w:rFonts w:ascii="Calibri" w:hAnsi="Calibri"/>
          <w:szCs w:val="24"/>
          <w:lang w:val="es-ES_tradnl"/>
        </w:rPr>
        <w:t xml:space="preserve">Para más detalle, consulte el Cuadro del Anexo al presente documento </w:t>
      </w:r>
      <w:r w:rsidR="00B33FCC" w:rsidRPr="000C32E3">
        <w:rPr>
          <w:rFonts w:ascii="Calibri" w:hAnsi="Calibri"/>
          <w:szCs w:val="24"/>
          <w:lang w:val="es-ES_tradnl"/>
        </w:rPr>
        <w:t>(</w:t>
      </w:r>
      <w:r w:rsidR="00436AB9" w:rsidRPr="000C32E3">
        <w:rPr>
          <w:rFonts w:ascii="Calibri" w:hAnsi="Calibri"/>
          <w:szCs w:val="24"/>
          <w:lang w:val="es-ES_tradnl"/>
        </w:rPr>
        <w:t xml:space="preserve">Documento </w:t>
      </w:r>
      <w:r w:rsidR="00B33FCC" w:rsidRPr="000C32E3">
        <w:rPr>
          <w:rFonts w:ascii="Calibri" w:hAnsi="Calibri"/>
          <w:szCs w:val="24"/>
          <w:lang w:val="es-ES_tradnl"/>
        </w:rPr>
        <w:t xml:space="preserve">INF/4), </w:t>
      </w:r>
      <w:r w:rsidR="004F644C" w:rsidRPr="000C32E3">
        <w:rPr>
          <w:rFonts w:ascii="Calibri" w:hAnsi="Calibri"/>
          <w:szCs w:val="24"/>
          <w:lang w:val="es-ES_tradnl"/>
        </w:rPr>
        <w:t>que contiene un resumen de la asistencia prestada a los países en relación con cuestiones de ge</w:t>
      </w:r>
      <w:r w:rsidR="00436AB9" w:rsidRPr="000C32E3">
        <w:rPr>
          <w:rFonts w:ascii="Calibri" w:hAnsi="Calibri"/>
          <w:szCs w:val="24"/>
          <w:lang w:val="es-ES_tradnl"/>
        </w:rPr>
        <w:t>stión del espectro, por región.</w:t>
      </w:r>
    </w:p>
    <w:p w:rsidR="00B33FCC" w:rsidRPr="000C32E3" w:rsidRDefault="004F644C" w:rsidP="00696D60">
      <w:pPr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</w:tabs>
        <w:rPr>
          <w:rFonts w:ascii="Calibri" w:hAnsi="Calibri" w:cs="Calibri"/>
          <w:bCs/>
          <w:iCs/>
          <w:szCs w:val="24"/>
          <w:lang w:val="es-ES_tradnl"/>
        </w:rPr>
      </w:pPr>
      <w:r w:rsidRPr="000C32E3">
        <w:rPr>
          <w:rFonts w:ascii="Calibri" w:hAnsi="Calibri"/>
          <w:bCs/>
          <w:szCs w:val="24"/>
          <w:lang w:val="es-ES_tradnl"/>
        </w:rPr>
        <w:lastRenderedPageBreak/>
        <w:t xml:space="preserve">Este año proseguirá la asistencia directa a los países en el marco de los proyectos coreanos sobre el desarrollo del Sistema de Gestión del Espectro en el plano nacional y las formaciones en materia de gestión del espectro, la transición a la radiodifusión digital (incluida la actualización de la base de datos </w:t>
      </w:r>
      <w:r w:rsidR="00B33FCC" w:rsidRPr="000C32E3">
        <w:rPr>
          <w:rFonts w:ascii="Calibri" w:hAnsi="Calibri" w:cs="Calibri"/>
          <w:bCs/>
          <w:szCs w:val="24"/>
          <w:lang w:val="es-ES_tradnl"/>
        </w:rPr>
        <w:t xml:space="preserve">DSO), </w:t>
      </w:r>
      <w:r w:rsidRPr="000C32E3">
        <w:rPr>
          <w:rFonts w:ascii="Calibri" w:hAnsi="Calibri" w:cs="Calibri"/>
          <w:bCs/>
          <w:szCs w:val="24"/>
          <w:lang w:val="es-ES_tradnl"/>
        </w:rPr>
        <w:t xml:space="preserve">se organizarán un taller temático sobre tecnología 5G para países en desarrollo y sobre infraestructuras y tecnologías híbridas para el acceso asequible a la banda ancha, y seguirá desarrollándose el </w:t>
      </w:r>
      <w:r w:rsidR="00B33FCC" w:rsidRPr="000C32E3">
        <w:rPr>
          <w:rFonts w:ascii="Calibri" w:hAnsi="Calibri" w:cs="Calibri"/>
          <w:bCs/>
          <w:szCs w:val="24"/>
          <w:lang w:val="es-ES_tradnl"/>
        </w:rPr>
        <w:t>SMS4DC (</w:t>
      </w:r>
      <w:r w:rsidRPr="000C32E3">
        <w:rPr>
          <w:rFonts w:ascii="Calibri" w:hAnsi="Calibri" w:cs="Calibri"/>
          <w:bCs/>
          <w:color w:val="000000"/>
          <w:szCs w:val="24"/>
          <w:lang w:val="es-ES_tradnl"/>
        </w:rPr>
        <w:t xml:space="preserve">Sistema de </w:t>
      </w:r>
      <w:r w:rsidR="00AA0187" w:rsidRPr="000C32E3">
        <w:rPr>
          <w:rFonts w:ascii="Calibri" w:hAnsi="Calibri" w:cs="Calibri"/>
          <w:bCs/>
          <w:color w:val="000000"/>
          <w:szCs w:val="24"/>
          <w:lang w:val="es-ES_tradnl"/>
        </w:rPr>
        <w:t xml:space="preserve">gestión </w:t>
      </w:r>
      <w:r w:rsidRPr="000C32E3">
        <w:rPr>
          <w:rFonts w:ascii="Calibri" w:hAnsi="Calibri" w:cs="Calibri"/>
          <w:bCs/>
          <w:color w:val="000000"/>
          <w:szCs w:val="24"/>
          <w:lang w:val="es-ES_tradnl"/>
        </w:rPr>
        <w:t xml:space="preserve">del </w:t>
      </w:r>
      <w:r w:rsidR="00AA0187" w:rsidRPr="000C32E3">
        <w:rPr>
          <w:rFonts w:ascii="Calibri" w:hAnsi="Calibri" w:cs="Calibri"/>
          <w:bCs/>
          <w:color w:val="000000"/>
          <w:szCs w:val="24"/>
          <w:lang w:val="es-ES_tradnl"/>
        </w:rPr>
        <w:t xml:space="preserve">espectro </w:t>
      </w:r>
      <w:r w:rsidRPr="000C32E3">
        <w:rPr>
          <w:rFonts w:ascii="Calibri" w:hAnsi="Calibri" w:cs="Calibri"/>
          <w:bCs/>
          <w:color w:val="000000"/>
          <w:szCs w:val="24"/>
          <w:lang w:val="es-ES_tradnl"/>
        </w:rPr>
        <w:t xml:space="preserve">para </w:t>
      </w:r>
      <w:r w:rsidR="00AA0187" w:rsidRPr="000C32E3">
        <w:rPr>
          <w:rFonts w:ascii="Calibri" w:hAnsi="Calibri" w:cs="Calibri"/>
          <w:bCs/>
          <w:color w:val="000000"/>
          <w:szCs w:val="24"/>
          <w:lang w:val="es-ES_tradnl"/>
        </w:rPr>
        <w:t xml:space="preserve">países </w:t>
      </w:r>
      <w:r w:rsidRPr="000C32E3">
        <w:rPr>
          <w:rFonts w:ascii="Calibri" w:hAnsi="Calibri" w:cs="Calibri"/>
          <w:bCs/>
          <w:color w:val="000000"/>
          <w:szCs w:val="24"/>
          <w:lang w:val="es-ES_tradnl"/>
        </w:rPr>
        <w:t xml:space="preserve">en </w:t>
      </w:r>
      <w:r w:rsidR="00AA0187" w:rsidRPr="000C32E3">
        <w:rPr>
          <w:rFonts w:ascii="Calibri" w:hAnsi="Calibri" w:cs="Calibri"/>
          <w:bCs/>
          <w:color w:val="000000"/>
          <w:szCs w:val="24"/>
          <w:lang w:val="es-ES_tradnl"/>
        </w:rPr>
        <w:t>desarrollo</w:t>
      </w:r>
      <w:r w:rsidR="00B33FCC" w:rsidRPr="000C32E3">
        <w:rPr>
          <w:rFonts w:ascii="Calibri" w:hAnsi="Calibri" w:cs="Calibri"/>
          <w:bCs/>
          <w:color w:val="000000"/>
          <w:szCs w:val="24"/>
          <w:lang w:val="es-ES_tradnl"/>
        </w:rPr>
        <w:t>)</w:t>
      </w:r>
      <w:r w:rsidR="001845A8" w:rsidRPr="000C32E3">
        <w:rPr>
          <w:rFonts w:ascii="Calibri" w:hAnsi="Calibri" w:cs="Calibri"/>
          <w:bCs/>
          <w:szCs w:val="24"/>
          <w:lang w:val="es-ES_tradnl"/>
        </w:rPr>
        <w:t>.</w:t>
      </w:r>
    </w:p>
    <w:p w:rsidR="00B33FCC" w:rsidRPr="000C32E3" w:rsidRDefault="004F644C" w:rsidP="00391F2E">
      <w:pPr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</w:tabs>
        <w:spacing w:after="360"/>
        <w:rPr>
          <w:rFonts w:ascii="Calibri" w:hAnsi="Calibri" w:cs="Calibri"/>
          <w:bCs/>
          <w:iCs/>
          <w:szCs w:val="24"/>
          <w:lang w:val="es-ES_tradnl"/>
        </w:rPr>
      </w:pPr>
      <w:r w:rsidRPr="000C32E3">
        <w:rPr>
          <w:rFonts w:ascii="Calibri" w:hAnsi="Calibri" w:cs="Calibri"/>
          <w:bCs/>
          <w:szCs w:val="24"/>
          <w:lang w:val="es-ES_tradnl"/>
        </w:rPr>
        <w:t xml:space="preserve">Además de lo anterior, trabajaremos en la implementación del proyecto UIT-UE </w:t>
      </w:r>
      <w:r w:rsidR="00AA5101" w:rsidRPr="000C32E3">
        <w:rPr>
          <w:rFonts w:ascii="Calibri" w:hAnsi="Calibri" w:cs="Calibri"/>
          <w:bCs/>
          <w:szCs w:val="24"/>
          <w:lang w:val="es-ES_tradnl"/>
        </w:rPr>
        <w:t>"</w:t>
      </w:r>
      <w:r w:rsidR="00130B6B" w:rsidRPr="000C32E3">
        <w:rPr>
          <w:rFonts w:ascii="Calibri" w:hAnsi="Calibri" w:cs="Calibri"/>
          <w:bCs/>
          <w:szCs w:val="24"/>
          <w:lang w:val="es-ES_tradnl"/>
        </w:rPr>
        <w:t>Incrementar la penetración de la banda ancha inalámbrica a través de una utilización del espectro y una reglamentación mejoradas y armonizadas</w:t>
      </w:r>
      <w:r w:rsidR="00AA5101" w:rsidRPr="000C32E3">
        <w:rPr>
          <w:rFonts w:ascii="Calibri" w:hAnsi="Calibri" w:cs="Calibri"/>
          <w:bCs/>
          <w:szCs w:val="24"/>
          <w:lang w:val="es-ES_tradnl"/>
        </w:rPr>
        <w:t>"</w:t>
      </w:r>
      <w:r w:rsidR="00B33FCC" w:rsidRPr="000C32E3">
        <w:rPr>
          <w:rFonts w:ascii="Calibri" w:hAnsi="Calibri" w:cs="Calibri"/>
          <w:bCs/>
          <w:szCs w:val="24"/>
          <w:lang w:val="es-ES_tradnl"/>
        </w:rPr>
        <w:t xml:space="preserve"> (PRIDA).</w:t>
      </w:r>
    </w:p>
    <w:p w:rsidR="00B33FCC" w:rsidRPr="000C32E3" w:rsidRDefault="00130B6B" w:rsidP="00391F2E">
      <w:pPr>
        <w:pStyle w:val="Tabletitle"/>
        <w:rPr>
          <w:szCs w:val="24"/>
          <w:lang w:val="es-ES_tradnl"/>
        </w:rPr>
      </w:pPr>
      <w:r w:rsidRPr="000C32E3">
        <w:rPr>
          <w:lang w:val="es-ES_tradnl"/>
        </w:rPr>
        <w:t>Cuadro</w:t>
      </w:r>
      <w:r w:rsidR="00B33FCC" w:rsidRPr="000C32E3">
        <w:rPr>
          <w:lang w:val="es-ES_tradnl"/>
        </w:rPr>
        <w:t xml:space="preserve"> 1</w:t>
      </w:r>
      <w:r w:rsidR="00391F2E" w:rsidRPr="000C32E3">
        <w:rPr>
          <w:lang w:val="es-ES_tradnl"/>
        </w:rPr>
        <w:t xml:space="preserve"> – </w:t>
      </w:r>
      <w:r w:rsidRPr="000C32E3">
        <w:rPr>
          <w:lang w:val="es-ES_tradnl"/>
        </w:rPr>
        <w:t>Visión global del número de casos de asistencia por tema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403"/>
      </w:tblGrid>
      <w:tr w:rsidR="00B33FCC" w:rsidRPr="000C32E3" w:rsidTr="003306A0">
        <w:trPr>
          <w:jc w:val="center"/>
        </w:trPr>
        <w:tc>
          <w:tcPr>
            <w:tcW w:w="7225" w:type="dxa"/>
            <w:vAlign w:val="center"/>
          </w:tcPr>
          <w:p w:rsidR="00B33FCC" w:rsidRPr="000C32E3" w:rsidRDefault="00130B6B" w:rsidP="003306A0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Tema</w:t>
            </w:r>
          </w:p>
        </w:tc>
        <w:tc>
          <w:tcPr>
            <w:tcW w:w="2403" w:type="dxa"/>
          </w:tcPr>
          <w:p w:rsidR="00B33FCC" w:rsidRPr="000C32E3" w:rsidRDefault="00130B6B" w:rsidP="003306A0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Número de actividades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3306A0" w:rsidP="00CB13D2">
            <w:pPr>
              <w:pStyle w:val="Tabletext"/>
              <w:tabs>
                <w:tab w:val="clear" w:pos="284"/>
                <w:tab w:val="left" w:pos="454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1)</w:t>
            </w:r>
            <w:r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Asistencia</w:t>
            </w:r>
            <w:r w:rsidR="00B33FCC" w:rsidRPr="000C32E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en la sensibilización de los legisladores nacionales acerca de la importancia de la gestión eficaz del espectro de frecuencias para el desarrollo económico y social del país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40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634F9F" w:rsidP="00CB13D2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2</w:t>
            </w:r>
            <w:r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Capacitación y divulgación de la documentación disponible en la UIT</w:t>
            </w:r>
            <w:r w:rsidR="00CB13D2"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16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CC758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3</w:t>
            </w:r>
            <w:r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Ayuda para el establecimiento de metodologías que permitan la elaboración de Cuadros nacionales de atribución de bandas de frecuencias y de redistribución del espectro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16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CC758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4</w:t>
            </w:r>
            <w:r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Ayuda para la creación de sistemas automatizados de gestión y control de las frecuencias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130B6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"/>
              <w:jc w:val="center"/>
              <w:textAlignment w:val="auto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bCs/>
                <w:sz w:val="22"/>
                <w:szCs w:val="22"/>
                <w:lang w:val="es-ES_tradnl"/>
              </w:rPr>
              <w:t>5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CC758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5</w:t>
            </w:r>
            <w:r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Aspectos</w:t>
            </w:r>
            <w:r w:rsidR="00B33FCC" w:rsidRPr="000C32E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económicos y financieros de la gestión del espectro de frecuencias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130B6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"/>
              <w:jc w:val="center"/>
              <w:textAlignment w:val="auto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bCs/>
                <w:sz w:val="22"/>
                <w:szCs w:val="22"/>
                <w:lang w:val="es-ES_tradnl"/>
              </w:rPr>
              <w:t>17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CC758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6</w:t>
            </w:r>
            <w:r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Ayuda</w:t>
            </w:r>
            <w:r w:rsidR="00B33FCC" w:rsidRPr="000C32E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para la preparación de las Conferencias Mundiales de Radiocomunicaciones (CMR) y el seguimiento y aplicación de sus decisiones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130B6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"/>
              <w:jc w:val="center"/>
              <w:textAlignment w:val="auto"/>
              <w:rPr>
                <w:rFonts w:ascii="Calibri" w:hAnsi="Calibri"/>
                <w:bCs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bCs/>
                <w:sz w:val="22"/>
                <w:szCs w:val="22"/>
                <w:lang w:val="es-ES_tradnl"/>
              </w:rPr>
              <w:t>14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1E775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7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Ayuda</w:t>
            </w:r>
            <w:r w:rsidR="00B33FCC" w:rsidRPr="000C32E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a la participación en los trabajos de las Comisiones de Estudio pertinentes del UIT-R y de sus Grupos de Trabajo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9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1E775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8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Transición</w:t>
            </w:r>
            <w:r w:rsidR="00B33FCC" w:rsidRPr="000C32E3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a la radiodifusión digital terrenal de televisión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13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1E775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9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B33FCC" w:rsidRPr="000C32E3">
              <w:rPr>
                <w:rFonts w:asciiTheme="minorHAnsi" w:hAnsiTheme="minorHAnsi" w:cstheme="minorHAnsi"/>
                <w:lang w:val="es-ES_tradnl"/>
              </w:rPr>
              <w:t>As</w:t>
            </w:r>
            <w:r w:rsidR="00130B6B" w:rsidRPr="000C32E3">
              <w:rPr>
                <w:rFonts w:asciiTheme="minorHAnsi" w:hAnsiTheme="minorHAnsi" w:cstheme="minorHAnsi"/>
                <w:lang w:val="es-ES_tradnl"/>
              </w:rPr>
              <w:t>istencia en la determinación de las formas más eficaces de utilizar el dividendo digital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13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1E775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10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4C46AD" w:rsidRPr="000C32E3">
              <w:rPr>
                <w:rFonts w:asciiTheme="minorHAnsi" w:hAnsiTheme="minorHAnsi" w:cstheme="minorHAnsi"/>
                <w:lang w:val="es-ES_tradnl"/>
              </w:rPr>
              <w:t>Nuevas tecnologías y modalidades de utilización del espectro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12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1E775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11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4C46AD" w:rsidRPr="000C32E3">
              <w:rPr>
                <w:rFonts w:asciiTheme="minorHAnsi" w:hAnsiTheme="minorHAnsi" w:cstheme="minorHAnsi"/>
                <w:lang w:val="es-ES_tradnl"/>
              </w:rPr>
              <w:t>Métodos innovadores de concesión de licencias del espectro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17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1E775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1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>2)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4C46AD" w:rsidRPr="000C32E3">
              <w:rPr>
                <w:rFonts w:asciiTheme="minorHAnsi" w:hAnsiTheme="minorHAnsi" w:cstheme="minorHAnsi"/>
                <w:lang w:val="es-ES_tradnl"/>
              </w:rPr>
              <w:t>Prestación de asistencia en caso de interferencia causada por dispositivos que no funcionan con arreglo a las atribuciones nacionales de espectro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3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1E775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13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4C46AD" w:rsidRPr="000C32E3">
              <w:rPr>
                <w:rFonts w:asciiTheme="minorHAnsi" w:hAnsiTheme="minorHAnsi" w:cstheme="minorHAnsi"/>
                <w:lang w:val="es-ES_tradnl"/>
              </w:rPr>
              <w:t>Prestación de asistencia para resolver la interferencia causada por la propagación anómala de las ondas radioeléctricas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2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1E7751" w:rsidP="00CC7581">
            <w:pPr>
              <w:pStyle w:val="Tabletext"/>
              <w:tabs>
                <w:tab w:val="clear" w:pos="284"/>
                <w:tab w:val="left" w:pos="596"/>
              </w:tabs>
              <w:ind w:left="454" w:hanging="454"/>
              <w:rPr>
                <w:rFonts w:asciiTheme="minorHAnsi" w:hAnsiTheme="minorHAnsi" w:cstheme="minorHAnsi"/>
                <w:lang w:val="es-ES_tradnl"/>
              </w:rPr>
            </w:pPr>
            <w:r w:rsidRPr="000C32E3">
              <w:rPr>
                <w:rFonts w:asciiTheme="minorHAnsi" w:hAnsiTheme="minorHAnsi" w:cstheme="minorHAnsi"/>
                <w:lang w:val="es-ES_tradnl"/>
              </w:rPr>
              <w:t>14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>)</w:t>
            </w:r>
            <w:r w:rsidR="00CC7581" w:rsidRPr="000C32E3">
              <w:rPr>
                <w:rFonts w:asciiTheme="minorHAnsi" w:hAnsiTheme="minorHAnsi" w:cstheme="minorHAnsi"/>
                <w:lang w:val="es-ES_tradnl"/>
              </w:rPr>
              <w:tab/>
            </w:r>
            <w:r w:rsidR="004C46AD" w:rsidRPr="000C32E3">
              <w:rPr>
                <w:rFonts w:asciiTheme="minorHAnsi" w:hAnsiTheme="minorHAnsi" w:cstheme="minorHAnsi"/>
                <w:lang w:val="es-ES_tradnl"/>
              </w:rPr>
              <w:t>Desarrollo y formación de SMS4DC</w:t>
            </w:r>
            <w:r w:rsidRPr="000C32E3">
              <w:rPr>
                <w:rFonts w:asciiTheme="minorHAnsi" w:hAnsiTheme="minorHAnsi" w:cstheme="minorHAnsi"/>
                <w:lang w:val="es-ES_tradnl"/>
              </w:rPr>
              <w:t>.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sz w:val="22"/>
                <w:szCs w:val="22"/>
                <w:lang w:val="es-ES_tradnl"/>
              </w:rPr>
              <w:t>7</w:t>
            </w:r>
          </w:p>
        </w:tc>
      </w:tr>
      <w:tr w:rsidR="00B33FCC" w:rsidRPr="000C32E3" w:rsidTr="003306A0">
        <w:trPr>
          <w:jc w:val="center"/>
        </w:trPr>
        <w:tc>
          <w:tcPr>
            <w:tcW w:w="7225" w:type="dxa"/>
          </w:tcPr>
          <w:p w:rsidR="00B33FCC" w:rsidRPr="000C32E3" w:rsidRDefault="00B33FCC" w:rsidP="00B33FCC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2403" w:type="dxa"/>
          </w:tcPr>
          <w:p w:rsidR="00B33FCC" w:rsidRPr="000C32E3" w:rsidRDefault="00B33FCC" w:rsidP="00B33FCC">
            <w:pPr>
              <w:spacing w:before="60" w:after="6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 w:rsidRPr="000C32E3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184</w:t>
            </w:r>
          </w:p>
        </w:tc>
      </w:tr>
    </w:tbl>
    <w:p w:rsidR="008236EE" w:rsidRPr="000C32E3" w:rsidRDefault="008236EE">
      <w:pPr>
        <w:jc w:val="center"/>
        <w:rPr>
          <w:lang w:val="es-ES_tradnl"/>
        </w:rPr>
      </w:pPr>
      <w:r w:rsidRPr="000C32E3">
        <w:rPr>
          <w:lang w:val="es-ES_tradnl"/>
        </w:rPr>
        <w:t>______________</w:t>
      </w:r>
    </w:p>
    <w:sectPr w:rsidR="008236EE" w:rsidRPr="000C32E3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23" w:rsidRDefault="00296323" w:rsidP="0088106F">
      <w:r>
        <w:separator/>
      </w:r>
    </w:p>
  </w:endnote>
  <w:endnote w:type="continuationSeparator" w:id="0">
    <w:p w:rsidR="00296323" w:rsidRDefault="00296323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86" w:rsidRPr="00864332" w:rsidRDefault="00294086" w:rsidP="00294086">
    <w:pPr>
      <w:pStyle w:val="Footer"/>
      <w:rPr>
        <w:lang w:val="en-US"/>
      </w:rPr>
    </w:pPr>
    <w:r>
      <w:fldChar w:fldCharType="begin"/>
    </w:r>
    <w:r w:rsidRPr="00864332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P:\ESP\ITU-D\CONF-D\TDAG19\000\032S.docx</w:t>
    </w:r>
    <w:r>
      <w:fldChar w:fldCharType="end"/>
    </w:r>
    <w:r>
      <w:rPr>
        <w:lang w:val="en-US"/>
      </w:rPr>
      <w:t xml:space="preserve"> (450328)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F4190F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A4071B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9D1BD4" w:rsidRPr="00A4071B" w:rsidRDefault="009D1BD4" w:rsidP="005F3C6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A4071B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9D1BD4" w:rsidRPr="00A4071B" w:rsidRDefault="009576F6" w:rsidP="00EE455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8" w:name="OrgName"/>
          <w:bookmarkEnd w:id="8"/>
          <w:r w:rsidRPr="00A4071B">
            <w:rPr>
              <w:sz w:val="18"/>
              <w:szCs w:val="18"/>
              <w:lang w:val="es-ES_tradnl"/>
            </w:rPr>
            <w:t>Sr.</w:t>
          </w:r>
          <w:r w:rsidR="00296323" w:rsidRPr="00A4071B">
            <w:rPr>
              <w:sz w:val="18"/>
              <w:szCs w:val="18"/>
              <w:lang w:val="es-ES_tradnl"/>
            </w:rPr>
            <w:t xml:space="preserve"> Kemal Huseinovic, </w:t>
          </w:r>
          <w:r w:rsidRPr="00A4071B">
            <w:rPr>
              <w:sz w:val="18"/>
              <w:szCs w:val="18"/>
              <w:lang w:val="es-ES_tradnl"/>
            </w:rPr>
            <w:t>Jefe, Departamento IEE</w:t>
          </w:r>
          <w:r w:rsidR="00296323" w:rsidRPr="00A4071B">
            <w:rPr>
              <w:sz w:val="18"/>
              <w:szCs w:val="18"/>
              <w:lang w:val="es-ES_tradnl"/>
            </w:rPr>
            <w:t>, BDT</w:t>
          </w:r>
        </w:p>
      </w:tc>
    </w:tr>
    <w:tr w:rsidR="009D1BD4" w:rsidRPr="009576F6" w:rsidTr="004E3CF5">
      <w:tc>
        <w:tcPr>
          <w:tcW w:w="1134" w:type="dxa"/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4071B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9D1BD4" w:rsidRPr="00A4071B" w:rsidRDefault="00296323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9" w:name="PhoneNo"/>
          <w:bookmarkEnd w:id="9"/>
          <w:r w:rsidRPr="00A4071B">
            <w:rPr>
              <w:sz w:val="18"/>
              <w:szCs w:val="18"/>
              <w:lang w:val="es-ES_tradnl"/>
            </w:rPr>
            <w:t>+41 22 730 5421</w:t>
          </w:r>
        </w:p>
      </w:tc>
    </w:tr>
    <w:tr w:rsidR="009D1BD4" w:rsidRPr="009576F6" w:rsidTr="004E3CF5">
      <w:tc>
        <w:tcPr>
          <w:tcW w:w="1134" w:type="dxa"/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9D1BD4" w:rsidRPr="00A4071B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4071B">
            <w:rPr>
              <w:sz w:val="18"/>
              <w:szCs w:val="18"/>
              <w:lang w:val="es-ES_tradnl"/>
            </w:rPr>
            <w:t>Correo-e:</w:t>
          </w:r>
        </w:p>
      </w:tc>
      <w:bookmarkStart w:id="10" w:name="Email"/>
      <w:bookmarkEnd w:id="10"/>
      <w:tc>
        <w:tcPr>
          <w:tcW w:w="6237" w:type="dxa"/>
          <w:shd w:val="clear" w:color="auto" w:fill="auto"/>
        </w:tcPr>
        <w:p w:rsidR="009D1BD4" w:rsidRPr="00A4071B" w:rsidRDefault="00296323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A4071B">
            <w:rPr>
              <w:rStyle w:val="Hyperlink"/>
              <w:sz w:val="18"/>
              <w:szCs w:val="18"/>
              <w:lang w:val="es-ES_tradnl"/>
            </w:rPr>
            <w:fldChar w:fldCharType="begin"/>
          </w:r>
          <w:r w:rsidRPr="00A4071B">
            <w:rPr>
              <w:rStyle w:val="Hyperlink"/>
              <w:sz w:val="18"/>
              <w:szCs w:val="18"/>
              <w:lang w:val="es-ES_tradnl"/>
            </w:rPr>
            <w:instrText xml:space="preserve"> HYPERLINK "mailto:Kemal.huseinovic@itu.int" </w:instrText>
          </w:r>
          <w:r w:rsidRPr="00A4071B">
            <w:rPr>
              <w:rStyle w:val="Hyperlink"/>
              <w:sz w:val="18"/>
              <w:szCs w:val="18"/>
              <w:lang w:val="es-ES_tradnl"/>
            </w:rPr>
            <w:fldChar w:fldCharType="separate"/>
          </w:r>
          <w:r w:rsidRPr="00A4071B">
            <w:rPr>
              <w:rStyle w:val="Hyperlink"/>
              <w:sz w:val="18"/>
              <w:szCs w:val="18"/>
              <w:lang w:val="es-ES_tradnl"/>
            </w:rPr>
            <w:t>Kemal.huseinovic@itu.int</w:t>
          </w:r>
          <w:r w:rsidRPr="00A4071B">
            <w:rPr>
              <w:rStyle w:val="Hyperlink"/>
              <w:sz w:val="18"/>
              <w:szCs w:val="18"/>
              <w:lang w:val="es-ES_tradnl"/>
            </w:rPr>
            <w:fldChar w:fldCharType="end"/>
          </w:r>
        </w:p>
      </w:tc>
    </w:tr>
  </w:tbl>
  <w:p w:rsidR="006E4AB3" w:rsidRPr="00E25C2C" w:rsidRDefault="000C32E3" w:rsidP="00E25C2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225D2E" w:rsidRPr="00EB2675">
        <w:rPr>
          <w:rFonts w:ascii="Calibri" w:hAnsi="Calibri"/>
          <w:color w:val="0000FF"/>
          <w:sz w:val="18"/>
          <w:szCs w:val="18"/>
          <w:u w:val="single"/>
          <w:lang w:val="en-US"/>
        </w:rPr>
        <w:t>GADT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23" w:rsidRDefault="00296323" w:rsidP="0088106F">
      <w:r>
        <w:separator/>
      </w:r>
    </w:p>
  </w:footnote>
  <w:footnote w:type="continuationSeparator" w:id="0">
    <w:p w:rsidR="00296323" w:rsidRDefault="00296323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57055B" w:rsidRDefault="009A6FC4" w:rsidP="00701E8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</w:t>
    </w:r>
    <w:r w:rsidR="00602B27">
      <w:rPr>
        <w:sz w:val="22"/>
        <w:szCs w:val="22"/>
        <w:lang w:val="en-US"/>
      </w:rPr>
      <w:t>-</w:t>
    </w:r>
    <w:r w:rsidRPr="003D4CFB">
      <w:rPr>
        <w:sz w:val="22"/>
        <w:szCs w:val="22"/>
        <w:lang w:val="en-US"/>
      </w:rPr>
      <w:t>1</w:t>
    </w:r>
    <w:r w:rsidR="004E7861">
      <w:rPr>
        <w:sz w:val="22"/>
        <w:szCs w:val="22"/>
        <w:lang w:val="en-US"/>
      </w:rPr>
      <w:t>9</w:t>
    </w:r>
    <w:r w:rsidR="00296323">
      <w:rPr>
        <w:sz w:val="22"/>
        <w:szCs w:val="22"/>
        <w:lang w:val="en-US"/>
      </w:rPr>
      <w:t>/</w:t>
    </w:r>
    <w:r w:rsidR="00701E89">
      <w:rPr>
        <w:sz w:val="22"/>
        <w:szCs w:val="22"/>
        <w:lang w:val="en-US"/>
      </w:rPr>
      <w:t>32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C32E3">
      <w:rPr>
        <w:noProof/>
        <w:sz w:val="22"/>
        <w:szCs w:val="22"/>
        <w:lang w:val="en-US"/>
      </w:rPr>
      <w:t>3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8EB"/>
    <w:multiLevelType w:val="hybridMultilevel"/>
    <w:tmpl w:val="835CE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7516E"/>
    <w:multiLevelType w:val="hybridMultilevel"/>
    <w:tmpl w:val="5A56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363C0C"/>
    <w:multiLevelType w:val="hybridMultilevel"/>
    <w:tmpl w:val="9D0C6E30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23"/>
    <w:rsid w:val="000044E0"/>
    <w:rsid w:val="000135AE"/>
    <w:rsid w:val="00021EF9"/>
    <w:rsid w:val="0002200A"/>
    <w:rsid w:val="00024E28"/>
    <w:rsid w:val="00033D49"/>
    <w:rsid w:val="000725A1"/>
    <w:rsid w:val="0007548E"/>
    <w:rsid w:val="00082135"/>
    <w:rsid w:val="00094F1B"/>
    <w:rsid w:val="000A166A"/>
    <w:rsid w:val="000C0AA7"/>
    <w:rsid w:val="000C32E3"/>
    <w:rsid w:val="000C3C90"/>
    <w:rsid w:val="000E7A0A"/>
    <w:rsid w:val="00112142"/>
    <w:rsid w:val="00130B6B"/>
    <w:rsid w:val="00132042"/>
    <w:rsid w:val="001447AA"/>
    <w:rsid w:val="00146EE4"/>
    <w:rsid w:val="00180435"/>
    <w:rsid w:val="00180785"/>
    <w:rsid w:val="001845A8"/>
    <w:rsid w:val="00194CB2"/>
    <w:rsid w:val="001C608A"/>
    <w:rsid w:val="001E1CD4"/>
    <w:rsid w:val="001E7751"/>
    <w:rsid w:val="001F3A79"/>
    <w:rsid w:val="002055C8"/>
    <w:rsid w:val="00213302"/>
    <w:rsid w:val="00221C14"/>
    <w:rsid w:val="002254FB"/>
    <w:rsid w:val="00225D2E"/>
    <w:rsid w:val="00241CB9"/>
    <w:rsid w:val="002450C5"/>
    <w:rsid w:val="00254E67"/>
    <w:rsid w:val="00293D04"/>
    <w:rsid w:val="00294086"/>
    <w:rsid w:val="00296323"/>
    <w:rsid w:val="002A2E71"/>
    <w:rsid w:val="002A7FAB"/>
    <w:rsid w:val="002C0D10"/>
    <w:rsid w:val="002D2D11"/>
    <w:rsid w:val="002D4BE6"/>
    <w:rsid w:val="002D6772"/>
    <w:rsid w:val="00301983"/>
    <w:rsid w:val="00302736"/>
    <w:rsid w:val="003306A0"/>
    <w:rsid w:val="0033649F"/>
    <w:rsid w:val="003374CC"/>
    <w:rsid w:val="00360762"/>
    <w:rsid w:val="00360DC3"/>
    <w:rsid w:val="00364FFA"/>
    <w:rsid w:val="003778A5"/>
    <w:rsid w:val="00390391"/>
    <w:rsid w:val="00391F2E"/>
    <w:rsid w:val="003C7ED8"/>
    <w:rsid w:val="003D4CFB"/>
    <w:rsid w:val="003D54E9"/>
    <w:rsid w:val="003E683C"/>
    <w:rsid w:val="00436AB9"/>
    <w:rsid w:val="00447968"/>
    <w:rsid w:val="0045103B"/>
    <w:rsid w:val="00465F0A"/>
    <w:rsid w:val="00470A67"/>
    <w:rsid w:val="0047451F"/>
    <w:rsid w:val="00482632"/>
    <w:rsid w:val="00484E8C"/>
    <w:rsid w:val="00490B9D"/>
    <w:rsid w:val="004928CA"/>
    <w:rsid w:val="004A45F1"/>
    <w:rsid w:val="004B05C5"/>
    <w:rsid w:val="004B10C1"/>
    <w:rsid w:val="004B1413"/>
    <w:rsid w:val="004B7893"/>
    <w:rsid w:val="004B7E17"/>
    <w:rsid w:val="004C46AD"/>
    <w:rsid w:val="004E142C"/>
    <w:rsid w:val="004E44CD"/>
    <w:rsid w:val="004E7861"/>
    <w:rsid w:val="004F644C"/>
    <w:rsid w:val="00516DD1"/>
    <w:rsid w:val="00522A99"/>
    <w:rsid w:val="005237C5"/>
    <w:rsid w:val="00535C50"/>
    <w:rsid w:val="005557A3"/>
    <w:rsid w:val="005637B9"/>
    <w:rsid w:val="005643DC"/>
    <w:rsid w:val="0057055B"/>
    <w:rsid w:val="00572E02"/>
    <w:rsid w:val="00594B0A"/>
    <w:rsid w:val="005D4896"/>
    <w:rsid w:val="005F3C61"/>
    <w:rsid w:val="005F6FC4"/>
    <w:rsid w:val="00602B27"/>
    <w:rsid w:val="00627468"/>
    <w:rsid w:val="0063236F"/>
    <w:rsid w:val="006339E7"/>
    <w:rsid w:val="00634F9F"/>
    <w:rsid w:val="00635A62"/>
    <w:rsid w:val="00696D60"/>
    <w:rsid w:val="006A4CE8"/>
    <w:rsid w:val="006B0276"/>
    <w:rsid w:val="006C13BA"/>
    <w:rsid w:val="006C7C79"/>
    <w:rsid w:val="006D25D5"/>
    <w:rsid w:val="006E4AB3"/>
    <w:rsid w:val="006E6C9F"/>
    <w:rsid w:val="006F39EB"/>
    <w:rsid w:val="00701E89"/>
    <w:rsid w:val="00711CED"/>
    <w:rsid w:val="00723B10"/>
    <w:rsid w:val="007552BB"/>
    <w:rsid w:val="0076738F"/>
    <w:rsid w:val="00770091"/>
    <w:rsid w:val="00770267"/>
    <w:rsid w:val="007B7605"/>
    <w:rsid w:val="007C3061"/>
    <w:rsid w:val="007E2E35"/>
    <w:rsid w:val="007E471D"/>
    <w:rsid w:val="007E47B2"/>
    <w:rsid w:val="00815B00"/>
    <w:rsid w:val="008236EE"/>
    <w:rsid w:val="00826D4F"/>
    <w:rsid w:val="00830936"/>
    <w:rsid w:val="008348F8"/>
    <w:rsid w:val="00835A77"/>
    <w:rsid w:val="008564EC"/>
    <w:rsid w:val="0086253D"/>
    <w:rsid w:val="008638A7"/>
    <w:rsid w:val="00864332"/>
    <w:rsid w:val="00870CB3"/>
    <w:rsid w:val="008736A2"/>
    <w:rsid w:val="0088106F"/>
    <w:rsid w:val="00890815"/>
    <w:rsid w:val="008C1852"/>
    <w:rsid w:val="008D11B4"/>
    <w:rsid w:val="008D789A"/>
    <w:rsid w:val="008F77DC"/>
    <w:rsid w:val="00904021"/>
    <w:rsid w:val="00913124"/>
    <w:rsid w:val="00917B12"/>
    <w:rsid w:val="009365A6"/>
    <w:rsid w:val="009528D7"/>
    <w:rsid w:val="009576F6"/>
    <w:rsid w:val="0097503E"/>
    <w:rsid w:val="009752D2"/>
    <w:rsid w:val="0097675D"/>
    <w:rsid w:val="009817B8"/>
    <w:rsid w:val="009838F6"/>
    <w:rsid w:val="00991B13"/>
    <w:rsid w:val="009952F6"/>
    <w:rsid w:val="009A6FC4"/>
    <w:rsid w:val="009D1BD4"/>
    <w:rsid w:val="009D4612"/>
    <w:rsid w:val="009E784F"/>
    <w:rsid w:val="009F6E14"/>
    <w:rsid w:val="00A33516"/>
    <w:rsid w:val="00A34A7A"/>
    <w:rsid w:val="00A4071B"/>
    <w:rsid w:val="00A440C3"/>
    <w:rsid w:val="00A45949"/>
    <w:rsid w:val="00A473C2"/>
    <w:rsid w:val="00A66C37"/>
    <w:rsid w:val="00A87DD9"/>
    <w:rsid w:val="00A96CA3"/>
    <w:rsid w:val="00AA0187"/>
    <w:rsid w:val="00AA5101"/>
    <w:rsid w:val="00AB7093"/>
    <w:rsid w:val="00AE1BA7"/>
    <w:rsid w:val="00AE6C0A"/>
    <w:rsid w:val="00AF563E"/>
    <w:rsid w:val="00B14C50"/>
    <w:rsid w:val="00B33FCC"/>
    <w:rsid w:val="00B70837"/>
    <w:rsid w:val="00B806BA"/>
    <w:rsid w:val="00B81CB7"/>
    <w:rsid w:val="00B85FA1"/>
    <w:rsid w:val="00B86030"/>
    <w:rsid w:val="00B92131"/>
    <w:rsid w:val="00BC7208"/>
    <w:rsid w:val="00BD6A05"/>
    <w:rsid w:val="00BF04C0"/>
    <w:rsid w:val="00BF4856"/>
    <w:rsid w:val="00C00523"/>
    <w:rsid w:val="00C10891"/>
    <w:rsid w:val="00C20962"/>
    <w:rsid w:val="00C56E0E"/>
    <w:rsid w:val="00C745D0"/>
    <w:rsid w:val="00C96F94"/>
    <w:rsid w:val="00CA200C"/>
    <w:rsid w:val="00CB13D2"/>
    <w:rsid w:val="00CC7581"/>
    <w:rsid w:val="00CF0E71"/>
    <w:rsid w:val="00CF3927"/>
    <w:rsid w:val="00D02C81"/>
    <w:rsid w:val="00D05452"/>
    <w:rsid w:val="00D127DE"/>
    <w:rsid w:val="00D16175"/>
    <w:rsid w:val="00D21318"/>
    <w:rsid w:val="00D372A5"/>
    <w:rsid w:val="00D4601C"/>
    <w:rsid w:val="00D5168D"/>
    <w:rsid w:val="00D629A4"/>
    <w:rsid w:val="00D711CE"/>
    <w:rsid w:val="00D87592"/>
    <w:rsid w:val="00DA5922"/>
    <w:rsid w:val="00DA6479"/>
    <w:rsid w:val="00DB5ED7"/>
    <w:rsid w:val="00DE3FDF"/>
    <w:rsid w:val="00DE53AE"/>
    <w:rsid w:val="00E17138"/>
    <w:rsid w:val="00E204A0"/>
    <w:rsid w:val="00E213B8"/>
    <w:rsid w:val="00E25C2C"/>
    <w:rsid w:val="00E3302D"/>
    <w:rsid w:val="00E3519F"/>
    <w:rsid w:val="00E50DF5"/>
    <w:rsid w:val="00E51C72"/>
    <w:rsid w:val="00E527CD"/>
    <w:rsid w:val="00E827C2"/>
    <w:rsid w:val="00E968DF"/>
    <w:rsid w:val="00EB2675"/>
    <w:rsid w:val="00EB6D19"/>
    <w:rsid w:val="00EC053D"/>
    <w:rsid w:val="00ED2681"/>
    <w:rsid w:val="00EE4554"/>
    <w:rsid w:val="00EE4EF3"/>
    <w:rsid w:val="00EF7449"/>
    <w:rsid w:val="00F00179"/>
    <w:rsid w:val="00F01E28"/>
    <w:rsid w:val="00F12690"/>
    <w:rsid w:val="00F176E2"/>
    <w:rsid w:val="00F21A50"/>
    <w:rsid w:val="00F4190F"/>
    <w:rsid w:val="00F42BBC"/>
    <w:rsid w:val="00F56242"/>
    <w:rsid w:val="00F56EB7"/>
    <w:rsid w:val="00F7684F"/>
    <w:rsid w:val="00F97C3D"/>
    <w:rsid w:val="00FA67A2"/>
    <w:rsid w:val="00FC098A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3FE2AD0-14ED-4C48-BEE9-5847A6BF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86433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864332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86433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0CB3"/>
    <w:rPr>
      <w:color w:val="800080" w:themeColor="followedHyperlink"/>
      <w:u w:val="single"/>
    </w:rPr>
  </w:style>
  <w:style w:type="character" w:customStyle="1" w:styleId="preferred">
    <w:name w:val="preferred"/>
    <w:basedOn w:val="DefaultParagraphFont"/>
    <w:rsid w:val="00F7684F"/>
  </w:style>
  <w:style w:type="paragraph" w:customStyle="1" w:styleId="Default">
    <w:name w:val="Default"/>
    <w:rsid w:val="003778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33FCC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1496-1392-4920-9C82-E58E965A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PS_TDAG19.dotx</Template>
  <TotalTime>16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</dc:creator>
  <cp:keywords/>
  <dc:description/>
  <cp:lastModifiedBy>Spanish</cp:lastModifiedBy>
  <cp:revision>49</cp:revision>
  <cp:lastPrinted>2019-01-29T08:11:00Z</cp:lastPrinted>
  <dcterms:created xsi:type="dcterms:W3CDTF">2019-02-20T17:16:00Z</dcterms:created>
  <dcterms:modified xsi:type="dcterms:W3CDTF">2019-02-20T17:33:00Z</dcterms:modified>
</cp:coreProperties>
</file>