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rsidTr="004C0AA5">
        <w:trPr>
          <w:cantSplit/>
          <w:trHeight w:val="1134"/>
        </w:trPr>
        <w:tc>
          <w:tcPr>
            <w:tcW w:w="6663" w:type="dxa"/>
          </w:tcPr>
          <w:p w:rsidR="00CE6A95" w:rsidRDefault="00CE6A95" w:rsidP="004C0AA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CE6A95" w:rsidRPr="00844A56" w:rsidRDefault="00CE6A95" w:rsidP="004C0AA5">
            <w:pPr>
              <w:spacing w:before="100" w:after="120"/>
              <w:ind w:left="34"/>
              <w:rPr>
                <w:rFonts w:ascii="Verdana" w:hAnsi="Verdana"/>
                <w:sz w:val="28"/>
                <w:szCs w:val="28"/>
              </w:rPr>
            </w:pPr>
            <w:r>
              <w:rPr>
                <w:b/>
                <w:bCs/>
                <w:sz w:val="26"/>
                <w:szCs w:val="26"/>
              </w:rPr>
              <w:t>24th Meeting, Geneva, 3-5 April 2019</w:t>
            </w:r>
          </w:p>
        </w:tc>
        <w:tc>
          <w:tcPr>
            <w:tcW w:w="3225" w:type="dxa"/>
          </w:tcPr>
          <w:p w:rsidR="00CE6A95" w:rsidRPr="00683C32" w:rsidRDefault="00CE6A95" w:rsidP="004C0AA5">
            <w:pPr>
              <w:spacing w:before="0"/>
              <w:ind w:right="142"/>
              <w:jc w:val="right"/>
            </w:pPr>
            <w:r w:rsidRPr="008E52B1">
              <w:rPr>
                <w:noProof/>
                <w:color w:val="3399FF"/>
                <w:lang w:eastAsia="zh-CN"/>
              </w:rPr>
              <w:drawing>
                <wp:inline distT="0" distB="0" distL="0" distR="0" wp14:anchorId="08803F3A" wp14:editId="3B06478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rsidTr="004C0AA5">
        <w:trPr>
          <w:cantSplit/>
        </w:trPr>
        <w:tc>
          <w:tcPr>
            <w:tcW w:w="6663" w:type="dxa"/>
            <w:tcBorders>
              <w:top w:val="single" w:sz="12" w:space="0" w:color="auto"/>
            </w:tcBorders>
          </w:tcPr>
          <w:p w:rsidR="00CE6A95" w:rsidRPr="00997358" w:rsidRDefault="00CE6A95" w:rsidP="004C0AA5">
            <w:pPr>
              <w:spacing w:before="0"/>
              <w:rPr>
                <w:rFonts w:cs="Arial"/>
                <w:b/>
                <w:bCs/>
                <w:sz w:val="20"/>
              </w:rPr>
            </w:pPr>
          </w:p>
        </w:tc>
        <w:tc>
          <w:tcPr>
            <w:tcW w:w="3225" w:type="dxa"/>
            <w:tcBorders>
              <w:top w:val="single" w:sz="12" w:space="0" w:color="auto"/>
            </w:tcBorders>
          </w:tcPr>
          <w:p w:rsidR="00CE6A95" w:rsidRPr="00997358" w:rsidRDefault="00CE6A95" w:rsidP="004C0AA5">
            <w:pPr>
              <w:spacing w:before="0"/>
              <w:rPr>
                <w:b/>
                <w:bCs/>
                <w:sz w:val="20"/>
              </w:rPr>
            </w:pPr>
          </w:p>
        </w:tc>
      </w:tr>
      <w:tr w:rsidR="00CE6A95" w:rsidRPr="00002716" w:rsidTr="004C0AA5">
        <w:trPr>
          <w:cantSplit/>
        </w:trPr>
        <w:tc>
          <w:tcPr>
            <w:tcW w:w="6663" w:type="dxa"/>
          </w:tcPr>
          <w:p w:rsidR="00CE6A95" w:rsidRPr="007F1CC7" w:rsidRDefault="00CE6A95" w:rsidP="004C0AA5">
            <w:pPr>
              <w:pStyle w:val="Committee"/>
              <w:framePr w:hSpace="0" w:wrap="auto" w:hAnchor="text" w:yAlign="inline"/>
              <w:rPr>
                <w:b w:val="0"/>
              </w:rPr>
            </w:pPr>
          </w:p>
        </w:tc>
        <w:tc>
          <w:tcPr>
            <w:tcW w:w="3225" w:type="dxa"/>
          </w:tcPr>
          <w:p w:rsidR="00CE6A95" w:rsidRPr="007F1CC7" w:rsidRDefault="00CE6A95" w:rsidP="00747314">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747314">
              <w:rPr>
                <w:b/>
                <w:bCs/>
                <w:lang w:val="en-US"/>
              </w:rPr>
              <w:t>27</w:t>
            </w:r>
            <w:r>
              <w:rPr>
                <w:b/>
                <w:bCs/>
                <w:lang w:val="en-US"/>
              </w:rPr>
              <w:t>-E</w:t>
            </w:r>
          </w:p>
        </w:tc>
      </w:tr>
      <w:tr w:rsidR="00CE6A95" w:rsidTr="004C0AA5">
        <w:trPr>
          <w:cantSplit/>
        </w:trPr>
        <w:tc>
          <w:tcPr>
            <w:tcW w:w="6663" w:type="dxa"/>
          </w:tcPr>
          <w:p w:rsidR="00CE6A95" w:rsidRPr="007F1CC7" w:rsidRDefault="00CE6A95" w:rsidP="004C0AA5">
            <w:pPr>
              <w:spacing w:before="0"/>
              <w:rPr>
                <w:b/>
                <w:bCs/>
                <w:smallCaps/>
                <w:szCs w:val="24"/>
                <w:lang w:val="en-US"/>
              </w:rPr>
            </w:pPr>
          </w:p>
        </w:tc>
        <w:tc>
          <w:tcPr>
            <w:tcW w:w="3225" w:type="dxa"/>
          </w:tcPr>
          <w:p w:rsidR="00CE6A95" w:rsidRPr="007F1CC7" w:rsidRDefault="003D636F" w:rsidP="003B307E">
            <w:pPr>
              <w:spacing w:before="0"/>
              <w:rPr>
                <w:b/>
                <w:szCs w:val="24"/>
              </w:rPr>
            </w:pPr>
            <w:bookmarkStart w:id="2" w:name="CreationDate"/>
            <w:bookmarkEnd w:id="2"/>
            <w:r>
              <w:rPr>
                <w:b/>
                <w:bCs/>
                <w:szCs w:val="28"/>
              </w:rPr>
              <w:t xml:space="preserve">25 </w:t>
            </w:r>
            <w:r w:rsidR="00CE6A95">
              <w:rPr>
                <w:b/>
                <w:bCs/>
                <w:szCs w:val="28"/>
              </w:rPr>
              <w:t xml:space="preserve">January </w:t>
            </w:r>
            <w:r w:rsidR="00CE6A95" w:rsidRPr="008F5D48">
              <w:rPr>
                <w:b/>
                <w:bCs/>
                <w:szCs w:val="28"/>
              </w:rPr>
              <w:t>201</w:t>
            </w:r>
            <w:r w:rsidR="00CE6A95">
              <w:rPr>
                <w:b/>
                <w:bCs/>
                <w:szCs w:val="28"/>
              </w:rPr>
              <w:t>9</w:t>
            </w:r>
          </w:p>
        </w:tc>
      </w:tr>
      <w:tr w:rsidR="00CE6A95" w:rsidTr="004C0AA5">
        <w:trPr>
          <w:cantSplit/>
        </w:trPr>
        <w:tc>
          <w:tcPr>
            <w:tcW w:w="6663" w:type="dxa"/>
          </w:tcPr>
          <w:p w:rsidR="00CE6A95" w:rsidRPr="007F1CC7" w:rsidRDefault="00CE6A95" w:rsidP="004C0AA5">
            <w:pPr>
              <w:spacing w:before="0"/>
              <w:rPr>
                <w:b/>
                <w:bCs/>
                <w:smallCaps/>
                <w:szCs w:val="24"/>
              </w:rPr>
            </w:pPr>
          </w:p>
        </w:tc>
        <w:tc>
          <w:tcPr>
            <w:tcW w:w="3225" w:type="dxa"/>
          </w:tcPr>
          <w:p w:rsidR="00CE6A95" w:rsidRPr="007F1CC7" w:rsidRDefault="00D60983" w:rsidP="00D60983">
            <w:pPr>
              <w:spacing w:before="0"/>
              <w:rPr>
                <w:szCs w:val="24"/>
              </w:rPr>
            </w:pPr>
            <w:r>
              <w:rPr>
                <w:b/>
                <w:bCs/>
                <w:szCs w:val="24"/>
                <w:lang w:val="fr-FR"/>
              </w:rPr>
              <w:t xml:space="preserve">Original: </w:t>
            </w:r>
            <w:r w:rsidR="00CE6A95" w:rsidRPr="00B62876">
              <w:rPr>
                <w:b/>
                <w:bCs/>
                <w:szCs w:val="24"/>
                <w:lang w:val="fr-FR"/>
              </w:rPr>
              <w:t>English</w:t>
            </w:r>
          </w:p>
        </w:tc>
      </w:tr>
      <w:tr w:rsidR="00CE6A95" w:rsidTr="004C0AA5">
        <w:trPr>
          <w:cantSplit/>
          <w:trHeight w:val="852"/>
        </w:trPr>
        <w:tc>
          <w:tcPr>
            <w:tcW w:w="9888" w:type="dxa"/>
            <w:gridSpan w:val="2"/>
          </w:tcPr>
          <w:p w:rsidR="00CE6A95" w:rsidRPr="00B62876" w:rsidRDefault="003B307E" w:rsidP="00CE6A95">
            <w:pPr>
              <w:pStyle w:val="Source"/>
              <w:spacing w:before="240" w:after="240"/>
            </w:pPr>
            <w:bookmarkStart w:id="3" w:name="Source"/>
            <w:bookmarkEnd w:id="3"/>
            <w:r w:rsidRPr="003B307E">
              <w:t>Director, Telecommunication Development Bureau</w:t>
            </w:r>
          </w:p>
        </w:tc>
      </w:tr>
      <w:tr w:rsidR="00CE6A95" w:rsidRPr="002E6963" w:rsidTr="0016673F">
        <w:trPr>
          <w:cantSplit/>
        </w:trPr>
        <w:tc>
          <w:tcPr>
            <w:tcW w:w="9888" w:type="dxa"/>
            <w:gridSpan w:val="2"/>
            <w:vAlign w:val="center"/>
          </w:tcPr>
          <w:p w:rsidR="00CE6A95" w:rsidRPr="00B62876" w:rsidRDefault="00747314" w:rsidP="00645019">
            <w:pPr>
              <w:pStyle w:val="Title1"/>
              <w:spacing w:after="120"/>
            </w:pPr>
            <w:bookmarkStart w:id="4" w:name="Title"/>
            <w:bookmarkEnd w:id="4"/>
            <w:r w:rsidRPr="00747314">
              <w:rPr>
                <w:szCs w:val="28"/>
              </w:rPr>
              <w:t>ITU-D PROJECTS</w:t>
            </w:r>
          </w:p>
        </w:tc>
      </w:tr>
      <w:tr w:rsidR="00CE6A95" w:rsidRPr="002E6963" w:rsidTr="004C0AA5">
        <w:trPr>
          <w:cantSplit/>
        </w:trPr>
        <w:tc>
          <w:tcPr>
            <w:tcW w:w="9888" w:type="dxa"/>
            <w:gridSpan w:val="2"/>
            <w:tcBorders>
              <w:bottom w:val="single" w:sz="4" w:space="0" w:color="auto"/>
            </w:tcBorders>
          </w:tcPr>
          <w:p w:rsidR="00CE6A95" w:rsidRPr="00A721F4" w:rsidRDefault="00CE6A95" w:rsidP="004C0AA5"/>
        </w:tc>
      </w:tr>
      <w:tr w:rsidR="00CE6A95" w:rsidRPr="002E6963"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rsidR="00CE6A95" w:rsidRPr="00D9621A" w:rsidRDefault="00CE6A95" w:rsidP="004C0AA5">
            <w:pPr>
              <w:spacing w:before="240"/>
              <w:rPr>
                <w:b/>
                <w:bCs/>
                <w:szCs w:val="24"/>
              </w:rPr>
            </w:pPr>
            <w:r w:rsidRPr="00D9621A">
              <w:rPr>
                <w:b/>
                <w:bCs/>
                <w:szCs w:val="24"/>
              </w:rPr>
              <w:t>Summary:</w:t>
            </w:r>
          </w:p>
          <w:p w:rsidR="00747314" w:rsidRPr="00811389" w:rsidRDefault="00747314" w:rsidP="00747314">
            <w:r w:rsidRPr="00811389">
              <w:t>As stipulated by the ITU Constitution, a key function of the ITU Telecommunication Development Sector is to fulfil the purposes of the Union's dual responsibility, as a United Nations specialized agency and as an executing agency, by</w:t>
            </w:r>
            <w:r>
              <w:t xml:space="preserve"> developing and </w:t>
            </w:r>
            <w:r w:rsidRPr="00811389">
              <w:t>implementing projects to facilitate and enhance telecommunications development technology by offering, organizing and coordinating technic</w:t>
            </w:r>
            <w:bookmarkStart w:id="5" w:name="_GoBack"/>
            <w:bookmarkEnd w:id="5"/>
            <w:r w:rsidRPr="00811389">
              <w:t>al cooperation and assistance activities.</w:t>
            </w:r>
          </w:p>
          <w:p w:rsidR="00747314" w:rsidRPr="00811389" w:rsidRDefault="00747314" w:rsidP="00747314">
            <w:r w:rsidRPr="00811389">
              <w:t>This document presents an overview of the outcomes related to ITU project</w:t>
            </w:r>
            <w:r>
              <w:t xml:space="preserve"> implementation in</w:t>
            </w:r>
            <w:r w:rsidRPr="00811389">
              <w:t xml:space="preserve"> six regions of ITU’s Telecommunication Development Sector, namely Africa, Americas, Arab States, Asia-Pacific, Commonwealth of Independent States (CIS) and Europe</w:t>
            </w:r>
            <w:r>
              <w:t>, as well as global</w:t>
            </w:r>
            <w:r w:rsidRPr="00811389">
              <w:t>.</w:t>
            </w:r>
          </w:p>
          <w:p w:rsidR="00747314" w:rsidRPr="00811389" w:rsidRDefault="00747314" w:rsidP="00747314">
            <w:pPr>
              <w:rPr>
                <w:b/>
                <w:bCs/>
              </w:rPr>
            </w:pPr>
            <w:r w:rsidRPr="00811389">
              <w:rPr>
                <w:b/>
                <w:bCs/>
              </w:rPr>
              <w:t>Action required:</w:t>
            </w:r>
          </w:p>
          <w:p w:rsidR="00747314" w:rsidRPr="00811389" w:rsidRDefault="00747314" w:rsidP="000A733B">
            <w:pPr>
              <w:rPr>
                <w:b/>
                <w:bCs/>
              </w:rPr>
            </w:pPr>
            <w:r w:rsidRPr="00811389">
              <w:t xml:space="preserve">TDAG is invited to note this </w:t>
            </w:r>
            <w:r w:rsidR="000A733B">
              <w:t>document</w:t>
            </w:r>
            <w:r w:rsidRPr="00811389">
              <w:t xml:space="preserve"> and provide guidance as deemed appropriate.</w:t>
            </w:r>
          </w:p>
          <w:p w:rsidR="00747314" w:rsidRPr="00811389" w:rsidRDefault="00747314" w:rsidP="00747314">
            <w:pPr>
              <w:rPr>
                <w:b/>
                <w:bCs/>
              </w:rPr>
            </w:pPr>
            <w:r w:rsidRPr="00811389">
              <w:rPr>
                <w:b/>
                <w:bCs/>
              </w:rPr>
              <w:t>Reference:</w:t>
            </w:r>
          </w:p>
          <w:p w:rsidR="00CE6A95" w:rsidRPr="00747314" w:rsidRDefault="00747314" w:rsidP="00F24E17">
            <w:pPr>
              <w:spacing w:after="120"/>
            </w:pPr>
            <w:r w:rsidRPr="00811389">
              <w:t xml:space="preserve">WTDC Resolutions 17 and 52 (Rev. </w:t>
            </w:r>
            <w:r>
              <w:t>Buenos Aires</w:t>
            </w:r>
            <w:r w:rsidRPr="00811389">
              <w:t>, 201</w:t>
            </w:r>
            <w:r>
              <w:t>7</w:t>
            </w:r>
            <w:r w:rsidRPr="00811389">
              <w:t>)</w:t>
            </w:r>
            <w:r>
              <w:t xml:space="preserve"> and</w:t>
            </w:r>
            <w:r w:rsidRPr="00811389">
              <w:t xml:space="preserve"> PP Resolution 157 (Rev. </w:t>
            </w:r>
            <w:r>
              <w:t>Dubai</w:t>
            </w:r>
            <w:r w:rsidRPr="00811389">
              <w:t>, 201</w:t>
            </w:r>
            <w:r>
              <w:t>8</w:t>
            </w:r>
            <w:r w:rsidRPr="00811389">
              <w:t>)</w:t>
            </w:r>
            <w:r>
              <w:t>.</w:t>
            </w:r>
          </w:p>
        </w:tc>
      </w:tr>
    </w:tbl>
    <w:p w:rsidR="001E252D" w:rsidRPr="00B62876" w:rsidRDefault="001E252D">
      <w:pPr>
        <w:tabs>
          <w:tab w:val="clear" w:pos="1134"/>
          <w:tab w:val="clear" w:pos="1871"/>
          <w:tab w:val="clear" w:pos="2268"/>
        </w:tabs>
        <w:overflowPunct/>
        <w:autoSpaceDE/>
        <w:autoSpaceDN/>
        <w:adjustRightInd/>
        <w:spacing w:before="0"/>
        <w:textAlignment w:val="auto"/>
        <w:rPr>
          <w:szCs w:val="24"/>
        </w:rPr>
      </w:pPr>
    </w:p>
    <w:p w:rsidR="00075C63" w:rsidRPr="00B62876" w:rsidRDefault="00075C63">
      <w:pPr>
        <w:tabs>
          <w:tab w:val="clear" w:pos="1134"/>
          <w:tab w:val="clear" w:pos="1871"/>
          <w:tab w:val="clear" w:pos="2268"/>
        </w:tabs>
        <w:overflowPunct/>
        <w:autoSpaceDE/>
        <w:autoSpaceDN/>
        <w:adjustRightInd/>
        <w:spacing w:before="0"/>
        <w:textAlignment w:val="auto"/>
        <w:rPr>
          <w:szCs w:val="24"/>
        </w:rPr>
      </w:pPr>
      <w:r w:rsidRPr="00B62876">
        <w:rPr>
          <w:szCs w:val="24"/>
        </w:rPr>
        <w:br w:type="page"/>
      </w:r>
    </w:p>
    <w:p w:rsidR="00747314" w:rsidRPr="00D41F2E" w:rsidRDefault="00747314" w:rsidP="005F706C">
      <w:pPr>
        <w:pStyle w:val="Heading2"/>
        <w:keepLines w:val="0"/>
        <w:numPr>
          <w:ilvl w:val="0"/>
          <w:numId w:val="2"/>
        </w:numPr>
        <w:tabs>
          <w:tab w:val="clear" w:pos="1134"/>
          <w:tab w:val="clear" w:pos="1871"/>
          <w:tab w:val="clear" w:pos="2268"/>
          <w:tab w:val="left" w:pos="1191"/>
          <w:tab w:val="left" w:pos="1588"/>
          <w:tab w:val="left" w:pos="1985"/>
        </w:tabs>
        <w:spacing w:before="120" w:after="120"/>
        <w:ind w:left="357" w:hanging="357"/>
      </w:pPr>
      <w:r>
        <w:lastRenderedPageBreak/>
        <w:t>Introduction</w:t>
      </w:r>
    </w:p>
    <w:p w:rsidR="00747314" w:rsidRDefault="00747314">
      <w:pPr>
        <w:pStyle w:val="ListParagraph"/>
        <w:spacing w:after="120"/>
        <w:ind w:left="0"/>
        <w:contextualSpacing w:val="0"/>
      </w:pPr>
      <w:r>
        <w:t xml:space="preserve">Considering WTDC-17 Resolutions 17 and 52 and PP-18 Resolution 157 in relation to strengthening the executing agency role of the ITU Telecommunication Development Sector, to strengthen the project execution function in the ITU, and to implement regionally approved Initiatives at the national, regional, interregional and global levels, BDT has undertaken a significant number of actions and activities to develop and implement projects in the </w:t>
      </w:r>
      <w:r w:rsidR="00F24E17">
        <w:t>Development S</w:t>
      </w:r>
      <w:r>
        <w:t>ector.</w:t>
      </w:r>
    </w:p>
    <w:p w:rsidR="00747314" w:rsidRDefault="00747314" w:rsidP="005F706C">
      <w:pPr>
        <w:pStyle w:val="ListParagraph"/>
        <w:spacing w:after="120"/>
        <w:ind w:left="0"/>
        <w:contextualSpacing w:val="0"/>
      </w:pPr>
      <w:r w:rsidRPr="0072021E">
        <w:rPr>
          <w:lang w:val="en-US"/>
        </w:rPr>
        <w:t xml:space="preserve">ITU projects </w:t>
      </w:r>
      <w:r>
        <w:rPr>
          <w:lang w:val="en-US"/>
        </w:rPr>
        <w:t>are making a</w:t>
      </w:r>
      <w:r w:rsidRPr="0072021E">
        <w:rPr>
          <w:lang w:val="en-US"/>
        </w:rPr>
        <w:t xml:space="preserve"> difference in the lives of people and offer sustainable and innovative solutions around the world to achieve development through ICT</w:t>
      </w:r>
      <w:r w:rsidR="00F24E17">
        <w:rPr>
          <w:lang w:val="en-US"/>
        </w:rPr>
        <w:t>s</w:t>
      </w:r>
      <w:r w:rsidRPr="0072021E">
        <w:rPr>
          <w:lang w:val="en-US"/>
        </w:rPr>
        <w:t>.</w:t>
      </w:r>
      <w:r>
        <w:rPr>
          <w:lang w:val="en-US"/>
        </w:rPr>
        <w:t xml:space="preserve"> ITU offers</w:t>
      </w:r>
      <w:r w:rsidRPr="00A11CCE">
        <w:rPr>
          <w:lang w:val="en-US"/>
        </w:rPr>
        <w:t xml:space="preserve"> tailor</w:t>
      </w:r>
      <w:r>
        <w:rPr>
          <w:lang w:val="en-US"/>
        </w:rPr>
        <w:t>-</w:t>
      </w:r>
      <w:r w:rsidRPr="00A11CCE">
        <w:rPr>
          <w:lang w:val="en-US"/>
        </w:rPr>
        <w:t>made projects for multi-stakeholder needs, with recognized long</w:t>
      </w:r>
      <w:r>
        <w:rPr>
          <w:lang w:val="en-US"/>
        </w:rPr>
        <w:t>-</w:t>
      </w:r>
      <w:r w:rsidRPr="00A11CCE">
        <w:rPr>
          <w:lang w:val="en-US"/>
        </w:rPr>
        <w:t>standing technical expertise in the ICT fie</w:t>
      </w:r>
      <w:r>
        <w:rPr>
          <w:lang w:val="en-US"/>
        </w:rPr>
        <w:t xml:space="preserve">ld and comprehensive project management experience. </w:t>
      </w:r>
    </w:p>
    <w:p w:rsidR="00747314" w:rsidRDefault="00747314" w:rsidP="005F706C">
      <w:pPr>
        <w:pStyle w:val="ListParagraph"/>
        <w:spacing w:after="120"/>
        <w:ind w:left="0"/>
        <w:contextualSpacing w:val="0"/>
      </w:pPr>
      <w:r>
        <w:t xml:space="preserve">BDT has continued to improve and take the necessary steps to strengthen its project execution role, by developing and refining the necessary tools, methodologies, guidelines, templates, standards, database and training related to projects and project management. </w:t>
      </w:r>
    </w:p>
    <w:p w:rsidR="00747314" w:rsidRDefault="00747314" w:rsidP="005F706C">
      <w:pPr>
        <w:pStyle w:val="ListParagraph"/>
        <w:spacing w:after="120"/>
        <w:ind w:left="0"/>
        <w:contextualSpacing w:val="0"/>
      </w:pPr>
      <w:r>
        <w:t>The ongoing application of a results-based management approach, as well as project management guidelines, has also resulted in improved management, better implementation, enhanced auditing and monitoring, better accountability and the achievement of the planned results and objectives of projects.</w:t>
      </w:r>
    </w:p>
    <w:p w:rsidR="00747314" w:rsidRDefault="00747314">
      <w:pPr>
        <w:pStyle w:val="ListParagraph"/>
        <w:spacing w:after="120"/>
        <w:ind w:left="0"/>
        <w:contextualSpacing w:val="0"/>
      </w:pPr>
      <w:r>
        <w:t>BDT has made continuous efforts to increase the sharing of information, experiences and lessons learned of implemented projects, especially by enhancing the ITU projects website, as well as developing case studies</w:t>
      </w:r>
      <w:r w:rsidR="00F24E17">
        <w:t xml:space="preserve"> and </w:t>
      </w:r>
      <w:r>
        <w:t>project post implementation assessment reports and videos.</w:t>
      </w:r>
    </w:p>
    <w:p w:rsidR="00747314" w:rsidRDefault="00747314" w:rsidP="005F706C">
      <w:pPr>
        <w:pStyle w:val="Heading2"/>
        <w:keepLines w:val="0"/>
        <w:numPr>
          <w:ilvl w:val="0"/>
          <w:numId w:val="2"/>
        </w:numPr>
        <w:tabs>
          <w:tab w:val="clear" w:pos="1134"/>
          <w:tab w:val="clear" w:pos="1871"/>
          <w:tab w:val="clear" w:pos="2268"/>
          <w:tab w:val="left" w:pos="1191"/>
          <w:tab w:val="left" w:pos="1588"/>
          <w:tab w:val="left" w:pos="1985"/>
        </w:tabs>
        <w:spacing w:before="120" w:after="120"/>
        <w:ind w:left="357" w:hanging="357"/>
      </w:pPr>
      <w:r>
        <w:t>Overall project i</w:t>
      </w:r>
      <w:r w:rsidRPr="008F7D7F">
        <w:t xml:space="preserve">mplementation </w:t>
      </w:r>
    </w:p>
    <w:p w:rsidR="00747314" w:rsidRDefault="00747314" w:rsidP="005F706C">
      <w:pPr>
        <w:pStyle w:val="ListParagraph"/>
        <w:spacing w:after="120"/>
        <w:ind w:left="0"/>
        <w:contextualSpacing w:val="0"/>
      </w:pPr>
      <w:r>
        <w:t xml:space="preserve">Since 2007, BDT has implemented a total of 242 small, medium and large projects at national, regional, interregional and global levels. A total number of 150 developing and least developed countries have benefited from the above-mentioned implemented projects. </w:t>
      </w:r>
    </w:p>
    <w:p w:rsidR="00747314" w:rsidRDefault="00747314" w:rsidP="005F706C">
      <w:pPr>
        <w:pStyle w:val="Heading2"/>
        <w:keepLines w:val="0"/>
        <w:numPr>
          <w:ilvl w:val="0"/>
          <w:numId w:val="2"/>
        </w:numPr>
        <w:tabs>
          <w:tab w:val="clear" w:pos="1134"/>
          <w:tab w:val="clear" w:pos="1871"/>
          <w:tab w:val="clear" w:pos="2268"/>
          <w:tab w:val="left" w:pos="1191"/>
          <w:tab w:val="left" w:pos="1588"/>
          <w:tab w:val="left" w:pos="1985"/>
        </w:tabs>
        <w:spacing w:before="120" w:after="120"/>
        <w:ind w:left="357" w:hanging="357"/>
      </w:pPr>
      <w:r w:rsidRPr="000307D5">
        <w:t xml:space="preserve">Project portfolio </w:t>
      </w:r>
    </w:p>
    <w:p w:rsidR="00747314" w:rsidRPr="002140BD" w:rsidRDefault="00747314">
      <w:pPr>
        <w:pStyle w:val="Heading2"/>
        <w:keepNext w:val="0"/>
        <w:keepLines w:val="0"/>
        <w:spacing w:before="120" w:after="120"/>
        <w:ind w:left="0" w:firstLine="0"/>
        <w:rPr>
          <w:b w:val="0"/>
          <w:bCs/>
        </w:rPr>
      </w:pPr>
      <w:r>
        <w:rPr>
          <w:b w:val="0"/>
          <w:bCs/>
        </w:rPr>
        <w:t>A</w:t>
      </w:r>
      <w:r w:rsidRPr="00B755C7">
        <w:rPr>
          <w:b w:val="0"/>
          <w:bCs/>
        </w:rPr>
        <w:t>s of 31 December 2018</w:t>
      </w:r>
      <w:r>
        <w:rPr>
          <w:b w:val="0"/>
          <w:bCs/>
        </w:rPr>
        <w:t>, t</w:t>
      </w:r>
      <w:r w:rsidRPr="002140BD">
        <w:rPr>
          <w:b w:val="0"/>
          <w:bCs/>
        </w:rPr>
        <w:t xml:space="preserve">he ITU project portfolio </w:t>
      </w:r>
      <w:r>
        <w:rPr>
          <w:b w:val="0"/>
          <w:bCs/>
        </w:rPr>
        <w:t>has</w:t>
      </w:r>
      <w:r w:rsidRPr="002140BD">
        <w:rPr>
          <w:b w:val="0"/>
          <w:bCs/>
        </w:rPr>
        <w:t xml:space="preserve"> 6</w:t>
      </w:r>
      <w:r>
        <w:rPr>
          <w:b w:val="0"/>
          <w:bCs/>
        </w:rPr>
        <w:t>0</w:t>
      </w:r>
      <w:r w:rsidRPr="002140BD">
        <w:rPr>
          <w:b w:val="0"/>
          <w:bCs/>
        </w:rPr>
        <w:t xml:space="preserve"> ongoing projects, </w:t>
      </w:r>
      <w:r>
        <w:rPr>
          <w:b w:val="0"/>
          <w:bCs/>
        </w:rPr>
        <w:t xml:space="preserve">valued at </w:t>
      </w:r>
      <w:r w:rsidR="00F24E17">
        <w:rPr>
          <w:b w:val="0"/>
          <w:bCs/>
        </w:rPr>
        <w:t>CHF </w:t>
      </w:r>
      <w:r>
        <w:rPr>
          <w:b w:val="0"/>
          <w:bCs/>
        </w:rPr>
        <w:t>67,897,598</w:t>
      </w:r>
      <w:r w:rsidRPr="00EB4349">
        <w:rPr>
          <w:b w:val="0"/>
          <w:bCs/>
        </w:rPr>
        <w:t xml:space="preserve"> </w:t>
      </w:r>
      <w:r>
        <w:rPr>
          <w:b w:val="0"/>
          <w:bCs/>
        </w:rPr>
        <w:t xml:space="preserve">(Annex 1). The current balance held in ongoing projects is CHF 21,398,305 </w:t>
      </w:r>
      <w:r>
        <w:rPr>
          <w:rStyle w:val="FootnoteReference"/>
          <w:b w:val="0"/>
          <w:bCs/>
        </w:rPr>
        <w:footnoteReference w:id="1"/>
      </w:r>
      <w:r>
        <w:rPr>
          <w:b w:val="0"/>
          <w:bCs/>
        </w:rPr>
        <w:t xml:space="preserve"> with </w:t>
      </w:r>
      <w:r w:rsidR="00F24E17">
        <w:rPr>
          <w:b w:val="0"/>
          <w:bCs/>
        </w:rPr>
        <w:t>17 </w:t>
      </w:r>
      <w:r w:rsidRPr="002140BD">
        <w:rPr>
          <w:b w:val="0"/>
          <w:bCs/>
        </w:rPr>
        <w:t>new projects</w:t>
      </w:r>
      <w:r>
        <w:rPr>
          <w:b w:val="0"/>
          <w:bCs/>
        </w:rPr>
        <w:t xml:space="preserve"> valued around CHF</w:t>
      </w:r>
      <w:r w:rsidRPr="002140BD">
        <w:rPr>
          <w:b w:val="0"/>
          <w:bCs/>
        </w:rPr>
        <w:t xml:space="preserve"> </w:t>
      </w:r>
      <w:r>
        <w:rPr>
          <w:b w:val="0"/>
          <w:bCs/>
        </w:rPr>
        <w:t xml:space="preserve">10.2 million having been </w:t>
      </w:r>
      <w:r w:rsidRPr="002140BD">
        <w:rPr>
          <w:b w:val="0"/>
          <w:bCs/>
        </w:rPr>
        <w:t>developed and signed in 201</w:t>
      </w:r>
      <w:r>
        <w:rPr>
          <w:b w:val="0"/>
          <w:bCs/>
        </w:rPr>
        <w:t>8 (Annex 2)</w:t>
      </w:r>
      <w:r w:rsidRPr="002140BD">
        <w:rPr>
          <w:b w:val="0"/>
          <w:bCs/>
        </w:rPr>
        <w:t>.</w:t>
      </w:r>
    </w:p>
    <w:p w:rsidR="00747314" w:rsidRDefault="00747314" w:rsidP="005F706C">
      <w:pPr>
        <w:pStyle w:val="ListParagraph"/>
        <w:spacing w:after="120"/>
        <w:ind w:left="0"/>
        <w:contextualSpacing w:val="0"/>
      </w:pPr>
      <w:r>
        <w:t>Most projects are developed for Member States, co-financed by ITU and external partners.</w:t>
      </w:r>
    </w:p>
    <w:p w:rsidR="00747314" w:rsidRPr="002140BD" w:rsidRDefault="00747314" w:rsidP="005F706C">
      <w:pPr>
        <w:pStyle w:val="ListParagraph"/>
        <w:keepNext/>
        <w:numPr>
          <w:ilvl w:val="0"/>
          <w:numId w:val="2"/>
        </w:numPr>
        <w:tabs>
          <w:tab w:val="clear" w:pos="1134"/>
          <w:tab w:val="clear" w:pos="1871"/>
          <w:tab w:val="clear" w:pos="2268"/>
          <w:tab w:val="left" w:pos="1191"/>
          <w:tab w:val="left" w:pos="1588"/>
          <w:tab w:val="left" w:pos="1985"/>
        </w:tabs>
        <w:spacing w:after="120"/>
        <w:ind w:left="357" w:hanging="357"/>
        <w:contextualSpacing w:val="0"/>
        <w:rPr>
          <w:b/>
          <w:bCs/>
        </w:rPr>
      </w:pPr>
      <w:r w:rsidRPr="002140BD">
        <w:rPr>
          <w:b/>
          <w:bCs/>
        </w:rPr>
        <w:t>Ongoing projects by region</w:t>
      </w:r>
    </w:p>
    <w:p w:rsidR="00747314" w:rsidRDefault="00747314">
      <w:pPr>
        <w:spacing w:after="120"/>
      </w:pPr>
      <w:r w:rsidRPr="003F6E72">
        <w:t>The following is a distribution of the 6</w:t>
      </w:r>
      <w:r>
        <w:t>0</w:t>
      </w:r>
      <w:r w:rsidRPr="003F6E72">
        <w:t xml:space="preserve"> ongoing projects as of </w:t>
      </w:r>
      <w:r>
        <w:t xml:space="preserve">31 </w:t>
      </w:r>
      <w:r w:rsidRPr="003F6E72">
        <w:t>December 201</w:t>
      </w:r>
      <w:r>
        <w:t>8</w:t>
      </w:r>
      <w:r w:rsidRPr="003F6E72">
        <w:t xml:space="preserve">, based on regional distribution. The Asia-Pacific region has </w:t>
      </w:r>
      <w:r>
        <w:t>11</w:t>
      </w:r>
      <w:r w:rsidRPr="003F6E72">
        <w:t xml:space="preserve"> projects, </w:t>
      </w:r>
      <w:r>
        <w:t>Africa has 11</w:t>
      </w:r>
      <w:r w:rsidRPr="003F6E72">
        <w:t xml:space="preserve">, </w:t>
      </w:r>
      <w:proofErr w:type="gramStart"/>
      <w:r>
        <w:t>the</w:t>
      </w:r>
      <w:proofErr w:type="gramEnd"/>
      <w:r>
        <w:t xml:space="preserve"> Americas has </w:t>
      </w:r>
      <w:r w:rsidR="00F24E17">
        <w:t>8 </w:t>
      </w:r>
      <w:r w:rsidRPr="003F6E72">
        <w:t>projects</w:t>
      </w:r>
      <w:r>
        <w:t>, 9</w:t>
      </w:r>
      <w:r w:rsidRPr="003F6E72">
        <w:t xml:space="preserve"> projects in the Arab region</w:t>
      </w:r>
      <w:r>
        <w:t xml:space="preserve"> and 1 project in Europe.</w:t>
      </w:r>
      <w:r w:rsidR="008D6E39">
        <w:t xml:space="preserve"> </w:t>
      </w:r>
      <w:r w:rsidRPr="003F6E72">
        <w:t>In addition to the regional</w:t>
      </w:r>
      <w:r>
        <w:t xml:space="preserve"> projects, there are 20 global projects.</w:t>
      </w:r>
    </w:p>
    <w:p w:rsidR="00747314" w:rsidRDefault="00747314" w:rsidP="005F706C">
      <w:pPr>
        <w:jc w:val="center"/>
      </w:pPr>
      <w:r>
        <w:rPr>
          <w:noProof/>
          <w:lang w:eastAsia="zh-CN"/>
        </w:rPr>
        <w:lastRenderedPageBreak/>
        <w:drawing>
          <wp:inline distT="0" distB="0" distL="0" distR="0">
            <wp:extent cx="5219065" cy="3331210"/>
            <wp:effectExtent l="0" t="0" r="635" b="25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F706C" w:rsidRDefault="005F706C" w:rsidP="00747314"/>
    <w:p w:rsidR="00747314" w:rsidRDefault="005F706C" w:rsidP="00747314">
      <w:pPr>
        <w:jc w:val="center"/>
        <w:rPr>
          <w:noProof/>
          <w:lang w:val="en-US" w:eastAsia="zh-CN"/>
        </w:rPr>
      </w:pPr>
      <w:r>
        <w:rPr>
          <w:noProof/>
          <w:lang w:eastAsia="zh-CN"/>
        </w:rPr>
        <w:drawing>
          <wp:inline distT="0" distB="0" distL="0" distR="0">
            <wp:extent cx="5819775" cy="3522345"/>
            <wp:effectExtent l="0" t="0" r="9525"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7314" w:rsidRPr="000307D5" w:rsidRDefault="00747314" w:rsidP="00E924B2">
      <w:pPr>
        <w:pStyle w:val="Heading2"/>
        <w:keepLines w:val="0"/>
        <w:numPr>
          <w:ilvl w:val="0"/>
          <w:numId w:val="2"/>
        </w:numPr>
        <w:tabs>
          <w:tab w:val="clear" w:pos="1134"/>
          <w:tab w:val="clear" w:pos="1871"/>
          <w:tab w:val="clear" w:pos="2268"/>
          <w:tab w:val="left" w:pos="1191"/>
          <w:tab w:val="left" w:pos="1588"/>
          <w:tab w:val="left" w:pos="1985"/>
        </w:tabs>
        <w:spacing w:before="120" w:after="120"/>
        <w:ind w:left="357" w:hanging="357"/>
      </w:pPr>
      <w:r>
        <w:t>Ongoing projects by areas of action</w:t>
      </w:r>
      <w:r w:rsidRPr="000307D5">
        <w:t xml:space="preserve"> </w:t>
      </w:r>
    </w:p>
    <w:p w:rsidR="00747314" w:rsidRDefault="00747314">
      <w:pPr>
        <w:pStyle w:val="ListParagraph"/>
        <w:spacing w:after="120"/>
        <w:ind w:left="0"/>
        <w:contextualSpacing w:val="0"/>
        <w:jc w:val="both"/>
      </w:pPr>
      <w:r>
        <w:t>The following is a distribution of the 60 ongoing projects as of 31 December 2018, based on the BDT thematic.</w:t>
      </w:r>
      <w:r w:rsidR="008D6E39">
        <w:t xml:space="preserve"> </w:t>
      </w:r>
      <w:r>
        <w:t>Most projects fall into the ICT Applications, Technology and Network Development; Spectrum Management and Broadcasting and Capacity Building</w:t>
      </w:r>
      <w:r w:rsidR="008D6E39">
        <w:t xml:space="preserve"> </w:t>
      </w:r>
      <w:r>
        <w:rPr>
          <w:rStyle w:val="FootnoteReference"/>
        </w:rPr>
        <w:footnoteReference w:id="2"/>
      </w:r>
      <w:r>
        <w:t xml:space="preserve"> thematic areas.</w:t>
      </w:r>
    </w:p>
    <w:p w:rsidR="00747314" w:rsidRDefault="00747314" w:rsidP="00E924B2">
      <w:pPr>
        <w:pStyle w:val="ListParagraph"/>
        <w:ind w:left="0"/>
      </w:pPr>
      <w:r>
        <w:rPr>
          <w:noProof/>
          <w:lang w:eastAsia="zh-CN"/>
        </w:rPr>
        <w:lastRenderedPageBreak/>
        <w:drawing>
          <wp:inline distT="0" distB="0" distL="0" distR="0">
            <wp:extent cx="5920740" cy="3259455"/>
            <wp:effectExtent l="0" t="0" r="381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7314" w:rsidRDefault="00747314" w:rsidP="00747314">
      <w:pPr>
        <w:pStyle w:val="Heading2"/>
        <w:keepLines w:val="0"/>
        <w:numPr>
          <w:ilvl w:val="0"/>
          <w:numId w:val="2"/>
        </w:numPr>
        <w:tabs>
          <w:tab w:val="clear" w:pos="1134"/>
          <w:tab w:val="clear" w:pos="1871"/>
          <w:tab w:val="clear" w:pos="2268"/>
          <w:tab w:val="left" w:pos="1191"/>
          <w:tab w:val="left" w:pos="1588"/>
          <w:tab w:val="left" w:pos="1985"/>
        </w:tabs>
        <w:spacing w:before="120"/>
        <w:ind w:left="357" w:hanging="357"/>
      </w:pPr>
      <w:r>
        <w:t>Projects under development to be signed</w:t>
      </w:r>
    </w:p>
    <w:p w:rsidR="00747314" w:rsidRDefault="00747314" w:rsidP="00E924B2">
      <w:pPr>
        <w:spacing w:after="120"/>
      </w:pPr>
      <w:r>
        <w:t>Several projects have been under development and are expected to be signed in the first half of 2019, valued at around CHF 9 million, such as:</w:t>
      </w:r>
    </w:p>
    <w:p w:rsidR="00747314" w:rsidRDefault="00747314" w:rsidP="00F24E17">
      <w:pPr>
        <w:pStyle w:val="ListParagraph"/>
        <w:numPr>
          <w:ilvl w:val="0"/>
          <w:numId w:val="6"/>
        </w:numPr>
        <w:tabs>
          <w:tab w:val="left" w:pos="567"/>
        </w:tabs>
        <w:spacing w:before="40" w:after="40"/>
        <w:ind w:left="567" w:hanging="567"/>
        <w:contextualSpacing w:val="0"/>
      </w:pPr>
      <w:r>
        <w:t>Provide Brazil with a regulatory environment conducive to digital transformation</w:t>
      </w:r>
      <w:r w:rsidR="00AE65F5">
        <w:t xml:space="preserve"> –</w:t>
      </w:r>
      <w:r>
        <w:t xml:space="preserve"> Americas region</w:t>
      </w:r>
      <w:r w:rsidR="00AE65F5">
        <w:t>;</w:t>
      </w:r>
    </w:p>
    <w:p w:rsidR="00747314" w:rsidRDefault="00747314" w:rsidP="00F24E17">
      <w:pPr>
        <w:pStyle w:val="ListParagraph"/>
        <w:numPr>
          <w:ilvl w:val="0"/>
          <w:numId w:val="6"/>
        </w:numPr>
        <w:tabs>
          <w:tab w:val="left" w:pos="567"/>
        </w:tabs>
        <w:spacing w:before="40" w:after="40"/>
        <w:ind w:left="567" w:hanging="567"/>
        <w:contextualSpacing w:val="0"/>
      </w:pPr>
      <w:r>
        <w:t xml:space="preserve">National Implementation of the Financial Inclusion Global Initiative in Mexico </w:t>
      </w:r>
      <w:r w:rsidR="00AE65F5">
        <w:t>–</w:t>
      </w:r>
      <w:r>
        <w:t xml:space="preserve"> Americas</w:t>
      </w:r>
      <w:r w:rsidR="00AE65F5">
        <w:t xml:space="preserve"> </w:t>
      </w:r>
      <w:r>
        <w:t>region</w:t>
      </w:r>
      <w:r w:rsidR="00AE65F5">
        <w:t>;</w:t>
      </w:r>
    </w:p>
    <w:p w:rsidR="00747314" w:rsidRDefault="00747314" w:rsidP="00F24E17">
      <w:pPr>
        <w:pStyle w:val="ListParagraph"/>
        <w:numPr>
          <w:ilvl w:val="0"/>
          <w:numId w:val="6"/>
        </w:numPr>
        <w:tabs>
          <w:tab w:val="left" w:pos="567"/>
        </w:tabs>
        <w:spacing w:before="40" w:after="40"/>
        <w:ind w:left="567" w:hanging="567"/>
        <w:contextualSpacing w:val="0"/>
      </w:pPr>
      <w:r>
        <w:t>Advise and support the Ministry of Communications and Transportation in the development of general activities for the best use of ICT for Di</w:t>
      </w:r>
      <w:r w:rsidR="00AE65F5">
        <w:t>gital Transformation</w:t>
      </w:r>
      <w:r w:rsidR="0014750C">
        <w:t xml:space="preserve"> </w:t>
      </w:r>
      <w:r>
        <w:t>in Colombia – Americas region</w:t>
      </w:r>
      <w:r w:rsidR="00AE65F5">
        <w:t>;</w:t>
      </w:r>
    </w:p>
    <w:p w:rsidR="00747314" w:rsidRPr="00DD48C3" w:rsidRDefault="00747314" w:rsidP="001A5FD1">
      <w:pPr>
        <w:pStyle w:val="ListParagraph"/>
        <w:numPr>
          <w:ilvl w:val="0"/>
          <w:numId w:val="6"/>
        </w:numPr>
        <w:tabs>
          <w:tab w:val="left" w:pos="567"/>
        </w:tabs>
        <w:spacing w:before="40" w:after="40"/>
        <w:ind w:left="567" w:hanging="567"/>
        <w:contextualSpacing w:val="0"/>
        <w:rPr>
          <w:lang w:val="en-US"/>
        </w:rPr>
      </w:pPr>
      <w:r w:rsidRPr="00DD48C3">
        <w:rPr>
          <w:lang w:val="en-US"/>
        </w:rPr>
        <w:t xml:space="preserve">Updating of regulatory </w:t>
      </w:r>
      <w:r w:rsidR="001A5FD1" w:rsidRPr="00DD48C3">
        <w:rPr>
          <w:lang w:val="en-US"/>
        </w:rPr>
        <w:t>fra</w:t>
      </w:r>
      <w:r w:rsidR="001A5FD1">
        <w:rPr>
          <w:lang w:val="en-US"/>
        </w:rPr>
        <w:t>mework</w:t>
      </w:r>
      <w:r w:rsidR="001A5FD1" w:rsidRPr="00DD48C3">
        <w:rPr>
          <w:lang w:val="en-US"/>
        </w:rPr>
        <w:t xml:space="preserve"> </w:t>
      </w:r>
      <w:r w:rsidRPr="00DD48C3">
        <w:rPr>
          <w:lang w:val="en-US"/>
        </w:rPr>
        <w:t>in the field of telecommunications in the Republic of Panama – Americas region</w:t>
      </w:r>
      <w:r w:rsidR="00AE65F5" w:rsidRPr="00DD48C3">
        <w:rPr>
          <w:lang w:val="en-US"/>
        </w:rPr>
        <w:t>;</w:t>
      </w:r>
    </w:p>
    <w:p w:rsidR="00747314" w:rsidRDefault="00747314" w:rsidP="00F24E17">
      <w:pPr>
        <w:pStyle w:val="ListParagraph"/>
        <w:numPr>
          <w:ilvl w:val="0"/>
          <w:numId w:val="6"/>
        </w:numPr>
        <w:tabs>
          <w:tab w:val="left" w:pos="567"/>
        </w:tabs>
        <w:spacing w:before="40" w:after="40"/>
        <w:ind w:left="567" w:hanging="567"/>
        <w:contextualSpacing w:val="0"/>
      </w:pPr>
      <w:r>
        <w:t>Establishment of an African Digital Transformatio</w:t>
      </w:r>
      <w:r w:rsidR="00AE65F5">
        <w:t xml:space="preserve">n </w:t>
      </w:r>
      <w:proofErr w:type="spellStart"/>
      <w:r w:rsidR="00AE65F5">
        <w:t>Center</w:t>
      </w:r>
      <w:proofErr w:type="spellEnd"/>
      <w:r w:rsidR="00AE65F5">
        <w:t xml:space="preserve"> (ATDC) in South Africa</w:t>
      </w:r>
      <w:r>
        <w:t xml:space="preserve"> </w:t>
      </w:r>
      <w:r w:rsidR="00AE65F5">
        <w:t>–</w:t>
      </w:r>
      <w:r>
        <w:t xml:space="preserve"> Africa region</w:t>
      </w:r>
      <w:r w:rsidR="00AE65F5">
        <w:t>;</w:t>
      </w:r>
    </w:p>
    <w:p w:rsidR="00747314" w:rsidRDefault="00747314" w:rsidP="00F24E17">
      <w:pPr>
        <w:pStyle w:val="ListParagraph"/>
        <w:numPr>
          <w:ilvl w:val="0"/>
          <w:numId w:val="6"/>
        </w:numPr>
        <w:tabs>
          <w:tab w:val="left" w:pos="567"/>
        </w:tabs>
        <w:spacing w:before="40" w:after="40"/>
        <w:ind w:left="567" w:hanging="567"/>
        <w:contextualSpacing w:val="0"/>
      </w:pPr>
      <w:r>
        <w:t>Strengthening the capacity of the judiciary in Burkina Faso regarding the interpretation and application of ICT legislation in Burkina Faso – Africa Region</w:t>
      </w:r>
      <w:r w:rsidR="000F0A05">
        <w:t>;</w:t>
      </w:r>
    </w:p>
    <w:p w:rsidR="00747314" w:rsidRDefault="00747314" w:rsidP="00F24E17">
      <w:pPr>
        <w:pStyle w:val="ListParagraph"/>
        <w:numPr>
          <w:ilvl w:val="0"/>
          <w:numId w:val="6"/>
        </w:numPr>
        <w:tabs>
          <w:tab w:val="left" w:pos="567"/>
        </w:tabs>
        <w:spacing w:before="40" w:after="40"/>
        <w:ind w:left="567" w:hanging="567"/>
        <w:contextualSpacing w:val="0"/>
      </w:pPr>
      <w:r w:rsidRPr="00F73BE0">
        <w:t>National Implementation of the Financial Inclusion Global Initiative in Egypt</w:t>
      </w:r>
      <w:r>
        <w:t xml:space="preserve"> – Arab Region</w:t>
      </w:r>
    </w:p>
    <w:p w:rsidR="00747314" w:rsidRDefault="00747314" w:rsidP="00F24E17">
      <w:pPr>
        <w:pStyle w:val="ListParagraph"/>
        <w:numPr>
          <w:ilvl w:val="0"/>
          <w:numId w:val="6"/>
        </w:numPr>
        <w:tabs>
          <w:tab w:val="left" w:pos="567"/>
        </w:tabs>
        <w:spacing w:before="40" w:after="40"/>
        <w:ind w:left="567" w:hanging="567"/>
        <w:contextualSpacing w:val="0"/>
      </w:pPr>
      <w:r w:rsidRPr="00F73BE0">
        <w:t>International Research, Development and Testing Centre for new equipment, technologies, and services (IRDTC) - Phase 1</w:t>
      </w:r>
      <w:r>
        <w:t xml:space="preserve"> – CIS Region</w:t>
      </w:r>
      <w:r w:rsidR="000F0A05">
        <w:t>;</w:t>
      </w:r>
    </w:p>
    <w:p w:rsidR="00747314" w:rsidRDefault="00747314" w:rsidP="00F24E17">
      <w:pPr>
        <w:pStyle w:val="ListParagraph"/>
        <w:numPr>
          <w:ilvl w:val="0"/>
          <w:numId w:val="6"/>
        </w:numPr>
        <w:tabs>
          <w:tab w:val="left" w:pos="567"/>
        </w:tabs>
        <w:spacing w:before="40" w:after="40"/>
        <w:ind w:left="567" w:hanging="567"/>
        <w:contextualSpacing w:val="0"/>
      </w:pPr>
      <w:r w:rsidRPr="00C8333E">
        <w:t>ICT applications to enhance tracea</w:t>
      </w:r>
      <w:r>
        <w:t xml:space="preserve">bility in the food value chain </w:t>
      </w:r>
      <w:r w:rsidR="00AE65F5">
        <w:t>–</w:t>
      </w:r>
      <w:r>
        <w:t xml:space="preserve"> </w:t>
      </w:r>
      <w:r w:rsidRPr="00C8333E">
        <w:t xml:space="preserve">Asia-Pacific </w:t>
      </w:r>
      <w:r>
        <w:t>region</w:t>
      </w:r>
      <w:r w:rsidR="000F0A05">
        <w:t>;</w:t>
      </w:r>
    </w:p>
    <w:p w:rsidR="00747314" w:rsidRDefault="00747314" w:rsidP="00F24E17">
      <w:pPr>
        <w:pStyle w:val="ListParagraph"/>
        <w:numPr>
          <w:ilvl w:val="0"/>
          <w:numId w:val="6"/>
        </w:numPr>
        <w:tabs>
          <w:tab w:val="left" w:pos="567"/>
        </w:tabs>
        <w:spacing w:before="40" w:after="40"/>
        <w:ind w:left="567" w:hanging="567"/>
        <w:contextualSpacing w:val="0"/>
      </w:pPr>
      <w:r w:rsidRPr="002F48AD">
        <w:t>Capacity Building on an ICT Centric Innovation Ecosystem</w:t>
      </w:r>
      <w:r>
        <w:t xml:space="preserve"> – Republic of Korea – Global</w:t>
      </w:r>
      <w:r w:rsidR="000F0A05">
        <w:t>;</w:t>
      </w:r>
    </w:p>
    <w:p w:rsidR="00747314" w:rsidRDefault="00747314" w:rsidP="00F24E17">
      <w:pPr>
        <w:pStyle w:val="ListParagraph"/>
        <w:numPr>
          <w:ilvl w:val="0"/>
          <w:numId w:val="6"/>
        </w:numPr>
        <w:tabs>
          <w:tab w:val="left" w:pos="567"/>
        </w:tabs>
        <w:spacing w:before="40" w:after="40"/>
        <w:ind w:left="567" w:hanging="567"/>
        <w:contextualSpacing w:val="0"/>
      </w:pPr>
      <w:r w:rsidRPr="002F48AD">
        <w:t>Assistance for the Establishment of National Spectrum Management Basic Framework Systems</w:t>
      </w:r>
      <w:r w:rsidR="00BD6F9B">
        <w:t> </w:t>
      </w:r>
      <w:r>
        <w:t>– Republic of Korea – Global</w:t>
      </w:r>
      <w:r w:rsidR="000F0A05">
        <w:t>.</w:t>
      </w:r>
    </w:p>
    <w:p w:rsidR="00747314" w:rsidRDefault="00747314" w:rsidP="004C18AB">
      <w:pPr>
        <w:spacing w:before="0"/>
        <w:jc w:val="center"/>
      </w:pPr>
      <w:r>
        <w:rPr>
          <w:noProof/>
          <w:lang w:eastAsia="zh-CN"/>
        </w:rPr>
        <w:lastRenderedPageBreak/>
        <w:drawing>
          <wp:inline distT="0" distB="0" distL="0" distR="0">
            <wp:extent cx="5219065" cy="3331210"/>
            <wp:effectExtent l="0" t="0" r="635" b="25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47314" w:rsidRDefault="00747314" w:rsidP="004C18AB">
      <w:pPr>
        <w:pStyle w:val="Heading2"/>
        <w:keepLines w:val="0"/>
        <w:numPr>
          <w:ilvl w:val="0"/>
          <w:numId w:val="2"/>
        </w:numPr>
        <w:tabs>
          <w:tab w:val="clear" w:pos="1134"/>
          <w:tab w:val="clear" w:pos="1871"/>
          <w:tab w:val="clear" w:pos="2268"/>
          <w:tab w:val="left" w:pos="1191"/>
          <w:tab w:val="left" w:pos="1588"/>
          <w:tab w:val="left" w:pos="1985"/>
        </w:tabs>
        <w:spacing w:before="120" w:after="120"/>
        <w:ind w:left="357" w:hanging="357"/>
      </w:pPr>
      <w:r>
        <w:t>Funding sources for projects</w:t>
      </w:r>
    </w:p>
    <w:p w:rsidR="00747314" w:rsidRDefault="00747314" w:rsidP="004C18AB">
      <w:pPr>
        <w:spacing w:after="120"/>
      </w:pPr>
      <w:r>
        <w:t>ITU Projects are funded mostly through extra-budgetary resources. Projects have four types of funding sources: Funds in Trust (FIT), ICT Development Fund (ICTDF), Voluntary contributions and ITU Regular Budget.</w:t>
      </w:r>
      <w:r w:rsidR="008D6E39">
        <w:t xml:space="preserve"> </w:t>
      </w:r>
      <w:r>
        <w:t xml:space="preserve">Most projects have at least two funding sources. </w:t>
      </w:r>
    </w:p>
    <w:p w:rsidR="00747314" w:rsidRDefault="00747314">
      <w:pPr>
        <w:spacing w:after="120"/>
      </w:pPr>
      <w:r>
        <w:t>Based on the ongoing budget for the implementation of projects as of 31 December 2018, 88% corresponds to Funds in Trust, 9% to the ICTDF and 3% to the BDT Operational Plan.</w:t>
      </w:r>
    </w:p>
    <w:p w:rsidR="00747314" w:rsidRDefault="00747314" w:rsidP="004C18AB">
      <w:pPr>
        <w:spacing w:after="120"/>
      </w:pPr>
      <w:r>
        <w:t xml:space="preserve">ICTDF funds are granted as seed money for the implementation of projects related to BDT areas of action in developing and least developed countries. Projects are chosen, based on their potential long-term sustainable impact and their facilitation of multi-national cooperation and partnership. </w:t>
      </w:r>
    </w:p>
    <w:p w:rsidR="00747314" w:rsidRDefault="00747314">
      <w:pPr>
        <w:spacing w:after="120"/>
      </w:pPr>
      <w:r>
        <w:t xml:space="preserve">For the funding of projects to implement the WTDC-17 Regional Initiatives, ITU Council-18 decided to allocate </w:t>
      </w:r>
      <w:r w:rsidR="0014750C">
        <w:t>CHF 2 </w:t>
      </w:r>
      <w:r>
        <w:t xml:space="preserve">million for the period of 2018-2019 from the 2017 Operational Plan and include </w:t>
      </w:r>
      <w:r w:rsidR="0014750C">
        <w:t>CHF 3 </w:t>
      </w:r>
      <w:r>
        <w:t>million for 2020-2021 in the Financial Plan 2020-2023. These funds were allocated to act as seed funds used to attract funds from partners. As an initial step towards the implementation of the Regional Initiatives, ten (10) new projects from all regions were under development by the end of 2018 for implementation from 2019.</w:t>
      </w:r>
    </w:p>
    <w:p w:rsidR="00747314" w:rsidRDefault="00747314" w:rsidP="004C18AB">
      <w:pPr>
        <w:pStyle w:val="ListParagraph"/>
        <w:numPr>
          <w:ilvl w:val="0"/>
          <w:numId w:val="2"/>
        </w:numPr>
        <w:spacing w:after="120"/>
        <w:ind w:left="426"/>
        <w:contextualSpacing w:val="0"/>
        <w:rPr>
          <w:b/>
        </w:rPr>
      </w:pPr>
      <w:r>
        <w:rPr>
          <w:b/>
        </w:rPr>
        <w:t>Examples of efforts being made, related to the s</w:t>
      </w:r>
      <w:r w:rsidRPr="004401A2">
        <w:rPr>
          <w:b/>
        </w:rPr>
        <w:t>trengthening of the project execution function</w:t>
      </w:r>
    </w:p>
    <w:p w:rsidR="00747314" w:rsidRPr="00872705" w:rsidRDefault="00747314">
      <w:pPr>
        <w:spacing w:after="120"/>
        <w:rPr>
          <w:bCs/>
        </w:rPr>
      </w:pPr>
      <w:r>
        <w:rPr>
          <w:bCs/>
        </w:rPr>
        <w:t>In addition to the many efforts already being made by BDT to continue</w:t>
      </w:r>
      <w:r w:rsidRPr="00872705">
        <w:rPr>
          <w:bCs/>
        </w:rPr>
        <w:t xml:space="preserve"> to strengthen its project execution role, </w:t>
      </w:r>
      <w:r>
        <w:rPr>
          <w:bCs/>
        </w:rPr>
        <w:t>such as developing and refining of the</w:t>
      </w:r>
      <w:r w:rsidRPr="00872705">
        <w:rPr>
          <w:bCs/>
        </w:rPr>
        <w:t xml:space="preserve"> necessary tools, methodologies, guidelines, templates, standards, database related to projects and project management</w:t>
      </w:r>
      <w:r>
        <w:rPr>
          <w:bCs/>
        </w:rPr>
        <w:t xml:space="preserve">, below are several examples of new actions being </w:t>
      </w:r>
      <w:proofErr w:type="gramStart"/>
      <w:r>
        <w:rPr>
          <w:bCs/>
        </w:rPr>
        <w:t>taken:</w:t>
      </w:r>
      <w:proofErr w:type="gramEnd"/>
    </w:p>
    <w:p w:rsidR="00747314" w:rsidRDefault="00747314" w:rsidP="0014750C">
      <w:pPr>
        <w:pStyle w:val="ListParagraph"/>
        <w:numPr>
          <w:ilvl w:val="0"/>
          <w:numId w:val="3"/>
        </w:numPr>
        <w:spacing w:after="120"/>
        <w:ind w:left="567" w:hanging="567"/>
        <w:contextualSpacing w:val="0"/>
      </w:pPr>
      <w:r w:rsidRPr="00841621">
        <w:rPr>
          <w:b/>
        </w:rPr>
        <w:t>Project post implementation assessments and missions:</w:t>
      </w:r>
      <w:r>
        <w:t xml:space="preserve"> </w:t>
      </w:r>
      <w:r w:rsidRPr="004401A2">
        <w:t xml:space="preserve">BDT </w:t>
      </w:r>
      <w:r>
        <w:t>has</w:t>
      </w:r>
      <w:r w:rsidRPr="004401A2">
        <w:t xml:space="preserve"> conduct</w:t>
      </w:r>
      <w:r>
        <w:t>ed</w:t>
      </w:r>
      <w:r w:rsidRPr="004401A2">
        <w:t xml:space="preserve"> post implementation assessments for several implemented ITU projects. These assessments aim to review the </w:t>
      </w:r>
      <w:r>
        <w:t>achievements of the set key performance indicators,</w:t>
      </w:r>
      <w:r w:rsidRPr="004401A2">
        <w:t xml:space="preserve"> efficiency and effectiveness of the implementation of the projects, as well as the </w:t>
      </w:r>
      <w:r>
        <w:t xml:space="preserve">impact of </w:t>
      </w:r>
      <w:r w:rsidRPr="004401A2">
        <w:t>achieved results</w:t>
      </w:r>
      <w:r>
        <w:t>, centred on result</w:t>
      </w:r>
      <w:r w:rsidR="0014750C">
        <w:t>s</w:t>
      </w:r>
      <w:r>
        <w:t>-based management principles</w:t>
      </w:r>
      <w:r w:rsidRPr="004401A2">
        <w:t xml:space="preserve">. The outcome of each review is </w:t>
      </w:r>
      <w:r w:rsidRPr="004401A2">
        <w:lastRenderedPageBreak/>
        <w:t xml:space="preserve">based on an objective analysis </w:t>
      </w:r>
      <w:r>
        <w:t>of</w:t>
      </w:r>
      <w:r w:rsidRPr="004401A2">
        <w:t xml:space="preserve"> the results achieved</w:t>
      </w:r>
      <w:r>
        <w:t xml:space="preserve">, as well </w:t>
      </w:r>
      <w:r w:rsidRPr="004401A2">
        <w:t xml:space="preserve">as </w:t>
      </w:r>
      <w:r>
        <w:t>the drawing of</w:t>
      </w:r>
      <w:r w:rsidRPr="004401A2">
        <w:t xml:space="preserve"> lessons learned that may help improve the design and implementation of future ITU projects. The results are captured in Assessment Reports which are also published on </w:t>
      </w:r>
      <w:hyperlink r:id="rId17" w:history="1">
        <w:r w:rsidRPr="004401A2">
          <w:rPr>
            <w:rStyle w:val="Hyperlink"/>
          </w:rPr>
          <w:t>BDT Projects website</w:t>
        </w:r>
      </w:hyperlink>
      <w:r w:rsidRPr="004401A2">
        <w:t>.</w:t>
      </w:r>
      <w:r w:rsidR="008D6E39">
        <w:t xml:space="preserve"> </w:t>
      </w:r>
    </w:p>
    <w:p w:rsidR="00747314" w:rsidRDefault="00747314" w:rsidP="0014750C">
      <w:pPr>
        <w:pStyle w:val="ListParagraph"/>
        <w:numPr>
          <w:ilvl w:val="0"/>
          <w:numId w:val="3"/>
        </w:numPr>
        <w:spacing w:after="120"/>
        <w:ind w:left="567" w:hanging="567"/>
        <w:contextualSpacing w:val="0"/>
      </w:pPr>
      <w:r w:rsidRPr="00841621">
        <w:rPr>
          <w:b/>
        </w:rPr>
        <w:t>Project videos:</w:t>
      </w:r>
      <w:r>
        <w:t xml:space="preserve"> </w:t>
      </w:r>
      <w:r w:rsidRPr="00841621">
        <w:rPr>
          <w:lang w:val="tr-TR"/>
        </w:rPr>
        <w:t xml:space="preserve">Project videos are instrumental in the promotion of ITU projects. Relevant footage and interviews with the different stakeholders compiled during the post implementation assessement missions, are used to produce short videos which showcase the project relevance, results and achievements. Such videos </w:t>
      </w:r>
      <w:r>
        <w:rPr>
          <w:lang w:val="tr-TR"/>
        </w:rPr>
        <w:t xml:space="preserve">are </w:t>
      </w:r>
      <w:r w:rsidRPr="00841621">
        <w:rPr>
          <w:lang w:val="tr-TR"/>
        </w:rPr>
        <w:t xml:space="preserve">also </w:t>
      </w:r>
      <w:r>
        <w:rPr>
          <w:lang w:val="tr-TR"/>
        </w:rPr>
        <w:t>used</w:t>
      </w:r>
      <w:r w:rsidRPr="00841621">
        <w:rPr>
          <w:lang w:val="tr-TR"/>
        </w:rPr>
        <w:t xml:space="preserve"> to share</w:t>
      </w:r>
      <w:r w:rsidR="008D6E39">
        <w:rPr>
          <w:lang w:val="tr-TR"/>
        </w:rPr>
        <w:t xml:space="preserve"> </w:t>
      </w:r>
      <w:r w:rsidRPr="00841621">
        <w:rPr>
          <w:lang w:val="tr-TR"/>
        </w:rPr>
        <w:t>experience</w:t>
      </w:r>
      <w:r>
        <w:rPr>
          <w:lang w:val="tr-TR"/>
        </w:rPr>
        <w:t>s</w:t>
      </w:r>
      <w:r w:rsidRPr="00841621">
        <w:rPr>
          <w:lang w:val="tr-TR"/>
        </w:rPr>
        <w:t xml:space="preserve"> </w:t>
      </w:r>
      <w:r>
        <w:rPr>
          <w:lang w:val="tr-TR"/>
        </w:rPr>
        <w:t xml:space="preserve">among the ITU Membership. </w:t>
      </w:r>
      <w:r w:rsidRPr="00841621">
        <w:rPr>
          <w:lang w:val="tr-TR"/>
        </w:rPr>
        <w:t xml:space="preserve">The project videos are available on </w:t>
      </w:r>
      <w:r w:rsidR="003D636F">
        <w:rPr>
          <w:rStyle w:val="Hyperlink"/>
          <w:lang w:val="tr-TR"/>
        </w:rPr>
        <w:fldChar w:fldCharType="begin"/>
      </w:r>
      <w:r w:rsidR="003D636F">
        <w:rPr>
          <w:rStyle w:val="Hyperlink"/>
          <w:lang w:val="tr-TR"/>
        </w:rPr>
        <w:instrText xml:space="preserve"> HYPERLINK "file:///C:\\Users\\zavazava\\AppData\\Local\\Microsoft\\Windows\\Temporary%20Internet%20Files\\Content.Outlook\\PF7LKOSK\\itu.int\\en\\ITU-D\\Projects\\Pages\\Video-Gallery.aspx" </w:instrText>
      </w:r>
      <w:r w:rsidR="003D636F">
        <w:rPr>
          <w:rStyle w:val="Hyperlink"/>
          <w:lang w:val="tr-TR"/>
        </w:rPr>
        <w:fldChar w:fldCharType="separate"/>
      </w:r>
      <w:r w:rsidRPr="00841621">
        <w:rPr>
          <w:rStyle w:val="Hyperlink"/>
          <w:lang w:val="tr-TR"/>
        </w:rPr>
        <w:t>BDT Projects website</w:t>
      </w:r>
      <w:r w:rsidR="003D636F">
        <w:rPr>
          <w:rStyle w:val="Hyperlink"/>
          <w:lang w:val="tr-TR"/>
        </w:rPr>
        <w:fldChar w:fldCharType="end"/>
      </w:r>
      <w:r>
        <w:t>.</w:t>
      </w:r>
    </w:p>
    <w:p w:rsidR="00747314" w:rsidRDefault="00747314" w:rsidP="0014750C">
      <w:pPr>
        <w:pStyle w:val="ListParagraph"/>
        <w:numPr>
          <w:ilvl w:val="0"/>
          <w:numId w:val="3"/>
        </w:numPr>
        <w:spacing w:after="120"/>
        <w:ind w:left="567" w:hanging="567"/>
        <w:contextualSpacing w:val="0"/>
      </w:pPr>
      <w:r w:rsidRPr="00841621">
        <w:rPr>
          <w:b/>
        </w:rPr>
        <w:t>Project case studies:</w:t>
      </w:r>
      <w:r>
        <w:t xml:space="preserve"> </w:t>
      </w:r>
      <w:r w:rsidRPr="0035706F">
        <w:t xml:space="preserve">BDT </w:t>
      </w:r>
      <w:r>
        <w:t>has developed</w:t>
      </w:r>
      <w:r w:rsidRPr="0035706F">
        <w:t xml:space="preserve"> a series of case studies based on implemented ITU projects. The case studies are short summary documents that provide essential information in an easy to read presentation format. Each case study aims at sharing information related to different ITU projects, their implemented activities, achieved results, lessons learned, conclusions and recommendations. ITU project case studies </w:t>
      </w:r>
      <w:r>
        <w:t xml:space="preserve">are a resource </w:t>
      </w:r>
      <w:r w:rsidRPr="0035706F">
        <w:t xml:space="preserve">for stakeholders and </w:t>
      </w:r>
      <w:r>
        <w:t xml:space="preserve">ITU </w:t>
      </w:r>
      <w:r w:rsidRPr="0035706F">
        <w:t>Members</w:t>
      </w:r>
      <w:r>
        <w:t xml:space="preserve"> </w:t>
      </w:r>
      <w:r w:rsidRPr="0035706F">
        <w:t>to</w:t>
      </w:r>
      <w:r>
        <w:t xml:space="preserve"> share experiences</w:t>
      </w:r>
      <w:r w:rsidRPr="0035706F">
        <w:t xml:space="preserve">, </w:t>
      </w:r>
      <w:r>
        <w:t xml:space="preserve">and give an opportunity for them to </w:t>
      </w:r>
      <w:r w:rsidRPr="0035706F">
        <w:t xml:space="preserve">replicate good practices. They are published on </w:t>
      </w:r>
      <w:hyperlink r:id="rId18" w:history="1">
        <w:r w:rsidRPr="0035706F">
          <w:rPr>
            <w:rStyle w:val="Hyperlink"/>
          </w:rPr>
          <w:t>BDT Projects website</w:t>
        </w:r>
      </w:hyperlink>
      <w:r>
        <w:t>.</w:t>
      </w:r>
    </w:p>
    <w:p w:rsidR="00747314" w:rsidRPr="000B4174" w:rsidRDefault="00747314" w:rsidP="004C18AB">
      <w:pPr>
        <w:spacing w:after="120"/>
        <w:rPr>
          <w:b/>
        </w:rPr>
      </w:pPr>
      <w:r>
        <w:rPr>
          <w:b/>
        </w:rPr>
        <w:t xml:space="preserve">9. </w:t>
      </w:r>
      <w:r w:rsidRPr="000B4174">
        <w:rPr>
          <w:b/>
        </w:rPr>
        <w:t>Lessons learned, challenges and opportunities</w:t>
      </w:r>
    </w:p>
    <w:p w:rsidR="00747314" w:rsidRPr="0023402C" w:rsidRDefault="00747314" w:rsidP="00AF3CD6">
      <w:pPr>
        <w:pStyle w:val="ListParagraph"/>
        <w:numPr>
          <w:ilvl w:val="0"/>
          <w:numId w:val="5"/>
        </w:numPr>
        <w:spacing w:after="120"/>
        <w:ind w:left="567" w:hanging="567"/>
        <w:contextualSpacing w:val="0"/>
        <w:rPr>
          <w:lang w:val="en-US"/>
        </w:rPr>
      </w:pPr>
      <w:r w:rsidRPr="0023402C">
        <w:rPr>
          <w:lang w:val="en-US"/>
        </w:rPr>
        <w:t xml:space="preserve">It is evident that internal capacity building is needed on a continuous basis as project management practices are evolving all the time. For that reason, training courses were run for BDT staff as a way of upgrading skills. This included staff at headquarters and those in the field. More courses and a possible certification in project management is </w:t>
      </w:r>
      <w:r w:rsidR="00AF3CD6">
        <w:rPr>
          <w:lang w:val="en-US"/>
        </w:rPr>
        <w:t>under consideration</w:t>
      </w:r>
      <w:r w:rsidRPr="0023402C">
        <w:rPr>
          <w:lang w:val="en-US"/>
        </w:rPr>
        <w:t>.</w:t>
      </w:r>
    </w:p>
    <w:p w:rsidR="00747314" w:rsidRPr="0023402C" w:rsidRDefault="00747314" w:rsidP="0014750C">
      <w:pPr>
        <w:pStyle w:val="ListParagraph"/>
        <w:numPr>
          <w:ilvl w:val="0"/>
          <w:numId w:val="5"/>
        </w:numPr>
        <w:spacing w:after="120"/>
        <w:ind w:left="567" w:hanging="567"/>
        <w:contextualSpacing w:val="0"/>
        <w:rPr>
          <w:lang w:val="en-US"/>
        </w:rPr>
      </w:pPr>
      <w:r w:rsidRPr="0023402C">
        <w:rPr>
          <w:lang w:val="en-US"/>
        </w:rPr>
        <w:t xml:space="preserve">The execution of post-implementation assessments continues to be an important effort, especially to increase the sharing of information, experiences and lessons learned of implemented projects. Given the overall number of ongoing projects and limited resources, BDT will continue to carry out project reviews on a selective basis where priority will be given to those projects with high impact. </w:t>
      </w:r>
    </w:p>
    <w:p w:rsidR="00747314" w:rsidRPr="0023402C" w:rsidRDefault="00747314" w:rsidP="0014750C">
      <w:pPr>
        <w:pStyle w:val="ListParagraph"/>
        <w:numPr>
          <w:ilvl w:val="0"/>
          <w:numId w:val="5"/>
        </w:numPr>
        <w:spacing w:after="120"/>
        <w:ind w:left="567" w:hanging="567"/>
        <w:contextualSpacing w:val="0"/>
        <w:rPr>
          <w:lang w:val="en-US"/>
        </w:rPr>
      </w:pPr>
      <w:r w:rsidRPr="0023402C">
        <w:rPr>
          <w:lang w:val="en-US"/>
        </w:rPr>
        <w:t>Externalities such as political and civil strife, as well as economic difficulties in some of the beneficiary countries, as well as the disruption of project implementation resulting from natural disasters, continue to be the cause of delays in the timely project implementation.</w:t>
      </w:r>
    </w:p>
    <w:p w:rsidR="00747314" w:rsidRPr="0023402C" w:rsidRDefault="00747314" w:rsidP="0014750C">
      <w:pPr>
        <w:pStyle w:val="ListParagraph"/>
        <w:numPr>
          <w:ilvl w:val="0"/>
          <w:numId w:val="5"/>
        </w:numPr>
        <w:spacing w:after="120"/>
        <w:ind w:left="567" w:hanging="567"/>
        <w:contextualSpacing w:val="0"/>
        <w:rPr>
          <w:lang w:val="en-US"/>
        </w:rPr>
      </w:pPr>
      <w:r w:rsidRPr="0023402C">
        <w:rPr>
          <w:lang w:val="en-US"/>
        </w:rPr>
        <w:t>Resource mobilization to raise extra budgetary funds for the implementation of BDT projects remains a crucial task but and also a difficult challenge. Continuous efforts are being made, especially through the strengthening of partnerships.</w:t>
      </w:r>
    </w:p>
    <w:p w:rsidR="00747314" w:rsidRPr="0052639D" w:rsidRDefault="00747314" w:rsidP="004C18AB">
      <w:pPr>
        <w:keepNext/>
        <w:spacing w:after="120"/>
        <w:rPr>
          <w:b/>
          <w:bCs/>
          <w:lang w:val="en-US"/>
        </w:rPr>
      </w:pPr>
      <w:r w:rsidRPr="0052639D">
        <w:rPr>
          <w:b/>
          <w:bCs/>
          <w:lang w:val="en-US"/>
        </w:rPr>
        <w:t>Conclusion</w:t>
      </w:r>
    </w:p>
    <w:p w:rsidR="00747314" w:rsidRPr="0023402C" w:rsidRDefault="00747314">
      <w:pPr>
        <w:spacing w:after="120"/>
        <w:rPr>
          <w:lang w:val="en-US"/>
        </w:rPr>
      </w:pPr>
      <w:r w:rsidRPr="0023402C">
        <w:rPr>
          <w:lang w:val="en-US"/>
        </w:rPr>
        <w:t xml:space="preserve">BDT projects continue to be a significant part of the BDT activities in terms of the direct assistance they provide to developing countries. The project execution function is one of the strengths of BDT. To this end, BDT continues to monitor, analyze the challenges as well as opportunities in the area of project development, implementation, and monitoring. In order to promote transparency and accountability in the execution of projects, BDT follows </w:t>
      </w:r>
      <w:r w:rsidR="0014750C" w:rsidRPr="0023402C">
        <w:rPr>
          <w:lang w:val="en-US"/>
        </w:rPr>
        <w:t>Results</w:t>
      </w:r>
      <w:r w:rsidR="0014750C">
        <w:rPr>
          <w:lang w:val="en-US"/>
        </w:rPr>
        <w:t>-</w:t>
      </w:r>
      <w:r w:rsidRPr="0023402C">
        <w:rPr>
          <w:lang w:val="en-US"/>
        </w:rPr>
        <w:t>Based Management and Project Management guidelines.</w:t>
      </w:r>
      <w:r w:rsidR="008D6E39">
        <w:rPr>
          <w:lang w:val="en-US"/>
        </w:rPr>
        <w:t xml:space="preserve"> </w:t>
      </w:r>
    </w:p>
    <w:p w:rsidR="00747314" w:rsidRPr="0023402C" w:rsidRDefault="00747314" w:rsidP="004C18AB">
      <w:pPr>
        <w:spacing w:after="120"/>
        <w:rPr>
          <w:lang w:val="en-US"/>
        </w:rPr>
      </w:pPr>
      <w:r w:rsidRPr="0023402C">
        <w:rPr>
          <w:lang w:val="en-US"/>
        </w:rPr>
        <w:t xml:space="preserve">Special attention is given to ensure that Key Performance Indicators (KPIs) are clearly defined for each project. During the course of the implementation of a project, KPIs are being monitored and </w:t>
      </w:r>
      <w:r w:rsidRPr="0023402C">
        <w:rPr>
          <w:lang w:val="en-US"/>
        </w:rPr>
        <w:lastRenderedPageBreak/>
        <w:t xml:space="preserve">once a project has been fully implemented, assessments are carried out against the set of previously defined KPIs. </w:t>
      </w:r>
    </w:p>
    <w:p w:rsidR="00747314" w:rsidRDefault="00747314">
      <w:pPr>
        <w:spacing w:after="120"/>
        <w:rPr>
          <w:lang w:val="en-US"/>
        </w:rPr>
      </w:pPr>
      <w:r>
        <w:rPr>
          <w:lang w:val="en-US"/>
        </w:rPr>
        <w:t>The implementation of projects has proven to be an efficient way of responding to the specific needs of ITU Member States, in addition to BDT regular budget activities, and serves as an excellent mechanism of matching ICT-DF seed funds, external funding partners and beneficiary countries.</w:t>
      </w:r>
      <w:r w:rsidR="008D6E39">
        <w:rPr>
          <w:lang w:val="en-US"/>
        </w:rPr>
        <w:t xml:space="preserve"> </w:t>
      </w:r>
    </w:p>
    <w:p w:rsidR="00747314" w:rsidRDefault="00747314" w:rsidP="004C18AB">
      <w:pPr>
        <w:spacing w:after="120"/>
        <w:rPr>
          <w:lang w:val="en-US"/>
        </w:rPr>
      </w:pPr>
      <w:r>
        <w:rPr>
          <w:lang w:val="en-US"/>
        </w:rPr>
        <w:t xml:space="preserve">BDT projects are also an effective tool to implement the Regional Initiatives, which have been defined by Member States as the priority areas in which to focus on during a particular period, with the potential to benefit several countries in each region. </w:t>
      </w:r>
    </w:p>
    <w:p w:rsidR="00747314" w:rsidRDefault="00747314" w:rsidP="004C18AB">
      <w:pPr>
        <w:spacing w:after="120"/>
        <w:rPr>
          <w:lang w:val="en-US"/>
        </w:rPr>
      </w:pPr>
      <w:r>
        <w:rPr>
          <w:lang w:val="en-US"/>
        </w:rPr>
        <w:t>BDT is continuously innovating in order to respond to opportunities as well as challenges related to projects, by improving its project execution function, processes and reporting, in order to uphold accountability, efficiency and effectiveness in the implementation of projects.</w:t>
      </w:r>
    </w:p>
    <w:p w:rsidR="00747314" w:rsidRPr="009274ED" w:rsidRDefault="00747314" w:rsidP="004C18AB">
      <w:pPr>
        <w:spacing w:after="120"/>
        <w:rPr>
          <w:lang w:val="en-US"/>
        </w:rPr>
      </w:pPr>
      <w:r>
        <w:rPr>
          <w:lang w:val="en-US"/>
        </w:rPr>
        <w:t xml:space="preserve">For more information on projects implemented by ITU, visit: </w:t>
      </w:r>
      <w:hyperlink r:id="rId19" w:history="1">
        <w:r w:rsidRPr="00E726EF">
          <w:rPr>
            <w:rStyle w:val="Hyperlink"/>
            <w:lang w:val="en-US"/>
          </w:rPr>
          <w:t>http://www.itu.int/en/ITU-D/Projects/Pages/default.aspx</w:t>
        </w:r>
      </w:hyperlink>
      <w:r>
        <w:rPr>
          <w:lang w:val="en-US"/>
        </w:rPr>
        <w:t xml:space="preserve"> </w:t>
      </w:r>
    </w:p>
    <w:p w:rsidR="00747314" w:rsidRDefault="00747314" w:rsidP="00747314">
      <w:pPr>
        <w:overflowPunct/>
        <w:autoSpaceDE/>
        <w:autoSpaceDN/>
        <w:adjustRightInd/>
        <w:spacing w:before="0"/>
        <w:jc w:val="both"/>
        <w:textAlignment w:val="auto"/>
      </w:pPr>
      <w:r>
        <w:br w:type="page"/>
      </w:r>
    </w:p>
    <w:p w:rsidR="00747314" w:rsidRPr="00F52C92" w:rsidRDefault="00747314" w:rsidP="00747314">
      <w:pPr>
        <w:ind w:right="-567"/>
        <w:jc w:val="center"/>
        <w:rPr>
          <w:b/>
          <w:bCs/>
          <w:szCs w:val="24"/>
        </w:rPr>
      </w:pPr>
      <w:r w:rsidRPr="00F52C92">
        <w:rPr>
          <w:b/>
          <w:bCs/>
          <w:szCs w:val="24"/>
        </w:rPr>
        <w:lastRenderedPageBreak/>
        <w:t>Annex 1</w:t>
      </w:r>
    </w:p>
    <w:p w:rsidR="00747314" w:rsidRPr="00F52C92" w:rsidRDefault="00747314" w:rsidP="00747314">
      <w:pPr>
        <w:ind w:right="-708"/>
        <w:jc w:val="center"/>
        <w:rPr>
          <w:b/>
          <w:bCs/>
          <w:szCs w:val="24"/>
        </w:rPr>
      </w:pPr>
      <w:r w:rsidRPr="00F52C92">
        <w:rPr>
          <w:b/>
          <w:bCs/>
          <w:szCs w:val="24"/>
        </w:rPr>
        <w:t>60 Ongoing projects as of December 2018</w:t>
      </w:r>
    </w:p>
    <w:p w:rsidR="00747314" w:rsidRPr="00F52C92" w:rsidRDefault="00747314" w:rsidP="00747314">
      <w:pPr>
        <w:jc w:val="right"/>
        <w:rPr>
          <w:b/>
          <w:szCs w:val="24"/>
        </w:rPr>
      </w:pPr>
      <w:r w:rsidRPr="00F52C92">
        <w:rPr>
          <w:b/>
          <w:szCs w:val="24"/>
        </w:rPr>
        <w:t>(CHF)</w:t>
      </w:r>
      <w:r w:rsidRPr="00F52C92">
        <w:rPr>
          <w:rStyle w:val="FootnoteReference"/>
          <w:b/>
          <w:sz w:val="24"/>
          <w:szCs w:val="24"/>
        </w:rPr>
        <w:footnoteReference w:id="3"/>
      </w:r>
    </w:p>
    <w:tbl>
      <w:tblPr>
        <w:tblW w:w="10055" w:type="dxa"/>
        <w:tblLook w:val="04A0" w:firstRow="1" w:lastRow="0" w:firstColumn="1" w:lastColumn="0" w:noHBand="0" w:noVBand="1"/>
      </w:tblPr>
      <w:tblGrid>
        <w:gridCol w:w="440"/>
        <w:gridCol w:w="5682"/>
        <w:gridCol w:w="1386"/>
        <w:gridCol w:w="1418"/>
        <w:gridCol w:w="1129"/>
      </w:tblGrid>
      <w:tr w:rsidR="00747314" w:rsidRPr="00DC505D" w:rsidTr="008D6E39">
        <w:trPr>
          <w:trHeight w:val="708"/>
          <w:tblHeader/>
        </w:trPr>
        <w:tc>
          <w:tcPr>
            <w:tcW w:w="440" w:type="dxa"/>
            <w:tcBorders>
              <w:top w:val="single" w:sz="4" w:space="0" w:color="auto"/>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b/>
                <w:bCs/>
                <w:color w:val="000000"/>
                <w:sz w:val="22"/>
                <w:szCs w:val="22"/>
                <w:lang w:val="en-US" w:eastAsia="zh-CN"/>
              </w:rPr>
            </w:pPr>
            <w:r w:rsidRPr="00DC505D">
              <w:rPr>
                <w:rFonts w:ascii="Calibri" w:hAnsi="Calibri"/>
                <w:b/>
                <w:bCs/>
                <w:color w:val="000000"/>
                <w:sz w:val="22"/>
                <w:szCs w:val="22"/>
                <w:lang w:val="en-US" w:eastAsia="zh-CN"/>
              </w:rPr>
              <w:t>#</w:t>
            </w:r>
          </w:p>
        </w:tc>
        <w:tc>
          <w:tcPr>
            <w:tcW w:w="5682" w:type="dxa"/>
            <w:tcBorders>
              <w:top w:val="single" w:sz="4" w:space="0" w:color="auto"/>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b/>
                <w:bCs/>
                <w:color w:val="000000"/>
                <w:sz w:val="22"/>
                <w:szCs w:val="22"/>
                <w:lang w:val="en-US" w:eastAsia="zh-CN"/>
              </w:rPr>
            </w:pPr>
            <w:r w:rsidRPr="00DC505D">
              <w:rPr>
                <w:rFonts w:ascii="Calibri" w:hAnsi="Calibri"/>
                <w:b/>
                <w:bCs/>
                <w:color w:val="000000"/>
                <w:sz w:val="22"/>
                <w:szCs w:val="22"/>
                <w:lang w:val="en-US" w:eastAsia="zh-CN"/>
              </w:rPr>
              <w:t>Title</w:t>
            </w:r>
          </w:p>
        </w:tc>
        <w:tc>
          <w:tcPr>
            <w:tcW w:w="1386" w:type="dxa"/>
            <w:tcBorders>
              <w:top w:val="single" w:sz="4" w:space="0" w:color="auto"/>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b/>
                <w:bCs/>
                <w:color w:val="000000"/>
                <w:sz w:val="22"/>
                <w:szCs w:val="22"/>
                <w:lang w:val="en-US" w:eastAsia="zh-CN"/>
              </w:rPr>
            </w:pPr>
            <w:r w:rsidRPr="00DC505D">
              <w:rPr>
                <w:rFonts w:ascii="Calibri" w:hAnsi="Calibri"/>
                <w:b/>
                <w:bCs/>
                <w:color w:val="000000"/>
                <w:sz w:val="22"/>
                <w:szCs w:val="22"/>
                <w:lang w:val="en-US" w:eastAsia="zh-CN"/>
              </w:rPr>
              <w:t>in-cash external</w:t>
            </w:r>
          </w:p>
        </w:tc>
        <w:tc>
          <w:tcPr>
            <w:tcW w:w="1418" w:type="dxa"/>
            <w:tcBorders>
              <w:top w:val="single" w:sz="4" w:space="0" w:color="auto"/>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b/>
                <w:bCs/>
                <w:color w:val="000000"/>
                <w:sz w:val="22"/>
                <w:szCs w:val="22"/>
                <w:lang w:val="en-US" w:eastAsia="zh-CN"/>
              </w:rPr>
            </w:pPr>
            <w:r w:rsidRPr="00DC505D">
              <w:rPr>
                <w:rFonts w:ascii="Calibri" w:hAnsi="Calibri"/>
                <w:b/>
                <w:bCs/>
                <w:color w:val="000000"/>
                <w:sz w:val="22"/>
                <w:szCs w:val="22"/>
                <w:lang w:val="en-US" w:eastAsia="zh-CN"/>
              </w:rPr>
              <w:t>in-cash ICT-DF</w:t>
            </w:r>
          </w:p>
        </w:tc>
        <w:tc>
          <w:tcPr>
            <w:tcW w:w="1129" w:type="dxa"/>
            <w:tcBorders>
              <w:top w:val="single" w:sz="4" w:space="0" w:color="auto"/>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b/>
                <w:bCs/>
                <w:color w:val="000000"/>
                <w:sz w:val="22"/>
                <w:szCs w:val="22"/>
                <w:lang w:val="en-US" w:eastAsia="zh-CN"/>
              </w:rPr>
            </w:pPr>
            <w:r w:rsidRPr="00DC505D">
              <w:rPr>
                <w:rFonts w:ascii="Calibri" w:hAnsi="Calibri"/>
                <w:b/>
                <w:bCs/>
                <w:color w:val="000000"/>
                <w:sz w:val="22"/>
                <w:szCs w:val="22"/>
                <w:lang w:val="en-US" w:eastAsia="zh-CN"/>
              </w:rPr>
              <w:t>in-cash OP</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Smart Groundwater Management</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19,660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26,000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National CIRT Establishment in The Gambia</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98,300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39,320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ICT-Eye: keeping an eye on ICT data</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FFFFFF" w:themeFill="background1"/>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600,000 </w:t>
            </w:r>
          </w:p>
        </w:tc>
      </w:tr>
      <w:tr w:rsidR="00747314" w:rsidRPr="00DC505D" w:rsidTr="008D6E39">
        <w:trPr>
          <w:trHeight w:val="279"/>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Development of collaboration platform to foster affordable access to international optical fiber infrastructure</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FFFFFF" w:themeFill="background1"/>
            <w:hideMark/>
          </w:tcPr>
          <w:p w:rsidR="00747314" w:rsidRPr="0097216B"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97216B">
              <w:rPr>
                <w:rFonts w:ascii="Calibri" w:hAnsi="Calibri"/>
                <w:color w:val="000000"/>
                <w:sz w:val="22"/>
                <w:szCs w:val="22"/>
                <w:lang w:val="en-US" w:eastAsia="zh-CN"/>
              </w:rPr>
              <w:t xml:space="preserve">160,500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Digital Identity for Development</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FFFFFF" w:themeFill="background1"/>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200,000 </w:t>
            </w:r>
          </w:p>
        </w:tc>
      </w:tr>
      <w:tr w:rsidR="00747314" w:rsidRPr="00DC505D" w:rsidTr="008D6E39">
        <w:trPr>
          <w:trHeight w:val="509"/>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6</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Enhancement of National Emergency Telecommunication Plans and Coordination to Save Lives</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500,000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7</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Global e-Waste Statistics 2018</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63,201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45,144 </w:t>
            </w:r>
          </w:p>
        </w:tc>
      </w:tr>
      <w:tr w:rsidR="00747314" w:rsidRPr="00DC505D" w:rsidTr="004012BE">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8</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New graphical interface of the ITU Interactive Transmission Maps</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FFFFFF" w:themeFill="background1"/>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200,000 </w:t>
            </w:r>
          </w:p>
        </w:tc>
      </w:tr>
      <w:tr w:rsidR="00747314" w:rsidRPr="00DC505D" w:rsidTr="004012BE">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9</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CIRT Implementation of CIRT Services and related capabilities</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FFFFFF" w:themeFill="background1"/>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98,300 </w:t>
            </w:r>
          </w:p>
        </w:tc>
      </w:tr>
      <w:tr w:rsidR="00747314" w:rsidRPr="00DC505D" w:rsidTr="008D6E39">
        <w:trPr>
          <w:trHeight w:val="443"/>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10</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s-ES_tradnl" w:eastAsia="zh-CN"/>
              </w:rPr>
            </w:pPr>
            <w:r w:rsidRPr="00DC505D">
              <w:rPr>
                <w:rFonts w:ascii="Calibri" w:hAnsi="Calibri"/>
                <w:color w:val="000000"/>
                <w:sz w:val="22"/>
                <w:szCs w:val="22"/>
                <w:lang w:val="es-ES_tradnl" w:eastAsia="zh-CN"/>
              </w:rPr>
              <w:t>Proyecto piloto para el uso de las TIC para situaciones de emergencia y desastres en la región de las Américas</w:t>
            </w:r>
          </w:p>
        </w:tc>
        <w:tc>
          <w:tcPr>
            <w:tcW w:w="1386" w:type="dxa"/>
            <w:tcBorders>
              <w:top w:val="nil"/>
              <w:left w:val="nil"/>
              <w:bottom w:val="single" w:sz="4" w:space="0" w:color="auto"/>
              <w:right w:val="single" w:sz="4" w:space="0" w:color="auto"/>
            </w:tcBorders>
            <w:shd w:val="clear" w:color="auto" w:fill="auto"/>
            <w:hideMark/>
          </w:tcPr>
          <w:p w:rsidR="00747314" w:rsidRPr="007B1724" w:rsidRDefault="00747314" w:rsidP="008D6E39">
            <w:pPr>
              <w:overflowPunct/>
              <w:autoSpaceDE/>
              <w:autoSpaceDN/>
              <w:adjustRightInd/>
              <w:spacing w:before="40" w:after="40"/>
              <w:jc w:val="center"/>
              <w:textAlignment w:val="auto"/>
              <w:rPr>
                <w:rFonts w:ascii="Calibri" w:hAnsi="Calibri"/>
                <w:color w:val="000000"/>
                <w:sz w:val="22"/>
                <w:szCs w:val="22"/>
                <w:lang w:val="es-ES" w:eastAsia="zh-CN"/>
              </w:rPr>
            </w:pPr>
            <w:r w:rsidRPr="007B1724">
              <w:rPr>
                <w:rFonts w:ascii="Calibri" w:hAnsi="Calibri"/>
                <w:color w:val="000000"/>
                <w:sz w:val="22"/>
                <w:szCs w:val="22"/>
                <w:lang w:val="es-ES" w:eastAsia="zh-CN"/>
              </w:rPr>
              <w:t> </w:t>
            </w:r>
          </w:p>
        </w:tc>
        <w:tc>
          <w:tcPr>
            <w:tcW w:w="1418" w:type="dxa"/>
            <w:tcBorders>
              <w:top w:val="nil"/>
              <w:left w:val="nil"/>
              <w:bottom w:val="single" w:sz="4" w:space="0" w:color="auto"/>
              <w:right w:val="single" w:sz="4" w:space="0" w:color="auto"/>
            </w:tcBorders>
            <w:shd w:val="clear" w:color="auto" w:fill="auto"/>
            <w:hideMark/>
          </w:tcPr>
          <w:p w:rsidR="00747314" w:rsidRPr="007B1724" w:rsidRDefault="00747314" w:rsidP="008D6E39">
            <w:pPr>
              <w:overflowPunct/>
              <w:autoSpaceDE/>
              <w:autoSpaceDN/>
              <w:adjustRightInd/>
              <w:spacing w:before="40" w:after="40"/>
              <w:jc w:val="center"/>
              <w:textAlignment w:val="auto"/>
              <w:rPr>
                <w:rFonts w:ascii="Calibri" w:hAnsi="Calibri"/>
                <w:color w:val="000000"/>
                <w:sz w:val="22"/>
                <w:szCs w:val="22"/>
                <w:lang w:val="es-ES" w:eastAsia="zh-CN"/>
              </w:rPr>
            </w:pPr>
            <w:r w:rsidRPr="007B1724">
              <w:rPr>
                <w:rFonts w:ascii="Calibri" w:hAnsi="Calibri"/>
                <w:color w:val="000000"/>
                <w:sz w:val="22"/>
                <w:szCs w:val="22"/>
                <w:lang w:val="es-E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s-ES" w:eastAsia="zh-CN"/>
              </w:rPr>
              <w:t xml:space="preserve"> </w:t>
            </w:r>
            <w:r w:rsidR="00747314" w:rsidRPr="00DC505D">
              <w:rPr>
                <w:rFonts w:ascii="Calibri" w:hAnsi="Calibri"/>
                <w:color w:val="000000"/>
                <w:sz w:val="22"/>
                <w:szCs w:val="22"/>
                <w:lang w:val="en-US" w:eastAsia="zh-CN"/>
              </w:rPr>
              <w:t xml:space="preserve">68,000 </w:t>
            </w:r>
          </w:p>
        </w:tc>
      </w:tr>
      <w:tr w:rsidR="00747314" w:rsidRPr="00DC505D" w:rsidTr="008D6E39">
        <w:trPr>
          <w:trHeight w:val="569"/>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11</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Project for the use of ICTs in emergency and disaster situations in the Caribbean region- Phase 1</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100,000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12</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proofErr w:type="spellStart"/>
            <w:r w:rsidRPr="00DC505D">
              <w:rPr>
                <w:rFonts w:ascii="Calibri" w:hAnsi="Calibri"/>
                <w:color w:val="000000"/>
                <w:sz w:val="22"/>
                <w:szCs w:val="22"/>
                <w:lang w:val="en-US" w:eastAsia="zh-CN"/>
              </w:rPr>
              <w:t>Monitoreo</w:t>
            </w:r>
            <w:proofErr w:type="spellEnd"/>
            <w:r w:rsidRPr="00DC505D">
              <w:rPr>
                <w:rFonts w:ascii="Calibri" w:hAnsi="Calibri"/>
                <w:color w:val="000000"/>
                <w:sz w:val="22"/>
                <w:szCs w:val="22"/>
                <w:lang w:val="en-US" w:eastAsia="zh-CN"/>
              </w:rPr>
              <w:t xml:space="preserve"> del </w:t>
            </w:r>
            <w:proofErr w:type="spellStart"/>
            <w:r w:rsidRPr="00DC505D">
              <w:rPr>
                <w:rFonts w:ascii="Calibri" w:hAnsi="Calibri"/>
                <w:color w:val="000000"/>
                <w:sz w:val="22"/>
                <w:szCs w:val="22"/>
                <w:lang w:val="en-US" w:eastAsia="zh-CN"/>
              </w:rPr>
              <w:t>Espectro</w:t>
            </w:r>
            <w:proofErr w:type="spellEnd"/>
            <w:r w:rsidRPr="00DC505D">
              <w:rPr>
                <w:rFonts w:ascii="Calibri" w:hAnsi="Calibri"/>
                <w:color w:val="000000"/>
                <w:sz w:val="22"/>
                <w:szCs w:val="22"/>
                <w:lang w:val="en-US" w:eastAsia="zh-CN"/>
              </w:rPr>
              <w:t xml:space="preserve"> </w:t>
            </w:r>
            <w:proofErr w:type="spellStart"/>
            <w:r w:rsidRPr="00DC505D">
              <w:rPr>
                <w:rFonts w:ascii="Calibri" w:hAnsi="Calibri"/>
                <w:color w:val="000000"/>
                <w:sz w:val="22"/>
                <w:szCs w:val="22"/>
                <w:lang w:val="en-US" w:eastAsia="zh-CN"/>
              </w:rPr>
              <w:t>Radioelectrico</w:t>
            </w:r>
            <w:proofErr w:type="spellEnd"/>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132,320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123,087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123,087 </w:t>
            </w:r>
          </w:p>
        </w:tc>
      </w:tr>
      <w:tr w:rsidR="00747314" w:rsidRPr="00DC505D" w:rsidTr="004012BE">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13</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Rural Telecommunications Development in Least Developed Countries</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196,691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1,993,524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14</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xml:space="preserve">SET-UP IPv6 and </w:t>
            </w:r>
            <w:proofErr w:type="spellStart"/>
            <w:r w:rsidRPr="00DC505D">
              <w:rPr>
                <w:rFonts w:ascii="Calibri" w:hAnsi="Calibri"/>
                <w:color w:val="000000"/>
                <w:sz w:val="22"/>
                <w:szCs w:val="22"/>
                <w:lang w:val="en-US" w:eastAsia="zh-CN"/>
              </w:rPr>
              <w:t>IoT</w:t>
            </w:r>
            <w:proofErr w:type="spellEnd"/>
            <w:r w:rsidRPr="00DC505D">
              <w:rPr>
                <w:rFonts w:ascii="Calibri" w:hAnsi="Calibri"/>
                <w:color w:val="000000"/>
                <w:sz w:val="22"/>
                <w:szCs w:val="22"/>
                <w:lang w:val="en-US" w:eastAsia="zh-CN"/>
              </w:rPr>
              <w:t xml:space="preserve"> EXPERTISE CENTRE</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294,654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294,654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15</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fr-CH" w:eastAsia="zh-CN"/>
              </w:rPr>
            </w:pPr>
            <w:r w:rsidRPr="00DC505D">
              <w:rPr>
                <w:rFonts w:ascii="Calibri" w:hAnsi="Calibri"/>
                <w:color w:val="000000"/>
                <w:sz w:val="22"/>
                <w:szCs w:val="22"/>
                <w:lang w:val="fr-CH" w:eastAsia="zh-CN"/>
              </w:rPr>
              <w:t>Réseau hertzien large bande de Madagascar</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fr-CH" w:eastAsia="zh-CN"/>
              </w:rPr>
              <w:t xml:space="preserve"> </w:t>
            </w:r>
            <w:r w:rsidR="00747314" w:rsidRPr="00DC505D">
              <w:rPr>
                <w:rFonts w:ascii="Calibri" w:hAnsi="Calibri"/>
                <w:color w:val="000000"/>
                <w:sz w:val="22"/>
                <w:szCs w:val="22"/>
                <w:lang w:val="en-US" w:eastAsia="zh-CN"/>
              </w:rPr>
              <w:t xml:space="preserve">737,250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245,750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16</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Establishment of a Cybersecurity Innovation Centre for the Arab Region</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1,966,000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739,708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17</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Connect a School, Connect a Community Initiative in the State of Palestine Project II</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40,000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110,000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8D6E39">
        <w:trPr>
          <w:trHeight w:val="293"/>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18</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Regional Center ICT Accessibility for Persons with Disabilities</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49,150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73,725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25,000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19</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Broadband Wireless Network in Africa</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78,640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171,237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138,500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20</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Broadband Wireless Network - Djibouti</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840,465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21</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Broadband Wireless Network - Mali</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840,465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22</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Broadband Wireless Network - Burkina Faso</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840,465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23</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xml:space="preserve">Broadband Wireless Network - </w:t>
            </w:r>
            <w:proofErr w:type="spellStart"/>
            <w:r w:rsidRPr="00DC505D">
              <w:rPr>
                <w:rFonts w:ascii="Calibri" w:hAnsi="Calibri"/>
                <w:color w:val="000000"/>
                <w:sz w:val="22"/>
                <w:szCs w:val="22"/>
                <w:lang w:val="en-US" w:eastAsia="zh-CN"/>
              </w:rPr>
              <w:t>Eswatini</w:t>
            </w:r>
            <w:proofErr w:type="spellEnd"/>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447,265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393,200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8D6E39">
        <w:trPr>
          <w:trHeight w:val="410"/>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24</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Development of Satellite Communications Capacity and Emergency Communications Solutions for the Pacific Islands</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98,300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491,500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lastRenderedPageBreak/>
              <w:t>25</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Extension of Telemedicine to cover remote Areas in Zimbabwe</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282,742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68,810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26</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s-ES_tradnl" w:eastAsia="zh-CN"/>
              </w:rPr>
            </w:pPr>
            <w:r w:rsidRPr="00DC505D">
              <w:rPr>
                <w:rFonts w:ascii="Calibri" w:hAnsi="Calibri"/>
                <w:color w:val="000000"/>
                <w:sz w:val="22"/>
                <w:szCs w:val="22"/>
                <w:lang w:val="es-ES_tradnl" w:eastAsia="zh-CN"/>
              </w:rPr>
              <w:t>Universidades argentinas en la UIT</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s-ES" w:eastAsia="zh-CN"/>
              </w:rPr>
              <w:t xml:space="preserve"> </w:t>
            </w:r>
            <w:r w:rsidR="00747314" w:rsidRPr="00DC505D">
              <w:rPr>
                <w:rFonts w:ascii="Calibri" w:hAnsi="Calibri"/>
                <w:color w:val="000000"/>
                <w:sz w:val="22"/>
                <w:szCs w:val="22"/>
                <w:lang w:val="en-US" w:eastAsia="zh-CN"/>
              </w:rPr>
              <w:t xml:space="preserve">66,932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27</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National CIRT Establishment in Burundi</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231,453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28</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Communications CIRT Establishment</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305,394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29</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Support the Implementation of National Telecommunications Agency (ANATEL, Brazil)</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35,748,490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8D6E39">
        <w:trPr>
          <w:trHeight w:val="890"/>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30</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s-ES_tradnl" w:eastAsia="zh-CN"/>
              </w:rPr>
            </w:pPr>
            <w:r w:rsidRPr="00DC505D">
              <w:rPr>
                <w:rFonts w:ascii="Calibri" w:hAnsi="Calibri"/>
                <w:color w:val="000000"/>
                <w:sz w:val="22"/>
                <w:szCs w:val="22"/>
                <w:lang w:val="es-ES_tradnl" w:eastAsia="zh-CN"/>
              </w:rPr>
              <w:t>Diseño de estrategia para la implementación de mejores prácticas internacionales en la asignación de espectro atribuido al servicio móvil IMT en Colombia</w:t>
            </w:r>
          </w:p>
        </w:tc>
        <w:tc>
          <w:tcPr>
            <w:tcW w:w="1386" w:type="dxa"/>
            <w:tcBorders>
              <w:top w:val="nil"/>
              <w:left w:val="nil"/>
              <w:bottom w:val="single" w:sz="4" w:space="0" w:color="auto"/>
              <w:right w:val="single" w:sz="4" w:space="0" w:color="auto"/>
            </w:tcBorders>
            <w:shd w:val="clear" w:color="auto" w:fill="FFFFFF" w:themeFill="background1"/>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s-ES" w:eastAsia="zh-CN"/>
              </w:rPr>
              <w:t xml:space="preserve"> </w:t>
            </w:r>
            <w:r w:rsidR="00747314" w:rsidRPr="00DC505D">
              <w:rPr>
                <w:rFonts w:ascii="Calibri" w:hAnsi="Calibri"/>
                <w:color w:val="000000"/>
                <w:sz w:val="22"/>
                <w:szCs w:val="22"/>
                <w:lang w:val="en-US" w:eastAsia="zh-CN"/>
              </w:rPr>
              <w:t xml:space="preserve">104,993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31</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s-ES_tradnl" w:eastAsia="zh-CN"/>
              </w:rPr>
            </w:pPr>
            <w:r w:rsidRPr="00DC505D">
              <w:rPr>
                <w:rFonts w:ascii="Calibri" w:hAnsi="Calibri"/>
                <w:color w:val="000000"/>
                <w:sz w:val="22"/>
                <w:szCs w:val="22"/>
                <w:lang w:val="es-ES_tradnl" w:eastAsia="zh-CN"/>
              </w:rPr>
              <w:t>Desarrollo del conocimiento en tecnologías, para especialistas del ICE</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s-ES" w:eastAsia="zh-CN"/>
              </w:rPr>
              <w:t xml:space="preserve"> </w:t>
            </w:r>
            <w:r w:rsidR="00747314" w:rsidRPr="00DC505D">
              <w:rPr>
                <w:rFonts w:ascii="Calibri" w:hAnsi="Calibri"/>
                <w:color w:val="000000"/>
                <w:sz w:val="22"/>
                <w:szCs w:val="22"/>
                <w:lang w:val="en-US" w:eastAsia="zh-CN"/>
              </w:rPr>
              <w:t xml:space="preserve">290,438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8D6E39">
        <w:trPr>
          <w:trHeight w:val="546"/>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32</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s-ES_tradnl" w:eastAsia="zh-CN"/>
              </w:rPr>
            </w:pPr>
            <w:r w:rsidRPr="00DC505D">
              <w:rPr>
                <w:rFonts w:ascii="Calibri" w:hAnsi="Calibri"/>
                <w:color w:val="000000"/>
                <w:sz w:val="22"/>
                <w:szCs w:val="22"/>
                <w:lang w:val="es-ES_tradnl" w:eastAsia="zh-CN"/>
              </w:rPr>
              <w:t xml:space="preserve">Reforma a la Ley General de </w:t>
            </w:r>
            <w:proofErr w:type="spellStart"/>
            <w:r w:rsidRPr="00DC505D">
              <w:rPr>
                <w:rFonts w:ascii="Calibri" w:hAnsi="Calibri"/>
                <w:color w:val="000000"/>
                <w:sz w:val="22"/>
                <w:szCs w:val="22"/>
                <w:lang w:val="es-ES_tradnl" w:eastAsia="zh-CN"/>
              </w:rPr>
              <w:t>Telecommunicaciones</w:t>
            </w:r>
            <w:proofErr w:type="spellEnd"/>
            <w:r w:rsidRPr="00DC505D">
              <w:rPr>
                <w:rFonts w:ascii="Calibri" w:hAnsi="Calibri"/>
                <w:color w:val="000000"/>
                <w:sz w:val="22"/>
                <w:szCs w:val="22"/>
                <w:lang w:val="es-ES_tradnl" w:eastAsia="zh-CN"/>
              </w:rPr>
              <w:t xml:space="preserve"> de la Republica </w:t>
            </w:r>
            <w:proofErr w:type="spellStart"/>
            <w:r w:rsidRPr="00DC505D">
              <w:rPr>
                <w:rFonts w:ascii="Calibri" w:hAnsi="Calibri"/>
                <w:color w:val="000000"/>
                <w:sz w:val="22"/>
                <w:szCs w:val="22"/>
                <w:lang w:val="es-ES_tradnl" w:eastAsia="zh-CN"/>
              </w:rPr>
              <w:t>Domincana</w:t>
            </w:r>
            <w:proofErr w:type="spellEnd"/>
            <w:r w:rsidRPr="00DC505D">
              <w:rPr>
                <w:rFonts w:ascii="Calibri" w:hAnsi="Calibri"/>
                <w:color w:val="000000"/>
                <w:sz w:val="22"/>
                <w:szCs w:val="22"/>
                <w:lang w:val="es-ES_tradnl" w:eastAsia="zh-CN"/>
              </w:rPr>
              <w:t xml:space="preserve"> (INDOTEL)</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s-ES_tradnl" w:eastAsia="zh-CN"/>
              </w:rPr>
              <w:t xml:space="preserve"> </w:t>
            </w:r>
            <w:r w:rsidR="00747314" w:rsidRPr="00DC505D">
              <w:rPr>
                <w:rFonts w:ascii="Calibri" w:hAnsi="Calibri"/>
                <w:color w:val="000000"/>
                <w:sz w:val="22"/>
                <w:szCs w:val="22"/>
                <w:lang w:val="en-US" w:eastAsia="zh-CN"/>
              </w:rPr>
              <w:t xml:space="preserve">171,572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33</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proofErr w:type="spellStart"/>
            <w:r w:rsidRPr="00DC505D">
              <w:rPr>
                <w:rFonts w:ascii="Calibri" w:hAnsi="Calibri"/>
                <w:color w:val="000000"/>
                <w:sz w:val="22"/>
                <w:szCs w:val="22"/>
                <w:lang w:val="en-US" w:eastAsia="zh-CN"/>
              </w:rPr>
              <w:t>mHealth</w:t>
            </w:r>
            <w:proofErr w:type="spellEnd"/>
            <w:r w:rsidRPr="00DC505D">
              <w:rPr>
                <w:rFonts w:ascii="Calibri" w:hAnsi="Calibri"/>
                <w:color w:val="000000"/>
                <w:sz w:val="22"/>
                <w:szCs w:val="22"/>
                <w:lang w:val="en-US" w:eastAsia="zh-CN"/>
              </w:rPr>
              <w:t xml:space="preserve"> for NCDs Joint </w:t>
            </w:r>
            <w:proofErr w:type="spellStart"/>
            <w:r w:rsidRPr="00DC505D">
              <w:rPr>
                <w:rFonts w:ascii="Calibri" w:hAnsi="Calibri"/>
                <w:color w:val="000000"/>
                <w:sz w:val="22"/>
                <w:szCs w:val="22"/>
                <w:lang w:val="en-US" w:eastAsia="zh-CN"/>
              </w:rPr>
              <w:t>Programme</w:t>
            </w:r>
            <w:proofErr w:type="spellEnd"/>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170,215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34</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m Health for Strengthening National Diabetes Prevention and control in Tunisia</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294,900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8D6E39">
        <w:trPr>
          <w:trHeight w:val="383"/>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35</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proofErr w:type="spellStart"/>
            <w:r w:rsidRPr="00DC505D">
              <w:rPr>
                <w:rFonts w:ascii="Calibri" w:hAnsi="Calibri"/>
                <w:color w:val="000000"/>
                <w:sz w:val="22"/>
                <w:szCs w:val="22"/>
                <w:lang w:val="en-US" w:eastAsia="zh-CN"/>
              </w:rPr>
              <w:t>eMCM</w:t>
            </w:r>
            <w:proofErr w:type="spellEnd"/>
            <w:r w:rsidRPr="00DC505D">
              <w:rPr>
                <w:rFonts w:ascii="Calibri" w:hAnsi="Calibri"/>
                <w:color w:val="000000"/>
                <w:sz w:val="22"/>
                <w:szCs w:val="22"/>
                <w:lang w:val="en-US" w:eastAsia="zh-CN"/>
              </w:rPr>
              <w:t xml:space="preserve"> Master of Communications Management</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36</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Delivery of the Spectrum Management Training Program (SMTP)</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37</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Delivery of the Spectrum Management Training Program (SMTP)</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8D6E39">
        <w:trPr>
          <w:trHeight w:val="607"/>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38</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Development of a toolkit for ICT innovation policy/governance and ICT innovation ecosystem-II</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87,743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39</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Basic National Spectrum Management System</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87,743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8D6E39">
        <w:trPr>
          <w:trHeight w:val="439"/>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40</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Further developments to Spectrum Management System for Developing Countries (SMS4DC) software</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87,743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41</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Mainstreaming ICT Applications for SDG</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404,947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42</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Financial Inclusion Global Initiative (FIGI)</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672,372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43</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National Implementation of the Financial Inclusion Global Initiative (FIGI) in China</w:t>
            </w:r>
          </w:p>
        </w:tc>
        <w:tc>
          <w:tcPr>
            <w:tcW w:w="1386" w:type="dxa"/>
            <w:tcBorders>
              <w:top w:val="nil"/>
              <w:left w:val="nil"/>
              <w:bottom w:val="single" w:sz="4" w:space="0" w:color="auto"/>
              <w:right w:val="single" w:sz="4" w:space="0" w:color="auto"/>
            </w:tcBorders>
            <w:shd w:val="clear" w:color="auto" w:fill="FFFFFF" w:themeFill="background1"/>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224,124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8D6E39">
        <w:trPr>
          <w:trHeight w:val="369"/>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44</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National Spectrum Management Assistance Workshop</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163,532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8D6E39">
        <w:trPr>
          <w:trHeight w:val="633"/>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45</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Development of a toolkit for ICT innovation policy/governance and ICT innovation ecosystem</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109,021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46</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ICT Cooperation and partnership-TRA-UAE</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147,450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47</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Coding Camps and ICT training for Young Girls in Africa - Phase 1</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600,637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48</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PRIDA-ITU Delegation Agreement for Action</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5,642,939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564,294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1440"/>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lastRenderedPageBreak/>
              <w:t>49</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Implementing the Climate Change Adaptation Component of the Satellite Communications, Capacity, and Emergency Communications Solutions Project for the Small Island Developing States of the Pacific</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112,859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50</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Master Plans for Spectrum Management and Country Assistance in Spectrum Management</w:t>
            </w:r>
          </w:p>
        </w:tc>
        <w:tc>
          <w:tcPr>
            <w:tcW w:w="1386" w:type="dxa"/>
            <w:tcBorders>
              <w:top w:val="nil"/>
              <w:left w:val="nil"/>
              <w:bottom w:val="single" w:sz="4" w:space="0" w:color="auto"/>
              <w:right w:val="single" w:sz="4" w:space="0" w:color="auto"/>
            </w:tcBorders>
            <w:shd w:val="clear" w:color="auto" w:fill="FFFFFF" w:themeFill="background1"/>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367,940 </w:t>
            </w:r>
          </w:p>
        </w:tc>
        <w:tc>
          <w:tcPr>
            <w:tcW w:w="1418" w:type="dxa"/>
            <w:tcBorders>
              <w:top w:val="nil"/>
              <w:left w:val="nil"/>
              <w:bottom w:val="single" w:sz="4" w:space="0" w:color="auto"/>
              <w:right w:val="single" w:sz="4" w:space="0" w:color="auto"/>
            </w:tcBorders>
            <w:shd w:val="clear" w:color="auto" w:fill="FFFFFF" w:themeFill="background1"/>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8D6E39">
        <w:trPr>
          <w:trHeight w:val="509"/>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51</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Capacity Building for Countering Misappropriation of Telephone Numbers in Pacific Island Countries</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147,450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9,830 </w:t>
            </w:r>
          </w:p>
        </w:tc>
      </w:tr>
      <w:tr w:rsidR="00747314" w:rsidRPr="00DC505D" w:rsidTr="008D6E39">
        <w:trPr>
          <w:trHeight w:val="375"/>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52</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Emergency Telecommunications in Asia and the Pacific</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168,290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53</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Cybersecurity in Pacific Island Countries</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157,772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8D6E39">
        <w:trPr>
          <w:trHeight w:val="271"/>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54</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Enabling policy and regulatory environment in Asia-Pacific</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225,087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55</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Harnessing ICTs to support the digital economy and an inclusive digital society</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156,720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576"/>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56</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Fostering development of infrastructure to enhance digital connectivity in Asia-Pacific</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242,968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8D6E39">
        <w:trPr>
          <w:trHeight w:val="235"/>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57</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xml:space="preserve">European </w:t>
            </w:r>
            <w:proofErr w:type="spellStart"/>
            <w:r w:rsidRPr="00DC505D">
              <w:rPr>
                <w:rFonts w:ascii="Calibri" w:hAnsi="Calibri"/>
                <w:color w:val="000000"/>
                <w:sz w:val="22"/>
                <w:szCs w:val="22"/>
                <w:lang w:val="en-US" w:eastAsia="zh-CN"/>
              </w:rPr>
              <w:t>mHealth</w:t>
            </w:r>
            <w:proofErr w:type="spellEnd"/>
            <w:r w:rsidRPr="00DC505D">
              <w:rPr>
                <w:rFonts w:ascii="Calibri" w:hAnsi="Calibri"/>
                <w:color w:val="000000"/>
                <w:sz w:val="22"/>
                <w:szCs w:val="22"/>
                <w:lang w:val="en-US" w:eastAsia="zh-CN"/>
              </w:rPr>
              <w:t xml:space="preserve"> Knowledge and Innovation Hub</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3,385,763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8D6E39">
        <w:trPr>
          <w:trHeight w:val="523"/>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58</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Advisory Services to Saudi Arabia's Communication and Information Technology Commission (CITC)</w:t>
            </w:r>
          </w:p>
        </w:tc>
        <w:tc>
          <w:tcPr>
            <w:tcW w:w="1386" w:type="dxa"/>
            <w:tcBorders>
              <w:top w:val="nil"/>
              <w:left w:val="nil"/>
              <w:bottom w:val="single" w:sz="4" w:space="0" w:color="auto"/>
              <w:right w:val="single" w:sz="4" w:space="0" w:color="auto"/>
            </w:tcBorders>
            <w:shd w:val="clear" w:color="auto" w:fill="auto"/>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2,402,649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59</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xml:space="preserve">ITU-NBTC Training </w:t>
            </w:r>
            <w:proofErr w:type="spellStart"/>
            <w:r w:rsidRPr="00DC505D">
              <w:rPr>
                <w:rFonts w:ascii="Calibri" w:hAnsi="Calibri"/>
                <w:color w:val="000000"/>
                <w:sz w:val="22"/>
                <w:szCs w:val="22"/>
                <w:lang w:val="en-US" w:eastAsia="zh-CN"/>
              </w:rPr>
              <w:t>Programme</w:t>
            </w:r>
            <w:proofErr w:type="spellEnd"/>
            <w:r w:rsidRPr="00DC505D">
              <w:rPr>
                <w:rFonts w:ascii="Calibri" w:hAnsi="Calibri"/>
                <w:color w:val="000000"/>
                <w:sz w:val="22"/>
                <w:szCs w:val="22"/>
                <w:lang w:val="en-US" w:eastAsia="zh-CN"/>
              </w:rPr>
              <w:t xml:space="preserve"> 2018</w:t>
            </w:r>
          </w:p>
        </w:tc>
        <w:tc>
          <w:tcPr>
            <w:tcW w:w="1386" w:type="dxa"/>
            <w:tcBorders>
              <w:top w:val="nil"/>
              <w:left w:val="nil"/>
              <w:bottom w:val="single" w:sz="4" w:space="0" w:color="auto"/>
              <w:right w:val="single" w:sz="4" w:space="0" w:color="auto"/>
            </w:tcBorders>
            <w:shd w:val="clear" w:color="auto" w:fill="FFFFFF" w:themeFill="background1"/>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42,977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DC505D" w:rsidTr="008D6E39">
        <w:trPr>
          <w:trHeight w:val="379"/>
        </w:trPr>
        <w:tc>
          <w:tcPr>
            <w:tcW w:w="440" w:type="dxa"/>
            <w:tcBorders>
              <w:top w:val="nil"/>
              <w:left w:val="single" w:sz="4" w:space="0" w:color="auto"/>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60</w:t>
            </w:r>
          </w:p>
        </w:tc>
        <w:tc>
          <w:tcPr>
            <w:tcW w:w="5682"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xml:space="preserve">Capacity Building through </w:t>
            </w:r>
            <w:proofErr w:type="spellStart"/>
            <w:r w:rsidRPr="00DC505D">
              <w:rPr>
                <w:rFonts w:ascii="Calibri" w:hAnsi="Calibri"/>
                <w:color w:val="000000"/>
                <w:sz w:val="22"/>
                <w:szCs w:val="22"/>
                <w:lang w:val="en-US" w:eastAsia="zh-CN"/>
              </w:rPr>
              <w:t>Centres</w:t>
            </w:r>
            <w:proofErr w:type="spellEnd"/>
            <w:r w:rsidRPr="00DC505D">
              <w:rPr>
                <w:rFonts w:ascii="Calibri" w:hAnsi="Calibri"/>
                <w:color w:val="000000"/>
                <w:sz w:val="22"/>
                <w:szCs w:val="22"/>
                <w:lang w:val="en-US" w:eastAsia="zh-CN"/>
              </w:rPr>
              <w:t xml:space="preserve"> of Excellence (</w:t>
            </w:r>
            <w:proofErr w:type="spellStart"/>
            <w:r w:rsidRPr="00DC505D">
              <w:rPr>
                <w:rFonts w:ascii="Calibri" w:hAnsi="Calibri"/>
                <w:color w:val="000000"/>
                <w:sz w:val="22"/>
                <w:szCs w:val="22"/>
                <w:lang w:val="en-US" w:eastAsia="zh-CN"/>
              </w:rPr>
              <w:t>CoEs</w:t>
            </w:r>
            <w:proofErr w:type="spellEnd"/>
            <w:r w:rsidRPr="00DC505D">
              <w:rPr>
                <w:rFonts w:ascii="Calibri" w:hAnsi="Calibri"/>
                <w:color w:val="000000"/>
                <w:sz w:val="22"/>
                <w:szCs w:val="22"/>
                <w:lang w:val="en-US" w:eastAsia="zh-CN"/>
              </w:rPr>
              <w:t>)</w:t>
            </w:r>
          </w:p>
        </w:tc>
        <w:tc>
          <w:tcPr>
            <w:tcW w:w="1386" w:type="dxa"/>
            <w:tcBorders>
              <w:top w:val="nil"/>
              <w:left w:val="nil"/>
              <w:bottom w:val="single" w:sz="4" w:space="0" w:color="auto"/>
              <w:right w:val="single" w:sz="4" w:space="0" w:color="auto"/>
            </w:tcBorders>
            <w:shd w:val="clear" w:color="auto" w:fill="FFFFFF" w:themeFill="background1"/>
            <w:hideMark/>
          </w:tcPr>
          <w:p w:rsidR="00747314" w:rsidRPr="00DC505D" w:rsidRDefault="008D6E39" w:rsidP="008D6E39">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00747314" w:rsidRPr="00DC505D">
              <w:rPr>
                <w:rFonts w:ascii="Calibri" w:hAnsi="Calibri"/>
                <w:color w:val="000000"/>
                <w:sz w:val="22"/>
                <w:szCs w:val="22"/>
                <w:lang w:val="en-US" w:eastAsia="zh-CN"/>
              </w:rPr>
              <w:t xml:space="preserve">245,750 </w:t>
            </w:r>
          </w:p>
        </w:tc>
        <w:tc>
          <w:tcPr>
            <w:tcW w:w="1418"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29" w:type="dxa"/>
            <w:tcBorders>
              <w:top w:val="nil"/>
              <w:left w:val="nil"/>
              <w:bottom w:val="single" w:sz="4" w:space="0" w:color="auto"/>
              <w:right w:val="single" w:sz="4" w:space="0" w:color="auto"/>
            </w:tcBorders>
            <w:shd w:val="clear" w:color="auto" w:fill="auto"/>
            <w:hideMark/>
          </w:tcPr>
          <w:p w:rsidR="00747314" w:rsidRPr="00DC505D" w:rsidRDefault="00747314" w:rsidP="008D6E39">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747314" w:rsidRPr="00003CA3" w:rsidTr="008D6E39">
        <w:trPr>
          <w:trHeight w:val="427"/>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47314" w:rsidRPr="00003CA3" w:rsidRDefault="00747314" w:rsidP="008D6E39">
            <w:pPr>
              <w:overflowPunct/>
              <w:autoSpaceDE/>
              <w:autoSpaceDN/>
              <w:adjustRightInd/>
              <w:spacing w:before="40" w:after="40"/>
              <w:textAlignment w:val="auto"/>
              <w:rPr>
                <w:rFonts w:ascii="Calibri" w:hAnsi="Calibri"/>
                <w:b/>
                <w:bCs/>
                <w:color w:val="000000"/>
                <w:sz w:val="22"/>
                <w:szCs w:val="22"/>
                <w:lang w:val="en-US" w:eastAsia="zh-CN"/>
              </w:rPr>
            </w:pPr>
            <w:r w:rsidRPr="00003CA3">
              <w:rPr>
                <w:rFonts w:ascii="Calibri" w:hAnsi="Calibri"/>
                <w:b/>
                <w:bCs/>
                <w:color w:val="000000"/>
                <w:sz w:val="22"/>
                <w:szCs w:val="22"/>
                <w:lang w:val="en-US" w:eastAsia="zh-CN"/>
              </w:rPr>
              <w:t> </w:t>
            </w:r>
          </w:p>
        </w:tc>
        <w:tc>
          <w:tcPr>
            <w:tcW w:w="5682" w:type="dxa"/>
            <w:tcBorders>
              <w:top w:val="nil"/>
              <w:left w:val="nil"/>
              <w:bottom w:val="single" w:sz="4" w:space="0" w:color="auto"/>
              <w:right w:val="single" w:sz="4" w:space="0" w:color="auto"/>
            </w:tcBorders>
            <w:shd w:val="clear" w:color="auto" w:fill="auto"/>
            <w:noWrap/>
            <w:vAlign w:val="bottom"/>
            <w:hideMark/>
          </w:tcPr>
          <w:p w:rsidR="00747314" w:rsidRPr="00003CA3" w:rsidRDefault="00003CA3" w:rsidP="008D6E39">
            <w:pPr>
              <w:overflowPunct/>
              <w:autoSpaceDE/>
              <w:autoSpaceDN/>
              <w:adjustRightInd/>
              <w:spacing w:before="40" w:after="40"/>
              <w:textAlignment w:val="auto"/>
              <w:rPr>
                <w:rFonts w:ascii="Calibri" w:hAnsi="Calibri"/>
                <w:b/>
                <w:bCs/>
                <w:color w:val="000000"/>
                <w:sz w:val="22"/>
                <w:szCs w:val="22"/>
                <w:lang w:val="en-US" w:eastAsia="zh-CN"/>
              </w:rPr>
            </w:pPr>
            <w:r>
              <w:rPr>
                <w:rFonts w:ascii="Calibri" w:hAnsi="Calibri"/>
                <w:b/>
                <w:bCs/>
                <w:color w:val="000000"/>
                <w:sz w:val="22"/>
                <w:szCs w:val="22"/>
                <w:lang w:val="en-US" w:eastAsia="zh-CN"/>
              </w:rPr>
              <w:t>TOTAL</w:t>
            </w:r>
          </w:p>
        </w:tc>
        <w:tc>
          <w:tcPr>
            <w:tcW w:w="1386" w:type="dxa"/>
            <w:tcBorders>
              <w:top w:val="nil"/>
              <w:left w:val="nil"/>
              <w:bottom w:val="single" w:sz="4" w:space="0" w:color="auto"/>
              <w:right w:val="single" w:sz="4" w:space="0" w:color="auto"/>
            </w:tcBorders>
            <w:shd w:val="clear" w:color="auto" w:fill="auto"/>
            <w:noWrap/>
            <w:vAlign w:val="bottom"/>
            <w:hideMark/>
          </w:tcPr>
          <w:p w:rsidR="00747314" w:rsidRPr="00003CA3" w:rsidRDefault="008D6E39" w:rsidP="008D6E39">
            <w:pPr>
              <w:overflowPunct/>
              <w:autoSpaceDE/>
              <w:autoSpaceDN/>
              <w:adjustRightInd/>
              <w:spacing w:before="40" w:after="40"/>
              <w:textAlignment w:val="auto"/>
              <w:rPr>
                <w:rFonts w:ascii="Calibri" w:hAnsi="Calibri"/>
                <w:b/>
                <w:bCs/>
                <w:color w:val="000000"/>
                <w:sz w:val="22"/>
                <w:szCs w:val="22"/>
                <w:lang w:val="en-US" w:eastAsia="zh-CN"/>
              </w:rPr>
            </w:pPr>
            <w:r w:rsidRPr="00003CA3">
              <w:rPr>
                <w:rFonts w:ascii="Calibri" w:hAnsi="Calibri"/>
                <w:b/>
                <w:bCs/>
                <w:color w:val="000000"/>
                <w:sz w:val="22"/>
                <w:szCs w:val="22"/>
                <w:lang w:val="en-US" w:eastAsia="zh-CN"/>
              </w:rPr>
              <w:t xml:space="preserve"> </w:t>
            </w:r>
            <w:r w:rsidR="00747314" w:rsidRPr="00003CA3">
              <w:rPr>
                <w:rFonts w:ascii="Calibri" w:hAnsi="Calibri"/>
                <w:b/>
                <w:bCs/>
                <w:color w:val="000000"/>
                <w:sz w:val="22"/>
                <w:szCs w:val="22"/>
                <w:lang w:val="en-US" w:eastAsia="zh-CN"/>
              </w:rPr>
              <w:t xml:space="preserve">59,453,964 </w:t>
            </w:r>
          </w:p>
        </w:tc>
        <w:tc>
          <w:tcPr>
            <w:tcW w:w="1418" w:type="dxa"/>
            <w:tcBorders>
              <w:top w:val="nil"/>
              <w:left w:val="nil"/>
              <w:bottom w:val="single" w:sz="4" w:space="0" w:color="auto"/>
              <w:right w:val="single" w:sz="4" w:space="0" w:color="auto"/>
            </w:tcBorders>
            <w:shd w:val="clear" w:color="auto" w:fill="auto"/>
            <w:noWrap/>
            <w:vAlign w:val="bottom"/>
            <w:hideMark/>
          </w:tcPr>
          <w:p w:rsidR="00747314" w:rsidRPr="00003CA3" w:rsidRDefault="008D6E39" w:rsidP="008D6E39">
            <w:pPr>
              <w:overflowPunct/>
              <w:autoSpaceDE/>
              <w:autoSpaceDN/>
              <w:adjustRightInd/>
              <w:spacing w:before="40" w:after="40"/>
              <w:textAlignment w:val="auto"/>
              <w:rPr>
                <w:rFonts w:ascii="Calibri" w:hAnsi="Calibri"/>
                <w:b/>
                <w:bCs/>
                <w:color w:val="000000"/>
                <w:sz w:val="22"/>
                <w:szCs w:val="22"/>
                <w:lang w:val="en-US" w:eastAsia="zh-CN"/>
              </w:rPr>
            </w:pPr>
            <w:r w:rsidRPr="00003CA3">
              <w:rPr>
                <w:rFonts w:ascii="Calibri" w:hAnsi="Calibri"/>
                <w:b/>
                <w:bCs/>
                <w:color w:val="000000"/>
                <w:sz w:val="22"/>
                <w:szCs w:val="22"/>
                <w:lang w:val="en-US" w:eastAsia="zh-CN"/>
              </w:rPr>
              <w:t xml:space="preserve"> </w:t>
            </w:r>
            <w:r w:rsidR="00747314" w:rsidRPr="00003CA3">
              <w:rPr>
                <w:rFonts w:ascii="Calibri" w:hAnsi="Calibri"/>
                <w:b/>
                <w:bCs/>
                <w:color w:val="000000"/>
                <w:sz w:val="22"/>
                <w:szCs w:val="22"/>
                <w:lang w:val="en-US" w:eastAsia="zh-CN"/>
              </w:rPr>
              <w:t xml:space="preserve">6,109,954 </w:t>
            </w:r>
          </w:p>
        </w:tc>
        <w:tc>
          <w:tcPr>
            <w:tcW w:w="1129" w:type="dxa"/>
            <w:tcBorders>
              <w:top w:val="nil"/>
              <w:left w:val="nil"/>
              <w:bottom w:val="single" w:sz="4" w:space="0" w:color="auto"/>
              <w:right w:val="single" w:sz="4" w:space="0" w:color="auto"/>
            </w:tcBorders>
            <w:shd w:val="clear" w:color="auto" w:fill="auto"/>
            <w:noWrap/>
            <w:vAlign w:val="bottom"/>
            <w:hideMark/>
          </w:tcPr>
          <w:p w:rsidR="00747314" w:rsidRPr="00003CA3" w:rsidRDefault="00747314" w:rsidP="008D6E39">
            <w:pPr>
              <w:overflowPunct/>
              <w:autoSpaceDE/>
              <w:autoSpaceDN/>
              <w:adjustRightInd/>
              <w:spacing w:before="40" w:after="40"/>
              <w:textAlignment w:val="auto"/>
              <w:rPr>
                <w:rFonts w:ascii="Calibri" w:hAnsi="Calibri"/>
                <w:b/>
                <w:bCs/>
                <w:color w:val="000000"/>
                <w:sz w:val="22"/>
                <w:szCs w:val="22"/>
                <w:lang w:val="en-US" w:eastAsia="zh-CN"/>
              </w:rPr>
            </w:pPr>
            <w:r w:rsidRPr="00003CA3">
              <w:rPr>
                <w:rFonts w:ascii="Calibri" w:hAnsi="Calibri"/>
                <w:b/>
                <w:bCs/>
                <w:color w:val="000000"/>
                <w:sz w:val="22"/>
                <w:szCs w:val="22"/>
                <w:lang w:val="en-US" w:eastAsia="zh-CN"/>
              </w:rPr>
              <w:t xml:space="preserve">2,333,681 </w:t>
            </w:r>
          </w:p>
        </w:tc>
      </w:tr>
      <w:tr w:rsidR="00747314" w:rsidRPr="00DC505D" w:rsidTr="004012BE">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5682" w:type="dxa"/>
            <w:tcBorders>
              <w:top w:val="nil"/>
              <w:left w:val="nil"/>
              <w:bottom w:val="single" w:sz="4" w:space="0" w:color="auto"/>
              <w:right w:val="single" w:sz="4" w:space="0" w:color="auto"/>
            </w:tcBorders>
            <w:shd w:val="clear" w:color="auto" w:fill="auto"/>
            <w:noWrap/>
            <w:vAlign w:val="bottom"/>
            <w:hideMark/>
          </w:tcPr>
          <w:p w:rsidR="00747314" w:rsidRPr="00DC505D" w:rsidRDefault="00747314" w:rsidP="008D6E39">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386" w:type="dxa"/>
            <w:tcBorders>
              <w:top w:val="nil"/>
              <w:left w:val="nil"/>
              <w:bottom w:val="single" w:sz="4" w:space="0" w:color="auto"/>
              <w:right w:val="single" w:sz="4" w:space="0" w:color="auto"/>
            </w:tcBorders>
            <w:shd w:val="clear" w:color="auto" w:fill="auto"/>
            <w:noWrap/>
            <w:vAlign w:val="bottom"/>
            <w:hideMark/>
          </w:tcPr>
          <w:p w:rsidR="00747314" w:rsidRPr="00DC505D" w:rsidRDefault="00747314" w:rsidP="008D6E39">
            <w:pPr>
              <w:overflowPunct/>
              <w:autoSpaceDE/>
              <w:autoSpaceDN/>
              <w:adjustRightInd/>
              <w:spacing w:before="40" w:after="40"/>
              <w:jc w:val="right"/>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88%</w:t>
            </w:r>
          </w:p>
        </w:tc>
        <w:tc>
          <w:tcPr>
            <w:tcW w:w="1418" w:type="dxa"/>
            <w:tcBorders>
              <w:top w:val="nil"/>
              <w:left w:val="nil"/>
              <w:bottom w:val="single" w:sz="4" w:space="0" w:color="auto"/>
              <w:right w:val="single" w:sz="4" w:space="0" w:color="auto"/>
            </w:tcBorders>
            <w:shd w:val="clear" w:color="auto" w:fill="auto"/>
            <w:noWrap/>
            <w:vAlign w:val="bottom"/>
            <w:hideMark/>
          </w:tcPr>
          <w:p w:rsidR="00747314" w:rsidRPr="00DC505D" w:rsidRDefault="00747314" w:rsidP="008D6E39">
            <w:pPr>
              <w:overflowPunct/>
              <w:autoSpaceDE/>
              <w:autoSpaceDN/>
              <w:adjustRightInd/>
              <w:spacing w:before="40" w:after="40"/>
              <w:jc w:val="right"/>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9%</w:t>
            </w:r>
          </w:p>
        </w:tc>
        <w:tc>
          <w:tcPr>
            <w:tcW w:w="1129" w:type="dxa"/>
            <w:tcBorders>
              <w:top w:val="nil"/>
              <w:left w:val="nil"/>
              <w:bottom w:val="single" w:sz="4" w:space="0" w:color="auto"/>
              <w:right w:val="single" w:sz="4" w:space="0" w:color="auto"/>
            </w:tcBorders>
            <w:shd w:val="clear" w:color="auto" w:fill="auto"/>
            <w:noWrap/>
            <w:vAlign w:val="bottom"/>
            <w:hideMark/>
          </w:tcPr>
          <w:p w:rsidR="00747314" w:rsidRPr="00DC505D" w:rsidRDefault="00747314" w:rsidP="008D6E39">
            <w:pPr>
              <w:overflowPunct/>
              <w:autoSpaceDE/>
              <w:autoSpaceDN/>
              <w:adjustRightInd/>
              <w:spacing w:before="40" w:after="40"/>
              <w:jc w:val="right"/>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w:t>
            </w:r>
          </w:p>
        </w:tc>
      </w:tr>
    </w:tbl>
    <w:p w:rsidR="00747314" w:rsidRDefault="00747314" w:rsidP="00747314">
      <w:pPr>
        <w:overflowPunct/>
        <w:autoSpaceDE/>
        <w:autoSpaceDN/>
        <w:adjustRightInd/>
        <w:spacing w:before="0"/>
        <w:textAlignment w:val="auto"/>
        <w:rPr>
          <w:b/>
          <w:sz w:val="28"/>
        </w:rPr>
      </w:pPr>
      <w:r>
        <w:rPr>
          <w:b/>
          <w:sz w:val="28"/>
        </w:rPr>
        <w:br w:type="page"/>
      </w:r>
    </w:p>
    <w:p w:rsidR="00747314" w:rsidRPr="009F43E9" w:rsidRDefault="00747314" w:rsidP="00992404">
      <w:pPr>
        <w:jc w:val="center"/>
        <w:rPr>
          <w:b/>
          <w:bCs/>
          <w:szCs w:val="24"/>
        </w:rPr>
      </w:pPr>
      <w:r w:rsidRPr="009F43E9">
        <w:rPr>
          <w:b/>
          <w:bCs/>
          <w:szCs w:val="24"/>
        </w:rPr>
        <w:lastRenderedPageBreak/>
        <w:t>Annex 2</w:t>
      </w:r>
    </w:p>
    <w:p w:rsidR="00747314" w:rsidRPr="009F43E9" w:rsidRDefault="00747314" w:rsidP="00992404">
      <w:pPr>
        <w:jc w:val="center"/>
        <w:rPr>
          <w:b/>
          <w:bCs/>
          <w:color w:val="000000" w:themeColor="text1"/>
          <w:szCs w:val="24"/>
        </w:rPr>
      </w:pPr>
      <w:r w:rsidRPr="009F43E9">
        <w:rPr>
          <w:b/>
          <w:bCs/>
          <w:color w:val="000000" w:themeColor="text1"/>
          <w:szCs w:val="24"/>
        </w:rPr>
        <w:t>Newly signed projects in 2018 (17 projects)</w:t>
      </w:r>
      <w:r w:rsidRPr="009F43E9">
        <w:rPr>
          <w:rStyle w:val="FootnoteReference"/>
          <w:b/>
          <w:bCs/>
          <w:color w:val="000000" w:themeColor="text1"/>
          <w:sz w:val="24"/>
          <w:szCs w:val="24"/>
        </w:rPr>
        <w:footnoteReference w:id="4"/>
      </w:r>
    </w:p>
    <w:p w:rsidR="00747314" w:rsidRPr="00E740CE" w:rsidRDefault="00747314" w:rsidP="00992404">
      <w:pPr>
        <w:jc w:val="right"/>
        <w:rPr>
          <w:rFonts w:ascii="CG Times" w:hAnsi="CG Times"/>
          <w:b/>
          <w:bCs/>
          <w:sz w:val="22"/>
          <w:szCs w:val="22"/>
          <w:lang w:val="en-US" w:eastAsia="zh-CN"/>
        </w:rPr>
      </w:pPr>
      <w:r w:rsidRPr="009F43E9">
        <w:rPr>
          <w:b/>
          <w:bCs/>
          <w:szCs w:val="24"/>
        </w:rPr>
        <w:t>(CHF)</w:t>
      </w:r>
      <w:r>
        <w:rPr>
          <w:b/>
          <w:bCs/>
          <w:sz w:val="22"/>
          <w:szCs w:val="22"/>
        </w:rPr>
        <w:fldChar w:fldCharType="begin"/>
      </w:r>
      <w:r w:rsidRPr="00E740CE">
        <w:rPr>
          <w:b/>
          <w:bCs/>
          <w:sz w:val="22"/>
          <w:szCs w:val="22"/>
        </w:rPr>
        <w:instrText xml:space="preserve"> LINK </w:instrText>
      </w:r>
      <w:r>
        <w:rPr>
          <w:b/>
          <w:bCs/>
          <w:sz w:val="22"/>
          <w:szCs w:val="22"/>
        </w:rPr>
        <w:instrText xml:space="preserve">Excel.Sheet.12 Book1 Sheet1!R1C1:R19C7 </w:instrText>
      </w:r>
      <w:r w:rsidRPr="00E740CE">
        <w:rPr>
          <w:b/>
          <w:bCs/>
          <w:sz w:val="22"/>
          <w:szCs w:val="22"/>
        </w:rPr>
        <w:instrText xml:space="preserve">\a \f 5 \h  \* MERGEFORMAT </w:instrText>
      </w:r>
      <w:r>
        <w:rPr>
          <w:b/>
          <w:bCs/>
          <w:sz w:val="22"/>
          <w:szCs w:val="22"/>
        </w:rPr>
        <w:fldChar w:fldCharType="separate"/>
      </w:r>
    </w:p>
    <w:tbl>
      <w:tblPr>
        <w:tblStyle w:val="TableGrid"/>
        <w:tblW w:w="10055" w:type="dxa"/>
        <w:tblLook w:val="04A0" w:firstRow="1" w:lastRow="0" w:firstColumn="1" w:lastColumn="0" w:noHBand="0" w:noVBand="1"/>
      </w:tblPr>
      <w:tblGrid>
        <w:gridCol w:w="440"/>
        <w:gridCol w:w="4091"/>
        <w:gridCol w:w="1701"/>
        <w:gridCol w:w="1276"/>
        <w:gridCol w:w="1191"/>
        <w:gridCol w:w="1356"/>
      </w:tblGrid>
      <w:tr w:rsidR="00FF58AC" w:rsidRPr="00FF58AC" w:rsidTr="003E3D25">
        <w:trPr>
          <w:trHeight w:val="300"/>
        </w:trPr>
        <w:tc>
          <w:tcPr>
            <w:tcW w:w="440" w:type="dxa"/>
            <w:shd w:val="clear" w:color="auto" w:fill="auto"/>
          </w:tcPr>
          <w:p w:rsidR="00747314" w:rsidRPr="00FF58AC" w:rsidRDefault="00747314" w:rsidP="00992404">
            <w:pPr>
              <w:spacing w:before="40"/>
              <w:rPr>
                <w:rFonts w:cstheme="minorHAnsi"/>
                <w:b/>
                <w:bCs/>
                <w:sz w:val="22"/>
                <w:szCs w:val="22"/>
              </w:rPr>
            </w:pPr>
            <w:r w:rsidRPr="00FF58AC">
              <w:rPr>
                <w:rFonts w:cstheme="minorHAnsi"/>
                <w:b/>
                <w:bCs/>
                <w:sz w:val="22"/>
                <w:szCs w:val="22"/>
              </w:rPr>
              <w:t>#</w:t>
            </w:r>
          </w:p>
        </w:tc>
        <w:tc>
          <w:tcPr>
            <w:tcW w:w="4091" w:type="dxa"/>
            <w:shd w:val="clear" w:color="auto" w:fill="auto"/>
            <w:noWrap/>
            <w:hideMark/>
          </w:tcPr>
          <w:p w:rsidR="00747314" w:rsidRPr="00FF58AC" w:rsidRDefault="00747314" w:rsidP="00992404">
            <w:pPr>
              <w:spacing w:before="40"/>
              <w:rPr>
                <w:rFonts w:cstheme="minorHAnsi"/>
                <w:b/>
                <w:bCs/>
                <w:sz w:val="22"/>
                <w:szCs w:val="22"/>
              </w:rPr>
            </w:pPr>
            <w:r w:rsidRPr="00FF58AC">
              <w:rPr>
                <w:rFonts w:cstheme="minorHAnsi"/>
                <w:b/>
                <w:bCs/>
                <w:sz w:val="22"/>
                <w:szCs w:val="22"/>
              </w:rPr>
              <w:t>Title</w:t>
            </w:r>
          </w:p>
        </w:tc>
        <w:tc>
          <w:tcPr>
            <w:tcW w:w="1701" w:type="dxa"/>
            <w:shd w:val="clear" w:color="auto" w:fill="auto"/>
            <w:noWrap/>
            <w:hideMark/>
          </w:tcPr>
          <w:p w:rsidR="00747314" w:rsidRPr="00FF58AC" w:rsidRDefault="00747314" w:rsidP="00992404">
            <w:pPr>
              <w:spacing w:before="40"/>
              <w:jc w:val="center"/>
              <w:rPr>
                <w:rFonts w:cstheme="minorHAnsi"/>
                <w:b/>
                <w:bCs/>
                <w:sz w:val="22"/>
                <w:szCs w:val="22"/>
              </w:rPr>
            </w:pPr>
            <w:r w:rsidRPr="00FF58AC">
              <w:rPr>
                <w:rFonts w:cstheme="minorHAnsi"/>
                <w:b/>
                <w:bCs/>
                <w:sz w:val="22"/>
                <w:szCs w:val="22"/>
              </w:rPr>
              <w:t>Region</w:t>
            </w:r>
          </w:p>
        </w:tc>
        <w:tc>
          <w:tcPr>
            <w:tcW w:w="1276" w:type="dxa"/>
            <w:shd w:val="clear" w:color="auto" w:fill="auto"/>
            <w:noWrap/>
            <w:hideMark/>
          </w:tcPr>
          <w:p w:rsidR="00747314" w:rsidRPr="00FF58AC" w:rsidRDefault="00747314" w:rsidP="00992404">
            <w:pPr>
              <w:spacing w:before="40"/>
              <w:jc w:val="center"/>
              <w:rPr>
                <w:rFonts w:cstheme="minorHAnsi"/>
                <w:b/>
                <w:bCs/>
                <w:sz w:val="22"/>
                <w:szCs w:val="22"/>
              </w:rPr>
            </w:pPr>
            <w:r w:rsidRPr="00FF58AC">
              <w:rPr>
                <w:rFonts w:cstheme="minorHAnsi"/>
                <w:b/>
                <w:bCs/>
                <w:sz w:val="22"/>
                <w:szCs w:val="22"/>
              </w:rPr>
              <w:t>in-cash external</w:t>
            </w:r>
          </w:p>
        </w:tc>
        <w:tc>
          <w:tcPr>
            <w:tcW w:w="1191" w:type="dxa"/>
            <w:shd w:val="clear" w:color="auto" w:fill="auto"/>
            <w:noWrap/>
            <w:hideMark/>
          </w:tcPr>
          <w:p w:rsidR="00747314" w:rsidRPr="00FF58AC" w:rsidRDefault="00747314" w:rsidP="00992404">
            <w:pPr>
              <w:spacing w:before="40"/>
              <w:jc w:val="center"/>
              <w:rPr>
                <w:rFonts w:cstheme="minorHAnsi"/>
                <w:b/>
                <w:bCs/>
                <w:sz w:val="22"/>
                <w:szCs w:val="22"/>
              </w:rPr>
            </w:pPr>
            <w:r w:rsidRPr="00FF58AC">
              <w:rPr>
                <w:rFonts w:cstheme="minorHAnsi"/>
                <w:b/>
                <w:bCs/>
                <w:sz w:val="22"/>
                <w:szCs w:val="22"/>
              </w:rPr>
              <w:t>in-cash ICT-DF</w:t>
            </w:r>
          </w:p>
        </w:tc>
        <w:tc>
          <w:tcPr>
            <w:tcW w:w="1356" w:type="dxa"/>
            <w:shd w:val="clear" w:color="auto" w:fill="auto"/>
            <w:noWrap/>
            <w:hideMark/>
          </w:tcPr>
          <w:p w:rsidR="00747314" w:rsidRPr="00FF58AC" w:rsidRDefault="00747314" w:rsidP="00992404">
            <w:pPr>
              <w:spacing w:before="40"/>
              <w:jc w:val="center"/>
              <w:rPr>
                <w:rFonts w:cstheme="minorHAnsi"/>
                <w:b/>
                <w:bCs/>
                <w:sz w:val="22"/>
                <w:szCs w:val="22"/>
              </w:rPr>
            </w:pPr>
            <w:r w:rsidRPr="00FF58AC">
              <w:rPr>
                <w:rFonts w:cstheme="minorHAnsi"/>
                <w:b/>
                <w:bCs/>
                <w:sz w:val="22"/>
                <w:szCs w:val="22"/>
              </w:rPr>
              <w:t>in-cash OP</w:t>
            </w:r>
          </w:p>
        </w:tc>
      </w:tr>
      <w:tr w:rsidR="00FF58AC" w:rsidRPr="00FF58AC" w:rsidTr="004012BE">
        <w:trPr>
          <w:trHeight w:val="300"/>
        </w:trPr>
        <w:tc>
          <w:tcPr>
            <w:tcW w:w="440" w:type="dxa"/>
          </w:tcPr>
          <w:p w:rsidR="00747314" w:rsidRPr="00FF58AC" w:rsidRDefault="00747314" w:rsidP="00992404">
            <w:pPr>
              <w:spacing w:before="40"/>
              <w:rPr>
                <w:rFonts w:cstheme="minorHAnsi"/>
                <w:sz w:val="22"/>
                <w:szCs w:val="22"/>
              </w:rPr>
            </w:pPr>
            <w:r w:rsidRPr="00FF58AC">
              <w:rPr>
                <w:rFonts w:cstheme="minorHAnsi"/>
                <w:sz w:val="22"/>
                <w:szCs w:val="22"/>
              </w:rPr>
              <w:t>1</w:t>
            </w:r>
          </w:p>
        </w:tc>
        <w:tc>
          <w:tcPr>
            <w:tcW w:w="409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Communications CIRT Establishment</w:t>
            </w:r>
          </w:p>
        </w:tc>
        <w:tc>
          <w:tcPr>
            <w:tcW w:w="170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Africa</w:t>
            </w:r>
          </w:p>
        </w:tc>
        <w:tc>
          <w:tcPr>
            <w:tcW w:w="1276" w:type="dxa"/>
            <w:noWrap/>
            <w:hideMark/>
          </w:tcPr>
          <w:p w:rsidR="00747314" w:rsidRPr="00FF58AC" w:rsidRDefault="00747314" w:rsidP="00992404">
            <w:pPr>
              <w:spacing w:before="40"/>
              <w:jc w:val="right"/>
              <w:rPr>
                <w:rFonts w:cstheme="minorHAnsi"/>
                <w:sz w:val="22"/>
                <w:szCs w:val="22"/>
              </w:rPr>
            </w:pPr>
            <w:r w:rsidRPr="00FF58AC">
              <w:rPr>
                <w:rFonts w:cstheme="minorHAnsi"/>
                <w:sz w:val="22"/>
                <w:szCs w:val="22"/>
              </w:rPr>
              <w:t>305,394</w:t>
            </w:r>
          </w:p>
        </w:tc>
        <w:tc>
          <w:tcPr>
            <w:tcW w:w="1191" w:type="dxa"/>
            <w:noWrap/>
            <w:hideMark/>
          </w:tcPr>
          <w:p w:rsidR="00747314" w:rsidRPr="00FF58AC" w:rsidRDefault="00747314" w:rsidP="00992404">
            <w:pPr>
              <w:spacing w:before="40"/>
              <w:jc w:val="right"/>
              <w:rPr>
                <w:rFonts w:cstheme="minorHAnsi"/>
                <w:sz w:val="22"/>
                <w:szCs w:val="22"/>
              </w:rPr>
            </w:pPr>
          </w:p>
        </w:tc>
        <w:tc>
          <w:tcPr>
            <w:tcW w:w="1356" w:type="dxa"/>
            <w:noWrap/>
            <w:hideMark/>
          </w:tcPr>
          <w:p w:rsidR="00747314" w:rsidRPr="00FF58AC" w:rsidRDefault="00747314" w:rsidP="00992404">
            <w:pPr>
              <w:spacing w:before="40"/>
              <w:jc w:val="right"/>
              <w:rPr>
                <w:rFonts w:cstheme="minorHAnsi"/>
                <w:sz w:val="22"/>
                <w:szCs w:val="22"/>
              </w:rPr>
            </w:pPr>
          </w:p>
        </w:tc>
      </w:tr>
      <w:tr w:rsidR="00FF58AC" w:rsidRPr="00FF58AC" w:rsidTr="004012BE">
        <w:trPr>
          <w:trHeight w:val="300"/>
        </w:trPr>
        <w:tc>
          <w:tcPr>
            <w:tcW w:w="440" w:type="dxa"/>
          </w:tcPr>
          <w:p w:rsidR="00747314" w:rsidRPr="00FF58AC" w:rsidRDefault="00747314" w:rsidP="00992404">
            <w:pPr>
              <w:spacing w:before="40"/>
              <w:rPr>
                <w:rFonts w:cstheme="minorHAnsi"/>
                <w:sz w:val="22"/>
                <w:szCs w:val="22"/>
              </w:rPr>
            </w:pPr>
            <w:r w:rsidRPr="00FF58AC">
              <w:rPr>
                <w:rFonts w:cstheme="minorHAnsi"/>
                <w:sz w:val="22"/>
                <w:szCs w:val="22"/>
              </w:rPr>
              <w:t>2</w:t>
            </w:r>
          </w:p>
        </w:tc>
        <w:tc>
          <w:tcPr>
            <w:tcW w:w="409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Coding Camps and ICT training for Young Girls in Africa - Phase 1</w:t>
            </w:r>
          </w:p>
        </w:tc>
        <w:tc>
          <w:tcPr>
            <w:tcW w:w="170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Africa</w:t>
            </w:r>
          </w:p>
        </w:tc>
        <w:tc>
          <w:tcPr>
            <w:tcW w:w="1276" w:type="dxa"/>
            <w:noWrap/>
            <w:hideMark/>
          </w:tcPr>
          <w:p w:rsidR="00747314" w:rsidRPr="00FF58AC" w:rsidRDefault="00747314" w:rsidP="00992404">
            <w:pPr>
              <w:spacing w:before="40"/>
              <w:jc w:val="right"/>
              <w:rPr>
                <w:rFonts w:cstheme="minorHAnsi"/>
                <w:sz w:val="22"/>
                <w:szCs w:val="22"/>
              </w:rPr>
            </w:pPr>
            <w:r w:rsidRPr="00FF58AC">
              <w:rPr>
                <w:rFonts w:cstheme="minorHAnsi"/>
                <w:sz w:val="22"/>
                <w:szCs w:val="22"/>
              </w:rPr>
              <w:t>600,637</w:t>
            </w:r>
          </w:p>
        </w:tc>
        <w:tc>
          <w:tcPr>
            <w:tcW w:w="1191" w:type="dxa"/>
            <w:noWrap/>
            <w:hideMark/>
          </w:tcPr>
          <w:p w:rsidR="00747314" w:rsidRPr="00FF58AC" w:rsidRDefault="00747314" w:rsidP="00992404">
            <w:pPr>
              <w:spacing w:before="40"/>
              <w:jc w:val="right"/>
              <w:rPr>
                <w:rFonts w:cstheme="minorHAnsi"/>
                <w:sz w:val="22"/>
                <w:szCs w:val="22"/>
              </w:rPr>
            </w:pPr>
          </w:p>
        </w:tc>
        <w:tc>
          <w:tcPr>
            <w:tcW w:w="1356" w:type="dxa"/>
            <w:noWrap/>
            <w:hideMark/>
          </w:tcPr>
          <w:p w:rsidR="00747314" w:rsidRPr="00FF58AC" w:rsidRDefault="00747314" w:rsidP="00992404">
            <w:pPr>
              <w:spacing w:before="40"/>
              <w:jc w:val="right"/>
              <w:rPr>
                <w:rFonts w:cstheme="minorHAnsi"/>
                <w:sz w:val="22"/>
                <w:szCs w:val="22"/>
              </w:rPr>
            </w:pPr>
          </w:p>
        </w:tc>
      </w:tr>
      <w:tr w:rsidR="00FF58AC" w:rsidRPr="00FF58AC" w:rsidTr="004012BE">
        <w:trPr>
          <w:trHeight w:val="300"/>
        </w:trPr>
        <w:tc>
          <w:tcPr>
            <w:tcW w:w="440" w:type="dxa"/>
          </w:tcPr>
          <w:p w:rsidR="00747314" w:rsidRPr="00FF58AC" w:rsidRDefault="00747314" w:rsidP="00992404">
            <w:pPr>
              <w:spacing w:before="40"/>
              <w:rPr>
                <w:rFonts w:cstheme="minorHAnsi"/>
                <w:sz w:val="22"/>
                <w:szCs w:val="22"/>
              </w:rPr>
            </w:pPr>
            <w:r w:rsidRPr="00FF58AC">
              <w:rPr>
                <w:rFonts w:cstheme="minorHAnsi"/>
                <w:sz w:val="22"/>
                <w:szCs w:val="22"/>
              </w:rPr>
              <w:t>3</w:t>
            </w:r>
          </w:p>
        </w:tc>
        <w:tc>
          <w:tcPr>
            <w:tcW w:w="409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PRIDA-ITU Delegation Agreement for Action</w:t>
            </w:r>
          </w:p>
        </w:tc>
        <w:tc>
          <w:tcPr>
            <w:tcW w:w="170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Africa</w:t>
            </w:r>
          </w:p>
        </w:tc>
        <w:tc>
          <w:tcPr>
            <w:tcW w:w="1276" w:type="dxa"/>
            <w:noWrap/>
            <w:hideMark/>
          </w:tcPr>
          <w:p w:rsidR="00747314" w:rsidRPr="00FF58AC" w:rsidRDefault="00747314" w:rsidP="00992404">
            <w:pPr>
              <w:spacing w:before="40"/>
              <w:jc w:val="right"/>
              <w:rPr>
                <w:rFonts w:cstheme="minorHAnsi"/>
                <w:sz w:val="22"/>
                <w:szCs w:val="22"/>
              </w:rPr>
            </w:pPr>
            <w:r w:rsidRPr="00FF58AC">
              <w:rPr>
                <w:rFonts w:cstheme="minorHAnsi"/>
                <w:sz w:val="22"/>
                <w:szCs w:val="22"/>
              </w:rPr>
              <w:t>5,642,939</w:t>
            </w:r>
          </w:p>
        </w:tc>
        <w:tc>
          <w:tcPr>
            <w:tcW w:w="1191" w:type="dxa"/>
            <w:noWrap/>
            <w:hideMark/>
          </w:tcPr>
          <w:p w:rsidR="00747314" w:rsidRPr="00FF58AC" w:rsidRDefault="00747314" w:rsidP="00992404">
            <w:pPr>
              <w:spacing w:before="40"/>
              <w:jc w:val="right"/>
              <w:rPr>
                <w:rFonts w:cstheme="minorHAnsi"/>
                <w:sz w:val="22"/>
                <w:szCs w:val="22"/>
              </w:rPr>
            </w:pPr>
            <w:r w:rsidRPr="00FF58AC">
              <w:rPr>
                <w:rFonts w:cstheme="minorHAnsi"/>
                <w:sz w:val="22"/>
                <w:szCs w:val="22"/>
              </w:rPr>
              <w:t>564,294</w:t>
            </w:r>
          </w:p>
        </w:tc>
        <w:tc>
          <w:tcPr>
            <w:tcW w:w="1356" w:type="dxa"/>
            <w:noWrap/>
            <w:hideMark/>
          </w:tcPr>
          <w:p w:rsidR="00747314" w:rsidRPr="00FF58AC" w:rsidRDefault="00747314" w:rsidP="00992404">
            <w:pPr>
              <w:spacing w:before="40"/>
              <w:jc w:val="right"/>
              <w:rPr>
                <w:rFonts w:cstheme="minorHAnsi"/>
                <w:sz w:val="22"/>
                <w:szCs w:val="22"/>
              </w:rPr>
            </w:pPr>
          </w:p>
        </w:tc>
      </w:tr>
      <w:tr w:rsidR="00FF58AC" w:rsidRPr="00FF58AC" w:rsidTr="004012BE">
        <w:trPr>
          <w:trHeight w:val="300"/>
        </w:trPr>
        <w:tc>
          <w:tcPr>
            <w:tcW w:w="440" w:type="dxa"/>
          </w:tcPr>
          <w:p w:rsidR="00747314" w:rsidRPr="00FF58AC" w:rsidRDefault="00747314" w:rsidP="00992404">
            <w:pPr>
              <w:spacing w:before="40"/>
              <w:rPr>
                <w:rFonts w:cstheme="minorHAnsi"/>
                <w:sz w:val="22"/>
                <w:szCs w:val="22"/>
              </w:rPr>
            </w:pPr>
            <w:r w:rsidRPr="00FF58AC">
              <w:rPr>
                <w:rFonts w:cstheme="minorHAnsi"/>
                <w:sz w:val="22"/>
                <w:szCs w:val="22"/>
              </w:rPr>
              <w:t>4</w:t>
            </w:r>
          </w:p>
        </w:tc>
        <w:tc>
          <w:tcPr>
            <w:tcW w:w="409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CIRT Implementation of CIRT Services and related capabilities</w:t>
            </w:r>
          </w:p>
        </w:tc>
        <w:tc>
          <w:tcPr>
            <w:tcW w:w="170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Arab States</w:t>
            </w:r>
          </w:p>
        </w:tc>
        <w:tc>
          <w:tcPr>
            <w:tcW w:w="1276" w:type="dxa"/>
            <w:noWrap/>
            <w:hideMark/>
          </w:tcPr>
          <w:p w:rsidR="00747314" w:rsidRPr="00FF58AC" w:rsidRDefault="00747314" w:rsidP="00992404">
            <w:pPr>
              <w:spacing w:before="40"/>
              <w:jc w:val="right"/>
              <w:rPr>
                <w:rFonts w:cstheme="minorHAnsi"/>
                <w:sz w:val="22"/>
                <w:szCs w:val="22"/>
              </w:rPr>
            </w:pPr>
          </w:p>
        </w:tc>
        <w:tc>
          <w:tcPr>
            <w:tcW w:w="1191" w:type="dxa"/>
            <w:noWrap/>
            <w:hideMark/>
          </w:tcPr>
          <w:p w:rsidR="00747314" w:rsidRPr="00FF58AC" w:rsidRDefault="00747314" w:rsidP="00992404">
            <w:pPr>
              <w:spacing w:before="40"/>
              <w:jc w:val="right"/>
              <w:rPr>
                <w:rFonts w:cstheme="minorHAnsi"/>
                <w:sz w:val="22"/>
                <w:szCs w:val="22"/>
              </w:rPr>
            </w:pPr>
          </w:p>
        </w:tc>
        <w:tc>
          <w:tcPr>
            <w:tcW w:w="1356" w:type="dxa"/>
            <w:noWrap/>
            <w:hideMark/>
          </w:tcPr>
          <w:p w:rsidR="00747314" w:rsidRPr="00FF58AC" w:rsidRDefault="00747314" w:rsidP="00992404">
            <w:pPr>
              <w:spacing w:before="40"/>
              <w:jc w:val="right"/>
              <w:rPr>
                <w:rFonts w:cstheme="minorHAnsi"/>
                <w:sz w:val="22"/>
                <w:szCs w:val="22"/>
              </w:rPr>
            </w:pPr>
            <w:r w:rsidRPr="00FF58AC">
              <w:rPr>
                <w:rFonts w:cstheme="minorHAnsi"/>
                <w:sz w:val="22"/>
                <w:szCs w:val="22"/>
              </w:rPr>
              <w:t>98,300</w:t>
            </w:r>
          </w:p>
        </w:tc>
      </w:tr>
      <w:tr w:rsidR="00FF58AC" w:rsidRPr="00FF58AC" w:rsidTr="004012BE">
        <w:trPr>
          <w:trHeight w:val="300"/>
        </w:trPr>
        <w:tc>
          <w:tcPr>
            <w:tcW w:w="440" w:type="dxa"/>
          </w:tcPr>
          <w:p w:rsidR="00747314" w:rsidRPr="00FF58AC" w:rsidRDefault="00747314" w:rsidP="00992404">
            <w:pPr>
              <w:spacing w:before="40"/>
              <w:rPr>
                <w:rFonts w:cstheme="minorHAnsi"/>
                <w:sz w:val="22"/>
                <w:szCs w:val="22"/>
              </w:rPr>
            </w:pPr>
            <w:r w:rsidRPr="00FF58AC">
              <w:rPr>
                <w:rFonts w:cstheme="minorHAnsi"/>
                <w:sz w:val="22"/>
                <w:szCs w:val="22"/>
              </w:rPr>
              <w:t>5</w:t>
            </w:r>
          </w:p>
        </w:tc>
        <w:tc>
          <w:tcPr>
            <w:tcW w:w="409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National Implementation of the Financial Inclusion Global Initiative (FIGI) in China</w:t>
            </w:r>
          </w:p>
        </w:tc>
        <w:tc>
          <w:tcPr>
            <w:tcW w:w="170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Asia &amp; Pacific</w:t>
            </w:r>
          </w:p>
        </w:tc>
        <w:tc>
          <w:tcPr>
            <w:tcW w:w="1276" w:type="dxa"/>
            <w:noWrap/>
            <w:hideMark/>
          </w:tcPr>
          <w:p w:rsidR="00747314" w:rsidRPr="00FF58AC" w:rsidRDefault="00747314" w:rsidP="00992404">
            <w:pPr>
              <w:spacing w:before="40"/>
              <w:jc w:val="right"/>
              <w:rPr>
                <w:rFonts w:cstheme="minorHAnsi"/>
                <w:sz w:val="22"/>
                <w:szCs w:val="22"/>
              </w:rPr>
            </w:pPr>
            <w:r w:rsidRPr="00FF58AC">
              <w:rPr>
                <w:rFonts w:cstheme="minorHAnsi"/>
                <w:sz w:val="22"/>
                <w:szCs w:val="22"/>
              </w:rPr>
              <w:t>224,124</w:t>
            </w:r>
          </w:p>
        </w:tc>
        <w:tc>
          <w:tcPr>
            <w:tcW w:w="1191" w:type="dxa"/>
            <w:noWrap/>
            <w:hideMark/>
          </w:tcPr>
          <w:p w:rsidR="00747314" w:rsidRPr="00FF58AC" w:rsidRDefault="00747314" w:rsidP="00992404">
            <w:pPr>
              <w:spacing w:before="40"/>
              <w:jc w:val="right"/>
              <w:rPr>
                <w:rFonts w:cstheme="minorHAnsi"/>
                <w:sz w:val="22"/>
                <w:szCs w:val="22"/>
              </w:rPr>
            </w:pPr>
          </w:p>
        </w:tc>
        <w:tc>
          <w:tcPr>
            <w:tcW w:w="1356" w:type="dxa"/>
            <w:noWrap/>
            <w:hideMark/>
          </w:tcPr>
          <w:p w:rsidR="00747314" w:rsidRPr="00FF58AC" w:rsidRDefault="00747314" w:rsidP="00992404">
            <w:pPr>
              <w:spacing w:before="40"/>
              <w:jc w:val="right"/>
              <w:rPr>
                <w:rFonts w:cstheme="minorHAnsi"/>
                <w:sz w:val="22"/>
                <w:szCs w:val="22"/>
              </w:rPr>
            </w:pPr>
          </w:p>
        </w:tc>
      </w:tr>
      <w:tr w:rsidR="00FF58AC" w:rsidRPr="00FF58AC" w:rsidTr="004012BE">
        <w:trPr>
          <w:trHeight w:val="300"/>
        </w:trPr>
        <w:tc>
          <w:tcPr>
            <w:tcW w:w="440" w:type="dxa"/>
          </w:tcPr>
          <w:p w:rsidR="00747314" w:rsidRPr="00FF58AC" w:rsidRDefault="00747314" w:rsidP="00992404">
            <w:pPr>
              <w:spacing w:before="40"/>
              <w:rPr>
                <w:rFonts w:cstheme="minorHAnsi"/>
                <w:sz w:val="22"/>
                <w:szCs w:val="22"/>
              </w:rPr>
            </w:pPr>
            <w:r w:rsidRPr="00FF58AC">
              <w:rPr>
                <w:rFonts w:cstheme="minorHAnsi"/>
                <w:sz w:val="22"/>
                <w:szCs w:val="22"/>
              </w:rPr>
              <w:t>6</w:t>
            </w:r>
          </w:p>
        </w:tc>
        <w:tc>
          <w:tcPr>
            <w:tcW w:w="409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Enabling policy and regulatory environment in Asia-Pacific</w:t>
            </w:r>
          </w:p>
        </w:tc>
        <w:tc>
          <w:tcPr>
            <w:tcW w:w="170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Asia &amp; Pacific</w:t>
            </w:r>
          </w:p>
        </w:tc>
        <w:tc>
          <w:tcPr>
            <w:tcW w:w="1276" w:type="dxa"/>
            <w:noWrap/>
            <w:hideMark/>
          </w:tcPr>
          <w:p w:rsidR="00747314" w:rsidRPr="00FF58AC" w:rsidRDefault="00747314" w:rsidP="00992404">
            <w:pPr>
              <w:spacing w:before="40"/>
              <w:jc w:val="right"/>
              <w:rPr>
                <w:rFonts w:cstheme="minorHAnsi"/>
                <w:sz w:val="22"/>
                <w:szCs w:val="22"/>
              </w:rPr>
            </w:pPr>
            <w:r w:rsidRPr="00FF58AC">
              <w:rPr>
                <w:rFonts w:cstheme="minorHAnsi"/>
                <w:sz w:val="22"/>
                <w:szCs w:val="22"/>
              </w:rPr>
              <w:t>225,087</w:t>
            </w:r>
          </w:p>
        </w:tc>
        <w:tc>
          <w:tcPr>
            <w:tcW w:w="1191" w:type="dxa"/>
            <w:noWrap/>
            <w:hideMark/>
          </w:tcPr>
          <w:p w:rsidR="00747314" w:rsidRPr="00FF58AC" w:rsidRDefault="00747314" w:rsidP="00992404">
            <w:pPr>
              <w:spacing w:before="40"/>
              <w:jc w:val="right"/>
              <w:rPr>
                <w:rFonts w:cstheme="minorHAnsi"/>
                <w:sz w:val="22"/>
                <w:szCs w:val="22"/>
              </w:rPr>
            </w:pPr>
          </w:p>
        </w:tc>
        <w:tc>
          <w:tcPr>
            <w:tcW w:w="1356" w:type="dxa"/>
            <w:noWrap/>
            <w:hideMark/>
          </w:tcPr>
          <w:p w:rsidR="00747314" w:rsidRPr="00FF58AC" w:rsidRDefault="00747314" w:rsidP="00992404">
            <w:pPr>
              <w:spacing w:before="40"/>
              <w:jc w:val="right"/>
              <w:rPr>
                <w:rFonts w:cstheme="minorHAnsi"/>
                <w:sz w:val="22"/>
                <w:szCs w:val="22"/>
              </w:rPr>
            </w:pPr>
          </w:p>
        </w:tc>
      </w:tr>
      <w:tr w:rsidR="00FF58AC" w:rsidRPr="00FF58AC" w:rsidTr="004012BE">
        <w:trPr>
          <w:trHeight w:val="300"/>
        </w:trPr>
        <w:tc>
          <w:tcPr>
            <w:tcW w:w="440" w:type="dxa"/>
          </w:tcPr>
          <w:p w:rsidR="00747314" w:rsidRPr="00FF58AC" w:rsidRDefault="00747314" w:rsidP="00992404">
            <w:pPr>
              <w:spacing w:before="40"/>
              <w:rPr>
                <w:rFonts w:cstheme="minorHAnsi"/>
                <w:sz w:val="22"/>
                <w:szCs w:val="22"/>
              </w:rPr>
            </w:pPr>
            <w:r w:rsidRPr="00FF58AC">
              <w:rPr>
                <w:rFonts w:cstheme="minorHAnsi"/>
                <w:sz w:val="22"/>
                <w:szCs w:val="22"/>
              </w:rPr>
              <w:t>7</w:t>
            </w:r>
          </w:p>
        </w:tc>
        <w:tc>
          <w:tcPr>
            <w:tcW w:w="409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Harnessing ICTs to support the digital economy and an inclusive digital society</w:t>
            </w:r>
          </w:p>
        </w:tc>
        <w:tc>
          <w:tcPr>
            <w:tcW w:w="170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Asia &amp; Pacific</w:t>
            </w:r>
          </w:p>
        </w:tc>
        <w:tc>
          <w:tcPr>
            <w:tcW w:w="1276" w:type="dxa"/>
            <w:noWrap/>
            <w:hideMark/>
          </w:tcPr>
          <w:p w:rsidR="00747314" w:rsidRPr="00FF58AC" w:rsidRDefault="00747314" w:rsidP="00992404">
            <w:pPr>
              <w:spacing w:before="40"/>
              <w:jc w:val="right"/>
              <w:rPr>
                <w:rFonts w:cstheme="minorHAnsi"/>
                <w:sz w:val="22"/>
                <w:szCs w:val="22"/>
              </w:rPr>
            </w:pPr>
            <w:r w:rsidRPr="00FF58AC">
              <w:rPr>
                <w:rFonts w:cstheme="minorHAnsi"/>
                <w:sz w:val="22"/>
                <w:szCs w:val="22"/>
              </w:rPr>
              <w:t>156,720</w:t>
            </w:r>
          </w:p>
        </w:tc>
        <w:tc>
          <w:tcPr>
            <w:tcW w:w="1191" w:type="dxa"/>
            <w:noWrap/>
            <w:hideMark/>
          </w:tcPr>
          <w:p w:rsidR="00747314" w:rsidRPr="00FF58AC" w:rsidRDefault="00747314" w:rsidP="00992404">
            <w:pPr>
              <w:spacing w:before="40"/>
              <w:jc w:val="right"/>
              <w:rPr>
                <w:rFonts w:cstheme="minorHAnsi"/>
                <w:sz w:val="22"/>
                <w:szCs w:val="22"/>
              </w:rPr>
            </w:pPr>
          </w:p>
        </w:tc>
        <w:tc>
          <w:tcPr>
            <w:tcW w:w="1356" w:type="dxa"/>
            <w:noWrap/>
            <w:hideMark/>
          </w:tcPr>
          <w:p w:rsidR="00747314" w:rsidRPr="00FF58AC" w:rsidRDefault="00747314" w:rsidP="00992404">
            <w:pPr>
              <w:spacing w:before="40"/>
              <w:jc w:val="right"/>
              <w:rPr>
                <w:rFonts w:cstheme="minorHAnsi"/>
                <w:sz w:val="22"/>
                <w:szCs w:val="22"/>
              </w:rPr>
            </w:pPr>
          </w:p>
        </w:tc>
      </w:tr>
      <w:tr w:rsidR="00FF58AC" w:rsidRPr="00FF58AC" w:rsidTr="004012BE">
        <w:trPr>
          <w:trHeight w:val="300"/>
        </w:trPr>
        <w:tc>
          <w:tcPr>
            <w:tcW w:w="440" w:type="dxa"/>
          </w:tcPr>
          <w:p w:rsidR="00747314" w:rsidRPr="00FF58AC" w:rsidRDefault="00747314" w:rsidP="00992404">
            <w:pPr>
              <w:spacing w:before="40"/>
              <w:rPr>
                <w:rFonts w:cstheme="minorHAnsi"/>
                <w:sz w:val="22"/>
                <w:szCs w:val="22"/>
              </w:rPr>
            </w:pPr>
            <w:r w:rsidRPr="00FF58AC">
              <w:rPr>
                <w:rFonts w:cstheme="minorHAnsi"/>
                <w:sz w:val="22"/>
                <w:szCs w:val="22"/>
              </w:rPr>
              <w:t>8</w:t>
            </w:r>
          </w:p>
        </w:tc>
        <w:tc>
          <w:tcPr>
            <w:tcW w:w="409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Fostering development of infrastructure to enhance digital connectivity in Asia-Pacific</w:t>
            </w:r>
          </w:p>
        </w:tc>
        <w:tc>
          <w:tcPr>
            <w:tcW w:w="170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Asia &amp; Pacific</w:t>
            </w:r>
          </w:p>
        </w:tc>
        <w:tc>
          <w:tcPr>
            <w:tcW w:w="1276" w:type="dxa"/>
            <w:noWrap/>
            <w:hideMark/>
          </w:tcPr>
          <w:p w:rsidR="00747314" w:rsidRPr="00FF58AC" w:rsidRDefault="00747314" w:rsidP="00992404">
            <w:pPr>
              <w:spacing w:before="40"/>
              <w:jc w:val="right"/>
              <w:rPr>
                <w:rFonts w:cstheme="minorHAnsi"/>
                <w:sz w:val="22"/>
                <w:szCs w:val="22"/>
              </w:rPr>
            </w:pPr>
            <w:r w:rsidRPr="00FF58AC">
              <w:rPr>
                <w:rFonts w:cstheme="minorHAnsi"/>
                <w:sz w:val="22"/>
                <w:szCs w:val="22"/>
              </w:rPr>
              <w:t>242,968</w:t>
            </w:r>
          </w:p>
        </w:tc>
        <w:tc>
          <w:tcPr>
            <w:tcW w:w="1191" w:type="dxa"/>
            <w:noWrap/>
            <w:hideMark/>
          </w:tcPr>
          <w:p w:rsidR="00747314" w:rsidRPr="00FF58AC" w:rsidRDefault="00747314" w:rsidP="00992404">
            <w:pPr>
              <w:spacing w:before="40"/>
              <w:jc w:val="right"/>
              <w:rPr>
                <w:rFonts w:cstheme="minorHAnsi"/>
                <w:sz w:val="22"/>
                <w:szCs w:val="22"/>
              </w:rPr>
            </w:pPr>
          </w:p>
        </w:tc>
        <w:tc>
          <w:tcPr>
            <w:tcW w:w="1356" w:type="dxa"/>
            <w:noWrap/>
            <w:hideMark/>
          </w:tcPr>
          <w:p w:rsidR="00747314" w:rsidRPr="00FF58AC" w:rsidRDefault="00747314" w:rsidP="00992404">
            <w:pPr>
              <w:spacing w:before="40"/>
              <w:jc w:val="right"/>
              <w:rPr>
                <w:rFonts w:cstheme="minorHAnsi"/>
                <w:sz w:val="22"/>
                <w:szCs w:val="22"/>
              </w:rPr>
            </w:pPr>
          </w:p>
        </w:tc>
      </w:tr>
      <w:tr w:rsidR="00FF58AC" w:rsidRPr="00FF58AC" w:rsidTr="004012BE">
        <w:trPr>
          <w:trHeight w:val="300"/>
        </w:trPr>
        <w:tc>
          <w:tcPr>
            <w:tcW w:w="440" w:type="dxa"/>
          </w:tcPr>
          <w:p w:rsidR="00747314" w:rsidRPr="00FF58AC" w:rsidRDefault="00747314" w:rsidP="00992404">
            <w:pPr>
              <w:spacing w:before="40"/>
              <w:rPr>
                <w:rFonts w:cstheme="minorHAnsi"/>
                <w:sz w:val="22"/>
                <w:szCs w:val="22"/>
              </w:rPr>
            </w:pPr>
            <w:r w:rsidRPr="00FF58AC">
              <w:rPr>
                <w:rFonts w:cstheme="minorHAnsi"/>
                <w:sz w:val="22"/>
                <w:szCs w:val="22"/>
              </w:rPr>
              <w:t>9</w:t>
            </w:r>
          </w:p>
        </w:tc>
        <w:tc>
          <w:tcPr>
            <w:tcW w:w="409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ITU-NBTC Training Programme 2018</w:t>
            </w:r>
          </w:p>
        </w:tc>
        <w:tc>
          <w:tcPr>
            <w:tcW w:w="170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Asia &amp; Pacific</w:t>
            </w:r>
          </w:p>
        </w:tc>
        <w:tc>
          <w:tcPr>
            <w:tcW w:w="1276" w:type="dxa"/>
            <w:noWrap/>
            <w:hideMark/>
          </w:tcPr>
          <w:p w:rsidR="00747314" w:rsidRPr="00FF58AC" w:rsidRDefault="00747314" w:rsidP="00992404">
            <w:pPr>
              <w:spacing w:before="40"/>
              <w:jc w:val="right"/>
              <w:rPr>
                <w:rFonts w:cstheme="minorHAnsi"/>
                <w:sz w:val="22"/>
                <w:szCs w:val="22"/>
              </w:rPr>
            </w:pPr>
            <w:r w:rsidRPr="00FF58AC">
              <w:rPr>
                <w:rFonts w:cstheme="minorHAnsi"/>
                <w:sz w:val="22"/>
                <w:szCs w:val="22"/>
              </w:rPr>
              <w:t>42,977</w:t>
            </w:r>
          </w:p>
        </w:tc>
        <w:tc>
          <w:tcPr>
            <w:tcW w:w="1191" w:type="dxa"/>
            <w:noWrap/>
            <w:hideMark/>
          </w:tcPr>
          <w:p w:rsidR="00747314" w:rsidRPr="00FF58AC" w:rsidRDefault="00747314" w:rsidP="00992404">
            <w:pPr>
              <w:spacing w:before="40"/>
              <w:jc w:val="right"/>
              <w:rPr>
                <w:rFonts w:cstheme="minorHAnsi"/>
                <w:sz w:val="22"/>
                <w:szCs w:val="22"/>
              </w:rPr>
            </w:pPr>
          </w:p>
        </w:tc>
        <w:tc>
          <w:tcPr>
            <w:tcW w:w="1356" w:type="dxa"/>
            <w:noWrap/>
            <w:hideMark/>
          </w:tcPr>
          <w:p w:rsidR="00747314" w:rsidRPr="00FF58AC" w:rsidRDefault="00747314" w:rsidP="00992404">
            <w:pPr>
              <w:spacing w:before="40"/>
              <w:jc w:val="right"/>
              <w:rPr>
                <w:rFonts w:cstheme="minorHAnsi"/>
                <w:sz w:val="22"/>
                <w:szCs w:val="22"/>
              </w:rPr>
            </w:pPr>
          </w:p>
        </w:tc>
      </w:tr>
      <w:tr w:rsidR="00FF58AC" w:rsidRPr="00FF58AC" w:rsidTr="004012BE">
        <w:trPr>
          <w:trHeight w:val="300"/>
        </w:trPr>
        <w:tc>
          <w:tcPr>
            <w:tcW w:w="440" w:type="dxa"/>
          </w:tcPr>
          <w:p w:rsidR="00747314" w:rsidRPr="00FF58AC" w:rsidRDefault="00747314" w:rsidP="00992404">
            <w:pPr>
              <w:spacing w:before="40"/>
              <w:rPr>
                <w:rFonts w:cstheme="minorHAnsi"/>
                <w:sz w:val="22"/>
                <w:szCs w:val="22"/>
              </w:rPr>
            </w:pPr>
            <w:r w:rsidRPr="00FF58AC">
              <w:rPr>
                <w:rFonts w:cstheme="minorHAnsi"/>
                <w:sz w:val="22"/>
                <w:szCs w:val="22"/>
              </w:rPr>
              <w:t>10</w:t>
            </w:r>
          </w:p>
        </w:tc>
        <w:tc>
          <w:tcPr>
            <w:tcW w:w="409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Project for the use of ICTs in emergency and disaster situations in the Caribbean region- Phase 1</w:t>
            </w:r>
          </w:p>
        </w:tc>
        <w:tc>
          <w:tcPr>
            <w:tcW w:w="170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The Americas</w:t>
            </w:r>
          </w:p>
        </w:tc>
        <w:tc>
          <w:tcPr>
            <w:tcW w:w="1276" w:type="dxa"/>
            <w:noWrap/>
            <w:hideMark/>
          </w:tcPr>
          <w:p w:rsidR="00747314" w:rsidRPr="00FF58AC" w:rsidRDefault="00747314" w:rsidP="00992404">
            <w:pPr>
              <w:spacing w:before="40"/>
              <w:jc w:val="right"/>
              <w:rPr>
                <w:rFonts w:cstheme="minorHAnsi"/>
                <w:sz w:val="22"/>
                <w:szCs w:val="22"/>
              </w:rPr>
            </w:pPr>
          </w:p>
        </w:tc>
        <w:tc>
          <w:tcPr>
            <w:tcW w:w="1191" w:type="dxa"/>
            <w:noWrap/>
            <w:hideMark/>
          </w:tcPr>
          <w:p w:rsidR="00747314" w:rsidRPr="00FF58AC" w:rsidRDefault="00747314" w:rsidP="00992404">
            <w:pPr>
              <w:spacing w:before="40"/>
              <w:jc w:val="right"/>
              <w:rPr>
                <w:rFonts w:cstheme="minorHAnsi"/>
                <w:sz w:val="22"/>
                <w:szCs w:val="22"/>
              </w:rPr>
            </w:pPr>
          </w:p>
        </w:tc>
        <w:tc>
          <w:tcPr>
            <w:tcW w:w="1356" w:type="dxa"/>
            <w:noWrap/>
            <w:hideMark/>
          </w:tcPr>
          <w:p w:rsidR="00747314" w:rsidRPr="00FF58AC" w:rsidRDefault="00747314" w:rsidP="00992404">
            <w:pPr>
              <w:spacing w:before="40"/>
              <w:jc w:val="right"/>
              <w:rPr>
                <w:rFonts w:cstheme="minorHAnsi"/>
                <w:sz w:val="22"/>
                <w:szCs w:val="22"/>
              </w:rPr>
            </w:pPr>
            <w:r w:rsidRPr="00FF58AC">
              <w:rPr>
                <w:rFonts w:cstheme="minorHAnsi"/>
                <w:sz w:val="22"/>
                <w:szCs w:val="22"/>
              </w:rPr>
              <w:t>100,000</w:t>
            </w:r>
          </w:p>
        </w:tc>
      </w:tr>
      <w:tr w:rsidR="00FF58AC" w:rsidRPr="00FF58AC" w:rsidTr="004012BE">
        <w:trPr>
          <w:trHeight w:val="300"/>
        </w:trPr>
        <w:tc>
          <w:tcPr>
            <w:tcW w:w="440" w:type="dxa"/>
          </w:tcPr>
          <w:p w:rsidR="00747314" w:rsidRPr="00FF58AC" w:rsidRDefault="00747314" w:rsidP="00992404">
            <w:pPr>
              <w:spacing w:before="40"/>
              <w:rPr>
                <w:rFonts w:cstheme="minorHAnsi"/>
                <w:sz w:val="22"/>
                <w:szCs w:val="22"/>
              </w:rPr>
            </w:pPr>
            <w:r w:rsidRPr="00FF58AC">
              <w:rPr>
                <w:rFonts w:cstheme="minorHAnsi"/>
                <w:sz w:val="22"/>
                <w:szCs w:val="22"/>
              </w:rPr>
              <w:t>11</w:t>
            </w:r>
          </w:p>
        </w:tc>
        <w:tc>
          <w:tcPr>
            <w:tcW w:w="4091" w:type="dxa"/>
            <w:noWrap/>
            <w:hideMark/>
          </w:tcPr>
          <w:p w:rsidR="00747314" w:rsidRPr="00FF58AC" w:rsidRDefault="00747314" w:rsidP="00992404">
            <w:pPr>
              <w:spacing w:before="40"/>
              <w:rPr>
                <w:rFonts w:cstheme="minorHAnsi"/>
                <w:sz w:val="22"/>
                <w:szCs w:val="22"/>
              </w:rPr>
            </w:pPr>
            <w:proofErr w:type="spellStart"/>
            <w:r w:rsidRPr="00FF58AC">
              <w:rPr>
                <w:rFonts w:cstheme="minorHAnsi"/>
                <w:sz w:val="22"/>
                <w:szCs w:val="22"/>
              </w:rPr>
              <w:t>Monitoreo</w:t>
            </w:r>
            <w:proofErr w:type="spellEnd"/>
            <w:r w:rsidRPr="00FF58AC">
              <w:rPr>
                <w:rFonts w:cstheme="minorHAnsi"/>
                <w:sz w:val="22"/>
                <w:szCs w:val="22"/>
              </w:rPr>
              <w:t xml:space="preserve"> del </w:t>
            </w:r>
            <w:proofErr w:type="spellStart"/>
            <w:r w:rsidRPr="00FF58AC">
              <w:rPr>
                <w:rFonts w:cstheme="minorHAnsi"/>
                <w:sz w:val="22"/>
                <w:szCs w:val="22"/>
              </w:rPr>
              <w:t>Espectro</w:t>
            </w:r>
            <w:proofErr w:type="spellEnd"/>
            <w:r w:rsidRPr="00FF58AC">
              <w:rPr>
                <w:rFonts w:cstheme="minorHAnsi"/>
                <w:sz w:val="22"/>
                <w:szCs w:val="22"/>
              </w:rPr>
              <w:t xml:space="preserve"> </w:t>
            </w:r>
            <w:proofErr w:type="spellStart"/>
            <w:r w:rsidRPr="00FF58AC">
              <w:rPr>
                <w:rFonts w:cstheme="minorHAnsi"/>
                <w:sz w:val="22"/>
                <w:szCs w:val="22"/>
              </w:rPr>
              <w:t>Radioelectrico</w:t>
            </w:r>
            <w:proofErr w:type="spellEnd"/>
          </w:p>
        </w:tc>
        <w:tc>
          <w:tcPr>
            <w:tcW w:w="170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The Americas</w:t>
            </w:r>
          </w:p>
        </w:tc>
        <w:tc>
          <w:tcPr>
            <w:tcW w:w="1276" w:type="dxa"/>
            <w:noWrap/>
            <w:hideMark/>
          </w:tcPr>
          <w:p w:rsidR="00747314" w:rsidRPr="00FF58AC" w:rsidRDefault="00747314" w:rsidP="00992404">
            <w:pPr>
              <w:spacing w:before="40"/>
              <w:jc w:val="right"/>
              <w:rPr>
                <w:rFonts w:cstheme="minorHAnsi"/>
                <w:sz w:val="22"/>
                <w:szCs w:val="22"/>
              </w:rPr>
            </w:pPr>
            <w:r w:rsidRPr="00FF58AC">
              <w:rPr>
                <w:rFonts w:cstheme="minorHAnsi"/>
                <w:sz w:val="22"/>
                <w:szCs w:val="22"/>
              </w:rPr>
              <w:t>132,320</w:t>
            </w:r>
          </w:p>
        </w:tc>
        <w:tc>
          <w:tcPr>
            <w:tcW w:w="1191" w:type="dxa"/>
            <w:noWrap/>
            <w:hideMark/>
          </w:tcPr>
          <w:p w:rsidR="00747314" w:rsidRPr="00FF58AC" w:rsidRDefault="00747314" w:rsidP="00992404">
            <w:pPr>
              <w:spacing w:before="40"/>
              <w:jc w:val="right"/>
              <w:rPr>
                <w:rFonts w:cstheme="minorHAnsi"/>
                <w:sz w:val="22"/>
                <w:szCs w:val="22"/>
              </w:rPr>
            </w:pPr>
            <w:r w:rsidRPr="00FF58AC">
              <w:rPr>
                <w:rFonts w:cstheme="minorHAnsi"/>
                <w:sz w:val="22"/>
                <w:szCs w:val="22"/>
              </w:rPr>
              <w:t>123,087</w:t>
            </w:r>
          </w:p>
        </w:tc>
        <w:tc>
          <w:tcPr>
            <w:tcW w:w="1356" w:type="dxa"/>
            <w:noWrap/>
            <w:hideMark/>
          </w:tcPr>
          <w:p w:rsidR="00747314" w:rsidRPr="00FF58AC" w:rsidRDefault="00747314" w:rsidP="00992404">
            <w:pPr>
              <w:spacing w:before="40"/>
              <w:jc w:val="right"/>
              <w:rPr>
                <w:rFonts w:cstheme="minorHAnsi"/>
                <w:sz w:val="22"/>
                <w:szCs w:val="22"/>
              </w:rPr>
            </w:pPr>
            <w:r w:rsidRPr="00FF58AC">
              <w:rPr>
                <w:rFonts w:cstheme="minorHAnsi"/>
                <w:sz w:val="22"/>
                <w:szCs w:val="22"/>
              </w:rPr>
              <w:t>123,087</w:t>
            </w:r>
          </w:p>
        </w:tc>
      </w:tr>
      <w:tr w:rsidR="00FF58AC" w:rsidRPr="00FF58AC" w:rsidTr="004012BE">
        <w:trPr>
          <w:trHeight w:val="300"/>
        </w:trPr>
        <w:tc>
          <w:tcPr>
            <w:tcW w:w="440" w:type="dxa"/>
          </w:tcPr>
          <w:p w:rsidR="00747314" w:rsidRPr="00FF58AC" w:rsidRDefault="00747314" w:rsidP="00992404">
            <w:pPr>
              <w:spacing w:before="40"/>
              <w:rPr>
                <w:rFonts w:cstheme="minorHAnsi"/>
                <w:sz w:val="22"/>
                <w:szCs w:val="22"/>
                <w:lang w:val="es-ES"/>
              </w:rPr>
            </w:pPr>
            <w:r w:rsidRPr="00FF58AC">
              <w:rPr>
                <w:rFonts w:cstheme="minorHAnsi"/>
                <w:sz w:val="22"/>
                <w:szCs w:val="22"/>
                <w:lang w:val="es-ES"/>
              </w:rPr>
              <w:t>12</w:t>
            </w:r>
          </w:p>
        </w:tc>
        <w:tc>
          <w:tcPr>
            <w:tcW w:w="4091" w:type="dxa"/>
            <w:noWrap/>
            <w:hideMark/>
          </w:tcPr>
          <w:p w:rsidR="00747314" w:rsidRPr="00FF58AC" w:rsidRDefault="00747314" w:rsidP="00992404">
            <w:pPr>
              <w:spacing w:before="40"/>
              <w:rPr>
                <w:rFonts w:cstheme="minorHAnsi"/>
                <w:sz w:val="22"/>
                <w:szCs w:val="22"/>
                <w:lang w:val="es-ES"/>
              </w:rPr>
            </w:pPr>
            <w:r w:rsidRPr="00FF58AC">
              <w:rPr>
                <w:rFonts w:cstheme="minorHAnsi"/>
                <w:sz w:val="22"/>
                <w:szCs w:val="22"/>
                <w:lang w:val="es-ES"/>
              </w:rPr>
              <w:t>Universidades argentinas en la UIT</w:t>
            </w:r>
          </w:p>
        </w:tc>
        <w:tc>
          <w:tcPr>
            <w:tcW w:w="170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The Americas</w:t>
            </w:r>
          </w:p>
        </w:tc>
        <w:tc>
          <w:tcPr>
            <w:tcW w:w="1276" w:type="dxa"/>
            <w:noWrap/>
            <w:hideMark/>
          </w:tcPr>
          <w:p w:rsidR="00747314" w:rsidRPr="00FF58AC" w:rsidRDefault="00747314" w:rsidP="00992404">
            <w:pPr>
              <w:spacing w:before="40"/>
              <w:jc w:val="right"/>
              <w:rPr>
                <w:rFonts w:cstheme="minorHAnsi"/>
                <w:sz w:val="22"/>
                <w:szCs w:val="22"/>
              </w:rPr>
            </w:pPr>
            <w:r w:rsidRPr="00FF58AC">
              <w:rPr>
                <w:rFonts w:cstheme="minorHAnsi"/>
                <w:sz w:val="22"/>
                <w:szCs w:val="22"/>
              </w:rPr>
              <w:t>66,932</w:t>
            </w:r>
          </w:p>
        </w:tc>
        <w:tc>
          <w:tcPr>
            <w:tcW w:w="1191" w:type="dxa"/>
            <w:noWrap/>
            <w:hideMark/>
          </w:tcPr>
          <w:p w:rsidR="00747314" w:rsidRPr="00FF58AC" w:rsidRDefault="00747314" w:rsidP="00992404">
            <w:pPr>
              <w:spacing w:before="40"/>
              <w:jc w:val="right"/>
              <w:rPr>
                <w:rFonts w:cstheme="minorHAnsi"/>
                <w:sz w:val="22"/>
                <w:szCs w:val="22"/>
              </w:rPr>
            </w:pPr>
          </w:p>
        </w:tc>
        <w:tc>
          <w:tcPr>
            <w:tcW w:w="1356" w:type="dxa"/>
            <w:noWrap/>
            <w:hideMark/>
          </w:tcPr>
          <w:p w:rsidR="00747314" w:rsidRPr="00FF58AC" w:rsidRDefault="00747314" w:rsidP="00992404">
            <w:pPr>
              <w:spacing w:before="40"/>
              <w:jc w:val="right"/>
              <w:rPr>
                <w:rFonts w:cstheme="minorHAnsi"/>
                <w:sz w:val="22"/>
                <w:szCs w:val="22"/>
              </w:rPr>
            </w:pPr>
          </w:p>
        </w:tc>
      </w:tr>
      <w:tr w:rsidR="00FF58AC" w:rsidRPr="00FF58AC" w:rsidTr="004012BE">
        <w:trPr>
          <w:trHeight w:val="300"/>
        </w:trPr>
        <w:tc>
          <w:tcPr>
            <w:tcW w:w="440" w:type="dxa"/>
          </w:tcPr>
          <w:p w:rsidR="00747314" w:rsidRPr="00FF58AC" w:rsidRDefault="00747314" w:rsidP="00992404">
            <w:pPr>
              <w:spacing w:before="40"/>
              <w:rPr>
                <w:rFonts w:cstheme="minorHAnsi"/>
                <w:sz w:val="22"/>
                <w:szCs w:val="22"/>
              </w:rPr>
            </w:pPr>
            <w:r w:rsidRPr="00FF58AC">
              <w:rPr>
                <w:rFonts w:cstheme="minorHAnsi"/>
                <w:sz w:val="22"/>
                <w:szCs w:val="22"/>
              </w:rPr>
              <w:t>13</w:t>
            </w:r>
          </w:p>
        </w:tc>
        <w:tc>
          <w:tcPr>
            <w:tcW w:w="409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Digital Identity for Development</w:t>
            </w:r>
          </w:p>
        </w:tc>
        <w:tc>
          <w:tcPr>
            <w:tcW w:w="170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World or Multi-Regional</w:t>
            </w:r>
          </w:p>
        </w:tc>
        <w:tc>
          <w:tcPr>
            <w:tcW w:w="1276" w:type="dxa"/>
            <w:noWrap/>
            <w:hideMark/>
          </w:tcPr>
          <w:p w:rsidR="00747314" w:rsidRPr="00FF58AC" w:rsidRDefault="00747314" w:rsidP="00992404">
            <w:pPr>
              <w:spacing w:before="40"/>
              <w:jc w:val="right"/>
              <w:rPr>
                <w:rFonts w:cstheme="minorHAnsi"/>
                <w:sz w:val="22"/>
                <w:szCs w:val="22"/>
              </w:rPr>
            </w:pPr>
          </w:p>
        </w:tc>
        <w:tc>
          <w:tcPr>
            <w:tcW w:w="1191" w:type="dxa"/>
            <w:noWrap/>
            <w:hideMark/>
          </w:tcPr>
          <w:p w:rsidR="00747314" w:rsidRPr="00FF58AC" w:rsidRDefault="00747314" w:rsidP="00992404">
            <w:pPr>
              <w:spacing w:before="40"/>
              <w:jc w:val="right"/>
              <w:rPr>
                <w:rFonts w:cstheme="minorHAnsi"/>
                <w:sz w:val="22"/>
                <w:szCs w:val="22"/>
                <w:lang w:eastAsia="zh-CN"/>
              </w:rPr>
            </w:pPr>
          </w:p>
        </w:tc>
        <w:tc>
          <w:tcPr>
            <w:tcW w:w="1356" w:type="dxa"/>
            <w:noWrap/>
            <w:hideMark/>
          </w:tcPr>
          <w:p w:rsidR="00747314" w:rsidRPr="00FF58AC" w:rsidRDefault="00747314" w:rsidP="00992404">
            <w:pPr>
              <w:spacing w:before="40"/>
              <w:jc w:val="right"/>
              <w:rPr>
                <w:rFonts w:cstheme="minorHAnsi"/>
                <w:sz w:val="22"/>
                <w:szCs w:val="22"/>
              </w:rPr>
            </w:pPr>
            <w:r w:rsidRPr="00FF58AC">
              <w:rPr>
                <w:rFonts w:cstheme="minorHAnsi"/>
                <w:sz w:val="22"/>
                <w:szCs w:val="22"/>
              </w:rPr>
              <w:t>200,000</w:t>
            </w:r>
          </w:p>
        </w:tc>
      </w:tr>
      <w:tr w:rsidR="00FF58AC" w:rsidRPr="00FF58AC" w:rsidTr="004012BE">
        <w:trPr>
          <w:trHeight w:val="300"/>
        </w:trPr>
        <w:tc>
          <w:tcPr>
            <w:tcW w:w="440" w:type="dxa"/>
          </w:tcPr>
          <w:p w:rsidR="00747314" w:rsidRPr="00FF58AC" w:rsidRDefault="00747314" w:rsidP="00992404">
            <w:pPr>
              <w:spacing w:before="40"/>
              <w:rPr>
                <w:rFonts w:cstheme="minorHAnsi"/>
                <w:sz w:val="22"/>
                <w:szCs w:val="22"/>
              </w:rPr>
            </w:pPr>
            <w:r w:rsidRPr="00FF58AC">
              <w:rPr>
                <w:rFonts w:cstheme="minorHAnsi"/>
                <w:sz w:val="22"/>
                <w:szCs w:val="22"/>
              </w:rPr>
              <w:t>14</w:t>
            </w:r>
          </w:p>
        </w:tc>
        <w:tc>
          <w:tcPr>
            <w:tcW w:w="409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Enhancement of National Emergency Telecommunication Plans and Coordination to Save Lives</w:t>
            </w:r>
          </w:p>
        </w:tc>
        <w:tc>
          <w:tcPr>
            <w:tcW w:w="170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World or Multi-Regional</w:t>
            </w:r>
          </w:p>
        </w:tc>
        <w:tc>
          <w:tcPr>
            <w:tcW w:w="1276" w:type="dxa"/>
            <w:noWrap/>
            <w:hideMark/>
          </w:tcPr>
          <w:p w:rsidR="00747314" w:rsidRPr="00FF58AC" w:rsidRDefault="00747314" w:rsidP="00992404">
            <w:pPr>
              <w:spacing w:before="40"/>
              <w:jc w:val="right"/>
              <w:rPr>
                <w:rFonts w:cstheme="minorHAnsi"/>
                <w:sz w:val="22"/>
                <w:szCs w:val="22"/>
              </w:rPr>
            </w:pPr>
          </w:p>
        </w:tc>
        <w:tc>
          <w:tcPr>
            <w:tcW w:w="1191" w:type="dxa"/>
            <w:noWrap/>
          </w:tcPr>
          <w:p w:rsidR="00747314" w:rsidRPr="00FF58AC" w:rsidRDefault="00747314" w:rsidP="00992404">
            <w:pPr>
              <w:spacing w:before="40"/>
              <w:jc w:val="right"/>
              <w:rPr>
                <w:rFonts w:cstheme="minorHAnsi"/>
                <w:sz w:val="22"/>
                <w:szCs w:val="22"/>
                <w:lang w:eastAsia="zh-CN"/>
              </w:rPr>
            </w:pPr>
          </w:p>
        </w:tc>
        <w:tc>
          <w:tcPr>
            <w:tcW w:w="1356" w:type="dxa"/>
            <w:noWrap/>
          </w:tcPr>
          <w:p w:rsidR="00747314" w:rsidRPr="00FF58AC" w:rsidRDefault="00747314" w:rsidP="00992404">
            <w:pPr>
              <w:spacing w:before="40"/>
              <w:jc w:val="right"/>
              <w:rPr>
                <w:rFonts w:cstheme="minorHAnsi"/>
                <w:sz w:val="22"/>
                <w:szCs w:val="22"/>
              </w:rPr>
            </w:pPr>
            <w:r w:rsidRPr="00FF58AC">
              <w:rPr>
                <w:rFonts w:cstheme="minorHAnsi"/>
                <w:sz w:val="22"/>
                <w:szCs w:val="22"/>
              </w:rPr>
              <w:t>500,000</w:t>
            </w:r>
          </w:p>
        </w:tc>
      </w:tr>
      <w:tr w:rsidR="00FF58AC" w:rsidRPr="00FF58AC" w:rsidTr="004012BE">
        <w:trPr>
          <w:trHeight w:val="300"/>
        </w:trPr>
        <w:tc>
          <w:tcPr>
            <w:tcW w:w="440" w:type="dxa"/>
          </w:tcPr>
          <w:p w:rsidR="00747314" w:rsidRPr="00FF58AC" w:rsidRDefault="00747314" w:rsidP="00992404">
            <w:pPr>
              <w:spacing w:before="40"/>
              <w:rPr>
                <w:rFonts w:cstheme="minorHAnsi"/>
                <w:sz w:val="22"/>
                <w:szCs w:val="22"/>
              </w:rPr>
            </w:pPr>
            <w:r w:rsidRPr="00FF58AC">
              <w:rPr>
                <w:rFonts w:cstheme="minorHAnsi"/>
                <w:sz w:val="22"/>
                <w:szCs w:val="22"/>
              </w:rPr>
              <w:t>15</w:t>
            </w:r>
          </w:p>
        </w:tc>
        <w:tc>
          <w:tcPr>
            <w:tcW w:w="409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Global e-Waste Statistics 2018</w:t>
            </w:r>
          </w:p>
        </w:tc>
        <w:tc>
          <w:tcPr>
            <w:tcW w:w="170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World or Multi-Regional</w:t>
            </w:r>
          </w:p>
        </w:tc>
        <w:tc>
          <w:tcPr>
            <w:tcW w:w="1276" w:type="dxa"/>
            <w:noWrap/>
            <w:hideMark/>
          </w:tcPr>
          <w:p w:rsidR="00747314" w:rsidRPr="00FF58AC" w:rsidRDefault="00747314" w:rsidP="00992404">
            <w:pPr>
              <w:spacing w:before="40"/>
              <w:jc w:val="right"/>
              <w:rPr>
                <w:rFonts w:cstheme="minorHAnsi"/>
                <w:sz w:val="22"/>
                <w:szCs w:val="22"/>
              </w:rPr>
            </w:pPr>
            <w:r w:rsidRPr="00FF58AC">
              <w:rPr>
                <w:rFonts w:cstheme="minorHAnsi"/>
                <w:sz w:val="22"/>
                <w:szCs w:val="22"/>
              </w:rPr>
              <w:t>63,201</w:t>
            </w:r>
          </w:p>
        </w:tc>
        <w:tc>
          <w:tcPr>
            <w:tcW w:w="1191" w:type="dxa"/>
            <w:noWrap/>
            <w:hideMark/>
          </w:tcPr>
          <w:p w:rsidR="00747314" w:rsidRPr="00FF58AC" w:rsidRDefault="00747314" w:rsidP="00992404">
            <w:pPr>
              <w:spacing w:before="40"/>
              <w:jc w:val="right"/>
              <w:rPr>
                <w:rFonts w:cstheme="minorHAnsi"/>
                <w:sz w:val="22"/>
                <w:szCs w:val="22"/>
              </w:rPr>
            </w:pPr>
          </w:p>
        </w:tc>
        <w:tc>
          <w:tcPr>
            <w:tcW w:w="1356" w:type="dxa"/>
            <w:noWrap/>
            <w:hideMark/>
          </w:tcPr>
          <w:p w:rsidR="00747314" w:rsidRPr="00FF58AC" w:rsidRDefault="00747314" w:rsidP="00992404">
            <w:pPr>
              <w:spacing w:before="40"/>
              <w:jc w:val="right"/>
              <w:rPr>
                <w:rFonts w:cstheme="minorHAnsi"/>
                <w:sz w:val="22"/>
                <w:szCs w:val="22"/>
              </w:rPr>
            </w:pPr>
            <w:r w:rsidRPr="00FF58AC">
              <w:rPr>
                <w:rFonts w:cstheme="minorHAnsi"/>
                <w:sz w:val="22"/>
                <w:szCs w:val="22"/>
              </w:rPr>
              <w:t>45,144</w:t>
            </w:r>
          </w:p>
        </w:tc>
      </w:tr>
      <w:tr w:rsidR="00FF58AC" w:rsidRPr="00FF58AC" w:rsidTr="004012BE">
        <w:trPr>
          <w:trHeight w:val="300"/>
        </w:trPr>
        <w:tc>
          <w:tcPr>
            <w:tcW w:w="440" w:type="dxa"/>
          </w:tcPr>
          <w:p w:rsidR="00747314" w:rsidRPr="00FF58AC" w:rsidRDefault="00747314" w:rsidP="00992404">
            <w:pPr>
              <w:spacing w:before="40"/>
              <w:rPr>
                <w:rFonts w:cstheme="minorHAnsi"/>
                <w:sz w:val="22"/>
                <w:szCs w:val="22"/>
              </w:rPr>
            </w:pPr>
            <w:r w:rsidRPr="00FF58AC">
              <w:rPr>
                <w:rFonts w:cstheme="minorHAnsi"/>
                <w:sz w:val="22"/>
                <w:szCs w:val="22"/>
              </w:rPr>
              <w:t>16</w:t>
            </w:r>
          </w:p>
        </w:tc>
        <w:tc>
          <w:tcPr>
            <w:tcW w:w="409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New graphical interface of the ITU Interactive Transmission Maps</w:t>
            </w:r>
          </w:p>
        </w:tc>
        <w:tc>
          <w:tcPr>
            <w:tcW w:w="170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World or Multi-Regional</w:t>
            </w:r>
          </w:p>
        </w:tc>
        <w:tc>
          <w:tcPr>
            <w:tcW w:w="1276" w:type="dxa"/>
            <w:noWrap/>
            <w:hideMark/>
          </w:tcPr>
          <w:p w:rsidR="00747314" w:rsidRPr="00FF58AC" w:rsidRDefault="00747314" w:rsidP="00992404">
            <w:pPr>
              <w:spacing w:before="40"/>
              <w:jc w:val="right"/>
              <w:rPr>
                <w:rFonts w:cstheme="minorHAnsi"/>
                <w:sz w:val="22"/>
                <w:szCs w:val="22"/>
              </w:rPr>
            </w:pPr>
          </w:p>
        </w:tc>
        <w:tc>
          <w:tcPr>
            <w:tcW w:w="1191" w:type="dxa"/>
            <w:noWrap/>
            <w:hideMark/>
          </w:tcPr>
          <w:p w:rsidR="00747314" w:rsidRPr="00FF58AC" w:rsidRDefault="00747314" w:rsidP="00992404">
            <w:pPr>
              <w:spacing w:before="40"/>
              <w:jc w:val="right"/>
              <w:rPr>
                <w:rFonts w:cstheme="minorHAnsi"/>
                <w:sz w:val="22"/>
                <w:szCs w:val="22"/>
              </w:rPr>
            </w:pPr>
          </w:p>
        </w:tc>
        <w:tc>
          <w:tcPr>
            <w:tcW w:w="1356" w:type="dxa"/>
            <w:noWrap/>
            <w:hideMark/>
          </w:tcPr>
          <w:p w:rsidR="00747314" w:rsidRPr="00FF58AC" w:rsidRDefault="00747314" w:rsidP="00992404">
            <w:pPr>
              <w:spacing w:before="40"/>
              <w:jc w:val="right"/>
              <w:rPr>
                <w:rFonts w:cstheme="minorHAnsi"/>
                <w:sz w:val="22"/>
                <w:szCs w:val="22"/>
                <w:lang w:eastAsia="zh-CN"/>
              </w:rPr>
            </w:pPr>
            <w:r w:rsidRPr="00FF58AC">
              <w:rPr>
                <w:rFonts w:cstheme="minorHAnsi"/>
                <w:sz w:val="22"/>
                <w:szCs w:val="22"/>
                <w:lang w:eastAsia="zh-CN"/>
              </w:rPr>
              <w:t>200,000</w:t>
            </w:r>
          </w:p>
        </w:tc>
      </w:tr>
      <w:tr w:rsidR="00FF58AC" w:rsidRPr="00FF58AC" w:rsidTr="004012BE">
        <w:trPr>
          <w:trHeight w:val="300"/>
        </w:trPr>
        <w:tc>
          <w:tcPr>
            <w:tcW w:w="440" w:type="dxa"/>
          </w:tcPr>
          <w:p w:rsidR="00747314" w:rsidRPr="00FF58AC" w:rsidRDefault="00747314" w:rsidP="00992404">
            <w:pPr>
              <w:spacing w:before="40"/>
              <w:rPr>
                <w:rFonts w:cstheme="minorHAnsi"/>
                <w:sz w:val="22"/>
                <w:szCs w:val="22"/>
              </w:rPr>
            </w:pPr>
            <w:r w:rsidRPr="00FF58AC">
              <w:rPr>
                <w:rFonts w:cstheme="minorHAnsi"/>
                <w:sz w:val="22"/>
                <w:szCs w:val="22"/>
              </w:rPr>
              <w:t>17</w:t>
            </w:r>
          </w:p>
        </w:tc>
        <w:tc>
          <w:tcPr>
            <w:tcW w:w="409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 xml:space="preserve">SET-UP IPv6 and </w:t>
            </w:r>
            <w:proofErr w:type="spellStart"/>
            <w:r w:rsidRPr="00FF58AC">
              <w:rPr>
                <w:rFonts w:cstheme="minorHAnsi"/>
                <w:sz w:val="22"/>
                <w:szCs w:val="22"/>
              </w:rPr>
              <w:t>IoT</w:t>
            </w:r>
            <w:proofErr w:type="spellEnd"/>
            <w:r w:rsidRPr="00FF58AC">
              <w:rPr>
                <w:rFonts w:cstheme="minorHAnsi"/>
                <w:sz w:val="22"/>
                <w:szCs w:val="22"/>
              </w:rPr>
              <w:t xml:space="preserve"> EXPERTISE CENTRE</w:t>
            </w:r>
          </w:p>
        </w:tc>
        <w:tc>
          <w:tcPr>
            <w:tcW w:w="1701" w:type="dxa"/>
            <w:noWrap/>
            <w:hideMark/>
          </w:tcPr>
          <w:p w:rsidR="00747314" w:rsidRPr="00FF58AC" w:rsidRDefault="00747314" w:rsidP="00992404">
            <w:pPr>
              <w:spacing w:before="40"/>
              <w:rPr>
                <w:rFonts w:cstheme="minorHAnsi"/>
                <w:sz w:val="22"/>
                <w:szCs w:val="22"/>
              </w:rPr>
            </w:pPr>
            <w:r w:rsidRPr="00FF58AC">
              <w:rPr>
                <w:rFonts w:cstheme="minorHAnsi"/>
                <w:sz w:val="22"/>
                <w:szCs w:val="22"/>
              </w:rPr>
              <w:t>World or Multi-Regional</w:t>
            </w:r>
          </w:p>
        </w:tc>
        <w:tc>
          <w:tcPr>
            <w:tcW w:w="1276" w:type="dxa"/>
            <w:noWrap/>
            <w:hideMark/>
          </w:tcPr>
          <w:p w:rsidR="00747314" w:rsidRPr="00FF58AC" w:rsidRDefault="00747314" w:rsidP="00992404">
            <w:pPr>
              <w:spacing w:before="40"/>
              <w:jc w:val="right"/>
              <w:rPr>
                <w:rFonts w:cstheme="minorHAnsi"/>
                <w:sz w:val="22"/>
                <w:szCs w:val="22"/>
              </w:rPr>
            </w:pPr>
            <w:r w:rsidRPr="00FF58AC">
              <w:rPr>
                <w:rFonts w:cstheme="minorHAnsi"/>
                <w:sz w:val="22"/>
                <w:szCs w:val="22"/>
              </w:rPr>
              <w:t>294,654</w:t>
            </w:r>
          </w:p>
        </w:tc>
        <w:tc>
          <w:tcPr>
            <w:tcW w:w="1191" w:type="dxa"/>
            <w:noWrap/>
            <w:hideMark/>
          </w:tcPr>
          <w:p w:rsidR="00747314" w:rsidRPr="00FF58AC" w:rsidRDefault="00747314" w:rsidP="00992404">
            <w:pPr>
              <w:spacing w:before="40"/>
              <w:jc w:val="right"/>
              <w:rPr>
                <w:rFonts w:cstheme="minorHAnsi"/>
                <w:sz w:val="22"/>
                <w:szCs w:val="22"/>
              </w:rPr>
            </w:pPr>
            <w:r w:rsidRPr="00FF58AC">
              <w:rPr>
                <w:rFonts w:cstheme="minorHAnsi"/>
                <w:sz w:val="22"/>
                <w:szCs w:val="22"/>
              </w:rPr>
              <w:t>294,654</w:t>
            </w:r>
          </w:p>
        </w:tc>
        <w:tc>
          <w:tcPr>
            <w:tcW w:w="1356" w:type="dxa"/>
            <w:noWrap/>
            <w:hideMark/>
          </w:tcPr>
          <w:p w:rsidR="00747314" w:rsidRPr="00FF58AC" w:rsidRDefault="00747314" w:rsidP="00992404">
            <w:pPr>
              <w:spacing w:before="40"/>
              <w:jc w:val="right"/>
              <w:rPr>
                <w:rFonts w:cstheme="minorHAnsi"/>
                <w:sz w:val="22"/>
                <w:szCs w:val="22"/>
              </w:rPr>
            </w:pPr>
          </w:p>
        </w:tc>
      </w:tr>
      <w:tr w:rsidR="00FF58AC" w:rsidRPr="00003CA3" w:rsidTr="004012BE">
        <w:trPr>
          <w:trHeight w:val="300"/>
        </w:trPr>
        <w:tc>
          <w:tcPr>
            <w:tcW w:w="440" w:type="dxa"/>
          </w:tcPr>
          <w:p w:rsidR="00747314" w:rsidRPr="00003CA3" w:rsidRDefault="00747314" w:rsidP="00992404">
            <w:pPr>
              <w:spacing w:before="40"/>
              <w:rPr>
                <w:rFonts w:cstheme="minorHAnsi"/>
                <w:b/>
                <w:bCs/>
                <w:sz w:val="22"/>
                <w:szCs w:val="22"/>
                <w:highlight w:val="yellow"/>
              </w:rPr>
            </w:pPr>
          </w:p>
        </w:tc>
        <w:tc>
          <w:tcPr>
            <w:tcW w:w="4091" w:type="dxa"/>
            <w:noWrap/>
            <w:hideMark/>
          </w:tcPr>
          <w:p w:rsidR="00747314" w:rsidRPr="00003CA3" w:rsidRDefault="00747314" w:rsidP="00992404">
            <w:pPr>
              <w:spacing w:before="40"/>
              <w:rPr>
                <w:rFonts w:cstheme="minorHAnsi"/>
                <w:b/>
                <w:bCs/>
                <w:sz w:val="22"/>
                <w:szCs w:val="22"/>
              </w:rPr>
            </w:pPr>
            <w:r w:rsidRPr="00003CA3">
              <w:rPr>
                <w:rFonts w:cstheme="minorHAnsi"/>
                <w:b/>
                <w:bCs/>
                <w:sz w:val="22"/>
                <w:szCs w:val="22"/>
              </w:rPr>
              <w:t xml:space="preserve">TOTAL </w:t>
            </w:r>
          </w:p>
        </w:tc>
        <w:tc>
          <w:tcPr>
            <w:tcW w:w="1701" w:type="dxa"/>
            <w:noWrap/>
            <w:hideMark/>
          </w:tcPr>
          <w:p w:rsidR="00747314" w:rsidRPr="00003CA3" w:rsidRDefault="00747314" w:rsidP="00992404">
            <w:pPr>
              <w:spacing w:before="40"/>
              <w:rPr>
                <w:rFonts w:cstheme="minorHAnsi"/>
                <w:b/>
                <w:bCs/>
                <w:sz w:val="22"/>
                <w:szCs w:val="22"/>
              </w:rPr>
            </w:pPr>
          </w:p>
        </w:tc>
        <w:tc>
          <w:tcPr>
            <w:tcW w:w="1276" w:type="dxa"/>
            <w:noWrap/>
            <w:vAlign w:val="center"/>
          </w:tcPr>
          <w:p w:rsidR="00747314" w:rsidRPr="00003CA3" w:rsidRDefault="00747314" w:rsidP="00992404">
            <w:pPr>
              <w:spacing w:before="40"/>
              <w:jc w:val="right"/>
              <w:rPr>
                <w:rFonts w:cstheme="minorHAnsi"/>
                <w:b/>
                <w:bCs/>
                <w:sz w:val="22"/>
                <w:szCs w:val="22"/>
              </w:rPr>
            </w:pPr>
            <w:r w:rsidRPr="00003CA3">
              <w:rPr>
                <w:rFonts w:cs="Calibri"/>
                <w:b/>
                <w:bCs/>
                <w:sz w:val="22"/>
                <w:szCs w:val="22"/>
              </w:rPr>
              <w:t>7,997,953</w:t>
            </w:r>
          </w:p>
        </w:tc>
        <w:tc>
          <w:tcPr>
            <w:tcW w:w="1191" w:type="dxa"/>
            <w:noWrap/>
            <w:vAlign w:val="center"/>
          </w:tcPr>
          <w:p w:rsidR="00747314" w:rsidRPr="00003CA3" w:rsidRDefault="00747314" w:rsidP="00992404">
            <w:pPr>
              <w:spacing w:before="40"/>
              <w:jc w:val="right"/>
              <w:rPr>
                <w:rFonts w:cstheme="minorHAnsi"/>
                <w:b/>
                <w:bCs/>
                <w:sz w:val="22"/>
                <w:szCs w:val="22"/>
              </w:rPr>
            </w:pPr>
            <w:r w:rsidRPr="00003CA3">
              <w:rPr>
                <w:rFonts w:cs="Calibri"/>
                <w:b/>
                <w:bCs/>
                <w:sz w:val="22"/>
                <w:szCs w:val="22"/>
              </w:rPr>
              <w:t>982,035</w:t>
            </w:r>
          </w:p>
        </w:tc>
        <w:tc>
          <w:tcPr>
            <w:tcW w:w="1356" w:type="dxa"/>
            <w:noWrap/>
            <w:vAlign w:val="center"/>
          </w:tcPr>
          <w:p w:rsidR="00747314" w:rsidRPr="00003CA3" w:rsidRDefault="00747314" w:rsidP="00992404">
            <w:pPr>
              <w:spacing w:before="40"/>
              <w:jc w:val="right"/>
              <w:rPr>
                <w:rFonts w:cstheme="minorHAnsi"/>
                <w:b/>
                <w:bCs/>
                <w:sz w:val="22"/>
                <w:szCs w:val="22"/>
              </w:rPr>
            </w:pPr>
            <w:r w:rsidRPr="00003CA3">
              <w:rPr>
                <w:rFonts w:cs="Calibri"/>
                <w:b/>
                <w:bCs/>
                <w:sz w:val="22"/>
                <w:szCs w:val="22"/>
              </w:rPr>
              <w:t>1,266,531</w:t>
            </w:r>
          </w:p>
        </w:tc>
      </w:tr>
      <w:tr w:rsidR="00FF58AC" w:rsidRPr="00FF58AC" w:rsidTr="004012BE">
        <w:trPr>
          <w:trHeight w:val="300"/>
        </w:trPr>
        <w:tc>
          <w:tcPr>
            <w:tcW w:w="440" w:type="dxa"/>
          </w:tcPr>
          <w:p w:rsidR="00747314" w:rsidRPr="00FF58AC" w:rsidRDefault="00747314" w:rsidP="00992404">
            <w:pPr>
              <w:spacing w:before="40"/>
              <w:rPr>
                <w:rFonts w:cstheme="minorHAnsi"/>
                <w:sz w:val="22"/>
                <w:szCs w:val="22"/>
                <w:highlight w:val="yellow"/>
              </w:rPr>
            </w:pPr>
          </w:p>
        </w:tc>
        <w:tc>
          <w:tcPr>
            <w:tcW w:w="4091" w:type="dxa"/>
            <w:noWrap/>
          </w:tcPr>
          <w:p w:rsidR="00747314" w:rsidRPr="00FF58AC" w:rsidRDefault="00747314" w:rsidP="00992404">
            <w:pPr>
              <w:spacing w:before="40"/>
              <w:rPr>
                <w:rFonts w:cstheme="minorHAnsi"/>
                <w:sz w:val="22"/>
                <w:szCs w:val="22"/>
              </w:rPr>
            </w:pPr>
          </w:p>
        </w:tc>
        <w:tc>
          <w:tcPr>
            <w:tcW w:w="1701" w:type="dxa"/>
            <w:noWrap/>
          </w:tcPr>
          <w:p w:rsidR="00747314" w:rsidRPr="00FF58AC" w:rsidRDefault="00747314" w:rsidP="00992404">
            <w:pPr>
              <w:spacing w:before="40"/>
              <w:rPr>
                <w:rFonts w:cstheme="minorHAnsi"/>
                <w:sz w:val="22"/>
                <w:szCs w:val="22"/>
              </w:rPr>
            </w:pPr>
          </w:p>
        </w:tc>
        <w:tc>
          <w:tcPr>
            <w:tcW w:w="1276" w:type="dxa"/>
            <w:noWrap/>
            <w:vAlign w:val="center"/>
          </w:tcPr>
          <w:p w:rsidR="00747314" w:rsidRPr="00FF58AC" w:rsidRDefault="00747314" w:rsidP="00992404">
            <w:pPr>
              <w:spacing w:before="40"/>
              <w:jc w:val="center"/>
              <w:rPr>
                <w:rFonts w:cs="Calibri"/>
                <w:sz w:val="22"/>
                <w:szCs w:val="22"/>
              </w:rPr>
            </w:pPr>
            <w:r w:rsidRPr="00FF58AC">
              <w:rPr>
                <w:rFonts w:cs="Calibri"/>
                <w:sz w:val="22"/>
                <w:szCs w:val="22"/>
              </w:rPr>
              <w:t>78%</w:t>
            </w:r>
          </w:p>
        </w:tc>
        <w:tc>
          <w:tcPr>
            <w:tcW w:w="1191" w:type="dxa"/>
            <w:noWrap/>
            <w:vAlign w:val="center"/>
          </w:tcPr>
          <w:p w:rsidR="00747314" w:rsidRPr="00FF58AC" w:rsidRDefault="00747314" w:rsidP="00992404">
            <w:pPr>
              <w:spacing w:before="40"/>
              <w:jc w:val="center"/>
              <w:rPr>
                <w:rFonts w:cs="Calibri"/>
                <w:sz w:val="22"/>
                <w:szCs w:val="22"/>
              </w:rPr>
            </w:pPr>
            <w:r w:rsidRPr="00FF58AC">
              <w:rPr>
                <w:rFonts w:cs="Calibri"/>
                <w:sz w:val="22"/>
                <w:szCs w:val="22"/>
              </w:rPr>
              <w:t>10%</w:t>
            </w:r>
          </w:p>
        </w:tc>
        <w:tc>
          <w:tcPr>
            <w:tcW w:w="1356" w:type="dxa"/>
            <w:noWrap/>
            <w:vAlign w:val="center"/>
          </w:tcPr>
          <w:p w:rsidR="00747314" w:rsidRPr="00FF58AC" w:rsidRDefault="00747314" w:rsidP="00992404">
            <w:pPr>
              <w:spacing w:before="40"/>
              <w:jc w:val="center"/>
              <w:rPr>
                <w:rFonts w:cs="Calibri"/>
                <w:sz w:val="22"/>
                <w:szCs w:val="22"/>
              </w:rPr>
            </w:pPr>
            <w:r w:rsidRPr="00FF58AC">
              <w:rPr>
                <w:rFonts w:cs="Calibri"/>
                <w:sz w:val="22"/>
                <w:szCs w:val="22"/>
              </w:rPr>
              <w:t>12%</w:t>
            </w:r>
          </w:p>
        </w:tc>
      </w:tr>
    </w:tbl>
    <w:p w:rsidR="0014750C" w:rsidRDefault="00747314" w:rsidP="00FF58AC">
      <w:pPr>
        <w:overflowPunct/>
        <w:autoSpaceDE/>
        <w:autoSpaceDN/>
        <w:adjustRightInd/>
        <w:spacing w:before="0"/>
        <w:jc w:val="center"/>
        <w:textAlignment w:val="auto"/>
        <w:rPr>
          <w:sz w:val="18"/>
          <w:szCs w:val="18"/>
        </w:rPr>
      </w:pPr>
      <w:r>
        <w:rPr>
          <w:sz w:val="18"/>
          <w:szCs w:val="18"/>
        </w:rPr>
        <w:fldChar w:fldCharType="end"/>
      </w:r>
    </w:p>
    <w:p w:rsidR="00D83BF5" w:rsidRPr="00B62876" w:rsidRDefault="00FE0BFA" w:rsidP="00FF58AC">
      <w:pPr>
        <w:overflowPunct/>
        <w:autoSpaceDE/>
        <w:autoSpaceDN/>
        <w:adjustRightInd/>
        <w:spacing w:before="0"/>
        <w:jc w:val="center"/>
        <w:textAlignment w:val="auto"/>
        <w:rPr>
          <w:szCs w:val="24"/>
        </w:rPr>
      </w:pPr>
      <w:r w:rsidRPr="00B62876">
        <w:t>________________</w:t>
      </w:r>
    </w:p>
    <w:sectPr w:rsidR="00D83BF5" w:rsidRPr="00B62876" w:rsidSect="009B7D33">
      <w:headerReference w:type="default" r:id="rId20"/>
      <w:footerReference w:type="even" r:id="rId21"/>
      <w:headerReference w:type="first" r:id="rId22"/>
      <w:footerReference w:type="first" r:id="rId2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28E" w:rsidRDefault="0092128E">
      <w:r>
        <w:separator/>
      </w:r>
    </w:p>
  </w:endnote>
  <w:endnote w:type="continuationSeparator" w:id="0">
    <w:p w:rsidR="0092128E" w:rsidRDefault="0092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Default="00F104EF">
    <w:pPr>
      <w:framePr w:wrap="around" w:vAnchor="text" w:hAnchor="margin" w:xAlign="right" w:y="1"/>
    </w:pPr>
    <w:r>
      <w:fldChar w:fldCharType="begin"/>
    </w:r>
    <w:r>
      <w:instrText xml:space="preserve">PAGE  </w:instrText>
    </w:r>
    <w:r>
      <w:fldChar w:fldCharType="end"/>
    </w:r>
  </w:p>
  <w:p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13196A">
      <w:rPr>
        <w:noProof/>
      </w:rPr>
      <w:t>25.01.19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3C5007" w:rsidRPr="005241FB" w:rsidTr="003C5007">
      <w:tc>
        <w:tcPr>
          <w:tcW w:w="1418" w:type="dxa"/>
          <w:tcBorders>
            <w:top w:val="single" w:sz="4" w:space="0" w:color="000000"/>
          </w:tcBorders>
          <w:shd w:val="clear" w:color="auto" w:fill="auto"/>
        </w:tcPr>
        <w:p w:rsidR="003C5007" w:rsidRPr="005241FB" w:rsidRDefault="003C5007" w:rsidP="003C5007">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rsidR="003C5007" w:rsidRPr="005241FB" w:rsidRDefault="003C5007" w:rsidP="003C5007">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tcPr>
        <w:p w:rsidR="003C5007" w:rsidRPr="008673C5" w:rsidRDefault="003C5007" w:rsidP="003C5007">
          <w:pPr>
            <w:pStyle w:val="FirstFooter"/>
            <w:rPr>
              <w:sz w:val="18"/>
              <w:szCs w:val="18"/>
              <w:lang w:val="en-US"/>
            </w:rPr>
          </w:pPr>
          <w:proofErr w:type="spellStart"/>
          <w:r w:rsidRPr="006F6E5C">
            <w:rPr>
              <w:sz w:val="18"/>
              <w:szCs w:val="18"/>
              <w:lang w:val="en-US"/>
            </w:rPr>
            <w:t>Mr</w:t>
          </w:r>
          <w:proofErr w:type="spellEnd"/>
          <w:r w:rsidRPr="006F6E5C">
            <w:rPr>
              <w:sz w:val="18"/>
              <w:szCs w:val="18"/>
              <w:lang w:val="en-US"/>
            </w:rPr>
            <w:t xml:space="preserve"> Cosmas </w:t>
          </w:r>
          <w:proofErr w:type="spellStart"/>
          <w:r w:rsidRPr="006F6E5C">
            <w:rPr>
              <w:sz w:val="18"/>
              <w:szCs w:val="18"/>
              <w:lang w:val="en-US"/>
            </w:rPr>
            <w:t>Zavazava</w:t>
          </w:r>
          <w:proofErr w:type="spellEnd"/>
          <w:r w:rsidRPr="006F6E5C">
            <w:rPr>
              <w:sz w:val="18"/>
              <w:szCs w:val="18"/>
              <w:lang w:val="en-US"/>
            </w:rPr>
            <w:t>, Chief of Projects and Knowledge Management Department (PKM), Telecommunication Development Bureau</w:t>
          </w:r>
        </w:p>
      </w:tc>
    </w:tr>
    <w:tr w:rsidR="003C5007" w:rsidRPr="005241FB" w:rsidTr="003C5007">
      <w:tc>
        <w:tcPr>
          <w:tcW w:w="1418" w:type="dxa"/>
          <w:shd w:val="clear" w:color="auto" w:fill="auto"/>
        </w:tcPr>
        <w:p w:rsidR="003C5007" w:rsidRPr="005241FB" w:rsidRDefault="003C5007" w:rsidP="003C5007">
          <w:pPr>
            <w:pStyle w:val="FirstFooter"/>
            <w:tabs>
              <w:tab w:val="left" w:pos="1559"/>
              <w:tab w:val="left" w:pos="3828"/>
            </w:tabs>
            <w:rPr>
              <w:sz w:val="20"/>
              <w:lang w:val="en-US"/>
            </w:rPr>
          </w:pPr>
        </w:p>
      </w:tc>
      <w:tc>
        <w:tcPr>
          <w:tcW w:w="2518" w:type="dxa"/>
          <w:shd w:val="clear" w:color="auto" w:fill="auto"/>
        </w:tcPr>
        <w:p w:rsidR="003C5007" w:rsidRPr="005241FB" w:rsidRDefault="003C5007" w:rsidP="003C5007">
          <w:pPr>
            <w:pStyle w:val="FirstFooter"/>
            <w:tabs>
              <w:tab w:val="left" w:pos="2302"/>
            </w:tabs>
            <w:ind w:left="2302" w:hanging="2302"/>
            <w:rPr>
              <w:sz w:val="20"/>
              <w:lang w:val="en-US"/>
            </w:rPr>
          </w:pPr>
          <w:r w:rsidRPr="005241FB">
            <w:rPr>
              <w:sz w:val="20"/>
              <w:lang w:val="en-US"/>
            </w:rPr>
            <w:t>Tel:</w:t>
          </w:r>
        </w:p>
      </w:tc>
      <w:tc>
        <w:tcPr>
          <w:tcW w:w="5987" w:type="dxa"/>
        </w:tcPr>
        <w:p w:rsidR="003C5007" w:rsidRPr="004D495C" w:rsidRDefault="003C5007" w:rsidP="003C5007">
          <w:pPr>
            <w:pStyle w:val="FirstFooter"/>
            <w:tabs>
              <w:tab w:val="left" w:pos="2302"/>
            </w:tabs>
            <w:rPr>
              <w:sz w:val="18"/>
              <w:szCs w:val="18"/>
              <w:highlight w:val="yellow"/>
              <w:lang w:val="en-US"/>
            </w:rPr>
          </w:pPr>
          <w:r w:rsidRPr="006F6E5C">
            <w:rPr>
              <w:sz w:val="18"/>
              <w:szCs w:val="18"/>
              <w:lang w:val="en-US"/>
            </w:rPr>
            <w:t>+41 22 7305447</w:t>
          </w:r>
        </w:p>
      </w:tc>
    </w:tr>
    <w:tr w:rsidR="003C5007" w:rsidRPr="005241FB" w:rsidTr="003C5007">
      <w:tc>
        <w:tcPr>
          <w:tcW w:w="1418" w:type="dxa"/>
          <w:tcBorders>
            <w:bottom w:val="single" w:sz="4" w:space="0" w:color="auto"/>
          </w:tcBorders>
          <w:shd w:val="clear" w:color="auto" w:fill="auto"/>
        </w:tcPr>
        <w:p w:rsidR="003C5007" w:rsidRPr="005241FB" w:rsidRDefault="003C5007" w:rsidP="003C5007">
          <w:pPr>
            <w:pStyle w:val="FirstFooter"/>
            <w:tabs>
              <w:tab w:val="left" w:pos="1559"/>
              <w:tab w:val="left" w:pos="3828"/>
            </w:tabs>
            <w:rPr>
              <w:sz w:val="20"/>
              <w:lang w:val="fr-CH"/>
            </w:rPr>
          </w:pPr>
        </w:p>
      </w:tc>
      <w:tc>
        <w:tcPr>
          <w:tcW w:w="2518" w:type="dxa"/>
          <w:tcBorders>
            <w:bottom w:val="single" w:sz="4" w:space="0" w:color="auto"/>
          </w:tcBorders>
          <w:shd w:val="clear" w:color="auto" w:fill="auto"/>
        </w:tcPr>
        <w:p w:rsidR="003C5007" w:rsidRPr="005241FB" w:rsidRDefault="003C5007" w:rsidP="003C5007">
          <w:pPr>
            <w:pStyle w:val="FirstFooter"/>
            <w:tabs>
              <w:tab w:val="left" w:pos="2302"/>
            </w:tabs>
            <w:rPr>
              <w:sz w:val="20"/>
              <w:lang w:val="en-US"/>
            </w:rPr>
          </w:pPr>
          <w:r w:rsidRPr="005241FB">
            <w:rPr>
              <w:sz w:val="20"/>
              <w:lang w:val="en-US"/>
            </w:rPr>
            <w:t>E-mail:</w:t>
          </w:r>
        </w:p>
      </w:tc>
      <w:tc>
        <w:tcPr>
          <w:tcW w:w="5987" w:type="dxa"/>
          <w:tcBorders>
            <w:bottom w:val="single" w:sz="4" w:space="0" w:color="auto"/>
          </w:tcBorders>
        </w:tcPr>
        <w:p w:rsidR="003C5007" w:rsidRPr="004D495C" w:rsidRDefault="00DD48C3" w:rsidP="003C5007">
          <w:pPr>
            <w:pStyle w:val="FirstFooter"/>
            <w:tabs>
              <w:tab w:val="left" w:pos="2302"/>
            </w:tabs>
            <w:rPr>
              <w:sz w:val="18"/>
              <w:szCs w:val="18"/>
              <w:highlight w:val="yellow"/>
              <w:lang w:val="en-US"/>
            </w:rPr>
          </w:pPr>
          <w:hyperlink r:id="rId1" w:history="1">
            <w:r w:rsidR="003C5007" w:rsidRPr="00C77B30">
              <w:rPr>
                <w:rStyle w:val="Hyperlink"/>
                <w:sz w:val="18"/>
                <w:szCs w:val="18"/>
                <w:lang w:val="en-US"/>
              </w:rPr>
              <w:t>cosmas.zavazava@itu.int</w:t>
            </w:r>
          </w:hyperlink>
        </w:p>
      </w:tc>
    </w:tr>
  </w:tbl>
  <w:p w:rsidR="00F104EF" w:rsidRPr="00546225" w:rsidRDefault="00DD48C3" w:rsidP="00600B35">
    <w:pPr>
      <w:jc w:val="center"/>
    </w:pPr>
    <w:hyperlink r:id="rId2" w:history="1">
      <w:r w:rsidR="00600B35"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28E" w:rsidRDefault="0092128E">
      <w:r>
        <w:rPr>
          <w:b/>
        </w:rPr>
        <w:t>_______________</w:t>
      </w:r>
    </w:p>
  </w:footnote>
  <w:footnote w:type="continuationSeparator" w:id="0">
    <w:p w:rsidR="0092128E" w:rsidRDefault="0092128E">
      <w:r>
        <w:continuationSeparator/>
      </w:r>
    </w:p>
  </w:footnote>
  <w:footnote w:id="1">
    <w:p w:rsidR="00747314" w:rsidRPr="00411FE5" w:rsidRDefault="00747314" w:rsidP="00411FE5">
      <w:pPr>
        <w:pStyle w:val="FootnoteText"/>
        <w:tabs>
          <w:tab w:val="clear" w:pos="255"/>
          <w:tab w:val="left" w:pos="0"/>
        </w:tabs>
        <w:spacing w:before="0"/>
        <w:rPr>
          <w:sz w:val="20"/>
        </w:rPr>
      </w:pPr>
      <w:r w:rsidRPr="00411FE5">
        <w:rPr>
          <w:rStyle w:val="FootnoteReference"/>
          <w:sz w:val="20"/>
        </w:rPr>
        <w:footnoteRef/>
      </w:r>
      <w:r w:rsidRPr="00411FE5">
        <w:rPr>
          <w:sz w:val="20"/>
        </w:rPr>
        <w:t xml:space="preserve"> For reporting purposes, all financial figures are converted into CHF using ITU’s accounting exchange rate of December 2018.</w:t>
      </w:r>
    </w:p>
  </w:footnote>
  <w:footnote w:id="2">
    <w:p w:rsidR="00747314" w:rsidRPr="00411FE5" w:rsidRDefault="00747314" w:rsidP="00411FE5">
      <w:pPr>
        <w:pStyle w:val="FootnoteText"/>
        <w:spacing w:before="0"/>
        <w:rPr>
          <w:sz w:val="20"/>
        </w:rPr>
      </w:pPr>
      <w:r w:rsidRPr="00411FE5">
        <w:rPr>
          <w:rStyle w:val="FootnoteReference"/>
          <w:sz w:val="20"/>
        </w:rPr>
        <w:footnoteRef/>
      </w:r>
      <w:r w:rsidRPr="00411FE5">
        <w:rPr>
          <w:sz w:val="20"/>
        </w:rPr>
        <w:t xml:space="preserve"> Please note that some projects fall under more than one area of action.</w:t>
      </w:r>
    </w:p>
  </w:footnote>
  <w:footnote w:id="3">
    <w:p w:rsidR="00747314" w:rsidRPr="00411FE5" w:rsidRDefault="00747314" w:rsidP="00411FE5">
      <w:pPr>
        <w:pStyle w:val="FootnoteText"/>
        <w:spacing w:before="0"/>
        <w:rPr>
          <w:sz w:val="20"/>
          <w:lang w:val="en-US"/>
        </w:rPr>
      </w:pPr>
      <w:r w:rsidRPr="00411FE5">
        <w:rPr>
          <w:rStyle w:val="FootnoteReference"/>
          <w:sz w:val="20"/>
        </w:rPr>
        <w:footnoteRef/>
      </w:r>
      <w:r w:rsidRPr="00411FE5">
        <w:rPr>
          <w:sz w:val="20"/>
        </w:rPr>
        <w:t xml:space="preserve"> The amounts are based on the signed implementation budget. </w:t>
      </w:r>
    </w:p>
  </w:footnote>
  <w:footnote w:id="4">
    <w:p w:rsidR="00747314" w:rsidRPr="00411FE5" w:rsidRDefault="00747314" w:rsidP="00411FE5">
      <w:pPr>
        <w:pStyle w:val="FootnoteText"/>
        <w:spacing w:before="0"/>
        <w:rPr>
          <w:sz w:val="20"/>
          <w:lang w:val="en-US"/>
        </w:rPr>
      </w:pPr>
      <w:r w:rsidRPr="00411FE5">
        <w:rPr>
          <w:rStyle w:val="FootnoteReference"/>
          <w:sz w:val="20"/>
        </w:rPr>
        <w:footnoteRef/>
      </w:r>
      <w:r w:rsidRPr="00411FE5">
        <w:rPr>
          <w:sz w:val="20"/>
        </w:rPr>
        <w:t xml:space="preserve"> The amounts are based on the signed implementation budgets.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795BED" w:rsidRDefault="00795BED" w:rsidP="00747314">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747314">
      <w:rPr>
        <w:sz w:val="22"/>
        <w:szCs w:val="22"/>
        <w:lang w:val="es-ES_tradnl"/>
      </w:rPr>
      <w:t>27</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DD48C3">
      <w:rPr>
        <w:noProof/>
        <w:sz w:val="22"/>
        <w:szCs w:val="22"/>
        <w:lang w:val="es-ES_tradnl"/>
      </w:rPr>
      <w:t>4</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60" w:rsidRPr="009B7D33" w:rsidRDefault="00A62C60" w:rsidP="009B7D33">
    <w:pPr>
      <w:tabs>
        <w:tab w:val="clear" w:pos="1134"/>
        <w:tab w:val="clear" w:pos="1871"/>
        <w:tab w:val="clear" w:pos="2268"/>
        <w:tab w:val="center" w:pos="4820"/>
        <w:tab w:val="right" w:pos="10206"/>
      </w:tabs>
      <w:ind w:right="1"/>
      <w:rPr>
        <w:smallCaps/>
        <w:spacing w:val="24"/>
        <w:sz w:val="22"/>
        <w:szCs w:val="2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B34C8"/>
    <w:multiLevelType w:val="hybridMultilevel"/>
    <w:tmpl w:val="1E1ED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044D96"/>
    <w:multiLevelType w:val="hybridMultilevel"/>
    <w:tmpl w:val="8AE4C51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F530A4"/>
    <w:multiLevelType w:val="hybridMultilevel"/>
    <w:tmpl w:val="56EE58CC"/>
    <w:lvl w:ilvl="0" w:tplc="0409000F">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361F8"/>
    <w:multiLevelType w:val="hybridMultilevel"/>
    <w:tmpl w:val="7E9CC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22D1160"/>
    <w:multiLevelType w:val="hybridMultilevel"/>
    <w:tmpl w:val="6D0863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3CA3"/>
    <w:rsid w:val="000041EA"/>
    <w:rsid w:val="000101BA"/>
    <w:rsid w:val="00022A29"/>
    <w:rsid w:val="00027A84"/>
    <w:rsid w:val="00031642"/>
    <w:rsid w:val="000355FD"/>
    <w:rsid w:val="0004156E"/>
    <w:rsid w:val="00051E39"/>
    <w:rsid w:val="00075C63"/>
    <w:rsid w:val="00077239"/>
    <w:rsid w:val="00080905"/>
    <w:rsid w:val="000822BE"/>
    <w:rsid w:val="00086491"/>
    <w:rsid w:val="00091346"/>
    <w:rsid w:val="00097627"/>
    <w:rsid w:val="000A733B"/>
    <w:rsid w:val="000D4875"/>
    <w:rsid w:val="000F0A05"/>
    <w:rsid w:val="000F73FF"/>
    <w:rsid w:val="00114CF7"/>
    <w:rsid w:val="00123B68"/>
    <w:rsid w:val="00126F2E"/>
    <w:rsid w:val="0013196A"/>
    <w:rsid w:val="00146F6F"/>
    <w:rsid w:val="0014750C"/>
    <w:rsid w:val="00147DA1"/>
    <w:rsid w:val="00152957"/>
    <w:rsid w:val="0018673E"/>
    <w:rsid w:val="00187BD9"/>
    <w:rsid w:val="00190B55"/>
    <w:rsid w:val="00194CFB"/>
    <w:rsid w:val="001A5FD1"/>
    <w:rsid w:val="001B2405"/>
    <w:rsid w:val="001B2ED3"/>
    <w:rsid w:val="001B55DE"/>
    <w:rsid w:val="001B7EA3"/>
    <w:rsid w:val="001C3B5F"/>
    <w:rsid w:val="001C3D25"/>
    <w:rsid w:val="001D058F"/>
    <w:rsid w:val="001D16F0"/>
    <w:rsid w:val="001D385E"/>
    <w:rsid w:val="001E252D"/>
    <w:rsid w:val="001F6050"/>
    <w:rsid w:val="002009EA"/>
    <w:rsid w:val="00202CA0"/>
    <w:rsid w:val="00203BA1"/>
    <w:rsid w:val="002154A6"/>
    <w:rsid w:val="002162CD"/>
    <w:rsid w:val="00216853"/>
    <w:rsid w:val="002255B3"/>
    <w:rsid w:val="002309D0"/>
    <w:rsid w:val="00236E8A"/>
    <w:rsid w:val="00271316"/>
    <w:rsid w:val="002928BD"/>
    <w:rsid w:val="00296313"/>
    <w:rsid w:val="002B3C84"/>
    <w:rsid w:val="002D0297"/>
    <w:rsid w:val="002D58BE"/>
    <w:rsid w:val="002F07E3"/>
    <w:rsid w:val="003013EE"/>
    <w:rsid w:val="00317161"/>
    <w:rsid w:val="00330DCC"/>
    <w:rsid w:val="00331BD9"/>
    <w:rsid w:val="00335BE6"/>
    <w:rsid w:val="00351729"/>
    <w:rsid w:val="00377BD3"/>
    <w:rsid w:val="00382E92"/>
    <w:rsid w:val="00384088"/>
    <w:rsid w:val="0038489B"/>
    <w:rsid w:val="00384E7B"/>
    <w:rsid w:val="0039169B"/>
    <w:rsid w:val="00393FCD"/>
    <w:rsid w:val="003A7F8C"/>
    <w:rsid w:val="003B08BF"/>
    <w:rsid w:val="003B307E"/>
    <w:rsid w:val="003B3981"/>
    <w:rsid w:val="003B532E"/>
    <w:rsid w:val="003B6F14"/>
    <w:rsid w:val="003C5007"/>
    <w:rsid w:val="003D0F8B"/>
    <w:rsid w:val="003D636F"/>
    <w:rsid w:val="003E3D25"/>
    <w:rsid w:val="003F4BE7"/>
    <w:rsid w:val="00403E2D"/>
    <w:rsid w:val="00411FE5"/>
    <w:rsid w:val="004131D4"/>
    <w:rsid w:val="0041348E"/>
    <w:rsid w:val="00417C1E"/>
    <w:rsid w:val="004216C5"/>
    <w:rsid w:val="00447308"/>
    <w:rsid w:val="00472285"/>
    <w:rsid w:val="004730A6"/>
    <w:rsid w:val="00475D0C"/>
    <w:rsid w:val="004765FF"/>
    <w:rsid w:val="0048222C"/>
    <w:rsid w:val="00492075"/>
    <w:rsid w:val="004969AD"/>
    <w:rsid w:val="004B13CB"/>
    <w:rsid w:val="004B4FDF"/>
    <w:rsid w:val="004B7B43"/>
    <w:rsid w:val="004C18AB"/>
    <w:rsid w:val="004D26CE"/>
    <w:rsid w:val="004D5D5C"/>
    <w:rsid w:val="0050139F"/>
    <w:rsid w:val="005034F3"/>
    <w:rsid w:val="00521223"/>
    <w:rsid w:val="00522EB1"/>
    <w:rsid w:val="00524DF1"/>
    <w:rsid w:val="00527523"/>
    <w:rsid w:val="00546225"/>
    <w:rsid w:val="0055140B"/>
    <w:rsid w:val="00554C4F"/>
    <w:rsid w:val="00561D72"/>
    <w:rsid w:val="00563AAD"/>
    <w:rsid w:val="005964AB"/>
    <w:rsid w:val="005B44F5"/>
    <w:rsid w:val="005C099A"/>
    <w:rsid w:val="005C31A5"/>
    <w:rsid w:val="005C32E6"/>
    <w:rsid w:val="005E10C9"/>
    <w:rsid w:val="005E61DD"/>
    <w:rsid w:val="005E6321"/>
    <w:rsid w:val="005F012D"/>
    <w:rsid w:val="005F334F"/>
    <w:rsid w:val="005F706C"/>
    <w:rsid w:val="00600B35"/>
    <w:rsid w:val="006023DF"/>
    <w:rsid w:val="006057A7"/>
    <w:rsid w:val="0064322F"/>
    <w:rsid w:val="00645019"/>
    <w:rsid w:val="00657DE0"/>
    <w:rsid w:val="0067199F"/>
    <w:rsid w:val="00677048"/>
    <w:rsid w:val="00685313"/>
    <w:rsid w:val="006907AB"/>
    <w:rsid w:val="006A58D5"/>
    <w:rsid w:val="006A6E9B"/>
    <w:rsid w:val="006B4C2E"/>
    <w:rsid w:val="006B7C2A"/>
    <w:rsid w:val="006C23DA"/>
    <w:rsid w:val="006E3D45"/>
    <w:rsid w:val="006F6D0F"/>
    <w:rsid w:val="007149F9"/>
    <w:rsid w:val="00727B93"/>
    <w:rsid w:val="00733A30"/>
    <w:rsid w:val="00743ABF"/>
    <w:rsid w:val="00745AEE"/>
    <w:rsid w:val="00747314"/>
    <w:rsid w:val="007479EA"/>
    <w:rsid w:val="00750D62"/>
    <w:rsid w:val="00750F10"/>
    <w:rsid w:val="007742CA"/>
    <w:rsid w:val="00795BED"/>
    <w:rsid w:val="007B6C47"/>
    <w:rsid w:val="007D06F0"/>
    <w:rsid w:val="007D45E3"/>
    <w:rsid w:val="007D5320"/>
    <w:rsid w:val="007F4B47"/>
    <w:rsid w:val="007F735C"/>
    <w:rsid w:val="00800972"/>
    <w:rsid w:val="00804475"/>
    <w:rsid w:val="00811633"/>
    <w:rsid w:val="00821CEF"/>
    <w:rsid w:val="00827836"/>
    <w:rsid w:val="00832828"/>
    <w:rsid w:val="0083645A"/>
    <w:rsid w:val="00837762"/>
    <w:rsid w:val="00840B0F"/>
    <w:rsid w:val="008711AE"/>
    <w:rsid w:val="00872FC8"/>
    <w:rsid w:val="0087404B"/>
    <w:rsid w:val="008801D3"/>
    <w:rsid w:val="008845D0"/>
    <w:rsid w:val="008A51DA"/>
    <w:rsid w:val="008B43F2"/>
    <w:rsid w:val="008B61EA"/>
    <w:rsid w:val="008B6CFF"/>
    <w:rsid w:val="008C0FBE"/>
    <w:rsid w:val="008C2D57"/>
    <w:rsid w:val="008C4710"/>
    <w:rsid w:val="008D6E39"/>
    <w:rsid w:val="008E7341"/>
    <w:rsid w:val="00910B26"/>
    <w:rsid w:val="0092128E"/>
    <w:rsid w:val="009274B4"/>
    <w:rsid w:val="00934EA2"/>
    <w:rsid w:val="00944A5C"/>
    <w:rsid w:val="00952A66"/>
    <w:rsid w:val="00992404"/>
    <w:rsid w:val="009B7D33"/>
    <w:rsid w:val="009C2757"/>
    <w:rsid w:val="009C56E5"/>
    <w:rsid w:val="009E5FC8"/>
    <w:rsid w:val="009E687A"/>
    <w:rsid w:val="009F43E9"/>
    <w:rsid w:val="00A03C5C"/>
    <w:rsid w:val="00A066F1"/>
    <w:rsid w:val="00A141AF"/>
    <w:rsid w:val="00A16D29"/>
    <w:rsid w:val="00A20E5E"/>
    <w:rsid w:val="00A30305"/>
    <w:rsid w:val="00A31D2D"/>
    <w:rsid w:val="00A4600A"/>
    <w:rsid w:val="00A5022F"/>
    <w:rsid w:val="00A538A6"/>
    <w:rsid w:val="00A54C25"/>
    <w:rsid w:val="00A62C60"/>
    <w:rsid w:val="00A710E7"/>
    <w:rsid w:val="00A7372E"/>
    <w:rsid w:val="00A90292"/>
    <w:rsid w:val="00A93B85"/>
    <w:rsid w:val="00AA0B18"/>
    <w:rsid w:val="00AA666F"/>
    <w:rsid w:val="00AB4927"/>
    <w:rsid w:val="00AC034F"/>
    <w:rsid w:val="00AE0A51"/>
    <w:rsid w:val="00AE65F5"/>
    <w:rsid w:val="00AF3CD6"/>
    <w:rsid w:val="00AF74E6"/>
    <w:rsid w:val="00B004E5"/>
    <w:rsid w:val="00B15F9D"/>
    <w:rsid w:val="00B243AF"/>
    <w:rsid w:val="00B35205"/>
    <w:rsid w:val="00B43B6E"/>
    <w:rsid w:val="00B53DC1"/>
    <w:rsid w:val="00B62876"/>
    <w:rsid w:val="00B639E9"/>
    <w:rsid w:val="00B7112E"/>
    <w:rsid w:val="00B74DC6"/>
    <w:rsid w:val="00B817CD"/>
    <w:rsid w:val="00B911B2"/>
    <w:rsid w:val="00B951D0"/>
    <w:rsid w:val="00B95362"/>
    <w:rsid w:val="00B95DA2"/>
    <w:rsid w:val="00BB29C8"/>
    <w:rsid w:val="00BB3A95"/>
    <w:rsid w:val="00BC0382"/>
    <w:rsid w:val="00BD0476"/>
    <w:rsid w:val="00BD62C6"/>
    <w:rsid w:val="00BD6F9B"/>
    <w:rsid w:val="00BF05F3"/>
    <w:rsid w:val="00BF2955"/>
    <w:rsid w:val="00C0018F"/>
    <w:rsid w:val="00C20466"/>
    <w:rsid w:val="00C214ED"/>
    <w:rsid w:val="00C2209E"/>
    <w:rsid w:val="00C234E6"/>
    <w:rsid w:val="00C324A8"/>
    <w:rsid w:val="00C4520A"/>
    <w:rsid w:val="00C54517"/>
    <w:rsid w:val="00C64CD8"/>
    <w:rsid w:val="00C97C68"/>
    <w:rsid w:val="00CA1A47"/>
    <w:rsid w:val="00CB1214"/>
    <w:rsid w:val="00CC247A"/>
    <w:rsid w:val="00CE5E47"/>
    <w:rsid w:val="00CE6A95"/>
    <w:rsid w:val="00CF020F"/>
    <w:rsid w:val="00CF2B5B"/>
    <w:rsid w:val="00D14CE0"/>
    <w:rsid w:val="00D36333"/>
    <w:rsid w:val="00D5651D"/>
    <w:rsid w:val="00D57344"/>
    <w:rsid w:val="00D60983"/>
    <w:rsid w:val="00D74898"/>
    <w:rsid w:val="00D801ED"/>
    <w:rsid w:val="00D83BF5"/>
    <w:rsid w:val="00D846CC"/>
    <w:rsid w:val="00D925C2"/>
    <w:rsid w:val="00D936BC"/>
    <w:rsid w:val="00D95FD2"/>
    <w:rsid w:val="00D9621A"/>
    <w:rsid w:val="00D96530"/>
    <w:rsid w:val="00D96B4B"/>
    <w:rsid w:val="00DA2345"/>
    <w:rsid w:val="00DA453A"/>
    <w:rsid w:val="00DA7078"/>
    <w:rsid w:val="00DD08B4"/>
    <w:rsid w:val="00DD44AF"/>
    <w:rsid w:val="00DD48C3"/>
    <w:rsid w:val="00DE2AC3"/>
    <w:rsid w:val="00DE434C"/>
    <w:rsid w:val="00DE5692"/>
    <w:rsid w:val="00DF6F8E"/>
    <w:rsid w:val="00E03C94"/>
    <w:rsid w:val="00E07105"/>
    <w:rsid w:val="00E26226"/>
    <w:rsid w:val="00E4165C"/>
    <w:rsid w:val="00E45D05"/>
    <w:rsid w:val="00E55816"/>
    <w:rsid w:val="00E55AEF"/>
    <w:rsid w:val="00E71CC6"/>
    <w:rsid w:val="00E924B2"/>
    <w:rsid w:val="00E976C1"/>
    <w:rsid w:val="00EA12E5"/>
    <w:rsid w:val="00EE18A3"/>
    <w:rsid w:val="00EF1CD5"/>
    <w:rsid w:val="00EF2C99"/>
    <w:rsid w:val="00F02766"/>
    <w:rsid w:val="00F04067"/>
    <w:rsid w:val="00F05BD4"/>
    <w:rsid w:val="00F104EF"/>
    <w:rsid w:val="00F11A98"/>
    <w:rsid w:val="00F15D1D"/>
    <w:rsid w:val="00F21A1D"/>
    <w:rsid w:val="00F21F2B"/>
    <w:rsid w:val="00F24E17"/>
    <w:rsid w:val="00F34336"/>
    <w:rsid w:val="00F52C92"/>
    <w:rsid w:val="00F53BDD"/>
    <w:rsid w:val="00F64F19"/>
    <w:rsid w:val="00F65C19"/>
    <w:rsid w:val="00F91E4B"/>
    <w:rsid w:val="00FB625D"/>
    <w:rsid w:val="00FD2546"/>
    <w:rsid w:val="00FD772E"/>
    <w:rsid w:val="00FE0BFA"/>
    <w:rsid w:val="00FE3926"/>
    <w:rsid w:val="00FE78C7"/>
    <w:rsid w:val="00FF1726"/>
    <w:rsid w:val="00FF43AC"/>
    <w:rsid w:val="00FF58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rsid w:val="00AE0A51"/>
    <w:rPr>
      <w:rFonts w:asciiTheme="minorHAnsi" w:hAnsiTheme="minorHAnsi"/>
      <w:b/>
      <w:sz w:val="28"/>
      <w:lang w:val="en-GB" w:eastAsia="en-US"/>
    </w:rPr>
  </w:style>
  <w:style w:type="character" w:customStyle="1" w:styleId="Heading2Char">
    <w:name w:val="Heading 2 Char"/>
    <w:link w:val="Heading2"/>
    <w:rsid w:val="00AE0A51"/>
    <w:rPr>
      <w:rFonts w:asciiTheme="minorHAnsi" w:hAnsiTheme="minorHAnsi"/>
      <w:b/>
      <w:sz w:val="24"/>
      <w:lang w:val="en-GB" w:eastAsia="en-US"/>
    </w:rPr>
  </w:style>
  <w:style w:type="character" w:customStyle="1" w:styleId="Heading3Char">
    <w:name w:val="Heading 3 Char"/>
    <w:link w:val="Heading3"/>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
    <w:name w:val="Unresolved Mention"/>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eastAsia="SimSun" w:hAnsi="Calibri" w:cs="Arial"/>
      <w:sz w:val="22"/>
      <w:szCs w:val="22"/>
    </w:rPr>
  </w:style>
  <w:style w:type="character" w:customStyle="1" w:styleId="Heading4Char">
    <w:name w:val="Heading 4 Char"/>
    <w:basedOn w:val="DefaultParagraphFont"/>
    <w:link w:val="Heading4"/>
    <w:rsid w:val="00747314"/>
    <w:rPr>
      <w:rFonts w:asciiTheme="minorHAnsi" w:hAnsiTheme="minorHAnsi"/>
      <w:b/>
      <w:sz w:val="24"/>
      <w:lang w:val="en-GB" w:eastAsia="en-US"/>
    </w:rPr>
  </w:style>
  <w:style w:type="character" w:customStyle="1" w:styleId="Heading5Char">
    <w:name w:val="Heading 5 Char"/>
    <w:basedOn w:val="DefaultParagraphFont"/>
    <w:link w:val="Heading5"/>
    <w:rsid w:val="00747314"/>
    <w:rPr>
      <w:rFonts w:asciiTheme="minorHAnsi" w:hAnsiTheme="minorHAnsi"/>
      <w:b/>
      <w:sz w:val="24"/>
      <w:lang w:val="en-GB" w:eastAsia="en-US"/>
    </w:rPr>
  </w:style>
  <w:style w:type="character" w:customStyle="1" w:styleId="Heading6Char">
    <w:name w:val="Heading 6 Char"/>
    <w:basedOn w:val="DefaultParagraphFont"/>
    <w:link w:val="Heading6"/>
    <w:rsid w:val="00747314"/>
    <w:rPr>
      <w:rFonts w:asciiTheme="minorHAnsi" w:hAnsiTheme="minorHAnsi"/>
      <w:b/>
      <w:sz w:val="24"/>
      <w:lang w:val="en-GB" w:eastAsia="en-US"/>
    </w:rPr>
  </w:style>
  <w:style w:type="character" w:customStyle="1" w:styleId="Heading7Char">
    <w:name w:val="Heading 7 Char"/>
    <w:basedOn w:val="DefaultParagraphFont"/>
    <w:link w:val="Heading7"/>
    <w:rsid w:val="00747314"/>
    <w:rPr>
      <w:rFonts w:asciiTheme="minorHAnsi" w:hAnsiTheme="minorHAnsi"/>
      <w:b/>
      <w:sz w:val="24"/>
      <w:lang w:val="en-GB" w:eastAsia="en-US"/>
    </w:rPr>
  </w:style>
  <w:style w:type="character" w:customStyle="1" w:styleId="Heading8Char">
    <w:name w:val="Heading 8 Char"/>
    <w:basedOn w:val="DefaultParagraphFont"/>
    <w:link w:val="Heading8"/>
    <w:rsid w:val="00747314"/>
    <w:rPr>
      <w:rFonts w:asciiTheme="minorHAnsi" w:hAnsiTheme="minorHAnsi"/>
      <w:b/>
      <w:sz w:val="24"/>
      <w:lang w:val="en-GB" w:eastAsia="en-US"/>
    </w:rPr>
  </w:style>
  <w:style w:type="character" w:customStyle="1" w:styleId="Heading9Char">
    <w:name w:val="Heading 9 Char"/>
    <w:basedOn w:val="DefaultParagraphFont"/>
    <w:link w:val="Heading9"/>
    <w:rsid w:val="00747314"/>
    <w:rPr>
      <w:rFonts w:asciiTheme="minorHAnsi" w:hAnsiTheme="minorHAnsi"/>
      <w:b/>
      <w:sz w:val="24"/>
      <w:lang w:val="en-GB" w:eastAsia="en-US"/>
    </w:rPr>
  </w:style>
  <w:style w:type="paragraph" w:customStyle="1" w:styleId="Table">
    <w:name w:val="Table_#"/>
    <w:basedOn w:val="Normal"/>
    <w:next w:val="Normal"/>
    <w:rsid w:val="00747314"/>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747314"/>
    <w:pPr>
      <w:jc w:val="center"/>
    </w:pPr>
    <w:rPr>
      <w:rFonts w:ascii="Calibri" w:eastAsia="SimHei" w:hAnsi="Calibri" w:cs="Simplified Arabic"/>
      <w:sz w:val="22"/>
      <w:szCs w:val="28"/>
      <w:lang w:val="en-GB" w:eastAsia="en-US"/>
    </w:rPr>
  </w:style>
  <w:style w:type="paragraph" w:customStyle="1" w:styleId="HTMLBody">
    <w:name w:val="HTML Body"/>
    <w:rsid w:val="00747314"/>
    <w:pPr>
      <w:overflowPunct w:val="0"/>
      <w:autoSpaceDE w:val="0"/>
      <w:autoSpaceDN w:val="0"/>
      <w:adjustRightInd w:val="0"/>
      <w:textAlignment w:val="baseline"/>
    </w:pPr>
    <w:rPr>
      <w:rFonts w:ascii="Arial" w:eastAsia="MS Mincho" w:hAnsi="Arial"/>
      <w:lang w:eastAsia="en-US"/>
    </w:rPr>
  </w:style>
  <w:style w:type="paragraph" w:customStyle="1" w:styleId="BDTNormal">
    <w:name w:val="BDT_Normal"/>
    <w:link w:val="BDTNormalChar"/>
    <w:rsid w:val="00747314"/>
    <w:pPr>
      <w:spacing w:before="120" w:after="120"/>
    </w:pPr>
    <w:rPr>
      <w:rFonts w:ascii="Verdana" w:eastAsia="SimSun" w:hAnsi="Verdana"/>
      <w:sz w:val="19"/>
      <w:szCs w:val="19"/>
      <w:lang w:val="en-GB" w:eastAsia="en-US"/>
    </w:rPr>
  </w:style>
  <w:style w:type="character" w:customStyle="1" w:styleId="BDTNormalChar">
    <w:name w:val="BDT_Normal Char"/>
    <w:link w:val="BDTNormal"/>
    <w:rsid w:val="00747314"/>
    <w:rPr>
      <w:rFonts w:ascii="Verdana" w:eastAsia="SimSun" w:hAnsi="Verdana"/>
      <w:sz w:val="19"/>
      <w:szCs w:val="19"/>
      <w:lang w:val="en-GB" w:eastAsia="en-US"/>
    </w:rPr>
  </w:style>
  <w:style w:type="paragraph" w:customStyle="1" w:styleId="BDTcontributionH1">
    <w:name w:val="BDT_contributionH1"/>
    <w:basedOn w:val="Normal"/>
    <w:next w:val="BDTNormal"/>
    <w:rsid w:val="00747314"/>
    <w:pPr>
      <w:keepNext/>
      <w:keepLines/>
      <w:tabs>
        <w:tab w:val="clear" w:pos="1134"/>
        <w:tab w:val="clear" w:pos="1871"/>
        <w:tab w:val="clear" w:pos="2268"/>
      </w:tabs>
      <w:overflowPunct/>
      <w:autoSpaceDE/>
      <w:autoSpaceDN/>
      <w:adjustRightInd/>
      <w:spacing w:before="240" w:after="120"/>
      <w:textAlignment w:val="auto"/>
    </w:pPr>
    <w:rPr>
      <w:rFonts w:ascii="Verdana" w:eastAsia="SimHei" w:hAnsi="Verdana" w:cs="Simplified Arabic"/>
      <w:b/>
      <w:sz w:val="19"/>
      <w:szCs w:val="19"/>
    </w:rPr>
  </w:style>
  <w:style w:type="character" w:styleId="IntenseEmphasis">
    <w:name w:val="Intense Emphasis"/>
    <w:basedOn w:val="DefaultParagraphFont"/>
    <w:uiPriority w:val="21"/>
    <w:qFormat/>
    <w:rsid w:val="00747314"/>
    <w:rPr>
      <w:b/>
      <w:bCs/>
      <w:i/>
      <w:iCs/>
      <w:color w:val="4F81BD" w:themeColor="accent1"/>
    </w:rPr>
  </w:style>
  <w:style w:type="paragraph" w:customStyle="1" w:styleId="Event">
    <w:name w:val="Event"/>
    <w:basedOn w:val="Normal"/>
    <w:qFormat/>
    <w:rsid w:val="00747314"/>
    <w:pPr>
      <w:tabs>
        <w:tab w:val="clear" w:pos="1134"/>
        <w:tab w:val="clear" w:pos="1871"/>
        <w:tab w:val="clear" w:pos="2268"/>
      </w:tabs>
      <w:overflowPunct/>
      <w:autoSpaceDE/>
      <w:autoSpaceDN/>
      <w:adjustRightInd/>
      <w:spacing w:before="0" w:after="80"/>
      <w:textAlignment w:val="auto"/>
    </w:pPr>
    <w:rPr>
      <w:rFonts w:ascii="Calibri" w:eastAsia="Calibri" w:hAnsi="Calibri" w:cs="Arial"/>
      <w:sz w:val="18"/>
      <w:szCs w:val="22"/>
      <w:lang w:val="en-US"/>
    </w:rPr>
  </w:style>
  <w:style w:type="character" w:customStyle="1" w:styleId="tgc">
    <w:name w:val="_tgc"/>
    <w:basedOn w:val="DefaultParagraphFont"/>
    <w:rsid w:val="00747314"/>
  </w:style>
  <w:style w:type="character" w:customStyle="1" w:styleId="UnresolvedMention1">
    <w:name w:val="Unresolved Mention1"/>
    <w:basedOn w:val="DefaultParagraphFont"/>
    <w:uiPriority w:val="99"/>
    <w:semiHidden/>
    <w:unhideWhenUsed/>
    <w:rsid w:val="00747314"/>
    <w:rPr>
      <w:color w:val="605E5C"/>
      <w:shd w:val="clear" w:color="auto" w:fill="E1DFDD"/>
    </w:rPr>
  </w:style>
  <w:style w:type="paragraph" w:styleId="EndnoteText">
    <w:name w:val="endnote text"/>
    <w:basedOn w:val="Normal"/>
    <w:link w:val="EndnoteTextChar"/>
    <w:semiHidden/>
    <w:unhideWhenUsed/>
    <w:rsid w:val="00747314"/>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
    <w:name w:val="Endnote Text Char"/>
    <w:basedOn w:val="DefaultParagraphFont"/>
    <w:link w:val="EndnoteText"/>
    <w:semiHidden/>
    <w:rsid w:val="00747314"/>
    <w:rPr>
      <w:rFonts w:asciiTheme="minorHAnsi" w:hAnsi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yperlink" Target="https://www.itu.int/en/ITU-D/Projects/Pages/Case-Studies.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en/ITU-D/Projects/Pages/Implementation-Reviews.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itu.int/en/ITU-D/Projects/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cosmas.zavazava@itu.in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t>Chart 1:</a:t>
            </a:r>
            <a:r>
              <a:rPr lang="tr-TR" sz="1200" baseline="0"/>
              <a:t> </a:t>
            </a:r>
            <a:r>
              <a:rPr lang="en-US" sz="1200"/>
              <a:t>Distribution of Ongoing BDT Projects</a:t>
            </a:r>
            <a:r>
              <a:rPr lang="tr-TR" sz="1200"/>
              <a:t> as of </a:t>
            </a:r>
            <a:r>
              <a:rPr lang="en-US" sz="1200"/>
              <a:t>31 </a:t>
            </a:r>
            <a:r>
              <a:rPr lang="tr-TR" sz="1200"/>
              <a:t>December</a:t>
            </a:r>
            <a:r>
              <a:rPr lang="tr-TR" sz="1200" baseline="0"/>
              <a:t> 2018 </a:t>
            </a:r>
            <a:r>
              <a:rPr lang="tr-TR" sz="1200"/>
              <a:t>by Region</a:t>
            </a:r>
            <a:endParaRPr lang="en-US" sz="1200"/>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4B35-4F79-AEE8-69CF0B1E0A32}"/>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4B35-4F79-AEE8-69CF0B1E0A32}"/>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4B35-4F79-AEE8-69CF0B1E0A32}"/>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4B35-4F79-AEE8-69CF0B1E0A32}"/>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4B35-4F79-AEE8-69CF0B1E0A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General</c:formatCode>
                <c:ptCount val="7"/>
                <c:pt idx="0">
                  <c:v>11</c:v>
                </c:pt>
                <c:pt idx="1">
                  <c:v>11</c:v>
                </c:pt>
                <c:pt idx="2">
                  <c:v>20</c:v>
                </c:pt>
                <c:pt idx="3">
                  <c:v>8</c:v>
                </c:pt>
                <c:pt idx="4">
                  <c:v>9</c:v>
                </c:pt>
                <c:pt idx="5">
                  <c:v>0</c:v>
                </c:pt>
                <c:pt idx="6">
                  <c:v>1</c:v>
                </c:pt>
              </c:numCache>
            </c:numRef>
          </c:val>
          <c:extLst xmlns:c16r2="http://schemas.microsoft.com/office/drawing/2015/06/chart">
            <c:ext xmlns:c16="http://schemas.microsoft.com/office/drawing/2014/chart" uri="{C3380CC4-5D6E-409C-BE32-E72D297353CC}">
              <c16:uniqueId val="{0000000A-4B35-4F79-AEE8-69CF0B1E0A32}"/>
            </c:ext>
          </c:extLst>
        </c:ser>
        <c:dLbls>
          <c:showLegendKey val="0"/>
          <c:showVal val="0"/>
          <c:showCatName val="0"/>
          <c:showSerName val="0"/>
          <c:showPercent val="0"/>
          <c:showBubbleSize val="0"/>
        </c:dLbls>
        <c:gapWidth val="219"/>
        <c:overlap val="-27"/>
        <c:axId val="492440896"/>
        <c:axId val="492439328"/>
      </c:barChart>
      <c:catAx>
        <c:axId val="49244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439328"/>
        <c:crosses val="autoZero"/>
        <c:auto val="1"/>
        <c:lblAlgn val="ctr"/>
        <c:lblOffset val="100"/>
        <c:noMultiLvlLbl val="0"/>
      </c:catAx>
      <c:valAx>
        <c:axId val="492439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440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t>Chart 2: Value </a:t>
            </a:r>
            <a:r>
              <a:rPr lang="en-US" sz="1200"/>
              <a:t>of Ongoing BDT Projects</a:t>
            </a:r>
            <a:r>
              <a:rPr lang="tr-TR" sz="1200"/>
              <a:t> and Remaining</a:t>
            </a:r>
            <a:r>
              <a:rPr lang="tr-TR" sz="1200" baseline="0"/>
              <a:t> Balances </a:t>
            </a:r>
            <a:r>
              <a:rPr lang="en-US" sz="1200" baseline="0"/>
              <a:t>of ongoing</a:t>
            </a:r>
            <a:r>
              <a:rPr lang="tr-TR" sz="1200" baseline="0"/>
              <a:t> </a:t>
            </a:r>
            <a:r>
              <a:rPr lang="en-US" sz="1200" baseline="0"/>
              <a:t>projects</a:t>
            </a:r>
            <a:r>
              <a:rPr lang="tr-TR" sz="1200" baseline="0"/>
              <a:t> </a:t>
            </a:r>
            <a:r>
              <a:rPr lang="tr-TR" sz="1200"/>
              <a:t>by Region as of </a:t>
            </a:r>
            <a:r>
              <a:rPr lang="en-US" sz="1200"/>
              <a:t>31 </a:t>
            </a:r>
            <a:r>
              <a:rPr lang="tr-TR" sz="1200"/>
              <a:t>December 2018</a:t>
            </a:r>
            <a:endParaRPr lang="en-US" sz="1200"/>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Value of ongoing BDT projects in 2018 by region</c:v>
                </c:pt>
              </c:strCache>
            </c:strRef>
          </c:tx>
          <c:invertIfNegative val="0"/>
          <c:dPt>
            <c:idx val="1"/>
            <c:invertIfNegative val="0"/>
            <c:bubble3D val="0"/>
            <c:extLst xmlns:c16r2="http://schemas.microsoft.com/office/drawing/2015/06/chart">
              <c:ext xmlns:c16="http://schemas.microsoft.com/office/drawing/2014/chart" uri="{C3380CC4-5D6E-409C-BE32-E72D297353CC}">
                <c16:uniqueId val="{00000001-944E-4437-894E-63EBFB05EC6F}"/>
              </c:ext>
            </c:extLst>
          </c:dPt>
          <c:dPt>
            <c:idx val="2"/>
            <c:invertIfNegative val="0"/>
            <c:bubble3D val="0"/>
            <c:extLst xmlns:c16r2="http://schemas.microsoft.com/office/drawing/2015/06/chart">
              <c:ext xmlns:c16="http://schemas.microsoft.com/office/drawing/2014/chart" uri="{C3380CC4-5D6E-409C-BE32-E72D297353CC}">
                <c16:uniqueId val="{00000003-944E-4437-894E-63EBFB05EC6F}"/>
              </c:ext>
            </c:extLst>
          </c:dPt>
          <c:dPt>
            <c:idx val="3"/>
            <c:invertIfNegative val="0"/>
            <c:bubble3D val="0"/>
            <c:extLst xmlns:c16r2="http://schemas.microsoft.com/office/drawing/2015/06/chart">
              <c:ext xmlns:c16="http://schemas.microsoft.com/office/drawing/2014/chart" uri="{C3380CC4-5D6E-409C-BE32-E72D297353CC}">
                <c16:uniqueId val="{00000005-944E-4437-894E-63EBFB05EC6F}"/>
              </c:ext>
            </c:extLst>
          </c:dPt>
          <c:dPt>
            <c:idx val="4"/>
            <c:invertIfNegative val="0"/>
            <c:bubble3D val="0"/>
            <c:extLst xmlns:c16r2="http://schemas.microsoft.com/office/drawing/2015/06/chart">
              <c:ext xmlns:c16="http://schemas.microsoft.com/office/drawing/2014/chart" uri="{C3380CC4-5D6E-409C-BE32-E72D297353CC}">
                <c16:uniqueId val="{00000007-944E-4437-894E-63EBFB05EC6F}"/>
              </c:ext>
            </c:extLst>
          </c:dPt>
          <c:dPt>
            <c:idx val="5"/>
            <c:invertIfNegative val="0"/>
            <c:bubble3D val="0"/>
            <c:extLst xmlns:c16r2="http://schemas.microsoft.com/office/drawing/2015/06/chart">
              <c:ext xmlns:c16="http://schemas.microsoft.com/office/drawing/2014/chart" uri="{C3380CC4-5D6E-409C-BE32-E72D297353CC}">
                <c16:uniqueId val="{00000009-944E-4437-894E-63EBFB05EC6F}"/>
              </c:ext>
            </c:extLst>
          </c:dPt>
          <c:dLbls>
            <c:dLbl>
              <c:idx val="0"/>
              <c:layout>
                <c:manualLayout>
                  <c:x val="1.1469515574055698E-3"/>
                  <c:y val="-0.1553797257224945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44E-4437-894E-63EBFB05EC6F}"/>
                </c:ext>
                <c:ext xmlns:c15="http://schemas.microsoft.com/office/drawing/2012/chart" uri="{CE6537A1-D6FC-4f65-9D91-7224C49458BB}">
                  <c15:layout/>
                </c:ext>
              </c:extLst>
            </c:dLbl>
            <c:dLbl>
              <c:idx val="1"/>
              <c:layout>
                <c:manualLayout>
                  <c:x val="2.1822149481723948E-3"/>
                  <c:y val="-0.3211113618910130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44E-4437-894E-63EBFB05EC6F}"/>
                </c:ext>
                <c:ext xmlns:c15="http://schemas.microsoft.com/office/drawing/2012/chart" uri="{CE6537A1-D6FC-4f65-9D91-7224C49458BB}">
                  <c15:layout/>
                </c:ext>
              </c:extLst>
            </c:dLbl>
            <c:dLbl>
              <c:idx val="2"/>
              <c:layout>
                <c:manualLayout>
                  <c:x val="-2.1822149481723948E-3"/>
                  <c:y val="-0.3553899461864184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44E-4437-894E-63EBFB05EC6F}"/>
                </c:ext>
                <c:ext xmlns:c15="http://schemas.microsoft.com/office/drawing/2012/chart" uri="{CE6537A1-D6FC-4f65-9D91-7224C49458BB}">
                  <c15:layout/>
                </c:ext>
              </c:extLst>
            </c:dLbl>
            <c:dLbl>
              <c:idx val="4"/>
              <c:layout>
                <c:manualLayout>
                  <c:x val="9.1859221361650575E-4"/>
                  <c:y val="-0.3455959027295736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44E-4437-894E-63EBFB05EC6F}"/>
                </c:ext>
                <c:ext xmlns:c15="http://schemas.microsoft.com/office/drawing/2012/chart" uri="{CE6537A1-D6FC-4f65-9D91-7224C49458BB}">
                  <c15:layout/>
                </c:ext>
              </c:extLst>
            </c:dLbl>
            <c:dLbl>
              <c:idx val="6"/>
              <c:layout>
                <c:manualLayout>
                  <c:x val="2.1822149481722348E-3"/>
                  <c:y val="-0.4110329908058410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2B07-40D3-AF52-6FEB6801879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[$CHF-1407]\ #,##0</c:formatCode>
                <c:ptCount val="7"/>
                <c:pt idx="0">
                  <c:v>2445816</c:v>
                </c:pt>
                <c:pt idx="1">
                  <c:v>11726661</c:v>
                </c:pt>
                <c:pt idx="2">
                  <c:v>6577433</c:v>
                </c:pt>
                <c:pt idx="3">
                  <c:v>36928919</c:v>
                </c:pt>
                <c:pt idx="4">
                  <c:v>6833006</c:v>
                </c:pt>
                <c:pt idx="5">
                  <c:v>0</c:v>
                </c:pt>
                <c:pt idx="6">
                  <c:v>3385763</c:v>
                </c:pt>
              </c:numCache>
            </c:numRef>
          </c:val>
          <c:extLst xmlns:c16r2="http://schemas.microsoft.com/office/drawing/2015/06/chart">
            <c:ext xmlns:c16="http://schemas.microsoft.com/office/drawing/2014/chart" uri="{C3380CC4-5D6E-409C-BE32-E72D297353CC}">
              <c16:uniqueId val="{0000000A-944E-4437-894E-63EBFB05EC6F}"/>
            </c:ext>
          </c:extLst>
        </c:ser>
        <c:ser>
          <c:idx val="1"/>
          <c:order val="1"/>
          <c:tx>
            <c:strRef>
              <c:f>Sheet1!$C$1</c:f>
              <c:strCache>
                <c:ptCount val="1"/>
                <c:pt idx="0">
                  <c:v>Remaining Balances to be implemented</c:v>
                </c:pt>
              </c:strCache>
            </c:strRef>
          </c:tx>
          <c:invertIfNegative val="0"/>
          <c:dLbls>
            <c:dLbl>
              <c:idx val="0"/>
              <c:layout>
                <c:manualLayout>
                  <c:x val="0"/>
                  <c:y val="-6.48999459167118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535-4AEE-974A-335D172C9EA7}"/>
                </c:ext>
                <c:ext xmlns:c15="http://schemas.microsoft.com/office/drawing/2012/chart" uri="{CE6537A1-D6FC-4f65-9D91-7224C49458BB}">
                  <c15:layout/>
                </c:ext>
              </c:extLst>
            </c:dLbl>
            <c:dLbl>
              <c:idx val="1"/>
              <c:layout>
                <c:manualLayout>
                  <c:x val="0"/>
                  <c:y val="-0.158644312240850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2B07-40D3-AF52-6FEB6801879F}"/>
                </c:ext>
                <c:ext xmlns:c15="http://schemas.microsoft.com/office/drawing/2012/chart" uri="{CE6537A1-D6FC-4f65-9D91-7224C49458BB}">
                  <c15:layout/>
                </c:ext>
              </c:extLst>
            </c:dLbl>
            <c:dLbl>
              <c:idx val="2"/>
              <c:layout>
                <c:manualLayout>
                  <c:x val="-2.1822149481723948E-3"/>
                  <c:y val="-0.1009554714259960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B07-40D3-AF52-6FEB6801879F}"/>
                </c:ext>
                <c:ext xmlns:c15="http://schemas.microsoft.com/office/drawing/2012/chart" uri="{CE6537A1-D6FC-4f65-9D91-7224C49458BB}">
                  <c15:layout/>
                </c:ext>
              </c:extLst>
            </c:dLbl>
            <c:dLbl>
              <c:idx val="3"/>
              <c:layout>
                <c:manualLayout>
                  <c:x val="2.1822149481723948E-3"/>
                  <c:y val="-3.24499729583558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B07-40D3-AF52-6FEB6801879F}"/>
                </c:ext>
                <c:ext xmlns:c15="http://schemas.microsoft.com/office/drawing/2012/chart" uri="{CE6537A1-D6FC-4f65-9D91-7224C49458BB}">
                  <c15:layout/>
                </c:ext>
              </c:extLst>
            </c:dLbl>
            <c:dLbl>
              <c:idx val="4"/>
              <c:layout>
                <c:manualLayout>
                  <c:x val="2.182214948172475E-3"/>
                  <c:y val="-8.65332612222824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535-4AEE-974A-335D172C9EA7}"/>
                </c:ext>
                <c:ext xmlns:c15="http://schemas.microsoft.com/office/drawing/2012/chart" uri="{CE6537A1-D6FC-4f65-9D91-7224C49458BB}">
                  <c15:layout/>
                </c:ext>
              </c:extLst>
            </c:dLbl>
            <c:dLbl>
              <c:idx val="5"/>
              <c:layout>
                <c:manualLayout>
                  <c:x val="0"/>
                  <c:y val="-5.04777357129980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B07-40D3-AF52-6FEB6801879F}"/>
                </c:ext>
                <c:ext xmlns:c15="http://schemas.microsoft.com/office/drawing/2012/chart" uri="{CE6537A1-D6FC-4f65-9D91-7224C49458BB}">
                  <c15:layout/>
                </c:ext>
              </c:extLst>
            </c:dLbl>
            <c:dLbl>
              <c:idx val="6"/>
              <c:layout>
                <c:manualLayout>
                  <c:x val="2.1822149481723948E-3"/>
                  <c:y val="-5.40832882639264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E08-4184-85D9-BCAAA345103B}"/>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Sheet1!$C$2:$C$8</c:f>
              <c:numCache>
                <c:formatCode>[$CHF-1407]\ #,##0</c:formatCode>
                <c:ptCount val="7"/>
                <c:pt idx="0">
                  <c:v>917672</c:v>
                </c:pt>
                <c:pt idx="1">
                  <c:v>7384390</c:v>
                </c:pt>
                <c:pt idx="2">
                  <c:v>4110247</c:v>
                </c:pt>
                <c:pt idx="3">
                  <c:v>4871735</c:v>
                </c:pt>
                <c:pt idx="4">
                  <c:v>1706345</c:v>
                </c:pt>
                <c:pt idx="5">
                  <c:v>0</c:v>
                </c:pt>
                <c:pt idx="6">
                  <c:v>2407916</c:v>
                </c:pt>
              </c:numCache>
            </c:numRef>
          </c:val>
          <c:extLst xmlns:c16r2="http://schemas.microsoft.com/office/drawing/2015/06/chart">
            <c:ext xmlns:c16="http://schemas.microsoft.com/office/drawing/2014/chart" uri="{C3380CC4-5D6E-409C-BE32-E72D297353CC}">
              <c16:uniqueId val="{0000000A-2B07-40D3-AF52-6FEB6801879F}"/>
            </c:ext>
          </c:extLst>
        </c:ser>
        <c:dLbls>
          <c:showLegendKey val="0"/>
          <c:showVal val="0"/>
          <c:showCatName val="0"/>
          <c:showSerName val="0"/>
          <c:showPercent val="0"/>
          <c:showBubbleSize val="0"/>
        </c:dLbls>
        <c:gapWidth val="219"/>
        <c:axId val="492440112"/>
        <c:axId val="492441288"/>
      </c:barChart>
      <c:catAx>
        <c:axId val="49244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441288"/>
        <c:crosses val="autoZero"/>
        <c:auto val="1"/>
        <c:lblAlgn val="ctr"/>
        <c:lblOffset val="100"/>
        <c:noMultiLvlLbl val="0"/>
      </c:catAx>
      <c:valAx>
        <c:axId val="492441288"/>
        <c:scaling>
          <c:orientation val="minMax"/>
        </c:scaling>
        <c:delete val="0"/>
        <c:axPos val="l"/>
        <c:majorGridlines>
          <c:spPr>
            <a:ln w="9525" cap="flat" cmpd="sng" algn="ctr">
              <a:solidFill>
                <a:schemeClr val="tx1">
                  <a:lumMod val="15000"/>
                  <a:lumOff val="85000"/>
                </a:schemeClr>
              </a:solidFill>
              <a:round/>
            </a:ln>
            <a:effectLst/>
          </c:spPr>
        </c:majorGridlines>
        <c:numFmt formatCode="[$CHF-1407]\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440112"/>
        <c:crosses val="autoZero"/>
        <c:crossBetween val="between"/>
      </c:valAx>
      <c:spPr>
        <a:noFill/>
        <a:ln>
          <a:noFill/>
        </a:ln>
        <a:effectLst/>
      </c:spPr>
    </c:plotArea>
    <c:legend>
      <c:legendPos val="b"/>
      <c:layout/>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t>Chart</a:t>
            </a:r>
            <a:r>
              <a:rPr lang="tr-TR" sz="1200" baseline="0"/>
              <a:t> 3: </a:t>
            </a:r>
            <a:r>
              <a:rPr lang="en-US" sz="1200"/>
              <a:t>Projects by Thematic Areas</a:t>
            </a:r>
            <a:r>
              <a:rPr lang="en-US" sz="1200" baseline="0"/>
              <a:t>*</a:t>
            </a:r>
            <a:endParaRPr lang="en-US" sz="1200"/>
          </a:p>
        </c:rich>
      </c:tx>
      <c:layout>
        <c:manualLayout>
          <c:xMode val="edge"/>
          <c:yMode val="edge"/>
          <c:x val="0.15966669706827188"/>
          <c:y val="4.2194241973623273E-2"/>
        </c:manualLayout>
      </c:layout>
      <c:overlay val="0"/>
      <c:spPr>
        <a:noFill/>
        <a:ln>
          <a:noFill/>
        </a:ln>
        <a:effectLst/>
      </c:spPr>
    </c:title>
    <c:autoTitleDeleted val="0"/>
    <c:plotArea>
      <c:layout/>
      <c:pieChart>
        <c:varyColors val="1"/>
        <c:ser>
          <c:idx val="0"/>
          <c:order val="0"/>
          <c:tx>
            <c:strRef>
              <c:f>Sheet1!$B$1</c:f>
              <c:strCache>
                <c:ptCount val="1"/>
                <c:pt idx="0">
                  <c:v>Projects by Themes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AF4-4EEB-B8E2-4E437666726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AF4-4EEB-B8E2-4E437666726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AF4-4EEB-B8E2-4E437666726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AF4-4EEB-B8E2-4E437666726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AF4-4EEB-B8E2-4E4376667268}"/>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9AF4-4EEB-B8E2-4E4376667268}"/>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9AF4-4EEB-B8E2-4E4376667268}"/>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9AF4-4EEB-B8E2-4E4376667268}"/>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9AF4-4EEB-B8E2-4E4376667268}"/>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9AF4-4EEB-B8E2-4E4376667268}"/>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9AF4-4EEB-B8E2-4E4376667268}"/>
              </c:ext>
            </c:extLst>
          </c:dPt>
          <c:dPt>
            <c:idx val="11"/>
            <c:bubble3D val="0"/>
            <c:spPr>
              <a:solidFill>
                <a:schemeClr val="accent3">
                  <a:lumMod val="40000"/>
                  <a:lumOff val="60000"/>
                </a:schemeClr>
              </a:solidFill>
            </c:spPr>
            <c:extLst xmlns:c16r2="http://schemas.microsoft.com/office/drawing/2015/06/chart">
              <c:ext xmlns:c16="http://schemas.microsoft.com/office/drawing/2014/chart" uri="{C3380CC4-5D6E-409C-BE32-E72D297353CC}">
                <c16:uniqueId val="{00000016-9AF4-4EEB-B8E2-4E4376667268}"/>
              </c:ext>
            </c:extLst>
          </c:dPt>
          <c:dLbls>
            <c:dLbl>
              <c:idx val="0"/>
              <c:layout>
                <c:manualLayout>
                  <c:x val="-1.1829264585170097E-2"/>
                  <c:y val="1.54189317666561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AF4-4EEB-B8E2-4E4376667268}"/>
                </c:ext>
                <c:ext xmlns:c15="http://schemas.microsoft.com/office/drawing/2012/chart" uri="{CE6537A1-D6FC-4f65-9D91-7224C49458BB}">
                  <c15:layout/>
                </c:ext>
              </c:extLst>
            </c:dLbl>
            <c:dLbl>
              <c:idx val="1"/>
              <c:layout>
                <c:manualLayout>
                  <c:x val="-1.6587453595327611E-3"/>
                  <c:y val="3.68754215320608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AF4-4EEB-B8E2-4E4376667268}"/>
                </c:ext>
                <c:ext xmlns:c15="http://schemas.microsoft.com/office/drawing/2012/chart" uri="{CE6537A1-D6FC-4f65-9D91-7224C49458BB}">
                  <c15:layout/>
                </c:ext>
              </c:extLst>
            </c:dLbl>
            <c:dLbl>
              <c:idx val="2"/>
              <c:layout>
                <c:manualLayout>
                  <c:x val="-6.7918875005489182E-3"/>
                  <c:y val="-1.954007648517927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AF4-4EEB-B8E2-4E4376667268}"/>
                </c:ext>
                <c:ext xmlns:c15="http://schemas.microsoft.com/office/drawing/2012/chart" uri="{CE6537A1-D6FC-4f65-9D91-7224C49458BB}">
                  <c15:layout/>
                </c:ext>
              </c:extLst>
            </c:dLbl>
            <c:dLbl>
              <c:idx val="3"/>
              <c:layout>
                <c:manualLayout>
                  <c:x val="-2.5402230126639574E-3"/>
                  <c:y val="-5.170116119386005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AF4-4EEB-B8E2-4E4376667268}"/>
                </c:ext>
                <c:ext xmlns:c15="http://schemas.microsoft.com/office/drawing/2012/chart" uri="{CE6537A1-D6FC-4f65-9D91-7224C49458BB}">
                  <c15:layout/>
                </c:ext>
              </c:extLst>
            </c:dLbl>
            <c:dLbl>
              <c:idx val="4"/>
              <c:layout>
                <c:manualLayout>
                  <c:x val="-1.6552660647148835E-2"/>
                  <c:y val="-1.87546216165703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AF4-4EEB-B8E2-4E4376667268}"/>
                </c:ext>
                <c:ext xmlns:c15="http://schemas.microsoft.com/office/drawing/2012/chart" uri="{CE6537A1-D6FC-4f65-9D91-7224C49458BB}">
                  <c15:layout/>
                </c:ext>
              </c:extLst>
            </c:dLbl>
            <c:dLbl>
              <c:idx val="5"/>
              <c:layout>
                <c:manualLayout>
                  <c:x val="1.3043302019679973E-2"/>
                  <c:y val="-1.54307143495607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AF4-4EEB-B8E2-4E4376667268}"/>
                </c:ext>
                <c:ext xmlns:c15="http://schemas.microsoft.com/office/drawing/2012/chart" uri="{CE6537A1-D6FC-4f65-9D91-7224C49458BB}">
                  <c15:layout/>
                </c:ext>
              </c:extLst>
            </c:dLbl>
            <c:dLbl>
              <c:idx val="6"/>
              <c:layout>
                <c:manualLayout>
                  <c:x val="2.5892033766049515E-4"/>
                  <c:y val="-1.88354745130542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9AF4-4EEB-B8E2-4E4376667268}"/>
                </c:ext>
                <c:ext xmlns:c15="http://schemas.microsoft.com/office/drawing/2012/chart" uri="{CE6537A1-D6FC-4f65-9D91-7224C49458BB}">
                  <c15:layout/>
                </c:ext>
              </c:extLst>
            </c:dLbl>
            <c:dLbl>
              <c:idx val="7"/>
              <c:layout>
                <c:manualLayout>
                  <c:x val="5.3493313335833022E-3"/>
                  <c:y val="1.68893265898746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9AF4-4EEB-B8E2-4E4376667268}"/>
                </c:ext>
                <c:ext xmlns:c15="http://schemas.microsoft.com/office/drawing/2012/chart" uri="{CE6537A1-D6FC-4f65-9D91-7224C49458BB}">
                  <c15:layout/>
                </c:ext>
              </c:extLst>
            </c:dLbl>
            <c:dLbl>
              <c:idx val="8"/>
              <c:layout>
                <c:manualLayout>
                  <c:x val="4.2310589554684043E-3"/>
                  <c:y val="3.870781632172139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9AF4-4EEB-B8E2-4E4376667268}"/>
                </c:ext>
                <c:ext xmlns:c15="http://schemas.microsoft.com/office/drawing/2012/chart" uri="{CE6537A1-D6FC-4f65-9D91-7224C49458BB}">
                  <c15:layout/>
                </c:ext>
              </c:extLst>
            </c:dLbl>
            <c:dLbl>
              <c:idx val="9"/>
              <c:layout>
                <c:manualLayout>
                  <c:x val="-5.8219073967105467E-4"/>
                  <c:y val="-8.993361123977149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9AF4-4EEB-B8E2-4E4376667268}"/>
                </c:ext>
                <c:ext xmlns:c15="http://schemas.microsoft.com/office/drawing/2012/chart" uri="{CE6537A1-D6FC-4f65-9D91-7224C49458BB}">
                  <c15:layout/>
                </c:ext>
              </c:extLst>
            </c:dLbl>
            <c:dLbl>
              <c:idx val="11"/>
              <c:layout>
                <c:manualLayout>
                  <c:x val="2.1368950502808769E-3"/>
                  <c:y val="1.54189317666561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9AF4-4EEB-B8E2-4E4376667268}"/>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Sheet1!$A$2:$A$13</c:f>
              <c:strCache>
                <c:ptCount val="12"/>
                <c:pt idx="0">
                  <c:v>Capacity Building</c:v>
                </c:pt>
                <c:pt idx="1">
                  <c:v>Cybersecurity</c:v>
                </c:pt>
                <c:pt idx="2">
                  <c:v>Innovation</c:v>
                </c:pt>
                <c:pt idx="3">
                  <c:v>Regulatory and Market Environment</c:v>
                </c:pt>
                <c:pt idx="4">
                  <c:v>Technology and Network development</c:v>
                </c:pt>
                <c:pt idx="5">
                  <c:v>Digital inclusion</c:v>
                </c:pt>
                <c:pt idx="6">
                  <c:v>ICT Applications</c:v>
                </c:pt>
                <c:pt idx="7">
                  <c:v>Climate Change</c:v>
                </c:pt>
                <c:pt idx="8">
                  <c:v>LDCs &amp; SIDs</c:v>
                </c:pt>
                <c:pt idx="9">
                  <c:v>Emergency Telecommunications</c:v>
                </c:pt>
                <c:pt idx="10">
                  <c:v>ICT Statistics &amp; Indicators</c:v>
                </c:pt>
                <c:pt idx="11">
                  <c:v>Spectrum management and digital broadcasting </c:v>
                </c:pt>
              </c:strCache>
            </c:strRef>
          </c:cat>
          <c:val>
            <c:numRef>
              <c:f>Sheet1!$B$2:$B$13</c:f>
              <c:numCache>
                <c:formatCode>General</c:formatCode>
                <c:ptCount val="12"/>
                <c:pt idx="0">
                  <c:v>8</c:v>
                </c:pt>
                <c:pt idx="1">
                  <c:v>6</c:v>
                </c:pt>
                <c:pt idx="2">
                  <c:v>3</c:v>
                </c:pt>
                <c:pt idx="3">
                  <c:v>4</c:v>
                </c:pt>
                <c:pt idx="4">
                  <c:v>10</c:v>
                </c:pt>
                <c:pt idx="5">
                  <c:v>5</c:v>
                </c:pt>
                <c:pt idx="6">
                  <c:v>11</c:v>
                </c:pt>
                <c:pt idx="7">
                  <c:v>2</c:v>
                </c:pt>
                <c:pt idx="8">
                  <c:v>5</c:v>
                </c:pt>
                <c:pt idx="9">
                  <c:v>7</c:v>
                </c:pt>
                <c:pt idx="10">
                  <c:v>1</c:v>
                </c:pt>
                <c:pt idx="11">
                  <c:v>8</c:v>
                </c:pt>
              </c:numCache>
            </c:numRef>
          </c:val>
          <c:extLst xmlns:c16r2="http://schemas.microsoft.com/office/drawing/2015/06/chart">
            <c:ext xmlns:c16="http://schemas.microsoft.com/office/drawing/2014/chart" uri="{C3380CC4-5D6E-409C-BE32-E72D297353CC}">
              <c16:uniqueId val="{00000017-9AF4-4EEB-B8E2-4E4376667268}"/>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309278907704117"/>
          <c:y val="6.3171302503595733E-2"/>
          <c:w val="0.33374325605132693"/>
          <c:h val="0.91766529183852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t>Chart 4:</a:t>
            </a:r>
            <a:r>
              <a:rPr lang="tr-TR" sz="1200" baseline="0"/>
              <a:t> </a:t>
            </a:r>
            <a:r>
              <a:rPr lang="tr-TR" sz="1200"/>
              <a:t>Number</a:t>
            </a:r>
            <a:r>
              <a:rPr lang="en-US" sz="1200"/>
              <a:t> of </a:t>
            </a:r>
            <a:r>
              <a:rPr lang="tr-TR" sz="1200"/>
              <a:t>projects under development &amp;</a:t>
            </a:r>
            <a:r>
              <a:rPr lang="en-US" sz="1200"/>
              <a:t> to be signed,</a:t>
            </a:r>
          </a:p>
          <a:p>
            <a:pPr>
              <a:defRPr sz="1400" b="0" i="0" u="none" strike="noStrike" kern="1200" spc="0" baseline="0">
                <a:solidFill>
                  <a:schemeClr val="tx1">
                    <a:lumMod val="65000"/>
                    <a:lumOff val="35000"/>
                  </a:schemeClr>
                </a:solidFill>
                <a:latin typeface="+mn-lt"/>
                <a:ea typeface="+mn-ea"/>
                <a:cs typeface="+mn-cs"/>
              </a:defRPr>
            </a:pPr>
            <a:r>
              <a:rPr lang="tr-TR" sz="1200"/>
              <a:t> by regions as of January 2019 </a:t>
            </a:r>
            <a:endParaRPr lang="en-US" sz="1200"/>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92E6-4E66-99AA-0D4E945197D6}"/>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92E6-4E66-99AA-0D4E945197D6}"/>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92E6-4E66-99AA-0D4E945197D6}"/>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92E6-4E66-99AA-0D4E945197D6}"/>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92E6-4E66-99AA-0D4E945197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General</c:formatCode>
                <c:ptCount val="7"/>
                <c:pt idx="0">
                  <c:v>1</c:v>
                </c:pt>
                <c:pt idx="1">
                  <c:v>2</c:v>
                </c:pt>
                <c:pt idx="2">
                  <c:v>2</c:v>
                </c:pt>
                <c:pt idx="3">
                  <c:v>4</c:v>
                </c:pt>
                <c:pt idx="4">
                  <c:v>1</c:v>
                </c:pt>
                <c:pt idx="5">
                  <c:v>1</c:v>
                </c:pt>
                <c:pt idx="6">
                  <c:v>0</c:v>
                </c:pt>
              </c:numCache>
            </c:numRef>
          </c:val>
          <c:extLst xmlns:c16r2="http://schemas.microsoft.com/office/drawing/2015/06/chart">
            <c:ext xmlns:c16="http://schemas.microsoft.com/office/drawing/2014/chart" uri="{C3380CC4-5D6E-409C-BE32-E72D297353CC}">
              <c16:uniqueId val="{0000000A-92E6-4E66-99AA-0D4E945197D6}"/>
            </c:ext>
          </c:extLst>
        </c:ser>
        <c:dLbls>
          <c:showLegendKey val="0"/>
          <c:showVal val="0"/>
          <c:showCatName val="0"/>
          <c:showSerName val="0"/>
          <c:showPercent val="0"/>
          <c:showBubbleSize val="0"/>
        </c:dLbls>
        <c:gapWidth val="219"/>
        <c:overlap val="-27"/>
        <c:axId val="492438544"/>
        <c:axId val="486892168"/>
      </c:barChart>
      <c:catAx>
        <c:axId val="49243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892168"/>
        <c:crosses val="autoZero"/>
        <c:auto val="1"/>
        <c:lblAlgn val="ctr"/>
        <c:lblOffset val="100"/>
        <c:noMultiLvlLbl val="0"/>
      </c:catAx>
      <c:valAx>
        <c:axId val="486892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438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8A7C67D6-CEFE-4AFE-8EC3-4585BFEF5BAE}">
  <ds:schemaRefs>
    <ds:schemaRef ds:uri="http://purl.org/dc/elements/1.1/"/>
    <ds:schemaRef ds:uri="http://schemas.microsoft.com/office/2006/metadata/properties"/>
    <ds:schemaRef ds:uri="996b2e75-67fd-4955-a3b0-5ab9934cb50b"/>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32a1a8c5-2265-4ebc-b7a0-2071e2c5c9bb"/>
    <ds:schemaRef ds:uri="http://www.w3.org/XML/1998/namespace"/>
    <ds:schemaRef ds:uri="http://purl.org/dc/dcmitype/"/>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3537DC-30CA-40CF-83CF-BC5D41E8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2702</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19541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BDT-mcb</cp:lastModifiedBy>
  <cp:revision>3</cp:revision>
  <cp:lastPrinted>2011-08-24T07:41:00Z</cp:lastPrinted>
  <dcterms:created xsi:type="dcterms:W3CDTF">2019-01-25T08:57:00Z</dcterms:created>
  <dcterms:modified xsi:type="dcterms:W3CDTF">2019-01-25T08:57:00Z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