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CE6AE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CE6AED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CE6AED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E01C74">
            <w:pPr>
              <w:tabs>
                <w:tab w:val="clear" w:pos="1134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01C74">
              <w:rPr>
                <w:rFonts w:eastAsiaTheme="minorEastAsia"/>
                <w:b/>
                <w:bCs/>
                <w:lang w:eastAsia="zh-CN" w:bidi="ar-SY"/>
              </w:rPr>
              <w:t>21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E01C74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19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فبراير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CE6AED">
            <w:pPr>
              <w:tabs>
                <w:tab w:val="clear" w:pos="1134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 w:rsidRPr="00E01C74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E01C74" w:rsidRPr="00CB30F8" w:rsidTr="00A72045">
        <w:trPr>
          <w:cantSplit/>
        </w:trPr>
        <w:tc>
          <w:tcPr>
            <w:tcW w:w="9639" w:type="dxa"/>
            <w:gridSpan w:val="2"/>
          </w:tcPr>
          <w:p w:rsidR="00E01C74" w:rsidRPr="00CB30F8" w:rsidRDefault="00E01C74" w:rsidP="00E01C74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</w:t>
            </w:r>
            <w:r w:rsidR="00675FA4">
              <w:rPr>
                <w:rFonts w:eastAsiaTheme="minorEastAsia" w:hint="cs"/>
                <w:rtl/>
                <w:lang w:eastAsia="zh-CN"/>
              </w:rPr>
              <w:t>ة</w:t>
            </w:r>
            <w:r>
              <w:rPr>
                <w:rFonts w:eastAsiaTheme="minorEastAsia" w:hint="cs"/>
                <w:rtl/>
                <w:lang w:eastAsia="zh-CN"/>
              </w:rPr>
              <w:t xml:space="preserve"> مكتب تنمية الاتصالات</w:t>
            </w:r>
          </w:p>
        </w:tc>
      </w:tr>
      <w:tr w:rsidR="00E01C74" w:rsidRPr="00CB30F8" w:rsidTr="00A72045">
        <w:trPr>
          <w:cantSplit/>
        </w:trPr>
        <w:tc>
          <w:tcPr>
            <w:tcW w:w="9639" w:type="dxa"/>
            <w:gridSpan w:val="2"/>
          </w:tcPr>
          <w:p w:rsidR="00E01C74" w:rsidRPr="00CB30F8" w:rsidRDefault="00E01C74" w:rsidP="00E01C74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 w:rsidRPr="00FF0BCA">
              <w:rPr>
                <w:rFonts w:eastAsiaTheme="minorEastAsia" w:hint="cs"/>
                <w:w w:val="110"/>
                <w:rtl/>
                <w:lang w:eastAsia="zh-CN" w:bidi="ar-SA"/>
              </w:rPr>
              <w:t>الشراكة وتعبئة الموارد بقطاع تنمية الاتصالات بالاتحاد </w:t>
            </w:r>
            <w:r w:rsidRPr="00FF0BCA">
              <w:rPr>
                <w:rFonts w:eastAsiaTheme="minorEastAsia"/>
                <w:w w:val="110"/>
                <w:lang w:eastAsia="zh-CN"/>
              </w:rPr>
              <w:t>(ITU</w:t>
            </w:r>
            <w:r w:rsidRPr="00FF0BCA">
              <w:rPr>
                <w:rFonts w:eastAsiaTheme="minorEastAsia"/>
                <w:w w:val="110"/>
                <w:lang w:eastAsia="zh-CN"/>
              </w:rPr>
              <w:noBreakHyphen/>
              <w:t>D)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4" w:rsidRPr="00CB30F8" w:rsidRDefault="00E01C74" w:rsidP="00E01C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E01C74" w:rsidRPr="00F30381" w:rsidRDefault="00E01C74" w:rsidP="00F3038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2"/>
                <w:rtl/>
                <w:lang w:eastAsia="zh-CN" w:bidi="ar-SY"/>
              </w:rPr>
            </w:pPr>
            <w:r w:rsidRPr="00F30381">
              <w:rPr>
                <w:rFonts w:eastAsiaTheme="minorEastAsia" w:hint="cs"/>
                <w:spacing w:val="-2"/>
                <w:rtl/>
                <w:lang w:eastAsia="zh-CN" w:bidi="ar-JO"/>
              </w:rPr>
              <w:t xml:space="preserve">أبرز المؤتمر العالمي لتنمية الاتصالات لعام </w:t>
            </w:r>
            <w:r w:rsidRPr="00F30381">
              <w:rPr>
                <w:rFonts w:eastAsiaTheme="minorEastAsia"/>
                <w:spacing w:val="-2"/>
                <w:lang w:eastAsia="zh-CN" w:bidi="ar-SY"/>
              </w:rPr>
              <w:t>2017</w:t>
            </w:r>
            <w:r w:rsidRPr="00F30381">
              <w:rPr>
                <w:rFonts w:eastAsiaTheme="minorEastAsia" w:hint="cs"/>
                <w:spacing w:val="-2"/>
                <w:rtl/>
                <w:lang w:eastAsia="zh-CN" w:bidi="ar-JO"/>
              </w:rPr>
              <w:t xml:space="preserve"> </w:t>
            </w:r>
            <w:r w:rsidRPr="00F30381">
              <w:rPr>
                <w:rFonts w:eastAsiaTheme="minorEastAsia"/>
                <w:spacing w:val="-2"/>
                <w:lang w:eastAsia="zh-CN" w:bidi="ar-SY"/>
              </w:rPr>
              <w:t>(WTDC-17)</w:t>
            </w:r>
            <w:r w:rsidRPr="00F30381">
              <w:rPr>
                <w:rFonts w:eastAsiaTheme="minorEastAsia" w:hint="cs"/>
                <w:spacing w:val="-2"/>
                <w:rtl/>
                <w:lang w:eastAsia="zh-CN" w:bidi="ar-JO"/>
              </w:rPr>
              <w:t xml:space="preserve"> أهمية الشراكات وتعبئة الموارد. وتقد</w:t>
            </w:r>
            <w:r w:rsidR="00025B96" w:rsidRPr="00F30381">
              <w:rPr>
                <w:rFonts w:eastAsiaTheme="minorEastAsia" w:hint="cs"/>
                <w:spacing w:val="-2"/>
                <w:rtl/>
                <w:lang w:eastAsia="zh-CN" w:bidi="ar-JO"/>
              </w:rPr>
              <w:t>ّ</w:t>
            </w:r>
            <w:r w:rsidRPr="00F30381">
              <w:rPr>
                <w:rFonts w:eastAsiaTheme="minorEastAsia" w:hint="cs"/>
                <w:spacing w:val="-2"/>
                <w:rtl/>
                <w:lang w:eastAsia="zh-CN" w:bidi="ar-JO"/>
              </w:rPr>
              <w:t>م هذه الوثيقة نظرة عامة</w:t>
            </w:r>
            <w:r w:rsidRPr="00F30381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عن</w:t>
            </w:r>
            <w:r w:rsidR="00F30381" w:rsidRPr="00F30381">
              <w:rPr>
                <w:rFonts w:eastAsiaTheme="minorEastAsia" w:hint="eastAsia"/>
                <w:spacing w:val="-2"/>
                <w:rtl/>
                <w:lang w:eastAsia="zh-CN" w:bidi="ar-EG"/>
              </w:rPr>
              <w:t> </w:t>
            </w:r>
            <w:r w:rsidRPr="00F30381">
              <w:rPr>
                <w:rFonts w:eastAsiaTheme="minorEastAsia" w:hint="cs"/>
                <w:spacing w:val="-2"/>
                <w:rtl/>
                <w:lang w:eastAsia="zh-CN" w:bidi="ar-EG"/>
              </w:rPr>
              <w:t>الهدف الرئيسي والتدابير المتخذة لتنفيذ الإدارة القائمة على النتائج وس</w:t>
            </w:r>
            <w:r w:rsidR="00025B96" w:rsidRPr="00F30381">
              <w:rPr>
                <w:rFonts w:eastAsiaTheme="minorEastAsia" w:hint="cs"/>
                <w:spacing w:val="-2"/>
                <w:rtl/>
                <w:lang w:eastAsia="zh-CN" w:bidi="ar-EG"/>
              </w:rPr>
              <w:t>ُ</w:t>
            </w:r>
            <w:r w:rsidRPr="00F30381">
              <w:rPr>
                <w:rFonts w:eastAsiaTheme="minorEastAsia" w:hint="cs"/>
                <w:spacing w:val="-2"/>
                <w:rtl/>
                <w:lang w:eastAsia="zh-CN" w:bidi="ar-EG"/>
              </w:rPr>
              <w:t>بل المضي قدماً من أجل تعزيز الشراكات وتعبئة الموارد.</w:t>
            </w:r>
          </w:p>
          <w:p w:rsidR="00E01C74" w:rsidRPr="00CB30F8" w:rsidRDefault="00E01C74" w:rsidP="00E01C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E01C74" w:rsidRPr="00CB30F8" w:rsidRDefault="00E01C74" w:rsidP="00025B96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 w:rsidRPr="00FF0BCA">
              <w:rPr>
                <w:rFonts w:eastAsiaTheme="minorEastAsia" w:hint="cs"/>
                <w:rtl/>
                <w:lang w:eastAsia="zh-CN"/>
              </w:rPr>
              <w:t xml:space="preserve">يُدعى </w:t>
            </w:r>
            <w:r w:rsidRPr="00FF0BCA">
              <w:rPr>
                <w:rFonts w:eastAsiaTheme="minorEastAsia" w:hint="eastAsia"/>
                <w:rtl/>
                <w:lang w:eastAsia="zh-CN"/>
              </w:rPr>
              <w:t>الفريق</w:t>
            </w:r>
            <w:r w:rsidRPr="00FF0BCA">
              <w:rPr>
                <w:rFonts w:eastAsiaTheme="minorEastAsia"/>
                <w:rtl/>
                <w:lang w:eastAsia="zh-CN"/>
              </w:rPr>
              <w:t xml:space="preserve"> </w:t>
            </w:r>
            <w:r w:rsidRPr="00FF0BCA">
              <w:rPr>
                <w:rFonts w:eastAsiaTheme="minorEastAsia" w:hint="eastAsia"/>
                <w:rtl/>
                <w:lang w:eastAsia="zh-CN"/>
              </w:rPr>
              <w:t>الاستشاري</w:t>
            </w:r>
            <w:r w:rsidRPr="00FF0BCA">
              <w:rPr>
                <w:rFonts w:eastAsiaTheme="minorEastAsia"/>
                <w:rtl/>
                <w:lang w:eastAsia="zh-CN"/>
              </w:rPr>
              <w:t xml:space="preserve"> </w:t>
            </w:r>
            <w:r w:rsidRPr="00FF0BCA">
              <w:rPr>
                <w:rFonts w:eastAsiaTheme="minorEastAsia" w:hint="eastAsia"/>
                <w:rtl/>
                <w:lang w:eastAsia="zh-CN"/>
              </w:rPr>
              <w:t>لتنمية</w:t>
            </w:r>
            <w:r w:rsidRPr="00FF0BCA">
              <w:rPr>
                <w:rFonts w:eastAsiaTheme="minorEastAsia"/>
                <w:rtl/>
                <w:lang w:eastAsia="zh-CN"/>
              </w:rPr>
              <w:t xml:space="preserve"> </w:t>
            </w:r>
            <w:r w:rsidRPr="00FF0BCA">
              <w:rPr>
                <w:rFonts w:eastAsiaTheme="minorEastAsia" w:hint="eastAsia"/>
                <w:rtl/>
                <w:lang w:eastAsia="zh-CN"/>
              </w:rPr>
              <w:t>الاتصالات</w:t>
            </w:r>
            <w:r w:rsidRPr="00FF0BCA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FF0BCA">
              <w:rPr>
                <w:rFonts w:eastAsiaTheme="minorEastAsia"/>
                <w:lang w:eastAsia="zh-CN" w:bidi="ar-EG"/>
              </w:rPr>
              <w:t>(TDAG)</w:t>
            </w:r>
            <w:r w:rsidRPr="00FF0BCA">
              <w:rPr>
                <w:rFonts w:eastAsiaTheme="minorEastAsia"/>
                <w:rtl/>
                <w:lang w:eastAsia="zh-CN"/>
              </w:rPr>
              <w:t xml:space="preserve"> </w:t>
            </w:r>
            <w:r w:rsidRPr="00FF0BCA">
              <w:rPr>
                <w:rFonts w:eastAsiaTheme="minorEastAsia" w:hint="cs"/>
                <w:rtl/>
                <w:lang w:eastAsia="zh-CN" w:bidi="ar-EG"/>
              </w:rPr>
              <w:t>إلى الإحاطة علماً</w:t>
            </w:r>
            <w:r w:rsidRPr="00FF0BCA">
              <w:rPr>
                <w:rFonts w:eastAsiaTheme="minorEastAsia"/>
                <w:rtl/>
                <w:lang w:eastAsia="zh-CN"/>
              </w:rPr>
              <w:t xml:space="preserve"> </w:t>
            </w:r>
            <w:r w:rsidRPr="00FF0BCA">
              <w:rPr>
                <w:rFonts w:eastAsiaTheme="minorEastAsia" w:hint="eastAsia"/>
                <w:rtl/>
                <w:lang w:eastAsia="zh-CN"/>
              </w:rPr>
              <w:t>بهذ</w:t>
            </w:r>
            <w:r w:rsidRPr="00FF0BCA">
              <w:rPr>
                <w:rFonts w:eastAsiaTheme="minorEastAsia" w:hint="cs"/>
                <w:rtl/>
                <w:lang w:eastAsia="zh-CN"/>
              </w:rPr>
              <w:t>ه الوثيقة</w:t>
            </w:r>
            <w:r w:rsidRPr="00FF0BCA">
              <w:rPr>
                <w:rFonts w:eastAsiaTheme="minorEastAsia"/>
                <w:rtl/>
                <w:lang w:eastAsia="zh-CN"/>
              </w:rPr>
              <w:t xml:space="preserve"> </w:t>
            </w:r>
            <w:r w:rsidR="00675FA4">
              <w:rPr>
                <w:rFonts w:eastAsiaTheme="minorEastAsia" w:hint="cs"/>
                <w:rtl/>
                <w:lang w:eastAsia="zh-CN"/>
              </w:rPr>
              <w:t>وتقديم ما</w:t>
            </w:r>
            <w:r w:rsidR="00025B96">
              <w:rPr>
                <w:rFonts w:eastAsiaTheme="minorEastAsia" w:hint="eastAsia"/>
                <w:rtl/>
                <w:lang w:eastAsia="zh-CN"/>
              </w:rPr>
              <w:t> </w:t>
            </w:r>
            <w:r w:rsidR="00675FA4">
              <w:rPr>
                <w:rFonts w:eastAsiaTheme="minorEastAsia" w:hint="cs"/>
                <w:rtl/>
                <w:lang w:eastAsia="zh-CN"/>
              </w:rPr>
              <w:t>يراه مناسباً من توجيهات</w:t>
            </w:r>
            <w:r w:rsidRPr="00FF0BCA">
              <w:rPr>
                <w:rFonts w:eastAsiaTheme="minorEastAsia" w:hint="cs"/>
                <w:b/>
                <w:bCs/>
                <w:rtl/>
                <w:lang w:eastAsia="zh-CN" w:bidi="ar-SY"/>
              </w:rPr>
              <w:t>.</w:t>
            </w:r>
          </w:p>
          <w:p w:rsidR="00E01C74" w:rsidRPr="00CB30F8" w:rsidRDefault="00E01C74" w:rsidP="00E01C7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E01C74" w:rsidRPr="00E01C74" w:rsidRDefault="00574777" w:rsidP="00025B96">
            <w:pPr>
              <w:rPr>
                <w:rFonts w:eastAsiaTheme="minorEastAsia"/>
                <w:rtl/>
                <w:lang w:bidi="ar-EG"/>
              </w:rPr>
            </w:pPr>
            <w:r>
              <w:rPr>
                <w:rFonts w:eastAsiaTheme="minorEastAsia" w:hint="cs"/>
                <w:rtl/>
                <w:lang w:bidi="ar-EG"/>
              </w:rPr>
              <w:t>الغاية</w:t>
            </w:r>
            <w:r w:rsidR="00E01C74" w:rsidRPr="00F80E2D">
              <w:rPr>
                <w:rFonts w:eastAsiaTheme="minorEastAsia" w:hint="cs"/>
                <w:rtl/>
                <w:lang w:bidi="ar-EG"/>
              </w:rPr>
              <w:t xml:space="preserve"> </w:t>
            </w:r>
            <w:r w:rsidR="00E01C74" w:rsidRPr="00F80E2D">
              <w:rPr>
                <w:rFonts w:eastAsiaTheme="minorEastAsia"/>
                <w:lang w:bidi="ar-EG"/>
              </w:rPr>
              <w:t>5</w:t>
            </w:r>
            <w:r w:rsidR="00E01C74" w:rsidRPr="00F80E2D">
              <w:rPr>
                <w:rFonts w:eastAsiaTheme="minorEastAsia" w:hint="cs"/>
                <w:rtl/>
                <w:lang w:bidi="ar-EG"/>
              </w:rPr>
              <w:t xml:space="preserve"> والن</w:t>
            </w:r>
            <w:r>
              <w:rPr>
                <w:rFonts w:eastAsiaTheme="minorEastAsia" w:hint="cs"/>
                <w:rtl/>
                <w:lang w:bidi="ar-EG"/>
              </w:rPr>
              <w:t>تيجة</w:t>
            </w:r>
            <w:r w:rsidR="00E01C74" w:rsidRPr="00F80E2D">
              <w:rPr>
                <w:rFonts w:eastAsiaTheme="minorEastAsia" w:hint="cs"/>
                <w:rtl/>
                <w:lang w:bidi="ar-EG"/>
              </w:rPr>
              <w:t xml:space="preserve"> </w:t>
            </w:r>
            <w:r w:rsidR="00E01C74" w:rsidRPr="00F80E2D">
              <w:rPr>
                <w:rFonts w:eastAsiaTheme="minorEastAsia"/>
                <w:lang w:bidi="ar-EG"/>
              </w:rPr>
              <w:t>.1.D</w:t>
            </w:r>
            <w:r w:rsidR="00E01C74" w:rsidRPr="00F80E2D">
              <w:rPr>
                <w:rFonts w:eastAsiaTheme="minorEastAsia" w:hint="cs"/>
                <w:rtl/>
                <w:lang w:bidi="ar-EG"/>
              </w:rPr>
              <w:t>ه</w:t>
            </w:r>
            <w:r w:rsidR="00F80E2D" w:rsidRPr="00F80E2D">
              <w:rPr>
                <w:rFonts w:eastAsiaTheme="minorEastAsia" w:hint="cs"/>
                <w:rtl/>
                <w:lang w:bidi="ar-EG"/>
              </w:rPr>
              <w:t xml:space="preserve"> في </w:t>
            </w:r>
            <w:r w:rsidR="00F80E2D" w:rsidRPr="00F80E2D">
              <w:rPr>
                <w:rFonts w:eastAsiaTheme="minorEastAsia" w:hint="cs"/>
                <w:rtl/>
              </w:rPr>
              <w:t>الملحق</w:t>
            </w:r>
            <w:r w:rsidR="00025B96">
              <w:rPr>
                <w:rFonts w:eastAsiaTheme="minorEastAsia" w:hint="eastAsia"/>
                <w:rtl/>
              </w:rPr>
              <w:t> </w:t>
            </w:r>
            <w:r w:rsidR="00F80E2D" w:rsidRPr="00F80E2D">
              <w:rPr>
                <w:rFonts w:eastAsiaTheme="minorEastAsia"/>
              </w:rPr>
              <w:t>1</w:t>
            </w:r>
            <w:r w:rsidR="00F80E2D" w:rsidRPr="00F80E2D">
              <w:rPr>
                <w:rFonts w:eastAsiaTheme="minorEastAsia" w:hint="cs"/>
                <w:rtl/>
                <w:lang w:bidi="ar-EG"/>
              </w:rPr>
              <w:t xml:space="preserve"> </w:t>
            </w:r>
            <w:r w:rsidR="00025B96">
              <w:rPr>
                <w:rFonts w:eastAsiaTheme="minorEastAsia" w:hint="cs"/>
                <w:rtl/>
                <w:lang w:bidi="ar-EG"/>
              </w:rPr>
              <w:t>بالقرار</w:t>
            </w:r>
            <w:r w:rsidR="00025B96">
              <w:rPr>
                <w:rFonts w:eastAsiaTheme="minorEastAsia" w:hint="eastAsia"/>
                <w:rtl/>
              </w:rPr>
              <w:t> </w:t>
            </w:r>
            <w:r w:rsidR="00F80E2D" w:rsidRPr="00E01C74">
              <w:rPr>
                <w:rFonts w:eastAsiaTheme="minorEastAsia"/>
              </w:rPr>
              <w:t>71</w:t>
            </w:r>
            <w:r w:rsidR="00F80E2D" w:rsidRPr="00E01C74">
              <w:rPr>
                <w:rFonts w:eastAsiaTheme="minorEastAsia" w:hint="cs"/>
                <w:rtl/>
              </w:rPr>
              <w:t xml:space="preserve"> لمؤتمر </w:t>
            </w:r>
            <w:r w:rsidR="00F80E2D">
              <w:rPr>
                <w:rFonts w:eastAsiaTheme="minorEastAsia" w:hint="cs"/>
                <w:rtl/>
              </w:rPr>
              <w:t>المندوبين المفوضين</w:t>
            </w:r>
            <w:r w:rsidR="00E01C74">
              <w:rPr>
                <w:rFonts w:eastAsiaTheme="minorEastAsia" w:hint="cs"/>
                <w:rtl/>
                <w:lang w:bidi="ar-EG"/>
              </w:rPr>
              <w:t>؛</w:t>
            </w:r>
          </w:p>
          <w:p w:rsidR="003A1741" w:rsidRDefault="00E01C74" w:rsidP="002C0393">
            <w:pPr>
              <w:spacing w:after="120"/>
              <w:rPr>
                <w:rFonts w:eastAsiaTheme="minorEastAsia"/>
                <w:w w:val="110"/>
                <w:rtl/>
                <w:lang w:eastAsia="zh-CN"/>
              </w:rPr>
            </w:pPr>
            <w:r w:rsidRPr="00FF0BCA">
              <w:rPr>
                <w:rFonts w:eastAsiaTheme="minorEastAsia" w:hint="cs"/>
                <w:w w:val="110"/>
                <w:rtl/>
                <w:lang w:eastAsia="zh-CN" w:bidi="ar-SY"/>
              </w:rPr>
              <w:t>القراران</w:t>
            </w:r>
            <w:r w:rsidR="008C4172">
              <w:rPr>
                <w:rFonts w:eastAsiaTheme="minorEastAsia" w:hint="cs"/>
                <w:w w:val="110"/>
                <w:rtl/>
                <w:lang w:eastAsia="zh-CN" w:bidi="ar-SY"/>
              </w:rPr>
              <w:t xml:space="preserve"> </w:t>
            </w:r>
            <w:r w:rsidR="008C4172">
              <w:rPr>
                <w:rFonts w:eastAsiaTheme="minorEastAsia"/>
                <w:w w:val="110"/>
                <w:lang w:eastAsia="zh-CN" w:bidi="ar-SY"/>
              </w:rPr>
              <w:t>17</w:t>
            </w:r>
            <w:r w:rsidR="008C4172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و</w:t>
            </w:r>
            <w:r w:rsidR="008C4172">
              <w:rPr>
                <w:rFonts w:eastAsiaTheme="minorEastAsia"/>
                <w:w w:val="110"/>
                <w:lang w:eastAsia="zh-CN" w:bidi="ar-EG"/>
              </w:rPr>
              <w:t>71</w:t>
            </w:r>
            <w:r w:rsidRPr="00FF0BCA">
              <w:rPr>
                <w:rFonts w:eastAsiaTheme="minorEastAsia" w:hint="cs"/>
                <w:w w:val="110"/>
                <w:rtl/>
                <w:lang w:eastAsia="zh-CN" w:bidi="ar-SY"/>
              </w:rPr>
              <w:t xml:space="preserve"> </w:t>
            </w:r>
            <w:r w:rsidRPr="00FF0BCA">
              <w:rPr>
                <w:rFonts w:eastAsiaTheme="minorEastAsia" w:hint="cs"/>
                <w:w w:val="110"/>
                <w:rtl/>
                <w:lang w:eastAsia="zh-CN" w:bidi="ar-EG"/>
              </w:rPr>
              <w:t>(المراجعَان في</w:t>
            </w:r>
            <w:r w:rsidRPr="00FF0BCA">
              <w:rPr>
                <w:rFonts w:eastAsiaTheme="minorEastAsia" w:hint="eastAsia"/>
                <w:w w:val="110"/>
                <w:rtl/>
                <w:lang w:eastAsia="zh-CN" w:bidi="ar-EG"/>
              </w:rPr>
              <w:t> </w:t>
            </w:r>
            <w:r w:rsidRPr="00FF0BCA">
              <w:rPr>
                <w:rFonts w:eastAsiaTheme="minorEastAsia" w:hint="cs"/>
                <w:w w:val="110"/>
                <w:rtl/>
                <w:lang w:eastAsia="zh-CN" w:bidi="ar-EG"/>
              </w:rPr>
              <w:t>بوينس</w:t>
            </w:r>
            <w:r w:rsidR="00025B96">
              <w:rPr>
                <w:rFonts w:eastAsiaTheme="minorEastAsia" w:hint="eastAsia"/>
                <w:w w:val="110"/>
                <w:rtl/>
                <w:lang w:eastAsia="zh-CN" w:bidi="ar-EG"/>
              </w:rPr>
              <w:t> </w:t>
            </w:r>
            <w:r w:rsidRPr="00FF0BCA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آيرس، </w:t>
            </w:r>
            <w:r w:rsidRPr="00FF0BCA">
              <w:rPr>
                <w:rFonts w:eastAsiaTheme="minorEastAsia"/>
                <w:w w:val="110"/>
                <w:lang w:eastAsia="zh-CN"/>
              </w:rPr>
              <w:t>2017</w:t>
            </w:r>
            <w:r w:rsidRPr="00FF0BCA">
              <w:rPr>
                <w:rFonts w:eastAsiaTheme="minorEastAsia" w:hint="cs"/>
                <w:w w:val="110"/>
                <w:rtl/>
                <w:lang w:eastAsia="zh-CN" w:bidi="ar-EG"/>
              </w:rPr>
              <w:t>) للمؤتمر العالمي لتنمية الاتصالات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01C74" w:rsidRPr="00FF0BCA" w:rsidRDefault="00E01C74" w:rsidP="00E01C74">
      <w:pPr>
        <w:pStyle w:val="Heading1"/>
        <w:rPr>
          <w:rtl/>
          <w:lang w:bidi="ar-SA"/>
        </w:rPr>
      </w:pPr>
      <w:r w:rsidRPr="00FF0BCA">
        <w:lastRenderedPageBreak/>
        <w:t>1</w:t>
      </w:r>
      <w:r w:rsidRPr="00FF0BCA">
        <w:rPr>
          <w:rtl/>
        </w:rPr>
        <w:tab/>
      </w:r>
      <w:r w:rsidRPr="00FF0BCA">
        <w:rPr>
          <w:rFonts w:hint="cs"/>
          <w:rtl/>
        </w:rPr>
        <w:t>خلفية</w:t>
      </w:r>
    </w:p>
    <w:p w:rsidR="00E01C74" w:rsidRDefault="00E01C74" w:rsidP="00025B96">
      <w:pPr>
        <w:rPr>
          <w:rtl/>
          <w:lang w:bidi="ar-EG"/>
        </w:rPr>
      </w:pPr>
      <w:r w:rsidRPr="00FF0BCA">
        <w:rPr>
          <w:rFonts w:hint="cs"/>
          <w:rtl/>
          <w:lang w:bidi="ar-EG"/>
        </w:rPr>
        <w:t>سلّط المؤتمر العالمي لتنمية الاتصالات لعام</w:t>
      </w:r>
      <w:r w:rsidR="00025B96">
        <w:rPr>
          <w:rFonts w:hint="eastAsia"/>
          <w:rtl/>
          <w:lang w:bidi="ar-EG"/>
        </w:rPr>
        <w:t> </w:t>
      </w:r>
      <w:r w:rsidRPr="00FF0BCA">
        <w:rPr>
          <w:lang w:bidi="ar-EG"/>
        </w:rPr>
        <w:t>2017</w:t>
      </w:r>
      <w:r w:rsidRPr="00FF0BCA">
        <w:rPr>
          <w:rFonts w:hint="cs"/>
          <w:rtl/>
          <w:lang w:bidi="ar-EG"/>
        </w:rPr>
        <w:t xml:space="preserve"> </w:t>
      </w:r>
      <w:r w:rsidRPr="00FF0BCA">
        <w:rPr>
          <w:lang w:bidi="ar-EG"/>
        </w:rPr>
        <w:t>(WTDC-17)</w:t>
      </w:r>
      <w:r w:rsidRPr="00FF0BCA">
        <w:rPr>
          <w:rFonts w:hint="cs"/>
          <w:rtl/>
          <w:lang w:bidi="ar-EG"/>
        </w:rPr>
        <w:t xml:space="preserve"> الضوء على الدور البالغ الأهمية للشراكات والتعاون وتعبئة الموارد في</w:t>
      </w:r>
      <w:r w:rsidRPr="00FF0BCA">
        <w:rPr>
          <w:rFonts w:hint="eastAsia"/>
          <w:rtl/>
          <w:lang w:bidi="ar-EG"/>
        </w:rPr>
        <w:t> </w:t>
      </w:r>
      <w:r w:rsidRPr="00FF0BCA">
        <w:rPr>
          <w:rFonts w:hint="cs"/>
          <w:rtl/>
          <w:lang w:bidi="ar-EG"/>
        </w:rPr>
        <w:t>دعم تنفيذ خطة عمل بوينس</w:t>
      </w:r>
      <w:r w:rsidR="00025B96">
        <w:rPr>
          <w:rFonts w:hint="eastAsia"/>
          <w:rtl/>
          <w:lang w:bidi="ar-EG"/>
        </w:rPr>
        <w:t> </w:t>
      </w:r>
      <w:r w:rsidRPr="00FF0BCA">
        <w:rPr>
          <w:rFonts w:hint="cs"/>
          <w:rtl/>
          <w:lang w:bidi="ar-EG"/>
        </w:rPr>
        <w:t xml:space="preserve">آيرس </w:t>
      </w:r>
      <w:r>
        <w:rPr>
          <w:rFonts w:hint="cs"/>
          <w:rtl/>
          <w:lang w:bidi="ar-EG"/>
        </w:rPr>
        <w:t>(</w:t>
      </w:r>
      <w:r w:rsidR="00F80E2D">
        <w:rPr>
          <w:rFonts w:hint="cs"/>
          <w:rtl/>
          <w:lang w:bidi="ar-EG"/>
        </w:rPr>
        <w:t xml:space="preserve">التي تشمل </w:t>
      </w:r>
      <w:r>
        <w:rPr>
          <w:rFonts w:hint="cs"/>
          <w:rtl/>
          <w:lang w:bidi="ar-EG"/>
        </w:rPr>
        <w:t xml:space="preserve">الخطة </w:t>
      </w:r>
      <w:r w:rsidRPr="00FF0BCA">
        <w:rPr>
          <w:rFonts w:hint="cs"/>
          <w:rtl/>
          <w:lang w:bidi="ar-EG"/>
        </w:rPr>
        <w:t>التشغيلية لمكتب تنمية الاتصالات والمشاريع والمبادرات الإقليمية</w:t>
      </w:r>
      <w:r>
        <w:rPr>
          <w:rFonts w:hint="cs"/>
          <w:rtl/>
          <w:lang w:bidi="ar-EG"/>
        </w:rPr>
        <w:t xml:space="preserve">) </w:t>
      </w:r>
      <w:r w:rsidRPr="00FF0BCA">
        <w:rPr>
          <w:rFonts w:hint="cs"/>
          <w:rtl/>
          <w:lang w:bidi="ar-EG"/>
        </w:rPr>
        <w:t>وخطوط عمل القمة العالمية لمجتمع المعلومات</w:t>
      </w:r>
      <w:r w:rsidR="00025B96">
        <w:rPr>
          <w:rFonts w:hint="eastAsia"/>
          <w:rtl/>
          <w:lang w:bidi="ar-EG"/>
        </w:rPr>
        <w:t> </w:t>
      </w:r>
      <w:r w:rsidR="00F80E2D">
        <w:rPr>
          <w:lang w:val="es-ES" w:bidi="ar-EG"/>
        </w:rPr>
        <w:t>(WSIS)</w:t>
      </w:r>
      <w:r>
        <w:rPr>
          <w:rFonts w:hint="cs"/>
          <w:rtl/>
          <w:lang w:bidi="ar-EG"/>
        </w:rPr>
        <w:t xml:space="preserve"> </w:t>
      </w:r>
      <w:r w:rsidR="00F80E2D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أهداف التنمية المستدامة</w:t>
      </w:r>
      <w:r w:rsidR="00025B96">
        <w:rPr>
          <w:rFonts w:hint="eastAsia"/>
          <w:rtl/>
          <w:lang w:bidi="ar-EG"/>
        </w:rPr>
        <w:t> </w:t>
      </w:r>
      <w:r>
        <w:rPr>
          <w:lang w:bidi="ar-EG"/>
        </w:rPr>
        <w:t>(SDG)</w:t>
      </w:r>
      <w:r w:rsidR="00F80E2D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>لا سيما الهدف 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منها</w:t>
      </w:r>
      <w:r w:rsidR="00025B96">
        <w:rPr>
          <w:rFonts w:hint="cs"/>
          <w:rtl/>
          <w:lang w:bidi="ar-EG"/>
        </w:rPr>
        <w:t>.</w:t>
      </w:r>
    </w:p>
    <w:p w:rsidR="00E01C74" w:rsidRPr="00FF0BCA" w:rsidRDefault="00E01C74" w:rsidP="00025B96">
      <w:pPr>
        <w:rPr>
          <w:rtl/>
          <w:lang w:bidi="ar-EG"/>
        </w:rPr>
      </w:pPr>
      <w:r w:rsidRPr="00FF0BCA">
        <w:rPr>
          <w:rFonts w:hint="cs"/>
          <w:rtl/>
        </w:rPr>
        <w:t>وت</w:t>
      </w:r>
      <w:r w:rsidR="00574777">
        <w:rPr>
          <w:rFonts w:hint="cs"/>
          <w:rtl/>
        </w:rPr>
        <w:t>ُ</w:t>
      </w:r>
      <w:r w:rsidRPr="00FF0BCA">
        <w:rPr>
          <w:rFonts w:hint="cs"/>
          <w:rtl/>
        </w:rPr>
        <w:t>شير خطة عمل المؤتمر</w:t>
      </w:r>
      <w:r w:rsidR="00F80E2D">
        <w:rPr>
          <w:rFonts w:hint="cs"/>
          <w:rtl/>
        </w:rPr>
        <w:t xml:space="preserve"> </w:t>
      </w:r>
      <w:r w:rsidRPr="00FF0BCA">
        <w:rPr>
          <w:rFonts w:hint="cs"/>
          <w:rtl/>
        </w:rPr>
        <w:t>إلى أن البرامج ينبغي أن تُنفذ</w:t>
      </w:r>
      <w:r w:rsidRPr="00FF0BCA">
        <w:rPr>
          <w:rtl/>
        </w:rPr>
        <w:t>، حيثما أمكن، بالشراكة مع منظمات أخرى وأصحاب المصلحة الآخرين، بما</w:t>
      </w:r>
      <w:r w:rsidR="00025B96">
        <w:rPr>
          <w:rFonts w:hint="cs"/>
          <w:rtl/>
        </w:rPr>
        <w:t> </w:t>
      </w:r>
      <w:r w:rsidRPr="00FF0BCA">
        <w:rPr>
          <w:rtl/>
        </w:rPr>
        <w:t>في ذلك أعضاء القطاع</w:t>
      </w:r>
      <w:r w:rsidRPr="00FF0BCA">
        <w:rPr>
          <w:rFonts w:hint="cs"/>
          <w:rtl/>
        </w:rPr>
        <w:t xml:space="preserve"> </w:t>
      </w:r>
      <w:r w:rsidRPr="00FF0BCA">
        <w:rPr>
          <w:rtl/>
        </w:rPr>
        <w:t>والمؤسسات الأكاديمية والمنظمات غير</w:t>
      </w:r>
      <w:r w:rsidR="00025B96">
        <w:rPr>
          <w:rFonts w:hint="cs"/>
          <w:rtl/>
        </w:rPr>
        <w:t> </w:t>
      </w:r>
      <w:r w:rsidRPr="00FF0BCA">
        <w:rPr>
          <w:rtl/>
        </w:rPr>
        <w:t>الحكومية و</w:t>
      </w:r>
      <w:r w:rsidRPr="00FF0BCA">
        <w:rPr>
          <w:rFonts w:hint="cs"/>
          <w:rtl/>
        </w:rPr>
        <w:t xml:space="preserve">غيرها من </w:t>
      </w:r>
      <w:r w:rsidRPr="00FF0BCA">
        <w:rPr>
          <w:rtl/>
        </w:rPr>
        <w:t>وكالات</w:t>
      </w:r>
      <w:r w:rsidRPr="00FF0BCA">
        <w:rPr>
          <w:rFonts w:hint="cs"/>
          <w:rtl/>
        </w:rPr>
        <w:t xml:space="preserve"> وشبكات</w:t>
      </w:r>
      <w:r w:rsidRPr="00FF0BCA">
        <w:rPr>
          <w:rtl/>
        </w:rPr>
        <w:t xml:space="preserve"> الأمم المتحدة للاستفادة من تأثير المنتجات والخدمات التي يجري إعدادها في إطار </w:t>
      </w:r>
      <w:r w:rsidRPr="00FF0BCA">
        <w:rPr>
          <w:rFonts w:hint="cs"/>
          <w:rtl/>
        </w:rPr>
        <w:t>البرامج</w:t>
      </w:r>
      <w:r w:rsidRPr="00FF0BCA">
        <w:rPr>
          <w:rtl/>
        </w:rPr>
        <w:t>.</w:t>
      </w:r>
      <w:r w:rsidRPr="00FF0BC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وتحديداً </w:t>
      </w:r>
      <w:r>
        <w:rPr>
          <w:rFonts w:hint="cs"/>
          <w:rtl/>
        </w:rPr>
        <w:t>"</w:t>
      </w:r>
      <w:r w:rsidRPr="00FF0BCA">
        <w:rPr>
          <w:rtl/>
        </w:rPr>
        <w:t>تهدف المبادرات الإقليمية إلى معالجة مجالات الأولوية المحددة للاتصالات/تكنولوجيا المعلومات والاتصالات من خلال الشراكات وتعبئة الموارد من أجل تنفيذ المشاريع</w:t>
      </w:r>
      <w:r w:rsidRPr="00FF0BCA">
        <w:rPr>
          <w:rFonts w:hint="cs"/>
          <w:rtl/>
          <w:lang w:bidi="ar-EG"/>
        </w:rPr>
        <w:t>.</w:t>
      </w:r>
      <w:r w:rsidRPr="00FF0BCA">
        <w:rPr>
          <w:rFonts w:hint="cs"/>
          <w:rtl/>
        </w:rPr>
        <w:t>"</w:t>
      </w:r>
    </w:p>
    <w:p w:rsidR="00E01C74" w:rsidRPr="00FF0BCA" w:rsidRDefault="00F80E2D" w:rsidP="005F4BF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ويقرر المؤتمر في </w:t>
      </w:r>
      <w:r w:rsidR="00E01C74" w:rsidRPr="00FF0BCA">
        <w:rPr>
          <w:rFonts w:hint="cs"/>
          <w:rtl/>
          <w:lang w:bidi="ar-EG"/>
        </w:rPr>
        <w:t>قرار</w:t>
      </w:r>
      <w:r>
        <w:rPr>
          <w:rFonts w:hint="cs"/>
          <w:rtl/>
          <w:lang w:bidi="ar-EG"/>
        </w:rPr>
        <w:t>ه</w:t>
      </w:r>
      <w:r w:rsidR="005F4BF9">
        <w:rPr>
          <w:rFonts w:hint="eastAsia"/>
          <w:rtl/>
          <w:lang w:bidi="ar-EG"/>
        </w:rPr>
        <w:t> </w:t>
      </w:r>
      <w:r w:rsidR="00E01C74" w:rsidRPr="00FF0BCA">
        <w:rPr>
          <w:lang w:bidi="ar-EG"/>
        </w:rPr>
        <w:t>17</w:t>
      </w:r>
      <w:r>
        <w:rPr>
          <w:rFonts w:hint="cs"/>
          <w:rtl/>
          <w:lang w:bidi="ar-EG"/>
        </w:rPr>
        <w:t xml:space="preserve">، </w:t>
      </w:r>
      <w:r w:rsidR="00E01C74" w:rsidRPr="00FF0BCA">
        <w:rPr>
          <w:rFonts w:hint="cs"/>
          <w:rtl/>
          <w:lang w:bidi="ar-EG"/>
        </w:rPr>
        <w:t>ضمن جملة أمور</w:t>
      </w:r>
      <w:r>
        <w:rPr>
          <w:rFonts w:hint="cs"/>
          <w:rtl/>
          <w:lang w:bidi="ar-EG"/>
        </w:rPr>
        <w:t>،</w:t>
      </w:r>
      <w:r w:rsidR="00E01C74" w:rsidRPr="00FF0BCA">
        <w:rPr>
          <w:rFonts w:hint="cs"/>
          <w:rtl/>
          <w:lang w:bidi="ar-EG"/>
        </w:rPr>
        <w:t xml:space="preserve"> "</w:t>
      </w:r>
      <w:r w:rsidR="00E01C74" w:rsidRPr="00FF0BCA">
        <w:rPr>
          <w:rtl/>
        </w:rPr>
        <w:t>أن يستمر مكتب تنمية الاتصالات بنشاط في عقد شراكات مع الدول الأعضاء وأعضاء قطاع تنمية الاتصالات والمؤسسات المالية والمنظمات الدولية من أجل تمويل أنشطة تنفيذ هذه المبادرات</w:t>
      </w:r>
      <w:r w:rsidR="00E01C74" w:rsidRPr="00FF0BCA">
        <w:rPr>
          <w:rFonts w:hint="cs"/>
          <w:rtl/>
          <w:lang w:bidi="ar-EG"/>
        </w:rPr>
        <w:t>" ويدعو "</w:t>
      </w:r>
      <w:r w:rsidR="00E01C74" w:rsidRPr="00FF0BCA">
        <w:rPr>
          <w:rFonts w:hint="eastAsia"/>
          <w:rtl/>
          <w:lang w:bidi="ar-EG"/>
        </w:rPr>
        <w:t>المنظمات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والوكالات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المالية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الدولية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ومزودي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المعدات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ومشغلي</w:t>
      </w:r>
      <w:r w:rsidR="00E01C74" w:rsidRPr="00FF0BCA">
        <w:rPr>
          <w:rtl/>
          <w:lang w:bidi="ar-EG"/>
        </w:rPr>
        <w:t>/</w:t>
      </w:r>
      <w:r w:rsidR="00E01C74" w:rsidRPr="00FF0BCA">
        <w:rPr>
          <w:rFonts w:hint="eastAsia"/>
          <w:rtl/>
          <w:lang w:bidi="ar-EG"/>
        </w:rPr>
        <w:t>مزودي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الخدمات</w:t>
      </w:r>
      <w:r w:rsidR="00E01C74" w:rsidRPr="00FF0BCA">
        <w:rPr>
          <w:rFonts w:hint="cs"/>
          <w:rtl/>
          <w:lang w:bidi="ar-EG"/>
        </w:rPr>
        <w:t xml:space="preserve"> إلى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cs"/>
          <w:rtl/>
          <w:lang w:bidi="ar-EG"/>
        </w:rPr>
        <w:t>ا</w:t>
      </w:r>
      <w:r w:rsidR="00E01C74" w:rsidRPr="00FF0BCA">
        <w:rPr>
          <w:rFonts w:hint="eastAsia"/>
          <w:rtl/>
          <w:lang w:bidi="ar-EG"/>
        </w:rPr>
        <w:t>لمساهمة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في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توفير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التمويل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الكامل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أو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الجزئي،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للمبادرات</w:t>
      </w:r>
      <w:r w:rsidR="00E01C74" w:rsidRPr="00FF0BCA">
        <w:rPr>
          <w:rtl/>
          <w:lang w:bidi="ar-EG"/>
        </w:rPr>
        <w:t xml:space="preserve"> </w:t>
      </w:r>
      <w:r w:rsidR="00E01C74" w:rsidRPr="00FF0BCA">
        <w:rPr>
          <w:rFonts w:hint="eastAsia"/>
          <w:rtl/>
          <w:lang w:bidi="ar-EG"/>
        </w:rPr>
        <w:t>المعتمدة</w:t>
      </w:r>
      <w:r w:rsidR="00E01C74" w:rsidRPr="00FF0BCA">
        <w:rPr>
          <w:rFonts w:hint="cs"/>
          <w:rtl/>
          <w:lang w:bidi="ar-EG"/>
        </w:rPr>
        <w:t> </w:t>
      </w:r>
      <w:r w:rsidR="00E01C74" w:rsidRPr="00FF0BCA">
        <w:rPr>
          <w:rFonts w:hint="eastAsia"/>
          <w:rtl/>
          <w:lang w:bidi="ar-EG"/>
        </w:rPr>
        <w:t>إقليمياً</w:t>
      </w:r>
      <w:r w:rsidR="00E01C74" w:rsidRPr="00FF0BCA">
        <w:rPr>
          <w:rFonts w:hint="cs"/>
          <w:rtl/>
          <w:lang w:bidi="ar-EG"/>
        </w:rPr>
        <w:t>".</w:t>
      </w:r>
    </w:p>
    <w:p w:rsidR="00E01C74" w:rsidRPr="00FF0BCA" w:rsidRDefault="00E01C74" w:rsidP="005F4BF9">
      <w:pPr>
        <w:rPr>
          <w:rtl/>
          <w:lang w:bidi="ar-EG"/>
        </w:rPr>
      </w:pPr>
      <w:r w:rsidRPr="00FF0BCA">
        <w:rPr>
          <w:rFonts w:hint="cs"/>
          <w:rtl/>
          <w:lang w:bidi="ar-EG"/>
        </w:rPr>
        <w:t xml:space="preserve">ويعتبر المؤتمر في القرار </w:t>
      </w:r>
      <w:r w:rsidRPr="00FF0BCA">
        <w:rPr>
          <w:lang w:bidi="ar-EG"/>
        </w:rPr>
        <w:t>71</w:t>
      </w:r>
      <w:r w:rsidRPr="00FF0BC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أيضاً </w:t>
      </w:r>
      <w:r w:rsidRPr="00FF0BCA">
        <w:rPr>
          <w:rFonts w:hint="cs"/>
          <w:rtl/>
          <w:lang w:bidi="ar-EG"/>
        </w:rPr>
        <w:t xml:space="preserve">"أن الشراكات بين </w:t>
      </w:r>
      <w:r w:rsidRPr="00FF0BCA">
        <w:rPr>
          <w:rtl/>
        </w:rPr>
        <w:t>القطاع العام والقطاع الخاص، بما</w:t>
      </w:r>
      <w:r w:rsidR="005F4BF9">
        <w:rPr>
          <w:rFonts w:hint="cs"/>
          <w:rtl/>
        </w:rPr>
        <w:t> </w:t>
      </w:r>
      <w:r w:rsidRPr="00FF0BCA">
        <w:rPr>
          <w:rtl/>
        </w:rPr>
        <w:t>في</w:t>
      </w:r>
      <w:r w:rsidR="005F4BF9">
        <w:rPr>
          <w:rFonts w:hint="cs"/>
          <w:rtl/>
        </w:rPr>
        <w:t> </w:t>
      </w:r>
      <w:r w:rsidRPr="00FF0BCA">
        <w:rPr>
          <w:rtl/>
        </w:rPr>
        <w:t>ذلك الاتحاد الدولي للاتصالات وكيانات أخرى مثل المنظمات الوطنية والإقليمية والدولية والحكومية الدولية، وفيما</w:t>
      </w:r>
      <w:r w:rsidR="005F4BF9">
        <w:rPr>
          <w:rFonts w:hint="cs"/>
          <w:rtl/>
        </w:rPr>
        <w:t> </w:t>
      </w:r>
      <w:r w:rsidRPr="00FF0BCA">
        <w:rPr>
          <w:rtl/>
        </w:rPr>
        <w:t>بين هذه الكيانات، حسب الاقتضاء، ما</w:t>
      </w:r>
      <w:r w:rsidRPr="00FF0BCA">
        <w:rPr>
          <w:rFonts w:hint="cs"/>
          <w:rtl/>
        </w:rPr>
        <w:t> </w:t>
      </w:r>
      <w:r w:rsidRPr="00FF0BCA">
        <w:rPr>
          <w:rtl/>
        </w:rPr>
        <w:t>زالت تؤدي دوراً حاسماً في تعزيز التنمية المستدامة ل</w:t>
      </w:r>
      <w:r w:rsidRPr="00FF0BCA">
        <w:rPr>
          <w:rFonts w:hint="cs"/>
          <w:rtl/>
        </w:rPr>
        <w:t>لاتصالات/</w:t>
      </w:r>
      <w:r w:rsidRPr="00FF0BCA">
        <w:rPr>
          <w:rtl/>
        </w:rPr>
        <w:t>تكنولوجيا المعلومات والاتصالات</w:t>
      </w:r>
      <w:r w:rsidRPr="00FF0BCA">
        <w:rPr>
          <w:rFonts w:hint="cs"/>
          <w:rtl/>
        </w:rPr>
        <w:t> </w:t>
      </w:r>
      <w:r w:rsidRPr="00FF0BCA">
        <w:rPr>
          <w:lang w:bidi="ar-EG"/>
        </w:rPr>
        <w:t>(ICT)</w:t>
      </w:r>
      <w:r w:rsidRPr="00FF0BCA">
        <w:rPr>
          <w:rFonts w:hint="cs"/>
          <w:rtl/>
        </w:rPr>
        <w:t>".</w:t>
      </w:r>
    </w:p>
    <w:p w:rsidR="00E01C74" w:rsidRPr="00FF0BCA" w:rsidRDefault="00E01C74" w:rsidP="00E01C74">
      <w:pPr>
        <w:pStyle w:val="Heading1"/>
        <w:rPr>
          <w:rtl/>
        </w:rPr>
      </w:pPr>
      <w:r w:rsidRPr="00FF0BCA">
        <w:t>2</w:t>
      </w:r>
      <w:r w:rsidRPr="00FF0BCA">
        <w:tab/>
      </w:r>
      <w:r w:rsidRPr="00FF0BCA">
        <w:rPr>
          <w:rFonts w:hint="cs"/>
          <w:rtl/>
        </w:rPr>
        <w:t>الهدف الاستراتيجي</w:t>
      </w:r>
    </w:p>
    <w:p w:rsidR="00E01C74" w:rsidRPr="00FF0BCA" w:rsidRDefault="00E01C74" w:rsidP="005F4BF9">
      <w:pPr>
        <w:rPr>
          <w:rtl/>
          <w:lang w:bidi="ar-EG"/>
        </w:rPr>
      </w:pPr>
      <w:r w:rsidRPr="00FF0BCA">
        <w:rPr>
          <w:rFonts w:hint="cs"/>
          <w:rtl/>
          <w:lang w:bidi="ar-EG"/>
        </w:rPr>
        <w:t>وفقاً لنتائج المؤتمر العالمي لتنمية الاتصالات لعام</w:t>
      </w:r>
      <w:r w:rsidR="005F4BF9">
        <w:rPr>
          <w:rFonts w:hint="eastAsia"/>
          <w:rtl/>
          <w:lang w:bidi="ar-EG"/>
        </w:rPr>
        <w:t> </w:t>
      </w:r>
      <w:r w:rsidRPr="00FF0BCA">
        <w:rPr>
          <w:lang w:bidi="ar-EG"/>
        </w:rPr>
        <w:t>2017</w:t>
      </w:r>
      <w:r w:rsidRPr="00FF0BCA">
        <w:rPr>
          <w:rFonts w:hint="cs"/>
          <w:rtl/>
          <w:lang w:bidi="ar-EG"/>
        </w:rPr>
        <w:t>، يتمث</w:t>
      </w:r>
      <w:r w:rsidR="005F4BF9">
        <w:rPr>
          <w:rFonts w:hint="cs"/>
          <w:rtl/>
          <w:lang w:bidi="ar-EG"/>
        </w:rPr>
        <w:t>ّ</w:t>
      </w:r>
      <w:r w:rsidRPr="00FF0BCA">
        <w:rPr>
          <w:rFonts w:hint="cs"/>
          <w:rtl/>
          <w:lang w:bidi="ar-EG"/>
        </w:rPr>
        <w:t>ل الهدف في تيسير وتطوير وتعزيز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الشراكات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والتعاون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مع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مختلف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الأطراف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المعنية،</w:t>
      </w:r>
      <w:r w:rsidRPr="00FF0BCA">
        <w:rPr>
          <w:rtl/>
          <w:lang w:bidi="ar-EG"/>
        </w:rPr>
        <w:t xml:space="preserve"> </w:t>
      </w:r>
      <w:r w:rsidRPr="00FF0BCA">
        <w:rPr>
          <w:rFonts w:hint="cs"/>
          <w:rtl/>
          <w:lang w:bidi="ar-EG"/>
        </w:rPr>
        <w:t>بما</w:t>
      </w:r>
      <w:r w:rsidR="005F4BF9">
        <w:rPr>
          <w:rFonts w:hint="eastAsia"/>
          <w:rtl/>
          <w:lang w:bidi="ar-EG"/>
        </w:rPr>
        <w:t> </w:t>
      </w:r>
      <w:r w:rsidRPr="00FF0BCA">
        <w:rPr>
          <w:rFonts w:hint="cs"/>
          <w:rtl/>
          <w:lang w:bidi="ar-EG"/>
        </w:rPr>
        <w:t>في</w:t>
      </w:r>
      <w:r w:rsidR="005F4BF9">
        <w:rPr>
          <w:rFonts w:hint="eastAsia"/>
          <w:rtl/>
          <w:lang w:bidi="ar-EG"/>
        </w:rPr>
        <w:t> </w:t>
      </w:r>
      <w:r w:rsidRPr="00FF0BCA">
        <w:rPr>
          <w:rFonts w:hint="cs"/>
          <w:rtl/>
          <w:lang w:bidi="ar-EG"/>
        </w:rPr>
        <w:t xml:space="preserve">ذلك </w:t>
      </w:r>
      <w:r w:rsidRPr="00FF0BCA">
        <w:rPr>
          <w:rFonts w:hint="eastAsia"/>
          <w:rtl/>
          <w:lang w:bidi="ar-EG"/>
        </w:rPr>
        <w:t>وكالات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الأمم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المتحدة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والمنظمات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الدولية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والإقليمية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والدول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الأعضاء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في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الاتحاد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وأعضاء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قطاع</w:t>
      </w:r>
      <w:r w:rsidRPr="00FF0BCA">
        <w:rPr>
          <w:rtl/>
          <w:lang w:bidi="ar-EG"/>
        </w:rPr>
        <w:t xml:space="preserve"> </w:t>
      </w:r>
      <w:r w:rsidRPr="00FF0BCA">
        <w:rPr>
          <w:rFonts w:hint="cs"/>
          <w:rtl/>
          <w:lang w:bidi="ar-EG"/>
        </w:rPr>
        <w:t>تنمية الاتصالات</w:t>
      </w:r>
      <w:r w:rsidRPr="00FF0BCA">
        <w:rPr>
          <w:rtl/>
          <w:lang w:bidi="ar-EG"/>
        </w:rPr>
        <w:t xml:space="preserve"> </w:t>
      </w:r>
      <w:r w:rsidR="00574777">
        <w:rPr>
          <w:rFonts w:hint="eastAsia"/>
          <w:rtl/>
          <w:lang w:bidi="ar-EG"/>
        </w:rPr>
        <w:t>والمنتسب</w:t>
      </w:r>
      <w:r w:rsidR="00574777">
        <w:rPr>
          <w:rFonts w:hint="cs"/>
          <w:rtl/>
          <w:lang w:bidi="ar-EG"/>
        </w:rPr>
        <w:t>و</w:t>
      </w:r>
      <w:r w:rsidRPr="00FF0BCA">
        <w:rPr>
          <w:rFonts w:hint="eastAsia"/>
          <w:rtl/>
          <w:lang w:bidi="ar-EG"/>
        </w:rPr>
        <w:t>ن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إليه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والهيئات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الأكاديمية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وغيرهم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من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الشركاء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المعنيين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من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البلدان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المتقدمة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و</w:t>
      </w:r>
      <w:r w:rsidR="00663C41">
        <w:rPr>
          <w:rFonts w:hint="cs"/>
          <w:rtl/>
          <w:lang w:bidi="ar-EG"/>
        </w:rPr>
        <w:t xml:space="preserve">البلدان </w:t>
      </w:r>
      <w:r w:rsidRPr="00FF0BCA">
        <w:rPr>
          <w:rFonts w:hint="eastAsia"/>
          <w:rtl/>
          <w:lang w:bidi="ar-EG"/>
        </w:rPr>
        <w:t>النامية،</w:t>
      </w:r>
      <w:r w:rsidRPr="00FF0BCA">
        <w:rPr>
          <w:rtl/>
          <w:lang w:bidi="ar-EG"/>
        </w:rPr>
        <w:t xml:space="preserve"> </w:t>
      </w:r>
      <w:r w:rsidRPr="00FF0BCA">
        <w:rPr>
          <w:rFonts w:hint="cs"/>
          <w:rtl/>
          <w:lang w:bidi="ar-EG"/>
        </w:rPr>
        <w:t>من أجل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تعزيز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تعبئة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الموارد</w:t>
      </w:r>
      <w:r w:rsidRPr="00FF0BCA">
        <w:rPr>
          <w:rtl/>
          <w:lang w:bidi="ar-EG"/>
        </w:rPr>
        <w:t xml:space="preserve"> </w:t>
      </w:r>
      <w:r w:rsidRPr="00FF0BCA">
        <w:rPr>
          <w:rFonts w:hint="cs"/>
          <w:rtl/>
          <w:lang w:bidi="ar-EG"/>
        </w:rPr>
        <w:t>و</w:t>
      </w:r>
      <w:r w:rsidRPr="00FF0BCA">
        <w:rPr>
          <w:rtl/>
        </w:rPr>
        <w:t xml:space="preserve">تجنب ازدواجية الجهود </w:t>
      </w:r>
      <w:r w:rsidRPr="00FF0BCA">
        <w:rPr>
          <w:rFonts w:hint="eastAsia"/>
          <w:rtl/>
          <w:lang w:bidi="ar-EG"/>
        </w:rPr>
        <w:t>ودعم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قطاع</w:t>
      </w:r>
      <w:r w:rsidRPr="00FF0BCA">
        <w:rPr>
          <w:rtl/>
          <w:lang w:bidi="ar-EG"/>
        </w:rPr>
        <w:t xml:space="preserve"> </w:t>
      </w:r>
      <w:r w:rsidRPr="00FF0BCA">
        <w:rPr>
          <w:rFonts w:hint="cs"/>
          <w:rtl/>
          <w:lang w:bidi="ar-EG"/>
        </w:rPr>
        <w:t>تنمية الاتصالات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في</w:t>
      </w:r>
      <w:r w:rsidRPr="00FF0BCA">
        <w:rPr>
          <w:rtl/>
          <w:lang w:bidi="ar-EG"/>
        </w:rPr>
        <w:t xml:space="preserve"> </w:t>
      </w:r>
      <w:r w:rsidRPr="00FF0BCA">
        <w:rPr>
          <w:rFonts w:hint="eastAsia"/>
          <w:rtl/>
          <w:lang w:bidi="ar-EG"/>
        </w:rPr>
        <w:t>تنفيذ</w:t>
      </w:r>
      <w:r w:rsidRPr="00FF0BCA">
        <w:rPr>
          <w:rtl/>
          <w:lang w:bidi="ar-EG"/>
        </w:rPr>
        <w:t xml:space="preserve"> </w:t>
      </w:r>
      <w:r w:rsidRPr="00FF0BCA">
        <w:rPr>
          <w:rFonts w:hint="cs"/>
          <w:rtl/>
          <w:lang w:bidi="ar-EG"/>
        </w:rPr>
        <w:t>البرامج والمبادرات الإقليمية.</w:t>
      </w:r>
    </w:p>
    <w:p w:rsidR="00E01C74" w:rsidRPr="00FF0BCA" w:rsidRDefault="00E01C74" w:rsidP="00E01C74">
      <w:pPr>
        <w:pStyle w:val="Heading1"/>
        <w:rPr>
          <w:rtl/>
        </w:rPr>
      </w:pPr>
      <w:r w:rsidRPr="00FF0BCA">
        <w:t>3</w:t>
      </w:r>
      <w:r w:rsidRPr="00FF0BCA">
        <w:tab/>
      </w:r>
      <w:r w:rsidRPr="00FF0BCA">
        <w:rPr>
          <w:rFonts w:hint="eastAsia"/>
          <w:rtl/>
        </w:rPr>
        <w:t>تحليل</w:t>
      </w:r>
      <w:r w:rsidRPr="00FF0BCA">
        <w:rPr>
          <w:rtl/>
        </w:rPr>
        <w:t xml:space="preserve"> </w:t>
      </w:r>
      <w:r w:rsidRPr="00FF0BCA">
        <w:rPr>
          <w:rFonts w:hint="cs"/>
          <w:rtl/>
        </w:rPr>
        <w:t>الحالة</w:t>
      </w:r>
    </w:p>
    <w:p w:rsidR="00E01C74" w:rsidRDefault="00B97149" w:rsidP="008C417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في عام </w:t>
      </w:r>
      <w:r>
        <w:rPr>
          <w:lang w:val="es-ES" w:bidi="ar-EG"/>
        </w:rPr>
        <w:t>2018</w:t>
      </w:r>
      <w:r>
        <w:rPr>
          <w:rFonts w:hint="cs"/>
          <w:rtl/>
          <w:lang w:val="es-ES" w:bidi="ar-EG"/>
        </w:rPr>
        <w:t xml:space="preserve">، </w:t>
      </w:r>
      <w:r w:rsidR="00574777">
        <w:rPr>
          <w:rFonts w:hint="cs"/>
          <w:rtl/>
          <w:lang w:val="es-ES" w:bidi="ar-EG"/>
        </w:rPr>
        <w:t>وقّع</w:t>
      </w:r>
      <w:r w:rsidR="00DA1C48">
        <w:rPr>
          <w:rFonts w:hint="cs"/>
          <w:rtl/>
          <w:lang w:val="es-ES" w:bidi="ar-EG"/>
        </w:rPr>
        <w:t xml:space="preserve"> مكتب تنمية الاتصالات و</w:t>
      </w:r>
      <w:r w:rsidR="00175117">
        <w:rPr>
          <w:rFonts w:hint="cs"/>
          <w:rtl/>
          <w:lang w:val="es-ES" w:bidi="ar-EG"/>
        </w:rPr>
        <w:t xml:space="preserve">عدد من </w:t>
      </w:r>
      <w:r w:rsidR="00DA1C48">
        <w:rPr>
          <w:rFonts w:hint="cs"/>
          <w:rtl/>
          <w:lang w:val="es-ES" w:bidi="ar-EG"/>
        </w:rPr>
        <w:t xml:space="preserve">أصحاب </w:t>
      </w:r>
      <w:r w:rsidR="00175117">
        <w:rPr>
          <w:rFonts w:hint="cs"/>
          <w:rtl/>
          <w:lang w:val="es-ES" w:bidi="ar-EG"/>
        </w:rPr>
        <w:t>ال</w:t>
      </w:r>
      <w:r w:rsidR="00DA1C48">
        <w:rPr>
          <w:rFonts w:hint="cs"/>
          <w:rtl/>
          <w:lang w:val="es-ES" w:bidi="ar-EG"/>
        </w:rPr>
        <w:t>مصلحة</w:t>
      </w:r>
      <w:r>
        <w:rPr>
          <w:rFonts w:hint="cs"/>
          <w:rtl/>
          <w:lang w:val="es-ES" w:bidi="ar-EG"/>
        </w:rPr>
        <w:t xml:space="preserve"> </w:t>
      </w:r>
      <w:r>
        <w:rPr>
          <w:lang w:val="es-ES" w:bidi="ar-EG"/>
        </w:rPr>
        <w:t>43</w:t>
      </w:r>
      <w:r>
        <w:rPr>
          <w:rFonts w:hint="cs"/>
          <w:rtl/>
          <w:lang w:bidi="ar-EG"/>
        </w:rPr>
        <w:t xml:space="preserve"> اتفاق شراكة جديد</w:t>
      </w:r>
      <w:r w:rsidR="00574777">
        <w:rPr>
          <w:rFonts w:hint="cs"/>
          <w:rtl/>
          <w:lang w:bidi="ar-EG"/>
        </w:rPr>
        <w:t>اً</w:t>
      </w:r>
      <w:r w:rsidR="00EC0BCD">
        <w:rPr>
          <w:rFonts w:hint="cs"/>
          <w:rtl/>
          <w:lang w:bidi="ar-EG"/>
        </w:rPr>
        <w:t xml:space="preserve"> </w:t>
      </w:r>
      <w:r w:rsidR="00574777">
        <w:rPr>
          <w:rFonts w:hint="cs"/>
          <w:rtl/>
          <w:lang w:bidi="ar-EG"/>
        </w:rPr>
        <w:t>و</w:t>
      </w:r>
      <w:r>
        <w:rPr>
          <w:lang w:val="es-ES" w:bidi="ar-EG"/>
        </w:rPr>
        <w:t>7</w:t>
      </w:r>
      <w:r>
        <w:rPr>
          <w:rFonts w:hint="cs"/>
          <w:rtl/>
          <w:lang w:bidi="ar-EG"/>
        </w:rPr>
        <w:t xml:space="preserve"> إضافات/تعديلات، قُدّرت</w:t>
      </w:r>
      <w:r w:rsidR="008C417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قيمتها </w:t>
      </w:r>
      <w:r w:rsidR="00EC0BCD">
        <w:rPr>
          <w:rFonts w:hint="cs"/>
          <w:rtl/>
          <w:lang w:bidi="ar-EG"/>
        </w:rPr>
        <w:t xml:space="preserve">الإجمالية </w:t>
      </w:r>
      <w:r>
        <w:rPr>
          <w:rFonts w:hint="cs"/>
          <w:rtl/>
          <w:lang w:bidi="ar-EG"/>
        </w:rPr>
        <w:t xml:space="preserve">بنحو </w:t>
      </w:r>
      <w:r>
        <w:rPr>
          <w:lang w:val="es-ES" w:bidi="ar-EG"/>
        </w:rPr>
        <w:t>10,9</w:t>
      </w:r>
      <w:r>
        <w:rPr>
          <w:rFonts w:hint="cs"/>
          <w:rtl/>
          <w:lang w:bidi="ar-EG"/>
        </w:rPr>
        <w:t xml:space="preserve"> ملايين دولار أمريكي</w:t>
      </w:r>
      <w:r w:rsidR="00571A90">
        <w:rPr>
          <w:rFonts w:hint="cs"/>
          <w:rtl/>
          <w:lang w:bidi="ar-EG"/>
        </w:rPr>
        <w:t xml:space="preserve"> بتمويل مشترك بين المكتب </w:t>
      </w:r>
      <w:r w:rsidR="00574777">
        <w:rPr>
          <w:rFonts w:hint="cs"/>
          <w:rtl/>
          <w:lang w:bidi="ar-EG"/>
        </w:rPr>
        <w:t>وشركاء خارجيين. وت</w:t>
      </w:r>
      <w:r w:rsidR="00571A90">
        <w:rPr>
          <w:rFonts w:hint="cs"/>
          <w:rtl/>
          <w:lang w:bidi="ar-EG"/>
        </w:rPr>
        <w:t>رد قائمة بهذه الاتفاقات ومعلومات مفصلة عنها (مثل الأطراف الموقِّعة عليها، وأنواع الشراكات</w:t>
      </w:r>
      <w:r w:rsidR="00CA21AD">
        <w:rPr>
          <w:rStyle w:val="FootnoteReference"/>
          <w:rtl/>
          <w:lang w:bidi="ar-EG"/>
        </w:rPr>
        <w:footnoteReference w:id="1"/>
      </w:r>
      <w:r w:rsidR="00571A90">
        <w:rPr>
          <w:rFonts w:hint="cs"/>
          <w:rtl/>
          <w:lang w:bidi="ar-EG"/>
        </w:rPr>
        <w:t>، وتواريخ دخول الاتفاقات حيز النفاذ، وقيمها المالية وأهدافها</w:t>
      </w:r>
      <w:r w:rsidR="00EC0BCD">
        <w:rPr>
          <w:rFonts w:hint="cs"/>
          <w:rtl/>
          <w:lang w:bidi="ar-EG"/>
        </w:rPr>
        <w:t>)</w:t>
      </w:r>
      <w:r w:rsidR="00574777">
        <w:rPr>
          <w:rFonts w:hint="cs"/>
          <w:rtl/>
          <w:lang w:bidi="ar-EG"/>
        </w:rPr>
        <w:t xml:space="preserve"> في الوثيقة</w:t>
      </w:r>
      <w:hyperlink r:id="rId11" w:history="1">
        <w:r w:rsidR="008C4172" w:rsidRPr="001B090F">
          <w:rPr>
            <w:rStyle w:val="Hyperlink"/>
            <w:szCs w:val="24"/>
          </w:rPr>
          <w:t>INF/3</w:t>
        </w:r>
      </w:hyperlink>
      <w:r w:rsidR="00574777" w:rsidRPr="008C4172">
        <w:rPr>
          <w:rStyle w:val="FootnoteReference"/>
        </w:rPr>
        <w:footnoteReference w:id="2"/>
      </w:r>
      <w:r w:rsidR="00574777">
        <w:rPr>
          <w:rFonts w:hint="cs"/>
          <w:rtl/>
          <w:lang w:bidi="ar-EG"/>
        </w:rPr>
        <w:t xml:space="preserve"> </w:t>
      </w:r>
      <w:r w:rsidR="00EC0BCD">
        <w:rPr>
          <w:rFonts w:hint="cs"/>
          <w:rtl/>
          <w:lang w:bidi="ar-EG"/>
        </w:rPr>
        <w:t xml:space="preserve">وقد تسنّى إبرام هذه الاتفاقات بفضل تضافر جهود </w:t>
      </w:r>
      <w:r w:rsidR="008C4172">
        <w:rPr>
          <w:rFonts w:hint="cs"/>
          <w:rtl/>
          <w:lang w:bidi="ar-EG"/>
        </w:rPr>
        <w:t xml:space="preserve">ودعم </w:t>
      </w:r>
      <w:r w:rsidR="00EC0BCD">
        <w:rPr>
          <w:rFonts w:hint="cs"/>
          <w:rtl/>
          <w:lang w:bidi="ar-EG"/>
        </w:rPr>
        <w:t xml:space="preserve">أعضاء الاتحاد وشركائه، </w:t>
      </w:r>
      <w:r w:rsidR="00F41F69">
        <w:rPr>
          <w:rFonts w:hint="cs"/>
          <w:rtl/>
          <w:lang w:bidi="ar-EG"/>
        </w:rPr>
        <w:t>فضلاً عن</w:t>
      </w:r>
      <w:r w:rsidR="00EC0BCD">
        <w:rPr>
          <w:rFonts w:hint="cs"/>
          <w:rtl/>
          <w:lang w:bidi="ar-EG"/>
        </w:rPr>
        <w:t xml:space="preserve"> موظفي </w:t>
      </w:r>
      <w:r w:rsidR="00DA1C48">
        <w:rPr>
          <w:rFonts w:hint="cs"/>
          <w:rtl/>
          <w:lang w:bidi="ar-EG"/>
        </w:rPr>
        <w:t xml:space="preserve">المكتب الميدانيين والعاملين في المقر على </w:t>
      </w:r>
      <w:r w:rsidR="00F41F69">
        <w:rPr>
          <w:rFonts w:hint="cs"/>
          <w:rtl/>
          <w:lang w:bidi="ar-EG"/>
        </w:rPr>
        <w:t>ال</w:t>
      </w:r>
      <w:r w:rsidR="00DA1C48">
        <w:rPr>
          <w:rFonts w:hint="cs"/>
          <w:rtl/>
          <w:lang w:bidi="ar-EG"/>
        </w:rPr>
        <w:t>سواء.</w:t>
      </w:r>
    </w:p>
    <w:p w:rsidR="00175117" w:rsidRDefault="00DA1C48" w:rsidP="005F4BF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Fonts w:hint="cs"/>
          <w:rtl/>
        </w:rPr>
        <w:t>في الفترة ما</w:t>
      </w:r>
      <w:r w:rsidR="005F4BF9">
        <w:rPr>
          <w:rFonts w:hint="eastAsia"/>
          <w:rtl/>
        </w:rPr>
        <w:t> </w:t>
      </w:r>
      <w:r w:rsidRPr="00093958">
        <w:rPr>
          <w:rFonts w:hint="cs"/>
          <w:rtl/>
        </w:rPr>
        <w:t>بين</w:t>
      </w:r>
      <w:r>
        <w:rPr>
          <w:rFonts w:hint="cs"/>
          <w:rtl/>
        </w:rPr>
        <w:t xml:space="preserve"> عامي</w:t>
      </w:r>
      <w:r w:rsidRPr="00093958">
        <w:rPr>
          <w:rFonts w:hint="cs"/>
          <w:rtl/>
        </w:rPr>
        <w:t xml:space="preserve"> </w:t>
      </w:r>
      <w:r w:rsidRPr="00093958">
        <w:t>2015</w:t>
      </w:r>
      <w:r w:rsidRPr="00093958">
        <w:rPr>
          <w:rFonts w:hint="cs"/>
          <w:rtl/>
        </w:rPr>
        <w:t xml:space="preserve"> و</w:t>
      </w:r>
      <w:r w:rsidRPr="00093958">
        <w:t>2018</w:t>
      </w:r>
      <w:r>
        <w:rPr>
          <w:rFonts w:hint="cs"/>
          <w:rtl/>
        </w:rPr>
        <w:t xml:space="preserve">، </w:t>
      </w:r>
      <w:r w:rsidR="008C4172">
        <w:rPr>
          <w:rFonts w:hint="cs"/>
          <w:rtl/>
        </w:rPr>
        <w:t>و</w:t>
      </w:r>
      <w:r w:rsidR="00F41F69">
        <w:rPr>
          <w:rFonts w:hint="cs"/>
          <w:rtl/>
          <w:lang w:val="es-ES" w:bidi="ar-EG"/>
        </w:rPr>
        <w:t>وقّع</w:t>
      </w:r>
      <w:r w:rsidR="00175117">
        <w:rPr>
          <w:rFonts w:hint="cs"/>
          <w:rtl/>
          <w:lang w:val="es-ES" w:bidi="ar-EG"/>
        </w:rPr>
        <w:t xml:space="preserve"> المكتب وعدد من الشركاء </w:t>
      </w:r>
      <w:r w:rsidR="00175117">
        <w:rPr>
          <w:lang w:val="es-ES" w:bidi="ar-EG"/>
        </w:rPr>
        <w:t>200</w:t>
      </w:r>
      <w:r w:rsidR="00175117">
        <w:rPr>
          <w:rFonts w:hint="cs"/>
          <w:rtl/>
          <w:lang w:bidi="ar-EG"/>
        </w:rPr>
        <w:t xml:space="preserve"> اتفاق شراكة جديد </w:t>
      </w:r>
      <w:r w:rsidR="00F41F69">
        <w:rPr>
          <w:rFonts w:hint="cs"/>
          <w:rtl/>
          <w:lang w:bidi="ar-EG"/>
        </w:rPr>
        <w:t>و</w:t>
      </w:r>
      <w:r w:rsidR="00175117">
        <w:rPr>
          <w:lang w:val="es-ES" w:bidi="ar-EG"/>
        </w:rPr>
        <w:t>39</w:t>
      </w:r>
      <w:r w:rsidR="00175117">
        <w:rPr>
          <w:rFonts w:hint="cs"/>
          <w:rtl/>
          <w:lang w:bidi="ar-EG"/>
        </w:rPr>
        <w:t xml:space="preserve"> إضافةً/تعديلاً، بالتوزيع التالي بحسب المنطقة المستفيدة ومجال العمل:</w:t>
      </w:r>
    </w:p>
    <w:p w:rsidR="005F4BF9" w:rsidRDefault="005F4BF9">
      <w:pPr>
        <w:tabs>
          <w:tab w:val="clear" w:pos="1134"/>
        </w:tabs>
        <w:bidi w:val="0"/>
        <w:spacing w:before="0" w:after="160" w:line="259" w:lineRule="auto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01C74" w:rsidRPr="00175117" w:rsidRDefault="00E01C74" w:rsidP="00F41F69">
      <w:pPr>
        <w:jc w:val="center"/>
        <w:rPr>
          <w:b/>
          <w:bCs/>
          <w:rtl/>
        </w:rPr>
      </w:pPr>
      <w:r w:rsidRPr="00175117">
        <w:rPr>
          <w:rFonts w:hint="cs"/>
          <w:b/>
          <w:bCs/>
          <w:rtl/>
        </w:rPr>
        <w:lastRenderedPageBreak/>
        <w:t xml:space="preserve">المخططات: </w:t>
      </w:r>
      <w:r w:rsidR="00BE37C2" w:rsidRPr="00175117">
        <w:rPr>
          <w:rFonts w:hint="cs"/>
          <w:b/>
          <w:bCs/>
          <w:rtl/>
        </w:rPr>
        <w:t xml:space="preserve">الاتفاقات </w:t>
      </w:r>
      <w:r w:rsidR="00F41F69">
        <w:rPr>
          <w:rFonts w:hint="cs"/>
          <w:b/>
          <w:bCs/>
          <w:rtl/>
        </w:rPr>
        <w:t>الموقّعة</w:t>
      </w:r>
      <w:r w:rsidR="00BE37C2" w:rsidRPr="00175117">
        <w:rPr>
          <w:rFonts w:hint="cs"/>
          <w:b/>
          <w:bCs/>
          <w:rtl/>
        </w:rPr>
        <w:t xml:space="preserve"> </w:t>
      </w:r>
      <w:r w:rsidRPr="00175117">
        <w:rPr>
          <w:rFonts w:hint="cs"/>
          <w:b/>
          <w:bCs/>
          <w:rtl/>
        </w:rPr>
        <w:t>بين</w:t>
      </w:r>
      <w:r w:rsidR="00BE37C2" w:rsidRPr="00175117">
        <w:rPr>
          <w:rFonts w:hint="cs"/>
          <w:b/>
          <w:bCs/>
          <w:rtl/>
        </w:rPr>
        <w:t xml:space="preserve"> </w:t>
      </w:r>
      <w:r w:rsidR="00093958" w:rsidRPr="00175117">
        <w:rPr>
          <w:b/>
          <w:bCs/>
        </w:rPr>
        <w:t>2015</w:t>
      </w:r>
      <w:r w:rsidR="00093958" w:rsidRPr="00175117">
        <w:rPr>
          <w:rFonts w:hint="cs"/>
          <w:b/>
          <w:bCs/>
          <w:rtl/>
        </w:rPr>
        <w:t xml:space="preserve"> و</w:t>
      </w:r>
      <w:r w:rsidR="00093958" w:rsidRPr="00175117">
        <w:rPr>
          <w:b/>
          <w:bCs/>
        </w:rPr>
        <w:t>2018</w:t>
      </w:r>
    </w:p>
    <w:p w:rsidR="00175117" w:rsidRPr="00026C92" w:rsidRDefault="00EC36FD" w:rsidP="00175117">
      <w:pPr>
        <w:keepNext/>
        <w:tabs>
          <w:tab w:val="clear" w:pos="1134"/>
        </w:tabs>
        <w:bidi w:val="0"/>
        <w:spacing w:after="120" w:line="240" w:lineRule="auto"/>
        <w:jc w:val="center"/>
        <w:rPr>
          <w:rFonts w:eastAsia="SimHei" w:cs="Calibri"/>
          <w:b/>
          <w:szCs w:val="22"/>
          <w:rtl/>
          <w:lang w:eastAsia="zh-CN"/>
        </w:rPr>
      </w:pP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3904A" wp14:editId="2633241A">
                <wp:simplePos x="0" y="0"/>
                <wp:positionH relativeFrom="column">
                  <wp:posOffset>4792613</wp:posOffset>
                </wp:positionH>
                <wp:positionV relativeFrom="paragraph">
                  <wp:posOffset>2411697</wp:posOffset>
                </wp:positionV>
                <wp:extent cx="541421" cy="1790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21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مشاريع عالمية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33904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7.35pt;margin-top:189.9pt;width:42.65pt;height:14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 xml:space="preserve">مشاريع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عالمية</w:t>
                      </w:r>
                    </w:p>
                  </w:txbxContent>
                </v:textbox>
              </v:shape>
            </w:pict>
          </mc:Fallback>
        </mc:AlternateContent>
      </w: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1224C" wp14:editId="62CDA23C">
                <wp:simplePos x="0" y="0"/>
                <wp:positionH relativeFrom="column">
                  <wp:posOffset>4160654</wp:posOffset>
                </wp:positionH>
                <wp:positionV relativeFrom="paragraph">
                  <wp:posOffset>2394418</wp:posOffset>
                </wp:positionV>
                <wp:extent cx="632493" cy="200660"/>
                <wp:effectExtent l="0" t="0" r="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93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المنطقة الأوروبية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224C" id="Text Box 12" o:spid="_x0000_s1027" type="#_x0000_t202" style="position:absolute;left:0;text-align:left;margin-left:327.6pt;margin-top:188.55pt;width:49.8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ال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 xml:space="preserve">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الأوروبية</w:t>
                      </w:r>
                    </w:p>
                  </w:txbxContent>
                </v:textbox>
              </v:shape>
            </w:pict>
          </mc:Fallback>
        </mc:AlternateContent>
      </w: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4AA27" wp14:editId="45506924">
                <wp:simplePos x="0" y="0"/>
                <wp:positionH relativeFrom="column">
                  <wp:posOffset>3462121</wp:posOffset>
                </wp:positionH>
                <wp:positionV relativeFrom="paragraph">
                  <wp:posOffset>2375335</wp:posOffset>
                </wp:positionV>
                <wp:extent cx="747395" cy="2705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منطقة كومنولث الدول المستقلة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AA27" id="Text Box 11" o:spid="_x0000_s1028" type="#_x0000_t202" style="position:absolute;left:0;text-align:left;margin-left:272.6pt;margin-top:187.05pt;width:58.85pt;height:2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منطقة كومنولث الدول المستقلة</w:t>
                      </w:r>
                    </w:p>
                  </w:txbxContent>
                </v:textbox>
              </v:shape>
            </w:pict>
          </mc:Fallback>
        </mc:AlternateContent>
      </w: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63AA1" wp14:editId="4633E178">
                <wp:simplePos x="0" y="0"/>
                <wp:positionH relativeFrom="column">
                  <wp:posOffset>2765525</wp:posOffset>
                </wp:positionH>
                <wp:positionV relativeFrom="paragraph">
                  <wp:posOffset>2381083</wp:posOffset>
                </wp:positionV>
                <wp:extent cx="748030" cy="2686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5E4D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منطقة آسيا والمحيط الهادئ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63AA1" id="Text Box 1" o:spid="_x0000_s1029" type="#_x0000_t202" style="position:absolute;left:0;text-align:left;margin-left:217.75pt;margin-top:187.5pt;width:58.9pt;height:2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5E4D"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منطقة آسيا والمحيط الهادئ</w:t>
                      </w:r>
                    </w:p>
                  </w:txbxContent>
                </v:textbox>
              </v:shape>
            </w:pict>
          </mc:Fallback>
        </mc:AlternateContent>
      </w: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CE603" wp14:editId="6E90EF4F">
                <wp:simplePos x="0" y="0"/>
                <wp:positionH relativeFrom="column">
                  <wp:posOffset>2118861</wp:posOffset>
                </wp:positionH>
                <wp:positionV relativeFrom="paragraph">
                  <wp:posOffset>2395955</wp:posOffset>
                </wp:positionV>
                <wp:extent cx="747395" cy="200660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المنطقة العربية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E603" id="Text Box 10" o:spid="_x0000_s1030" type="#_x0000_t202" style="position:absolute;left:0;text-align:left;margin-left:166.85pt;margin-top:188.65pt;width:58.85pt;height:1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المنطقة العربية</w:t>
                      </w:r>
                    </w:p>
                  </w:txbxContent>
                </v:textbox>
              </v:shape>
            </w:pict>
          </mc:Fallback>
        </mc:AlternateContent>
      </w: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FF0E6" wp14:editId="385959C2">
                <wp:simplePos x="0" y="0"/>
                <wp:positionH relativeFrom="column">
                  <wp:posOffset>1441851</wp:posOffset>
                </wp:positionH>
                <wp:positionV relativeFrom="paragraph">
                  <wp:posOffset>2391945</wp:posOffset>
                </wp:positionV>
                <wp:extent cx="747395" cy="200660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منطقة </w:t>
                            </w:r>
                            <w:proofErr w:type="spell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الأمريكتين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F0E6" id="Text Box 9" o:spid="_x0000_s1031" type="#_x0000_t202" style="position:absolute;left:0;text-align:left;margin-left:113.55pt;margin-top:188.35pt;width:58.85pt;height:1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 xml:space="preserve">منطقة </w:t>
                      </w:r>
                      <w:proofErr w:type="spellStart"/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الأمريكتين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C36FD">
        <w:rPr>
          <w:rFonts w:ascii="Traditional Arabic" w:eastAsia="SimHei" w:hAnsi="Traditional Arabic"/>
          <w:b/>
          <w:noProof/>
          <w:sz w:val="26"/>
          <w:szCs w:val="26"/>
          <w:rtl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3A55E" wp14:editId="198BE543">
                <wp:simplePos x="0" y="0"/>
                <wp:positionH relativeFrom="column">
                  <wp:posOffset>927669</wp:posOffset>
                </wp:positionH>
                <wp:positionV relativeFrom="paragraph">
                  <wp:posOffset>2390107</wp:posOffset>
                </wp:positionV>
                <wp:extent cx="537845" cy="1790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36FD" w:rsidRPr="00765E4D" w:rsidRDefault="00EC36FD" w:rsidP="00EC36FD">
                            <w:pPr>
                              <w:spacing w:before="0" w:line="144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منطقة إفريقيا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3A55E" id="Text Box 7" o:spid="_x0000_s1032" type="#_x0000_t202" style="position:absolute;left:0;text-align:left;margin-left:73.05pt;margin-top:188.2pt;width:42.35pt;height:1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" fillcolor="window" stroked="f" strokeweight=".5pt">
                <v:textbox>
                  <w:txbxContent>
                    <w:p w:rsidR="00EC36FD" w:rsidRPr="00765E4D" w:rsidRDefault="00EC36FD" w:rsidP="00EC36FD">
                      <w:pPr>
                        <w:spacing w:before="0" w:line="14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>منطقة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EG"/>
                        </w:rPr>
                        <w:t xml:space="preserve"> إفريقيا</w:t>
                      </w:r>
                    </w:p>
                  </w:txbxContent>
                </v:textbox>
              </v:shape>
            </w:pict>
          </mc:Fallback>
        </mc:AlternateContent>
      </w:r>
      <w:r w:rsidR="006B0C04" w:rsidRPr="006B0C04">
        <w:rPr>
          <w:rFonts w:ascii="Verdana" w:eastAsia="SimHei" w:hAnsi="Verdana" w:cs="Simplified Arabic"/>
          <w:bCs/>
          <w:noProof/>
          <w:sz w:val="19"/>
          <w:szCs w:val="28"/>
          <w:lang w:val="en-GB" w:eastAsia="zh-CN"/>
        </w:rPr>
        <w:drawing>
          <wp:inline distT="0" distB="0" distL="0" distR="0" wp14:anchorId="481061B9" wp14:editId="3781CED9">
            <wp:extent cx="4981575" cy="2828925"/>
            <wp:effectExtent l="0" t="0" r="9525" b="952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00B1" w:rsidRPr="007E00B1" w:rsidRDefault="007E00B1" w:rsidP="007E00B1">
      <w:pPr>
        <w:keepNext/>
        <w:tabs>
          <w:tab w:val="clear" w:pos="1134"/>
        </w:tabs>
        <w:bidi w:val="0"/>
        <w:spacing w:before="0" w:line="240" w:lineRule="auto"/>
        <w:jc w:val="center"/>
        <w:rPr>
          <w:rFonts w:eastAsia="SimHei" w:cs="Calibri"/>
          <w:b/>
          <w:i/>
          <w:iCs/>
          <w:sz w:val="2"/>
          <w:szCs w:val="2"/>
          <w:lang w:eastAsia="zh-CN"/>
        </w:rPr>
      </w:pPr>
    </w:p>
    <w:p w:rsidR="007E00B1" w:rsidRPr="007E00B1" w:rsidRDefault="007E00B1" w:rsidP="007E00B1">
      <w:pPr>
        <w:keepNext/>
        <w:tabs>
          <w:tab w:val="clear" w:pos="1134"/>
        </w:tabs>
        <w:bidi w:val="0"/>
        <w:spacing w:after="120" w:line="240" w:lineRule="auto"/>
        <w:jc w:val="center"/>
        <w:rPr>
          <w:rFonts w:eastAsia="SimHei" w:cs="Calibri"/>
          <w:b/>
          <w:i/>
          <w:iCs/>
          <w:szCs w:val="22"/>
          <w:lang w:eastAsia="zh-CN"/>
        </w:rPr>
      </w:pPr>
      <w:r w:rsidRPr="00FF0BCA">
        <w:rPr>
          <w:bCs/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D8C2DA" wp14:editId="25B80F5F">
                <wp:simplePos x="0" y="0"/>
                <wp:positionH relativeFrom="column">
                  <wp:posOffset>115027</wp:posOffset>
                </wp:positionH>
                <wp:positionV relativeFrom="paragraph">
                  <wp:posOffset>677824</wp:posOffset>
                </wp:positionV>
                <wp:extent cx="1662696" cy="1599162"/>
                <wp:effectExtent l="0" t="0" r="13970" b="127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696" cy="1599162"/>
                          <a:chOff x="100159" y="-16380"/>
                          <a:chExt cx="1662696" cy="1599162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100159" y="141442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 w:rsidRPr="0000632C">
                                <w:rPr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تغير المناخ والمخلفات الإلكترونية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00183" y="-16380"/>
                            <a:ext cx="1662430" cy="220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2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الإحصاءات والمؤشرات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00220" y="279021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 w:rsidRPr="0000632C">
                                <w:rPr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الابتكار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00425" y="417043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</w:t>
                              </w: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بنى التحتية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00215" y="554787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تطبيقات تكنولوجيا المعلومات والاتصالات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00420" y="692681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مجالات عامة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00420" y="830541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 xml:space="preserve">البيئة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التمكينية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00420" y="968226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حالات الطوارئ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0420" y="1106139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الشمول الرقمي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00420" y="1243679"/>
                            <a:ext cx="1662430" cy="200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817428" w:rsidRDefault="007074DD" w:rsidP="007E00B1">
                              <w:pPr>
                                <w:spacing w:before="0" w:line="240" w:lineRule="exact"/>
                                <w:rPr>
                                  <w:spacing w:val="-4"/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pacing w:val="-4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 xml:space="preserve">الأمن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spacing w:val="-4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السيبراني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00420" y="1381815"/>
                            <a:ext cx="1662430" cy="200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4DD" w:rsidRPr="0000632C" w:rsidRDefault="007074DD" w:rsidP="007E00B1">
                              <w:pPr>
                                <w:spacing w:before="0" w:line="240" w:lineRule="exact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 w:rsidRPr="0000632C">
                                <w:rPr>
                                  <w:b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بناء القدرات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8C2DA" id="Group 19" o:spid="_x0000_s1033" style="position:absolute;left:0;text-align:left;margin-left:9.05pt;margin-top:53.35pt;width:130.9pt;height:125.9pt;z-index:251661312;mso-width-relative:margin;mso-height-relative:margin" coordorigin="1001,-163" coordsize="16626,15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">
                <v:shape id="Text Box 20" o:spid="_x0000_s1034" type="#_x0000_t202" style="position:absolute;left:1001;top:1414;width:1662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 w:rsidRPr="0000632C">
                          <w:rPr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تغير المناخ والمخلفات الإلكترونية</w:t>
                        </w:r>
                      </w:p>
                    </w:txbxContent>
                  </v:textbox>
                </v:shape>
                <v:shape id="Text Box 21" o:spid="_x0000_s1035" type="#_x0000_t202" style="position:absolute;left:1001;top:-163;width:16625;height:2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2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الإحصاءات والمؤشرات</w:t>
                        </w:r>
                      </w:p>
                    </w:txbxContent>
                  </v:textbox>
                </v:shape>
                <v:shape id="Text Box 22" o:spid="_x0000_s1036" type="#_x0000_t202" style="position:absolute;left:1002;top:2790;width:16624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 w:rsidRPr="0000632C">
                          <w:rPr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الابتكار</w:t>
                        </w:r>
                      </w:p>
                    </w:txbxContent>
                  </v:textbox>
                </v:shape>
                <v:shape id="Text Box 23" o:spid="_x0000_s1037" type="#_x0000_t202" style="position:absolute;left:1004;top:4170;width:1662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ال</w:t>
                        </w: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بنى التحتية</w:t>
                        </w:r>
                      </w:p>
                    </w:txbxContent>
                  </v:textbox>
                </v:shape>
                <v:shape id="Text Box 24" o:spid="_x0000_s1038" type="#_x0000_t202" style="position:absolute;left:1002;top:5547;width:1662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تطبيقات تكنولوجيا المعلومات والاتصالات</w:t>
                        </w:r>
                      </w:p>
                    </w:txbxContent>
                  </v:textbox>
                </v:shape>
                <v:shape id="Text Box 25" o:spid="_x0000_s1039" type="#_x0000_t202" style="position:absolute;left:1004;top:6926;width:1662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+b8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5vxQAAANsAAAAPAAAAAAAAAAAAAAAAAJgCAABkcnMv&#10;ZG93bnJldi54bWxQSwUGAAAAAAQABAD1AAAAig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مجالات عامة</w:t>
                        </w:r>
                      </w:p>
                    </w:txbxContent>
                  </v:textbox>
                </v:shape>
                <v:shape id="Text Box 26" o:spid="_x0000_s1040" type="#_x0000_t202" style="position:absolute;left:1004;top:8305;width:1662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 xml:space="preserve">البيئة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التمكينية</w:t>
                        </w:r>
                        <w:proofErr w:type="spellEnd"/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7" o:spid="_x0000_s1041" type="#_x0000_t202" style="position:absolute;left:1004;top:9682;width:16624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حالات الطوارئ</w:t>
                        </w:r>
                      </w:p>
                    </w:txbxContent>
                  </v:textbox>
                </v:shape>
                <v:shape id="Text Box 28" o:spid="_x0000_s1042" type="#_x0000_t202" style="position:absolute;left:1004;top:11061;width:16624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الشمول الرقمي</w:t>
                        </w:r>
                      </w:p>
                    </w:txbxContent>
                  </v:textbox>
                </v:shape>
                <v:shape id="Text Box 29" o:spid="_x0000_s1043" type="#_x0000_t202" style="position:absolute;left:1004;top:12436;width:1662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0as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UwvY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Y0asYAAADbAAAADwAAAAAAAAAAAAAAAACYAgAAZHJz&#10;L2Rvd25yZXYueG1sUEsFBgAAAAAEAAQA9QAAAIsDAAAAAA==&#10;" filled="f" stroked="f" strokeweight=".5pt">
                  <v:textbox inset="0,0,0,0">
                    <w:txbxContent>
                      <w:p w:rsidR="007074DD" w:rsidRPr="00817428" w:rsidRDefault="007074DD" w:rsidP="007E00B1">
                        <w:pPr>
                          <w:spacing w:before="0" w:line="240" w:lineRule="exact"/>
                          <w:rPr>
                            <w:spacing w:val="-4"/>
                            <w:sz w:val="16"/>
                            <w:szCs w:val="22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spacing w:val="-4"/>
                            <w:sz w:val="16"/>
                            <w:szCs w:val="22"/>
                            <w:rtl/>
                            <w:lang w:bidi="ar-EG"/>
                          </w:rPr>
                          <w:t xml:space="preserve">الأمن </w:t>
                        </w:r>
                        <w:proofErr w:type="spellStart"/>
                        <w:r>
                          <w:rPr>
                            <w:rFonts w:hint="cs"/>
                            <w:b/>
                            <w:spacing w:val="-4"/>
                            <w:sz w:val="16"/>
                            <w:szCs w:val="22"/>
                            <w:rtl/>
                            <w:lang w:bidi="ar-EG"/>
                          </w:rPr>
                          <w:t>السيبراني</w:t>
                        </w:r>
                        <w:proofErr w:type="spellEnd"/>
                      </w:p>
                    </w:txbxContent>
                  </v:textbox>
                </v:shape>
                <v:shape id="Text Box 30" o:spid="_x0000_s1044" type="#_x0000_t202" style="position:absolute;left:1004;top:13818;width:16624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  <v:textbox inset="0,0,0,0">
                    <w:txbxContent>
                      <w:p w:rsidR="007074DD" w:rsidRPr="0000632C" w:rsidRDefault="007074DD" w:rsidP="007E00B1">
                        <w:pPr>
                          <w:spacing w:before="0" w:line="240" w:lineRule="exact"/>
                          <w:rPr>
                            <w:sz w:val="16"/>
                            <w:szCs w:val="22"/>
                            <w:lang w:bidi="ar-EG"/>
                          </w:rPr>
                        </w:pPr>
                        <w:r w:rsidRPr="0000632C">
                          <w:rPr>
                            <w:b/>
                            <w:sz w:val="16"/>
                            <w:szCs w:val="22"/>
                            <w:rtl/>
                            <w:lang w:bidi="ar-EG"/>
                          </w:rPr>
                          <w:t>بناء القدرات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00B1">
        <w:rPr>
          <w:rFonts w:ascii="Verdana" w:eastAsia="SimHei" w:hAnsi="Verdana" w:cs="Simplified Arabic"/>
          <w:bCs/>
          <w:noProof/>
          <w:sz w:val="19"/>
          <w:szCs w:val="28"/>
          <w:lang w:val="en-GB" w:eastAsia="zh-CN"/>
        </w:rPr>
        <w:drawing>
          <wp:inline distT="0" distB="0" distL="0" distR="0" wp14:anchorId="12D8FC54" wp14:editId="2954D744">
            <wp:extent cx="5029200" cy="2733675"/>
            <wp:effectExtent l="0" t="0" r="0" b="952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3958" w:rsidRPr="00592836" w:rsidRDefault="00EB4D95" w:rsidP="00EC36FD">
      <w:pPr>
        <w:rPr>
          <w:i/>
          <w:iCs/>
          <w:sz w:val="20"/>
          <w:szCs w:val="26"/>
          <w:rtl/>
          <w:lang w:bidi="ar-EG"/>
        </w:rPr>
      </w:pPr>
      <w:r w:rsidRPr="00592836">
        <w:rPr>
          <w:rFonts w:hint="cs"/>
          <w:i/>
          <w:iCs/>
          <w:sz w:val="20"/>
          <w:szCs w:val="26"/>
          <w:rtl/>
        </w:rPr>
        <w:t xml:space="preserve">ملاحظة: </w:t>
      </w:r>
      <w:r w:rsidR="00592836" w:rsidRPr="00592836">
        <w:rPr>
          <w:rFonts w:hint="cs"/>
          <w:i/>
          <w:iCs/>
          <w:sz w:val="20"/>
          <w:szCs w:val="26"/>
          <w:rtl/>
        </w:rPr>
        <w:t xml:space="preserve">في عام </w:t>
      </w:r>
      <w:r w:rsidR="00592836" w:rsidRPr="00592836">
        <w:rPr>
          <w:i/>
          <w:iCs/>
          <w:sz w:val="20"/>
          <w:szCs w:val="26"/>
        </w:rPr>
        <w:t>2015</w:t>
      </w:r>
      <w:r w:rsidR="00592836" w:rsidRPr="00592836">
        <w:rPr>
          <w:rFonts w:hint="cs"/>
          <w:i/>
          <w:iCs/>
          <w:sz w:val="20"/>
          <w:szCs w:val="26"/>
          <w:rtl/>
          <w:lang w:bidi="ar-EG"/>
        </w:rPr>
        <w:t xml:space="preserve">، </w:t>
      </w:r>
      <w:r w:rsidR="00EC36FD">
        <w:rPr>
          <w:rFonts w:hint="cs"/>
          <w:i/>
          <w:iCs/>
          <w:sz w:val="20"/>
          <w:szCs w:val="26"/>
          <w:rtl/>
          <w:lang w:bidi="ar-EG"/>
        </w:rPr>
        <w:t>وُقِّع</w:t>
      </w:r>
      <w:r w:rsidR="00592836" w:rsidRPr="00592836">
        <w:rPr>
          <w:rFonts w:hint="cs"/>
          <w:i/>
          <w:iCs/>
          <w:sz w:val="20"/>
          <w:szCs w:val="26"/>
          <w:rtl/>
          <w:lang w:bidi="ar-EG"/>
        </w:rPr>
        <w:t xml:space="preserve"> </w:t>
      </w:r>
      <w:r w:rsidR="00592836" w:rsidRPr="00592836">
        <w:rPr>
          <w:i/>
          <w:iCs/>
          <w:sz w:val="20"/>
          <w:szCs w:val="26"/>
          <w:lang w:val="es-ES" w:bidi="ar-EG"/>
        </w:rPr>
        <w:t>28</w:t>
      </w:r>
      <w:r w:rsidR="00592836" w:rsidRPr="00592836">
        <w:rPr>
          <w:rFonts w:hint="cs"/>
          <w:i/>
          <w:iCs/>
          <w:sz w:val="20"/>
          <w:szCs w:val="26"/>
          <w:rtl/>
          <w:lang w:bidi="ar-EG"/>
        </w:rPr>
        <w:t xml:space="preserve"> </w:t>
      </w:r>
      <w:r w:rsidR="00592836">
        <w:rPr>
          <w:rFonts w:hint="cs"/>
          <w:i/>
          <w:iCs/>
          <w:sz w:val="20"/>
          <w:szCs w:val="26"/>
          <w:rtl/>
          <w:lang w:bidi="ar-EG"/>
        </w:rPr>
        <w:t xml:space="preserve">اتفاقاً من أجل </w:t>
      </w:r>
      <w:r w:rsidR="00592836" w:rsidRPr="00592836">
        <w:rPr>
          <w:rFonts w:hint="cs"/>
          <w:i/>
          <w:iCs/>
          <w:sz w:val="20"/>
          <w:szCs w:val="26"/>
          <w:rtl/>
          <w:lang w:bidi="ar-EG"/>
        </w:rPr>
        <w:t>تنفيذ "الأنشطة المشتركة لبناء القدرات في إطار مراكز التميز التابعة ل</w:t>
      </w:r>
      <w:r w:rsidR="00592836">
        <w:rPr>
          <w:rFonts w:hint="cs"/>
          <w:i/>
          <w:iCs/>
          <w:sz w:val="20"/>
          <w:szCs w:val="26"/>
          <w:rtl/>
          <w:lang w:bidi="ar-EG"/>
        </w:rPr>
        <w:t>أكاديمية ا</w:t>
      </w:r>
      <w:r w:rsidR="00592836" w:rsidRPr="00592836">
        <w:rPr>
          <w:rFonts w:hint="cs"/>
          <w:i/>
          <w:iCs/>
          <w:sz w:val="20"/>
          <w:szCs w:val="26"/>
          <w:rtl/>
          <w:lang w:bidi="ar-EG"/>
        </w:rPr>
        <w:t>لاتحاد"</w:t>
      </w:r>
    </w:p>
    <w:p w:rsidR="00E01C74" w:rsidRDefault="00E01C74" w:rsidP="00BE37C2">
      <w:pPr>
        <w:pStyle w:val="Heading1"/>
        <w:rPr>
          <w:rtl/>
        </w:rPr>
      </w:pPr>
      <w:r w:rsidRPr="00FF0BCA">
        <w:lastRenderedPageBreak/>
        <w:t>4</w:t>
      </w:r>
      <w:r w:rsidRPr="00FF0BCA">
        <w:tab/>
      </w:r>
      <w:r w:rsidRPr="00FF0BCA">
        <w:rPr>
          <w:rFonts w:hint="cs"/>
          <w:rtl/>
        </w:rPr>
        <w:t>ال</w:t>
      </w:r>
      <w:r w:rsidR="00BE37C2">
        <w:rPr>
          <w:rFonts w:hint="cs"/>
          <w:rtl/>
        </w:rPr>
        <w:t xml:space="preserve">إجراءات </w:t>
      </w:r>
      <w:r>
        <w:rPr>
          <w:rFonts w:hint="cs"/>
          <w:rtl/>
        </w:rPr>
        <w:t>الرئيسية</w:t>
      </w:r>
      <w:r w:rsidRPr="00FF0BCA">
        <w:rPr>
          <w:rFonts w:hint="cs"/>
          <w:rtl/>
        </w:rPr>
        <w:t xml:space="preserve"> ونتائجه</w:t>
      </w:r>
      <w:bookmarkStart w:id="1" w:name="_GoBack"/>
      <w:bookmarkEnd w:id="1"/>
      <w:r w:rsidRPr="00FF0BCA">
        <w:rPr>
          <w:rFonts w:hint="cs"/>
          <w:rtl/>
        </w:rPr>
        <w:t>ا</w:t>
      </w:r>
    </w:p>
    <w:p w:rsidR="00E01C74" w:rsidRPr="00FF0BCA" w:rsidRDefault="00E01C74" w:rsidP="00026C92">
      <w:pPr>
        <w:pStyle w:val="Heading2"/>
      </w:pPr>
      <w:r w:rsidRPr="00FF0BCA">
        <w:t>1.4</w:t>
      </w:r>
      <w:r w:rsidRPr="00FF0BCA">
        <w:tab/>
      </w:r>
      <w:r w:rsidR="00026C92">
        <w:rPr>
          <w:rFonts w:hint="cs"/>
          <w:rtl/>
        </w:rPr>
        <w:t>الإجراءات الخارجية ونتائجها</w:t>
      </w:r>
    </w:p>
    <w:p w:rsidR="00C30752" w:rsidRPr="00991936" w:rsidRDefault="009C21A0" w:rsidP="00CC1EAC">
      <w:pPr>
        <w:keepNext/>
        <w:keepLines/>
        <w:rPr>
          <w:spacing w:val="-4"/>
          <w:rtl/>
          <w:lang w:bidi="ar-EG"/>
        </w:rPr>
      </w:pPr>
      <w:r w:rsidRPr="00991936">
        <w:rPr>
          <w:rFonts w:hint="cs"/>
          <w:spacing w:val="-4"/>
          <w:rtl/>
          <w:lang w:bidi="ar-EG"/>
        </w:rPr>
        <w:t xml:space="preserve">إن </w:t>
      </w:r>
      <w:r w:rsidR="00AD1F4B" w:rsidRPr="00991936">
        <w:rPr>
          <w:rFonts w:hint="cs"/>
          <w:spacing w:val="-4"/>
          <w:rtl/>
          <w:lang w:bidi="ar-EG"/>
        </w:rPr>
        <w:t>الشراكة</w:t>
      </w:r>
      <w:r w:rsidRPr="00991936">
        <w:rPr>
          <w:rFonts w:hint="cs"/>
          <w:spacing w:val="-4"/>
          <w:rtl/>
          <w:lang w:bidi="ar-EG"/>
        </w:rPr>
        <w:t xml:space="preserve"> وتعبئة الموارد نشاطان يقومان أساساً على بناء العلاقات ويرتكزان على الثقة </w:t>
      </w:r>
      <w:r w:rsidR="00EC36FD" w:rsidRPr="00991936">
        <w:rPr>
          <w:rFonts w:hint="cs"/>
          <w:spacing w:val="-4"/>
          <w:rtl/>
          <w:lang w:bidi="ar-EG"/>
        </w:rPr>
        <w:t>والاطمئنان</w:t>
      </w:r>
      <w:r w:rsidRPr="00991936">
        <w:rPr>
          <w:rFonts w:hint="cs"/>
          <w:spacing w:val="-4"/>
          <w:rtl/>
          <w:lang w:bidi="ar-EG"/>
        </w:rPr>
        <w:t xml:space="preserve"> والاحترام. وبينما</w:t>
      </w:r>
      <w:r w:rsidR="005F4BF9" w:rsidRPr="00991936">
        <w:rPr>
          <w:rFonts w:hint="eastAsia"/>
          <w:spacing w:val="-4"/>
          <w:rtl/>
          <w:lang w:bidi="ar-EG"/>
        </w:rPr>
        <w:t> </w:t>
      </w:r>
      <w:r w:rsidRPr="00991936">
        <w:rPr>
          <w:rFonts w:hint="cs"/>
          <w:spacing w:val="-4"/>
          <w:rtl/>
          <w:lang w:bidi="ar-EG"/>
        </w:rPr>
        <w:t>يولي مكتب تنمية الاتصالات اهتماما</w:t>
      </w:r>
      <w:r w:rsidR="007F1F89" w:rsidRPr="00991936">
        <w:rPr>
          <w:rFonts w:hint="cs"/>
          <w:spacing w:val="-4"/>
          <w:rtl/>
          <w:lang w:bidi="ar-EG"/>
        </w:rPr>
        <w:t>ً خاصاً لإنماء علاقاته مع شركائه</w:t>
      </w:r>
      <w:r w:rsidRPr="00991936">
        <w:rPr>
          <w:rFonts w:hint="cs"/>
          <w:spacing w:val="-4"/>
          <w:rtl/>
          <w:lang w:bidi="ar-EG"/>
        </w:rPr>
        <w:t xml:space="preserve"> التقليد</w:t>
      </w:r>
      <w:r w:rsidR="00EC36FD" w:rsidRPr="00991936">
        <w:rPr>
          <w:rFonts w:hint="cs"/>
          <w:spacing w:val="-4"/>
          <w:rtl/>
          <w:lang w:bidi="ar-EG"/>
        </w:rPr>
        <w:t>ي</w:t>
      </w:r>
      <w:r w:rsidRPr="00991936">
        <w:rPr>
          <w:rFonts w:hint="cs"/>
          <w:spacing w:val="-4"/>
          <w:rtl/>
          <w:lang w:bidi="ar-EG"/>
        </w:rPr>
        <w:t>ين وتشجيعهم على الدخول في علاقات دائمة</w:t>
      </w:r>
      <w:r w:rsidR="00366194" w:rsidRPr="00991936">
        <w:rPr>
          <w:rFonts w:hint="cs"/>
          <w:spacing w:val="-4"/>
          <w:rtl/>
          <w:lang w:bidi="ar-EG"/>
        </w:rPr>
        <w:t xml:space="preserve"> معه</w:t>
      </w:r>
      <w:r w:rsidRPr="00991936">
        <w:rPr>
          <w:rFonts w:hint="cs"/>
          <w:spacing w:val="-4"/>
          <w:rtl/>
          <w:lang w:bidi="ar-EG"/>
        </w:rPr>
        <w:t>، فإنه ي</w:t>
      </w:r>
      <w:r w:rsidR="005F4BF9" w:rsidRPr="00991936">
        <w:rPr>
          <w:rFonts w:hint="cs"/>
          <w:spacing w:val="-4"/>
          <w:rtl/>
          <w:lang w:bidi="ar-EG"/>
        </w:rPr>
        <w:t>ُ</w:t>
      </w:r>
      <w:r w:rsidRPr="00991936">
        <w:rPr>
          <w:rFonts w:hint="cs"/>
          <w:spacing w:val="-4"/>
          <w:rtl/>
          <w:lang w:bidi="ar-EG"/>
        </w:rPr>
        <w:t>درك في</w:t>
      </w:r>
      <w:r w:rsidR="005F4BF9" w:rsidRPr="00991936">
        <w:rPr>
          <w:rFonts w:hint="eastAsia"/>
          <w:spacing w:val="-4"/>
          <w:rtl/>
          <w:lang w:bidi="ar-EG"/>
        </w:rPr>
        <w:t> </w:t>
      </w:r>
      <w:r w:rsidRPr="00991936">
        <w:rPr>
          <w:rFonts w:hint="cs"/>
          <w:spacing w:val="-4"/>
          <w:rtl/>
          <w:lang w:bidi="ar-EG"/>
        </w:rPr>
        <w:t xml:space="preserve">الوقت ذاته أهمية توسيع </w:t>
      </w:r>
      <w:r w:rsidR="00CC5A5B" w:rsidRPr="00991936">
        <w:rPr>
          <w:rFonts w:hint="cs"/>
          <w:spacing w:val="-4"/>
          <w:rtl/>
          <w:lang w:bidi="ar-EG"/>
        </w:rPr>
        <w:t>مجموعة</w:t>
      </w:r>
      <w:r w:rsidR="005F4BF9" w:rsidRPr="00991936">
        <w:rPr>
          <w:rFonts w:hint="cs"/>
          <w:spacing w:val="-4"/>
          <w:rtl/>
          <w:lang w:bidi="ar-EG"/>
        </w:rPr>
        <w:t xml:space="preserve"> شركائه وتنويعها</w:t>
      </w:r>
      <w:r w:rsidR="005F4BF9" w:rsidRPr="00991936">
        <w:rPr>
          <w:rFonts w:hint="cs"/>
          <w:spacing w:val="-4"/>
          <w:rtl/>
          <w:lang w:val="es-ES" w:bidi="ar-EG"/>
        </w:rPr>
        <w:t xml:space="preserve">. </w:t>
      </w:r>
      <w:r w:rsidR="00DB3F3A" w:rsidRPr="00991936">
        <w:rPr>
          <w:rFonts w:hint="cs"/>
          <w:spacing w:val="-4"/>
          <w:rtl/>
          <w:lang w:bidi="ar-EG"/>
        </w:rPr>
        <w:t>لذا، تُعقد حالياً اجتماعات وتنفَّذ</w:t>
      </w:r>
      <w:r w:rsidR="00CC5A5B" w:rsidRPr="00991936">
        <w:rPr>
          <w:rFonts w:hint="cs"/>
          <w:spacing w:val="-4"/>
          <w:rtl/>
          <w:lang w:bidi="ar-EG"/>
        </w:rPr>
        <w:t xml:space="preserve"> مهام استراتيجية تستهدف </w:t>
      </w:r>
      <w:r w:rsidR="00DB3F3A" w:rsidRPr="00991936">
        <w:rPr>
          <w:rFonts w:hint="cs"/>
          <w:spacing w:val="-4"/>
          <w:rtl/>
          <w:lang w:bidi="ar-EG"/>
        </w:rPr>
        <w:t xml:space="preserve">كيانات مختلفة، الأمر الذي </w:t>
      </w:r>
      <w:r w:rsidR="00EC36FD" w:rsidRPr="00991936">
        <w:rPr>
          <w:rFonts w:hint="cs"/>
          <w:spacing w:val="-4"/>
          <w:rtl/>
          <w:lang w:bidi="ar-EG"/>
        </w:rPr>
        <w:t>يُتيح</w:t>
      </w:r>
      <w:r w:rsidR="00CC5A5B" w:rsidRPr="00991936">
        <w:rPr>
          <w:rFonts w:hint="cs"/>
          <w:spacing w:val="-4"/>
          <w:rtl/>
          <w:lang w:bidi="ar-EG"/>
        </w:rPr>
        <w:t xml:space="preserve"> فرصاً</w:t>
      </w:r>
      <w:r w:rsidR="00DB3F3A" w:rsidRPr="00991936">
        <w:rPr>
          <w:rFonts w:hint="cs"/>
          <w:spacing w:val="-4"/>
          <w:rtl/>
          <w:lang w:bidi="ar-EG"/>
        </w:rPr>
        <w:t xml:space="preserve"> </w:t>
      </w:r>
      <w:r w:rsidR="00CC5A5B" w:rsidRPr="00991936">
        <w:rPr>
          <w:rFonts w:hint="cs"/>
          <w:spacing w:val="-4"/>
          <w:rtl/>
          <w:lang w:bidi="ar-EG"/>
        </w:rPr>
        <w:t>للمكتب</w:t>
      </w:r>
      <w:r w:rsidR="00DB3F3A" w:rsidRPr="00991936">
        <w:rPr>
          <w:rFonts w:hint="cs"/>
          <w:spacing w:val="-4"/>
          <w:rtl/>
          <w:lang w:bidi="ar-EG"/>
        </w:rPr>
        <w:t xml:space="preserve"> للدخول في شراكات مع أصحاب مصلحة عديدين في النظام الإيكولوجي لتكنولوجيا المعلومات والاتصالات. </w:t>
      </w:r>
      <w:r w:rsidR="00CC5A5B" w:rsidRPr="00991936">
        <w:rPr>
          <w:rFonts w:hint="cs"/>
          <w:spacing w:val="-4"/>
          <w:rtl/>
          <w:lang w:bidi="ar-EG"/>
        </w:rPr>
        <w:t xml:space="preserve">فقد </w:t>
      </w:r>
      <w:r w:rsidR="00EC36FD" w:rsidRPr="00991936">
        <w:rPr>
          <w:rFonts w:hint="cs"/>
          <w:spacing w:val="-4"/>
          <w:rtl/>
          <w:lang w:bidi="ar-EG"/>
        </w:rPr>
        <w:t>وُقِّع</w:t>
      </w:r>
      <w:r w:rsidR="00CC5A5B" w:rsidRPr="00991936">
        <w:rPr>
          <w:rFonts w:hint="cs"/>
          <w:spacing w:val="-4"/>
          <w:rtl/>
          <w:lang w:bidi="ar-EG"/>
        </w:rPr>
        <w:t xml:space="preserve"> اتفاقات مع كيانات من مختلف القطاعات كقطاع الصحة/القطاع الصيدلاني و</w:t>
      </w:r>
      <w:r w:rsidR="008B40E3" w:rsidRPr="00991936">
        <w:rPr>
          <w:rFonts w:hint="cs"/>
          <w:spacing w:val="-4"/>
          <w:rtl/>
          <w:lang w:bidi="ar-EG"/>
        </w:rPr>
        <w:t>قطاعات المالية والزراعة والبيئة</w:t>
      </w:r>
      <w:r w:rsidR="00CC5A5B" w:rsidRPr="00991936">
        <w:rPr>
          <w:rFonts w:hint="cs"/>
          <w:spacing w:val="-4"/>
          <w:rtl/>
          <w:lang w:bidi="ar-EG"/>
        </w:rPr>
        <w:t xml:space="preserve"> </w:t>
      </w:r>
      <w:r w:rsidR="008B40E3" w:rsidRPr="00991936">
        <w:rPr>
          <w:rFonts w:hint="cs"/>
          <w:spacing w:val="-4"/>
          <w:rtl/>
          <w:lang w:bidi="ar-EG"/>
        </w:rPr>
        <w:t>منها</w:t>
      </w:r>
      <w:r w:rsidR="006E4AC0" w:rsidRPr="00991936">
        <w:rPr>
          <w:rFonts w:hint="cs"/>
          <w:spacing w:val="-4"/>
          <w:rtl/>
          <w:lang w:bidi="ar-EG"/>
        </w:rPr>
        <w:t>، عل</w:t>
      </w:r>
      <w:r w:rsidR="002C0393" w:rsidRPr="00991936">
        <w:rPr>
          <w:rFonts w:hint="cs"/>
          <w:spacing w:val="-4"/>
          <w:rtl/>
          <w:lang w:bidi="ar-EG"/>
        </w:rPr>
        <w:t>ى</w:t>
      </w:r>
      <w:r w:rsidR="006E4AC0" w:rsidRPr="00991936">
        <w:rPr>
          <w:rFonts w:hint="cs"/>
          <w:spacing w:val="-4"/>
          <w:rtl/>
          <w:lang w:bidi="ar-EG"/>
        </w:rPr>
        <w:t xml:space="preserve"> سبيل المثال:</w:t>
      </w:r>
      <w:r w:rsidR="008B40E3" w:rsidRPr="00991936">
        <w:rPr>
          <w:rFonts w:hint="cs"/>
          <w:spacing w:val="-4"/>
          <w:rtl/>
          <w:lang w:bidi="ar-EG"/>
        </w:rPr>
        <w:t xml:space="preserve"> </w:t>
      </w:r>
      <w:r w:rsidR="00C30752" w:rsidRPr="00991936">
        <w:rPr>
          <w:spacing w:val="-4"/>
          <w:rtl/>
        </w:rPr>
        <w:t>برنامج الأمم المتحدة للبيئة </w:t>
      </w:r>
      <w:r w:rsidR="00C30752" w:rsidRPr="00991936">
        <w:rPr>
          <w:spacing w:val="-4"/>
          <w:lang w:val="es-ES"/>
        </w:rPr>
        <w:t>(UNEP)</w:t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C30752" w:rsidRPr="00991936">
        <w:rPr>
          <w:rFonts w:hint="cs"/>
          <w:spacing w:val="-4"/>
          <w:rtl/>
          <w:lang w:bidi="ar-EG"/>
        </w:rPr>
        <w:t xml:space="preserve">جامعة الأمم المتحدة </w:t>
      </w:r>
      <w:r w:rsidR="00C30752" w:rsidRPr="00991936">
        <w:rPr>
          <w:spacing w:val="-4"/>
          <w:lang w:val="es-ES" w:bidi="ar-EG"/>
        </w:rPr>
        <w:t>(UNU)</w:t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C30752" w:rsidRPr="00991936">
        <w:rPr>
          <w:rFonts w:hint="cs"/>
          <w:spacing w:val="-4"/>
          <w:rtl/>
          <w:lang w:bidi="ar-EG"/>
        </w:rPr>
        <w:t>منظمة الأمم المتحدة للتنمية الصناعية</w:t>
      </w:r>
      <w:r w:rsidR="00F30381" w:rsidRPr="00991936">
        <w:rPr>
          <w:rFonts w:hint="eastAsia"/>
          <w:spacing w:val="-4"/>
          <w:rtl/>
          <w:lang w:bidi="ar-EG"/>
        </w:rPr>
        <w:t> </w:t>
      </w:r>
      <w:r w:rsidR="00C30752" w:rsidRPr="00991936">
        <w:rPr>
          <w:spacing w:val="-4"/>
          <w:lang w:val="es-ES" w:bidi="ar-EG"/>
        </w:rPr>
        <w:t>(UNIDO)</w:t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1C3EC8" w:rsidRPr="00991936">
        <w:rPr>
          <w:rFonts w:hint="cs"/>
          <w:spacing w:val="-4"/>
          <w:rtl/>
          <w:lang w:bidi="ar-EG"/>
        </w:rPr>
        <w:t>أمانتا</w:t>
      </w:r>
      <w:r w:rsidR="001C3EC8" w:rsidRPr="00991936">
        <w:rPr>
          <w:rFonts w:hint="cs"/>
          <w:spacing w:val="-4"/>
          <w:rtl/>
        </w:rPr>
        <w:t xml:space="preserve"> اتفاقيت</w:t>
      </w:r>
      <w:r w:rsidR="00EC36FD" w:rsidRPr="00991936">
        <w:rPr>
          <w:rFonts w:hint="cs"/>
          <w:spacing w:val="-4"/>
          <w:rtl/>
        </w:rPr>
        <w:t>ي</w:t>
      </w:r>
      <w:r w:rsidR="00C30752" w:rsidRPr="00991936">
        <w:rPr>
          <w:rFonts w:hint="cs"/>
          <w:spacing w:val="-4"/>
          <w:rtl/>
        </w:rPr>
        <w:t xml:space="preserve"> بازل وستوكهولم</w:t>
      </w:r>
      <w:r w:rsidR="002C0393" w:rsidRPr="00991936">
        <w:rPr>
          <w:rStyle w:val="FootnoteReference"/>
          <w:spacing w:val="-4"/>
          <w:rtl/>
        </w:rPr>
        <w:footnoteReference w:id="3"/>
      </w:r>
      <w:r w:rsidR="001C3EC8" w:rsidRPr="00991936">
        <w:rPr>
          <w:rFonts w:hint="cs"/>
          <w:spacing w:val="-4"/>
          <w:rtl/>
          <w:lang w:val="es-ES"/>
        </w:rPr>
        <w:t xml:space="preserve">، </w:t>
      </w:r>
      <w:r w:rsidR="00C30752" w:rsidRPr="00991936">
        <w:rPr>
          <w:rFonts w:hint="cs"/>
          <w:spacing w:val="-4"/>
          <w:rtl/>
          <w:lang w:bidi="ar-EG"/>
        </w:rPr>
        <w:t xml:space="preserve">معهد الأمم المتحدة للتدريب والبحث </w:t>
      </w:r>
      <w:r w:rsidR="00C30752" w:rsidRPr="00991936">
        <w:rPr>
          <w:spacing w:val="-4"/>
          <w:lang w:val="es-ES" w:bidi="ar-EG"/>
        </w:rPr>
        <w:t>(UNITAR)</w:t>
      </w:r>
      <w:r w:rsidR="001C3EC8" w:rsidRPr="00991936">
        <w:rPr>
          <w:rFonts w:hint="cs"/>
          <w:spacing w:val="-4"/>
          <w:rtl/>
          <w:lang w:bidi="ar-EG"/>
        </w:rPr>
        <w:t xml:space="preserve">، </w:t>
      </w:r>
      <w:r w:rsidR="00C30752" w:rsidRPr="00991936">
        <w:rPr>
          <w:rFonts w:hint="cs"/>
          <w:spacing w:val="-4"/>
          <w:rtl/>
          <w:lang w:bidi="ar-EG"/>
        </w:rPr>
        <w:t>منظمة العمل الدولية</w:t>
      </w:r>
      <w:r w:rsidR="005F4BF9" w:rsidRPr="00991936">
        <w:rPr>
          <w:rFonts w:hint="eastAsia"/>
          <w:spacing w:val="-4"/>
          <w:rtl/>
          <w:lang w:bidi="ar-EG"/>
        </w:rPr>
        <w:t> </w:t>
      </w:r>
      <w:r w:rsidR="00C30752" w:rsidRPr="00991936">
        <w:rPr>
          <w:spacing w:val="-4"/>
          <w:lang w:val="es-ES" w:bidi="ar-EG"/>
        </w:rPr>
        <w:t>(ILO)</w:t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C30752" w:rsidRPr="00991936">
        <w:rPr>
          <w:spacing w:val="-4"/>
          <w:rtl/>
        </w:rPr>
        <w:t>الرابطة الدولية للنفايات الصلبة</w:t>
      </w:r>
      <w:r w:rsidR="002C0393" w:rsidRPr="00991936">
        <w:rPr>
          <w:rStyle w:val="FootnoteReference"/>
          <w:spacing w:val="-4"/>
          <w:rtl/>
        </w:rPr>
        <w:footnoteReference w:id="4"/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293FE7" w:rsidRPr="00991936">
        <w:rPr>
          <w:rFonts w:hint="cs"/>
          <w:spacing w:val="-4"/>
          <w:rtl/>
          <w:lang w:bidi="ar-EG"/>
        </w:rPr>
        <w:t xml:space="preserve">برنامج </w:t>
      </w:r>
      <w:r w:rsidR="00C30752" w:rsidRPr="00991936">
        <w:rPr>
          <w:rFonts w:hint="cs"/>
          <w:spacing w:val="-4"/>
          <w:rtl/>
          <w:lang w:bidi="ar-EG"/>
        </w:rPr>
        <w:t>دورات</w:t>
      </w:r>
      <w:r w:rsidR="00293FE7" w:rsidRPr="00991936">
        <w:rPr>
          <w:rFonts w:hint="cs"/>
          <w:spacing w:val="-4"/>
          <w:rtl/>
          <w:lang w:bidi="ar-EG"/>
        </w:rPr>
        <w:t xml:space="preserve"> الحياة</w:t>
      </w:r>
      <w:r w:rsidR="00C30752" w:rsidRPr="00991936">
        <w:rPr>
          <w:rFonts w:hint="cs"/>
          <w:spacing w:val="-4"/>
          <w:rtl/>
          <w:lang w:bidi="ar-EG"/>
        </w:rPr>
        <w:t xml:space="preserve"> المستدامة التابع لمكتب نائب رئيس جامعة الأمم المتحدة في</w:t>
      </w:r>
      <w:r w:rsidR="00F30381" w:rsidRPr="00991936">
        <w:rPr>
          <w:rFonts w:hint="eastAsia"/>
          <w:spacing w:val="-4"/>
          <w:rtl/>
          <w:lang w:bidi="ar-EG"/>
        </w:rPr>
        <w:t> </w:t>
      </w:r>
      <w:r w:rsidR="00C30752" w:rsidRPr="00991936">
        <w:rPr>
          <w:rFonts w:hint="cs"/>
          <w:spacing w:val="-4"/>
          <w:rtl/>
          <w:lang w:bidi="ar-EG"/>
        </w:rPr>
        <w:t>أوروبا</w:t>
      </w:r>
      <w:r w:rsidR="002C0393" w:rsidRPr="00991936">
        <w:rPr>
          <w:rStyle w:val="FootnoteReference"/>
          <w:spacing w:val="-4"/>
          <w:rtl/>
          <w:lang w:bidi="ar-EG"/>
        </w:rPr>
        <w:footnoteReference w:id="5"/>
      </w:r>
      <w:r w:rsidR="008B40E3" w:rsidRPr="00991936">
        <w:rPr>
          <w:rFonts w:hint="cs"/>
          <w:spacing w:val="-4"/>
          <w:rtl/>
          <w:lang w:bidi="ar-EG"/>
        </w:rPr>
        <w:t>، وذلك في</w:t>
      </w:r>
      <w:r w:rsidR="006E4AC0" w:rsidRPr="00991936">
        <w:rPr>
          <w:rFonts w:hint="cs"/>
          <w:spacing w:val="-4"/>
          <w:rtl/>
          <w:lang w:bidi="ar-EG"/>
        </w:rPr>
        <w:t>ما</w:t>
      </w:r>
      <w:r w:rsidR="00633E3D" w:rsidRPr="00991936">
        <w:rPr>
          <w:rFonts w:hint="eastAsia"/>
          <w:spacing w:val="-4"/>
          <w:rtl/>
          <w:lang w:bidi="ar-EG"/>
        </w:rPr>
        <w:t> </w:t>
      </w:r>
      <w:r w:rsidR="006E4AC0" w:rsidRPr="00991936">
        <w:rPr>
          <w:rFonts w:hint="cs"/>
          <w:spacing w:val="-4"/>
          <w:rtl/>
          <w:lang w:bidi="ar-EG"/>
        </w:rPr>
        <w:t>يخص</w:t>
      </w:r>
      <w:r w:rsidR="001C3EC8" w:rsidRPr="00991936">
        <w:rPr>
          <w:rFonts w:hint="cs"/>
          <w:spacing w:val="-4"/>
          <w:rtl/>
          <w:lang w:bidi="ar-EG"/>
        </w:rPr>
        <w:t xml:space="preserve"> مشاريع المخلفات الإلكترونية؛</w:t>
      </w:r>
      <w:r w:rsidR="008B40E3" w:rsidRPr="00991936">
        <w:rPr>
          <w:rFonts w:hint="cs"/>
          <w:spacing w:val="-4"/>
          <w:rtl/>
          <w:lang w:bidi="ar-EG"/>
        </w:rPr>
        <w:t xml:space="preserve"> </w:t>
      </w:r>
      <w:r w:rsidR="006E4AC0" w:rsidRPr="00991936">
        <w:rPr>
          <w:rFonts w:hint="cs"/>
          <w:spacing w:val="-4"/>
          <w:rtl/>
          <w:lang w:bidi="ar-EG"/>
        </w:rPr>
        <w:t>و</w:t>
      </w:r>
      <w:r w:rsidR="00293FE7" w:rsidRPr="00991936">
        <w:rPr>
          <w:rFonts w:hint="cs"/>
          <w:spacing w:val="-4"/>
          <w:rtl/>
          <w:lang w:bidi="ar-EG"/>
        </w:rPr>
        <w:t xml:space="preserve">منظمة الصحة العالمية </w:t>
      </w:r>
      <w:r w:rsidR="00293FE7" w:rsidRPr="00991936">
        <w:rPr>
          <w:spacing w:val="-4"/>
          <w:lang w:val="es-ES" w:bidi="ar-EG"/>
        </w:rPr>
        <w:t>(WHO)</w:t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293FE7" w:rsidRPr="00991936">
        <w:rPr>
          <w:rFonts w:hint="cs"/>
          <w:spacing w:val="-4"/>
          <w:rtl/>
          <w:lang w:bidi="ar-EG"/>
        </w:rPr>
        <w:t>المؤسسة العالمية لمرض السكري</w:t>
      </w:r>
      <w:r w:rsidR="001C3EC8" w:rsidRPr="00991936">
        <w:rPr>
          <w:rFonts w:hint="cs"/>
          <w:spacing w:val="-4"/>
          <w:rtl/>
          <w:lang w:bidi="ar-EG"/>
        </w:rPr>
        <w:t xml:space="preserve">، </w:t>
      </w:r>
      <w:r w:rsidR="00293FE7" w:rsidRPr="00991936">
        <w:rPr>
          <w:rFonts w:hint="cs"/>
          <w:spacing w:val="-4"/>
          <w:rtl/>
          <w:lang w:bidi="ar-EG"/>
        </w:rPr>
        <w:t xml:space="preserve">مؤسسة </w:t>
      </w:r>
      <w:r w:rsidR="003243E0" w:rsidRPr="00991936">
        <w:rPr>
          <w:spacing w:val="-4"/>
          <w:lang w:bidi="ar-EG"/>
        </w:rPr>
        <w:t>Pierre Fabre</w:t>
      </w:r>
      <w:r w:rsidR="00EC36FD" w:rsidRPr="00991936">
        <w:rPr>
          <w:rFonts w:hint="cs"/>
          <w:spacing w:val="-4"/>
          <w:rtl/>
          <w:lang w:bidi="ar-EG"/>
        </w:rPr>
        <w:t xml:space="preserve">، </w:t>
      </w:r>
      <w:r w:rsidR="00293FE7" w:rsidRPr="00991936">
        <w:rPr>
          <w:rFonts w:hint="cs"/>
          <w:spacing w:val="-4"/>
          <w:rtl/>
          <w:lang w:bidi="ar-EG"/>
        </w:rPr>
        <w:t xml:space="preserve">الاتحاد الأوروبي </w:t>
      </w:r>
      <w:r w:rsidR="00293FE7" w:rsidRPr="00991936">
        <w:rPr>
          <w:spacing w:val="-4"/>
          <w:lang w:val="es-ES" w:bidi="ar-EG"/>
        </w:rPr>
        <w:t>(EU)</w:t>
      </w:r>
      <w:r w:rsidR="001C3EC8" w:rsidRPr="00991936">
        <w:rPr>
          <w:rFonts w:hint="cs"/>
          <w:spacing w:val="-4"/>
          <w:rtl/>
          <w:lang w:val="es-ES" w:bidi="ar-EG"/>
        </w:rPr>
        <w:t xml:space="preserve">، </w:t>
      </w:r>
      <w:r w:rsidR="001C3EC8" w:rsidRPr="00991936">
        <w:rPr>
          <w:rFonts w:hint="cs"/>
          <w:spacing w:val="-4"/>
          <w:rtl/>
          <w:lang w:bidi="ar-EG"/>
        </w:rPr>
        <w:t xml:space="preserve">شركة </w:t>
      </w:r>
      <w:r w:rsidR="006E4AC0" w:rsidRPr="00991936">
        <w:rPr>
          <w:spacing w:val="-4"/>
          <w:lang w:bidi="ar-EG"/>
        </w:rPr>
        <w:t>ARM</w:t>
      </w:r>
      <w:r w:rsidR="001C3EC8" w:rsidRPr="00991936">
        <w:rPr>
          <w:rFonts w:hint="cs"/>
          <w:spacing w:val="-4"/>
          <w:rtl/>
          <w:lang w:bidi="ar-EG"/>
        </w:rPr>
        <w:t xml:space="preserve">، </w:t>
      </w:r>
      <w:r w:rsidR="00ED26A6" w:rsidRPr="00991936">
        <w:rPr>
          <w:rFonts w:hint="cs"/>
          <w:spacing w:val="-4"/>
          <w:rtl/>
          <w:lang w:bidi="ar-EG"/>
        </w:rPr>
        <w:t>رابطة</w:t>
      </w:r>
      <w:r w:rsidR="00CC1EAC">
        <w:rPr>
          <w:rFonts w:hint="eastAsia"/>
          <w:spacing w:val="-4"/>
          <w:rtl/>
          <w:lang w:bidi="ar-EG"/>
        </w:rPr>
        <w:t> </w:t>
      </w:r>
      <w:r w:rsidR="00293FE7" w:rsidRPr="00991936">
        <w:rPr>
          <w:spacing w:val="-4"/>
          <w:lang w:bidi="ar-EG"/>
        </w:rPr>
        <w:t>GSMA</w:t>
      </w:r>
      <w:r w:rsidR="001C3EC8" w:rsidRPr="00991936">
        <w:rPr>
          <w:rFonts w:hint="cs"/>
          <w:spacing w:val="-4"/>
          <w:rtl/>
          <w:lang w:bidi="ar-EG"/>
        </w:rPr>
        <w:t xml:space="preserve">، </w:t>
      </w:r>
      <w:r w:rsidR="00293FE7" w:rsidRPr="00991936">
        <w:rPr>
          <w:rFonts w:hint="cs"/>
          <w:spacing w:val="-4"/>
          <w:rtl/>
          <w:lang w:bidi="ar-EG"/>
        </w:rPr>
        <w:t xml:space="preserve">مجموعة </w:t>
      </w:r>
      <w:r w:rsidR="003243E0" w:rsidRPr="00991936">
        <w:rPr>
          <w:spacing w:val="-4"/>
          <w:lang w:bidi="ar-EG"/>
        </w:rPr>
        <w:t xml:space="preserve">Sanofi </w:t>
      </w:r>
      <w:proofErr w:type="spellStart"/>
      <w:r w:rsidR="003243E0" w:rsidRPr="00991936">
        <w:rPr>
          <w:spacing w:val="-4"/>
          <w:lang w:bidi="ar-EG"/>
        </w:rPr>
        <w:t>Avantis</w:t>
      </w:r>
      <w:proofErr w:type="spellEnd"/>
      <w:r w:rsidR="001C3EC8" w:rsidRPr="00991936">
        <w:rPr>
          <w:rFonts w:hint="cs"/>
          <w:spacing w:val="-4"/>
          <w:rtl/>
          <w:lang w:bidi="ar-EG"/>
        </w:rPr>
        <w:t xml:space="preserve">، </w:t>
      </w:r>
      <w:r w:rsidR="0096443B" w:rsidRPr="00991936">
        <w:rPr>
          <w:rFonts w:hint="cs"/>
          <w:spacing w:val="-4"/>
          <w:rtl/>
          <w:lang w:bidi="ar-EG"/>
        </w:rPr>
        <w:t>شركة</w:t>
      </w:r>
      <w:r w:rsidR="008C4172" w:rsidRPr="00991936">
        <w:rPr>
          <w:rFonts w:hint="eastAsia"/>
          <w:spacing w:val="-4"/>
          <w:rtl/>
          <w:lang w:bidi="ar-EG"/>
        </w:rPr>
        <w:t> </w:t>
      </w:r>
      <w:proofErr w:type="spellStart"/>
      <w:r w:rsidR="003243E0" w:rsidRPr="00991936">
        <w:rPr>
          <w:spacing w:val="-4"/>
          <w:lang w:val="es-ES" w:bidi="ar-EG"/>
        </w:rPr>
        <w:t>Novartis</w:t>
      </w:r>
      <w:proofErr w:type="spellEnd"/>
      <w:r w:rsidR="003243E0" w:rsidRPr="00991936">
        <w:rPr>
          <w:rFonts w:hint="cs"/>
          <w:spacing w:val="-4"/>
          <w:rtl/>
          <w:lang w:bidi="ar-EG"/>
        </w:rPr>
        <w:t xml:space="preserve"> </w:t>
      </w:r>
      <w:r w:rsidR="006E4AC0" w:rsidRPr="00991936">
        <w:rPr>
          <w:rFonts w:hint="cs"/>
          <w:spacing w:val="-4"/>
          <w:rtl/>
          <w:lang w:bidi="ar-EG"/>
        </w:rPr>
        <w:t>العامة المحدودة</w:t>
      </w:r>
      <w:r w:rsidR="0096443B" w:rsidRPr="00991936">
        <w:rPr>
          <w:rFonts w:hint="cs"/>
          <w:spacing w:val="-4"/>
          <w:rtl/>
          <w:lang w:bidi="ar-EG"/>
        </w:rPr>
        <w:t xml:space="preserve"> </w:t>
      </w:r>
      <w:r w:rsidR="001C3EC8" w:rsidRPr="00991936">
        <w:rPr>
          <w:rFonts w:hint="cs"/>
          <w:spacing w:val="-4"/>
          <w:rtl/>
          <w:lang w:bidi="ar-EG"/>
        </w:rPr>
        <w:t xml:space="preserve">للأدوية، </w:t>
      </w:r>
      <w:r w:rsidR="003243E0" w:rsidRPr="00991936">
        <w:rPr>
          <w:rFonts w:hint="cs"/>
          <w:spacing w:val="-4"/>
          <w:rtl/>
          <w:lang w:bidi="ar-EG"/>
        </w:rPr>
        <w:t xml:space="preserve">شركة </w:t>
      </w:r>
      <w:proofErr w:type="spellStart"/>
      <w:r w:rsidR="003243E0" w:rsidRPr="00991936">
        <w:rPr>
          <w:spacing w:val="-4"/>
          <w:lang w:bidi="ar-EG"/>
        </w:rPr>
        <w:t>Glaxosmithkline</w:t>
      </w:r>
      <w:proofErr w:type="spellEnd"/>
      <w:r w:rsidR="00ED26A6" w:rsidRPr="00991936">
        <w:rPr>
          <w:rFonts w:hint="cs"/>
          <w:spacing w:val="-4"/>
          <w:rtl/>
          <w:lang w:bidi="ar-EG"/>
        </w:rPr>
        <w:t xml:space="preserve"> للخدمات</w:t>
      </w:r>
      <w:r w:rsidR="00293FE7" w:rsidRPr="00991936">
        <w:rPr>
          <w:rFonts w:hint="cs"/>
          <w:spacing w:val="-4"/>
          <w:rtl/>
          <w:lang w:bidi="ar-EG"/>
        </w:rPr>
        <w:t xml:space="preserve"> </w:t>
      </w:r>
      <w:r w:rsidR="00293FE7" w:rsidRPr="00991936">
        <w:rPr>
          <w:spacing w:val="-4"/>
          <w:lang w:val="es-ES" w:bidi="ar-EG"/>
        </w:rPr>
        <w:t>(GSK)</w:t>
      </w:r>
      <w:r w:rsidR="001C3EC8" w:rsidRPr="00991936">
        <w:rPr>
          <w:rFonts w:hint="cs"/>
          <w:spacing w:val="-4"/>
          <w:rtl/>
          <w:lang w:val="es-ES" w:bidi="ar-EG"/>
        </w:rPr>
        <w:t>، ا</w:t>
      </w:r>
      <w:r w:rsidR="00293FE7" w:rsidRPr="00991936">
        <w:rPr>
          <w:rFonts w:hint="cs"/>
          <w:spacing w:val="-4"/>
          <w:rtl/>
          <w:lang w:bidi="ar-EG"/>
        </w:rPr>
        <w:t>لإدارة النرويجية للصحة</w:t>
      </w:r>
      <w:r w:rsidR="008B40E3" w:rsidRPr="00991936">
        <w:rPr>
          <w:rFonts w:hint="cs"/>
          <w:spacing w:val="-4"/>
          <w:rtl/>
          <w:lang w:bidi="ar-EG"/>
        </w:rPr>
        <w:t>، في</w:t>
      </w:r>
      <w:r w:rsidR="006E4AC0" w:rsidRPr="00991936">
        <w:rPr>
          <w:rFonts w:hint="cs"/>
          <w:spacing w:val="-4"/>
          <w:rtl/>
          <w:lang w:bidi="ar-EG"/>
        </w:rPr>
        <w:t>ما</w:t>
      </w:r>
      <w:r w:rsidR="00633E3D" w:rsidRPr="00991936">
        <w:rPr>
          <w:rFonts w:hint="eastAsia"/>
          <w:spacing w:val="-4"/>
          <w:rtl/>
          <w:lang w:bidi="ar-EG"/>
        </w:rPr>
        <w:t> </w:t>
      </w:r>
      <w:r w:rsidR="006E4AC0" w:rsidRPr="00991936">
        <w:rPr>
          <w:rFonts w:hint="cs"/>
          <w:spacing w:val="-4"/>
          <w:rtl/>
          <w:lang w:bidi="ar-EG"/>
        </w:rPr>
        <w:t>يخص</w:t>
      </w:r>
      <w:r w:rsidR="001C3EC8" w:rsidRPr="00991936">
        <w:rPr>
          <w:rFonts w:hint="cs"/>
          <w:spacing w:val="-4"/>
          <w:rtl/>
          <w:lang w:bidi="ar-EG"/>
        </w:rPr>
        <w:t xml:space="preserve"> مشاريع الصحة المتنقلة؛</w:t>
      </w:r>
      <w:r w:rsidR="008B40E3" w:rsidRPr="00991936">
        <w:rPr>
          <w:rFonts w:hint="cs"/>
          <w:spacing w:val="-4"/>
          <w:rtl/>
          <w:lang w:bidi="ar-EG"/>
        </w:rPr>
        <w:t xml:space="preserve"> ومنظمة الأغذية والزراعة</w:t>
      </w:r>
      <w:r w:rsidR="0096443B" w:rsidRPr="00991936">
        <w:rPr>
          <w:rFonts w:hint="cs"/>
          <w:spacing w:val="-4"/>
          <w:rtl/>
          <w:lang w:bidi="ar-EG"/>
        </w:rPr>
        <w:t xml:space="preserve"> للأمم المتحدة</w:t>
      </w:r>
      <w:r w:rsidR="008B40E3" w:rsidRPr="00991936">
        <w:rPr>
          <w:rFonts w:hint="cs"/>
          <w:spacing w:val="-4"/>
          <w:rtl/>
          <w:lang w:bidi="ar-EG"/>
        </w:rPr>
        <w:t xml:space="preserve"> </w:t>
      </w:r>
      <w:r w:rsidR="008B40E3" w:rsidRPr="00991936">
        <w:rPr>
          <w:spacing w:val="-4"/>
          <w:lang w:val="es-ES" w:bidi="ar-EG"/>
        </w:rPr>
        <w:t>(FAO)</w:t>
      </w:r>
      <w:r w:rsidR="008B40E3" w:rsidRPr="00991936">
        <w:rPr>
          <w:rFonts w:hint="cs"/>
          <w:spacing w:val="-4"/>
          <w:rtl/>
          <w:lang w:bidi="ar-EG"/>
        </w:rPr>
        <w:t xml:space="preserve"> في</w:t>
      </w:r>
      <w:r w:rsidR="006E4AC0" w:rsidRPr="00991936">
        <w:rPr>
          <w:rFonts w:hint="cs"/>
          <w:spacing w:val="-4"/>
          <w:rtl/>
          <w:lang w:bidi="ar-EG"/>
        </w:rPr>
        <w:t>ما</w:t>
      </w:r>
      <w:r w:rsidR="00633E3D" w:rsidRPr="00991936">
        <w:rPr>
          <w:rFonts w:hint="eastAsia"/>
          <w:spacing w:val="-4"/>
          <w:rtl/>
          <w:lang w:bidi="ar-EG"/>
        </w:rPr>
        <w:t> </w:t>
      </w:r>
      <w:r w:rsidR="006E4AC0" w:rsidRPr="00991936">
        <w:rPr>
          <w:rFonts w:hint="cs"/>
          <w:spacing w:val="-4"/>
          <w:rtl/>
          <w:lang w:bidi="ar-EG"/>
        </w:rPr>
        <w:t>يخص</w:t>
      </w:r>
      <w:r w:rsidR="001C3EC8" w:rsidRPr="00991936">
        <w:rPr>
          <w:rFonts w:hint="cs"/>
          <w:spacing w:val="-4"/>
          <w:rtl/>
          <w:lang w:bidi="ar-EG"/>
        </w:rPr>
        <w:t xml:space="preserve"> مشاريع الزراعة الإلكترونية؛</w:t>
      </w:r>
      <w:r w:rsidR="008B40E3" w:rsidRPr="00991936">
        <w:rPr>
          <w:rFonts w:hint="cs"/>
          <w:spacing w:val="-4"/>
          <w:rtl/>
          <w:lang w:bidi="ar-EG"/>
        </w:rPr>
        <w:t xml:space="preserve"> </w:t>
      </w:r>
      <w:r w:rsidR="001C3EC8" w:rsidRPr="00991936">
        <w:rPr>
          <w:rFonts w:hint="cs"/>
          <w:spacing w:val="-4"/>
          <w:rtl/>
          <w:lang w:bidi="ar-EG"/>
        </w:rPr>
        <w:t>و</w:t>
      </w:r>
      <w:r w:rsidR="008B40E3" w:rsidRPr="00991936">
        <w:rPr>
          <w:rFonts w:hint="cs"/>
          <w:spacing w:val="-4"/>
          <w:rtl/>
          <w:lang w:bidi="ar-EG"/>
        </w:rPr>
        <w:t xml:space="preserve">مؤسسة </w:t>
      </w:r>
      <w:r w:rsidR="003243E0" w:rsidRPr="00991936">
        <w:rPr>
          <w:spacing w:val="-4"/>
          <w:lang w:bidi="ar-EG"/>
        </w:rPr>
        <w:t>Bill and Melinda Gates</w:t>
      </w:r>
      <w:r w:rsidR="00633E3D" w:rsidRPr="00991936">
        <w:rPr>
          <w:rFonts w:hint="cs"/>
          <w:spacing w:val="-4"/>
          <w:rtl/>
          <w:lang w:bidi="ar-EG"/>
        </w:rPr>
        <w:t xml:space="preserve"> </w:t>
      </w:r>
      <w:r w:rsidR="008B40E3" w:rsidRPr="00991936">
        <w:rPr>
          <w:rFonts w:hint="cs"/>
          <w:spacing w:val="-4"/>
          <w:rtl/>
          <w:lang w:bidi="ar-EG"/>
        </w:rPr>
        <w:t>في</w:t>
      </w:r>
      <w:r w:rsidR="006E4AC0" w:rsidRPr="00991936">
        <w:rPr>
          <w:rFonts w:hint="cs"/>
          <w:spacing w:val="-4"/>
          <w:rtl/>
          <w:lang w:bidi="ar-EG"/>
        </w:rPr>
        <w:t>ما</w:t>
      </w:r>
      <w:r w:rsidR="005F4BF9" w:rsidRPr="00991936">
        <w:rPr>
          <w:rFonts w:hint="eastAsia"/>
          <w:spacing w:val="-4"/>
          <w:rtl/>
          <w:lang w:bidi="ar-EG"/>
        </w:rPr>
        <w:t> </w:t>
      </w:r>
      <w:r w:rsidR="006E4AC0" w:rsidRPr="00991936">
        <w:rPr>
          <w:rFonts w:hint="cs"/>
          <w:spacing w:val="-4"/>
          <w:rtl/>
          <w:lang w:bidi="ar-EG"/>
        </w:rPr>
        <w:t>يخص</w:t>
      </w:r>
      <w:r w:rsidR="008B40E3" w:rsidRPr="00991936">
        <w:rPr>
          <w:rFonts w:hint="cs"/>
          <w:spacing w:val="-4"/>
          <w:rtl/>
          <w:lang w:bidi="ar-EG"/>
        </w:rPr>
        <w:t xml:space="preserve"> المبادرة العالمية للشمول المالي</w:t>
      </w:r>
      <w:r w:rsidR="00ED26A6" w:rsidRPr="00991936">
        <w:rPr>
          <w:rFonts w:hint="cs"/>
          <w:spacing w:val="-4"/>
          <w:rtl/>
          <w:lang w:bidi="ar-EG"/>
        </w:rPr>
        <w:t xml:space="preserve"> </w:t>
      </w:r>
      <w:r w:rsidR="00ED26A6" w:rsidRPr="00991936">
        <w:rPr>
          <w:spacing w:val="-4"/>
          <w:lang w:val="es-ES" w:bidi="ar-EG"/>
        </w:rPr>
        <w:t>(FIGI)</w:t>
      </w:r>
      <w:r w:rsidR="008B40E3" w:rsidRPr="00991936">
        <w:rPr>
          <w:rFonts w:hint="cs"/>
          <w:spacing w:val="-4"/>
          <w:rtl/>
          <w:lang w:bidi="ar-EG"/>
        </w:rPr>
        <w:t>.</w:t>
      </w:r>
    </w:p>
    <w:p w:rsidR="00EC36FD" w:rsidRDefault="005B1481" w:rsidP="008217BB">
      <w:pPr>
        <w:rPr>
          <w:rtl/>
          <w:lang w:bidi="ar-EG"/>
        </w:rPr>
      </w:pPr>
      <w:r>
        <w:rPr>
          <w:rFonts w:hint="cs"/>
          <w:rtl/>
          <w:lang w:bidi="ar-EG"/>
        </w:rPr>
        <w:t>ودخول المكتب في شراكات مع أصحاب مصلحة رئيسيين يمكّنه من زيادة الموارد وتقاسم تكاليف المشاريع ومنع تداخل الأعمال وازدواجيتها، وكذلك من زيادة تأثير المشاريع و</w:t>
      </w:r>
      <w:r w:rsidR="00FD152A">
        <w:rPr>
          <w:rFonts w:hint="cs"/>
          <w:rtl/>
          <w:lang w:bidi="ar-EG"/>
        </w:rPr>
        <w:t>زيادة</w:t>
      </w:r>
      <w:r>
        <w:rPr>
          <w:rFonts w:hint="cs"/>
          <w:rtl/>
          <w:lang w:bidi="ar-EG"/>
        </w:rPr>
        <w:t xml:space="preserve"> إمكانية </w:t>
      </w:r>
      <w:r w:rsidR="001C3EC8">
        <w:rPr>
          <w:rFonts w:hint="cs"/>
          <w:rtl/>
          <w:lang w:bidi="ar-EG"/>
        </w:rPr>
        <w:t>بروزه</w:t>
      </w:r>
      <w:r>
        <w:rPr>
          <w:rFonts w:hint="cs"/>
          <w:rtl/>
          <w:lang w:bidi="ar-EG"/>
        </w:rPr>
        <w:t xml:space="preserve"> أمام جماهير خارجية. كما ت</w:t>
      </w:r>
      <w:r w:rsidR="005F4BF9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تيح هذه الشراكات فرصاً جديدة ل</w:t>
      </w:r>
      <w:r w:rsidR="001E5473">
        <w:rPr>
          <w:rFonts w:hint="cs"/>
          <w:rtl/>
          <w:lang w:bidi="ar-EG"/>
        </w:rPr>
        <w:t>لوصول</w:t>
      </w:r>
      <w:r>
        <w:rPr>
          <w:rFonts w:hint="cs"/>
          <w:rtl/>
          <w:lang w:bidi="ar-EG"/>
        </w:rPr>
        <w:t xml:space="preserve"> إلى شركاء غير تقليدي</w:t>
      </w:r>
      <w:r w:rsidR="00EC36FD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ن من </w:t>
      </w:r>
      <w:r w:rsidR="00534DF4">
        <w:rPr>
          <w:rFonts w:hint="cs"/>
          <w:rtl/>
          <w:lang w:bidi="ar-EG"/>
        </w:rPr>
        <w:t>أصحاب الموارد</w:t>
      </w:r>
      <w:r>
        <w:rPr>
          <w:rFonts w:hint="cs"/>
          <w:rtl/>
          <w:lang w:bidi="ar-EG"/>
        </w:rPr>
        <w:t xml:space="preserve"> عن طريق أنشطة التو</w:t>
      </w:r>
      <w:r w:rsidR="008217BB">
        <w:rPr>
          <w:rFonts w:hint="cs"/>
          <w:rtl/>
          <w:lang w:bidi="ar-EG"/>
        </w:rPr>
        <w:t>عية</w:t>
      </w:r>
      <w:r>
        <w:rPr>
          <w:rFonts w:hint="cs"/>
          <w:rtl/>
          <w:lang w:bidi="ar-EG"/>
        </w:rPr>
        <w:t xml:space="preserve"> المشتركة.</w:t>
      </w:r>
    </w:p>
    <w:p w:rsidR="00EB4D95" w:rsidRDefault="001E5473" w:rsidP="008C4172">
      <w:pPr>
        <w:rPr>
          <w:rtl/>
          <w:lang w:bidi="ar-EG"/>
        </w:rPr>
      </w:pPr>
      <w:r>
        <w:rPr>
          <w:rFonts w:hint="cs"/>
          <w:rtl/>
          <w:lang w:bidi="ar-EG"/>
        </w:rPr>
        <w:t>ولا</w:t>
      </w:r>
      <w:r w:rsidR="00EC36F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بُد لنيْل ثقة </w:t>
      </w:r>
      <w:r w:rsidR="00EC36FD">
        <w:rPr>
          <w:rFonts w:hint="cs"/>
          <w:rtl/>
          <w:lang w:bidi="ar-EG"/>
        </w:rPr>
        <w:t>الشركاء</w:t>
      </w:r>
      <w:r w:rsidR="00FD152A">
        <w:rPr>
          <w:rFonts w:hint="cs"/>
          <w:rtl/>
          <w:lang w:bidi="ar-EG"/>
        </w:rPr>
        <w:t xml:space="preserve"> </w:t>
      </w:r>
      <w:r w:rsidR="00EC36FD">
        <w:rPr>
          <w:rFonts w:hint="cs"/>
          <w:rtl/>
          <w:lang w:bidi="ar-EG"/>
        </w:rPr>
        <w:t xml:space="preserve">واطمئنانهم </w:t>
      </w:r>
      <w:r w:rsidR="00FD152A">
        <w:rPr>
          <w:rFonts w:hint="cs"/>
          <w:rtl/>
          <w:lang w:bidi="ar-EG"/>
        </w:rPr>
        <w:t>ورضاه</w:t>
      </w:r>
      <w:r w:rsidR="00EC36FD">
        <w:rPr>
          <w:rFonts w:hint="cs"/>
          <w:rtl/>
          <w:lang w:bidi="ar-EG"/>
        </w:rPr>
        <w:t>م</w:t>
      </w:r>
      <w:r w:rsidR="00FD152A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تعزيزاً ل</w:t>
      </w:r>
      <w:r w:rsidR="00AD1F4B">
        <w:rPr>
          <w:rFonts w:hint="cs"/>
          <w:rtl/>
          <w:lang w:bidi="ar-EG"/>
        </w:rPr>
        <w:t xml:space="preserve">إقامة </w:t>
      </w:r>
      <w:r>
        <w:rPr>
          <w:rFonts w:hint="cs"/>
          <w:rtl/>
          <w:lang w:bidi="ar-EG"/>
        </w:rPr>
        <w:t>شراكات وتعبئة الموارد في المستقبل</w:t>
      </w:r>
      <w:r w:rsidR="00FD152A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من تنفيذ منتجات الشراكات (مثل</w:t>
      </w:r>
      <w:r w:rsidR="008C417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المشاريع وأنشطة الرعاية) في الوقت السليم وبكفاءة</w:t>
      </w:r>
      <w:r w:rsidR="00FD152A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وضمان علو جودة النتائج والاتصالات. وخير مثال على ذلك الشراكة التي أُقيمت مع المفوضية الأوروبية بشأن "زيادة</w:t>
      </w:r>
      <w:r w:rsidR="00EC36FD">
        <w:rPr>
          <w:rFonts w:hint="cs"/>
          <w:rtl/>
          <w:lang w:bidi="ar-EG"/>
        </w:rPr>
        <w:t xml:space="preserve"> انتشار النطاق العريض اللاسلكي من خلال </w:t>
      </w:r>
      <w:r>
        <w:rPr>
          <w:rFonts w:hint="cs"/>
          <w:rtl/>
          <w:lang w:bidi="ar-EG"/>
        </w:rPr>
        <w:t>تحسين</w:t>
      </w:r>
      <w:r w:rsidR="00FD152A">
        <w:rPr>
          <w:rFonts w:hint="cs"/>
          <w:rtl/>
          <w:lang w:bidi="ar-EG"/>
        </w:rPr>
        <w:t xml:space="preserve"> ومواءمة</w:t>
      </w:r>
      <w:r>
        <w:rPr>
          <w:rFonts w:hint="cs"/>
          <w:rtl/>
          <w:lang w:bidi="ar-EG"/>
        </w:rPr>
        <w:t xml:space="preserve"> استخدام الطيف </w:t>
      </w:r>
      <w:r w:rsidR="00FD152A">
        <w:rPr>
          <w:rFonts w:hint="cs"/>
          <w:rtl/>
          <w:lang w:bidi="ar-EG"/>
        </w:rPr>
        <w:t>و</w:t>
      </w:r>
      <w:r w:rsidR="004B60F0">
        <w:rPr>
          <w:rFonts w:hint="cs"/>
          <w:rtl/>
          <w:lang w:bidi="ar-EG"/>
        </w:rPr>
        <w:t>تنظيمه في القارة الإفريقية</w:t>
      </w:r>
      <w:r>
        <w:rPr>
          <w:rFonts w:hint="cs"/>
          <w:rtl/>
          <w:lang w:bidi="ar-EG"/>
        </w:rPr>
        <w:t>"</w:t>
      </w:r>
      <w:r w:rsidR="00FD152A">
        <w:rPr>
          <w:rFonts w:hint="cs"/>
          <w:rtl/>
          <w:lang w:bidi="ar-EG"/>
        </w:rPr>
        <w:t>،</w:t>
      </w:r>
      <w:r w:rsidR="004B60F0">
        <w:rPr>
          <w:rFonts w:hint="cs"/>
          <w:rtl/>
          <w:lang w:bidi="ar-EG"/>
        </w:rPr>
        <w:t xml:space="preserve"> وبلغت قيمتها الإجمالية </w:t>
      </w:r>
      <w:r w:rsidR="004B60F0">
        <w:rPr>
          <w:lang w:val="es-ES" w:bidi="ar-EG"/>
        </w:rPr>
        <w:t>5,5</w:t>
      </w:r>
      <w:r w:rsidR="004B60F0">
        <w:rPr>
          <w:rFonts w:hint="cs"/>
          <w:rtl/>
          <w:lang w:bidi="ar-EG"/>
        </w:rPr>
        <w:t xml:space="preserve"> ملايين يورو، وهو أمر مشجع على تعزيز الشراكة مع الاتحاد الإفريقي </w:t>
      </w:r>
      <w:r w:rsidR="00FD152A">
        <w:rPr>
          <w:rFonts w:hint="cs"/>
          <w:rtl/>
          <w:lang w:bidi="ar-EG"/>
        </w:rPr>
        <w:t xml:space="preserve">فضلاً عن </w:t>
      </w:r>
      <w:r w:rsidR="004B60F0">
        <w:rPr>
          <w:rFonts w:hint="cs"/>
          <w:rtl/>
          <w:lang w:bidi="ar-EG"/>
        </w:rPr>
        <w:t>العمل الجماعي</w:t>
      </w:r>
      <w:r w:rsidR="00FD152A">
        <w:rPr>
          <w:rFonts w:hint="cs"/>
          <w:rtl/>
          <w:lang w:bidi="ar-EG"/>
        </w:rPr>
        <w:t xml:space="preserve"> </w:t>
      </w:r>
      <w:r w:rsidR="004B60F0">
        <w:rPr>
          <w:rFonts w:hint="cs"/>
          <w:rtl/>
          <w:lang w:bidi="ar-EG"/>
        </w:rPr>
        <w:t>داخل الاتحاد.</w:t>
      </w:r>
    </w:p>
    <w:p w:rsidR="00EB4D95" w:rsidRPr="00FF0BCA" w:rsidRDefault="006814A8" w:rsidP="008C4172">
      <w:pPr>
        <w:rPr>
          <w:rtl/>
          <w:lang w:bidi="ar-EG"/>
        </w:rPr>
      </w:pPr>
      <w:r w:rsidRPr="006814A8">
        <w:rPr>
          <w:rFonts w:hint="cs"/>
          <w:rtl/>
          <w:lang w:bidi="ar-EG"/>
        </w:rPr>
        <w:t xml:space="preserve">وتُقترح في </w:t>
      </w:r>
      <w:hyperlink r:id="rId14" w:history="1">
        <w:r w:rsidRPr="00561803">
          <w:rPr>
            <w:rStyle w:val="Hyperlink"/>
            <w:rFonts w:hint="cs"/>
            <w:i/>
            <w:iCs/>
            <w:rtl/>
            <w:lang w:bidi="ar-EG"/>
          </w:rPr>
          <w:t>منصة فرص الرعاية</w:t>
        </w:r>
      </w:hyperlink>
      <w:r w:rsidRPr="006814A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مجموعات </w:t>
      </w:r>
      <w:r w:rsidR="00EC36FD">
        <w:rPr>
          <w:rFonts w:hint="cs"/>
          <w:rtl/>
          <w:lang w:bidi="ar-EG"/>
        </w:rPr>
        <w:t>الرعاية ل</w:t>
      </w:r>
      <w:r>
        <w:rPr>
          <w:rFonts w:hint="cs"/>
          <w:rtl/>
          <w:lang w:bidi="ar-EG"/>
        </w:rPr>
        <w:t xml:space="preserve">لأحداث الجانبية/الاجتماعية </w:t>
      </w:r>
      <w:r w:rsidR="00561803">
        <w:rPr>
          <w:rFonts w:hint="cs"/>
          <w:rtl/>
          <w:lang w:bidi="ar-EG"/>
        </w:rPr>
        <w:t xml:space="preserve">التي ينظمها المكتب (مثل الندوة العالمية لمنظمي الاتصالات لعام </w:t>
      </w:r>
      <w:r w:rsidR="00561803">
        <w:rPr>
          <w:lang w:val="es-ES" w:bidi="ar-EG"/>
        </w:rPr>
        <w:t>2018</w:t>
      </w:r>
      <w:r w:rsidR="00561803">
        <w:rPr>
          <w:rFonts w:hint="cs"/>
          <w:rtl/>
          <w:lang w:bidi="ar-EG"/>
        </w:rPr>
        <w:t xml:space="preserve"> </w:t>
      </w:r>
      <w:r w:rsidR="00561803">
        <w:rPr>
          <w:lang w:val="es-ES" w:bidi="ar-EG"/>
        </w:rPr>
        <w:t>(GSR-18)</w:t>
      </w:r>
      <w:r w:rsidR="00561803">
        <w:rPr>
          <w:rFonts w:hint="cs"/>
          <w:rtl/>
          <w:lang w:bidi="ar-EG"/>
        </w:rPr>
        <w:t xml:space="preserve"> واجتماعات عام </w:t>
      </w:r>
      <w:r w:rsidR="00561803">
        <w:rPr>
          <w:lang w:val="es-ES" w:bidi="ar-EG"/>
        </w:rPr>
        <w:t>2018</w:t>
      </w:r>
      <w:r w:rsidR="00561803">
        <w:rPr>
          <w:rFonts w:hint="cs"/>
          <w:rtl/>
          <w:lang w:bidi="ar-EG"/>
        </w:rPr>
        <w:t xml:space="preserve"> لأفرقة المقررين التابعة للجنتي دراسات قطاع تنمية الاتصالات </w:t>
      </w:r>
      <w:r w:rsidR="00561803" w:rsidRPr="00561803">
        <w:rPr>
          <w:szCs w:val="22"/>
          <w:lang w:bidi="ar-EG"/>
        </w:rPr>
        <w:t>(</w:t>
      </w:r>
      <w:r w:rsidR="00561803" w:rsidRPr="00561803">
        <w:rPr>
          <w:rFonts w:asciiTheme="minorHAnsi" w:hAnsiTheme="minorHAnsi"/>
          <w:szCs w:val="22"/>
        </w:rPr>
        <w:t>ITU</w:t>
      </w:r>
      <w:r w:rsidR="005F4BF9">
        <w:rPr>
          <w:rFonts w:asciiTheme="minorHAnsi" w:hAnsiTheme="minorHAnsi"/>
          <w:szCs w:val="22"/>
        </w:rPr>
        <w:noBreakHyphen/>
      </w:r>
      <w:r w:rsidR="00561803" w:rsidRPr="00561803">
        <w:rPr>
          <w:rFonts w:asciiTheme="minorHAnsi" w:hAnsiTheme="minorHAnsi"/>
          <w:szCs w:val="22"/>
        </w:rPr>
        <w:t>D</w:t>
      </w:r>
      <w:r w:rsidR="005F4BF9">
        <w:rPr>
          <w:rFonts w:asciiTheme="minorHAnsi" w:hAnsiTheme="minorHAnsi"/>
          <w:szCs w:val="22"/>
        </w:rPr>
        <w:t> </w:t>
      </w:r>
      <w:r w:rsidR="00561803" w:rsidRPr="00561803">
        <w:rPr>
          <w:rFonts w:asciiTheme="minorHAnsi" w:hAnsiTheme="minorHAnsi"/>
          <w:szCs w:val="22"/>
        </w:rPr>
        <w:t>RGM</w:t>
      </w:r>
      <w:r w:rsidR="00561803" w:rsidRPr="00561803">
        <w:rPr>
          <w:rFonts w:asciiTheme="minorHAnsi" w:hAnsiTheme="minorHAnsi"/>
          <w:szCs w:val="22"/>
        </w:rPr>
        <w:noBreakHyphen/>
        <w:t>18</w:t>
      </w:r>
      <w:r w:rsidR="00561803">
        <w:rPr>
          <w:lang w:bidi="ar-EG"/>
        </w:rPr>
        <w:t>)</w:t>
      </w:r>
      <w:r w:rsidR="00561803">
        <w:rPr>
          <w:rFonts w:hint="cs"/>
          <w:rtl/>
          <w:lang w:bidi="ar-EG"/>
        </w:rPr>
        <w:t>)</w:t>
      </w:r>
      <w:r w:rsidR="00EB4D95" w:rsidRPr="006814A8">
        <w:rPr>
          <w:rFonts w:hint="cs"/>
          <w:rtl/>
          <w:lang w:bidi="ar-EG"/>
        </w:rPr>
        <w:t xml:space="preserve">. </w:t>
      </w:r>
      <w:r w:rsidR="002E69A1">
        <w:rPr>
          <w:rFonts w:hint="cs"/>
          <w:rtl/>
        </w:rPr>
        <w:t xml:space="preserve">وفي الوقت الراهن، تُستخدم </w:t>
      </w:r>
      <w:r w:rsidR="00EB4D95" w:rsidRPr="006814A8">
        <w:rPr>
          <w:rtl/>
        </w:rPr>
        <w:t xml:space="preserve">الموارد </w:t>
      </w:r>
      <w:r w:rsidR="002E69A1">
        <w:rPr>
          <w:rFonts w:hint="cs"/>
          <w:rtl/>
        </w:rPr>
        <w:t>المعبّأة</w:t>
      </w:r>
      <w:r w:rsidR="00EB4D95" w:rsidRPr="006814A8">
        <w:rPr>
          <w:rFonts w:hint="cs"/>
          <w:rtl/>
        </w:rPr>
        <w:t xml:space="preserve"> </w:t>
      </w:r>
      <w:r w:rsidR="00561803">
        <w:rPr>
          <w:rFonts w:hint="cs"/>
          <w:rtl/>
        </w:rPr>
        <w:t xml:space="preserve">في </w:t>
      </w:r>
      <w:r w:rsidR="00EB4D95" w:rsidRPr="006814A8">
        <w:rPr>
          <w:rtl/>
        </w:rPr>
        <w:t xml:space="preserve">تنظيم الأنشطة </w:t>
      </w:r>
      <w:r w:rsidR="00561803">
        <w:rPr>
          <w:rFonts w:hint="cs"/>
          <w:rtl/>
        </w:rPr>
        <w:t>الخاضعة ل</w:t>
      </w:r>
      <w:r w:rsidR="002E69A1">
        <w:rPr>
          <w:rFonts w:hint="cs"/>
          <w:rtl/>
        </w:rPr>
        <w:t>ل</w:t>
      </w:r>
      <w:r w:rsidR="00561803">
        <w:rPr>
          <w:rFonts w:hint="cs"/>
          <w:rtl/>
        </w:rPr>
        <w:t xml:space="preserve">رعاية </w:t>
      </w:r>
      <w:r w:rsidR="002E69A1">
        <w:rPr>
          <w:rFonts w:hint="cs"/>
          <w:rtl/>
        </w:rPr>
        <w:t>وما يتصل ب</w:t>
      </w:r>
      <w:r w:rsidR="005C7552">
        <w:rPr>
          <w:rFonts w:hint="cs"/>
          <w:rtl/>
        </w:rPr>
        <w:t>هذه الأنشطة</w:t>
      </w:r>
      <w:r w:rsidR="002E69A1">
        <w:rPr>
          <w:rFonts w:hint="cs"/>
          <w:rtl/>
        </w:rPr>
        <w:t xml:space="preserve"> من</w:t>
      </w:r>
      <w:r w:rsidR="008C4172">
        <w:rPr>
          <w:rFonts w:hint="eastAsia"/>
          <w:rtl/>
        </w:rPr>
        <w:t> </w:t>
      </w:r>
      <w:r w:rsidR="002E69A1">
        <w:rPr>
          <w:rFonts w:hint="cs"/>
          <w:rtl/>
        </w:rPr>
        <w:t xml:space="preserve">فوائد </w:t>
      </w:r>
      <w:r w:rsidR="005C7552">
        <w:rPr>
          <w:rFonts w:hint="cs"/>
          <w:rtl/>
        </w:rPr>
        <w:t xml:space="preserve">من حيث </w:t>
      </w:r>
      <w:r w:rsidR="002E69A1">
        <w:rPr>
          <w:rFonts w:hint="cs"/>
          <w:rtl/>
        </w:rPr>
        <w:t>إمكانية</w:t>
      </w:r>
      <w:r w:rsidR="005C7552">
        <w:rPr>
          <w:rFonts w:hint="cs"/>
          <w:rtl/>
        </w:rPr>
        <w:t xml:space="preserve"> </w:t>
      </w:r>
      <w:r w:rsidR="004A6675">
        <w:rPr>
          <w:rFonts w:hint="cs"/>
          <w:rtl/>
        </w:rPr>
        <w:t>ال</w:t>
      </w:r>
      <w:r w:rsidR="002E69A1">
        <w:rPr>
          <w:rFonts w:hint="cs"/>
          <w:rtl/>
        </w:rPr>
        <w:t>بروز</w:t>
      </w:r>
      <w:r w:rsidR="005C7552">
        <w:rPr>
          <w:rFonts w:hint="cs"/>
          <w:rtl/>
        </w:rPr>
        <w:t xml:space="preserve"> </w:t>
      </w:r>
      <w:r w:rsidR="002E69A1">
        <w:rPr>
          <w:rFonts w:hint="cs"/>
          <w:rtl/>
        </w:rPr>
        <w:t xml:space="preserve">أمام الجماهير، كما تُستخدم </w:t>
      </w:r>
      <w:r w:rsidR="00EB4D95" w:rsidRPr="006814A8">
        <w:rPr>
          <w:rFonts w:hint="cs"/>
          <w:rtl/>
        </w:rPr>
        <w:t>كتمويل أولي ل</w:t>
      </w:r>
      <w:r w:rsidR="00EB4D95" w:rsidRPr="006814A8">
        <w:rPr>
          <w:rtl/>
        </w:rPr>
        <w:t>تنفيذ الأنشطة والمشاريع والمبادرات، بما</w:t>
      </w:r>
      <w:r w:rsidR="00EB4D95" w:rsidRPr="006814A8">
        <w:rPr>
          <w:rFonts w:hint="cs"/>
          <w:rtl/>
        </w:rPr>
        <w:t> </w:t>
      </w:r>
      <w:r w:rsidR="00EB4D95" w:rsidRPr="006814A8">
        <w:rPr>
          <w:rtl/>
        </w:rPr>
        <w:t>في</w:t>
      </w:r>
      <w:r w:rsidR="00EB4D95" w:rsidRPr="006814A8">
        <w:rPr>
          <w:rFonts w:hint="cs"/>
          <w:rtl/>
        </w:rPr>
        <w:t> </w:t>
      </w:r>
      <w:r w:rsidR="00EB4D95" w:rsidRPr="006814A8">
        <w:rPr>
          <w:rtl/>
        </w:rPr>
        <w:t>ذلك المبادرات الإقليمية</w:t>
      </w:r>
      <w:r w:rsidR="002E69A1">
        <w:rPr>
          <w:rFonts w:hint="cs"/>
          <w:rtl/>
        </w:rPr>
        <w:t xml:space="preserve">، </w:t>
      </w:r>
      <w:r w:rsidR="002E69A1">
        <w:rPr>
          <w:rFonts w:hint="cs"/>
          <w:rtl/>
          <w:lang w:bidi="ar-EG"/>
        </w:rPr>
        <w:t>وربما المِنَح.</w:t>
      </w:r>
    </w:p>
    <w:p w:rsidR="00E01C74" w:rsidRDefault="00E01C74" w:rsidP="00633E3D">
      <w:pPr>
        <w:pStyle w:val="Heading2"/>
        <w:rPr>
          <w:rtl/>
        </w:rPr>
      </w:pPr>
      <w:r w:rsidRPr="00FF0BCA">
        <w:lastRenderedPageBreak/>
        <w:t>2.4</w:t>
      </w:r>
      <w:r w:rsidRPr="00FF0BCA">
        <w:tab/>
      </w:r>
      <w:r w:rsidR="00BE37C2">
        <w:rPr>
          <w:rFonts w:hint="cs"/>
          <w:rtl/>
        </w:rPr>
        <w:t>الإجراءات الداخلية ونتائجها</w:t>
      </w:r>
    </w:p>
    <w:p w:rsidR="00AD1F4B" w:rsidRPr="004A6675" w:rsidRDefault="00AD1F4B" w:rsidP="00633E3D">
      <w:pPr>
        <w:keepNext/>
        <w:keepLines/>
        <w:rPr>
          <w:sz w:val="30"/>
          <w:lang w:bidi="ar-EG"/>
        </w:rPr>
      </w:pPr>
      <w:r w:rsidRPr="004A6675">
        <w:rPr>
          <w:rFonts w:hint="cs"/>
          <w:kern w:val="14"/>
          <w:sz w:val="30"/>
          <w:rtl/>
          <w:lang w:bidi="ar-EG"/>
        </w:rPr>
        <w:t xml:space="preserve">إدراكاً من مكتب تنمية الاتصالات أن الشراكة وتعبئة الموارد مسؤولية مشتركة، </w:t>
      </w:r>
      <w:r w:rsidR="004A6675" w:rsidRPr="004A6675">
        <w:rPr>
          <w:rFonts w:hint="cs"/>
          <w:kern w:val="14"/>
          <w:sz w:val="30"/>
          <w:rtl/>
          <w:lang w:bidi="ar-EG"/>
        </w:rPr>
        <w:t>خُصصت خلال معتكف إدارة المكتب جلسة عن موضوع تعبئة الموارد لتمكين الموظفين من تبادل خبراتهم ومناقشة التحديات والفرص في هذا السياق. وأسفرت الجلسة عن رسم خارطة طريق</w:t>
      </w:r>
      <w:r w:rsidR="004A6675">
        <w:rPr>
          <w:rFonts w:hint="cs"/>
          <w:kern w:val="14"/>
          <w:sz w:val="30"/>
          <w:rtl/>
          <w:lang w:bidi="ar-EG"/>
        </w:rPr>
        <w:t xml:space="preserve"> تتضمن الأعمال العشرة التالية التي لها الأولوية لتعزيز تعبئة الموارد:</w:t>
      </w:r>
    </w:p>
    <w:p w:rsidR="00EB4D95" w:rsidRDefault="00EB4D95" w:rsidP="00991936">
      <w:pPr>
        <w:pStyle w:val="enumlev1"/>
        <w:keepNext/>
        <w:keepLines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4A6675">
        <w:rPr>
          <w:rFonts w:hint="cs"/>
          <w:rtl/>
          <w:lang w:bidi="ar-EG"/>
        </w:rPr>
        <w:t>وضع استراتيجية لتعبئة الموارد؛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534DF4">
        <w:rPr>
          <w:rFonts w:hint="cs"/>
          <w:rtl/>
          <w:lang w:bidi="ar-EG"/>
        </w:rPr>
        <w:t>التواصل المتكامل بلمسة إنسانية؛</w:t>
      </w:r>
    </w:p>
    <w:p w:rsidR="00EB4D95" w:rsidRDefault="00EB4D95" w:rsidP="00991936">
      <w:pPr>
        <w:pStyle w:val="enumlev1"/>
        <w:rPr>
          <w:lang w:bidi="ar-EG"/>
        </w:rPr>
      </w:pPr>
      <w:r>
        <w:rPr>
          <w:lang w:bidi="ar-EG"/>
        </w:rPr>
        <w:t>3</w:t>
      </w:r>
      <w:r w:rsidR="00534DF4">
        <w:rPr>
          <w:rtl/>
          <w:lang w:bidi="ar-EG"/>
        </w:rPr>
        <w:tab/>
      </w:r>
      <w:r w:rsidR="00534DF4">
        <w:rPr>
          <w:rFonts w:hint="cs"/>
          <w:rtl/>
          <w:lang w:bidi="ar-EG"/>
        </w:rPr>
        <w:t>وضع معايير للعمل مع الشركاء القيّمين جداً من أصحاب الموارد؛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7074DD">
        <w:rPr>
          <w:rFonts w:hint="cs"/>
          <w:rtl/>
          <w:lang w:bidi="ar-EG"/>
        </w:rPr>
        <w:t>إعداد تقارير عن أبحاث السوق تتعلق بمجالات التركيز، بهدف التوعية وتحفيز الشركاء من أصحاب الموارد على النظر في هذه المجالات؛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7074DD">
        <w:rPr>
          <w:rFonts w:hint="cs"/>
          <w:rtl/>
          <w:lang w:bidi="ar-EG"/>
        </w:rPr>
        <w:t>تنفيذ مبادرات تحويلية كبيرة في مجالات التركيز برعاية إدارة الاتحاد/المكتب؛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8A3E89">
        <w:rPr>
          <w:rFonts w:hint="cs"/>
          <w:rtl/>
          <w:lang w:bidi="ar-EG"/>
        </w:rPr>
        <w:t>وضع آليات مرنة لإقامة</w:t>
      </w:r>
      <w:r w:rsidR="007074DD">
        <w:rPr>
          <w:rFonts w:hint="cs"/>
          <w:rtl/>
          <w:lang w:bidi="ar-EG"/>
        </w:rPr>
        <w:t xml:space="preserve"> الشراكات؛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7074DD">
        <w:rPr>
          <w:rFonts w:hint="cs"/>
          <w:rtl/>
          <w:lang w:bidi="ar-EG"/>
        </w:rPr>
        <w:t>تدريب الموظفين؛</w:t>
      </w:r>
    </w:p>
    <w:p w:rsidR="00EB4D95" w:rsidRPr="00F30381" w:rsidRDefault="00EB4D95" w:rsidP="00991936">
      <w:pPr>
        <w:pStyle w:val="enumlev1"/>
        <w:rPr>
          <w:spacing w:val="-4"/>
          <w:rtl/>
          <w:lang w:bidi="ar-EG"/>
        </w:rPr>
      </w:pPr>
      <w:r w:rsidRPr="00F30381">
        <w:rPr>
          <w:spacing w:val="-4"/>
          <w:lang w:bidi="ar-EG"/>
        </w:rPr>
        <w:t>8</w:t>
      </w:r>
      <w:r w:rsidRPr="00F30381">
        <w:rPr>
          <w:spacing w:val="-4"/>
          <w:rtl/>
          <w:lang w:bidi="ar-EG"/>
        </w:rPr>
        <w:tab/>
      </w:r>
      <w:r w:rsidR="007074DD" w:rsidRPr="00F30381">
        <w:rPr>
          <w:rFonts w:hint="cs"/>
          <w:spacing w:val="-4"/>
          <w:rtl/>
          <w:lang w:bidi="ar-EG"/>
        </w:rPr>
        <w:t>استحداث أداة لأصحاب الأعمال تتضمن معلومات حيوية عن مجالات الا</w:t>
      </w:r>
      <w:r w:rsidR="008B5110" w:rsidRPr="00F30381">
        <w:rPr>
          <w:rFonts w:hint="cs"/>
          <w:spacing w:val="-4"/>
          <w:rtl/>
          <w:lang w:bidi="ar-EG"/>
        </w:rPr>
        <w:t>هتمام الرئيسية وجميع الشركاء أصحاب</w:t>
      </w:r>
      <w:r w:rsidR="00F30381" w:rsidRPr="00F30381">
        <w:rPr>
          <w:rFonts w:hint="eastAsia"/>
          <w:spacing w:val="-4"/>
          <w:rtl/>
          <w:lang w:bidi="ar-EG"/>
        </w:rPr>
        <w:t> </w:t>
      </w:r>
      <w:r w:rsidR="008B5110" w:rsidRPr="00F30381">
        <w:rPr>
          <w:rFonts w:hint="cs"/>
          <w:spacing w:val="-4"/>
          <w:rtl/>
          <w:lang w:bidi="ar-EG"/>
        </w:rPr>
        <w:t>الموارد؛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 w:rsidR="008B5110">
        <w:rPr>
          <w:rFonts w:hint="cs"/>
          <w:rtl/>
          <w:lang w:bidi="ar-EG"/>
        </w:rPr>
        <w:t>استخدام أداة ملائمة لإدارة تعبئة الموارد تش</w:t>
      </w:r>
      <w:r w:rsidR="00E96651">
        <w:rPr>
          <w:rFonts w:hint="cs"/>
          <w:rtl/>
          <w:lang w:bidi="ar-EG"/>
        </w:rPr>
        <w:t>تمل على</w:t>
      </w:r>
      <w:r w:rsidR="008B5110">
        <w:rPr>
          <w:rFonts w:hint="cs"/>
          <w:rtl/>
          <w:lang w:bidi="ar-EG"/>
        </w:rPr>
        <w:t xml:space="preserve"> آليات واضحة لإبلاغ أصحاب الأعمال ومؤشرات </w:t>
      </w:r>
      <w:r w:rsidR="00E96651">
        <w:rPr>
          <w:rFonts w:hint="cs"/>
          <w:rtl/>
          <w:lang w:bidi="ar-EG"/>
        </w:rPr>
        <w:t>ال</w:t>
      </w:r>
      <w:r w:rsidR="008B5110">
        <w:rPr>
          <w:rFonts w:hint="cs"/>
          <w:rtl/>
          <w:lang w:bidi="ar-EG"/>
        </w:rPr>
        <w:t xml:space="preserve">أداء </w:t>
      </w:r>
      <w:r w:rsidR="00E96651">
        <w:rPr>
          <w:rFonts w:hint="cs"/>
          <w:rtl/>
          <w:lang w:bidi="ar-EG"/>
        </w:rPr>
        <w:t>ال</w:t>
      </w:r>
      <w:r w:rsidR="008B5110">
        <w:rPr>
          <w:rFonts w:hint="cs"/>
          <w:rtl/>
          <w:lang w:bidi="ar-EG"/>
        </w:rPr>
        <w:t xml:space="preserve">رئيسية </w:t>
      </w:r>
      <w:r w:rsidR="00E96651">
        <w:rPr>
          <w:rFonts w:hint="cs"/>
          <w:rtl/>
          <w:lang w:bidi="ar-EG"/>
        </w:rPr>
        <w:t>ال</w:t>
      </w:r>
      <w:r w:rsidR="008B5110">
        <w:rPr>
          <w:rFonts w:hint="cs"/>
          <w:rtl/>
          <w:lang w:bidi="ar-EG"/>
        </w:rPr>
        <w:t>مستهدفة</w:t>
      </w:r>
      <w:r w:rsidR="00E96651">
        <w:rPr>
          <w:rFonts w:hint="cs"/>
          <w:rtl/>
          <w:lang w:bidi="ar-EG"/>
        </w:rPr>
        <w:t xml:space="preserve"> بالنسبة إليهم</w:t>
      </w:r>
      <w:r w:rsidR="008B5110">
        <w:rPr>
          <w:rFonts w:hint="cs"/>
          <w:rtl/>
          <w:lang w:bidi="ar-EG"/>
        </w:rPr>
        <w:t>؛</w:t>
      </w:r>
    </w:p>
    <w:p w:rsidR="00EB4D95" w:rsidRDefault="00EB4D95" w:rsidP="00991936">
      <w:pPr>
        <w:pStyle w:val="enumlev1"/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8B5110">
        <w:rPr>
          <w:rFonts w:hint="cs"/>
          <w:rtl/>
          <w:lang w:bidi="ar-EG"/>
        </w:rPr>
        <w:t>تسخير المنصات الحالية في تعزيز الشراكات وإنمائها.</w:t>
      </w:r>
    </w:p>
    <w:p w:rsidR="00EB4D95" w:rsidRPr="00F30381" w:rsidRDefault="00E93467" w:rsidP="00F30381">
      <w:pPr>
        <w:rPr>
          <w:spacing w:val="-2"/>
          <w:rtl/>
          <w:lang w:bidi="ar-EG"/>
        </w:rPr>
      </w:pPr>
      <w:r w:rsidRPr="00F30381">
        <w:rPr>
          <w:rFonts w:hint="cs"/>
          <w:spacing w:val="-2"/>
          <w:rtl/>
          <w:lang w:bidi="ar-EG"/>
        </w:rPr>
        <w:t xml:space="preserve">وتنفيذاً للأعمال المذكورة أعلاه، </w:t>
      </w:r>
      <w:r w:rsidR="008217BB" w:rsidRPr="00F30381">
        <w:rPr>
          <w:rFonts w:hint="cs"/>
          <w:spacing w:val="-2"/>
          <w:rtl/>
          <w:lang w:bidi="ar-EG"/>
        </w:rPr>
        <w:t xml:space="preserve">أُنجزت الأنشطة </w:t>
      </w:r>
      <w:r w:rsidR="00305186" w:rsidRPr="00F30381">
        <w:rPr>
          <w:rFonts w:hint="cs"/>
          <w:spacing w:val="-2"/>
          <w:rtl/>
          <w:lang w:bidi="ar-EG"/>
        </w:rPr>
        <w:t>التالية</w:t>
      </w:r>
      <w:r w:rsidRPr="00F30381">
        <w:rPr>
          <w:rFonts w:hint="cs"/>
          <w:spacing w:val="-2"/>
          <w:rtl/>
          <w:lang w:bidi="ar-EG"/>
        </w:rPr>
        <w:t>:</w:t>
      </w:r>
      <w:r w:rsidR="00305186" w:rsidRPr="00F30381">
        <w:rPr>
          <w:rFonts w:hint="cs"/>
          <w:spacing w:val="-2"/>
          <w:rtl/>
          <w:lang w:bidi="ar-EG"/>
        </w:rPr>
        <w:t xml:space="preserve"> قُدمت</w:t>
      </w:r>
      <w:r w:rsidR="003149D5" w:rsidRPr="00F30381">
        <w:rPr>
          <w:rFonts w:hint="cs"/>
          <w:spacing w:val="-2"/>
          <w:rtl/>
          <w:lang w:bidi="ar-EG"/>
        </w:rPr>
        <w:t xml:space="preserve"> في يوليو </w:t>
      </w:r>
      <w:r w:rsidR="003149D5" w:rsidRPr="00F30381">
        <w:rPr>
          <w:spacing w:val="-2"/>
          <w:lang w:val="es-ES" w:bidi="ar-EG"/>
        </w:rPr>
        <w:t>2018</w:t>
      </w:r>
      <w:r w:rsidR="003149D5" w:rsidRPr="00F30381">
        <w:rPr>
          <w:rFonts w:hint="cs"/>
          <w:spacing w:val="-2"/>
          <w:rtl/>
          <w:lang w:bidi="ar-EG"/>
        </w:rPr>
        <w:t xml:space="preserve"> دورة تدريبية عن تعبئة الموارد</w:t>
      </w:r>
      <w:r w:rsidR="00305186" w:rsidRPr="00F30381">
        <w:rPr>
          <w:rFonts w:hint="cs"/>
          <w:spacing w:val="-2"/>
          <w:rtl/>
          <w:lang w:bidi="ar-EG"/>
        </w:rPr>
        <w:t xml:space="preserve"> للموظفين</w:t>
      </w:r>
      <w:r w:rsidR="003149D5" w:rsidRPr="00F30381">
        <w:rPr>
          <w:rFonts w:hint="cs"/>
          <w:spacing w:val="-2"/>
          <w:rtl/>
          <w:lang w:bidi="ar-EG"/>
        </w:rPr>
        <w:t xml:space="preserve"> المعنيين بهذا</w:t>
      </w:r>
      <w:r w:rsidR="00F30381" w:rsidRPr="00F30381">
        <w:rPr>
          <w:rFonts w:hint="eastAsia"/>
          <w:spacing w:val="-2"/>
          <w:rtl/>
          <w:lang w:bidi="ar-EG"/>
        </w:rPr>
        <w:t> </w:t>
      </w:r>
      <w:r w:rsidR="003149D5" w:rsidRPr="00F30381">
        <w:rPr>
          <w:rFonts w:hint="cs"/>
          <w:spacing w:val="-2"/>
          <w:rtl/>
          <w:lang w:bidi="ar-EG"/>
        </w:rPr>
        <w:t>المجال</w:t>
      </w:r>
      <w:r w:rsidR="00305186" w:rsidRPr="00F30381">
        <w:rPr>
          <w:rFonts w:hint="cs"/>
          <w:spacing w:val="-2"/>
          <w:rtl/>
          <w:lang w:bidi="ar-EG"/>
        </w:rPr>
        <w:t xml:space="preserve"> من الفئتين المهنيتين </w:t>
      </w:r>
      <w:r w:rsidR="00EC36FD" w:rsidRPr="00F30381">
        <w:rPr>
          <w:spacing w:val="-2"/>
          <w:lang w:val="es-ES" w:bidi="ar-EG"/>
        </w:rPr>
        <w:t>P2</w:t>
      </w:r>
      <w:r w:rsidR="00305186" w:rsidRPr="00F30381">
        <w:rPr>
          <w:rFonts w:hint="cs"/>
          <w:spacing w:val="-2"/>
          <w:rtl/>
          <w:lang w:bidi="ar-EG"/>
        </w:rPr>
        <w:t xml:space="preserve"> و</w:t>
      </w:r>
      <w:r w:rsidR="00EC36FD" w:rsidRPr="00F30381">
        <w:rPr>
          <w:spacing w:val="-2"/>
          <w:lang w:val="es-ES" w:bidi="ar-EG"/>
        </w:rPr>
        <w:t>P3</w:t>
      </w:r>
      <w:r w:rsidR="00305186" w:rsidRPr="00F30381">
        <w:rPr>
          <w:rFonts w:hint="cs"/>
          <w:spacing w:val="-2"/>
          <w:rtl/>
          <w:lang w:bidi="ar-EG"/>
        </w:rPr>
        <w:t xml:space="preserve">، </w:t>
      </w:r>
      <w:r w:rsidR="008217BB" w:rsidRPr="00F30381">
        <w:rPr>
          <w:rFonts w:hint="cs"/>
          <w:spacing w:val="-2"/>
          <w:rtl/>
          <w:lang w:bidi="ar-EG"/>
        </w:rPr>
        <w:t xml:space="preserve">ونُفذت </w:t>
      </w:r>
      <w:r w:rsidR="00EC36FD" w:rsidRPr="00F30381">
        <w:rPr>
          <w:rFonts w:hint="cs"/>
          <w:spacing w:val="-2"/>
          <w:rtl/>
          <w:lang w:bidi="ar-EG"/>
        </w:rPr>
        <w:t>عروض</w:t>
      </w:r>
      <w:r w:rsidR="008217BB" w:rsidRPr="00F30381">
        <w:rPr>
          <w:rFonts w:hint="cs"/>
          <w:spacing w:val="-2"/>
          <w:rtl/>
          <w:lang w:bidi="ar-EG"/>
        </w:rPr>
        <w:t xml:space="preserve"> ترويجية/مهام استراتيجية في منطقتي </w:t>
      </w:r>
      <w:proofErr w:type="spellStart"/>
      <w:r w:rsidR="008217BB" w:rsidRPr="00F30381">
        <w:rPr>
          <w:rFonts w:hint="cs"/>
          <w:spacing w:val="-2"/>
          <w:rtl/>
          <w:lang w:bidi="ar-EG"/>
        </w:rPr>
        <w:t>الأمريكتين</w:t>
      </w:r>
      <w:proofErr w:type="spellEnd"/>
      <w:r w:rsidR="008217BB" w:rsidRPr="00F30381">
        <w:rPr>
          <w:rFonts w:hint="cs"/>
          <w:spacing w:val="-2"/>
          <w:rtl/>
          <w:lang w:bidi="ar-EG"/>
        </w:rPr>
        <w:t xml:space="preserve"> (الولايات المتحدة الأمريكية) وآسيا والمحيط الهادئ (الفلبين)، فضلاً عن أعمال ت</w:t>
      </w:r>
      <w:r w:rsidR="003275AF" w:rsidRPr="00F30381">
        <w:rPr>
          <w:rFonts w:hint="cs"/>
          <w:spacing w:val="-2"/>
          <w:rtl/>
          <w:lang w:bidi="ar-EG"/>
        </w:rPr>
        <w:t>وعية</w:t>
      </w:r>
      <w:r w:rsidR="008217BB" w:rsidRPr="00F30381">
        <w:rPr>
          <w:rFonts w:hint="cs"/>
          <w:spacing w:val="-2"/>
          <w:rtl/>
          <w:lang w:bidi="ar-EG"/>
        </w:rPr>
        <w:t xml:space="preserve"> مع الجهات الحالية والمحتملة من الشركاء والوكالات</w:t>
      </w:r>
      <w:r w:rsidR="008217BB" w:rsidRPr="00F30381">
        <w:rPr>
          <w:spacing w:val="-2"/>
          <w:lang w:val="es-ES" w:bidi="ar-EG"/>
        </w:rPr>
        <w:t xml:space="preserve"> </w:t>
      </w:r>
      <w:r w:rsidR="008217BB" w:rsidRPr="00F30381">
        <w:rPr>
          <w:rFonts w:hint="cs"/>
          <w:spacing w:val="-2"/>
          <w:rtl/>
          <w:lang w:bidi="ar-EG"/>
        </w:rPr>
        <w:t>ومؤسسات التمويل الثنائية والمتعددة الأطراف (مثل</w:t>
      </w:r>
      <w:r w:rsidR="00371AB9" w:rsidRPr="00F30381">
        <w:rPr>
          <w:rFonts w:hint="cs"/>
          <w:spacing w:val="-2"/>
          <w:rtl/>
          <w:lang w:bidi="ar-EG"/>
        </w:rPr>
        <w:t xml:space="preserve"> </w:t>
      </w:r>
      <w:r w:rsidR="003243E0" w:rsidRPr="00F30381">
        <w:rPr>
          <w:rFonts w:hint="cs"/>
          <w:spacing w:val="-2"/>
          <w:rtl/>
          <w:lang w:bidi="ar-EG"/>
        </w:rPr>
        <w:t xml:space="preserve">صندوق الأوبك للتنمية الدولية </w:t>
      </w:r>
      <w:r w:rsidR="003243E0" w:rsidRPr="00F30381">
        <w:rPr>
          <w:spacing w:val="-2"/>
          <w:lang w:val="es-ES" w:bidi="ar-EG"/>
        </w:rPr>
        <w:t>(OFID)</w:t>
      </w:r>
      <w:r w:rsidR="003243E0" w:rsidRPr="00F30381">
        <w:rPr>
          <w:rFonts w:hint="cs"/>
          <w:spacing w:val="-2"/>
          <w:rtl/>
          <w:lang w:bidi="ar-EG"/>
        </w:rPr>
        <w:t xml:space="preserve">، الوكالة الفرنسية للتنمية </w:t>
      </w:r>
      <w:r w:rsidR="003243E0" w:rsidRPr="00F30381">
        <w:rPr>
          <w:spacing w:val="-2"/>
          <w:lang w:val="es-ES" w:bidi="ar-EG"/>
        </w:rPr>
        <w:t>(AFD)</w:t>
      </w:r>
      <w:r w:rsidR="003243E0" w:rsidRPr="00F30381">
        <w:rPr>
          <w:rFonts w:hint="cs"/>
          <w:spacing w:val="-2"/>
          <w:rtl/>
          <w:lang w:bidi="ar-EG"/>
        </w:rPr>
        <w:t>،</w:t>
      </w:r>
      <w:r w:rsidR="00371AB9" w:rsidRPr="00F30381">
        <w:rPr>
          <w:rFonts w:hint="cs"/>
          <w:spacing w:val="-2"/>
          <w:rtl/>
          <w:lang w:bidi="ar-EG"/>
        </w:rPr>
        <w:t xml:space="preserve"> الوكالة النمساوية للتنمية</w:t>
      </w:r>
      <w:r w:rsidR="00F30381" w:rsidRPr="00F30381">
        <w:rPr>
          <w:rFonts w:hint="eastAsia"/>
          <w:spacing w:val="-2"/>
          <w:rtl/>
          <w:lang w:bidi="ar-EG"/>
        </w:rPr>
        <w:t> </w:t>
      </w:r>
      <w:r w:rsidR="00371AB9" w:rsidRPr="00F30381">
        <w:rPr>
          <w:spacing w:val="-2"/>
          <w:lang w:val="es-ES" w:bidi="ar-EG"/>
        </w:rPr>
        <w:t>(ADA)</w:t>
      </w:r>
      <w:r w:rsidR="00371AB9" w:rsidRPr="00F30381">
        <w:rPr>
          <w:rFonts w:hint="cs"/>
          <w:spacing w:val="-2"/>
          <w:rtl/>
          <w:lang w:bidi="ar-EG"/>
        </w:rPr>
        <w:t xml:space="preserve">، المفوضية الأوروبية </w:t>
      </w:r>
      <w:r w:rsidR="00371AB9" w:rsidRPr="00F30381">
        <w:rPr>
          <w:spacing w:val="-2"/>
          <w:lang w:bidi="ar-EG"/>
        </w:rPr>
        <w:t>(EC)</w:t>
      </w:r>
      <w:r w:rsidR="00371AB9" w:rsidRPr="00F30381">
        <w:rPr>
          <w:rFonts w:hint="cs"/>
          <w:spacing w:val="-2"/>
          <w:rtl/>
          <w:lang w:bidi="ar-EG"/>
        </w:rPr>
        <w:t xml:space="preserve">، البنك الدولي، مؤسسة التمويل الدولية </w:t>
      </w:r>
      <w:r w:rsidR="00371AB9" w:rsidRPr="00F30381">
        <w:rPr>
          <w:spacing w:val="-2"/>
          <w:lang w:val="es-ES" w:bidi="ar-EG"/>
        </w:rPr>
        <w:t>(IFC)</w:t>
      </w:r>
      <w:r w:rsidR="00371AB9" w:rsidRPr="00F30381">
        <w:rPr>
          <w:rFonts w:hint="cs"/>
          <w:spacing w:val="-2"/>
          <w:rtl/>
          <w:lang w:bidi="ar-EG"/>
        </w:rPr>
        <w:t>، مصرف التنمية الآسيوي، البنك الإسلامي للتنمية، إلخ</w:t>
      </w:r>
      <w:r w:rsidR="00991936">
        <w:rPr>
          <w:rFonts w:hint="cs"/>
          <w:spacing w:val="-2"/>
          <w:rtl/>
          <w:lang w:bidi="ar-EG"/>
        </w:rPr>
        <w:t>.</w:t>
      </w:r>
      <w:r w:rsidR="008217BB" w:rsidRPr="00F30381">
        <w:rPr>
          <w:rFonts w:hint="cs"/>
          <w:spacing w:val="-2"/>
          <w:rtl/>
          <w:lang w:bidi="ar-EG"/>
        </w:rPr>
        <w:t>)، ووكالات الأمم المتحدة (مثل</w:t>
      </w:r>
      <w:r w:rsidRPr="00F30381">
        <w:rPr>
          <w:rFonts w:hint="cs"/>
          <w:spacing w:val="-2"/>
          <w:rtl/>
          <w:lang w:bidi="ar-EG"/>
        </w:rPr>
        <w:t xml:space="preserve"> </w:t>
      </w:r>
      <w:r w:rsidR="00EB4D95" w:rsidRPr="00F30381">
        <w:rPr>
          <w:spacing w:val="-2"/>
          <w:rtl/>
        </w:rPr>
        <w:t>منظمة الأمم المتحدة للتنمية الصناعية</w:t>
      </w:r>
      <w:r w:rsidR="00EB4D95" w:rsidRPr="00F30381">
        <w:rPr>
          <w:rFonts w:hint="cs"/>
          <w:spacing w:val="-2"/>
          <w:rtl/>
          <w:lang w:bidi="ar-EG"/>
        </w:rPr>
        <w:t xml:space="preserve"> </w:t>
      </w:r>
      <w:r w:rsidR="00EB4D95" w:rsidRPr="00F30381">
        <w:rPr>
          <w:spacing w:val="-2"/>
          <w:lang w:bidi="ar-EG"/>
        </w:rPr>
        <w:t>(UNIDO)</w:t>
      </w:r>
      <w:r w:rsidR="003243E0" w:rsidRPr="00F30381">
        <w:rPr>
          <w:rFonts w:hint="cs"/>
          <w:spacing w:val="-2"/>
          <w:rtl/>
          <w:lang w:bidi="ar-EG"/>
        </w:rPr>
        <w:t xml:space="preserve">، </w:t>
      </w:r>
      <w:r w:rsidR="00EB4D95" w:rsidRPr="00F30381">
        <w:rPr>
          <w:spacing w:val="-2"/>
          <w:rtl/>
        </w:rPr>
        <w:t>منظمة الصحة العالمية</w:t>
      </w:r>
      <w:r w:rsidR="00F30381" w:rsidRPr="00F30381">
        <w:rPr>
          <w:rFonts w:hint="eastAsia"/>
          <w:spacing w:val="-2"/>
          <w:rtl/>
          <w:lang w:bidi="ar-EG"/>
        </w:rPr>
        <w:t> </w:t>
      </w:r>
      <w:r w:rsidR="00EB4D95" w:rsidRPr="00F30381">
        <w:rPr>
          <w:spacing w:val="-2"/>
          <w:lang w:bidi="ar-EG"/>
        </w:rPr>
        <w:t>(WHO)</w:t>
      </w:r>
      <w:r w:rsidR="003243E0" w:rsidRPr="00F30381">
        <w:rPr>
          <w:rFonts w:hint="cs"/>
          <w:spacing w:val="-2"/>
          <w:rtl/>
          <w:lang w:bidi="ar-EG"/>
        </w:rPr>
        <w:t xml:space="preserve">، </w:t>
      </w:r>
      <w:r w:rsidR="00EB4D95" w:rsidRPr="00F30381">
        <w:rPr>
          <w:spacing w:val="-2"/>
          <w:rtl/>
        </w:rPr>
        <w:t>برنامج</w:t>
      </w:r>
      <w:r w:rsidR="008C4172" w:rsidRPr="00F30381">
        <w:rPr>
          <w:rFonts w:hint="cs"/>
          <w:spacing w:val="-2"/>
          <w:rtl/>
        </w:rPr>
        <w:t> </w:t>
      </w:r>
      <w:r w:rsidR="00EB4D95" w:rsidRPr="00F30381">
        <w:rPr>
          <w:spacing w:val="-2"/>
          <w:rtl/>
        </w:rPr>
        <w:t>الأمم المتحدة الإنمائي</w:t>
      </w:r>
      <w:r w:rsidR="00F30381">
        <w:rPr>
          <w:rFonts w:hint="eastAsia"/>
          <w:spacing w:val="-2"/>
          <w:rtl/>
        </w:rPr>
        <w:t> </w:t>
      </w:r>
      <w:r w:rsidR="00EB4D95" w:rsidRPr="00F30381">
        <w:rPr>
          <w:spacing w:val="-2"/>
          <w:lang w:bidi="ar-EG"/>
        </w:rPr>
        <w:t>(UNDP)</w:t>
      </w:r>
      <w:r w:rsidR="003243E0" w:rsidRPr="00F30381">
        <w:rPr>
          <w:rFonts w:hint="cs"/>
          <w:spacing w:val="-2"/>
          <w:rtl/>
          <w:lang w:bidi="ar-EG"/>
        </w:rPr>
        <w:t xml:space="preserve">، </w:t>
      </w:r>
      <w:r w:rsidR="00EB4D95" w:rsidRPr="00F30381">
        <w:rPr>
          <w:spacing w:val="-2"/>
          <w:rtl/>
        </w:rPr>
        <w:t>مكتب الأمم المتحدة لخدمات المشاريع</w:t>
      </w:r>
      <w:r w:rsidR="00EB4D95" w:rsidRPr="00F30381">
        <w:rPr>
          <w:rFonts w:hint="cs"/>
          <w:spacing w:val="-2"/>
          <w:rtl/>
          <w:lang w:bidi="ar-EG"/>
        </w:rPr>
        <w:t xml:space="preserve"> </w:t>
      </w:r>
      <w:r w:rsidR="00EB4D95" w:rsidRPr="00F30381">
        <w:rPr>
          <w:spacing w:val="-2"/>
          <w:lang w:bidi="ar-EG"/>
        </w:rPr>
        <w:t>(UNOP)</w:t>
      </w:r>
      <w:r w:rsidR="003243E0" w:rsidRPr="00F30381">
        <w:rPr>
          <w:rFonts w:hint="cs"/>
          <w:spacing w:val="-2"/>
          <w:rtl/>
          <w:lang w:bidi="ar-EG"/>
        </w:rPr>
        <w:t xml:space="preserve">، </w:t>
      </w:r>
      <w:r w:rsidR="00EB4D95" w:rsidRPr="00F30381">
        <w:rPr>
          <w:spacing w:val="-2"/>
          <w:rtl/>
        </w:rPr>
        <w:t>صندوق الأمم المتحدة للسكان</w:t>
      </w:r>
      <w:r w:rsidR="00EB4D95" w:rsidRPr="00F30381">
        <w:rPr>
          <w:rFonts w:hint="cs"/>
          <w:spacing w:val="-2"/>
          <w:rtl/>
          <w:lang w:bidi="ar-EG"/>
        </w:rPr>
        <w:t xml:space="preserve"> </w:t>
      </w:r>
      <w:r w:rsidR="00EB4D95" w:rsidRPr="00F30381">
        <w:rPr>
          <w:spacing w:val="-2"/>
          <w:lang w:bidi="ar-EG"/>
        </w:rPr>
        <w:t>(UNFPA)</w:t>
      </w:r>
      <w:r w:rsidR="003243E0" w:rsidRPr="00F30381">
        <w:rPr>
          <w:rFonts w:hint="cs"/>
          <w:spacing w:val="-2"/>
          <w:rtl/>
          <w:lang w:bidi="ar-EG"/>
        </w:rPr>
        <w:t>، صندوق الأمم المتحدة المركزي لمواجهة الطوارئ</w:t>
      </w:r>
      <w:r w:rsidR="00EB4D95" w:rsidRPr="00F30381">
        <w:rPr>
          <w:rFonts w:hint="cs"/>
          <w:spacing w:val="-2"/>
          <w:rtl/>
          <w:lang w:bidi="ar-EG"/>
        </w:rPr>
        <w:t xml:space="preserve"> </w:t>
      </w:r>
      <w:r w:rsidR="00EB4D95" w:rsidRPr="00F30381">
        <w:rPr>
          <w:spacing w:val="-2"/>
          <w:lang w:bidi="ar-EG"/>
        </w:rPr>
        <w:t>(UNCERF)</w:t>
      </w:r>
      <w:r w:rsidR="003243E0" w:rsidRPr="00F30381">
        <w:rPr>
          <w:rFonts w:hint="cs"/>
          <w:spacing w:val="-2"/>
          <w:rtl/>
          <w:lang w:bidi="ar-EG"/>
        </w:rPr>
        <w:t xml:space="preserve">، </w:t>
      </w:r>
      <w:r w:rsidR="00EB4D95" w:rsidRPr="00F30381">
        <w:rPr>
          <w:spacing w:val="-2"/>
          <w:rtl/>
        </w:rPr>
        <w:t>إدارة الشؤون الاقتصادية والاجتماعية للأمم المتحدة</w:t>
      </w:r>
      <w:r w:rsidR="00F30381" w:rsidRPr="00F30381">
        <w:rPr>
          <w:rFonts w:hint="eastAsia"/>
          <w:spacing w:val="-2"/>
          <w:rtl/>
          <w:lang w:bidi="ar-EG"/>
        </w:rPr>
        <w:t> </w:t>
      </w:r>
      <w:r w:rsidR="00EB4D95" w:rsidRPr="00F30381">
        <w:rPr>
          <w:spacing w:val="-2"/>
          <w:lang w:bidi="ar-EG"/>
        </w:rPr>
        <w:t>(UNDESA)</w:t>
      </w:r>
      <w:r w:rsidR="008217BB" w:rsidRPr="00F30381">
        <w:rPr>
          <w:rFonts w:hint="cs"/>
          <w:spacing w:val="-2"/>
          <w:rtl/>
          <w:lang w:bidi="ar-EG"/>
        </w:rPr>
        <w:t>)، والمؤسسات (مثل</w:t>
      </w:r>
      <w:r w:rsidR="00F30381">
        <w:rPr>
          <w:rFonts w:hint="eastAsia"/>
          <w:spacing w:val="-2"/>
          <w:rtl/>
          <w:lang w:bidi="ar-EG"/>
        </w:rPr>
        <w:t> </w:t>
      </w:r>
      <w:r w:rsidR="003243E0" w:rsidRPr="00F30381">
        <w:rPr>
          <w:rFonts w:hint="cs"/>
          <w:spacing w:val="-2"/>
          <w:rtl/>
          <w:lang w:bidi="ar-EG"/>
        </w:rPr>
        <w:t xml:space="preserve">مؤسسة </w:t>
      </w:r>
      <w:r w:rsidR="003243E0" w:rsidRPr="00F30381">
        <w:rPr>
          <w:spacing w:val="-2"/>
          <w:lang w:bidi="ar-EG"/>
        </w:rPr>
        <w:t>Clinton</w:t>
      </w:r>
      <w:r w:rsidR="003243E0" w:rsidRPr="00F30381">
        <w:rPr>
          <w:rFonts w:hint="cs"/>
          <w:spacing w:val="-2"/>
          <w:rtl/>
          <w:lang w:bidi="ar-EG"/>
        </w:rPr>
        <w:t xml:space="preserve">، مؤسسة الأمم المتحدة، مؤسسة </w:t>
      </w:r>
      <w:r w:rsidR="003243E0" w:rsidRPr="00F30381">
        <w:rPr>
          <w:spacing w:val="-2"/>
          <w:lang w:bidi="ar-EG"/>
        </w:rPr>
        <w:t>Citi</w:t>
      </w:r>
      <w:r w:rsidR="003243E0" w:rsidRPr="00F30381">
        <w:rPr>
          <w:rFonts w:hint="cs"/>
          <w:spacing w:val="-2"/>
          <w:rtl/>
          <w:lang w:bidi="ar-EG"/>
        </w:rPr>
        <w:t>، مؤسسة</w:t>
      </w:r>
      <w:r w:rsidR="00F30381" w:rsidRPr="00F30381">
        <w:rPr>
          <w:rFonts w:hint="eastAsia"/>
          <w:spacing w:val="-2"/>
          <w:rtl/>
          <w:lang w:bidi="ar-EG"/>
        </w:rPr>
        <w:t> </w:t>
      </w:r>
      <w:r w:rsidR="003243E0" w:rsidRPr="00F30381">
        <w:rPr>
          <w:spacing w:val="-2"/>
          <w:lang w:bidi="ar-EG"/>
        </w:rPr>
        <w:t>Telefonica</w:t>
      </w:r>
      <w:r w:rsidR="003243E0" w:rsidRPr="00F30381">
        <w:rPr>
          <w:rFonts w:hint="cs"/>
          <w:spacing w:val="-2"/>
          <w:rtl/>
          <w:lang w:bidi="ar-EG"/>
        </w:rPr>
        <w:t>، مؤسسة</w:t>
      </w:r>
      <w:r w:rsidR="00F30381" w:rsidRPr="00F30381">
        <w:rPr>
          <w:rFonts w:hint="eastAsia"/>
          <w:spacing w:val="-2"/>
          <w:rtl/>
          <w:lang w:bidi="ar-EG"/>
        </w:rPr>
        <w:t> </w:t>
      </w:r>
      <w:proofErr w:type="spellStart"/>
      <w:r w:rsidR="003243E0" w:rsidRPr="00F30381">
        <w:rPr>
          <w:spacing w:val="-2"/>
          <w:lang w:val="es-ES" w:bidi="ar-EG"/>
        </w:rPr>
        <w:t>ProFuturo</w:t>
      </w:r>
      <w:proofErr w:type="spellEnd"/>
      <w:r w:rsidR="003243E0" w:rsidRPr="00F30381">
        <w:rPr>
          <w:rFonts w:hint="cs"/>
          <w:spacing w:val="-2"/>
          <w:rtl/>
          <w:lang w:bidi="ar-EG"/>
        </w:rPr>
        <w:t>، إلخ</w:t>
      </w:r>
      <w:r w:rsidR="00991936">
        <w:rPr>
          <w:rFonts w:hint="cs"/>
          <w:spacing w:val="-2"/>
          <w:rtl/>
          <w:lang w:bidi="ar-EG"/>
        </w:rPr>
        <w:t>.</w:t>
      </w:r>
      <w:r w:rsidR="008217BB" w:rsidRPr="00F30381">
        <w:rPr>
          <w:rFonts w:hint="cs"/>
          <w:spacing w:val="-2"/>
          <w:rtl/>
          <w:lang w:bidi="ar-EG"/>
        </w:rPr>
        <w:t>).</w:t>
      </w:r>
      <w:r w:rsidR="003275AF" w:rsidRPr="00F30381">
        <w:rPr>
          <w:rFonts w:hint="cs"/>
          <w:spacing w:val="-2"/>
          <w:rtl/>
          <w:lang w:bidi="ar-EG"/>
        </w:rPr>
        <w:t xml:space="preserve"> واستهدفت هذه الأنشطة التوعية بأعمال الاتحاد، ولا سيما المكتب، وتعزيز فرص الشراكة وتعبئة الموارد. ومن المقرر مواصلة </w:t>
      </w:r>
      <w:r w:rsidR="00EC36FD" w:rsidRPr="00F30381">
        <w:rPr>
          <w:rFonts w:hint="cs"/>
          <w:spacing w:val="-2"/>
          <w:rtl/>
          <w:lang w:bidi="ar-EG"/>
        </w:rPr>
        <w:t>صقل</w:t>
      </w:r>
      <w:r w:rsidR="003275AF" w:rsidRPr="00F30381">
        <w:rPr>
          <w:rFonts w:hint="cs"/>
          <w:spacing w:val="-2"/>
          <w:rtl/>
          <w:lang w:bidi="ar-EG"/>
        </w:rPr>
        <w:t xml:space="preserve"> استراتيجية المكتب لتعبئة الموارد بحيث تراعي النتائج المحرَزة خلال المعتكفات </w:t>
      </w:r>
      <w:r w:rsidR="00633E3D" w:rsidRPr="00F30381">
        <w:rPr>
          <w:rFonts w:hint="cs"/>
          <w:spacing w:val="-2"/>
          <w:rtl/>
          <w:lang w:bidi="ar-EG"/>
        </w:rPr>
        <w:t>السابقة والمقبلة لإدارة المكتب.</w:t>
      </w:r>
    </w:p>
    <w:p w:rsidR="00E6698C" w:rsidRPr="00E6698C" w:rsidRDefault="008A3E89" w:rsidP="008C4172">
      <w:pPr>
        <w:rPr>
          <w:rtl/>
          <w:lang w:bidi="ar-EG"/>
        </w:rPr>
      </w:pPr>
      <w:r w:rsidRPr="00F72B06">
        <w:rPr>
          <w:rFonts w:hint="cs"/>
          <w:rtl/>
          <w:lang w:bidi="ar-EG"/>
        </w:rPr>
        <w:t>إضافةً إلى ذلك، تُحدَّث بانتظام</w:t>
      </w:r>
      <w:r w:rsidR="00E6698C" w:rsidRPr="00F72B06">
        <w:rPr>
          <w:rFonts w:hint="cs"/>
          <w:rtl/>
          <w:lang w:bidi="ar"/>
        </w:rPr>
        <w:t xml:space="preserve"> قاعدة بيانات اتفاقات الشراكة</w:t>
      </w:r>
      <w:r w:rsidRPr="00F72B06">
        <w:rPr>
          <w:rFonts w:hint="cs"/>
          <w:rtl/>
          <w:lang w:bidi="ar"/>
        </w:rPr>
        <w:t>،</w:t>
      </w:r>
      <w:r w:rsidR="00E6698C" w:rsidRPr="00F72B06">
        <w:rPr>
          <w:rFonts w:hint="cs"/>
          <w:rtl/>
          <w:lang w:bidi="ar"/>
        </w:rPr>
        <w:t xml:space="preserve"> </w:t>
      </w:r>
      <w:r w:rsidR="00A32C2C">
        <w:rPr>
          <w:rFonts w:hint="cs"/>
          <w:rtl/>
          <w:lang w:bidi="ar"/>
        </w:rPr>
        <w:t xml:space="preserve">التي </w:t>
      </w:r>
      <w:r w:rsidR="0058075A">
        <w:rPr>
          <w:rFonts w:hint="cs"/>
          <w:rtl/>
          <w:lang w:bidi="ar"/>
        </w:rPr>
        <w:t>تشكل نظاماً</w:t>
      </w:r>
      <w:r w:rsidR="00E6698C" w:rsidRPr="00F72B06">
        <w:rPr>
          <w:rFonts w:hint="cs"/>
          <w:rtl/>
          <w:lang w:bidi="ar"/>
        </w:rPr>
        <w:t xml:space="preserve"> </w:t>
      </w:r>
      <w:r w:rsidRPr="00F72B06">
        <w:rPr>
          <w:rFonts w:hint="cs"/>
          <w:rtl/>
          <w:lang w:bidi="ar"/>
        </w:rPr>
        <w:t xml:space="preserve">لحفظ سجلات </w:t>
      </w:r>
      <w:r w:rsidR="00E6698C" w:rsidRPr="00F72B06">
        <w:rPr>
          <w:rFonts w:hint="cs"/>
          <w:rtl/>
          <w:lang w:bidi="ar"/>
        </w:rPr>
        <w:t xml:space="preserve">جميع الاتفاقات التي </w:t>
      </w:r>
      <w:r w:rsidR="00EC36FD">
        <w:rPr>
          <w:rFonts w:hint="cs"/>
          <w:rtl/>
          <w:lang w:bidi="ar"/>
        </w:rPr>
        <w:t>وقّعها</w:t>
      </w:r>
      <w:r w:rsidR="0058075A">
        <w:rPr>
          <w:rFonts w:hint="cs"/>
          <w:rtl/>
          <w:lang w:bidi="ar"/>
        </w:rPr>
        <w:t xml:space="preserve"> </w:t>
      </w:r>
      <w:r w:rsidR="00F72B06" w:rsidRPr="00F72B06">
        <w:rPr>
          <w:rFonts w:hint="cs"/>
          <w:rtl/>
          <w:lang w:bidi="ar"/>
        </w:rPr>
        <w:t>المكتب مع</w:t>
      </w:r>
      <w:r w:rsidR="00E6698C" w:rsidRPr="00F72B06">
        <w:rPr>
          <w:rFonts w:hint="cs"/>
          <w:rtl/>
          <w:lang w:bidi="ar"/>
        </w:rPr>
        <w:t xml:space="preserve"> مختلف أصحاب المصلحة.</w:t>
      </w:r>
      <w:r w:rsidR="00F72B06" w:rsidRPr="00F72B06">
        <w:rPr>
          <w:rFonts w:hint="cs"/>
          <w:rtl/>
          <w:lang w:bidi="ar"/>
        </w:rPr>
        <w:t xml:space="preserve"> ولدى المكتب أداة بحث تمكّن موظفيه من تحديد الشركاء المحتملين في الأنشطة والمشاريع والمبادرات</w:t>
      </w:r>
      <w:r w:rsidR="008C4172">
        <w:rPr>
          <w:rFonts w:hint="eastAsia"/>
          <w:rtl/>
          <w:lang w:bidi="ar"/>
        </w:rPr>
        <w:t> </w:t>
      </w:r>
      <w:r w:rsidR="00F72B06" w:rsidRPr="00F72B06">
        <w:rPr>
          <w:rFonts w:hint="cs"/>
          <w:rtl/>
          <w:lang w:bidi="ar"/>
        </w:rPr>
        <w:t>المقبلة.</w:t>
      </w:r>
    </w:p>
    <w:p w:rsidR="00E01C74" w:rsidRPr="00FF0BCA" w:rsidRDefault="00E01C74" w:rsidP="00633E3D">
      <w:pPr>
        <w:pStyle w:val="Heading1"/>
        <w:rPr>
          <w:rtl/>
        </w:rPr>
      </w:pPr>
      <w:r w:rsidRPr="00FF0BCA">
        <w:lastRenderedPageBreak/>
        <w:t>5</w:t>
      </w:r>
      <w:r w:rsidRPr="00FF0BCA">
        <w:rPr>
          <w:rtl/>
        </w:rPr>
        <w:tab/>
      </w:r>
      <w:r w:rsidRPr="00FF0BCA">
        <w:rPr>
          <w:rFonts w:hint="cs"/>
          <w:rtl/>
        </w:rPr>
        <w:t>آفاق المستقبل</w:t>
      </w:r>
    </w:p>
    <w:p w:rsidR="00E6698C" w:rsidRPr="003B214F" w:rsidRDefault="008B5110" w:rsidP="00633E3D">
      <w:pPr>
        <w:keepNext/>
        <w:keepLines/>
        <w:rPr>
          <w:lang w:bidi="ar-EG"/>
        </w:rPr>
      </w:pPr>
      <w:r>
        <w:rPr>
          <w:rFonts w:hint="cs"/>
          <w:rtl/>
          <w:lang w:bidi="ar-EG"/>
        </w:rPr>
        <w:t>تعمل مديرة مكتب تنمية الاتصالات حالياً على مراجعة نهج المكتب في تعبئة الموارد</w:t>
      </w:r>
      <w:r w:rsidR="003B214F">
        <w:rPr>
          <w:rFonts w:hint="cs"/>
          <w:rtl/>
          <w:lang w:bidi="ar-EG"/>
        </w:rPr>
        <w:t xml:space="preserve"> والرعاية وإقامة الشراكات وتنفيذ المشاريع. </w:t>
      </w:r>
      <w:r w:rsidR="003B214F" w:rsidRPr="003B214F">
        <w:rPr>
          <w:rFonts w:hint="cs"/>
          <w:rtl/>
          <w:lang w:bidi="ar-EG"/>
        </w:rPr>
        <w:t xml:space="preserve">وستناقَش هذه المسألة خلال المعتكف </w:t>
      </w:r>
      <w:r w:rsidR="003B214F">
        <w:rPr>
          <w:rFonts w:hint="cs"/>
          <w:rtl/>
          <w:lang w:bidi="ar-EG"/>
        </w:rPr>
        <w:t>قُبيل</w:t>
      </w:r>
      <w:r w:rsidR="003B214F" w:rsidRPr="003B214F">
        <w:rPr>
          <w:rFonts w:hint="cs"/>
          <w:rtl/>
          <w:lang w:bidi="ar-EG"/>
        </w:rPr>
        <w:t xml:space="preserve"> </w:t>
      </w:r>
      <w:r w:rsidR="003B214F">
        <w:rPr>
          <w:rFonts w:hint="cs"/>
          <w:rtl/>
          <w:lang w:bidi="ar-EG"/>
        </w:rPr>
        <w:t xml:space="preserve">انعقاد </w:t>
      </w:r>
      <w:r w:rsidR="003B214F" w:rsidRPr="003B214F">
        <w:rPr>
          <w:rFonts w:hint="cs"/>
          <w:rtl/>
          <w:lang w:bidi="ar-EG"/>
        </w:rPr>
        <w:t>اجتماع الفريق الاستشاري.</w:t>
      </w:r>
    </w:p>
    <w:p w:rsidR="00E01C74" w:rsidRPr="00E6698C" w:rsidRDefault="003B214F" w:rsidP="00633E3D">
      <w:pPr>
        <w:rPr>
          <w:rtl/>
          <w:lang w:bidi="ar-EG"/>
        </w:rPr>
      </w:pPr>
      <w:r w:rsidRPr="003B214F">
        <w:rPr>
          <w:rFonts w:hint="cs"/>
          <w:rtl/>
          <w:lang w:bidi="ar-EG"/>
        </w:rPr>
        <w:t>وبالنظر إلى ما</w:t>
      </w:r>
      <w:r w:rsidR="00633E3D">
        <w:rPr>
          <w:rFonts w:hint="eastAsia"/>
          <w:rtl/>
          <w:lang w:bidi="ar-EG"/>
        </w:rPr>
        <w:t> </w:t>
      </w:r>
      <w:r w:rsidRPr="003B214F">
        <w:rPr>
          <w:rFonts w:hint="cs"/>
          <w:rtl/>
          <w:lang w:bidi="ar-EG"/>
        </w:rPr>
        <w:t xml:space="preserve">تقدم، سيواصل المكتب تحسين </w:t>
      </w:r>
      <w:r w:rsidR="00E01C74" w:rsidRPr="003B214F">
        <w:rPr>
          <w:rFonts w:hint="cs"/>
          <w:rtl/>
          <w:lang w:bidi="ar-EG"/>
        </w:rPr>
        <w:t>أدواته</w:t>
      </w:r>
      <w:r w:rsidRPr="003B214F">
        <w:rPr>
          <w:rFonts w:hint="cs"/>
          <w:rtl/>
          <w:lang w:bidi="ar-EG"/>
        </w:rPr>
        <w:t xml:space="preserve"> وخدماته المتعلقة ب</w:t>
      </w:r>
      <w:r w:rsidR="00E01C74" w:rsidRPr="003B214F">
        <w:rPr>
          <w:rFonts w:hint="cs"/>
          <w:rtl/>
          <w:lang w:bidi="ar-EG"/>
        </w:rPr>
        <w:t>تعبئة الموارد</w:t>
      </w:r>
      <w:r w:rsidRPr="003B214F">
        <w:rPr>
          <w:rFonts w:hint="cs"/>
          <w:rtl/>
          <w:lang w:bidi="ar-EG"/>
        </w:rPr>
        <w:t xml:space="preserve"> وتعزيز</w:t>
      </w:r>
      <w:r>
        <w:rPr>
          <w:rFonts w:hint="cs"/>
          <w:rtl/>
          <w:lang w:bidi="ar-EG"/>
        </w:rPr>
        <w:t xml:space="preserve"> علاقات التعاون مع ال</w:t>
      </w:r>
      <w:r w:rsidR="00E01C74" w:rsidRPr="00E6698C">
        <w:rPr>
          <w:rFonts w:hint="cs"/>
          <w:rtl/>
          <w:lang w:bidi="ar-EG"/>
        </w:rPr>
        <w:t>شركاء التقليديين وغير</w:t>
      </w:r>
      <w:r w:rsidR="00E01C74" w:rsidRPr="00E6698C">
        <w:rPr>
          <w:rFonts w:hint="eastAsia"/>
          <w:rtl/>
          <w:lang w:bidi="ar-EG"/>
        </w:rPr>
        <w:t> </w:t>
      </w:r>
      <w:r w:rsidR="00E01C74" w:rsidRPr="00E6698C">
        <w:rPr>
          <w:rFonts w:hint="cs"/>
          <w:rtl/>
          <w:lang w:bidi="ar-EG"/>
        </w:rPr>
        <w:t>التقليديين من قطاع الاتصالات/تكنولوجيا المعلومات والاتصالات وخارجه في</w:t>
      </w:r>
      <w:r w:rsidR="007F1F89">
        <w:rPr>
          <w:rFonts w:hint="cs"/>
          <w:rtl/>
          <w:lang w:bidi="ar-EG"/>
        </w:rPr>
        <w:t xml:space="preserve"> إطار</w:t>
      </w:r>
      <w:r w:rsidR="00E01C74" w:rsidRPr="00E6698C">
        <w:rPr>
          <w:rFonts w:hint="cs"/>
          <w:rtl/>
          <w:lang w:bidi="ar-EG"/>
        </w:rPr>
        <w:t xml:space="preserve"> النظام الإيكولوجي </w:t>
      </w:r>
      <w:r w:rsidR="00EC36FD">
        <w:rPr>
          <w:rFonts w:hint="cs"/>
          <w:rtl/>
          <w:lang w:bidi="ar-EG"/>
        </w:rPr>
        <w:t>الذي يتّسم بالتّقارب</w:t>
      </w:r>
      <w:r>
        <w:rPr>
          <w:rFonts w:hint="cs"/>
          <w:rtl/>
          <w:lang w:bidi="ar-EG"/>
        </w:rPr>
        <w:t>، من أجل تنفيذ مشاريع ومبادرات عالمية وإقليمية وو</w:t>
      </w:r>
      <w:r w:rsidR="00E01C74" w:rsidRPr="00E6698C">
        <w:rPr>
          <w:rFonts w:hint="cs"/>
          <w:rtl/>
          <w:lang w:bidi="ar-EG"/>
        </w:rPr>
        <w:t>طنية، بما في ذلك المبادرات الإقليمية.</w:t>
      </w:r>
    </w:p>
    <w:p w:rsidR="00E01C74" w:rsidRDefault="00E01C74" w:rsidP="00633E3D">
      <w:pPr>
        <w:rPr>
          <w:rtl/>
          <w:lang w:bidi="ar-EG"/>
        </w:rPr>
      </w:pPr>
      <w:r w:rsidRPr="008A3E89">
        <w:rPr>
          <w:rFonts w:hint="cs"/>
          <w:rtl/>
          <w:lang w:bidi="ar-EG"/>
        </w:rPr>
        <w:t>وي</w:t>
      </w:r>
      <w:r w:rsidR="008A3E89" w:rsidRPr="008A3E89">
        <w:rPr>
          <w:rFonts w:hint="cs"/>
          <w:rtl/>
          <w:lang w:bidi="ar-EG"/>
        </w:rPr>
        <w:t>ُ</w:t>
      </w:r>
      <w:r w:rsidRPr="008A3E89">
        <w:rPr>
          <w:rFonts w:hint="cs"/>
          <w:rtl/>
          <w:lang w:bidi="ar-EG"/>
        </w:rPr>
        <w:t xml:space="preserve">دعى أعضاء الاتحاد إلى الدخول في شراكة مع </w:t>
      </w:r>
      <w:r w:rsidR="008A3E89" w:rsidRPr="008A3E89">
        <w:rPr>
          <w:rFonts w:hint="cs"/>
          <w:rtl/>
          <w:lang w:bidi="ar-EG"/>
        </w:rPr>
        <w:t>ال</w:t>
      </w:r>
      <w:r w:rsidRPr="008A3E89">
        <w:rPr>
          <w:rFonts w:hint="cs"/>
          <w:rtl/>
          <w:lang w:bidi="ar-EG"/>
        </w:rPr>
        <w:t>مكتب من أجل تحقيق النتائج التي حددها المؤتمر</w:t>
      </w:r>
      <w:r w:rsidR="00EC36FD">
        <w:rPr>
          <w:rFonts w:hint="cs"/>
          <w:rtl/>
          <w:lang w:bidi="ar-EG"/>
        </w:rPr>
        <w:t xml:space="preserve"> العالمي لتنمية الاتصالات لعام</w:t>
      </w:r>
      <w:r w:rsidR="00EC36FD">
        <w:rPr>
          <w:rFonts w:hint="eastAsia"/>
          <w:rtl/>
          <w:lang w:bidi="ar-EG"/>
        </w:rPr>
        <w:t> </w:t>
      </w:r>
      <w:r w:rsidR="00EC36FD">
        <w:rPr>
          <w:lang w:bidi="ar-EG"/>
        </w:rPr>
        <w:t>2017</w:t>
      </w:r>
      <w:r w:rsidRPr="008A3E89">
        <w:rPr>
          <w:rFonts w:hint="cs"/>
          <w:rtl/>
          <w:lang w:bidi="ar-EG"/>
        </w:rPr>
        <w:t xml:space="preserve"> وأهداف القمة العالمية</w:t>
      </w:r>
      <w:r w:rsidR="00EC36FD">
        <w:rPr>
          <w:rFonts w:hint="cs"/>
          <w:rtl/>
          <w:lang w:bidi="ar-EG"/>
        </w:rPr>
        <w:t xml:space="preserve"> لمجتمع المعلومات</w:t>
      </w:r>
      <w:r w:rsidRPr="008A3E89">
        <w:rPr>
          <w:rFonts w:hint="cs"/>
          <w:rtl/>
          <w:lang w:bidi="ar-EG"/>
        </w:rPr>
        <w:t xml:space="preserve"> </w:t>
      </w:r>
      <w:r w:rsidR="00EC36FD">
        <w:rPr>
          <w:rFonts w:hint="cs"/>
          <w:rtl/>
          <w:lang w:bidi="ar-EG"/>
        </w:rPr>
        <w:t>وغايات</w:t>
      </w:r>
      <w:r w:rsidR="008A3E89" w:rsidRPr="008A3E89">
        <w:rPr>
          <w:rFonts w:hint="cs"/>
          <w:rtl/>
          <w:lang w:bidi="ar-EG"/>
        </w:rPr>
        <w:t xml:space="preserve"> مؤتمر المندوبين المفوضين لعام</w:t>
      </w:r>
      <w:r w:rsidR="00EC36FD">
        <w:rPr>
          <w:rFonts w:hint="eastAsia"/>
          <w:rtl/>
          <w:lang w:bidi="ar-EG"/>
        </w:rPr>
        <w:t> </w:t>
      </w:r>
      <w:r w:rsidR="008A3E89" w:rsidRPr="008A3E89">
        <w:rPr>
          <w:lang w:val="es-ES" w:bidi="ar-EG"/>
        </w:rPr>
        <w:t>2018</w:t>
      </w:r>
      <w:r w:rsidR="008A3E89" w:rsidRPr="008A3E89">
        <w:rPr>
          <w:rFonts w:hint="cs"/>
          <w:rtl/>
          <w:lang w:bidi="ar-EG"/>
        </w:rPr>
        <w:t>، و</w:t>
      </w:r>
      <w:r w:rsidR="0058075A">
        <w:rPr>
          <w:rFonts w:hint="cs"/>
          <w:rtl/>
          <w:lang w:bidi="ar-EG"/>
        </w:rPr>
        <w:t xml:space="preserve">خاصة </w:t>
      </w:r>
      <w:r w:rsidR="00EC36FD">
        <w:rPr>
          <w:rFonts w:hint="cs"/>
          <w:rtl/>
          <w:lang w:bidi="ar-EG"/>
        </w:rPr>
        <w:t>الغاية</w:t>
      </w:r>
      <w:r w:rsidR="00633E3D">
        <w:rPr>
          <w:rFonts w:hint="eastAsia"/>
          <w:rtl/>
          <w:lang w:bidi="ar-EG"/>
        </w:rPr>
        <w:t> </w:t>
      </w:r>
      <w:r w:rsidR="008A3E89" w:rsidRPr="008A3E89">
        <w:rPr>
          <w:lang w:val="es-ES" w:bidi="ar-EG"/>
        </w:rPr>
        <w:t>5</w:t>
      </w:r>
      <w:r w:rsidR="008A3E89" w:rsidRPr="008A3E89">
        <w:rPr>
          <w:rFonts w:hint="cs"/>
          <w:rtl/>
          <w:lang w:bidi="ar-EG"/>
        </w:rPr>
        <w:t xml:space="preserve"> منها، </w:t>
      </w:r>
      <w:r w:rsidR="008A3E89">
        <w:rPr>
          <w:rFonts w:hint="cs"/>
          <w:rtl/>
          <w:lang w:bidi="ar-EG"/>
        </w:rPr>
        <w:t xml:space="preserve">وكذلك إلى </w:t>
      </w:r>
      <w:r w:rsidRPr="008A3E89">
        <w:rPr>
          <w:rFonts w:hint="cs"/>
          <w:rtl/>
          <w:lang w:bidi="ar-EG"/>
        </w:rPr>
        <w:t>الإسهام في تحقيق أهداف التنمية المستدامة</w:t>
      </w:r>
      <w:r w:rsidRPr="008A3E89">
        <w:rPr>
          <w:rFonts w:hint="eastAsia"/>
          <w:rtl/>
          <w:lang w:bidi="ar-EG"/>
        </w:rPr>
        <w:t> </w:t>
      </w:r>
      <w:r w:rsidRPr="008A3E89">
        <w:rPr>
          <w:lang w:bidi="ar-EG"/>
        </w:rPr>
        <w:t>(SDG)</w:t>
      </w:r>
      <w:r w:rsidR="008A3E89">
        <w:rPr>
          <w:rFonts w:hint="cs"/>
          <w:rtl/>
          <w:lang w:bidi="ar-EG"/>
        </w:rPr>
        <w:t xml:space="preserve">، مع أخذ </w:t>
      </w:r>
      <w:r w:rsidRPr="008A3E89">
        <w:rPr>
          <w:rFonts w:hint="cs"/>
          <w:rtl/>
          <w:lang w:bidi="ar-EG"/>
        </w:rPr>
        <w:t>الهدف </w:t>
      </w:r>
      <w:r w:rsidRPr="008A3E89">
        <w:rPr>
          <w:lang w:bidi="ar-EG"/>
        </w:rPr>
        <w:t>17</w:t>
      </w:r>
      <w:r w:rsidRPr="008A3E89">
        <w:rPr>
          <w:rFonts w:hint="cs"/>
          <w:rtl/>
          <w:lang w:bidi="ar-EG"/>
        </w:rPr>
        <w:t xml:space="preserve"> من</w:t>
      </w:r>
      <w:r w:rsidR="008A3E89">
        <w:rPr>
          <w:rFonts w:hint="cs"/>
          <w:rtl/>
          <w:lang w:bidi="ar-EG"/>
        </w:rPr>
        <w:t>ها في الحسبان</w:t>
      </w:r>
      <w:r w:rsidR="0058075A">
        <w:rPr>
          <w:rFonts w:hint="cs"/>
          <w:rtl/>
          <w:lang w:bidi="ar-EG"/>
        </w:rPr>
        <w:t xml:space="preserve"> </w:t>
      </w:r>
      <w:r w:rsidR="0058075A">
        <w:rPr>
          <w:rFonts w:hint="cs"/>
          <w:sz w:val="20"/>
          <w:szCs w:val="28"/>
          <w:rtl/>
          <w:lang w:bidi="ar-EG"/>
        </w:rPr>
        <w:t>بوجه</w:t>
      </w:r>
      <w:r w:rsidR="00EC36FD">
        <w:rPr>
          <w:rFonts w:hint="cs"/>
          <w:rtl/>
          <w:lang w:bidi="ar-EG"/>
        </w:rPr>
        <w:t xml:space="preserve"> خاص</w:t>
      </w:r>
      <w:r w:rsidRPr="008A3E89">
        <w:rPr>
          <w:rFonts w:hint="cs"/>
          <w:rtl/>
          <w:lang w:bidi="ar-EG"/>
        </w:rPr>
        <w:t>.</w:t>
      </w:r>
    </w:p>
    <w:p w:rsidR="00CB30F8" w:rsidRDefault="00752F2D" w:rsidP="00752F2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01" w:rsidRDefault="005D4A01" w:rsidP="00E07379">
      <w:pPr>
        <w:spacing w:before="0" w:line="240" w:lineRule="auto"/>
      </w:pPr>
      <w:r>
        <w:separator/>
      </w:r>
    </w:p>
  </w:endnote>
  <w:endnote w:type="continuationSeparator" w:id="0">
    <w:p w:rsidR="005D4A01" w:rsidRDefault="005D4A0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DD" w:rsidRPr="0028396F" w:rsidRDefault="007074DD" w:rsidP="00CA21AD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28396F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633E3D">
      <w:rPr>
        <w:noProof/>
        <w:lang w:val="es-ES"/>
      </w:rPr>
      <w:t>P:\ARA\ITU-D\CONF-D\TDAG19\000\021A.docx</w:t>
    </w:r>
    <w:r>
      <w:rPr>
        <w:noProof/>
      </w:rPr>
      <w:fldChar w:fldCharType="end"/>
    </w:r>
    <w:r w:rsidRPr="0028396F">
      <w:rPr>
        <w:lang w:val="es-ES"/>
      </w:rPr>
      <w:t xml:space="preserve">   (449227)</w:t>
    </w:r>
    <w:r w:rsidRPr="0028396F">
      <w:rPr>
        <w:lang w:val="es-ES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2C0393">
      <w:rPr>
        <w:noProof/>
      </w:rPr>
      <w:t>28.03.19</w:t>
    </w:r>
    <w:r w:rsidRPr="00665956">
      <w:fldChar w:fldCharType="end"/>
    </w:r>
    <w:r w:rsidRPr="0028396F">
      <w:rPr>
        <w:lang w:val="es-ES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633E3D">
      <w:rPr>
        <w:noProof/>
      </w:rPr>
      <w:t>26.03.19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7074DD" w:rsidRPr="00901F9F" w:rsidTr="007074DD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074DD" w:rsidRPr="00901F9F" w:rsidRDefault="007074DD" w:rsidP="00E01C74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074DD" w:rsidRPr="00901F9F" w:rsidRDefault="007074DD" w:rsidP="00E01C74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7074DD" w:rsidRPr="005F7EB3" w:rsidRDefault="007074DD" w:rsidP="00E01C74">
          <w:pPr>
            <w:spacing w:after="60" w:line="260" w:lineRule="exac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</w:rPr>
            <w:t xml:space="preserve">الدكتورة </w:t>
          </w:r>
          <w:r w:rsidRPr="005F7EB3">
            <w:rPr>
              <w:rFonts w:hint="eastAsia"/>
              <w:sz w:val="20"/>
              <w:szCs w:val="26"/>
              <w:rtl/>
            </w:rPr>
            <w:t>أون</w:t>
          </w:r>
          <w:r w:rsidRPr="005F7EB3">
            <w:rPr>
              <w:sz w:val="20"/>
              <w:szCs w:val="26"/>
              <w:rtl/>
            </w:rPr>
            <w:t>-</w:t>
          </w:r>
          <w:r>
            <w:rPr>
              <w:rFonts w:hint="eastAsia"/>
              <w:sz w:val="20"/>
              <w:szCs w:val="26"/>
              <w:rtl/>
            </w:rPr>
            <w:t>ج</w:t>
          </w:r>
          <w:r>
            <w:rPr>
              <w:rFonts w:hint="cs"/>
              <w:sz w:val="20"/>
              <w:szCs w:val="26"/>
              <w:rtl/>
            </w:rPr>
            <w:t>و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كيم،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رئيسة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دائرة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الابتكارات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والشراكات،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مكتب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تنمية</w:t>
          </w:r>
          <w:r w:rsidRPr="005F7EB3">
            <w:rPr>
              <w:sz w:val="20"/>
              <w:szCs w:val="26"/>
              <w:rtl/>
            </w:rPr>
            <w:t xml:space="preserve"> </w:t>
          </w:r>
          <w:r w:rsidRPr="005F7EB3">
            <w:rPr>
              <w:rFonts w:hint="eastAsia"/>
              <w:sz w:val="20"/>
              <w:szCs w:val="26"/>
              <w:rtl/>
            </w:rPr>
            <w:t>الاتصالات</w:t>
          </w:r>
        </w:p>
      </w:tc>
    </w:tr>
    <w:tr w:rsidR="007074DD" w:rsidRPr="00901F9F" w:rsidTr="007074DD">
      <w:tc>
        <w:tcPr>
          <w:tcW w:w="1298" w:type="dxa"/>
        </w:tcPr>
        <w:p w:rsidR="007074DD" w:rsidRPr="00901F9F" w:rsidRDefault="007074DD" w:rsidP="00E01C74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7074DD" w:rsidRPr="00901F9F" w:rsidRDefault="007074DD" w:rsidP="00E01C74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7074DD" w:rsidRPr="005F7EB3" w:rsidRDefault="007074DD" w:rsidP="00E01C74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5F7EB3">
            <w:rPr>
              <w:sz w:val="20"/>
              <w:szCs w:val="26"/>
              <w:lang w:bidi="ar-EG"/>
            </w:rPr>
            <w:t>+41</w:t>
          </w:r>
          <w:r>
            <w:rPr>
              <w:sz w:val="20"/>
              <w:szCs w:val="26"/>
              <w:lang w:bidi="ar-EG"/>
            </w:rPr>
            <w:t> </w:t>
          </w:r>
          <w:r w:rsidRPr="005F7EB3">
            <w:rPr>
              <w:sz w:val="20"/>
              <w:szCs w:val="26"/>
              <w:lang w:bidi="ar-EG"/>
            </w:rPr>
            <w:t>22</w:t>
          </w:r>
          <w:r>
            <w:rPr>
              <w:sz w:val="20"/>
              <w:szCs w:val="26"/>
              <w:lang w:bidi="ar-EG"/>
            </w:rPr>
            <w:t> </w:t>
          </w:r>
          <w:r w:rsidRPr="005F7EB3">
            <w:rPr>
              <w:sz w:val="20"/>
              <w:szCs w:val="26"/>
              <w:lang w:bidi="ar-EG"/>
            </w:rPr>
            <w:t>730</w:t>
          </w:r>
          <w:r>
            <w:rPr>
              <w:sz w:val="20"/>
              <w:szCs w:val="26"/>
              <w:lang w:bidi="ar-EG"/>
            </w:rPr>
            <w:t> </w:t>
          </w:r>
          <w:r w:rsidRPr="005F7EB3">
            <w:rPr>
              <w:sz w:val="20"/>
              <w:szCs w:val="26"/>
              <w:lang w:bidi="ar-EG"/>
            </w:rPr>
            <w:t>5900</w:t>
          </w:r>
        </w:p>
      </w:tc>
    </w:tr>
    <w:tr w:rsidR="007074DD" w:rsidRPr="00901F9F" w:rsidTr="007074DD">
      <w:tc>
        <w:tcPr>
          <w:tcW w:w="1298" w:type="dxa"/>
        </w:tcPr>
        <w:p w:rsidR="007074DD" w:rsidRPr="00901F9F" w:rsidRDefault="007074DD" w:rsidP="00E01C74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7074DD" w:rsidRPr="00901F9F" w:rsidRDefault="007074DD" w:rsidP="00E01C74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7074DD" w:rsidRPr="005F7EB3" w:rsidRDefault="00CC1EAC" w:rsidP="00E01C74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7074DD" w:rsidRPr="005F7EB3">
              <w:rPr>
                <w:rStyle w:val="Hyperlink"/>
                <w:sz w:val="20"/>
                <w:szCs w:val="26"/>
                <w:lang w:bidi="ar-EG"/>
              </w:rPr>
              <w:t>eun-ju.kim@itu.int</w:t>
            </w:r>
          </w:hyperlink>
        </w:p>
      </w:tc>
    </w:tr>
  </w:tbl>
  <w:p w:rsidR="007074DD" w:rsidRPr="002C0393" w:rsidRDefault="00CC1EAC" w:rsidP="00CE6AED">
    <w:pPr>
      <w:bidi w:val="0"/>
      <w:spacing w:before="240" w:line="240" w:lineRule="auto"/>
      <w:jc w:val="center"/>
      <w:rPr>
        <w:rFonts w:eastAsiaTheme="minorEastAsia"/>
        <w:sz w:val="12"/>
        <w:szCs w:val="20"/>
        <w:rtl/>
        <w:lang w:val="ru-RU" w:eastAsia="zh-CN"/>
      </w:rPr>
    </w:pPr>
    <w:hyperlink r:id="rId2" w:history="1">
      <w:r w:rsidR="007074DD" w:rsidRPr="002C0393">
        <w:rPr>
          <w:rFonts w:cs="Times New Roman"/>
          <w:color w:val="0000FF"/>
          <w:sz w:val="20"/>
          <w:szCs w:val="20"/>
          <w:u w:val="single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01" w:rsidRDefault="005D4A01" w:rsidP="00E07379">
      <w:pPr>
        <w:spacing w:before="0" w:line="240" w:lineRule="auto"/>
      </w:pPr>
      <w:r>
        <w:separator/>
      </w:r>
    </w:p>
  </w:footnote>
  <w:footnote w:type="continuationSeparator" w:id="0">
    <w:p w:rsidR="005D4A01" w:rsidRDefault="005D4A01" w:rsidP="00E07379">
      <w:pPr>
        <w:spacing w:before="0" w:line="240" w:lineRule="auto"/>
      </w:pPr>
      <w:r>
        <w:continuationSeparator/>
      </w:r>
    </w:p>
  </w:footnote>
  <w:footnote w:id="1">
    <w:p w:rsidR="007074DD" w:rsidRDefault="007074DD" w:rsidP="008C4172">
      <w:pPr>
        <w:pStyle w:val="FootnoteText"/>
      </w:pPr>
      <w:r>
        <w:rPr>
          <w:rStyle w:val="FootnoteReference"/>
        </w:rPr>
        <w:footnoteRef/>
      </w:r>
      <w:r w:rsidR="008C4172">
        <w:tab/>
      </w:r>
      <w:r>
        <w:rPr>
          <w:rFonts w:hint="cs"/>
          <w:rtl/>
          <w:lang w:bidi="ar"/>
        </w:rPr>
        <w:t xml:space="preserve">مذكرات تفاهم، اتفاقات تعاون، وثائق </w:t>
      </w:r>
      <w:r w:rsidRPr="00CA21AD">
        <w:rPr>
          <w:rFonts w:hint="cs"/>
          <w:rtl/>
          <w:lang w:bidi="ar"/>
        </w:rPr>
        <w:t>مشاريع</w:t>
      </w:r>
      <w:r>
        <w:rPr>
          <w:rFonts w:hint="cs"/>
          <w:rtl/>
          <w:lang w:bidi="ar"/>
        </w:rPr>
        <w:t xml:space="preserve">، اتفاقات مساهمات طوعية، اتفاقات </w:t>
      </w:r>
      <w:r w:rsidRPr="00CA21AD">
        <w:rPr>
          <w:rFonts w:hint="cs"/>
          <w:rtl/>
          <w:lang w:bidi="ar"/>
        </w:rPr>
        <w:t xml:space="preserve">رعاية، </w:t>
      </w:r>
      <w:r>
        <w:rPr>
          <w:rFonts w:hint="cs"/>
          <w:rtl/>
          <w:lang w:bidi="ar"/>
        </w:rPr>
        <w:t>إلخ.</w:t>
      </w:r>
    </w:p>
  </w:footnote>
  <w:footnote w:id="2">
    <w:p w:rsidR="00574777" w:rsidRPr="00F41F69" w:rsidRDefault="00574777" w:rsidP="008C4172">
      <w:pPr>
        <w:pStyle w:val="FootnoteText"/>
        <w:tabs>
          <w:tab w:val="clear" w:pos="372"/>
          <w:tab w:val="left" w:pos="567"/>
        </w:tabs>
        <w:ind w:left="425" w:hanging="425"/>
        <w:jc w:val="left"/>
      </w:pPr>
      <w:r>
        <w:rPr>
          <w:rStyle w:val="FootnoteReference"/>
        </w:rPr>
        <w:footnoteRef/>
      </w:r>
      <w:r w:rsidR="008C4172">
        <w:tab/>
      </w:r>
      <w:r>
        <w:rPr>
          <w:rFonts w:hint="cs"/>
          <w:rtl/>
        </w:rPr>
        <w:t>(أ) اتفاقات ومشاريع تقدَّم في إطارها مساهمات نقدية، (ب) اتفاقات ومشاريع لا تقدَّم في إطارها مساهمات نقدية، (ج) اتفاقات رعاية، (د)</w:t>
      </w:r>
      <w:r w:rsidR="00F41F69">
        <w:rPr>
          <w:rFonts w:hint="cs"/>
          <w:rtl/>
        </w:rPr>
        <w:t xml:space="preserve"> </w:t>
      </w:r>
      <w:r>
        <w:rPr>
          <w:rFonts w:hint="cs"/>
          <w:rtl/>
        </w:rPr>
        <w:t>إضافات/تعديلات.</w:t>
      </w:r>
    </w:p>
  </w:footnote>
  <w:footnote w:id="3">
    <w:p w:rsidR="002C0393" w:rsidRDefault="002C0393" w:rsidP="002C03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2C0393">
        <w:rPr>
          <w:rFonts w:hint="cs"/>
          <w:rtl/>
          <w:lang w:bidi="ar-SA"/>
        </w:rPr>
        <w:t xml:space="preserve">أمانتا اتفاقيتي بازل وستوكهولم </w:t>
      </w:r>
      <w:r w:rsidRPr="002C0393">
        <w:rPr>
          <w:lang w:val="es-ES"/>
        </w:rPr>
        <w:t>(SBC/SSC)</w:t>
      </w:r>
    </w:p>
  </w:footnote>
  <w:footnote w:id="4">
    <w:p w:rsidR="002C0393" w:rsidRDefault="002C0393" w:rsidP="002C03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2C0393">
        <w:rPr>
          <w:rtl/>
          <w:lang w:bidi="ar-SA"/>
        </w:rPr>
        <w:t>الرابطة الدولية للنفايات الصلبة</w:t>
      </w:r>
      <w:r w:rsidRPr="002C0393">
        <w:rPr>
          <w:rFonts w:hint="cs"/>
          <w:rtl/>
          <w:lang w:bidi="ar-SA"/>
        </w:rPr>
        <w:t xml:space="preserve"> </w:t>
      </w:r>
      <w:r w:rsidRPr="002C0393">
        <w:rPr>
          <w:lang w:val="es-ES"/>
        </w:rPr>
        <w:t>(ISWA)</w:t>
      </w:r>
    </w:p>
  </w:footnote>
  <w:footnote w:id="5">
    <w:p w:rsidR="002C0393" w:rsidRDefault="002C0393" w:rsidP="002C039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2C0393">
        <w:rPr>
          <w:rFonts w:hint="cs"/>
          <w:rtl/>
          <w:lang w:bidi="ar-SA"/>
        </w:rPr>
        <w:t>برنامج دورات الحياة المستدامة التابع لمكتب نائب رئيس جامعة الأمم المتحدة في</w:t>
      </w:r>
      <w:r w:rsidRPr="002C0393">
        <w:rPr>
          <w:rFonts w:hint="eastAsia"/>
          <w:rtl/>
          <w:lang w:bidi="ar-SA"/>
        </w:rPr>
        <w:t> </w:t>
      </w:r>
      <w:r w:rsidRPr="002C0393">
        <w:rPr>
          <w:rFonts w:hint="cs"/>
          <w:rtl/>
          <w:lang w:bidi="ar-SA"/>
        </w:rPr>
        <w:t xml:space="preserve">أوروبا </w:t>
      </w:r>
      <w:r w:rsidRPr="002C0393">
        <w:rPr>
          <w:lang w:val="es-ES"/>
        </w:rPr>
        <w:t>(UN-</w:t>
      </w:r>
      <w:proofErr w:type="spellStart"/>
      <w:r w:rsidRPr="002C0393">
        <w:rPr>
          <w:lang w:val="es-ES"/>
        </w:rPr>
        <w:t>ViE</w:t>
      </w:r>
      <w:proofErr w:type="spellEnd"/>
      <w:r w:rsidRPr="002C0393">
        <w:rPr>
          <w:lang w:val="es-ES"/>
        </w:rPr>
        <w:t xml:space="preserve"> SCYCLE)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4DD" w:rsidRPr="00CB30F8" w:rsidRDefault="007074DD" w:rsidP="00E01C74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eastAsia="zh-CN"/>
      </w:rPr>
      <w:t>21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CC1EAC">
      <w:rPr>
        <w:rFonts w:eastAsiaTheme="minorEastAsia" w:cs="Calibri"/>
        <w:noProof/>
        <w:sz w:val="20"/>
        <w:szCs w:val="20"/>
        <w:rtl/>
        <w:lang w:val="en-GB" w:eastAsia="zh-CN"/>
      </w:rPr>
      <w:t>4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131078" w:nlCheck="1" w:checkStyle="0"/>
  <w:activeWritingStyle w:appName="MSWord" w:lang="es-ES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4"/>
    <w:rsid w:val="000124CC"/>
    <w:rsid w:val="00025B96"/>
    <w:rsid w:val="00026C92"/>
    <w:rsid w:val="00041F8B"/>
    <w:rsid w:val="00046444"/>
    <w:rsid w:val="000525CF"/>
    <w:rsid w:val="0006023B"/>
    <w:rsid w:val="0008638B"/>
    <w:rsid w:val="00090574"/>
    <w:rsid w:val="00092FC2"/>
    <w:rsid w:val="00093958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51E9E"/>
    <w:rsid w:val="00173915"/>
    <w:rsid w:val="00175117"/>
    <w:rsid w:val="001C3EC8"/>
    <w:rsid w:val="001E5473"/>
    <w:rsid w:val="0022345D"/>
    <w:rsid w:val="00225854"/>
    <w:rsid w:val="0023283D"/>
    <w:rsid w:val="002334F5"/>
    <w:rsid w:val="00252E0C"/>
    <w:rsid w:val="00276881"/>
    <w:rsid w:val="0028396F"/>
    <w:rsid w:val="002916BE"/>
    <w:rsid w:val="00293FE7"/>
    <w:rsid w:val="002978F4"/>
    <w:rsid w:val="002B028D"/>
    <w:rsid w:val="002B435E"/>
    <w:rsid w:val="002C0393"/>
    <w:rsid w:val="002C4DAE"/>
    <w:rsid w:val="002D6669"/>
    <w:rsid w:val="002E6541"/>
    <w:rsid w:val="002E69A1"/>
    <w:rsid w:val="002F0668"/>
    <w:rsid w:val="002F5560"/>
    <w:rsid w:val="0030486B"/>
    <w:rsid w:val="00305186"/>
    <w:rsid w:val="003149D5"/>
    <w:rsid w:val="003231B9"/>
    <w:rsid w:val="003243E0"/>
    <w:rsid w:val="003275AC"/>
    <w:rsid w:val="003275AF"/>
    <w:rsid w:val="00333D29"/>
    <w:rsid w:val="003409F4"/>
    <w:rsid w:val="00357185"/>
    <w:rsid w:val="00366194"/>
    <w:rsid w:val="00371AB9"/>
    <w:rsid w:val="003A1741"/>
    <w:rsid w:val="003B214F"/>
    <w:rsid w:val="003C106D"/>
    <w:rsid w:val="003C46F3"/>
    <w:rsid w:val="003C475F"/>
    <w:rsid w:val="003E4132"/>
    <w:rsid w:val="003F678F"/>
    <w:rsid w:val="003F7FC6"/>
    <w:rsid w:val="0042686F"/>
    <w:rsid w:val="004367CE"/>
    <w:rsid w:val="00443869"/>
    <w:rsid w:val="0046396F"/>
    <w:rsid w:val="004712C6"/>
    <w:rsid w:val="00497703"/>
    <w:rsid w:val="004A6675"/>
    <w:rsid w:val="004B60F0"/>
    <w:rsid w:val="004F0F06"/>
    <w:rsid w:val="00501E0E"/>
    <w:rsid w:val="005204D7"/>
    <w:rsid w:val="00530420"/>
    <w:rsid w:val="00534DF4"/>
    <w:rsid w:val="00552BC5"/>
    <w:rsid w:val="0055516A"/>
    <w:rsid w:val="00561803"/>
    <w:rsid w:val="0056374C"/>
    <w:rsid w:val="0056614F"/>
    <w:rsid w:val="00571A90"/>
    <w:rsid w:val="00574777"/>
    <w:rsid w:val="0057656F"/>
    <w:rsid w:val="00576731"/>
    <w:rsid w:val="0058075A"/>
    <w:rsid w:val="00592836"/>
    <w:rsid w:val="0059285F"/>
    <w:rsid w:val="005A24B1"/>
    <w:rsid w:val="005B1481"/>
    <w:rsid w:val="005B7B8A"/>
    <w:rsid w:val="005C7552"/>
    <w:rsid w:val="005D4A01"/>
    <w:rsid w:val="005D6476"/>
    <w:rsid w:val="005D6C0D"/>
    <w:rsid w:val="005E5283"/>
    <w:rsid w:val="005E58F5"/>
    <w:rsid w:val="005F4BF9"/>
    <w:rsid w:val="005F692D"/>
    <w:rsid w:val="00606660"/>
    <w:rsid w:val="006157A3"/>
    <w:rsid w:val="00620E60"/>
    <w:rsid w:val="0063315A"/>
    <w:rsid w:val="00633E3D"/>
    <w:rsid w:val="006528F1"/>
    <w:rsid w:val="0065591D"/>
    <w:rsid w:val="00662C5A"/>
    <w:rsid w:val="00663C41"/>
    <w:rsid w:val="00670AF5"/>
    <w:rsid w:val="00675FA4"/>
    <w:rsid w:val="006814A8"/>
    <w:rsid w:val="006B0C04"/>
    <w:rsid w:val="006C1556"/>
    <w:rsid w:val="006E4AC0"/>
    <w:rsid w:val="006F177A"/>
    <w:rsid w:val="006F267F"/>
    <w:rsid w:val="006F63F7"/>
    <w:rsid w:val="006F6F03"/>
    <w:rsid w:val="00706D7A"/>
    <w:rsid w:val="007074DD"/>
    <w:rsid w:val="00726AEC"/>
    <w:rsid w:val="00747DF8"/>
    <w:rsid w:val="00752F2D"/>
    <w:rsid w:val="007530CA"/>
    <w:rsid w:val="0079553D"/>
    <w:rsid w:val="007B01CC"/>
    <w:rsid w:val="007D4F32"/>
    <w:rsid w:val="007E00B1"/>
    <w:rsid w:val="007E7C6C"/>
    <w:rsid w:val="007F1F89"/>
    <w:rsid w:val="007F6238"/>
    <w:rsid w:val="007F646C"/>
    <w:rsid w:val="00801FCD"/>
    <w:rsid w:val="00803D7E"/>
    <w:rsid w:val="00803F08"/>
    <w:rsid w:val="008217BB"/>
    <w:rsid w:val="008235CD"/>
    <w:rsid w:val="00823A07"/>
    <w:rsid w:val="00835FEC"/>
    <w:rsid w:val="008513CB"/>
    <w:rsid w:val="00874D9C"/>
    <w:rsid w:val="00895A80"/>
    <w:rsid w:val="008A1810"/>
    <w:rsid w:val="008A3E89"/>
    <w:rsid w:val="008B40E3"/>
    <w:rsid w:val="008B5110"/>
    <w:rsid w:val="008B5B5D"/>
    <w:rsid w:val="008C4172"/>
    <w:rsid w:val="008F00A9"/>
    <w:rsid w:val="008F1E29"/>
    <w:rsid w:val="00902DFE"/>
    <w:rsid w:val="00917694"/>
    <w:rsid w:val="009263CD"/>
    <w:rsid w:val="00930E6D"/>
    <w:rsid w:val="0096443B"/>
    <w:rsid w:val="00972CA2"/>
    <w:rsid w:val="00982B28"/>
    <w:rsid w:val="00984EA5"/>
    <w:rsid w:val="00991936"/>
    <w:rsid w:val="00992593"/>
    <w:rsid w:val="009C17E1"/>
    <w:rsid w:val="009C21A0"/>
    <w:rsid w:val="009C35ED"/>
    <w:rsid w:val="009F1C12"/>
    <w:rsid w:val="00A077FA"/>
    <w:rsid w:val="00A10C12"/>
    <w:rsid w:val="00A10FB9"/>
    <w:rsid w:val="00A124CB"/>
    <w:rsid w:val="00A2167A"/>
    <w:rsid w:val="00A25A43"/>
    <w:rsid w:val="00A3295B"/>
    <w:rsid w:val="00A32C2C"/>
    <w:rsid w:val="00A410CD"/>
    <w:rsid w:val="00A42AE5"/>
    <w:rsid w:val="00A52B61"/>
    <w:rsid w:val="00A64820"/>
    <w:rsid w:val="00A71DD6"/>
    <w:rsid w:val="00A72045"/>
    <w:rsid w:val="00A723C7"/>
    <w:rsid w:val="00A80E11"/>
    <w:rsid w:val="00A96CB2"/>
    <w:rsid w:val="00A97F94"/>
    <w:rsid w:val="00AB1309"/>
    <w:rsid w:val="00AC2C52"/>
    <w:rsid w:val="00AD1503"/>
    <w:rsid w:val="00AD1F4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97149"/>
    <w:rsid w:val="00BA1427"/>
    <w:rsid w:val="00BD0C50"/>
    <w:rsid w:val="00BE37C2"/>
    <w:rsid w:val="00BE49D0"/>
    <w:rsid w:val="00BF2C38"/>
    <w:rsid w:val="00C23331"/>
    <w:rsid w:val="00C265DA"/>
    <w:rsid w:val="00C30752"/>
    <w:rsid w:val="00C442F2"/>
    <w:rsid w:val="00C674FE"/>
    <w:rsid w:val="00C7297D"/>
    <w:rsid w:val="00C75633"/>
    <w:rsid w:val="00C8242E"/>
    <w:rsid w:val="00C82615"/>
    <w:rsid w:val="00C867DB"/>
    <w:rsid w:val="00C90ADD"/>
    <w:rsid w:val="00CA21AD"/>
    <w:rsid w:val="00CA2A38"/>
    <w:rsid w:val="00CA50FF"/>
    <w:rsid w:val="00CB30F8"/>
    <w:rsid w:val="00CC1EAC"/>
    <w:rsid w:val="00CC3CD2"/>
    <w:rsid w:val="00CC43BE"/>
    <w:rsid w:val="00CC5A5B"/>
    <w:rsid w:val="00CD123C"/>
    <w:rsid w:val="00CD2085"/>
    <w:rsid w:val="00CD7854"/>
    <w:rsid w:val="00CE2EE1"/>
    <w:rsid w:val="00CE6AED"/>
    <w:rsid w:val="00CF3FFD"/>
    <w:rsid w:val="00CF5ED3"/>
    <w:rsid w:val="00D0494C"/>
    <w:rsid w:val="00D14BEB"/>
    <w:rsid w:val="00D21C89"/>
    <w:rsid w:val="00D45542"/>
    <w:rsid w:val="00D77D0F"/>
    <w:rsid w:val="00DA1C48"/>
    <w:rsid w:val="00DA1CF0"/>
    <w:rsid w:val="00DB2271"/>
    <w:rsid w:val="00DB3F3A"/>
    <w:rsid w:val="00DB5659"/>
    <w:rsid w:val="00DC24B4"/>
    <w:rsid w:val="00DD7A05"/>
    <w:rsid w:val="00DF16DC"/>
    <w:rsid w:val="00DF5361"/>
    <w:rsid w:val="00E009A1"/>
    <w:rsid w:val="00E00D15"/>
    <w:rsid w:val="00E01C74"/>
    <w:rsid w:val="00E071BE"/>
    <w:rsid w:val="00E07379"/>
    <w:rsid w:val="00E14494"/>
    <w:rsid w:val="00E17033"/>
    <w:rsid w:val="00E22744"/>
    <w:rsid w:val="00E32189"/>
    <w:rsid w:val="00E45211"/>
    <w:rsid w:val="00E6698C"/>
    <w:rsid w:val="00E7380C"/>
    <w:rsid w:val="00E74BE7"/>
    <w:rsid w:val="00E86CC9"/>
    <w:rsid w:val="00E93467"/>
    <w:rsid w:val="00E96624"/>
    <w:rsid w:val="00E96651"/>
    <w:rsid w:val="00EB2F50"/>
    <w:rsid w:val="00EB4D95"/>
    <w:rsid w:val="00EC0BCD"/>
    <w:rsid w:val="00EC36FD"/>
    <w:rsid w:val="00ED26A6"/>
    <w:rsid w:val="00F126F1"/>
    <w:rsid w:val="00F2106A"/>
    <w:rsid w:val="00F30381"/>
    <w:rsid w:val="00F36D8B"/>
    <w:rsid w:val="00F401D0"/>
    <w:rsid w:val="00F41F69"/>
    <w:rsid w:val="00F45F2B"/>
    <w:rsid w:val="00F57AE4"/>
    <w:rsid w:val="00F67150"/>
    <w:rsid w:val="00F70938"/>
    <w:rsid w:val="00F72B06"/>
    <w:rsid w:val="00F80E2D"/>
    <w:rsid w:val="00F84366"/>
    <w:rsid w:val="00F85089"/>
    <w:rsid w:val="00F85564"/>
    <w:rsid w:val="00F86CFA"/>
    <w:rsid w:val="00F92C66"/>
    <w:rsid w:val="00FD152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1BCB7FE-9939-4905-ADAE-121479D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093958"/>
    <w:pPr>
      <w:tabs>
        <w:tab w:val="clear" w:pos="1134"/>
      </w:tabs>
      <w:bidi w:val="0"/>
      <w:spacing w:after="120" w:line="240" w:lineRule="auto"/>
      <w:ind w:left="720"/>
      <w:contextualSpacing/>
      <w:jc w:val="left"/>
    </w:pPr>
    <w:rPr>
      <w:rFonts w:ascii="Verdana" w:eastAsia="SimHei" w:hAnsi="Verdana" w:cs="Simplified Arabic"/>
      <w:bCs/>
      <w:sz w:val="19"/>
      <w:szCs w:val="28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93958"/>
    <w:rPr>
      <w:rFonts w:ascii="Verdana" w:eastAsia="SimHei" w:hAnsi="Verdana" w:cs="Simplified Arabic"/>
      <w:bCs/>
      <w:sz w:val="19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18-TDAG24-INF-0004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go/en/itudsponsorshi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uyots\Desktop\TDAG\2019\Charts%20TDAG2019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uyots\Desktop\TDAG\2019\Charts%20TDAG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sz="1800" b="1" i="0" baseline="0">
                <a:effectLst/>
                <a:latin typeface="Traditional Arabic" panose="02020603050405020304" pitchFamily="18" charset="-78"/>
                <a:cs typeface="Traditional Arabic" panose="02020603050405020304" pitchFamily="18" charset="-78"/>
              </a:rPr>
              <a:t>المناطق المستفيدة من الاتفاقات الجديدة الموقّعة</a:t>
            </a:r>
            <a:endParaRPr lang="en-US" sz="1200">
              <a:effectLst/>
              <a:latin typeface="Traditional Arabic" panose="02020603050405020304" pitchFamily="18" charset="-78"/>
              <a:cs typeface="Traditional Arabic" panose="02020603050405020304" pitchFamily="18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Sheet1!$C$6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Sheet1!$C$7:$C$13</c:f>
              <c:numCache>
                <c:formatCode>General</c:formatCode>
                <c:ptCount val="7"/>
                <c:pt idx="0">
                  <c:v>16.5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7.5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Sheet1!$D$7:$D$13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Sheet1!$E$7:$E$13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Sheet1!$F$7:$F$13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2926056"/>
        <c:axId val="64325344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Sheet1!$A$7:$A$13</c15:sqref>
                        </c15:formulaRef>
                      </c:ext>
                    </c:extLst>
                    <c:strCache>
                      <c:ptCount val="7"/>
                      <c:pt idx="0">
                        <c:v>AFR</c:v>
                      </c:pt>
                      <c:pt idx="1">
                        <c:v>AMS</c:v>
                      </c:pt>
                      <c:pt idx="2">
                        <c:v>ARB</c:v>
                      </c:pt>
                      <c:pt idx="3">
                        <c:v>ASP</c:v>
                      </c:pt>
                      <c:pt idx="4">
                        <c:v>CIS</c:v>
                      </c:pt>
                      <c:pt idx="5">
                        <c:v>EUR</c:v>
                      </c:pt>
                      <c:pt idx="6">
                        <c:v>GLO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Sheet1!$B$7:$B$13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45292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253440"/>
        <c:crosses val="autoZero"/>
        <c:auto val="1"/>
        <c:lblAlgn val="ctr"/>
        <c:lblOffset val="100"/>
        <c:noMultiLvlLbl val="0"/>
      </c:catAx>
      <c:valAx>
        <c:axId val="64325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926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sz="1800" b="1" i="0" baseline="0">
                <a:effectLst/>
                <a:latin typeface="Traditional Arabic" panose="02020603050405020304" pitchFamily="18" charset="-78"/>
                <a:cs typeface="Traditional Arabic" panose="02020603050405020304" pitchFamily="18" charset="-78"/>
              </a:rPr>
              <a:t>مجالات العمل التي تغطيهاالاتفاقات الجديدة الموقّعة</a:t>
            </a:r>
            <a:endParaRPr lang="en-US" sz="1200">
              <a:effectLst/>
              <a:latin typeface="Traditional Arabic" panose="02020603050405020304" pitchFamily="18" charset="-78"/>
              <a:cs typeface="Traditional Arabic" panose="02020603050405020304" pitchFamily="18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Sheet1!$C$21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Sheet1!$C$22:$C$32</c:f>
              <c:numCache>
                <c:formatCode>General</c:formatCode>
                <c:ptCount val="11"/>
                <c:pt idx="0">
                  <c:v>34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Sheet1!$D$22:$D$32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  <c:pt idx="7">
                  <c:v>5</c:v>
                </c:pt>
                <c:pt idx="8">
                  <c:v>1</c:v>
                </c:pt>
                <c:pt idx="1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Sheet1!$E$22:$E$32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20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Sheet1!$F$21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Sheet1!$F$22:$F$32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3255792"/>
        <c:axId val="6432522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Sheet1!$A$22:$A$32</c15:sqref>
                        </c15:formulaRef>
                      </c:ext>
                    </c:extLst>
                    <c:strCache>
                      <c:ptCount val="11"/>
                      <c:pt idx="0">
                        <c:v>Capacity Building</c:v>
                      </c:pt>
                      <c:pt idx="1">
                        <c:v>Cybersecurity</c:v>
                      </c:pt>
                      <c:pt idx="2">
                        <c:v>Digital Inclusion</c:v>
                      </c:pt>
                      <c:pt idx="3">
                        <c:v>Emergency</c:v>
                      </c:pt>
                      <c:pt idx="4">
                        <c:v>Enabling Environment</c:v>
                      </c:pt>
                      <c:pt idx="5">
                        <c:v>Generic</c:v>
                      </c:pt>
                      <c:pt idx="6">
                        <c:v>ICT-Applications</c:v>
                      </c:pt>
                      <c:pt idx="7">
                        <c:v>Infrastructure</c:v>
                      </c:pt>
                      <c:pt idx="8">
                        <c:v>Innovation</c:v>
                      </c:pt>
                      <c:pt idx="9">
                        <c:v>Climate Ch. / e-waste</c:v>
                      </c:pt>
                      <c:pt idx="10">
                        <c:v>Statistics and Indicators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Sheet1!$B$22:$B$32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</c15:ser>
            </c15:filteredBarSeries>
          </c:ext>
        </c:extLst>
      </c:barChart>
      <c:catAx>
        <c:axId val="643255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252264"/>
        <c:crosses val="autoZero"/>
        <c:auto val="1"/>
        <c:lblAlgn val="ctr"/>
        <c:lblOffset val="100"/>
        <c:noMultiLvlLbl val="0"/>
      </c:catAx>
      <c:valAx>
        <c:axId val="643252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325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e10a323-94a9-4e93-88b4-ea964576960d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DE3EB-5A79-4255-81AB-0F176C4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Riz, Imad </cp:lastModifiedBy>
  <cp:revision>11</cp:revision>
  <cp:lastPrinted>2019-03-26T08:39:00Z</cp:lastPrinted>
  <dcterms:created xsi:type="dcterms:W3CDTF">2019-03-25T16:41:00Z</dcterms:created>
  <dcterms:modified xsi:type="dcterms:W3CDTF">2019-03-29T12:52:00Z</dcterms:modified>
  <cp:category>Conference document</cp:category>
</cp:coreProperties>
</file>