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D372A5" w:rsidRPr="004E7861" w:rsidTr="009F537B">
        <w:trPr>
          <w:cantSplit/>
          <w:trHeight w:val="1134"/>
        </w:trPr>
        <w:tc>
          <w:tcPr>
            <w:tcW w:w="6663" w:type="dxa"/>
            <w:tcBorders>
              <w:bottom w:val="single" w:sz="12" w:space="0" w:color="auto"/>
            </w:tcBorders>
          </w:tcPr>
          <w:p w:rsidR="00D372A5" w:rsidRDefault="00D372A5" w:rsidP="00BC7208">
            <w:pPr>
              <w:rPr>
                <w:b/>
                <w:bCs/>
                <w:sz w:val="32"/>
                <w:szCs w:val="32"/>
                <w:lang w:val="es-ES_tradnl"/>
              </w:rPr>
            </w:pPr>
            <w:bookmarkStart w:id="0" w:name="_GoBack"/>
            <w:bookmarkEnd w:id="0"/>
            <w:r w:rsidRPr="00F12690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F12690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:rsidR="00D372A5" w:rsidRPr="00560C51" w:rsidRDefault="004E7861" w:rsidP="000725A1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656B29">
              <w:rPr>
                <w:b/>
                <w:bCs/>
                <w:sz w:val="26"/>
                <w:szCs w:val="26"/>
                <w:lang w:val="es-ES_tradnl"/>
              </w:rPr>
              <w:t>2</w:t>
            </w:r>
            <w:r>
              <w:rPr>
                <w:b/>
                <w:bCs/>
                <w:sz w:val="26"/>
                <w:szCs w:val="26"/>
                <w:lang w:val="es-ES_tradnl"/>
              </w:rPr>
              <w:t>4</w:t>
            </w:r>
            <w:r w:rsidRPr="00656B29">
              <w:rPr>
                <w:b/>
                <w:bCs/>
                <w:sz w:val="26"/>
                <w:szCs w:val="26"/>
                <w:lang w:val="es-ES_tradnl"/>
              </w:rPr>
              <w:t xml:space="preserve">ª reunión, Ginebra, </w:t>
            </w:r>
            <w:r>
              <w:rPr>
                <w:b/>
                <w:bCs/>
                <w:sz w:val="26"/>
                <w:szCs w:val="26"/>
                <w:lang w:val="es-ES_tradnl"/>
              </w:rPr>
              <w:t>3</w:t>
            </w:r>
            <w:r w:rsidRPr="00656B29">
              <w:rPr>
                <w:b/>
                <w:bCs/>
                <w:sz w:val="26"/>
                <w:szCs w:val="26"/>
                <w:lang w:val="es-ES_tradnl"/>
              </w:rPr>
              <w:t>-</w:t>
            </w:r>
            <w:r>
              <w:rPr>
                <w:b/>
                <w:bCs/>
                <w:sz w:val="26"/>
                <w:szCs w:val="26"/>
                <w:lang w:val="es-ES_tradnl"/>
              </w:rPr>
              <w:t>5 de abril de 2019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:rsidR="00D372A5" w:rsidRPr="00560C51" w:rsidRDefault="004E7861" w:rsidP="004E7861">
            <w:pPr>
              <w:spacing w:before="40" w:after="80"/>
              <w:ind w:right="142"/>
              <w:jc w:val="right"/>
              <w:rPr>
                <w:lang w:val="es-ES_tradnl"/>
              </w:rPr>
            </w:pPr>
            <w:r w:rsidRPr="008E52B1">
              <w:rPr>
                <w:noProof/>
                <w:color w:val="3399FF"/>
                <w:lang w:val="en-GB" w:eastAsia="zh-CN"/>
              </w:rPr>
              <w:drawing>
                <wp:inline distT="0" distB="0" distL="0" distR="0" wp14:anchorId="3180C089" wp14:editId="33672535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893" w:rsidRPr="004E7861" w:rsidTr="004B789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4B7893" w:rsidRPr="00560C51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4B7893" w:rsidRPr="00560C51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560C51" w:rsidTr="004B7893">
        <w:trPr>
          <w:cantSplit/>
        </w:trPr>
        <w:tc>
          <w:tcPr>
            <w:tcW w:w="6663" w:type="dxa"/>
          </w:tcPr>
          <w:p w:rsidR="004B7893" w:rsidRPr="00560C51" w:rsidRDefault="004B7893" w:rsidP="004B7893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</w:tcPr>
          <w:p w:rsidR="004B7893" w:rsidRPr="00560C51" w:rsidRDefault="005637B9" w:rsidP="00655255">
            <w:pPr>
              <w:spacing w:before="0"/>
              <w:rPr>
                <w:bCs/>
                <w:lang w:val="es-ES_tradnl"/>
              </w:rPr>
            </w:pPr>
            <w:r w:rsidRPr="00560C51">
              <w:rPr>
                <w:b/>
                <w:bCs/>
                <w:lang w:val="es-ES_tradnl"/>
              </w:rPr>
              <w:t xml:space="preserve">Documento </w:t>
            </w:r>
            <w:bookmarkStart w:id="1" w:name="DocRef1"/>
            <w:bookmarkEnd w:id="1"/>
            <w:r>
              <w:rPr>
                <w:b/>
                <w:bCs/>
                <w:lang w:val="es-ES_tradnl"/>
              </w:rPr>
              <w:t>TDAG</w:t>
            </w:r>
            <w:r w:rsidR="00602B27">
              <w:rPr>
                <w:b/>
                <w:bCs/>
                <w:lang w:val="es-ES_tradnl"/>
              </w:rPr>
              <w:t>-</w:t>
            </w:r>
            <w:r>
              <w:rPr>
                <w:b/>
                <w:bCs/>
                <w:lang w:val="es-ES_tradnl"/>
              </w:rPr>
              <w:t>1</w:t>
            </w:r>
            <w:r w:rsidR="004E7861">
              <w:rPr>
                <w:b/>
                <w:bCs/>
                <w:lang w:val="es-ES_tradnl"/>
              </w:rPr>
              <w:t>9</w:t>
            </w:r>
            <w:r w:rsidRPr="00560C51">
              <w:rPr>
                <w:b/>
                <w:bCs/>
                <w:lang w:val="es-ES_tradnl"/>
              </w:rPr>
              <w:t>/</w:t>
            </w:r>
            <w:bookmarkStart w:id="2" w:name="DocNo1"/>
            <w:bookmarkEnd w:id="2"/>
            <w:r w:rsidR="00655255">
              <w:rPr>
                <w:b/>
                <w:bCs/>
                <w:lang w:val="es-ES_tradnl"/>
              </w:rPr>
              <w:t>20</w:t>
            </w:r>
            <w:r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560C51" w:rsidTr="004B7893">
        <w:trPr>
          <w:cantSplit/>
        </w:trPr>
        <w:tc>
          <w:tcPr>
            <w:tcW w:w="6663" w:type="dxa"/>
          </w:tcPr>
          <w:p w:rsidR="004B7893" w:rsidRPr="00560C51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360762" w:rsidRDefault="00655255" w:rsidP="004E7861">
            <w:pPr>
              <w:spacing w:before="0"/>
              <w:rPr>
                <w:b/>
                <w:lang w:val="es-ES_tradnl"/>
              </w:rPr>
            </w:pPr>
            <w:bookmarkStart w:id="3" w:name="CreationDate"/>
            <w:bookmarkEnd w:id="3"/>
            <w:r w:rsidRPr="00655255">
              <w:rPr>
                <w:b/>
                <w:bCs/>
                <w:szCs w:val="28"/>
              </w:rPr>
              <w:t>21 de febrero de 2019</w:t>
            </w:r>
          </w:p>
        </w:tc>
      </w:tr>
      <w:tr w:rsidR="004B7893" w:rsidRPr="00560C51" w:rsidTr="004B7893">
        <w:trPr>
          <w:cantSplit/>
        </w:trPr>
        <w:tc>
          <w:tcPr>
            <w:tcW w:w="6663" w:type="dxa"/>
          </w:tcPr>
          <w:p w:rsidR="004B7893" w:rsidRPr="00560C51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7F1CC7" w:rsidRDefault="005637B9" w:rsidP="004B7893">
            <w:pPr>
              <w:spacing w:before="0"/>
              <w:rPr>
                <w:szCs w:val="24"/>
              </w:rPr>
            </w:pPr>
            <w:r w:rsidRPr="00560C51">
              <w:rPr>
                <w:b/>
                <w:lang w:val="es-ES_tradnl"/>
              </w:rPr>
              <w:t>Original:</w:t>
            </w:r>
            <w:bookmarkStart w:id="4" w:name="Original"/>
            <w:bookmarkEnd w:id="4"/>
            <w:r>
              <w:rPr>
                <w:b/>
                <w:lang w:val="es-ES_tradnl"/>
              </w:rPr>
              <w:t xml:space="preserve"> </w:t>
            </w:r>
            <w:r w:rsidR="00655255">
              <w:rPr>
                <w:b/>
                <w:lang w:val="es-ES_tradnl"/>
              </w:rPr>
              <w:t>inglés</w:t>
            </w:r>
          </w:p>
        </w:tc>
      </w:tr>
      <w:tr w:rsidR="004B7893" w:rsidRPr="006A77C8" w:rsidTr="004B7893">
        <w:trPr>
          <w:cantSplit/>
          <w:trHeight w:val="852"/>
        </w:trPr>
        <w:tc>
          <w:tcPr>
            <w:tcW w:w="9888" w:type="dxa"/>
            <w:gridSpan w:val="2"/>
          </w:tcPr>
          <w:p w:rsidR="004B7893" w:rsidRPr="00655255" w:rsidRDefault="00655255" w:rsidP="004B7893">
            <w:pPr>
              <w:pStyle w:val="Source"/>
              <w:rPr>
                <w:szCs w:val="28"/>
                <w:lang w:val="es-ES_tradnl"/>
              </w:rPr>
            </w:pPr>
            <w:bookmarkStart w:id="5" w:name="Source"/>
            <w:bookmarkEnd w:id="5"/>
            <w:r w:rsidRPr="00655255">
              <w:rPr>
                <w:lang w:val="es-ES_tradnl"/>
              </w:rPr>
              <w:t>Director de la Oficina de Desarrollo de Telecomunicaciones</w:t>
            </w:r>
          </w:p>
        </w:tc>
      </w:tr>
      <w:tr w:rsidR="004B7893" w:rsidRPr="006A77C8" w:rsidTr="004B7893">
        <w:trPr>
          <w:cantSplit/>
        </w:trPr>
        <w:tc>
          <w:tcPr>
            <w:tcW w:w="9888" w:type="dxa"/>
            <w:gridSpan w:val="2"/>
          </w:tcPr>
          <w:p w:rsidR="004B7893" w:rsidRPr="00655255" w:rsidRDefault="00655255" w:rsidP="004B7893">
            <w:pPr>
              <w:pStyle w:val="Title1"/>
              <w:rPr>
                <w:bCs/>
                <w:szCs w:val="28"/>
                <w:lang w:val="es-ES_tradnl"/>
              </w:rPr>
            </w:pPr>
            <w:bookmarkStart w:id="6" w:name="Title"/>
            <w:bookmarkEnd w:id="6"/>
            <w:r w:rsidRPr="00655255">
              <w:rPr>
                <w:lang w:val="es-ES_tradnl"/>
              </w:rPr>
              <w:t>MIEMBROS DE SECTOR DEL UIT-D</w:t>
            </w:r>
          </w:p>
        </w:tc>
      </w:tr>
      <w:tr w:rsidR="004B7893" w:rsidRPr="006A77C8" w:rsidTr="004B7893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:rsidR="004B7893" w:rsidRPr="00655255" w:rsidRDefault="004B7893" w:rsidP="00BC7208">
            <w:pPr>
              <w:rPr>
                <w:lang w:val="es-ES_tradnl"/>
              </w:rPr>
            </w:pPr>
          </w:p>
        </w:tc>
      </w:tr>
      <w:tr w:rsidR="004B7893" w:rsidRPr="006A77C8" w:rsidTr="004B7893">
        <w:trPr>
          <w:cantSplit/>
          <w:trHeight w:val="703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3" w:rsidRPr="00655255" w:rsidRDefault="004B7893" w:rsidP="004B7893">
            <w:pPr>
              <w:spacing w:before="240"/>
              <w:rPr>
                <w:b/>
                <w:bCs/>
                <w:lang w:val="es-ES_tradnl"/>
              </w:rPr>
            </w:pPr>
            <w:r w:rsidRPr="00655255">
              <w:rPr>
                <w:b/>
                <w:bCs/>
                <w:lang w:val="es-ES_tradnl"/>
              </w:rPr>
              <w:t>Resumen:</w:t>
            </w:r>
          </w:p>
          <w:p w:rsidR="004B7893" w:rsidRPr="00655255" w:rsidRDefault="00655255" w:rsidP="004B7893">
            <w:pPr>
              <w:rPr>
                <w:lang w:val="es-ES_tradnl"/>
              </w:rPr>
            </w:pPr>
            <w:r w:rsidRPr="00655255">
              <w:rPr>
                <w:lang w:val="es-ES_tradnl"/>
              </w:rPr>
              <w:t>Los Miembros de Sector del UIT-D incluyen Miembros de Sector, Asociados e Instituciones Académicas. En el presente documento se proporciona una visión general de la evolución de los Miembros de Sector del UIT-D, así como de las iniciativas y medidas para fortalecer la capacidad de los miembros del UIT-D, de conformidad con los resultados de la CMDT-17 y la PP-18.</w:t>
            </w:r>
          </w:p>
          <w:p w:rsidR="004B7893" w:rsidRPr="00655255" w:rsidRDefault="00043396" w:rsidP="004B7893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Acción solicitada:</w:t>
            </w:r>
          </w:p>
          <w:p w:rsidR="004B7893" w:rsidRPr="00655255" w:rsidRDefault="00655255" w:rsidP="004B7893">
            <w:pPr>
              <w:rPr>
                <w:lang w:val="es-ES_tradnl"/>
              </w:rPr>
            </w:pPr>
            <w:r w:rsidRPr="00655255">
              <w:rPr>
                <w:lang w:val="es-ES_tradnl"/>
              </w:rPr>
              <w:t>Se invita al GADT a que tome nota del presente documento y formule las observaciones que estime oportunas.</w:t>
            </w:r>
          </w:p>
          <w:p w:rsidR="004B7893" w:rsidRPr="00655255" w:rsidRDefault="004B7893" w:rsidP="004B7893">
            <w:pPr>
              <w:rPr>
                <w:b/>
                <w:bCs/>
                <w:lang w:val="es-ES_tradnl"/>
              </w:rPr>
            </w:pPr>
            <w:r w:rsidRPr="00655255">
              <w:rPr>
                <w:b/>
                <w:bCs/>
                <w:lang w:val="es-ES_tradnl"/>
              </w:rPr>
              <w:t>Referencias:</w:t>
            </w:r>
          </w:p>
          <w:p w:rsidR="004B7893" w:rsidRPr="00655255" w:rsidRDefault="00043396" w:rsidP="005A17E8">
            <w:pPr>
              <w:rPr>
                <w:lang w:val="es-ES_tradnl"/>
              </w:rPr>
            </w:pPr>
            <w:r w:rsidRPr="00043396">
              <w:rPr>
                <w:lang w:val="es-ES_tradnl"/>
              </w:rPr>
              <w:t>Resolución 71 (Rev. Buenos Aires, 2017) de la CMDT</w:t>
            </w:r>
            <w:r>
              <w:rPr>
                <w:lang w:val="es-ES_tradnl"/>
              </w:rPr>
              <w:t>;</w:t>
            </w:r>
            <w:r w:rsidR="005A17E8">
              <w:rPr>
                <w:lang w:val="es-ES_tradnl"/>
              </w:rPr>
              <w:t xml:space="preserve"> </w:t>
            </w:r>
            <w:r w:rsidR="00655255" w:rsidRPr="00655255">
              <w:rPr>
                <w:lang w:val="es-ES_tradnl"/>
              </w:rPr>
              <w:t>Resolucio</w:t>
            </w:r>
            <w:r w:rsidR="00E3026A">
              <w:rPr>
                <w:lang w:val="es-ES_tradnl"/>
              </w:rPr>
              <w:t>nes 169 (Rev. Dubái, 2018), 209 </w:t>
            </w:r>
            <w:r w:rsidR="00655255" w:rsidRPr="00655255">
              <w:rPr>
                <w:lang w:val="es-ES_tradnl"/>
              </w:rPr>
              <w:t>(Dubái, 2018) y 205 (Dubái, 2018) de la PP.</w:t>
            </w:r>
          </w:p>
        </w:tc>
      </w:tr>
    </w:tbl>
    <w:p w:rsidR="00655255" w:rsidRDefault="00655255" w:rsidP="00991B13">
      <w:pPr>
        <w:rPr>
          <w:lang w:val="es-ES_tradnl"/>
        </w:rPr>
      </w:pPr>
    </w:p>
    <w:p w:rsidR="00655255" w:rsidRDefault="0065525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655255" w:rsidRPr="00655255" w:rsidRDefault="00655255" w:rsidP="00655255">
      <w:pPr>
        <w:pStyle w:val="Heading1"/>
        <w:rPr>
          <w:lang w:val="es-ES_tradnl"/>
        </w:rPr>
      </w:pPr>
      <w:r w:rsidRPr="00655255">
        <w:rPr>
          <w:lang w:val="es-ES_tradnl"/>
        </w:rPr>
        <w:lastRenderedPageBreak/>
        <w:t>1</w:t>
      </w:r>
      <w:r w:rsidRPr="00655255">
        <w:rPr>
          <w:lang w:val="es-ES_tradnl"/>
        </w:rPr>
        <w:tab/>
      </w:r>
      <w:r w:rsidRPr="005A17E8">
        <w:rPr>
          <w:lang w:val="es-ES_tradnl"/>
        </w:rPr>
        <w:t>Antecedentes</w:t>
      </w:r>
    </w:p>
    <w:p w:rsidR="00655255" w:rsidRPr="00655255" w:rsidRDefault="00655255" w:rsidP="00655255">
      <w:pPr>
        <w:rPr>
          <w:lang w:val="es-ES_tradnl"/>
        </w:rPr>
      </w:pPr>
      <w:r w:rsidRPr="00655255">
        <w:rPr>
          <w:lang w:val="es-ES_tradnl"/>
        </w:rPr>
        <w:t>En la Conferencia Mundial de Desarrollo de las Telecomunicaciones de 2017 (CMDT-17) se revisó y aprobó la Resolución 71 (Rev. Buenos Aires, 2017) a fin de promover la participación eficaz de los actuales Miembros de Sector, Asociados e Instituciones Académicas en las actividades del UIT-D, incluida su participación en la labor de las Comisiones de Estudio del UIT-D, y facilitar a los sectores público, privado y académico su participación en calidad de miembros.</w:t>
      </w:r>
    </w:p>
    <w:p w:rsidR="00655255" w:rsidRPr="00655255" w:rsidRDefault="00655255" w:rsidP="00655255">
      <w:pPr>
        <w:rPr>
          <w:lang w:val="es-ES_tradnl"/>
        </w:rPr>
      </w:pPr>
      <w:r w:rsidRPr="00655255">
        <w:rPr>
          <w:lang w:val="es-ES_tradnl"/>
        </w:rPr>
        <w:t>En la Resolución 71 también se hace más hincapié en la evolución de la función del sector privado en el Sector UIT-D al encargar, en particular, el establecimiento del Grupo Asesor de la Industria para los Problemas del Desarrollo (IAGDI), promoviendo una amplia representación de la industria a través de los Miembros de Sector del UIT-D de todas las regiones.</w:t>
      </w:r>
    </w:p>
    <w:p w:rsidR="00655255" w:rsidRPr="00655255" w:rsidRDefault="00655255" w:rsidP="00655255">
      <w:pPr>
        <w:rPr>
          <w:lang w:val="es-ES_tradnl"/>
        </w:rPr>
      </w:pPr>
      <w:r w:rsidRPr="00655255">
        <w:rPr>
          <w:lang w:val="es-ES_tradnl"/>
        </w:rPr>
        <w:t>Por otro lado, en la Conferencia de Plenipotenciarios de 2018 (PP-18) se adoptaron varias Resoluciones relativas a los Miembros, en particular la Resolución 209 (Dubái, 2018), en virtud de la cual se alienta la participación de las PYME en los trabajos de la Unión.</w:t>
      </w:r>
    </w:p>
    <w:p w:rsidR="00655255" w:rsidRPr="00655255" w:rsidRDefault="00655255" w:rsidP="00655255">
      <w:pPr>
        <w:rPr>
          <w:lang w:val="es-ES_tradnl"/>
        </w:rPr>
      </w:pPr>
      <w:r w:rsidRPr="00655255">
        <w:rPr>
          <w:lang w:val="es-ES_tradnl"/>
        </w:rPr>
        <w:t>En virtud de la Resolución 169, revisada por la PP-18, sobre las Instituciones Ac</w:t>
      </w:r>
      <w:r>
        <w:rPr>
          <w:lang w:val="es-ES_tradnl"/>
        </w:rPr>
        <w:t>adémicas, los representantes de</w:t>
      </w:r>
      <w:r w:rsidRPr="00655255">
        <w:rPr>
          <w:lang w:val="es-ES_tradnl"/>
        </w:rPr>
        <w:t xml:space="preserve"> las Instituciones Académicas pueden asumir las funciones de relator, vicerrelator o relator asociado, de conformidad con las reglas establecidas en los procedimientos de los respectivos Sectores. También se insta a las Instituciones Académicas a participar en el desarrollo de los trabajos técnicos de la Unión.</w:t>
      </w:r>
    </w:p>
    <w:p w:rsidR="00655255" w:rsidRPr="00655255" w:rsidRDefault="00655255" w:rsidP="00655255">
      <w:pPr>
        <w:rPr>
          <w:lang w:val="es-ES_tradnl"/>
        </w:rPr>
      </w:pPr>
      <w:r w:rsidRPr="00655255">
        <w:rPr>
          <w:lang w:val="es-ES_tradnl"/>
        </w:rPr>
        <w:t>La PP-18 también adoptó la Resolución 205 sobre la innovación centrada en las TIC para impulsar la economía digital y en ella se encarga a la BDT que aliente la participación de las PYME en las Comisiones de Estudio y se invita a los Estados Miembros y demás Miembros de la UIT a fomentar la participación de los empresarios, las empresas emergentes y los centros de incubación y aceleración relacionados con las TIC en el ITU Telecom 2019.</w:t>
      </w:r>
    </w:p>
    <w:p w:rsidR="00655255" w:rsidRPr="00655255" w:rsidRDefault="00655255" w:rsidP="00655255">
      <w:pPr>
        <w:rPr>
          <w:lang w:val="es-ES_tradnl"/>
        </w:rPr>
      </w:pPr>
      <w:r w:rsidRPr="00655255">
        <w:rPr>
          <w:lang w:val="es-ES_tradnl"/>
        </w:rPr>
        <w:t xml:space="preserve">La BDT seguirá adoptando las medidas necesarias para aplicar los </w:t>
      </w:r>
      <w:r w:rsidR="005666CB">
        <w:rPr>
          <w:lang w:val="es-ES_tradnl"/>
        </w:rPr>
        <w:t>resultados de la PP-18, la CMDT</w:t>
      </w:r>
      <w:r w:rsidR="005666CB">
        <w:rPr>
          <w:lang w:val="es-ES_tradnl"/>
        </w:rPr>
        <w:noBreakHyphen/>
      </w:r>
      <w:r w:rsidRPr="00655255">
        <w:rPr>
          <w:lang w:val="es-ES_tradnl"/>
        </w:rPr>
        <w:t>17, el GTC-RHF y el Consejo, previa consulta con todas las reuniones pertinentes de la UIT, incluidos el GADT y las Comisiones de Estudio del UIT-D.</w:t>
      </w:r>
    </w:p>
    <w:p w:rsidR="00655255" w:rsidRPr="00655255" w:rsidRDefault="00655255" w:rsidP="00655255">
      <w:pPr>
        <w:pStyle w:val="Heading1"/>
        <w:rPr>
          <w:lang w:val="es-ES_tradnl"/>
        </w:rPr>
      </w:pPr>
      <w:r w:rsidRPr="00655255">
        <w:rPr>
          <w:lang w:val="es-ES_tradnl"/>
        </w:rPr>
        <w:t>2</w:t>
      </w:r>
      <w:r w:rsidRPr="00655255">
        <w:rPr>
          <w:lang w:val="es-ES_tradnl"/>
        </w:rPr>
        <w:tab/>
        <w:t>Objetivos estratégicos</w:t>
      </w:r>
    </w:p>
    <w:p w:rsidR="00655255" w:rsidRPr="00655255" w:rsidRDefault="00655255" w:rsidP="00655255">
      <w:pPr>
        <w:rPr>
          <w:lang w:val="es-ES_tradnl"/>
        </w:rPr>
      </w:pPr>
      <w:r w:rsidRPr="00655255">
        <w:rPr>
          <w:lang w:val="es-ES_tradnl"/>
        </w:rPr>
        <w:t>De conformidad con los resultados de la CMDT-17 y la PP-18, la BDT ha coordinado estrechamente su labor con la Secretaría General, las otras dos Oficinas y las Oficinas Regionales y Zonales para alcanzar dos objetivos principales, a saber:</w:t>
      </w:r>
    </w:p>
    <w:p w:rsidR="00655255" w:rsidRPr="00655255" w:rsidRDefault="00222880" w:rsidP="00655255">
      <w:pPr>
        <w:pStyle w:val="enumlev1"/>
        <w:rPr>
          <w:lang w:val="es-ES_tradnl"/>
        </w:rPr>
      </w:pPr>
      <w:r w:rsidRPr="00222880">
        <w:rPr>
          <w:lang w:val="es-ES_tradnl"/>
        </w:rPr>
        <w:t>–</w:t>
      </w:r>
      <w:r w:rsidR="00655255" w:rsidRPr="00655255">
        <w:rPr>
          <w:lang w:val="es-ES_tradnl"/>
        </w:rPr>
        <w:tab/>
        <w:t xml:space="preserve">lograr la participación de más entidades como Miembros de Sector, Asociados, </w:t>
      </w:r>
      <w:r w:rsidR="005666CB">
        <w:rPr>
          <w:lang w:val="es-ES_tradnl"/>
        </w:rPr>
        <w:t>PYME o Instituciones Académicas,</w:t>
      </w:r>
      <w:r w:rsidR="00655255" w:rsidRPr="00655255">
        <w:rPr>
          <w:lang w:val="es-ES_tradnl"/>
        </w:rPr>
        <w:t xml:space="preserve"> y</w:t>
      </w:r>
    </w:p>
    <w:p w:rsidR="00655255" w:rsidRPr="00655255" w:rsidRDefault="00222880" w:rsidP="00655255">
      <w:pPr>
        <w:pStyle w:val="enumlev1"/>
        <w:rPr>
          <w:lang w:val="es-ES_tradnl"/>
        </w:rPr>
      </w:pPr>
      <w:r w:rsidRPr="00222880">
        <w:rPr>
          <w:lang w:val="es-ES_tradnl"/>
        </w:rPr>
        <w:t>–</w:t>
      </w:r>
      <w:r w:rsidR="00655255" w:rsidRPr="00655255">
        <w:rPr>
          <w:lang w:val="es-ES_tradnl"/>
        </w:rPr>
        <w:tab/>
        <w:t>mejorar las plataformas y herramientas de participación y retención de los Miembros de Sector del UIT-D, Asociados e Instituciones Académicas.</w:t>
      </w:r>
    </w:p>
    <w:p w:rsidR="00655255" w:rsidRPr="00655255" w:rsidRDefault="00655255" w:rsidP="00655255">
      <w:pPr>
        <w:pStyle w:val="Heading1"/>
        <w:rPr>
          <w:lang w:val="es-ES_tradnl"/>
        </w:rPr>
      </w:pPr>
      <w:r w:rsidRPr="00655255">
        <w:rPr>
          <w:lang w:val="es-ES_tradnl"/>
        </w:rPr>
        <w:lastRenderedPageBreak/>
        <w:t>3</w:t>
      </w:r>
      <w:r w:rsidRPr="00655255">
        <w:rPr>
          <w:lang w:val="es-ES_tradnl"/>
        </w:rPr>
        <w:tab/>
        <w:t>Análisis de la situación</w:t>
      </w:r>
    </w:p>
    <w:p w:rsidR="00991B13" w:rsidRDefault="00655255" w:rsidP="00DC5F7F">
      <w:pPr>
        <w:pStyle w:val="Tablehead"/>
        <w:spacing w:after="240"/>
        <w:rPr>
          <w:lang w:val="es-ES_tradnl"/>
        </w:rPr>
      </w:pPr>
      <w:r w:rsidRPr="00A90195">
        <w:rPr>
          <w:b w:val="0"/>
          <w:bCs/>
          <w:lang w:val="es-ES_tradnl"/>
        </w:rPr>
        <w:t>Gráfico 1</w:t>
      </w:r>
      <w:r w:rsidR="00274ADF" w:rsidRPr="00274ADF">
        <w:rPr>
          <w:lang w:val="es-ES_tradnl"/>
        </w:rPr>
        <w:br/>
      </w:r>
      <w:r w:rsidRPr="00274ADF">
        <w:rPr>
          <w:lang w:val="es-ES_tradnl"/>
        </w:rPr>
        <w:t>Evolución de los Miembros del UIT D (Miembros de Sector, Asoci</w:t>
      </w:r>
      <w:r w:rsidR="00274ADF">
        <w:rPr>
          <w:lang w:val="es-ES_tradnl"/>
        </w:rPr>
        <w:t xml:space="preserve">ados </w:t>
      </w:r>
      <w:r w:rsidR="00274ADF">
        <w:rPr>
          <w:lang w:val="es-ES_tradnl"/>
        </w:rPr>
        <w:br/>
      </w:r>
      <w:r w:rsidRPr="00274ADF">
        <w:rPr>
          <w:lang w:val="es-ES_tradnl"/>
        </w:rPr>
        <w:t>e Instituciones Académicas</w:t>
      </w:r>
      <w:r w:rsidRPr="00274ADF">
        <w:rPr>
          <w:rStyle w:val="FootnoteReference"/>
          <w:b w:val="0"/>
          <w:bCs/>
          <w:lang w:val="es-ES_tradnl"/>
        </w:rPr>
        <w:footnoteReference w:id="1"/>
      </w:r>
      <w:r w:rsidR="00274ADF" w:rsidRPr="00274ADF">
        <w:rPr>
          <w:lang w:val="es-ES_tradnl"/>
        </w:rPr>
        <w:t>)</w:t>
      </w:r>
      <w:r w:rsidR="00274ADF">
        <w:rPr>
          <w:lang w:val="es-ES_tradnl"/>
        </w:rPr>
        <w:t xml:space="preserve"> </w:t>
      </w:r>
      <w:r w:rsidRPr="00274ADF">
        <w:rPr>
          <w:lang w:val="es-ES_tradnl"/>
        </w:rPr>
        <w:t>de 2008 a 2018.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32"/>
      </w:tblGrid>
      <w:tr w:rsidR="005666CB" w:rsidRPr="00864CBB" w:rsidTr="00DC5F7F">
        <w:trPr>
          <w:tblHeader/>
          <w:jc w:val="center"/>
        </w:trPr>
        <w:tc>
          <w:tcPr>
            <w:tcW w:w="1693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6CB" w:rsidRPr="00490FCA" w:rsidRDefault="005666CB" w:rsidP="00A626B8">
            <w:pPr>
              <w:rPr>
                <w:sz w:val="20"/>
                <w:lang w:val="es-ES_tradnl" w:eastAsia="zh-CN"/>
              </w:rPr>
            </w:pP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6CB" w:rsidRPr="00864CBB" w:rsidRDefault="005666CB" w:rsidP="00274ADF">
            <w:pPr>
              <w:pStyle w:val="Tablehead"/>
              <w:rPr>
                <w:lang w:eastAsia="zh-CN"/>
              </w:rPr>
            </w:pPr>
            <w:r w:rsidRPr="00864CBB">
              <w:rPr>
                <w:lang w:eastAsia="zh-CN"/>
              </w:rPr>
              <w:t>2008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6CB" w:rsidRPr="00864CBB" w:rsidRDefault="005666CB" w:rsidP="00274ADF">
            <w:pPr>
              <w:pStyle w:val="Tablehead"/>
              <w:rPr>
                <w:lang w:eastAsia="zh-CN"/>
              </w:rPr>
            </w:pPr>
            <w:r w:rsidRPr="00864CBB">
              <w:rPr>
                <w:lang w:eastAsia="zh-CN"/>
              </w:rPr>
              <w:t>2009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6CB" w:rsidRPr="00864CBB" w:rsidRDefault="005666CB" w:rsidP="00274ADF">
            <w:pPr>
              <w:pStyle w:val="Tablehead"/>
              <w:rPr>
                <w:lang w:eastAsia="zh-CN"/>
              </w:rPr>
            </w:pPr>
            <w:r w:rsidRPr="00864CBB">
              <w:rPr>
                <w:lang w:eastAsia="zh-CN"/>
              </w:rPr>
              <w:t>2010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6CB" w:rsidRPr="00864CBB" w:rsidRDefault="005666CB" w:rsidP="00274ADF">
            <w:pPr>
              <w:pStyle w:val="Tablehead"/>
              <w:rPr>
                <w:lang w:eastAsia="zh-CN"/>
              </w:rPr>
            </w:pPr>
            <w:r w:rsidRPr="00864CBB">
              <w:rPr>
                <w:lang w:eastAsia="zh-CN"/>
              </w:rPr>
              <w:t>2011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6CB" w:rsidRPr="00864CBB" w:rsidRDefault="005666CB" w:rsidP="00274ADF">
            <w:pPr>
              <w:pStyle w:val="Tablehead"/>
              <w:rPr>
                <w:lang w:eastAsia="zh-CN"/>
              </w:rPr>
            </w:pPr>
            <w:r w:rsidRPr="00864CBB">
              <w:rPr>
                <w:lang w:eastAsia="zh-CN"/>
              </w:rPr>
              <w:t>2012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6CB" w:rsidRPr="00864CBB" w:rsidRDefault="005666CB" w:rsidP="00274ADF">
            <w:pPr>
              <w:pStyle w:val="Tablehead"/>
              <w:rPr>
                <w:lang w:eastAsia="zh-CN"/>
              </w:rPr>
            </w:pPr>
            <w:r w:rsidRPr="00864CBB">
              <w:rPr>
                <w:lang w:eastAsia="zh-CN"/>
              </w:rPr>
              <w:t>2013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6CB" w:rsidRPr="00864CBB" w:rsidRDefault="005666CB" w:rsidP="00274ADF">
            <w:pPr>
              <w:pStyle w:val="Tablehead"/>
              <w:rPr>
                <w:lang w:eastAsia="zh-CN"/>
              </w:rPr>
            </w:pPr>
            <w:r w:rsidRPr="00864CBB">
              <w:rPr>
                <w:lang w:eastAsia="zh-CN"/>
              </w:rPr>
              <w:t>2014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6CB" w:rsidRPr="00864CBB" w:rsidRDefault="005666CB" w:rsidP="00274ADF">
            <w:pPr>
              <w:pStyle w:val="Tablehead"/>
              <w:rPr>
                <w:lang w:eastAsia="zh-CN"/>
              </w:rPr>
            </w:pPr>
            <w:r w:rsidRPr="00864CBB">
              <w:rPr>
                <w:lang w:eastAsia="zh-CN"/>
              </w:rPr>
              <w:t>2015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6CB" w:rsidRPr="00864CBB" w:rsidRDefault="005666CB" w:rsidP="00274ADF">
            <w:pPr>
              <w:pStyle w:val="Tablehead"/>
              <w:rPr>
                <w:lang w:eastAsia="zh-CN"/>
              </w:rPr>
            </w:pPr>
            <w:r w:rsidRPr="00864CBB">
              <w:rPr>
                <w:lang w:eastAsia="zh-CN"/>
              </w:rPr>
              <w:t>2016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6CB" w:rsidRPr="00864CBB" w:rsidRDefault="005666CB" w:rsidP="00274ADF">
            <w:pPr>
              <w:pStyle w:val="Tablehead"/>
              <w:rPr>
                <w:lang w:eastAsia="zh-CN"/>
              </w:rPr>
            </w:pPr>
            <w:r w:rsidRPr="00864CBB">
              <w:rPr>
                <w:lang w:eastAsia="zh-CN"/>
              </w:rPr>
              <w:t>2017</w:t>
            </w:r>
          </w:p>
        </w:tc>
        <w:tc>
          <w:tcPr>
            <w:tcW w:w="632" w:type="dxa"/>
            <w:hideMark/>
          </w:tcPr>
          <w:p w:rsidR="005666CB" w:rsidRPr="00864CBB" w:rsidRDefault="005666CB" w:rsidP="00274ADF">
            <w:pPr>
              <w:pStyle w:val="Tablehead"/>
              <w:rPr>
                <w:lang w:eastAsia="zh-CN"/>
              </w:rPr>
            </w:pPr>
            <w:r w:rsidRPr="00864CBB">
              <w:rPr>
                <w:lang w:eastAsia="zh-CN"/>
              </w:rPr>
              <w:t>2018</w:t>
            </w:r>
          </w:p>
        </w:tc>
      </w:tr>
      <w:tr w:rsidR="005666CB" w:rsidRPr="00864CBB" w:rsidTr="00DC5F7F">
        <w:trPr>
          <w:jc w:val="center"/>
        </w:trPr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6CB" w:rsidRPr="00274ADF" w:rsidRDefault="005666CB" w:rsidP="00274ADF">
            <w:pPr>
              <w:pStyle w:val="Tablehead"/>
              <w:jc w:val="left"/>
              <w:rPr>
                <w:b w:val="0"/>
                <w:bCs/>
                <w:lang w:eastAsia="zh-CN"/>
              </w:rPr>
            </w:pPr>
            <w:r w:rsidRPr="00274ADF">
              <w:rPr>
                <w:b w:val="0"/>
                <w:bCs/>
                <w:lang w:eastAsia="zh-CN"/>
              </w:rPr>
              <w:t>Miembros de Sector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308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316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311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323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330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346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338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340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331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318</w:t>
            </w:r>
          </w:p>
        </w:tc>
        <w:tc>
          <w:tcPr>
            <w:tcW w:w="632" w:type="dxa"/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310</w:t>
            </w:r>
          </w:p>
        </w:tc>
      </w:tr>
      <w:tr w:rsidR="005666CB" w:rsidRPr="00864CBB" w:rsidTr="00DC5F7F">
        <w:trPr>
          <w:jc w:val="center"/>
        </w:trPr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6CB" w:rsidRPr="00274ADF" w:rsidRDefault="005666CB" w:rsidP="00274ADF">
            <w:pPr>
              <w:pStyle w:val="Tablehead"/>
              <w:jc w:val="left"/>
              <w:rPr>
                <w:b w:val="0"/>
                <w:bCs/>
                <w:lang w:eastAsia="zh-CN"/>
              </w:rPr>
            </w:pPr>
            <w:r w:rsidRPr="00274ADF">
              <w:rPr>
                <w:b w:val="0"/>
                <w:bCs/>
                <w:lang w:eastAsia="zh-CN"/>
              </w:rPr>
              <w:t>Asociados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3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3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5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6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7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9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10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11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12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12</w:t>
            </w:r>
          </w:p>
        </w:tc>
        <w:tc>
          <w:tcPr>
            <w:tcW w:w="632" w:type="dxa"/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14</w:t>
            </w:r>
          </w:p>
        </w:tc>
      </w:tr>
      <w:tr w:rsidR="005666CB" w:rsidRPr="00864CBB" w:rsidTr="00DC5F7F">
        <w:trPr>
          <w:jc w:val="center"/>
        </w:trPr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6CB" w:rsidRPr="00274ADF" w:rsidRDefault="005666CB" w:rsidP="00274ADF">
            <w:pPr>
              <w:pStyle w:val="Tablehead"/>
              <w:jc w:val="left"/>
              <w:rPr>
                <w:b w:val="0"/>
                <w:bCs/>
                <w:lang w:eastAsia="zh-CN"/>
              </w:rPr>
            </w:pPr>
            <w:r w:rsidRPr="00274ADF">
              <w:rPr>
                <w:b w:val="0"/>
                <w:bCs/>
                <w:lang w:eastAsia="zh-CN"/>
              </w:rPr>
              <w:t>Instituciones Académicas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274ADF" w:rsidP="00274AD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274ADF" w:rsidP="00274AD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274ADF" w:rsidP="00274AD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25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36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45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86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109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107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125</w:t>
            </w:r>
          </w:p>
        </w:tc>
        <w:tc>
          <w:tcPr>
            <w:tcW w:w="632" w:type="dxa"/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156</w:t>
            </w:r>
          </w:p>
        </w:tc>
      </w:tr>
      <w:tr w:rsidR="005666CB" w:rsidRPr="00864CBB" w:rsidTr="00DC5F7F">
        <w:trPr>
          <w:jc w:val="center"/>
        </w:trPr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6CB" w:rsidRPr="00274ADF" w:rsidRDefault="005666CB" w:rsidP="00274ADF">
            <w:pPr>
              <w:pStyle w:val="Tablehead"/>
              <w:jc w:val="left"/>
              <w:rPr>
                <w:b w:val="0"/>
                <w:bCs/>
                <w:lang w:eastAsia="zh-CN"/>
              </w:rPr>
            </w:pPr>
            <w:r w:rsidRPr="00274ADF">
              <w:rPr>
                <w:b w:val="0"/>
                <w:bCs/>
                <w:lang w:eastAsia="zh-CN"/>
              </w:rPr>
              <w:t xml:space="preserve">TOTAL 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311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319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316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354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373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400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434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460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450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455</w:t>
            </w:r>
          </w:p>
        </w:tc>
        <w:tc>
          <w:tcPr>
            <w:tcW w:w="632" w:type="dxa"/>
            <w:vAlign w:val="center"/>
            <w:hideMark/>
          </w:tcPr>
          <w:p w:rsidR="005666CB" w:rsidRPr="00864CBB" w:rsidRDefault="005666CB" w:rsidP="00274ADF">
            <w:pPr>
              <w:pStyle w:val="Tabletext"/>
              <w:jc w:val="center"/>
              <w:rPr>
                <w:lang w:eastAsia="zh-CN"/>
              </w:rPr>
            </w:pPr>
            <w:r w:rsidRPr="00864CBB">
              <w:rPr>
                <w:lang w:eastAsia="zh-CN"/>
              </w:rPr>
              <w:t>480</w:t>
            </w:r>
          </w:p>
        </w:tc>
      </w:tr>
    </w:tbl>
    <w:p w:rsidR="00655255" w:rsidRDefault="005D45E3" w:rsidP="00DC5F7F">
      <w:pPr>
        <w:spacing w:before="360"/>
        <w:rPr>
          <w:lang w:val="es-ES_tradnl"/>
        </w:rPr>
      </w:pPr>
      <w:r>
        <w:rPr>
          <w:noProof/>
          <w:lang w:val="en-GB" w:eastAsia="zh-C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C76B7B" wp14:editId="217340A0">
                <wp:simplePos x="0" y="0"/>
                <wp:positionH relativeFrom="margin">
                  <wp:posOffset>4550715</wp:posOffset>
                </wp:positionH>
                <wp:positionV relativeFrom="paragraph">
                  <wp:posOffset>2413000</wp:posOffset>
                </wp:positionV>
                <wp:extent cx="570230" cy="168275"/>
                <wp:effectExtent l="0" t="0" r="1270" b="31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F7F" w:rsidRPr="00DC5F7F" w:rsidRDefault="00DC5F7F" w:rsidP="00DC5F7F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76B7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8.3pt;margin-top:190pt;width:44.9pt;height:1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" stroked="f">
                <v:textbox inset="0,0,0,0">
                  <w:txbxContent>
                    <w:p w:rsidR="00DC5F7F" w:rsidRPr="00DC5F7F" w:rsidRDefault="00DC5F7F" w:rsidP="00DC5F7F">
                      <w:pPr>
                        <w:spacing w:before="0"/>
                        <w:rPr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sz w:val="18"/>
                          <w:szCs w:val="18"/>
                          <w:lang w:val="es-ES_tradnl"/>
                        </w:rPr>
                        <w:t>TOTAL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2796">
        <w:rPr>
          <w:noProof/>
          <w:lang w:val="en-GB"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420680" wp14:editId="580033F1">
                <wp:simplePos x="0" y="0"/>
                <wp:positionH relativeFrom="margin">
                  <wp:posOffset>1357848</wp:posOffset>
                </wp:positionH>
                <wp:positionV relativeFrom="paragraph">
                  <wp:posOffset>233680</wp:posOffset>
                </wp:positionV>
                <wp:extent cx="3331596" cy="262393"/>
                <wp:effectExtent l="0" t="0" r="254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596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F7F" w:rsidRPr="00744320" w:rsidRDefault="00DC5F7F" w:rsidP="00DC5F7F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C5F7F">
                              <w:rPr>
                                <w:b/>
                                <w:bCs/>
                              </w:rPr>
                              <w:t>Miembros del UIT-D</w:t>
                            </w:r>
                            <w:r w:rsidRPr="00744320">
                              <w:rPr>
                                <w:b/>
                                <w:bCs/>
                              </w:rPr>
                              <w:t xml:space="preserve"> (2008-2018)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20680" id="Text Box 2" o:spid="_x0000_s1027" type="#_x0000_t202" style="position:absolute;margin-left:106.9pt;margin-top:18.4pt;width:262.35pt;height:2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" stroked="f">
                <v:textbox>
                  <w:txbxContent>
                    <w:p w:rsidR="00DC5F7F" w:rsidRPr="00744320" w:rsidRDefault="00DC5F7F" w:rsidP="00DC5F7F">
                      <w:pPr>
                        <w:spacing w:before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DC5F7F">
                        <w:rPr>
                          <w:b/>
                          <w:bCs/>
                        </w:rPr>
                        <w:t>Miembros</w:t>
                      </w:r>
                      <w:proofErr w:type="spellEnd"/>
                      <w:r w:rsidRPr="00DC5F7F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DC5F7F">
                        <w:rPr>
                          <w:b/>
                          <w:bCs/>
                        </w:rPr>
                        <w:t>del</w:t>
                      </w:r>
                      <w:proofErr w:type="spellEnd"/>
                      <w:r w:rsidRPr="00DC5F7F">
                        <w:rPr>
                          <w:b/>
                          <w:bCs/>
                        </w:rPr>
                        <w:t xml:space="preserve"> UIT-D</w:t>
                      </w:r>
                      <w:r w:rsidRPr="00744320">
                        <w:rPr>
                          <w:b/>
                          <w:bCs/>
                        </w:rPr>
                        <w:t xml:space="preserve"> </w:t>
                      </w:r>
                      <w:r w:rsidRPr="00744320">
                        <w:rPr>
                          <w:b/>
                          <w:bCs/>
                        </w:rPr>
                        <w:t>(2008-2018)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F7F">
        <w:rPr>
          <w:noProof/>
          <w:lang w:val="en-GB" w:eastAsia="zh-C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0AD475" wp14:editId="2F85782D">
                <wp:simplePos x="0" y="0"/>
                <wp:positionH relativeFrom="margin">
                  <wp:posOffset>3627517</wp:posOffset>
                </wp:positionH>
                <wp:positionV relativeFrom="paragraph">
                  <wp:posOffset>2371780</wp:posOffset>
                </wp:positionV>
                <wp:extent cx="628300" cy="271145"/>
                <wp:effectExtent l="0" t="0" r="63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F7F" w:rsidRPr="00DC5F7F" w:rsidRDefault="00DC5F7F" w:rsidP="00DC5F7F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Instituciones</w:t>
                            </w: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br/>
                              <w:t>Académicas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AD475" id="Text Box 4" o:spid="_x0000_s1028" type="#_x0000_t202" style="position:absolute;margin-left:285.65pt;margin-top:186.75pt;width:49.45pt;height:21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" stroked="f">
                <v:textbox inset="0,0,0,0">
                  <w:txbxContent>
                    <w:p w:rsidR="00DC5F7F" w:rsidRPr="00DC5F7F" w:rsidRDefault="00DC5F7F" w:rsidP="00DC5F7F">
                      <w:pPr>
                        <w:spacing w:before="0"/>
                        <w:rPr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sz w:val="18"/>
                          <w:szCs w:val="18"/>
                          <w:lang w:val="es-ES_tradnl"/>
                        </w:rPr>
                        <w:t>Instituciones</w:t>
                      </w:r>
                      <w:r>
                        <w:rPr>
                          <w:sz w:val="18"/>
                          <w:szCs w:val="18"/>
                          <w:lang w:val="es-ES_tradnl"/>
                        </w:rPr>
                        <w:br/>
                        <w:t>Académicas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F7F">
        <w:rPr>
          <w:noProof/>
          <w:lang w:val="en-GB"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43DE14" wp14:editId="55AB7F7A">
                <wp:simplePos x="0" y="0"/>
                <wp:positionH relativeFrom="column">
                  <wp:posOffset>1548235</wp:posOffset>
                </wp:positionH>
                <wp:positionV relativeFrom="paragraph">
                  <wp:posOffset>2357755</wp:posOffset>
                </wp:positionV>
                <wp:extent cx="834390" cy="271145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F7F" w:rsidRPr="00736582" w:rsidRDefault="00DC5F7F" w:rsidP="00DC5F7F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Miembros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DC5F7F">
                              <w:rPr>
                                <w:sz w:val="18"/>
                                <w:szCs w:val="18"/>
                              </w:rPr>
                              <w:t>de Sector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3DE14" id="_x0000_s1029" type="#_x0000_t202" style="position:absolute;margin-left:121.9pt;margin-top:185.65pt;width:65.7pt;height:2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" stroked="f">
                <v:textbox inset="0,0,0,0">
                  <w:txbxContent>
                    <w:p w:rsidR="00DC5F7F" w:rsidRPr="00736582" w:rsidRDefault="00DC5F7F" w:rsidP="00DC5F7F">
                      <w:pPr>
                        <w:spacing w:before="0"/>
                        <w:rPr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Miembros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DC5F7F">
                        <w:rPr>
                          <w:sz w:val="18"/>
                          <w:szCs w:val="18"/>
                        </w:rPr>
                        <w:t xml:space="preserve">de </w:t>
                      </w:r>
                      <w:proofErr w:type="spellStart"/>
                      <w:r w:rsidRPr="00DC5F7F">
                        <w:rPr>
                          <w:sz w:val="18"/>
                          <w:szCs w:val="18"/>
                        </w:rPr>
                        <w:t>Sector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C5F7F">
        <w:rPr>
          <w:noProof/>
          <w:lang w:val="en-GB" w:eastAsia="zh-C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57F964" wp14:editId="57076B3C">
                <wp:simplePos x="0" y="0"/>
                <wp:positionH relativeFrom="margin">
                  <wp:posOffset>2747645</wp:posOffset>
                </wp:positionH>
                <wp:positionV relativeFrom="paragraph">
                  <wp:posOffset>2398395</wp:posOffset>
                </wp:positionV>
                <wp:extent cx="570230" cy="168275"/>
                <wp:effectExtent l="0" t="0" r="127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F7F" w:rsidRPr="00DC5F7F" w:rsidRDefault="00DC5F7F" w:rsidP="00DC5F7F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Asociados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7F964" id="Text Box 3" o:spid="_x0000_s1030" type="#_x0000_t202" style="position:absolute;margin-left:216.35pt;margin-top:188.85pt;width:44.9pt;height:1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" stroked="f">
                <v:textbox inset="0,0,0,0">
                  <w:txbxContent>
                    <w:p w:rsidR="00DC5F7F" w:rsidRPr="00DC5F7F" w:rsidRDefault="00DC5F7F" w:rsidP="00DC5F7F">
                      <w:pPr>
                        <w:spacing w:before="0"/>
                        <w:rPr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sz w:val="18"/>
                          <w:szCs w:val="18"/>
                          <w:lang w:val="es-ES_tradnl"/>
                        </w:rPr>
                        <w:t>Asociados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5255">
        <w:rPr>
          <w:noProof/>
          <w:lang w:val="en-GB" w:eastAsia="zh-CN"/>
        </w:rPr>
        <w:drawing>
          <wp:inline distT="0" distB="0" distL="0" distR="0" wp14:anchorId="1388E4AD" wp14:editId="05B97DD8">
            <wp:extent cx="6120130" cy="2449901"/>
            <wp:effectExtent l="0" t="0" r="0" b="762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55255" w:rsidRPr="00655255" w:rsidRDefault="00655255" w:rsidP="00655255">
      <w:pPr>
        <w:pStyle w:val="Heading2"/>
        <w:rPr>
          <w:lang w:val="es-ES_tradnl"/>
        </w:rPr>
      </w:pPr>
      <w:r w:rsidRPr="00655255">
        <w:rPr>
          <w:lang w:val="es-ES_tradnl"/>
        </w:rPr>
        <w:t>3.1</w:t>
      </w:r>
      <w:r w:rsidRPr="00655255">
        <w:rPr>
          <w:lang w:val="es-ES_tradnl"/>
        </w:rPr>
        <w:tab/>
        <w:t>Miembros de Sector y Asociados en 2018</w:t>
      </w:r>
    </w:p>
    <w:p w:rsidR="00655255" w:rsidRPr="00655255" w:rsidRDefault="00655255" w:rsidP="00655255">
      <w:pPr>
        <w:rPr>
          <w:lang w:val="en-GB"/>
        </w:rPr>
      </w:pPr>
      <w:r w:rsidRPr="00655255">
        <w:rPr>
          <w:lang w:val="es-ES_tradnl"/>
        </w:rPr>
        <w:t>En 2018, se adhirieron al UIT-D ocho nuevos Miembros de Sector: ECPAT International (Tailandia), World Wide Web Foundation (</w:t>
      </w:r>
      <w:r w:rsidRPr="006E5ED4">
        <w:rPr>
          <w:lang w:val="es-ES_tradnl"/>
        </w:rPr>
        <w:t>EE.UU.), Common</w:t>
      </w:r>
      <w:r w:rsidRPr="00655255">
        <w:rPr>
          <w:lang w:val="es-ES_tradnl"/>
        </w:rPr>
        <w:t xml:space="preserve"> Market for Eastern and Southern Africa (Zambia), Mobile and Wireless Forum IVZW (Bélgica), Turkcell Iletisim Hizmetleri A.S (Turquía), Sigma Telecom (Turquía), Symantec Corporation (EE.UU.), Masyarakat Telematika Indonesia (Indonesia); y cuatro nuevos Asociados: High-tech Bridge SA (Suiza), Konkan Railway Corporation Ltd. </w:t>
      </w:r>
      <w:r w:rsidRPr="00655255">
        <w:rPr>
          <w:lang w:val="en-GB"/>
        </w:rPr>
        <w:t>(India), Axon Partners Group Consulting (España) &amp; NRD Cyber Security (Lituania).</w:t>
      </w:r>
    </w:p>
    <w:p w:rsidR="00655255" w:rsidRPr="00655255" w:rsidRDefault="00655255" w:rsidP="00655255">
      <w:pPr>
        <w:rPr>
          <w:lang w:val="es-ES_tradnl"/>
        </w:rPr>
      </w:pPr>
      <w:r w:rsidRPr="00655255">
        <w:rPr>
          <w:lang w:val="es-ES_tradnl"/>
        </w:rPr>
        <w:t>A lo largo del mismo periodo, 15 Miembros dejaron de serlo, tres de ellos por impago. En los demás casos, los motivos aducidos para el abandono fueron la consolidación industrial y/o problemas financieros.</w:t>
      </w:r>
    </w:p>
    <w:p w:rsidR="00655255" w:rsidRPr="00655255" w:rsidRDefault="00655255" w:rsidP="00655255">
      <w:pPr>
        <w:pStyle w:val="Heading2"/>
        <w:rPr>
          <w:lang w:val="es-ES_tradnl"/>
        </w:rPr>
      </w:pPr>
      <w:r w:rsidRPr="00655255">
        <w:rPr>
          <w:lang w:val="es-ES_tradnl"/>
        </w:rPr>
        <w:lastRenderedPageBreak/>
        <w:t>3.2</w:t>
      </w:r>
      <w:r w:rsidRPr="00655255">
        <w:rPr>
          <w:lang w:val="es-ES_tradnl"/>
        </w:rPr>
        <w:tab/>
      </w:r>
      <w:r w:rsidRPr="005A17E8">
        <w:rPr>
          <w:lang w:val="es-ES_tradnl"/>
        </w:rPr>
        <w:t>Instituciones</w:t>
      </w:r>
      <w:r w:rsidRPr="00655255">
        <w:rPr>
          <w:lang w:val="es-ES_tradnl"/>
        </w:rPr>
        <w:t xml:space="preserve"> Académicas en 2018</w:t>
      </w:r>
    </w:p>
    <w:p w:rsidR="00655255" w:rsidRPr="00655255" w:rsidRDefault="00655255" w:rsidP="00655255">
      <w:pPr>
        <w:rPr>
          <w:lang w:val="es-ES_tradnl"/>
        </w:rPr>
      </w:pPr>
      <w:r w:rsidRPr="00655255">
        <w:rPr>
          <w:lang w:val="es-ES_tradnl"/>
        </w:rPr>
        <w:t>Las Instituciones Académicas participan en los trabajos de todos los Sectores, así como en las Conferencias Mundiales y Regionales, los talleres y las actividades de la Unión, previo abono de una tasa única. En 2018, en coordinación con la Secretaría General y con el apoyo de Miembros de la UIT como Argentina, China, India, Irán y Palestina, entre otros muchos, se adhirieron a los tres Sectores de la UIT 37 n</w:t>
      </w:r>
      <w:r>
        <w:rPr>
          <w:lang w:val="es-ES_tradnl"/>
        </w:rPr>
        <w:t>uevas Instituciones Académicas</w:t>
      </w:r>
      <w:r>
        <w:rPr>
          <w:rStyle w:val="FootnoteReference"/>
          <w:lang w:val="es-ES_tradnl"/>
        </w:rPr>
        <w:footnoteReference w:id="2"/>
      </w:r>
      <w:r>
        <w:rPr>
          <w:lang w:val="es-ES_tradnl"/>
        </w:rPr>
        <w:t>.</w:t>
      </w:r>
    </w:p>
    <w:p w:rsidR="00655255" w:rsidRPr="00655255" w:rsidRDefault="00655255" w:rsidP="00655255">
      <w:pPr>
        <w:pStyle w:val="Heading1"/>
        <w:rPr>
          <w:lang w:val="es-ES_tradnl"/>
        </w:rPr>
      </w:pPr>
      <w:r w:rsidRPr="00655255">
        <w:rPr>
          <w:lang w:val="es-ES_tradnl"/>
        </w:rPr>
        <w:t>4</w:t>
      </w:r>
      <w:r w:rsidRPr="00655255">
        <w:rPr>
          <w:lang w:val="es-ES_tradnl"/>
        </w:rPr>
        <w:tab/>
        <w:t>Principales medidas y resultados</w:t>
      </w:r>
    </w:p>
    <w:p w:rsidR="00655255" w:rsidRPr="00655255" w:rsidRDefault="00655255" w:rsidP="00655255">
      <w:pPr>
        <w:rPr>
          <w:lang w:val="es-ES_tradnl"/>
        </w:rPr>
      </w:pPr>
      <w:r w:rsidRPr="00655255">
        <w:rPr>
          <w:lang w:val="es-ES_tradnl"/>
        </w:rPr>
        <w:t>La BDT ha adoptado una serie de medidas estratégicas y seguirá desplegando esfuerzos en aras de la mejora de sus servicios y compromisos para los Miembros de Sector del UIT-D, Asociados e Instituciones Académicas.</w:t>
      </w:r>
    </w:p>
    <w:p w:rsidR="00655255" w:rsidRPr="00655255" w:rsidRDefault="00655255" w:rsidP="00655255">
      <w:pPr>
        <w:pStyle w:val="Heading2"/>
        <w:rPr>
          <w:lang w:val="es-ES_tradnl"/>
        </w:rPr>
      </w:pPr>
      <w:r w:rsidRPr="00655255">
        <w:rPr>
          <w:lang w:val="es-ES_tradnl"/>
        </w:rPr>
        <w:t>4.1</w:t>
      </w:r>
      <w:r w:rsidRPr="00655255">
        <w:rPr>
          <w:lang w:val="es-ES_tradnl"/>
        </w:rPr>
        <w:tab/>
        <w:t>Mejora de los instrumentos y servicios de los Miembros de Sector del UIT-D</w:t>
      </w:r>
    </w:p>
    <w:p w:rsidR="00655255" w:rsidRPr="00655255" w:rsidRDefault="00655255" w:rsidP="00655255">
      <w:pPr>
        <w:rPr>
          <w:lang w:val="es-ES_tradnl"/>
        </w:rPr>
      </w:pPr>
      <w:r w:rsidRPr="00655255">
        <w:rPr>
          <w:lang w:val="es-ES_tradnl"/>
        </w:rPr>
        <w:t>Las plataformas de divulgación de información, en particular el portal de los Miembros de Sector del UIT-D (</w:t>
      </w:r>
      <w:hyperlink r:id="rId9" w:history="1">
        <w:r w:rsidRPr="00655255">
          <w:rPr>
            <w:rStyle w:val="Hyperlink"/>
            <w:lang w:val="es-ES_tradnl"/>
          </w:rPr>
          <w:t>https://www.itu.int/en/ITU-D/Membership/Pages/default.aspx</w:t>
        </w:r>
      </w:hyperlink>
      <w:r w:rsidRPr="00655255">
        <w:rPr>
          <w:lang w:val="es-ES_tradnl"/>
        </w:rPr>
        <w:t xml:space="preserve">) y el sitio web siguen promoviendo las ventajas y aumentando la visibilidad que los Miembros ganan con su participación en la UIT, vinculadas a las esferas de acción del UIT-D para adaptar las oportunidades de participación en proyectos y de establecimiento de asociaciones, invitando al mismo tiempo a la comunicación de los casos de éxito de los Miembros del UIT-D. La BDT sigue mejorando sus documentos e instrumentos de divulgación y comunicación a través de la plataforma en línea de la </w:t>
      </w:r>
      <w:r w:rsidRPr="00655255">
        <w:rPr>
          <w:lang w:val="es-ES_tradnl"/>
        </w:rPr>
        <w:lastRenderedPageBreak/>
        <w:t>Zona de Miembros de la UIT, y el proyecto MyITU, que brinda a los Miembros la posibilidad de personalizar contenidos, establecer nuevos contactos y colaborar mutuamente.</w:t>
      </w:r>
    </w:p>
    <w:p w:rsidR="00655255" w:rsidRPr="00655255" w:rsidRDefault="00655255" w:rsidP="00655255">
      <w:pPr>
        <w:pStyle w:val="Heading2"/>
        <w:rPr>
          <w:lang w:val="es-ES_tradnl"/>
        </w:rPr>
      </w:pPr>
      <w:r w:rsidRPr="00655255">
        <w:rPr>
          <w:lang w:val="es-ES_tradnl"/>
        </w:rPr>
        <w:t>4.2</w:t>
      </w:r>
      <w:r w:rsidRPr="00655255">
        <w:rPr>
          <w:lang w:val="es-ES_tradnl"/>
        </w:rPr>
        <w:tab/>
        <w:t>Nuevas plataformas de colaboración con entidades académicas</w:t>
      </w:r>
    </w:p>
    <w:p w:rsidR="00655255" w:rsidRPr="00655255" w:rsidRDefault="00655255" w:rsidP="00655255">
      <w:pPr>
        <w:rPr>
          <w:lang w:val="es-ES_tradnl"/>
        </w:rPr>
      </w:pPr>
      <w:r w:rsidRPr="00655255">
        <w:rPr>
          <w:lang w:val="es-ES_tradnl"/>
        </w:rPr>
        <w:t>La Academia promueve soluciones innovadoras y sostenibles por medio de un espacio en el que se conjuga talento, investigación y tecnología con objeto de resolver los problemas más acuciantes a nivel internacional. A raíz del aumento del número de Miembros de Instituciones Académicas, la BDT perfeccionó varios tipos de plataformas de colaboración, incluidas las existentes, en particular la Academia de la UIT y la Gaceta de la UIT.</w:t>
      </w:r>
    </w:p>
    <w:p w:rsidR="00655255" w:rsidRPr="00655255" w:rsidRDefault="00655255" w:rsidP="00655255">
      <w:pPr>
        <w:rPr>
          <w:lang w:val="es-ES_tradnl"/>
        </w:rPr>
      </w:pPr>
      <w:r w:rsidRPr="00655255">
        <w:rPr>
          <w:lang w:val="es-ES_tradnl"/>
        </w:rPr>
        <w:t>El libro de la UIT sobre las TIC</w:t>
      </w:r>
      <w:r w:rsidRPr="00655255">
        <w:rPr>
          <w:rFonts w:hint="eastAsia"/>
          <w:lang w:val="es-ES_tradnl"/>
        </w:rPr>
        <w:t>④</w:t>
      </w:r>
      <w:r w:rsidRPr="00655255">
        <w:rPr>
          <w:lang w:val="es-ES_tradnl"/>
        </w:rPr>
        <w:t xml:space="preserve">ODS, </w:t>
      </w:r>
      <w:r>
        <w:rPr>
          <w:lang w:val="es-ES_tradnl"/>
        </w:rPr>
        <w:t>"</w:t>
      </w:r>
      <w:hyperlink r:id="rId10" w:history="1">
        <w:r w:rsidRPr="00173C12">
          <w:rPr>
            <w:rStyle w:val="Hyperlink"/>
            <w:lang w:val="es-ES_tradnl"/>
          </w:rPr>
          <w:t>Crecimiento económico centrado en las TIC, innovación y creación de empleo</w:t>
        </w:r>
      </w:hyperlink>
      <w:r>
        <w:rPr>
          <w:lang w:val="es-ES_tradnl"/>
        </w:rPr>
        <w:t>"</w:t>
      </w:r>
      <w:r w:rsidRPr="00655255">
        <w:rPr>
          <w:lang w:val="es-ES_tradnl"/>
        </w:rPr>
        <w:t>, presentado durante la CMDT-17, fue el resultado de un estudio conjunto con destacados expertos de la comunidad científica internacional e Instituciones Académicas Miembros de la UIT. Esta publicación cataliza el interés de la comunidad académica por debatir acerca de sus principales conclusiones con los autores y explorar nuevas vías de investigación y fuentes de datos de los sectores académico y privado, para los que, por invitación de la London School of Economics, la BDT organizó la Plataforma de asociación sobre las TIC</w:t>
      </w:r>
      <w:r w:rsidRPr="00655255">
        <w:rPr>
          <w:rFonts w:hint="eastAsia"/>
          <w:lang w:val="es-ES_tradnl"/>
        </w:rPr>
        <w:t>④</w:t>
      </w:r>
      <w:r w:rsidRPr="00655255">
        <w:rPr>
          <w:lang w:val="es-ES_tradnl"/>
        </w:rPr>
        <w:t>ODS: "</w:t>
      </w:r>
      <w:hyperlink r:id="rId11" w:history="1">
        <w:r w:rsidRPr="00173C12">
          <w:rPr>
            <w:rStyle w:val="Hyperlink"/>
            <w:lang w:val="es-ES_tradnl"/>
          </w:rPr>
          <w:t>Crecimiento económico centrado en las TIC, innovación y creación de empleo</w:t>
        </w:r>
      </w:hyperlink>
      <w:r w:rsidRPr="00655255">
        <w:rPr>
          <w:lang w:val="es-ES_tradnl"/>
        </w:rPr>
        <w:t>" en Londres, Reino Unido, los días 22 y 23 de mayo de 2018. La plataforma contó con 50 participantes de procedencia diversa, desde académicos reconocidos a participantes destacados de los sectores público y privado.</w:t>
      </w:r>
    </w:p>
    <w:p w:rsidR="00655255" w:rsidRDefault="00655255" w:rsidP="00655255">
      <w:pPr>
        <w:rPr>
          <w:lang w:val="es-ES_tradnl"/>
        </w:rPr>
      </w:pPr>
      <w:r w:rsidRPr="00655255">
        <w:rPr>
          <w:lang w:val="es-ES_tradnl"/>
        </w:rPr>
        <w:t xml:space="preserve">La BDT también llevó a cabo diversas actividades de divulgación para los </w:t>
      </w:r>
      <w:r w:rsidR="00173C12">
        <w:rPr>
          <w:lang w:val="es-ES_tradnl"/>
        </w:rPr>
        <w:t>m</w:t>
      </w:r>
      <w:r w:rsidR="00173C12" w:rsidRPr="00655255">
        <w:rPr>
          <w:lang w:val="es-ES_tradnl"/>
        </w:rPr>
        <w:t>iembros</w:t>
      </w:r>
      <w:r w:rsidRPr="00655255">
        <w:rPr>
          <w:lang w:val="es-ES_tradnl"/>
        </w:rPr>
        <w:t xml:space="preserve"> del sector académico, por ejemplo, reuniones bilaterales para aumentar la participación de las Instituciones Académicas en los trabajos del UIT-D.</w:t>
      </w:r>
    </w:p>
    <w:p w:rsidR="00655255" w:rsidRPr="00655255" w:rsidRDefault="00655255" w:rsidP="00655255">
      <w:pPr>
        <w:pStyle w:val="Heading2"/>
        <w:rPr>
          <w:lang w:val="es-ES_tradnl"/>
        </w:rPr>
      </w:pPr>
      <w:r w:rsidRPr="00655255">
        <w:rPr>
          <w:lang w:val="es-ES_tradnl"/>
        </w:rPr>
        <w:t>4.3</w:t>
      </w:r>
      <w:r w:rsidRPr="00655255">
        <w:rPr>
          <w:lang w:val="es-ES_tradnl"/>
        </w:rPr>
        <w:tab/>
        <w:t>Mejora de la participación de las PYME y el sector privado en los trabajos del UIT-D</w:t>
      </w:r>
    </w:p>
    <w:p w:rsidR="00655255" w:rsidRPr="00655255" w:rsidRDefault="00655255" w:rsidP="00655255">
      <w:pPr>
        <w:rPr>
          <w:lang w:val="es-ES_tradnl"/>
        </w:rPr>
      </w:pPr>
      <w:r w:rsidRPr="00655255">
        <w:rPr>
          <w:lang w:val="es-ES_tradnl"/>
        </w:rPr>
        <w:t>La BDT mejoró la colaboración y las sinergias con los miembros del sector privado en el ecosistema convergente de las TIC por medio de alianzas con asociaciones del sector industrial y organizaciones en los planos regional e internacional, incluidas sus redes y miembros afiliados.</w:t>
      </w:r>
    </w:p>
    <w:p w:rsidR="00655255" w:rsidRDefault="00655255" w:rsidP="00655255">
      <w:pPr>
        <w:rPr>
          <w:lang w:val="es-ES_tradnl"/>
        </w:rPr>
      </w:pPr>
      <w:r w:rsidRPr="00655255">
        <w:rPr>
          <w:lang w:val="es-ES_tradnl"/>
        </w:rPr>
        <w:t>De conformidad con la Resolución 71 de la CMDT-17 sobre el fortalecimiento de la cooperación entre Estados Miembros, Miembros de Sector, Asociados e Institucio</w:t>
      </w:r>
      <w:r w:rsidR="000362DE">
        <w:rPr>
          <w:lang w:val="es-ES_tradnl"/>
        </w:rPr>
        <w:t>nes Académicas del UIT-D, la 9ª </w:t>
      </w:r>
      <w:r w:rsidRPr="00655255">
        <w:rPr>
          <w:lang w:val="es-ES_tradnl"/>
        </w:rPr>
        <w:t xml:space="preserve">edición de la </w:t>
      </w:r>
      <w:r w:rsidRPr="00C3580D">
        <w:rPr>
          <w:b/>
          <w:bCs/>
          <w:i/>
          <w:iCs/>
          <w:lang w:val="es-ES_tradnl"/>
        </w:rPr>
        <w:t>reunión de Directores de Reglamentación del Sector Privado (CRO)</w:t>
      </w:r>
      <w:r w:rsidRPr="00655255">
        <w:rPr>
          <w:lang w:val="es-ES_tradnl"/>
        </w:rPr>
        <w:t xml:space="preserve"> y la reunión del </w:t>
      </w:r>
      <w:r w:rsidRPr="00173C12">
        <w:rPr>
          <w:b/>
          <w:bCs/>
          <w:i/>
          <w:iCs/>
          <w:lang w:val="es-ES_tradnl"/>
        </w:rPr>
        <w:t>Grupo Asesor de la Industria para los Problemas del Desarrollo (IAGDI)</w:t>
      </w:r>
      <w:r w:rsidRPr="00655255">
        <w:rPr>
          <w:lang w:val="es-ES_tradnl"/>
        </w:rPr>
        <w:t xml:space="preserve"> se celebraron el 10 de julio de 2018 durante el Simposio Mundial para Reguladores (GSR-18). Esta reunión contó con la participación de más de 100 altos directivos del sector industrial, que intercambiaron información sobre nuevas tecnologías digitales y propuestas sobre la forma de fomentar la participación del sector privado y su colaboración en iniciativas en los planos mundial, regional y nacional. Los Resultados del CRO/IAGDI piden la inclusión, la facilitación del despliegue ubicuo de la infraestructura y la creación de un entorno donde se estimulen las inversiones en nuevas tec</w:t>
      </w:r>
      <w:r w:rsidR="00C3580D">
        <w:rPr>
          <w:lang w:val="es-ES_tradnl"/>
        </w:rPr>
        <w:t>nologías y servicios digitales.</w:t>
      </w:r>
    </w:p>
    <w:p w:rsidR="00472DEB" w:rsidRPr="00472DEB" w:rsidRDefault="00C32F88" w:rsidP="00472DEB">
      <w:pPr>
        <w:rPr>
          <w:lang w:val="es-ES_tradnl"/>
        </w:rPr>
      </w:pPr>
      <w:r w:rsidRPr="00472DEB">
        <w:rPr>
          <w:lang w:val="es-ES_tradnl"/>
        </w:rPr>
        <w:t>Partiendo de lo discutido en el GSR-18, en el Debate de Líde</w:t>
      </w:r>
      <w:r w:rsidR="00472DEB" w:rsidRPr="00472DEB">
        <w:rPr>
          <w:lang w:val="es-ES_tradnl"/>
        </w:rPr>
        <w:t xml:space="preserve">res de la Industria se compartieron visiones </w:t>
      </w:r>
      <w:r w:rsidRPr="00472DEB">
        <w:rPr>
          <w:lang w:val="es-ES_tradnl"/>
        </w:rPr>
        <w:t>y futuras tendencias de los modelos de inversión empresarial, así como de las tecnologías emergentes para la próxima oleada de productividad industrial</w:t>
      </w:r>
      <w:r w:rsidRPr="00472DEB">
        <w:rPr>
          <w:lang w:val="es-ES_tradnl"/>
        </w:rPr>
        <w:t>.</w:t>
      </w:r>
    </w:p>
    <w:p w:rsidR="00655255" w:rsidRPr="00655255" w:rsidRDefault="00655255" w:rsidP="00472DEB">
      <w:pPr>
        <w:rPr>
          <w:lang w:val="es-ES_tradnl"/>
        </w:rPr>
      </w:pPr>
      <w:r w:rsidRPr="00655255">
        <w:rPr>
          <w:lang w:val="es-ES_tradnl"/>
        </w:rPr>
        <w:t xml:space="preserve">Para explorar la colaboración con otras organizaciones industriales, la </w:t>
      </w:r>
      <w:r w:rsidR="00173C12" w:rsidRPr="00173C12">
        <w:rPr>
          <w:b/>
          <w:bCs/>
          <w:i/>
          <w:iCs/>
          <w:lang w:val="es-ES_tradnl"/>
        </w:rPr>
        <w:t xml:space="preserve">reunión </w:t>
      </w:r>
      <w:r w:rsidR="00C3580D" w:rsidRPr="00173C12">
        <w:rPr>
          <w:b/>
          <w:bCs/>
          <w:i/>
          <w:iCs/>
          <w:lang w:val="es-ES_tradnl"/>
        </w:rPr>
        <w:t>especial UIT</w:t>
      </w:r>
      <w:r w:rsidR="00C3580D" w:rsidRPr="00173C12">
        <w:rPr>
          <w:b/>
          <w:bCs/>
          <w:i/>
          <w:iCs/>
          <w:lang w:val="es-ES_tradnl"/>
        </w:rPr>
        <w:noBreakHyphen/>
      </w:r>
      <w:r w:rsidRPr="00173C12">
        <w:rPr>
          <w:b/>
          <w:bCs/>
          <w:i/>
          <w:iCs/>
          <w:lang w:val="es-ES_tradnl"/>
        </w:rPr>
        <w:t>ONUDI-GMIS sobre Tecnología e Innovación en pro de la conectividad para el desarrollo industrial inclusivo y sostenible</w:t>
      </w:r>
      <w:r w:rsidR="003F725D" w:rsidRPr="00173C12">
        <w:rPr>
          <w:i/>
          <w:iCs/>
          <w:lang w:val="es-ES_tradnl"/>
        </w:rPr>
        <w:t>,</w:t>
      </w:r>
      <w:r w:rsidR="003F725D">
        <w:rPr>
          <w:lang w:val="es-ES_tradnl"/>
        </w:rPr>
        <w:t xml:space="preserve"> dedicada a la "</w:t>
      </w:r>
      <w:r w:rsidRPr="00655255">
        <w:rPr>
          <w:lang w:val="es-ES_tradnl"/>
        </w:rPr>
        <w:t>Creación de ciudades y sociedades inteligentes: utilización de las tecnologías de la información y la comunicación en pro del desarrollo</w:t>
      </w:r>
      <w:r w:rsidR="003F725D">
        <w:rPr>
          <w:lang w:val="es-ES_tradnl"/>
        </w:rPr>
        <w:t xml:space="preserve"> socieconómico sostenible"</w:t>
      </w:r>
      <w:r w:rsidR="006B4143">
        <w:rPr>
          <w:lang w:val="es-ES_tradnl"/>
        </w:rPr>
        <w:t>,</w:t>
      </w:r>
      <w:r w:rsidRPr="00655255">
        <w:rPr>
          <w:lang w:val="es-ES_tradnl"/>
        </w:rPr>
        <w:t xml:space="preserve"> se celebró el 1 de octubre de 2018 en la Sede de la UIT en Ginebra en paralelo a la reunión de la Cuestión 1/2 del UIT-D. Esta Reunión especial reunió a 121 participantes de los Estados Miembros, el sector privado, los Miembros del UIT-D, la ONUDI, la OMC, la OIT, el WFP, el PNUMA, etc. En las mesas redondas se presentaron soluciones para la creación de ciudades inteligentes y sostenibles, además de los beneficios de la IoT, la IA y los macrodatos para las sociedades inteligentes.</w:t>
      </w:r>
    </w:p>
    <w:p w:rsidR="00655255" w:rsidRPr="00655255" w:rsidRDefault="00655255" w:rsidP="00655255">
      <w:pPr>
        <w:rPr>
          <w:lang w:val="es-ES_tradnl"/>
        </w:rPr>
      </w:pPr>
      <w:r w:rsidRPr="00655255">
        <w:rPr>
          <w:lang w:val="es-ES_tradnl"/>
        </w:rPr>
        <w:t xml:space="preserve">A raíz de la decisión adoptada por el Consejo en 2017 de llevar a cabo un proyecto piloto de participación de las PYME en las Comisiones de Estudio del UIT-T y el UIT-D, la BDT inició su ejecución invitando a las PYME a participar en las Comisiones de Estudio del UIT-D durante el periodo de estudios iniciado en 2018. Participan en los trabajos de las Comisiones de Estudio siete PYME de Italia, Reino Unido, Japón, Estonia y Polonia (a saber, Proge-Software, Forum Europe, DAIWA Computer, Guardtime, Melody International, Orange TechLab, SatRevolution, y ASTEM). Muchas de estas PYME han presentado contribuciones sobre temas como la ciberseguridad, las aplicaciones de TIC y la computación en la nube, entre otros. Más adelante, la PP-18 </w:t>
      </w:r>
      <w:r w:rsidR="006B4143" w:rsidRPr="00655255">
        <w:rPr>
          <w:lang w:val="es-ES_tradnl"/>
        </w:rPr>
        <w:t>adoptó</w:t>
      </w:r>
      <w:r w:rsidRPr="00655255">
        <w:rPr>
          <w:lang w:val="es-ES_tradnl"/>
        </w:rPr>
        <w:t xml:space="preserve"> la Resolución 209 (Dubái, 2018) sobre las PYME, habida cuenta del éxito del proyecto y reconociendo la función esencial de las PYME en la consecución del crecimiento económico y el desarrollo.</w:t>
      </w:r>
    </w:p>
    <w:p w:rsidR="00655255" w:rsidRPr="00655255" w:rsidRDefault="00655255" w:rsidP="003F725D">
      <w:pPr>
        <w:pStyle w:val="Heading1"/>
        <w:rPr>
          <w:lang w:val="es-ES_tradnl"/>
        </w:rPr>
      </w:pPr>
      <w:r w:rsidRPr="00655255">
        <w:rPr>
          <w:lang w:val="es-ES_tradnl"/>
        </w:rPr>
        <w:t>5</w:t>
      </w:r>
      <w:r w:rsidRPr="00655255">
        <w:rPr>
          <w:lang w:val="es-ES_tradnl"/>
        </w:rPr>
        <w:tab/>
        <w:t>Medidas futuras</w:t>
      </w:r>
    </w:p>
    <w:p w:rsidR="00655255" w:rsidRPr="00655255" w:rsidRDefault="00655255" w:rsidP="00655255">
      <w:pPr>
        <w:rPr>
          <w:lang w:val="es-ES_tradnl"/>
        </w:rPr>
      </w:pPr>
      <w:r w:rsidRPr="00655255">
        <w:rPr>
          <w:lang w:val="es-ES_tradnl"/>
        </w:rPr>
        <w:t>Si bien los programas, proyectos, iniciativas y actividades del UIT-D en el marco de sus esferas de acción proporcionan productos y servicios, para los Miembros de la UIT, la BDT seguirá fomentando los servicios de sus Miembros con objeto de facilitar la colaboración con los Miembros actuales, y con posibles nuevos Miembros, incluidas las PYME y las Instituciones Académicas, mediante la compartición y promoción de los productos de la BDT y su repercusión en seminarios web, charlas, testimonios, etc.</w:t>
      </w:r>
    </w:p>
    <w:p w:rsidR="00655255" w:rsidRPr="00655255" w:rsidRDefault="00655255" w:rsidP="00655255">
      <w:pPr>
        <w:rPr>
          <w:lang w:val="es-ES_tradnl"/>
        </w:rPr>
      </w:pPr>
      <w:r w:rsidRPr="00655255">
        <w:rPr>
          <w:lang w:val="es-ES_tradnl"/>
        </w:rPr>
        <w:t>Se formularán llamamientos para la asociación multipartita en diversas plataformas, programas e Iniciativas regionales a fin de contribuir al mandato del UIT-D para el cumplimiento de los Objetivos de Desarrollo Sostenible (ODS).</w:t>
      </w:r>
    </w:p>
    <w:p w:rsidR="00655255" w:rsidRPr="00655255" w:rsidRDefault="00655255" w:rsidP="00655255">
      <w:pPr>
        <w:rPr>
          <w:lang w:val="es-ES_tradnl"/>
        </w:rPr>
      </w:pPr>
      <w:r w:rsidRPr="00655255">
        <w:rPr>
          <w:lang w:val="es-ES_tradnl"/>
        </w:rPr>
        <w:t>La diversidad de los Miembros de Sector y los Asociados, así como el número cada vez mayor de Instituciones Académicas, siguen siendo propicios para la colaboración y el intercambio de conocimientos en un ecosistema de las TIC convergente. La BDT seguirá incidiendo en enfoques con varias partes interesadas en aras de la mejora de la colaboración y las asociaciones con los miembros y sus redes a través de las plataformas de la BDT/UIT a escalas mundial y regional en estrecha coordinación y cooperación.</w:t>
      </w:r>
    </w:p>
    <w:p w:rsidR="00655255" w:rsidRDefault="00655255" w:rsidP="00655255">
      <w:pPr>
        <w:rPr>
          <w:lang w:val="es-ES_tradnl"/>
        </w:rPr>
      </w:pPr>
      <w:r w:rsidRPr="00655255">
        <w:rPr>
          <w:lang w:val="es-ES_tradnl"/>
        </w:rPr>
        <w:t xml:space="preserve">Se invita a todos los Miembros y a los Estados Miembros en particular a fomentar la adhesión de la </w:t>
      </w:r>
      <w:r w:rsidRPr="003F725D">
        <w:rPr>
          <w:spacing w:val="-2"/>
          <w:lang w:val="es-ES_tradnl"/>
        </w:rPr>
        <w:t>industria privada, las PYME y las Instituciones Académicas al UIT-D y la participación en sus trabajos.</w:t>
      </w:r>
    </w:p>
    <w:p w:rsidR="00655255" w:rsidRDefault="00655255" w:rsidP="00655255">
      <w:pPr>
        <w:rPr>
          <w:lang w:val="es-ES_tradnl"/>
        </w:rPr>
      </w:pPr>
    </w:p>
    <w:p w:rsidR="000725A1" w:rsidRDefault="006E4AB3" w:rsidP="003F725D">
      <w:pPr>
        <w:jc w:val="center"/>
      </w:pPr>
      <w:r>
        <w:t>______________</w:t>
      </w:r>
    </w:p>
    <w:sectPr w:rsidR="000725A1" w:rsidSect="004B7893">
      <w:headerReference w:type="default" r:id="rId12"/>
      <w:footerReference w:type="defaul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37B" w:rsidRDefault="009F537B" w:rsidP="0088106F">
      <w:r>
        <w:separator/>
      </w:r>
    </w:p>
  </w:endnote>
  <w:endnote w:type="continuationSeparator" w:id="0">
    <w:p w:rsidR="009F537B" w:rsidRDefault="009F537B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06F" w:rsidRPr="00C404C9" w:rsidRDefault="009F537B" w:rsidP="00C404C9">
    <w:pPr>
      <w:pStyle w:val="Footer"/>
      <w:rPr>
        <w:lang w:val="en-GB"/>
      </w:rPr>
    </w:pPr>
    <w:r>
      <w:fldChar w:fldCharType="begin"/>
    </w:r>
    <w:r w:rsidRPr="00C404C9">
      <w:rPr>
        <w:lang w:val="en-GB"/>
      </w:rPr>
      <w:instrText xml:space="preserve"> FILENAME \p  \* MERGEFORMAT </w:instrText>
    </w:r>
    <w:r>
      <w:fldChar w:fldCharType="separate"/>
    </w:r>
    <w:r w:rsidR="00C32F88">
      <w:rPr>
        <w:lang w:val="en-GB"/>
      </w:rPr>
      <w:t>P:\ESP\ITU-D\CONF-D\TDAG19\000\020S.docx</w:t>
    </w:r>
    <w:r>
      <w:fldChar w:fldCharType="end"/>
    </w:r>
    <w:r w:rsidR="00C404C9" w:rsidRPr="00C404C9">
      <w:rPr>
        <w:lang w:val="en-GB"/>
      </w:rPr>
      <w:t xml:space="preserve"> (449226)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9D1BD4" w:rsidRPr="00DD18F5" w:rsidTr="009F537B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9D1BD4" w:rsidRPr="004D495C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9D1BD4" w:rsidRPr="004D495C" w:rsidRDefault="009D1BD4" w:rsidP="009D1BD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9D1BD4" w:rsidRPr="00655255" w:rsidRDefault="00DD18F5" w:rsidP="00655255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bookmarkStart w:id="7" w:name="OrgName"/>
          <w:bookmarkEnd w:id="7"/>
          <w:r>
            <w:rPr>
              <w:sz w:val="18"/>
              <w:szCs w:val="18"/>
              <w:lang w:val="es-ES_tradnl"/>
            </w:rPr>
            <w:t>D</w:t>
          </w:r>
          <w:r w:rsidR="00655255" w:rsidRPr="00655255">
            <w:rPr>
              <w:sz w:val="18"/>
              <w:szCs w:val="18"/>
              <w:lang w:val="es-ES_tradnl"/>
            </w:rPr>
            <w:t>ra. Eun-Jun Kim, Jefa del Departamento de Innovación y Asociaciones (IP), Oficina de Desarrollo de las Telecomunicaciones</w:t>
          </w:r>
        </w:p>
      </w:tc>
    </w:tr>
    <w:tr w:rsidR="009D1BD4" w:rsidRPr="004D495C" w:rsidTr="009F537B">
      <w:tc>
        <w:tcPr>
          <w:tcW w:w="1134" w:type="dxa"/>
          <w:shd w:val="clear" w:color="auto" w:fill="auto"/>
        </w:tcPr>
        <w:p w:rsidR="009D1BD4" w:rsidRPr="00655255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9D1BD4" w:rsidRPr="004D495C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9D1BD4" w:rsidRPr="00050E06" w:rsidRDefault="00655255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8" w:name="PhoneNo"/>
          <w:bookmarkEnd w:id="8"/>
          <w:r w:rsidRPr="00655255">
            <w:rPr>
              <w:sz w:val="18"/>
              <w:szCs w:val="18"/>
              <w:lang w:val="en-US"/>
            </w:rPr>
            <w:t>+41 22 730 5900</w:t>
          </w:r>
        </w:p>
      </w:tc>
    </w:tr>
    <w:tr w:rsidR="009D1BD4" w:rsidRPr="00DD18F5" w:rsidTr="009F537B">
      <w:tc>
        <w:tcPr>
          <w:tcW w:w="1134" w:type="dxa"/>
          <w:shd w:val="clear" w:color="auto" w:fill="auto"/>
        </w:tcPr>
        <w:p w:rsidR="009D1BD4" w:rsidRPr="004D495C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9D1BD4" w:rsidRPr="004D495C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bookmarkStart w:id="9" w:name="Email"/>
      <w:bookmarkEnd w:id="9"/>
      <w:tc>
        <w:tcPr>
          <w:tcW w:w="6237" w:type="dxa"/>
          <w:shd w:val="clear" w:color="auto" w:fill="auto"/>
        </w:tcPr>
        <w:p w:rsidR="009D1BD4" w:rsidRPr="00D97215" w:rsidRDefault="00655255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7B03BB">
            <w:fldChar w:fldCharType="begin"/>
          </w:r>
          <w:r w:rsidRPr="00655255">
            <w:rPr>
              <w:lang w:val="en-US"/>
            </w:rPr>
            <w:instrText xml:space="preserve"> HYPERLINK "mailto:eun-ju.kim@itu.int" </w:instrText>
          </w:r>
          <w:r w:rsidRPr="007B03BB">
            <w:fldChar w:fldCharType="separate"/>
          </w:r>
          <w:r w:rsidRPr="00655255">
            <w:rPr>
              <w:rStyle w:val="Hyperlink"/>
              <w:sz w:val="18"/>
              <w:szCs w:val="18"/>
              <w:lang w:val="en-US"/>
            </w:rPr>
            <w:t>eun-ju.kim@itu.int</w:t>
          </w:r>
          <w:r w:rsidRPr="007B03BB">
            <w:rPr>
              <w:rStyle w:val="Hyperlink"/>
              <w:sz w:val="18"/>
              <w:szCs w:val="18"/>
              <w:lang w:val="es-ES_tradnl"/>
            </w:rPr>
            <w:fldChar w:fldCharType="end"/>
          </w:r>
        </w:p>
      </w:tc>
    </w:tr>
  </w:tbl>
  <w:p w:rsidR="009D1BD4" w:rsidRPr="00655255" w:rsidRDefault="009D1BD4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lang w:val="en-US"/>
      </w:rPr>
    </w:pPr>
  </w:p>
  <w:p w:rsidR="006E4AB3" w:rsidRPr="006E4AB3" w:rsidRDefault="007675DF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aps/>
        <w:noProof/>
        <w:sz w:val="16"/>
      </w:rPr>
    </w:pPr>
    <w:hyperlink r:id="rId1" w:history="1">
      <w:r w:rsidR="00225D2E" w:rsidRPr="00E604A8">
        <w:rPr>
          <w:rFonts w:ascii="Calibri" w:hAnsi="Calibri"/>
          <w:color w:val="0000FF"/>
          <w:sz w:val="18"/>
          <w:szCs w:val="18"/>
          <w:u w:val="single"/>
        </w:rPr>
        <w:t>GADT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37B" w:rsidRDefault="009F537B" w:rsidP="0088106F">
      <w:r>
        <w:separator/>
      </w:r>
    </w:p>
  </w:footnote>
  <w:footnote w:type="continuationSeparator" w:id="0">
    <w:p w:rsidR="009F537B" w:rsidRDefault="009F537B" w:rsidP="0088106F">
      <w:r>
        <w:continuationSeparator/>
      </w:r>
    </w:p>
  </w:footnote>
  <w:footnote w:id="1">
    <w:p w:rsidR="00655255" w:rsidRPr="00655255" w:rsidRDefault="00655255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>
        <w:rPr>
          <w:lang w:val="es-ES_tradnl"/>
        </w:rPr>
        <w:tab/>
      </w:r>
      <w:r w:rsidRPr="00655255">
        <w:rPr>
          <w:lang w:val="es-ES_tradnl"/>
        </w:rPr>
        <w:t>Las Instituciones Académicas abonan una sola tasa por su partic</w:t>
      </w:r>
      <w:r w:rsidR="001E5219">
        <w:rPr>
          <w:lang w:val="es-ES_tradnl"/>
        </w:rPr>
        <w:t>ipación en la labor de los tres </w:t>
      </w:r>
      <w:r w:rsidRPr="00655255">
        <w:rPr>
          <w:lang w:val="es-ES_tradnl"/>
        </w:rPr>
        <w:t>Sectores.</w:t>
      </w:r>
    </w:p>
  </w:footnote>
  <w:footnote w:id="2">
    <w:p w:rsidR="00655255" w:rsidRPr="00655255" w:rsidRDefault="00655255" w:rsidP="006A39D5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655255">
        <w:rPr>
          <w:lang w:val="es-ES_tradnl"/>
        </w:rPr>
        <w:tab/>
        <w:t>Universidad Nacional de San Luis (Argentina); Universidad de Buenos Aires, Facultad de Ingeniería (Argentina); Universidad Nacional Arturo Jauretche (Argent</w:t>
      </w:r>
      <w:r w:rsidR="006A77C8">
        <w:rPr>
          <w:lang w:val="es-ES_tradnl"/>
        </w:rPr>
        <w:t>ina); Universidad Nacional de Rí</w:t>
      </w:r>
      <w:r w:rsidRPr="00655255">
        <w:rPr>
          <w:lang w:val="es-ES_tradnl"/>
        </w:rPr>
        <w:t>o Cuarto (Argentina); Instituto Balseiro (Argentina); Universidad Nacional del Sur (Argentina); Universidad Nacional de Tucumán (Argentina); Universidad Nacional de Córdoba (Argentina); Universidad Nacional de la Matanza (Argentina); Universidad Nacional de La Plata (Argentina); Universidad Nacional de Misiones (Argentina); Universidad Tecnológica Nacional (Argent</w:t>
      </w:r>
      <w:r w:rsidR="00E36F1A">
        <w:rPr>
          <w:lang w:val="es-ES_tradnl"/>
        </w:rPr>
        <w:t>ina); Universidad Nacional de Rí</w:t>
      </w:r>
      <w:r w:rsidRPr="00655255">
        <w:rPr>
          <w:lang w:val="es-ES_tradnl"/>
        </w:rPr>
        <w:t>o Negro (Argentin</w:t>
      </w:r>
      <w:r w:rsidR="006A77C8">
        <w:rPr>
          <w:lang w:val="es-ES_tradnl"/>
        </w:rPr>
        <w:t>a); Universidad Nacional de Lujá</w:t>
      </w:r>
      <w:r w:rsidRPr="00655255">
        <w:rPr>
          <w:lang w:val="es-ES_tradnl"/>
        </w:rPr>
        <w:t xml:space="preserve">n (Argentina); Universidad RMIT (Australia); Escuela Nacional Superior de Correos, Telecomunicaciones y TIC (Camerún); Centro de redes informáticas y de la información de la Academia China de Ciencias (China); Universidad de ciencias electrónicas y tecnología de China (China); Instituto de Ingeniería de la Información de la Academia China de Ciencias (CETC ISA) (China); Universidad Autónoma de Santo Domingo (República Dominicana); IRT SystemX (Francia); International Audio Laboratories Erlangen (Alemania); </w:t>
      </w:r>
      <w:r w:rsidR="006A39D5">
        <w:rPr>
          <w:lang w:val="es-ES"/>
        </w:rPr>
        <w:t>Universidad de Ciencia y Tecnología Kwame Nkrumah (Ghana); Consejo de Investigación en Relaciones Económicas internacionales de India (ICRIER) (India); Instituto Indio de Ciencia (India); Instituto Nacional de Política y Finanzas Públicas (India); Centro de Tecnología y Gestión de la Innovación del instituto de Ingeniería Industrial (India); Academia IoT (Irán); Escuela Superior de Administración Pública de la Universidad Nacional de Seúl (Corea, República de); Universidad Técnica Kadoorie de Palestina (Palestina, Estado de); Universidad Árabe-Americana (Palestina, Estado de); Instituto Nacional de Telecomunicaciones (Polonia); Universidad de Qatar (Qatar); Universidad Estatal de Instrumentación Aeroespacial de San Petersburgo (Federación de Rusia); Universidad Naif Arab de Ciencias de la Seguridad (NAUSS) (Arabia Saudita); Centro de Estudios e Investigaciones en Telecomunicaciones (CERT) (Túnez); Universidad Atlántica de Florida (EE.UU)</w:t>
      </w:r>
      <w:r w:rsidR="004E1980" w:rsidRPr="006A39D5">
        <w:rPr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C4" w:rsidRPr="009A6FC4" w:rsidRDefault="009A6FC4" w:rsidP="00C404C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9A6FC4">
      <w:rPr>
        <w:sz w:val="22"/>
        <w:szCs w:val="22"/>
        <w:lang w:val="en-US"/>
      </w:rPr>
      <w:t>ITU-D</w:t>
    </w:r>
    <w:r w:rsidRPr="003D4CFB">
      <w:rPr>
        <w:sz w:val="22"/>
        <w:szCs w:val="22"/>
        <w:lang w:val="en-US"/>
      </w:rPr>
      <w:t>/TDAG</w:t>
    </w:r>
    <w:r w:rsidR="00602B27">
      <w:rPr>
        <w:sz w:val="22"/>
        <w:szCs w:val="22"/>
        <w:lang w:val="en-US"/>
      </w:rPr>
      <w:t>-</w:t>
    </w:r>
    <w:r w:rsidRPr="003D4CFB">
      <w:rPr>
        <w:sz w:val="22"/>
        <w:szCs w:val="22"/>
        <w:lang w:val="en-US"/>
      </w:rPr>
      <w:t>1</w:t>
    </w:r>
    <w:r w:rsidR="004E7861">
      <w:rPr>
        <w:sz w:val="22"/>
        <w:szCs w:val="22"/>
        <w:lang w:val="en-US"/>
      </w:rPr>
      <w:t>9</w:t>
    </w:r>
    <w:r w:rsidRPr="003D4CFB">
      <w:rPr>
        <w:sz w:val="22"/>
        <w:szCs w:val="22"/>
        <w:lang w:val="en-US"/>
      </w:rPr>
      <w:t>/</w:t>
    </w:r>
    <w:r w:rsidR="00C404C9">
      <w:rPr>
        <w:sz w:val="22"/>
        <w:szCs w:val="22"/>
        <w:lang w:val="en-US"/>
      </w:rPr>
      <w:t>20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7675DF">
      <w:rPr>
        <w:noProof/>
        <w:sz w:val="22"/>
        <w:szCs w:val="22"/>
        <w:lang w:val="en-US"/>
      </w:rPr>
      <w:t>6</w:t>
    </w:r>
    <w:r w:rsidRPr="00972BCD">
      <w:rPr>
        <w:sz w:val="22"/>
        <w:szCs w:val="22"/>
      </w:rPr>
      <w:fldChar w:fldCharType="end"/>
    </w:r>
  </w:p>
  <w:p w:rsidR="009A6FC4" w:rsidRPr="009A6FC4" w:rsidRDefault="009A6FC4" w:rsidP="009A6FC4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55"/>
    <w:rsid w:val="000135AE"/>
    <w:rsid w:val="00033D49"/>
    <w:rsid w:val="000362DE"/>
    <w:rsid w:val="000373A9"/>
    <w:rsid w:val="00043396"/>
    <w:rsid w:val="000725A1"/>
    <w:rsid w:val="000C0AA7"/>
    <w:rsid w:val="000E7A0A"/>
    <w:rsid w:val="00126CB7"/>
    <w:rsid w:val="00132796"/>
    <w:rsid w:val="00173C12"/>
    <w:rsid w:val="00194CB2"/>
    <w:rsid w:val="001E5219"/>
    <w:rsid w:val="00213302"/>
    <w:rsid w:val="00221C14"/>
    <w:rsid w:val="00222880"/>
    <w:rsid w:val="00225D2E"/>
    <w:rsid w:val="00241CB9"/>
    <w:rsid w:val="00274ADF"/>
    <w:rsid w:val="002A7FAB"/>
    <w:rsid w:val="002D1DB3"/>
    <w:rsid w:val="002D4BE6"/>
    <w:rsid w:val="002D6772"/>
    <w:rsid w:val="00302736"/>
    <w:rsid w:val="0033649F"/>
    <w:rsid w:val="00360762"/>
    <w:rsid w:val="00390391"/>
    <w:rsid w:val="003D4CFB"/>
    <w:rsid w:val="003F725D"/>
    <w:rsid w:val="00472DEB"/>
    <w:rsid w:val="00482632"/>
    <w:rsid w:val="004B6524"/>
    <w:rsid w:val="004B7893"/>
    <w:rsid w:val="004E1980"/>
    <w:rsid w:val="004E7861"/>
    <w:rsid w:val="00535C50"/>
    <w:rsid w:val="005557A3"/>
    <w:rsid w:val="005637B9"/>
    <w:rsid w:val="005643DC"/>
    <w:rsid w:val="005666CB"/>
    <w:rsid w:val="005A17E8"/>
    <w:rsid w:val="005D45E3"/>
    <w:rsid w:val="00602B27"/>
    <w:rsid w:val="006339E7"/>
    <w:rsid w:val="00635A62"/>
    <w:rsid w:val="00655255"/>
    <w:rsid w:val="006A39D5"/>
    <w:rsid w:val="006A77C8"/>
    <w:rsid w:val="006B4143"/>
    <w:rsid w:val="006E4AB3"/>
    <w:rsid w:val="006E5ED4"/>
    <w:rsid w:val="006F39EB"/>
    <w:rsid w:val="007675DF"/>
    <w:rsid w:val="007C3061"/>
    <w:rsid w:val="007E471D"/>
    <w:rsid w:val="00835A77"/>
    <w:rsid w:val="0088106F"/>
    <w:rsid w:val="008C1852"/>
    <w:rsid w:val="008D789A"/>
    <w:rsid w:val="00917B12"/>
    <w:rsid w:val="009752D2"/>
    <w:rsid w:val="00991B13"/>
    <w:rsid w:val="009952F6"/>
    <w:rsid w:val="009A6FC4"/>
    <w:rsid w:val="009D1BD4"/>
    <w:rsid w:val="009F537B"/>
    <w:rsid w:val="00A33516"/>
    <w:rsid w:val="00A87DD9"/>
    <w:rsid w:val="00A90195"/>
    <w:rsid w:val="00AB3C9D"/>
    <w:rsid w:val="00AE1BA7"/>
    <w:rsid w:val="00AF563E"/>
    <w:rsid w:val="00BC7208"/>
    <w:rsid w:val="00C32F88"/>
    <w:rsid w:val="00C3580D"/>
    <w:rsid w:val="00C404C9"/>
    <w:rsid w:val="00C951BC"/>
    <w:rsid w:val="00D16175"/>
    <w:rsid w:val="00D21628"/>
    <w:rsid w:val="00D372A5"/>
    <w:rsid w:val="00D97215"/>
    <w:rsid w:val="00DC5F7F"/>
    <w:rsid w:val="00DD18F5"/>
    <w:rsid w:val="00E17138"/>
    <w:rsid w:val="00E204A0"/>
    <w:rsid w:val="00E3026A"/>
    <w:rsid w:val="00E3519F"/>
    <w:rsid w:val="00E36F1A"/>
    <w:rsid w:val="00E51C72"/>
    <w:rsid w:val="00E604A8"/>
    <w:rsid w:val="00E827C2"/>
    <w:rsid w:val="00EA1101"/>
    <w:rsid w:val="00EA1AE0"/>
    <w:rsid w:val="00EB6D19"/>
    <w:rsid w:val="00ED2681"/>
    <w:rsid w:val="00F01E28"/>
    <w:rsid w:val="00F12690"/>
    <w:rsid w:val="00FA67A2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66647358-581B-42D2-85A2-E762D11E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01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D/pages/impact-study.asp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dms_pub/itu-d/opb/gen/D-GEN-ICT_SDGS.01-2017-PDF-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D/Membership/Pages/default.asp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pia\AppData\Roaming\Microsoft\Templates\POOL%20S%20-%20ITU\PS_TDAG19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000" b="1"/>
              <a:t>ITU-D</a:t>
            </a:r>
            <a:r>
              <a:rPr lang="en-GB" sz="1000" b="1" baseline="0"/>
              <a:t> Membership (2008-2018)</a:t>
            </a:r>
            <a:endParaRPr lang="en-GB" sz="1000" b="1"/>
          </a:p>
        </c:rich>
      </c:tx>
      <c:layout>
        <c:manualLayout>
          <c:xMode val="edge"/>
          <c:yMode val="edge"/>
          <c:x val="0.34635440207436308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Sector Members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Sheet1!$B$1:$L$1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Sheet1!$B$2:$L$2</c:f>
              <c:numCache>
                <c:formatCode>General</c:formatCode>
                <c:ptCount val="11"/>
                <c:pt idx="0">
                  <c:v>308</c:v>
                </c:pt>
                <c:pt idx="1">
                  <c:v>316</c:v>
                </c:pt>
                <c:pt idx="2">
                  <c:v>311</c:v>
                </c:pt>
                <c:pt idx="3">
                  <c:v>323</c:v>
                </c:pt>
                <c:pt idx="4">
                  <c:v>330</c:v>
                </c:pt>
                <c:pt idx="5">
                  <c:v>346</c:v>
                </c:pt>
                <c:pt idx="6">
                  <c:v>338</c:v>
                </c:pt>
                <c:pt idx="7">
                  <c:v>340</c:v>
                </c:pt>
                <c:pt idx="8">
                  <c:v>331</c:v>
                </c:pt>
                <c:pt idx="9">
                  <c:v>318</c:v>
                </c:pt>
                <c:pt idx="10">
                  <c:v>310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1C1-4EFC-BEAB-44130E6DE38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Associates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Sheet1!$B$1:$L$1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Sheet1!$B$3:$L$3</c:f>
              <c:numCache>
                <c:formatCode>General</c:formatCode>
                <c:ptCount val="11"/>
                <c:pt idx="0">
                  <c:v>3</c:v>
                </c:pt>
                <c:pt idx="1">
                  <c:v>3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12</c:v>
                </c:pt>
                <c:pt idx="9">
                  <c:v>12</c:v>
                </c:pt>
                <c:pt idx="10">
                  <c:v>14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1C1-4EFC-BEAB-44130E6DE38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Academia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Sheet1!$B$1:$L$1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Sheet1!$B$4:$L$4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25</c:v>
                </c:pt>
                <c:pt idx="4">
                  <c:v>36</c:v>
                </c:pt>
                <c:pt idx="5">
                  <c:v>45</c:v>
                </c:pt>
                <c:pt idx="6">
                  <c:v>86</c:v>
                </c:pt>
                <c:pt idx="7">
                  <c:v>109</c:v>
                </c:pt>
                <c:pt idx="8">
                  <c:v>107</c:v>
                </c:pt>
                <c:pt idx="9">
                  <c:v>125</c:v>
                </c:pt>
                <c:pt idx="10">
                  <c:v>156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1C1-4EFC-BEAB-44130E6DE38D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TOTAL 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Sheet1!$B$1:$L$1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Sheet1!$B$5:$L$5</c:f>
              <c:numCache>
                <c:formatCode>General</c:formatCode>
                <c:ptCount val="11"/>
                <c:pt idx="0">
                  <c:v>311</c:v>
                </c:pt>
                <c:pt idx="1">
                  <c:v>319</c:v>
                </c:pt>
                <c:pt idx="2">
                  <c:v>316</c:v>
                </c:pt>
                <c:pt idx="3">
                  <c:v>354</c:v>
                </c:pt>
                <c:pt idx="4">
                  <c:v>373</c:v>
                </c:pt>
                <c:pt idx="5">
                  <c:v>400</c:v>
                </c:pt>
                <c:pt idx="6">
                  <c:v>434</c:v>
                </c:pt>
                <c:pt idx="7">
                  <c:v>460</c:v>
                </c:pt>
                <c:pt idx="8">
                  <c:v>450</c:v>
                </c:pt>
                <c:pt idx="9">
                  <c:v>455</c:v>
                </c:pt>
                <c:pt idx="10">
                  <c:v>480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B1C1-4EFC-BEAB-44130E6DE3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4104952"/>
        <c:axId val="494103776"/>
      </c:lineChart>
      <c:catAx>
        <c:axId val="494104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4103776"/>
        <c:crosses val="autoZero"/>
        <c:auto val="1"/>
        <c:lblAlgn val="ctr"/>
        <c:lblOffset val="100"/>
        <c:noMultiLvlLbl val="0"/>
      </c:catAx>
      <c:valAx>
        <c:axId val="494103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4104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668AA-D013-48A1-A455-9E8E9530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PS_TDAG19.dotx</Template>
  <TotalTime>191</TotalTime>
  <Pages>6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Tupia, Beatriz</dc:creator>
  <cp:keywords/>
  <dc:description/>
  <cp:lastModifiedBy>Ayala Martinez, Beatriz</cp:lastModifiedBy>
  <cp:revision>25</cp:revision>
  <cp:lastPrinted>2019-03-22T11:26:00Z</cp:lastPrinted>
  <dcterms:created xsi:type="dcterms:W3CDTF">2019-03-18T14:51:00Z</dcterms:created>
  <dcterms:modified xsi:type="dcterms:W3CDTF">2019-03-22T13:43:00Z</dcterms:modified>
</cp:coreProperties>
</file>