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1E3404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Pr="001E3404" w:rsidRDefault="00D372A5" w:rsidP="001E3404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1E3404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1E3404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D372A5" w:rsidRPr="001E3404" w:rsidRDefault="004E7861" w:rsidP="001E3404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1E3404">
              <w:rPr>
                <w:b/>
                <w:bCs/>
                <w:sz w:val="26"/>
                <w:szCs w:val="26"/>
                <w:lang w:val="es-ES_tradnl"/>
              </w:rPr>
              <w:t>24ª reunión, Ginebra, 3-5 de abril de 2019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1E3404" w:rsidRDefault="004E7861" w:rsidP="001E3404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1E3404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3180C089" wp14:editId="3367253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1E3404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1E3404" w:rsidRDefault="004B7893" w:rsidP="001E3404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1E3404" w:rsidRDefault="004B7893" w:rsidP="001E3404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1E3404" w:rsidTr="004B7893">
        <w:trPr>
          <w:cantSplit/>
        </w:trPr>
        <w:tc>
          <w:tcPr>
            <w:tcW w:w="6663" w:type="dxa"/>
          </w:tcPr>
          <w:p w:rsidR="004B7893" w:rsidRPr="001E3404" w:rsidRDefault="004B7893" w:rsidP="001E3404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1E3404" w:rsidRDefault="005637B9" w:rsidP="001E3404">
            <w:pPr>
              <w:spacing w:before="0"/>
              <w:rPr>
                <w:bCs/>
                <w:lang w:val="es-ES_tradnl"/>
              </w:rPr>
            </w:pPr>
            <w:r w:rsidRPr="001E3404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1E3404">
              <w:rPr>
                <w:b/>
                <w:bCs/>
                <w:lang w:val="es-ES_tradnl"/>
              </w:rPr>
              <w:t>TDAG</w:t>
            </w:r>
            <w:r w:rsidR="00602B27" w:rsidRPr="001E3404">
              <w:rPr>
                <w:b/>
                <w:bCs/>
                <w:lang w:val="es-ES_tradnl"/>
              </w:rPr>
              <w:t>-</w:t>
            </w:r>
            <w:r w:rsidRPr="001E3404">
              <w:rPr>
                <w:b/>
                <w:bCs/>
                <w:lang w:val="es-ES_tradnl"/>
              </w:rPr>
              <w:t>1</w:t>
            </w:r>
            <w:r w:rsidR="004E7861" w:rsidRPr="001E3404">
              <w:rPr>
                <w:b/>
                <w:bCs/>
                <w:lang w:val="es-ES_tradnl"/>
              </w:rPr>
              <w:t>9</w:t>
            </w:r>
            <w:r w:rsidRPr="001E3404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F837C7" w:rsidRPr="001E3404">
              <w:rPr>
                <w:b/>
                <w:bCs/>
                <w:lang w:val="es-ES_tradnl"/>
              </w:rPr>
              <w:t>4</w:t>
            </w:r>
            <w:r w:rsidRPr="001E3404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1E3404" w:rsidTr="004B7893">
        <w:trPr>
          <w:cantSplit/>
        </w:trPr>
        <w:tc>
          <w:tcPr>
            <w:tcW w:w="6663" w:type="dxa"/>
          </w:tcPr>
          <w:p w:rsidR="004B7893" w:rsidRPr="001E3404" w:rsidRDefault="004B7893" w:rsidP="001E3404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1E3404" w:rsidRDefault="00F837C7" w:rsidP="001E3404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1E3404">
              <w:rPr>
                <w:b/>
                <w:bCs/>
                <w:szCs w:val="28"/>
                <w:lang w:val="es-ES_tradnl"/>
              </w:rPr>
              <w:t>22 de enero de</w:t>
            </w:r>
            <w:r w:rsidR="00BC7208" w:rsidRPr="001E3404">
              <w:rPr>
                <w:b/>
                <w:bCs/>
                <w:szCs w:val="28"/>
                <w:lang w:val="es-ES_tradnl"/>
              </w:rPr>
              <w:t xml:space="preserve"> 201</w:t>
            </w:r>
            <w:r w:rsidR="004E7861" w:rsidRPr="001E3404">
              <w:rPr>
                <w:b/>
                <w:bCs/>
                <w:szCs w:val="28"/>
                <w:lang w:val="es-ES_tradnl"/>
              </w:rPr>
              <w:t>9</w:t>
            </w:r>
          </w:p>
        </w:tc>
      </w:tr>
      <w:tr w:rsidR="004B7893" w:rsidRPr="001E3404" w:rsidTr="004B7893">
        <w:trPr>
          <w:cantSplit/>
        </w:trPr>
        <w:tc>
          <w:tcPr>
            <w:tcW w:w="6663" w:type="dxa"/>
          </w:tcPr>
          <w:p w:rsidR="004B7893" w:rsidRPr="001E3404" w:rsidRDefault="004B7893" w:rsidP="001E3404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1E3404" w:rsidRDefault="005637B9" w:rsidP="001E3404">
            <w:pPr>
              <w:spacing w:before="0"/>
              <w:rPr>
                <w:szCs w:val="24"/>
                <w:lang w:val="es-ES_tradnl"/>
              </w:rPr>
            </w:pPr>
            <w:r w:rsidRPr="001E3404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1E3404">
              <w:rPr>
                <w:b/>
                <w:lang w:val="es-ES_tradnl"/>
              </w:rPr>
              <w:t xml:space="preserve"> </w:t>
            </w:r>
            <w:r w:rsidR="00F837C7" w:rsidRPr="001E3404">
              <w:rPr>
                <w:b/>
                <w:lang w:val="es-ES_tradnl"/>
              </w:rPr>
              <w:t>inglés</w:t>
            </w:r>
          </w:p>
        </w:tc>
      </w:tr>
      <w:tr w:rsidR="004B7893" w:rsidRPr="001E3404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1E3404" w:rsidRDefault="00F837C7" w:rsidP="001E3404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1E3404">
              <w:rPr>
                <w:lang w:val="es-ES_tradnl"/>
              </w:rPr>
              <w:t>Director de la Oficina de Desarrollo de las Telecomunicaciones</w:t>
            </w:r>
          </w:p>
        </w:tc>
      </w:tr>
      <w:tr w:rsidR="004B7893" w:rsidRPr="001E3404" w:rsidTr="004B7893">
        <w:trPr>
          <w:cantSplit/>
        </w:trPr>
        <w:tc>
          <w:tcPr>
            <w:tcW w:w="9888" w:type="dxa"/>
            <w:gridSpan w:val="2"/>
          </w:tcPr>
          <w:p w:rsidR="004B7893" w:rsidRPr="001E3404" w:rsidRDefault="00305801" w:rsidP="001E3404">
            <w:pPr>
              <w:pStyle w:val="Title1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1E3404">
              <w:rPr>
                <w:szCs w:val="28"/>
                <w:lang w:val="es-ES_tradnl"/>
              </w:rPr>
              <w:t xml:space="preserve">RESULTADOS DE LA 20ª CONFERENCIA DE PLENIPOTENCIARIOS DE LA UIT </w:t>
            </w:r>
            <w:r w:rsidR="00D64A47" w:rsidRPr="001E3404">
              <w:rPr>
                <w:szCs w:val="28"/>
                <w:lang w:val="es-ES_tradnl"/>
              </w:rPr>
              <w:t>DE</w:t>
            </w:r>
            <w:r w:rsidRPr="001E3404">
              <w:rPr>
                <w:szCs w:val="28"/>
                <w:lang w:val="es-ES_tradnl"/>
              </w:rPr>
              <w:t xml:space="preserve"> 2018 </w:t>
            </w:r>
            <w:r w:rsidR="00A70360" w:rsidRPr="001E3404">
              <w:rPr>
                <w:szCs w:val="28"/>
                <w:lang w:val="es-ES_tradnl"/>
              </w:rPr>
              <w:t>CON REPERCUSIONES PARA</w:t>
            </w:r>
            <w:r w:rsidRPr="001E3404">
              <w:rPr>
                <w:szCs w:val="28"/>
                <w:lang w:val="es-ES_tradnl"/>
              </w:rPr>
              <w:t xml:space="preserve"> LA LABOR DEL UIT-D</w:t>
            </w:r>
          </w:p>
        </w:tc>
      </w:tr>
      <w:tr w:rsidR="004B7893" w:rsidRPr="001E3404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4B7893" w:rsidRPr="001E3404" w:rsidRDefault="004B7893" w:rsidP="001E3404">
            <w:pPr>
              <w:rPr>
                <w:lang w:val="es-ES_tradnl"/>
              </w:rPr>
            </w:pPr>
          </w:p>
        </w:tc>
      </w:tr>
      <w:tr w:rsidR="004B7893" w:rsidRPr="001E3404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1E3404" w:rsidRDefault="004B7893" w:rsidP="001E3404">
            <w:pPr>
              <w:spacing w:before="240"/>
              <w:rPr>
                <w:b/>
                <w:bCs/>
                <w:lang w:val="es-ES_tradnl"/>
              </w:rPr>
            </w:pPr>
            <w:r w:rsidRPr="001E3404">
              <w:rPr>
                <w:b/>
                <w:bCs/>
                <w:lang w:val="es-ES_tradnl"/>
              </w:rPr>
              <w:t>Resumen:</w:t>
            </w:r>
          </w:p>
          <w:p w:rsidR="004B7893" w:rsidRPr="001E3404" w:rsidRDefault="00305801" w:rsidP="001E3404">
            <w:pPr>
              <w:rPr>
                <w:b/>
                <w:bCs/>
                <w:lang w:val="es-ES_tradnl"/>
              </w:rPr>
            </w:pPr>
            <w:bookmarkStart w:id="6" w:name="lt_pId021"/>
            <w:r w:rsidRPr="001E3404">
              <w:rPr>
                <w:szCs w:val="24"/>
                <w:lang w:val="es-ES_tradnl"/>
              </w:rPr>
              <w:t xml:space="preserve">En el presente documento se reseñan los principales resultados de la 20ª Conferencia de Plenipotenciarios de la UIT, celebrada en 2018, </w:t>
            </w:r>
            <w:r w:rsidR="00B6479B" w:rsidRPr="001E3404">
              <w:rPr>
                <w:szCs w:val="24"/>
                <w:lang w:val="es-ES_tradnl"/>
              </w:rPr>
              <w:t>con repercusiones para</w:t>
            </w:r>
            <w:r w:rsidRPr="001E3404">
              <w:rPr>
                <w:szCs w:val="24"/>
                <w:lang w:val="es-ES_tradnl"/>
              </w:rPr>
              <w:t xml:space="preserve"> la labor del UIT-D.</w:t>
            </w:r>
            <w:bookmarkEnd w:id="6"/>
          </w:p>
          <w:p w:rsidR="004B7893" w:rsidRPr="001E3404" w:rsidRDefault="004B7893" w:rsidP="001E3404">
            <w:pPr>
              <w:rPr>
                <w:b/>
                <w:bCs/>
                <w:lang w:val="es-ES_tradnl"/>
              </w:rPr>
            </w:pPr>
            <w:r w:rsidRPr="001E3404">
              <w:rPr>
                <w:b/>
                <w:bCs/>
                <w:lang w:val="es-ES_tradnl"/>
              </w:rPr>
              <w:t xml:space="preserve">Acción solicitada: </w:t>
            </w:r>
          </w:p>
          <w:p w:rsidR="004B7893" w:rsidRPr="001E3404" w:rsidRDefault="00F837C7" w:rsidP="001E3404">
            <w:pPr>
              <w:rPr>
                <w:b/>
                <w:bCs/>
                <w:lang w:val="es-ES_tradnl"/>
              </w:rPr>
            </w:pPr>
            <w:bookmarkStart w:id="7" w:name="lt_pId018"/>
            <w:r w:rsidRPr="001E3404">
              <w:rPr>
                <w:szCs w:val="24"/>
                <w:lang w:val="es-ES_tradnl"/>
              </w:rPr>
              <w:t>Se invita al GADT a tomar nota de</w:t>
            </w:r>
            <w:r w:rsidR="00B6479B" w:rsidRPr="001E3404">
              <w:rPr>
                <w:szCs w:val="24"/>
                <w:lang w:val="es-ES_tradnl"/>
              </w:rPr>
              <w:t>l presente</w:t>
            </w:r>
            <w:r w:rsidRPr="001E3404">
              <w:rPr>
                <w:szCs w:val="24"/>
                <w:lang w:val="es-ES_tradnl"/>
              </w:rPr>
              <w:t xml:space="preserve"> documento y a </w:t>
            </w:r>
            <w:r w:rsidR="00B6479B" w:rsidRPr="001E3404">
              <w:rPr>
                <w:szCs w:val="24"/>
                <w:lang w:val="es-ES_tradnl"/>
              </w:rPr>
              <w:t>formular las observaciones</w:t>
            </w:r>
            <w:r w:rsidRPr="001E3404">
              <w:rPr>
                <w:szCs w:val="24"/>
                <w:lang w:val="es-ES_tradnl"/>
              </w:rPr>
              <w:t xml:space="preserve"> que estime oportunas.</w:t>
            </w:r>
            <w:bookmarkEnd w:id="7"/>
          </w:p>
          <w:p w:rsidR="004B7893" w:rsidRPr="001E3404" w:rsidRDefault="004B7893" w:rsidP="001E3404">
            <w:pPr>
              <w:rPr>
                <w:b/>
                <w:bCs/>
                <w:lang w:val="es-ES_tradnl"/>
              </w:rPr>
            </w:pPr>
            <w:r w:rsidRPr="001E3404">
              <w:rPr>
                <w:b/>
                <w:bCs/>
                <w:lang w:val="es-ES_tradnl"/>
              </w:rPr>
              <w:t>Referencias:</w:t>
            </w:r>
          </w:p>
          <w:p w:rsidR="004B7893" w:rsidRPr="001E3404" w:rsidRDefault="000F2F41" w:rsidP="000F2F41">
            <w:pPr>
              <w:spacing w:after="120"/>
              <w:rPr>
                <w:b/>
                <w:bCs/>
                <w:lang w:val="es-ES_tradnl"/>
              </w:rPr>
            </w:pPr>
            <w:hyperlink r:id="rId9" w:history="1">
              <w:bookmarkStart w:id="8" w:name="lt_pId025"/>
              <w:r w:rsidR="00F837C7" w:rsidRPr="001E3404">
                <w:rPr>
                  <w:rStyle w:val="Hyperlink"/>
                  <w:lang w:val="es-ES_tradnl"/>
                </w:rPr>
                <w:t>Act</w:t>
              </w:r>
              <w:r w:rsidR="00305801" w:rsidRPr="001E3404">
                <w:rPr>
                  <w:rStyle w:val="Hyperlink"/>
                  <w:lang w:val="es-ES_tradnl"/>
                </w:rPr>
                <w:t>a</w:t>
              </w:r>
              <w:r w:rsidR="00F837C7" w:rsidRPr="001E3404">
                <w:rPr>
                  <w:rStyle w:val="Hyperlink"/>
                  <w:lang w:val="es-ES_tradnl"/>
                </w:rPr>
                <w:t>s</w:t>
              </w:r>
              <w:r w:rsidR="00305801" w:rsidRPr="001E3404">
                <w:rPr>
                  <w:rStyle w:val="Hyperlink"/>
                  <w:lang w:val="es-ES_tradnl"/>
                </w:rPr>
                <w:t xml:space="preserve"> </w:t>
              </w:r>
              <w:r w:rsidR="000033B9" w:rsidRPr="001E3404">
                <w:rPr>
                  <w:rStyle w:val="Hyperlink"/>
                  <w:lang w:val="es-ES_tradnl"/>
                </w:rPr>
                <w:t>F</w:t>
              </w:r>
              <w:r w:rsidR="00305801" w:rsidRPr="001E3404">
                <w:rPr>
                  <w:rStyle w:val="Hyperlink"/>
                  <w:lang w:val="es-ES_tradnl"/>
                </w:rPr>
                <w:t>inales de la Conferencia de Plenipotenciarios</w:t>
              </w:r>
              <w:r w:rsidR="00F837C7" w:rsidRPr="001E3404">
                <w:rPr>
                  <w:rStyle w:val="Hyperlink"/>
                  <w:lang w:val="es-ES_tradnl"/>
                </w:rPr>
                <w:t>, Dub</w:t>
              </w:r>
              <w:r w:rsidR="00305801" w:rsidRPr="001E3404">
                <w:rPr>
                  <w:rStyle w:val="Hyperlink"/>
                  <w:lang w:val="es-ES_tradnl"/>
                </w:rPr>
                <w:t>á</w:t>
              </w:r>
              <w:r w:rsidR="00F837C7" w:rsidRPr="001E3404">
                <w:rPr>
                  <w:rStyle w:val="Hyperlink"/>
                  <w:lang w:val="es-ES_tradnl"/>
                </w:rPr>
                <w:t>i, 201</w:t>
              </w:r>
              <w:bookmarkStart w:id="9" w:name="_GoBack"/>
              <w:bookmarkEnd w:id="9"/>
              <w:r w:rsidR="00F837C7" w:rsidRPr="001E3404">
                <w:rPr>
                  <w:rStyle w:val="Hyperlink"/>
                  <w:lang w:val="es-ES_tradnl"/>
                </w:rPr>
                <w:t>8</w:t>
              </w:r>
              <w:bookmarkEnd w:id="8"/>
            </w:hyperlink>
          </w:p>
        </w:tc>
      </w:tr>
    </w:tbl>
    <w:p w:rsidR="00102197" w:rsidRPr="001E3404" w:rsidRDefault="00102197" w:rsidP="001E3404">
      <w:pPr>
        <w:rPr>
          <w:lang w:val="es-ES_tradnl"/>
        </w:rPr>
      </w:pPr>
    </w:p>
    <w:p w:rsidR="00102197" w:rsidRPr="001E3404" w:rsidRDefault="00102197" w:rsidP="001E34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textAlignment w:val="auto"/>
        <w:rPr>
          <w:lang w:val="es-ES_tradnl"/>
        </w:rPr>
      </w:pPr>
      <w:r w:rsidRPr="001E3404">
        <w:rPr>
          <w:lang w:val="es-ES_tradnl"/>
        </w:rPr>
        <w:br w:type="page"/>
      </w:r>
    </w:p>
    <w:p w:rsidR="00991B13" w:rsidRPr="001E3404" w:rsidRDefault="000F3361" w:rsidP="001E3404">
      <w:pPr>
        <w:spacing w:after="120"/>
        <w:rPr>
          <w:sz w:val="22"/>
          <w:szCs w:val="22"/>
          <w:lang w:val="es-ES_tradnl"/>
        </w:rPr>
      </w:pPr>
      <w:r w:rsidRPr="001E3404">
        <w:rPr>
          <w:sz w:val="22"/>
          <w:szCs w:val="22"/>
          <w:lang w:val="es-ES_tradnl"/>
        </w:rPr>
        <w:lastRenderedPageBreak/>
        <w:t>La 20ª Conferencia de Plenipotenciarios de la UIT se celebró en Dubái del 29 de octubre al 16 de noviembre de 2018. E</w:t>
      </w:r>
      <w:r w:rsidR="00E66B2D" w:rsidRPr="001E3404">
        <w:rPr>
          <w:sz w:val="22"/>
          <w:szCs w:val="22"/>
          <w:lang w:val="es-ES_tradnl"/>
        </w:rPr>
        <w:t>st</w:t>
      </w:r>
      <w:r w:rsidRPr="001E3404">
        <w:rPr>
          <w:sz w:val="22"/>
          <w:szCs w:val="22"/>
          <w:lang w:val="es-ES_tradnl"/>
        </w:rPr>
        <w:t xml:space="preserve">a Conferencia, que tuvo como país anfitrión a los Emiratos Árabes Unidos, </w:t>
      </w:r>
      <w:r w:rsidR="00E66B2D" w:rsidRPr="001E3404">
        <w:rPr>
          <w:sz w:val="22"/>
          <w:szCs w:val="22"/>
          <w:lang w:val="es-ES_tradnl"/>
        </w:rPr>
        <w:t>congregó a</w:t>
      </w:r>
      <w:r w:rsidR="00547422">
        <w:rPr>
          <w:sz w:val="22"/>
          <w:szCs w:val="22"/>
          <w:lang w:val="es-ES_tradnl"/>
        </w:rPr>
        <w:t xml:space="preserve"> más de </w:t>
      </w:r>
      <w:r w:rsidRPr="001E3404">
        <w:rPr>
          <w:sz w:val="22"/>
          <w:szCs w:val="22"/>
          <w:lang w:val="es-ES_tradnl"/>
        </w:rPr>
        <w:t>2</w:t>
      </w:r>
      <w:r w:rsidR="00547422">
        <w:rPr>
          <w:sz w:val="22"/>
          <w:szCs w:val="22"/>
          <w:lang w:val="es-ES_tradnl"/>
        </w:rPr>
        <w:t> </w:t>
      </w:r>
      <w:r w:rsidRPr="001E3404">
        <w:rPr>
          <w:sz w:val="22"/>
          <w:szCs w:val="22"/>
          <w:lang w:val="es-ES_tradnl"/>
        </w:rPr>
        <w:t>300 p</w:t>
      </w:r>
      <w:r w:rsidR="00E66B2D" w:rsidRPr="001E3404">
        <w:rPr>
          <w:sz w:val="22"/>
          <w:szCs w:val="22"/>
          <w:lang w:val="es-ES_tradnl"/>
        </w:rPr>
        <w:t xml:space="preserve">articipantes </w:t>
      </w:r>
      <w:r w:rsidRPr="001E3404">
        <w:rPr>
          <w:sz w:val="22"/>
          <w:szCs w:val="22"/>
          <w:lang w:val="es-ES_tradnl"/>
        </w:rPr>
        <w:t>de 180 países, frente a los 171 países de 2014.</w:t>
      </w:r>
    </w:p>
    <w:p w:rsidR="000F3361" w:rsidRPr="001E3404" w:rsidRDefault="000F3361" w:rsidP="001E3404">
      <w:pPr>
        <w:spacing w:after="120"/>
        <w:rPr>
          <w:rFonts w:cs="Calibri"/>
          <w:sz w:val="22"/>
          <w:szCs w:val="22"/>
          <w:lang w:val="es-ES_tradnl"/>
        </w:rPr>
      </w:pPr>
      <w:r w:rsidRPr="001E3404">
        <w:rPr>
          <w:rFonts w:cs="Calibri"/>
          <w:sz w:val="22"/>
          <w:szCs w:val="22"/>
          <w:lang w:val="es-ES_tradnl"/>
        </w:rPr>
        <w:t xml:space="preserve">Los Estados </w:t>
      </w:r>
      <w:r w:rsidR="00E66B2D" w:rsidRPr="001E3404">
        <w:rPr>
          <w:rFonts w:cs="Calibri"/>
          <w:sz w:val="22"/>
          <w:szCs w:val="22"/>
          <w:lang w:val="es-ES_tradnl"/>
        </w:rPr>
        <w:t xml:space="preserve">Miembros </w:t>
      </w:r>
      <w:r w:rsidRPr="001E3404">
        <w:rPr>
          <w:rFonts w:cs="Calibri"/>
          <w:sz w:val="22"/>
          <w:szCs w:val="22"/>
          <w:lang w:val="es-ES_tradnl"/>
        </w:rPr>
        <w:t xml:space="preserve">firmaron las Actas Finales y reafirmaron </w:t>
      </w:r>
      <w:r w:rsidRPr="001E3404">
        <w:rPr>
          <w:rFonts w:cs="Calibri"/>
          <w:bCs/>
          <w:sz w:val="22"/>
          <w:szCs w:val="22"/>
          <w:lang w:val="es-ES_tradnl"/>
        </w:rPr>
        <w:t>su adhesión a la visión común de un mundo conectado, en el que las tecnologías de la información y la comunicación (TIC) constituyen</w:t>
      </w:r>
      <w:r w:rsidRPr="001E3404">
        <w:rPr>
          <w:rFonts w:cs="Calibri"/>
          <w:sz w:val="22"/>
          <w:szCs w:val="22"/>
          <w:lang w:val="es-ES_tradnl"/>
        </w:rPr>
        <w:t xml:space="preserve"> una fuente de bienestar para todos </w:t>
      </w:r>
      <w:r w:rsidR="000033B9" w:rsidRPr="001E3404">
        <w:rPr>
          <w:rFonts w:cs="Calibri"/>
          <w:sz w:val="22"/>
          <w:szCs w:val="22"/>
          <w:lang w:val="es-ES_tradnl"/>
        </w:rPr>
        <w:t>y en todo lugar</w:t>
      </w:r>
      <w:r w:rsidR="00547422">
        <w:rPr>
          <w:rFonts w:cs="Calibri"/>
          <w:sz w:val="22"/>
          <w:szCs w:val="22"/>
          <w:lang w:val="es-ES_tradnl"/>
        </w:rPr>
        <w:t>.</w:t>
      </w:r>
    </w:p>
    <w:p w:rsidR="000F3361" w:rsidRPr="001E3404" w:rsidRDefault="000F3361" w:rsidP="001E3404">
      <w:pPr>
        <w:spacing w:after="120"/>
        <w:rPr>
          <w:rFonts w:cs="Calibri"/>
          <w:sz w:val="22"/>
          <w:szCs w:val="22"/>
          <w:lang w:val="es-ES_tradnl"/>
        </w:rPr>
      </w:pPr>
      <w:r w:rsidRPr="001E3404">
        <w:rPr>
          <w:rFonts w:cs="Calibri"/>
          <w:sz w:val="22"/>
          <w:szCs w:val="22"/>
          <w:lang w:val="es-ES_tradnl"/>
        </w:rPr>
        <w:t xml:space="preserve">Los Estados Miembros aprobaron </w:t>
      </w:r>
      <w:r w:rsidR="00E66B2D" w:rsidRPr="001E3404">
        <w:rPr>
          <w:rFonts w:cs="Calibri"/>
          <w:sz w:val="22"/>
          <w:szCs w:val="22"/>
          <w:lang w:val="es-ES_tradnl"/>
        </w:rPr>
        <w:t>los</w:t>
      </w:r>
      <w:r w:rsidRPr="001E3404">
        <w:rPr>
          <w:rFonts w:cs="Calibri"/>
          <w:sz w:val="22"/>
          <w:szCs w:val="22"/>
          <w:lang w:val="es-ES_tradnl"/>
        </w:rPr>
        <w:t xml:space="preserve"> Plan</w:t>
      </w:r>
      <w:r w:rsidR="00E66B2D" w:rsidRPr="001E3404">
        <w:rPr>
          <w:rFonts w:cs="Calibri"/>
          <w:sz w:val="22"/>
          <w:szCs w:val="22"/>
          <w:lang w:val="es-ES_tradnl"/>
        </w:rPr>
        <w:t>es</w:t>
      </w:r>
      <w:r w:rsidRPr="001E3404">
        <w:rPr>
          <w:rFonts w:cs="Calibri"/>
          <w:sz w:val="22"/>
          <w:szCs w:val="22"/>
          <w:lang w:val="es-ES_tradnl"/>
        </w:rPr>
        <w:t xml:space="preserve"> Estratégico y Financiero cuatrienal</w:t>
      </w:r>
      <w:r w:rsidR="00E66B2D" w:rsidRPr="001E3404">
        <w:rPr>
          <w:rFonts w:cs="Calibri"/>
          <w:sz w:val="22"/>
          <w:szCs w:val="22"/>
          <w:lang w:val="es-ES_tradnl"/>
        </w:rPr>
        <w:t>es</w:t>
      </w:r>
      <w:r w:rsidRPr="001E3404">
        <w:rPr>
          <w:rFonts w:cs="Calibri"/>
          <w:sz w:val="22"/>
          <w:szCs w:val="22"/>
          <w:lang w:val="es-ES_tradnl"/>
        </w:rPr>
        <w:t xml:space="preserve"> y una serie de Resoluciones, Decisiones y Recomendaciones nuevas y revisadas, que ofrecen </w:t>
      </w:r>
      <w:r w:rsidR="00E66B2D" w:rsidRPr="001E3404">
        <w:rPr>
          <w:rFonts w:cs="Calibri"/>
          <w:sz w:val="22"/>
          <w:szCs w:val="22"/>
          <w:lang w:val="es-ES_tradnl"/>
        </w:rPr>
        <w:t>orientaciones</w:t>
      </w:r>
      <w:r w:rsidRPr="001E3404">
        <w:rPr>
          <w:rFonts w:cs="Calibri"/>
          <w:sz w:val="22"/>
          <w:szCs w:val="22"/>
          <w:lang w:val="es-ES_tradnl"/>
        </w:rPr>
        <w:t xml:space="preserve"> a la Unión sobre el aprovechamiento de las nuevas tecnologías en beneficio de la humanidad.</w:t>
      </w:r>
    </w:p>
    <w:p w:rsidR="000F3361" w:rsidRPr="001E3404" w:rsidRDefault="00E66B2D" w:rsidP="001E3404">
      <w:pPr>
        <w:spacing w:after="120"/>
        <w:rPr>
          <w:rFonts w:cs="Calibri"/>
          <w:sz w:val="22"/>
          <w:szCs w:val="22"/>
          <w:lang w:val="es-ES_tradnl"/>
        </w:rPr>
      </w:pPr>
      <w:r w:rsidRPr="001E3404">
        <w:rPr>
          <w:rFonts w:cs="Calibri"/>
          <w:sz w:val="22"/>
          <w:szCs w:val="22"/>
          <w:lang w:val="es-ES_tradnl"/>
        </w:rPr>
        <w:t xml:space="preserve">A continuación se enumeran </w:t>
      </w:r>
      <w:r w:rsidR="000F3361" w:rsidRPr="001E3404">
        <w:rPr>
          <w:rFonts w:cs="Calibri"/>
          <w:sz w:val="22"/>
          <w:szCs w:val="22"/>
          <w:lang w:val="es-ES_tradnl"/>
        </w:rPr>
        <w:t>las decisiones más importantes de la Conferencia de Plenipotenciarios para los futuros trabajos del UIT-D.</w:t>
      </w:r>
    </w:p>
    <w:p w:rsidR="00102197" w:rsidRPr="001E3404" w:rsidRDefault="000F3361" w:rsidP="001E3404">
      <w:pPr>
        <w:rPr>
          <w:b/>
          <w:bCs/>
          <w:lang w:val="es-ES_tradnl"/>
        </w:rPr>
      </w:pPr>
      <w:r w:rsidRPr="001E3404">
        <w:rPr>
          <w:lang w:val="es-ES_tradnl"/>
        </w:rPr>
        <w:t xml:space="preserve">La </w:t>
      </w:r>
      <w:r w:rsidR="00102197" w:rsidRPr="001E3404">
        <w:rPr>
          <w:b/>
          <w:bCs/>
          <w:lang w:val="es-ES_tradnl"/>
        </w:rPr>
        <w:t>Resolución 71 (Rev. Dubái, 2018) – Plan Estratégico de la Unión para 2020-2023</w:t>
      </w:r>
      <w:r w:rsidR="0058663F" w:rsidRPr="001E3404">
        <w:rPr>
          <w:b/>
          <w:bCs/>
          <w:lang w:val="es-ES_tradnl"/>
        </w:rPr>
        <w:t xml:space="preserve"> </w:t>
      </w:r>
      <w:r w:rsidR="00A70360" w:rsidRPr="001E3404">
        <w:rPr>
          <w:lang w:val="es-ES_tradnl"/>
        </w:rPr>
        <w:t>incluye</w:t>
      </w:r>
      <w:r w:rsidRPr="001E3404">
        <w:rPr>
          <w:lang w:val="es-ES_tradnl"/>
        </w:rPr>
        <w:t xml:space="preserve"> los siguientes elementos fundamentales</w:t>
      </w:r>
      <w:r w:rsidR="0058663F" w:rsidRPr="001E3404">
        <w:rPr>
          <w:lang w:val="es-ES_tradnl"/>
        </w:rPr>
        <w:t>:</w:t>
      </w:r>
    </w:p>
    <w:p w:rsidR="00102197" w:rsidRPr="001E3404" w:rsidRDefault="00102197" w:rsidP="001E3404">
      <w:pPr>
        <w:pStyle w:val="enumlev1"/>
        <w:rPr>
          <w:lang w:val="es-ES_tradnl"/>
        </w:rPr>
      </w:pPr>
      <w:bookmarkStart w:id="10" w:name="lt_pId032"/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A70360" w:rsidRPr="001E3404">
        <w:rPr>
          <w:lang w:val="es-ES_tradnl"/>
        </w:rPr>
        <w:t>la visión</w:t>
      </w:r>
      <w:r w:rsidRPr="001E3404">
        <w:rPr>
          <w:lang w:val="es-ES_tradnl"/>
        </w:rPr>
        <w:t>,</w:t>
      </w:r>
      <w:r w:rsidR="00A70360" w:rsidRPr="001E3404">
        <w:rPr>
          <w:lang w:val="es-ES_tradnl"/>
        </w:rPr>
        <w:t xml:space="preserve"> la</w:t>
      </w:r>
      <w:r w:rsidRPr="001E3404">
        <w:rPr>
          <w:lang w:val="es-ES_tradnl"/>
        </w:rPr>
        <w:t xml:space="preserve"> misi</w:t>
      </w:r>
      <w:r w:rsidR="00A70360" w:rsidRPr="001E3404">
        <w:rPr>
          <w:lang w:val="es-ES_tradnl"/>
        </w:rPr>
        <w:t>ó</w:t>
      </w:r>
      <w:r w:rsidRPr="001E3404">
        <w:rPr>
          <w:lang w:val="es-ES_tradnl"/>
        </w:rPr>
        <w:t>n,</w:t>
      </w:r>
      <w:r w:rsidR="00A70360" w:rsidRPr="001E3404">
        <w:rPr>
          <w:lang w:val="es-ES_tradnl"/>
        </w:rPr>
        <w:t xml:space="preserve"> los</w:t>
      </w:r>
      <w:r w:rsidRPr="001E3404">
        <w:rPr>
          <w:lang w:val="es-ES_tradnl"/>
        </w:rPr>
        <w:t xml:space="preserve"> val</w:t>
      </w:r>
      <w:r w:rsidR="00A70360" w:rsidRPr="001E3404">
        <w:rPr>
          <w:lang w:val="es-ES_tradnl"/>
        </w:rPr>
        <w:t>or</w:t>
      </w:r>
      <w:r w:rsidRPr="001E3404">
        <w:rPr>
          <w:lang w:val="es-ES_tradnl"/>
        </w:rPr>
        <w:t>es</w:t>
      </w:r>
      <w:r w:rsidR="00A70360" w:rsidRPr="001E3404">
        <w:rPr>
          <w:lang w:val="es-ES_tradnl"/>
        </w:rPr>
        <w:t xml:space="preserve"> y las</w:t>
      </w:r>
      <w:r w:rsidRPr="001E3404">
        <w:rPr>
          <w:lang w:val="es-ES_tradnl"/>
        </w:rPr>
        <w:t xml:space="preserve"> 5 </w:t>
      </w:r>
      <w:r w:rsidR="00A70360" w:rsidRPr="001E3404">
        <w:rPr>
          <w:lang w:val="es-ES_tradnl"/>
        </w:rPr>
        <w:t>metas estratégicas de la</w:t>
      </w:r>
      <w:r w:rsidRPr="001E3404">
        <w:rPr>
          <w:lang w:val="es-ES_tradnl"/>
        </w:rPr>
        <w:t xml:space="preserve"> Uni</w:t>
      </w:r>
      <w:r w:rsidR="00A70360" w:rsidRPr="001E3404">
        <w:rPr>
          <w:lang w:val="es-ES_tradnl"/>
        </w:rPr>
        <w:t>ó</w:t>
      </w:r>
      <w:r w:rsidRPr="001E3404">
        <w:rPr>
          <w:lang w:val="es-ES_tradnl"/>
        </w:rPr>
        <w:t>n;</w:t>
      </w:r>
      <w:bookmarkEnd w:id="10"/>
    </w:p>
    <w:p w:rsidR="00102197" w:rsidRPr="001E3404" w:rsidRDefault="00102197" w:rsidP="001E3404">
      <w:pPr>
        <w:pStyle w:val="enumlev1"/>
        <w:rPr>
          <w:lang w:val="es-ES_tradnl"/>
        </w:rPr>
      </w:pPr>
      <w:bookmarkStart w:id="11" w:name="lt_pId033"/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A70360" w:rsidRPr="001E3404">
        <w:rPr>
          <w:lang w:val="es-ES_tradnl"/>
        </w:rPr>
        <w:t>un conjunto de finalidades comunes</w:t>
      </w:r>
      <w:r w:rsidRPr="001E3404">
        <w:rPr>
          <w:lang w:val="es-ES_tradnl"/>
        </w:rPr>
        <w:t>;</w:t>
      </w:r>
      <w:bookmarkEnd w:id="11"/>
    </w:p>
    <w:p w:rsidR="00102197" w:rsidRPr="001E3404" w:rsidRDefault="00102197" w:rsidP="001E3404">
      <w:pPr>
        <w:pStyle w:val="enumlev1"/>
        <w:rPr>
          <w:lang w:val="es-ES_tradnl"/>
        </w:rPr>
      </w:pPr>
      <w:bookmarkStart w:id="12" w:name="lt_pId034"/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A70360" w:rsidRPr="001E3404">
        <w:rPr>
          <w:lang w:val="es-ES_tradnl"/>
        </w:rPr>
        <w:t>el marco de resultados de la UIT, incluidos los</w:t>
      </w:r>
      <w:r w:rsidRPr="001E3404">
        <w:rPr>
          <w:lang w:val="es-ES_tradnl"/>
        </w:rPr>
        <w:t xml:space="preserve"> 4 </w:t>
      </w:r>
      <w:r w:rsidR="00A02267" w:rsidRPr="001E3404">
        <w:rPr>
          <w:lang w:val="es-ES_tradnl"/>
        </w:rPr>
        <w:t>objetivos</w:t>
      </w:r>
      <w:r w:rsidRPr="001E3404">
        <w:rPr>
          <w:lang w:val="es-ES_tradnl"/>
        </w:rPr>
        <w:t xml:space="preserve"> </w:t>
      </w:r>
      <w:r w:rsidR="00A70360" w:rsidRPr="001E3404">
        <w:rPr>
          <w:lang w:val="es-ES_tradnl"/>
        </w:rPr>
        <w:t xml:space="preserve">del UIT-D </w:t>
      </w:r>
      <w:r w:rsidRPr="001E3404">
        <w:rPr>
          <w:lang w:val="es-ES_tradnl"/>
        </w:rPr>
        <w:t>adopt</w:t>
      </w:r>
      <w:r w:rsidR="00A70360" w:rsidRPr="001E3404">
        <w:rPr>
          <w:lang w:val="es-ES_tradnl"/>
        </w:rPr>
        <w:t>ados por la CMDT</w:t>
      </w:r>
      <w:r w:rsidRPr="001E3404">
        <w:rPr>
          <w:lang w:val="es-ES_tradnl"/>
        </w:rPr>
        <w:t>-17;</w:t>
      </w:r>
      <w:bookmarkEnd w:id="12"/>
    </w:p>
    <w:p w:rsidR="00102197" w:rsidRPr="001E3404" w:rsidRDefault="00102197" w:rsidP="001E3404">
      <w:pPr>
        <w:pStyle w:val="enumlev1"/>
        <w:rPr>
          <w:lang w:val="es-ES_tradnl"/>
        </w:rPr>
      </w:pPr>
      <w:bookmarkStart w:id="13" w:name="lt_pId035"/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A70360" w:rsidRPr="001E3404">
        <w:rPr>
          <w:lang w:val="es-ES_tradnl"/>
        </w:rPr>
        <w:t>vínculos con la Agenda 2030 para el Desarrollo Sostenible</w:t>
      </w:r>
      <w:r w:rsidRPr="001E3404">
        <w:rPr>
          <w:lang w:val="es-ES_tradnl"/>
        </w:rPr>
        <w:t xml:space="preserve"> </w:t>
      </w:r>
      <w:r w:rsidR="00A70360" w:rsidRPr="001E3404">
        <w:rPr>
          <w:lang w:val="es-ES_tradnl"/>
        </w:rPr>
        <w:t>y los ODS</w:t>
      </w:r>
      <w:r w:rsidRPr="001E3404">
        <w:rPr>
          <w:lang w:val="es-ES_tradnl"/>
        </w:rPr>
        <w:t>;</w:t>
      </w:r>
      <w:bookmarkEnd w:id="13"/>
      <w:r w:rsidR="00A70360" w:rsidRPr="001E3404">
        <w:rPr>
          <w:lang w:val="es-ES_tradnl"/>
        </w:rPr>
        <w:t xml:space="preserve"> y</w:t>
      </w:r>
    </w:p>
    <w:p w:rsidR="00102197" w:rsidRPr="001E3404" w:rsidRDefault="00102197" w:rsidP="001E3404">
      <w:pPr>
        <w:pStyle w:val="enumlev1"/>
        <w:rPr>
          <w:lang w:val="es-ES_tradnl"/>
        </w:rPr>
      </w:pPr>
      <w:bookmarkStart w:id="14" w:name="lt_pId036"/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A70360" w:rsidRPr="001E3404">
        <w:rPr>
          <w:lang w:val="es-ES_tradnl"/>
        </w:rPr>
        <w:t xml:space="preserve">vínculos con el </w:t>
      </w:r>
      <w:r w:rsidR="009123EB" w:rsidRPr="001E3404">
        <w:rPr>
          <w:lang w:val="es-ES_tradnl"/>
        </w:rPr>
        <w:t>Plan Financiero</w:t>
      </w:r>
      <w:r w:rsidRPr="001E3404">
        <w:rPr>
          <w:lang w:val="es-ES_tradnl"/>
        </w:rPr>
        <w:t xml:space="preserve">, </w:t>
      </w:r>
      <w:r w:rsidR="00A70360" w:rsidRPr="001E3404">
        <w:rPr>
          <w:lang w:val="es-ES_tradnl"/>
        </w:rPr>
        <w:t>i</w:t>
      </w:r>
      <w:r w:rsidR="00A02267" w:rsidRPr="001E3404">
        <w:rPr>
          <w:lang w:val="es-ES_tradnl"/>
        </w:rPr>
        <w:t>ncluid</w:t>
      </w:r>
      <w:r w:rsidR="00A70360" w:rsidRPr="001E3404">
        <w:rPr>
          <w:lang w:val="es-ES_tradnl"/>
        </w:rPr>
        <w:t>a la atribución de recursos a metas, objetivos y productos</w:t>
      </w:r>
      <w:r w:rsidRPr="001E3404">
        <w:rPr>
          <w:lang w:val="es-ES_tradnl"/>
        </w:rPr>
        <w:t>.</w:t>
      </w:r>
      <w:bookmarkEnd w:id="14"/>
    </w:p>
    <w:p w:rsidR="00102197" w:rsidRPr="001E3404" w:rsidRDefault="00A70360" w:rsidP="001E3404">
      <w:pPr>
        <w:rPr>
          <w:b/>
          <w:bCs/>
          <w:lang w:val="es-ES_tradnl"/>
        </w:rPr>
      </w:pPr>
      <w:r w:rsidRPr="001E3404">
        <w:rPr>
          <w:lang w:val="es-ES_tradnl"/>
        </w:rPr>
        <w:t xml:space="preserve">La </w:t>
      </w:r>
      <w:r w:rsidR="00102197" w:rsidRPr="001E3404">
        <w:rPr>
          <w:b/>
          <w:bCs/>
          <w:lang w:val="es-ES_tradnl"/>
        </w:rPr>
        <w:t>Decisión 5 (Rev. Dubái, 2018) – Ingresos y gastos de la Unión para el periodo 2020-2023</w:t>
      </w:r>
      <w:r w:rsidRPr="001E3404">
        <w:rPr>
          <w:b/>
          <w:bCs/>
          <w:lang w:val="es-ES_tradnl"/>
        </w:rPr>
        <w:t xml:space="preserve"> </w:t>
      </w:r>
      <w:r w:rsidRPr="001E3404">
        <w:rPr>
          <w:lang w:val="es-ES_tradnl"/>
        </w:rPr>
        <w:t>incluye los siguientes elementos fundamentales:</w:t>
      </w:r>
    </w:p>
    <w:p w:rsidR="0058663F" w:rsidRPr="001E3404" w:rsidRDefault="0058663F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FE6FCA" w:rsidRPr="001E3404">
        <w:rPr>
          <w:lang w:val="es-ES_tradnl"/>
        </w:rPr>
        <w:t xml:space="preserve">el </w:t>
      </w:r>
      <w:r w:rsidRPr="001E3404">
        <w:rPr>
          <w:lang w:val="es-ES_tradnl"/>
        </w:rPr>
        <w:t>Plan Financiero de la Unión para 2020-2023: Ingresos y gastos</w:t>
      </w:r>
      <w:r w:rsidR="006932AA" w:rsidRPr="001E3404">
        <w:rPr>
          <w:lang w:val="es-ES_tradnl"/>
        </w:rPr>
        <w:t xml:space="preserve"> (Anexo 1 a la Decisión 5)</w:t>
      </w:r>
      <w:r w:rsidRPr="001E3404">
        <w:rPr>
          <w:lang w:val="es-ES_tradnl"/>
        </w:rPr>
        <w:t>;</w:t>
      </w:r>
    </w:p>
    <w:p w:rsidR="0058663F" w:rsidRPr="001E3404" w:rsidRDefault="0058663F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FE6FCA" w:rsidRPr="001E3404">
        <w:rPr>
          <w:lang w:val="es-ES_tradnl"/>
        </w:rPr>
        <w:t>m</w:t>
      </w:r>
      <w:r w:rsidRPr="001E3404">
        <w:rPr>
          <w:lang w:val="es-ES_tradnl"/>
        </w:rPr>
        <w:t>edidas destinadas a mejorar la eficiencia de la UIT y reducir sus gastos</w:t>
      </w:r>
      <w:r w:rsidR="006932AA" w:rsidRPr="001E3404">
        <w:rPr>
          <w:lang w:val="es-ES_tradnl"/>
        </w:rPr>
        <w:t xml:space="preserve"> (Anexo 2 a la Decisión 5)</w:t>
      </w:r>
      <w:r w:rsidRPr="001E3404">
        <w:rPr>
          <w:lang w:val="es-ES_tradnl"/>
        </w:rPr>
        <w:t>;</w:t>
      </w:r>
    </w:p>
    <w:p w:rsidR="0058663F" w:rsidRPr="001E3404" w:rsidRDefault="0058663F" w:rsidP="00547422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bookmarkStart w:id="15" w:name="lt_pId040"/>
      <w:r w:rsidR="00A02267" w:rsidRPr="001E3404">
        <w:rPr>
          <w:lang w:val="es-ES_tradnl"/>
        </w:rPr>
        <w:t>l</w:t>
      </w:r>
      <w:r w:rsidR="00FE6FCA" w:rsidRPr="001E3404">
        <w:rPr>
          <w:lang w:val="es-ES_tradnl"/>
        </w:rPr>
        <w:t>os gastos totales previstos</w:t>
      </w:r>
      <w:r w:rsidR="00A02267" w:rsidRPr="001E3404">
        <w:rPr>
          <w:lang w:val="es-ES_tradnl"/>
        </w:rPr>
        <w:t>, que</w:t>
      </w:r>
      <w:r w:rsidR="00FE6FCA" w:rsidRPr="001E3404">
        <w:rPr>
          <w:lang w:val="es-ES_tradnl"/>
        </w:rPr>
        <w:t xml:space="preserve"> ascienden a 660,3 millones </w:t>
      </w:r>
      <w:r w:rsidR="00351C25" w:rsidRPr="001E3404">
        <w:rPr>
          <w:lang w:val="es-ES_tradnl"/>
        </w:rPr>
        <w:t xml:space="preserve">CHF </w:t>
      </w:r>
      <w:r w:rsidR="00A02267" w:rsidRPr="001E3404">
        <w:rPr>
          <w:lang w:val="es-ES_tradnl"/>
        </w:rPr>
        <w:t xml:space="preserve">y se compensan con </w:t>
      </w:r>
      <w:r w:rsidR="00FE6FCA" w:rsidRPr="001E3404">
        <w:rPr>
          <w:lang w:val="es-ES_tradnl"/>
        </w:rPr>
        <w:t xml:space="preserve">unos ingresos previstos de 660,3 millones </w:t>
      </w:r>
      <w:r w:rsidR="00351C25" w:rsidRPr="001E3404">
        <w:rPr>
          <w:lang w:val="es-ES_tradnl"/>
        </w:rPr>
        <w:t>CHF</w:t>
      </w:r>
      <w:r w:rsidR="00FE6FCA" w:rsidRPr="001E3404">
        <w:rPr>
          <w:lang w:val="es-ES_tradnl"/>
        </w:rPr>
        <w:t xml:space="preserve">, </w:t>
      </w:r>
      <w:r w:rsidR="00A02267" w:rsidRPr="001E3404">
        <w:rPr>
          <w:lang w:val="es-ES_tradnl"/>
        </w:rPr>
        <w:t>lo que brinda equilibrio al</w:t>
      </w:r>
      <w:r w:rsidR="00FE6FCA" w:rsidRPr="001E3404">
        <w:rPr>
          <w:lang w:val="es-ES_tradnl"/>
        </w:rPr>
        <w:t xml:space="preserve"> </w:t>
      </w:r>
      <w:r w:rsidR="00351C25" w:rsidRPr="001E3404">
        <w:rPr>
          <w:lang w:val="es-ES_tradnl"/>
        </w:rPr>
        <w:t xml:space="preserve">Plan Financiero </w:t>
      </w:r>
      <w:r w:rsidR="00FE6FCA" w:rsidRPr="001E3404">
        <w:rPr>
          <w:lang w:val="es-ES_tradnl"/>
        </w:rPr>
        <w:t>sin</w:t>
      </w:r>
      <w:r w:rsidR="00A02267" w:rsidRPr="001E3404">
        <w:rPr>
          <w:lang w:val="es-ES_tradnl"/>
        </w:rPr>
        <w:t xml:space="preserve"> necesidad de</w:t>
      </w:r>
      <w:r w:rsidR="00FE6FCA" w:rsidRPr="001E3404">
        <w:rPr>
          <w:lang w:val="es-ES_tradnl"/>
        </w:rPr>
        <w:t xml:space="preserve"> recurrir a la </w:t>
      </w:r>
      <w:r w:rsidR="00A02267" w:rsidRPr="001E3404">
        <w:rPr>
          <w:lang w:val="es-ES_tradnl"/>
        </w:rPr>
        <w:t>Cuenta de Provisión</w:t>
      </w:r>
      <w:r w:rsidR="00FE6FCA" w:rsidRPr="001E3404">
        <w:rPr>
          <w:lang w:val="es-ES_tradnl"/>
        </w:rPr>
        <w:t>;</w:t>
      </w:r>
      <w:bookmarkEnd w:id="15"/>
    </w:p>
    <w:p w:rsidR="0058663F" w:rsidRPr="001E3404" w:rsidRDefault="0058663F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bookmarkStart w:id="16" w:name="lt_pId041"/>
      <w:r w:rsidR="00A02267" w:rsidRPr="001E3404">
        <w:rPr>
          <w:lang w:val="es-ES_tradnl"/>
        </w:rPr>
        <w:t>e</w:t>
      </w:r>
      <w:r w:rsidR="00FE6FCA" w:rsidRPr="001E3404">
        <w:rPr>
          <w:lang w:val="es-ES_tradnl"/>
        </w:rPr>
        <w:t>l plan financiero de la BDT</w:t>
      </w:r>
      <w:r w:rsidR="00A02267" w:rsidRPr="001E3404">
        <w:rPr>
          <w:lang w:val="es-ES_tradnl"/>
        </w:rPr>
        <w:t>, que prevé</w:t>
      </w:r>
      <w:r w:rsidR="00FE6FCA" w:rsidRPr="001E3404">
        <w:rPr>
          <w:lang w:val="es-ES_tradnl"/>
        </w:rPr>
        <w:t xml:space="preserve"> 60,3 millones </w:t>
      </w:r>
      <w:r w:rsidR="00351C25" w:rsidRPr="001E3404">
        <w:rPr>
          <w:lang w:val="es-ES_tradnl"/>
        </w:rPr>
        <w:t>CHF</w:t>
      </w:r>
      <w:r w:rsidR="00547422">
        <w:rPr>
          <w:lang w:val="es-ES_tradnl"/>
        </w:rPr>
        <w:t xml:space="preserve"> para 2020-2021 y 55,7 millones </w:t>
      </w:r>
      <w:r w:rsidR="00351C25" w:rsidRPr="001E3404">
        <w:rPr>
          <w:lang w:val="es-ES_tradnl"/>
        </w:rPr>
        <w:t>CHF</w:t>
      </w:r>
      <w:r w:rsidR="00FE6FCA" w:rsidRPr="001E3404">
        <w:rPr>
          <w:lang w:val="es-ES_tradnl"/>
        </w:rPr>
        <w:t xml:space="preserve"> para 2022-2023;</w:t>
      </w:r>
      <w:bookmarkEnd w:id="16"/>
      <w:r w:rsidR="00A02267" w:rsidRPr="001E3404">
        <w:rPr>
          <w:lang w:val="es-ES_tradnl"/>
        </w:rPr>
        <w:t xml:space="preserve"> y</w:t>
      </w:r>
    </w:p>
    <w:p w:rsidR="0058663F" w:rsidRPr="001E3404" w:rsidRDefault="0058663F" w:rsidP="00547422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bookmarkStart w:id="17" w:name="lt_pId042"/>
      <w:r w:rsidR="00FE6FCA" w:rsidRPr="001E3404">
        <w:rPr>
          <w:lang w:val="es-ES_tradnl"/>
        </w:rPr>
        <w:t xml:space="preserve">una </w:t>
      </w:r>
      <w:r w:rsidR="00A02267" w:rsidRPr="001E3404">
        <w:rPr>
          <w:lang w:val="es-ES_tradnl"/>
        </w:rPr>
        <w:t>dotación</w:t>
      </w:r>
      <w:r w:rsidR="00FE6FCA" w:rsidRPr="001E3404">
        <w:rPr>
          <w:lang w:val="es-ES_tradnl"/>
        </w:rPr>
        <w:t xml:space="preserve"> de 3 millones </w:t>
      </w:r>
      <w:r w:rsidR="00547422">
        <w:rPr>
          <w:lang w:val="es-ES_tradnl"/>
        </w:rPr>
        <w:t>CHF</w:t>
      </w:r>
      <w:r w:rsidR="00FE6FCA" w:rsidRPr="001E3404">
        <w:rPr>
          <w:lang w:val="es-ES_tradnl"/>
        </w:rPr>
        <w:t xml:space="preserve"> </w:t>
      </w:r>
      <w:r w:rsidR="00A02267" w:rsidRPr="001E3404">
        <w:rPr>
          <w:lang w:val="es-ES_tradnl"/>
        </w:rPr>
        <w:t>destinada a</w:t>
      </w:r>
      <w:r w:rsidR="00FE6FCA" w:rsidRPr="001E3404">
        <w:rPr>
          <w:lang w:val="es-ES_tradnl"/>
        </w:rPr>
        <w:t xml:space="preserve"> proyectos </w:t>
      </w:r>
      <w:r w:rsidR="000033B9" w:rsidRPr="001E3404">
        <w:rPr>
          <w:lang w:val="es-ES_tradnl"/>
        </w:rPr>
        <w:t>sobre</w:t>
      </w:r>
      <w:r w:rsidR="00FE6FCA" w:rsidRPr="001E3404">
        <w:rPr>
          <w:lang w:val="es-ES_tradnl"/>
        </w:rPr>
        <w:t xml:space="preserve"> iniciativas regionales para 2020-2021.</w:t>
      </w:r>
      <w:bookmarkEnd w:id="17"/>
    </w:p>
    <w:p w:rsidR="0058663F" w:rsidRPr="001E3404" w:rsidRDefault="00A02267" w:rsidP="001E3404">
      <w:pPr>
        <w:rPr>
          <w:b/>
          <w:bCs/>
          <w:lang w:val="es-ES_tradnl"/>
        </w:rPr>
      </w:pPr>
      <w:r w:rsidRPr="001E3404">
        <w:rPr>
          <w:lang w:val="es-ES_tradnl"/>
        </w:rPr>
        <w:t xml:space="preserve">La </w:t>
      </w:r>
      <w:r w:rsidR="0058663F" w:rsidRPr="001E3404">
        <w:rPr>
          <w:b/>
          <w:bCs/>
          <w:lang w:val="es-ES_tradnl"/>
        </w:rPr>
        <w:t>Resolución 25 (Rev. Dubái, 2018) – Fortalecimiento de la presencia regional</w:t>
      </w:r>
      <w:r w:rsidRPr="001E3404">
        <w:rPr>
          <w:b/>
          <w:bCs/>
          <w:lang w:val="es-ES_tradnl"/>
        </w:rPr>
        <w:t xml:space="preserve"> </w:t>
      </w:r>
      <w:r w:rsidRPr="001E3404">
        <w:rPr>
          <w:lang w:val="es-ES_tradnl"/>
        </w:rPr>
        <w:t>incluye los siguientes elementos fundamentales:</w:t>
      </w:r>
    </w:p>
    <w:p w:rsidR="0058663F" w:rsidRPr="001E3404" w:rsidRDefault="0058663F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A02267" w:rsidRPr="001E3404">
        <w:rPr>
          <w:lang w:val="es-ES_tradnl"/>
        </w:rPr>
        <w:t>la realización de</w:t>
      </w:r>
      <w:r w:rsidRPr="001E3404">
        <w:rPr>
          <w:lang w:val="es-ES_tradnl"/>
        </w:rPr>
        <w:t xml:space="preserve"> un examen general de la presencia regional de la UIT, tomando en consideración los elementos contenidos en el Anexo a </w:t>
      </w:r>
      <w:r w:rsidR="00A02267" w:rsidRPr="001E3404">
        <w:rPr>
          <w:lang w:val="es-ES_tradnl"/>
        </w:rPr>
        <w:t>dicha</w:t>
      </w:r>
      <w:r w:rsidRPr="001E3404">
        <w:rPr>
          <w:lang w:val="es-ES_tradnl"/>
        </w:rPr>
        <w:t xml:space="preserve"> Resolución,</w:t>
      </w:r>
      <w:r w:rsidR="00A02267" w:rsidRPr="001E3404">
        <w:rPr>
          <w:lang w:val="es-ES_tradnl"/>
        </w:rPr>
        <w:t xml:space="preserve"> y la </w:t>
      </w:r>
      <w:r w:rsidR="00351C25" w:rsidRPr="001E3404">
        <w:rPr>
          <w:lang w:val="es-ES_tradnl"/>
        </w:rPr>
        <w:t>elaboración de un informe</w:t>
      </w:r>
      <w:r w:rsidR="00A02267" w:rsidRPr="001E3404">
        <w:rPr>
          <w:lang w:val="es-ES_tradnl"/>
        </w:rPr>
        <w:t xml:space="preserve"> </w:t>
      </w:r>
      <w:r w:rsidRPr="001E3404">
        <w:rPr>
          <w:lang w:val="es-ES_tradnl"/>
        </w:rPr>
        <w:t xml:space="preserve">a </w:t>
      </w:r>
      <w:r w:rsidR="00A02267" w:rsidRPr="001E3404">
        <w:rPr>
          <w:lang w:val="es-ES_tradnl"/>
        </w:rPr>
        <w:t>la reunión de 2020 del Consejo sobre</w:t>
      </w:r>
      <w:r w:rsidRPr="001E3404">
        <w:rPr>
          <w:lang w:val="es-ES_tradnl"/>
        </w:rPr>
        <w:t>, entre otras cosas, las medidas convenientes sugeridas para garantizar la eficacia y eficiencia continuas de la presencia regional de la UIT;</w:t>
      </w:r>
      <w:r w:rsidR="00A02267" w:rsidRPr="001E3404">
        <w:rPr>
          <w:lang w:val="es-ES_tradnl"/>
        </w:rPr>
        <w:t xml:space="preserve"> y</w:t>
      </w:r>
    </w:p>
    <w:p w:rsidR="0058663F" w:rsidRPr="001E3404" w:rsidRDefault="0058663F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0033B9" w:rsidRPr="001E3404">
        <w:rPr>
          <w:lang w:val="es-ES_tradnl"/>
        </w:rPr>
        <w:t>un</w:t>
      </w:r>
      <w:r w:rsidR="00A02267" w:rsidRPr="001E3404">
        <w:rPr>
          <w:lang w:val="es-ES_tradnl"/>
        </w:rPr>
        <w:t xml:space="preserve"> esfuerzo por garantizar que todas las regiones dispongan de al menos</w:t>
      </w:r>
      <w:r w:rsidRPr="001E3404">
        <w:rPr>
          <w:lang w:val="es-ES_tradnl"/>
        </w:rPr>
        <w:t xml:space="preserve"> un profesional con habilidades y conocimientos pertinentes en cada uno de los tres Sectores</w:t>
      </w:r>
      <w:r w:rsidR="00351C25" w:rsidRPr="001E3404">
        <w:rPr>
          <w:lang w:val="es-ES_tradnl"/>
        </w:rPr>
        <w:t>,</w:t>
      </w:r>
      <w:r w:rsidRPr="001E3404">
        <w:rPr>
          <w:lang w:val="es-ES_tradnl"/>
        </w:rPr>
        <w:t xml:space="preserve"> que responda al Director Regional, incluso mediante capacitación de personal existente.</w:t>
      </w:r>
    </w:p>
    <w:p w:rsidR="0058663F" w:rsidRPr="001E3404" w:rsidRDefault="009A219A" w:rsidP="001E3404">
      <w:pPr>
        <w:rPr>
          <w:lang w:val="es-ES_tradnl"/>
        </w:rPr>
      </w:pPr>
      <w:r w:rsidRPr="001E3404">
        <w:rPr>
          <w:lang w:val="es-ES_tradnl"/>
        </w:rPr>
        <w:lastRenderedPageBreak/>
        <w:t>La</w:t>
      </w:r>
      <w:r w:rsidRPr="001E3404">
        <w:rPr>
          <w:b/>
          <w:bCs/>
          <w:lang w:val="es-ES_tradnl"/>
        </w:rPr>
        <w:t xml:space="preserve"> n</w:t>
      </w:r>
      <w:r w:rsidR="00C945DB" w:rsidRPr="001E3404">
        <w:rPr>
          <w:b/>
          <w:bCs/>
          <w:lang w:val="es-ES_tradnl"/>
        </w:rPr>
        <w:t>ueva Resolución 213 – Medidas para mejorar, promover y fortalecer las becas de la UIT</w:t>
      </w:r>
      <w:r w:rsidRPr="001E3404">
        <w:rPr>
          <w:b/>
          <w:bCs/>
          <w:lang w:val="es-ES_tradnl"/>
        </w:rPr>
        <w:t xml:space="preserve"> </w:t>
      </w:r>
      <w:r w:rsidRPr="001E3404">
        <w:rPr>
          <w:lang w:val="es-ES_tradnl"/>
        </w:rPr>
        <w:t>incluye los siguientes elementos fundamentales:</w:t>
      </w:r>
    </w:p>
    <w:p w:rsidR="00C945DB" w:rsidRPr="001E3404" w:rsidRDefault="00C945DB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9A219A" w:rsidRPr="001E3404">
        <w:rPr>
          <w:lang w:val="es-ES_tradnl"/>
        </w:rPr>
        <w:t xml:space="preserve">la elaboración </w:t>
      </w:r>
      <w:r w:rsidRPr="001E3404">
        <w:rPr>
          <w:lang w:val="es-ES_tradnl"/>
        </w:rPr>
        <w:t>anual</w:t>
      </w:r>
      <w:r w:rsidR="009A219A" w:rsidRPr="001E3404">
        <w:rPr>
          <w:lang w:val="es-ES_tradnl"/>
        </w:rPr>
        <w:t xml:space="preserve"> de un informe</w:t>
      </w:r>
      <w:r w:rsidRPr="001E3404">
        <w:rPr>
          <w:lang w:val="es-ES_tradnl"/>
        </w:rPr>
        <w:t xml:space="preserve"> sobre las becas</w:t>
      </w:r>
      <w:r w:rsidR="009A219A" w:rsidRPr="001E3404">
        <w:rPr>
          <w:lang w:val="es-ES_tradnl"/>
        </w:rPr>
        <w:t xml:space="preserve"> destinado al Consejo</w:t>
      </w:r>
      <w:r w:rsidR="00351C25" w:rsidRPr="001E3404">
        <w:rPr>
          <w:lang w:val="es-ES_tradnl"/>
        </w:rPr>
        <w:t xml:space="preserve"> de la UIT</w:t>
      </w:r>
      <w:r w:rsidRPr="001E3404">
        <w:rPr>
          <w:lang w:val="es-ES_tradnl"/>
        </w:rPr>
        <w:t>;</w:t>
      </w:r>
      <w:r w:rsidR="009A219A" w:rsidRPr="001E3404">
        <w:rPr>
          <w:lang w:val="es-ES_tradnl"/>
        </w:rPr>
        <w:t xml:space="preserve"> y</w:t>
      </w:r>
    </w:p>
    <w:p w:rsidR="00C945DB" w:rsidRPr="001E3404" w:rsidRDefault="00C945DB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9A219A" w:rsidRPr="001E3404">
        <w:rPr>
          <w:lang w:val="es-ES_tradnl"/>
        </w:rPr>
        <w:t>la delegación en el Consejo del exam</w:t>
      </w:r>
      <w:r w:rsidRPr="001E3404">
        <w:rPr>
          <w:lang w:val="es-ES_tradnl"/>
        </w:rPr>
        <w:t>e</w:t>
      </w:r>
      <w:r w:rsidR="009A219A" w:rsidRPr="001E3404">
        <w:rPr>
          <w:lang w:val="es-ES_tradnl"/>
        </w:rPr>
        <w:t>n de</w:t>
      </w:r>
      <w:r w:rsidRPr="001E3404">
        <w:rPr>
          <w:lang w:val="es-ES_tradnl"/>
        </w:rPr>
        <w:t xml:space="preserve"> los criterios vigentes para la concesión de becas y </w:t>
      </w:r>
      <w:r w:rsidR="009A219A" w:rsidRPr="001E3404">
        <w:rPr>
          <w:lang w:val="es-ES_tradnl"/>
        </w:rPr>
        <w:t>la formulación de</w:t>
      </w:r>
      <w:r w:rsidRPr="001E3404">
        <w:rPr>
          <w:lang w:val="es-ES_tradnl"/>
        </w:rPr>
        <w:t xml:space="preserve"> recomendaciones al Secretario General, con miras a mejorar, promover y fortalecer las becas de la UIT.</w:t>
      </w:r>
    </w:p>
    <w:p w:rsidR="00C945DB" w:rsidRPr="001E3404" w:rsidRDefault="009A219A" w:rsidP="001E3404">
      <w:pPr>
        <w:rPr>
          <w:lang w:val="es-ES_tradnl"/>
        </w:rPr>
      </w:pPr>
      <w:r w:rsidRPr="001E3404">
        <w:rPr>
          <w:lang w:val="es-ES_tradnl"/>
        </w:rPr>
        <w:t>La</w:t>
      </w:r>
      <w:r w:rsidRPr="001E3404">
        <w:rPr>
          <w:b/>
          <w:bCs/>
          <w:lang w:val="es-ES_tradnl"/>
        </w:rPr>
        <w:t xml:space="preserve"> nueva </w:t>
      </w:r>
      <w:r w:rsidR="00C945DB" w:rsidRPr="001E3404">
        <w:rPr>
          <w:b/>
          <w:bCs/>
          <w:lang w:val="es-ES_tradnl"/>
        </w:rPr>
        <w:t>Resolución 209 – Fomento de la participación de pequeñas y medianas empresas en los trabajos de la Unión</w:t>
      </w:r>
      <w:r w:rsidRPr="001E3404">
        <w:rPr>
          <w:b/>
          <w:bCs/>
          <w:lang w:val="es-ES_tradnl"/>
        </w:rPr>
        <w:t xml:space="preserve"> </w:t>
      </w:r>
      <w:r w:rsidRPr="001E3404">
        <w:rPr>
          <w:lang w:val="es-ES_tradnl"/>
        </w:rPr>
        <w:t xml:space="preserve">incluye </w:t>
      </w:r>
      <w:r w:rsidR="00116502" w:rsidRPr="001E3404">
        <w:rPr>
          <w:lang w:val="es-ES_tradnl"/>
        </w:rPr>
        <w:t>el</w:t>
      </w:r>
      <w:r w:rsidRPr="001E3404">
        <w:rPr>
          <w:lang w:val="es-ES_tradnl"/>
        </w:rPr>
        <w:t xml:space="preserve"> siguiente el</w:t>
      </w:r>
      <w:r w:rsidR="00116502" w:rsidRPr="001E3404">
        <w:rPr>
          <w:lang w:val="es-ES_tradnl"/>
        </w:rPr>
        <w:t>emento fundamental</w:t>
      </w:r>
      <w:r w:rsidRPr="001E3404">
        <w:rPr>
          <w:lang w:val="es-ES_tradnl"/>
        </w:rPr>
        <w:t>:</w:t>
      </w:r>
    </w:p>
    <w:p w:rsidR="00C945DB" w:rsidRPr="001E3404" w:rsidRDefault="00C945DB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2863E1" w:rsidRPr="001E3404">
        <w:rPr>
          <w:lang w:val="es-ES_tradnl"/>
        </w:rPr>
        <w:t>el fomento de</w:t>
      </w:r>
      <w:r w:rsidRPr="001E3404">
        <w:rPr>
          <w:lang w:val="es-ES_tradnl"/>
        </w:rPr>
        <w:t xml:space="preserve"> la participación de las </w:t>
      </w:r>
      <w:r w:rsidR="00547422">
        <w:rPr>
          <w:lang w:val="es-ES_tradnl"/>
        </w:rPr>
        <w:t>PYME</w:t>
      </w:r>
      <w:r w:rsidR="00547422" w:rsidRPr="001E3404">
        <w:rPr>
          <w:lang w:val="es-ES_tradnl"/>
        </w:rPr>
        <w:t xml:space="preserve"> </w:t>
      </w:r>
      <w:r w:rsidRPr="001E3404">
        <w:rPr>
          <w:lang w:val="es-ES_tradnl"/>
        </w:rPr>
        <w:t>como Asociados de los Sectores de la Unión mediante la creación de contribuciones reducidas</w:t>
      </w:r>
      <w:r w:rsidR="002863E1" w:rsidRPr="001E3404">
        <w:rPr>
          <w:lang w:val="es-ES_tradnl"/>
        </w:rPr>
        <w:t xml:space="preserve"> para dichas entidades</w:t>
      </w:r>
      <w:r w:rsidRPr="001E3404">
        <w:rPr>
          <w:lang w:val="es-ES_tradnl"/>
        </w:rPr>
        <w:t>, con diferentes niveles de contribución financiera, durante un periodo de prueba que abarcará hasta la próxima Conferencia de Plenipotenciarios.</w:t>
      </w:r>
    </w:p>
    <w:p w:rsidR="00C945DB" w:rsidRPr="001E3404" w:rsidRDefault="002863E1" w:rsidP="001E3404">
      <w:pPr>
        <w:rPr>
          <w:lang w:val="es-ES_tradnl"/>
        </w:rPr>
      </w:pPr>
      <w:bookmarkStart w:id="18" w:name="lt_pId051"/>
      <w:r w:rsidRPr="001E3404">
        <w:rPr>
          <w:lang w:val="es-ES_tradnl"/>
        </w:rPr>
        <w:t xml:space="preserve">A continuación se enumeran otras Resoluciones </w:t>
      </w:r>
      <w:r w:rsidR="0072768A" w:rsidRPr="001E3404">
        <w:rPr>
          <w:lang w:val="es-ES_tradnl"/>
        </w:rPr>
        <w:t>fundamentales</w:t>
      </w:r>
      <w:r w:rsidRPr="001E3404">
        <w:rPr>
          <w:lang w:val="es-ES_tradnl"/>
        </w:rPr>
        <w:t xml:space="preserve"> que </w:t>
      </w:r>
      <w:r w:rsidR="000033B9" w:rsidRPr="001E3404">
        <w:rPr>
          <w:lang w:val="es-ES_tradnl"/>
        </w:rPr>
        <w:t>a</w:t>
      </w:r>
      <w:r w:rsidRPr="001E3404">
        <w:rPr>
          <w:lang w:val="es-ES_tradnl"/>
        </w:rPr>
        <w:t>bordan esferas directamente relacionadas con la labor del UIT-D:</w:t>
      </w:r>
      <w:bookmarkEnd w:id="18"/>
    </w:p>
    <w:p w:rsidR="00C945DB" w:rsidRPr="001E3404" w:rsidRDefault="00C945DB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  <w:t xml:space="preserve">Fortalecimiento del papel de la UIT en la creación de confianza y seguridad en la utilización de las </w:t>
      </w:r>
      <w:r w:rsidR="005922B4" w:rsidRPr="001E3404">
        <w:rPr>
          <w:lang w:val="es-ES_tradnl"/>
        </w:rPr>
        <w:t>TIC</w:t>
      </w:r>
      <w:r w:rsidRPr="001E3404">
        <w:rPr>
          <w:lang w:val="es-ES_tradnl"/>
        </w:rPr>
        <w:t xml:space="preserve"> (Resolución 130);</w:t>
      </w:r>
    </w:p>
    <w:p w:rsidR="00C945DB" w:rsidRPr="001E3404" w:rsidRDefault="00C945DB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  <w:t xml:space="preserve">Medición de las </w:t>
      </w:r>
      <w:r w:rsidR="005922B4" w:rsidRPr="001E3404">
        <w:rPr>
          <w:lang w:val="es-ES_tradnl"/>
        </w:rPr>
        <w:t xml:space="preserve">TIC </w:t>
      </w:r>
      <w:r w:rsidRPr="001E3404">
        <w:rPr>
          <w:lang w:val="es-ES_tradnl"/>
        </w:rPr>
        <w:t>para la construcción de una sociedad de la información integradora e inclusiva (Resolución 131);</w:t>
      </w:r>
    </w:p>
    <w:p w:rsidR="00C945DB" w:rsidRPr="001E3404" w:rsidRDefault="00C945DB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  <w:t xml:space="preserve">Función de la UIT en la aplicación de los resultados de la </w:t>
      </w:r>
      <w:r w:rsidR="005922B4" w:rsidRPr="001E3404">
        <w:rPr>
          <w:lang w:val="es-ES_tradnl"/>
        </w:rPr>
        <w:t>CMSI</w:t>
      </w:r>
      <w:r w:rsidRPr="001E3404">
        <w:rPr>
          <w:lang w:val="es-ES_tradnl"/>
        </w:rPr>
        <w:t xml:space="preserve"> y de la Agenda 2030 para el Desarrollo Sostenible, así como en sus procesos de seg</w:t>
      </w:r>
      <w:r w:rsidR="00547422">
        <w:rPr>
          <w:lang w:val="es-ES_tradnl"/>
        </w:rPr>
        <w:t>uimiento y revisión (Resolución </w:t>
      </w:r>
      <w:r w:rsidRPr="001E3404">
        <w:rPr>
          <w:lang w:val="es-ES_tradnl"/>
        </w:rPr>
        <w:t>140);</w:t>
      </w:r>
    </w:p>
    <w:p w:rsidR="00C945DB" w:rsidRPr="001E3404" w:rsidRDefault="00C945DB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  <w:t>Accesibilidad de las telecomunicaciones/</w:t>
      </w:r>
      <w:r w:rsidR="006E30B0" w:rsidRPr="001E3404">
        <w:rPr>
          <w:lang w:val="es-ES_tradnl"/>
        </w:rPr>
        <w:t xml:space="preserve">TIC </w:t>
      </w:r>
      <w:r w:rsidRPr="001E3404">
        <w:rPr>
          <w:lang w:val="es-ES_tradnl"/>
        </w:rPr>
        <w:t>para las personas con discapacidad y personas con necesidades específicas (Resolución 175);</w:t>
      </w:r>
    </w:p>
    <w:p w:rsidR="00C945DB" w:rsidRPr="001E3404" w:rsidRDefault="00C945DB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  <w:t>Protección del usuario/consumidor de servicios de telecomunicaciones (Resolución 196);</w:t>
      </w:r>
    </w:p>
    <w:p w:rsidR="00C945DB" w:rsidRPr="001E3404" w:rsidRDefault="00C945DB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  <w:t xml:space="preserve">Facilitación de la Internet de las cosas </w:t>
      </w:r>
      <w:r w:rsidR="006E30B0" w:rsidRPr="001E3404">
        <w:rPr>
          <w:lang w:val="es-ES_tradnl"/>
        </w:rPr>
        <w:t xml:space="preserve">como preparación para un mundo globalmente conectado </w:t>
      </w:r>
      <w:r w:rsidRPr="001E3404">
        <w:rPr>
          <w:lang w:val="es-ES_tradnl"/>
        </w:rPr>
        <w:t>(Resolución 197);</w:t>
      </w:r>
    </w:p>
    <w:p w:rsidR="00C945DB" w:rsidRPr="001E3404" w:rsidRDefault="00C945DB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BD3E53" w:rsidRPr="001E3404">
        <w:rPr>
          <w:lang w:val="es-ES_tradnl"/>
        </w:rPr>
        <w:t xml:space="preserve">Creación de un entorno propicio para la implantación y utilización de aplicaciones </w:t>
      </w:r>
      <w:r w:rsidR="006E30B0" w:rsidRPr="001E3404">
        <w:rPr>
          <w:lang w:val="es-ES_tradnl"/>
        </w:rPr>
        <w:t>TIC</w:t>
      </w:r>
      <w:r w:rsidR="00BD3E53" w:rsidRPr="001E3404">
        <w:rPr>
          <w:lang w:val="es-ES_tradnl"/>
        </w:rPr>
        <w:t xml:space="preserve"> (Resolución 201);</w:t>
      </w:r>
    </w:p>
    <w:p w:rsidR="00C945DB" w:rsidRPr="001E3404" w:rsidRDefault="00C945DB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BD3E53" w:rsidRPr="001E3404">
        <w:rPr>
          <w:lang w:val="es-ES_tradnl"/>
        </w:rPr>
        <w:t xml:space="preserve">Utilización de las </w:t>
      </w:r>
      <w:r w:rsidR="006E30B0" w:rsidRPr="001E3404">
        <w:rPr>
          <w:lang w:val="es-ES_tradnl"/>
        </w:rPr>
        <w:t>TIC</w:t>
      </w:r>
      <w:r w:rsidR="00BD3E53" w:rsidRPr="001E3404">
        <w:rPr>
          <w:lang w:val="es-ES_tradnl"/>
        </w:rPr>
        <w:t xml:space="preserve"> para reducir la brecha de inclusión financiera (Resolución 204);</w:t>
      </w:r>
    </w:p>
    <w:p w:rsidR="00C945DB" w:rsidRPr="001E3404" w:rsidRDefault="00C945DB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BD3E53" w:rsidRPr="001E3404">
        <w:rPr>
          <w:lang w:val="es-ES_tradnl"/>
        </w:rPr>
        <w:t>Papel de la UIT en el fomento de la innovación centrada en las telecomunicaciones/</w:t>
      </w:r>
      <w:r w:rsidR="006E30B0" w:rsidRPr="001E3404">
        <w:rPr>
          <w:lang w:val="es-ES_tradnl"/>
        </w:rPr>
        <w:t>TIC</w:t>
      </w:r>
      <w:r w:rsidR="00BD3E53" w:rsidRPr="001E3404">
        <w:rPr>
          <w:lang w:val="es-ES_tradnl"/>
        </w:rPr>
        <w:t xml:space="preserve"> para impulsar la economía y la sociedad digitales (Resolución 205);</w:t>
      </w:r>
    </w:p>
    <w:p w:rsidR="00C945DB" w:rsidRPr="001E3404" w:rsidRDefault="00C945DB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BD3E53" w:rsidRPr="001E3404">
        <w:rPr>
          <w:lang w:val="es-ES_tradnl"/>
        </w:rPr>
        <w:t>OTT (Resolución 206);</w:t>
      </w:r>
      <w:r w:rsidR="006E30B0" w:rsidRPr="001E3404">
        <w:rPr>
          <w:lang w:val="es-ES_tradnl"/>
        </w:rPr>
        <w:t xml:space="preserve"> y</w:t>
      </w:r>
    </w:p>
    <w:p w:rsidR="00C945DB" w:rsidRPr="001E3404" w:rsidRDefault="00C945DB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BD3E53" w:rsidRPr="001E3404">
        <w:rPr>
          <w:lang w:val="es-ES_tradnl"/>
        </w:rPr>
        <w:t xml:space="preserve">Trata de personas </w:t>
      </w:r>
      <w:r w:rsidR="006E30B0" w:rsidRPr="001E3404">
        <w:rPr>
          <w:lang w:val="es-ES_tradnl"/>
        </w:rPr>
        <w:t>(Resolución 7).</w:t>
      </w:r>
    </w:p>
    <w:p w:rsidR="00C945DB" w:rsidRPr="001E3404" w:rsidRDefault="006E30B0" w:rsidP="001E3404">
      <w:pPr>
        <w:rPr>
          <w:lang w:val="es-ES_tradnl"/>
        </w:rPr>
      </w:pPr>
      <w:bookmarkStart w:id="19" w:name="lt_pId063"/>
      <w:r w:rsidRPr="001E3404">
        <w:rPr>
          <w:lang w:val="es-ES_tradnl"/>
        </w:rPr>
        <w:t>Las siguientes Resoluciones y Decisiones también son pertinentes para la BDT, ya que abarcan temas relacionados con la administración y</w:t>
      </w:r>
      <w:r w:rsidR="000033B9" w:rsidRPr="001E3404">
        <w:rPr>
          <w:lang w:val="es-ES_tradnl"/>
        </w:rPr>
        <w:t xml:space="preserve"> la</w:t>
      </w:r>
      <w:r w:rsidRPr="001E3404">
        <w:rPr>
          <w:lang w:val="es-ES_tradnl"/>
        </w:rPr>
        <w:t xml:space="preserve"> gestión de la labor de los Sectores de la UIT, así como </w:t>
      </w:r>
      <w:r w:rsidR="000033B9" w:rsidRPr="001E3404">
        <w:rPr>
          <w:lang w:val="es-ES_tradnl"/>
        </w:rPr>
        <w:t>d</w:t>
      </w:r>
      <w:r w:rsidRPr="001E3404">
        <w:rPr>
          <w:lang w:val="es-ES_tradnl"/>
        </w:rPr>
        <w:t>el funcionamiento de las Oficinas:</w:t>
      </w:r>
      <w:bookmarkEnd w:id="19"/>
    </w:p>
    <w:p w:rsidR="00BD3E53" w:rsidRPr="001E3404" w:rsidRDefault="00BD3E53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  <w:t>Gestión y desarrollo de los recursos humanos (Resolución 48);</w:t>
      </w:r>
    </w:p>
    <w:p w:rsidR="00BD3E53" w:rsidRPr="001E3404" w:rsidRDefault="00BD3E53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  <w:t>Intensificación de las relaciones entre la UIT y las organizaciones regionales</w:t>
      </w:r>
      <w:r w:rsidR="006E30B0" w:rsidRPr="001E3404">
        <w:rPr>
          <w:lang w:val="es-ES_tradnl"/>
        </w:rPr>
        <w:t xml:space="preserve"> de telecomunicaciones</w:t>
      </w:r>
      <w:r w:rsidRPr="001E3404">
        <w:rPr>
          <w:lang w:val="es-ES_tradnl"/>
        </w:rPr>
        <w:t xml:space="preserve"> (Resolución 58);</w:t>
      </w:r>
    </w:p>
    <w:p w:rsidR="00BD3E53" w:rsidRPr="001E3404" w:rsidRDefault="00BD3E53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  <w:t>Documentos y publicaciones de la Unión (Resolución 66);</w:t>
      </w:r>
    </w:p>
    <w:p w:rsidR="00BD3E53" w:rsidRPr="001E3404" w:rsidRDefault="00BD3E53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lastRenderedPageBreak/>
        <w:t>–</w:t>
      </w:r>
      <w:r w:rsidRPr="001E3404">
        <w:rPr>
          <w:lang w:val="es-ES_tradnl"/>
        </w:rPr>
        <w:tab/>
        <w:t xml:space="preserve">Planificación y duración de las Conferencias, los Foros, las Asambleas y las reuniones del Consejo de la Unión </w:t>
      </w:r>
      <w:r w:rsidR="000033B9" w:rsidRPr="001E3404">
        <w:rPr>
          <w:lang w:val="es-ES_tradnl"/>
        </w:rPr>
        <w:t xml:space="preserve">(2019-2023) </w:t>
      </w:r>
      <w:r w:rsidRPr="001E3404">
        <w:rPr>
          <w:lang w:val="es-ES_tradnl"/>
        </w:rPr>
        <w:t>(Resolución 77);</w:t>
      </w:r>
    </w:p>
    <w:p w:rsidR="00BD3E53" w:rsidRPr="001E3404" w:rsidRDefault="00BD3E53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2D2C72" w:rsidRPr="001E3404">
        <w:rPr>
          <w:lang w:val="es-ES_tradnl"/>
        </w:rPr>
        <w:t xml:space="preserve">Toma en consideración de los periodos religiosos importantes en la planificación de las Conferencias, Asambleas y reuniones del Consejo de la UIT </w:t>
      </w:r>
      <w:r w:rsidRPr="001E3404">
        <w:rPr>
          <w:lang w:val="es-ES_tradnl"/>
        </w:rPr>
        <w:t xml:space="preserve">(Resolución </w:t>
      </w:r>
      <w:r w:rsidR="002D2C72" w:rsidRPr="001E3404">
        <w:rPr>
          <w:lang w:val="es-ES_tradnl"/>
        </w:rPr>
        <w:t>111</w:t>
      </w:r>
      <w:r w:rsidRPr="001E3404">
        <w:rPr>
          <w:lang w:val="es-ES_tradnl"/>
        </w:rPr>
        <w:t>);</w:t>
      </w:r>
    </w:p>
    <w:p w:rsidR="00BD3E53" w:rsidRPr="001E3404" w:rsidRDefault="00BD3E53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2D2C72" w:rsidRPr="001E3404">
        <w:rPr>
          <w:lang w:val="es-ES_tradnl"/>
        </w:rPr>
        <w:t>Función de la UIT en el desarrollo duradero y sostenible de las telecomunicaciones/</w:t>
      </w:r>
      <w:r w:rsidR="00897380" w:rsidRPr="001E3404">
        <w:rPr>
          <w:lang w:val="es-ES_tradnl"/>
        </w:rPr>
        <w:t>TIC</w:t>
      </w:r>
      <w:r w:rsidR="002D2C72" w:rsidRPr="001E3404">
        <w:rPr>
          <w:lang w:val="es-ES_tradnl"/>
        </w:rPr>
        <w:t xml:space="preserve">, en la prestación de asistencia y asesoramiento técnicos a los países en desarrollo y en la ejecución de proyectos nacionales, regionales e interregionales pertinentes </w:t>
      </w:r>
      <w:r w:rsidR="001E3404">
        <w:rPr>
          <w:lang w:val="es-ES_tradnl"/>
        </w:rPr>
        <w:t>(Resolución </w:t>
      </w:r>
      <w:r w:rsidR="002D2C72" w:rsidRPr="001E3404">
        <w:rPr>
          <w:lang w:val="es-ES_tradnl"/>
        </w:rPr>
        <w:t>135</w:t>
      </w:r>
      <w:r w:rsidRPr="001E3404">
        <w:rPr>
          <w:lang w:val="es-ES_tradnl"/>
        </w:rPr>
        <w:t>);</w:t>
      </w:r>
    </w:p>
    <w:p w:rsidR="00BD3E53" w:rsidRPr="001E3404" w:rsidRDefault="00BD3E53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2D2C72" w:rsidRPr="001E3404">
        <w:rPr>
          <w:lang w:val="es-ES_tradnl"/>
        </w:rPr>
        <w:t xml:space="preserve">Utilización de los seis idiomas oficiales de la Unión en igualdad de condiciones </w:t>
      </w:r>
      <w:r w:rsidR="001E3404">
        <w:rPr>
          <w:lang w:val="es-ES_tradnl"/>
        </w:rPr>
        <w:t>(Resolución </w:t>
      </w:r>
      <w:r w:rsidR="002D2C72" w:rsidRPr="001E3404">
        <w:rPr>
          <w:lang w:val="es-ES_tradnl"/>
        </w:rPr>
        <w:t>154</w:t>
      </w:r>
      <w:r w:rsidRPr="001E3404">
        <w:rPr>
          <w:lang w:val="es-ES_tradnl"/>
        </w:rPr>
        <w:t>);</w:t>
      </w:r>
    </w:p>
    <w:p w:rsidR="00BD3E53" w:rsidRPr="001E3404" w:rsidRDefault="00BD3E53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2D2C72" w:rsidRPr="001E3404">
        <w:rPr>
          <w:lang w:val="es-ES_tradnl"/>
        </w:rPr>
        <w:t xml:space="preserve">Fortalecimiento de las funciones de ejecución y de supervisión de proyectos en la UIT </w:t>
      </w:r>
      <w:r w:rsidR="001E3404">
        <w:rPr>
          <w:lang w:val="es-ES_tradnl"/>
        </w:rPr>
        <w:t>(Resolución </w:t>
      </w:r>
      <w:r w:rsidR="002D2C72" w:rsidRPr="001E3404">
        <w:rPr>
          <w:lang w:val="es-ES_tradnl"/>
        </w:rPr>
        <w:t>15</w:t>
      </w:r>
      <w:r w:rsidRPr="001E3404">
        <w:rPr>
          <w:lang w:val="es-ES_tradnl"/>
        </w:rPr>
        <w:t>7);</w:t>
      </w:r>
    </w:p>
    <w:p w:rsidR="00BD3E53" w:rsidRPr="001E3404" w:rsidRDefault="00BD3E53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2D2C72" w:rsidRPr="001E3404">
        <w:rPr>
          <w:lang w:val="es-ES_tradnl"/>
        </w:rPr>
        <w:t xml:space="preserve">Plazos de presentación de propuestas y procedimientos para la inscripción de participantes en las conferencias y asambleas de la Unión </w:t>
      </w:r>
      <w:r w:rsidRPr="001E3404">
        <w:rPr>
          <w:lang w:val="es-ES_tradnl"/>
        </w:rPr>
        <w:t xml:space="preserve">(Resolución </w:t>
      </w:r>
      <w:r w:rsidR="002D2C72" w:rsidRPr="001E3404">
        <w:rPr>
          <w:lang w:val="es-ES_tradnl"/>
        </w:rPr>
        <w:t>165</w:t>
      </w:r>
      <w:r w:rsidRPr="001E3404">
        <w:rPr>
          <w:lang w:val="es-ES_tradnl"/>
        </w:rPr>
        <w:t>);</w:t>
      </w:r>
    </w:p>
    <w:p w:rsidR="00BD3E53" w:rsidRPr="001E3404" w:rsidRDefault="00BD3E53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2D2C72" w:rsidRPr="001E3404">
        <w:rPr>
          <w:lang w:val="es-ES_tradnl"/>
        </w:rPr>
        <w:t xml:space="preserve">Estrategia de coordinación de los trabajos de los tres Sectores de la Unión </w:t>
      </w:r>
      <w:r w:rsidR="001E3404">
        <w:rPr>
          <w:lang w:val="es-ES_tradnl"/>
        </w:rPr>
        <w:t>(Resolución </w:t>
      </w:r>
      <w:r w:rsidR="002D2C72" w:rsidRPr="001E3404">
        <w:rPr>
          <w:lang w:val="es-ES_tradnl"/>
        </w:rPr>
        <w:t>191</w:t>
      </w:r>
      <w:r w:rsidRPr="001E3404">
        <w:rPr>
          <w:lang w:val="es-ES_tradnl"/>
        </w:rPr>
        <w:t>);</w:t>
      </w:r>
    </w:p>
    <w:p w:rsidR="00BD3E53" w:rsidRPr="001E3404" w:rsidRDefault="00BD3E53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2D2C72" w:rsidRPr="001E3404">
        <w:rPr>
          <w:lang w:val="es-ES_tradnl"/>
        </w:rPr>
        <w:t xml:space="preserve">Nombramiento y duración máxima del mandato de los presidentes y vicepresidentes de los Grupos Asesores, Comisiones de Estudio y otros grupos </w:t>
      </w:r>
      <w:r w:rsidRPr="001E3404">
        <w:rPr>
          <w:lang w:val="es-ES_tradnl"/>
        </w:rPr>
        <w:t xml:space="preserve">(Resolución </w:t>
      </w:r>
      <w:r w:rsidR="002D2C72" w:rsidRPr="001E3404">
        <w:rPr>
          <w:lang w:val="es-ES_tradnl"/>
        </w:rPr>
        <w:t>208</w:t>
      </w:r>
      <w:r w:rsidRPr="001E3404">
        <w:rPr>
          <w:lang w:val="es-ES_tradnl"/>
        </w:rPr>
        <w:t>);</w:t>
      </w:r>
      <w:r w:rsidR="00547422">
        <w:rPr>
          <w:lang w:val="es-ES_tradnl"/>
        </w:rPr>
        <w:t xml:space="preserve"> y</w:t>
      </w:r>
    </w:p>
    <w:p w:rsidR="00BD3E53" w:rsidRPr="001E3404" w:rsidRDefault="00BD3E53" w:rsidP="001E3404">
      <w:pPr>
        <w:pStyle w:val="enumlev1"/>
        <w:rPr>
          <w:lang w:val="es-ES_tradnl"/>
        </w:rPr>
      </w:pPr>
      <w:r w:rsidRPr="001E3404">
        <w:rPr>
          <w:lang w:val="es-ES_tradnl"/>
        </w:rPr>
        <w:t>–</w:t>
      </w:r>
      <w:r w:rsidRPr="001E3404">
        <w:rPr>
          <w:lang w:val="es-ES_tradnl"/>
        </w:rPr>
        <w:tab/>
      </w:r>
      <w:r w:rsidR="002D2C72" w:rsidRPr="001E3404">
        <w:rPr>
          <w:lang w:val="es-ES_tradnl"/>
        </w:rPr>
        <w:t xml:space="preserve">Futuro edificio de la Sede de la Unión </w:t>
      </w:r>
      <w:r w:rsidRPr="001E3404">
        <w:rPr>
          <w:lang w:val="es-ES_tradnl"/>
        </w:rPr>
        <w:t xml:space="preserve">(Resolución </w:t>
      </w:r>
      <w:r w:rsidR="002D2C72" w:rsidRPr="001E3404">
        <w:rPr>
          <w:lang w:val="es-ES_tradnl"/>
        </w:rPr>
        <w:t>212</w:t>
      </w:r>
      <w:r w:rsidRPr="001E3404">
        <w:rPr>
          <w:lang w:val="es-ES_tradnl"/>
        </w:rPr>
        <w:t>)</w:t>
      </w:r>
      <w:r w:rsidR="002D2C72" w:rsidRPr="001E3404">
        <w:rPr>
          <w:lang w:val="es-ES_tradnl"/>
        </w:rPr>
        <w:t>.</w:t>
      </w:r>
    </w:p>
    <w:p w:rsidR="002D2C72" w:rsidRPr="001E3404" w:rsidRDefault="002D2C72" w:rsidP="001E3404">
      <w:pPr>
        <w:pStyle w:val="Reasons"/>
        <w:rPr>
          <w:lang w:val="es-ES_tradnl"/>
        </w:rPr>
      </w:pPr>
    </w:p>
    <w:p w:rsidR="002D2C72" w:rsidRPr="001E3404" w:rsidRDefault="002D2C72" w:rsidP="001E3404">
      <w:pPr>
        <w:jc w:val="center"/>
        <w:rPr>
          <w:lang w:val="es-ES_tradnl"/>
        </w:rPr>
      </w:pPr>
      <w:r w:rsidRPr="001E3404">
        <w:rPr>
          <w:lang w:val="es-ES_tradnl"/>
        </w:rPr>
        <w:t>______________</w:t>
      </w:r>
    </w:p>
    <w:sectPr w:rsidR="002D2C72" w:rsidRPr="001E3404" w:rsidSect="004B7893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E42" w:rsidRDefault="00606E42" w:rsidP="0088106F">
      <w:r>
        <w:separator/>
      </w:r>
    </w:p>
  </w:endnote>
  <w:endnote w:type="continuationSeparator" w:id="0">
    <w:p w:rsidR="00606E42" w:rsidRDefault="00606E42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C72" w:rsidRPr="002D2C72" w:rsidRDefault="002D2C72" w:rsidP="001F0F71">
    <w:pPr>
      <w:pStyle w:val="Footer"/>
      <w:rPr>
        <w:lang w:val="en-GB"/>
      </w:rPr>
    </w:pPr>
    <w:r>
      <w:fldChar w:fldCharType="begin"/>
    </w:r>
    <w:r w:rsidRPr="001F0F71">
      <w:rPr>
        <w:lang w:val="en-GB"/>
      </w:rPr>
      <w:instrText xml:space="preserve"> FILENAME \p  \* MERGEFORMAT </w:instrText>
    </w:r>
    <w:r>
      <w:fldChar w:fldCharType="separate"/>
    </w:r>
    <w:r w:rsidR="001E3404">
      <w:rPr>
        <w:lang w:val="en-GB"/>
      </w:rPr>
      <w:t>P:\ESP\ITU-D\CONF-D\TDAG19\000\004S.docx</w:t>
    </w:r>
    <w:r>
      <w:fldChar w:fldCharType="end"/>
    </w:r>
    <w:r w:rsidR="001E3404">
      <w:t xml:space="preserve"> (449203)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1E3404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9D1BD4" w:rsidRPr="000F3361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0F3361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9D1BD4" w:rsidRPr="000F3361" w:rsidRDefault="009D1BD4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0F3361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9D1BD4" w:rsidRPr="000F3361" w:rsidRDefault="00305801" w:rsidP="00305801">
          <w:pPr>
            <w:pStyle w:val="FirstFooter"/>
            <w:rPr>
              <w:sz w:val="18"/>
              <w:szCs w:val="18"/>
              <w:lang w:val="es-ES_tradnl"/>
            </w:rPr>
          </w:pPr>
          <w:bookmarkStart w:id="20" w:name="OrgName"/>
          <w:bookmarkEnd w:id="20"/>
          <w:r w:rsidRPr="000F3361">
            <w:rPr>
              <w:sz w:val="18"/>
              <w:szCs w:val="18"/>
              <w:lang w:val="es-ES_tradnl"/>
            </w:rPr>
            <w:t>S</w:t>
          </w:r>
          <w:r w:rsidR="00F837C7" w:rsidRPr="000F3361">
            <w:rPr>
              <w:sz w:val="18"/>
              <w:szCs w:val="18"/>
              <w:lang w:val="es-ES_tradnl"/>
            </w:rPr>
            <w:t>r</w:t>
          </w:r>
          <w:r w:rsidRPr="000F3361">
            <w:rPr>
              <w:sz w:val="18"/>
              <w:szCs w:val="18"/>
              <w:lang w:val="es-ES_tradnl"/>
            </w:rPr>
            <w:t>.</w:t>
          </w:r>
          <w:r w:rsidR="00F837C7" w:rsidRPr="000F3361">
            <w:rPr>
              <w:sz w:val="18"/>
              <w:szCs w:val="18"/>
              <w:lang w:val="es-ES_tradnl"/>
            </w:rPr>
            <w:t xml:space="preserve"> Yushi Torigoe, </w:t>
          </w:r>
          <w:r w:rsidRPr="000F3361">
            <w:rPr>
              <w:sz w:val="18"/>
              <w:szCs w:val="18"/>
              <w:lang w:val="es-ES_tradnl"/>
            </w:rPr>
            <w:t>Director Adjunto, Oficina de Desarrollo de las Telecomunicaciones</w:t>
          </w:r>
        </w:p>
      </w:tc>
    </w:tr>
    <w:tr w:rsidR="009D1BD4" w:rsidRPr="000F3361" w:rsidTr="004E3CF5">
      <w:tc>
        <w:tcPr>
          <w:tcW w:w="1134" w:type="dxa"/>
          <w:shd w:val="clear" w:color="auto" w:fill="auto"/>
        </w:tcPr>
        <w:p w:rsidR="009D1BD4" w:rsidRPr="000F3361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9D1BD4" w:rsidRPr="000F3361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0F3361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:rsidR="009D1BD4" w:rsidRPr="000F3361" w:rsidRDefault="00F837C7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bookmarkStart w:id="21" w:name="PhoneNo"/>
          <w:bookmarkEnd w:id="21"/>
          <w:r w:rsidRPr="000F3361">
            <w:rPr>
              <w:sz w:val="18"/>
              <w:szCs w:val="18"/>
              <w:lang w:val="es-ES_tradnl"/>
            </w:rPr>
            <w:t>+ 41 22 730 5784</w:t>
          </w:r>
        </w:p>
      </w:tc>
    </w:tr>
    <w:tr w:rsidR="009D1BD4" w:rsidRPr="000F3361" w:rsidTr="004E3CF5">
      <w:tc>
        <w:tcPr>
          <w:tcW w:w="1134" w:type="dxa"/>
          <w:shd w:val="clear" w:color="auto" w:fill="auto"/>
        </w:tcPr>
        <w:p w:rsidR="009D1BD4" w:rsidRPr="000F3361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9D1BD4" w:rsidRPr="000F3361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0F3361">
            <w:rPr>
              <w:sz w:val="18"/>
              <w:szCs w:val="18"/>
              <w:lang w:val="es-ES_tradnl"/>
            </w:rPr>
            <w:t>Correo-e:</w:t>
          </w:r>
        </w:p>
      </w:tc>
      <w:bookmarkStart w:id="22" w:name="Email"/>
      <w:bookmarkEnd w:id="22"/>
      <w:tc>
        <w:tcPr>
          <w:tcW w:w="6237" w:type="dxa"/>
          <w:shd w:val="clear" w:color="auto" w:fill="auto"/>
        </w:tcPr>
        <w:p w:rsidR="009D1BD4" w:rsidRPr="000F3361" w:rsidRDefault="00F837C7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0F3361">
            <w:rPr>
              <w:rStyle w:val="Hyperlink"/>
              <w:sz w:val="18"/>
              <w:szCs w:val="18"/>
              <w:lang w:val="es-ES_tradnl"/>
            </w:rPr>
            <w:fldChar w:fldCharType="begin"/>
          </w:r>
          <w:r w:rsidRPr="000F3361">
            <w:rPr>
              <w:rStyle w:val="Hyperlink"/>
              <w:sz w:val="18"/>
              <w:szCs w:val="18"/>
              <w:lang w:val="es-ES_tradnl"/>
            </w:rPr>
            <w:instrText xml:space="preserve"> HYPERLINK "mailto:yushi.torigoe@itu.int" </w:instrText>
          </w:r>
          <w:r w:rsidRPr="000F3361">
            <w:rPr>
              <w:rStyle w:val="Hyperlink"/>
              <w:sz w:val="18"/>
              <w:szCs w:val="18"/>
              <w:lang w:val="es-ES_tradnl"/>
            </w:rPr>
            <w:fldChar w:fldCharType="separate"/>
          </w:r>
          <w:r w:rsidRPr="000F3361">
            <w:rPr>
              <w:rStyle w:val="Hyperlink"/>
              <w:sz w:val="18"/>
              <w:szCs w:val="18"/>
              <w:lang w:val="es-ES_tradnl"/>
            </w:rPr>
            <w:t>yushi.torigoe@itu.int</w:t>
          </w:r>
          <w:r w:rsidRPr="000F3361">
            <w:rPr>
              <w:rStyle w:val="Hyperlink"/>
              <w:sz w:val="18"/>
              <w:szCs w:val="18"/>
              <w:lang w:val="es-ES_tradnl"/>
            </w:rPr>
            <w:fldChar w:fldCharType="end"/>
          </w:r>
        </w:p>
      </w:tc>
    </w:tr>
  </w:tbl>
  <w:p w:rsidR="009D1BD4" w:rsidRPr="000F3361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lang w:val="es-ES_tradnl"/>
      </w:rPr>
    </w:pPr>
  </w:p>
  <w:p w:rsidR="006E4AB3" w:rsidRPr="000F3361" w:rsidRDefault="000F2F41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  <w:lang w:val="es-ES_tradnl"/>
      </w:rPr>
    </w:pPr>
    <w:hyperlink r:id="rId1" w:history="1">
      <w:r w:rsidR="00225D2E" w:rsidRPr="000F3361">
        <w:rPr>
          <w:rFonts w:ascii="Calibri" w:hAnsi="Calibri"/>
          <w:color w:val="0000FF"/>
          <w:sz w:val="18"/>
          <w:szCs w:val="18"/>
          <w:u w:val="single"/>
          <w:lang w:val="es-ES_tradnl"/>
        </w:rPr>
        <w:t>GADT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E42" w:rsidRDefault="00606E42" w:rsidP="0088106F">
      <w:r>
        <w:separator/>
      </w:r>
    </w:p>
  </w:footnote>
  <w:footnote w:type="continuationSeparator" w:id="0">
    <w:p w:rsidR="00606E42" w:rsidRDefault="00606E42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9A6FC4" w:rsidRDefault="009A6FC4" w:rsidP="00102197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</w:t>
    </w:r>
    <w:r w:rsidR="00602B27">
      <w:rPr>
        <w:sz w:val="22"/>
        <w:szCs w:val="22"/>
        <w:lang w:val="en-US"/>
      </w:rPr>
      <w:t>-</w:t>
    </w:r>
    <w:r w:rsidRPr="003D4CFB">
      <w:rPr>
        <w:sz w:val="22"/>
        <w:szCs w:val="22"/>
        <w:lang w:val="en-US"/>
      </w:rPr>
      <w:t>1</w:t>
    </w:r>
    <w:r w:rsidR="004E7861">
      <w:rPr>
        <w:sz w:val="22"/>
        <w:szCs w:val="22"/>
        <w:lang w:val="en-US"/>
      </w:rPr>
      <w:t>9</w:t>
    </w:r>
    <w:r w:rsidRPr="003D4CFB">
      <w:rPr>
        <w:sz w:val="22"/>
        <w:szCs w:val="22"/>
        <w:lang w:val="en-US"/>
      </w:rPr>
      <w:t>/</w:t>
    </w:r>
    <w:r w:rsidR="00102197">
      <w:rPr>
        <w:sz w:val="22"/>
        <w:szCs w:val="22"/>
        <w:lang w:val="en-US"/>
      </w:rPr>
      <w:t>4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0F2F41">
      <w:rPr>
        <w:noProof/>
        <w:sz w:val="22"/>
        <w:szCs w:val="22"/>
        <w:lang w:val="en-US"/>
      </w:rPr>
      <w:t>4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EF4"/>
    <w:multiLevelType w:val="hybridMultilevel"/>
    <w:tmpl w:val="7578E854"/>
    <w:lvl w:ilvl="0" w:tplc="741CB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4A4A258" w:tentative="1">
      <w:start w:val="1"/>
      <w:numFmt w:val="lowerLetter"/>
      <w:lvlText w:val="%2."/>
      <w:lvlJc w:val="left"/>
      <w:pPr>
        <w:ind w:left="1080" w:hanging="360"/>
      </w:pPr>
    </w:lvl>
    <w:lvl w:ilvl="2" w:tplc="AA307176" w:tentative="1">
      <w:start w:val="1"/>
      <w:numFmt w:val="lowerRoman"/>
      <w:lvlText w:val="%3."/>
      <w:lvlJc w:val="right"/>
      <w:pPr>
        <w:ind w:left="1800" w:hanging="180"/>
      </w:pPr>
    </w:lvl>
    <w:lvl w:ilvl="3" w:tplc="5F546D86" w:tentative="1">
      <w:start w:val="1"/>
      <w:numFmt w:val="decimal"/>
      <w:lvlText w:val="%4."/>
      <w:lvlJc w:val="left"/>
      <w:pPr>
        <w:ind w:left="2520" w:hanging="360"/>
      </w:pPr>
    </w:lvl>
    <w:lvl w:ilvl="4" w:tplc="23A8458A" w:tentative="1">
      <w:start w:val="1"/>
      <w:numFmt w:val="lowerLetter"/>
      <w:lvlText w:val="%5."/>
      <w:lvlJc w:val="left"/>
      <w:pPr>
        <w:ind w:left="3240" w:hanging="360"/>
      </w:pPr>
    </w:lvl>
    <w:lvl w:ilvl="5" w:tplc="43C41012" w:tentative="1">
      <w:start w:val="1"/>
      <w:numFmt w:val="lowerRoman"/>
      <w:lvlText w:val="%6."/>
      <w:lvlJc w:val="right"/>
      <w:pPr>
        <w:ind w:left="3960" w:hanging="180"/>
      </w:pPr>
    </w:lvl>
    <w:lvl w:ilvl="6" w:tplc="03B21226" w:tentative="1">
      <w:start w:val="1"/>
      <w:numFmt w:val="decimal"/>
      <w:lvlText w:val="%7."/>
      <w:lvlJc w:val="left"/>
      <w:pPr>
        <w:ind w:left="4680" w:hanging="360"/>
      </w:pPr>
    </w:lvl>
    <w:lvl w:ilvl="7" w:tplc="C2A02DD6" w:tentative="1">
      <w:start w:val="1"/>
      <w:numFmt w:val="lowerLetter"/>
      <w:lvlText w:val="%8."/>
      <w:lvlJc w:val="left"/>
      <w:pPr>
        <w:ind w:left="5400" w:hanging="360"/>
      </w:pPr>
    </w:lvl>
    <w:lvl w:ilvl="8" w:tplc="F7CA9A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42"/>
    <w:rsid w:val="000033B9"/>
    <w:rsid w:val="000135AE"/>
    <w:rsid w:val="00033D49"/>
    <w:rsid w:val="000725A1"/>
    <w:rsid w:val="000C0AA7"/>
    <w:rsid w:val="000E7A0A"/>
    <w:rsid w:val="000F2F41"/>
    <w:rsid w:val="000F3361"/>
    <w:rsid w:val="00102197"/>
    <w:rsid w:val="00113708"/>
    <w:rsid w:val="00116502"/>
    <w:rsid w:val="00194CB2"/>
    <w:rsid w:val="001E3404"/>
    <w:rsid w:val="001F0F71"/>
    <w:rsid w:val="00213302"/>
    <w:rsid w:val="00221C14"/>
    <w:rsid w:val="00225D2E"/>
    <w:rsid w:val="00241CB9"/>
    <w:rsid w:val="002863E1"/>
    <w:rsid w:val="002A7FAB"/>
    <w:rsid w:val="002D2C72"/>
    <w:rsid w:val="002D4BE6"/>
    <w:rsid w:val="002D6772"/>
    <w:rsid w:val="002F0B9B"/>
    <w:rsid w:val="00302736"/>
    <w:rsid w:val="00305801"/>
    <w:rsid w:val="0033649F"/>
    <w:rsid w:val="00351C25"/>
    <w:rsid w:val="00360762"/>
    <w:rsid w:val="00390391"/>
    <w:rsid w:val="003D4CFB"/>
    <w:rsid w:val="00482632"/>
    <w:rsid w:val="004B7893"/>
    <w:rsid w:val="004E7861"/>
    <w:rsid w:val="00535C50"/>
    <w:rsid w:val="00547422"/>
    <w:rsid w:val="005557A3"/>
    <w:rsid w:val="005637B9"/>
    <w:rsid w:val="005643DC"/>
    <w:rsid w:val="0058663F"/>
    <w:rsid w:val="005922B4"/>
    <w:rsid w:val="00602B27"/>
    <w:rsid w:val="00606E42"/>
    <w:rsid w:val="006339E7"/>
    <w:rsid w:val="00635A62"/>
    <w:rsid w:val="006932AA"/>
    <w:rsid w:val="006E30B0"/>
    <w:rsid w:val="006E4AB3"/>
    <w:rsid w:val="006F39EB"/>
    <w:rsid w:val="0072768A"/>
    <w:rsid w:val="00742434"/>
    <w:rsid w:val="007C3061"/>
    <w:rsid w:val="007E471D"/>
    <w:rsid w:val="00820516"/>
    <w:rsid w:val="00835A77"/>
    <w:rsid w:val="0088106F"/>
    <w:rsid w:val="00897380"/>
    <w:rsid w:val="008C1852"/>
    <w:rsid w:val="008D789A"/>
    <w:rsid w:val="009123EB"/>
    <w:rsid w:val="00917B12"/>
    <w:rsid w:val="009752D2"/>
    <w:rsid w:val="00991B13"/>
    <w:rsid w:val="009952F6"/>
    <w:rsid w:val="009A219A"/>
    <w:rsid w:val="009A6FC4"/>
    <w:rsid w:val="009D1BD4"/>
    <w:rsid w:val="009F40E7"/>
    <w:rsid w:val="00A02267"/>
    <w:rsid w:val="00A33516"/>
    <w:rsid w:val="00A70360"/>
    <w:rsid w:val="00A87DD9"/>
    <w:rsid w:val="00AE1BA7"/>
    <w:rsid w:val="00AF563E"/>
    <w:rsid w:val="00B6479B"/>
    <w:rsid w:val="00BC7208"/>
    <w:rsid w:val="00BD3E53"/>
    <w:rsid w:val="00C945DB"/>
    <w:rsid w:val="00D16175"/>
    <w:rsid w:val="00D372A5"/>
    <w:rsid w:val="00D43054"/>
    <w:rsid w:val="00D64A47"/>
    <w:rsid w:val="00E17138"/>
    <w:rsid w:val="00E204A0"/>
    <w:rsid w:val="00E3519F"/>
    <w:rsid w:val="00E51C72"/>
    <w:rsid w:val="00E66B2D"/>
    <w:rsid w:val="00E827C2"/>
    <w:rsid w:val="00EB6D19"/>
    <w:rsid w:val="00ED2681"/>
    <w:rsid w:val="00F01E28"/>
    <w:rsid w:val="00F12690"/>
    <w:rsid w:val="00F837C7"/>
    <w:rsid w:val="00FA67A2"/>
    <w:rsid w:val="00FD3A29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E6CF9AAD-EB56-4F70-883F-D93300A6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unhideWhenUsed/>
    <w:qFormat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10219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102197"/>
    <w:rPr>
      <w:rFonts w:eastAsia="Times New Roman" w:cs="Times New Roman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79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79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web/pp-18/en/page/192-Document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D3D3-7C06-4377-9D63-2A561F1D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PS_TDAG19.dotx</Template>
  <TotalTime>13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Soriano, Manuel</dc:creator>
  <cp:keywords/>
  <dc:description/>
  <cp:lastModifiedBy>BDT</cp:lastModifiedBy>
  <cp:revision>4</cp:revision>
  <cp:lastPrinted>2019-01-30T13:53:00Z</cp:lastPrinted>
  <dcterms:created xsi:type="dcterms:W3CDTF">2019-01-30T13:46:00Z</dcterms:created>
  <dcterms:modified xsi:type="dcterms:W3CDTF">2019-02-06T15:26:00Z</dcterms:modified>
</cp:coreProperties>
</file>