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156BF6" w14:paraId="52AB263F" w14:textId="77777777" w:rsidTr="006D7E3A">
        <w:trPr>
          <w:cantSplit/>
          <w:trHeight w:val="1134"/>
        </w:trPr>
        <w:tc>
          <w:tcPr>
            <w:tcW w:w="7251" w:type="dxa"/>
          </w:tcPr>
          <w:p w14:paraId="488ACD67" w14:textId="77777777" w:rsidR="0021438F" w:rsidRPr="000C61E9" w:rsidRDefault="0021438F" w:rsidP="00B010DB">
            <w:pPr>
              <w:tabs>
                <w:tab w:val="left" w:pos="1871"/>
                <w:tab w:val="left" w:pos="2268"/>
              </w:tabs>
              <w:spacing w:before="20" w:after="48"/>
              <w:ind w:left="34"/>
              <w:rPr>
                <w:b/>
                <w:bCs/>
                <w:sz w:val="32"/>
                <w:szCs w:val="32"/>
              </w:rPr>
            </w:pPr>
            <w:r w:rsidRPr="000C61E9">
              <w:rPr>
                <w:b/>
                <w:sz w:val="32"/>
                <w:szCs w:val="32"/>
              </w:rPr>
              <w:t>Groupe</w:t>
            </w:r>
            <w:r w:rsidRPr="000C61E9">
              <w:rPr>
                <w:b/>
                <w:bCs/>
                <w:sz w:val="32"/>
                <w:szCs w:val="32"/>
              </w:rPr>
              <w:t xml:space="preserve"> consultatif pour le développement </w:t>
            </w:r>
            <w:r w:rsidRPr="000C61E9">
              <w:rPr>
                <w:b/>
                <w:bCs/>
                <w:sz w:val="32"/>
                <w:szCs w:val="32"/>
              </w:rPr>
              <w:br/>
              <w:t>des télécommunications (GCDT)</w:t>
            </w:r>
          </w:p>
          <w:p w14:paraId="0FF6D046" w14:textId="77777777" w:rsidR="0021438F" w:rsidRPr="00156BF6" w:rsidRDefault="00D87E6C" w:rsidP="00B010DB">
            <w:pPr>
              <w:tabs>
                <w:tab w:val="clear" w:pos="1191"/>
                <w:tab w:val="clear" w:pos="1588"/>
                <w:tab w:val="clear" w:pos="1985"/>
              </w:tabs>
              <w:spacing w:before="100" w:after="120"/>
              <w:ind w:left="34"/>
              <w:rPr>
                <w:rFonts w:ascii="Verdana" w:hAnsi="Verdana"/>
                <w:sz w:val="28"/>
                <w:szCs w:val="28"/>
              </w:rPr>
            </w:pPr>
            <w:r w:rsidRPr="006231B0">
              <w:rPr>
                <w:b/>
                <w:bCs/>
                <w:sz w:val="26"/>
                <w:szCs w:val="26"/>
                <w:lang w:val="fr-FR"/>
              </w:rPr>
              <w:t>2</w:t>
            </w:r>
            <w:r>
              <w:rPr>
                <w:b/>
                <w:bCs/>
                <w:sz w:val="26"/>
                <w:szCs w:val="26"/>
                <w:lang w:val="fr-FR"/>
              </w:rPr>
              <w:t>4</w:t>
            </w:r>
            <w:r w:rsidRPr="006231B0">
              <w:rPr>
                <w:b/>
                <w:bCs/>
                <w:sz w:val="26"/>
                <w:szCs w:val="26"/>
                <w:lang w:val="fr-FR"/>
              </w:rPr>
              <w:t xml:space="preserve">ème réunion, Genève, </w:t>
            </w:r>
            <w:r>
              <w:rPr>
                <w:b/>
                <w:bCs/>
                <w:sz w:val="26"/>
                <w:szCs w:val="26"/>
                <w:lang w:val="fr-FR"/>
              </w:rPr>
              <w:t>3</w:t>
            </w:r>
            <w:r w:rsidRPr="006231B0">
              <w:rPr>
                <w:b/>
                <w:bCs/>
                <w:sz w:val="26"/>
                <w:szCs w:val="26"/>
                <w:lang w:val="fr-FR"/>
              </w:rPr>
              <w:t>-</w:t>
            </w:r>
            <w:r>
              <w:rPr>
                <w:b/>
                <w:bCs/>
                <w:sz w:val="26"/>
                <w:szCs w:val="26"/>
                <w:lang w:val="fr-FR"/>
              </w:rPr>
              <w:t>5</w:t>
            </w:r>
            <w:r w:rsidRPr="006231B0">
              <w:rPr>
                <w:b/>
                <w:bCs/>
                <w:sz w:val="26"/>
                <w:szCs w:val="26"/>
                <w:lang w:val="fr-FR"/>
              </w:rPr>
              <w:t xml:space="preserve"> </w:t>
            </w:r>
            <w:r>
              <w:rPr>
                <w:b/>
                <w:bCs/>
                <w:sz w:val="26"/>
                <w:szCs w:val="26"/>
                <w:lang w:val="fr-FR"/>
              </w:rPr>
              <w:t>avril</w:t>
            </w:r>
            <w:r w:rsidRPr="006231B0">
              <w:rPr>
                <w:b/>
                <w:bCs/>
                <w:sz w:val="26"/>
                <w:szCs w:val="26"/>
                <w:lang w:val="fr-FR"/>
              </w:rPr>
              <w:t xml:space="preserve"> 201</w:t>
            </w:r>
            <w:r>
              <w:rPr>
                <w:b/>
                <w:bCs/>
                <w:sz w:val="26"/>
                <w:szCs w:val="26"/>
                <w:lang w:val="fr-FR"/>
              </w:rPr>
              <w:t>9</w:t>
            </w:r>
          </w:p>
        </w:tc>
        <w:tc>
          <w:tcPr>
            <w:tcW w:w="2996" w:type="dxa"/>
          </w:tcPr>
          <w:p w14:paraId="0AA0B778" w14:textId="77777777" w:rsidR="0021438F" w:rsidRPr="00156BF6" w:rsidRDefault="00D87E6C" w:rsidP="00B010DB">
            <w:pPr>
              <w:spacing w:before="0"/>
              <w:ind w:right="142"/>
              <w:jc w:val="right"/>
            </w:pPr>
            <w:r w:rsidRPr="008E52B1">
              <w:rPr>
                <w:noProof/>
                <w:color w:val="3399FF"/>
                <w:lang w:eastAsia="zh-CN"/>
              </w:rPr>
              <w:drawing>
                <wp:inline distT="0" distB="0" distL="0" distR="0" wp14:anchorId="425735CA" wp14:editId="26B770C8">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156BF6" w14:paraId="0905239D" w14:textId="77777777" w:rsidTr="000C61E9">
        <w:trPr>
          <w:cantSplit/>
        </w:trPr>
        <w:tc>
          <w:tcPr>
            <w:tcW w:w="7251" w:type="dxa"/>
            <w:tcBorders>
              <w:top w:val="single" w:sz="12" w:space="0" w:color="auto"/>
            </w:tcBorders>
          </w:tcPr>
          <w:p w14:paraId="0AE72CCF" w14:textId="77777777" w:rsidR="00683C32" w:rsidRPr="00156BF6" w:rsidRDefault="00683C32" w:rsidP="00B010DB">
            <w:pPr>
              <w:spacing w:before="0"/>
              <w:rPr>
                <w:rFonts w:cs="Arial"/>
                <w:b/>
                <w:bCs/>
                <w:sz w:val="20"/>
              </w:rPr>
            </w:pPr>
          </w:p>
        </w:tc>
        <w:tc>
          <w:tcPr>
            <w:tcW w:w="2996" w:type="dxa"/>
            <w:tcBorders>
              <w:top w:val="single" w:sz="12" w:space="0" w:color="auto"/>
            </w:tcBorders>
          </w:tcPr>
          <w:p w14:paraId="61AEC695" w14:textId="77777777" w:rsidR="00683C32" w:rsidRPr="00156BF6" w:rsidRDefault="00683C32" w:rsidP="00B010DB">
            <w:pPr>
              <w:spacing w:before="0"/>
              <w:rPr>
                <w:b/>
                <w:bCs/>
                <w:sz w:val="20"/>
              </w:rPr>
            </w:pPr>
          </w:p>
        </w:tc>
      </w:tr>
      <w:tr w:rsidR="00683C32" w:rsidRPr="00156BF6" w14:paraId="7EF07C1F" w14:textId="77777777" w:rsidTr="000C61E9">
        <w:trPr>
          <w:cantSplit/>
        </w:trPr>
        <w:tc>
          <w:tcPr>
            <w:tcW w:w="7251" w:type="dxa"/>
          </w:tcPr>
          <w:p w14:paraId="2533FD94" w14:textId="77777777" w:rsidR="00683C32" w:rsidRPr="00156BF6" w:rsidRDefault="00683C32" w:rsidP="00B010DB">
            <w:pPr>
              <w:pStyle w:val="Committee"/>
              <w:spacing w:before="0"/>
              <w:rPr>
                <w:b w:val="0"/>
                <w:szCs w:val="24"/>
              </w:rPr>
            </w:pPr>
          </w:p>
        </w:tc>
        <w:tc>
          <w:tcPr>
            <w:tcW w:w="2996" w:type="dxa"/>
          </w:tcPr>
          <w:p w14:paraId="5693CB70" w14:textId="77777777" w:rsidR="00683C32" w:rsidRPr="00156BF6" w:rsidRDefault="00323587" w:rsidP="00B010DB">
            <w:pPr>
              <w:spacing w:before="0"/>
              <w:rPr>
                <w:bCs/>
                <w:szCs w:val="24"/>
              </w:rPr>
            </w:pPr>
            <w:r w:rsidRPr="008F5D48">
              <w:rPr>
                <w:b/>
                <w:bCs/>
                <w:szCs w:val="28"/>
              </w:rPr>
              <w:t xml:space="preserve">Document </w:t>
            </w:r>
            <w:bookmarkStart w:id="0" w:name="DocRef1"/>
            <w:bookmarkEnd w:id="0"/>
            <w:r w:rsidRPr="008F5D48">
              <w:rPr>
                <w:b/>
                <w:bCs/>
                <w:szCs w:val="28"/>
              </w:rPr>
              <w:t>TDAG</w:t>
            </w:r>
            <w:r w:rsidR="008F20EB">
              <w:rPr>
                <w:b/>
                <w:bCs/>
                <w:szCs w:val="28"/>
              </w:rPr>
              <w:t>-</w:t>
            </w:r>
            <w:r w:rsidRPr="008F5D48">
              <w:rPr>
                <w:b/>
                <w:bCs/>
                <w:szCs w:val="28"/>
              </w:rPr>
              <w:t>1</w:t>
            </w:r>
            <w:r w:rsidR="00D87E6C">
              <w:rPr>
                <w:b/>
                <w:bCs/>
                <w:szCs w:val="28"/>
              </w:rPr>
              <w:t>9</w:t>
            </w:r>
            <w:r w:rsidRPr="008F5D48">
              <w:rPr>
                <w:b/>
                <w:bCs/>
                <w:szCs w:val="28"/>
              </w:rPr>
              <w:t>/</w:t>
            </w:r>
            <w:bookmarkStart w:id="1" w:name="DocNo1"/>
            <w:bookmarkEnd w:id="1"/>
            <w:r w:rsidR="000D2DFE">
              <w:rPr>
                <w:b/>
                <w:bCs/>
                <w:szCs w:val="28"/>
              </w:rPr>
              <w:t>4</w:t>
            </w:r>
            <w:r w:rsidRPr="008F5D48">
              <w:rPr>
                <w:b/>
                <w:bCs/>
                <w:szCs w:val="28"/>
              </w:rPr>
              <w:t>-F</w:t>
            </w:r>
          </w:p>
        </w:tc>
      </w:tr>
      <w:tr w:rsidR="00683C32" w:rsidRPr="00156BF6" w14:paraId="662BB32A" w14:textId="77777777" w:rsidTr="000C61E9">
        <w:trPr>
          <w:cantSplit/>
        </w:trPr>
        <w:tc>
          <w:tcPr>
            <w:tcW w:w="7251" w:type="dxa"/>
          </w:tcPr>
          <w:p w14:paraId="6AD6BBCD" w14:textId="77777777" w:rsidR="00683C32" w:rsidRPr="00156BF6" w:rsidRDefault="00683C32" w:rsidP="00B010DB">
            <w:pPr>
              <w:spacing w:before="0"/>
              <w:rPr>
                <w:b/>
                <w:bCs/>
                <w:smallCaps/>
                <w:szCs w:val="24"/>
              </w:rPr>
            </w:pPr>
          </w:p>
        </w:tc>
        <w:tc>
          <w:tcPr>
            <w:tcW w:w="2996" w:type="dxa"/>
          </w:tcPr>
          <w:p w14:paraId="4AEFA221" w14:textId="77777777" w:rsidR="00683C32" w:rsidRPr="00156BF6" w:rsidRDefault="00D95A9F" w:rsidP="00B010DB">
            <w:pPr>
              <w:spacing w:before="0"/>
              <w:rPr>
                <w:b/>
                <w:szCs w:val="24"/>
              </w:rPr>
            </w:pPr>
            <w:bookmarkStart w:id="2" w:name="CreationDate"/>
            <w:bookmarkEnd w:id="2"/>
            <w:r>
              <w:rPr>
                <w:b/>
                <w:bCs/>
                <w:szCs w:val="28"/>
              </w:rPr>
              <w:t>22 janvier</w:t>
            </w:r>
            <w:r w:rsidR="00323587" w:rsidRPr="008F5D48">
              <w:rPr>
                <w:b/>
                <w:bCs/>
                <w:szCs w:val="28"/>
              </w:rPr>
              <w:t xml:space="preserve"> 201</w:t>
            </w:r>
            <w:r w:rsidR="00D87E6C">
              <w:rPr>
                <w:b/>
                <w:bCs/>
                <w:szCs w:val="28"/>
              </w:rPr>
              <w:t>9</w:t>
            </w:r>
          </w:p>
        </w:tc>
      </w:tr>
      <w:tr w:rsidR="00683C32" w:rsidRPr="00156BF6" w14:paraId="5760DCD5" w14:textId="77777777" w:rsidTr="000C61E9">
        <w:trPr>
          <w:cantSplit/>
        </w:trPr>
        <w:tc>
          <w:tcPr>
            <w:tcW w:w="7251" w:type="dxa"/>
          </w:tcPr>
          <w:p w14:paraId="358530AB" w14:textId="77777777" w:rsidR="00683C32" w:rsidRPr="00156BF6" w:rsidRDefault="00683C32" w:rsidP="00B010DB">
            <w:pPr>
              <w:spacing w:before="0"/>
              <w:rPr>
                <w:b/>
                <w:bCs/>
                <w:smallCaps/>
                <w:szCs w:val="24"/>
              </w:rPr>
            </w:pPr>
          </w:p>
        </w:tc>
        <w:tc>
          <w:tcPr>
            <w:tcW w:w="2996" w:type="dxa"/>
          </w:tcPr>
          <w:p w14:paraId="51A8E4DD" w14:textId="77777777" w:rsidR="00514D2F" w:rsidRPr="00156BF6" w:rsidRDefault="00323587" w:rsidP="00B010DB">
            <w:pPr>
              <w:spacing w:before="0"/>
              <w:rPr>
                <w:szCs w:val="24"/>
              </w:rPr>
            </w:pPr>
            <w:r w:rsidRPr="008F5D48">
              <w:rPr>
                <w:b/>
                <w:szCs w:val="28"/>
              </w:rPr>
              <w:t>Original:</w:t>
            </w:r>
            <w:bookmarkStart w:id="3" w:name="Original"/>
            <w:bookmarkEnd w:id="3"/>
            <w:r w:rsidR="00D95A9F">
              <w:rPr>
                <w:b/>
                <w:szCs w:val="28"/>
              </w:rPr>
              <w:t xml:space="preserve"> </w:t>
            </w:r>
            <w:r w:rsidR="000D2DFE">
              <w:rPr>
                <w:b/>
                <w:szCs w:val="28"/>
              </w:rPr>
              <w:t>anglais</w:t>
            </w:r>
          </w:p>
        </w:tc>
      </w:tr>
      <w:tr w:rsidR="00A13162" w:rsidRPr="00156BF6" w14:paraId="62BEAF9D" w14:textId="77777777" w:rsidTr="000C61E9">
        <w:trPr>
          <w:cantSplit/>
          <w:trHeight w:val="852"/>
        </w:trPr>
        <w:tc>
          <w:tcPr>
            <w:tcW w:w="10247" w:type="dxa"/>
            <w:gridSpan w:val="2"/>
          </w:tcPr>
          <w:p w14:paraId="3A04BC75" w14:textId="64A58469" w:rsidR="00A13162" w:rsidRPr="00156BF6" w:rsidRDefault="00B010DB" w:rsidP="00B010DB">
            <w:pPr>
              <w:pStyle w:val="Source"/>
            </w:pPr>
            <w:bookmarkStart w:id="4" w:name="Source"/>
            <w:bookmarkEnd w:id="4"/>
            <w:r>
              <w:rPr>
                <w:szCs w:val="28"/>
                <w:lang w:val="fr-FR"/>
              </w:rPr>
              <w:t>Directrice</w:t>
            </w:r>
            <w:r w:rsidR="002F110C" w:rsidRPr="0098490B">
              <w:rPr>
                <w:szCs w:val="28"/>
                <w:lang w:val="fr-FR"/>
              </w:rPr>
              <w:t xml:space="preserve"> du Bureau de développement des télécommunications</w:t>
            </w:r>
          </w:p>
        </w:tc>
      </w:tr>
      <w:tr w:rsidR="00AC6F14" w:rsidRPr="00E51041" w14:paraId="4297701C" w14:textId="77777777" w:rsidTr="000C61E9">
        <w:trPr>
          <w:cantSplit/>
        </w:trPr>
        <w:tc>
          <w:tcPr>
            <w:tcW w:w="10247" w:type="dxa"/>
            <w:gridSpan w:val="2"/>
          </w:tcPr>
          <w:p w14:paraId="48641571" w14:textId="3519A152" w:rsidR="00AC6F14" w:rsidRPr="004A209A" w:rsidRDefault="00E51041" w:rsidP="00B010DB">
            <w:pPr>
              <w:pStyle w:val="Title1"/>
              <w:rPr>
                <w:rFonts w:cs="Times New Roman"/>
                <w:bCs/>
                <w:caps/>
              </w:rPr>
            </w:pPr>
            <w:bookmarkStart w:id="5" w:name="Title"/>
            <w:bookmarkStart w:id="6" w:name="lt_pId018"/>
            <w:bookmarkEnd w:id="5"/>
            <w:r w:rsidRPr="004A209A">
              <w:rPr>
                <w:rFonts w:cs="Times New Roman"/>
                <w:bCs/>
                <w:caps/>
                <w:color w:val="000000"/>
              </w:rPr>
              <w:t>résultats de la 20</w:t>
            </w:r>
            <w:r w:rsidR="00072A9A" w:rsidRPr="004A209A">
              <w:rPr>
                <w:rFonts w:cs="Times New Roman"/>
                <w:bCs/>
                <w:color w:val="000000"/>
              </w:rPr>
              <w:t>ème</w:t>
            </w:r>
            <w:r w:rsidRPr="004A209A">
              <w:rPr>
                <w:rFonts w:cs="Times New Roman"/>
                <w:bCs/>
                <w:caps/>
                <w:color w:val="000000"/>
              </w:rPr>
              <w:t xml:space="preserve"> Conférence de plénipotentiaires </w:t>
            </w:r>
            <w:r w:rsidR="004A209A">
              <w:rPr>
                <w:rFonts w:cs="Times New Roman"/>
                <w:bCs/>
                <w:caps/>
                <w:color w:val="000000"/>
              </w:rPr>
              <w:t>de l'UIT</w:t>
            </w:r>
            <w:r w:rsidRPr="004A209A">
              <w:rPr>
                <w:rFonts w:cs="Times New Roman"/>
                <w:bCs/>
                <w:caps/>
                <w:color w:val="000000"/>
              </w:rPr>
              <w:t xml:space="preserve"> tenue en 2018</w:t>
            </w:r>
            <w:r w:rsidR="004A209A" w:rsidRPr="004A209A">
              <w:rPr>
                <w:rFonts w:cs="Times New Roman"/>
                <w:bCs/>
                <w:caps/>
                <w:color w:val="000000"/>
              </w:rPr>
              <w:t xml:space="preserve"> </w:t>
            </w:r>
            <w:r w:rsidR="008C4442">
              <w:rPr>
                <w:rFonts w:cs="Times New Roman"/>
                <w:bCs/>
                <w:caps/>
                <w:color w:val="000000"/>
              </w:rPr>
              <w:t>ayant des</w:t>
            </w:r>
            <w:r w:rsidR="004A209A" w:rsidRPr="004A209A">
              <w:rPr>
                <w:rFonts w:cs="Times New Roman"/>
                <w:bCs/>
                <w:caps/>
                <w:color w:val="000000"/>
              </w:rPr>
              <w:t xml:space="preserve"> </w:t>
            </w:r>
            <w:r w:rsidRPr="004A209A">
              <w:rPr>
                <w:rFonts w:cs="Times New Roman"/>
                <w:bCs/>
                <w:caps/>
                <w:color w:val="000000"/>
              </w:rPr>
              <w:t>répercussions sur les travaux de l'UIT-D</w:t>
            </w:r>
            <w:bookmarkEnd w:id="6"/>
          </w:p>
        </w:tc>
      </w:tr>
      <w:tr w:rsidR="00A721F4" w:rsidRPr="00E51041" w14:paraId="1DD459D1" w14:textId="77777777" w:rsidTr="000C61E9">
        <w:trPr>
          <w:cantSplit/>
        </w:trPr>
        <w:tc>
          <w:tcPr>
            <w:tcW w:w="10247" w:type="dxa"/>
            <w:gridSpan w:val="2"/>
            <w:tcBorders>
              <w:bottom w:val="single" w:sz="4" w:space="0" w:color="auto"/>
            </w:tcBorders>
          </w:tcPr>
          <w:p w14:paraId="46B4B6C4" w14:textId="77777777" w:rsidR="00A721F4" w:rsidRPr="00E51041" w:rsidRDefault="00A721F4" w:rsidP="00B010DB"/>
        </w:tc>
      </w:tr>
      <w:tr w:rsidR="00A721F4" w:rsidRPr="00156BF6" w14:paraId="023D6335" w14:textId="77777777"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14:paraId="76866DE1" w14:textId="77777777" w:rsidR="000D2DFE" w:rsidRPr="00156BF6" w:rsidRDefault="000D2DFE" w:rsidP="00B010DB">
            <w:pPr>
              <w:spacing w:before="240"/>
              <w:rPr>
                <w:b/>
                <w:bCs/>
                <w:szCs w:val="24"/>
              </w:rPr>
            </w:pPr>
            <w:r w:rsidRPr="00156BF6">
              <w:rPr>
                <w:b/>
                <w:bCs/>
                <w:szCs w:val="24"/>
              </w:rPr>
              <w:t>Résumé:</w:t>
            </w:r>
          </w:p>
          <w:p w14:paraId="1E325178" w14:textId="1F31ABAE" w:rsidR="000D2DFE" w:rsidRPr="005809A7" w:rsidRDefault="000D2DFE" w:rsidP="00B010DB">
            <w:r w:rsidRPr="005809A7">
              <w:t>Le présent</w:t>
            </w:r>
            <w:r>
              <w:t xml:space="preserve"> document</w:t>
            </w:r>
            <w:r w:rsidRPr="005809A7">
              <w:t xml:space="preserve"> </w:t>
            </w:r>
            <w:r>
              <w:rPr>
                <w:color w:val="000000"/>
              </w:rPr>
              <w:t>donne un bref aperçu des principaux résultats de la 20ème Conférence</w:t>
            </w:r>
            <w:r w:rsidR="008C4442">
              <w:rPr>
                <w:color w:val="000000"/>
              </w:rPr>
              <w:t xml:space="preserve"> de plénipotentiaires de l'UIT tenue en 2018 ayant des </w:t>
            </w:r>
            <w:r>
              <w:rPr>
                <w:color w:val="000000"/>
              </w:rPr>
              <w:t>répercussions sur les travaux de l'UIT-D.</w:t>
            </w:r>
          </w:p>
          <w:p w14:paraId="0B6C1E79" w14:textId="77777777" w:rsidR="000D2DFE" w:rsidRPr="00156BF6" w:rsidRDefault="000D2DFE" w:rsidP="00B010DB">
            <w:pPr>
              <w:rPr>
                <w:b/>
                <w:bCs/>
                <w:szCs w:val="24"/>
              </w:rPr>
            </w:pPr>
            <w:r w:rsidRPr="00156BF6">
              <w:rPr>
                <w:b/>
                <w:bCs/>
                <w:szCs w:val="24"/>
              </w:rPr>
              <w:t>Suite à donner:</w:t>
            </w:r>
          </w:p>
          <w:p w14:paraId="4DD9AC12" w14:textId="77777777" w:rsidR="000D2DFE" w:rsidRPr="00156BF6" w:rsidRDefault="000D2DFE" w:rsidP="00B010DB">
            <w:pPr>
              <w:rPr>
                <w:szCs w:val="24"/>
              </w:rPr>
            </w:pPr>
            <w:r w:rsidRPr="00BF11F1">
              <w:rPr>
                <w:rFonts w:cs="Calibri"/>
                <w:szCs w:val="24"/>
                <w:lang w:val="fr-FR"/>
              </w:rPr>
              <w:t>Le GCDT est invité à prendre note du présent</w:t>
            </w:r>
            <w:r>
              <w:rPr>
                <w:rFonts w:cs="Calibri"/>
                <w:szCs w:val="24"/>
                <w:lang w:val="fr-FR"/>
              </w:rPr>
              <w:t xml:space="preserve"> document </w:t>
            </w:r>
            <w:r w:rsidRPr="00BF11F1">
              <w:rPr>
                <w:rFonts w:cs="Calibri"/>
                <w:szCs w:val="24"/>
                <w:lang w:val="fr-FR"/>
              </w:rPr>
              <w:t>et à fournir</w:t>
            </w:r>
            <w:r>
              <w:rPr>
                <w:rFonts w:cs="Calibri"/>
                <w:szCs w:val="24"/>
                <w:lang w:val="fr-FR"/>
              </w:rPr>
              <w:t xml:space="preserve"> </w:t>
            </w:r>
            <w:r w:rsidRPr="00BF11F1">
              <w:rPr>
                <w:rFonts w:cs="Calibri"/>
                <w:szCs w:val="24"/>
                <w:lang w:val="fr-FR"/>
              </w:rPr>
              <w:t xml:space="preserve">les </w:t>
            </w:r>
            <w:r>
              <w:rPr>
                <w:rFonts w:cs="Calibri"/>
                <w:szCs w:val="24"/>
                <w:lang w:val="fr-FR"/>
              </w:rPr>
              <w:t>orientations</w:t>
            </w:r>
            <w:r w:rsidRPr="00BF11F1">
              <w:rPr>
                <w:rFonts w:cs="Calibri"/>
                <w:szCs w:val="24"/>
                <w:lang w:val="fr-FR"/>
              </w:rPr>
              <w:t xml:space="preserve"> qu</w:t>
            </w:r>
            <w:r>
              <w:rPr>
                <w:rFonts w:cs="Calibri"/>
                <w:szCs w:val="24"/>
                <w:lang w:val="fr-FR"/>
              </w:rPr>
              <w:t>'</w:t>
            </w:r>
            <w:r w:rsidRPr="00BF11F1">
              <w:rPr>
                <w:rFonts w:cs="Calibri"/>
                <w:szCs w:val="24"/>
                <w:lang w:val="fr-FR"/>
              </w:rPr>
              <w:t>il jugera utiles.</w:t>
            </w:r>
          </w:p>
          <w:p w14:paraId="32AB1D82" w14:textId="77777777" w:rsidR="000D2DFE" w:rsidRPr="00156BF6" w:rsidRDefault="000D2DFE" w:rsidP="00B010DB">
            <w:pPr>
              <w:rPr>
                <w:b/>
                <w:bCs/>
                <w:szCs w:val="24"/>
              </w:rPr>
            </w:pPr>
            <w:r w:rsidRPr="00156BF6">
              <w:rPr>
                <w:b/>
                <w:bCs/>
                <w:szCs w:val="24"/>
              </w:rPr>
              <w:t>Références:</w:t>
            </w:r>
          </w:p>
          <w:p w14:paraId="6997DE70" w14:textId="77777777" w:rsidR="00A721F4" w:rsidRPr="00156BF6" w:rsidRDefault="00052363" w:rsidP="00072A9A">
            <w:pPr>
              <w:spacing w:after="120"/>
            </w:pPr>
            <w:hyperlink r:id="rId9" w:history="1">
              <w:r w:rsidR="000D2DFE">
                <w:rPr>
                  <w:rStyle w:val="Hyperlink"/>
                </w:rPr>
                <w:t>Actes finals de la Confé</w:t>
              </w:r>
              <w:r w:rsidR="000D2DFE">
                <w:rPr>
                  <w:rStyle w:val="Hyperlink"/>
                </w:rPr>
                <w:t>r</w:t>
              </w:r>
              <w:r w:rsidR="000D2DFE">
                <w:rPr>
                  <w:rStyle w:val="Hyperlink"/>
                </w:rPr>
                <w:t>ence de plénipotentiaires (Dubaï, 2018)</w:t>
              </w:r>
            </w:hyperlink>
          </w:p>
        </w:tc>
      </w:tr>
    </w:tbl>
    <w:p w14:paraId="081386AE" w14:textId="77777777" w:rsidR="00D95A9F" w:rsidRDefault="00D95A9F" w:rsidP="00B010DB">
      <w:pPr>
        <w:tabs>
          <w:tab w:val="clear" w:pos="794"/>
          <w:tab w:val="clear" w:pos="1191"/>
          <w:tab w:val="clear" w:pos="1588"/>
          <w:tab w:val="clear" w:pos="1985"/>
        </w:tabs>
        <w:spacing w:after="120"/>
        <w:jc w:val="center"/>
      </w:pPr>
      <w:bookmarkStart w:id="7" w:name="Proposal"/>
      <w:bookmarkEnd w:id="7"/>
      <w:r>
        <w:br w:type="page"/>
      </w:r>
    </w:p>
    <w:p w14:paraId="70226AF2" w14:textId="6D367E60" w:rsidR="00085109" w:rsidRDefault="00085109" w:rsidP="00B010DB">
      <w:r w:rsidRPr="006E6A25">
        <w:lastRenderedPageBreak/>
        <w:t>La 20ème C</w:t>
      </w:r>
      <w:r>
        <w:t xml:space="preserve">onférence de plénipotentiaires de l'UIT </w:t>
      </w:r>
      <w:r w:rsidRPr="006E6A25">
        <w:rPr>
          <w:bCs/>
        </w:rPr>
        <w:t>s'est te</w:t>
      </w:r>
      <w:r w:rsidR="00072A9A">
        <w:rPr>
          <w:bCs/>
        </w:rPr>
        <w:t>nue à Dubaï du 29 octobre au </w:t>
      </w:r>
      <w:r w:rsidR="00B010DB">
        <w:rPr>
          <w:bCs/>
        </w:rPr>
        <w:t>16 </w:t>
      </w:r>
      <w:r w:rsidRPr="006E6A25">
        <w:rPr>
          <w:bCs/>
        </w:rPr>
        <w:t>novembre 2018</w:t>
      </w:r>
      <w:r w:rsidRPr="006E6A25">
        <w:t xml:space="preserve">. Accueillie par les Emirats arabes unis, </w:t>
      </w:r>
      <w:r>
        <w:t>elle</w:t>
      </w:r>
      <w:r w:rsidR="00072A9A">
        <w:rPr>
          <w:bCs/>
        </w:rPr>
        <w:t xml:space="preserve"> a rassemblé plus de </w:t>
      </w:r>
      <w:r w:rsidRPr="006E6A25">
        <w:rPr>
          <w:bCs/>
        </w:rPr>
        <w:t>2</w:t>
      </w:r>
      <w:r>
        <w:rPr>
          <w:bCs/>
        </w:rPr>
        <w:t> </w:t>
      </w:r>
      <w:r w:rsidRPr="006E6A25">
        <w:rPr>
          <w:bCs/>
        </w:rPr>
        <w:t>300</w:t>
      </w:r>
      <w:r>
        <w:rPr>
          <w:bCs/>
        </w:rPr>
        <w:t> </w:t>
      </w:r>
      <w:r w:rsidRPr="006E6A25">
        <w:rPr>
          <w:bCs/>
        </w:rPr>
        <w:t xml:space="preserve">participants de </w:t>
      </w:r>
      <w:r w:rsidRPr="006E6A25">
        <w:t>180</w:t>
      </w:r>
      <w:r>
        <w:t> </w:t>
      </w:r>
      <w:r w:rsidRPr="006E6A25">
        <w:t>pays, soit davantage qu'en 2014 (171</w:t>
      </w:r>
      <w:r>
        <w:t> </w:t>
      </w:r>
      <w:r w:rsidRPr="006E6A25">
        <w:t xml:space="preserve">pays). </w:t>
      </w:r>
    </w:p>
    <w:p w14:paraId="736DBD6A" w14:textId="038FC91F" w:rsidR="00085109" w:rsidRPr="00A47F3A" w:rsidRDefault="00A47F3A" w:rsidP="00B010DB">
      <w:pPr>
        <w:rPr>
          <w:bCs/>
          <w:szCs w:val="24"/>
          <w:lang w:val="fr-FR"/>
        </w:rPr>
      </w:pPr>
      <w:r w:rsidRPr="00EA26AF">
        <w:rPr>
          <w:bCs/>
          <w:szCs w:val="24"/>
          <w:lang w:val="fr-FR"/>
        </w:rPr>
        <w:t xml:space="preserve">Les Etats Membres </w:t>
      </w:r>
      <w:r>
        <w:rPr>
          <w:bCs/>
          <w:szCs w:val="24"/>
          <w:lang w:val="fr-FR"/>
        </w:rPr>
        <w:t>ont signé les Actes finals et ont réaffirmé</w:t>
      </w:r>
      <w:r w:rsidR="00B010DB">
        <w:rPr>
          <w:bCs/>
          <w:szCs w:val="24"/>
          <w:lang w:val="fr-FR"/>
        </w:rPr>
        <w:t xml:space="preserve"> leur engagement</w:t>
      </w:r>
      <w:r w:rsidR="00607AE8" w:rsidRPr="00A47F3A">
        <w:rPr>
          <w:bCs/>
          <w:szCs w:val="24"/>
          <w:lang w:val="fr-FR"/>
        </w:rPr>
        <w:t xml:space="preserve"> à l'égard d'une vision commune d'un monde connecté où les technologies de l'information et de la communication (TIC) sont au service du bien</w:t>
      </w:r>
      <w:r>
        <w:rPr>
          <w:bCs/>
          <w:szCs w:val="24"/>
          <w:lang w:val="fr-FR"/>
        </w:rPr>
        <w:t xml:space="preserve"> de tous, partout dans le monde.</w:t>
      </w:r>
    </w:p>
    <w:p w14:paraId="540871A2" w14:textId="35EA3197" w:rsidR="005E2251" w:rsidRDefault="00D11BC6" w:rsidP="00B010DB">
      <w:pPr>
        <w:rPr>
          <w:bCs/>
          <w:szCs w:val="24"/>
          <w:lang w:val="fr-FR"/>
        </w:rPr>
      </w:pPr>
      <w:r>
        <w:rPr>
          <w:bCs/>
          <w:szCs w:val="24"/>
          <w:lang w:val="fr-FR"/>
        </w:rPr>
        <w:t>Ils</w:t>
      </w:r>
      <w:r w:rsidR="005E2251" w:rsidRPr="00EA26AF">
        <w:rPr>
          <w:bCs/>
          <w:szCs w:val="24"/>
          <w:lang w:val="fr-FR"/>
        </w:rPr>
        <w:t xml:space="preserve"> ont</w:t>
      </w:r>
      <w:r w:rsidR="00EA26AF" w:rsidRPr="00EA26AF">
        <w:rPr>
          <w:bCs/>
          <w:szCs w:val="24"/>
          <w:lang w:val="fr-FR"/>
        </w:rPr>
        <w:t xml:space="preserve"> </w:t>
      </w:r>
      <w:r w:rsidR="005E2251" w:rsidRPr="00EA26AF">
        <w:rPr>
          <w:bCs/>
          <w:szCs w:val="24"/>
          <w:lang w:val="fr-FR"/>
        </w:rPr>
        <w:t xml:space="preserve">approuvé un plan stratégique et un plan financier pour une période de quatre </w:t>
      </w:r>
      <w:r w:rsidR="004038B5">
        <w:rPr>
          <w:bCs/>
          <w:szCs w:val="24"/>
          <w:lang w:val="fr-FR"/>
        </w:rPr>
        <w:t>ans</w:t>
      </w:r>
      <w:r w:rsidR="00DD5A6D">
        <w:rPr>
          <w:bCs/>
          <w:szCs w:val="24"/>
          <w:lang w:val="fr-FR"/>
        </w:rPr>
        <w:t>, ainsi que</w:t>
      </w:r>
      <w:r w:rsidR="004038B5">
        <w:rPr>
          <w:bCs/>
          <w:szCs w:val="24"/>
          <w:lang w:val="fr-FR"/>
        </w:rPr>
        <w:t xml:space="preserve"> plusieurs </w:t>
      </w:r>
      <w:r w:rsidR="000F342F">
        <w:rPr>
          <w:bCs/>
          <w:szCs w:val="24"/>
          <w:lang w:val="fr-FR"/>
        </w:rPr>
        <w:t>r</w:t>
      </w:r>
      <w:r w:rsidR="00D278F9">
        <w:rPr>
          <w:bCs/>
          <w:szCs w:val="24"/>
          <w:lang w:val="fr-FR"/>
        </w:rPr>
        <w:t xml:space="preserve">ésolutions, </w:t>
      </w:r>
      <w:r w:rsidR="000F342F">
        <w:rPr>
          <w:bCs/>
          <w:szCs w:val="24"/>
          <w:lang w:val="fr-FR"/>
        </w:rPr>
        <w:t>d</w:t>
      </w:r>
      <w:r w:rsidR="00D278F9">
        <w:rPr>
          <w:bCs/>
          <w:szCs w:val="24"/>
          <w:lang w:val="fr-FR"/>
        </w:rPr>
        <w:t xml:space="preserve">écisions et </w:t>
      </w:r>
      <w:r w:rsidR="000F342F">
        <w:rPr>
          <w:bCs/>
          <w:szCs w:val="24"/>
          <w:lang w:val="fr-FR"/>
        </w:rPr>
        <w:t>r</w:t>
      </w:r>
      <w:r w:rsidR="00D278F9">
        <w:rPr>
          <w:bCs/>
          <w:szCs w:val="24"/>
          <w:lang w:val="fr-FR"/>
        </w:rPr>
        <w:t xml:space="preserve">ecommandations nouvelles ou modifiées qui fournissent </w:t>
      </w:r>
      <w:r w:rsidR="005E2251" w:rsidRPr="00EA26AF">
        <w:rPr>
          <w:bCs/>
          <w:szCs w:val="24"/>
          <w:lang w:val="fr-FR"/>
        </w:rPr>
        <w:t xml:space="preserve">des lignes directrices à l'Union pour tirer parti des nouvelles technologies </w:t>
      </w:r>
      <w:r w:rsidR="00DD5A6D">
        <w:rPr>
          <w:bCs/>
          <w:szCs w:val="24"/>
          <w:lang w:val="fr-FR"/>
        </w:rPr>
        <w:t>pour le bien de l'humanité.</w:t>
      </w:r>
    </w:p>
    <w:p w14:paraId="62FC43DE" w14:textId="4C5C2B09" w:rsidR="00DD5A6D" w:rsidRDefault="009B077E" w:rsidP="00B010DB">
      <w:pPr>
        <w:rPr>
          <w:bCs/>
          <w:szCs w:val="24"/>
          <w:lang w:val="fr-FR"/>
        </w:rPr>
      </w:pPr>
      <w:r>
        <w:rPr>
          <w:bCs/>
          <w:szCs w:val="24"/>
          <w:lang w:val="fr-FR"/>
        </w:rPr>
        <w:t>La liste ci-</w:t>
      </w:r>
      <w:r w:rsidR="00D93E25">
        <w:rPr>
          <w:bCs/>
          <w:szCs w:val="24"/>
          <w:lang w:val="fr-FR"/>
        </w:rPr>
        <w:t xml:space="preserve">après récapitule les décisions </w:t>
      </w:r>
      <w:r w:rsidR="00164119">
        <w:rPr>
          <w:bCs/>
          <w:szCs w:val="24"/>
          <w:lang w:val="fr-FR"/>
        </w:rPr>
        <w:t>de</w:t>
      </w:r>
      <w:r>
        <w:rPr>
          <w:bCs/>
          <w:szCs w:val="24"/>
          <w:lang w:val="fr-FR"/>
        </w:rPr>
        <w:t xml:space="preserve"> la Conférence de plénipotentiaires</w:t>
      </w:r>
      <w:r w:rsidR="00D93E25">
        <w:rPr>
          <w:bCs/>
          <w:szCs w:val="24"/>
          <w:lang w:val="fr-FR"/>
        </w:rPr>
        <w:t xml:space="preserve"> </w:t>
      </w:r>
      <w:r>
        <w:rPr>
          <w:bCs/>
          <w:szCs w:val="24"/>
          <w:lang w:val="fr-FR"/>
        </w:rPr>
        <w:t xml:space="preserve">les plus pertinentes pour les travaux futurs de l'UIT-D. </w:t>
      </w:r>
    </w:p>
    <w:p w14:paraId="02C48AB2" w14:textId="1926CD4E" w:rsidR="005E2251" w:rsidRPr="002F0031" w:rsidRDefault="001F71E8" w:rsidP="00B010DB">
      <w:r w:rsidRPr="00072A9A">
        <w:rPr>
          <w:rFonts w:cs="Times New Roman Bold"/>
        </w:rPr>
        <w:t>L</w:t>
      </w:r>
      <w:r w:rsidR="005E6C65" w:rsidRPr="00072A9A">
        <w:rPr>
          <w:rFonts w:cs="Times New Roman Bold"/>
        </w:rPr>
        <w:t xml:space="preserve">a </w:t>
      </w:r>
      <w:r w:rsidR="005E2251" w:rsidRPr="005E2251">
        <w:rPr>
          <w:b/>
          <w:bCs/>
          <w:caps/>
        </w:rPr>
        <w:t>R</w:t>
      </w:r>
      <w:r w:rsidR="005E2251" w:rsidRPr="005E2251">
        <w:rPr>
          <w:b/>
          <w:bCs/>
        </w:rPr>
        <w:t xml:space="preserve">ésolution 71 </w:t>
      </w:r>
      <w:r w:rsidR="005E2251" w:rsidRPr="005E2251">
        <w:rPr>
          <w:b/>
          <w:bCs/>
          <w:caps/>
        </w:rPr>
        <w:t>(R</w:t>
      </w:r>
      <w:r w:rsidR="005E2251" w:rsidRPr="005E2251">
        <w:rPr>
          <w:b/>
          <w:bCs/>
        </w:rPr>
        <w:t>év</w:t>
      </w:r>
      <w:r w:rsidR="005E2251" w:rsidRPr="005E2251">
        <w:rPr>
          <w:b/>
          <w:bCs/>
          <w:caps/>
        </w:rPr>
        <w:t>. D</w:t>
      </w:r>
      <w:r w:rsidR="005E2251" w:rsidRPr="005E2251">
        <w:rPr>
          <w:b/>
          <w:bCs/>
        </w:rPr>
        <w:t>ubaï</w:t>
      </w:r>
      <w:r w:rsidR="005E2251" w:rsidRPr="005E2251">
        <w:rPr>
          <w:b/>
          <w:bCs/>
          <w:caps/>
        </w:rPr>
        <w:t>, 2018)</w:t>
      </w:r>
      <w:bookmarkStart w:id="8" w:name="_Toc407016205"/>
      <w:r w:rsidR="005E2251" w:rsidRPr="005E2251">
        <w:rPr>
          <w:rFonts w:ascii="Arial" w:hAnsi="Arial"/>
          <w:b/>
          <w:bCs/>
          <w:szCs w:val="24"/>
        </w:rPr>
        <w:t xml:space="preserve"> –</w:t>
      </w:r>
      <w:r w:rsidR="005E2251">
        <w:rPr>
          <w:rFonts w:ascii="Arial" w:hAnsi="Arial"/>
          <w:b/>
          <w:bCs/>
          <w:szCs w:val="24"/>
        </w:rPr>
        <w:t xml:space="preserve"> </w:t>
      </w:r>
      <w:r w:rsidR="005E2251" w:rsidRPr="005E2251">
        <w:rPr>
          <w:b/>
          <w:bCs/>
        </w:rPr>
        <w:t xml:space="preserve">Plan stratégique de l'Union pour la période </w:t>
      </w:r>
      <w:bookmarkEnd w:id="8"/>
      <w:r w:rsidR="005E2251" w:rsidRPr="005E2251">
        <w:rPr>
          <w:b/>
          <w:bCs/>
        </w:rPr>
        <w:t>2020</w:t>
      </w:r>
      <w:r w:rsidR="00EA26AF">
        <w:rPr>
          <w:b/>
          <w:bCs/>
        </w:rPr>
        <w:noBreakHyphen/>
      </w:r>
      <w:r w:rsidR="005E2251" w:rsidRPr="005E2251">
        <w:rPr>
          <w:b/>
          <w:bCs/>
        </w:rPr>
        <w:t>2023</w:t>
      </w:r>
      <w:r w:rsidR="006D1C3A">
        <w:rPr>
          <w:b/>
          <w:bCs/>
        </w:rPr>
        <w:t xml:space="preserve"> – </w:t>
      </w:r>
      <w:r w:rsidR="0092346B">
        <w:t>contient notamment les éléments essentiels suivants</w:t>
      </w:r>
      <w:r w:rsidR="005E2251" w:rsidRPr="002F0031">
        <w:t>:</w:t>
      </w:r>
    </w:p>
    <w:p w14:paraId="4909897C" w14:textId="738BF9BE" w:rsidR="005E2251" w:rsidRPr="009A68A6" w:rsidRDefault="005E2251" w:rsidP="002F081A">
      <w:pPr>
        <w:pStyle w:val="enumlev1"/>
      </w:pPr>
      <w:bookmarkStart w:id="9" w:name="lt_pId032"/>
      <w:r w:rsidRPr="009A68A6">
        <w:t>–</w:t>
      </w:r>
      <w:r w:rsidRPr="009A68A6">
        <w:tab/>
      </w:r>
      <w:r w:rsidR="009A68A6">
        <w:t>v</w:t>
      </w:r>
      <w:r w:rsidR="009A68A6" w:rsidRPr="009A68A6">
        <w:t>ision, mis</w:t>
      </w:r>
      <w:r w:rsidR="00B010DB">
        <w:t>sion, valeurs et cinq buts strat</w:t>
      </w:r>
      <w:r w:rsidR="009A68A6" w:rsidRPr="009A68A6">
        <w:t>égiques de l'</w:t>
      </w:r>
      <w:r w:rsidRPr="009A68A6">
        <w:t>Union;</w:t>
      </w:r>
      <w:bookmarkEnd w:id="9"/>
    </w:p>
    <w:p w14:paraId="0DEC2415" w14:textId="77777777" w:rsidR="005E2251" w:rsidRPr="009A68A6" w:rsidRDefault="005E2251" w:rsidP="002F081A">
      <w:pPr>
        <w:pStyle w:val="enumlev1"/>
      </w:pPr>
      <w:bookmarkStart w:id="10" w:name="lt_pId033"/>
      <w:r w:rsidRPr="009A68A6">
        <w:t>–</w:t>
      </w:r>
      <w:r w:rsidRPr="009A68A6">
        <w:tab/>
      </w:r>
      <w:r w:rsidR="009A68A6" w:rsidRPr="009A68A6">
        <w:t>ensemble de cibles communes</w:t>
      </w:r>
      <w:r w:rsidRPr="009A68A6">
        <w:t>;</w:t>
      </w:r>
      <w:bookmarkEnd w:id="10"/>
    </w:p>
    <w:p w14:paraId="3730EF6E" w14:textId="77777777" w:rsidR="005E2251" w:rsidRPr="009A68A6" w:rsidRDefault="005E2251" w:rsidP="002F081A">
      <w:pPr>
        <w:pStyle w:val="enumlev1"/>
      </w:pPr>
      <w:bookmarkStart w:id="11" w:name="lt_pId034"/>
      <w:r w:rsidRPr="009A68A6">
        <w:t>–</w:t>
      </w:r>
      <w:r w:rsidRPr="009A68A6">
        <w:tab/>
      </w:r>
      <w:r w:rsidR="009A68A6">
        <w:rPr>
          <w:color w:val="000000"/>
        </w:rPr>
        <w:t>cadre UIT de présentation des résultats</w:t>
      </w:r>
      <w:r w:rsidRPr="009A68A6">
        <w:t xml:space="preserve">, </w:t>
      </w:r>
      <w:r w:rsidR="00AF38C1">
        <w:t>y compris les quatre</w:t>
      </w:r>
      <w:r w:rsidRPr="009A68A6">
        <w:t xml:space="preserve"> </w:t>
      </w:r>
      <w:r w:rsidR="00AF38C1">
        <w:t>objectifs de l'UIT-D adoptés par la CMDT-17</w:t>
      </w:r>
      <w:r w:rsidRPr="009A68A6">
        <w:t>;</w:t>
      </w:r>
      <w:bookmarkEnd w:id="11"/>
    </w:p>
    <w:p w14:paraId="6B5E1278" w14:textId="77777777" w:rsidR="005E2251" w:rsidRPr="00623F84" w:rsidRDefault="005E2251" w:rsidP="002F081A">
      <w:pPr>
        <w:pStyle w:val="enumlev1"/>
      </w:pPr>
      <w:bookmarkStart w:id="12" w:name="lt_pId035"/>
      <w:r w:rsidRPr="00623F84">
        <w:t>–</w:t>
      </w:r>
      <w:r w:rsidRPr="00623F84">
        <w:tab/>
      </w:r>
      <w:r w:rsidR="00623F84" w:rsidRPr="00623F84">
        <w:t xml:space="preserve">liens avec le </w:t>
      </w:r>
      <w:r w:rsidR="00623F84">
        <w:rPr>
          <w:color w:val="000000"/>
        </w:rPr>
        <w:t>Programme de développement durable à l'horizon 2030 et les ODD</w:t>
      </w:r>
      <w:r w:rsidRPr="00623F84">
        <w:t>;</w:t>
      </w:r>
      <w:bookmarkEnd w:id="12"/>
    </w:p>
    <w:p w14:paraId="12F778B0" w14:textId="77777777" w:rsidR="004826D7" w:rsidRDefault="005E2251" w:rsidP="002F081A">
      <w:pPr>
        <w:pStyle w:val="enumlev1"/>
        <w:rPr>
          <w:color w:val="000000"/>
        </w:rPr>
      </w:pPr>
      <w:bookmarkStart w:id="13" w:name="lt_pId036"/>
      <w:r w:rsidRPr="004826D7">
        <w:t>–</w:t>
      </w:r>
      <w:r w:rsidRPr="004826D7">
        <w:tab/>
      </w:r>
      <w:r w:rsidR="004826D7" w:rsidRPr="004826D7">
        <w:t>liens avec le plan financier</w:t>
      </w:r>
      <w:r w:rsidRPr="004826D7">
        <w:t xml:space="preserve">, </w:t>
      </w:r>
      <w:r w:rsidR="0020206E">
        <w:t xml:space="preserve">dont </w:t>
      </w:r>
      <w:r w:rsidR="0020206E">
        <w:rPr>
          <w:color w:val="000000"/>
        </w:rPr>
        <w:t xml:space="preserve">l'attribution des ressources aux </w:t>
      </w:r>
      <w:r w:rsidR="00552EDB">
        <w:rPr>
          <w:color w:val="000000"/>
        </w:rPr>
        <w:t xml:space="preserve">buts, </w:t>
      </w:r>
      <w:r w:rsidR="004826D7">
        <w:rPr>
          <w:color w:val="000000"/>
        </w:rPr>
        <w:t>objectifs et produits</w:t>
      </w:r>
      <w:r w:rsidR="00552EDB">
        <w:rPr>
          <w:color w:val="000000"/>
        </w:rPr>
        <w:t>.</w:t>
      </w:r>
    </w:p>
    <w:bookmarkEnd w:id="13"/>
    <w:p w14:paraId="3ADDAB6A" w14:textId="6895943A" w:rsidR="005E2251" w:rsidRDefault="005E6C65" w:rsidP="00B010DB">
      <w:r w:rsidRPr="00072A9A">
        <w:rPr>
          <w:rFonts w:cs="Times New Roman Bold"/>
        </w:rPr>
        <w:t xml:space="preserve">La </w:t>
      </w:r>
      <w:r w:rsidR="005E2251" w:rsidRPr="00956E4B">
        <w:rPr>
          <w:b/>
          <w:bCs/>
        </w:rPr>
        <w:t>D</w:t>
      </w:r>
      <w:r w:rsidR="00956E4B" w:rsidRPr="00956E4B">
        <w:rPr>
          <w:b/>
          <w:bCs/>
        </w:rPr>
        <w:t xml:space="preserve">écision </w:t>
      </w:r>
      <w:r w:rsidR="005E2251" w:rsidRPr="00956E4B">
        <w:rPr>
          <w:b/>
          <w:bCs/>
        </w:rPr>
        <w:t xml:space="preserve">5 (Rév. </w:t>
      </w:r>
      <w:r w:rsidR="002F110C" w:rsidRPr="00956E4B">
        <w:rPr>
          <w:b/>
          <w:bCs/>
        </w:rPr>
        <w:t>Dubaï</w:t>
      </w:r>
      <w:r w:rsidR="005E2251" w:rsidRPr="00956E4B">
        <w:rPr>
          <w:b/>
          <w:bCs/>
        </w:rPr>
        <w:t xml:space="preserve">, 2018) – Produits et charges </w:t>
      </w:r>
      <w:r w:rsidR="00EA26AF">
        <w:rPr>
          <w:b/>
          <w:bCs/>
        </w:rPr>
        <w:t xml:space="preserve">de l'Union pour la période </w:t>
      </w:r>
      <w:r w:rsidR="00EA26AF" w:rsidRPr="00EA26AF">
        <w:rPr>
          <w:b/>
          <w:bCs/>
        </w:rPr>
        <w:t>2020</w:t>
      </w:r>
      <w:r w:rsidR="00EA26AF" w:rsidRPr="00EA26AF">
        <w:rPr>
          <w:b/>
          <w:bCs/>
        </w:rPr>
        <w:noBreakHyphen/>
      </w:r>
      <w:r w:rsidR="005E2251" w:rsidRPr="00EA26AF">
        <w:rPr>
          <w:b/>
          <w:bCs/>
        </w:rPr>
        <w:t>2023</w:t>
      </w:r>
      <w:r w:rsidR="006D1C3A">
        <w:rPr>
          <w:b/>
          <w:bCs/>
        </w:rPr>
        <w:t xml:space="preserve"> – </w:t>
      </w:r>
      <w:r w:rsidR="0092346B">
        <w:t>contient notamment les éléments essentiels suivants</w:t>
      </w:r>
      <w:r w:rsidR="00956E4B" w:rsidRPr="00A519F9">
        <w:t>:</w:t>
      </w:r>
    </w:p>
    <w:p w14:paraId="6505D32D" w14:textId="3BF49A78" w:rsidR="00653253" w:rsidRPr="00DB4E8A" w:rsidRDefault="00653253" w:rsidP="002F081A">
      <w:pPr>
        <w:pStyle w:val="enumlev1"/>
      </w:pPr>
      <w:r>
        <w:t>–</w:t>
      </w:r>
      <w:r>
        <w:tab/>
      </w:r>
      <w:r w:rsidR="002F110C">
        <w:t>p</w:t>
      </w:r>
      <w:r w:rsidRPr="00DB4E8A">
        <w:t>lan</w:t>
      </w:r>
      <w:r w:rsidR="00EA26AF">
        <w:t xml:space="preserve"> financier pour la période 2020</w:t>
      </w:r>
      <w:r w:rsidR="00EA26AF">
        <w:noBreakHyphen/>
      </w:r>
      <w:r w:rsidR="00D04CCB">
        <w:t>2023: P</w:t>
      </w:r>
      <w:r w:rsidRPr="00DB4E8A">
        <w:t xml:space="preserve">roduits et charges </w:t>
      </w:r>
      <w:r w:rsidR="00AA43F6" w:rsidRPr="00DB4E8A">
        <w:t>(Annex</w:t>
      </w:r>
      <w:r w:rsidR="00D04CCB">
        <w:t>e 1 de la Dé</w:t>
      </w:r>
      <w:r w:rsidR="00AA43F6" w:rsidRPr="00DB4E8A">
        <w:t>cision</w:t>
      </w:r>
      <w:r w:rsidR="00EA26AF">
        <w:t> </w:t>
      </w:r>
      <w:r w:rsidRPr="00DB4E8A">
        <w:t>5);</w:t>
      </w:r>
    </w:p>
    <w:p w14:paraId="2B83651A" w14:textId="3AC8AD24" w:rsidR="00AA43F6" w:rsidRPr="00DB4E8A" w:rsidRDefault="00AA43F6" w:rsidP="002F081A">
      <w:pPr>
        <w:pStyle w:val="enumlev1"/>
      </w:pPr>
      <w:r w:rsidRPr="00DB4E8A">
        <w:t>–</w:t>
      </w:r>
      <w:r w:rsidRPr="00DB4E8A">
        <w:tab/>
      </w:r>
      <w:r w:rsidR="000445F1">
        <w:t>m</w:t>
      </w:r>
      <w:r w:rsidRPr="00DB4E8A">
        <w:t>esures visant à accroître l'efficacité de l'UIT et à réduire ses charges (</w:t>
      </w:r>
      <w:r w:rsidR="00D04CCB" w:rsidRPr="00DB4E8A">
        <w:t>Annex</w:t>
      </w:r>
      <w:r w:rsidR="00D04CCB">
        <w:t>e 2 de la Dé</w:t>
      </w:r>
      <w:r w:rsidR="00D04CCB" w:rsidRPr="00DB4E8A">
        <w:t xml:space="preserve">cision </w:t>
      </w:r>
      <w:r w:rsidRPr="00DB4E8A">
        <w:t>5);</w:t>
      </w:r>
    </w:p>
    <w:p w14:paraId="6ACA64AB" w14:textId="6118100C" w:rsidR="00AA43F6" w:rsidRPr="002F081A" w:rsidRDefault="00AA43F6" w:rsidP="002F081A">
      <w:pPr>
        <w:pStyle w:val="enumlev1"/>
      </w:pPr>
      <w:bookmarkStart w:id="14" w:name="lt_pId040"/>
      <w:r w:rsidRPr="009B5897">
        <w:t>–</w:t>
      </w:r>
      <w:r w:rsidRPr="009B5897">
        <w:tab/>
      </w:r>
      <w:r w:rsidR="009B5897" w:rsidRPr="002F081A">
        <w:t>le montant total des charges prévues s'élève à 660,3 millions CHF et est compensé par le montant des produits prévus, qui se chiffre à 660,3</w:t>
      </w:r>
      <w:r w:rsidR="00B010DB" w:rsidRPr="002F081A">
        <w:t xml:space="preserve"> millions CHF, de sorte que le p</w:t>
      </w:r>
      <w:r w:rsidR="009B5897" w:rsidRPr="002F081A">
        <w:t>lan financier est équilibré</w:t>
      </w:r>
      <w:r w:rsidR="00E258BF" w:rsidRPr="002F081A">
        <w:t xml:space="preserve"> et qu'il n'est pas nécessaire de</w:t>
      </w:r>
      <w:r w:rsidR="00275CFC" w:rsidRPr="002F081A">
        <w:t xml:space="preserve"> puiser dans le Fonds de réserve;</w:t>
      </w:r>
      <w:bookmarkEnd w:id="14"/>
    </w:p>
    <w:p w14:paraId="365A9FA5" w14:textId="371F951D" w:rsidR="00E64A54" w:rsidRPr="00FF7993" w:rsidRDefault="00AA43F6" w:rsidP="002F081A">
      <w:pPr>
        <w:pStyle w:val="enumlev1"/>
      </w:pPr>
      <w:bookmarkStart w:id="15" w:name="lt_pId041"/>
      <w:r w:rsidRPr="00FF7993">
        <w:t>–</w:t>
      </w:r>
      <w:r w:rsidRPr="00FF7993">
        <w:tab/>
      </w:r>
      <w:r w:rsidR="00E64A54" w:rsidRPr="00FF7993">
        <w:t>le</w:t>
      </w:r>
      <w:r w:rsidR="00FF7993" w:rsidRPr="00FF7993">
        <w:t>s ressources du</w:t>
      </w:r>
      <w:r w:rsidR="00E64A54" w:rsidRPr="00FF7993">
        <w:t xml:space="preserve"> plan financier </w:t>
      </w:r>
      <w:r w:rsidR="00754BD0">
        <w:t>allou</w:t>
      </w:r>
      <w:r w:rsidR="00FF7993">
        <w:t>ées au BDT s'élèvent à 60,3 millions CHF pour la période 2020-2021</w:t>
      </w:r>
      <w:r w:rsidR="003E09B2">
        <w:t xml:space="preserve"> </w:t>
      </w:r>
      <w:r w:rsidR="00FF7993">
        <w:t>et à 55,7 millions CHF pour la période 2022-2023;</w:t>
      </w:r>
    </w:p>
    <w:p w14:paraId="12817E37" w14:textId="6BD1F32D" w:rsidR="00AA43F6" w:rsidRPr="005C5D73" w:rsidRDefault="00AA43F6" w:rsidP="002F081A">
      <w:pPr>
        <w:pStyle w:val="enumlev1"/>
      </w:pPr>
      <w:bookmarkStart w:id="16" w:name="lt_pId042"/>
      <w:bookmarkEnd w:id="15"/>
      <w:r w:rsidRPr="005C5D73">
        <w:t>–</w:t>
      </w:r>
      <w:r w:rsidRPr="005C5D73">
        <w:tab/>
      </w:r>
      <w:r w:rsidR="005C5D73" w:rsidRPr="005C5D73">
        <w:t xml:space="preserve">une provision de 3 millions CHF </w:t>
      </w:r>
      <w:r w:rsidR="005C5D73">
        <w:t>pour les projets relatifs à des initiatives régionales a été</w:t>
      </w:r>
      <w:r w:rsidR="003E09B2">
        <w:t xml:space="preserve"> </w:t>
      </w:r>
      <w:r w:rsidR="005C5D73" w:rsidRPr="005C5D73">
        <w:t xml:space="preserve">incluse dans le montant pour </w:t>
      </w:r>
      <w:r w:rsidR="005C5D73">
        <w:t>la période 2020-</w:t>
      </w:r>
      <w:r w:rsidR="005C5D73" w:rsidRPr="005C5D73">
        <w:t>2021</w:t>
      </w:r>
      <w:bookmarkEnd w:id="16"/>
      <w:r w:rsidR="005C5D73">
        <w:t>.</w:t>
      </w:r>
    </w:p>
    <w:p w14:paraId="0CD3C58C" w14:textId="1CE375E5" w:rsidR="00AA43F6" w:rsidRDefault="005E6C65" w:rsidP="00B010DB">
      <w:r w:rsidRPr="00072A9A">
        <w:rPr>
          <w:rFonts w:cs="Times New Roman Bold"/>
        </w:rPr>
        <w:t xml:space="preserve">La </w:t>
      </w:r>
      <w:r w:rsidR="00AA43F6" w:rsidRPr="00AA43F6">
        <w:rPr>
          <w:b/>
          <w:bCs/>
        </w:rPr>
        <w:t xml:space="preserve">Résolution </w:t>
      </w:r>
      <w:r w:rsidR="00AA43F6" w:rsidRPr="00AA43F6">
        <w:rPr>
          <w:rStyle w:val="href"/>
          <w:b/>
          <w:bCs/>
        </w:rPr>
        <w:t>25</w:t>
      </w:r>
      <w:r w:rsidR="00AA43F6" w:rsidRPr="00AA43F6">
        <w:rPr>
          <w:b/>
          <w:bCs/>
        </w:rPr>
        <w:t xml:space="preserve"> (Rév. </w:t>
      </w:r>
      <w:r w:rsidR="002F110C" w:rsidRPr="00AA43F6">
        <w:rPr>
          <w:b/>
          <w:bCs/>
        </w:rPr>
        <w:t>Dubaï</w:t>
      </w:r>
      <w:r w:rsidR="00AA43F6" w:rsidRPr="00AA43F6">
        <w:rPr>
          <w:b/>
          <w:bCs/>
        </w:rPr>
        <w:t>, 2018)</w:t>
      </w:r>
      <w:bookmarkStart w:id="17" w:name="_Toc407016188"/>
      <w:r w:rsidR="00AA43F6" w:rsidRPr="00AA43F6">
        <w:rPr>
          <w:b/>
          <w:bCs/>
        </w:rPr>
        <w:t xml:space="preserve"> – Renforcement de la présence régionale</w:t>
      </w:r>
      <w:bookmarkEnd w:id="17"/>
      <w:r w:rsidR="006D1C3A">
        <w:rPr>
          <w:b/>
          <w:bCs/>
        </w:rPr>
        <w:t xml:space="preserve"> – </w:t>
      </w:r>
      <w:r w:rsidR="0092346B">
        <w:t>contient notamment les éléments essentiels suivants</w:t>
      </w:r>
      <w:r w:rsidR="00DB4E8A">
        <w:t>:</w:t>
      </w:r>
    </w:p>
    <w:p w14:paraId="334E3CDD" w14:textId="6BE6C0BE" w:rsidR="00DB4E8A" w:rsidRDefault="00DB4E8A" w:rsidP="002F081A">
      <w:pPr>
        <w:pStyle w:val="enumlev1"/>
      </w:pPr>
      <w:r>
        <w:t>–</w:t>
      </w:r>
      <w:r>
        <w:tab/>
        <w:t>procéder à</w:t>
      </w:r>
      <w:r w:rsidRPr="00832BD0">
        <w:t xml:space="preserve"> un examen global de la présence régionale de l'UIT, compte tenu des élémen</w:t>
      </w:r>
      <w:r w:rsidR="0010068B">
        <w:t xml:space="preserve">ts figurant dans l'annexe de la résolution, et </w:t>
      </w:r>
      <w:r w:rsidRPr="00832BD0">
        <w:t>soumettre au Conseil à sa session de 2020</w:t>
      </w:r>
      <w:r w:rsidRPr="00086AA7">
        <w:t xml:space="preserve"> </w:t>
      </w:r>
      <w:r w:rsidRPr="00832BD0">
        <w:t>un rapport contenant des suggestions</w:t>
      </w:r>
      <w:r>
        <w:t xml:space="preserve"> sur les</w:t>
      </w:r>
      <w:r w:rsidRPr="00832BD0">
        <w:t xml:space="preserve"> mesures </w:t>
      </w:r>
      <w:r>
        <w:t xml:space="preserve">qu'il conviendrait de prendre pour </w:t>
      </w:r>
      <w:r w:rsidRPr="00832BD0">
        <w:t>que la présence régionale de l'UIT demeure efficace et efficiente;</w:t>
      </w:r>
    </w:p>
    <w:p w14:paraId="5B81BC2E" w14:textId="770DEFCF" w:rsidR="001235C0" w:rsidRDefault="001235C0" w:rsidP="002F081A">
      <w:pPr>
        <w:pStyle w:val="enumlev1"/>
      </w:pPr>
      <w:r>
        <w:t>–</w:t>
      </w:r>
      <w:r>
        <w:tab/>
      </w:r>
      <w:r w:rsidRPr="00832BD0">
        <w:t xml:space="preserve">faire en sorte que chaque région </w:t>
      </w:r>
      <w:r>
        <w:t>compte</w:t>
      </w:r>
      <w:r w:rsidRPr="00832BD0">
        <w:t xml:space="preserve"> au moins un professionnel possédant les compétences et les connaissances pertinentes </w:t>
      </w:r>
      <w:r>
        <w:t>intéressant chacun des trois Secteurs et</w:t>
      </w:r>
      <w:r w:rsidRPr="00832BD0">
        <w:t xml:space="preserve"> rendant compte au directeur régional, y compris en formant le personnel en place</w:t>
      </w:r>
      <w:r w:rsidR="00EA26AF">
        <w:t>.</w:t>
      </w:r>
    </w:p>
    <w:p w14:paraId="1B1D1F02" w14:textId="5E1833CA" w:rsidR="001235C0" w:rsidRDefault="005E6C65" w:rsidP="00B010DB">
      <w:r w:rsidRPr="00072A9A">
        <w:rPr>
          <w:rFonts w:cs="Times New Roman Bold"/>
        </w:rPr>
        <w:lastRenderedPageBreak/>
        <w:t xml:space="preserve">La </w:t>
      </w:r>
      <w:r w:rsidR="00155CDE">
        <w:rPr>
          <w:b/>
          <w:bCs/>
        </w:rPr>
        <w:t>nouvelle Résolution</w:t>
      </w:r>
      <w:r w:rsidR="001235C0" w:rsidRPr="002F110C">
        <w:rPr>
          <w:b/>
          <w:bCs/>
        </w:rPr>
        <w:t xml:space="preserve"> 213</w:t>
      </w:r>
      <w:r w:rsidR="001235C0">
        <w:rPr>
          <w:b/>
          <w:bCs/>
        </w:rPr>
        <w:t xml:space="preserve"> </w:t>
      </w:r>
      <w:r w:rsidR="001235C0" w:rsidRPr="001235C0">
        <w:rPr>
          <w:b/>
          <w:bCs/>
        </w:rPr>
        <w:t>–</w:t>
      </w:r>
      <w:r w:rsidR="001235C0">
        <w:rPr>
          <w:b/>
          <w:bCs/>
        </w:rPr>
        <w:t xml:space="preserve"> </w:t>
      </w:r>
      <w:r w:rsidR="001235C0" w:rsidRPr="001235C0">
        <w:rPr>
          <w:b/>
          <w:bCs/>
        </w:rPr>
        <w:t>Mesure</w:t>
      </w:r>
      <w:bookmarkStart w:id="18" w:name="_GoBack"/>
      <w:bookmarkEnd w:id="18"/>
      <w:r w:rsidR="001235C0" w:rsidRPr="001235C0">
        <w:rPr>
          <w:b/>
          <w:bCs/>
        </w:rPr>
        <w:t>s visant à améliorer,</w:t>
      </w:r>
      <w:r w:rsidR="001235C0">
        <w:rPr>
          <w:b/>
          <w:bCs/>
        </w:rPr>
        <w:t xml:space="preserve"> à promouvoir </w:t>
      </w:r>
      <w:r w:rsidR="001235C0" w:rsidRPr="001235C0">
        <w:rPr>
          <w:b/>
          <w:bCs/>
        </w:rPr>
        <w:t>et à renforcer l'octroi de bourses de l'UIT</w:t>
      </w:r>
      <w:r w:rsidR="006D1C3A">
        <w:rPr>
          <w:b/>
          <w:bCs/>
        </w:rPr>
        <w:t xml:space="preserve"> – </w:t>
      </w:r>
      <w:r w:rsidR="0092346B">
        <w:t>contient notamment les éléments essentiels suivants</w:t>
      </w:r>
      <w:r w:rsidR="001235C0" w:rsidRPr="00C63560">
        <w:t>:</w:t>
      </w:r>
    </w:p>
    <w:p w14:paraId="473B5197" w14:textId="3DCB6DF5" w:rsidR="001235C0" w:rsidRDefault="001235C0" w:rsidP="002F081A">
      <w:pPr>
        <w:pStyle w:val="enumlev1"/>
      </w:pPr>
      <w:r>
        <w:t>–</w:t>
      </w:r>
      <w:r w:rsidR="00237086">
        <w:tab/>
      </w:r>
      <w:r>
        <w:t>soumettre chaque année au Conseil de l</w:t>
      </w:r>
      <w:r w:rsidR="00237086">
        <w:t>'UIT un rapport sur les bourses;</w:t>
      </w:r>
    </w:p>
    <w:p w14:paraId="49B5DABB" w14:textId="62878809" w:rsidR="00237086" w:rsidRDefault="00237086" w:rsidP="002F081A">
      <w:pPr>
        <w:pStyle w:val="enumlev1"/>
        <w:rPr>
          <w:szCs w:val="24"/>
        </w:rPr>
      </w:pPr>
      <w:r w:rsidRPr="002F081A">
        <w:t>–</w:t>
      </w:r>
      <w:r w:rsidRPr="002F081A">
        <w:tab/>
      </w:r>
      <w:r w:rsidR="009570E8" w:rsidRPr="002F081A">
        <w:t>charge</w:t>
      </w:r>
      <w:r w:rsidR="00C277FE" w:rsidRPr="002F081A">
        <w:t xml:space="preserve"> le Conseil </w:t>
      </w:r>
      <w:r w:rsidRPr="002F081A">
        <w:t>d'examiner les critères actuels régissant l'octroi de bourses et de formuler des recommandations à l'intention du Secrétaire général, afin d'améliorer</w:t>
      </w:r>
      <w:r>
        <w:rPr>
          <w:szCs w:val="24"/>
        </w:rPr>
        <w:t>, de promouvoir et de renforc</w:t>
      </w:r>
      <w:r w:rsidR="000445F1">
        <w:rPr>
          <w:szCs w:val="24"/>
        </w:rPr>
        <w:t>er l'octroi de bourses de l'UIT.</w:t>
      </w:r>
    </w:p>
    <w:p w14:paraId="60951FB5" w14:textId="2F08C776" w:rsidR="00237086" w:rsidRDefault="00362F77" w:rsidP="00B010DB">
      <w:r w:rsidRPr="00072A9A">
        <w:rPr>
          <w:rFonts w:cs="Times New Roman Bold"/>
        </w:rPr>
        <w:t xml:space="preserve">La </w:t>
      </w:r>
      <w:r>
        <w:rPr>
          <w:b/>
          <w:bCs/>
        </w:rPr>
        <w:t>nouvelle Résolution</w:t>
      </w:r>
      <w:r w:rsidRPr="002F110C">
        <w:rPr>
          <w:b/>
          <w:bCs/>
        </w:rPr>
        <w:t xml:space="preserve"> </w:t>
      </w:r>
      <w:r w:rsidR="00237086" w:rsidRPr="002F110C">
        <w:rPr>
          <w:b/>
          <w:bCs/>
        </w:rPr>
        <w:t>209 –</w:t>
      </w:r>
      <w:r w:rsidR="00237086">
        <w:rPr>
          <w:b/>
          <w:bCs/>
        </w:rPr>
        <w:t xml:space="preserve"> </w:t>
      </w:r>
      <w:r w:rsidR="00237086" w:rsidRPr="00237086">
        <w:rPr>
          <w:b/>
          <w:bCs/>
        </w:rPr>
        <w:t>Encourager la participation des petites et moyennes entreprises aux travaux de l'Union</w:t>
      </w:r>
      <w:r w:rsidR="00237086">
        <w:rPr>
          <w:b/>
          <w:bCs/>
        </w:rPr>
        <w:t xml:space="preserve"> </w:t>
      </w:r>
      <w:r w:rsidR="006D1C3A">
        <w:rPr>
          <w:b/>
          <w:bCs/>
        </w:rPr>
        <w:t xml:space="preserve">– </w:t>
      </w:r>
      <w:r w:rsidR="0092346B">
        <w:t>contient notamment les éléments essentiels suivants</w:t>
      </w:r>
      <w:r w:rsidR="00237086" w:rsidRPr="00C63560">
        <w:t>:</w:t>
      </w:r>
    </w:p>
    <w:p w14:paraId="53EE528C" w14:textId="732C8AA7" w:rsidR="00237086" w:rsidRDefault="00237086" w:rsidP="002F081A">
      <w:pPr>
        <w:pStyle w:val="enumlev1"/>
      </w:pPr>
      <w:r w:rsidRPr="00237086">
        <w:t>–</w:t>
      </w:r>
      <w:r w:rsidR="003B0437">
        <w:tab/>
      </w:r>
      <w:r>
        <w:t>encourager</w:t>
      </w:r>
      <w:r w:rsidRPr="00FF5DFC">
        <w:t xml:space="preserve"> la participation des PME aux travaux des Secteurs de l'Union</w:t>
      </w:r>
      <w:r>
        <w:t xml:space="preserve"> en tant qu'Associés, en instaurant des contributions financières réduites pour ces entités</w:t>
      </w:r>
      <w:r w:rsidRPr="00FF5DFC">
        <w:t xml:space="preserve">, </w:t>
      </w:r>
      <w:r>
        <w:t xml:space="preserve">avec un niveau différencié de </w:t>
      </w:r>
      <w:r w:rsidRPr="009060F6">
        <w:t>contribution financière pendant une période d</w:t>
      </w:r>
      <w:r>
        <w:t>'</w:t>
      </w:r>
      <w:r w:rsidRPr="009060F6">
        <w:t xml:space="preserve">essai </w:t>
      </w:r>
      <w:r>
        <w:t xml:space="preserve">allant jusqu'à la prochaine </w:t>
      </w:r>
      <w:r w:rsidRPr="009060F6">
        <w:t>Conf</w:t>
      </w:r>
      <w:r>
        <w:t>é</w:t>
      </w:r>
      <w:r w:rsidRPr="009060F6">
        <w:t>rence</w:t>
      </w:r>
      <w:r>
        <w:t xml:space="preserve"> de plénipotentiaires</w:t>
      </w:r>
      <w:r w:rsidR="00B40A99">
        <w:t>.</w:t>
      </w:r>
    </w:p>
    <w:p w14:paraId="5B89317D" w14:textId="4CB773F8" w:rsidR="0093479F" w:rsidRPr="0093479F" w:rsidRDefault="0093479F" w:rsidP="00B010DB">
      <w:bookmarkStart w:id="19" w:name="lt_pId051"/>
      <w:r w:rsidRPr="0093479F">
        <w:t xml:space="preserve">D'autres </w:t>
      </w:r>
      <w:r>
        <w:t>ré</w:t>
      </w:r>
      <w:r w:rsidRPr="0093479F">
        <w:t xml:space="preserve">solutions essentielles qui portent sur des </w:t>
      </w:r>
      <w:r>
        <w:t xml:space="preserve">domaines </w:t>
      </w:r>
      <w:r w:rsidRPr="0093479F">
        <w:t>intéressant directement les travau</w:t>
      </w:r>
      <w:r w:rsidR="005856AE">
        <w:t>x de l'UIT-D sont énumérées ci-après:</w:t>
      </w:r>
    </w:p>
    <w:p w14:paraId="029D8A30" w14:textId="64333D43" w:rsidR="00237086" w:rsidRDefault="00237086" w:rsidP="002F081A">
      <w:pPr>
        <w:pStyle w:val="enumlev1"/>
      </w:pPr>
      <w:bookmarkStart w:id="20" w:name="_Toc165351506"/>
      <w:bookmarkStart w:id="21" w:name="_Toc407016225"/>
      <w:bookmarkEnd w:id="19"/>
      <w:r>
        <w:t>–</w:t>
      </w:r>
      <w:r w:rsidR="006100F4">
        <w:tab/>
      </w:r>
      <w:r w:rsidR="00A64DBC">
        <w:t>r</w:t>
      </w:r>
      <w:r w:rsidRPr="00045DB5">
        <w:t xml:space="preserve">enforcement du rôle de l'UIT dans l'instauration de la confiance et de la sécurité dans l'utilisation des </w:t>
      </w:r>
      <w:bookmarkEnd w:id="20"/>
      <w:bookmarkEnd w:id="21"/>
      <w:r w:rsidR="00CA6FC4">
        <w:t>TIC</w:t>
      </w:r>
      <w:r w:rsidR="00623858">
        <w:t xml:space="preserve"> (Résolution 130)</w:t>
      </w:r>
      <w:r>
        <w:t>;</w:t>
      </w:r>
    </w:p>
    <w:p w14:paraId="70CAF620" w14:textId="5DEA7394" w:rsidR="00237086" w:rsidRDefault="006100F4" w:rsidP="002F081A">
      <w:pPr>
        <w:pStyle w:val="enumlev1"/>
      </w:pPr>
      <w:bookmarkStart w:id="22" w:name="_Toc407016227"/>
      <w:r>
        <w:t>–</w:t>
      </w:r>
      <w:r>
        <w:tab/>
      </w:r>
      <w:r w:rsidR="00A64DBC">
        <w:t>m</w:t>
      </w:r>
      <w:r w:rsidR="00237086" w:rsidRPr="00072E06">
        <w:t xml:space="preserve">esurer les </w:t>
      </w:r>
      <w:r w:rsidR="00CA6FC4">
        <w:t>TIC</w:t>
      </w:r>
      <w:r w:rsidR="00237086" w:rsidRPr="00072E06">
        <w:t xml:space="preserve"> pour édifier une société de l'information inclusive et qui facilite l'intégration</w:t>
      </w:r>
      <w:bookmarkEnd w:id="22"/>
      <w:r w:rsidR="00A4140A">
        <w:t xml:space="preserve"> (Résolution 131)</w:t>
      </w:r>
      <w:r w:rsidR="00237086">
        <w:t>;</w:t>
      </w:r>
    </w:p>
    <w:p w14:paraId="35512DA7" w14:textId="4348C46A" w:rsidR="00237086" w:rsidRPr="00072E06" w:rsidRDefault="006100F4" w:rsidP="002F081A">
      <w:pPr>
        <w:pStyle w:val="enumlev1"/>
      </w:pPr>
      <w:bookmarkStart w:id="23" w:name="_Toc165351524"/>
      <w:bookmarkStart w:id="24" w:name="_Toc407016239"/>
      <w:r>
        <w:t>–</w:t>
      </w:r>
      <w:r>
        <w:tab/>
      </w:r>
      <w:r w:rsidR="00A64DBC">
        <w:t>r</w:t>
      </w:r>
      <w:r w:rsidR="00237086" w:rsidRPr="00FF08FF">
        <w:t xml:space="preserve">ôle de l'UIT dans la mise en oeuvre des résultats du </w:t>
      </w:r>
      <w:bookmarkEnd w:id="23"/>
      <w:r w:rsidR="00BA2456">
        <w:t>SMSI</w:t>
      </w:r>
      <w:r w:rsidR="00237086" w:rsidRPr="00FF08FF">
        <w:t xml:space="preserve"> et du Programme de développement durable à l'horizon 2030 </w:t>
      </w:r>
      <w:bookmarkEnd w:id="24"/>
      <w:r w:rsidR="00237086" w:rsidRPr="00FF08FF">
        <w:t>ainsi que dans les processus de suivi et d'examen associés</w:t>
      </w:r>
      <w:r w:rsidR="009D31E9">
        <w:t xml:space="preserve"> (Résolution 140)</w:t>
      </w:r>
      <w:r w:rsidR="00237086">
        <w:t>;</w:t>
      </w:r>
    </w:p>
    <w:p w14:paraId="06512C2C" w14:textId="4A44C918" w:rsidR="00237086" w:rsidRDefault="006100F4" w:rsidP="002F081A">
      <w:pPr>
        <w:pStyle w:val="enumlev1"/>
      </w:pPr>
      <w:r>
        <w:t>–</w:t>
      </w:r>
      <w:r>
        <w:tab/>
      </w:r>
      <w:r w:rsidR="00A64DBC">
        <w:t>a</w:t>
      </w:r>
      <w:r w:rsidR="00237086" w:rsidRPr="009D4C7D">
        <w:t>ccessibilité des télécommunications/</w:t>
      </w:r>
      <w:r w:rsidR="00CA6FC4">
        <w:t>TIC</w:t>
      </w:r>
      <w:r w:rsidR="00237086" w:rsidRPr="009D4C7D">
        <w:t xml:space="preserve"> pour les personnes handicapées et les personnes ayant des besoins particuliers</w:t>
      </w:r>
      <w:r w:rsidR="00FA0EB8">
        <w:t xml:space="preserve"> (Résolution 175)</w:t>
      </w:r>
      <w:r w:rsidR="00237086">
        <w:t>;</w:t>
      </w:r>
    </w:p>
    <w:p w14:paraId="731858EA" w14:textId="5E5B0FF1" w:rsidR="00237086" w:rsidRDefault="006100F4" w:rsidP="002F081A">
      <w:pPr>
        <w:pStyle w:val="enumlev1"/>
      </w:pPr>
      <w:bookmarkStart w:id="25" w:name="_Toc407016306"/>
      <w:r>
        <w:t>–</w:t>
      </w:r>
      <w:r>
        <w:tab/>
      </w:r>
      <w:r w:rsidR="00A64DBC">
        <w:t>p</w:t>
      </w:r>
      <w:r w:rsidRPr="00CF6116">
        <w:t>rotection des utilisateurs/consommateurs de services de télécommunication</w:t>
      </w:r>
      <w:bookmarkEnd w:id="25"/>
      <w:r w:rsidR="00072A9A">
        <w:t xml:space="preserve"> (Résolution </w:t>
      </w:r>
      <w:r w:rsidR="00FA0EB8">
        <w:t>196);</w:t>
      </w:r>
    </w:p>
    <w:p w14:paraId="08180D69" w14:textId="40EAC759" w:rsidR="006100F4" w:rsidRDefault="006100F4" w:rsidP="002F081A">
      <w:pPr>
        <w:pStyle w:val="enumlev1"/>
      </w:pPr>
      <w:bookmarkStart w:id="26" w:name="_Toc407016308"/>
      <w:r>
        <w:t>–</w:t>
      </w:r>
      <w:r>
        <w:tab/>
      </w:r>
      <w:r w:rsidR="00A64DBC" w:rsidRPr="002F081A">
        <w:t>f</w:t>
      </w:r>
      <w:r w:rsidR="00D52061" w:rsidRPr="002F081A">
        <w:t>aciliter l'avènement de l'Internet des objets dans la perspective d'un monde global interconnecté</w:t>
      </w:r>
      <w:bookmarkEnd w:id="26"/>
      <w:r w:rsidR="00122230">
        <w:t xml:space="preserve"> (Résolution 197)</w:t>
      </w:r>
      <w:r>
        <w:t>;</w:t>
      </w:r>
    </w:p>
    <w:p w14:paraId="1DC72720" w14:textId="6FD62179" w:rsidR="006100F4" w:rsidRDefault="006100F4" w:rsidP="002F081A">
      <w:pPr>
        <w:pStyle w:val="enumlev1"/>
      </w:pPr>
      <w:bookmarkStart w:id="27" w:name="_Toc407016315"/>
      <w:r>
        <w:t>–</w:t>
      </w:r>
      <w:r>
        <w:tab/>
      </w:r>
      <w:r w:rsidR="00A64DBC">
        <w:t>c</w:t>
      </w:r>
      <w:r w:rsidRPr="00A23412">
        <w:t xml:space="preserve">réer un environnement propice au déploiement et à l'utilisation des applications des </w:t>
      </w:r>
      <w:r w:rsidR="00CA6FC4">
        <w:t>TIC</w:t>
      </w:r>
      <w:bookmarkEnd w:id="27"/>
      <w:r w:rsidR="005711BB">
        <w:t xml:space="preserve"> (Résolution 201);</w:t>
      </w:r>
    </w:p>
    <w:p w14:paraId="7C34B004" w14:textId="5122449A" w:rsidR="006100F4" w:rsidRDefault="006100F4" w:rsidP="002F081A">
      <w:pPr>
        <w:pStyle w:val="enumlev1"/>
      </w:pPr>
      <w:r>
        <w:t>–</w:t>
      </w:r>
      <w:r>
        <w:tab/>
      </w:r>
      <w:r w:rsidR="00A64DBC">
        <w:t>u</w:t>
      </w:r>
      <w:r w:rsidRPr="00824D97">
        <w:t xml:space="preserve">tilisation des </w:t>
      </w:r>
      <w:r w:rsidR="00CA6FC4">
        <w:t>TIC</w:t>
      </w:r>
      <w:r>
        <w:t xml:space="preserve"> </w:t>
      </w:r>
      <w:r w:rsidRPr="00824D97">
        <w:t>pour réduire les disparités en matière d'inclusion financière</w:t>
      </w:r>
      <w:r w:rsidR="00072A9A">
        <w:t xml:space="preserve"> (Résolution </w:t>
      </w:r>
      <w:r w:rsidR="007F5C18">
        <w:t>204)</w:t>
      </w:r>
      <w:r>
        <w:t>;</w:t>
      </w:r>
    </w:p>
    <w:p w14:paraId="0C518EE7" w14:textId="3FC4CE5A" w:rsidR="006100F4" w:rsidRDefault="006100F4" w:rsidP="002F081A">
      <w:pPr>
        <w:pStyle w:val="enumlev1"/>
      </w:pPr>
      <w:r>
        <w:t>–</w:t>
      </w:r>
      <w:r>
        <w:tab/>
      </w:r>
      <w:r w:rsidR="00B40A99">
        <w:t>r</w:t>
      </w:r>
      <w:r w:rsidRPr="004546CE">
        <w:t>ôle de l'UIT dans la promotion d</w:t>
      </w:r>
      <w:r>
        <w:t xml:space="preserve">'une innovation centrée sur les </w:t>
      </w:r>
      <w:r w:rsidRPr="004546CE">
        <w:t>télécommunications/</w:t>
      </w:r>
      <w:r w:rsidR="00CA6FC4">
        <w:t>TIC</w:t>
      </w:r>
      <w:r>
        <w:t xml:space="preserve"> pour appuyer l'économie </w:t>
      </w:r>
      <w:r w:rsidRPr="0006355A">
        <w:t>et la société numériques</w:t>
      </w:r>
      <w:r w:rsidR="00C55372">
        <w:t xml:space="preserve"> (Résolution 205)</w:t>
      </w:r>
      <w:r>
        <w:t>;</w:t>
      </w:r>
    </w:p>
    <w:p w14:paraId="2FE3FABA" w14:textId="6544A620" w:rsidR="006100F4" w:rsidRDefault="00B010DB" w:rsidP="002F081A">
      <w:pPr>
        <w:pStyle w:val="enumlev1"/>
      </w:pPr>
      <w:r>
        <w:t>–</w:t>
      </w:r>
      <w:r>
        <w:tab/>
        <w:t>OT</w:t>
      </w:r>
      <w:r w:rsidR="006100F4">
        <w:t>T</w:t>
      </w:r>
      <w:r w:rsidR="00C540FE">
        <w:t xml:space="preserve"> (Résolution 206)</w:t>
      </w:r>
      <w:r w:rsidR="006100F4">
        <w:t>;</w:t>
      </w:r>
    </w:p>
    <w:p w14:paraId="58167DFF" w14:textId="6AE501A6" w:rsidR="006100F4" w:rsidRPr="00B6192B" w:rsidRDefault="006100F4" w:rsidP="00052363">
      <w:pPr>
        <w:pStyle w:val="enumlev1"/>
      </w:pPr>
      <w:bookmarkStart w:id="28" w:name="_Toc165351408"/>
      <w:bookmarkStart w:id="29" w:name="_Toc407016197"/>
      <w:r>
        <w:t>–</w:t>
      </w:r>
      <w:r>
        <w:tab/>
      </w:r>
      <w:bookmarkEnd w:id="28"/>
      <w:bookmarkEnd w:id="29"/>
      <w:r w:rsidR="00A64DBC">
        <w:t>t</w:t>
      </w:r>
      <w:r w:rsidR="00A50B60">
        <w:t xml:space="preserve">raite des personnes </w:t>
      </w:r>
      <w:r w:rsidR="00052363">
        <w:t>(Résolu</w:t>
      </w:r>
      <w:r w:rsidR="00B6192B">
        <w:t>tion 7)</w:t>
      </w:r>
      <w:r>
        <w:t>.</w:t>
      </w:r>
    </w:p>
    <w:p w14:paraId="5D3C3406" w14:textId="05359483" w:rsidR="00CB0053" w:rsidRPr="00B6192B" w:rsidRDefault="00B6192B" w:rsidP="00B010DB">
      <w:bookmarkStart w:id="30" w:name="lt_pId063"/>
      <w:r w:rsidRPr="00B6192B">
        <w:t xml:space="preserve">Les </w:t>
      </w:r>
      <w:r w:rsidR="0001197B">
        <w:t>ré</w:t>
      </w:r>
      <w:r w:rsidRPr="00B6192B">
        <w:t>solution</w:t>
      </w:r>
      <w:r w:rsidR="0001197B">
        <w:t>s</w:t>
      </w:r>
      <w:r w:rsidRPr="00B6192B">
        <w:t xml:space="preserve"> et </w:t>
      </w:r>
      <w:r w:rsidR="0001197B" w:rsidRPr="00B6192B">
        <w:t>décisions</w:t>
      </w:r>
      <w:r w:rsidRPr="00B6192B">
        <w:t xml:space="preserve"> ci-après </w:t>
      </w:r>
      <w:r w:rsidR="0001197B">
        <w:t xml:space="preserve">sont également </w:t>
      </w:r>
      <w:r w:rsidR="00CB0053">
        <w:t xml:space="preserve">pertinentes pour </w:t>
      </w:r>
      <w:r w:rsidR="0001197B">
        <w:t xml:space="preserve">le BDT, puisqu'elles portent sur des questions </w:t>
      </w:r>
      <w:r w:rsidR="005D27EB">
        <w:t xml:space="preserve">liées à la gestion </w:t>
      </w:r>
      <w:r w:rsidR="00DC7BBD">
        <w:t>des travaux menés par les S</w:t>
      </w:r>
      <w:r w:rsidR="00CB0053" w:rsidRPr="00CB0053">
        <w:t>ecteurs de l'UIT</w:t>
      </w:r>
      <w:r w:rsidR="00DC7BBD">
        <w:t>, ainsi qu'au</w:t>
      </w:r>
      <w:r w:rsidR="00CB0053" w:rsidRPr="00CB0053">
        <w:t xml:space="preserve"> </w:t>
      </w:r>
      <w:r w:rsidR="00DC7BBD">
        <w:t>fonctionnement</w:t>
      </w:r>
      <w:r w:rsidR="00CB0053" w:rsidRPr="00CB0053">
        <w:t xml:space="preserve"> des Bureaux</w:t>
      </w:r>
      <w:r w:rsidR="00DC7BBD">
        <w:t>:</w:t>
      </w:r>
    </w:p>
    <w:bookmarkEnd w:id="30"/>
    <w:p w14:paraId="198F7CE4" w14:textId="3D198448" w:rsidR="003A536C" w:rsidRDefault="00EA26AF" w:rsidP="002F081A">
      <w:pPr>
        <w:pStyle w:val="enumlev1"/>
      </w:pPr>
      <w:r>
        <w:t>–</w:t>
      </w:r>
      <w:r>
        <w:tab/>
      </w:r>
      <w:r w:rsidR="00A64DBC">
        <w:t>g</w:t>
      </w:r>
      <w:r w:rsidR="003A536C" w:rsidRPr="002F5CED">
        <w:t>estion et développement des ressources humaines</w:t>
      </w:r>
      <w:r w:rsidR="00A64DBC">
        <w:t xml:space="preserve"> (Résolution 48);</w:t>
      </w:r>
    </w:p>
    <w:p w14:paraId="56F1864C" w14:textId="3488D32F" w:rsidR="009A4F92" w:rsidRDefault="00EA26AF" w:rsidP="002F081A">
      <w:pPr>
        <w:pStyle w:val="enumlev1"/>
      </w:pPr>
      <w:r>
        <w:t>–</w:t>
      </w:r>
      <w:r>
        <w:tab/>
      </w:r>
      <w:r w:rsidR="009A4F92" w:rsidRPr="002F081A">
        <w:t xml:space="preserve">renforcement des relations entre l'UIT et les organisations régionales de télécommunication </w:t>
      </w:r>
      <w:r w:rsidR="000E3556">
        <w:t>(Résolution 58);</w:t>
      </w:r>
    </w:p>
    <w:p w14:paraId="7402871C" w14:textId="3752F429" w:rsidR="003A536C" w:rsidRDefault="00EA26AF" w:rsidP="002F081A">
      <w:pPr>
        <w:pStyle w:val="enumlev1"/>
      </w:pPr>
      <w:bookmarkStart w:id="31" w:name="_Toc165351432"/>
      <w:r>
        <w:lastRenderedPageBreak/>
        <w:t>–</w:t>
      </w:r>
      <w:r w:rsidR="00B40A99">
        <w:tab/>
        <w:t>d</w:t>
      </w:r>
      <w:r w:rsidR="003A536C" w:rsidRPr="00ED70F6">
        <w:t>ocuments</w:t>
      </w:r>
      <w:r w:rsidR="003A536C">
        <w:t xml:space="preserve"> </w:t>
      </w:r>
      <w:r w:rsidR="003A536C" w:rsidRPr="00ED70F6">
        <w:t>et</w:t>
      </w:r>
      <w:r w:rsidR="003A536C">
        <w:t xml:space="preserve"> </w:t>
      </w:r>
      <w:r w:rsidR="003A536C" w:rsidRPr="00ED70F6">
        <w:t>publications</w:t>
      </w:r>
      <w:r w:rsidR="003A536C">
        <w:t xml:space="preserve"> </w:t>
      </w:r>
      <w:r w:rsidR="003A536C" w:rsidRPr="00ED70F6">
        <w:t>de</w:t>
      </w:r>
      <w:r w:rsidR="003A536C">
        <w:t xml:space="preserve"> </w:t>
      </w:r>
      <w:r w:rsidR="003A536C" w:rsidRPr="00ED70F6">
        <w:t>l'Union</w:t>
      </w:r>
      <w:bookmarkEnd w:id="31"/>
      <w:r w:rsidR="000E3556">
        <w:t xml:space="preserve"> (Résolution 66);</w:t>
      </w:r>
    </w:p>
    <w:p w14:paraId="20062CBE" w14:textId="41053D3E" w:rsidR="003A536C" w:rsidRDefault="00EA26AF" w:rsidP="002F081A">
      <w:pPr>
        <w:pStyle w:val="enumlev1"/>
      </w:pPr>
      <w:r>
        <w:t>–</w:t>
      </w:r>
      <w:r>
        <w:tab/>
      </w:r>
      <w:r w:rsidR="00B40A99">
        <w:t>p</w:t>
      </w:r>
      <w:r w:rsidR="003A536C" w:rsidRPr="008754E4">
        <w:t>lanification et durée des conférences, forums, assemblées et sessions du Conseil de l'Union (2019-2023</w:t>
      </w:r>
      <w:r w:rsidR="002F110C">
        <w:t>)</w:t>
      </w:r>
      <w:r w:rsidR="003F0A16">
        <w:t xml:space="preserve"> (Résolution 77);</w:t>
      </w:r>
    </w:p>
    <w:p w14:paraId="27EF3A55" w14:textId="48F9E469" w:rsidR="003A536C" w:rsidRDefault="00EA26AF" w:rsidP="002F081A">
      <w:pPr>
        <w:pStyle w:val="enumlev1"/>
      </w:pPr>
      <w:r>
        <w:t>–</w:t>
      </w:r>
      <w:r>
        <w:tab/>
      </w:r>
      <w:r w:rsidR="002E6AC6" w:rsidRPr="002F081A">
        <w:t xml:space="preserve">prise en compte des grandes fêtes religieuses dans la planification des conférences, des assemblées et des sessions du Conseil de l'UIT </w:t>
      </w:r>
      <w:r w:rsidR="002E6AC6">
        <w:t>(Résolution 111);</w:t>
      </w:r>
    </w:p>
    <w:p w14:paraId="1F9DA965" w14:textId="7EDDEE71" w:rsidR="003A536C" w:rsidRDefault="003A536C" w:rsidP="002F081A">
      <w:pPr>
        <w:pStyle w:val="enumlev1"/>
      </w:pPr>
      <w:r w:rsidRPr="003A536C">
        <w:t>–</w:t>
      </w:r>
      <w:bookmarkStart w:id="32" w:name="_Toc407016231"/>
      <w:r w:rsidRPr="003A536C">
        <w:tab/>
      </w:r>
      <w:r w:rsidR="00B40A99">
        <w:t>r</w:t>
      </w:r>
      <w:r w:rsidRPr="003A536C">
        <w:t>ôle de l'UIT dans le développement pérenne et durable des téléco</w:t>
      </w:r>
      <w:r w:rsidR="00052363">
        <w:t>mmunications et des </w:t>
      </w:r>
      <w:r w:rsidR="00CA6FC4">
        <w:t>TIC</w:t>
      </w:r>
      <w:r w:rsidRPr="003A536C">
        <w:t>, dans la fourniture d'une assistance technique et d'avis aux pays en développement</w:t>
      </w:r>
      <w:r w:rsidRPr="002F081A">
        <w:t xml:space="preserve"> </w:t>
      </w:r>
      <w:r w:rsidRPr="003A536C">
        <w:t>et dans la mise en oeuvre de projets nationaux, régionaux et interrégionaux</w:t>
      </w:r>
      <w:bookmarkEnd w:id="32"/>
      <w:r w:rsidR="00072A9A">
        <w:t xml:space="preserve"> (Résolution </w:t>
      </w:r>
      <w:r w:rsidR="00E17936">
        <w:t>135);</w:t>
      </w:r>
    </w:p>
    <w:p w14:paraId="7E784B59" w14:textId="1128F5D7" w:rsidR="003A536C" w:rsidRDefault="00EC3284" w:rsidP="002F081A">
      <w:pPr>
        <w:pStyle w:val="enumlev1"/>
      </w:pPr>
      <w:bookmarkStart w:id="33" w:name="_Toc407016251"/>
      <w:r>
        <w:t>–</w:t>
      </w:r>
      <w:r>
        <w:tab/>
      </w:r>
      <w:r w:rsidR="00B40A99">
        <w:t>u</w:t>
      </w:r>
      <w:r w:rsidR="003A536C" w:rsidRPr="008306A3">
        <w:t>tilisation des six langues officielles de l'Union sur un pied d'égalité</w:t>
      </w:r>
      <w:bookmarkEnd w:id="33"/>
      <w:r w:rsidR="00E17936">
        <w:t xml:space="preserve"> (Résolution 154);</w:t>
      </w:r>
    </w:p>
    <w:p w14:paraId="67EF965B" w14:textId="7C4E0BD9" w:rsidR="003A536C" w:rsidRDefault="00EC3284" w:rsidP="002F081A">
      <w:pPr>
        <w:pStyle w:val="enumlev1"/>
      </w:pPr>
      <w:bookmarkStart w:id="34" w:name="_Toc407016253"/>
      <w:r>
        <w:t>–</w:t>
      </w:r>
      <w:r>
        <w:tab/>
      </w:r>
      <w:r w:rsidR="00B40A99">
        <w:t>r</w:t>
      </w:r>
      <w:r w:rsidR="003A536C" w:rsidRPr="002F5CED">
        <w:t>enforcer l</w:t>
      </w:r>
      <w:r w:rsidR="003A536C">
        <w:t>es</w:t>
      </w:r>
      <w:r w:rsidR="003A536C" w:rsidRPr="002F5CED">
        <w:t xml:space="preserve"> fonction</w:t>
      </w:r>
      <w:r w:rsidR="003A536C">
        <w:t>s</w:t>
      </w:r>
      <w:r w:rsidR="003A536C" w:rsidRPr="002F5CED">
        <w:t xml:space="preserve"> d'exécution</w:t>
      </w:r>
      <w:r w:rsidR="003A536C">
        <w:t xml:space="preserve"> et de suivi</w:t>
      </w:r>
      <w:r w:rsidR="003A536C" w:rsidRPr="002F5CED">
        <w:t xml:space="preserve"> de projets à l'UIT</w:t>
      </w:r>
      <w:bookmarkEnd w:id="34"/>
      <w:r w:rsidR="005853FE">
        <w:t xml:space="preserve"> (Résolution 157);</w:t>
      </w:r>
    </w:p>
    <w:p w14:paraId="6D68192B" w14:textId="59A73382" w:rsidR="003A536C" w:rsidRDefault="00EC3284" w:rsidP="002F081A">
      <w:pPr>
        <w:pStyle w:val="enumlev1"/>
      </w:pPr>
      <w:r>
        <w:t>–</w:t>
      </w:r>
      <w:r>
        <w:tab/>
      </w:r>
      <w:r w:rsidR="00B40A99">
        <w:t>d</w:t>
      </w:r>
      <w:r w:rsidR="003A536C" w:rsidRPr="0004292B">
        <w:t>élais de présentation des propositi</w:t>
      </w:r>
      <w:r w:rsidR="003A536C">
        <w:t xml:space="preserve">ons et procédures d'inscription </w:t>
      </w:r>
      <w:r w:rsidR="003A536C" w:rsidRPr="0004292B">
        <w:t>des participants aux conférences et assemblées de l'Union</w:t>
      </w:r>
      <w:r w:rsidR="008D1EA6">
        <w:t xml:space="preserve"> (Résolution 165);</w:t>
      </w:r>
    </w:p>
    <w:p w14:paraId="4D9A66FA" w14:textId="24CA4EE5" w:rsidR="003A536C" w:rsidRDefault="00EC3284" w:rsidP="002F081A">
      <w:pPr>
        <w:pStyle w:val="enumlev1"/>
      </w:pPr>
      <w:bookmarkStart w:id="35" w:name="_Toc407016296"/>
      <w:r>
        <w:t>–</w:t>
      </w:r>
      <w:r>
        <w:tab/>
      </w:r>
      <w:r w:rsidR="00B40A99">
        <w:t>s</w:t>
      </w:r>
      <w:r w:rsidR="003A536C" w:rsidRPr="002F5CED">
        <w:t>tratégie de coordination des efforts entre les trois Secteurs de l'Union</w:t>
      </w:r>
      <w:bookmarkEnd w:id="35"/>
      <w:r w:rsidR="000B3697">
        <w:t xml:space="preserve"> (Résolution 191);</w:t>
      </w:r>
    </w:p>
    <w:p w14:paraId="376D7570" w14:textId="016E6F52" w:rsidR="003A536C" w:rsidRDefault="00EC3284" w:rsidP="002F081A">
      <w:pPr>
        <w:pStyle w:val="enumlev1"/>
      </w:pPr>
      <w:r>
        <w:t>–</w:t>
      </w:r>
      <w:r>
        <w:tab/>
      </w:r>
      <w:r w:rsidR="00B40A99">
        <w:t>n</w:t>
      </w:r>
      <w:r w:rsidR="003A536C" w:rsidRPr="00BC77D1">
        <w:t>omination et durée maximale du mandat des présidents et des vice-présidents des groupes consultatifs, des commissions d'études et des autres groupes des Secteurs</w:t>
      </w:r>
      <w:r w:rsidR="000B3697">
        <w:t xml:space="preserve"> (Résolution 208);</w:t>
      </w:r>
    </w:p>
    <w:p w14:paraId="7D3F23BF" w14:textId="4B4CD5B6" w:rsidR="00EC3284" w:rsidRDefault="00EC3284" w:rsidP="002F081A">
      <w:pPr>
        <w:pStyle w:val="enumlev1"/>
      </w:pPr>
      <w:r>
        <w:t>–</w:t>
      </w:r>
      <w:r>
        <w:tab/>
      </w:r>
      <w:r w:rsidR="00B40A99">
        <w:t>l</w:t>
      </w:r>
      <w:r>
        <w:t>o</w:t>
      </w:r>
      <w:r w:rsidR="000B3697">
        <w:t>caux futurs du siège de l'Union (Résolution 212).</w:t>
      </w:r>
    </w:p>
    <w:p w14:paraId="7A4B6353" w14:textId="77777777" w:rsidR="00B40A99" w:rsidRDefault="00B40A99" w:rsidP="00072A9A"/>
    <w:p w14:paraId="392E5A9E" w14:textId="77777777" w:rsidR="00B40A99" w:rsidRPr="003A536C" w:rsidRDefault="00B40A99" w:rsidP="00B010DB">
      <w:pPr>
        <w:jc w:val="center"/>
      </w:pPr>
      <w:r>
        <w:t>______________</w:t>
      </w:r>
    </w:p>
    <w:sectPr w:rsidR="00B40A99" w:rsidRPr="003A536C" w:rsidSect="00473791">
      <w:headerReference w:type="default" r:id="rId10"/>
      <w:footerReference w:type="default" r:id="rId11"/>
      <w:footerReference w:type="first" r:id="rId1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207AE" w14:textId="77777777" w:rsidR="00BC75FD" w:rsidRDefault="00BC75FD">
      <w:r>
        <w:separator/>
      </w:r>
    </w:p>
  </w:endnote>
  <w:endnote w:type="continuationSeparator" w:id="0">
    <w:p w14:paraId="4043B36A" w14:textId="77777777" w:rsidR="00BC75FD" w:rsidRDefault="00BC7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altName w:val="Times New Roman"/>
    <w:charset w:val="00"/>
    <w:family w:val="roman"/>
    <w:pitch w:val="variable"/>
    <w:sig w:usb0="00000000"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99D31" w14:textId="77777777" w:rsidR="00721657" w:rsidRPr="00B010DB" w:rsidRDefault="00953C82" w:rsidP="00F2340C">
    <w:pPr>
      <w:pStyle w:val="Footer"/>
      <w:rPr>
        <w:szCs w:val="16"/>
        <w:lang w:val="es-ES"/>
      </w:rPr>
    </w:pPr>
    <w:r w:rsidRPr="00B010DB">
      <w:rPr>
        <w:szCs w:val="16"/>
      </w:rPr>
      <w:fldChar w:fldCharType="begin"/>
    </w:r>
    <w:r w:rsidRPr="00B010DB">
      <w:rPr>
        <w:szCs w:val="16"/>
        <w:lang w:val="es-ES"/>
      </w:rPr>
      <w:instrText xml:space="preserve"> FILENAME \p  \* MERGEFORMAT </w:instrText>
    </w:r>
    <w:r w:rsidRPr="00B010DB">
      <w:rPr>
        <w:szCs w:val="16"/>
      </w:rPr>
      <w:fldChar w:fldCharType="separate"/>
    </w:r>
    <w:r w:rsidR="00B010DB" w:rsidRPr="00B010DB">
      <w:rPr>
        <w:szCs w:val="16"/>
        <w:lang w:val="es-ES"/>
      </w:rPr>
      <w:t>P:\FRA\ITU-D\CONF-D\TDAG19\000\004F.docx</w:t>
    </w:r>
    <w:r w:rsidRPr="00B010DB">
      <w:rPr>
        <w:szCs w:val="16"/>
      </w:rPr>
      <w:fldChar w:fldCharType="end"/>
    </w:r>
    <w:r w:rsidR="00F2340C" w:rsidRPr="00B010DB">
      <w:rPr>
        <w:szCs w:val="16"/>
        <w:lang w:val="es-ES"/>
      </w:rPr>
      <w:t xml:space="preserve"> (449203)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E51041" w:rsidRPr="00D14354" w14:paraId="36998C91" w14:textId="77777777" w:rsidTr="00493E65">
      <w:tc>
        <w:tcPr>
          <w:tcW w:w="1526" w:type="dxa"/>
          <w:tcBorders>
            <w:top w:val="single" w:sz="4" w:space="0" w:color="000000"/>
          </w:tcBorders>
          <w:shd w:val="clear" w:color="auto" w:fill="auto"/>
        </w:tcPr>
        <w:p w14:paraId="00779B86" w14:textId="77777777" w:rsidR="00E51041" w:rsidRPr="00496364" w:rsidRDefault="00E51041" w:rsidP="00E51041">
          <w:pPr>
            <w:pStyle w:val="FirstFooter"/>
            <w:tabs>
              <w:tab w:val="left" w:pos="1559"/>
              <w:tab w:val="left" w:pos="3828"/>
            </w:tabs>
            <w:rPr>
              <w:sz w:val="18"/>
              <w:szCs w:val="18"/>
            </w:rPr>
          </w:pPr>
          <w:r w:rsidRPr="00496364">
            <w:rPr>
              <w:sz w:val="18"/>
              <w:szCs w:val="18"/>
              <w:lang w:val="en-US"/>
            </w:rPr>
            <w:t>Contact:</w:t>
          </w:r>
        </w:p>
      </w:tc>
      <w:tc>
        <w:tcPr>
          <w:tcW w:w="2410" w:type="dxa"/>
          <w:tcBorders>
            <w:top w:val="single" w:sz="4" w:space="0" w:color="000000"/>
          </w:tcBorders>
          <w:shd w:val="clear" w:color="auto" w:fill="auto"/>
        </w:tcPr>
        <w:p w14:paraId="07960541" w14:textId="77777777" w:rsidR="00E51041" w:rsidRPr="00496364" w:rsidRDefault="00E51041" w:rsidP="00E51041">
          <w:pPr>
            <w:pStyle w:val="FirstFooter"/>
            <w:tabs>
              <w:tab w:val="left" w:pos="2302"/>
            </w:tabs>
            <w:ind w:left="2302" w:hanging="2302"/>
            <w:rPr>
              <w:sz w:val="18"/>
              <w:szCs w:val="18"/>
              <w:lang w:val="en-US"/>
            </w:rPr>
          </w:pPr>
          <w:r w:rsidRPr="00496364">
            <w:rPr>
              <w:sz w:val="18"/>
              <w:szCs w:val="18"/>
              <w:lang w:val="en-US"/>
            </w:rPr>
            <w:t>Nom/Organisation/Entité:</w:t>
          </w:r>
        </w:p>
      </w:tc>
      <w:tc>
        <w:tcPr>
          <w:tcW w:w="5987" w:type="dxa"/>
          <w:tcBorders>
            <w:top w:val="single" w:sz="4" w:space="0" w:color="000000"/>
          </w:tcBorders>
        </w:tcPr>
        <w:p w14:paraId="2154359D" w14:textId="36027D88" w:rsidR="00E51041" w:rsidRPr="00496364" w:rsidRDefault="00E51041" w:rsidP="00072A9A">
          <w:pPr>
            <w:pStyle w:val="FirstFooter"/>
            <w:rPr>
              <w:sz w:val="18"/>
              <w:szCs w:val="18"/>
              <w:lang w:val="fr-CH"/>
            </w:rPr>
          </w:pPr>
          <w:r w:rsidRPr="00496364">
            <w:rPr>
              <w:sz w:val="18"/>
              <w:szCs w:val="18"/>
              <w:lang w:val="fr-CH"/>
            </w:rPr>
            <w:t xml:space="preserve">M. </w:t>
          </w:r>
          <w:r w:rsidRPr="00B648F4">
            <w:rPr>
              <w:sz w:val="18"/>
              <w:szCs w:val="18"/>
              <w:lang w:val="fr-CH"/>
            </w:rPr>
            <w:t xml:space="preserve">Yushi Torigoe, Adjoint </w:t>
          </w:r>
          <w:r w:rsidR="00B010DB">
            <w:rPr>
              <w:sz w:val="18"/>
              <w:szCs w:val="18"/>
              <w:lang w:val="fr-CH"/>
            </w:rPr>
            <w:t>à la Directrice du Bureau de développement</w:t>
          </w:r>
          <w:r w:rsidR="00072A9A">
            <w:rPr>
              <w:sz w:val="18"/>
              <w:szCs w:val="18"/>
              <w:lang w:val="fr-CH"/>
            </w:rPr>
            <w:t xml:space="preserve"> des </w:t>
          </w:r>
          <w:r w:rsidRPr="00B648F4">
            <w:rPr>
              <w:sz w:val="18"/>
              <w:szCs w:val="18"/>
              <w:lang w:val="fr-CH"/>
            </w:rPr>
            <w:t>télécommunications</w:t>
          </w:r>
        </w:p>
      </w:tc>
    </w:tr>
    <w:tr w:rsidR="00E51041" w:rsidRPr="009359B8" w14:paraId="628DCEFD" w14:textId="77777777" w:rsidTr="00493E65">
      <w:tc>
        <w:tcPr>
          <w:tcW w:w="1526" w:type="dxa"/>
          <w:shd w:val="clear" w:color="auto" w:fill="auto"/>
        </w:tcPr>
        <w:p w14:paraId="3BB270D1" w14:textId="77777777" w:rsidR="00E51041" w:rsidRPr="00496364" w:rsidRDefault="00E51041" w:rsidP="00E51041">
          <w:pPr>
            <w:pStyle w:val="FirstFooter"/>
            <w:tabs>
              <w:tab w:val="left" w:pos="1559"/>
              <w:tab w:val="left" w:pos="3828"/>
            </w:tabs>
            <w:rPr>
              <w:sz w:val="18"/>
              <w:szCs w:val="18"/>
              <w:lang w:val="fr-CH"/>
            </w:rPr>
          </w:pPr>
        </w:p>
      </w:tc>
      <w:tc>
        <w:tcPr>
          <w:tcW w:w="2410" w:type="dxa"/>
          <w:shd w:val="clear" w:color="auto" w:fill="auto"/>
        </w:tcPr>
        <w:p w14:paraId="479EC91C" w14:textId="77777777" w:rsidR="00E51041" w:rsidRPr="00B010DB" w:rsidRDefault="00E51041" w:rsidP="00E51041">
          <w:pPr>
            <w:pStyle w:val="FirstFooter"/>
            <w:tabs>
              <w:tab w:val="left" w:pos="2302"/>
            </w:tabs>
            <w:rPr>
              <w:sz w:val="18"/>
              <w:szCs w:val="18"/>
            </w:rPr>
          </w:pPr>
          <w:r w:rsidRPr="00B010DB">
            <w:rPr>
              <w:sz w:val="18"/>
              <w:szCs w:val="18"/>
            </w:rPr>
            <w:t>Tél.:</w:t>
          </w:r>
        </w:p>
      </w:tc>
      <w:tc>
        <w:tcPr>
          <w:tcW w:w="5987" w:type="dxa"/>
        </w:tcPr>
        <w:p w14:paraId="31960014" w14:textId="77777777" w:rsidR="00E51041" w:rsidRPr="00B010DB" w:rsidRDefault="00E51041" w:rsidP="00E51041">
          <w:pPr>
            <w:pStyle w:val="FirstFooter"/>
            <w:tabs>
              <w:tab w:val="left" w:pos="2302"/>
            </w:tabs>
            <w:rPr>
              <w:sz w:val="18"/>
              <w:szCs w:val="18"/>
            </w:rPr>
          </w:pPr>
          <w:r w:rsidRPr="00B010DB">
            <w:rPr>
              <w:sz w:val="18"/>
              <w:szCs w:val="18"/>
            </w:rPr>
            <w:t>+41 22 730 5784</w:t>
          </w:r>
        </w:p>
      </w:tc>
    </w:tr>
    <w:tr w:rsidR="00E51041" w:rsidRPr="00571549" w14:paraId="629097AA" w14:textId="77777777" w:rsidTr="00493E65">
      <w:tc>
        <w:tcPr>
          <w:tcW w:w="1526" w:type="dxa"/>
          <w:shd w:val="clear" w:color="auto" w:fill="auto"/>
        </w:tcPr>
        <w:p w14:paraId="754AA3F0" w14:textId="77777777" w:rsidR="00E51041" w:rsidRPr="00B010DB" w:rsidRDefault="00E51041" w:rsidP="00E51041">
          <w:pPr>
            <w:pStyle w:val="FirstFooter"/>
            <w:tabs>
              <w:tab w:val="left" w:pos="1559"/>
              <w:tab w:val="left" w:pos="3828"/>
            </w:tabs>
            <w:rPr>
              <w:sz w:val="20"/>
            </w:rPr>
          </w:pPr>
        </w:p>
      </w:tc>
      <w:tc>
        <w:tcPr>
          <w:tcW w:w="2410" w:type="dxa"/>
          <w:shd w:val="clear" w:color="auto" w:fill="auto"/>
        </w:tcPr>
        <w:p w14:paraId="4B801AD5" w14:textId="77777777" w:rsidR="00E51041" w:rsidRPr="00B010DB" w:rsidRDefault="00E51041" w:rsidP="00E51041">
          <w:pPr>
            <w:pStyle w:val="FirstFooter"/>
            <w:tabs>
              <w:tab w:val="left" w:pos="2302"/>
            </w:tabs>
            <w:rPr>
              <w:sz w:val="18"/>
              <w:szCs w:val="18"/>
            </w:rPr>
          </w:pPr>
          <w:r w:rsidRPr="00B010DB">
            <w:rPr>
              <w:sz w:val="18"/>
              <w:szCs w:val="18"/>
            </w:rPr>
            <w:t>Courriel:</w:t>
          </w:r>
        </w:p>
      </w:tc>
      <w:tc>
        <w:tcPr>
          <w:tcW w:w="5987" w:type="dxa"/>
        </w:tcPr>
        <w:p w14:paraId="0C9245E8" w14:textId="77777777" w:rsidR="00E51041" w:rsidRPr="00B010DB" w:rsidRDefault="00052363" w:rsidP="00E51041">
          <w:pPr>
            <w:pStyle w:val="FirstFooter"/>
            <w:tabs>
              <w:tab w:val="left" w:pos="2302"/>
            </w:tabs>
            <w:rPr>
              <w:sz w:val="18"/>
              <w:szCs w:val="18"/>
            </w:rPr>
          </w:pPr>
          <w:hyperlink r:id="rId1" w:history="1">
            <w:r w:rsidR="00E51041" w:rsidRPr="00B010DB">
              <w:rPr>
                <w:rStyle w:val="Hyperlink"/>
                <w:sz w:val="18"/>
                <w:szCs w:val="18"/>
              </w:rPr>
              <w:t>yushi.torigoe@itu.int</w:t>
            </w:r>
          </w:hyperlink>
        </w:p>
      </w:tc>
    </w:tr>
  </w:tbl>
  <w:p w14:paraId="79C1776F" w14:textId="77777777" w:rsidR="00E51041" w:rsidRPr="00496364" w:rsidRDefault="00052363" w:rsidP="00E51041">
    <w:pPr>
      <w:jc w:val="center"/>
    </w:pPr>
    <w:hyperlink r:id="rId2" w:history="1">
      <w:r w:rsidR="00E51041">
        <w:rPr>
          <w:rStyle w:val="Hyperlink"/>
          <w:sz w:val="20"/>
        </w:rPr>
        <w:t>GCDT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C5EA8" w14:textId="77777777" w:rsidR="00BC75FD" w:rsidRDefault="00BC75FD">
      <w:r>
        <w:t>____________________</w:t>
      </w:r>
    </w:p>
  </w:footnote>
  <w:footnote w:type="continuationSeparator" w:id="0">
    <w:p w14:paraId="65CF3DBE" w14:textId="77777777" w:rsidR="00BC75FD" w:rsidRDefault="00BC7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ACCA1" w14:textId="542A37D9" w:rsidR="00721657" w:rsidRPr="00A525CC" w:rsidRDefault="00A525CC" w:rsidP="00072A9A">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0D2DFE">
      <w:rPr>
        <w:sz w:val="22"/>
        <w:szCs w:val="22"/>
      </w:rPr>
      <w:t>ITU-D/TDAG</w:t>
    </w:r>
    <w:r w:rsidR="008F20EB" w:rsidRPr="000D2DFE">
      <w:rPr>
        <w:sz w:val="22"/>
        <w:szCs w:val="22"/>
      </w:rPr>
      <w:t>-</w:t>
    </w:r>
    <w:r w:rsidRPr="000D2DFE">
      <w:rPr>
        <w:sz w:val="22"/>
        <w:szCs w:val="22"/>
      </w:rPr>
      <w:t>1</w:t>
    </w:r>
    <w:r w:rsidR="00D87E6C" w:rsidRPr="000D2DFE">
      <w:rPr>
        <w:sz w:val="22"/>
        <w:szCs w:val="22"/>
      </w:rPr>
      <w:t>9</w:t>
    </w:r>
    <w:r w:rsidRPr="000D2DFE">
      <w:rPr>
        <w:sz w:val="22"/>
        <w:szCs w:val="22"/>
      </w:rPr>
      <w:t>/</w:t>
    </w:r>
    <w:r w:rsidR="00F2340C" w:rsidRPr="000D2DFE">
      <w:rPr>
        <w:sz w:val="22"/>
        <w:szCs w:val="22"/>
      </w:rPr>
      <w:t>4</w:t>
    </w:r>
    <w:r w:rsidRPr="000D2DFE">
      <w:rPr>
        <w:sz w:val="22"/>
        <w:szCs w:val="22"/>
      </w:rPr>
      <w:t>-</w:t>
    </w:r>
    <w:r w:rsidR="00B533E9" w:rsidRPr="000D2DFE">
      <w:rPr>
        <w:sz w:val="22"/>
        <w:szCs w:val="22"/>
      </w:rPr>
      <w:t>F</w:t>
    </w:r>
    <w:r w:rsidRPr="000D2DFE">
      <w:rPr>
        <w:sz w:val="22"/>
        <w:szCs w:val="22"/>
      </w:rPr>
      <w:tab/>
      <w:t xml:space="preserve">Page </w:t>
    </w:r>
    <w:r w:rsidRPr="00972BCD">
      <w:rPr>
        <w:sz w:val="22"/>
        <w:szCs w:val="22"/>
      </w:rPr>
      <w:fldChar w:fldCharType="begin"/>
    </w:r>
    <w:r w:rsidRPr="000D2DFE">
      <w:rPr>
        <w:sz w:val="22"/>
        <w:szCs w:val="22"/>
      </w:rPr>
      <w:instrText xml:space="preserve"> PAGE </w:instrText>
    </w:r>
    <w:r w:rsidRPr="00972BCD">
      <w:rPr>
        <w:sz w:val="22"/>
        <w:szCs w:val="22"/>
      </w:rPr>
      <w:fldChar w:fldCharType="separate"/>
    </w:r>
    <w:r w:rsidR="00052363">
      <w:rPr>
        <w:noProof/>
        <w:sz w:val="22"/>
        <w:szCs w:val="22"/>
      </w:rPr>
      <w:t>4</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67EF4"/>
    <w:multiLevelType w:val="hybridMultilevel"/>
    <w:tmpl w:val="7578E854"/>
    <w:lvl w:ilvl="0" w:tplc="741CB2B0">
      <w:start w:val="1"/>
      <w:numFmt w:val="bullet"/>
      <w:lvlText w:val=""/>
      <w:lvlJc w:val="left"/>
      <w:pPr>
        <w:ind w:left="360" w:hanging="360"/>
      </w:pPr>
      <w:rPr>
        <w:rFonts w:ascii="Symbol" w:hAnsi="Symbol" w:hint="default"/>
      </w:rPr>
    </w:lvl>
    <w:lvl w:ilvl="1" w:tplc="B4A4A258" w:tentative="1">
      <w:start w:val="1"/>
      <w:numFmt w:val="lowerLetter"/>
      <w:lvlText w:val="%2."/>
      <w:lvlJc w:val="left"/>
      <w:pPr>
        <w:ind w:left="1080" w:hanging="360"/>
      </w:pPr>
    </w:lvl>
    <w:lvl w:ilvl="2" w:tplc="AA307176" w:tentative="1">
      <w:start w:val="1"/>
      <w:numFmt w:val="lowerRoman"/>
      <w:lvlText w:val="%3."/>
      <w:lvlJc w:val="right"/>
      <w:pPr>
        <w:ind w:left="1800" w:hanging="180"/>
      </w:pPr>
    </w:lvl>
    <w:lvl w:ilvl="3" w:tplc="5F546D86" w:tentative="1">
      <w:start w:val="1"/>
      <w:numFmt w:val="decimal"/>
      <w:lvlText w:val="%4."/>
      <w:lvlJc w:val="left"/>
      <w:pPr>
        <w:ind w:left="2520" w:hanging="360"/>
      </w:pPr>
    </w:lvl>
    <w:lvl w:ilvl="4" w:tplc="23A8458A" w:tentative="1">
      <w:start w:val="1"/>
      <w:numFmt w:val="lowerLetter"/>
      <w:lvlText w:val="%5."/>
      <w:lvlJc w:val="left"/>
      <w:pPr>
        <w:ind w:left="3240" w:hanging="360"/>
      </w:pPr>
    </w:lvl>
    <w:lvl w:ilvl="5" w:tplc="43C41012" w:tentative="1">
      <w:start w:val="1"/>
      <w:numFmt w:val="lowerRoman"/>
      <w:lvlText w:val="%6."/>
      <w:lvlJc w:val="right"/>
      <w:pPr>
        <w:ind w:left="3960" w:hanging="180"/>
      </w:pPr>
    </w:lvl>
    <w:lvl w:ilvl="6" w:tplc="03B21226" w:tentative="1">
      <w:start w:val="1"/>
      <w:numFmt w:val="decimal"/>
      <w:lvlText w:val="%7."/>
      <w:lvlJc w:val="left"/>
      <w:pPr>
        <w:ind w:left="4680" w:hanging="360"/>
      </w:pPr>
    </w:lvl>
    <w:lvl w:ilvl="7" w:tplc="C2A02DD6" w:tentative="1">
      <w:start w:val="1"/>
      <w:numFmt w:val="lowerLetter"/>
      <w:lvlText w:val="%8."/>
      <w:lvlJc w:val="left"/>
      <w:pPr>
        <w:ind w:left="5400" w:hanging="360"/>
      </w:pPr>
    </w:lvl>
    <w:lvl w:ilvl="8" w:tplc="F7CA9A9E" w:tentative="1">
      <w:start w:val="1"/>
      <w:numFmt w:val="lowerRoman"/>
      <w:lvlText w:val="%9."/>
      <w:lvlJc w:val="right"/>
      <w:pPr>
        <w:ind w:left="6120" w:hanging="180"/>
      </w:pPr>
    </w:lvl>
  </w:abstractNum>
  <w:abstractNum w:abstractNumId="1" w15:restartNumberingAfterBreak="0">
    <w:nsid w:val="51822CE6"/>
    <w:multiLevelType w:val="hybridMultilevel"/>
    <w:tmpl w:val="4E52F4CC"/>
    <w:lvl w:ilvl="0" w:tplc="1C266160">
      <w:start w:val="1"/>
      <w:numFmt w:val="bullet"/>
      <w:lvlText w:val=""/>
      <w:lvlJc w:val="left"/>
      <w:pPr>
        <w:ind w:left="360" w:hanging="360"/>
      </w:pPr>
      <w:rPr>
        <w:rFonts w:ascii="Symbol" w:hAnsi="Symbol" w:hint="default"/>
      </w:rPr>
    </w:lvl>
    <w:lvl w:ilvl="1" w:tplc="2D1292E2" w:tentative="1">
      <w:start w:val="1"/>
      <w:numFmt w:val="bullet"/>
      <w:lvlText w:val="o"/>
      <w:lvlJc w:val="left"/>
      <w:pPr>
        <w:ind w:left="1080" w:hanging="360"/>
      </w:pPr>
      <w:rPr>
        <w:rFonts w:ascii="Courier New" w:hAnsi="Courier New" w:cs="Courier New" w:hint="default"/>
      </w:rPr>
    </w:lvl>
    <w:lvl w:ilvl="2" w:tplc="6270C518" w:tentative="1">
      <w:start w:val="1"/>
      <w:numFmt w:val="bullet"/>
      <w:lvlText w:val=""/>
      <w:lvlJc w:val="left"/>
      <w:pPr>
        <w:ind w:left="1800" w:hanging="360"/>
      </w:pPr>
      <w:rPr>
        <w:rFonts w:ascii="Wingdings" w:hAnsi="Wingdings" w:hint="default"/>
      </w:rPr>
    </w:lvl>
    <w:lvl w:ilvl="3" w:tplc="AE4C4AAE" w:tentative="1">
      <w:start w:val="1"/>
      <w:numFmt w:val="bullet"/>
      <w:lvlText w:val=""/>
      <w:lvlJc w:val="left"/>
      <w:pPr>
        <w:ind w:left="2520" w:hanging="360"/>
      </w:pPr>
      <w:rPr>
        <w:rFonts w:ascii="Symbol" w:hAnsi="Symbol" w:hint="default"/>
      </w:rPr>
    </w:lvl>
    <w:lvl w:ilvl="4" w:tplc="892E2974" w:tentative="1">
      <w:start w:val="1"/>
      <w:numFmt w:val="bullet"/>
      <w:lvlText w:val="o"/>
      <w:lvlJc w:val="left"/>
      <w:pPr>
        <w:ind w:left="3240" w:hanging="360"/>
      </w:pPr>
      <w:rPr>
        <w:rFonts w:ascii="Courier New" w:hAnsi="Courier New" w:cs="Courier New" w:hint="default"/>
      </w:rPr>
    </w:lvl>
    <w:lvl w:ilvl="5" w:tplc="C02CEE00" w:tentative="1">
      <w:start w:val="1"/>
      <w:numFmt w:val="bullet"/>
      <w:lvlText w:val=""/>
      <w:lvlJc w:val="left"/>
      <w:pPr>
        <w:ind w:left="3960" w:hanging="360"/>
      </w:pPr>
      <w:rPr>
        <w:rFonts w:ascii="Wingdings" w:hAnsi="Wingdings" w:hint="default"/>
      </w:rPr>
    </w:lvl>
    <w:lvl w:ilvl="6" w:tplc="13EC9648" w:tentative="1">
      <w:start w:val="1"/>
      <w:numFmt w:val="bullet"/>
      <w:lvlText w:val=""/>
      <w:lvlJc w:val="left"/>
      <w:pPr>
        <w:ind w:left="4680" w:hanging="360"/>
      </w:pPr>
      <w:rPr>
        <w:rFonts w:ascii="Symbol" w:hAnsi="Symbol" w:hint="default"/>
      </w:rPr>
    </w:lvl>
    <w:lvl w:ilvl="7" w:tplc="F0DCC69A" w:tentative="1">
      <w:start w:val="1"/>
      <w:numFmt w:val="bullet"/>
      <w:lvlText w:val="o"/>
      <w:lvlJc w:val="left"/>
      <w:pPr>
        <w:ind w:left="5400" w:hanging="360"/>
      </w:pPr>
      <w:rPr>
        <w:rFonts w:ascii="Courier New" w:hAnsi="Courier New" w:cs="Courier New" w:hint="default"/>
      </w:rPr>
    </w:lvl>
    <w:lvl w:ilvl="8" w:tplc="8586F798" w:tentative="1">
      <w:start w:val="1"/>
      <w:numFmt w:val="bullet"/>
      <w:lvlText w:val=""/>
      <w:lvlJc w:val="left"/>
      <w:pPr>
        <w:ind w:left="6120" w:hanging="360"/>
      </w:pPr>
      <w:rPr>
        <w:rFonts w:ascii="Wingdings" w:hAnsi="Wingdings" w:hint="default"/>
      </w:r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5FD"/>
    <w:rsid w:val="00002716"/>
    <w:rsid w:val="00005791"/>
    <w:rsid w:val="00010827"/>
    <w:rsid w:val="0001197B"/>
    <w:rsid w:val="00015089"/>
    <w:rsid w:val="0002520B"/>
    <w:rsid w:val="00037A9E"/>
    <w:rsid w:val="00037F91"/>
    <w:rsid w:val="000445F1"/>
    <w:rsid w:val="00052363"/>
    <w:rsid w:val="000539F1"/>
    <w:rsid w:val="00054747"/>
    <w:rsid w:val="00055A2A"/>
    <w:rsid w:val="000615C1"/>
    <w:rsid w:val="00061675"/>
    <w:rsid w:val="00072A9A"/>
    <w:rsid w:val="000743AA"/>
    <w:rsid w:val="00085109"/>
    <w:rsid w:val="0009225C"/>
    <w:rsid w:val="000A17C4"/>
    <w:rsid w:val="000A36A4"/>
    <w:rsid w:val="000B1EE1"/>
    <w:rsid w:val="000B2352"/>
    <w:rsid w:val="000B3697"/>
    <w:rsid w:val="000C61E9"/>
    <w:rsid w:val="000C7B84"/>
    <w:rsid w:val="000D261B"/>
    <w:rsid w:val="000D2DFE"/>
    <w:rsid w:val="000D58A3"/>
    <w:rsid w:val="000E3556"/>
    <w:rsid w:val="000E3ED4"/>
    <w:rsid w:val="000E3F9C"/>
    <w:rsid w:val="000F1550"/>
    <w:rsid w:val="000F251B"/>
    <w:rsid w:val="000F342F"/>
    <w:rsid w:val="000F5FE8"/>
    <w:rsid w:val="000F6644"/>
    <w:rsid w:val="0010068B"/>
    <w:rsid w:val="00100833"/>
    <w:rsid w:val="00102F72"/>
    <w:rsid w:val="00107E85"/>
    <w:rsid w:val="00113EE8"/>
    <w:rsid w:val="0011455A"/>
    <w:rsid w:val="00114A65"/>
    <w:rsid w:val="00122230"/>
    <w:rsid w:val="001235C0"/>
    <w:rsid w:val="00133061"/>
    <w:rsid w:val="00141699"/>
    <w:rsid w:val="00147000"/>
    <w:rsid w:val="00155CDE"/>
    <w:rsid w:val="00156BF6"/>
    <w:rsid w:val="00163091"/>
    <w:rsid w:val="00164119"/>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1F71E8"/>
    <w:rsid w:val="00200A38"/>
    <w:rsid w:val="00200A46"/>
    <w:rsid w:val="0020206E"/>
    <w:rsid w:val="0021040A"/>
    <w:rsid w:val="00211B6F"/>
    <w:rsid w:val="0021438F"/>
    <w:rsid w:val="00217CC3"/>
    <w:rsid w:val="00220AB6"/>
    <w:rsid w:val="0022120F"/>
    <w:rsid w:val="0022754A"/>
    <w:rsid w:val="00236560"/>
    <w:rsid w:val="0023662E"/>
    <w:rsid w:val="00237086"/>
    <w:rsid w:val="00245D0F"/>
    <w:rsid w:val="002548C3"/>
    <w:rsid w:val="00257ACD"/>
    <w:rsid w:val="00262908"/>
    <w:rsid w:val="002650F4"/>
    <w:rsid w:val="002715FD"/>
    <w:rsid w:val="00271EFB"/>
    <w:rsid w:val="00275CFC"/>
    <w:rsid w:val="002770B1"/>
    <w:rsid w:val="00285B33"/>
    <w:rsid w:val="00287A3C"/>
    <w:rsid w:val="002A2FC6"/>
    <w:rsid w:val="002C1EC7"/>
    <w:rsid w:val="002C4342"/>
    <w:rsid w:val="002C6202"/>
    <w:rsid w:val="002C7EA3"/>
    <w:rsid w:val="002D20AE"/>
    <w:rsid w:val="002D6C61"/>
    <w:rsid w:val="002E2104"/>
    <w:rsid w:val="002E2DAC"/>
    <w:rsid w:val="002E6963"/>
    <w:rsid w:val="002E6AC6"/>
    <w:rsid w:val="002E6F8F"/>
    <w:rsid w:val="002F05D8"/>
    <w:rsid w:val="002F0682"/>
    <w:rsid w:val="002F081A"/>
    <w:rsid w:val="002F110C"/>
    <w:rsid w:val="002F2DE0"/>
    <w:rsid w:val="002F5E25"/>
    <w:rsid w:val="0030353C"/>
    <w:rsid w:val="0030448C"/>
    <w:rsid w:val="003125C3"/>
    <w:rsid w:val="00312AE6"/>
    <w:rsid w:val="00317D1A"/>
    <w:rsid w:val="003211FF"/>
    <w:rsid w:val="00323587"/>
    <w:rsid w:val="00327247"/>
    <w:rsid w:val="00327A9D"/>
    <w:rsid w:val="0033130E"/>
    <w:rsid w:val="0033269C"/>
    <w:rsid w:val="0035516C"/>
    <w:rsid w:val="00355A4C"/>
    <w:rsid w:val="003604FB"/>
    <w:rsid w:val="00360B73"/>
    <w:rsid w:val="00362F77"/>
    <w:rsid w:val="00380B71"/>
    <w:rsid w:val="0038365A"/>
    <w:rsid w:val="00386A89"/>
    <w:rsid w:val="0039648E"/>
    <w:rsid w:val="003A536C"/>
    <w:rsid w:val="003A5AFE"/>
    <w:rsid w:val="003A5D5F"/>
    <w:rsid w:val="003A7FFE"/>
    <w:rsid w:val="003B0437"/>
    <w:rsid w:val="003B0A63"/>
    <w:rsid w:val="003B50E1"/>
    <w:rsid w:val="003C1746"/>
    <w:rsid w:val="003C2AA9"/>
    <w:rsid w:val="003C58BF"/>
    <w:rsid w:val="003D451D"/>
    <w:rsid w:val="003E09B2"/>
    <w:rsid w:val="003F0A16"/>
    <w:rsid w:val="003F2DD8"/>
    <w:rsid w:val="003F3F2D"/>
    <w:rsid w:val="003F50B2"/>
    <w:rsid w:val="00400CCF"/>
    <w:rsid w:val="00401BFF"/>
    <w:rsid w:val="004038B5"/>
    <w:rsid w:val="00404424"/>
    <w:rsid w:val="0041156B"/>
    <w:rsid w:val="004122C5"/>
    <w:rsid w:val="00413B78"/>
    <w:rsid w:val="00416DDE"/>
    <w:rsid w:val="0044411E"/>
    <w:rsid w:val="00453435"/>
    <w:rsid w:val="00466398"/>
    <w:rsid w:val="0047306D"/>
    <w:rsid w:val="00473791"/>
    <w:rsid w:val="00476E48"/>
    <w:rsid w:val="00481DE9"/>
    <w:rsid w:val="004826D7"/>
    <w:rsid w:val="0049128B"/>
    <w:rsid w:val="00493B49"/>
    <w:rsid w:val="00495501"/>
    <w:rsid w:val="004A070A"/>
    <w:rsid w:val="004A209A"/>
    <w:rsid w:val="004A320E"/>
    <w:rsid w:val="004A4E9C"/>
    <w:rsid w:val="004B1A3C"/>
    <w:rsid w:val="004D2CC3"/>
    <w:rsid w:val="004D35CB"/>
    <w:rsid w:val="004E20E5"/>
    <w:rsid w:val="004E64EA"/>
    <w:rsid w:val="004E7407"/>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2EDB"/>
    <w:rsid w:val="0055720C"/>
    <w:rsid w:val="005632DD"/>
    <w:rsid w:val="0056423B"/>
    <w:rsid w:val="005711BB"/>
    <w:rsid w:val="00573424"/>
    <w:rsid w:val="0057402F"/>
    <w:rsid w:val="005849D6"/>
    <w:rsid w:val="00585367"/>
    <w:rsid w:val="005853FE"/>
    <w:rsid w:val="005856AE"/>
    <w:rsid w:val="005871A1"/>
    <w:rsid w:val="0058737E"/>
    <w:rsid w:val="00592518"/>
    <w:rsid w:val="00592E87"/>
    <w:rsid w:val="00594C4D"/>
    <w:rsid w:val="005A33B0"/>
    <w:rsid w:val="005C2DC2"/>
    <w:rsid w:val="005C304A"/>
    <w:rsid w:val="005C3D69"/>
    <w:rsid w:val="005C5D73"/>
    <w:rsid w:val="005C7C98"/>
    <w:rsid w:val="005D27EB"/>
    <w:rsid w:val="005D55A4"/>
    <w:rsid w:val="005D57C8"/>
    <w:rsid w:val="005D5DEF"/>
    <w:rsid w:val="005D7761"/>
    <w:rsid w:val="005E0278"/>
    <w:rsid w:val="005E090D"/>
    <w:rsid w:val="005E2251"/>
    <w:rsid w:val="005E3CA0"/>
    <w:rsid w:val="005E44B1"/>
    <w:rsid w:val="005E67B0"/>
    <w:rsid w:val="005E6C65"/>
    <w:rsid w:val="005E7047"/>
    <w:rsid w:val="005E777F"/>
    <w:rsid w:val="005F1CA7"/>
    <w:rsid w:val="005F43DD"/>
    <w:rsid w:val="005F51A9"/>
    <w:rsid w:val="005F6BE1"/>
    <w:rsid w:val="005F7416"/>
    <w:rsid w:val="00600C11"/>
    <w:rsid w:val="00606B89"/>
    <w:rsid w:val="00607AE8"/>
    <w:rsid w:val="006100F4"/>
    <w:rsid w:val="00611EAF"/>
    <w:rsid w:val="00623858"/>
    <w:rsid w:val="00623F30"/>
    <w:rsid w:val="00623F84"/>
    <w:rsid w:val="00625857"/>
    <w:rsid w:val="00625FB8"/>
    <w:rsid w:val="006261BD"/>
    <w:rsid w:val="00635EDB"/>
    <w:rsid w:val="0064734E"/>
    <w:rsid w:val="00650137"/>
    <w:rsid w:val="006509D7"/>
    <w:rsid w:val="00651CE8"/>
    <w:rsid w:val="00653253"/>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1C3A"/>
    <w:rsid w:val="006D40D5"/>
    <w:rsid w:val="006E6B2B"/>
    <w:rsid w:val="006F009A"/>
    <w:rsid w:val="006F3D93"/>
    <w:rsid w:val="007019B1"/>
    <w:rsid w:val="00721657"/>
    <w:rsid w:val="007279A8"/>
    <w:rsid w:val="00727B1A"/>
    <w:rsid w:val="00741337"/>
    <w:rsid w:val="00752258"/>
    <w:rsid w:val="007529E1"/>
    <w:rsid w:val="00754BD0"/>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7D71"/>
    <w:rsid w:val="007F1CC7"/>
    <w:rsid w:val="007F5C18"/>
    <w:rsid w:val="008027AC"/>
    <w:rsid w:val="008028CE"/>
    <w:rsid w:val="0080332E"/>
    <w:rsid w:val="008141E0"/>
    <w:rsid w:val="00816EE1"/>
    <w:rsid w:val="00816F88"/>
    <w:rsid w:val="00820E2F"/>
    <w:rsid w:val="0082144C"/>
    <w:rsid w:val="00822323"/>
    <w:rsid w:val="00827BC6"/>
    <w:rsid w:val="008300AD"/>
    <w:rsid w:val="00833024"/>
    <w:rsid w:val="00836BDB"/>
    <w:rsid w:val="008419B1"/>
    <w:rsid w:val="00844A56"/>
    <w:rsid w:val="00845B11"/>
    <w:rsid w:val="00851060"/>
    <w:rsid w:val="00852081"/>
    <w:rsid w:val="00872B6E"/>
    <w:rsid w:val="00874DFD"/>
    <w:rsid w:val="008802F9"/>
    <w:rsid w:val="00883086"/>
    <w:rsid w:val="008879FD"/>
    <w:rsid w:val="00894C37"/>
    <w:rsid w:val="008A00EA"/>
    <w:rsid w:val="008A3F7B"/>
    <w:rsid w:val="008A3F93"/>
    <w:rsid w:val="008A6236"/>
    <w:rsid w:val="008A6E1C"/>
    <w:rsid w:val="008A72FD"/>
    <w:rsid w:val="008B2EDF"/>
    <w:rsid w:val="008B54CB"/>
    <w:rsid w:val="008B5A3D"/>
    <w:rsid w:val="008C4010"/>
    <w:rsid w:val="008C4442"/>
    <w:rsid w:val="008C4FDF"/>
    <w:rsid w:val="008C6B1F"/>
    <w:rsid w:val="008D1EA6"/>
    <w:rsid w:val="008D5E4F"/>
    <w:rsid w:val="008F12CE"/>
    <w:rsid w:val="008F14F5"/>
    <w:rsid w:val="008F20EB"/>
    <w:rsid w:val="008F71C1"/>
    <w:rsid w:val="00902D41"/>
    <w:rsid w:val="00902F49"/>
    <w:rsid w:val="00914004"/>
    <w:rsid w:val="0092088B"/>
    <w:rsid w:val="00922EC1"/>
    <w:rsid w:val="0092346B"/>
    <w:rsid w:val="009301F1"/>
    <w:rsid w:val="009307DF"/>
    <w:rsid w:val="0093479F"/>
    <w:rsid w:val="009359B8"/>
    <w:rsid w:val="00935FF0"/>
    <w:rsid w:val="009431F8"/>
    <w:rsid w:val="00947A35"/>
    <w:rsid w:val="00953C82"/>
    <w:rsid w:val="00956E4B"/>
    <w:rsid w:val="009570E8"/>
    <w:rsid w:val="00962081"/>
    <w:rsid w:val="00966CB5"/>
    <w:rsid w:val="00975786"/>
    <w:rsid w:val="00981CB7"/>
    <w:rsid w:val="00983E1F"/>
    <w:rsid w:val="00984929"/>
    <w:rsid w:val="00993F46"/>
    <w:rsid w:val="00997358"/>
    <w:rsid w:val="009A452B"/>
    <w:rsid w:val="009A4F92"/>
    <w:rsid w:val="009A68A6"/>
    <w:rsid w:val="009B050C"/>
    <w:rsid w:val="009B077E"/>
    <w:rsid w:val="009B087F"/>
    <w:rsid w:val="009B2AF4"/>
    <w:rsid w:val="009B4E3F"/>
    <w:rsid w:val="009B5897"/>
    <w:rsid w:val="009C110B"/>
    <w:rsid w:val="009C5441"/>
    <w:rsid w:val="009D119F"/>
    <w:rsid w:val="009D31E9"/>
    <w:rsid w:val="009D49A2"/>
    <w:rsid w:val="009E2E4A"/>
    <w:rsid w:val="009F3940"/>
    <w:rsid w:val="009F3EB2"/>
    <w:rsid w:val="009F6EB1"/>
    <w:rsid w:val="009F746E"/>
    <w:rsid w:val="00A11D05"/>
    <w:rsid w:val="00A13162"/>
    <w:rsid w:val="00A20267"/>
    <w:rsid w:val="00A3158C"/>
    <w:rsid w:val="00A32DF3"/>
    <w:rsid w:val="00A33E32"/>
    <w:rsid w:val="00A35E20"/>
    <w:rsid w:val="00A36F6D"/>
    <w:rsid w:val="00A4140A"/>
    <w:rsid w:val="00A454E1"/>
    <w:rsid w:val="00A47F3A"/>
    <w:rsid w:val="00A50B60"/>
    <w:rsid w:val="00A50CA0"/>
    <w:rsid w:val="00A525CC"/>
    <w:rsid w:val="00A53E7C"/>
    <w:rsid w:val="00A60087"/>
    <w:rsid w:val="00A64DBC"/>
    <w:rsid w:val="00A705E8"/>
    <w:rsid w:val="00A721F4"/>
    <w:rsid w:val="00A9392C"/>
    <w:rsid w:val="00A9462B"/>
    <w:rsid w:val="00A97D59"/>
    <w:rsid w:val="00AA3E09"/>
    <w:rsid w:val="00AA43F6"/>
    <w:rsid w:val="00AA4BEF"/>
    <w:rsid w:val="00AB1659"/>
    <w:rsid w:val="00AB4962"/>
    <w:rsid w:val="00AB734E"/>
    <w:rsid w:val="00AB740F"/>
    <w:rsid w:val="00AC6F14"/>
    <w:rsid w:val="00AC7221"/>
    <w:rsid w:val="00AE5961"/>
    <w:rsid w:val="00AF0745"/>
    <w:rsid w:val="00AF38C1"/>
    <w:rsid w:val="00AF4971"/>
    <w:rsid w:val="00AF5276"/>
    <w:rsid w:val="00AF7C86"/>
    <w:rsid w:val="00B01046"/>
    <w:rsid w:val="00B010DB"/>
    <w:rsid w:val="00B310F9"/>
    <w:rsid w:val="00B37866"/>
    <w:rsid w:val="00B40A99"/>
    <w:rsid w:val="00B412FB"/>
    <w:rsid w:val="00B4576B"/>
    <w:rsid w:val="00B46350"/>
    <w:rsid w:val="00B46DF3"/>
    <w:rsid w:val="00B533E9"/>
    <w:rsid w:val="00B6192B"/>
    <w:rsid w:val="00B66E8F"/>
    <w:rsid w:val="00B80157"/>
    <w:rsid w:val="00B8208F"/>
    <w:rsid w:val="00B83D5E"/>
    <w:rsid w:val="00B8460A"/>
    <w:rsid w:val="00B8650D"/>
    <w:rsid w:val="00B879B4"/>
    <w:rsid w:val="00B90F07"/>
    <w:rsid w:val="00B97BB9"/>
    <w:rsid w:val="00BA0009"/>
    <w:rsid w:val="00BA2456"/>
    <w:rsid w:val="00BB1863"/>
    <w:rsid w:val="00BB25EE"/>
    <w:rsid w:val="00BB363A"/>
    <w:rsid w:val="00BC10A0"/>
    <w:rsid w:val="00BC75FD"/>
    <w:rsid w:val="00BC7BA2"/>
    <w:rsid w:val="00BD426B"/>
    <w:rsid w:val="00BD79F0"/>
    <w:rsid w:val="00BE2B4D"/>
    <w:rsid w:val="00C015F8"/>
    <w:rsid w:val="00C07E26"/>
    <w:rsid w:val="00C1011C"/>
    <w:rsid w:val="00C12F94"/>
    <w:rsid w:val="00C177C5"/>
    <w:rsid w:val="00C277FE"/>
    <w:rsid w:val="00C34EC3"/>
    <w:rsid w:val="00C4038C"/>
    <w:rsid w:val="00C42BA2"/>
    <w:rsid w:val="00C44066"/>
    <w:rsid w:val="00C44E13"/>
    <w:rsid w:val="00C540FE"/>
    <w:rsid w:val="00C55372"/>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A6FC4"/>
    <w:rsid w:val="00CB0053"/>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04CCB"/>
    <w:rsid w:val="00D10FC7"/>
    <w:rsid w:val="00D11BC6"/>
    <w:rsid w:val="00D1519F"/>
    <w:rsid w:val="00D20E99"/>
    <w:rsid w:val="00D21C83"/>
    <w:rsid w:val="00D278F9"/>
    <w:rsid w:val="00D35BDD"/>
    <w:rsid w:val="00D52061"/>
    <w:rsid w:val="00D5468D"/>
    <w:rsid w:val="00D63006"/>
    <w:rsid w:val="00D72301"/>
    <w:rsid w:val="00D7709E"/>
    <w:rsid w:val="00D87E6C"/>
    <w:rsid w:val="00D90E76"/>
    <w:rsid w:val="00D911DE"/>
    <w:rsid w:val="00D91B97"/>
    <w:rsid w:val="00D93ACC"/>
    <w:rsid w:val="00D93C08"/>
    <w:rsid w:val="00D93E25"/>
    <w:rsid w:val="00D95A9F"/>
    <w:rsid w:val="00D95DAC"/>
    <w:rsid w:val="00DA0B53"/>
    <w:rsid w:val="00DB1171"/>
    <w:rsid w:val="00DB1519"/>
    <w:rsid w:val="00DB2840"/>
    <w:rsid w:val="00DB4E8A"/>
    <w:rsid w:val="00DC1BD3"/>
    <w:rsid w:val="00DC2C1A"/>
    <w:rsid w:val="00DC7BBD"/>
    <w:rsid w:val="00DD5A6D"/>
    <w:rsid w:val="00DD66B4"/>
    <w:rsid w:val="00DE1972"/>
    <w:rsid w:val="00DE27AB"/>
    <w:rsid w:val="00DE4CBC"/>
    <w:rsid w:val="00DF2AB3"/>
    <w:rsid w:val="00DF7250"/>
    <w:rsid w:val="00DF7B69"/>
    <w:rsid w:val="00E00CAA"/>
    <w:rsid w:val="00E03EBF"/>
    <w:rsid w:val="00E05209"/>
    <w:rsid w:val="00E11BCF"/>
    <w:rsid w:val="00E132BD"/>
    <w:rsid w:val="00E17936"/>
    <w:rsid w:val="00E2258E"/>
    <w:rsid w:val="00E258BF"/>
    <w:rsid w:val="00E260C2"/>
    <w:rsid w:val="00E32596"/>
    <w:rsid w:val="00E368F7"/>
    <w:rsid w:val="00E36EB8"/>
    <w:rsid w:val="00E37FB8"/>
    <w:rsid w:val="00E40B07"/>
    <w:rsid w:val="00E42326"/>
    <w:rsid w:val="00E43544"/>
    <w:rsid w:val="00E44D89"/>
    <w:rsid w:val="00E477EA"/>
    <w:rsid w:val="00E51041"/>
    <w:rsid w:val="00E51290"/>
    <w:rsid w:val="00E55807"/>
    <w:rsid w:val="00E5733F"/>
    <w:rsid w:val="00E63B14"/>
    <w:rsid w:val="00E64A54"/>
    <w:rsid w:val="00E65CA0"/>
    <w:rsid w:val="00E70D9F"/>
    <w:rsid w:val="00E83810"/>
    <w:rsid w:val="00E86933"/>
    <w:rsid w:val="00E9605B"/>
    <w:rsid w:val="00E97298"/>
    <w:rsid w:val="00E97753"/>
    <w:rsid w:val="00EA26AF"/>
    <w:rsid w:val="00EA7DE7"/>
    <w:rsid w:val="00EB7196"/>
    <w:rsid w:val="00EB7A8A"/>
    <w:rsid w:val="00EC3284"/>
    <w:rsid w:val="00EC703E"/>
    <w:rsid w:val="00ED34CF"/>
    <w:rsid w:val="00EE3A64"/>
    <w:rsid w:val="00EE50E5"/>
    <w:rsid w:val="00EF01CF"/>
    <w:rsid w:val="00F03590"/>
    <w:rsid w:val="00F03622"/>
    <w:rsid w:val="00F077FD"/>
    <w:rsid w:val="00F204F3"/>
    <w:rsid w:val="00F218AB"/>
    <w:rsid w:val="00F2340C"/>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0EB8"/>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 w:val="00FF79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ECE8972"/>
  <w15:docId w15:val="{B4911831-8830-4E73-B407-1FC366E06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List Paragraph11,Recommendation"/>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 w:type="paragraph" w:customStyle="1" w:styleId="ppiTitleII">
    <w:name w:val="ppi TitleII"/>
    <w:basedOn w:val="Normal"/>
    <w:next w:val="Normal"/>
    <w:rsid w:val="005E2251"/>
    <w:pPr>
      <w:tabs>
        <w:tab w:val="clear" w:pos="794"/>
        <w:tab w:val="clear" w:pos="1191"/>
        <w:tab w:val="clear" w:pos="1588"/>
        <w:tab w:val="clear" w:pos="1985"/>
      </w:tabs>
      <w:overflowPunct/>
      <w:autoSpaceDE/>
      <w:autoSpaceDN/>
      <w:adjustRightInd/>
      <w:spacing w:before="0" w:after="480"/>
      <w:jc w:val="center"/>
      <w:textAlignment w:val="auto"/>
    </w:pPr>
    <w:rPr>
      <w:rFonts w:ascii="Arial" w:hAnsi="Arial"/>
      <w:b/>
      <w:sz w:val="22"/>
      <w:szCs w:val="22"/>
      <w:lang w:val="en-US"/>
    </w:rPr>
  </w:style>
  <w:style w:type="character" w:customStyle="1" w:styleId="href">
    <w:name w:val="href"/>
    <w:basedOn w:val="DefaultParagraphFont"/>
    <w:rsid w:val="005E2251"/>
    <w:rPr>
      <w:color w:val="auto"/>
    </w:rPr>
  </w:style>
  <w:style w:type="character" w:customStyle="1" w:styleId="ListParagraphChar">
    <w:name w:val="List Paragraph Char"/>
    <w:aliases w:val="List Paragraph1 Char,List Paragraph11 Char,Recommendation Char"/>
    <w:basedOn w:val="DefaultParagraphFont"/>
    <w:link w:val="ListParagraph"/>
    <w:uiPriority w:val="34"/>
    <w:rsid w:val="005E2251"/>
    <w:rPr>
      <w:rFonts w:asciiTheme="minorHAnsi" w:hAnsiTheme="minorHAnsi"/>
      <w:sz w:val="24"/>
      <w:lang w:val="fr-CH" w:eastAsia="en-US"/>
    </w:rPr>
  </w:style>
  <w:style w:type="paragraph" w:customStyle="1" w:styleId="DecNo">
    <w:name w:val="Dec_No"/>
    <w:basedOn w:val="ResNo"/>
    <w:next w:val="Normal"/>
    <w:qFormat/>
    <w:rsid w:val="005E2251"/>
    <w:pPr>
      <w:keepNext w:val="0"/>
      <w:keepLines w:val="0"/>
      <w:tabs>
        <w:tab w:val="clear" w:pos="794"/>
        <w:tab w:val="clear" w:pos="1191"/>
        <w:tab w:val="clear" w:pos="1588"/>
        <w:tab w:val="clear" w:pos="1985"/>
        <w:tab w:val="left" w:pos="567"/>
        <w:tab w:val="left" w:pos="1134"/>
        <w:tab w:val="left" w:pos="1701"/>
        <w:tab w:val="left" w:pos="2268"/>
        <w:tab w:val="left" w:pos="2835"/>
      </w:tabs>
      <w:spacing w:before="720"/>
    </w:pPr>
    <w:rPr>
      <w:rFonts w:ascii="Calibri" w:hAnsi="Calibri"/>
      <w:lang w:val="fr-FR"/>
    </w:rPr>
  </w:style>
  <w:style w:type="paragraph" w:customStyle="1" w:styleId="Figure">
    <w:name w:val="Figure"/>
    <w:basedOn w:val="Normal"/>
    <w:next w:val="Normal"/>
    <w:rsid w:val="00AA43F6"/>
    <w:pPr>
      <w:keepNext/>
      <w:keepLines/>
      <w:tabs>
        <w:tab w:val="clear" w:pos="794"/>
        <w:tab w:val="clear" w:pos="1191"/>
        <w:tab w:val="clear" w:pos="1588"/>
        <w:tab w:val="clear" w:pos="1985"/>
        <w:tab w:val="left" w:pos="1134"/>
        <w:tab w:val="left" w:pos="1871"/>
        <w:tab w:val="left" w:pos="2268"/>
      </w:tabs>
      <w:jc w:val="center"/>
    </w:pPr>
    <w:rPr>
      <w:lang w:val="en-GB"/>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3A536C"/>
    <w:rPr>
      <w:rFonts w:asciiTheme="minorHAnsi" w:hAnsiTheme="minorHAnsi"/>
      <w:sz w:val="24"/>
      <w:lang w:val="fr-CH" w:eastAsia="en-US"/>
    </w:rPr>
  </w:style>
  <w:style w:type="character" w:styleId="FollowedHyperlink">
    <w:name w:val="FollowedHyperlink"/>
    <w:basedOn w:val="DefaultParagraphFont"/>
    <w:semiHidden/>
    <w:unhideWhenUsed/>
    <w:rsid w:val="000D2DFE"/>
    <w:rPr>
      <w:color w:val="800080" w:themeColor="followedHyperlink"/>
      <w:u w:val="single"/>
    </w:rPr>
  </w:style>
  <w:style w:type="character" w:styleId="CommentReference">
    <w:name w:val="annotation reference"/>
    <w:basedOn w:val="DefaultParagraphFont"/>
    <w:semiHidden/>
    <w:unhideWhenUsed/>
    <w:rsid w:val="009B4E3F"/>
    <w:rPr>
      <w:sz w:val="16"/>
      <w:szCs w:val="16"/>
    </w:rPr>
  </w:style>
  <w:style w:type="paragraph" w:styleId="CommentText">
    <w:name w:val="annotation text"/>
    <w:basedOn w:val="Normal"/>
    <w:link w:val="CommentTextChar"/>
    <w:semiHidden/>
    <w:unhideWhenUsed/>
    <w:rsid w:val="009B4E3F"/>
    <w:rPr>
      <w:sz w:val="20"/>
    </w:rPr>
  </w:style>
  <w:style w:type="character" w:customStyle="1" w:styleId="CommentTextChar">
    <w:name w:val="Comment Text Char"/>
    <w:basedOn w:val="DefaultParagraphFont"/>
    <w:link w:val="CommentText"/>
    <w:semiHidden/>
    <w:rsid w:val="009B4E3F"/>
    <w:rPr>
      <w:rFonts w:asciiTheme="minorHAnsi" w:hAnsiTheme="minorHAnsi"/>
      <w:lang w:val="fr-CH" w:eastAsia="en-US"/>
    </w:rPr>
  </w:style>
  <w:style w:type="paragraph" w:styleId="CommentSubject">
    <w:name w:val="annotation subject"/>
    <w:basedOn w:val="CommentText"/>
    <w:next w:val="CommentText"/>
    <w:link w:val="CommentSubjectChar"/>
    <w:semiHidden/>
    <w:unhideWhenUsed/>
    <w:rsid w:val="009B4E3F"/>
    <w:rPr>
      <w:b/>
      <w:bCs/>
    </w:rPr>
  </w:style>
  <w:style w:type="character" w:customStyle="1" w:styleId="CommentSubjectChar">
    <w:name w:val="Comment Subject Char"/>
    <w:basedOn w:val="CommentTextChar"/>
    <w:link w:val="CommentSubject"/>
    <w:semiHidden/>
    <w:rsid w:val="009B4E3F"/>
    <w:rPr>
      <w:rFonts w:asciiTheme="minorHAnsi" w:hAnsiTheme="minorHAnsi"/>
      <w:b/>
      <w:bCs/>
      <w:lang w:val="fr-CH" w:eastAsia="en-US"/>
    </w:rPr>
  </w:style>
  <w:style w:type="paragraph" w:styleId="BalloonText">
    <w:name w:val="Balloon Text"/>
    <w:basedOn w:val="Normal"/>
    <w:link w:val="BalloonTextChar"/>
    <w:semiHidden/>
    <w:unhideWhenUsed/>
    <w:rsid w:val="009B4E3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B4E3F"/>
    <w:rPr>
      <w:rFonts w:ascii="Segoe UI" w:hAnsi="Segoe UI" w:cs="Segoe UI"/>
      <w:sz w:val="18"/>
      <w:szCs w:val="18"/>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7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web/pp-18/fr/page/192-Documents"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itu.int/fr/ITU-D/Conferences/TDAG/Pages/TDAG19/default.aspx" TargetMode="External"/><Relationship Id="rId1" Type="http://schemas.openxmlformats.org/officeDocument/2006/relationships/hyperlink" Target="mailto:yushi.torigoe@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grin\AppData\Roaming\Microsoft\Templates\POOL%20F%20-%20ITU\PF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1EF73-DCF5-4A67-9BFB-24801E4D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PF_TDAG19.dotx</Template>
  <TotalTime>29</TotalTime>
  <Pages>4</Pages>
  <Words>1137</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7900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Lugrin, Valerie</dc:creator>
  <cp:lastModifiedBy>Royer, Veronique</cp:lastModifiedBy>
  <cp:revision>6</cp:revision>
  <cp:lastPrinted>2019-01-29T13:59:00Z</cp:lastPrinted>
  <dcterms:created xsi:type="dcterms:W3CDTF">2019-01-30T08:08:00Z</dcterms:created>
  <dcterms:modified xsi:type="dcterms:W3CDTF">2019-01-30T11:16:00Z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