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F67958" w:rsidTr="0020157A">
        <w:trPr>
          <w:cantSplit/>
          <w:trHeight w:val="1134"/>
        </w:trPr>
        <w:tc>
          <w:tcPr>
            <w:tcW w:w="7251" w:type="dxa"/>
          </w:tcPr>
          <w:p w:rsidR="0021438F" w:rsidRPr="00F67958" w:rsidRDefault="0021438F" w:rsidP="008F2FF8">
            <w:pPr>
              <w:tabs>
                <w:tab w:val="left" w:pos="1871"/>
                <w:tab w:val="left" w:pos="2268"/>
              </w:tabs>
              <w:spacing w:before="20" w:after="48"/>
              <w:ind w:left="34"/>
              <w:rPr>
                <w:b/>
                <w:bCs/>
                <w:sz w:val="32"/>
                <w:szCs w:val="32"/>
                <w:lang w:val="fr-FR"/>
              </w:rPr>
            </w:pPr>
            <w:r w:rsidRPr="00F67958">
              <w:rPr>
                <w:b/>
                <w:sz w:val="32"/>
                <w:szCs w:val="32"/>
                <w:lang w:val="fr-FR"/>
              </w:rPr>
              <w:t>Groupe</w:t>
            </w:r>
            <w:r w:rsidRPr="00F67958">
              <w:rPr>
                <w:b/>
                <w:bCs/>
                <w:sz w:val="32"/>
                <w:szCs w:val="32"/>
                <w:lang w:val="fr-FR"/>
              </w:rPr>
              <w:t xml:space="preserve"> consultatif pour le développement </w:t>
            </w:r>
            <w:r w:rsidRPr="00F67958">
              <w:rPr>
                <w:b/>
                <w:bCs/>
                <w:sz w:val="32"/>
                <w:szCs w:val="32"/>
                <w:lang w:val="fr-FR"/>
              </w:rPr>
              <w:br/>
              <w:t>des télécommunications (GCDT)</w:t>
            </w:r>
          </w:p>
          <w:p w:rsidR="0021438F" w:rsidRPr="00F67958" w:rsidRDefault="00D87E6C" w:rsidP="008F2FF8">
            <w:pPr>
              <w:tabs>
                <w:tab w:val="clear" w:pos="1191"/>
                <w:tab w:val="clear" w:pos="1588"/>
                <w:tab w:val="clear" w:pos="1985"/>
              </w:tabs>
              <w:spacing w:before="100" w:after="120"/>
              <w:ind w:left="34"/>
              <w:rPr>
                <w:rFonts w:ascii="Verdana" w:hAnsi="Verdana"/>
                <w:sz w:val="28"/>
                <w:szCs w:val="28"/>
                <w:lang w:val="fr-FR"/>
              </w:rPr>
            </w:pPr>
            <w:r w:rsidRPr="00F67958">
              <w:rPr>
                <w:b/>
                <w:bCs/>
                <w:sz w:val="26"/>
                <w:szCs w:val="26"/>
                <w:lang w:val="fr-FR"/>
              </w:rPr>
              <w:t>24ème réunion, Genève, 3-5 avril 2019</w:t>
            </w:r>
          </w:p>
        </w:tc>
        <w:tc>
          <w:tcPr>
            <w:tcW w:w="2996" w:type="dxa"/>
          </w:tcPr>
          <w:p w:rsidR="0021438F" w:rsidRPr="00F67958" w:rsidRDefault="00D87E6C" w:rsidP="008F2FF8">
            <w:pPr>
              <w:spacing w:before="0"/>
              <w:ind w:right="142"/>
              <w:jc w:val="right"/>
              <w:rPr>
                <w:lang w:val="fr-FR"/>
              </w:rPr>
            </w:pPr>
            <w:r w:rsidRPr="00F67958">
              <w:rPr>
                <w:noProof/>
                <w:color w:val="3399FF"/>
                <w:lang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F67958" w:rsidTr="000C61E9">
        <w:trPr>
          <w:cantSplit/>
        </w:trPr>
        <w:tc>
          <w:tcPr>
            <w:tcW w:w="7251" w:type="dxa"/>
            <w:tcBorders>
              <w:top w:val="single" w:sz="12" w:space="0" w:color="auto"/>
            </w:tcBorders>
          </w:tcPr>
          <w:p w:rsidR="00683C32" w:rsidRPr="00F67958" w:rsidRDefault="00683C32" w:rsidP="008F2FF8">
            <w:pPr>
              <w:spacing w:before="0"/>
              <w:rPr>
                <w:rFonts w:cs="Arial"/>
                <w:b/>
                <w:bCs/>
                <w:sz w:val="20"/>
                <w:lang w:val="fr-FR"/>
              </w:rPr>
            </w:pPr>
          </w:p>
        </w:tc>
        <w:tc>
          <w:tcPr>
            <w:tcW w:w="2996" w:type="dxa"/>
            <w:tcBorders>
              <w:top w:val="single" w:sz="12" w:space="0" w:color="auto"/>
            </w:tcBorders>
          </w:tcPr>
          <w:p w:rsidR="00683C32" w:rsidRPr="00F67958" w:rsidRDefault="00683C32" w:rsidP="008F2FF8">
            <w:pPr>
              <w:spacing w:before="0"/>
              <w:rPr>
                <w:b/>
                <w:bCs/>
                <w:sz w:val="20"/>
                <w:lang w:val="fr-FR"/>
              </w:rPr>
            </w:pPr>
          </w:p>
        </w:tc>
      </w:tr>
      <w:tr w:rsidR="00683C32" w:rsidRPr="00F67958" w:rsidTr="000C61E9">
        <w:trPr>
          <w:cantSplit/>
        </w:trPr>
        <w:tc>
          <w:tcPr>
            <w:tcW w:w="7251" w:type="dxa"/>
          </w:tcPr>
          <w:p w:rsidR="00683C32" w:rsidRPr="00F67958" w:rsidRDefault="00683C32" w:rsidP="008F2FF8">
            <w:pPr>
              <w:pStyle w:val="Committee"/>
              <w:spacing w:before="0"/>
              <w:rPr>
                <w:b w:val="0"/>
                <w:szCs w:val="24"/>
                <w:lang w:val="fr-FR"/>
              </w:rPr>
            </w:pPr>
          </w:p>
        </w:tc>
        <w:tc>
          <w:tcPr>
            <w:tcW w:w="2996" w:type="dxa"/>
          </w:tcPr>
          <w:p w:rsidR="00683C32" w:rsidRPr="00F67958" w:rsidRDefault="00323587" w:rsidP="008F2FF8">
            <w:pPr>
              <w:spacing w:before="0"/>
              <w:rPr>
                <w:bCs/>
                <w:szCs w:val="24"/>
                <w:lang w:val="fr-FR"/>
              </w:rPr>
            </w:pPr>
            <w:r w:rsidRPr="00F67958">
              <w:rPr>
                <w:b/>
                <w:bCs/>
                <w:szCs w:val="28"/>
                <w:lang w:val="fr-FR"/>
              </w:rPr>
              <w:t xml:space="preserve">Document </w:t>
            </w:r>
            <w:bookmarkStart w:id="0" w:name="DocRef1"/>
            <w:bookmarkEnd w:id="0"/>
            <w:r w:rsidRPr="00F67958">
              <w:rPr>
                <w:b/>
                <w:bCs/>
                <w:szCs w:val="28"/>
                <w:lang w:val="fr-FR"/>
              </w:rPr>
              <w:t>TDAG</w:t>
            </w:r>
            <w:r w:rsidR="008F20EB" w:rsidRPr="00F67958">
              <w:rPr>
                <w:b/>
                <w:bCs/>
                <w:szCs w:val="28"/>
                <w:lang w:val="fr-FR"/>
              </w:rPr>
              <w:t>-</w:t>
            </w:r>
            <w:r w:rsidRPr="00F67958">
              <w:rPr>
                <w:b/>
                <w:bCs/>
                <w:szCs w:val="28"/>
                <w:lang w:val="fr-FR"/>
              </w:rPr>
              <w:t>1</w:t>
            </w:r>
            <w:r w:rsidR="00D87E6C" w:rsidRPr="00F67958">
              <w:rPr>
                <w:b/>
                <w:bCs/>
                <w:szCs w:val="28"/>
                <w:lang w:val="fr-FR"/>
              </w:rPr>
              <w:t>9</w:t>
            </w:r>
            <w:r w:rsidRPr="00F67958">
              <w:rPr>
                <w:b/>
                <w:bCs/>
                <w:szCs w:val="28"/>
                <w:lang w:val="fr-FR"/>
              </w:rPr>
              <w:t>/</w:t>
            </w:r>
            <w:bookmarkStart w:id="1" w:name="DocNo1"/>
            <w:bookmarkEnd w:id="1"/>
            <w:r w:rsidR="00442BE0" w:rsidRPr="00F67958">
              <w:rPr>
                <w:b/>
                <w:bCs/>
                <w:szCs w:val="28"/>
                <w:lang w:val="fr-FR"/>
              </w:rPr>
              <w:t>3</w:t>
            </w:r>
            <w:r w:rsidRPr="00F67958">
              <w:rPr>
                <w:b/>
                <w:bCs/>
                <w:szCs w:val="28"/>
                <w:lang w:val="fr-FR"/>
              </w:rPr>
              <w:t>-F</w:t>
            </w:r>
          </w:p>
        </w:tc>
      </w:tr>
      <w:tr w:rsidR="00683C32" w:rsidRPr="00F67958" w:rsidTr="000C61E9">
        <w:trPr>
          <w:cantSplit/>
        </w:trPr>
        <w:tc>
          <w:tcPr>
            <w:tcW w:w="7251" w:type="dxa"/>
          </w:tcPr>
          <w:p w:rsidR="00683C32" w:rsidRPr="00F67958" w:rsidRDefault="00683C32" w:rsidP="008F2FF8">
            <w:pPr>
              <w:spacing w:before="0"/>
              <w:rPr>
                <w:b/>
                <w:bCs/>
                <w:smallCaps/>
                <w:szCs w:val="24"/>
                <w:lang w:val="fr-FR"/>
              </w:rPr>
            </w:pPr>
          </w:p>
        </w:tc>
        <w:tc>
          <w:tcPr>
            <w:tcW w:w="2996" w:type="dxa"/>
          </w:tcPr>
          <w:p w:rsidR="00683C32" w:rsidRPr="00F67958" w:rsidRDefault="00442BE0" w:rsidP="008F2FF8">
            <w:pPr>
              <w:spacing w:before="0"/>
              <w:rPr>
                <w:b/>
                <w:szCs w:val="24"/>
                <w:lang w:val="fr-FR"/>
              </w:rPr>
            </w:pPr>
            <w:bookmarkStart w:id="2" w:name="CreationDate"/>
            <w:bookmarkEnd w:id="2"/>
            <w:r w:rsidRPr="00F67958">
              <w:rPr>
                <w:b/>
                <w:bCs/>
                <w:szCs w:val="28"/>
                <w:lang w:val="fr-FR"/>
              </w:rPr>
              <w:t>19 février</w:t>
            </w:r>
            <w:r w:rsidR="00323587" w:rsidRPr="00F67958">
              <w:rPr>
                <w:b/>
                <w:bCs/>
                <w:szCs w:val="28"/>
                <w:lang w:val="fr-FR"/>
              </w:rPr>
              <w:t xml:space="preserve"> 201</w:t>
            </w:r>
            <w:r w:rsidR="00D87E6C" w:rsidRPr="00F67958">
              <w:rPr>
                <w:b/>
                <w:bCs/>
                <w:szCs w:val="28"/>
                <w:lang w:val="fr-FR"/>
              </w:rPr>
              <w:t>9</w:t>
            </w:r>
          </w:p>
        </w:tc>
      </w:tr>
      <w:tr w:rsidR="00683C32" w:rsidRPr="00F67958" w:rsidTr="000C61E9">
        <w:trPr>
          <w:cantSplit/>
        </w:trPr>
        <w:tc>
          <w:tcPr>
            <w:tcW w:w="7251" w:type="dxa"/>
          </w:tcPr>
          <w:p w:rsidR="00683C32" w:rsidRPr="00F67958" w:rsidRDefault="00683C32" w:rsidP="008F2FF8">
            <w:pPr>
              <w:spacing w:before="0"/>
              <w:rPr>
                <w:b/>
                <w:bCs/>
                <w:smallCaps/>
                <w:szCs w:val="24"/>
                <w:lang w:val="fr-FR"/>
              </w:rPr>
            </w:pPr>
          </w:p>
        </w:tc>
        <w:tc>
          <w:tcPr>
            <w:tcW w:w="2996" w:type="dxa"/>
          </w:tcPr>
          <w:p w:rsidR="00514D2F" w:rsidRPr="00F67958" w:rsidRDefault="00323587" w:rsidP="008F2FF8">
            <w:pPr>
              <w:spacing w:before="0"/>
              <w:rPr>
                <w:szCs w:val="24"/>
                <w:lang w:val="fr-FR"/>
              </w:rPr>
            </w:pPr>
            <w:r w:rsidRPr="00F67958">
              <w:rPr>
                <w:b/>
                <w:szCs w:val="28"/>
                <w:lang w:val="fr-FR"/>
              </w:rPr>
              <w:t>Original:</w:t>
            </w:r>
            <w:bookmarkStart w:id="3" w:name="Original"/>
            <w:bookmarkEnd w:id="3"/>
            <w:r w:rsidR="00442BE0" w:rsidRPr="00F67958">
              <w:rPr>
                <w:b/>
                <w:szCs w:val="28"/>
                <w:lang w:val="fr-FR"/>
              </w:rPr>
              <w:t xml:space="preserve"> anglais</w:t>
            </w:r>
          </w:p>
        </w:tc>
      </w:tr>
      <w:tr w:rsidR="00A13162" w:rsidRPr="00F67958" w:rsidTr="000C61E9">
        <w:trPr>
          <w:cantSplit/>
          <w:trHeight w:val="852"/>
        </w:trPr>
        <w:tc>
          <w:tcPr>
            <w:tcW w:w="10247" w:type="dxa"/>
            <w:gridSpan w:val="2"/>
          </w:tcPr>
          <w:p w:rsidR="00A13162" w:rsidRPr="00F67958" w:rsidRDefault="00F67958" w:rsidP="008F2FF8">
            <w:pPr>
              <w:pStyle w:val="Source"/>
              <w:rPr>
                <w:lang w:val="fr-FR"/>
              </w:rPr>
            </w:pPr>
            <w:bookmarkStart w:id="4" w:name="Source"/>
            <w:bookmarkEnd w:id="4"/>
            <w:r>
              <w:rPr>
                <w:lang w:val="fr-FR"/>
              </w:rPr>
              <w:t>Direct</w:t>
            </w:r>
            <w:r w:rsidR="00442BE0" w:rsidRPr="00F67958">
              <w:rPr>
                <w:lang w:val="fr-FR"/>
              </w:rPr>
              <w:t>r</w:t>
            </w:r>
            <w:r>
              <w:rPr>
                <w:lang w:val="fr-FR"/>
              </w:rPr>
              <w:t>ice</w:t>
            </w:r>
            <w:r w:rsidR="00442BE0" w:rsidRPr="00F67958">
              <w:rPr>
                <w:lang w:val="fr-FR"/>
              </w:rPr>
              <w:t xml:space="preserve"> du Bureau de développement des télécommunications</w:t>
            </w:r>
          </w:p>
        </w:tc>
      </w:tr>
      <w:tr w:rsidR="00AC6F14" w:rsidRPr="00F67958" w:rsidTr="000C61E9">
        <w:trPr>
          <w:cantSplit/>
        </w:trPr>
        <w:tc>
          <w:tcPr>
            <w:tcW w:w="10247" w:type="dxa"/>
            <w:gridSpan w:val="2"/>
          </w:tcPr>
          <w:p w:rsidR="00AC6F14" w:rsidRPr="00F67958" w:rsidRDefault="00442BE0" w:rsidP="008F2FF8">
            <w:pPr>
              <w:pStyle w:val="Title1"/>
              <w:rPr>
                <w:lang w:val="fr-FR"/>
              </w:rPr>
            </w:pPr>
            <w:bookmarkStart w:id="5" w:name="Title"/>
            <w:bookmarkEnd w:id="5"/>
            <w:r w:rsidRPr="00F67958">
              <w:rPr>
                <w:bCs/>
                <w:szCs w:val="28"/>
                <w:lang w:val="fr-FR"/>
              </w:rPr>
              <w:t>CONTRIBUTION DE L</w:t>
            </w:r>
            <w:r w:rsidR="000749CB">
              <w:rPr>
                <w:bCs/>
                <w:szCs w:val="28"/>
                <w:lang w:val="fr-FR"/>
              </w:rPr>
              <w:t>'</w:t>
            </w:r>
            <w:r w:rsidRPr="00F67958">
              <w:rPr>
                <w:bCs/>
                <w:szCs w:val="28"/>
                <w:lang w:val="fr-FR"/>
              </w:rPr>
              <w:t xml:space="preserve">UIT-D À LA MISE EN OEUVRE DES RÉSULTATS DU SMSI </w:t>
            </w:r>
            <w:r w:rsidRPr="00F67958">
              <w:rPr>
                <w:bCs/>
                <w:szCs w:val="28"/>
                <w:lang w:val="fr-FR"/>
              </w:rPr>
              <w:br/>
              <w:t xml:space="preserve">ET </w:t>
            </w:r>
            <w:r w:rsidR="008F2FF8">
              <w:rPr>
                <w:bCs/>
                <w:szCs w:val="28"/>
                <w:lang w:val="fr-FR"/>
              </w:rPr>
              <w:t xml:space="preserve">DU </w:t>
            </w:r>
            <w:r w:rsidRPr="00F67958">
              <w:rPr>
                <w:bCs/>
                <w:szCs w:val="28"/>
                <w:lang w:val="fr-FR"/>
              </w:rPr>
              <w:t>PROGRAMME DE DÉVELOPPEMENT DURABLE À L</w:t>
            </w:r>
            <w:r w:rsidR="000749CB">
              <w:rPr>
                <w:bCs/>
                <w:szCs w:val="28"/>
                <w:lang w:val="fr-FR"/>
              </w:rPr>
              <w:t>'</w:t>
            </w:r>
            <w:r w:rsidRPr="00F67958">
              <w:rPr>
                <w:bCs/>
                <w:szCs w:val="28"/>
                <w:lang w:val="fr-FR"/>
              </w:rPr>
              <w:t>HORIZON 2030</w:t>
            </w:r>
          </w:p>
        </w:tc>
      </w:tr>
      <w:tr w:rsidR="00A721F4" w:rsidRPr="00F67958" w:rsidTr="000C61E9">
        <w:trPr>
          <w:cantSplit/>
        </w:trPr>
        <w:tc>
          <w:tcPr>
            <w:tcW w:w="10247" w:type="dxa"/>
            <w:gridSpan w:val="2"/>
            <w:tcBorders>
              <w:bottom w:val="single" w:sz="4" w:space="0" w:color="auto"/>
            </w:tcBorders>
          </w:tcPr>
          <w:p w:rsidR="00A721F4" w:rsidRPr="00F67958" w:rsidRDefault="00A721F4" w:rsidP="008F2FF8">
            <w:pPr>
              <w:rPr>
                <w:lang w:val="fr-FR"/>
              </w:rPr>
            </w:pPr>
          </w:p>
        </w:tc>
      </w:tr>
      <w:tr w:rsidR="00A721F4" w:rsidRPr="00F67958"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F67958" w:rsidRDefault="00156BF6" w:rsidP="008F2FF8">
            <w:pPr>
              <w:rPr>
                <w:b/>
                <w:bCs/>
                <w:szCs w:val="24"/>
                <w:lang w:val="fr-FR"/>
              </w:rPr>
            </w:pPr>
            <w:r w:rsidRPr="00F67958">
              <w:rPr>
                <w:b/>
                <w:bCs/>
                <w:szCs w:val="24"/>
                <w:lang w:val="fr-FR"/>
              </w:rPr>
              <w:t>Résumé:</w:t>
            </w:r>
          </w:p>
          <w:p w:rsidR="00A721F4" w:rsidRPr="00F67958" w:rsidRDefault="00442BE0" w:rsidP="008F2FF8">
            <w:pPr>
              <w:rPr>
                <w:szCs w:val="24"/>
                <w:lang w:val="fr-FR"/>
              </w:rPr>
            </w:pPr>
            <w:r w:rsidRPr="00F67958">
              <w:rPr>
                <w:color w:val="000000"/>
                <w:lang w:val="fr-FR"/>
              </w:rPr>
              <w:t>Le présent document fait le point sur la contribution de l</w:t>
            </w:r>
            <w:r w:rsidR="000749CB">
              <w:rPr>
                <w:color w:val="000000"/>
                <w:lang w:val="fr-FR"/>
              </w:rPr>
              <w:t>'</w:t>
            </w:r>
            <w:r w:rsidRPr="00F67958">
              <w:rPr>
                <w:color w:val="000000"/>
                <w:lang w:val="fr-FR"/>
              </w:rPr>
              <w:t>UIT-D à la mise en oeuvre des résultats du Sommet mondial sur la société de l</w:t>
            </w:r>
            <w:r w:rsidR="000749CB">
              <w:rPr>
                <w:color w:val="000000"/>
                <w:lang w:val="fr-FR"/>
              </w:rPr>
              <w:t>'</w:t>
            </w:r>
            <w:r w:rsidRPr="00F67958">
              <w:rPr>
                <w:color w:val="000000"/>
                <w:lang w:val="fr-FR"/>
              </w:rPr>
              <w:t xml:space="preserve">information (SMSI) </w:t>
            </w:r>
            <w:r w:rsidR="00115DCB" w:rsidRPr="00F67958">
              <w:rPr>
                <w:color w:val="000000"/>
                <w:lang w:val="fr-FR"/>
              </w:rPr>
              <w:t>et d</w:t>
            </w:r>
            <w:r w:rsidRPr="00F67958">
              <w:rPr>
                <w:color w:val="000000"/>
                <w:lang w:val="fr-FR"/>
              </w:rPr>
              <w:t>u Programme de développement durable à l</w:t>
            </w:r>
            <w:r w:rsidR="000749CB">
              <w:rPr>
                <w:color w:val="000000"/>
                <w:lang w:val="fr-FR"/>
              </w:rPr>
              <w:t>'</w:t>
            </w:r>
            <w:r w:rsidRPr="00F67958">
              <w:rPr>
                <w:color w:val="000000"/>
                <w:lang w:val="fr-FR"/>
              </w:rPr>
              <w:t>horizon 2030</w:t>
            </w:r>
            <w:r w:rsidRPr="00F67958">
              <w:rPr>
                <w:rFonts w:cs="Garamond"/>
                <w:lang w:val="fr-FR"/>
              </w:rPr>
              <w:t>, compte tenu des résultats de la Conférence de plénipotentiaires de 2018.</w:t>
            </w:r>
          </w:p>
          <w:p w:rsidR="00A721F4" w:rsidRPr="00F67958" w:rsidRDefault="00156BF6" w:rsidP="008F2FF8">
            <w:pPr>
              <w:rPr>
                <w:b/>
                <w:bCs/>
                <w:szCs w:val="24"/>
                <w:lang w:val="fr-FR"/>
              </w:rPr>
            </w:pPr>
            <w:r w:rsidRPr="00F67958">
              <w:rPr>
                <w:b/>
                <w:bCs/>
                <w:szCs w:val="24"/>
                <w:lang w:val="fr-FR"/>
              </w:rPr>
              <w:t>Suite à donner:</w:t>
            </w:r>
          </w:p>
          <w:p w:rsidR="00A721F4" w:rsidRPr="00F67958" w:rsidRDefault="00442BE0" w:rsidP="008F2FF8">
            <w:pPr>
              <w:rPr>
                <w:szCs w:val="24"/>
                <w:lang w:val="fr-FR"/>
              </w:rPr>
            </w:pPr>
            <w:r w:rsidRPr="00F67958">
              <w:rPr>
                <w:szCs w:val="24"/>
                <w:lang w:val="fr-FR"/>
              </w:rPr>
              <w:t>Le GCDT est invité à prendre note du présent document et à fournir toutes les indications qu</w:t>
            </w:r>
            <w:r w:rsidR="000749CB">
              <w:rPr>
                <w:szCs w:val="24"/>
                <w:lang w:val="fr-FR"/>
              </w:rPr>
              <w:t>'</w:t>
            </w:r>
            <w:r w:rsidRPr="00F67958">
              <w:rPr>
                <w:szCs w:val="24"/>
                <w:lang w:val="fr-FR"/>
              </w:rPr>
              <w:t>il jugera utiles.</w:t>
            </w:r>
          </w:p>
          <w:p w:rsidR="00A721F4" w:rsidRPr="00F67958" w:rsidRDefault="00156BF6" w:rsidP="008F2FF8">
            <w:pPr>
              <w:rPr>
                <w:b/>
                <w:bCs/>
                <w:szCs w:val="24"/>
                <w:lang w:val="fr-FR"/>
              </w:rPr>
            </w:pPr>
            <w:r w:rsidRPr="00F67958">
              <w:rPr>
                <w:b/>
                <w:bCs/>
                <w:szCs w:val="24"/>
                <w:lang w:val="fr-FR"/>
              </w:rPr>
              <w:t>Références:</w:t>
            </w:r>
          </w:p>
          <w:p w:rsidR="00A721F4" w:rsidRPr="00F67958" w:rsidRDefault="002B6949" w:rsidP="008F2FF8">
            <w:pPr>
              <w:spacing w:after="120"/>
              <w:rPr>
                <w:lang w:val="fr-FR"/>
              </w:rPr>
            </w:pPr>
            <w:r>
              <w:rPr>
                <w:lang w:val="fr-FR"/>
              </w:rPr>
              <w:t>Résolution 30 (Rév.</w:t>
            </w:r>
            <w:r w:rsidR="00442BE0" w:rsidRPr="00F67958">
              <w:rPr>
                <w:lang w:val="fr-FR"/>
              </w:rPr>
              <w:t>Buenos Aires, 2017) de la CMDT, Résolution 140 (Rév. Dubaï, 2018) de la Conférence de plénipotentiaires, Résolution 1332 (modifiée en 2016) du Conseil.</w:t>
            </w:r>
          </w:p>
        </w:tc>
      </w:tr>
    </w:tbl>
    <w:p w:rsidR="008F2FF8" w:rsidRDefault="008F2FF8" w:rsidP="00CD22C5">
      <w:pPr>
        <w:rPr>
          <w:lang w:val="fr-FR"/>
        </w:rPr>
      </w:pPr>
      <w:bookmarkStart w:id="6" w:name="Proposal"/>
      <w:bookmarkEnd w:id="6"/>
      <w:r>
        <w:rPr>
          <w:lang w:val="fr-FR"/>
        </w:rPr>
        <w:br w:type="page"/>
      </w:r>
    </w:p>
    <w:p w:rsidR="00103701" w:rsidRPr="008F2FF8" w:rsidRDefault="00103701" w:rsidP="008F2FF8">
      <w:pPr>
        <w:pStyle w:val="Headingb"/>
      </w:pPr>
      <w:r w:rsidRPr="008F2FF8">
        <w:lastRenderedPageBreak/>
        <w:t>Généralités</w:t>
      </w:r>
    </w:p>
    <w:p w:rsidR="00103701" w:rsidRPr="00F67958" w:rsidRDefault="00103701" w:rsidP="008F2FF8">
      <w:pPr>
        <w:rPr>
          <w:lang w:val="fr-FR"/>
        </w:rPr>
      </w:pPr>
      <w:r w:rsidRPr="00F67958">
        <w:rPr>
          <w:lang w:val="fr-FR"/>
        </w:rPr>
        <w:t>1</w:t>
      </w:r>
      <w:r w:rsidRPr="00F67958">
        <w:rPr>
          <w:lang w:val="fr-FR"/>
        </w:rPr>
        <w:tab/>
        <w:t>L</w:t>
      </w:r>
      <w:r w:rsidR="000749CB">
        <w:rPr>
          <w:lang w:val="fr-FR"/>
        </w:rPr>
        <w:t>'</w:t>
      </w:r>
      <w:r w:rsidRPr="00F67958">
        <w:rPr>
          <w:lang w:val="fr-FR"/>
        </w:rPr>
        <w:t xml:space="preserve">année 2018 a constitué une étape importante dans le débat mondial sur la mise en oeuvre des grandes orientations du SMSI et sur la contribution des TIC à la réalisation des Objectifs de développement durable (ODD). La </w:t>
      </w:r>
      <w:hyperlink r:id="rId9" w:history="1">
        <w:r w:rsidRPr="008F2FF8">
          <w:rPr>
            <w:rStyle w:val="Hyperlink"/>
            <w:lang w:val="fr-FR"/>
          </w:rPr>
          <w:t>Conférence de plénipotentiaires de l</w:t>
        </w:r>
        <w:r w:rsidR="000749CB">
          <w:rPr>
            <w:rStyle w:val="Hyperlink"/>
            <w:lang w:val="fr-FR"/>
          </w:rPr>
          <w:t>'</w:t>
        </w:r>
        <w:r w:rsidRPr="008F2FF8">
          <w:rPr>
            <w:rStyle w:val="Hyperlink"/>
            <w:lang w:val="fr-FR"/>
          </w:rPr>
          <w:t>UIT</w:t>
        </w:r>
        <w:r w:rsidR="00EB5C8D" w:rsidRPr="008F2FF8">
          <w:rPr>
            <w:rStyle w:val="Hyperlink"/>
            <w:lang w:val="fr-FR"/>
          </w:rPr>
          <w:t xml:space="preserve"> de 2018</w:t>
        </w:r>
      </w:hyperlink>
      <w:r w:rsidRPr="00F67958">
        <w:rPr>
          <w:lang w:val="fr-FR"/>
        </w:rPr>
        <w:t xml:space="preserve">, qui </w:t>
      </w:r>
      <w:r w:rsidRPr="00F67958">
        <w:rPr>
          <w:bCs/>
          <w:lang w:val="fr-FR"/>
        </w:rPr>
        <w:t>s</w:t>
      </w:r>
      <w:r w:rsidR="000749CB">
        <w:rPr>
          <w:bCs/>
          <w:lang w:val="fr-FR"/>
        </w:rPr>
        <w:t>'</w:t>
      </w:r>
      <w:r w:rsidRPr="00F67958">
        <w:rPr>
          <w:bCs/>
          <w:lang w:val="fr-FR"/>
        </w:rPr>
        <w:t xml:space="preserve">est tenue à Dubaï </w:t>
      </w:r>
      <w:r w:rsidR="00815C25">
        <w:rPr>
          <w:bCs/>
          <w:lang w:val="fr-FR"/>
        </w:rPr>
        <w:t xml:space="preserve">(EAU) </w:t>
      </w:r>
      <w:r w:rsidRPr="00F67958">
        <w:rPr>
          <w:bCs/>
          <w:lang w:val="fr-FR"/>
        </w:rPr>
        <w:t xml:space="preserve">du 29 octobre au 16 novembre 2018, </w:t>
      </w:r>
      <w:r w:rsidR="00EB5C8D" w:rsidRPr="00F67958">
        <w:rPr>
          <w:bCs/>
          <w:lang w:val="fr-FR"/>
        </w:rPr>
        <w:t>a réaffirmé le mandat</w:t>
      </w:r>
      <w:r w:rsidRPr="00F67958">
        <w:rPr>
          <w:bCs/>
          <w:lang w:val="fr-FR"/>
        </w:rPr>
        <w:t xml:space="preserve"> </w:t>
      </w:r>
      <w:r w:rsidR="00EB5C8D" w:rsidRPr="00F67958">
        <w:rPr>
          <w:bCs/>
          <w:lang w:val="fr-FR"/>
        </w:rPr>
        <w:t>de</w:t>
      </w:r>
      <w:r w:rsidRPr="00F67958">
        <w:rPr>
          <w:bCs/>
          <w:lang w:val="fr-FR"/>
        </w:rPr>
        <w:t xml:space="preserve"> </w:t>
      </w:r>
      <w:r w:rsidR="00EB5C8D" w:rsidRPr="00F67958">
        <w:rPr>
          <w:bCs/>
          <w:lang w:val="fr-FR"/>
        </w:rPr>
        <w:t>l</w:t>
      </w:r>
      <w:r w:rsidR="000749CB">
        <w:rPr>
          <w:bCs/>
          <w:lang w:val="fr-FR"/>
        </w:rPr>
        <w:t>'</w:t>
      </w:r>
      <w:r w:rsidR="00EB5C8D" w:rsidRPr="00F67958">
        <w:rPr>
          <w:bCs/>
          <w:lang w:val="fr-FR"/>
        </w:rPr>
        <w:t>U</w:t>
      </w:r>
      <w:r w:rsidRPr="00F67958">
        <w:rPr>
          <w:bCs/>
          <w:lang w:val="fr-FR"/>
        </w:rPr>
        <w:t xml:space="preserve">IT </w:t>
      </w:r>
      <w:r w:rsidR="00EB5C8D" w:rsidRPr="00F67958">
        <w:rPr>
          <w:bCs/>
          <w:lang w:val="fr-FR"/>
        </w:rPr>
        <w:t>et sa</w:t>
      </w:r>
      <w:r w:rsidRPr="00F67958">
        <w:rPr>
          <w:bCs/>
          <w:lang w:val="fr-FR"/>
        </w:rPr>
        <w:t xml:space="preserve"> contribution </w:t>
      </w:r>
      <w:r w:rsidR="00EB5C8D" w:rsidRPr="00F67958">
        <w:rPr>
          <w:bCs/>
          <w:lang w:val="fr-FR"/>
        </w:rPr>
        <w:t>à la mise en œuvre des</w:t>
      </w:r>
      <w:r w:rsidRPr="00F67958">
        <w:rPr>
          <w:bCs/>
          <w:lang w:val="fr-FR"/>
        </w:rPr>
        <w:t xml:space="preserve"> </w:t>
      </w:r>
      <w:r w:rsidR="00EB5C8D" w:rsidRPr="00F67958">
        <w:rPr>
          <w:bCs/>
          <w:lang w:val="fr-FR"/>
        </w:rPr>
        <w:t>grandes orientations du SMSI ainsi qu</w:t>
      </w:r>
      <w:r w:rsidR="000749CB">
        <w:rPr>
          <w:bCs/>
          <w:lang w:val="fr-FR"/>
        </w:rPr>
        <w:t>'</w:t>
      </w:r>
      <w:r w:rsidR="00EB5C8D" w:rsidRPr="00F67958">
        <w:rPr>
          <w:bCs/>
          <w:lang w:val="fr-FR"/>
        </w:rPr>
        <w:t>à la réalisation des</w:t>
      </w:r>
      <w:r w:rsidR="00A62DD9">
        <w:rPr>
          <w:bCs/>
          <w:lang w:val="fr-FR"/>
        </w:rPr>
        <w:t> </w:t>
      </w:r>
      <w:r w:rsidR="00EB5C8D" w:rsidRPr="00F67958">
        <w:rPr>
          <w:bCs/>
          <w:lang w:val="fr-FR"/>
        </w:rPr>
        <w:t>ODD</w:t>
      </w:r>
      <w:r w:rsidRPr="00F67958">
        <w:rPr>
          <w:bCs/>
          <w:lang w:val="fr-FR"/>
        </w:rPr>
        <w:t xml:space="preserve">, </w:t>
      </w:r>
      <w:r w:rsidR="00EB5C8D" w:rsidRPr="00F67958">
        <w:rPr>
          <w:bCs/>
          <w:lang w:val="fr-FR"/>
        </w:rPr>
        <w:t>attirant</w:t>
      </w:r>
      <w:r w:rsidRPr="00F67958">
        <w:rPr>
          <w:bCs/>
          <w:lang w:val="fr-FR"/>
        </w:rPr>
        <w:t xml:space="preserve"> </w:t>
      </w:r>
      <w:r w:rsidR="00EB5C8D" w:rsidRPr="00F67958">
        <w:rPr>
          <w:bCs/>
          <w:lang w:val="fr-FR"/>
        </w:rPr>
        <w:t>l</w:t>
      </w:r>
      <w:r w:rsidR="000749CB">
        <w:rPr>
          <w:bCs/>
          <w:lang w:val="fr-FR"/>
        </w:rPr>
        <w:t>'</w:t>
      </w:r>
      <w:r w:rsidRPr="00F67958">
        <w:rPr>
          <w:bCs/>
          <w:lang w:val="fr-FR"/>
        </w:rPr>
        <w:t xml:space="preserve">attention </w:t>
      </w:r>
      <w:r w:rsidR="00EB5C8D" w:rsidRPr="00F67958">
        <w:rPr>
          <w:bCs/>
          <w:lang w:val="fr-FR"/>
        </w:rPr>
        <w:t>sur la nécessité</w:t>
      </w:r>
      <w:r w:rsidRPr="00F67958">
        <w:rPr>
          <w:bCs/>
          <w:lang w:val="fr-FR"/>
        </w:rPr>
        <w:t xml:space="preserve"> </w:t>
      </w:r>
      <w:r w:rsidRPr="00F67958">
        <w:rPr>
          <w:lang w:val="fr-FR"/>
        </w:rPr>
        <w:t>de veiller à ce que les activités de l</w:t>
      </w:r>
      <w:r w:rsidR="000749CB">
        <w:rPr>
          <w:lang w:val="fr-FR"/>
        </w:rPr>
        <w:t>'</w:t>
      </w:r>
      <w:r w:rsidRPr="00F67958">
        <w:rPr>
          <w:lang w:val="fr-FR"/>
        </w:rPr>
        <w:t>UIT relatives au Programme de développement durable à l</w:t>
      </w:r>
      <w:r w:rsidR="000749CB">
        <w:rPr>
          <w:lang w:val="fr-FR"/>
        </w:rPr>
        <w:t>'</w:t>
      </w:r>
      <w:r w:rsidRPr="00F67958">
        <w:rPr>
          <w:lang w:val="fr-FR"/>
        </w:rPr>
        <w:t>horizon 2030 soient menées à bien en étroite harmonisation avec le processus du SMSI</w:t>
      </w:r>
      <w:r w:rsidR="00C26470" w:rsidRPr="00F67958">
        <w:rPr>
          <w:lang w:val="fr-FR"/>
        </w:rPr>
        <w:t>.</w:t>
      </w:r>
    </w:p>
    <w:p w:rsidR="00836BDB" w:rsidRPr="00F67958" w:rsidRDefault="003D4868" w:rsidP="008F2FF8">
      <w:pPr>
        <w:rPr>
          <w:lang w:val="fr-FR"/>
        </w:rPr>
      </w:pPr>
      <w:r w:rsidRPr="00F67958">
        <w:rPr>
          <w:lang w:val="fr-FR"/>
        </w:rPr>
        <w:t>2</w:t>
      </w:r>
      <w:r w:rsidRPr="00F67958">
        <w:rPr>
          <w:lang w:val="fr-FR"/>
        </w:rPr>
        <w:tab/>
        <w:t xml:space="preserve">La </w:t>
      </w:r>
      <w:hyperlink r:id="rId10" w:history="1">
        <w:r w:rsidRPr="00F67958">
          <w:rPr>
            <w:rStyle w:val="Hyperlink"/>
            <w:lang w:val="fr-FR"/>
          </w:rPr>
          <w:t>septième Conférence mondiale de développement des télécommunications</w:t>
        </w:r>
      </w:hyperlink>
      <w:r w:rsidRPr="00F67958">
        <w:rPr>
          <w:lang w:val="fr-FR"/>
        </w:rPr>
        <w:t xml:space="preserve"> (CMDT</w:t>
      </w:r>
      <w:r w:rsidRPr="00F67958">
        <w:rPr>
          <w:lang w:val="fr-FR"/>
        </w:rPr>
        <w:noBreakHyphen/>
        <w:t>2017) de l</w:t>
      </w:r>
      <w:r w:rsidR="000749CB">
        <w:rPr>
          <w:lang w:val="fr-FR"/>
        </w:rPr>
        <w:t>'</w:t>
      </w:r>
      <w:r w:rsidRPr="00F67958">
        <w:rPr>
          <w:lang w:val="fr-FR"/>
        </w:rPr>
        <w:t>UIT, qui s</w:t>
      </w:r>
      <w:r w:rsidR="000749CB">
        <w:rPr>
          <w:lang w:val="fr-FR"/>
        </w:rPr>
        <w:t>'</w:t>
      </w:r>
      <w:r w:rsidRPr="00F67958">
        <w:rPr>
          <w:lang w:val="fr-FR"/>
        </w:rPr>
        <w:t xml:space="preserve">est tenue à Buenos Aires (Argentine) du 9 au 20 octobre 2017, </w:t>
      </w:r>
      <w:r w:rsidR="00815C25">
        <w:rPr>
          <w:lang w:val="fr-FR"/>
        </w:rPr>
        <w:t>a</w:t>
      </w:r>
      <w:r w:rsidR="006F6CF8" w:rsidRPr="00F67958">
        <w:rPr>
          <w:lang w:val="fr-FR"/>
        </w:rPr>
        <w:t xml:space="preserve"> établi des </w:t>
      </w:r>
      <w:r w:rsidR="00F3392B" w:rsidRPr="00F67958">
        <w:rPr>
          <w:lang w:val="fr-FR"/>
        </w:rPr>
        <w:t>liens clairs</w:t>
      </w:r>
      <w:r w:rsidR="006F6CF8" w:rsidRPr="00F67958">
        <w:rPr>
          <w:lang w:val="fr-FR"/>
        </w:rPr>
        <w:t xml:space="preserve"> entre les objectifs, les résultats</w:t>
      </w:r>
      <w:r w:rsidR="008F2FF8">
        <w:rPr>
          <w:lang w:val="fr-FR"/>
        </w:rPr>
        <w:t xml:space="preserve"> et </w:t>
      </w:r>
      <w:r w:rsidR="006F6CF8" w:rsidRPr="00F67958">
        <w:rPr>
          <w:lang w:val="fr-FR"/>
        </w:rPr>
        <w:t>les produits de</w:t>
      </w:r>
      <w:r w:rsidRPr="00F67958">
        <w:rPr>
          <w:lang w:val="fr-FR"/>
        </w:rPr>
        <w:t xml:space="preserve"> </w:t>
      </w:r>
      <w:r w:rsidR="006F6CF8" w:rsidRPr="00F67958">
        <w:rPr>
          <w:lang w:val="fr-FR"/>
        </w:rPr>
        <w:t>l</w:t>
      </w:r>
      <w:r w:rsidR="000749CB">
        <w:rPr>
          <w:lang w:val="fr-FR"/>
        </w:rPr>
        <w:t>'</w:t>
      </w:r>
      <w:r w:rsidR="006F6CF8" w:rsidRPr="00F67958">
        <w:rPr>
          <w:lang w:val="fr-FR"/>
        </w:rPr>
        <w:t>U</w:t>
      </w:r>
      <w:r w:rsidRPr="00F67958">
        <w:rPr>
          <w:lang w:val="fr-FR"/>
        </w:rPr>
        <w:t>IT-D</w:t>
      </w:r>
      <w:r w:rsidR="00815C25">
        <w:rPr>
          <w:lang w:val="fr-FR"/>
        </w:rPr>
        <w:t>,</w:t>
      </w:r>
      <w:r w:rsidRPr="00F67958">
        <w:rPr>
          <w:lang w:val="fr-FR"/>
        </w:rPr>
        <w:t xml:space="preserve"> </w:t>
      </w:r>
      <w:r w:rsidR="006F6CF8" w:rsidRPr="00F67958">
        <w:rPr>
          <w:lang w:val="fr-FR"/>
        </w:rPr>
        <w:t>les</w:t>
      </w:r>
      <w:r w:rsidRPr="00F67958">
        <w:rPr>
          <w:lang w:val="fr-FR"/>
        </w:rPr>
        <w:t xml:space="preserve"> </w:t>
      </w:r>
      <w:r w:rsidR="006F6CF8" w:rsidRPr="00F67958">
        <w:rPr>
          <w:lang w:val="fr-FR"/>
        </w:rPr>
        <w:t>grandes orientations du SMSI et les</w:t>
      </w:r>
      <w:r w:rsidRPr="00F67958">
        <w:rPr>
          <w:lang w:val="fr-FR"/>
        </w:rPr>
        <w:t xml:space="preserve"> </w:t>
      </w:r>
      <w:r w:rsidR="006F6CF8" w:rsidRPr="00F67958">
        <w:rPr>
          <w:lang w:val="fr-FR"/>
        </w:rPr>
        <w:t xml:space="preserve">ODD et les cibles correspondantes </w:t>
      </w:r>
      <w:r w:rsidRPr="00F67958">
        <w:rPr>
          <w:lang w:val="fr-FR"/>
        </w:rPr>
        <w:t>(Annex</w:t>
      </w:r>
      <w:r w:rsidR="006F6CF8" w:rsidRPr="00F67958">
        <w:rPr>
          <w:lang w:val="fr-FR"/>
        </w:rPr>
        <w:t>e</w:t>
      </w:r>
      <w:r w:rsidRPr="00F67958">
        <w:rPr>
          <w:lang w:val="fr-FR"/>
        </w:rPr>
        <w:t xml:space="preserve"> </w:t>
      </w:r>
      <w:r w:rsidR="006F6CF8" w:rsidRPr="00F67958">
        <w:rPr>
          <w:lang w:val="fr-FR"/>
        </w:rPr>
        <w:t>1</w:t>
      </w:r>
      <w:r w:rsidRPr="00F67958">
        <w:rPr>
          <w:lang w:val="fr-FR"/>
        </w:rPr>
        <w:t xml:space="preserve">). </w:t>
      </w:r>
      <w:r w:rsidR="006F6CF8" w:rsidRPr="00F67958">
        <w:rPr>
          <w:lang w:val="fr-FR"/>
        </w:rPr>
        <w:t>La mise en correspondance des Questions</w:t>
      </w:r>
      <w:r w:rsidRPr="00F67958">
        <w:rPr>
          <w:lang w:val="fr-FR"/>
        </w:rPr>
        <w:t xml:space="preserve"> </w:t>
      </w:r>
      <w:r w:rsidR="008F2FF8">
        <w:rPr>
          <w:lang w:val="fr-FR"/>
        </w:rPr>
        <w:t xml:space="preserve">des </w:t>
      </w:r>
      <w:r w:rsidR="00CD22C5">
        <w:rPr>
          <w:lang w:val="fr-FR"/>
        </w:rPr>
        <w:t>c</w:t>
      </w:r>
      <w:r w:rsidR="00367480" w:rsidRPr="00F67958">
        <w:rPr>
          <w:lang w:val="fr-FR"/>
        </w:rPr>
        <w:t>ommission</w:t>
      </w:r>
      <w:r w:rsidR="008F2FF8">
        <w:rPr>
          <w:lang w:val="fr-FR"/>
        </w:rPr>
        <w:t>s</w:t>
      </w:r>
      <w:r w:rsidR="00367480" w:rsidRPr="00F67958">
        <w:rPr>
          <w:lang w:val="fr-FR"/>
        </w:rPr>
        <w:t xml:space="preserve"> d</w:t>
      </w:r>
      <w:r w:rsidR="000749CB">
        <w:rPr>
          <w:lang w:val="fr-FR"/>
        </w:rPr>
        <w:t>'</w:t>
      </w:r>
      <w:r w:rsidR="00367480" w:rsidRPr="00F67958">
        <w:rPr>
          <w:lang w:val="fr-FR"/>
        </w:rPr>
        <w:t>études de</w:t>
      </w:r>
      <w:r w:rsidRPr="00F67958">
        <w:rPr>
          <w:lang w:val="fr-FR"/>
        </w:rPr>
        <w:t xml:space="preserve"> </w:t>
      </w:r>
      <w:r w:rsidR="00367480" w:rsidRPr="00F67958">
        <w:rPr>
          <w:lang w:val="fr-FR"/>
        </w:rPr>
        <w:t>l</w:t>
      </w:r>
      <w:r w:rsidR="000749CB">
        <w:rPr>
          <w:lang w:val="fr-FR"/>
        </w:rPr>
        <w:t>'</w:t>
      </w:r>
      <w:r w:rsidR="00367480" w:rsidRPr="00F67958">
        <w:rPr>
          <w:lang w:val="fr-FR"/>
        </w:rPr>
        <w:t>U</w:t>
      </w:r>
      <w:r w:rsidRPr="00F67958">
        <w:rPr>
          <w:lang w:val="fr-FR"/>
        </w:rPr>
        <w:t xml:space="preserve">IT-D </w:t>
      </w:r>
      <w:r w:rsidR="00367480" w:rsidRPr="00F67958">
        <w:rPr>
          <w:lang w:val="fr-FR"/>
        </w:rPr>
        <w:t>avec les grandes orientations du SMSI</w:t>
      </w:r>
      <w:r w:rsidRPr="00F67958">
        <w:rPr>
          <w:lang w:val="fr-FR"/>
        </w:rPr>
        <w:t xml:space="preserve"> </w:t>
      </w:r>
      <w:r w:rsidR="00367480" w:rsidRPr="00F67958">
        <w:rPr>
          <w:lang w:val="fr-FR"/>
        </w:rPr>
        <w:t>et les</w:t>
      </w:r>
      <w:r w:rsidRPr="00F67958">
        <w:rPr>
          <w:lang w:val="fr-FR"/>
        </w:rPr>
        <w:t xml:space="preserve"> </w:t>
      </w:r>
      <w:r w:rsidR="00367480" w:rsidRPr="00F67958">
        <w:rPr>
          <w:lang w:val="fr-FR"/>
        </w:rPr>
        <w:t>ODD</w:t>
      </w:r>
      <w:r w:rsidRPr="00F67958">
        <w:rPr>
          <w:lang w:val="fr-FR"/>
        </w:rPr>
        <w:t xml:space="preserve"> </w:t>
      </w:r>
      <w:r w:rsidR="00367480" w:rsidRPr="00F67958">
        <w:rPr>
          <w:lang w:val="fr-FR"/>
        </w:rPr>
        <w:t>fournit des indications supplémentaires sur</w:t>
      </w:r>
      <w:r w:rsidRPr="00F67958">
        <w:rPr>
          <w:lang w:val="fr-FR"/>
        </w:rPr>
        <w:t xml:space="preserve"> </w:t>
      </w:r>
      <w:r w:rsidR="00367480" w:rsidRPr="00F67958">
        <w:rPr>
          <w:lang w:val="fr-FR"/>
        </w:rPr>
        <w:t>la</w:t>
      </w:r>
      <w:r w:rsidRPr="00F67958">
        <w:rPr>
          <w:lang w:val="fr-FR"/>
        </w:rPr>
        <w:t xml:space="preserve"> contribution </w:t>
      </w:r>
      <w:r w:rsidR="00815C25">
        <w:rPr>
          <w:lang w:val="fr-FR"/>
        </w:rPr>
        <w:t>apportée par les</w:t>
      </w:r>
      <w:r w:rsidR="00367480" w:rsidRPr="00F67958">
        <w:rPr>
          <w:lang w:val="fr-FR"/>
        </w:rPr>
        <w:t xml:space="preserve"> </w:t>
      </w:r>
      <w:r w:rsidR="00815C25">
        <w:rPr>
          <w:lang w:val="fr-FR"/>
        </w:rPr>
        <w:t>c</w:t>
      </w:r>
      <w:r w:rsidR="00367480" w:rsidRPr="00F67958">
        <w:rPr>
          <w:lang w:val="fr-FR"/>
        </w:rPr>
        <w:t>ommissions d</w:t>
      </w:r>
      <w:r w:rsidR="000749CB">
        <w:rPr>
          <w:lang w:val="fr-FR"/>
        </w:rPr>
        <w:t>'</w:t>
      </w:r>
      <w:r w:rsidR="00367480" w:rsidRPr="00F67958">
        <w:rPr>
          <w:lang w:val="fr-FR"/>
        </w:rPr>
        <w:t>études aux</w:t>
      </w:r>
      <w:r w:rsidRPr="00F67958">
        <w:rPr>
          <w:lang w:val="fr-FR"/>
        </w:rPr>
        <w:t xml:space="preserve"> </w:t>
      </w:r>
      <w:r w:rsidR="00367480" w:rsidRPr="00F67958">
        <w:rPr>
          <w:lang w:val="fr-FR"/>
        </w:rPr>
        <w:t>deux processus</w:t>
      </w:r>
      <w:r w:rsidRPr="00F67958">
        <w:rPr>
          <w:lang w:val="fr-FR"/>
        </w:rPr>
        <w:t xml:space="preserve"> (Annex</w:t>
      </w:r>
      <w:r w:rsidR="00367480" w:rsidRPr="00F67958">
        <w:rPr>
          <w:lang w:val="fr-FR"/>
        </w:rPr>
        <w:t>e</w:t>
      </w:r>
      <w:r w:rsidRPr="00F67958">
        <w:rPr>
          <w:lang w:val="fr-FR"/>
        </w:rPr>
        <w:t xml:space="preserve"> </w:t>
      </w:r>
      <w:r w:rsidR="00367480" w:rsidRPr="00F67958">
        <w:rPr>
          <w:lang w:val="fr-FR"/>
        </w:rPr>
        <w:t>2</w:t>
      </w:r>
      <w:r w:rsidRPr="00F67958">
        <w:rPr>
          <w:lang w:val="fr-FR"/>
        </w:rPr>
        <w:t>). Dans cette perspective, toutes les actions menées par l</w:t>
      </w:r>
      <w:r w:rsidR="000749CB">
        <w:rPr>
          <w:lang w:val="fr-FR"/>
        </w:rPr>
        <w:t>'</w:t>
      </w:r>
      <w:r w:rsidRPr="00F67958">
        <w:rPr>
          <w:lang w:val="fr-FR"/>
        </w:rPr>
        <w:t>UIT-D contribuent à la réalisation des ODD et à la mise en oeuvre des résultats du SMSI. Elles sont présentées aux membres de l</w:t>
      </w:r>
      <w:r w:rsidR="000749CB">
        <w:rPr>
          <w:lang w:val="fr-FR"/>
        </w:rPr>
        <w:t>'</w:t>
      </w:r>
      <w:r w:rsidRPr="00F67958">
        <w:rPr>
          <w:lang w:val="fr-FR"/>
        </w:rPr>
        <w:t xml:space="preserve">UIT par le biais des Forums régionaux </w:t>
      </w:r>
      <w:r w:rsidR="008F2FF8">
        <w:rPr>
          <w:lang w:val="fr-FR"/>
        </w:rPr>
        <w:t xml:space="preserve">sur le </w:t>
      </w:r>
      <w:r w:rsidRPr="00F67958">
        <w:rPr>
          <w:lang w:val="fr-FR"/>
        </w:rPr>
        <w:t>développement (RDF), du Groupe consultatif pour le développement des télécommunications (GCDT) et du Groupe de travail du Conseil sur le SMSI (GTC-SMSI).</w:t>
      </w:r>
    </w:p>
    <w:p w:rsidR="003D4868" w:rsidRPr="00F67958" w:rsidRDefault="003D4868" w:rsidP="008F2FF8">
      <w:pPr>
        <w:rPr>
          <w:lang w:val="fr-FR"/>
        </w:rPr>
      </w:pPr>
      <w:r w:rsidRPr="00F67958">
        <w:rPr>
          <w:lang w:val="fr-FR"/>
        </w:rPr>
        <w:t>3</w:t>
      </w:r>
      <w:r w:rsidRPr="00F67958">
        <w:rPr>
          <w:lang w:val="fr-FR"/>
        </w:rPr>
        <w:tab/>
        <w:t xml:space="preserve">En outre, les activités phares du BDT représentent une part importante des informations dont il est fait état chaque année dans la </w:t>
      </w:r>
      <w:r w:rsidRPr="00F67958">
        <w:rPr>
          <w:i/>
          <w:iCs/>
          <w:lang w:val="fr-FR"/>
        </w:rPr>
        <w:t>contribution de l</w:t>
      </w:r>
      <w:r w:rsidR="000749CB">
        <w:rPr>
          <w:i/>
          <w:iCs/>
          <w:lang w:val="fr-FR"/>
        </w:rPr>
        <w:t>'</w:t>
      </w:r>
      <w:r w:rsidRPr="00F67958">
        <w:rPr>
          <w:i/>
          <w:iCs/>
          <w:lang w:val="fr-FR"/>
        </w:rPr>
        <w:t>UIT à la mise en oeuvre des résultats du SMSI</w:t>
      </w:r>
      <w:r w:rsidR="006A6E83" w:rsidRPr="00F67958">
        <w:rPr>
          <w:lang w:val="fr-FR"/>
        </w:rPr>
        <w:t>. L</w:t>
      </w:r>
      <w:r w:rsidR="000749CB">
        <w:rPr>
          <w:lang w:val="fr-FR"/>
        </w:rPr>
        <w:t>'</w:t>
      </w:r>
      <w:r w:rsidR="006A6E83" w:rsidRPr="00F67958">
        <w:rPr>
          <w:lang w:val="fr-FR"/>
        </w:rPr>
        <w:t>édition 2018</w:t>
      </w:r>
      <w:r w:rsidRPr="00F67958">
        <w:rPr>
          <w:lang w:val="fr-FR"/>
        </w:rPr>
        <w:t xml:space="preserve"> de ce rapport est accessible à l</w:t>
      </w:r>
      <w:r w:rsidR="000749CB">
        <w:rPr>
          <w:lang w:val="fr-FR"/>
        </w:rPr>
        <w:t>'</w:t>
      </w:r>
      <w:r w:rsidRPr="00F67958">
        <w:rPr>
          <w:lang w:val="fr-FR"/>
        </w:rPr>
        <w:t xml:space="preserve">adresse suivante: </w:t>
      </w:r>
      <w:hyperlink r:id="rId11" w:history="1">
        <w:r w:rsidRPr="00F67958">
          <w:rPr>
            <w:rStyle w:val="Hyperlink"/>
            <w:lang w:val="fr-FR"/>
          </w:rPr>
          <w:t>https://www.itu.int/en/itu-wsis/Pages/Contribution.aspx</w:t>
        </w:r>
      </w:hyperlink>
      <w:r w:rsidRPr="00F67958">
        <w:rPr>
          <w:lang w:val="fr-FR"/>
        </w:rPr>
        <w:t>.</w:t>
      </w:r>
    </w:p>
    <w:p w:rsidR="003D4868" w:rsidRPr="00F67958" w:rsidRDefault="003D4868" w:rsidP="008F2FF8">
      <w:pPr>
        <w:pStyle w:val="Headingb"/>
        <w:rPr>
          <w:lang w:val="fr-FR"/>
        </w:rPr>
      </w:pPr>
      <w:r w:rsidRPr="00F67958">
        <w:rPr>
          <w:lang w:val="fr-FR"/>
        </w:rPr>
        <w:t>Politique générale au-delà de la PP-18</w:t>
      </w:r>
    </w:p>
    <w:p w:rsidR="003D4868" w:rsidRPr="00F67958" w:rsidRDefault="003D4868" w:rsidP="008F2FF8">
      <w:pPr>
        <w:rPr>
          <w:lang w:val="fr-FR"/>
        </w:rPr>
      </w:pPr>
      <w:r w:rsidRPr="00F67958">
        <w:rPr>
          <w:lang w:val="fr-FR"/>
        </w:rPr>
        <w:t>4</w:t>
      </w:r>
      <w:r w:rsidRPr="00F67958">
        <w:rPr>
          <w:lang w:val="fr-FR"/>
        </w:rPr>
        <w:tab/>
      </w:r>
      <w:r w:rsidR="006A6E83" w:rsidRPr="00F67958">
        <w:rPr>
          <w:lang w:val="fr-FR"/>
        </w:rPr>
        <w:t>La Conférence de plénipotentiaires de 2018 (</w:t>
      </w:r>
      <w:r w:rsidRPr="00F67958">
        <w:rPr>
          <w:lang w:val="fr-FR"/>
        </w:rPr>
        <w:t>PP-18</w:t>
      </w:r>
      <w:r w:rsidR="006A6E83" w:rsidRPr="00F67958">
        <w:rPr>
          <w:lang w:val="fr-FR"/>
        </w:rPr>
        <w:t>)</w:t>
      </w:r>
      <w:r w:rsidRPr="00F67958">
        <w:rPr>
          <w:lang w:val="fr-FR"/>
        </w:rPr>
        <w:t xml:space="preserve"> </w:t>
      </w:r>
      <w:r w:rsidR="006A6E83" w:rsidRPr="00F67958">
        <w:rPr>
          <w:lang w:val="fr-FR"/>
        </w:rPr>
        <w:t>a rappelé</w:t>
      </w:r>
      <w:r w:rsidRPr="00F67958">
        <w:rPr>
          <w:lang w:val="fr-FR"/>
        </w:rPr>
        <w:t xml:space="preserve"> </w:t>
      </w:r>
      <w:r w:rsidR="00815C25">
        <w:rPr>
          <w:lang w:val="fr-FR"/>
        </w:rPr>
        <w:t>qu</w:t>
      </w:r>
      <w:r w:rsidR="000749CB">
        <w:rPr>
          <w:lang w:val="fr-FR"/>
        </w:rPr>
        <w:t>'</w:t>
      </w:r>
      <w:r w:rsidR="00815C25">
        <w:rPr>
          <w:lang w:val="fr-FR"/>
        </w:rPr>
        <w:t>il était important d</w:t>
      </w:r>
      <w:r w:rsidR="000749CB">
        <w:rPr>
          <w:lang w:val="fr-FR"/>
        </w:rPr>
        <w:t>'</w:t>
      </w:r>
      <w:r w:rsidR="00815C25">
        <w:rPr>
          <w:lang w:val="fr-FR"/>
        </w:rPr>
        <w:t>harmoniser</w:t>
      </w:r>
      <w:r w:rsidR="008F2FF8">
        <w:rPr>
          <w:lang w:val="fr-FR"/>
        </w:rPr>
        <w:t xml:space="preserve"> le</w:t>
      </w:r>
      <w:r w:rsidR="006A6E83" w:rsidRPr="00F67958">
        <w:rPr>
          <w:lang w:val="fr-FR"/>
        </w:rPr>
        <w:t xml:space="preserve"> processus</w:t>
      </w:r>
      <w:r w:rsidRPr="00F67958">
        <w:rPr>
          <w:lang w:val="fr-FR"/>
        </w:rPr>
        <w:t xml:space="preserve"> </w:t>
      </w:r>
      <w:r w:rsidR="00F3392B" w:rsidRPr="00F67958">
        <w:rPr>
          <w:lang w:val="fr-FR"/>
        </w:rPr>
        <w:t>du SMSI</w:t>
      </w:r>
      <w:r w:rsidRPr="00F67958">
        <w:rPr>
          <w:lang w:val="fr-FR"/>
        </w:rPr>
        <w:t xml:space="preserve"> </w:t>
      </w:r>
      <w:r w:rsidR="00F3392B" w:rsidRPr="00F67958">
        <w:rPr>
          <w:lang w:val="fr-FR"/>
        </w:rPr>
        <w:t>et celui des</w:t>
      </w:r>
      <w:r w:rsidRPr="00F67958">
        <w:rPr>
          <w:lang w:val="fr-FR"/>
        </w:rPr>
        <w:t xml:space="preserve"> </w:t>
      </w:r>
      <w:r w:rsidR="00F3392B" w:rsidRPr="00F67958">
        <w:rPr>
          <w:lang w:val="fr-FR"/>
        </w:rPr>
        <w:t>OD</w:t>
      </w:r>
      <w:r w:rsidRPr="00F67958">
        <w:rPr>
          <w:lang w:val="fr-FR"/>
        </w:rPr>
        <w:t xml:space="preserve">D </w:t>
      </w:r>
      <w:r w:rsidR="00F3392B" w:rsidRPr="00F67958">
        <w:rPr>
          <w:lang w:val="fr-FR"/>
        </w:rPr>
        <w:t>et</w:t>
      </w:r>
      <w:r w:rsidRPr="00F67958">
        <w:rPr>
          <w:lang w:val="fr-FR"/>
        </w:rPr>
        <w:t xml:space="preserve"> a souligné le rôle du cadre du SMSI en tant que base à partir de laquelle l</w:t>
      </w:r>
      <w:r w:rsidR="000749CB">
        <w:rPr>
          <w:lang w:val="fr-FR"/>
        </w:rPr>
        <w:t>'</w:t>
      </w:r>
      <w:r w:rsidRPr="00F67958">
        <w:rPr>
          <w:lang w:val="fr-FR"/>
        </w:rPr>
        <w:t>UIT contribue à la réalisation du Programme de développement durable à l</w:t>
      </w:r>
      <w:r w:rsidR="000749CB">
        <w:rPr>
          <w:lang w:val="fr-FR"/>
        </w:rPr>
        <w:t>'</w:t>
      </w:r>
      <w:r w:rsidRPr="00F67958">
        <w:rPr>
          <w:lang w:val="fr-FR"/>
        </w:rPr>
        <w:t xml:space="preserve">horizon 2030. </w:t>
      </w:r>
      <w:r w:rsidR="00F3392B" w:rsidRPr="00F67958">
        <w:rPr>
          <w:lang w:val="fr-FR"/>
        </w:rPr>
        <w:t>Dans ce</w:t>
      </w:r>
      <w:r w:rsidRPr="00F67958">
        <w:rPr>
          <w:lang w:val="fr-FR"/>
        </w:rPr>
        <w:t xml:space="preserve"> context</w:t>
      </w:r>
      <w:r w:rsidR="00F3392B" w:rsidRPr="00F67958">
        <w:rPr>
          <w:lang w:val="fr-FR"/>
        </w:rPr>
        <w:t>e</w:t>
      </w:r>
      <w:r w:rsidRPr="00F67958">
        <w:rPr>
          <w:lang w:val="fr-FR"/>
        </w:rPr>
        <w:t>, en établissant des liens clairs entre les objectifs/résultats de l</w:t>
      </w:r>
      <w:r w:rsidR="000749CB">
        <w:rPr>
          <w:lang w:val="fr-FR"/>
        </w:rPr>
        <w:t>'</w:t>
      </w:r>
      <w:r w:rsidRPr="00F67958">
        <w:rPr>
          <w:lang w:val="fr-FR"/>
        </w:rPr>
        <w:t xml:space="preserve">UIT-D, </w:t>
      </w:r>
      <w:r w:rsidR="00F3392B" w:rsidRPr="00F67958">
        <w:rPr>
          <w:lang w:val="fr-FR"/>
        </w:rPr>
        <w:t>les Questions confiées aux commissions d</w:t>
      </w:r>
      <w:r w:rsidR="000749CB">
        <w:rPr>
          <w:lang w:val="fr-FR"/>
        </w:rPr>
        <w:t>'</w:t>
      </w:r>
      <w:r w:rsidR="00F3392B" w:rsidRPr="00F67958">
        <w:rPr>
          <w:lang w:val="fr-FR"/>
        </w:rPr>
        <w:t>études de l</w:t>
      </w:r>
      <w:r w:rsidR="000749CB">
        <w:rPr>
          <w:lang w:val="fr-FR"/>
        </w:rPr>
        <w:t>'</w:t>
      </w:r>
      <w:r w:rsidR="00F3392B" w:rsidRPr="00F67958">
        <w:rPr>
          <w:lang w:val="fr-FR"/>
        </w:rPr>
        <w:t xml:space="preserve">UIT-D, </w:t>
      </w:r>
      <w:r w:rsidRPr="00F67958">
        <w:rPr>
          <w:lang w:val="fr-FR"/>
        </w:rPr>
        <w:t>les ODD et les grandes orientations du SMSI, le rôle de l</w:t>
      </w:r>
      <w:r w:rsidR="000749CB">
        <w:rPr>
          <w:lang w:val="fr-FR"/>
        </w:rPr>
        <w:t>'</w:t>
      </w:r>
      <w:r w:rsidRPr="00F67958">
        <w:rPr>
          <w:lang w:val="fr-FR"/>
        </w:rPr>
        <w:t xml:space="preserve">UIT-D </w:t>
      </w:r>
      <w:r w:rsidR="008F2FF8">
        <w:rPr>
          <w:lang w:val="fr-FR"/>
        </w:rPr>
        <w:t xml:space="preserve">dans </w:t>
      </w:r>
      <w:r w:rsidRPr="00F67958">
        <w:rPr>
          <w:lang w:val="fr-FR"/>
        </w:rPr>
        <w:t>la mise en oeuvre des résultats du SMSI et la contribution au Programme de développement durable à l</w:t>
      </w:r>
      <w:r w:rsidR="000749CB">
        <w:rPr>
          <w:lang w:val="fr-FR"/>
        </w:rPr>
        <w:t>'</w:t>
      </w:r>
      <w:r w:rsidRPr="00F67958">
        <w:rPr>
          <w:lang w:val="fr-FR"/>
        </w:rPr>
        <w:t>horizon 2030</w:t>
      </w:r>
      <w:r w:rsidR="00F3392B" w:rsidRPr="00F67958">
        <w:rPr>
          <w:lang w:val="fr-FR"/>
        </w:rPr>
        <w:t xml:space="preserve"> a été considérablement renforcé</w:t>
      </w:r>
      <w:r w:rsidRPr="00F67958">
        <w:rPr>
          <w:lang w:val="fr-FR"/>
        </w:rPr>
        <w:t>.</w:t>
      </w:r>
    </w:p>
    <w:p w:rsidR="001B15BB" w:rsidRDefault="00755118" w:rsidP="008F2FF8">
      <w:pPr>
        <w:rPr>
          <w:lang w:val="fr-FR"/>
        </w:rPr>
      </w:pPr>
      <w:r w:rsidRPr="00F67958">
        <w:rPr>
          <w:lang w:val="fr-FR"/>
        </w:rPr>
        <w:t>5</w:t>
      </w:r>
      <w:r w:rsidRPr="00F67958">
        <w:rPr>
          <w:lang w:val="fr-FR"/>
        </w:rPr>
        <w:tab/>
        <w:t>En application de la Résolution 140 (Rév. Busan, 2014) de la Conférence de plénipotentiaires, l</w:t>
      </w:r>
      <w:r w:rsidR="000749CB">
        <w:rPr>
          <w:lang w:val="fr-FR"/>
        </w:rPr>
        <w:t>'</w:t>
      </w:r>
      <w:r w:rsidRPr="00F67958">
        <w:rPr>
          <w:lang w:val="fr-FR"/>
        </w:rPr>
        <w:t xml:space="preserve">UIT </w:t>
      </w:r>
      <w:r w:rsidR="001A6856" w:rsidRPr="00F67958">
        <w:rPr>
          <w:lang w:val="fr-FR"/>
        </w:rPr>
        <w:t>devrait continuer de jouer</w:t>
      </w:r>
      <w:r w:rsidRPr="00F67958">
        <w:rPr>
          <w:lang w:val="fr-FR"/>
        </w:rPr>
        <w:t xml:space="preserve"> le rôle de coordonnateur principal dans le processus de mise en oeuvre du SMSI, en tant que modérateur/coordonnateur concernant les grandes orientations C2, C5 et C6, co-coordonnateur pour les grandes orientations C1, C3, C4, C7 et C11</w:t>
      </w:r>
      <w:r w:rsidR="008F2FF8">
        <w:rPr>
          <w:lang w:val="fr-FR"/>
        </w:rPr>
        <w:t xml:space="preserve"> et </w:t>
      </w:r>
      <w:r w:rsidRPr="00F67958">
        <w:rPr>
          <w:lang w:val="fr-FR"/>
        </w:rPr>
        <w:t>partenaire pour les grandes orientations C8 et C9 du SMSI</w:t>
      </w:r>
      <w:r w:rsidR="008F2FF8">
        <w:rPr>
          <w:lang w:val="fr-FR"/>
        </w:rPr>
        <w:t>, ainsi que le rôle d</w:t>
      </w:r>
      <w:r w:rsidR="000749CB">
        <w:rPr>
          <w:lang w:val="fr-FR"/>
        </w:rPr>
        <w:t>'</w:t>
      </w:r>
      <w:r w:rsidR="001A6856" w:rsidRPr="00F67958">
        <w:rPr>
          <w:lang w:val="fr-FR"/>
        </w:rPr>
        <w:t>organisme directeur du Partenariat sur la mesure des TIC</w:t>
      </w:r>
      <w:r w:rsidR="00C12DEB" w:rsidRPr="00F67958">
        <w:rPr>
          <w:lang w:val="fr-FR"/>
        </w:rPr>
        <w:t xml:space="preserve"> au service du développement</w:t>
      </w:r>
      <w:r w:rsidRPr="00F67958">
        <w:rPr>
          <w:lang w:val="fr-FR"/>
        </w:rPr>
        <w:t>. Depuis 2005, le BDT joue le rôle de coordonnateur principal UIT pour la plupart des grandes orientations du SMSI (notamment pour les grandes orientations C1, C2, C3, C4, C6, C7, C9 et C11) et dirige le Partenariat sur la mesure des TIC au service du développement. En application des résultats de la</w:t>
      </w:r>
      <w:r w:rsidR="00C12DEB" w:rsidRPr="00F67958">
        <w:rPr>
          <w:lang w:val="fr-FR"/>
        </w:rPr>
        <w:t xml:space="preserve"> PP-18 et de la</w:t>
      </w:r>
      <w:r w:rsidRPr="00F67958">
        <w:rPr>
          <w:lang w:val="fr-FR"/>
        </w:rPr>
        <w:t xml:space="preserve"> CMDT-17, le BDT continuera ainsi d</w:t>
      </w:r>
      <w:r w:rsidR="000749CB">
        <w:rPr>
          <w:lang w:val="fr-FR"/>
        </w:rPr>
        <w:t>'</w:t>
      </w:r>
      <w:r w:rsidRPr="00F67958">
        <w:rPr>
          <w:lang w:val="fr-FR"/>
        </w:rPr>
        <w:t xml:space="preserve">assumer ce rôle après 2018. En vue de renforcer le </w:t>
      </w:r>
      <w:r w:rsidR="001B15BB">
        <w:rPr>
          <w:lang w:val="fr-FR"/>
        </w:rPr>
        <w:br w:type="page"/>
      </w:r>
    </w:p>
    <w:p w:rsidR="00755118" w:rsidRPr="00F67958" w:rsidRDefault="00755118" w:rsidP="008F2FF8">
      <w:pPr>
        <w:rPr>
          <w:lang w:val="fr-FR"/>
        </w:rPr>
      </w:pPr>
      <w:r w:rsidRPr="00F67958">
        <w:rPr>
          <w:lang w:val="fr-FR"/>
        </w:rPr>
        <w:t>processus, mené par le BDT, de coordination et de mise en oeuvre des g</w:t>
      </w:r>
      <w:r w:rsidR="00A62DD9">
        <w:rPr>
          <w:lang w:val="fr-FR"/>
        </w:rPr>
        <w:t>randes orientations C2 et </w:t>
      </w:r>
      <w:r w:rsidRPr="00F67958">
        <w:rPr>
          <w:lang w:val="fr-FR"/>
        </w:rPr>
        <w:t>C6 du SMSI, les feuilles de route</w:t>
      </w:r>
      <w:r w:rsidR="00C12DEB" w:rsidRPr="00F67958">
        <w:rPr>
          <w:lang w:val="fr-FR"/>
        </w:rPr>
        <w:t xml:space="preserve"> pour ces grandes orientations font actuellement l</w:t>
      </w:r>
      <w:r w:rsidR="000749CB">
        <w:rPr>
          <w:lang w:val="fr-FR"/>
        </w:rPr>
        <w:t>'</w:t>
      </w:r>
      <w:r w:rsidR="00C12DEB" w:rsidRPr="00F67958">
        <w:rPr>
          <w:lang w:val="fr-FR"/>
        </w:rPr>
        <w:t>objet d</w:t>
      </w:r>
      <w:r w:rsidR="000749CB">
        <w:rPr>
          <w:lang w:val="fr-FR"/>
        </w:rPr>
        <w:t>'</w:t>
      </w:r>
      <w:r w:rsidR="00C12DEB" w:rsidRPr="00F67958">
        <w:rPr>
          <w:lang w:val="fr-FR"/>
        </w:rPr>
        <w:t xml:space="preserve">une </w:t>
      </w:r>
      <w:r w:rsidR="00C12DEB" w:rsidRPr="00F67958">
        <w:rPr>
          <w:lang w:val="fr-FR"/>
        </w:rPr>
        <w:lastRenderedPageBreak/>
        <w:t>mise</w:t>
      </w:r>
      <w:r w:rsidRPr="00F67958">
        <w:rPr>
          <w:lang w:val="fr-FR"/>
        </w:rPr>
        <w:t xml:space="preserve"> à jour conformément aux</w:t>
      </w:r>
      <w:r w:rsidR="00C12DEB" w:rsidRPr="00F67958">
        <w:rPr>
          <w:lang w:val="fr-FR"/>
        </w:rPr>
        <w:t xml:space="preserve"> résultats de la PP-18 et aux</w:t>
      </w:r>
      <w:r w:rsidRPr="00F67958">
        <w:rPr>
          <w:lang w:val="fr-FR"/>
        </w:rPr>
        <w:t xml:space="preserve"> plans op</w:t>
      </w:r>
      <w:bookmarkStart w:id="7" w:name="_GoBack"/>
      <w:bookmarkEnd w:id="7"/>
      <w:r w:rsidRPr="00F67958">
        <w:rPr>
          <w:lang w:val="fr-FR"/>
        </w:rPr>
        <w:t>érationnels</w:t>
      </w:r>
      <w:r w:rsidR="00C12DEB" w:rsidRPr="00F67958">
        <w:rPr>
          <w:lang w:val="fr-FR"/>
        </w:rPr>
        <w:t xml:space="preserve"> et seront présentées à la prochaine session du Conseil</w:t>
      </w:r>
      <w:r w:rsidRPr="00F67958">
        <w:rPr>
          <w:lang w:val="fr-FR"/>
        </w:rPr>
        <w:t>.</w:t>
      </w:r>
    </w:p>
    <w:p w:rsidR="00755118" w:rsidRPr="00F67958" w:rsidRDefault="00755118" w:rsidP="00CD22C5">
      <w:pPr>
        <w:rPr>
          <w:lang w:val="fr-FR"/>
        </w:rPr>
      </w:pPr>
      <w:r w:rsidRPr="00F67958">
        <w:rPr>
          <w:lang w:val="fr-FR"/>
        </w:rPr>
        <w:t>6</w:t>
      </w:r>
      <w:r w:rsidRPr="00F67958">
        <w:rPr>
          <w:lang w:val="fr-FR"/>
        </w:rPr>
        <w:tab/>
      </w:r>
      <w:r w:rsidR="00C12DEB" w:rsidRPr="00F67958">
        <w:rPr>
          <w:lang w:val="fr-FR"/>
        </w:rPr>
        <w:t xml:space="preserve">La </w:t>
      </w:r>
      <w:r w:rsidRPr="00F67958">
        <w:rPr>
          <w:lang w:val="fr-FR"/>
        </w:rPr>
        <w:t xml:space="preserve">PP-18 </w:t>
      </w:r>
      <w:r w:rsidR="00C12DEB" w:rsidRPr="00F67958">
        <w:rPr>
          <w:lang w:val="fr-FR"/>
        </w:rPr>
        <w:t>a décidé que l</w:t>
      </w:r>
      <w:r w:rsidR="000749CB">
        <w:rPr>
          <w:lang w:val="fr-FR"/>
        </w:rPr>
        <w:t>'</w:t>
      </w:r>
      <w:r w:rsidR="00C12DEB" w:rsidRPr="00F67958">
        <w:rPr>
          <w:lang w:val="fr-FR"/>
        </w:rPr>
        <w:t>U</w:t>
      </w:r>
      <w:r w:rsidRPr="00F67958">
        <w:rPr>
          <w:lang w:val="fr-FR"/>
        </w:rPr>
        <w:t xml:space="preserve">IT </w:t>
      </w:r>
      <w:r w:rsidR="00C12DEB" w:rsidRPr="00F67958">
        <w:rPr>
          <w:lang w:val="fr-FR"/>
        </w:rPr>
        <w:t>dev</w:t>
      </w:r>
      <w:r w:rsidR="00DC2D6A">
        <w:rPr>
          <w:lang w:val="fr-FR"/>
        </w:rPr>
        <w:t>r</w:t>
      </w:r>
      <w:r w:rsidR="00C12DEB" w:rsidRPr="00F67958">
        <w:rPr>
          <w:lang w:val="fr-FR"/>
        </w:rPr>
        <w:t>ait</w:t>
      </w:r>
      <w:r w:rsidRPr="00F67958">
        <w:rPr>
          <w:lang w:val="fr-FR"/>
        </w:rPr>
        <w:t xml:space="preserve"> </w:t>
      </w:r>
      <w:r w:rsidR="00C12DEB" w:rsidRPr="00F67958">
        <w:rPr>
          <w:lang w:val="fr-FR"/>
        </w:rPr>
        <w:t>poursuivre</w:t>
      </w:r>
      <w:r w:rsidRPr="00F67958">
        <w:rPr>
          <w:lang w:val="fr-FR"/>
        </w:rPr>
        <w:t xml:space="preserve"> </w:t>
      </w:r>
      <w:r w:rsidR="00C12DEB" w:rsidRPr="00F67958">
        <w:rPr>
          <w:lang w:val="fr-FR"/>
        </w:rPr>
        <w:t>ses travaux</w:t>
      </w:r>
      <w:r w:rsidRPr="00F67958">
        <w:rPr>
          <w:lang w:val="fr-FR"/>
        </w:rPr>
        <w:t xml:space="preserve"> </w:t>
      </w:r>
      <w:r w:rsidR="00C12DEB" w:rsidRPr="00F67958">
        <w:rPr>
          <w:lang w:val="fr-FR"/>
        </w:rPr>
        <w:t>sur la mise en oeuvre des</w:t>
      </w:r>
      <w:r w:rsidRPr="00F67958">
        <w:rPr>
          <w:lang w:val="fr-FR"/>
        </w:rPr>
        <w:t xml:space="preserve"> </w:t>
      </w:r>
      <w:r w:rsidR="00C12DEB" w:rsidRPr="00F67958">
        <w:rPr>
          <w:lang w:val="fr-FR"/>
        </w:rPr>
        <w:t>résultats du SMSI</w:t>
      </w:r>
      <w:r w:rsidRPr="00F67958">
        <w:rPr>
          <w:lang w:val="fr-FR"/>
        </w:rPr>
        <w:t xml:space="preserve"> </w:t>
      </w:r>
      <w:r w:rsidR="00C12DEB" w:rsidRPr="00F67958">
        <w:rPr>
          <w:lang w:val="fr-FR"/>
        </w:rPr>
        <w:t>et de la Vision du SMSI pour l</w:t>
      </w:r>
      <w:r w:rsidR="000749CB">
        <w:rPr>
          <w:lang w:val="fr-FR"/>
        </w:rPr>
        <w:t>'</w:t>
      </w:r>
      <w:r w:rsidR="00C12DEB" w:rsidRPr="00F67958">
        <w:rPr>
          <w:lang w:val="fr-FR"/>
        </w:rPr>
        <w:t xml:space="preserve">après-2015, </w:t>
      </w:r>
      <w:r w:rsidR="00CD22C5">
        <w:rPr>
          <w:lang w:val="fr-FR"/>
        </w:rPr>
        <w:t xml:space="preserve">en menant </w:t>
      </w:r>
      <w:r w:rsidR="00C12DEB" w:rsidRPr="00F67958">
        <w:rPr>
          <w:lang w:val="fr-FR"/>
        </w:rPr>
        <w:t>les activités qui relèvent de son mandat</w:t>
      </w:r>
      <w:r w:rsidR="00CD22C5">
        <w:rPr>
          <w:lang w:val="fr-FR"/>
        </w:rPr>
        <w:t>,</w:t>
      </w:r>
      <w:r w:rsidR="00C12DEB" w:rsidRPr="00F67958">
        <w:rPr>
          <w:lang w:val="fr-FR"/>
        </w:rPr>
        <w:t xml:space="preserve"> et participer à cette mise en oeuvre, d</w:t>
      </w:r>
      <w:r w:rsidR="000749CB">
        <w:rPr>
          <w:lang w:val="fr-FR"/>
        </w:rPr>
        <w:t>'</w:t>
      </w:r>
      <w:r w:rsidR="00C12DEB" w:rsidRPr="00F67958">
        <w:rPr>
          <w:lang w:val="fr-FR"/>
        </w:rPr>
        <w:t>entente avec d</w:t>
      </w:r>
      <w:r w:rsidR="000749CB">
        <w:rPr>
          <w:lang w:val="fr-FR"/>
        </w:rPr>
        <w:t>'</w:t>
      </w:r>
      <w:r w:rsidR="00C12DEB" w:rsidRPr="00F67958">
        <w:rPr>
          <w:lang w:val="fr-FR"/>
        </w:rPr>
        <w:t>autres parties prenantes, selon qu</w:t>
      </w:r>
      <w:r w:rsidR="000749CB">
        <w:rPr>
          <w:lang w:val="fr-FR"/>
        </w:rPr>
        <w:t>'</w:t>
      </w:r>
      <w:r w:rsidR="00C12DEB" w:rsidRPr="00F67958">
        <w:rPr>
          <w:lang w:val="fr-FR"/>
        </w:rPr>
        <w:t>il conviendra</w:t>
      </w:r>
      <w:r w:rsidRPr="00F67958">
        <w:rPr>
          <w:lang w:val="fr-FR"/>
        </w:rPr>
        <w:t xml:space="preserve">. </w:t>
      </w:r>
      <w:r w:rsidR="00C12DEB" w:rsidRPr="00F67958">
        <w:rPr>
          <w:lang w:val="fr-FR"/>
        </w:rPr>
        <w:t>Dans ce</w:t>
      </w:r>
      <w:r w:rsidRPr="00F67958">
        <w:rPr>
          <w:lang w:val="fr-FR"/>
        </w:rPr>
        <w:t xml:space="preserve"> context</w:t>
      </w:r>
      <w:r w:rsidR="00C12DEB" w:rsidRPr="00F67958">
        <w:rPr>
          <w:lang w:val="fr-FR"/>
        </w:rPr>
        <w:t>e</w:t>
      </w:r>
      <w:r w:rsidRPr="00F67958">
        <w:rPr>
          <w:lang w:val="fr-FR"/>
        </w:rPr>
        <w:t xml:space="preserve">, </w:t>
      </w:r>
      <w:r w:rsidR="00C12DEB" w:rsidRPr="00F67958">
        <w:rPr>
          <w:lang w:val="fr-FR"/>
        </w:rPr>
        <w:t>l</w:t>
      </w:r>
      <w:r w:rsidR="00DC2D6A">
        <w:rPr>
          <w:lang w:val="fr-FR"/>
        </w:rPr>
        <w:t>a</w:t>
      </w:r>
      <w:r w:rsidR="00C12DEB" w:rsidRPr="00F67958">
        <w:rPr>
          <w:lang w:val="fr-FR"/>
        </w:rPr>
        <w:t xml:space="preserve"> Direct</w:t>
      </w:r>
      <w:r w:rsidR="00DC2D6A">
        <w:rPr>
          <w:lang w:val="fr-FR"/>
        </w:rPr>
        <w:t>rice</w:t>
      </w:r>
      <w:r w:rsidR="00C12DEB" w:rsidRPr="00F67958">
        <w:rPr>
          <w:lang w:val="fr-FR"/>
        </w:rPr>
        <w:t xml:space="preserve"> du</w:t>
      </w:r>
      <w:r w:rsidRPr="00F67958">
        <w:rPr>
          <w:lang w:val="fr-FR"/>
        </w:rPr>
        <w:t xml:space="preserve"> BDT continue </w:t>
      </w:r>
      <w:r w:rsidR="00CD22C5">
        <w:rPr>
          <w:lang w:val="fr-FR"/>
        </w:rPr>
        <w:t xml:space="preserve">de suivre </w:t>
      </w:r>
      <w:r w:rsidRPr="00F67958">
        <w:rPr>
          <w:lang w:val="fr-FR"/>
        </w:rPr>
        <w:t xml:space="preserve">une approche </w:t>
      </w:r>
      <w:r w:rsidR="00CD22C5">
        <w:rPr>
          <w:lang w:val="fr-FR"/>
        </w:rPr>
        <w:t xml:space="preserve">multipartite et </w:t>
      </w:r>
      <w:r w:rsidRPr="00F67958">
        <w:rPr>
          <w:lang w:val="fr-FR"/>
        </w:rPr>
        <w:t>fondée sur le partenariat dans les activités de l</w:t>
      </w:r>
      <w:r w:rsidR="000749CB">
        <w:rPr>
          <w:lang w:val="fr-FR"/>
        </w:rPr>
        <w:t>'</w:t>
      </w:r>
      <w:r w:rsidRPr="00F67958">
        <w:rPr>
          <w:lang w:val="fr-FR"/>
        </w:rPr>
        <w:t>UIT-D associées à ses fonctions dans la mise en oeuvre et le suivi des résultats du SMSI et dans la réalisation des ODD, en mettant tout particulièrement l</w:t>
      </w:r>
      <w:r w:rsidR="000749CB">
        <w:rPr>
          <w:lang w:val="fr-FR"/>
        </w:rPr>
        <w:t>'</w:t>
      </w:r>
      <w:r w:rsidRPr="00F67958">
        <w:rPr>
          <w:lang w:val="fr-FR"/>
        </w:rPr>
        <w:t>accent sur les besoins des pays en développement.</w:t>
      </w:r>
    </w:p>
    <w:p w:rsidR="00F35772" w:rsidRPr="00F67958" w:rsidRDefault="00F35772" w:rsidP="00CD22C5">
      <w:pPr>
        <w:rPr>
          <w:lang w:val="fr-FR"/>
        </w:rPr>
      </w:pPr>
      <w:r w:rsidRPr="00F67958">
        <w:rPr>
          <w:lang w:val="fr-FR"/>
        </w:rPr>
        <w:t>7</w:t>
      </w:r>
      <w:r w:rsidRPr="00F67958">
        <w:rPr>
          <w:lang w:val="fr-FR"/>
        </w:rPr>
        <w:tab/>
      </w:r>
      <w:r w:rsidR="00BE609E" w:rsidRPr="00F67958">
        <w:rPr>
          <w:lang w:val="fr-FR"/>
        </w:rPr>
        <w:t>Conformément aux</w:t>
      </w:r>
      <w:r w:rsidRPr="00F67958">
        <w:rPr>
          <w:lang w:val="fr-FR"/>
        </w:rPr>
        <w:t xml:space="preserve"> d</w:t>
      </w:r>
      <w:r w:rsidR="00BE609E" w:rsidRPr="00F67958">
        <w:rPr>
          <w:lang w:val="fr-FR"/>
        </w:rPr>
        <w:t>é</w:t>
      </w:r>
      <w:r w:rsidRPr="00F67958">
        <w:rPr>
          <w:lang w:val="fr-FR"/>
        </w:rPr>
        <w:t xml:space="preserve">cisions </w:t>
      </w:r>
      <w:r w:rsidR="00BE609E" w:rsidRPr="00F67958">
        <w:rPr>
          <w:lang w:val="fr-FR"/>
        </w:rPr>
        <w:t>de la</w:t>
      </w:r>
      <w:r w:rsidRPr="00F67958">
        <w:rPr>
          <w:lang w:val="fr-FR"/>
        </w:rPr>
        <w:t xml:space="preserve"> PP-18, le </w:t>
      </w:r>
      <w:r w:rsidR="00AC442E" w:rsidRPr="00F67958">
        <w:rPr>
          <w:lang w:val="fr-FR"/>
        </w:rPr>
        <w:t>BDT</w:t>
      </w:r>
      <w:r w:rsidRPr="00F67958">
        <w:rPr>
          <w:lang w:val="fr-FR"/>
        </w:rPr>
        <w:t xml:space="preserve"> </w:t>
      </w:r>
      <w:r w:rsidR="00DC2D6A">
        <w:rPr>
          <w:lang w:val="fr-FR"/>
        </w:rPr>
        <w:t>accorde</w:t>
      </w:r>
      <w:r w:rsidRPr="00F67958">
        <w:rPr>
          <w:lang w:val="fr-FR"/>
        </w:rPr>
        <w:t xml:space="preserve"> un rang de priorité élevé à l</w:t>
      </w:r>
      <w:r w:rsidR="000749CB">
        <w:rPr>
          <w:lang w:val="fr-FR"/>
        </w:rPr>
        <w:t>'</w:t>
      </w:r>
      <w:r w:rsidRPr="00F67958">
        <w:rPr>
          <w:lang w:val="fr-FR"/>
        </w:rPr>
        <w:t>édification de l</w:t>
      </w:r>
      <w:r w:rsidR="000749CB">
        <w:rPr>
          <w:lang w:val="fr-FR"/>
        </w:rPr>
        <w:t>'</w:t>
      </w:r>
      <w:r w:rsidRPr="00F67958">
        <w:rPr>
          <w:lang w:val="fr-FR"/>
        </w:rPr>
        <w:t>infrastructure de l</w:t>
      </w:r>
      <w:r w:rsidR="000749CB">
        <w:rPr>
          <w:lang w:val="fr-FR"/>
        </w:rPr>
        <w:t>'</w:t>
      </w:r>
      <w:r w:rsidRPr="00F67958">
        <w:rPr>
          <w:lang w:val="fr-FR"/>
        </w:rPr>
        <w:t>information et de la communication (grande orientation C2 du SMSI), qui constitue l</w:t>
      </w:r>
      <w:r w:rsidR="000749CB">
        <w:rPr>
          <w:lang w:val="fr-FR"/>
        </w:rPr>
        <w:t>'</w:t>
      </w:r>
      <w:r w:rsidRPr="00F67958">
        <w:rPr>
          <w:lang w:val="fr-FR"/>
        </w:rPr>
        <w:t>épine dorsale de toutes les cyberapplications, conformément à la Déclaration de Buenos Aires et à l</w:t>
      </w:r>
      <w:r w:rsidR="000749CB">
        <w:rPr>
          <w:lang w:val="fr-FR"/>
        </w:rPr>
        <w:t>'</w:t>
      </w:r>
      <w:r w:rsidRPr="00F67958">
        <w:rPr>
          <w:lang w:val="fr-FR"/>
        </w:rPr>
        <w:t>Objectif 3 du Plan d</w:t>
      </w:r>
      <w:r w:rsidR="000749CB">
        <w:rPr>
          <w:lang w:val="fr-FR"/>
        </w:rPr>
        <w:t>'</w:t>
      </w:r>
      <w:r w:rsidRPr="00F67958">
        <w:rPr>
          <w:lang w:val="fr-FR"/>
        </w:rPr>
        <w:t xml:space="preserve">action de Buenos Aires. </w:t>
      </w:r>
      <w:r w:rsidR="00CD22C5">
        <w:rPr>
          <w:lang w:val="fr-FR"/>
        </w:rPr>
        <w:t>De même</w:t>
      </w:r>
      <w:r w:rsidRPr="00F67958">
        <w:rPr>
          <w:lang w:val="fr-FR"/>
        </w:rPr>
        <w:t xml:space="preserve">, </w:t>
      </w:r>
      <w:r w:rsidR="00AC442E" w:rsidRPr="00F67958">
        <w:rPr>
          <w:lang w:val="fr-FR"/>
        </w:rPr>
        <w:t xml:space="preserve">les </w:t>
      </w:r>
      <w:r w:rsidR="008E0B8B">
        <w:rPr>
          <w:lang w:val="fr-FR"/>
        </w:rPr>
        <w:t>c</w:t>
      </w:r>
      <w:r w:rsidR="00AC442E" w:rsidRPr="00F67958">
        <w:rPr>
          <w:lang w:val="fr-FR"/>
        </w:rPr>
        <w:t>ommissions d</w:t>
      </w:r>
      <w:r w:rsidR="000749CB">
        <w:rPr>
          <w:lang w:val="fr-FR"/>
        </w:rPr>
        <w:t>'</w:t>
      </w:r>
      <w:r w:rsidR="00AC442E" w:rsidRPr="00F67958">
        <w:rPr>
          <w:lang w:val="fr-FR"/>
        </w:rPr>
        <w:t>études de l</w:t>
      </w:r>
      <w:r w:rsidR="000749CB">
        <w:rPr>
          <w:lang w:val="fr-FR"/>
        </w:rPr>
        <w:t>'</w:t>
      </w:r>
      <w:r w:rsidR="00AC442E" w:rsidRPr="00F67958">
        <w:rPr>
          <w:lang w:val="fr-FR"/>
        </w:rPr>
        <w:t>U</w:t>
      </w:r>
      <w:r w:rsidRPr="00F67958">
        <w:rPr>
          <w:lang w:val="fr-FR"/>
        </w:rPr>
        <w:t xml:space="preserve">IT-D </w:t>
      </w:r>
      <w:r w:rsidR="00CD22C5">
        <w:rPr>
          <w:lang w:val="fr-FR"/>
        </w:rPr>
        <w:t xml:space="preserve">portent une grande </w:t>
      </w:r>
      <w:r w:rsidRPr="00F67958">
        <w:rPr>
          <w:lang w:val="fr-FR"/>
        </w:rPr>
        <w:t xml:space="preserve">attention </w:t>
      </w:r>
      <w:r w:rsidR="00AC442E" w:rsidRPr="00F67958">
        <w:rPr>
          <w:lang w:val="fr-FR"/>
        </w:rPr>
        <w:t>à</w:t>
      </w:r>
      <w:r w:rsidRPr="00F67958">
        <w:rPr>
          <w:lang w:val="fr-FR"/>
        </w:rPr>
        <w:t xml:space="preserve"> </w:t>
      </w:r>
      <w:r w:rsidR="00AC442E" w:rsidRPr="00F67958">
        <w:rPr>
          <w:lang w:val="fr-FR"/>
        </w:rPr>
        <w:t xml:space="preserve">cette </w:t>
      </w:r>
      <w:r w:rsidR="00CD22C5">
        <w:rPr>
          <w:lang w:val="fr-FR"/>
        </w:rPr>
        <w:t>priorité</w:t>
      </w:r>
      <w:r w:rsidRPr="00F67958">
        <w:rPr>
          <w:lang w:val="fr-FR"/>
        </w:rPr>
        <w:t xml:space="preserve">, </w:t>
      </w:r>
      <w:r w:rsidR="00AC442E" w:rsidRPr="00F67958">
        <w:rPr>
          <w:lang w:val="fr-FR"/>
        </w:rPr>
        <w:t>tout en contribuant aux processus du SMSI</w:t>
      </w:r>
      <w:r w:rsidRPr="00F67958">
        <w:rPr>
          <w:lang w:val="fr-FR"/>
        </w:rPr>
        <w:t xml:space="preserve"> </w:t>
      </w:r>
      <w:r w:rsidR="00AC442E" w:rsidRPr="00F67958">
        <w:rPr>
          <w:lang w:val="fr-FR"/>
        </w:rPr>
        <w:t>et des ODD</w:t>
      </w:r>
      <w:r w:rsidRPr="00F67958">
        <w:rPr>
          <w:lang w:val="fr-FR"/>
        </w:rPr>
        <w:t xml:space="preserve">. </w:t>
      </w:r>
      <w:r w:rsidR="00AC442E" w:rsidRPr="00F67958">
        <w:rPr>
          <w:lang w:val="fr-FR"/>
        </w:rPr>
        <w:t>Les liens établis entre</w:t>
      </w:r>
      <w:r w:rsidRPr="00F67958">
        <w:rPr>
          <w:lang w:val="fr-FR"/>
        </w:rPr>
        <w:t xml:space="preserve"> </w:t>
      </w:r>
      <w:r w:rsidR="00AC442E" w:rsidRPr="00F67958">
        <w:rPr>
          <w:lang w:val="fr-FR"/>
        </w:rPr>
        <w:t>toutes les Questions des commissions d</w:t>
      </w:r>
      <w:r w:rsidR="000749CB">
        <w:rPr>
          <w:lang w:val="fr-FR"/>
        </w:rPr>
        <w:t>'</w:t>
      </w:r>
      <w:r w:rsidR="00AC442E" w:rsidRPr="00F67958">
        <w:rPr>
          <w:lang w:val="fr-FR"/>
        </w:rPr>
        <w:t>études de</w:t>
      </w:r>
      <w:r w:rsidRPr="00F67958">
        <w:rPr>
          <w:lang w:val="fr-FR"/>
        </w:rPr>
        <w:t xml:space="preserve"> </w:t>
      </w:r>
      <w:r w:rsidR="00AC442E" w:rsidRPr="00F67958">
        <w:rPr>
          <w:lang w:val="fr-FR"/>
        </w:rPr>
        <w:t>l</w:t>
      </w:r>
      <w:r w:rsidR="000749CB">
        <w:rPr>
          <w:lang w:val="fr-FR"/>
        </w:rPr>
        <w:t>'</w:t>
      </w:r>
      <w:r w:rsidR="00AC442E" w:rsidRPr="00F67958">
        <w:rPr>
          <w:lang w:val="fr-FR"/>
        </w:rPr>
        <w:t>U</w:t>
      </w:r>
      <w:r w:rsidRPr="00F67958">
        <w:rPr>
          <w:lang w:val="fr-FR"/>
        </w:rPr>
        <w:t>IT</w:t>
      </w:r>
      <w:r w:rsidR="00AC442E" w:rsidRPr="00F67958">
        <w:rPr>
          <w:lang w:val="fr-FR"/>
        </w:rPr>
        <w:t>-</w:t>
      </w:r>
      <w:r w:rsidRPr="00F67958">
        <w:rPr>
          <w:lang w:val="fr-FR"/>
        </w:rPr>
        <w:t xml:space="preserve">D </w:t>
      </w:r>
      <w:r w:rsidR="00AC442E" w:rsidRPr="00F67958">
        <w:rPr>
          <w:lang w:val="fr-FR"/>
        </w:rPr>
        <w:t>et leur</w:t>
      </w:r>
      <w:r w:rsidRPr="00F67958">
        <w:rPr>
          <w:lang w:val="fr-FR"/>
        </w:rPr>
        <w:t xml:space="preserve"> contribution </w:t>
      </w:r>
      <w:r w:rsidR="00AC442E" w:rsidRPr="00F67958">
        <w:rPr>
          <w:lang w:val="fr-FR"/>
        </w:rPr>
        <w:t xml:space="preserve">aux grandes orientations </w:t>
      </w:r>
      <w:r w:rsidR="00DC2D6A">
        <w:rPr>
          <w:lang w:val="fr-FR"/>
        </w:rPr>
        <w:t>correspondantes</w:t>
      </w:r>
      <w:r w:rsidR="00AC442E" w:rsidRPr="00F67958">
        <w:rPr>
          <w:lang w:val="fr-FR"/>
        </w:rPr>
        <w:t xml:space="preserve"> du SMSI</w:t>
      </w:r>
      <w:r w:rsidRPr="00F67958">
        <w:rPr>
          <w:lang w:val="fr-FR"/>
        </w:rPr>
        <w:t xml:space="preserve"> </w:t>
      </w:r>
      <w:r w:rsidR="001B15BB">
        <w:rPr>
          <w:lang w:val="fr-FR"/>
        </w:rPr>
        <w:t>et aux </w:t>
      </w:r>
      <w:r w:rsidR="00AC442E" w:rsidRPr="00F67958">
        <w:rPr>
          <w:lang w:val="fr-FR"/>
        </w:rPr>
        <w:t xml:space="preserve">ODD </w:t>
      </w:r>
      <w:r w:rsidR="008E0B8B">
        <w:rPr>
          <w:lang w:val="fr-FR"/>
        </w:rPr>
        <w:t>correspondants</w:t>
      </w:r>
      <w:r w:rsidRPr="00F67958">
        <w:rPr>
          <w:lang w:val="fr-FR"/>
        </w:rPr>
        <w:t xml:space="preserve"> (Annex</w:t>
      </w:r>
      <w:r w:rsidR="00AC442E" w:rsidRPr="00F67958">
        <w:rPr>
          <w:lang w:val="fr-FR"/>
        </w:rPr>
        <w:t>e</w:t>
      </w:r>
      <w:r w:rsidRPr="00F67958">
        <w:rPr>
          <w:lang w:val="fr-FR"/>
        </w:rPr>
        <w:t xml:space="preserve"> 2) </w:t>
      </w:r>
      <w:r w:rsidR="00AC442E" w:rsidRPr="00F67958">
        <w:rPr>
          <w:lang w:val="fr-FR"/>
        </w:rPr>
        <w:t>constituent un</w:t>
      </w:r>
      <w:r w:rsidRPr="00F67958">
        <w:rPr>
          <w:lang w:val="fr-FR"/>
        </w:rPr>
        <w:t xml:space="preserve"> </w:t>
      </w:r>
      <w:r w:rsidR="00AC442E" w:rsidRPr="00F67958">
        <w:rPr>
          <w:lang w:val="fr-FR"/>
        </w:rPr>
        <w:t>outil d</w:t>
      </w:r>
      <w:r w:rsidR="000749CB">
        <w:rPr>
          <w:lang w:val="fr-FR"/>
        </w:rPr>
        <w:t>'</w:t>
      </w:r>
      <w:r w:rsidR="00AC442E" w:rsidRPr="00F67958">
        <w:rPr>
          <w:lang w:val="fr-FR"/>
        </w:rPr>
        <w:t xml:space="preserve">orientation </w:t>
      </w:r>
      <w:r w:rsidRPr="00F67958">
        <w:rPr>
          <w:lang w:val="fr-FR"/>
        </w:rPr>
        <w:t xml:space="preserve">important </w:t>
      </w:r>
      <w:r w:rsidR="00AC442E" w:rsidRPr="00F67958">
        <w:rPr>
          <w:lang w:val="fr-FR"/>
        </w:rPr>
        <w:t>pour les commissions d</w:t>
      </w:r>
      <w:r w:rsidR="000749CB">
        <w:rPr>
          <w:lang w:val="fr-FR"/>
        </w:rPr>
        <w:t>'</w:t>
      </w:r>
      <w:r w:rsidR="00AC442E" w:rsidRPr="00F67958">
        <w:rPr>
          <w:lang w:val="fr-FR"/>
        </w:rPr>
        <w:t>études</w:t>
      </w:r>
      <w:r w:rsidRPr="00F67958">
        <w:rPr>
          <w:lang w:val="fr-FR"/>
        </w:rPr>
        <w:t xml:space="preserve"> </w:t>
      </w:r>
      <w:r w:rsidR="00AC442E" w:rsidRPr="00F67958">
        <w:rPr>
          <w:lang w:val="fr-FR"/>
        </w:rPr>
        <w:t>dans le cadre de leur</w:t>
      </w:r>
      <w:r w:rsidRPr="00F67958">
        <w:rPr>
          <w:lang w:val="fr-FR"/>
        </w:rPr>
        <w:t xml:space="preserve"> contribution </w:t>
      </w:r>
      <w:r w:rsidR="00AC442E" w:rsidRPr="00F67958">
        <w:rPr>
          <w:lang w:val="fr-FR"/>
        </w:rPr>
        <w:t>aux deux processus</w:t>
      </w:r>
      <w:r w:rsidRPr="00F67958">
        <w:rPr>
          <w:lang w:val="fr-FR"/>
        </w:rPr>
        <w:t>.</w:t>
      </w:r>
    </w:p>
    <w:p w:rsidR="00F35772" w:rsidRPr="00F67958" w:rsidRDefault="00F35772" w:rsidP="00CD22C5">
      <w:pPr>
        <w:rPr>
          <w:lang w:val="fr-FR"/>
        </w:rPr>
      </w:pPr>
      <w:r w:rsidRPr="00F67958">
        <w:rPr>
          <w:lang w:val="fr-FR"/>
        </w:rPr>
        <w:t>8</w:t>
      </w:r>
      <w:r w:rsidRPr="00F67958">
        <w:rPr>
          <w:lang w:val="fr-FR"/>
        </w:rPr>
        <w:tab/>
      </w:r>
      <w:r w:rsidR="00771B92" w:rsidRPr="00F67958">
        <w:rPr>
          <w:lang w:val="fr-FR"/>
        </w:rPr>
        <w:t>La PP-18 a décidé de</w:t>
      </w:r>
      <w:r w:rsidR="00A77231" w:rsidRPr="00F67958">
        <w:rPr>
          <w:lang w:val="fr-FR"/>
        </w:rPr>
        <w:t xml:space="preserve"> renforcer la coordination et la collaboration au niveau régional avec les commissions économiques </w:t>
      </w:r>
      <w:r w:rsidR="008E0B8B">
        <w:rPr>
          <w:lang w:val="fr-FR"/>
        </w:rPr>
        <w:t xml:space="preserve">régionales des Nations Unies </w:t>
      </w:r>
      <w:r w:rsidR="00A77231" w:rsidRPr="00F67958">
        <w:rPr>
          <w:lang w:val="fr-FR"/>
        </w:rPr>
        <w:t xml:space="preserve">et </w:t>
      </w:r>
      <w:r w:rsidR="00510523" w:rsidRPr="00F67958">
        <w:rPr>
          <w:lang w:val="fr-FR"/>
        </w:rPr>
        <w:t>le</w:t>
      </w:r>
      <w:r w:rsidR="00A77231" w:rsidRPr="00F67958">
        <w:rPr>
          <w:lang w:val="fr-FR"/>
        </w:rPr>
        <w:t xml:space="preserve"> </w:t>
      </w:r>
      <w:r w:rsidR="00510523" w:rsidRPr="00F67958">
        <w:rPr>
          <w:lang w:val="fr-FR"/>
        </w:rPr>
        <w:t>Groupe des Nations Unies pour le développement régional</w:t>
      </w:r>
      <w:r w:rsidR="00A77231" w:rsidRPr="00F67958">
        <w:rPr>
          <w:lang w:val="fr-FR"/>
        </w:rPr>
        <w:t>, ainsi que</w:t>
      </w:r>
      <w:r w:rsidR="00510523" w:rsidRPr="00F67958">
        <w:rPr>
          <w:lang w:val="fr-FR"/>
        </w:rPr>
        <w:t xml:space="preserve"> toutes</w:t>
      </w:r>
      <w:r w:rsidR="00A77231" w:rsidRPr="00F67958">
        <w:rPr>
          <w:lang w:val="fr-FR"/>
        </w:rPr>
        <w:t xml:space="preserve"> les institutions des Nations Unies (en particulier celles qui jouent le rôle de coordonnateur pour les grandes orientations du SMSI) et les autres organisations régionales concernées, en particulier dans le domaine des télécommunications/TIC. </w:t>
      </w:r>
      <w:r w:rsidR="00510523" w:rsidRPr="00F67958">
        <w:rPr>
          <w:lang w:val="fr-FR"/>
        </w:rPr>
        <w:t>Ce</w:t>
      </w:r>
      <w:r w:rsidR="00A77231" w:rsidRPr="00F67958">
        <w:rPr>
          <w:lang w:val="fr-FR"/>
        </w:rPr>
        <w:t xml:space="preserve"> process</w:t>
      </w:r>
      <w:r w:rsidR="00510523" w:rsidRPr="00F67958">
        <w:rPr>
          <w:lang w:val="fr-FR"/>
        </w:rPr>
        <w:t>us</w:t>
      </w:r>
      <w:r w:rsidR="00A77231" w:rsidRPr="00F67958">
        <w:rPr>
          <w:lang w:val="fr-FR"/>
        </w:rPr>
        <w:t xml:space="preserve"> </w:t>
      </w:r>
      <w:r w:rsidR="00510523" w:rsidRPr="00F67958">
        <w:rPr>
          <w:lang w:val="fr-FR"/>
        </w:rPr>
        <w:t>fera intervenir</w:t>
      </w:r>
      <w:r w:rsidR="00A77231" w:rsidRPr="00F67958">
        <w:rPr>
          <w:lang w:val="fr-FR"/>
        </w:rPr>
        <w:t xml:space="preserve"> </w:t>
      </w:r>
      <w:r w:rsidR="00510523" w:rsidRPr="00F67958">
        <w:rPr>
          <w:lang w:val="fr-FR"/>
        </w:rPr>
        <w:t xml:space="preserve">les </w:t>
      </w:r>
      <w:r w:rsidR="006E4A71">
        <w:rPr>
          <w:lang w:val="fr-FR"/>
        </w:rPr>
        <w:t>B</w:t>
      </w:r>
      <w:r w:rsidR="00510523" w:rsidRPr="00F67958">
        <w:rPr>
          <w:lang w:val="fr-FR"/>
        </w:rPr>
        <w:t xml:space="preserve">ureaux régionaux et </w:t>
      </w:r>
      <w:r w:rsidR="008E0B8B">
        <w:rPr>
          <w:lang w:val="fr-FR"/>
        </w:rPr>
        <w:t xml:space="preserve">les </w:t>
      </w:r>
      <w:r w:rsidR="006E4A71">
        <w:rPr>
          <w:lang w:val="fr-FR"/>
        </w:rPr>
        <w:t>B</w:t>
      </w:r>
      <w:r w:rsidR="008E0B8B">
        <w:rPr>
          <w:lang w:val="fr-FR"/>
        </w:rPr>
        <w:t xml:space="preserve">ureaux </w:t>
      </w:r>
      <w:r w:rsidR="00510523" w:rsidRPr="00F67958">
        <w:rPr>
          <w:lang w:val="fr-FR"/>
        </w:rPr>
        <w:t>de zone de l</w:t>
      </w:r>
      <w:r w:rsidR="000749CB">
        <w:rPr>
          <w:lang w:val="fr-FR"/>
        </w:rPr>
        <w:t>'</w:t>
      </w:r>
      <w:r w:rsidR="00510523" w:rsidRPr="00F67958">
        <w:rPr>
          <w:lang w:val="fr-FR"/>
        </w:rPr>
        <w:t>UIT</w:t>
      </w:r>
      <w:r w:rsidR="00A77231" w:rsidRPr="00F67958">
        <w:rPr>
          <w:lang w:val="fr-FR"/>
        </w:rPr>
        <w:t xml:space="preserve">. </w:t>
      </w:r>
      <w:r w:rsidR="00510523" w:rsidRPr="00F67958">
        <w:rPr>
          <w:lang w:val="fr-FR"/>
        </w:rPr>
        <w:t>Dans ce context</w:t>
      </w:r>
      <w:r w:rsidR="0017690E" w:rsidRPr="00F67958">
        <w:rPr>
          <w:lang w:val="fr-FR"/>
        </w:rPr>
        <w:t>e</w:t>
      </w:r>
      <w:r w:rsidR="00510523" w:rsidRPr="00F67958">
        <w:rPr>
          <w:lang w:val="fr-FR"/>
        </w:rPr>
        <w:t>, le</w:t>
      </w:r>
      <w:r w:rsidR="00A77231" w:rsidRPr="00F67958">
        <w:rPr>
          <w:lang w:val="fr-FR"/>
        </w:rPr>
        <w:t xml:space="preserve"> BDT </w:t>
      </w:r>
      <w:r w:rsidR="00510523" w:rsidRPr="00F67958">
        <w:rPr>
          <w:lang w:val="fr-FR"/>
        </w:rPr>
        <w:t>a mis en oeuvre</w:t>
      </w:r>
      <w:r w:rsidR="00A77231" w:rsidRPr="00F67958">
        <w:rPr>
          <w:lang w:val="fr-FR"/>
        </w:rPr>
        <w:t xml:space="preserve"> </w:t>
      </w:r>
      <w:r w:rsidR="00510523" w:rsidRPr="00F67958">
        <w:rPr>
          <w:lang w:val="fr-FR"/>
        </w:rPr>
        <w:t>une série</w:t>
      </w:r>
      <w:r w:rsidR="00A77231" w:rsidRPr="00F67958">
        <w:rPr>
          <w:lang w:val="fr-FR"/>
        </w:rPr>
        <w:t xml:space="preserve"> </w:t>
      </w:r>
      <w:r w:rsidR="00510523" w:rsidRPr="00F67958">
        <w:rPr>
          <w:lang w:val="fr-FR"/>
        </w:rPr>
        <w:t>d</w:t>
      </w:r>
      <w:r w:rsidR="000749CB">
        <w:rPr>
          <w:lang w:val="fr-FR"/>
        </w:rPr>
        <w:t>'</w:t>
      </w:r>
      <w:r w:rsidR="00510523" w:rsidRPr="00F67958">
        <w:rPr>
          <w:lang w:val="fr-FR"/>
        </w:rPr>
        <w:t>activités</w:t>
      </w:r>
      <w:r w:rsidR="00A77231" w:rsidRPr="00F67958">
        <w:rPr>
          <w:lang w:val="fr-FR"/>
        </w:rPr>
        <w:t xml:space="preserve"> </w:t>
      </w:r>
      <w:r w:rsidR="00510523" w:rsidRPr="00F67958">
        <w:rPr>
          <w:lang w:val="fr-FR"/>
        </w:rPr>
        <w:t>conduisant au renforcement de la mise en oeuvre</w:t>
      </w:r>
      <w:r w:rsidR="00A77231" w:rsidRPr="00F67958">
        <w:rPr>
          <w:lang w:val="fr-FR"/>
        </w:rPr>
        <w:t xml:space="preserve"> </w:t>
      </w:r>
      <w:r w:rsidR="008E0B8B">
        <w:rPr>
          <w:lang w:val="fr-FR"/>
        </w:rPr>
        <w:t xml:space="preserve">des </w:t>
      </w:r>
      <w:r w:rsidR="00510523" w:rsidRPr="00F67958">
        <w:rPr>
          <w:lang w:val="fr-FR"/>
        </w:rPr>
        <w:t>processus du SMSI et</w:t>
      </w:r>
      <w:r w:rsidR="00A77231" w:rsidRPr="00F67958">
        <w:rPr>
          <w:lang w:val="fr-FR"/>
        </w:rPr>
        <w:t xml:space="preserve"> </w:t>
      </w:r>
      <w:r w:rsidR="00510523" w:rsidRPr="00F67958">
        <w:rPr>
          <w:lang w:val="fr-FR"/>
        </w:rPr>
        <w:t>des ODD</w:t>
      </w:r>
      <w:r w:rsidR="008E0B8B">
        <w:rPr>
          <w:lang w:val="fr-FR"/>
        </w:rPr>
        <w:t xml:space="preserve"> et de la contribution à ces deux processus</w:t>
      </w:r>
      <w:r w:rsidR="00A77231" w:rsidRPr="00F67958">
        <w:rPr>
          <w:lang w:val="fr-FR"/>
        </w:rPr>
        <w:t>.</w:t>
      </w:r>
    </w:p>
    <w:p w:rsidR="00A77231" w:rsidRPr="00F67958" w:rsidRDefault="00A77231" w:rsidP="008F2FF8">
      <w:pPr>
        <w:pStyle w:val="Headingb"/>
        <w:rPr>
          <w:lang w:val="fr-FR"/>
        </w:rPr>
      </w:pPr>
      <w:r w:rsidRPr="00F67958">
        <w:rPr>
          <w:lang w:val="fr-FR"/>
        </w:rPr>
        <w:t>Fonctionnement au-delà de la PP-18</w:t>
      </w:r>
    </w:p>
    <w:p w:rsidR="00A77231" w:rsidRPr="00F67958" w:rsidRDefault="00A77231" w:rsidP="00CD22C5">
      <w:pPr>
        <w:rPr>
          <w:lang w:val="fr-FR"/>
        </w:rPr>
      </w:pPr>
      <w:r w:rsidRPr="00F67958">
        <w:rPr>
          <w:lang w:val="fr-FR"/>
        </w:rPr>
        <w:t>9</w:t>
      </w:r>
      <w:r w:rsidRPr="00F67958">
        <w:rPr>
          <w:lang w:val="fr-FR"/>
        </w:rPr>
        <w:tab/>
      </w:r>
      <w:r w:rsidR="0056282C" w:rsidRPr="00F67958">
        <w:rPr>
          <w:lang w:val="fr-FR"/>
        </w:rPr>
        <w:t>Au niveau opérationnel, le BDT contribue à la mise en oeuvre des résultats du SMSI</w:t>
      </w:r>
      <w:r w:rsidRPr="00F67958">
        <w:rPr>
          <w:lang w:val="fr-FR"/>
        </w:rPr>
        <w:t>.</w:t>
      </w:r>
      <w:r w:rsidR="0056282C" w:rsidRPr="00F67958">
        <w:rPr>
          <w:lang w:val="fr-FR"/>
        </w:rPr>
        <w:t xml:space="preserve"> Au nom de l</w:t>
      </w:r>
      <w:r w:rsidR="000749CB">
        <w:rPr>
          <w:lang w:val="fr-FR"/>
        </w:rPr>
        <w:t>'</w:t>
      </w:r>
      <w:r w:rsidR="0056282C" w:rsidRPr="00F67958">
        <w:rPr>
          <w:lang w:val="fr-FR"/>
        </w:rPr>
        <w:t>UIT, il assure la fonction de coordonnateur pour les grandes orientations C2 (l</w:t>
      </w:r>
      <w:r w:rsidR="000749CB">
        <w:rPr>
          <w:lang w:val="fr-FR"/>
        </w:rPr>
        <w:t>'</w:t>
      </w:r>
      <w:r w:rsidR="0056282C" w:rsidRPr="00F67958">
        <w:rPr>
          <w:lang w:val="fr-FR"/>
        </w:rPr>
        <w:t>infrastructure de l</w:t>
      </w:r>
      <w:r w:rsidR="000749CB">
        <w:rPr>
          <w:lang w:val="fr-FR"/>
        </w:rPr>
        <w:t>'</w:t>
      </w:r>
      <w:r w:rsidR="0056282C" w:rsidRPr="00F67958">
        <w:rPr>
          <w:lang w:val="fr-FR"/>
        </w:rPr>
        <w:t>information et de la communication) et C6 (créer un environnement propice). Le BDT a également mis en oeuvre plusieurs activités dans le cadre</w:t>
      </w:r>
      <w:r w:rsidR="00A62DD9">
        <w:rPr>
          <w:lang w:val="fr-FR"/>
        </w:rPr>
        <w:t xml:space="preserve"> de la grande orientation C5 du </w:t>
      </w:r>
      <w:r w:rsidR="0056282C" w:rsidRPr="00F67958">
        <w:rPr>
          <w:lang w:val="fr-FR"/>
        </w:rPr>
        <w:t>SMSI (établir la confiance et la sécurité dans l</w:t>
      </w:r>
      <w:r w:rsidR="000749CB">
        <w:rPr>
          <w:lang w:val="fr-FR"/>
        </w:rPr>
        <w:t>'</w:t>
      </w:r>
      <w:r w:rsidR="0056282C" w:rsidRPr="00F67958">
        <w:rPr>
          <w:lang w:val="fr-FR"/>
        </w:rPr>
        <w:t>utilisation des TIC), pour laquelle l</w:t>
      </w:r>
      <w:r w:rsidR="000749CB">
        <w:rPr>
          <w:lang w:val="fr-FR"/>
        </w:rPr>
        <w:t>'</w:t>
      </w:r>
      <w:r w:rsidR="0056282C" w:rsidRPr="00F67958">
        <w:rPr>
          <w:lang w:val="fr-FR"/>
        </w:rPr>
        <w:t>UIT est le coordonnateur unique. En concertation avec le PNUD et l</w:t>
      </w:r>
      <w:r w:rsidR="000749CB">
        <w:rPr>
          <w:lang w:val="fr-FR"/>
        </w:rPr>
        <w:t>'</w:t>
      </w:r>
      <w:r w:rsidR="0056282C" w:rsidRPr="00F67958">
        <w:rPr>
          <w:lang w:val="fr-FR"/>
        </w:rPr>
        <w:t>UNESCO, le BDT joue aussi le rôle de coordonnateur par intérim pour la grande orientation C4 du SMSI (renforcement des capacités). Le Bureau assure par ailleurs la fonction de coordonnateur officiel UIT pour la plupart des grandes orientations (C1, C3, C4, C7 et C11) du SMSI pour lesquelles l</w:t>
      </w:r>
      <w:r w:rsidR="000749CB">
        <w:rPr>
          <w:lang w:val="fr-FR"/>
        </w:rPr>
        <w:t>'</w:t>
      </w:r>
      <w:r w:rsidR="0056282C" w:rsidRPr="00F67958">
        <w:rPr>
          <w:lang w:val="fr-FR"/>
        </w:rPr>
        <w:t>Union est le co-coordonnateur, ainsi que pour la grande orientation C9 pour laquelle l</w:t>
      </w:r>
      <w:r w:rsidR="000749CB">
        <w:rPr>
          <w:lang w:val="fr-FR"/>
        </w:rPr>
        <w:t>'</w:t>
      </w:r>
      <w:r w:rsidR="0056282C" w:rsidRPr="00F67958">
        <w:rPr>
          <w:lang w:val="fr-FR"/>
        </w:rPr>
        <w:t>Union est partenaire. Le BDT continue également de diriger le Partenariat sur la mesure des TIC au service du développement, initiative internationale multi-parties prenantes visant à améliorer la disponibilité et la qualité des données et indicateurs relatifs aux TIC.</w:t>
      </w:r>
    </w:p>
    <w:p w:rsidR="001B15BB" w:rsidRDefault="001B15BB" w:rsidP="008F2FF8">
      <w:pPr>
        <w:rPr>
          <w:lang w:val="fr-FR"/>
        </w:rPr>
      </w:pPr>
      <w:r>
        <w:rPr>
          <w:lang w:val="fr-FR"/>
        </w:rPr>
        <w:br w:type="page"/>
      </w:r>
    </w:p>
    <w:p w:rsidR="00A77231" w:rsidRPr="00F67958" w:rsidRDefault="00A77231" w:rsidP="008F2FF8">
      <w:pPr>
        <w:rPr>
          <w:lang w:val="fr-FR"/>
        </w:rPr>
      </w:pPr>
      <w:r w:rsidRPr="00F67958">
        <w:rPr>
          <w:lang w:val="fr-FR"/>
        </w:rPr>
        <w:t>10</w:t>
      </w:r>
      <w:r w:rsidRPr="00F67958">
        <w:rPr>
          <w:lang w:val="fr-FR"/>
        </w:rPr>
        <w:tab/>
        <w:t>Le BDT participe au processus de préparation et à l</w:t>
      </w:r>
      <w:r w:rsidR="000749CB">
        <w:rPr>
          <w:lang w:val="fr-FR"/>
        </w:rPr>
        <w:t>'</w:t>
      </w:r>
      <w:r w:rsidRPr="00F67958">
        <w:rPr>
          <w:lang w:val="fr-FR"/>
        </w:rPr>
        <w:t>organisation du Forum du SMSI (</w:t>
      </w:r>
      <w:hyperlink r:id="rId12" w:history="1">
        <w:r w:rsidRPr="00F67958">
          <w:rPr>
            <w:rStyle w:val="Hyperlink"/>
            <w:szCs w:val="24"/>
            <w:lang w:val="fr-FR"/>
          </w:rPr>
          <w:t>www.wsis.org/forum</w:t>
        </w:r>
      </w:hyperlink>
      <w:r w:rsidRPr="00F67958">
        <w:rPr>
          <w:lang w:val="fr-FR"/>
        </w:rPr>
        <w:t>), qui est devenu la tribune mondiale principale pour la coordination et la mise en oeuvre des résultats du SMSI, de même qu</w:t>
      </w:r>
      <w:r w:rsidR="000749CB">
        <w:rPr>
          <w:lang w:val="fr-FR"/>
        </w:rPr>
        <w:t>'</w:t>
      </w:r>
      <w:r w:rsidRPr="00F67958">
        <w:rPr>
          <w:lang w:val="fr-FR"/>
        </w:rPr>
        <w:t>une plate-forme multi</w:t>
      </w:r>
      <w:r w:rsidRPr="00F67958">
        <w:rPr>
          <w:lang w:val="fr-FR"/>
        </w:rPr>
        <w:noBreakHyphen/>
        <w:t>parties prenantes visant à faire avancer le débat sur le rôle des TIC et de la société de l</w:t>
      </w:r>
      <w:r w:rsidR="000749CB">
        <w:rPr>
          <w:lang w:val="fr-FR"/>
        </w:rPr>
        <w:t>'</w:t>
      </w:r>
      <w:r w:rsidRPr="00F67958">
        <w:rPr>
          <w:lang w:val="fr-FR"/>
        </w:rPr>
        <w:t>information dans le cadre des ODD. L</w:t>
      </w:r>
      <w:r w:rsidR="000749CB">
        <w:rPr>
          <w:lang w:val="fr-FR"/>
        </w:rPr>
        <w:t>'</w:t>
      </w:r>
      <w:r w:rsidRPr="00F67958">
        <w:rPr>
          <w:lang w:val="fr-FR"/>
        </w:rPr>
        <w:t>édition de 2019 du Forum du SMSI est prévue du 8 au 12 avril au siège de l</w:t>
      </w:r>
      <w:r w:rsidR="000749CB">
        <w:rPr>
          <w:lang w:val="fr-FR"/>
        </w:rPr>
        <w:t>'</w:t>
      </w:r>
      <w:r w:rsidR="001B15BB">
        <w:rPr>
          <w:lang w:val="fr-FR"/>
        </w:rPr>
        <w:t>UIT; plus de </w:t>
      </w:r>
      <w:r w:rsidRPr="00F67958">
        <w:rPr>
          <w:lang w:val="fr-FR"/>
        </w:rPr>
        <w:t>3 000 parties prenantes y sont attendues, parmi lesquelles 250 dirigeants de haut niveau issus de l</w:t>
      </w:r>
      <w:r w:rsidR="000749CB">
        <w:rPr>
          <w:lang w:val="fr-FR"/>
        </w:rPr>
        <w:t>'</w:t>
      </w:r>
      <w:r w:rsidRPr="00F67958">
        <w:rPr>
          <w:lang w:val="fr-FR"/>
        </w:rPr>
        <w:t>écosystème des TIC et d</w:t>
      </w:r>
      <w:r w:rsidR="000749CB">
        <w:rPr>
          <w:lang w:val="fr-FR"/>
        </w:rPr>
        <w:t>'</w:t>
      </w:r>
      <w:r w:rsidRPr="00F67958">
        <w:rPr>
          <w:lang w:val="fr-FR"/>
        </w:rPr>
        <w:t>autres secteurs tels que notamment la santé, l</w:t>
      </w:r>
      <w:r w:rsidR="000749CB">
        <w:rPr>
          <w:lang w:val="fr-FR"/>
        </w:rPr>
        <w:t>'</w:t>
      </w:r>
      <w:r w:rsidRPr="00F67958">
        <w:rPr>
          <w:lang w:val="fr-FR"/>
        </w:rPr>
        <w:t>éducation, ou encore l</w:t>
      </w:r>
      <w:r w:rsidR="000749CB">
        <w:rPr>
          <w:lang w:val="fr-FR"/>
        </w:rPr>
        <w:t>'</w:t>
      </w:r>
      <w:r w:rsidRPr="00F67958">
        <w:rPr>
          <w:lang w:val="fr-FR"/>
        </w:rPr>
        <w:t>environnement. En outre, lors de l</w:t>
      </w:r>
      <w:r w:rsidR="000749CB">
        <w:rPr>
          <w:lang w:val="fr-FR"/>
        </w:rPr>
        <w:t>'</w:t>
      </w:r>
      <w:r w:rsidRPr="00F67958">
        <w:rPr>
          <w:lang w:val="fr-FR"/>
        </w:rPr>
        <w:t>édition de 2019, le BDT dirigera plusieurs axes thématiques du Forum, tout en encourageant l</w:t>
      </w:r>
      <w:r w:rsidR="000749CB">
        <w:rPr>
          <w:lang w:val="fr-FR"/>
        </w:rPr>
        <w:t>'</w:t>
      </w:r>
      <w:r w:rsidRPr="00F67958">
        <w:rPr>
          <w:lang w:val="fr-FR"/>
        </w:rPr>
        <w:t xml:space="preserve">établissement de partenariats et la création de projets. La liste suivante présente une série de sessions qui seront animées par le BDT </w:t>
      </w:r>
      <w:r w:rsidR="00A62DD9">
        <w:rPr>
          <w:lang w:val="fr-FR"/>
        </w:rPr>
        <w:t>dans le cadre du Forum du </w:t>
      </w:r>
      <w:r w:rsidR="00154F05" w:rsidRPr="00F67958">
        <w:rPr>
          <w:lang w:val="fr-FR"/>
        </w:rPr>
        <w:t>SMSI:</w:t>
      </w:r>
    </w:p>
    <w:p w:rsidR="00A77231" w:rsidRPr="00F67958" w:rsidRDefault="00A77231" w:rsidP="008F2FF8">
      <w:pPr>
        <w:pStyle w:val="enumlev1"/>
        <w:rPr>
          <w:lang w:val="fr-FR"/>
        </w:rPr>
      </w:pPr>
      <w:r w:rsidRPr="00F67958">
        <w:rPr>
          <w:lang w:val="fr-FR"/>
        </w:rPr>
        <w:t>–</w:t>
      </w:r>
      <w:r w:rsidRPr="00F67958">
        <w:rPr>
          <w:lang w:val="fr-FR"/>
        </w:rPr>
        <w:tab/>
        <w:t>Réunions de coordination d</w:t>
      </w:r>
      <w:r w:rsidR="003845A8">
        <w:rPr>
          <w:lang w:val="fr-FR"/>
        </w:rPr>
        <w:t>es grandes orientations du SMSI</w:t>
      </w:r>
    </w:p>
    <w:p w:rsidR="00A77231" w:rsidRPr="00F67958" w:rsidRDefault="00A77231" w:rsidP="008F2FF8">
      <w:pPr>
        <w:pStyle w:val="enumlev2"/>
        <w:rPr>
          <w:lang w:val="fr-FR"/>
        </w:rPr>
      </w:pPr>
      <w:r w:rsidRPr="00F67958">
        <w:rPr>
          <w:lang w:val="fr-FR"/>
        </w:rPr>
        <w:t>•</w:t>
      </w:r>
      <w:r w:rsidRPr="00F67958">
        <w:rPr>
          <w:lang w:val="fr-FR"/>
        </w:rPr>
        <w:tab/>
        <w:t>GO-</w:t>
      </w:r>
      <w:r w:rsidR="003845A8">
        <w:rPr>
          <w:lang w:val="fr-FR"/>
        </w:rPr>
        <w:t>SMSI C2: Infrastructure des TIC</w:t>
      </w:r>
    </w:p>
    <w:p w:rsidR="00A77231" w:rsidRPr="00F67958" w:rsidRDefault="00A77231" w:rsidP="008F2FF8">
      <w:pPr>
        <w:pStyle w:val="enumlev2"/>
        <w:rPr>
          <w:lang w:val="fr-FR"/>
        </w:rPr>
      </w:pPr>
      <w:r w:rsidRPr="00F67958">
        <w:rPr>
          <w:lang w:val="fr-FR"/>
        </w:rPr>
        <w:t>•</w:t>
      </w:r>
      <w:r w:rsidRPr="00F67958">
        <w:rPr>
          <w:lang w:val="fr-FR"/>
        </w:rPr>
        <w:tab/>
        <w:t>GO-SMSI</w:t>
      </w:r>
      <w:r w:rsidR="003845A8">
        <w:rPr>
          <w:lang w:val="fr-FR"/>
        </w:rPr>
        <w:t xml:space="preserve"> C4: Renforcement des capacités</w:t>
      </w:r>
    </w:p>
    <w:p w:rsidR="00A77231" w:rsidRPr="00F67958" w:rsidRDefault="00A77231" w:rsidP="00CD22C5">
      <w:pPr>
        <w:pStyle w:val="enumlev2"/>
        <w:rPr>
          <w:lang w:val="fr-FR"/>
        </w:rPr>
      </w:pPr>
      <w:r w:rsidRPr="00F67958">
        <w:rPr>
          <w:lang w:val="fr-FR"/>
        </w:rPr>
        <w:t>•</w:t>
      </w:r>
      <w:r w:rsidRPr="00F67958">
        <w:rPr>
          <w:lang w:val="fr-FR"/>
        </w:rPr>
        <w:tab/>
        <w:t xml:space="preserve">GO-SMSI C5: Cybersécurité (rôle de contributeur, session dirigée par </w:t>
      </w:r>
      <w:r w:rsidR="00CD22C5">
        <w:rPr>
          <w:lang w:val="fr-FR"/>
        </w:rPr>
        <w:t>le Département </w:t>
      </w:r>
      <w:r w:rsidRPr="00F67958">
        <w:rPr>
          <w:lang w:val="fr-FR"/>
        </w:rPr>
        <w:t>SPM)</w:t>
      </w:r>
    </w:p>
    <w:p w:rsidR="00A77231" w:rsidRPr="00F67958" w:rsidRDefault="00A77231" w:rsidP="008F2FF8">
      <w:pPr>
        <w:pStyle w:val="enumlev2"/>
        <w:rPr>
          <w:lang w:val="fr-FR"/>
        </w:rPr>
      </w:pPr>
      <w:r w:rsidRPr="00F67958">
        <w:rPr>
          <w:lang w:val="fr-FR"/>
        </w:rPr>
        <w:t>•</w:t>
      </w:r>
      <w:r w:rsidRPr="00F67958">
        <w:rPr>
          <w:lang w:val="fr-FR"/>
        </w:rPr>
        <w:tab/>
        <w:t>GO-SMSI C6: Env</w:t>
      </w:r>
      <w:r w:rsidR="003845A8">
        <w:rPr>
          <w:lang w:val="fr-FR"/>
        </w:rPr>
        <w:t>ironnement propice</w:t>
      </w:r>
    </w:p>
    <w:p w:rsidR="00A77231" w:rsidRPr="00F67958" w:rsidRDefault="00A77231" w:rsidP="008F2FF8">
      <w:pPr>
        <w:pStyle w:val="enumlev2"/>
        <w:rPr>
          <w:lang w:val="fr-FR"/>
        </w:rPr>
      </w:pPr>
      <w:r w:rsidRPr="00F67958">
        <w:rPr>
          <w:lang w:val="fr-FR"/>
        </w:rPr>
        <w:t>•</w:t>
      </w:r>
      <w:r w:rsidRPr="00F67958">
        <w:rPr>
          <w:lang w:val="fr-FR"/>
        </w:rPr>
        <w:tab/>
        <w:t>GO-SMSI C7: Déchets d</w:t>
      </w:r>
      <w:r w:rsidR="000749CB">
        <w:rPr>
          <w:lang w:val="fr-FR"/>
        </w:rPr>
        <w:t>'</w:t>
      </w:r>
      <w:r w:rsidRPr="00F67958">
        <w:rPr>
          <w:lang w:val="fr-FR"/>
        </w:rPr>
        <w:t>équipements électriques et électroniques (UIT/PNUE)</w:t>
      </w:r>
    </w:p>
    <w:p w:rsidR="00A77231" w:rsidRPr="00F67958" w:rsidRDefault="00A77231" w:rsidP="008F2FF8">
      <w:pPr>
        <w:pStyle w:val="enumlev2"/>
        <w:rPr>
          <w:lang w:val="fr-FR"/>
        </w:rPr>
      </w:pPr>
      <w:r w:rsidRPr="00F67958">
        <w:rPr>
          <w:lang w:val="fr-FR"/>
        </w:rPr>
        <w:t>•</w:t>
      </w:r>
      <w:r w:rsidRPr="00F67958">
        <w:rPr>
          <w:lang w:val="fr-FR"/>
        </w:rPr>
        <w:tab/>
        <w:t>GO-SMSI C7: Cyberenvironnement (UIT/OMM)</w:t>
      </w:r>
    </w:p>
    <w:p w:rsidR="00A77231" w:rsidRPr="00F67958" w:rsidRDefault="00A77231" w:rsidP="008F2FF8">
      <w:pPr>
        <w:pStyle w:val="enumlev2"/>
        <w:rPr>
          <w:lang w:val="fr-FR"/>
        </w:rPr>
      </w:pPr>
      <w:r w:rsidRPr="00F67958">
        <w:rPr>
          <w:lang w:val="fr-FR"/>
        </w:rPr>
        <w:t>•</w:t>
      </w:r>
      <w:r w:rsidRPr="00F67958">
        <w:rPr>
          <w:lang w:val="fr-FR"/>
        </w:rPr>
        <w:tab/>
        <w:t>GO-SMSI C7: Cyberagriculture (UIT/FAO)</w:t>
      </w:r>
    </w:p>
    <w:p w:rsidR="00A77231" w:rsidRPr="00F67958" w:rsidRDefault="00A77231" w:rsidP="008F2FF8">
      <w:pPr>
        <w:pStyle w:val="enumlev2"/>
        <w:rPr>
          <w:lang w:val="fr-FR"/>
        </w:rPr>
      </w:pPr>
      <w:r w:rsidRPr="00F67958">
        <w:rPr>
          <w:lang w:val="fr-FR"/>
        </w:rPr>
        <w:t>•</w:t>
      </w:r>
      <w:r w:rsidRPr="00F67958">
        <w:rPr>
          <w:lang w:val="fr-FR"/>
        </w:rPr>
        <w:tab/>
        <w:t>G</w:t>
      </w:r>
      <w:r w:rsidR="003845A8">
        <w:rPr>
          <w:lang w:val="fr-FR"/>
        </w:rPr>
        <w:t>O-SMSI C7: Cybersanté (UIT/OMS)</w:t>
      </w:r>
    </w:p>
    <w:p w:rsidR="00A77231" w:rsidRPr="00F67958" w:rsidRDefault="00A77231" w:rsidP="008F2FF8">
      <w:pPr>
        <w:pStyle w:val="enumlev1"/>
        <w:rPr>
          <w:lang w:val="fr-FR"/>
        </w:rPr>
      </w:pPr>
      <w:r w:rsidRPr="00F67958">
        <w:rPr>
          <w:lang w:val="fr-FR"/>
        </w:rPr>
        <w:t>–</w:t>
      </w:r>
      <w:r w:rsidRPr="00F67958">
        <w:rPr>
          <w:lang w:val="fr-FR"/>
        </w:rPr>
        <w:tab/>
        <w:t>Dialogues de haut niveau</w:t>
      </w:r>
    </w:p>
    <w:p w:rsidR="00A77231" w:rsidRPr="00F67958" w:rsidRDefault="00A77231" w:rsidP="008F2FF8">
      <w:pPr>
        <w:pStyle w:val="enumlev2"/>
        <w:rPr>
          <w:lang w:val="fr-FR"/>
        </w:rPr>
      </w:pPr>
      <w:r w:rsidRPr="00F67958">
        <w:rPr>
          <w:lang w:val="fr-FR"/>
        </w:rPr>
        <w:t>•</w:t>
      </w:r>
      <w:r w:rsidRPr="00F67958">
        <w:rPr>
          <w:lang w:val="fr-FR"/>
        </w:rPr>
        <w:tab/>
      </w:r>
      <w:r w:rsidR="00282AA1" w:rsidRPr="00F67958">
        <w:rPr>
          <w:lang w:val="fr-FR"/>
        </w:rPr>
        <w:t>Accessibilité des TIC</w:t>
      </w:r>
    </w:p>
    <w:p w:rsidR="00A77231" w:rsidRPr="00F67958" w:rsidRDefault="00A77231" w:rsidP="00CD22C5">
      <w:pPr>
        <w:pStyle w:val="enumlev2"/>
        <w:rPr>
          <w:lang w:val="fr-FR"/>
        </w:rPr>
      </w:pPr>
      <w:r w:rsidRPr="00F67958">
        <w:rPr>
          <w:lang w:val="fr-FR"/>
        </w:rPr>
        <w:t>•</w:t>
      </w:r>
      <w:r w:rsidRPr="00F67958">
        <w:rPr>
          <w:lang w:val="fr-FR"/>
        </w:rPr>
        <w:tab/>
        <w:t xml:space="preserve">Coalition </w:t>
      </w:r>
      <w:r w:rsidR="00CD22C5">
        <w:rPr>
          <w:lang w:val="fr-FR"/>
        </w:rPr>
        <w:t xml:space="preserve">sur </w:t>
      </w:r>
      <w:r w:rsidRPr="00F67958">
        <w:rPr>
          <w:lang w:val="fr-FR"/>
        </w:rPr>
        <w:t>les déchets d</w:t>
      </w:r>
      <w:r w:rsidR="000749CB">
        <w:rPr>
          <w:lang w:val="fr-FR"/>
        </w:rPr>
        <w:t>'</w:t>
      </w:r>
      <w:r w:rsidRPr="00F67958">
        <w:rPr>
          <w:lang w:val="fr-FR"/>
        </w:rPr>
        <w:t>équipements électriques et électroniques</w:t>
      </w:r>
    </w:p>
    <w:p w:rsidR="00A77231" w:rsidRPr="00F67958" w:rsidRDefault="00A77231" w:rsidP="008F2FF8">
      <w:pPr>
        <w:pStyle w:val="enumlev1"/>
        <w:rPr>
          <w:lang w:val="fr-FR"/>
        </w:rPr>
      </w:pPr>
      <w:r w:rsidRPr="00F67958">
        <w:rPr>
          <w:lang w:val="fr-FR"/>
        </w:rPr>
        <w:t>–</w:t>
      </w:r>
      <w:r w:rsidRPr="00F67958">
        <w:rPr>
          <w:lang w:val="fr-FR"/>
        </w:rPr>
        <w:tab/>
        <w:t>Réunion annuelle du Partenariat sur la mesure des TIC au service du développement</w:t>
      </w:r>
    </w:p>
    <w:p w:rsidR="00625B3D" w:rsidRPr="00F67958" w:rsidRDefault="00A77231" w:rsidP="008F2FF8">
      <w:pPr>
        <w:pStyle w:val="enumlev1"/>
        <w:rPr>
          <w:lang w:val="fr-FR"/>
        </w:rPr>
      </w:pPr>
      <w:r w:rsidRPr="00F67958">
        <w:rPr>
          <w:lang w:val="fr-FR"/>
        </w:rPr>
        <w:t>–</w:t>
      </w:r>
      <w:r w:rsidRPr="00F67958">
        <w:rPr>
          <w:lang w:val="fr-FR"/>
        </w:rPr>
        <w:tab/>
      </w:r>
      <w:r w:rsidR="00282AA1" w:rsidRPr="00F67958">
        <w:rPr>
          <w:lang w:val="fr-FR"/>
        </w:rPr>
        <w:t>Thématique</w:t>
      </w:r>
      <w:r w:rsidR="00CD22C5">
        <w:rPr>
          <w:lang w:val="fr-FR"/>
        </w:rPr>
        <w:t>s</w:t>
      </w:r>
      <w:r w:rsidR="00282AA1" w:rsidRPr="00F67958">
        <w:rPr>
          <w:lang w:val="fr-FR"/>
        </w:rPr>
        <w:t xml:space="preserve"> spéciale</w:t>
      </w:r>
      <w:r w:rsidR="00CD22C5">
        <w:rPr>
          <w:lang w:val="fr-FR"/>
        </w:rPr>
        <w:t>s</w:t>
      </w:r>
    </w:p>
    <w:p w:rsidR="00A77231" w:rsidRPr="00F67958" w:rsidRDefault="00625B3D" w:rsidP="00CD22C5">
      <w:pPr>
        <w:pStyle w:val="enumlev2"/>
        <w:rPr>
          <w:lang w:val="fr-FR"/>
        </w:rPr>
      </w:pPr>
      <w:r w:rsidRPr="00F67958">
        <w:rPr>
          <w:lang w:val="fr-FR"/>
        </w:rPr>
        <w:t>•</w:t>
      </w:r>
      <w:r w:rsidRPr="00F67958">
        <w:rPr>
          <w:lang w:val="fr-FR"/>
        </w:rPr>
        <w:tab/>
      </w:r>
      <w:r w:rsidR="00CD22C5">
        <w:rPr>
          <w:lang w:val="fr-FR"/>
        </w:rPr>
        <w:t xml:space="preserve">Thématique </w:t>
      </w:r>
      <w:r w:rsidRPr="00F67958">
        <w:rPr>
          <w:lang w:val="fr-FR"/>
        </w:rPr>
        <w:t>du Forum du SMSI</w:t>
      </w:r>
      <w:r w:rsidR="00CD22C5">
        <w:rPr>
          <w:lang w:val="fr-FR"/>
        </w:rPr>
        <w:t xml:space="preserve"> sur l</w:t>
      </w:r>
      <w:r w:rsidR="000749CB">
        <w:rPr>
          <w:lang w:val="fr-FR"/>
        </w:rPr>
        <w:t>'</w:t>
      </w:r>
      <w:r w:rsidR="00CD22C5">
        <w:rPr>
          <w:lang w:val="fr-FR"/>
        </w:rPr>
        <w:t>innovation</w:t>
      </w:r>
    </w:p>
    <w:p w:rsidR="00A77231" w:rsidRPr="00F67958" w:rsidRDefault="00A77231" w:rsidP="008F2FF8">
      <w:pPr>
        <w:pStyle w:val="enumlev2"/>
        <w:rPr>
          <w:lang w:val="fr-FR"/>
        </w:rPr>
      </w:pPr>
      <w:r w:rsidRPr="00F67958">
        <w:rPr>
          <w:lang w:val="fr-FR"/>
        </w:rPr>
        <w:t>•</w:t>
      </w:r>
      <w:r w:rsidRPr="00F67958">
        <w:rPr>
          <w:lang w:val="fr-FR"/>
        </w:rPr>
        <w:tab/>
      </w:r>
      <w:r w:rsidR="00CD22C5">
        <w:rPr>
          <w:lang w:val="fr-FR"/>
        </w:rPr>
        <w:t>Mise en oe</w:t>
      </w:r>
      <w:r w:rsidR="00282AA1" w:rsidRPr="00F67958">
        <w:rPr>
          <w:lang w:val="fr-FR"/>
        </w:rPr>
        <w:t>uvre régionale</w:t>
      </w:r>
      <w:r w:rsidR="00625B3D" w:rsidRPr="00F67958">
        <w:rPr>
          <w:lang w:val="fr-FR"/>
        </w:rPr>
        <w:t xml:space="preserve"> </w:t>
      </w:r>
      <w:r w:rsidR="00282AA1" w:rsidRPr="00F67958">
        <w:rPr>
          <w:lang w:val="fr-FR"/>
        </w:rPr>
        <w:t>et création de partenariats</w:t>
      </w:r>
    </w:p>
    <w:p w:rsidR="00625B3D" w:rsidRPr="00F67958" w:rsidRDefault="00625B3D" w:rsidP="00CD22C5">
      <w:pPr>
        <w:pStyle w:val="enumlev2"/>
        <w:rPr>
          <w:lang w:val="fr-FR"/>
        </w:rPr>
      </w:pPr>
      <w:r w:rsidRPr="00F67958">
        <w:rPr>
          <w:lang w:val="fr-FR"/>
        </w:rPr>
        <w:t>•</w:t>
      </w:r>
      <w:r w:rsidRPr="00F67958">
        <w:rPr>
          <w:lang w:val="fr-FR"/>
        </w:rPr>
        <w:tab/>
      </w:r>
      <w:r w:rsidR="00FA4E70" w:rsidRPr="00F67958">
        <w:rPr>
          <w:lang w:val="fr-FR"/>
        </w:rPr>
        <w:t>Thématique sur l</w:t>
      </w:r>
      <w:r w:rsidR="000749CB">
        <w:rPr>
          <w:lang w:val="fr-FR"/>
        </w:rPr>
        <w:t>'</w:t>
      </w:r>
      <w:r w:rsidR="00FA4E70" w:rsidRPr="00F67958">
        <w:rPr>
          <w:lang w:val="fr-FR"/>
        </w:rPr>
        <w:t>accessibilité</w:t>
      </w:r>
      <w:r w:rsidRPr="00F67958">
        <w:rPr>
          <w:lang w:val="fr-FR"/>
        </w:rPr>
        <w:t xml:space="preserve"> (</w:t>
      </w:r>
      <w:r w:rsidR="00FA4E70" w:rsidRPr="00F67958">
        <w:rPr>
          <w:lang w:val="fr-FR"/>
        </w:rPr>
        <w:t>rôle de contributeur</w:t>
      </w:r>
      <w:r w:rsidRPr="00F67958">
        <w:rPr>
          <w:lang w:val="fr-FR"/>
        </w:rPr>
        <w:t xml:space="preserve">, </w:t>
      </w:r>
      <w:r w:rsidR="00FA4E70" w:rsidRPr="00F67958">
        <w:rPr>
          <w:lang w:val="fr-FR"/>
        </w:rPr>
        <w:t xml:space="preserve">session dirigée par </w:t>
      </w:r>
      <w:r w:rsidR="00CD22C5">
        <w:rPr>
          <w:lang w:val="fr-FR"/>
        </w:rPr>
        <w:t xml:space="preserve">le Département </w:t>
      </w:r>
      <w:r w:rsidR="00FA4E70" w:rsidRPr="00F67958">
        <w:rPr>
          <w:lang w:val="fr-FR"/>
        </w:rPr>
        <w:t>SPM</w:t>
      </w:r>
      <w:r w:rsidRPr="00F67958">
        <w:rPr>
          <w:lang w:val="fr-FR"/>
        </w:rPr>
        <w:t>)</w:t>
      </w:r>
    </w:p>
    <w:p w:rsidR="00A77231" w:rsidRPr="00F67958" w:rsidRDefault="00A77231" w:rsidP="00CD22C5">
      <w:pPr>
        <w:pStyle w:val="enumlev2"/>
        <w:rPr>
          <w:lang w:val="fr-FR"/>
        </w:rPr>
      </w:pPr>
      <w:r w:rsidRPr="00F67958">
        <w:rPr>
          <w:lang w:val="fr-FR"/>
        </w:rPr>
        <w:t>•</w:t>
      </w:r>
      <w:r w:rsidRPr="00F67958">
        <w:rPr>
          <w:lang w:val="fr-FR"/>
        </w:rPr>
        <w:tab/>
        <w:t>Hackathon mondial UIT-</w:t>
      </w:r>
      <w:r w:rsidR="00625B3D" w:rsidRPr="00F67958">
        <w:rPr>
          <w:lang w:val="fr-FR"/>
        </w:rPr>
        <w:t>UNESCO</w:t>
      </w:r>
      <w:r w:rsidRPr="00F67958">
        <w:rPr>
          <w:lang w:val="fr-FR"/>
        </w:rPr>
        <w:t xml:space="preserve"> </w:t>
      </w:r>
      <w:r w:rsidR="00625B3D" w:rsidRPr="00F67958">
        <w:rPr>
          <w:lang w:val="fr-FR"/>
        </w:rPr>
        <w:t>(</w:t>
      </w:r>
      <w:r w:rsidR="00FA4E70" w:rsidRPr="00F67958">
        <w:rPr>
          <w:lang w:val="fr-FR"/>
        </w:rPr>
        <w:t xml:space="preserve">session dirigée par le BDT et </w:t>
      </w:r>
      <w:r w:rsidR="00CD22C5">
        <w:rPr>
          <w:lang w:val="fr-FR"/>
        </w:rPr>
        <w:t xml:space="preserve">le Département </w:t>
      </w:r>
      <w:r w:rsidR="00FA4E70" w:rsidRPr="00F67958">
        <w:rPr>
          <w:lang w:val="fr-FR"/>
        </w:rPr>
        <w:t>SPM</w:t>
      </w:r>
      <w:r w:rsidR="00625B3D" w:rsidRPr="00F67958">
        <w:rPr>
          <w:lang w:val="fr-FR"/>
        </w:rPr>
        <w:t>)</w:t>
      </w:r>
    </w:p>
    <w:p w:rsidR="00A77231" w:rsidRPr="00F67958" w:rsidRDefault="00625B3D" w:rsidP="008F2FF8">
      <w:pPr>
        <w:rPr>
          <w:lang w:val="fr-FR"/>
        </w:rPr>
      </w:pPr>
      <w:r w:rsidRPr="00F67958">
        <w:rPr>
          <w:lang w:val="fr-FR"/>
        </w:rPr>
        <w:t>11</w:t>
      </w:r>
      <w:r w:rsidRPr="00F67958">
        <w:rPr>
          <w:lang w:val="fr-FR"/>
        </w:rPr>
        <w:tab/>
        <w:t>En outre, le BDT contribuera également à une série de dialogues interactifs de haut niveau, aux réunions de coordination sur la grande orientation C1 (rôle des gouvernements), C11 (coopération internationale) et C7 (cyberscience, cyberappre</w:t>
      </w:r>
      <w:r w:rsidR="001B15BB">
        <w:rPr>
          <w:lang w:val="fr-FR"/>
        </w:rPr>
        <w:t>ntissage, cybergouvernement) du </w:t>
      </w:r>
      <w:r w:rsidRPr="00F67958">
        <w:rPr>
          <w:lang w:val="fr-FR"/>
        </w:rPr>
        <w:t>SMSI, à la réunion des coordonnateurs des grandes orientations du SMSI, ainsi qu</w:t>
      </w:r>
      <w:r w:rsidR="000749CB">
        <w:rPr>
          <w:lang w:val="fr-FR"/>
        </w:rPr>
        <w:t>'</w:t>
      </w:r>
      <w:r w:rsidRPr="00F67958">
        <w:rPr>
          <w:lang w:val="fr-FR"/>
        </w:rPr>
        <w:t>à plusieurs ateliers et sessions thématiques organisés par différentes parties prenantes.</w:t>
      </w:r>
    </w:p>
    <w:p w:rsidR="00625B3D" w:rsidRPr="00F67958" w:rsidRDefault="00625B3D" w:rsidP="008F2FF8">
      <w:pPr>
        <w:rPr>
          <w:lang w:val="fr-FR"/>
        </w:rPr>
      </w:pPr>
      <w:r w:rsidRPr="00F67958">
        <w:rPr>
          <w:lang w:val="fr-FR"/>
        </w:rPr>
        <w:t>12</w:t>
      </w:r>
      <w:r w:rsidRPr="00F67958">
        <w:rPr>
          <w:lang w:val="fr-FR"/>
        </w:rPr>
        <w:tab/>
        <w:t>Le BDT continue de jouer un rôle important au sein de la commission chargée d</w:t>
      </w:r>
      <w:r w:rsidR="000749CB">
        <w:rPr>
          <w:lang w:val="fr-FR"/>
        </w:rPr>
        <w:t>'</w:t>
      </w:r>
      <w:r w:rsidRPr="00F67958">
        <w:rPr>
          <w:lang w:val="fr-FR"/>
        </w:rPr>
        <w:t>étudier les dossiers des candidats au prix du SMSI et dans les activités de suivi liées à l</w:t>
      </w:r>
      <w:r w:rsidR="000749CB">
        <w:rPr>
          <w:lang w:val="fr-FR"/>
        </w:rPr>
        <w:t>'</w:t>
      </w:r>
      <w:r w:rsidRPr="00F67958">
        <w:rPr>
          <w:lang w:val="fr-FR"/>
        </w:rPr>
        <w:t>établissement de partenariats et à l</w:t>
      </w:r>
      <w:r w:rsidR="000749CB">
        <w:rPr>
          <w:lang w:val="fr-FR"/>
        </w:rPr>
        <w:t>'</w:t>
      </w:r>
      <w:r w:rsidRPr="00F67958">
        <w:rPr>
          <w:lang w:val="fr-FR"/>
        </w:rPr>
        <w:t>échange de bonnes pratiques. Dix-huit prix du SMSI sont décernés chaque année et un hommage particulier est rendu aux lauréats pour leur contribution aux grandes orientations du SMSI en tant que coordonnateurs. En 2019, un nombre record de projets étaient en lice pour l</w:t>
      </w:r>
      <w:r w:rsidR="000749CB">
        <w:rPr>
          <w:lang w:val="fr-FR"/>
        </w:rPr>
        <w:t>'</w:t>
      </w:r>
      <w:r w:rsidRPr="00F67958">
        <w:rPr>
          <w:lang w:val="fr-FR"/>
        </w:rPr>
        <w:t>attribution des prix du SMSI. Plus de 1 000 projets relatifs aux TIC au service des ODD ont été examinés et nominés pour la phase de vote. En vue d</w:t>
      </w:r>
      <w:r w:rsidR="000749CB">
        <w:rPr>
          <w:lang w:val="fr-FR"/>
        </w:rPr>
        <w:t>'</w:t>
      </w:r>
      <w:r w:rsidRPr="00F67958">
        <w:rPr>
          <w:lang w:val="fr-FR"/>
        </w:rPr>
        <w:t>aligner le processus du SMSI sur le Programme 2030 et de mettre en valeur la contribution des TIC aux ODD et à la lutte contre la pauvreté, dans tous les secteurs, le Forum du SMSI s</w:t>
      </w:r>
      <w:r w:rsidR="000749CB">
        <w:rPr>
          <w:lang w:val="fr-FR"/>
        </w:rPr>
        <w:t>'</w:t>
      </w:r>
      <w:r w:rsidRPr="00F67958">
        <w:rPr>
          <w:lang w:val="fr-FR"/>
        </w:rPr>
        <w:t>appuiera sur le tableau de correspondance SMSI-OMD. Le BDT participe largement à l</w:t>
      </w:r>
      <w:r w:rsidR="000749CB">
        <w:rPr>
          <w:lang w:val="fr-FR"/>
        </w:rPr>
        <w:t>'</w:t>
      </w:r>
      <w:r w:rsidRPr="00F67958">
        <w:rPr>
          <w:lang w:val="fr-FR"/>
        </w:rPr>
        <w:t>élaboration des rapports sur l</w:t>
      </w:r>
      <w:r w:rsidR="000749CB">
        <w:rPr>
          <w:lang w:val="fr-FR"/>
        </w:rPr>
        <w:t>'</w:t>
      </w:r>
      <w:r w:rsidRPr="00F67958">
        <w:rPr>
          <w:lang w:val="fr-FR"/>
        </w:rPr>
        <w:t>Inventaire des résultats du SMSI et des rapports sur les exemples de réussite du SMSI publiés chaque année depuis 2005.</w:t>
      </w:r>
    </w:p>
    <w:p w:rsidR="00625B3D" w:rsidRPr="00F67958" w:rsidRDefault="00625B3D" w:rsidP="008F2FF8">
      <w:pPr>
        <w:rPr>
          <w:lang w:val="fr-FR"/>
        </w:rPr>
      </w:pPr>
      <w:r w:rsidRPr="00F67958">
        <w:rPr>
          <w:lang w:val="fr-FR"/>
        </w:rPr>
        <w:lastRenderedPageBreak/>
        <w:t>13</w:t>
      </w:r>
      <w:r w:rsidRPr="00F67958">
        <w:rPr>
          <w:lang w:val="fr-FR"/>
        </w:rPr>
        <w:tab/>
      </w:r>
      <w:r w:rsidR="002B1956" w:rsidRPr="00F67958">
        <w:rPr>
          <w:lang w:val="fr-FR"/>
        </w:rPr>
        <w:t>En tant que fondateur et principal partenaire du Partenariat sur la mesure des TIC au service du développement, le BDT coordonne la préparation d</w:t>
      </w:r>
      <w:r w:rsidR="000749CB">
        <w:rPr>
          <w:lang w:val="fr-FR"/>
        </w:rPr>
        <w:t>'</w:t>
      </w:r>
      <w:r w:rsidR="002B1956" w:rsidRPr="00F67958">
        <w:rPr>
          <w:lang w:val="fr-FR"/>
        </w:rPr>
        <w:t>une réunion annuelle sur ce Partenariat dans le cadre du Forum du SMSI, dans le contexte des débats concernant la mise en oeuvre du Programme de développement durable à l</w:t>
      </w:r>
      <w:r w:rsidR="000749CB">
        <w:rPr>
          <w:lang w:val="fr-FR"/>
        </w:rPr>
        <w:t>'</w:t>
      </w:r>
      <w:r w:rsidR="002B1956" w:rsidRPr="00F67958">
        <w:rPr>
          <w:lang w:val="fr-FR"/>
        </w:rPr>
        <w:t>horizon 2030. Ce travail a considérablement alimenté les débats sur l</w:t>
      </w:r>
      <w:r w:rsidR="000749CB">
        <w:rPr>
          <w:lang w:val="fr-FR"/>
        </w:rPr>
        <w:t>'</w:t>
      </w:r>
      <w:r w:rsidR="002B1956" w:rsidRPr="00F67958">
        <w:rPr>
          <w:lang w:val="fr-FR"/>
        </w:rPr>
        <w:t>examen d</w:t>
      </w:r>
      <w:r w:rsidR="000749CB">
        <w:rPr>
          <w:lang w:val="fr-FR"/>
        </w:rPr>
        <w:t>'</w:t>
      </w:r>
      <w:r w:rsidR="002B1956" w:rsidRPr="00F67958">
        <w:rPr>
          <w:lang w:val="fr-FR"/>
        </w:rPr>
        <w:t>ensemble mené par l</w:t>
      </w:r>
      <w:r w:rsidR="000749CB">
        <w:rPr>
          <w:lang w:val="fr-FR"/>
        </w:rPr>
        <w:t>'</w:t>
      </w:r>
      <w:r w:rsidR="002B1956" w:rsidRPr="00F67958">
        <w:rPr>
          <w:lang w:val="fr-FR"/>
        </w:rPr>
        <w:t>Assemblée générale des Nations Unies, en particulier dans le contexte de l</w:t>
      </w:r>
      <w:r w:rsidR="000749CB">
        <w:rPr>
          <w:lang w:val="fr-FR"/>
        </w:rPr>
        <w:t>'</w:t>
      </w:r>
      <w:r w:rsidR="002B1956" w:rsidRPr="00F67958">
        <w:rPr>
          <w:lang w:val="fr-FR"/>
        </w:rPr>
        <w:t>alignement des résultats du SMSI sur le Programme de développement durable à l</w:t>
      </w:r>
      <w:r w:rsidR="000749CB">
        <w:rPr>
          <w:lang w:val="fr-FR"/>
        </w:rPr>
        <w:t>'</w:t>
      </w:r>
      <w:r w:rsidR="002B1956" w:rsidRPr="00F67958">
        <w:rPr>
          <w:lang w:val="fr-FR"/>
        </w:rPr>
        <w:t>horizon 2030. En conséquence, plusieurs indicateurs sur les TIC ont été intégrés au cadre de suivi des ODD, et l</w:t>
      </w:r>
      <w:r w:rsidR="000749CB">
        <w:rPr>
          <w:lang w:val="fr-FR"/>
        </w:rPr>
        <w:t>'</w:t>
      </w:r>
      <w:r w:rsidR="002B1956" w:rsidRPr="00F67958">
        <w:rPr>
          <w:lang w:val="fr-FR"/>
        </w:rPr>
        <w:t>UIT a été désignée comme l</w:t>
      </w:r>
      <w:r w:rsidR="000749CB">
        <w:rPr>
          <w:lang w:val="fr-FR"/>
        </w:rPr>
        <w:t>'</w:t>
      </w:r>
      <w:r w:rsidR="002B1956" w:rsidRPr="00F67958">
        <w:rPr>
          <w:lang w:val="fr-FR"/>
        </w:rPr>
        <w:t>instance centralisatrice pour l</w:t>
      </w:r>
      <w:r w:rsidR="000749CB">
        <w:rPr>
          <w:lang w:val="fr-FR"/>
        </w:rPr>
        <w:t>'</w:t>
      </w:r>
      <w:r w:rsidR="002B1956" w:rsidRPr="00F67958">
        <w:rPr>
          <w:lang w:val="fr-FR"/>
        </w:rPr>
        <w:t>établissement de cinq indicateurs relatifs aux ODD.</w:t>
      </w:r>
    </w:p>
    <w:p w:rsidR="002B1956" w:rsidRPr="00F67958" w:rsidRDefault="002B1956" w:rsidP="00CD22C5">
      <w:pPr>
        <w:rPr>
          <w:lang w:val="fr-FR"/>
        </w:rPr>
      </w:pPr>
      <w:r w:rsidRPr="00F67958">
        <w:rPr>
          <w:lang w:val="fr-FR"/>
        </w:rPr>
        <w:t>14</w:t>
      </w:r>
      <w:r w:rsidRPr="00F67958">
        <w:rPr>
          <w:lang w:val="fr-FR"/>
        </w:rPr>
        <w:tab/>
        <w:t>Le BDT continue de favoriser les échanges de vues au niveau international concernant la mesure des TIC au service du développement. Le Colloque mondial sur les indicateurs des télécommunications/TIC dans le monde (WTIS) est la principale tribune mondiale consacrée à la mesure des télécommunications et de la société de l</w:t>
      </w:r>
      <w:r w:rsidR="000749CB">
        <w:rPr>
          <w:lang w:val="fr-FR"/>
        </w:rPr>
        <w:t>'</w:t>
      </w:r>
      <w:r w:rsidRPr="00F67958">
        <w:rPr>
          <w:lang w:val="fr-FR"/>
        </w:rPr>
        <w:t>information. L</w:t>
      </w:r>
      <w:r w:rsidR="000749CB">
        <w:rPr>
          <w:lang w:val="fr-FR"/>
        </w:rPr>
        <w:t>'</w:t>
      </w:r>
      <w:r w:rsidRPr="00F67958">
        <w:rPr>
          <w:lang w:val="fr-FR"/>
        </w:rPr>
        <w:t>édition de 2018 du WTIS a eu lieu à Genève (Suisse), du 10 au 12 décembre 2018. Le rapport annuel intitulé "Mesurer la société de l</w:t>
      </w:r>
      <w:r w:rsidR="000749CB">
        <w:rPr>
          <w:lang w:val="fr-FR"/>
        </w:rPr>
        <w:t>'</w:t>
      </w:r>
      <w:r w:rsidRPr="00F67958">
        <w:rPr>
          <w:lang w:val="fr-FR"/>
        </w:rPr>
        <w:t xml:space="preserve">information" </w:t>
      </w:r>
      <w:r w:rsidR="00FB05F0" w:rsidRPr="00F67958">
        <w:rPr>
          <w:szCs w:val="24"/>
          <w:lang w:val="fr-FR"/>
        </w:rPr>
        <w:t>a été dévoilé à l</w:t>
      </w:r>
      <w:r w:rsidR="000749CB">
        <w:rPr>
          <w:szCs w:val="24"/>
          <w:lang w:val="fr-FR"/>
        </w:rPr>
        <w:t>'</w:t>
      </w:r>
      <w:r w:rsidR="00FB05F0" w:rsidRPr="00F67958">
        <w:rPr>
          <w:szCs w:val="24"/>
          <w:lang w:val="fr-FR"/>
        </w:rPr>
        <w:t>occasion du</w:t>
      </w:r>
      <w:r w:rsidRPr="00F67958">
        <w:rPr>
          <w:szCs w:val="24"/>
          <w:lang w:val="fr-FR"/>
        </w:rPr>
        <w:t xml:space="preserve"> WTIS-18. </w:t>
      </w:r>
      <w:r w:rsidR="00FB05F0" w:rsidRPr="00F67958">
        <w:rPr>
          <w:lang w:val="fr-FR"/>
        </w:rPr>
        <w:t xml:space="preserve">Il contient </w:t>
      </w:r>
      <w:r w:rsidR="00CD22C5">
        <w:rPr>
          <w:lang w:val="fr-FR"/>
        </w:rPr>
        <w:t xml:space="preserve">les </w:t>
      </w:r>
      <w:r w:rsidR="00FB05F0" w:rsidRPr="00F67958">
        <w:rPr>
          <w:lang w:val="fr-FR"/>
        </w:rPr>
        <w:t xml:space="preserve">profils </w:t>
      </w:r>
      <w:r w:rsidR="00CD22C5">
        <w:rPr>
          <w:lang w:val="fr-FR"/>
        </w:rPr>
        <w:t xml:space="preserve">des différents pays, </w:t>
      </w:r>
      <w:r w:rsidR="00D6731E" w:rsidRPr="00F67958">
        <w:rPr>
          <w:lang w:val="fr-FR"/>
        </w:rPr>
        <w:t>donnant un</w:t>
      </w:r>
      <w:r w:rsidRPr="00F67958">
        <w:rPr>
          <w:lang w:val="fr-FR"/>
        </w:rPr>
        <w:t xml:space="preserve"> </w:t>
      </w:r>
      <w:r w:rsidR="00D6731E" w:rsidRPr="00F67958">
        <w:rPr>
          <w:lang w:val="fr-FR"/>
        </w:rPr>
        <w:t>aperçu du paysage actuel des TIC ainsi que des efforts déployés</w:t>
      </w:r>
      <w:r w:rsidRPr="00F67958">
        <w:rPr>
          <w:lang w:val="fr-FR"/>
        </w:rPr>
        <w:t xml:space="preserve"> </w:t>
      </w:r>
      <w:r w:rsidR="00D6731E" w:rsidRPr="00F67958">
        <w:rPr>
          <w:lang w:val="fr-FR"/>
        </w:rPr>
        <w:t>en vue de renforcer l</w:t>
      </w:r>
      <w:r w:rsidR="000749CB">
        <w:rPr>
          <w:lang w:val="fr-FR"/>
        </w:rPr>
        <w:t>'</w:t>
      </w:r>
      <w:r w:rsidR="00D6731E" w:rsidRPr="00F67958">
        <w:rPr>
          <w:lang w:val="fr-FR"/>
        </w:rPr>
        <w:t>accès aux TIC</w:t>
      </w:r>
      <w:r w:rsidRPr="00F67958">
        <w:rPr>
          <w:lang w:val="fr-FR"/>
        </w:rPr>
        <w:t xml:space="preserve">, </w:t>
      </w:r>
      <w:r w:rsidR="00D6731E" w:rsidRPr="00F67958">
        <w:rPr>
          <w:lang w:val="fr-FR"/>
        </w:rPr>
        <w:t>leur utilisation et leur maîtrise par tout un chacun</w:t>
      </w:r>
      <w:r w:rsidRPr="00F67958">
        <w:rPr>
          <w:lang w:val="fr-FR"/>
        </w:rPr>
        <w:t xml:space="preserve">. </w:t>
      </w:r>
      <w:r w:rsidR="00D6731E" w:rsidRPr="00F67958">
        <w:rPr>
          <w:lang w:val="fr-FR"/>
        </w:rPr>
        <w:t>L</w:t>
      </w:r>
      <w:r w:rsidRPr="00F67958">
        <w:rPr>
          <w:lang w:val="fr-FR"/>
        </w:rPr>
        <w:t>e</w:t>
      </w:r>
      <w:r w:rsidR="00D6731E" w:rsidRPr="00F67958">
        <w:rPr>
          <w:lang w:val="fr-FR"/>
        </w:rPr>
        <w:t xml:space="preserve"> rapport</w:t>
      </w:r>
      <w:r w:rsidRPr="00F67958">
        <w:rPr>
          <w:lang w:val="fr-FR"/>
        </w:rPr>
        <w:t xml:space="preserve"> analyti</w:t>
      </w:r>
      <w:r w:rsidR="00D6731E" w:rsidRPr="00F67958">
        <w:rPr>
          <w:lang w:val="fr-FR"/>
        </w:rPr>
        <w:t>que</w:t>
      </w:r>
      <w:r w:rsidRPr="00F67958">
        <w:rPr>
          <w:lang w:val="fr-FR"/>
        </w:rPr>
        <w:t xml:space="preserve"> </w:t>
      </w:r>
      <w:r w:rsidR="00D6731E" w:rsidRPr="00F67958">
        <w:rPr>
          <w:lang w:val="fr-FR"/>
        </w:rPr>
        <w:t>est compl</w:t>
      </w:r>
      <w:r w:rsidR="00E07A2D" w:rsidRPr="00F67958">
        <w:rPr>
          <w:lang w:val="fr-FR"/>
        </w:rPr>
        <w:t>é</w:t>
      </w:r>
      <w:r w:rsidR="00D6731E" w:rsidRPr="00F67958">
        <w:rPr>
          <w:lang w:val="fr-FR"/>
        </w:rPr>
        <w:t>t</w:t>
      </w:r>
      <w:r w:rsidR="00E07A2D" w:rsidRPr="00F67958">
        <w:rPr>
          <w:lang w:val="fr-FR"/>
        </w:rPr>
        <w:t>é</w:t>
      </w:r>
      <w:r w:rsidR="00D6731E" w:rsidRPr="00F67958">
        <w:rPr>
          <w:lang w:val="fr-FR"/>
        </w:rPr>
        <w:t xml:space="preserve"> par une série</w:t>
      </w:r>
      <w:r w:rsidRPr="00F67958">
        <w:rPr>
          <w:lang w:val="fr-FR"/>
        </w:rPr>
        <w:t xml:space="preserve"> </w:t>
      </w:r>
      <w:r w:rsidR="00E07A2D" w:rsidRPr="00F67958">
        <w:rPr>
          <w:lang w:val="fr-FR"/>
        </w:rPr>
        <w:t>de</w:t>
      </w:r>
      <w:r w:rsidRPr="00F67958">
        <w:rPr>
          <w:lang w:val="fr-FR"/>
        </w:rPr>
        <w:t xml:space="preserve"> table</w:t>
      </w:r>
      <w:r w:rsidR="00E07A2D" w:rsidRPr="00F67958">
        <w:rPr>
          <w:lang w:val="fr-FR"/>
        </w:rPr>
        <w:t>aux statistiques</w:t>
      </w:r>
      <w:r w:rsidRPr="00F67958">
        <w:rPr>
          <w:lang w:val="fr-FR"/>
        </w:rPr>
        <w:t xml:space="preserve"> </w:t>
      </w:r>
      <w:r w:rsidR="00E07A2D" w:rsidRPr="00F67958">
        <w:rPr>
          <w:lang w:val="fr-FR"/>
        </w:rPr>
        <w:t>contenant des données nationales</w:t>
      </w:r>
      <w:r w:rsidRPr="00F67958">
        <w:rPr>
          <w:lang w:val="fr-FR"/>
        </w:rPr>
        <w:t xml:space="preserve"> </w:t>
      </w:r>
      <w:r w:rsidR="00E07A2D" w:rsidRPr="00F67958">
        <w:rPr>
          <w:lang w:val="fr-FR"/>
        </w:rPr>
        <w:t>pour les</w:t>
      </w:r>
      <w:r w:rsidRPr="00F67958">
        <w:rPr>
          <w:lang w:val="fr-FR"/>
        </w:rPr>
        <w:t xml:space="preserve"> indicat</w:t>
      </w:r>
      <w:r w:rsidR="00E07A2D" w:rsidRPr="00F67958">
        <w:rPr>
          <w:lang w:val="fr-FR"/>
        </w:rPr>
        <w:t>eu</w:t>
      </w:r>
      <w:r w:rsidRPr="00F67958">
        <w:rPr>
          <w:lang w:val="fr-FR"/>
        </w:rPr>
        <w:t xml:space="preserve">rs </w:t>
      </w:r>
      <w:r w:rsidR="00CD22C5">
        <w:rPr>
          <w:lang w:val="fr-FR"/>
        </w:rPr>
        <w:t>pris en compte dans les paniers de</w:t>
      </w:r>
      <w:r w:rsidR="00E07A2D" w:rsidRPr="00F67958">
        <w:rPr>
          <w:lang w:val="fr-FR"/>
        </w:rPr>
        <w:t xml:space="preserve"> prix </w:t>
      </w:r>
      <w:r w:rsidR="00CD22C5">
        <w:rPr>
          <w:lang w:val="fr-FR"/>
        </w:rPr>
        <w:t xml:space="preserve">des </w:t>
      </w:r>
      <w:r w:rsidR="00E07A2D" w:rsidRPr="00F67958">
        <w:rPr>
          <w:lang w:val="fr-FR"/>
        </w:rPr>
        <w:t>TIC</w:t>
      </w:r>
      <w:r w:rsidRPr="00F67958">
        <w:rPr>
          <w:lang w:val="fr-FR"/>
        </w:rPr>
        <w:t>.</w:t>
      </w:r>
    </w:p>
    <w:p w:rsidR="002B1956" w:rsidRPr="00F67958" w:rsidRDefault="002B1956" w:rsidP="008F2FF8">
      <w:pPr>
        <w:rPr>
          <w:lang w:val="fr-FR"/>
        </w:rPr>
      </w:pPr>
      <w:r w:rsidRPr="00F67958">
        <w:rPr>
          <w:lang w:val="fr-FR"/>
        </w:rPr>
        <w:t>15</w:t>
      </w:r>
      <w:r w:rsidRPr="00F67958">
        <w:rPr>
          <w:lang w:val="fr-FR"/>
        </w:rPr>
        <w:tab/>
      </w:r>
      <w:r w:rsidR="00FE5231" w:rsidRPr="00F67958">
        <w:rPr>
          <w:lang w:val="fr-FR"/>
        </w:rPr>
        <w:t>Conformément au</w:t>
      </w:r>
      <w:r w:rsidR="006B51D3" w:rsidRPr="00F67958">
        <w:rPr>
          <w:lang w:val="fr-FR"/>
        </w:rPr>
        <w:t>x</w:t>
      </w:r>
      <w:r w:rsidRPr="00F67958">
        <w:rPr>
          <w:lang w:val="fr-FR"/>
        </w:rPr>
        <w:t xml:space="preserve"> </w:t>
      </w:r>
      <w:r w:rsidR="001C7203">
        <w:rPr>
          <w:lang w:val="fr-FR"/>
        </w:rPr>
        <w:t>instructions données par</w:t>
      </w:r>
      <w:r w:rsidR="00E07A2D" w:rsidRPr="00F67958">
        <w:rPr>
          <w:lang w:val="fr-FR"/>
        </w:rPr>
        <w:t xml:space="preserve"> la Conférence de plénipotentiaires </w:t>
      </w:r>
      <w:r w:rsidRPr="00F67958">
        <w:rPr>
          <w:lang w:val="fr-FR"/>
        </w:rPr>
        <w:t xml:space="preserve">2018 (Rés.140), </w:t>
      </w:r>
      <w:r w:rsidR="006B51D3" w:rsidRPr="00F67958">
        <w:rPr>
          <w:lang w:val="fr-FR"/>
        </w:rPr>
        <w:t>l</w:t>
      </w:r>
      <w:r w:rsidR="000749CB">
        <w:rPr>
          <w:lang w:val="fr-FR"/>
        </w:rPr>
        <w:t>'</w:t>
      </w:r>
      <w:r w:rsidR="006B51D3" w:rsidRPr="00F67958">
        <w:rPr>
          <w:lang w:val="fr-FR"/>
        </w:rPr>
        <w:t>U</w:t>
      </w:r>
      <w:r w:rsidRPr="00F67958">
        <w:rPr>
          <w:lang w:val="fr-FR"/>
        </w:rPr>
        <w:t>IT continue</w:t>
      </w:r>
      <w:r w:rsidR="006B51D3" w:rsidRPr="00F67958">
        <w:rPr>
          <w:lang w:val="fr-FR"/>
        </w:rPr>
        <w:t xml:space="preserve"> </w:t>
      </w:r>
      <w:r w:rsidR="001C7203">
        <w:rPr>
          <w:lang w:val="fr-FR"/>
        </w:rPr>
        <w:t>d</w:t>
      </w:r>
      <w:r w:rsidR="006B51D3" w:rsidRPr="00F67958">
        <w:rPr>
          <w:lang w:val="fr-FR"/>
        </w:rPr>
        <w:t>e</w:t>
      </w:r>
      <w:r w:rsidR="001C7203">
        <w:rPr>
          <w:lang w:val="fr-FR"/>
        </w:rPr>
        <w:t xml:space="preserve"> </w:t>
      </w:r>
      <w:r w:rsidR="006B51D3" w:rsidRPr="00F67958">
        <w:rPr>
          <w:lang w:val="fr-FR"/>
        </w:rPr>
        <w:t>prendre un certain nombre de mesures</w:t>
      </w:r>
      <w:r w:rsidRPr="00F67958">
        <w:rPr>
          <w:lang w:val="fr-FR"/>
        </w:rPr>
        <w:t xml:space="preserve"> </w:t>
      </w:r>
      <w:r w:rsidR="006B51D3" w:rsidRPr="00F67958">
        <w:rPr>
          <w:lang w:val="fr-FR"/>
        </w:rPr>
        <w:t>afin</w:t>
      </w:r>
      <w:r w:rsidRPr="00F67958">
        <w:rPr>
          <w:lang w:val="fr-FR"/>
        </w:rPr>
        <w:t xml:space="preserve"> de renforcer la coordination et la collaboration au niveau régional avec les Commissions économiques régionales des Nations Unies et le Groupe des Nations Unies pour le développement régional, ainsi qu</w:t>
      </w:r>
      <w:r w:rsidR="000749CB">
        <w:rPr>
          <w:lang w:val="fr-FR"/>
        </w:rPr>
        <w:t>'</w:t>
      </w:r>
      <w:r w:rsidRPr="00F67958">
        <w:rPr>
          <w:lang w:val="fr-FR"/>
        </w:rPr>
        <w:t>avec toutes les institutions des Nations Unies (en particulier celles qui jouent le rôle de coordonnateur pour des grandes orientations du SMSI) et les autres organisations régionales concernées, en particulier dans le domaine des télécommunications/TIC</w:t>
      </w:r>
      <w:r w:rsidR="006B51D3" w:rsidRPr="00F67958">
        <w:rPr>
          <w:lang w:val="fr-FR"/>
        </w:rPr>
        <w:t>, comprenant entre autres les Bureaux régionaux et les Bureaux de zone</w:t>
      </w:r>
      <w:r w:rsidR="00CD22C5">
        <w:rPr>
          <w:lang w:val="fr-FR"/>
        </w:rPr>
        <w:t xml:space="preserve"> de l</w:t>
      </w:r>
      <w:r w:rsidR="000749CB">
        <w:rPr>
          <w:lang w:val="fr-FR"/>
        </w:rPr>
        <w:t>'</w:t>
      </w:r>
      <w:r w:rsidR="00CD22C5">
        <w:rPr>
          <w:lang w:val="fr-FR"/>
        </w:rPr>
        <w:t>UIT</w:t>
      </w:r>
      <w:r w:rsidRPr="00F67958">
        <w:rPr>
          <w:lang w:val="fr-FR"/>
        </w:rPr>
        <w:t>.</w:t>
      </w:r>
    </w:p>
    <w:p w:rsidR="00834BBF" w:rsidRPr="00F67958" w:rsidRDefault="00834BBF" w:rsidP="001B15BB">
      <w:pPr>
        <w:tabs>
          <w:tab w:val="clear" w:pos="794"/>
          <w:tab w:val="clear" w:pos="1191"/>
          <w:tab w:val="clear" w:pos="1588"/>
          <w:tab w:val="clear" w:pos="1985"/>
          <w:tab w:val="left" w:pos="567"/>
        </w:tabs>
        <w:overflowPunct/>
        <w:autoSpaceDE/>
        <w:autoSpaceDN/>
        <w:adjustRightInd/>
        <w:spacing w:after="120"/>
        <w:textAlignment w:val="auto"/>
        <w:rPr>
          <w:lang w:val="fr-FR"/>
        </w:rPr>
      </w:pPr>
      <w:r w:rsidRPr="00F67958">
        <w:rPr>
          <w:lang w:val="fr-FR"/>
        </w:rPr>
        <w:t>16</w:t>
      </w:r>
      <w:r w:rsidRPr="00F67958">
        <w:rPr>
          <w:lang w:val="fr-FR"/>
        </w:rPr>
        <w:tab/>
      </w:r>
      <w:r w:rsidR="006B51D3" w:rsidRPr="00F67958">
        <w:rPr>
          <w:lang w:val="fr-FR"/>
        </w:rPr>
        <w:t>Les Bureaux régionaux de l</w:t>
      </w:r>
      <w:r w:rsidR="000749CB">
        <w:rPr>
          <w:lang w:val="fr-FR"/>
        </w:rPr>
        <w:t>'</w:t>
      </w:r>
      <w:r w:rsidR="006B51D3" w:rsidRPr="00F67958">
        <w:rPr>
          <w:lang w:val="fr-FR"/>
        </w:rPr>
        <w:t>UIT</w:t>
      </w:r>
      <w:r w:rsidRPr="00F67958">
        <w:rPr>
          <w:lang w:val="fr-FR"/>
        </w:rPr>
        <w:t xml:space="preserve"> continue</w:t>
      </w:r>
      <w:r w:rsidR="006933AB" w:rsidRPr="00F67958">
        <w:rPr>
          <w:lang w:val="fr-FR"/>
        </w:rPr>
        <w:t>nt</w:t>
      </w:r>
      <w:r w:rsidRPr="00F67958">
        <w:rPr>
          <w:lang w:val="fr-FR"/>
        </w:rPr>
        <w:t xml:space="preserve"> </w:t>
      </w:r>
      <w:r w:rsidR="006933AB" w:rsidRPr="00F67958">
        <w:rPr>
          <w:lang w:val="fr-FR"/>
        </w:rPr>
        <w:t>de contribuer</w:t>
      </w:r>
      <w:r w:rsidRPr="00F67958">
        <w:rPr>
          <w:lang w:val="fr-FR"/>
        </w:rPr>
        <w:t xml:space="preserve"> </w:t>
      </w:r>
      <w:r w:rsidR="006933AB" w:rsidRPr="00F67958">
        <w:rPr>
          <w:lang w:val="fr-FR"/>
        </w:rPr>
        <w:t>à la série de</w:t>
      </w:r>
      <w:r w:rsidRPr="00F67958">
        <w:rPr>
          <w:lang w:val="fr-FR"/>
        </w:rPr>
        <w:t xml:space="preserve"> </w:t>
      </w:r>
      <w:r w:rsidR="006933AB" w:rsidRPr="00F67958">
        <w:rPr>
          <w:lang w:val="fr-FR"/>
        </w:rPr>
        <w:t>Forums régionaux des Nations Unies sur le développement durable</w:t>
      </w:r>
      <w:r w:rsidRPr="00F67958">
        <w:rPr>
          <w:lang w:val="fr-FR"/>
        </w:rPr>
        <w:t xml:space="preserve">, </w:t>
      </w:r>
      <w:r w:rsidR="006933AB" w:rsidRPr="00F67958">
        <w:rPr>
          <w:lang w:val="fr-FR"/>
        </w:rPr>
        <w:t>qui se déroulent selon une périodicité annuelle dans</w:t>
      </w:r>
      <w:r w:rsidRPr="00F67958">
        <w:rPr>
          <w:lang w:val="fr-FR"/>
        </w:rPr>
        <w:t xml:space="preserve"> six r</w:t>
      </w:r>
      <w:r w:rsidR="006933AB" w:rsidRPr="00F67958">
        <w:rPr>
          <w:lang w:val="fr-FR"/>
        </w:rPr>
        <w:t>é</w:t>
      </w:r>
      <w:r w:rsidRPr="00F67958">
        <w:rPr>
          <w:lang w:val="fr-FR"/>
        </w:rPr>
        <w:t xml:space="preserve">gions. </w:t>
      </w:r>
      <w:r w:rsidR="00F0032D" w:rsidRPr="00F67958">
        <w:rPr>
          <w:lang w:val="fr-FR"/>
        </w:rPr>
        <w:t>Un certain nombre de</w:t>
      </w:r>
      <w:r w:rsidRPr="00F67958">
        <w:rPr>
          <w:lang w:val="fr-FR"/>
        </w:rPr>
        <w:t xml:space="preserve"> sessions</w:t>
      </w:r>
      <w:r w:rsidR="00F0032D" w:rsidRPr="00F67958">
        <w:rPr>
          <w:lang w:val="fr-FR"/>
        </w:rPr>
        <w:t xml:space="preserve"> thématiques</w:t>
      </w:r>
      <w:r w:rsidRPr="00F67958">
        <w:rPr>
          <w:lang w:val="fr-FR"/>
        </w:rPr>
        <w:t xml:space="preserve">, </w:t>
      </w:r>
      <w:r w:rsidR="00F0032D" w:rsidRPr="00F67958">
        <w:rPr>
          <w:lang w:val="fr-FR"/>
        </w:rPr>
        <w:t>d</w:t>
      </w:r>
      <w:r w:rsidR="000749CB">
        <w:rPr>
          <w:lang w:val="fr-FR"/>
        </w:rPr>
        <w:t>'</w:t>
      </w:r>
      <w:r w:rsidRPr="00F67958">
        <w:rPr>
          <w:lang w:val="fr-FR"/>
        </w:rPr>
        <w:t>interventions</w:t>
      </w:r>
      <w:r w:rsidR="00F0032D" w:rsidRPr="00F67958">
        <w:rPr>
          <w:lang w:val="fr-FR"/>
        </w:rPr>
        <w:t xml:space="preserve"> ciblées</w:t>
      </w:r>
      <w:r w:rsidRPr="00F67958">
        <w:rPr>
          <w:lang w:val="fr-FR"/>
        </w:rPr>
        <w:t xml:space="preserve"> </w:t>
      </w:r>
      <w:r w:rsidR="00F0032D" w:rsidRPr="00F67958">
        <w:rPr>
          <w:lang w:val="fr-FR"/>
        </w:rPr>
        <w:t>et d</w:t>
      </w:r>
      <w:r w:rsidR="000749CB">
        <w:rPr>
          <w:lang w:val="fr-FR"/>
        </w:rPr>
        <w:t>'</w:t>
      </w:r>
      <w:r w:rsidR="00F0032D" w:rsidRPr="00F67958">
        <w:rPr>
          <w:lang w:val="fr-FR"/>
        </w:rPr>
        <w:t>expositions</w:t>
      </w:r>
      <w:r w:rsidRPr="00F67958">
        <w:rPr>
          <w:lang w:val="fr-FR"/>
        </w:rPr>
        <w:t xml:space="preserve"> </w:t>
      </w:r>
      <w:r w:rsidR="00F0032D" w:rsidRPr="00F67958">
        <w:rPr>
          <w:lang w:val="fr-FR"/>
        </w:rPr>
        <w:t>ont été organisées e</w:t>
      </w:r>
      <w:r w:rsidRPr="00F67958">
        <w:rPr>
          <w:lang w:val="fr-FR"/>
        </w:rPr>
        <w:t xml:space="preserve">n 2018 </w:t>
      </w:r>
      <w:r w:rsidR="00F0032D" w:rsidRPr="00F67958">
        <w:rPr>
          <w:lang w:val="fr-FR"/>
        </w:rPr>
        <w:t>afin d</w:t>
      </w:r>
      <w:r w:rsidR="000749CB">
        <w:rPr>
          <w:lang w:val="fr-FR"/>
        </w:rPr>
        <w:t>'</w:t>
      </w:r>
      <w:r w:rsidR="00F0032D" w:rsidRPr="00F67958">
        <w:rPr>
          <w:lang w:val="fr-FR"/>
        </w:rPr>
        <w:t>établir des partenariats</w:t>
      </w:r>
      <w:r w:rsidRPr="00F67958">
        <w:rPr>
          <w:lang w:val="fr-FR"/>
        </w:rPr>
        <w:t xml:space="preserve"> </w:t>
      </w:r>
      <w:r w:rsidR="00F0032D" w:rsidRPr="00F67958">
        <w:rPr>
          <w:lang w:val="fr-FR"/>
        </w:rPr>
        <w:t xml:space="preserve">multipartites et de </w:t>
      </w:r>
      <w:r w:rsidR="00CD22C5">
        <w:rPr>
          <w:lang w:val="fr-FR"/>
        </w:rPr>
        <w:t xml:space="preserve">progresser dans </w:t>
      </w:r>
      <w:r w:rsidR="00255771" w:rsidRPr="00F67958">
        <w:rPr>
          <w:lang w:val="fr-FR"/>
        </w:rPr>
        <w:t>la mise en oeuvre</w:t>
      </w:r>
      <w:r w:rsidRPr="00F67958">
        <w:rPr>
          <w:lang w:val="fr-FR"/>
        </w:rPr>
        <w:t xml:space="preserve"> </w:t>
      </w:r>
      <w:r w:rsidR="00255771" w:rsidRPr="00F67958">
        <w:rPr>
          <w:lang w:val="fr-FR"/>
        </w:rPr>
        <w:t xml:space="preserve">des </w:t>
      </w:r>
      <w:r w:rsidR="00CD22C5">
        <w:rPr>
          <w:lang w:val="fr-FR"/>
        </w:rPr>
        <w:t xml:space="preserve">projets et des initiatives concernant les </w:t>
      </w:r>
      <w:r w:rsidR="00255771" w:rsidRPr="00F67958">
        <w:rPr>
          <w:lang w:val="fr-FR"/>
        </w:rPr>
        <w:t xml:space="preserve">TIC </w:t>
      </w:r>
      <w:r w:rsidR="00CD22C5">
        <w:rPr>
          <w:lang w:val="fr-FR"/>
        </w:rPr>
        <w:t xml:space="preserve">au service des </w:t>
      </w:r>
      <w:r w:rsidR="00255771" w:rsidRPr="00F67958">
        <w:rPr>
          <w:lang w:val="fr-FR"/>
        </w:rPr>
        <w:t>ODD</w:t>
      </w:r>
      <w:r w:rsidRPr="00F67958">
        <w:rPr>
          <w:lang w:val="fr-FR"/>
        </w:rPr>
        <w:t xml:space="preserve">, </w:t>
      </w:r>
      <w:r w:rsidR="001A04FF" w:rsidRPr="00F67958">
        <w:rPr>
          <w:lang w:val="fr-FR"/>
        </w:rPr>
        <w:t>tout en harmonisant les</w:t>
      </w:r>
      <w:r w:rsidRPr="00F67958">
        <w:rPr>
          <w:lang w:val="fr-FR"/>
        </w:rPr>
        <w:t xml:space="preserve"> </w:t>
      </w:r>
      <w:r w:rsidR="001A04FF" w:rsidRPr="00F67958">
        <w:rPr>
          <w:lang w:val="fr-FR"/>
        </w:rPr>
        <w:t>grandes orientations du SMSI</w:t>
      </w:r>
      <w:r w:rsidRPr="00F67958">
        <w:rPr>
          <w:lang w:val="fr-FR"/>
        </w:rPr>
        <w:t xml:space="preserve"> </w:t>
      </w:r>
      <w:r w:rsidR="001A04FF" w:rsidRPr="00F67958">
        <w:rPr>
          <w:lang w:val="fr-FR"/>
        </w:rPr>
        <w:t>et les ODD</w:t>
      </w:r>
      <w:r w:rsidRPr="00F67958">
        <w:rPr>
          <w:lang w:val="fr-FR"/>
        </w:rPr>
        <w:t xml:space="preserve">. </w:t>
      </w:r>
      <w:r w:rsidR="001A04FF" w:rsidRPr="00F67958">
        <w:rPr>
          <w:lang w:val="fr-FR"/>
        </w:rPr>
        <w:t>Les différentes réunions</w:t>
      </w:r>
      <w:r w:rsidRPr="00F67958">
        <w:rPr>
          <w:lang w:val="fr-FR"/>
        </w:rPr>
        <w:t xml:space="preserve"> </w:t>
      </w:r>
      <w:r w:rsidR="001A04FF" w:rsidRPr="00F67958">
        <w:rPr>
          <w:lang w:val="fr-FR"/>
        </w:rPr>
        <w:t>qui se sont tenues en</w:t>
      </w:r>
      <w:r w:rsidRPr="00F67958">
        <w:rPr>
          <w:lang w:val="fr-FR"/>
        </w:rPr>
        <w:t xml:space="preserve"> 2018 </w:t>
      </w:r>
      <w:r w:rsidR="001A04FF" w:rsidRPr="00F67958">
        <w:rPr>
          <w:lang w:val="fr-FR"/>
        </w:rPr>
        <w:t>figurent sur la</w:t>
      </w:r>
      <w:r w:rsidRPr="00F67958">
        <w:rPr>
          <w:lang w:val="fr-FR"/>
        </w:rPr>
        <w:t xml:space="preserve"> page </w:t>
      </w:r>
      <w:r w:rsidR="001A04FF" w:rsidRPr="00F67958">
        <w:rPr>
          <w:lang w:val="fr-FR"/>
        </w:rPr>
        <w:t>d</w:t>
      </w:r>
      <w:r w:rsidRPr="00F67958">
        <w:rPr>
          <w:lang w:val="fr-FR"/>
        </w:rPr>
        <w:t>e</w:t>
      </w:r>
      <w:r w:rsidR="001A04FF" w:rsidRPr="00F67958">
        <w:rPr>
          <w:lang w:val="fr-FR"/>
        </w:rPr>
        <w:t>s Forums régionaux sur le développement durable de la</w:t>
      </w:r>
      <w:r w:rsidRPr="00F67958">
        <w:rPr>
          <w:lang w:val="fr-FR"/>
        </w:rPr>
        <w:t xml:space="preserve"> </w:t>
      </w:r>
      <w:hyperlink r:id="rId13" w:history="1">
        <w:r w:rsidRPr="00F67958">
          <w:rPr>
            <w:rStyle w:val="Hyperlink"/>
            <w:lang w:val="fr-FR"/>
          </w:rPr>
          <w:t>Commissio</w:t>
        </w:r>
        <w:r w:rsidR="001A04FF" w:rsidRPr="00F67958">
          <w:rPr>
            <w:rStyle w:val="Hyperlink"/>
            <w:lang w:val="fr-FR"/>
          </w:rPr>
          <w:t>n régionale des Nations Unies</w:t>
        </w:r>
      </w:hyperlink>
      <w:r w:rsidRPr="00F67958">
        <w:rPr>
          <w:lang w:val="fr-FR"/>
        </w:rPr>
        <w:t xml:space="preserve">. </w:t>
      </w:r>
      <w:r w:rsidR="001A04FF" w:rsidRPr="00F67958">
        <w:rPr>
          <w:lang w:val="fr-FR"/>
        </w:rPr>
        <w:t>Une série de</w:t>
      </w:r>
      <w:r w:rsidRPr="00F67958">
        <w:rPr>
          <w:lang w:val="fr-FR"/>
        </w:rPr>
        <w:t xml:space="preserve"> </w:t>
      </w:r>
      <w:r w:rsidR="001A04FF" w:rsidRPr="00F67958">
        <w:rPr>
          <w:lang w:val="fr-FR"/>
        </w:rPr>
        <w:t>Forums régionaux des Nations Unies sur le développement durable</w:t>
      </w:r>
      <w:r w:rsidRPr="00F67958">
        <w:rPr>
          <w:lang w:val="fr-FR"/>
        </w:rPr>
        <w:t xml:space="preserve"> </w:t>
      </w:r>
      <w:r w:rsidR="001A04FF" w:rsidRPr="00F67958">
        <w:rPr>
          <w:lang w:val="fr-FR"/>
        </w:rPr>
        <w:t>a également été planifiée</w:t>
      </w:r>
      <w:r w:rsidRPr="00F67958">
        <w:rPr>
          <w:lang w:val="fr-FR"/>
        </w:rPr>
        <w:t xml:space="preserve"> </w:t>
      </w:r>
      <w:r w:rsidR="001A04FF" w:rsidRPr="00F67958">
        <w:rPr>
          <w:lang w:val="fr-FR"/>
        </w:rPr>
        <w:t>pour</w:t>
      </w:r>
      <w:r w:rsidRPr="00F67958">
        <w:rPr>
          <w:lang w:val="fr-FR"/>
        </w:rPr>
        <w:t xml:space="preserve"> 2019. </w:t>
      </w:r>
      <w:r w:rsidR="001A04FF" w:rsidRPr="00F67958">
        <w:rPr>
          <w:lang w:val="fr-FR"/>
        </w:rPr>
        <w:t>Outre les</w:t>
      </w:r>
      <w:r w:rsidRPr="00F67958">
        <w:rPr>
          <w:lang w:val="fr-FR"/>
        </w:rPr>
        <w:t xml:space="preserve"> </w:t>
      </w:r>
      <w:r w:rsidR="001A04FF" w:rsidRPr="00F67958">
        <w:rPr>
          <w:lang w:val="fr-FR"/>
        </w:rPr>
        <w:t>contributions</w:t>
      </w:r>
      <w:r w:rsidRPr="00F67958">
        <w:rPr>
          <w:lang w:val="fr-FR"/>
        </w:rPr>
        <w:t xml:space="preserve"> </w:t>
      </w:r>
      <w:r w:rsidR="001A04FF" w:rsidRPr="00F67958">
        <w:rPr>
          <w:lang w:val="fr-FR"/>
        </w:rPr>
        <w:t>ordinaires</w:t>
      </w:r>
      <w:r w:rsidRPr="00F67958">
        <w:rPr>
          <w:lang w:val="fr-FR"/>
        </w:rPr>
        <w:t xml:space="preserve"> </w:t>
      </w:r>
      <w:r w:rsidR="00CD22C5">
        <w:rPr>
          <w:lang w:val="fr-FR"/>
        </w:rPr>
        <w:t xml:space="preserve">des </w:t>
      </w:r>
      <w:r w:rsidR="00A04637" w:rsidRPr="00F67958">
        <w:rPr>
          <w:rFonts w:cstheme="minorHAnsi"/>
          <w:lang w:val="fr-FR"/>
        </w:rPr>
        <w:t>Bureaux régionaux de l</w:t>
      </w:r>
      <w:r w:rsidR="000749CB">
        <w:rPr>
          <w:rFonts w:cstheme="minorHAnsi"/>
          <w:lang w:val="fr-FR"/>
        </w:rPr>
        <w:t>'</w:t>
      </w:r>
      <w:r w:rsidR="00A04637" w:rsidRPr="00F67958">
        <w:rPr>
          <w:rFonts w:cstheme="minorHAnsi"/>
          <w:lang w:val="fr-FR"/>
        </w:rPr>
        <w:t>UIT à ces</w:t>
      </w:r>
      <w:r w:rsidRPr="00F67958">
        <w:rPr>
          <w:rFonts w:cstheme="minorHAnsi"/>
          <w:lang w:val="fr-FR"/>
        </w:rPr>
        <w:t xml:space="preserve"> </w:t>
      </w:r>
      <w:r w:rsidR="00A04637" w:rsidRPr="00F67958">
        <w:rPr>
          <w:rFonts w:cstheme="minorHAnsi"/>
          <w:lang w:val="fr-FR"/>
        </w:rPr>
        <w:t>réunions</w:t>
      </w:r>
      <w:r w:rsidRPr="00F67958">
        <w:rPr>
          <w:rFonts w:cstheme="minorHAnsi"/>
          <w:lang w:val="fr-FR"/>
        </w:rPr>
        <w:t xml:space="preserve">, </w:t>
      </w:r>
      <w:r w:rsidR="00A04637" w:rsidRPr="00F67958">
        <w:rPr>
          <w:rFonts w:cstheme="minorHAnsi"/>
          <w:lang w:val="fr-FR"/>
        </w:rPr>
        <w:t>des séances spéciales</w:t>
      </w:r>
      <w:r w:rsidRPr="00F67958">
        <w:rPr>
          <w:rFonts w:cstheme="minorHAnsi"/>
          <w:lang w:val="fr-FR"/>
        </w:rPr>
        <w:t xml:space="preserve"> </w:t>
      </w:r>
      <w:r w:rsidR="00A04637" w:rsidRPr="00F67958">
        <w:rPr>
          <w:rFonts w:cstheme="minorHAnsi"/>
          <w:lang w:val="fr-FR"/>
        </w:rPr>
        <w:t>ont été prévues</w:t>
      </w:r>
      <w:r w:rsidRPr="00F67958">
        <w:rPr>
          <w:rFonts w:cstheme="minorHAnsi"/>
          <w:lang w:val="fr-FR"/>
        </w:rPr>
        <w:t xml:space="preserve"> </w:t>
      </w:r>
      <w:r w:rsidR="00A04637" w:rsidRPr="00F67958">
        <w:rPr>
          <w:rFonts w:cstheme="minorHAnsi"/>
          <w:lang w:val="fr-FR"/>
        </w:rPr>
        <w:t>en vue</w:t>
      </w:r>
      <w:r w:rsidRPr="00F67958">
        <w:rPr>
          <w:rFonts w:cstheme="minorHAnsi"/>
          <w:lang w:val="fr-FR"/>
        </w:rPr>
        <w:t xml:space="preserve"> </w:t>
      </w:r>
      <w:r w:rsidR="00A04637" w:rsidRPr="00F67958">
        <w:rPr>
          <w:rFonts w:cstheme="minorHAnsi"/>
          <w:lang w:val="fr-FR"/>
        </w:rPr>
        <w:t>de souligner</w:t>
      </w:r>
      <w:r w:rsidRPr="00F67958">
        <w:rPr>
          <w:rFonts w:cstheme="minorHAnsi"/>
          <w:lang w:val="fr-FR"/>
        </w:rPr>
        <w:t xml:space="preserve"> </w:t>
      </w:r>
      <w:r w:rsidR="00A04637" w:rsidRPr="00F67958">
        <w:rPr>
          <w:rFonts w:cstheme="minorHAnsi"/>
          <w:lang w:val="fr-FR"/>
        </w:rPr>
        <w:t>l</w:t>
      </w:r>
      <w:r w:rsidR="000749CB">
        <w:rPr>
          <w:rFonts w:cstheme="minorHAnsi"/>
          <w:lang w:val="fr-FR"/>
        </w:rPr>
        <w:t>'</w:t>
      </w:r>
      <w:r w:rsidRPr="00F67958">
        <w:rPr>
          <w:rFonts w:cstheme="minorHAnsi"/>
          <w:lang w:val="fr-FR"/>
        </w:rPr>
        <w:t xml:space="preserve">importance </w:t>
      </w:r>
      <w:r w:rsidR="00A04637" w:rsidRPr="00F67958">
        <w:rPr>
          <w:rFonts w:cstheme="minorHAnsi"/>
          <w:lang w:val="fr-FR"/>
        </w:rPr>
        <w:t>de l</w:t>
      </w:r>
      <w:r w:rsidR="000749CB">
        <w:rPr>
          <w:rFonts w:cstheme="minorHAnsi"/>
          <w:lang w:val="fr-FR"/>
        </w:rPr>
        <w:t>'</w:t>
      </w:r>
      <w:r w:rsidR="00A04637" w:rsidRPr="00F67958">
        <w:rPr>
          <w:rFonts w:cstheme="minorHAnsi"/>
          <w:lang w:val="fr-FR"/>
        </w:rPr>
        <w:t>harmonisation des processus du</w:t>
      </w:r>
      <w:r w:rsidRPr="00F67958">
        <w:rPr>
          <w:rFonts w:cstheme="minorHAnsi"/>
          <w:lang w:val="fr-FR"/>
        </w:rPr>
        <w:t xml:space="preserve"> </w:t>
      </w:r>
      <w:r w:rsidR="00A04637" w:rsidRPr="00F67958">
        <w:rPr>
          <w:rFonts w:cstheme="minorHAnsi"/>
          <w:lang w:val="fr-FR"/>
        </w:rPr>
        <w:t>SMSI et des ODD</w:t>
      </w:r>
      <w:r w:rsidRPr="00F67958">
        <w:rPr>
          <w:rFonts w:cstheme="minorHAnsi"/>
          <w:lang w:val="fr-FR"/>
        </w:rPr>
        <w:t xml:space="preserve"> </w:t>
      </w:r>
      <w:r w:rsidR="00A04637" w:rsidRPr="00F67958">
        <w:rPr>
          <w:rFonts w:cstheme="minorHAnsi"/>
          <w:lang w:val="fr-FR"/>
        </w:rPr>
        <w:t>ainsi que de leur mise en oeuvre</w:t>
      </w:r>
      <w:r w:rsidRPr="00F67958">
        <w:rPr>
          <w:rFonts w:cstheme="minorHAnsi"/>
          <w:lang w:val="fr-FR"/>
        </w:rPr>
        <w:t xml:space="preserve">, </w:t>
      </w:r>
      <w:r w:rsidR="00A04637" w:rsidRPr="00F67958">
        <w:rPr>
          <w:rFonts w:cstheme="minorHAnsi"/>
          <w:lang w:val="fr-FR"/>
        </w:rPr>
        <w:t>conformément à la</w:t>
      </w:r>
      <w:r w:rsidRPr="00F67958">
        <w:rPr>
          <w:rFonts w:cstheme="minorHAnsi"/>
          <w:lang w:val="fr-FR"/>
        </w:rPr>
        <w:t xml:space="preserve"> R</w:t>
      </w:r>
      <w:r w:rsidR="00A04637" w:rsidRPr="00F67958">
        <w:rPr>
          <w:rFonts w:cstheme="minorHAnsi"/>
          <w:lang w:val="fr-FR"/>
        </w:rPr>
        <w:t>é</w:t>
      </w:r>
      <w:r w:rsidRPr="00F67958">
        <w:rPr>
          <w:rFonts w:cstheme="minorHAnsi"/>
          <w:lang w:val="fr-FR"/>
        </w:rPr>
        <w:t>solution</w:t>
      </w:r>
      <w:r w:rsidRPr="00F67958">
        <w:rPr>
          <w:lang w:val="fr-FR"/>
        </w:rPr>
        <w:t xml:space="preserve"> 70/125</w:t>
      </w:r>
      <w:r w:rsidR="00A04637" w:rsidRPr="00F67958">
        <w:rPr>
          <w:lang w:val="fr-FR"/>
        </w:rPr>
        <w:t xml:space="preserve"> de l</w:t>
      </w:r>
      <w:r w:rsidR="000749CB">
        <w:rPr>
          <w:lang w:val="fr-FR"/>
        </w:rPr>
        <w:t>'</w:t>
      </w:r>
      <w:r w:rsidR="00A04637" w:rsidRPr="00F67958">
        <w:rPr>
          <w:lang w:val="fr-FR"/>
        </w:rPr>
        <w:t>Assemblée générale des Nations Unies</w:t>
      </w:r>
      <w:r w:rsidR="00892568" w:rsidRPr="00F67958">
        <w:rPr>
          <w:lang w:val="fr-FR"/>
        </w:rPr>
        <w:t>.</w:t>
      </w:r>
    </w:p>
    <w:p w:rsidR="00834BBF" w:rsidRPr="00F67958" w:rsidRDefault="00834BBF" w:rsidP="00CD22C5">
      <w:pPr>
        <w:spacing w:after="120"/>
        <w:rPr>
          <w:lang w:val="fr-FR"/>
        </w:rPr>
      </w:pPr>
      <w:r w:rsidRPr="00F67958">
        <w:rPr>
          <w:lang w:val="fr-FR"/>
        </w:rPr>
        <w:t>17</w:t>
      </w:r>
      <w:r w:rsidRPr="00F67958">
        <w:rPr>
          <w:lang w:val="fr-FR"/>
        </w:rPr>
        <w:tab/>
      </w:r>
      <w:r w:rsidR="006E4A71">
        <w:rPr>
          <w:lang w:val="fr-FR"/>
        </w:rPr>
        <w:t>Par ailleurs</w:t>
      </w:r>
      <w:r w:rsidRPr="00F67958">
        <w:rPr>
          <w:lang w:val="fr-FR"/>
        </w:rPr>
        <w:t xml:space="preserve">, </w:t>
      </w:r>
      <w:r w:rsidR="006B51D3" w:rsidRPr="00F67958">
        <w:rPr>
          <w:lang w:val="fr-FR"/>
        </w:rPr>
        <w:t>les Bureaux régionaux de l</w:t>
      </w:r>
      <w:r w:rsidR="000749CB">
        <w:rPr>
          <w:lang w:val="fr-FR"/>
        </w:rPr>
        <w:t>'</w:t>
      </w:r>
      <w:r w:rsidR="006B51D3" w:rsidRPr="00F67958">
        <w:rPr>
          <w:lang w:val="fr-FR"/>
        </w:rPr>
        <w:t>UIT</w:t>
      </w:r>
      <w:r w:rsidRPr="00F67958">
        <w:rPr>
          <w:lang w:val="fr-FR"/>
        </w:rPr>
        <w:t xml:space="preserve"> </w:t>
      </w:r>
      <w:r w:rsidR="00A04637" w:rsidRPr="00F67958">
        <w:rPr>
          <w:lang w:val="fr-FR"/>
        </w:rPr>
        <w:t>continuent de contribuer régulièrement et activement</w:t>
      </w:r>
      <w:r w:rsidRPr="00F67958">
        <w:rPr>
          <w:lang w:val="fr-FR"/>
        </w:rPr>
        <w:t xml:space="preserve"> </w:t>
      </w:r>
      <w:r w:rsidR="00A04637" w:rsidRPr="00F67958">
        <w:rPr>
          <w:lang w:val="fr-FR"/>
        </w:rPr>
        <w:t>aux réunions</w:t>
      </w:r>
      <w:r w:rsidRPr="00F67958">
        <w:rPr>
          <w:lang w:val="fr-FR"/>
        </w:rPr>
        <w:t xml:space="preserve"> </w:t>
      </w:r>
      <w:r w:rsidR="00A04637" w:rsidRPr="00F67958">
        <w:rPr>
          <w:lang w:val="fr-FR"/>
        </w:rPr>
        <w:t>des</w:t>
      </w:r>
      <w:r w:rsidRPr="00F67958">
        <w:rPr>
          <w:lang w:val="fr-FR"/>
        </w:rPr>
        <w:t xml:space="preserve"> </w:t>
      </w:r>
      <w:r w:rsidR="00067B4E" w:rsidRPr="00F67958">
        <w:rPr>
          <w:lang w:val="fr-FR"/>
        </w:rPr>
        <w:t>mécanismes de coordination régionaux des Nations Unies</w:t>
      </w:r>
      <w:r w:rsidRPr="00F67958">
        <w:rPr>
          <w:lang w:val="fr-FR"/>
        </w:rPr>
        <w:t xml:space="preserve"> </w:t>
      </w:r>
      <w:r w:rsidR="00067B4E" w:rsidRPr="00F67958">
        <w:rPr>
          <w:lang w:val="fr-FR"/>
        </w:rPr>
        <w:t>et</w:t>
      </w:r>
      <w:r w:rsidRPr="00F67958">
        <w:rPr>
          <w:lang w:val="fr-FR"/>
        </w:rPr>
        <w:t xml:space="preserve"> </w:t>
      </w:r>
      <w:r w:rsidR="00067B4E" w:rsidRPr="00F67958">
        <w:rPr>
          <w:lang w:val="fr-FR"/>
        </w:rPr>
        <w:t>des Groupes des Nations Unies pour le développement régional, plaidant en faveur du rôle de catalyseur que jouent les T</w:t>
      </w:r>
      <w:r w:rsidRPr="00F67958">
        <w:rPr>
          <w:lang w:val="fr-FR"/>
        </w:rPr>
        <w:t xml:space="preserve">IC </w:t>
      </w:r>
      <w:r w:rsidR="00CD22C5">
        <w:rPr>
          <w:lang w:val="fr-FR"/>
        </w:rPr>
        <w:t xml:space="preserve">au service </w:t>
      </w:r>
      <w:r w:rsidR="00067B4E" w:rsidRPr="00F67958">
        <w:rPr>
          <w:lang w:val="fr-FR"/>
        </w:rPr>
        <w:t>des ODD</w:t>
      </w:r>
      <w:r w:rsidRPr="00F67958">
        <w:rPr>
          <w:lang w:val="fr-FR"/>
        </w:rPr>
        <w:t xml:space="preserve">, </w:t>
      </w:r>
      <w:r w:rsidR="00067B4E" w:rsidRPr="00F67958">
        <w:rPr>
          <w:lang w:val="fr-FR"/>
        </w:rPr>
        <w:t>fournissant des conseils quant à l</w:t>
      </w:r>
      <w:r w:rsidR="000749CB">
        <w:rPr>
          <w:lang w:val="fr-FR"/>
        </w:rPr>
        <w:t>'</w:t>
      </w:r>
      <w:r w:rsidR="00067B4E" w:rsidRPr="00F67958">
        <w:rPr>
          <w:lang w:val="fr-FR"/>
        </w:rPr>
        <w:t>intégration des</w:t>
      </w:r>
      <w:r w:rsidR="00A62DD9">
        <w:rPr>
          <w:lang w:val="fr-FR"/>
        </w:rPr>
        <w:t> </w:t>
      </w:r>
      <w:r w:rsidR="00067B4E" w:rsidRPr="00F67958">
        <w:rPr>
          <w:lang w:val="fr-FR"/>
        </w:rPr>
        <w:t>TIC dans les</w:t>
      </w:r>
      <w:r w:rsidRPr="00F67958">
        <w:rPr>
          <w:lang w:val="fr-FR"/>
        </w:rPr>
        <w:t xml:space="preserve"> </w:t>
      </w:r>
      <w:r w:rsidR="00067B4E" w:rsidRPr="00F67958">
        <w:rPr>
          <w:lang w:val="fr-FR"/>
        </w:rPr>
        <w:t>plans-cadres des Nations Unies pour l</w:t>
      </w:r>
      <w:r w:rsidR="000749CB">
        <w:rPr>
          <w:lang w:val="fr-FR"/>
        </w:rPr>
        <w:t>'</w:t>
      </w:r>
      <w:r w:rsidR="00067B4E" w:rsidRPr="00F67958">
        <w:rPr>
          <w:lang w:val="fr-FR"/>
        </w:rPr>
        <w:t>aide au développement</w:t>
      </w:r>
      <w:r w:rsidRPr="00F67958">
        <w:rPr>
          <w:lang w:val="fr-FR"/>
        </w:rPr>
        <w:t xml:space="preserve"> </w:t>
      </w:r>
      <w:r w:rsidR="00067B4E" w:rsidRPr="00F67958">
        <w:rPr>
          <w:lang w:val="fr-FR"/>
        </w:rPr>
        <w:t>et</w:t>
      </w:r>
      <w:r w:rsidRPr="00F67958">
        <w:rPr>
          <w:lang w:val="fr-FR"/>
        </w:rPr>
        <w:t xml:space="preserve"> </w:t>
      </w:r>
      <w:r w:rsidR="00067B4E" w:rsidRPr="00F67958">
        <w:rPr>
          <w:lang w:val="fr-FR"/>
        </w:rPr>
        <w:t>les proje</w:t>
      </w:r>
      <w:r w:rsidRPr="00F67958">
        <w:rPr>
          <w:lang w:val="fr-FR"/>
        </w:rPr>
        <w:t xml:space="preserve">ts </w:t>
      </w:r>
      <w:r w:rsidR="00067B4E" w:rsidRPr="00F67958">
        <w:rPr>
          <w:lang w:val="fr-FR"/>
        </w:rPr>
        <w:t>menés à bien par d</w:t>
      </w:r>
      <w:r w:rsidR="000749CB">
        <w:rPr>
          <w:lang w:val="fr-FR"/>
        </w:rPr>
        <w:t>'</w:t>
      </w:r>
      <w:r w:rsidR="00067B4E" w:rsidRPr="00F67958">
        <w:rPr>
          <w:lang w:val="fr-FR"/>
        </w:rPr>
        <w:t>autres</w:t>
      </w:r>
      <w:r w:rsidRPr="00F67958">
        <w:rPr>
          <w:lang w:val="fr-FR"/>
        </w:rPr>
        <w:t xml:space="preserve"> </w:t>
      </w:r>
      <w:r w:rsidR="00067B4E" w:rsidRPr="00F67958">
        <w:rPr>
          <w:lang w:val="fr-FR"/>
        </w:rPr>
        <w:t>organismes des Nations Unies</w:t>
      </w:r>
      <w:r w:rsidRPr="00F67958">
        <w:rPr>
          <w:lang w:val="fr-FR"/>
        </w:rPr>
        <w:t xml:space="preserve">, </w:t>
      </w:r>
      <w:r w:rsidR="00067B4E" w:rsidRPr="00F67958">
        <w:rPr>
          <w:lang w:val="fr-FR"/>
        </w:rPr>
        <w:t>tout en établissant des partenariats stratégiques</w:t>
      </w:r>
      <w:r w:rsidRPr="00F67958">
        <w:rPr>
          <w:lang w:val="fr-FR"/>
        </w:rPr>
        <w:t xml:space="preserve"> </w:t>
      </w:r>
      <w:r w:rsidR="00067B4E" w:rsidRPr="00F67958">
        <w:rPr>
          <w:lang w:val="fr-FR"/>
        </w:rPr>
        <w:t>avec des</w:t>
      </w:r>
      <w:r w:rsidRPr="00F67958">
        <w:rPr>
          <w:lang w:val="fr-FR"/>
        </w:rPr>
        <w:t xml:space="preserve"> </w:t>
      </w:r>
      <w:r w:rsidR="001C7203">
        <w:rPr>
          <w:lang w:val="fr-FR"/>
        </w:rPr>
        <w:t>bureaux</w:t>
      </w:r>
      <w:r w:rsidR="00067B4E" w:rsidRPr="00F67958">
        <w:rPr>
          <w:lang w:val="fr-FR"/>
        </w:rPr>
        <w:t xml:space="preserve"> régionaux du système des Nations Unies</w:t>
      </w:r>
      <w:r w:rsidRPr="00F67958">
        <w:rPr>
          <w:lang w:val="fr-FR"/>
        </w:rPr>
        <w:t xml:space="preserve"> </w:t>
      </w:r>
      <w:r w:rsidR="00067B4E" w:rsidRPr="00F67958">
        <w:rPr>
          <w:lang w:val="fr-FR"/>
        </w:rPr>
        <w:t>et d</w:t>
      </w:r>
      <w:r w:rsidR="000749CB">
        <w:rPr>
          <w:lang w:val="fr-FR"/>
        </w:rPr>
        <w:t>'</w:t>
      </w:r>
      <w:r w:rsidR="00067B4E" w:rsidRPr="00F67958">
        <w:rPr>
          <w:lang w:val="fr-FR"/>
        </w:rPr>
        <w:t xml:space="preserve">autres parties </w:t>
      </w:r>
      <w:r w:rsidR="00067B4E" w:rsidRPr="00F67958">
        <w:rPr>
          <w:lang w:val="fr-FR"/>
        </w:rPr>
        <w:lastRenderedPageBreak/>
        <w:t>prenantes concernées</w:t>
      </w:r>
      <w:r w:rsidRPr="00F67958">
        <w:rPr>
          <w:lang w:val="fr-FR"/>
        </w:rPr>
        <w:t xml:space="preserve">. </w:t>
      </w:r>
      <w:r w:rsidR="001E7C76" w:rsidRPr="00F67958">
        <w:rPr>
          <w:lang w:val="fr-FR"/>
        </w:rPr>
        <w:t>S</w:t>
      </w:r>
      <w:r w:rsidR="000749CB">
        <w:rPr>
          <w:lang w:val="fr-FR"/>
        </w:rPr>
        <w:t>'</w:t>
      </w:r>
      <w:r w:rsidR="001E7C76" w:rsidRPr="00F67958">
        <w:rPr>
          <w:lang w:val="fr-FR"/>
        </w:rPr>
        <w:t>appuyant sur le processus</w:t>
      </w:r>
      <w:r w:rsidRPr="00F67958">
        <w:rPr>
          <w:lang w:val="fr-FR"/>
        </w:rPr>
        <w:t xml:space="preserve"> </w:t>
      </w:r>
      <w:r w:rsidR="001E7C76" w:rsidRPr="00F67958">
        <w:rPr>
          <w:lang w:val="fr-FR"/>
        </w:rPr>
        <w:t>de suivi</w:t>
      </w:r>
      <w:r w:rsidRPr="00F67958">
        <w:rPr>
          <w:lang w:val="fr-FR"/>
        </w:rPr>
        <w:t xml:space="preserve"> </w:t>
      </w:r>
      <w:r w:rsidR="001E7C76" w:rsidRPr="00F67958">
        <w:rPr>
          <w:lang w:val="fr-FR"/>
        </w:rPr>
        <w:t xml:space="preserve">des plans nationaux de développement durable </w:t>
      </w:r>
      <w:r w:rsidR="00124609" w:rsidRPr="00F67958">
        <w:rPr>
          <w:lang w:val="fr-FR"/>
        </w:rPr>
        <w:t>et les</w:t>
      </w:r>
      <w:r w:rsidRPr="00F67958">
        <w:rPr>
          <w:lang w:val="fr-FR"/>
        </w:rPr>
        <w:t xml:space="preserve"> </w:t>
      </w:r>
      <w:r w:rsidR="00124609" w:rsidRPr="00F67958">
        <w:rPr>
          <w:lang w:val="fr-FR"/>
        </w:rPr>
        <w:t>évaluations nationales volontaires</w:t>
      </w:r>
      <w:r w:rsidRPr="00F67958">
        <w:rPr>
          <w:lang w:val="fr-FR"/>
        </w:rPr>
        <w:t xml:space="preserve"> </w:t>
      </w:r>
      <w:r w:rsidR="00124609" w:rsidRPr="00F67958">
        <w:rPr>
          <w:lang w:val="fr-FR"/>
        </w:rPr>
        <w:t>concernant les ODD</w:t>
      </w:r>
      <w:r w:rsidRPr="00F67958">
        <w:rPr>
          <w:lang w:val="fr-FR"/>
        </w:rPr>
        <w:t xml:space="preserve"> </w:t>
      </w:r>
      <w:r w:rsidR="00124609" w:rsidRPr="00F67958">
        <w:rPr>
          <w:lang w:val="fr-FR"/>
        </w:rPr>
        <w:t xml:space="preserve">effectuées par les </w:t>
      </w:r>
      <w:r w:rsidR="00CD22C5">
        <w:rPr>
          <w:lang w:val="fr-FR"/>
        </w:rPr>
        <w:t>E</w:t>
      </w:r>
      <w:r w:rsidR="00124609" w:rsidRPr="00F67958">
        <w:rPr>
          <w:lang w:val="fr-FR"/>
        </w:rPr>
        <w:t xml:space="preserve">tats </w:t>
      </w:r>
      <w:r w:rsidR="00CD22C5">
        <w:rPr>
          <w:lang w:val="fr-FR"/>
        </w:rPr>
        <w:t>M</w:t>
      </w:r>
      <w:r w:rsidR="00124609" w:rsidRPr="00F67958">
        <w:rPr>
          <w:lang w:val="fr-FR"/>
        </w:rPr>
        <w:t>embres</w:t>
      </w:r>
      <w:r w:rsidRPr="00F67958">
        <w:rPr>
          <w:lang w:val="fr-FR"/>
        </w:rPr>
        <w:t xml:space="preserve">, </w:t>
      </w:r>
      <w:r w:rsidR="00124609" w:rsidRPr="00F67958">
        <w:rPr>
          <w:lang w:val="fr-FR"/>
        </w:rPr>
        <w:t>des efforts constants sont déployés afin de renforcer le</w:t>
      </w:r>
      <w:r w:rsidRPr="00F67958">
        <w:rPr>
          <w:lang w:val="fr-FR"/>
        </w:rPr>
        <w:t xml:space="preserve"> r</w:t>
      </w:r>
      <w:r w:rsidR="00124609" w:rsidRPr="00F67958">
        <w:rPr>
          <w:lang w:val="fr-FR"/>
        </w:rPr>
        <w:t>ô</w:t>
      </w:r>
      <w:r w:rsidRPr="00F67958">
        <w:rPr>
          <w:lang w:val="fr-FR"/>
        </w:rPr>
        <w:t xml:space="preserve">le </w:t>
      </w:r>
      <w:r w:rsidR="00124609" w:rsidRPr="00F67958">
        <w:rPr>
          <w:lang w:val="fr-FR"/>
        </w:rPr>
        <w:t>des TIC</w:t>
      </w:r>
      <w:r w:rsidRPr="00F67958">
        <w:rPr>
          <w:lang w:val="fr-FR"/>
        </w:rPr>
        <w:t xml:space="preserve"> </w:t>
      </w:r>
      <w:r w:rsidR="00124609" w:rsidRPr="00F67958">
        <w:rPr>
          <w:lang w:val="fr-FR"/>
        </w:rPr>
        <w:t>au niveau de la planification stratégique des</w:t>
      </w:r>
      <w:r w:rsidRPr="00F67958">
        <w:rPr>
          <w:lang w:val="fr-FR"/>
        </w:rPr>
        <w:t xml:space="preserve"> </w:t>
      </w:r>
      <w:r w:rsidR="00124609" w:rsidRPr="00F67958">
        <w:rPr>
          <w:lang w:val="fr-FR"/>
        </w:rPr>
        <w:t>pays</w:t>
      </w:r>
      <w:r w:rsidR="00892568" w:rsidRPr="00F67958">
        <w:rPr>
          <w:lang w:val="fr-FR"/>
        </w:rPr>
        <w:t>.</w:t>
      </w:r>
    </w:p>
    <w:p w:rsidR="00834BBF" w:rsidRPr="00F67958" w:rsidRDefault="00834BBF" w:rsidP="00CD22C5">
      <w:pPr>
        <w:spacing w:after="120"/>
        <w:rPr>
          <w:lang w:val="fr-FR"/>
        </w:rPr>
      </w:pPr>
      <w:r w:rsidRPr="00F67958">
        <w:rPr>
          <w:lang w:val="fr-FR"/>
        </w:rPr>
        <w:t>18</w:t>
      </w:r>
      <w:r w:rsidRPr="00F67958">
        <w:rPr>
          <w:lang w:val="fr-FR"/>
        </w:rPr>
        <w:tab/>
      </w:r>
      <w:r w:rsidR="00124609" w:rsidRPr="00F67958">
        <w:rPr>
          <w:lang w:val="fr-FR"/>
        </w:rPr>
        <w:t>En outre</w:t>
      </w:r>
      <w:r w:rsidRPr="00F67958">
        <w:rPr>
          <w:lang w:val="fr-FR"/>
        </w:rPr>
        <w:t xml:space="preserve">, </w:t>
      </w:r>
      <w:r w:rsidR="00124609" w:rsidRPr="00F67958">
        <w:rPr>
          <w:lang w:val="fr-FR"/>
        </w:rPr>
        <w:t xml:space="preserve">des Forums régionaux de </w:t>
      </w:r>
      <w:r w:rsidR="00CD22C5">
        <w:rPr>
          <w:lang w:val="fr-FR"/>
        </w:rPr>
        <w:t>l</w:t>
      </w:r>
      <w:r w:rsidR="000749CB">
        <w:rPr>
          <w:lang w:val="fr-FR"/>
        </w:rPr>
        <w:t>'</w:t>
      </w:r>
      <w:r w:rsidR="00CD22C5">
        <w:rPr>
          <w:lang w:val="fr-FR"/>
        </w:rPr>
        <w:t xml:space="preserve">UIT sur le </w:t>
      </w:r>
      <w:r w:rsidR="00124609" w:rsidRPr="00F67958">
        <w:rPr>
          <w:lang w:val="fr-FR"/>
        </w:rPr>
        <w:t xml:space="preserve">développement (RDF), placés sous le thème général des TIC </w:t>
      </w:r>
      <w:r w:rsidR="00CD22C5">
        <w:rPr>
          <w:lang w:val="fr-FR"/>
        </w:rPr>
        <w:t xml:space="preserve">au service </w:t>
      </w:r>
      <w:r w:rsidR="00124609" w:rsidRPr="00F67958">
        <w:rPr>
          <w:lang w:val="fr-FR"/>
        </w:rPr>
        <w:t>du</w:t>
      </w:r>
      <w:r w:rsidRPr="00F67958">
        <w:rPr>
          <w:lang w:val="fr-FR"/>
        </w:rPr>
        <w:t xml:space="preserve"> </w:t>
      </w:r>
      <w:r w:rsidR="00124609" w:rsidRPr="00F67958">
        <w:rPr>
          <w:lang w:val="fr-FR"/>
        </w:rPr>
        <w:t>développement durable, ont été</w:t>
      </w:r>
      <w:r w:rsidRPr="00F67958">
        <w:rPr>
          <w:lang w:val="fr-FR"/>
        </w:rPr>
        <w:t xml:space="preserve"> </w:t>
      </w:r>
      <w:r w:rsidR="00124609" w:rsidRPr="00F67958">
        <w:rPr>
          <w:lang w:val="fr-FR"/>
        </w:rPr>
        <w:t>organisés e</w:t>
      </w:r>
      <w:r w:rsidRPr="00F67958">
        <w:rPr>
          <w:lang w:val="fr-FR"/>
        </w:rPr>
        <w:t xml:space="preserve">n 2018 </w:t>
      </w:r>
      <w:r w:rsidR="00124609" w:rsidRPr="00F67958">
        <w:rPr>
          <w:lang w:val="fr-FR"/>
        </w:rPr>
        <w:t>afin de serv</w:t>
      </w:r>
      <w:r w:rsidR="004121DD">
        <w:rPr>
          <w:lang w:val="fr-FR"/>
        </w:rPr>
        <w:t>i</w:t>
      </w:r>
      <w:r w:rsidR="00124609" w:rsidRPr="00F67958">
        <w:rPr>
          <w:lang w:val="fr-FR"/>
        </w:rPr>
        <w:t>r de tribune ouverte</w:t>
      </w:r>
      <w:r w:rsidRPr="00F67958">
        <w:rPr>
          <w:lang w:val="fr-FR"/>
        </w:rPr>
        <w:t xml:space="preserve"> </w:t>
      </w:r>
      <w:r w:rsidR="00124609" w:rsidRPr="00F67958">
        <w:rPr>
          <w:lang w:val="fr-FR"/>
        </w:rPr>
        <w:t>pour la création de partenariats</w:t>
      </w:r>
      <w:r w:rsidRPr="00F67958">
        <w:rPr>
          <w:lang w:val="fr-FR"/>
        </w:rPr>
        <w:t xml:space="preserve"> </w:t>
      </w:r>
      <w:r w:rsidR="00124609" w:rsidRPr="00F67958">
        <w:rPr>
          <w:lang w:val="fr-FR"/>
        </w:rPr>
        <w:t>et la coordination de la mise en oeuvre</w:t>
      </w:r>
      <w:r w:rsidRPr="00F67958">
        <w:rPr>
          <w:lang w:val="fr-FR"/>
        </w:rPr>
        <w:t xml:space="preserve"> </w:t>
      </w:r>
      <w:r w:rsidR="00124609" w:rsidRPr="00F67958">
        <w:rPr>
          <w:lang w:val="fr-FR"/>
        </w:rPr>
        <w:t>des initiatives régionales</w:t>
      </w:r>
      <w:r w:rsidRPr="00F67958">
        <w:rPr>
          <w:lang w:val="fr-FR"/>
        </w:rPr>
        <w:t xml:space="preserve"> appro</w:t>
      </w:r>
      <w:r w:rsidR="00914EDC" w:rsidRPr="00F67958">
        <w:rPr>
          <w:lang w:val="fr-FR"/>
        </w:rPr>
        <w:t>u</w:t>
      </w:r>
      <w:r w:rsidRPr="00F67958">
        <w:rPr>
          <w:lang w:val="fr-FR"/>
        </w:rPr>
        <w:t>v</w:t>
      </w:r>
      <w:r w:rsidR="00124609" w:rsidRPr="00F67958">
        <w:rPr>
          <w:lang w:val="fr-FR"/>
        </w:rPr>
        <w:t>é</w:t>
      </w:r>
      <w:r w:rsidRPr="00F67958">
        <w:rPr>
          <w:lang w:val="fr-FR"/>
        </w:rPr>
        <w:t>e</w:t>
      </w:r>
      <w:r w:rsidR="00124609" w:rsidRPr="00F67958">
        <w:rPr>
          <w:lang w:val="fr-FR"/>
        </w:rPr>
        <w:t>s</w:t>
      </w:r>
      <w:r w:rsidRPr="00F67958">
        <w:rPr>
          <w:lang w:val="fr-FR"/>
        </w:rPr>
        <w:t xml:space="preserve"> </w:t>
      </w:r>
      <w:r w:rsidR="00124609" w:rsidRPr="00F67958">
        <w:rPr>
          <w:lang w:val="fr-FR"/>
        </w:rPr>
        <w:t>par la</w:t>
      </w:r>
      <w:r w:rsidRPr="00F67958">
        <w:rPr>
          <w:lang w:val="fr-FR"/>
        </w:rPr>
        <w:t xml:space="preserve"> C</w:t>
      </w:r>
      <w:r w:rsidR="00124609" w:rsidRPr="00F67958">
        <w:rPr>
          <w:lang w:val="fr-FR"/>
        </w:rPr>
        <w:t>MDT</w:t>
      </w:r>
      <w:r w:rsidRPr="00F67958">
        <w:rPr>
          <w:lang w:val="fr-FR"/>
        </w:rPr>
        <w:t xml:space="preserve">-17 </w:t>
      </w:r>
      <w:r w:rsidR="00914EDC" w:rsidRPr="00F67958">
        <w:rPr>
          <w:lang w:val="fr-FR"/>
        </w:rPr>
        <w:t>et visant à contribuer à la mise en oeuvre</w:t>
      </w:r>
      <w:r w:rsidRPr="00F67958">
        <w:rPr>
          <w:lang w:val="fr-FR"/>
        </w:rPr>
        <w:t xml:space="preserve"> </w:t>
      </w:r>
      <w:r w:rsidR="00914EDC" w:rsidRPr="00F67958">
        <w:rPr>
          <w:lang w:val="fr-FR"/>
        </w:rPr>
        <w:t>des</w:t>
      </w:r>
      <w:r w:rsidRPr="00F67958">
        <w:rPr>
          <w:lang w:val="fr-FR"/>
        </w:rPr>
        <w:t xml:space="preserve"> </w:t>
      </w:r>
      <w:r w:rsidR="00914EDC" w:rsidRPr="00F67958">
        <w:rPr>
          <w:lang w:val="fr-FR"/>
        </w:rPr>
        <w:t>grandes orientations du SMSI et</w:t>
      </w:r>
      <w:r w:rsidRPr="00F67958">
        <w:rPr>
          <w:lang w:val="fr-FR"/>
        </w:rPr>
        <w:t xml:space="preserve"> </w:t>
      </w:r>
      <w:r w:rsidR="00914EDC" w:rsidRPr="00F67958">
        <w:rPr>
          <w:lang w:val="fr-FR"/>
        </w:rPr>
        <w:t>à la réalisation des ODD</w:t>
      </w:r>
      <w:r w:rsidRPr="00F67958">
        <w:rPr>
          <w:lang w:val="fr-FR"/>
        </w:rPr>
        <w:t xml:space="preserve">. </w:t>
      </w:r>
      <w:r w:rsidR="00914EDC" w:rsidRPr="00F67958">
        <w:rPr>
          <w:lang w:val="fr-FR"/>
        </w:rPr>
        <w:t xml:space="preserve">Les </w:t>
      </w:r>
      <w:r w:rsidRPr="00F67958">
        <w:rPr>
          <w:lang w:val="fr-FR"/>
        </w:rPr>
        <w:t>RDF continue</w:t>
      </w:r>
      <w:r w:rsidR="00914EDC" w:rsidRPr="00F67958">
        <w:rPr>
          <w:lang w:val="fr-FR"/>
        </w:rPr>
        <w:t xml:space="preserve">nt de </w:t>
      </w:r>
      <w:r w:rsidR="00CD22C5">
        <w:rPr>
          <w:lang w:val="fr-FR"/>
        </w:rPr>
        <w:t xml:space="preserve">mobiliser </w:t>
      </w:r>
      <w:r w:rsidR="00914EDC" w:rsidRPr="00F67958">
        <w:rPr>
          <w:lang w:val="fr-FR"/>
        </w:rPr>
        <w:t>des</w:t>
      </w:r>
      <w:r w:rsidRPr="00F67958">
        <w:rPr>
          <w:lang w:val="fr-FR"/>
        </w:rPr>
        <w:t xml:space="preserve"> </w:t>
      </w:r>
      <w:r w:rsidR="00914EDC" w:rsidRPr="00F67958">
        <w:rPr>
          <w:lang w:val="fr-FR"/>
        </w:rPr>
        <w:t>parties prenantes régionales</w:t>
      </w:r>
      <w:r w:rsidRPr="00F67958">
        <w:rPr>
          <w:lang w:val="fr-FR"/>
        </w:rPr>
        <w:t xml:space="preserve">, </w:t>
      </w:r>
      <w:r w:rsidR="00914EDC" w:rsidRPr="00F67958">
        <w:rPr>
          <w:lang w:val="fr-FR"/>
        </w:rPr>
        <w:t xml:space="preserve">de contribuer à la création de partenariats et </w:t>
      </w:r>
      <w:r w:rsidR="004121DD">
        <w:rPr>
          <w:lang w:val="fr-FR"/>
        </w:rPr>
        <w:t>d</w:t>
      </w:r>
      <w:r w:rsidR="000749CB">
        <w:rPr>
          <w:lang w:val="fr-FR"/>
        </w:rPr>
        <w:t>'</w:t>
      </w:r>
      <w:r w:rsidR="004121DD">
        <w:rPr>
          <w:lang w:val="fr-FR"/>
        </w:rPr>
        <w:t>impliquer</w:t>
      </w:r>
      <w:r w:rsidR="00914EDC" w:rsidRPr="00F67958">
        <w:rPr>
          <w:lang w:val="fr-FR"/>
        </w:rPr>
        <w:t xml:space="preserve"> </w:t>
      </w:r>
      <w:r w:rsidR="00CD22C5">
        <w:rPr>
          <w:lang w:val="fr-FR"/>
        </w:rPr>
        <w:t>d</w:t>
      </w:r>
      <w:r w:rsidR="00914EDC" w:rsidRPr="00F67958">
        <w:rPr>
          <w:lang w:val="fr-FR"/>
        </w:rPr>
        <w:t xml:space="preserve">es organisations </w:t>
      </w:r>
      <w:r w:rsidRPr="00F67958">
        <w:rPr>
          <w:lang w:val="fr-FR"/>
        </w:rPr>
        <w:t>r</w:t>
      </w:r>
      <w:r w:rsidR="00914EDC" w:rsidRPr="00F67958">
        <w:rPr>
          <w:lang w:val="fr-FR"/>
        </w:rPr>
        <w:t>é</w:t>
      </w:r>
      <w:r w:rsidRPr="00F67958">
        <w:rPr>
          <w:lang w:val="fr-FR"/>
        </w:rPr>
        <w:t>gional</w:t>
      </w:r>
      <w:r w:rsidR="00914EDC" w:rsidRPr="00F67958">
        <w:rPr>
          <w:lang w:val="fr-FR"/>
        </w:rPr>
        <w:t>es</w:t>
      </w:r>
      <w:r w:rsidRPr="00F67958">
        <w:rPr>
          <w:lang w:val="fr-FR"/>
        </w:rPr>
        <w:t>/international</w:t>
      </w:r>
      <w:r w:rsidR="00914EDC" w:rsidRPr="00F67958">
        <w:rPr>
          <w:lang w:val="fr-FR"/>
        </w:rPr>
        <w:t>es</w:t>
      </w:r>
      <w:r w:rsidRPr="00F67958">
        <w:rPr>
          <w:lang w:val="fr-FR"/>
        </w:rPr>
        <w:t xml:space="preserve"> </w:t>
      </w:r>
      <w:r w:rsidR="00914EDC" w:rsidRPr="00F67958">
        <w:rPr>
          <w:lang w:val="fr-FR"/>
        </w:rPr>
        <w:t xml:space="preserve">et </w:t>
      </w:r>
      <w:r w:rsidR="00CD22C5">
        <w:rPr>
          <w:lang w:val="fr-FR"/>
        </w:rPr>
        <w:t>d</w:t>
      </w:r>
      <w:r w:rsidR="00914EDC" w:rsidRPr="00F67958">
        <w:rPr>
          <w:lang w:val="fr-FR"/>
        </w:rPr>
        <w:t>es organismes des Nations Unies</w:t>
      </w:r>
      <w:r w:rsidRPr="00F67958">
        <w:rPr>
          <w:lang w:val="fr-FR"/>
        </w:rPr>
        <w:t xml:space="preserve">. </w:t>
      </w:r>
      <w:r w:rsidR="00914EDC" w:rsidRPr="00F67958">
        <w:rPr>
          <w:lang w:val="fr-FR"/>
        </w:rPr>
        <w:t xml:space="preserve">Une autre série de Forums régionaux </w:t>
      </w:r>
      <w:r w:rsidR="00CD22C5">
        <w:rPr>
          <w:lang w:val="fr-FR"/>
        </w:rPr>
        <w:t xml:space="preserve">sur le </w:t>
      </w:r>
      <w:r w:rsidR="00914EDC" w:rsidRPr="00F67958">
        <w:rPr>
          <w:lang w:val="fr-FR"/>
        </w:rPr>
        <w:t>développement</w:t>
      </w:r>
      <w:r w:rsidRPr="00F67958">
        <w:rPr>
          <w:lang w:val="fr-FR"/>
        </w:rPr>
        <w:t xml:space="preserve"> </w:t>
      </w:r>
      <w:r w:rsidR="00914EDC" w:rsidRPr="00F67958">
        <w:rPr>
          <w:lang w:val="fr-FR"/>
        </w:rPr>
        <w:t>a été prévue pour</w:t>
      </w:r>
      <w:r w:rsidRPr="00F67958">
        <w:rPr>
          <w:lang w:val="fr-FR"/>
        </w:rPr>
        <w:t xml:space="preserve"> 2019, </w:t>
      </w:r>
      <w:r w:rsidR="00914EDC" w:rsidRPr="00F67958">
        <w:rPr>
          <w:lang w:val="fr-FR"/>
        </w:rPr>
        <w:t>comme indiqué dans le</w:t>
      </w:r>
      <w:r w:rsidRPr="00F67958">
        <w:rPr>
          <w:lang w:val="fr-FR"/>
        </w:rPr>
        <w:t xml:space="preserve"> </w:t>
      </w:r>
      <w:r w:rsidR="00914EDC" w:rsidRPr="00F67958">
        <w:rPr>
          <w:lang w:val="fr-FR"/>
        </w:rPr>
        <w:t xml:space="preserve">Document </w:t>
      </w:r>
      <w:r w:rsidR="00CD22C5">
        <w:rPr>
          <w:lang w:val="fr-FR"/>
        </w:rPr>
        <w:t>TDAG-</w:t>
      </w:r>
      <w:r w:rsidR="00914EDC" w:rsidRPr="00F67958">
        <w:rPr>
          <w:lang w:val="fr-FR"/>
        </w:rPr>
        <w:t>14</w:t>
      </w:r>
      <w:r w:rsidR="00892568" w:rsidRPr="00F67958">
        <w:rPr>
          <w:lang w:val="fr-FR"/>
        </w:rPr>
        <w:t>.</w:t>
      </w:r>
    </w:p>
    <w:p w:rsidR="00834BBF" w:rsidRPr="00F67958" w:rsidRDefault="00834BBF" w:rsidP="00CD22C5">
      <w:pPr>
        <w:rPr>
          <w:lang w:val="fr-FR"/>
        </w:rPr>
      </w:pPr>
      <w:r w:rsidRPr="00F67958">
        <w:rPr>
          <w:lang w:val="fr-FR"/>
        </w:rPr>
        <w:t>19</w:t>
      </w:r>
      <w:r w:rsidRPr="00F67958">
        <w:rPr>
          <w:lang w:val="fr-FR"/>
        </w:rPr>
        <w:tab/>
      </w:r>
      <w:r w:rsidR="002E1C8F" w:rsidRPr="00F67958">
        <w:rPr>
          <w:lang w:val="fr-FR"/>
        </w:rPr>
        <w:t>Suite aux mesures mentionnées ci-dessus</w:t>
      </w:r>
      <w:r w:rsidRPr="00F67958">
        <w:rPr>
          <w:lang w:val="fr-FR"/>
        </w:rPr>
        <w:t xml:space="preserve">, </w:t>
      </w:r>
      <w:r w:rsidR="002E1C8F" w:rsidRPr="00F67958">
        <w:rPr>
          <w:lang w:val="fr-FR"/>
        </w:rPr>
        <w:t>des partenariats stratégiques</w:t>
      </w:r>
      <w:r w:rsidRPr="00F67958">
        <w:rPr>
          <w:lang w:val="fr-FR"/>
        </w:rPr>
        <w:t xml:space="preserve"> </w:t>
      </w:r>
      <w:r w:rsidR="0020157A" w:rsidRPr="00F67958">
        <w:rPr>
          <w:lang w:val="fr-FR"/>
        </w:rPr>
        <w:t>avec d</w:t>
      </w:r>
      <w:r w:rsidR="000749CB">
        <w:rPr>
          <w:lang w:val="fr-FR"/>
        </w:rPr>
        <w:t>'</w:t>
      </w:r>
      <w:r w:rsidR="0020157A" w:rsidRPr="00F67958">
        <w:rPr>
          <w:lang w:val="fr-FR"/>
        </w:rPr>
        <w:t xml:space="preserve">autres institutions </w:t>
      </w:r>
      <w:r w:rsidR="004121DD" w:rsidRPr="00F67958">
        <w:rPr>
          <w:lang w:val="fr-FR"/>
        </w:rPr>
        <w:t xml:space="preserve">des Nations Unies </w:t>
      </w:r>
      <w:r w:rsidR="0020157A" w:rsidRPr="00F67958">
        <w:rPr>
          <w:lang w:val="fr-FR"/>
        </w:rPr>
        <w:t>et avec</w:t>
      </w:r>
      <w:r w:rsidRPr="00F67958">
        <w:rPr>
          <w:lang w:val="fr-FR"/>
        </w:rPr>
        <w:t xml:space="preserve"> </w:t>
      </w:r>
      <w:r w:rsidR="0020157A" w:rsidRPr="00F67958">
        <w:rPr>
          <w:lang w:val="fr-FR"/>
        </w:rPr>
        <w:t>les équipes de pays du syst</w:t>
      </w:r>
      <w:r w:rsidR="00BA1A70" w:rsidRPr="00F67958">
        <w:rPr>
          <w:lang w:val="fr-FR"/>
        </w:rPr>
        <w:t>è</w:t>
      </w:r>
      <w:r w:rsidR="0020157A" w:rsidRPr="00F67958">
        <w:rPr>
          <w:lang w:val="fr-FR"/>
        </w:rPr>
        <w:t>me des Nations Unies</w:t>
      </w:r>
      <w:r w:rsidRPr="00F67958">
        <w:rPr>
          <w:lang w:val="fr-FR"/>
        </w:rPr>
        <w:t xml:space="preserve"> </w:t>
      </w:r>
      <w:r w:rsidR="002E1C8F" w:rsidRPr="00F67958">
        <w:rPr>
          <w:lang w:val="fr-FR"/>
        </w:rPr>
        <w:t>ont été créés</w:t>
      </w:r>
      <w:r w:rsidRPr="00F67958">
        <w:rPr>
          <w:lang w:val="fr-FR"/>
        </w:rPr>
        <w:t xml:space="preserve"> </w:t>
      </w:r>
      <w:r w:rsidR="0020157A" w:rsidRPr="00F67958">
        <w:rPr>
          <w:lang w:val="fr-FR"/>
        </w:rPr>
        <w:t>en vue de mettre en œuvre les TIC</w:t>
      </w:r>
      <w:r w:rsidRPr="00F67958">
        <w:rPr>
          <w:lang w:val="fr-FR"/>
        </w:rPr>
        <w:t xml:space="preserve"> </w:t>
      </w:r>
      <w:r w:rsidR="0020157A" w:rsidRPr="00F67958">
        <w:rPr>
          <w:lang w:val="fr-FR"/>
        </w:rPr>
        <w:t>au service de la réalisation des ODD</w:t>
      </w:r>
      <w:r w:rsidRPr="00F67958">
        <w:rPr>
          <w:lang w:val="fr-FR"/>
        </w:rPr>
        <w:t xml:space="preserve"> </w:t>
      </w:r>
      <w:r w:rsidR="00BA1A70" w:rsidRPr="00F67958">
        <w:rPr>
          <w:lang w:val="fr-FR"/>
        </w:rPr>
        <w:t>dans le cadre de l</w:t>
      </w:r>
      <w:r w:rsidR="000749CB">
        <w:rPr>
          <w:lang w:val="fr-FR"/>
        </w:rPr>
        <w:t>'</w:t>
      </w:r>
      <w:r w:rsidR="00BA1A70" w:rsidRPr="00F67958">
        <w:rPr>
          <w:lang w:val="fr-FR"/>
        </w:rPr>
        <w:t>approche</w:t>
      </w:r>
      <w:r w:rsidRPr="00F67958">
        <w:rPr>
          <w:lang w:val="fr-FR"/>
        </w:rPr>
        <w:t xml:space="preserve"> </w:t>
      </w:r>
      <w:r w:rsidR="00BA1A70" w:rsidRPr="00F67958">
        <w:rPr>
          <w:lang w:val="fr-FR"/>
        </w:rPr>
        <w:t>"Unis dans l</w:t>
      </w:r>
      <w:r w:rsidR="000749CB">
        <w:rPr>
          <w:lang w:val="fr-FR"/>
        </w:rPr>
        <w:t>'</w:t>
      </w:r>
      <w:r w:rsidR="00BA1A70" w:rsidRPr="00F67958">
        <w:rPr>
          <w:lang w:val="fr-FR"/>
        </w:rPr>
        <w:t>action" des Nations Unies</w:t>
      </w:r>
      <w:r w:rsidRPr="00F67958">
        <w:rPr>
          <w:lang w:val="fr-FR"/>
        </w:rPr>
        <w:t xml:space="preserve">. </w:t>
      </w:r>
      <w:r w:rsidR="00BA1A70" w:rsidRPr="00F67958">
        <w:rPr>
          <w:lang w:val="fr-FR"/>
        </w:rPr>
        <w:t xml:space="preserve">Certains exemples des </w:t>
      </w:r>
      <w:r w:rsidR="00CD22C5">
        <w:rPr>
          <w:lang w:val="fr-FR"/>
        </w:rPr>
        <w:t xml:space="preserve">actions </w:t>
      </w:r>
      <w:r w:rsidR="00BA1A70" w:rsidRPr="00F67958">
        <w:rPr>
          <w:lang w:val="fr-FR"/>
        </w:rPr>
        <w:t xml:space="preserve">en cours </w:t>
      </w:r>
      <w:r w:rsidR="00CD22C5">
        <w:rPr>
          <w:lang w:val="fr-FR"/>
        </w:rPr>
        <w:t xml:space="preserve">de réalisation </w:t>
      </w:r>
      <w:r w:rsidR="00BA1A70" w:rsidRPr="00F67958">
        <w:rPr>
          <w:lang w:val="fr-FR"/>
        </w:rPr>
        <w:t>dans les différentes régions sont présentés</w:t>
      </w:r>
      <w:r w:rsidRPr="00F67958">
        <w:rPr>
          <w:lang w:val="fr-FR"/>
        </w:rPr>
        <w:t xml:space="preserve"> </w:t>
      </w:r>
      <w:r w:rsidR="00BA1A70" w:rsidRPr="00F67958">
        <w:rPr>
          <w:lang w:val="fr-FR"/>
        </w:rPr>
        <w:t>ci-dessous</w:t>
      </w:r>
      <w:r w:rsidR="00892568" w:rsidRPr="00F67958">
        <w:rPr>
          <w:lang w:val="fr-FR"/>
        </w:rPr>
        <w:t>:</w:t>
      </w:r>
    </w:p>
    <w:p w:rsidR="00834BBF" w:rsidRPr="00F67958" w:rsidRDefault="00BA1A70" w:rsidP="00CD22C5">
      <w:pPr>
        <w:pStyle w:val="enumlev1"/>
        <w:rPr>
          <w:lang w:val="fr-FR"/>
        </w:rPr>
      </w:pPr>
      <w:r w:rsidRPr="00F67958">
        <w:rPr>
          <w:lang w:val="fr-FR"/>
        </w:rPr>
        <w:t>–</w:t>
      </w:r>
      <w:r w:rsidRPr="00F67958">
        <w:rPr>
          <w:lang w:val="fr-FR"/>
        </w:rPr>
        <w:tab/>
        <w:t>L</w:t>
      </w:r>
      <w:r w:rsidR="00834BBF" w:rsidRPr="00F67958">
        <w:rPr>
          <w:lang w:val="fr-FR"/>
        </w:rPr>
        <w:t xml:space="preserve">e </w:t>
      </w:r>
      <w:r w:rsidRPr="00F67958">
        <w:rPr>
          <w:lang w:val="fr-FR"/>
        </w:rPr>
        <w:t>Bureau régional de l</w:t>
      </w:r>
      <w:r w:rsidR="000749CB">
        <w:rPr>
          <w:lang w:val="fr-FR"/>
        </w:rPr>
        <w:t>'</w:t>
      </w:r>
      <w:r w:rsidRPr="00F67958">
        <w:rPr>
          <w:lang w:val="fr-FR"/>
        </w:rPr>
        <w:t>UIT pour la région Afrique et ONU Femmes</w:t>
      </w:r>
      <w:r w:rsidR="007A18A3" w:rsidRPr="00F67958">
        <w:rPr>
          <w:lang w:val="fr-FR"/>
        </w:rPr>
        <w:t>, e</w:t>
      </w:r>
      <w:r w:rsidR="00834BBF" w:rsidRPr="00F67958">
        <w:rPr>
          <w:lang w:val="fr-FR"/>
        </w:rPr>
        <w:t xml:space="preserve">n collaboration </w:t>
      </w:r>
      <w:r w:rsidR="007A18A3" w:rsidRPr="00F67958">
        <w:rPr>
          <w:lang w:val="fr-FR"/>
        </w:rPr>
        <w:t>avec</w:t>
      </w:r>
      <w:r w:rsidR="00834BBF" w:rsidRPr="00F67958">
        <w:rPr>
          <w:lang w:val="fr-FR"/>
        </w:rPr>
        <w:t xml:space="preserve"> </w:t>
      </w:r>
      <w:r w:rsidR="007A18A3" w:rsidRPr="00F67958">
        <w:rPr>
          <w:lang w:val="fr-FR"/>
        </w:rPr>
        <w:t>la</w:t>
      </w:r>
      <w:r w:rsidR="00834BBF" w:rsidRPr="00F67958">
        <w:rPr>
          <w:lang w:val="fr-FR"/>
        </w:rPr>
        <w:t xml:space="preserve"> Commission</w:t>
      </w:r>
      <w:r w:rsidR="007A18A3" w:rsidRPr="00F67958">
        <w:rPr>
          <w:lang w:val="fr-FR"/>
        </w:rPr>
        <w:t xml:space="preserve"> de l</w:t>
      </w:r>
      <w:r w:rsidR="000749CB">
        <w:rPr>
          <w:lang w:val="fr-FR"/>
        </w:rPr>
        <w:t>'</w:t>
      </w:r>
      <w:r w:rsidR="007A18A3" w:rsidRPr="00F67958">
        <w:rPr>
          <w:lang w:val="fr-FR"/>
        </w:rPr>
        <w:t>Union africaine</w:t>
      </w:r>
      <w:r w:rsidR="00834BBF" w:rsidRPr="00F67958">
        <w:rPr>
          <w:lang w:val="fr-FR"/>
        </w:rPr>
        <w:t xml:space="preserve">, </w:t>
      </w:r>
      <w:r w:rsidR="007A18A3" w:rsidRPr="00F67958">
        <w:rPr>
          <w:lang w:val="fr-FR"/>
        </w:rPr>
        <w:t>ont lancé l</w:t>
      </w:r>
      <w:r w:rsidR="000749CB">
        <w:rPr>
          <w:lang w:val="fr-FR"/>
        </w:rPr>
        <w:t>'</w:t>
      </w:r>
      <w:r w:rsidR="007A18A3" w:rsidRPr="00F67958">
        <w:rPr>
          <w:lang w:val="fr-FR"/>
        </w:rPr>
        <w:t>initiative</w:t>
      </w:r>
      <w:r w:rsidR="00834BBF" w:rsidRPr="00F67958">
        <w:rPr>
          <w:lang w:val="fr-FR"/>
        </w:rPr>
        <w:t xml:space="preserve"> </w:t>
      </w:r>
      <w:r w:rsidR="007A18A3" w:rsidRPr="00F67958">
        <w:rPr>
          <w:lang w:val="fr-FR"/>
        </w:rPr>
        <w:t>"</w:t>
      </w:r>
      <w:r w:rsidR="00834BBF" w:rsidRPr="00F67958">
        <w:rPr>
          <w:lang w:val="fr-FR"/>
        </w:rPr>
        <w:t>African Girls Can Code</w:t>
      </w:r>
      <w:r w:rsidR="007A18A3" w:rsidRPr="00F67958">
        <w:rPr>
          <w:lang w:val="fr-FR"/>
        </w:rPr>
        <w:t>"</w:t>
      </w:r>
      <w:r w:rsidR="00834BBF" w:rsidRPr="00F67958">
        <w:rPr>
          <w:lang w:val="fr-FR"/>
        </w:rPr>
        <w:t xml:space="preserve"> </w:t>
      </w:r>
      <w:r w:rsidR="00D71F67" w:rsidRPr="00F67958">
        <w:rPr>
          <w:lang w:val="fr-FR"/>
        </w:rPr>
        <w:t xml:space="preserve">pour la période </w:t>
      </w:r>
      <w:r w:rsidR="00834BBF" w:rsidRPr="00F67958">
        <w:rPr>
          <w:lang w:val="fr-FR"/>
        </w:rPr>
        <w:t xml:space="preserve">2018-2022, </w:t>
      </w:r>
      <w:r w:rsidR="00D71F67" w:rsidRPr="00F67958">
        <w:rPr>
          <w:lang w:val="fr-FR"/>
        </w:rPr>
        <w:t>qui</w:t>
      </w:r>
      <w:r w:rsidR="00834BBF" w:rsidRPr="00F67958">
        <w:rPr>
          <w:lang w:val="fr-FR"/>
        </w:rPr>
        <w:t xml:space="preserve"> consist</w:t>
      </w:r>
      <w:r w:rsidR="00D71F67" w:rsidRPr="00F67958">
        <w:rPr>
          <w:lang w:val="fr-FR"/>
        </w:rPr>
        <w:t>e</w:t>
      </w:r>
      <w:r w:rsidR="00834BBF" w:rsidRPr="00F67958">
        <w:rPr>
          <w:lang w:val="fr-FR"/>
        </w:rPr>
        <w:t xml:space="preserve"> </w:t>
      </w:r>
      <w:r w:rsidR="00D71F67" w:rsidRPr="00F67958">
        <w:rPr>
          <w:lang w:val="fr-FR"/>
        </w:rPr>
        <w:t>en un</w:t>
      </w:r>
      <w:r w:rsidR="00834BBF" w:rsidRPr="00F67958">
        <w:rPr>
          <w:lang w:val="fr-FR"/>
        </w:rPr>
        <w:t xml:space="preserve"> programme </w:t>
      </w:r>
      <w:r w:rsidR="00D71F67" w:rsidRPr="00F67958">
        <w:rPr>
          <w:lang w:val="fr-FR"/>
        </w:rPr>
        <w:t>de quatre ans visant à</w:t>
      </w:r>
      <w:r w:rsidR="00834BBF" w:rsidRPr="00F67958">
        <w:rPr>
          <w:lang w:val="fr-FR"/>
        </w:rPr>
        <w:t xml:space="preserve"> </w:t>
      </w:r>
      <w:r w:rsidR="00D71F67" w:rsidRPr="00F67958">
        <w:rPr>
          <w:lang w:val="fr-FR"/>
        </w:rPr>
        <w:t>former</w:t>
      </w:r>
      <w:r w:rsidR="00834BBF" w:rsidRPr="00F67958">
        <w:rPr>
          <w:lang w:val="fr-FR"/>
        </w:rPr>
        <w:t xml:space="preserve"> </w:t>
      </w:r>
      <w:r w:rsidR="00D71F67" w:rsidRPr="00F67958">
        <w:rPr>
          <w:lang w:val="fr-FR"/>
        </w:rPr>
        <w:t>les filles et les jeunes femmes âgées</w:t>
      </w:r>
      <w:r w:rsidR="00834BBF" w:rsidRPr="00F67958">
        <w:rPr>
          <w:lang w:val="fr-FR"/>
        </w:rPr>
        <w:t xml:space="preserve"> </w:t>
      </w:r>
      <w:r w:rsidR="00D71F67" w:rsidRPr="00F67958">
        <w:rPr>
          <w:lang w:val="fr-FR"/>
        </w:rPr>
        <w:t>de</w:t>
      </w:r>
      <w:r w:rsidR="00834BBF" w:rsidRPr="00F67958">
        <w:rPr>
          <w:lang w:val="fr-FR"/>
        </w:rPr>
        <w:t xml:space="preserve"> 17 </w:t>
      </w:r>
      <w:r w:rsidR="00D71F67" w:rsidRPr="00F67958">
        <w:rPr>
          <w:lang w:val="fr-FR"/>
        </w:rPr>
        <w:t>à</w:t>
      </w:r>
      <w:r w:rsidR="00834BBF" w:rsidRPr="00F67958">
        <w:rPr>
          <w:lang w:val="fr-FR"/>
        </w:rPr>
        <w:t xml:space="preserve"> 20 </w:t>
      </w:r>
      <w:r w:rsidR="00D71F67" w:rsidRPr="00F67958">
        <w:rPr>
          <w:lang w:val="fr-FR"/>
        </w:rPr>
        <w:t>et à les doter de</w:t>
      </w:r>
      <w:r w:rsidR="00834BBF" w:rsidRPr="00F67958">
        <w:rPr>
          <w:lang w:val="fr-FR"/>
        </w:rPr>
        <w:t xml:space="preserve"> </w:t>
      </w:r>
      <w:r w:rsidR="00D71F67" w:rsidRPr="00F67958">
        <w:rPr>
          <w:lang w:val="fr-FR"/>
        </w:rPr>
        <w:t xml:space="preserve">compétences </w:t>
      </w:r>
      <w:r w:rsidR="00A62DD9">
        <w:rPr>
          <w:lang w:val="fr-FR"/>
        </w:rPr>
        <w:t>dans le domaine des </w:t>
      </w:r>
      <w:r w:rsidR="00D71F67" w:rsidRPr="00F67958">
        <w:rPr>
          <w:lang w:val="fr-FR"/>
        </w:rPr>
        <w:t>TIC</w:t>
      </w:r>
      <w:r w:rsidR="00834BBF" w:rsidRPr="00F67958">
        <w:rPr>
          <w:lang w:val="fr-FR"/>
        </w:rPr>
        <w:t>.</w:t>
      </w:r>
    </w:p>
    <w:p w:rsidR="00834BBF" w:rsidRPr="00F67958" w:rsidRDefault="00D71F67" w:rsidP="00CD22C5">
      <w:pPr>
        <w:pStyle w:val="enumlev1"/>
        <w:rPr>
          <w:lang w:val="fr-FR"/>
        </w:rPr>
      </w:pPr>
      <w:r w:rsidRPr="00F67958">
        <w:rPr>
          <w:lang w:val="fr-FR"/>
        </w:rPr>
        <w:t>–</w:t>
      </w:r>
      <w:r w:rsidRPr="00F67958">
        <w:rPr>
          <w:lang w:val="fr-FR"/>
        </w:rPr>
        <w:tab/>
        <w:t>L</w:t>
      </w:r>
      <w:r w:rsidR="00834BBF" w:rsidRPr="00F67958">
        <w:rPr>
          <w:lang w:val="fr-FR"/>
        </w:rPr>
        <w:t xml:space="preserve">e </w:t>
      </w:r>
      <w:r w:rsidRPr="00F67958">
        <w:rPr>
          <w:lang w:val="fr-FR"/>
        </w:rPr>
        <w:t>Bureau de l</w:t>
      </w:r>
      <w:r w:rsidR="000749CB">
        <w:rPr>
          <w:lang w:val="fr-FR"/>
        </w:rPr>
        <w:t>'</w:t>
      </w:r>
      <w:r w:rsidRPr="00F67958">
        <w:rPr>
          <w:lang w:val="fr-FR"/>
        </w:rPr>
        <w:t xml:space="preserve">UIT pour </w:t>
      </w:r>
      <w:r w:rsidR="00CD22C5">
        <w:rPr>
          <w:lang w:val="fr-FR"/>
        </w:rPr>
        <w:t>l</w:t>
      </w:r>
      <w:r w:rsidR="000749CB">
        <w:rPr>
          <w:lang w:val="fr-FR"/>
        </w:rPr>
        <w:t>'</w:t>
      </w:r>
      <w:r w:rsidRPr="00F67958">
        <w:rPr>
          <w:lang w:val="fr-FR"/>
        </w:rPr>
        <w:t>Europe et l</w:t>
      </w:r>
      <w:r w:rsidR="00834BBF" w:rsidRPr="00F67958">
        <w:rPr>
          <w:lang w:val="fr-FR"/>
        </w:rPr>
        <w:t xml:space="preserve">e </w:t>
      </w:r>
      <w:r w:rsidRPr="00F67958">
        <w:rPr>
          <w:lang w:val="fr-FR"/>
        </w:rPr>
        <w:t>Bureau de l</w:t>
      </w:r>
      <w:r w:rsidR="000749CB">
        <w:rPr>
          <w:lang w:val="fr-FR"/>
        </w:rPr>
        <w:t>'</w:t>
      </w:r>
      <w:r w:rsidRPr="00F67958">
        <w:rPr>
          <w:lang w:val="fr-FR"/>
        </w:rPr>
        <w:t>OIT pour l</w:t>
      </w:r>
      <w:r w:rsidR="000749CB">
        <w:rPr>
          <w:lang w:val="fr-FR"/>
        </w:rPr>
        <w:t>'</w:t>
      </w:r>
      <w:r w:rsidRPr="00F67958">
        <w:rPr>
          <w:lang w:val="fr-FR"/>
        </w:rPr>
        <w:t>Europe centrale et</w:t>
      </w:r>
      <w:r w:rsidR="00834BBF" w:rsidRPr="00F67958">
        <w:rPr>
          <w:lang w:val="fr-FR"/>
        </w:rPr>
        <w:t xml:space="preserve"> </w:t>
      </w:r>
      <w:r w:rsidR="00AE7389" w:rsidRPr="00F67958">
        <w:rPr>
          <w:lang w:val="fr-FR"/>
        </w:rPr>
        <w:t>orientale</w:t>
      </w:r>
      <w:r w:rsidR="00834BBF" w:rsidRPr="00F67958">
        <w:rPr>
          <w:lang w:val="fr-FR"/>
        </w:rPr>
        <w:t xml:space="preserve"> </w:t>
      </w:r>
      <w:r w:rsidR="00AE7389" w:rsidRPr="00F67958">
        <w:rPr>
          <w:lang w:val="fr-FR"/>
        </w:rPr>
        <w:t>ont collaboré dans le cadre d</w:t>
      </w:r>
      <w:r w:rsidR="000749CB">
        <w:rPr>
          <w:lang w:val="fr-FR"/>
        </w:rPr>
        <w:t>'</w:t>
      </w:r>
      <w:r w:rsidR="00AE7389" w:rsidRPr="00F67958">
        <w:rPr>
          <w:lang w:val="fr-FR"/>
        </w:rPr>
        <w:t>une initiative</w:t>
      </w:r>
      <w:r w:rsidR="00834BBF" w:rsidRPr="00F67958">
        <w:rPr>
          <w:lang w:val="fr-FR"/>
        </w:rPr>
        <w:t xml:space="preserve"> </w:t>
      </w:r>
      <w:r w:rsidR="00AE7389" w:rsidRPr="00F67958">
        <w:rPr>
          <w:lang w:val="fr-FR"/>
        </w:rPr>
        <w:t>con</w:t>
      </w:r>
      <w:r w:rsidR="00834BBF" w:rsidRPr="00F67958">
        <w:rPr>
          <w:lang w:val="fr-FR"/>
        </w:rPr>
        <w:t>joint</w:t>
      </w:r>
      <w:r w:rsidR="00AE7389" w:rsidRPr="00F67958">
        <w:rPr>
          <w:lang w:val="fr-FR"/>
        </w:rPr>
        <w:t>e</w:t>
      </w:r>
      <w:r w:rsidR="00834BBF" w:rsidRPr="00F67958">
        <w:rPr>
          <w:lang w:val="fr-FR"/>
        </w:rPr>
        <w:t xml:space="preserve"> </w:t>
      </w:r>
      <w:r w:rsidR="00AE7389" w:rsidRPr="00F67958">
        <w:rPr>
          <w:lang w:val="fr-FR"/>
        </w:rPr>
        <w:t>visant à renforcer</w:t>
      </w:r>
      <w:r w:rsidR="00834BBF" w:rsidRPr="00F67958">
        <w:rPr>
          <w:lang w:val="fr-FR"/>
        </w:rPr>
        <w:t xml:space="preserve"> </w:t>
      </w:r>
      <w:r w:rsidR="00AE7389" w:rsidRPr="00F67958">
        <w:rPr>
          <w:lang w:val="fr-FR"/>
        </w:rPr>
        <w:t>les compétences numériques en tant que catalyseur de l</w:t>
      </w:r>
      <w:r w:rsidR="000749CB">
        <w:rPr>
          <w:lang w:val="fr-FR"/>
        </w:rPr>
        <w:t>'</w:t>
      </w:r>
      <w:r w:rsidR="00AE7389" w:rsidRPr="00F67958">
        <w:rPr>
          <w:lang w:val="fr-FR"/>
        </w:rPr>
        <w:t>économie numérique</w:t>
      </w:r>
      <w:r w:rsidR="00834BBF" w:rsidRPr="00F67958">
        <w:rPr>
          <w:lang w:val="fr-FR"/>
        </w:rPr>
        <w:t xml:space="preserve"> </w:t>
      </w:r>
      <w:r w:rsidR="00AE7389" w:rsidRPr="00F67958">
        <w:rPr>
          <w:lang w:val="fr-FR"/>
        </w:rPr>
        <w:t>dans</w:t>
      </w:r>
      <w:r w:rsidR="00834BBF" w:rsidRPr="00F67958">
        <w:rPr>
          <w:lang w:val="fr-FR"/>
        </w:rPr>
        <w:t xml:space="preserve"> </w:t>
      </w:r>
      <w:r w:rsidR="00AE7389" w:rsidRPr="00F67958">
        <w:rPr>
          <w:lang w:val="fr-FR"/>
        </w:rPr>
        <w:t>les Balkans occidentaux</w:t>
      </w:r>
      <w:r w:rsidR="00834BBF" w:rsidRPr="00F67958">
        <w:rPr>
          <w:lang w:val="fr-FR"/>
        </w:rPr>
        <w:t xml:space="preserve">. </w:t>
      </w:r>
      <w:r w:rsidR="00AE7389" w:rsidRPr="00F67958">
        <w:rPr>
          <w:lang w:val="fr-FR"/>
        </w:rPr>
        <w:t>Par ailleurs</w:t>
      </w:r>
      <w:r w:rsidR="00834BBF" w:rsidRPr="00F67958">
        <w:rPr>
          <w:lang w:val="fr-FR"/>
        </w:rPr>
        <w:t xml:space="preserve">, </w:t>
      </w:r>
      <w:r w:rsidR="00AE7389" w:rsidRPr="00F67958">
        <w:rPr>
          <w:lang w:val="fr-FR"/>
        </w:rPr>
        <w:t>un</w:t>
      </w:r>
      <w:r w:rsidR="00834BBF" w:rsidRPr="00F67958">
        <w:rPr>
          <w:lang w:val="fr-FR"/>
        </w:rPr>
        <w:t xml:space="preserve"> </w:t>
      </w:r>
      <w:r w:rsidR="00AE7389" w:rsidRPr="00F67958">
        <w:rPr>
          <w:lang w:val="fr-FR"/>
        </w:rPr>
        <w:t>examen national de l</w:t>
      </w:r>
      <w:r w:rsidR="000749CB">
        <w:rPr>
          <w:lang w:val="fr-FR"/>
        </w:rPr>
        <w:t>'</w:t>
      </w:r>
      <w:r w:rsidR="00AE7389" w:rsidRPr="00F67958">
        <w:rPr>
          <w:lang w:val="fr-FR"/>
        </w:rPr>
        <w:t>écosystème d</w:t>
      </w:r>
      <w:r w:rsidR="000749CB">
        <w:rPr>
          <w:lang w:val="fr-FR"/>
        </w:rPr>
        <w:t>'</w:t>
      </w:r>
      <w:r w:rsidR="001B15BB">
        <w:rPr>
          <w:lang w:val="fr-FR"/>
        </w:rPr>
        <w:t>innovation centré sur les </w:t>
      </w:r>
      <w:r w:rsidR="00AE7389" w:rsidRPr="00F67958">
        <w:rPr>
          <w:lang w:val="fr-FR"/>
        </w:rPr>
        <w:t>TIC mené au</w:t>
      </w:r>
      <w:r w:rsidR="00834BBF" w:rsidRPr="00F67958">
        <w:rPr>
          <w:lang w:val="fr-FR"/>
        </w:rPr>
        <w:t xml:space="preserve"> Mont</w:t>
      </w:r>
      <w:r w:rsidR="00AE7389" w:rsidRPr="00F67958">
        <w:rPr>
          <w:lang w:val="fr-FR"/>
        </w:rPr>
        <w:t>é</w:t>
      </w:r>
      <w:r w:rsidR="00834BBF" w:rsidRPr="00F67958">
        <w:rPr>
          <w:lang w:val="fr-FR"/>
        </w:rPr>
        <w:t>n</w:t>
      </w:r>
      <w:r w:rsidR="00AE7389" w:rsidRPr="00F67958">
        <w:rPr>
          <w:lang w:val="fr-FR"/>
        </w:rPr>
        <w:t>é</w:t>
      </w:r>
      <w:r w:rsidR="00834BBF" w:rsidRPr="00F67958">
        <w:rPr>
          <w:lang w:val="fr-FR"/>
        </w:rPr>
        <w:t xml:space="preserve">gro </w:t>
      </w:r>
      <w:r w:rsidR="004121DD">
        <w:rPr>
          <w:lang w:val="fr-FR"/>
        </w:rPr>
        <w:t>a mobilisé</w:t>
      </w:r>
      <w:r w:rsidR="00834BBF" w:rsidRPr="00F67958">
        <w:rPr>
          <w:lang w:val="fr-FR"/>
        </w:rPr>
        <w:t xml:space="preserve"> </w:t>
      </w:r>
      <w:r w:rsidR="003845A8">
        <w:rPr>
          <w:lang w:val="fr-FR"/>
        </w:rPr>
        <w:t>l</w:t>
      </w:r>
      <w:r w:rsidR="000749CB">
        <w:rPr>
          <w:lang w:val="fr-FR"/>
        </w:rPr>
        <w:t>'</w:t>
      </w:r>
      <w:r w:rsidR="003845A8">
        <w:rPr>
          <w:lang w:val="fr-FR"/>
        </w:rPr>
        <w:t>E</w:t>
      </w:r>
      <w:r w:rsidR="00AE7389" w:rsidRPr="00F67958">
        <w:rPr>
          <w:lang w:val="fr-FR"/>
        </w:rPr>
        <w:t>quipe de pays des Nations Unies afin d</w:t>
      </w:r>
      <w:r w:rsidR="000749CB">
        <w:rPr>
          <w:lang w:val="fr-FR"/>
        </w:rPr>
        <w:t>'</w:t>
      </w:r>
      <w:r w:rsidR="00AE7389" w:rsidRPr="00F67958">
        <w:rPr>
          <w:lang w:val="fr-FR"/>
        </w:rPr>
        <w:t>assurer la viabilité</w:t>
      </w:r>
      <w:r w:rsidR="00834BBF" w:rsidRPr="00F67958">
        <w:rPr>
          <w:lang w:val="fr-FR"/>
        </w:rPr>
        <w:t xml:space="preserve"> </w:t>
      </w:r>
      <w:r w:rsidR="00D56D54" w:rsidRPr="00F67958">
        <w:rPr>
          <w:lang w:val="fr-FR"/>
        </w:rPr>
        <w:t>des mesures au niveau du pays</w:t>
      </w:r>
      <w:r w:rsidR="00834BBF" w:rsidRPr="00F67958">
        <w:rPr>
          <w:lang w:val="fr-FR"/>
        </w:rPr>
        <w:t xml:space="preserve"> </w:t>
      </w:r>
      <w:r w:rsidR="00D56D54" w:rsidRPr="00F67958">
        <w:rPr>
          <w:lang w:val="fr-FR"/>
        </w:rPr>
        <w:t>après examen</w:t>
      </w:r>
      <w:r w:rsidR="00892568" w:rsidRPr="00F67958">
        <w:rPr>
          <w:lang w:val="fr-FR"/>
        </w:rPr>
        <w:t>.</w:t>
      </w:r>
    </w:p>
    <w:p w:rsidR="00834BBF" w:rsidRPr="00F67958" w:rsidRDefault="00D56D54" w:rsidP="00CD22C5">
      <w:pPr>
        <w:pStyle w:val="enumlev1"/>
        <w:rPr>
          <w:lang w:val="fr-FR"/>
        </w:rPr>
      </w:pPr>
      <w:r w:rsidRPr="00F67958">
        <w:rPr>
          <w:lang w:val="fr-FR"/>
        </w:rPr>
        <w:t>–</w:t>
      </w:r>
      <w:r w:rsidRPr="00F67958">
        <w:rPr>
          <w:lang w:val="fr-FR"/>
        </w:rPr>
        <w:tab/>
        <w:t>E</w:t>
      </w:r>
      <w:r w:rsidR="00834BBF" w:rsidRPr="00F67958">
        <w:rPr>
          <w:lang w:val="fr-FR"/>
        </w:rPr>
        <w:t>n Am</w:t>
      </w:r>
      <w:r w:rsidRPr="00F67958">
        <w:rPr>
          <w:lang w:val="fr-FR"/>
        </w:rPr>
        <w:t>é</w:t>
      </w:r>
      <w:r w:rsidR="00834BBF" w:rsidRPr="00F67958">
        <w:rPr>
          <w:lang w:val="fr-FR"/>
        </w:rPr>
        <w:t>ri</w:t>
      </w:r>
      <w:r w:rsidRPr="00F67958">
        <w:rPr>
          <w:lang w:val="fr-FR"/>
        </w:rPr>
        <w:t>que,</w:t>
      </w:r>
      <w:r w:rsidR="00834BBF" w:rsidRPr="00F67958">
        <w:rPr>
          <w:lang w:val="fr-FR"/>
        </w:rPr>
        <w:t xml:space="preserve"> </w:t>
      </w:r>
      <w:r w:rsidR="00F67958" w:rsidRPr="00F67958">
        <w:rPr>
          <w:lang w:val="fr-FR"/>
        </w:rPr>
        <w:t>l</w:t>
      </w:r>
      <w:r w:rsidR="000749CB">
        <w:rPr>
          <w:lang w:val="fr-FR"/>
        </w:rPr>
        <w:t>'</w:t>
      </w:r>
      <w:r w:rsidR="00F67958" w:rsidRPr="00F67958">
        <w:rPr>
          <w:lang w:val="fr-FR"/>
        </w:rPr>
        <w:t>UIT, la FAO</w:t>
      </w:r>
      <w:r w:rsidR="00834BBF" w:rsidRPr="00F67958">
        <w:rPr>
          <w:lang w:val="fr-FR"/>
        </w:rPr>
        <w:t xml:space="preserve"> </w:t>
      </w:r>
      <w:r w:rsidRPr="00F67958">
        <w:rPr>
          <w:lang w:val="fr-FR"/>
        </w:rPr>
        <w:t>et</w:t>
      </w:r>
      <w:r w:rsidR="00834BBF" w:rsidRPr="00F67958">
        <w:rPr>
          <w:lang w:val="fr-FR"/>
        </w:rPr>
        <w:t xml:space="preserve"> </w:t>
      </w:r>
      <w:r w:rsidR="00834BBF" w:rsidRPr="001B15BB">
        <w:rPr>
          <w:iCs/>
          <w:lang w:val="fr-FR"/>
        </w:rPr>
        <w:t>Compete Caribbean</w:t>
      </w:r>
      <w:r w:rsidR="00834BBF" w:rsidRPr="00F67958">
        <w:rPr>
          <w:lang w:val="fr-FR"/>
        </w:rPr>
        <w:t xml:space="preserve"> </w:t>
      </w:r>
      <w:r w:rsidRPr="00F67958">
        <w:rPr>
          <w:lang w:val="fr-FR"/>
        </w:rPr>
        <w:t>ont conclu un accord en vue de</w:t>
      </w:r>
      <w:r w:rsidR="00834BBF" w:rsidRPr="00F67958">
        <w:rPr>
          <w:lang w:val="fr-FR"/>
        </w:rPr>
        <w:t xml:space="preserve"> </w:t>
      </w:r>
      <w:r w:rsidRPr="00F67958">
        <w:rPr>
          <w:lang w:val="fr-FR"/>
        </w:rPr>
        <w:t>collaborer dans le cadre d</w:t>
      </w:r>
      <w:r w:rsidR="000749CB">
        <w:rPr>
          <w:lang w:val="fr-FR"/>
        </w:rPr>
        <w:t>'</w:t>
      </w:r>
      <w:r w:rsidRPr="00F67958">
        <w:rPr>
          <w:lang w:val="fr-FR"/>
        </w:rPr>
        <w:t>un projet</w:t>
      </w:r>
      <w:r w:rsidR="00834BBF" w:rsidRPr="00F67958">
        <w:rPr>
          <w:lang w:val="fr-FR"/>
        </w:rPr>
        <w:t xml:space="preserve"> </w:t>
      </w:r>
      <w:r w:rsidRPr="00F67958">
        <w:rPr>
          <w:lang w:val="fr-FR"/>
        </w:rPr>
        <w:t>visant à élaborer une</w:t>
      </w:r>
      <w:r w:rsidR="00834BBF" w:rsidRPr="00F67958">
        <w:rPr>
          <w:lang w:val="fr-FR"/>
        </w:rPr>
        <w:t xml:space="preserve"> </w:t>
      </w:r>
      <w:r w:rsidRPr="00F67958">
        <w:rPr>
          <w:lang w:val="fr-FR"/>
        </w:rPr>
        <w:t xml:space="preserve">stratégie régionale </w:t>
      </w:r>
      <w:r w:rsidR="00CD22C5">
        <w:rPr>
          <w:lang w:val="fr-FR"/>
        </w:rPr>
        <w:t xml:space="preserve">en matière </w:t>
      </w:r>
      <w:r w:rsidRPr="00F67958">
        <w:rPr>
          <w:lang w:val="fr-FR"/>
        </w:rPr>
        <w:t>de cyberagriculture</w:t>
      </w:r>
      <w:r w:rsidR="00834BBF" w:rsidRPr="00F67958">
        <w:rPr>
          <w:lang w:val="fr-FR"/>
        </w:rPr>
        <w:t xml:space="preserve"> </w:t>
      </w:r>
      <w:r w:rsidRPr="00F67958">
        <w:rPr>
          <w:lang w:val="fr-FR"/>
        </w:rPr>
        <w:t xml:space="preserve">pour </w:t>
      </w:r>
      <w:r w:rsidR="00CD22C5">
        <w:rPr>
          <w:lang w:val="fr-FR"/>
        </w:rPr>
        <w:t xml:space="preserve">les </w:t>
      </w:r>
      <w:r w:rsidRPr="00F67958">
        <w:rPr>
          <w:lang w:val="fr-FR"/>
        </w:rPr>
        <w:t>Caraïbes</w:t>
      </w:r>
      <w:r w:rsidR="00834BBF" w:rsidRPr="00F67958">
        <w:rPr>
          <w:lang w:val="fr-FR"/>
        </w:rPr>
        <w:t xml:space="preserve"> </w:t>
      </w:r>
      <w:r w:rsidRPr="00F67958">
        <w:rPr>
          <w:lang w:val="fr-FR"/>
        </w:rPr>
        <w:t>et des stratégies nationales</w:t>
      </w:r>
      <w:r w:rsidR="00834BBF" w:rsidRPr="00F67958">
        <w:rPr>
          <w:lang w:val="fr-FR"/>
        </w:rPr>
        <w:t xml:space="preserve"> </w:t>
      </w:r>
      <w:r w:rsidR="00CD22C5">
        <w:rPr>
          <w:lang w:val="fr-FR"/>
        </w:rPr>
        <w:t xml:space="preserve">en matière </w:t>
      </w:r>
      <w:r w:rsidRPr="00F67958">
        <w:rPr>
          <w:lang w:val="fr-FR"/>
        </w:rPr>
        <w:t>de cyberagriculture</w:t>
      </w:r>
      <w:r w:rsidR="00834BBF" w:rsidRPr="00F67958">
        <w:rPr>
          <w:lang w:val="fr-FR"/>
        </w:rPr>
        <w:t xml:space="preserve"> </w:t>
      </w:r>
      <w:r w:rsidRPr="00F67958">
        <w:rPr>
          <w:lang w:val="fr-FR"/>
        </w:rPr>
        <w:t>pour quatre pays</w:t>
      </w:r>
      <w:r w:rsidR="00892568" w:rsidRPr="00F67958">
        <w:rPr>
          <w:lang w:val="fr-FR"/>
        </w:rPr>
        <w:t>.</w:t>
      </w:r>
    </w:p>
    <w:p w:rsidR="00834BBF" w:rsidRPr="00F67958" w:rsidRDefault="00834BBF" w:rsidP="008F2FF8">
      <w:pPr>
        <w:pStyle w:val="Headingb"/>
        <w:rPr>
          <w:lang w:val="fr-FR"/>
        </w:rPr>
      </w:pPr>
      <w:r w:rsidRPr="00F67958">
        <w:rPr>
          <w:lang w:val="fr-FR"/>
        </w:rPr>
        <w:t>Conclusions</w:t>
      </w:r>
    </w:p>
    <w:p w:rsidR="00834BBF" w:rsidRPr="00F67958" w:rsidRDefault="00834BBF" w:rsidP="008F2FF8">
      <w:pPr>
        <w:rPr>
          <w:lang w:val="fr-FR"/>
        </w:rPr>
      </w:pPr>
      <w:r w:rsidRPr="00F67958">
        <w:rPr>
          <w:lang w:val="fr-FR"/>
        </w:rPr>
        <w:t>20</w:t>
      </w:r>
      <w:r w:rsidRPr="00F67958">
        <w:rPr>
          <w:lang w:val="fr-FR"/>
        </w:rPr>
        <w:tab/>
        <w:t>Les membres de l</w:t>
      </w:r>
      <w:r w:rsidR="000749CB">
        <w:rPr>
          <w:lang w:val="fr-FR"/>
        </w:rPr>
        <w:t>'</w:t>
      </w:r>
      <w:r w:rsidRPr="00F67958">
        <w:rPr>
          <w:lang w:val="fr-FR"/>
        </w:rPr>
        <w:t>UIT sont invités à prendre une part active aux activités du BDT qui contribuent à la mise en oeuvre des résultats du SMSI et du Programme de développement durable à l</w:t>
      </w:r>
      <w:r w:rsidR="000749CB">
        <w:rPr>
          <w:lang w:val="fr-FR"/>
        </w:rPr>
        <w:t>'</w:t>
      </w:r>
      <w:r w:rsidRPr="00F67958">
        <w:rPr>
          <w:lang w:val="fr-FR"/>
        </w:rPr>
        <w:t>horizon 2</w:t>
      </w:r>
      <w:r w:rsidR="00892568" w:rsidRPr="00F67958">
        <w:rPr>
          <w:lang w:val="fr-FR"/>
        </w:rPr>
        <w:t>030, conformément à la CMDT-17.</w:t>
      </w:r>
    </w:p>
    <w:p w:rsidR="00834BBF" w:rsidRPr="00F67958" w:rsidRDefault="00834BBF" w:rsidP="008F2FF8">
      <w:pPr>
        <w:rPr>
          <w:lang w:val="fr-FR"/>
        </w:rPr>
      </w:pPr>
      <w:r w:rsidRPr="00F67958">
        <w:rPr>
          <w:lang w:val="fr-FR"/>
        </w:rPr>
        <w:t>21</w:t>
      </w:r>
      <w:r w:rsidRPr="00F67958">
        <w:rPr>
          <w:lang w:val="fr-FR"/>
        </w:rPr>
        <w:tab/>
        <w:t>Les membres de l</w:t>
      </w:r>
      <w:r w:rsidR="000749CB">
        <w:rPr>
          <w:lang w:val="fr-FR"/>
        </w:rPr>
        <w:t>'</w:t>
      </w:r>
      <w:r w:rsidRPr="00F67958">
        <w:rPr>
          <w:lang w:val="fr-FR"/>
        </w:rPr>
        <w:t>UIT sont invités à participer activement aux processus préparatoires relatifs aux Forums du SMSI, au processus d</w:t>
      </w:r>
      <w:r w:rsidR="000749CB">
        <w:rPr>
          <w:lang w:val="fr-FR"/>
        </w:rPr>
        <w:t>'</w:t>
      </w:r>
      <w:r w:rsidRPr="00F67958">
        <w:rPr>
          <w:lang w:val="fr-FR"/>
        </w:rPr>
        <w:t xml:space="preserve">Inventaire du SMSI et aux prix du SMSI. </w:t>
      </w:r>
    </w:p>
    <w:p w:rsidR="00834BBF" w:rsidRPr="00F67958" w:rsidRDefault="00834BBF" w:rsidP="008F2FF8">
      <w:pPr>
        <w:rPr>
          <w:lang w:val="fr-FR"/>
        </w:rPr>
      </w:pPr>
      <w:r w:rsidRPr="00F67958">
        <w:rPr>
          <w:lang w:val="fr-FR"/>
        </w:rPr>
        <w:t>22</w:t>
      </w:r>
      <w:r w:rsidRPr="00F67958">
        <w:rPr>
          <w:lang w:val="fr-FR"/>
        </w:rPr>
        <w:tab/>
        <w:t>Au niveau national, les membres de l</w:t>
      </w:r>
      <w:r w:rsidR="000749CB">
        <w:rPr>
          <w:lang w:val="fr-FR"/>
        </w:rPr>
        <w:t>'</w:t>
      </w:r>
      <w:r w:rsidRPr="00F67958">
        <w:rPr>
          <w:lang w:val="fr-FR"/>
        </w:rPr>
        <w:t>UIT sont encouragés à intégrer les TIC aux plans de développement durable et aux plans-cadres pour l</w:t>
      </w:r>
      <w:r w:rsidR="000749CB">
        <w:rPr>
          <w:lang w:val="fr-FR"/>
        </w:rPr>
        <w:t>'</w:t>
      </w:r>
      <w:r w:rsidRPr="00F67958">
        <w:rPr>
          <w:lang w:val="fr-FR"/>
        </w:rPr>
        <w:t>aide au développement des Nations Unies, et à envisager de soutenir les efforts déployés par l</w:t>
      </w:r>
      <w:r w:rsidR="000749CB">
        <w:rPr>
          <w:lang w:val="fr-FR"/>
        </w:rPr>
        <w:t>'</w:t>
      </w:r>
      <w:r w:rsidRPr="00F67958">
        <w:rPr>
          <w:lang w:val="fr-FR"/>
        </w:rPr>
        <w:t xml:space="preserve">UIT pour produire </w:t>
      </w:r>
      <w:r w:rsidR="00A62DD9">
        <w:rPr>
          <w:lang w:val="fr-FR"/>
        </w:rPr>
        <w:t>des résultats dans le cadre des </w:t>
      </w:r>
      <w:r w:rsidRPr="00F67958">
        <w:rPr>
          <w:lang w:val="fr-FR"/>
        </w:rPr>
        <w:t>TIC au service des ODD par le biais de l</w:t>
      </w:r>
      <w:r w:rsidR="000749CB">
        <w:rPr>
          <w:lang w:val="fr-FR"/>
        </w:rPr>
        <w:t>'</w:t>
      </w:r>
      <w:r w:rsidRPr="00F67958">
        <w:rPr>
          <w:lang w:val="fr-FR"/>
        </w:rPr>
        <w:t>approche des Nations Unies "Unis dans l</w:t>
      </w:r>
      <w:r w:rsidR="000749CB">
        <w:rPr>
          <w:lang w:val="fr-FR"/>
        </w:rPr>
        <w:t>'</w:t>
      </w:r>
      <w:r w:rsidRPr="00F67958">
        <w:rPr>
          <w:lang w:val="fr-FR"/>
        </w:rPr>
        <w:t>action", en tenant compte du mandat de l</w:t>
      </w:r>
      <w:r w:rsidR="000749CB">
        <w:rPr>
          <w:lang w:val="fr-FR"/>
        </w:rPr>
        <w:t>'</w:t>
      </w:r>
      <w:r w:rsidRPr="00F67958">
        <w:rPr>
          <w:lang w:val="fr-FR"/>
        </w:rPr>
        <w:t>UIT et de ses compétences fondamentales.</w:t>
      </w:r>
    </w:p>
    <w:p w:rsidR="00834BBF" w:rsidRPr="00F67958" w:rsidRDefault="00834BBF" w:rsidP="008F2FF8">
      <w:pPr>
        <w:rPr>
          <w:lang w:val="fr-FR"/>
        </w:rPr>
      </w:pPr>
      <w:r w:rsidRPr="00F67958">
        <w:rPr>
          <w:lang w:val="fr-FR"/>
        </w:rPr>
        <w:lastRenderedPageBreak/>
        <w:t>23</w:t>
      </w:r>
      <w:r w:rsidRPr="00F67958">
        <w:rPr>
          <w:lang w:val="fr-FR"/>
        </w:rPr>
        <w:tab/>
        <w:t>Les Etats Membres sont invités à renforcer leurs capacités en matière de collecte de statistiques et d</w:t>
      </w:r>
      <w:r w:rsidR="000749CB">
        <w:rPr>
          <w:lang w:val="fr-FR"/>
        </w:rPr>
        <w:t>'</w:t>
      </w:r>
      <w:r w:rsidRPr="00F67958">
        <w:rPr>
          <w:lang w:val="fr-FR"/>
        </w:rPr>
        <w:t>indicateurs nécessaires pour la mesure des ODD et pour établir l</w:t>
      </w:r>
      <w:r w:rsidR="000749CB">
        <w:rPr>
          <w:lang w:val="fr-FR"/>
        </w:rPr>
        <w:t>'</w:t>
      </w:r>
      <w:r w:rsidRPr="00F67958">
        <w:rPr>
          <w:lang w:val="fr-FR"/>
        </w:rPr>
        <w:t>indice de développement des TIC.</w:t>
      </w:r>
    </w:p>
    <w:p w:rsidR="00834BBF" w:rsidRPr="00F67958" w:rsidRDefault="00834BBF" w:rsidP="008F2FF8">
      <w:pPr>
        <w:rPr>
          <w:lang w:val="fr-FR"/>
        </w:rPr>
      </w:pPr>
      <w:r w:rsidRPr="00F67958">
        <w:rPr>
          <w:lang w:val="fr-FR"/>
        </w:rPr>
        <w:t>24</w:t>
      </w:r>
      <w:r w:rsidRPr="00F67958">
        <w:rPr>
          <w:lang w:val="fr-FR"/>
        </w:rPr>
        <w:tab/>
        <w:t>Au niveau régional, toutes les parties prenantes sont invitées à prendre part aux préparatifs en vue des Forums régionaux sur le développement, des Forums des Nations Unies sur le développement durable, de manifestations régionales spécifiques relatives au SMSI ou aux ODD et d</w:t>
      </w:r>
      <w:r w:rsidR="000749CB">
        <w:rPr>
          <w:lang w:val="fr-FR"/>
        </w:rPr>
        <w:t>'</w:t>
      </w:r>
      <w:r w:rsidRPr="00F67958">
        <w:rPr>
          <w:lang w:val="fr-FR"/>
        </w:rPr>
        <w:t>autres manifestations, en mettant en lumière l</w:t>
      </w:r>
      <w:r w:rsidR="000749CB">
        <w:rPr>
          <w:lang w:val="fr-FR"/>
        </w:rPr>
        <w:t>'</w:t>
      </w:r>
      <w:r w:rsidRPr="00F67958">
        <w:rPr>
          <w:lang w:val="fr-FR"/>
        </w:rPr>
        <w:t>importance des TIC au service des ODD et de l</w:t>
      </w:r>
      <w:r w:rsidR="000749CB">
        <w:rPr>
          <w:lang w:val="fr-FR"/>
        </w:rPr>
        <w:t>'</w:t>
      </w:r>
      <w:r w:rsidRPr="00F67958">
        <w:rPr>
          <w:lang w:val="fr-FR"/>
        </w:rPr>
        <w:t>alignement du processus du SMSI sur celui des ODD, et en te</w:t>
      </w:r>
      <w:r w:rsidR="00A62DD9">
        <w:rPr>
          <w:lang w:val="fr-FR"/>
        </w:rPr>
        <w:t>nant compte des résultats de la </w:t>
      </w:r>
      <w:r w:rsidRPr="00F67958">
        <w:rPr>
          <w:lang w:val="fr-FR"/>
        </w:rPr>
        <w:t>CMDT-17.</w:t>
      </w:r>
    </w:p>
    <w:p w:rsidR="00834BBF" w:rsidRPr="00F67958" w:rsidRDefault="00834BBF" w:rsidP="008F2FF8">
      <w:pPr>
        <w:keepNext/>
        <w:keepLines/>
        <w:rPr>
          <w:lang w:val="fr-FR"/>
        </w:rPr>
      </w:pPr>
      <w:r w:rsidRPr="00F67958">
        <w:rPr>
          <w:lang w:val="fr-FR"/>
        </w:rPr>
        <w:t>25</w:t>
      </w:r>
      <w:r w:rsidRPr="00F67958">
        <w:rPr>
          <w:lang w:val="fr-FR"/>
        </w:rPr>
        <w:tab/>
        <w:t>Les membres de l</w:t>
      </w:r>
      <w:r w:rsidR="000749CB">
        <w:rPr>
          <w:lang w:val="fr-FR"/>
        </w:rPr>
        <w:t>'</w:t>
      </w:r>
      <w:r w:rsidRPr="00F67958">
        <w:rPr>
          <w:lang w:val="fr-FR"/>
        </w:rPr>
        <w:t>UIT sont invités à participer activement aux activités menées par le BDT en vue d</w:t>
      </w:r>
      <w:r w:rsidR="000749CB">
        <w:rPr>
          <w:lang w:val="fr-FR"/>
        </w:rPr>
        <w:t>'</w:t>
      </w:r>
      <w:r w:rsidRPr="00F67958">
        <w:rPr>
          <w:lang w:val="fr-FR"/>
        </w:rPr>
        <w:t>établir des partenariats et de contribuer à la mise en oeuvre des résultats du SMSI et à la réalisation des ODD, y compris à la mise en oeuvre des initiativ</w:t>
      </w:r>
      <w:r w:rsidR="00A62DD9">
        <w:rPr>
          <w:lang w:val="fr-FR"/>
        </w:rPr>
        <w:t>es régionales approuvées par la </w:t>
      </w:r>
      <w:r w:rsidRPr="00F67958">
        <w:rPr>
          <w:lang w:val="fr-FR"/>
        </w:rPr>
        <w:t>CMDT-17, en facilitant notamment la participation de parties prenantes issues d</w:t>
      </w:r>
      <w:r w:rsidR="000749CB">
        <w:rPr>
          <w:lang w:val="fr-FR"/>
        </w:rPr>
        <w:t>'</w:t>
      </w:r>
      <w:r w:rsidRPr="00F67958">
        <w:rPr>
          <w:lang w:val="fr-FR"/>
        </w:rPr>
        <w:t>autres secteurs que celui</w:t>
      </w:r>
      <w:r w:rsidR="00892568" w:rsidRPr="00F67958">
        <w:rPr>
          <w:lang w:val="fr-FR"/>
        </w:rPr>
        <w:t xml:space="preserve"> des télécommunications/TIC.</w:t>
      </w:r>
    </w:p>
    <w:p w:rsidR="00834BBF" w:rsidRPr="00F67958" w:rsidRDefault="00834BBF" w:rsidP="008F2FF8">
      <w:pPr>
        <w:rPr>
          <w:lang w:val="fr-FR"/>
        </w:rPr>
      </w:pPr>
      <w:r w:rsidRPr="00F67958">
        <w:rPr>
          <w:lang w:val="fr-FR"/>
        </w:rPr>
        <w:t>26</w:t>
      </w:r>
      <w:r w:rsidRPr="00F67958">
        <w:rPr>
          <w:lang w:val="fr-FR"/>
        </w:rPr>
        <w:tab/>
        <w:t>Les membres de l</w:t>
      </w:r>
      <w:r w:rsidR="000749CB">
        <w:rPr>
          <w:lang w:val="fr-FR"/>
        </w:rPr>
        <w:t>'</w:t>
      </w:r>
      <w:r w:rsidRPr="00F67958">
        <w:rPr>
          <w:lang w:val="fr-FR"/>
        </w:rPr>
        <w:t>UIT sont encouragés à s</w:t>
      </w:r>
      <w:r w:rsidR="000749CB">
        <w:rPr>
          <w:lang w:val="fr-FR"/>
        </w:rPr>
        <w:t>'</w:t>
      </w:r>
      <w:r w:rsidRPr="00F67958">
        <w:rPr>
          <w:lang w:val="fr-FR"/>
        </w:rPr>
        <w:t>appuyer sur l</w:t>
      </w:r>
      <w:r w:rsidR="000749CB">
        <w:rPr>
          <w:lang w:val="fr-FR"/>
        </w:rPr>
        <w:t>'</w:t>
      </w:r>
      <w:r w:rsidRPr="00F67958">
        <w:rPr>
          <w:lang w:val="fr-FR"/>
        </w:rPr>
        <w:t>assistance fournie aux pays en matière de transformation numérique, qui stimule la croissance durable de l</w:t>
      </w:r>
      <w:r w:rsidR="000749CB">
        <w:rPr>
          <w:lang w:val="fr-FR"/>
        </w:rPr>
        <w:t>'</w:t>
      </w:r>
      <w:r w:rsidRPr="00F67958">
        <w:rPr>
          <w:lang w:val="fr-FR"/>
        </w:rPr>
        <w:t>économie numérique et encourage les progrès dans la mise en oeuvre des grandes orientations du SMSI et dans</w:t>
      </w:r>
      <w:r w:rsidR="00892568" w:rsidRPr="00F67958">
        <w:rPr>
          <w:lang w:val="fr-FR"/>
        </w:rPr>
        <w:t xml:space="preserve"> la réalisation des ODD.</w:t>
      </w:r>
    </w:p>
    <w:p w:rsidR="00834BBF" w:rsidRPr="00F67958" w:rsidRDefault="00834BBF" w:rsidP="008F2FF8">
      <w:pPr>
        <w:rPr>
          <w:lang w:val="fr-FR"/>
        </w:rPr>
      </w:pPr>
      <w:r w:rsidRPr="00F67958">
        <w:rPr>
          <w:lang w:val="fr-FR"/>
        </w:rPr>
        <w:t>27</w:t>
      </w:r>
      <w:r w:rsidRPr="00F67958">
        <w:rPr>
          <w:lang w:val="fr-FR"/>
        </w:rPr>
        <w:tab/>
        <w:t>Les membres de l</w:t>
      </w:r>
      <w:r w:rsidR="000749CB">
        <w:rPr>
          <w:lang w:val="fr-FR"/>
        </w:rPr>
        <w:t>'</w:t>
      </w:r>
      <w:r w:rsidRPr="00F67958">
        <w:rPr>
          <w:lang w:val="fr-FR"/>
        </w:rPr>
        <w:t>UIT sont invités à soumettre des contributions au Groupe consultatif pour le développement des télécommunications et aux commissions d</w:t>
      </w:r>
      <w:r w:rsidR="000749CB">
        <w:rPr>
          <w:lang w:val="fr-FR"/>
        </w:rPr>
        <w:t>'</w:t>
      </w:r>
      <w:r w:rsidRPr="00F67958">
        <w:rPr>
          <w:lang w:val="fr-FR"/>
        </w:rPr>
        <w:t>études concernées de l</w:t>
      </w:r>
      <w:r w:rsidR="000749CB">
        <w:rPr>
          <w:lang w:val="fr-FR"/>
        </w:rPr>
        <w:t>'</w:t>
      </w:r>
      <w:r w:rsidR="00892568" w:rsidRPr="00F67958">
        <w:rPr>
          <w:lang w:val="fr-FR"/>
        </w:rPr>
        <w:t>UIT</w:t>
      </w:r>
      <w:r w:rsidR="00892568" w:rsidRPr="00F67958">
        <w:rPr>
          <w:lang w:val="fr-FR"/>
        </w:rPr>
        <w:noBreakHyphen/>
      </w:r>
      <w:r w:rsidRPr="00F67958">
        <w:rPr>
          <w:lang w:val="fr-FR"/>
        </w:rPr>
        <w:t>D, s</w:t>
      </w:r>
      <w:r w:rsidR="000749CB">
        <w:rPr>
          <w:lang w:val="fr-FR"/>
        </w:rPr>
        <w:t>'</w:t>
      </w:r>
      <w:r w:rsidRPr="00F67958">
        <w:rPr>
          <w:lang w:val="fr-FR"/>
        </w:rPr>
        <w:t xml:space="preserve">il y a lieu, et à contribuer aux travaux du GTC-SMSI sur la </w:t>
      </w:r>
      <w:r w:rsidR="001B15BB">
        <w:rPr>
          <w:lang w:val="fr-FR"/>
        </w:rPr>
        <w:t>mise en oeuvre des résultats du </w:t>
      </w:r>
      <w:r w:rsidRPr="00F67958">
        <w:rPr>
          <w:lang w:val="fr-FR"/>
        </w:rPr>
        <w:t>SMSI, dans le cadre du mandat de l</w:t>
      </w:r>
      <w:r w:rsidR="000749CB">
        <w:rPr>
          <w:lang w:val="fr-FR"/>
        </w:rPr>
        <w:t>'</w:t>
      </w:r>
      <w:r w:rsidRPr="00F67958">
        <w:rPr>
          <w:lang w:val="fr-FR"/>
        </w:rPr>
        <w:t>UIT, compte tenu du Programme de développement durable à l</w:t>
      </w:r>
      <w:r w:rsidR="000749CB">
        <w:rPr>
          <w:lang w:val="fr-FR"/>
        </w:rPr>
        <w:t>'</w:t>
      </w:r>
      <w:r w:rsidRPr="00F67958">
        <w:rPr>
          <w:lang w:val="fr-FR"/>
        </w:rPr>
        <w:t>horizon 2030.</w:t>
      </w:r>
    </w:p>
    <w:p w:rsidR="00892568" w:rsidRPr="00F67958" w:rsidRDefault="00892568" w:rsidP="008F2FF8">
      <w:pPr>
        <w:rPr>
          <w:lang w:val="fr-FR"/>
        </w:rPr>
      </w:pPr>
    </w:p>
    <w:p w:rsidR="00892568" w:rsidRPr="00F67958" w:rsidRDefault="00892568" w:rsidP="008F2FF8">
      <w:pPr>
        <w:rPr>
          <w:lang w:val="fr-FR"/>
        </w:rPr>
        <w:sectPr w:rsidR="00892568" w:rsidRPr="00F67958" w:rsidSect="00473791">
          <w:headerReference w:type="default" r:id="rId14"/>
          <w:footerReference w:type="default" r:id="rId15"/>
          <w:headerReference w:type="first" r:id="rId16"/>
          <w:footerReference w:type="first" r:id="rId17"/>
          <w:pgSz w:w="11907" w:h="16834" w:code="9"/>
          <w:pgMar w:top="1418" w:right="1134" w:bottom="1418" w:left="1134" w:header="720" w:footer="720" w:gutter="0"/>
          <w:paperSrc w:first="7" w:other="7"/>
          <w:cols w:space="720"/>
          <w:titlePg/>
          <w:docGrid w:linePitch="326"/>
        </w:sectPr>
      </w:pPr>
    </w:p>
    <w:p w:rsidR="00892568" w:rsidRPr="00F67958" w:rsidRDefault="00892568" w:rsidP="008F2FF8">
      <w:pPr>
        <w:jc w:val="center"/>
        <w:rPr>
          <w:b/>
          <w:bCs/>
          <w:szCs w:val="24"/>
          <w:lang w:val="fr-FR"/>
        </w:rPr>
      </w:pPr>
      <w:r w:rsidRPr="00F67958">
        <w:rPr>
          <w:b/>
          <w:bCs/>
          <w:szCs w:val="24"/>
          <w:lang w:val="fr-FR"/>
        </w:rPr>
        <w:lastRenderedPageBreak/>
        <w:t>ANNEXE 1</w:t>
      </w:r>
    </w:p>
    <w:p w:rsidR="00892568" w:rsidRPr="00F67958" w:rsidRDefault="00892568" w:rsidP="008F2FF8">
      <w:pPr>
        <w:spacing w:before="0" w:after="120"/>
        <w:jc w:val="center"/>
        <w:rPr>
          <w:lang w:val="fr-FR"/>
        </w:rPr>
      </w:pPr>
      <w:r w:rsidRPr="00F67958">
        <w:rPr>
          <w:b/>
          <w:bCs/>
          <w:lang w:val="fr-FR"/>
        </w:rPr>
        <w:t>Contribution de l</w:t>
      </w:r>
      <w:r w:rsidR="000749CB">
        <w:rPr>
          <w:b/>
          <w:bCs/>
          <w:lang w:val="fr-FR"/>
        </w:rPr>
        <w:t>'</w:t>
      </w:r>
      <w:r w:rsidRPr="00F67958">
        <w:rPr>
          <w:b/>
          <w:bCs/>
          <w:lang w:val="fr-FR"/>
        </w:rPr>
        <w:t>UIT-D au Plan stratégique de l</w:t>
      </w:r>
      <w:r w:rsidR="000749CB">
        <w:rPr>
          <w:b/>
          <w:bCs/>
          <w:lang w:val="fr-FR"/>
        </w:rPr>
        <w:t>'</w:t>
      </w:r>
      <w:r w:rsidRPr="00F67958">
        <w:rPr>
          <w:b/>
          <w:bCs/>
          <w:lang w:val="fr-FR"/>
        </w:rPr>
        <w:t xml:space="preserve">UIT pour la période 2020-2023: </w:t>
      </w:r>
      <w:r w:rsidRPr="00F67958">
        <w:rPr>
          <w:b/>
          <w:bCs/>
          <w:lang w:val="fr-FR"/>
        </w:rPr>
        <w:br/>
        <w:t>objectifs, résultats, ODD et grandes orientations du SMSI</w:t>
      </w:r>
    </w:p>
    <w:tbl>
      <w:tblPr>
        <w:tblpPr w:leftFromText="180" w:rightFromText="180" w:vertAnchor="text" w:tblpX="-1003" w:tblpY="1"/>
        <w:tblOverlap w:val="never"/>
        <w:tblW w:w="15446" w:type="dxa"/>
        <w:tblLayout w:type="fixed"/>
        <w:tblLook w:val="06A0" w:firstRow="1" w:lastRow="0" w:firstColumn="1" w:lastColumn="0" w:noHBand="1" w:noVBand="1"/>
      </w:tblPr>
      <w:tblGrid>
        <w:gridCol w:w="421"/>
        <w:gridCol w:w="4110"/>
        <w:gridCol w:w="3402"/>
        <w:gridCol w:w="3856"/>
        <w:gridCol w:w="3657"/>
      </w:tblGrid>
      <w:tr w:rsidR="00892568" w:rsidRPr="00F67958" w:rsidTr="0020157A">
        <w:trPr>
          <w:cantSplit/>
          <w:trHeight w:val="1134"/>
        </w:trPr>
        <w:tc>
          <w:tcPr>
            <w:tcW w:w="421" w:type="dxa"/>
            <w:tcBorders>
              <w:top w:val="single" w:sz="4" w:space="0" w:color="FFFFFF" w:themeColor="background1"/>
              <w:left w:val="single" w:sz="4" w:space="0" w:color="365F91" w:themeColor="accent1" w:themeShade="BF"/>
              <w:bottom w:val="single" w:sz="4" w:space="0" w:color="FFFFFF" w:themeColor="background1"/>
              <w:right w:val="single" w:sz="4" w:space="0" w:color="FFFFFF" w:themeColor="background1"/>
            </w:tcBorders>
            <w:shd w:val="clear" w:color="auto" w:fill="365F91" w:themeFill="accent1" w:themeFillShade="BF"/>
            <w:textDirection w:val="btLr"/>
          </w:tcPr>
          <w:p w:rsidR="00892568" w:rsidRPr="00F67958" w:rsidRDefault="00892568" w:rsidP="008F2FF8">
            <w:pPr>
              <w:pStyle w:val="Tablehead"/>
              <w:rPr>
                <w:rFonts w:eastAsia="Calibri"/>
                <w:color w:val="FFFFFF" w:themeColor="background1"/>
                <w:sz w:val="14"/>
                <w:szCs w:val="14"/>
                <w:lang w:val="fr-FR"/>
              </w:rPr>
            </w:pPr>
            <w:r w:rsidRPr="00F67958">
              <w:rPr>
                <w:rFonts w:eastAsia="Calibri"/>
                <w:color w:val="FFFFFF" w:themeColor="background1"/>
                <w:sz w:val="14"/>
                <w:szCs w:val="14"/>
                <w:lang w:val="fr-FR"/>
              </w:rPr>
              <w:t>Objectifs</w:t>
            </w:r>
          </w:p>
        </w:tc>
        <w:tc>
          <w:tcPr>
            <w:tcW w:w="4110"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tcPr>
          <w:p w:rsidR="00892568" w:rsidRPr="00F67958" w:rsidRDefault="00892568" w:rsidP="008F2FF8">
            <w:pPr>
              <w:pStyle w:val="Tablehead"/>
              <w:rPr>
                <w:rFonts w:eastAsia="Calibri"/>
                <w:color w:val="FFFFFF" w:themeColor="background1"/>
                <w:sz w:val="14"/>
                <w:szCs w:val="14"/>
                <w:lang w:val="fr-FR"/>
              </w:rPr>
            </w:pPr>
            <w:r w:rsidRPr="00F67958">
              <w:rPr>
                <w:rFonts w:eastAsia="Calibri"/>
                <w:color w:val="FFFFFF" w:themeColor="background1"/>
                <w:sz w:val="14"/>
                <w:szCs w:val="14"/>
                <w:lang w:val="fr-FR"/>
              </w:rPr>
              <w:t>D.1 Coordination: Promouvoir la coopération et la conclusion d</w:t>
            </w:r>
            <w:r w:rsidR="000749CB">
              <w:rPr>
                <w:rFonts w:eastAsia="Calibri"/>
                <w:color w:val="FFFFFF" w:themeColor="background1"/>
                <w:sz w:val="14"/>
                <w:szCs w:val="14"/>
                <w:lang w:val="fr-FR"/>
              </w:rPr>
              <w:t>'</w:t>
            </w:r>
            <w:r w:rsidRPr="00F67958">
              <w:rPr>
                <w:rFonts w:eastAsia="Calibri"/>
                <w:color w:val="FFFFFF" w:themeColor="background1"/>
                <w:sz w:val="14"/>
                <w:szCs w:val="14"/>
                <w:lang w:val="fr-FR"/>
              </w:rPr>
              <w:t>accords à l</w:t>
            </w:r>
            <w:r w:rsidR="000749CB">
              <w:rPr>
                <w:rFonts w:eastAsia="Calibri"/>
                <w:color w:val="FFFFFF" w:themeColor="background1"/>
                <w:sz w:val="14"/>
                <w:szCs w:val="14"/>
                <w:lang w:val="fr-FR"/>
              </w:rPr>
              <w:t>'</w:t>
            </w:r>
            <w:r w:rsidRPr="00F67958">
              <w:rPr>
                <w:rFonts w:eastAsia="Calibri"/>
                <w:color w:val="FFFFFF" w:themeColor="background1"/>
                <w:sz w:val="14"/>
                <w:szCs w:val="14"/>
                <w:lang w:val="fr-FR"/>
              </w:rPr>
              <w:t>échelle internationale concernant les questions de développement des télécommunications/TIC</w:t>
            </w:r>
          </w:p>
        </w:tc>
        <w:tc>
          <w:tcPr>
            <w:tcW w:w="3402"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tcPr>
          <w:p w:rsidR="00892568" w:rsidRPr="00F67958" w:rsidRDefault="00892568" w:rsidP="008F2FF8">
            <w:pPr>
              <w:pStyle w:val="Tablehead"/>
              <w:rPr>
                <w:rFonts w:eastAsia="Calibri"/>
                <w:color w:val="FFFFFF" w:themeColor="background1"/>
                <w:sz w:val="14"/>
                <w:szCs w:val="14"/>
                <w:lang w:val="fr-FR"/>
              </w:rPr>
            </w:pPr>
            <w:r w:rsidRPr="00F67958">
              <w:rPr>
                <w:rFonts w:eastAsia="Calibri"/>
                <w:color w:val="FFFFFF" w:themeColor="background1"/>
                <w:sz w:val="14"/>
                <w:szCs w:val="14"/>
                <w:lang w:val="fr-FR"/>
              </w:rPr>
              <w:t>D.2 Infrastructure moderne et sûre pour les télécommunications/TIC: Promouvoir le développement d</w:t>
            </w:r>
            <w:r w:rsidR="000749CB">
              <w:rPr>
                <w:rFonts w:eastAsia="Calibri"/>
                <w:color w:val="FFFFFF" w:themeColor="background1"/>
                <w:sz w:val="14"/>
                <w:szCs w:val="14"/>
                <w:lang w:val="fr-FR"/>
              </w:rPr>
              <w:t>'</w:t>
            </w:r>
            <w:r w:rsidRPr="00F67958">
              <w:rPr>
                <w:rFonts w:eastAsia="Calibri"/>
                <w:color w:val="FFFFFF" w:themeColor="background1"/>
                <w:sz w:val="14"/>
                <w:szCs w:val="14"/>
                <w:lang w:val="fr-FR"/>
              </w:rPr>
              <w:t>infrastructures et de services, et notamment instaurer la confiance et la sécurité dans l</w:t>
            </w:r>
            <w:r w:rsidR="000749CB">
              <w:rPr>
                <w:rFonts w:eastAsia="Calibri"/>
                <w:color w:val="FFFFFF" w:themeColor="background1"/>
                <w:sz w:val="14"/>
                <w:szCs w:val="14"/>
                <w:lang w:val="fr-FR"/>
              </w:rPr>
              <w:t>'</w:t>
            </w:r>
            <w:r w:rsidRPr="00F67958">
              <w:rPr>
                <w:rFonts w:eastAsia="Calibri"/>
                <w:color w:val="FFFFFF" w:themeColor="background1"/>
                <w:sz w:val="14"/>
                <w:szCs w:val="14"/>
                <w:lang w:val="fr-FR"/>
              </w:rPr>
              <w:t>utilisation des télécommunications/TIC</w:t>
            </w:r>
          </w:p>
        </w:tc>
        <w:tc>
          <w:tcPr>
            <w:tcW w:w="3856"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tcPr>
          <w:p w:rsidR="00892568" w:rsidRPr="00F67958" w:rsidRDefault="00892568" w:rsidP="008F2FF8">
            <w:pPr>
              <w:pStyle w:val="Tablehead"/>
              <w:rPr>
                <w:rFonts w:eastAsia="Calibri"/>
                <w:color w:val="FFFFFF" w:themeColor="background1"/>
                <w:sz w:val="14"/>
                <w:szCs w:val="14"/>
                <w:lang w:val="fr-FR"/>
              </w:rPr>
            </w:pPr>
            <w:r w:rsidRPr="00F67958">
              <w:rPr>
                <w:rFonts w:eastAsia="Calibri"/>
                <w:color w:val="FFFFFF" w:themeColor="background1"/>
                <w:sz w:val="14"/>
                <w:szCs w:val="14"/>
                <w:lang w:val="fr-FR"/>
              </w:rPr>
              <w:t>D.3 Environnement favorable: Promouvoir la mise en place d</w:t>
            </w:r>
            <w:r w:rsidR="000749CB">
              <w:rPr>
                <w:rFonts w:eastAsia="Calibri"/>
                <w:color w:val="FFFFFF" w:themeColor="background1"/>
                <w:sz w:val="14"/>
                <w:szCs w:val="14"/>
                <w:lang w:val="fr-FR"/>
              </w:rPr>
              <w:t>'</w:t>
            </w:r>
            <w:r w:rsidRPr="00F67958">
              <w:rPr>
                <w:rFonts w:eastAsia="Calibri"/>
                <w:color w:val="FFFFFF" w:themeColor="background1"/>
                <w:sz w:val="14"/>
                <w:szCs w:val="14"/>
                <w:lang w:val="fr-FR"/>
              </w:rPr>
              <w:t>un environnement politique et réglementaire favorable au développement durable des télécommunications/TIC</w:t>
            </w:r>
          </w:p>
        </w:tc>
        <w:tc>
          <w:tcPr>
            <w:tcW w:w="3657" w:type="dxa"/>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tcPr>
          <w:p w:rsidR="00892568" w:rsidRPr="00F67958" w:rsidRDefault="00892568" w:rsidP="008F2FF8">
            <w:pPr>
              <w:pStyle w:val="Tablehead"/>
              <w:rPr>
                <w:rFonts w:eastAsia="Calibri"/>
                <w:color w:val="FFFFFF" w:themeColor="background1"/>
                <w:sz w:val="14"/>
                <w:szCs w:val="14"/>
                <w:lang w:val="fr-FR"/>
              </w:rPr>
            </w:pPr>
            <w:r w:rsidRPr="00F67958">
              <w:rPr>
                <w:rFonts w:eastAsia="Calibri"/>
                <w:color w:val="FFFFFF" w:themeColor="background1"/>
                <w:sz w:val="14"/>
                <w:szCs w:val="14"/>
                <w:lang w:val="fr-FR"/>
              </w:rPr>
              <w:t>D.4 Société numérique inclusive: Promouvoir le développement et l</w:t>
            </w:r>
            <w:r w:rsidR="000749CB">
              <w:rPr>
                <w:rFonts w:eastAsia="Calibri"/>
                <w:color w:val="FFFFFF" w:themeColor="background1"/>
                <w:sz w:val="14"/>
                <w:szCs w:val="14"/>
                <w:lang w:val="fr-FR"/>
              </w:rPr>
              <w:t>'</w:t>
            </w:r>
            <w:r w:rsidRPr="00F67958">
              <w:rPr>
                <w:rFonts w:eastAsia="Calibri"/>
                <w:color w:val="FFFFFF" w:themeColor="background1"/>
                <w:sz w:val="14"/>
                <w:szCs w:val="14"/>
                <w:lang w:val="fr-FR"/>
              </w:rPr>
              <w:t>utilisation des télécommunications/TIC et d</w:t>
            </w:r>
            <w:r w:rsidR="000749CB">
              <w:rPr>
                <w:rFonts w:eastAsia="Calibri"/>
                <w:color w:val="FFFFFF" w:themeColor="background1"/>
                <w:sz w:val="14"/>
                <w:szCs w:val="14"/>
                <w:lang w:val="fr-FR"/>
              </w:rPr>
              <w:t>'</w:t>
            </w:r>
            <w:r w:rsidRPr="00F67958">
              <w:rPr>
                <w:rFonts w:eastAsia="Calibri"/>
                <w:color w:val="FFFFFF" w:themeColor="background1"/>
                <w:sz w:val="14"/>
                <w:szCs w:val="14"/>
                <w:lang w:val="fr-FR"/>
              </w:rPr>
              <w:t>applications pour donner aux individus et aux sociétés des moyens d</w:t>
            </w:r>
            <w:r w:rsidR="000749CB">
              <w:rPr>
                <w:rFonts w:eastAsia="Calibri"/>
                <w:color w:val="FFFFFF" w:themeColor="background1"/>
                <w:sz w:val="14"/>
                <w:szCs w:val="14"/>
                <w:lang w:val="fr-FR"/>
              </w:rPr>
              <w:t>'</w:t>
            </w:r>
            <w:r w:rsidRPr="00F67958">
              <w:rPr>
                <w:rFonts w:eastAsia="Calibri"/>
                <w:color w:val="FFFFFF" w:themeColor="background1"/>
                <w:sz w:val="14"/>
                <w:szCs w:val="14"/>
                <w:lang w:val="fr-FR"/>
              </w:rPr>
              <w:t>agir en faveur du développement durable</w:t>
            </w:r>
          </w:p>
        </w:tc>
      </w:tr>
      <w:tr w:rsidR="00892568" w:rsidRPr="00F67958" w:rsidTr="0020157A">
        <w:trPr>
          <w:cantSplit/>
          <w:trHeight w:val="4063"/>
        </w:trPr>
        <w:tc>
          <w:tcPr>
            <w:tcW w:w="421"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extDirection w:val="btLr"/>
            <w:vAlign w:val="center"/>
          </w:tcPr>
          <w:p w:rsidR="00892568" w:rsidRPr="00F67958" w:rsidRDefault="00892568" w:rsidP="008F2FF8">
            <w:pPr>
              <w:spacing w:before="40" w:after="40"/>
              <w:ind w:left="113" w:right="113"/>
              <w:jc w:val="center"/>
              <w:rPr>
                <w:rFonts w:eastAsia="Calibri" w:cs="Arial"/>
                <w:color w:val="4F81BD" w:themeColor="accent1"/>
                <w:sz w:val="14"/>
                <w:szCs w:val="14"/>
                <w:lang w:val="fr-FR"/>
              </w:rPr>
            </w:pPr>
            <w:r w:rsidRPr="00F67958">
              <w:rPr>
                <w:rFonts w:eastAsia="Calibri" w:cs="Arial"/>
                <w:color w:val="4F81BD" w:themeColor="accent1"/>
                <w:sz w:val="14"/>
                <w:szCs w:val="14"/>
                <w:lang w:val="fr-FR"/>
              </w:rPr>
              <w:t>Résultats</w:t>
            </w:r>
          </w:p>
        </w:tc>
        <w:tc>
          <w:tcPr>
            <w:tcW w:w="4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D.1-1</w:t>
            </w:r>
            <w:r w:rsidRPr="00F67958">
              <w:rPr>
                <w:rFonts w:eastAsia="Calibri" w:cs="Arial"/>
                <w:sz w:val="14"/>
                <w:szCs w:val="14"/>
                <w:lang w:val="fr-FR"/>
              </w:rPr>
              <w:t>: Examen plus approfondi et meilleure adhésion au projet de contribution de l</w:t>
            </w:r>
            <w:r w:rsidR="000749CB">
              <w:rPr>
                <w:rFonts w:eastAsia="Calibri" w:cs="Arial"/>
                <w:sz w:val="14"/>
                <w:szCs w:val="14"/>
                <w:lang w:val="fr-FR"/>
              </w:rPr>
              <w:t>'</w:t>
            </w:r>
            <w:r w:rsidRPr="00F67958">
              <w:rPr>
                <w:rFonts w:eastAsia="Calibri" w:cs="Arial"/>
                <w:sz w:val="14"/>
                <w:szCs w:val="14"/>
                <w:lang w:val="fr-FR"/>
              </w:rPr>
              <w:t>UIT-D au projet de plan stratégique de l</w:t>
            </w:r>
            <w:r w:rsidR="000749CB">
              <w:rPr>
                <w:rFonts w:eastAsia="Calibri" w:cs="Arial"/>
                <w:sz w:val="14"/>
                <w:szCs w:val="14"/>
                <w:lang w:val="fr-FR"/>
              </w:rPr>
              <w:t>'</w:t>
            </w:r>
            <w:r w:rsidRPr="00F67958">
              <w:rPr>
                <w:rFonts w:eastAsia="Calibri" w:cs="Arial"/>
                <w:sz w:val="14"/>
                <w:szCs w:val="14"/>
                <w:lang w:val="fr-FR"/>
              </w:rPr>
              <w:t>UIT, à la Déclaration de la CMDT et au plan d</w:t>
            </w:r>
            <w:r w:rsidR="000749CB">
              <w:rPr>
                <w:rFonts w:eastAsia="Calibri" w:cs="Arial"/>
                <w:sz w:val="14"/>
                <w:szCs w:val="14"/>
                <w:lang w:val="fr-FR"/>
              </w:rPr>
              <w:t>'</w:t>
            </w:r>
            <w:r w:rsidRPr="00F67958">
              <w:rPr>
                <w:rFonts w:eastAsia="Calibri" w:cs="Arial"/>
                <w:sz w:val="14"/>
                <w:szCs w:val="14"/>
                <w:lang w:val="fr-FR"/>
              </w:rPr>
              <w:t>action de la CMDT.</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1, 3, 5, 10, 16 et 17 des ODD</w:t>
            </w:r>
          </w:p>
          <w:p w:rsidR="00892568" w:rsidRPr="00F67958" w:rsidRDefault="00892568" w:rsidP="00A62DD9">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des GO-SMSI C1 et</w:t>
            </w:r>
            <w:r w:rsidR="00A62DD9">
              <w:rPr>
                <w:rFonts w:eastAsia="Calibri" w:cs="Arial"/>
                <w:color w:val="943634" w:themeColor="accent2" w:themeShade="BF"/>
                <w:sz w:val="14"/>
                <w:szCs w:val="14"/>
                <w:lang w:val="fr-FR"/>
              </w:rPr>
              <w:t> </w:t>
            </w:r>
            <w:r w:rsidRPr="00F67958">
              <w:rPr>
                <w:rFonts w:eastAsia="Calibri" w:cs="Arial"/>
                <w:color w:val="943634" w:themeColor="accent2" w:themeShade="BF"/>
                <w:sz w:val="14"/>
                <w:szCs w:val="14"/>
                <w:lang w:val="fr-FR"/>
              </w:rPr>
              <w:t>C11</w:t>
            </w:r>
          </w:p>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D.1-2</w:t>
            </w:r>
            <w:r w:rsidRPr="00F67958">
              <w:rPr>
                <w:rFonts w:eastAsia="Calibri" w:cs="Arial"/>
                <w:sz w:val="14"/>
                <w:szCs w:val="14"/>
                <w:lang w:val="fr-FR"/>
              </w:rPr>
              <w:t>: Evaluation de la mise en oeuvre du Plan d</w:t>
            </w:r>
            <w:r w:rsidR="000749CB">
              <w:rPr>
                <w:rFonts w:eastAsia="Calibri" w:cs="Arial"/>
                <w:sz w:val="14"/>
                <w:szCs w:val="14"/>
                <w:lang w:val="fr-FR"/>
              </w:rPr>
              <w:t>'</w:t>
            </w:r>
            <w:r w:rsidRPr="00F67958">
              <w:rPr>
                <w:rFonts w:eastAsia="Calibri" w:cs="Arial"/>
                <w:sz w:val="14"/>
                <w:szCs w:val="14"/>
                <w:lang w:val="fr-FR"/>
              </w:rPr>
              <w:t>action de la CMDT et du plan d</w:t>
            </w:r>
            <w:r w:rsidR="000749CB">
              <w:rPr>
                <w:rFonts w:eastAsia="Calibri" w:cs="Arial"/>
                <w:sz w:val="14"/>
                <w:szCs w:val="14"/>
                <w:lang w:val="fr-FR"/>
              </w:rPr>
              <w:t>'</w:t>
            </w:r>
            <w:r w:rsidRPr="00F67958">
              <w:rPr>
                <w:rFonts w:eastAsia="Calibri" w:cs="Arial"/>
                <w:sz w:val="14"/>
                <w:szCs w:val="14"/>
                <w:lang w:val="fr-FR"/>
              </w:rPr>
              <w:t>action du SMSI.</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1, 3, 5, 10, 16 et 17 des ODD</w:t>
            </w:r>
          </w:p>
          <w:p w:rsidR="00892568" w:rsidRPr="00F67958" w:rsidRDefault="00892568" w:rsidP="00A62DD9">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des GO-SMSI C1 et</w:t>
            </w:r>
            <w:r w:rsidR="00A62DD9">
              <w:rPr>
                <w:rFonts w:eastAsia="Calibri" w:cs="Arial"/>
                <w:color w:val="943634" w:themeColor="accent2" w:themeShade="BF"/>
                <w:sz w:val="14"/>
                <w:szCs w:val="14"/>
                <w:lang w:val="fr-FR"/>
              </w:rPr>
              <w:t> </w:t>
            </w:r>
            <w:r w:rsidRPr="00F67958">
              <w:rPr>
                <w:rFonts w:eastAsia="Calibri" w:cs="Arial"/>
                <w:color w:val="943634" w:themeColor="accent2" w:themeShade="BF"/>
                <w:sz w:val="14"/>
                <w:szCs w:val="14"/>
                <w:lang w:val="fr-FR"/>
              </w:rPr>
              <w:t>C11</w:t>
            </w:r>
          </w:p>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D.1-3</w:t>
            </w:r>
            <w:r w:rsidRPr="00F67958">
              <w:rPr>
                <w:rFonts w:eastAsia="Calibri" w:cs="Arial"/>
                <w:sz w:val="14"/>
                <w:szCs w:val="14"/>
                <w:lang w:val="fr-FR"/>
              </w:rPr>
              <w:t>: Renforcement de l</w:t>
            </w:r>
            <w:r w:rsidR="000749CB">
              <w:rPr>
                <w:rFonts w:eastAsia="Calibri" w:cs="Arial"/>
                <w:sz w:val="14"/>
                <w:szCs w:val="14"/>
                <w:lang w:val="fr-FR"/>
              </w:rPr>
              <w:t>'</w:t>
            </w:r>
            <w:r w:rsidRPr="00F67958">
              <w:rPr>
                <w:rFonts w:eastAsia="Calibri" w:cs="Arial"/>
                <w:sz w:val="14"/>
                <w:szCs w:val="14"/>
                <w:lang w:val="fr-FR"/>
              </w:rPr>
              <w:t>échange de connaissances, du dialogue et des partenariats entre les membres de l</w:t>
            </w:r>
            <w:r w:rsidR="000749CB">
              <w:rPr>
                <w:rFonts w:eastAsia="Calibri" w:cs="Arial"/>
                <w:sz w:val="14"/>
                <w:szCs w:val="14"/>
                <w:lang w:val="fr-FR"/>
              </w:rPr>
              <w:t>'</w:t>
            </w:r>
            <w:r w:rsidRPr="00F67958">
              <w:rPr>
                <w:rFonts w:eastAsia="Calibri" w:cs="Arial"/>
                <w:sz w:val="14"/>
                <w:szCs w:val="14"/>
                <w:lang w:val="fr-FR"/>
              </w:rPr>
              <w:t>UIT concernant les questions de télécommunication/TIC.</w:t>
            </w:r>
            <w:r w:rsidRPr="00F67958" w:rsidDel="007A6810">
              <w:rPr>
                <w:rFonts w:eastAsia="Calibri" w:cs="Arial"/>
                <w:sz w:val="14"/>
                <w:szCs w:val="14"/>
                <w:lang w:val="fr-FR"/>
              </w:rPr>
              <w:t xml:space="preserve"> </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1, 3, 5, 10, 16 et 17 des ODD</w:t>
            </w:r>
          </w:p>
          <w:p w:rsidR="00892568" w:rsidRPr="00F67958" w:rsidRDefault="00892568" w:rsidP="00A62DD9">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des GO-SMSI C1 et</w:t>
            </w:r>
            <w:r w:rsidR="00A62DD9">
              <w:rPr>
                <w:rFonts w:eastAsia="Calibri" w:cs="Arial"/>
                <w:color w:val="943634" w:themeColor="accent2" w:themeShade="BF"/>
                <w:sz w:val="14"/>
                <w:szCs w:val="14"/>
                <w:lang w:val="fr-FR"/>
              </w:rPr>
              <w:t> </w:t>
            </w:r>
            <w:r w:rsidRPr="00F67958">
              <w:rPr>
                <w:rFonts w:eastAsia="Calibri" w:cs="Arial"/>
                <w:color w:val="943634" w:themeColor="accent2" w:themeShade="BF"/>
                <w:sz w:val="14"/>
                <w:szCs w:val="14"/>
                <w:lang w:val="fr-FR"/>
              </w:rPr>
              <w:t>C11</w:t>
            </w:r>
          </w:p>
          <w:p w:rsidR="00892568" w:rsidRPr="00F67958" w:rsidRDefault="00892568" w:rsidP="008F2FF8">
            <w:pPr>
              <w:spacing w:before="40" w:after="40"/>
              <w:rPr>
                <w:sz w:val="14"/>
                <w:szCs w:val="14"/>
                <w:lang w:val="fr-FR"/>
              </w:rPr>
            </w:pPr>
            <w:r w:rsidRPr="00F67958">
              <w:rPr>
                <w:rFonts w:eastAsia="Calibri" w:cs="Arial"/>
                <w:b/>
                <w:bCs/>
                <w:color w:val="4F81BD" w:themeColor="accent1"/>
                <w:sz w:val="14"/>
                <w:szCs w:val="14"/>
                <w:lang w:val="fr-FR"/>
              </w:rPr>
              <w:t>D.1-4</w:t>
            </w:r>
            <w:r w:rsidRPr="00F67958">
              <w:rPr>
                <w:sz w:val="14"/>
                <w:szCs w:val="14"/>
                <w:lang w:val="fr-FR"/>
              </w:rPr>
              <w:t>: Renforcement du processus et de la mise en oeuvre de projets de développement et d</w:t>
            </w:r>
            <w:r w:rsidR="000749CB">
              <w:rPr>
                <w:sz w:val="14"/>
                <w:szCs w:val="14"/>
                <w:lang w:val="fr-FR"/>
              </w:rPr>
              <w:t>'</w:t>
            </w:r>
            <w:r w:rsidRPr="00F67958">
              <w:rPr>
                <w:sz w:val="14"/>
                <w:szCs w:val="14"/>
                <w:lang w:val="fr-FR"/>
              </w:rPr>
              <w:t>initiatives régionales dans le domaine des télécommunications/TIC.</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1 et 17 des ODD</w:t>
            </w:r>
          </w:p>
          <w:p w:rsidR="00892568" w:rsidRPr="00F67958" w:rsidRDefault="00892568" w:rsidP="00A62DD9">
            <w:pPr>
              <w:spacing w:before="40" w:after="40"/>
              <w:rPr>
                <w:rFonts w:eastAsia="Calibri" w:cs="Arial"/>
                <w:color w:val="10662B"/>
                <w:sz w:val="14"/>
                <w:szCs w:val="14"/>
                <w:lang w:val="fr-FR"/>
              </w:rPr>
            </w:pPr>
            <w:r w:rsidRPr="00F67958">
              <w:rPr>
                <w:rFonts w:eastAsia="Calibri" w:cs="Arial"/>
                <w:color w:val="943634" w:themeColor="accent2" w:themeShade="BF"/>
                <w:sz w:val="14"/>
                <w:szCs w:val="14"/>
                <w:lang w:val="fr-FR"/>
              </w:rPr>
              <w:t>Contribue à la coordination de la mise en oeuvre des GO-SMSI C1 et</w:t>
            </w:r>
            <w:r w:rsidR="00A62DD9">
              <w:rPr>
                <w:rFonts w:eastAsia="Calibri" w:cs="Arial"/>
                <w:color w:val="943634" w:themeColor="accent2" w:themeShade="BF"/>
                <w:sz w:val="14"/>
                <w:szCs w:val="14"/>
                <w:lang w:val="fr-FR"/>
              </w:rPr>
              <w:t> </w:t>
            </w:r>
            <w:r w:rsidRPr="00F67958">
              <w:rPr>
                <w:rFonts w:eastAsia="Calibri" w:cs="Arial"/>
                <w:color w:val="943634" w:themeColor="accent2" w:themeShade="BF"/>
                <w:sz w:val="14"/>
                <w:szCs w:val="14"/>
                <w:lang w:val="fr-FR"/>
              </w:rPr>
              <w:t>C11</w:t>
            </w:r>
          </w:p>
          <w:p w:rsidR="00892568" w:rsidRPr="00F67958" w:rsidRDefault="00892568" w:rsidP="008F2FF8">
            <w:pPr>
              <w:spacing w:before="40" w:after="40"/>
              <w:rPr>
                <w:rFonts w:ascii="Calibri" w:eastAsia="Calibri" w:hAnsi="Calibri" w:cs="Arial"/>
                <w:sz w:val="14"/>
                <w:szCs w:val="14"/>
                <w:lang w:val="fr-FR"/>
              </w:rPr>
            </w:pPr>
            <w:r w:rsidRPr="00F67958">
              <w:rPr>
                <w:rFonts w:eastAsia="Calibri" w:cs="Arial"/>
                <w:b/>
                <w:bCs/>
                <w:color w:val="4F81BD" w:themeColor="accent1"/>
                <w:sz w:val="14"/>
                <w:szCs w:val="14"/>
                <w:lang w:val="fr-FR"/>
              </w:rPr>
              <w:t>D.1.5</w:t>
            </w:r>
            <w:r w:rsidRPr="00F67958">
              <w:rPr>
                <w:rFonts w:ascii="Calibri" w:eastAsia="Calibri" w:hAnsi="Calibri" w:cs="Arial"/>
                <w:sz w:val="14"/>
                <w:szCs w:val="14"/>
                <w:lang w:val="fr-FR"/>
              </w:rPr>
              <w:t>: Faciliter la conclusion d</w:t>
            </w:r>
            <w:r w:rsidR="000749CB">
              <w:rPr>
                <w:rFonts w:ascii="Calibri" w:eastAsia="Calibri" w:hAnsi="Calibri" w:cs="Arial"/>
                <w:sz w:val="14"/>
                <w:szCs w:val="14"/>
                <w:lang w:val="fr-FR"/>
              </w:rPr>
              <w:t>'</w:t>
            </w:r>
            <w:r w:rsidRPr="00F67958">
              <w:rPr>
                <w:rFonts w:ascii="Calibri" w:eastAsia="Calibri" w:hAnsi="Calibri" w:cs="Arial"/>
                <w:sz w:val="14"/>
                <w:szCs w:val="14"/>
                <w:lang w:val="fr-FR"/>
              </w:rPr>
              <w:t>accords de coopération concernant des programmes de développement des télécommunications/TIC entre les Etats Membres, ainsi qu</w:t>
            </w:r>
            <w:r w:rsidR="000749CB">
              <w:rPr>
                <w:rFonts w:ascii="Calibri" w:eastAsia="Calibri" w:hAnsi="Calibri" w:cs="Arial"/>
                <w:sz w:val="14"/>
                <w:szCs w:val="14"/>
                <w:lang w:val="fr-FR"/>
              </w:rPr>
              <w:t>'</w:t>
            </w:r>
            <w:r w:rsidRPr="00F67958">
              <w:rPr>
                <w:rFonts w:ascii="Calibri" w:eastAsia="Calibri" w:hAnsi="Calibri" w:cs="Arial"/>
                <w:sz w:val="14"/>
                <w:szCs w:val="14"/>
                <w:lang w:val="fr-FR"/>
              </w:rPr>
              <w:t>entre les Etats Membres et d</w:t>
            </w:r>
            <w:r w:rsidR="000749CB">
              <w:rPr>
                <w:rFonts w:ascii="Calibri" w:eastAsia="Calibri" w:hAnsi="Calibri" w:cs="Arial"/>
                <w:sz w:val="14"/>
                <w:szCs w:val="14"/>
                <w:lang w:val="fr-FR"/>
              </w:rPr>
              <w:t>'</w:t>
            </w:r>
            <w:r w:rsidRPr="00F67958">
              <w:rPr>
                <w:rFonts w:ascii="Calibri" w:eastAsia="Calibri" w:hAnsi="Calibri" w:cs="Arial"/>
                <w:sz w:val="14"/>
                <w:szCs w:val="14"/>
                <w:lang w:val="fr-FR"/>
              </w:rPr>
              <w:t>autres parties prenantes de l</w:t>
            </w:r>
            <w:r w:rsidR="000749CB">
              <w:rPr>
                <w:rFonts w:ascii="Calibri" w:eastAsia="Calibri" w:hAnsi="Calibri" w:cs="Arial"/>
                <w:sz w:val="14"/>
                <w:szCs w:val="14"/>
                <w:lang w:val="fr-FR"/>
              </w:rPr>
              <w:t>'</w:t>
            </w:r>
            <w:r w:rsidRPr="00F67958">
              <w:rPr>
                <w:rFonts w:ascii="Calibri" w:eastAsia="Calibri" w:hAnsi="Calibri" w:cs="Arial"/>
                <w:sz w:val="14"/>
                <w:szCs w:val="14"/>
                <w:lang w:val="fr-FR"/>
              </w:rPr>
              <w:t>écosystème des TIC, sur la base des demandes formulées par les Etats Membres concernés de l</w:t>
            </w:r>
            <w:r w:rsidR="000749CB">
              <w:rPr>
                <w:rFonts w:ascii="Calibri" w:eastAsia="Calibri" w:hAnsi="Calibri" w:cs="Arial"/>
                <w:sz w:val="14"/>
                <w:szCs w:val="14"/>
                <w:lang w:val="fr-FR"/>
              </w:rPr>
              <w:t>'</w:t>
            </w:r>
            <w:r w:rsidRPr="00F67958">
              <w:rPr>
                <w:rFonts w:ascii="Calibri" w:eastAsia="Calibri" w:hAnsi="Calibri" w:cs="Arial"/>
                <w:sz w:val="14"/>
                <w:szCs w:val="14"/>
                <w:lang w:val="fr-FR"/>
              </w:rPr>
              <w:t>UIT.</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1 et 17 des ODD</w:t>
            </w:r>
          </w:p>
          <w:p w:rsidR="00892568" w:rsidRPr="00F67958" w:rsidRDefault="00892568" w:rsidP="00A62DD9">
            <w:pPr>
              <w:spacing w:before="40" w:after="40"/>
              <w:rPr>
                <w:rFonts w:eastAsia="Calibri" w:cs="Arial"/>
                <w:b/>
                <w:bCs/>
                <w:color w:val="4F81BD" w:themeColor="accent1"/>
                <w:sz w:val="14"/>
                <w:szCs w:val="14"/>
                <w:lang w:val="fr-FR"/>
              </w:rPr>
            </w:pPr>
            <w:r w:rsidRPr="00F67958">
              <w:rPr>
                <w:rFonts w:eastAsia="Calibri" w:cs="Arial"/>
                <w:color w:val="943634" w:themeColor="accent2" w:themeShade="BF"/>
                <w:sz w:val="14"/>
                <w:szCs w:val="14"/>
                <w:lang w:val="fr-FR"/>
              </w:rPr>
              <w:t>Contribue à la coordination de la mise en oeuvre des GO-SMSI C1 et</w:t>
            </w:r>
            <w:r w:rsidR="00A62DD9">
              <w:rPr>
                <w:rFonts w:eastAsia="Calibri" w:cs="Arial"/>
                <w:color w:val="943634" w:themeColor="accent2" w:themeShade="BF"/>
                <w:sz w:val="14"/>
                <w:szCs w:val="14"/>
                <w:lang w:val="fr-FR"/>
              </w:rPr>
              <w:t> </w:t>
            </w:r>
            <w:r w:rsidRPr="00F67958">
              <w:rPr>
                <w:rFonts w:eastAsia="Calibri" w:cs="Arial"/>
                <w:color w:val="943634" w:themeColor="accent2" w:themeShade="BF"/>
                <w:sz w:val="14"/>
                <w:szCs w:val="14"/>
                <w:lang w:val="fr-FR"/>
              </w:rPr>
              <w:t>C11</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D.2-1</w:t>
            </w:r>
            <w:r w:rsidRPr="00F67958">
              <w:rPr>
                <w:rFonts w:eastAsia="Calibri" w:cs="Arial"/>
                <w:sz w:val="14"/>
                <w:szCs w:val="14"/>
                <w:lang w:val="fr-FR"/>
              </w:rPr>
              <w:t>: Renforcement de la capacité des membres de l</w:t>
            </w:r>
            <w:r w:rsidR="000749CB">
              <w:rPr>
                <w:rFonts w:eastAsia="Calibri" w:cs="Arial"/>
                <w:sz w:val="14"/>
                <w:szCs w:val="14"/>
                <w:lang w:val="fr-FR"/>
              </w:rPr>
              <w:t>'</w:t>
            </w:r>
            <w:r w:rsidRPr="00F67958">
              <w:rPr>
                <w:rFonts w:eastAsia="Calibri" w:cs="Arial"/>
                <w:sz w:val="14"/>
                <w:szCs w:val="14"/>
                <w:lang w:val="fr-FR"/>
              </w:rPr>
              <w:t>UIT de fournir des infrastructures et des services de télécommunication/TIC robustes.</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1, 3, 5, 8, 9, 10, 11, 16 et 17 des ODD</w:t>
            </w:r>
          </w:p>
          <w:p w:rsidR="00892568" w:rsidRPr="00F67958" w:rsidRDefault="00892568" w:rsidP="008F2FF8">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des GO-SMSI C1, C2, C3, C9 et C11</w:t>
            </w:r>
          </w:p>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D.2-2</w:t>
            </w:r>
            <w:r w:rsidRPr="00F67958">
              <w:rPr>
                <w:rFonts w:eastAsia="Calibri" w:cs="Arial"/>
                <w:sz w:val="14"/>
                <w:szCs w:val="14"/>
                <w:lang w:val="fr-FR"/>
              </w:rPr>
              <w:t>: Renforcement de la capacité des Etats Membres d</w:t>
            </w:r>
            <w:r w:rsidR="000749CB">
              <w:rPr>
                <w:rFonts w:eastAsia="Calibri" w:cs="Arial"/>
                <w:sz w:val="14"/>
                <w:szCs w:val="14"/>
                <w:lang w:val="fr-FR"/>
              </w:rPr>
              <w:t>'</w:t>
            </w:r>
            <w:r w:rsidRPr="00F67958">
              <w:rPr>
                <w:rFonts w:eastAsia="Calibri" w:cs="Arial"/>
                <w:sz w:val="14"/>
                <w:szCs w:val="14"/>
                <w:lang w:val="fr-FR"/>
              </w:rPr>
              <w:t>échanger efficacement des informations, de trouver des solutions et de lutter contre les menaces en matière de cybersécurité ainsi que d</w:t>
            </w:r>
            <w:r w:rsidR="000749CB">
              <w:rPr>
                <w:rFonts w:eastAsia="Calibri" w:cs="Arial"/>
                <w:sz w:val="14"/>
                <w:szCs w:val="14"/>
                <w:lang w:val="fr-FR"/>
              </w:rPr>
              <w:t>'</w:t>
            </w:r>
            <w:r w:rsidRPr="00F67958">
              <w:rPr>
                <w:rFonts w:eastAsia="Calibri" w:cs="Arial"/>
                <w:sz w:val="14"/>
                <w:szCs w:val="14"/>
                <w:lang w:val="fr-FR"/>
              </w:rPr>
              <w:t>élaborer et de mettre en oeuvre des stratégies et des capacités au niveau national, y compris par le biais du renforcement des capacités, en encourageant la coopération aux niveaux national, régional et international en vue d</w:t>
            </w:r>
            <w:r w:rsidR="000749CB">
              <w:rPr>
                <w:rFonts w:eastAsia="Calibri" w:cs="Arial"/>
                <w:sz w:val="14"/>
                <w:szCs w:val="14"/>
                <w:lang w:val="fr-FR"/>
              </w:rPr>
              <w:t>'</w:t>
            </w:r>
            <w:r w:rsidRPr="00F67958">
              <w:rPr>
                <w:rFonts w:eastAsia="Calibri" w:cs="Arial"/>
                <w:sz w:val="14"/>
                <w:szCs w:val="14"/>
                <w:lang w:val="fr-FR"/>
              </w:rPr>
              <w:t>une participation accrue entre les Etats Membres et les acteurs concernés.</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4, 9, 11, 16 et 17 des ODD</w:t>
            </w:r>
          </w:p>
          <w:p w:rsidR="00892568" w:rsidRPr="00F67958" w:rsidRDefault="00892568" w:rsidP="008F2FF8">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 la GO-SMSI C5</w:t>
            </w:r>
          </w:p>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D.2-3</w:t>
            </w:r>
            <w:r w:rsidRPr="00F67958">
              <w:rPr>
                <w:rFonts w:eastAsia="Calibri" w:cs="Arial"/>
                <w:sz w:val="14"/>
                <w:szCs w:val="14"/>
                <w:lang w:val="fr-FR"/>
              </w:rPr>
              <w:t>: Renforcement de la capacité des Etats Membres d</w:t>
            </w:r>
            <w:r w:rsidR="000749CB">
              <w:rPr>
                <w:rFonts w:eastAsia="Calibri" w:cs="Arial"/>
                <w:sz w:val="14"/>
                <w:szCs w:val="14"/>
                <w:lang w:val="fr-FR"/>
              </w:rPr>
              <w:t>'</w:t>
            </w:r>
            <w:r w:rsidRPr="00F67958">
              <w:rPr>
                <w:rFonts w:eastAsia="Calibri" w:cs="Arial"/>
                <w:sz w:val="14"/>
                <w:szCs w:val="14"/>
                <w:lang w:val="fr-FR"/>
              </w:rPr>
              <w:t>utiliser les télécommunications/TIC pour l</w:t>
            </w:r>
            <w:r w:rsidR="000749CB">
              <w:rPr>
                <w:rFonts w:eastAsia="Calibri" w:cs="Arial"/>
                <w:sz w:val="14"/>
                <w:szCs w:val="14"/>
                <w:lang w:val="fr-FR"/>
              </w:rPr>
              <w:t>'</w:t>
            </w:r>
            <w:r w:rsidRPr="00F67958">
              <w:rPr>
                <w:rFonts w:eastAsia="Calibri" w:cs="Arial"/>
                <w:sz w:val="14"/>
                <w:szCs w:val="14"/>
                <w:lang w:val="fr-FR"/>
              </w:rPr>
              <w:t>atténuation et la gestion des risques de catastrophe, pour garantir la disponibilité des télécommunications d</w:t>
            </w:r>
            <w:r w:rsidR="000749CB">
              <w:rPr>
                <w:rFonts w:eastAsia="Calibri" w:cs="Arial"/>
                <w:sz w:val="14"/>
                <w:szCs w:val="14"/>
                <w:lang w:val="fr-FR"/>
              </w:rPr>
              <w:t>'</w:t>
            </w:r>
            <w:r w:rsidRPr="00F67958">
              <w:rPr>
                <w:rFonts w:eastAsia="Calibri" w:cs="Arial"/>
                <w:sz w:val="14"/>
                <w:szCs w:val="14"/>
                <w:lang w:val="fr-FR"/>
              </w:rPr>
              <w:t>urgence et appuyer la coopération dans ce domaine.</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1, 3, 5, 11 et 13 des ODD</w:t>
            </w:r>
          </w:p>
          <w:p w:rsidR="00892568" w:rsidRPr="00F67958" w:rsidRDefault="00892568" w:rsidP="008F2FF8">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des GO-SMSI C2 et C7</w:t>
            </w:r>
          </w:p>
        </w:tc>
        <w:tc>
          <w:tcPr>
            <w:tcW w:w="385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D.3-1</w:t>
            </w:r>
            <w:r w:rsidRPr="00F67958">
              <w:rPr>
                <w:rFonts w:eastAsia="Calibri" w:cs="Arial"/>
                <w:sz w:val="14"/>
                <w:szCs w:val="14"/>
                <w:lang w:val="fr-FR"/>
              </w:rPr>
              <w:t>: Renforcement de la capacité des Etats Membres d</w:t>
            </w:r>
            <w:r w:rsidR="000749CB">
              <w:rPr>
                <w:rFonts w:eastAsia="Calibri" w:cs="Arial"/>
                <w:sz w:val="14"/>
                <w:szCs w:val="14"/>
                <w:lang w:val="fr-FR"/>
              </w:rPr>
              <w:t>'</w:t>
            </w:r>
            <w:r w:rsidRPr="00F67958">
              <w:rPr>
                <w:rFonts w:eastAsia="Calibri" w:cs="Arial"/>
                <w:sz w:val="14"/>
                <w:szCs w:val="14"/>
                <w:lang w:val="fr-FR"/>
              </w:rPr>
              <w:t>améliorer leurs cadres politiques, juridiques et réglementaires favorables au développement des télécommunications/TIC.</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2, 4, 5, 8, 9, 10, 11, 16 et 17 des ODD</w:t>
            </w:r>
          </w:p>
          <w:p w:rsidR="00892568" w:rsidRPr="00F67958" w:rsidRDefault="00892568" w:rsidP="008F2FF8">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 la GO-SMSI C6</w:t>
            </w:r>
          </w:p>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D.3-2</w:t>
            </w:r>
            <w:r w:rsidRPr="00F67958">
              <w:rPr>
                <w:rFonts w:eastAsia="Calibri" w:cs="Arial"/>
                <w:sz w:val="14"/>
                <w:szCs w:val="14"/>
                <w:lang w:val="fr-FR"/>
              </w:rPr>
              <w:t>: Renforcement de la capacité des Etats Membres de produire des statistiques sur les télécommunications/TIC de qualité et comparables à l</w:t>
            </w:r>
            <w:r w:rsidR="000749CB">
              <w:rPr>
                <w:rFonts w:eastAsia="Calibri" w:cs="Arial"/>
                <w:sz w:val="14"/>
                <w:szCs w:val="14"/>
                <w:lang w:val="fr-FR"/>
              </w:rPr>
              <w:t>'</w:t>
            </w:r>
            <w:r w:rsidRPr="00F67958">
              <w:rPr>
                <w:rFonts w:eastAsia="Calibri" w:cs="Arial"/>
                <w:sz w:val="14"/>
                <w:szCs w:val="14"/>
                <w:lang w:val="fr-FR"/>
              </w:rPr>
              <w:t>échelle internationale, qui tiennent compte de l</w:t>
            </w:r>
            <w:r w:rsidR="000749CB">
              <w:rPr>
                <w:rFonts w:eastAsia="Calibri" w:cs="Arial"/>
                <w:sz w:val="14"/>
                <w:szCs w:val="14"/>
                <w:lang w:val="fr-FR"/>
              </w:rPr>
              <w:t>'</w:t>
            </w:r>
            <w:r w:rsidRPr="00F67958">
              <w:rPr>
                <w:rFonts w:eastAsia="Calibri" w:cs="Arial"/>
                <w:sz w:val="14"/>
                <w:szCs w:val="14"/>
                <w:lang w:val="fr-FR"/>
              </w:rPr>
              <w:t>évolution et des tendances dans le secteur des télécommunications/TIC, à partir de normes et de méthodologies convenues.</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1 à 17 des ODD</w:t>
            </w:r>
          </w:p>
          <w:p w:rsidR="00892568" w:rsidRPr="00F67958" w:rsidRDefault="00892568" w:rsidP="008F2FF8">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des GO-SMSI C1 à C11</w:t>
            </w:r>
          </w:p>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D.3-3</w:t>
            </w:r>
            <w:r w:rsidRPr="00F67958">
              <w:rPr>
                <w:rFonts w:eastAsia="Calibri" w:cs="Arial"/>
                <w:sz w:val="14"/>
                <w:szCs w:val="14"/>
                <w:lang w:val="fr-FR"/>
              </w:rPr>
              <w:t>: Renforcement des capacités humaines et institutionnelles des membres de l</w:t>
            </w:r>
            <w:r w:rsidR="000749CB">
              <w:rPr>
                <w:rFonts w:eastAsia="Calibri" w:cs="Arial"/>
                <w:sz w:val="14"/>
                <w:szCs w:val="14"/>
                <w:lang w:val="fr-FR"/>
              </w:rPr>
              <w:t>'</w:t>
            </w:r>
            <w:r w:rsidRPr="00F67958">
              <w:rPr>
                <w:rFonts w:eastAsia="Calibri" w:cs="Arial"/>
                <w:sz w:val="14"/>
                <w:szCs w:val="14"/>
                <w:lang w:val="fr-FR"/>
              </w:rPr>
              <w:t>UIT à exploiter pleinement le potentiel des télécommunications/TIC.</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1, 2, 3, 4, 5, 6, 12, 13, 14, 16 et 17 des ODD</w:t>
            </w:r>
          </w:p>
          <w:p w:rsidR="00892568" w:rsidRPr="00F67958" w:rsidRDefault="00892568" w:rsidP="008F2FF8">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 la GO-SMSI C4</w:t>
            </w:r>
          </w:p>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D.3-4</w:t>
            </w:r>
            <w:r w:rsidRPr="00F67958">
              <w:rPr>
                <w:rFonts w:eastAsia="Calibri" w:cs="Arial"/>
                <w:sz w:val="14"/>
                <w:szCs w:val="14"/>
                <w:lang w:val="fr-FR"/>
              </w:rPr>
              <w:t>: Renforcement de la capacité des membres de l</w:t>
            </w:r>
            <w:r w:rsidR="000749CB">
              <w:rPr>
                <w:rFonts w:eastAsia="Calibri" w:cs="Arial"/>
                <w:sz w:val="14"/>
                <w:szCs w:val="14"/>
                <w:lang w:val="fr-FR"/>
              </w:rPr>
              <w:t>'</w:t>
            </w:r>
            <w:r w:rsidRPr="00F67958">
              <w:rPr>
                <w:rFonts w:eastAsia="Calibri" w:cs="Arial"/>
                <w:sz w:val="14"/>
                <w:szCs w:val="14"/>
                <w:lang w:val="fr-FR"/>
              </w:rPr>
              <w:t>UIT d</w:t>
            </w:r>
            <w:r w:rsidR="000749CB">
              <w:rPr>
                <w:rFonts w:eastAsia="Calibri" w:cs="Arial"/>
                <w:sz w:val="14"/>
                <w:szCs w:val="14"/>
                <w:lang w:val="fr-FR"/>
              </w:rPr>
              <w:t>'</w:t>
            </w:r>
            <w:r w:rsidRPr="00F67958">
              <w:rPr>
                <w:rFonts w:eastAsia="Calibri" w:cs="Arial"/>
                <w:sz w:val="14"/>
                <w:szCs w:val="14"/>
                <w:lang w:val="fr-FR"/>
              </w:rPr>
              <w:t>intégrer l</w:t>
            </w:r>
            <w:r w:rsidR="000749CB">
              <w:rPr>
                <w:rFonts w:eastAsia="Calibri" w:cs="Arial"/>
                <w:sz w:val="14"/>
                <w:szCs w:val="14"/>
                <w:lang w:val="fr-FR"/>
              </w:rPr>
              <w:t>'</w:t>
            </w:r>
            <w:r w:rsidRPr="00F67958">
              <w:rPr>
                <w:rFonts w:eastAsia="Calibri" w:cs="Arial"/>
                <w:sz w:val="14"/>
                <w:szCs w:val="14"/>
                <w:lang w:val="fr-FR"/>
              </w:rPr>
              <w:t>innovation dans le secteur des télécommunications/TIC dans leurs programmes nationaux de développement et d</w:t>
            </w:r>
            <w:r w:rsidR="000749CB">
              <w:rPr>
                <w:rFonts w:eastAsia="Calibri" w:cs="Arial"/>
                <w:sz w:val="14"/>
                <w:szCs w:val="14"/>
                <w:lang w:val="fr-FR"/>
              </w:rPr>
              <w:t>'</w:t>
            </w:r>
            <w:r w:rsidRPr="00F67958">
              <w:rPr>
                <w:rFonts w:eastAsia="Calibri" w:cs="Arial"/>
                <w:sz w:val="14"/>
                <w:szCs w:val="14"/>
                <w:lang w:val="fr-FR"/>
              </w:rPr>
              <w:t>élaborer des stratégies visant à promouvoir les initiatives en matière d</w:t>
            </w:r>
            <w:r w:rsidR="000749CB">
              <w:rPr>
                <w:rFonts w:eastAsia="Calibri" w:cs="Arial"/>
                <w:sz w:val="14"/>
                <w:szCs w:val="14"/>
                <w:lang w:val="fr-FR"/>
              </w:rPr>
              <w:t>'</w:t>
            </w:r>
            <w:r w:rsidRPr="00F67958">
              <w:rPr>
                <w:rFonts w:eastAsia="Calibri" w:cs="Arial"/>
                <w:sz w:val="14"/>
                <w:szCs w:val="14"/>
                <w:lang w:val="fr-FR"/>
              </w:rPr>
              <w:t>innovation, y compris dans le cadre de partenariats publics, privés ou public-privé.</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1, 2, 3, 4, 5, 9, 12, 16 et 17 des ODD</w:t>
            </w:r>
          </w:p>
          <w:p w:rsidR="00892568" w:rsidRPr="00F67958" w:rsidRDefault="00892568" w:rsidP="008F2FF8">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des GO-SMSI C1, C2, C3, C4, C5, C6, C7 et C11</w:t>
            </w:r>
          </w:p>
        </w:tc>
        <w:tc>
          <w:tcPr>
            <w:tcW w:w="36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D.4-1</w:t>
            </w:r>
            <w:r w:rsidRPr="00F67958">
              <w:rPr>
                <w:rFonts w:eastAsia="Calibri" w:cs="Arial"/>
                <w:sz w:val="14"/>
                <w:szCs w:val="14"/>
                <w:lang w:val="fr-FR"/>
              </w:rPr>
              <w:t>: Amélioration de l</w:t>
            </w:r>
            <w:r w:rsidR="000749CB">
              <w:rPr>
                <w:rFonts w:eastAsia="Calibri" w:cs="Arial"/>
                <w:sz w:val="14"/>
                <w:szCs w:val="14"/>
                <w:lang w:val="fr-FR"/>
              </w:rPr>
              <w:t>'</w:t>
            </w:r>
            <w:r w:rsidRPr="00F67958">
              <w:rPr>
                <w:rFonts w:eastAsia="Calibri" w:cs="Arial"/>
                <w:sz w:val="14"/>
                <w:szCs w:val="14"/>
                <w:lang w:val="fr-FR"/>
              </w:rPr>
              <w:t>accès aux télécommunications/TIC et de leur utilisation dans les pays les moins avancés (PMA), les petits Etats insulaires en développement (PEID) et les pays en développement sans littoral (PDSL), ainsi que dans les pays dont l</w:t>
            </w:r>
            <w:r w:rsidR="000749CB">
              <w:rPr>
                <w:rFonts w:eastAsia="Calibri" w:cs="Arial"/>
                <w:sz w:val="14"/>
                <w:szCs w:val="14"/>
                <w:lang w:val="fr-FR"/>
              </w:rPr>
              <w:t>'</w:t>
            </w:r>
            <w:r w:rsidRPr="00F67958">
              <w:rPr>
                <w:rFonts w:eastAsia="Calibri" w:cs="Arial"/>
                <w:sz w:val="14"/>
                <w:szCs w:val="14"/>
                <w:lang w:val="fr-FR"/>
              </w:rPr>
              <w:t>économie est en transition.</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1, 3, 7, 8, 9, 11, 13 et 17 des ODD</w:t>
            </w:r>
          </w:p>
          <w:p w:rsidR="00892568" w:rsidRPr="00F67958" w:rsidRDefault="00892568" w:rsidP="008F2FF8">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des GO</w:t>
            </w:r>
            <w:r w:rsidRPr="00F67958">
              <w:rPr>
                <w:rFonts w:eastAsia="Calibri" w:cs="Arial"/>
                <w:color w:val="943634" w:themeColor="accent2" w:themeShade="BF"/>
                <w:sz w:val="14"/>
                <w:szCs w:val="14"/>
                <w:lang w:val="fr-FR"/>
              </w:rPr>
              <w:noBreakHyphen/>
              <w:t>SMSI C2, C6 et C7</w:t>
            </w:r>
          </w:p>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D.4-2</w:t>
            </w:r>
            <w:r w:rsidRPr="00F67958">
              <w:rPr>
                <w:rFonts w:eastAsia="Calibri" w:cs="Arial"/>
                <w:sz w:val="14"/>
                <w:szCs w:val="14"/>
                <w:lang w:val="fr-FR"/>
              </w:rPr>
              <w:t>: Renforcement de la capacité des membres de l</w:t>
            </w:r>
            <w:r w:rsidR="000749CB">
              <w:rPr>
                <w:rFonts w:eastAsia="Calibri" w:cs="Arial"/>
                <w:sz w:val="14"/>
                <w:szCs w:val="14"/>
                <w:lang w:val="fr-FR"/>
              </w:rPr>
              <w:t>'</w:t>
            </w:r>
            <w:r w:rsidRPr="00F67958">
              <w:rPr>
                <w:rFonts w:eastAsia="Calibri" w:cs="Arial"/>
                <w:sz w:val="14"/>
                <w:szCs w:val="14"/>
                <w:lang w:val="fr-FR"/>
              </w:rPr>
              <w:t>UIT d</w:t>
            </w:r>
            <w:r w:rsidR="000749CB">
              <w:rPr>
                <w:rFonts w:eastAsia="Calibri" w:cs="Arial"/>
                <w:sz w:val="14"/>
                <w:szCs w:val="14"/>
                <w:lang w:val="fr-FR"/>
              </w:rPr>
              <w:t>'</w:t>
            </w:r>
            <w:r w:rsidRPr="00F67958">
              <w:rPr>
                <w:rFonts w:eastAsia="Calibri" w:cs="Arial"/>
                <w:sz w:val="14"/>
                <w:szCs w:val="14"/>
                <w:lang w:val="fr-FR"/>
              </w:rPr>
              <w:t>accélérer le développement économique et social en exploitant et en utilisant les nouvelles technologies et les services et applications des télécommunications/TIC.</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2, 3, 4, 6, 7 et 11 des ODD</w:t>
            </w:r>
          </w:p>
          <w:p w:rsidR="00892568" w:rsidRPr="00F67958" w:rsidRDefault="00892568" w:rsidP="008F2FF8">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 la GO</w:t>
            </w:r>
            <w:r w:rsidRPr="00F67958">
              <w:rPr>
                <w:rFonts w:eastAsia="Calibri" w:cs="Arial"/>
                <w:color w:val="943634" w:themeColor="accent2" w:themeShade="BF"/>
                <w:sz w:val="14"/>
                <w:szCs w:val="14"/>
                <w:lang w:val="fr-FR"/>
              </w:rPr>
              <w:noBreakHyphen/>
              <w:t>SMSI C7</w:t>
            </w:r>
          </w:p>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D.4-3</w:t>
            </w:r>
            <w:r w:rsidRPr="00F67958">
              <w:rPr>
                <w:rFonts w:eastAsia="Calibri" w:cs="Arial"/>
                <w:sz w:val="14"/>
                <w:szCs w:val="14"/>
                <w:lang w:val="fr-FR"/>
              </w:rPr>
              <w:t>: Renforcement de la capacité des membres de l</w:t>
            </w:r>
            <w:r w:rsidR="000749CB">
              <w:rPr>
                <w:rFonts w:eastAsia="Calibri" w:cs="Arial"/>
                <w:sz w:val="14"/>
                <w:szCs w:val="14"/>
                <w:lang w:val="fr-FR"/>
              </w:rPr>
              <w:t>'</w:t>
            </w:r>
            <w:r w:rsidRPr="00F67958">
              <w:rPr>
                <w:rFonts w:eastAsia="Calibri" w:cs="Arial"/>
                <w:sz w:val="14"/>
                <w:szCs w:val="14"/>
                <w:lang w:val="fr-FR"/>
              </w:rPr>
              <w:t>UIT d</w:t>
            </w:r>
            <w:r w:rsidR="000749CB">
              <w:rPr>
                <w:rFonts w:eastAsia="Calibri" w:cs="Arial"/>
                <w:sz w:val="14"/>
                <w:szCs w:val="14"/>
                <w:lang w:val="fr-FR"/>
              </w:rPr>
              <w:t>'</w:t>
            </w:r>
            <w:r w:rsidRPr="00F67958">
              <w:rPr>
                <w:rFonts w:eastAsia="Calibri" w:cs="Arial"/>
                <w:sz w:val="14"/>
                <w:szCs w:val="14"/>
                <w:lang w:val="fr-FR"/>
              </w:rPr>
              <w:t>élaborer des stratégies, des politiques et des pratiques favorisant l</w:t>
            </w:r>
            <w:r w:rsidR="000749CB">
              <w:rPr>
                <w:rFonts w:eastAsia="Calibri" w:cs="Arial"/>
                <w:sz w:val="14"/>
                <w:szCs w:val="14"/>
                <w:lang w:val="fr-FR"/>
              </w:rPr>
              <w:t>'</w:t>
            </w:r>
            <w:r w:rsidRPr="00F67958">
              <w:rPr>
                <w:rFonts w:eastAsia="Calibri" w:cs="Arial"/>
                <w:sz w:val="14"/>
                <w:szCs w:val="14"/>
                <w:lang w:val="fr-FR"/>
              </w:rPr>
              <w:t>inclusion numérique, en particulier pour l</w:t>
            </w:r>
            <w:r w:rsidR="000749CB">
              <w:rPr>
                <w:rFonts w:eastAsia="Calibri" w:cs="Arial"/>
                <w:sz w:val="14"/>
                <w:szCs w:val="14"/>
                <w:lang w:val="fr-FR"/>
              </w:rPr>
              <w:t>'</w:t>
            </w:r>
            <w:r w:rsidRPr="00F67958">
              <w:rPr>
                <w:rFonts w:eastAsia="Calibri" w:cs="Arial"/>
                <w:sz w:val="14"/>
                <w:szCs w:val="14"/>
                <w:lang w:val="fr-FR"/>
              </w:rPr>
              <w:t>autonomisation des femmes et des jeunes filles, des personnes handicapées et des autres personnes ayant des besoins particuliers.</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4, 5, 8, 10 et 17 des ODD</w:t>
            </w:r>
          </w:p>
          <w:p w:rsidR="00892568" w:rsidRPr="00F67958" w:rsidRDefault="00892568" w:rsidP="008F2FF8">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des GO</w:t>
            </w:r>
            <w:r w:rsidRPr="00F67958">
              <w:rPr>
                <w:rFonts w:eastAsia="Calibri" w:cs="Arial"/>
                <w:color w:val="943634" w:themeColor="accent2" w:themeShade="BF"/>
                <w:sz w:val="14"/>
                <w:szCs w:val="14"/>
                <w:lang w:val="fr-FR"/>
              </w:rPr>
              <w:noBreakHyphen/>
              <w:t>SMSI C1, C2, C3, C4, C5, C6, C7, C8 et C9</w:t>
            </w:r>
          </w:p>
          <w:p w:rsidR="00892568" w:rsidRPr="00F67958" w:rsidRDefault="00892568" w:rsidP="008F2FF8">
            <w:pPr>
              <w:spacing w:before="40" w:after="40"/>
              <w:rPr>
                <w:rFonts w:eastAsia="Calibri" w:cs="Arial"/>
                <w:sz w:val="14"/>
                <w:szCs w:val="14"/>
                <w:lang w:val="fr-FR"/>
              </w:rPr>
            </w:pPr>
            <w:r w:rsidRPr="00F67958">
              <w:rPr>
                <w:rFonts w:eastAsia="Calibri" w:cs="Arial"/>
                <w:b/>
                <w:bCs/>
                <w:color w:val="4F81BD" w:themeColor="accent1"/>
                <w:sz w:val="14"/>
                <w:szCs w:val="14"/>
                <w:lang w:val="fr-FR"/>
              </w:rPr>
              <w:t>D.4-4</w:t>
            </w:r>
            <w:r w:rsidRPr="00F67958">
              <w:rPr>
                <w:rFonts w:eastAsia="Calibri" w:cs="Arial"/>
                <w:sz w:val="14"/>
                <w:szCs w:val="14"/>
                <w:lang w:val="fr-FR"/>
              </w:rPr>
              <w:t>: Renforcement de la capacité des membres de l</w:t>
            </w:r>
            <w:r w:rsidR="000749CB">
              <w:rPr>
                <w:rFonts w:eastAsia="Calibri" w:cs="Arial"/>
                <w:sz w:val="14"/>
                <w:szCs w:val="14"/>
                <w:lang w:val="fr-FR"/>
              </w:rPr>
              <w:t>'</w:t>
            </w:r>
            <w:r w:rsidRPr="00F67958">
              <w:rPr>
                <w:rFonts w:eastAsia="Calibri" w:cs="Arial"/>
                <w:sz w:val="14"/>
                <w:szCs w:val="14"/>
                <w:lang w:val="fr-FR"/>
              </w:rPr>
              <w:t>UIT de concevoir des stratégies et des solutions en matière de télécommunications/TIC relatives à l</w:t>
            </w:r>
            <w:r w:rsidR="000749CB">
              <w:rPr>
                <w:rFonts w:eastAsia="Calibri" w:cs="Arial"/>
                <w:sz w:val="14"/>
                <w:szCs w:val="14"/>
                <w:lang w:val="fr-FR"/>
              </w:rPr>
              <w:t>'</w:t>
            </w:r>
            <w:r w:rsidRPr="00F67958">
              <w:rPr>
                <w:rFonts w:eastAsia="Calibri" w:cs="Arial"/>
                <w:sz w:val="14"/>
                <w:szCs w:val="14"/>
                <w:lang w:val="fr-FR"/>
              </w:rPr>
              <w:t>adaptation aux effets des changements climatiques et à l</w:t>
            </w:r>
            <w:r w:rsidR="000749CB">
              <w:rPr>
                <w:rFonts w:eastAsia="Calibri" w:cs="Arial"/>
                <w:sz w:val="14"/>
                <w:szCs w:val="14"/>
                <w:lang w:val="fr-FR"/>
              </w:rPr>
              <w:t>'</w:t>
            </w:r>
            <w:r w:rsidRPr="00F67958">
              <w:rPr>
                <w:rFonts w:eastAsia="Calibri" w:cs="Arial"/>
                <w:sz w:val="14"/>
                <w:szCs w:val="14"/>
                <w:lang w:val="fr-FR"/>
              </w:rPr>
              <w:t>atténuation de ces effets ainsi qu</w:t>
            </w:r>
            <w:r w:rsidR="000749CB">
              <w:rPr>
                <w:rFonts w:eastAsia="Calibri" w:cs="Arial"/>
                <w:sz w:val="14"/>
                <w:szCs w:val="14"/>
                <w:lang w:val="fr-FR"/>
              </w:rPr>
              <w:t>'</w:t>
            </w:r>
            <w:r w:rsidRPr="00F67958">
              <w:rPr>
                <w:rFonts w:eastAsia="Calibri" w:cs="Arial"/>
                <w:sz w:val="14"/>
                <w:szCs w:val="14"/>
                <w:lang w:val="fr-FR"/>
              </w:rPr>
              <w:t>à l</w:t>
            </w:r>
            <w:r w:rsidR="000749CB">
              <w:rPr>
                <w:rFonts w:eastAsia="Calibri" w:cs="Arial"/>
                <w:sz w:val="14"/>
                <w:szCs w:val="14"/>
                <w:lang w:val="fr-FR"/>
              </w:rPr>
              <w:t>'</w:t>
            </w:r>
            <w:r w:rsidRPr="00F67958">
              <w:rPr>
                <w:rFonts w:eastAsia="Calibri" w:cs="Arial"/>
                <w:sz w:val="14"/>
                <w:szCs w:val="14"/>
                <w:lang w:val="fr-FR"/>
              </w:rPr>
              <w:t>utilisation d</w:t>
            </w:r>
            <w:r w:rsidR="000749CB">
              <w:rPr>
                <w:rFonts w:eastAsia="Calibri" w:cs="Arial"/>
                <w:sz w:val="14"/>
                <w:szCs w:val="14"/>
                <w:lang w:val="fr-FR"/>
              </w:rPr>
              <w:t>'</w:t>
            </w:r>
            <w:r w:rsidRPr="00F67958">
              <w:rPr>
                <w:rFonts w:eastAsia="Calibri" w:cs="Arial"/>
                <w:sz w:val="14"/>
                <w:szCs w:val="14"/>
                <w:lang w:val="fr-FR"/>
              </w:rPr>
              <w:t xml:space="preserve">énergies vertes/renouvelables. </w:t>
            </w:r>
          </w:p>
          <w:p w:rsidR="00892568" w:rsidRPr="00F67958" w:rsidRDefault="00892568" w:rsidP="008F2FF8">
            <w:pPr>
              <w:spacing w:before="40" w:after="40"/>
              <w:rPr>
                <w:rFonts w:eastAsia="Calibri" w:cs="Arial"/>
                <w:color w:val="10662B"/>
                <w:sz w:val="14"/>
                <w:szCs w:val="14"/>
                <w:lang w:val="fr-FR"/>
              </w:rPr>
            </w:pPr>
            <w:r w:rsidRPr="00F67958">
              <w:rPr>
                <w:rFonts w:eastAsia="Calibri" w:cs="Arial"/>
                <w:color w:val="10662B"/>
                <w:sz w:val="14"/>
                <w:szCs w:val="14"/>
                <w:lang w:val="fr-FR"/>
              </w:rPr>
              <w:t>Contribue à la réalisation des objectifs 3, 5, 11, 12 et 13 des ODD</w:t>
            </w:r>
          </w:p>
          <w:p w:rsidR="00892568" w:rsidRPr="00F67958" w:rsidRDefault="00892568" w:rsidP="008F2FF8">
            <w:pPr>
              <w:spacing w:before="40" w:after="40"/>
              <w:rPr>
                <w:rFonts w:eastAsia="Calibri" w:cs="Arial"/>
                <w:sz w:val="14"/>
                <w:szCs w:val="14"/>
                <w:lang w:val="fr-FR"/>
              </w:rPr>
            </w:pPr>
            <w:r w:rsidRPr="00F67958">
              <w:rPr>
                <w:rFonts w:eastAsia="Calibri" w:cs="Arial"/>
                <w:color w:val="943634" w:themeColor="accent2" w:themeShade="BF"/>
                <w:sz w:val="14"/>
                <w:szCs w:val="14"/>
                <w:lang w:val="fr-FR"/>
              </w:rPr>
              <w:t>Contribue à la coordination de la mise en oeuvre de la GO</w:t>
            </w:r>
            <w:r w:rsidRPr="00F67958">
              <w:rPr>
                <w:rFonts w:eastAsia="Calibri" w:cs="Arial"/>
                <w:color w:val="943634" w:themeColor="accent2" w:themeShade="BF"/>
                <w:sz w:val="14"/>
                <w:szCs w:val="14"/>
                <w:lang w:val="fr-FR"/>
              </w:rPr>
              <w:noBreakHyphen/>
              <w:t>SMSI C7</w:t>
            </w:r>
          </w:p>
        </w:tc>
      </w:tr>
    </w:tbl>
    <w:p w:rsidR="00892568" w:rsidRPr="00F67958" w:rsidRDefault="00892568" w:rsidP="008F2FF8">
      <w:pPr>
        <w:tabs>
          <w:tab w:val="clear" w:pos="794"/>
          <w:tab w:val="clear" w:pos="1191"/>
          <w:tab w:val="clear" w:pos="1588"/>
          <w:tab w:val="clear" w:pos="1985"/>
        </w:tabs>
        <w:spacing w:before="0"/>
        <w:jc w:val="center"/>
        <w:rPr>
          <w:lang w:val="fr-FR"/>
        </w:rPr>
      </w:pPr>
    </w:p>
    <w:p w:rsidR="00B07856" w:rsidRPr="00F67958" w:rsidRDefault="00B07856" w:rsidP="008F2FF8">
      <w:pPr>
        <w:spacing w:after="120"/>
        <w:jc w:val="center"/>
        <w:rPr>
          <w:b/>
          <w:bCs/>
          <w:szCs w:val="24"/>
          <w:lang w:val="fr-FR"/>
        </w:rPr>
      </w:pPr>
      <w:r w:rsidRPr="00F67958">
        <w:rPr>
          <w:b/>
          <w:bCs/>
          <w:szCs w:val="24"/>
          <w:lang w:val="fr-FR"/>
        </w:rPr>
        <w:lastRenderedPageBreak/>
        <w:t>ANNEX</w:t>
      </w:r>
      <w:r w:rsidR="008E531F" w:rsidRPr="00F67958">
        <w:rPr>
          <w:b/>
          <w:bCs/>
          <w:szCs w:val="24"/>
          <w:lang w:val="fr-FR"/>
        </w:rPr>
        <w:t>E</w:t>
      </w:r>
      <w:r w:rsidRPr="00F67958">
        <w:rPr>
          <w:b/>
          <w:bCs/>
          <w:szCs w:val="24"/>
          <w:lang w:val="fr-FR"/>
        </w:rPr>
        <w:t xml:space="preserve"> 2</w:t>
      </w:r>
    </w:p>
    <w:p w:rsidR="00B07856" w:rsidRPr="00F67958" w:rsidRDefault="00F67958" w:rsidP="008F2FF8">
      <w:pPr>
        <w:spacing w:after="120"/>
        <w:jc w:val="center"/>
        <w:rPr>
          <w:lang w:val="fr-FR"/>
        </w:rPr>
      </w:pPr>
      <w:r w:rsidRPr="00F67958">
        <w:rPr>
          <w:b/>
          <w:bCs/>
          <w:lang w:val="fr-FR"/>
        </w:rPr>
        <w:t>Questions des Commissions d</w:t>
      </w:r>
      <w:r w:rsidR="000749CB">
        <w:rPr>
          <w:b/>
          <w:bCs/>
          <w:lang w:val="fr-FR"/>
        </w:rPr>
        <w:t>'</w:t>
      </w:r>
      <w:r w:rsidRPr="00F67958">
        <w:rPr>
          <w:b/>
          <w:bCs/>
          <w:lang w:val="fr-FR"/>
        </w:rPr>
        <w:t>études de l</w:t>
      </w:r>
      <w:r w:rsidR="000749CB">
        <w:rPr>
          <w:b/>
          <w:bCs/>
          <w:lang w:val="fr-FR"/>
        </w:rPr>
        <w:t>'</w:t>
      </w:r>
      <w:r w:rsidRPr="00F67958">
        <w:rPr>
          <w:b/>
          <w:bCs/>
          <w:lang w:val="fr-FR"/>
        </w:rPr>
        <w:t>U</w:t>
      </w:r>
      <w:r w:rsidR="00B07856" w:rsidRPr="00F67958">
        <w:rPr>
          <w:b/>
          <w:bCs/>
          <w:lang w:val="fr-FR"/>
        </w:rPr>
        <w:t xml:space="preserve">IT-D (2018-2021) </w:t>
      </w:r>
      <w:r w:rsidRPr="00F67958">
        <w:rPr>
          <w:b/>
          <w:bCs/>
          <w:lang w:val="fr-FR"/>
        </w:rPr>
        <w:t>et</w:t>
      </w:r>
      <w:r w:rsidR="00F855E4">
        <w:rPr>
          <w:b/>
          <w:bCs/>
          <w:lang w:val="fr-FR"/>
        </w:rPr>
        <w:t xml:space="preserve"> c</w:t>
      </w:r>
      <w:r w:rsidR="00B07856" w:rsidRPr="00F67958">
        <w:rPr>
          <w:b/>
          <w:bCs/>
          <w:lang w:val="fr-FR"/>
        </w:rPr>
        <w:t xml:space="preserve">ontribution </w:t>
      </w:r>
      <w:r w:rsidRPr="00F67958">
        <w:rPr>
          <w:b/>
          <w:bCs/>
          <w:lang w:val="fr-FR"/>
        </w:rPr>
        <w:t xml:space="preserve">à la mise en oeuvre </w:t>
      </w:r>
      <w:r w:rsidR="009918B6">
        <w:rPr>
          <w:b/>
          <w:bCs/>
          <w:lang w:val="fr-FR"/>
        </w:rPr>
        <w:br/>
      </w:r>
      <w:r w:rsidRPr="00F67958">
        <w:rPr>
          <w:b/>
          <w:bCs/>
          <w:lang w:val="fr-FR"/>
        </w:rPr>
        <w:t>des</w:t>
      </w:r>
      <w:r w:rsidR="00B07856" w:rsidRPr="00F67958">
        <w:rPr>
          <w:b/>
          <w:bCs/>
          <w:lang w:val="fr-FR"/>
        </w:rPr>
        <w:t xml:space="preserve"> </w:t>
      </w:r>
      <w:r w:rsidRPr="00F67958">
        <w:rPr>
          <w:b/>
          <w:bCs/>
          <w:lang w:val="fr-FR"/>
        </w:rPr>
        <w:t>grandes orientations du SMSI</w:t>
      </w:r>
      <w:r w:rsidR="00B07856" w:rsidRPr="00F67958">
        <w:rPr>
          <w:b/>
          <w:bCs/>
          <w:lang w:val="fr-FR"/>
        </w:rPr>
        <w:t xml:space="preserve"> </w:t>
      </w:r>
      <w:r w:rsidRPr="00F67958">
        <w:rPr>
          <w:b/>
          <w:bCs/>
          <w:lang w:val="fr-FR"/>
        </w:rPr>
        <w:t>et à la réalisation des ODD</w:t>
      </w:r>
    </w:p>
    <w:tbl>
      <w:tblPr>
        <w:tblStyle w:val="TableGrid"/>
        <w:tblW w:w="15168" w:type="dxa"/>
        <w:tblInd w:w="-709" w:type="dxa"/>
        <w:tblLook w:val="04A0" w:firstRow="1" w:lastRow="0" w:firstColumn="1" w:lastColumn="0" w:noHBand="0" w:noVBand="1"/>
      </w:tblPr>
      <w:tblGrid>
        <w:gridCol w:w="3828"/>
        <w:gridCol w:w="3402"/>
        <w:gridCol w:w="709"/>
        <w:gridCol w:w="3827"/>
        <w:gridCol w:w="3402"/>
      </w:tblGrid>
      <w:tr w:rsidR="007D0CCB" w:rsidRPr="00F67958" w:rsidTr="00FA3CF8">
        <w:tc>
          <w:tcPr>
            <w:tcW w:w="7230" w:type="dxa"/>
            <w:gridSpan w:val="2"/>
            <w:tcBorders>
              <w:top w:val="nil"/>
              <w:left w:val="nil"/>
              <w:bottom w:val="single" w:sz="4" w:space="0" w:color="auto"/>
              <w:right w:val="nil"/>
            </w:tcBorders>
          </w:tcPr>
          <w:p w:rsidR="008E531F" w:rsidRPr="00F67958" w:rsidRDefault="00F855E4" w:rsidP="008F2FF8">
            <w:pPr>
              <w:jc w:val="center"/>
              <w:rPr>
                <w:b/>
                <w:bCs/>
                <w:szCs w:val="24"/>
                <w:lang w:val="fr-FR"/>
              </w:rPr>
            </w:pPr>
            <w:r>
              <w:rPr>
                <w:b/>
                <w:bCs/>
                <w:color w:val="1F497D" w:themeColor="text2"/>
                <w:sz w:val="20"/>
                <w:lang w:val="fr-FR"/>
              </w:rPr>
              <w:t>CE</w:t>
            </w:r>
            <w:r w:rsidR="00256579">
              <w:rPr>
                <w:b/>
                <w:bCs/>
                <w:color w:val="1F497D" w:themeColor="text2"/>
                <w:sz w:val="20"/>
                <w:lang w:val="fr-FR"/>
              </w:rPr>
              <w:t xml:space="preserve"> </w:t>
            </w:r>
            <w:r w:rsidR="008E531F" w:rsidRPr="00F67958">
              <w:rPr>
                <w:b/>
                <w:bCs/>
                <w:color w:val="1F497D" w:themeColor="text2"/>
                <w:sz w:val="20"/>
                <w:lang w:val="fr-FR"/>
              </w:rPr>
              <w:t xml:space="preserve">1: Environnement propice au développement </w:t>
            </w:r>
            <w:r w:rsidR="008E531F" w:rsidRPr="00F67958">
              <w:rPr>
                <w:b/>
                <w:bCs/>
                <w:color w:val="1F497D" w:themeColor="text2"/>
                <w:sz w:val="20"/>
                <w:lang w:val="fr-FR"/>
              </w:rPr>
              <w:br/>
              <w:t>des télécommunications/TIC</w:t>
            </w:r>
          </w:p>
        </w:tc>
        <w:tc>
          <w:tcPr>
            <w:tcW w:w="709" w:type="dxa"/>
            <w:tcBorders>
              <w:top w:val="nil"/>
              <w:left w:val="nil"/>
              <w:bottom w:val="nil"/>
              <w:right w:val="nil"/>
            </w:tcBorders>
          </w:tcPr>
          <w:p w:rsidR="008E531F" w:rsidRPr="00F67958" w:rsidRDefault="008E531F" w:rsidP="008F2FF8">
            <w:pPr>
              <w:jc w:val="center"/>
              <w:rPr>
                <w:szCs w:val="24"/>
                <w:lang w:val="fr-FR"/>
              </w:rPr>
            </w:pPr>
          </w:p>
        </w:tc>
        <w:tc>
          <w:tcPr>
            <w:tcW w:w="7229" w:type="dxa"/>
            <w:gridSpan w:val="2"/>
            <w:tcBorders>
              <w:top w:val="nil"/>
              <w:left w:val="nil"/>
              <w:bottom w:val="single" w:sz="4" w:space="0" w:color="auto"/>
              <w:right w:val="nil"/>
            </w:tcBorders>
          </w:tcPr>
          <w:p w:rsidR="008E531F" w:rsidRPr="00F67958" w:rsidRDefault="00F855E4" w:rsidP="008F2FF8">
            <w:pPr>
              <w:jc w:val="center"/>
              <w:rPr>
                <w:szCs w:val="24"/>
                <w:lang w:val="fr-FR"/>
              </w:rPr>
            </w:pPr>
            <w:r>
              <w:rPr>
                <w:b/>
                <w:bCs/>
                <w:color w:val="1F497D" w:themeColor="text2"/>
                <w:sz w:val="20"/>
                <w:lang w:val="fr-FR"/>
              </w:rPr>
              <w:t>CE</w:t>
            </w:r>
            <w:r w:rsidR="00256579">
              <w:rPr>
                <w:b/>
                <w:bCs/>
                <w:color w:val="1F497D" w:themeColor="text2"/>
                <w:sz w:val="20"/>
                <w:lang w:val="fr-FR"/>
              </w:rPr>
              <w:t xml:space="preserve"> </w:t>
            </w:r>
            <w:r w:rsidR="008E531F" w:rsidRPr="00F67958">
              <w:rPr>
                <w:b/>
                <w:bCs/>
                <w:color w:val="1F497D" w:themeColor="text2"/>
                <w:sz w:val="20"/>
                <w:lang w:val="fr-FR"/>
              </w:rPr>
              <w:t>2: Utilisation de services et d</w:t>
            </w:r>
            <w:r w:rsidR="000749CB">
              <w:rPr>
                <w:b/>
                <w:bCs/>
                <w:color w:val="1F497D" w:themeColor="text2"/>
                <w:sz w:val="20"/>
                <w:lang w:val="fr-FR"/>
              </w:rPr>
              <w:t>'</w:t>
            </w:r>
            <w:r w:rsidR="008E531F" w:rsidRPr="00F67958">
              <w:rPr>
                <w:b/>
                <w:bCs/>
                <w:color w:val="1F497D" w:themeColor="text2"/>
                <w:sz w:val="20"/>
                <w:lang w:val="fr-FR"/>
              </w:rPr>
              <w:t xml:space="preserve">applications des TIC </w:t>
            </w:r>
            <w:r w:rsidR="008E531F" w:rsidRPr="00F67958">
              <w:rPr>
                <w:b/>
                <w:bCs/>
                <w:color w:val="1F497D" w:themeColor="text2"/>
                <w:sz w:val="20"/>
                <w:lang w:val="fr-FR"/>
              </w:rPr>
              <w:br/>
              <w:t>pour promouvoir le développement durable</w:t>
            </w:r>
          </w:p>
        </w:tc>
      </w:tr>
      <w:tr w:rsidR="007D0CCB" w:rsidRPr="00F67958" w:rsidTr="00FA3CF8">
        <w:tc>
          <w:tcPr>
            <w:tcW w:w="3828" w:type="dxa"/>
            <w:tcBorders>
              <w:top w:val="single" w:sz="4" w:space="0" w:color="auto"/>
            </w:tcBorders>
          </w:tcPr>
          <w:p w:rsidR="001760D0" w:rsidRPr="00F67958" w:rsidRDefault="001760D0" w:rsidP="008F2FF8">
            <w:pPr>
              <w:pStyle w:val="Tablehead"/>
              <w:jc w:val="left"/>
              <w:rPr>
                <w:sz w:val="18"/>
                <w:szCs w:val="16"/>
                <w:lang w:val="fr-FR"/>
              </w:rPr>
            </w:pPr>
            <w:r w:rsidRPr="00F67958">
              <w:rPr>
                <w:sz w:val="18"/>
                <w:szCs w:val="16"/>
                <w:lang w:val="fr-FR"/>
              </w:rPr>
              <w:t>Question</w:t>
            </w:r>
          </w:p>
        </w:tc>
        <w:tc>
          <w:tcPr>
            <w:tcW w:w="3402" w:type="dxa"/>
            <w:tcBorders>
              <w:top w:val="single" w:sz="4" w:space="0" w:color="auto"/>
              <w:right w:val="single" w:sz="4" w:space="0" w:color="auto"/>
            </w:tcBorders>
          </w:tcPr>
          <w:p w:rsidR="001760D0" w:rsidRPr="00F67958" w:rsidRDefault="00960D0E" w:rsidP="008F2FF8">
            <w:pPr>
              <w:pStyle w:val="Tablehead"/>
              <w:jc w:val="left"/>
              <w:rPr>
                <w:sz w:val="18"/>
                <w:szCs w:val="16"/>
                <w:lang w:val="fr-FR"/>
              </w:rPr>
            </w:pPr>
            <w:r>
              <w:rPr>
                <w:sz w:val="18"/>
                <w:szCs w:val="16"/>
                <w:lang w:val="fr-FR"/>
              </w:rPr>
              <w:t>ODD et g</w:t>
            </w:r>
            <w:r w:rsidR="00A04637" w:rsidRPr="00F67958">
              <w:rPr>
                <w:sz w:val="18"/>
                <w:szCs w:val="16"/>
                <w:lang w:val="fr-FR"/>
              </w:rPr>
              <w:t>rande</w:t>
            </w:r>
            <w:r>
              <w:rPr>
                <w:sz w:val="18"/>
                <w:szCs w:val="16"/>
                <w:lang w:val="fr-FR"/>
              </w:rPr>
              <w:t>s</w:t>
            </w:r>
            <w:r w:rsidR="00A04637" w:rsidRPr="00F67958">
              <w:rPr>
                <w:sz w:val="18"/>
                <w:szCs w:val="16"/>
                <w:lang w:val="fr-FR"/>
              </w:rPr>
              <w:t xml:space="preserve"> orientation</w:t>
            </w:r>
            <w:r>
              <w:rPr>
                <w:sz w:val="18"/>
                <w:szCs w:val="16"/>
                <w:lang w:val="fr-FR"/>
              </w:rPr>
              <w:t>s</w:t>
            </w:r>
            <w:r w:rsidR="00A04637" w:rsidRPr="00F67958">
              <w:rPr>
                <w:sz w:val="18"/>
                <w:szCs w:val="16"/>
                <w:lang w:val="fr-FR"/>
              </w:rPr>
              <w:t xml:space="preserve"> du SMSI correspondant</w:t>
            </w:r>
            <w:r>
              <w:rPr>
                <w:sz w:val="18"/>
                <w:szCs w:val="16"/>
                <w:lang w:val="fr-FR"/>
              </w:rPr>
              <w:t>s</w:t>
            </w:r>
          </w:p>
        </w:tc>
        <w:tc>
          <w:tcPr>
            <w:tcW w:w="709" w:type="dxa"/>
            <w:tcBorders>
              <w:top w:val="nil"/>
              <w:left w:val="single" w:sz="4" w:space="0" w:color="auto"/>
              <w:bottom w:val="nil"/>
              <w:right w:val="single" w:sz="4" w:space="0" w:color="auto"/>
            </w:tcBorders>
          </w:tcPr>
          <w:p w:rsidR="001760D0" w:rsidRPr="00F67958" w:rsidRDefault="001760D0" w:rsidP="008F2FF8">
            <w:pPr>
              <w:jc w:val="center"/>
              <w:rPr>
                <w:sz w:val="18"/>
                <w:szCs w:val="16"/>
                <w:lang w:val="fr-FR"/>
              </w:rPr>
            </w:pPr>
          </w:p>
        </w:tc>
        <w:tc>
          <w:tcPr>
            <w:tcW w:w="3827" w:type="dxa"/>
            <w:tcBorders>
              <w:top w:val="single" w:sz="4" w:space="0" w:color="auto"/>
              <w:left w:val="single" w:sz="4" w:space="0" w:color="auto"/>
            </w:tcBorders>
          </w:tcPr>
          <w:p w:rsidR="001760D0" w:rsidRPr="00F67958" w:rsidRDefault="001760D0" w:rsidP="008F2FF8">
            <w:pPr>
              <w:pStyle w:val="Tablehead"/>
              <w:jc w:val="left"/>
              <w:rPr>
                <w:sz w:val="18"/>
                <w:szCs w:val="16"/>
                <w:lang w:val="fr-FR"/>
              </w:rPr>
            </w:pPr>
            <w:r w:rsidRPr="00F67958">
              <w:rPr>
                <w:sz w:val="18"/>
                <w:szCs w:val="16"/>
                <w:lang w:val="fr-FR"/>
              </w:rPr>
              <w:t>Question</w:t>
            </w:r>
          </w:p>
        </w:tc>
        <w:tc>
          <w:tcPr>
            <w:tcW w:w="3402" w:type="dxa"/>
            <w:tcBorders>
              <w:top w:val="single" w:sz="4" w:space="0" w:color="auto"/>
            </w:tcBorders>
            <w:tcMar>
              <w:right w:w="0" w:type="dxa"/>
            </w:tcMar>
          </w:tcPr>
          <w:p w:rsidR="001760D0" w:rsidRPr="00F67958" w:rsidRDefault="00960D0E" w:rsidP="008F2FF8">
            <w:pPr>
              <w:pStyle w:val="Tablehead"/>
              <w:jc w:val="left"/>
              <w:rPr>
                <w:sz w:val="18"/>
                <w:szCs w:val="16"/>
                <w:lang w:val="fr-FR"/>
              </w:rPr>
            </w:pPr>
            <w:r>
              <w:rPr>
                <w:sz w:val="18"/>
                <w:szCs w:val="16"/>
                <w:lang w:val="fr-FR"/>
              </w:rPr>
              <w:t>ODD et g</w:t>
            </w:r>
            <w:r w:rsidR="00A04637" w:rsidRPr="00F67958">
              <w:rPr>
                <w:sz w:val="18"/>
                <w:szCs w:val="16"/>
                <w:lang w:val="fr-FR"/>
              </w:rPr>
              <w:t>rande</w:t>
            </w:r>
            <w:r>
              <w:rPr>
                <w:sz w:val="18"/>
                <w:szCs w:val="16"/>
                <w:lang w:val="fr-FR"/>
              </w:rPr>
              <w:t>s</w:t>
            </w:r>
            <w:r w:rsidR="00A04637" w:rsidRPr="00F67958">
              <w:rPr>
                <w:sz w:val="18"/>
                <w:szCs w:val="16"/>
                <w:lang w:val="fr-FR"/>
              </w:rPr>
              <w:t xml:space="preserve"> orientation</w:t>
            </w:r>
            <w:r>
              <w:rPr>
                <w:sz w:val="18"/>
                <w:szCs w:val="16"/>
                <w:lang w:val="fr-FR"/>
              </w:rPr>
              <w:t>s</w:t>
            </w:r>
            <w:r w:rsidR="00A04637" w:rsidRPr="00F67958">
              <w:rPr>
                <w:sz w:val="18"/>
                <w:szCs w:val="16"/>
                <w:lang w:val="fr-FR"/>
              </w:rPr>
              <w:t xml:space="preserve"> du SMSI correspondant</w:t>
            </w:r>
            <w:r>
              <w:rPr>
                <w:sz w:val="18"/>
                <w:szCs w:val="16"/>
                <w:lang w:val="fr-FR"/>
              </w:rPr>
              <w:t>s</w:t>
            </w:r>
          </w:p>
        </w:tc>
      </w:tr>
      <w:tr w:rsidR="008319B5" w:rsidRPr="00F67958" w:rsidTr="00FA3CF8">
        <w:tc>
          <w:tcPr>
            <w:tcW w:w="3828" w:type="dxa"/>
          </w:tcPr>
          <w:p w:rsidR="008319B5" w:rsidRPr="00F67958" w:rsidRDefault="009918B6" w:rsidP="008F2FF8">
            <w:pPr>
              <w:pStyle w:val="Tabletext"/>
              <w:rPr>
                <w:sz w:val="16"/>
                <w:szCs w:val="14"/>
                <w:lang w:val="fr-FR"/>
              </w:rPr>
            </w:pPr>
            <w:r>
              <w:rPr>
                <w:sz w:val="16"/>
                <w:szCs w:val="14"/>
                <w:lang w:val="fr-FR"/>
              </w:rPr>
              <w:t>Q1/1</w:t>
            </w:r>
            <w:r w:rsidR="008319B5" w:rsidRPr="00F67958">
              <w:rPr>
                <w:sz w:val="16"/>
                <w:szCs w:val="14"/>
                <w:lang w:val="fr-FR"/>
              </w:rPr>
              <w:t xml:space="preserve">: </w:t>
            </w:r>
            <w:r w:rsidRPr="009918B6">
              <w:rPr>
                <w:sz w:val="16"/>
                <w:szCs w:val="14"/>
                <w:lang w:val="fr-FR"/>
              </w:rPr>
              <w:t>Stratégies et politiques pour le déploiement du large bande dans les pays en développement</w:t>
            </w:r>
          </w:p>
        </w:tc>
        <w:tc>
          <w:tcPr>
            <w:tcW w:w="3402" w:type="dxa"/>
            <w:tcBorders>
              <w:right w:val="single" w:sz="4" w:space="0" w:color="auto"/>
            </w:tcBorders>
          </w:tcPr>
          <w:p w:rsidR="00F855E4" w:rsidRPr="00F67958" w:rsidRDefault="00F855E4" w:rsidP="00FA3CF8">
            <w:pPr>
              <w:pStyle w:val="Tabletext"/>
              <w:tabs>
                <w:tab w:val="clear" w:pos="2268"/>
              </w:tabs>
              <w:spacing w:before="0" w:after="0"/>
              <w:rPr>
                <w:sz w:val="18"/>
                <w:szCs w:val="16"/>
                <w:lang w:val="fr-FR"/>
              </w:rPr>
            </w:pPr>
            <w:r w:rsidRPr="00F67958">
              <w:rPr>
                <w:noProof/>
                <w:lang w:eastAsia="zh-CN"/>
              </w:rPr>
              <w:drawing>
                <wp:inline distT="0" distB="0" distL="0" distR="0" wp14:anchorId="01BBA93C" wp14:editId="17581A52">
                  <wp:extent cx="367200" cy="406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7200" cy="406800"/>
                          </a:xfrm>
                          <a:prstGeom prst="rect">
                            <a:avLst/>
                          </a:prstGeom>
                        </pic:spPr>
                      </pic:pic>
                    </a:graphicData>
                  </a:graphic>
                </wp:inline>
              </w:drawing>
            </w:r>
            <w:r w:rsidRPr="00F67958">
              <w:rPr>
                <w:noProof/>
                <w:lang w:eastAsia="zh-CN"/>
              </w:rPr>
              <w:drawing>
                <wp:inline distT="0" distB="0" distL="0" distR="0" wp14:anchorId="7589BE36" wp14:editId="40531248">
                  <wp:extent cx="367200" cy="406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7200" cy="406800"/>
                          </a:xfrm>
                          <a:prstGeom prst="rect">
                            <a:avLst/>
                          </a:prstGeom>
                        </pic:spPr>
                      </pic:pic>
                    </a:graphicData>
                  </a:graphic>
                </wp:inline>
              </w:drawing>
            </w:r>
            <w:r w:rsidR="008319B5" w:rsidRPr="00F67958">
              <w:rPr>
                <w:noProof/>
                <w:lang w:eastAsia="zh-CN"/>
              </w:rPr>
              <w:drawing>
                <wp:inline distT="0" distB="0" distL="0" distR="0" wp14:anchorId="4D755E15" wp14:editId="2AA72E76">
                  <wp:extent cx="367200" cy="40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7200" cy="406800"/>
                          </a:xfrm>
                          <a:prstGeom prst="rect">
                            <a:avLst/>
                          </a:prstGeom>
                        </pic:spPr>
                      </pic:pic>
                    </a:graphicData>
                  </a:graphic>
                </wp:inline>
              </w:drawing>
            </w:r>
            <w:r w:rsidR="00FA3CF8">
              <w:rPr>
                <w:sz w:val="18"/>
                <w:szCs w:val="16"/>
                <w:lang w:val="fr-FR"/>
              </w:rPr>
              <w:tab/>
            </w:r>
            <w:r w:rsidR="00FA3CF8">
              <w:rPr>
                <w:noProof/>
                <w:sz w:val="18"/>
                <w:szCs w:val="16"/>
                <w:lang w:eastAsia="zh-CN"/>
              </w:rPr>
              <w:drawing>
                <wp:inline distT="0" distB="0" distL="0" distR="0" wp14:anchorId="50E0ECCF" wp14:editId="5FE9B38A">
                  <wp:extent cx="374400" cy="403200"/>
                  <wp:effectExtent l="0" t="0" r="6985" b="0"/>
                  <wp:docPr id="5" name="Picture 5"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rmierr\AppData\Local\Microsoft\Windows\INetCache\Content.Word\C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00FA3CF8">
              <w:rPr>
                <w:noProof/>
                <w:sz w:val="18"/>
                <w:szCs w:val="16"/>
                <w:lang w:eastAsia="zh-CN"/>
              </w:rPr>
              <w:drawing>
                <wp:inline distT="0" distB="0" distL="0" distR="0" wp14:anchorId="2E95851A" wp14:editId="39200186">
                  <wp:extent cx="374400" cy="403200"/>
                  <wp:effectExtent l="0" t="0" r="6985" b="0"/>
                  <wp:docPr id="6" name="Picture 6"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rsidR="008319B5" w:rsidRPr="00F67958" w:rsidRDefault="008319B5" w:rsidP="008F2FF8">
            <w:pPr>
              <w:jc w:val="center"/>
              <w:rPr>
                <w:szCs w:val="24"/>
                <w:lang w:val="fr-FR"/>
              </w:rPr>
            </w:pPr>
          </w:p>
        </w:tc>
        <w:tc>
          <w:tcPr>
            <w:tcW w:w="3827" w:type="dxa"/>
            <w:tcBorders>
              <w:left w:val="single" w:sz="4" w:space="0" w:color="auto"/>
            </w:tcBorders>
          </w:tcPr>
          <w:p w:rsidR="008319B5" w:rsidRPr="00F67958" w:rsidRDefault="008319B5" w:rsidP="008F2FF8">
            <w:pPr>
              <w:pStyle w:val="Tabletext"/>
              <w:rPr>
                <w:sz w:val="16"/>
                <w:szCs w:val="14"/>
                <w:lang w:val="fr-FR"/>
              </w:rPr>
            </w:pPr>
            <w:r w:rsidRPr="00F67958">
              <w:rPr>
                <w:sz w:val="16"/>
                <w:szCs w:val="14"/>
                <w:lang w:val="fr-FR"/>
              </w:rPr>
              <w:t>Q1/2: Créer une société et des villes intelligentes: utilisation des TIC au service du développement socio</w:t>
            </w:r>
            <w:r w:rsidRPr="00F67958">
              <w:rPr>
                <w:sz w:val="16"/>
                <w:szCs w:val="14"/>
                <w:lang w:val="fr-FR"/>
              </w:rPr>
              <w:noBreakHyphen/>
              <w:t>économique durable</w:t>
            </w:r>
          </w:p>
        </w:tc>
        <w:tc>
          <w:tcPr>
            <w:tcW w:w="3402" w:type="dxa"/>
            <w:tcMar>
              <w:right w:w="0" w:type="dxa"/>
            </w:tcMar>
          </w:tcPr>
          <w:p w:rsidR="008319B5" w:rsidRPr="00F67958" w:rsidRDefault="008319B5" w:rsidP="00FA3CF8">
            <w:pPr>
              <w:pStyle w:val="Tabletext"/>
              <w:tabs>
                <w:tab w:val="clear" w:pos="2268"/>
                <w:tab w:val="clear" w:pos="2552"/>
                <w:tab w:val="clear" w:pos="2835"/>
                <w:tab w:val="clear" w:pos="3119"/>
                <w:tab w:val="clear" w:pos="3402"/>
                <w:tab w:val="left" w:pos="2551"/>
              </w:tabs>
              <w:ind w:right="885"/>
              <w:rPr>
                <w:sz w:val="18"/>
                <w:szCs w:val="16"/>
                <w:lang w:val="fr-FR"/>
              </w:rPr>
            </w:pPr>
            <w:r w:rsidRPr="00F67958">
              <w:rPr>
                <w:noProof/>
                <w:lang w:eastAsia="zh-CN"/>
              </w:rPr>
              <w:drawing>
                <wp:inline distT="0" distB="0" distL="0" distR="0" wp14:anchorId="7FCC4B51" wp14:editId="5B726F11">
                  <wp:extent cx="370800" cy="406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0800" cy="406800"/>
                          </a:xfrm>
                          <a:prstGeom prst="rect">
                            <a:avLst/>
                          </a:prstGeom>
                        </pic:spPr>
                      </pic:pic>
                    </a:graphicData>
                  </a:graphic>
                </wp:inline>
              </w:drawing>
            </w:r>
            <w:r w:rsidRPr="00F67958">
              <w:rPr>
                <w:noProof/>
                <w:lang w:eastAsia="zh-CN"/>
              </w:rPr>
              <w:drawing>
                <wp:inline distT="0" distB="0" distL="0" distR="0" wp14:anchorId="501BB6C4" wp14:editId="523F6401">
                  <wp:extent cx="370800" cy="40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0800" cy="406800"/>
                          </a:xfrm>
                          <a:prstGeom prst="rect">
                            <a:avLst/>
                          </a:prstGeom>
                        </pic:spPr>
                      </pic:pic>
                    </a:graphicData>
                  </a:graphic>
                </wp:inline>
              </w:drawing>
            </w:r>
            <w:r w:rsidRPr="00F67958">
              <w:rPr>
                <w:noProof/>
                <w:lang w:eastAsia="zh-CN"/>
              </w:rPr>
              <w:drawing>
                <wp:inline distT="0" distB="0" distL="0" distR="0" wp14:anchorId="64EC5C4B" wp14:editId="5A9D9298">
                  <wp:extent cx="370800" cy="40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0800" cy="406800"/>
                          </a:xfrm>
                          <a:prstGeom prst="rect">
                            <a:avLst/>
                          </a:prstGeom>
                        </pic:spPr>
                      </pic:pic>
                    </a:graphicData>
                  </a:graphic>
                </wp:inline>
              </w:drawing>
            </w:r>
            <w:r w:rsidRPr="00F67958">
              <w:rPr>
                <w:noProof/>
                <w:lang w:eastAsia="zh-CN"/>
              </w:rPr>
              <w:drawing>
                <wp:inline distT="0" distB="0" distL="0" distR="0" wp14:anchorId="6A0DB9E4" wp14:editId="2BA15684">
                  <wp:extent cx="370800" cy="40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800" cy="406800"/>
                          </a:xfrm>
                          <a:prstGeom prst="rect">
                            <a:avLst/>
                          </a:prstGeom>
                        </pic:spPr>
                      </pic:pic>
                    </a:graphicData>
                  </a:graphic>
                </wp:inline>
              </w:drawing>
            </w:r>
            <w:r w:rsidRPr="00F67958">
              <w:rPr>
                <w:noProof/>
                <w:lang w:val="fr-FR" w:eastAsia="zh-CN"/>
              </w:rPr>
              <w:t xml:space="preserve"> </w:t>
            </w:r>
            <w:r w:rsidR="00FA3CF8">
              <w:rPr>
                <w:noProof/>
                <w:lang w:val="fr-FR" w:eastAsia="zh-CN"/>
              </w:rPr>
              <w:tab/>
            </w:r>
            <w:r w:rsidR="00076333">
              <w:rPr>
                <w:noProof/>
                <w:sz w:val="18"/>
                <w:szCs w:val="16"/>
                <w:lang w:eastAsia="zh-CN"/>
              </w:rPr>
              <w:drawing>
                <wp:inline distT="0" distB="0" distL="0" distR="0">
                  <wp:extent cx="370800" cy="406800"/>
                  <wp:effectExtent l="0" t="0" r="0" b="0"/>
                  <wp:docPr id="65" name="Picture 65"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Cormierr\AppData\Local\Microsoft\Windows\INetCache\Content.Word\C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0800" cy="406800"/>
                          </a:xfrm>
                          <a:prstGeom prst="rect">
                            <a:avLst/>
                          </a:prstGeom>
                          <a:noFill/>
                          <a:ln>
                            <a:noFill/>
                          </a:ln>
                        </pic:spPr>
                      </pic:pic>
                    </a:graphicData>
                  </a:graphic>
                </wp:inline>
              </w:drawing>
            </w:r>
          </w:p>
        </w:tc>
      </w:tr>
      <w:tr w:rsidR="008319B5" w:rsidRPr="00F67958" w:rsidTr="00FA3CF8">
        <w:tc>
          <w:tcPr>
            <w:tcW w:w="3828" w:type="dxa"/>
          </w:tcPr>
          <w:p w:rsidR="008319B5" w:rsidRPr="00F67958" w:rsidRDefault="009918B6" w:rsidP="008F2FF8">
            <w:pPr>
              <w:pStyle w:val="Tabletext"/>
              <w:rPr>
                <w:sz w:val="16"/>
                <w:szCs w:val="14"/>
                <w:lang w:val="fr-FR"/>
              </w:rPr>
            </w:pPr>
            <w:r>
              <w:rPr>
                <w:sz w:val="16"/>
                <w:szCs w:val="14"/>
                <w:lang w:val="fr-FR"/>
              </w:rPr>
              <w:t>Q2/1</w:t>
            </w:r>
            <w:r w:rsidR="00A62DD9">
              <w:rPr>
                <w:sz w:val="16"/>
                <w:szCs w:val="14"/>
                <w:lang w:val="fr-FR"/>
              </w:rPr>
              <w:t xml:space="preserve">: </w:t>
            </w:r>
            <w:r w:rsidRPr="009918B6">
              <w:rPr>
                <w:sz w:val="16"/>
                <w:szCs w:val="14"/>
                <w:lang w:val="fr-FR"/>
              </w:rPr>
              <w:t>Stratégies, politiques, réglementations et méthodes relatives au passage à la radiodiffusion numérique et son adoption, et mise en oeuvre de nouveaux services</w:t>
            </w:r>
          </w:p>
        </w:tc>
        <w:tc>
          <w:tcPr>
            <w:tcW w:w="3402" w:type="dxa"/>
            <w:tcBorders>
              <w:right w:val="single" w:sz="4" w:space="0" w:color="auto"/>
            </w:tcBorders>
          </w:tcPr>
          <w:p w:rsidR="008319B5" w:rsidRPr="00F67958" w:rsidRDefault="00076333" w:rsidP="008F2FF8">
            <w:pPr>
              <w:pStyle w:val="Tabletext"/>
              <w:rPr>
                <w:sz w:val="18"/>
                <w:szCs w:val="16"/>
                <w:lang w:val="fr-FR"/>
              </w:rPr>
            </w:pPr>
            <w:r w:rsidRPr="00F67958">
              <w:rPr>
                <w:noProof/>
                <w:lang w:eastAsia="zh-CN"/>
              </w:rPr>
              <w:drawing>
                <wp:inline distT="0" distB="0" distL="0" distR="0" wp14:anchorId="2AF1F40B" wp14:editId="1F2C2423">
                  <wp:extent cx="374400" cy="403200"/>
                  <wp:effectExtent l="0" t="0" r="698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4400" cy="403200"/>
                          </a:xfrm>
                          <a:prstGeom prst="rect">
                            <a:avLst/>
                          </a:prstGeom>
                        </pic:spPr>
                      </pic:pic>
                    </a:graphicData>
                  </a:graphic>
                </wp:inline>
              </w:drawing>
            </w:r>
            <w:r w:rsidRPr="00F67958">
              <w:rPr>
                <w:noProof/>
                <w:lang w:eastAsia="zh-CN"/>
              </w:rPr>
              <w:drawing>
                <wp:inline distT="0" distB="0" distL="0" distR="0" wp14:anchorId="0C9C5FAB" wp14:editId="660EE7C1">
                  <wp:extent cx="374400" cy="403200"/>
                  <wp:effectExtent l="0" t="0" r="698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00" cy="403200"/>
                          </a:xfrm>
                          <a:prstGeom prst="rect">
                            <a:avLst/>
                          </a:prstGeom>
                        </pic:spPr>
                      </pic:pic>
                    </a:graphicData>
                  </a:graphic>
                </wp:inline>
              </w:drawing>
            </w:r>
            <w:r w:rsidR="00FA3CF8">
              <w:rPr>
                <w:noProof/>
                <w:lang w:val="fr-FR" w:eastAsia="zh-CN"/>
              </w:rPr>
              <w:tab/>
            </w:r>
            <w:r w:rsidR="00FA3CF8">
              <w:rPr>
                <w:noProof/>
                <w:lang w:val="fr-FR" w:eastAsia="zh-CN"/>
              </w:rPr>
              <w:tab/>
            </w:r>
            <w:r w:rsidR="00FA3CF8">
              <w:rPr>
                <w:noProof/>
                <w:lang w:val="fr-FR" w:eastAsia="zh-CN"/>
              </w:rPr>
              <w:tab/>
            </w:r>
            <w:r w:rsidR="00FA3CF8">
              <w:rPr>
                <w:noProof/>
                <w:lang w:val="fr-FR" w:eastAsia="zh-CN"/>
              </w:rPr>
              <w:tab/>
            </w:r>
            <w:r w:rsidR="00FA3CF8">
              <w:rPr>
                <w:noProof/>
                <w:lang w:val="fr-FR" w:eastAsia="zh-CN"/>
              </w:rPr>
              <w:tab/>
            </w:r>
            <w:r>
              <w:rPr>
                <w:noProof/>
                <w:sz w:val="18"/>
                <w:szCs w:val="16"/>
                <w:lang w:eastAsia="zh-CN"/>
              </w:rPr>
              <w:drawing>
                <wp:inline distT="0" distB="0" distL="0" distR="0">
                  <wp:extent cx="374400" cy="403200"/>
                  <wp:effectExtent l="0" t="0" r="6985" b="0"/>
                  <wp:docPr id="60" name="Picture 60"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rmierr\AppData\Local\Microsoft\Windows\INetCache\Content.Word\C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rsidR="008319B5" w:rsidRPr="00F67958" w:rsidRDefault="008319B5" w:rsidP="008F2FF8">
            <w:pPr>
              <w:jc w:val="center"/>
              <w:rPr>
                <w:szCs w:val="24"/>
                <w:lang w:val="fr-FR"/>
              </w:rPr>
            </w:pPr>
          </w:p>
        </w:tc>
        <w:tc>
          <w:tcPr>
            <w:tcW w:w="3827" w:type="dxa"/>
            <w:tcBorders>
              <w:left w:val="single" w:sz="4" w:space="0" w:color="auto"/>
            </w:tcBorders>
          </w:tcPr>
          <w:p w:rsidR="008319B5" w:rsidRPr="00F67958" w:rsidRDefault="008319B5" w:rsidP="008F2FF8">
            <w:pPr>
              <w:pStyle w:val="Tabletext"/>
              <w:rPr>
                <w:sz w:val="16"/>
                <w:szCs w:val="14"/>
                <w:lang w:val="fr-FR"/>
              </w:rPr>
            </w:pPr>
            <w:r w:rsidRPr="00F67958">
              <w:rPr>
                <w:sz w:val="16"/>
                <w:szCs w:val="14"/>
                <w:lang w:val="fr-FR"/>
              </w:rPr>
              <w:t>Q2/2: Les télécommunications/TIC au service de la cybersanté</w:t>
            </w:r>
          </w:p>
        </w:tc>
        <w:tc>
          <w:tcPr>
            <w:tcW w:w="3402" w:type="dxa"/>
            <w:tcMar>
              <w:right w:w="0" w:type="dxa"/>
            </w:tcMar>
          </w:tcPr>
          <w:p w:rsidR="008319B5" w:rsidRPr="00F67958" w:rsidRDefault="008319B5" w:rsidP="008F2FF8">
            <w:pPr>
              <w:pStyle w:val="Tabletext"/>
              <w:rPr>
                <w:sz w:val="18"/>
                <w:szCs w:val="16"/>
                <w:lang w:val="fr-FR"/>
              </w:rPr>
            </w:pPr>
            <w:r w:rsidRPr="00F67958">
              <w:rPr>
                <w:noProof/>
                <w:lang w:eastAsia="zh-CN"/>
              </w:rPr>
              <w:drawing>
                <wp:inline distT="0" distB="0" distL="0" distR="0" wp14:anchorId="26FC8B4B" wp14:editId="41789569">
                  <wp:extent cx="374400" cy="4032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4400" cy="403200"/>
                          </a:xfrm>
                          <a:prstGeom prst="rect">
                            <a:avLst/>
                          </a:prstGeom>
                        </pic:spPr>
                      </pic:pic>
                    </a:graphicData>
                  </a:graphic>
                </wp:inline>
              </w:drawing>
            </w:r>
            <w:r w:rsidRPr="00F67958">
              <w:rPr>
                <w:noProof/>
                <w:lang w:eastAsia="zh-CN"/>
              </w:rPr>
              <w:drawing>
                <wp:inline distT="0" distB="0" distL="0" distR="0" wp14:anchorId="4A08BCD4" wp14:editId="4C40E922">
                  <wp:extent cx="374400" cy="4032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F67958">
              <w:rPr>
                <w:noProof/>
                <w:lang w:val="fr-FR" w:eastAsia="zh-CN"/>
              </w:rPr>
              <w:t xml:space="preserve"> </w:t>
            </w:r>
            <w:r w:rsidR="00FA3CF8">
              <w:rPr>
                <w:noProof/>
                <w:sz w:val="18"/>
                <w:szCs w:val="16"/>
                <w:lang w:eastAsia="zh-CN"/>
              </w:rPr>
              <w:tab/>
            </w:r>
            <w:r w:rsidR="00FA3CF8">
              <w:rPr>
                <w:noProof/>
                <w:sz w:val="18"/>
                <w:szCs w:val="16"/>
                <w:lang w:eastAsia="zh-CN"/>
              </w:rPr>
              <w:tab/>
            </w:r>
            <w:r w:rsidR="00FA3CF8">
              <w:rPr>
                <w:noProof/>
                <w:sz w:val="18"/>
                <w:szCs w:val="16"/>
                <w:lang w:eastAsia="zh-CN"/>
              </w:rPr>
              <w:tab/>
            </w:r>
            <w:r w:rsidR="00076333">
              <w:rPr>
                <w:noProof/>
                <w:sz w:val="18"/>
                <w:szCs w:val="16"/>
                <w:lang w:eastAsia="zh-CN"/>
              </w:rPr>
              <w:drawing>
                <wp:inline distT="0" distB="0" distL="0" distR="0" wp14:anchorId="57134C26" wp14:editId="1A5D39C7">
                  <wp:extent cx="374400" cy="403200"/>
                  <wp:effectExtent l="0" t="0" r="6985" b="0"/>
                  <wp:docPr id="69" name="Picture 69"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00076333">
              <w:rPr>
                <w:noProof/>
                <w:sz w:val="18"/>
                <w:szCs w:val="16"/>
                <w:lang w:eastAsia="zh-CN"/>
              </w:rPr>
              <w:drawing>
                <wp:inline distT="0" distB="0" distL="0" distR="0">
                  <wp:extent cx="374400" cy="403200"/>
                  <wp:effectExtent l="0" t="0" r="6985" b="0"/>
                  <wp:docPr id="66" name="Picture 66"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Cormierr\AppData\Local\Microsoft\Windows\INetCache\Content.Word\C7.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8319B5" w:rsidRPr="00F67958" w:rsidTr="00FA3CF8">
        <w:tc>
          <w:tcPr>
            <w:tcW w:w="3828" w:type="dxa"/>
          </w:tcPr>
          <w:p w:rsidR="008319B5" w:rsidRPr="00F67958" w:rsidRDefault="009918B6" w:rsidP="008F2FF8">
            <w:pPr>
              <w:pStyle w:val="Tabletext"/>
              <w:rPr>
                <w:sz w:val="16"/>
                <w:szCs w:val="14"/>
                <w:lang w:val="fr-FR"/>
              </w:rPr>
            </w:pPr>
            <w:r>
              <w:rPr>
                <w:sz w:val="16"/>
                <w:szCs w:val="14"/>
                <w:lang w:val="fr-FR"/>
              </w:rPr>
              <w:t>Q3/1</w:t>
            </w:r>
            <w:r w:rsidR="008319B5" w:rsidRPr="00F67958">
              <w:rPr>
                <w:sz w:val="16"/>
                <w:szCs w:val="14"/>
                <w:lang w:val="fr-FR"/>
              </w:rPr>
              <w:t xml:space="preserve">: </w:t>
            </w:r>
            <w:r w:rsidRPr="009918B6">
              <w:rPr>
                <w:sz w:val="16"/>
                <w:szCs w:val="14"/>
                <w:lang w:val="fr-FR"/>
              </w:rPr>
              <w:t>Technologies émergentes, y compris l</w:t>
            </w:r>
            <w:r w:rsidR="000749CB">
              <w:rPr>
                <w:sz w:val="16"/>
                <w:szCs w:val="14"/>
                <w:lang w:val="fr-FR"/>
              </w:rPr>
              <w:t>'</w:t>
            </w:r>
            <w:r w:rsidRPr="009918B6">
              <w:rPr>
                <w:sz w:val="16"/>
                <w:szCs w:val="14"/>
                <w:lang w:val="fr-FR"/>
              </w:rPr>
              <w:t>informatique en nuage, les services sur mobile et les services OTT: enjeux et perspectives, incidences sur le plan de l</w:t>
            </w:r>
            <w:r w:rsidR="000749CB">
              <w:rPr>
                <w:sz w:val="16"/>
                <w:szCs w:val="14"/>
                <w:lang w:val="fr-FR"/>
              </w:rPr>
              <w:t>'</w:t>
            </w:r>
            <w:r w:rsidRPr="009918B6">
              <w:rPr>
                <w:sz w:val="16"/>
                <w:szCs w:val="14"/>
                <w:lang w:val="fr-FR"/>
              </w:rPr>
              <w:t>économie et de la politique générale pour les pays en développement</w:t>
            </w:r>
          </w:p>
        </w:tc>
        <w:tc>
          <w:tcPr>
            <w:tcW w:w="3402" w:type="dxa"/>
            <w:tcBorders>
              <w:right w:val="single" w:sz="4" w:space="0" w:color="auto"/>
            </w:tcBorders>
          </w:tcPr>
          <w:p w:rsidR="008319B5" w:rsidRDefault="008319B5" w:rsidP="008F2FF8">
            <w:pPr>
              <w:pStyle w:val="Tabletext"/>
              <w:rPr>
                <w:noProof/>
                <w:lang w:val="en-GB" w:eastAsia="zh-CN"/>
              </w:rPr>
            </w:pPr>
            <w:r w:rsidRPr="00F67958">
              <w:rPr>
                <w:noProof/>
                <w:lang w:eastAsia="zh-CN"/>
              </w:rPr>
              <w:drawing>
                <wp:inline distT="0" distB="0" distL="0" distR="0" wp14:anchorId="1F19713B" wp14:editId="2E199464">
                  <wp:extent cx="374400" cy="4032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00076333" w:rsidRPr="00F67958">
              <w:rPr>
                <w:noProof/>
                <w:lang w:eastAsia="zh-CN"/>
              </w:rPr>
              <w:drawing>
                <wp:inline distT="0" distB="0" distL="0" distR="0" wp14:anchorId="07E384CE" wp14:editId="3E6A8783">
                  <wp:extent cx="374400" cy="403200"/>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4400" cy="403200"/>
                          </a:xfrm>
                          <a:prstGeom prst="rect">
                            <a:avLst/>
                          </a:prstGeom>
                        </pic:spPr>
                      </pic:pic>
                    </a:graphicData>
                  </a:graphic>
                </wp:inline>
              </w:drawing>
            </w:r>
            <w:r w:rsidRPr="00F67958">
              <w:rPr>
                <w:noProof/>
                <w:lang w:eastAsia="zh-CN"/>
              </w:rPr>
              <w:drawing>
                <wp:inline distT="0" distB="0" distL="0" distR="0" wp14:anchorId="265E7D66" wp14:editId="11FD66F5">
                  <wp:extent cx="374400" cy="40320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00" cy="403200"/>
                          </a:xfrm>
                          <a:prstGeom prst="rect">
                            <a:avLst/>
                          </a:prstGeom>
                        </pic:spPr>
                      </pic:pic>
                    </a:graphicData>
                  </a:graphic>
                </wp:inline>
              </w:drawing>
            </w:r>
            <w:r w:rsidR="00FA3CF8">
              <w:rPr>
                <w:noProof/>
                <w:lang w:eastAsia="zh-CN"/>
              </w:rPr>
              <w:drawing>
                <wp:inline distT="0" distB="0" distL="0" distR="0" wp14:anchorId="0107F88C" wp14:editId="29D6C42A">
                  <wp:extent cx="373380" cy="424282"/>
                  <wp:effectExtent l="0" t="0" r="7620" b="0"/>
                  <wp:docPr id="9" name="Picture 9"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0544" cy="432423"/>
                          </a:xfrm>
                          <a:prstGeom prst="rect">
                            <a:avLst/>
                          </a:prstGeom>
                          <a:noFill/>
                          <a:ln>
                            <a:noFill/>
                          </a:ln>
                        </pic:spPr>
                      </pic:pic>
                    </a:graphicData>
                  </a:graphic>
                </wp:inline>
              </w:drawing>
            </w:r>
          </w:p>
          <w:p w:rsidR="00076333" w:rsidRPr="00F67958" w:rsidRDefault="00FA3CF8" w:rsidP="00FA3CF8">
            <w:pPr>
              <w:pStyle w:val="Tabletext"/>
              <w:jc w:val="right"/>
              <w:rPr>
                <w:sz w:val="18"/>
                <w:szCs w:val="16"/>
                <w:lang w:val="fr-FR"/>
              </w:rPr>
            </w:pPr>
            <w:r>
              <w:rPr>
                <w:noProof/>
                <w:sz w:val="18"/>
                <w:szCs w:val="16"/>
                <w:lang w:eastAsia="zh-CN"/>
              </w:rPr>
              <w:tab/>
            </w:r>
            <w:r>
              <w:rPr>
                <w:noProof/>
                <w:sz w:val="18"/>
                <w:szCs w:val="16"/>
                <w:lang w:eastAsia="zh-CN"/>
              </w:rPr>
              <w:tab/>
            </w:r>
            <w:r>
              <w:rPr>
                <w:noProof/>
                <w:sz w:val="18"/>
                <w:szCs w:val="16"/>
                <w:lang w:eastAsia="zh-CN"/>
              </w:rPr>
              <w:tab/>
            </w:r>
            <w:r>
              <w:rPr>
                <w:noProof/>
                <w:sz w:val="18"/>
                <w:szCs w:val="16"/>
                <w:lang w:eastAsia="zh-CN"/>
              </w:rPr>
              <w:tab/>
            </w:r>
            <w:r w:rsidR="00076333">
              <w:rPr>
                <w:noProof/>
                <w:sz w:val="18"/>
                <w:szCs w:val="16"/>
                <w:lang w:eastAsia="zh-CN"/>
              </w:rPr>
              <w:drawing>
                <wp:inline distT="0" distB="0" distL="0" distR="0">
                  <wp:extent cx="374400" cy="403200"/>
                  <wp:effectExtent l="0" t="0" r="6985" b="0"/>
                  <wp:docPr id="62" name="Picture 62"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00076333">
              <w:rPr>
                <w:noProof/>
                <w:sz w:val="18"/>
                <w:szCs w:val="16"/>
                <w:lang w:eastAsia="zh-CN"/>
              </w:rPr>
              <w:drawing>
                <wp:inline distT="0" distB="0" distL="0" distR="0">
                  <wp:extent cx="374400" cy="403200"/>
                  <wp:effectExtent l="0" t="0" r="6985" b="0"/>
                  <wp:docPr id="63" name="Picture 63"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Pr>
                <w:noProof/>
                <w:sz w:val="18"/>
                <w:szCs w:val="16"/>
                <w:lang w:eastAsia="zh-CN"/>
              </w:rPr>
              <w:drawing>
                <wp:inline distT="0" distB="0" distL="0" distR="0" wp14:anchorId="4EF7DD15" wp14:editId="15E93D9B">
                  <wp:extent cx="374400" cy="403200"/>
                  <wp:effectExtent l="0" t="0" r="6985" b="0"/>
                  <wp:docPr id="8" name="Picture 8"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rsidR="008319B5" w:rsidRPr="00F67958" w:rsidRDefault="008319B5" w:rsidP="008F2FF8">
            <w:pPr>
              <w:jc w:val="center"/>
              <w:rPr>
                <w:szCs w:val="24"/>
                <w:lang w:val="fr-FR"/>
              </w:rPr>
            </w:pPr>
          </w:p>
        </w:tc>
        <w:tc>
          <w:tcPr>
            <w:tcW w:w="3827" w:type="dxa"/>
            <w:tcBorders>
              <w:left w:val="single" w:sz="4" w:space="0" w:color="auto"/>
            </w:tcBorders>
          </w:tcPr>
          <w:p w:rsidR="008319B5" w:rsidRPr="00F67958" w:rsidRDefault="008319B5" w:rsidP="008F2FF8">
            <w:pPr>
              <w:pStyle w:val="Tabletext"/>
              <w:rPr>
                <w:sz w:val="16"/>
                <w:szCs w:val="14"/>
                <w:lang w:val="fr-FR"/>
              </w:rPr>
            </w:pPr>
            <w:r w:rsidRPr="00F67958">
              <w:rPr>
                <w:sz w:val="16"/>
                <w:szCs w:val="14"/>
                <w:lang w:val="fr-FR"/>
              </w:rPr>
              <w:t>Q3/2: Sécurisation des réseaux d</w:t>
            </w:r>
            <w:r w:rsidR="000749CB">
              <w:rPr>
                <w:sz w:val="16"/>
                <w:szCs w:val="14"/>
                <w:lang w:val="fr-FR"/>
              </w:rPr>
              <w:t>'</w:t>
            </w:r>
            <w:r w:rsidRPr="00F67958">
              <w:rPr>
                <w:sz w:val="16"/>
                <w:szCs w:val="14"/>
                <w:lang w:val="fr-FR"/>
              </w:rPr>
              <w:t>information et de communication: bonnes pratiques pour créer une culture de la cybersécurité</w:t>
            </w:r>
          </w:p>
        </w:tc>
        <w:tc>
          <w:tcPr>
            <w:tcW w:w="3402" w:type="dxa"/>
            <w:tcMar>
              <w:right w:w="0" w:type="dxa"/>
            </w:tcMar>
          </w:tcPr>
          <w:p w:rsidR="008319B5" w:rsidRPr="00F67958" w:rsidRDefault="008319B5" w:rsidP="00FA3CF8">
            <w:pPr>
              <w:pStyle w:val="Tabletext"/>
              <w:rPr>
                <w:sz w:val="18"/>
                <w:szCs w:val="16"/>
                <w:lang w:val="fr-FR"/>
              </w:rPr>
            </w:pPr>
            <w:r w:rsidRPr="00F67958">
              <w:rPr>
                <w:noProof/>
                <w:lang w:eastAsia="zh-CN"/>
              </w:rPr>
              <w:drawing>
                <wp:inline distT="0" distB="0" distL="0" distR="0" wp14:anchorId="73162BE0" wp14:editId="349E209E">
                  <wp:extent cx="374400" cy="40320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Pr="00F67958">
              <w:rPr>
                <w:noProof/>
                <w:lang w:eastAsia="zh-CN"/>
              </w:rPr>
              <w:drawing>
                <wp:inline distT="0" distB="0" distL="0" distR="0" wp14:anchorId="31562B23" wp14:editId="51C19A1B">
                  <wp:extent cx="374400" cy="40320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00" cy="403200"/>
                          </a:xfrm>
                          <a:prstGeom prst="rect">
                            <a:avLst/>
                          </a:prstGeom>
                        </pic:spPr>
                      </pic:pic>
                    </a:graphicData>
                  </a:graphic>
                </wp:inline>
              </w:drawing>
            </w:r>
            <w:r w:rsidRPr="00F67958">
              <w:rPr>
                <w:noProof/>
                <w:lang w:eastAsia="zh-CN"/>
              </w:rPr>
              <w:drawing>
                <wp:inline distT="0" distB="0" distL="0" distR="0" wp14:anchorId="0B41E716" wp14:editId="7A4AF255">
                  <wp:extent cx="374400" cy="403200"/>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00FA3CF8">
              <w:rPr>
                <w:sz w:val="18"/>
                <w:szCs w:val="16"/>
                <w:lang w:val="fr-FR"/>
              </w:rPr>
              <w:tab/>
            </w:r>
            <w:r w:rsidR="00FA3CF8">
              <w:rPr>
                <w:sz w:val="18"/>
                <w:szCs w:val="16"/>
                <w:lang w:val="fr-FR"/>
              </w:rPr>
              <w:tab/>
            </w:r>
            <w:r w:rsidR="00FA3CF8">
              <w:rPr>
                <w:sz w:val="18"/>
                <w:szCs w:val="16"/>
                <w:lang w:val="fr-FR"/>
              </w:rPr>
              <w:tab/>
            </w:r>
            <w:r w:rsidRPr="00F67958">
              <w:rPr>
                <w:noProof/>
                <w:lang w:eastAsia="zh-CN"/>
              </w:rPr>
              <w:drawing>
                <wp:inline distT="0" distB="0" distL="0" distR="0" wp14:anchorId="283FA1B0" wp14:editId="2C2AABB0">
                  <wp:extent cx="373834" cy="40259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81524" cy="410872"/>
                          </a:xfrm>
                          <a:prstGeom prst="rect">
                            <a:avLst/>
                          </a:prstGeom>
                        </pic:spPr>
                      </pic:pic>
                    </a:graphicData>
                  </a:graphic>
                </wp:inline>
              </w:drawing>
            </w:r>
          </w:p>
        </w:tc>
      </w:tr>
      <w:tr w:rsidR="008319B5" w:rsidRPr="00F67958" w:rsidTr="00FA3CF8">
        <w:tc>
          <w:tcPr>
            <w:tcW w:w="3828" w:type="dxa"/>
          </w:tcPr>
          <w:p w:rsidR="008319B5" w:rsidRPr="00F67958" w:rsidRDefault="009918B6" w:rsidP="008F2FF8">
            <w:pPr>
              <w:pStyle w:val="Tabletext"/>
              <w:rPr>
                <w:sz w:val="16"/>
                <w:szCs w:val="14"/>
                <w:lang w:val="fr-FR"/>
              </w:rPr>
            </w:pPr>
            <w:r>
              <w:rPr>
                <w:sz w:val="16"/>
                <w:szCs w:val="14"/>
                <w:lang w:val="fr-FR"/>
              </w:rPr>
              <w:t>Q4/1</w:t>
            </w:r>
            <w:r w:rsidR="00A62DD9">
              <w:rPr>
                <w:sz w:val="16"/>
                <w:szCs w:val="14"/>
                <w:lang w:val="fr-FR"/>
              </w:rPr>
              <w:t xml:space="preserve">: </w:t>
            </w:r>
            <w:r w:rsidRPr="009918B6">
              <w:rPr>
                <w:sz w:val="16"/>
                <w:szCs w:val="14"/>
                <w:lang w:val="fr-FR"/>
              </w:rPr>
              <w:t>Politiques économiques et méthodes de détermination des coûts des services relatifs aux réseaux nationaux de télécommunications/TIC</w:t>
            </w:r>
          </w:p>
        </w:tc>
        <w:tc>
          <w:tcPr>
            <w:tcW w:w="3402" w:type="dxa"/>
            <w:tcBorders>
              <w:right w:val="single" w:sz="4" w:space="0" w:color="auto"/>
            </w:tcBorders>
          </w:tcPr>
          <w:p w:rsidR="008319B5" w:rsidRPr="00F67958" w:rsidRDefault="00076333" w:rsidP="008F2FF8">
            <w:pPr>
              <w:pStyle w:val="Tabletext"/>
              <w:rPr>
                <w:sz w:val="18"/>
                <w:szCs w:val="16"/>
                <w:lang w:val="fr-FR"/>
              </w:rPr>
            </w:pPr>
            <w:r w:rsidRPr="00F67958">
              <w:rPr>
                <w:noProof/>
                <w:lang w:eastAsia="zh-CN"/>
              </w:rPr>
              <w:drawing>
                <wp:inline distT="0" distB="0" distL="0" distR="0" wp14:anchorId="0D16D646" wp14:editId="4026E889">
                  <wp:extent cx="374400" cy="403200"/>
                  <wp:effectExtent l="0" t="0" r="698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008319B5" w:rsidRPr="00F67958">
              <w:rPr>
                <w:noProof/>
                <w:lang w:eastAsia="zh-CN"/>
              </w:rPr>
              <w:drawing>
                <wp:inline distT="0" distB="0" distL="0" distR="0" wp14:anchorId="00C802C2" wp14:editId="141E776A">
                  <wp:extent cx="374400" cy="40320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00" cy="403200"/>
                          </a:xfrm>
                          <a:prstGeom prst="rect">
                            <a:avLst/>
                          </a:prstGeom>
                        </pic:spPr>
                      </pic:pic>
                    </a:graphicData>
                  </a:graphic>
                </wp:inline>
              </w:drawing>
            </w:r>
            <w:r w:rsidR="008319B5" w:rsidRPr="00F67958">
              <w:rPr>
                <w:noProof/>
                <w:lang w:eastAsia="zh-CN"/>
              </w:rPr>
              <w:drawing>
                <wp:inline distT="0" distB="0" distL="0" distR="0" wp14:anchorId="6FD7D40E" wp14:editId="45EF0B6B">
                  <wp:extent cx="374400" cy="40320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00FA3CF8">
              <w:rPr>
                <w:sz w:val="18"/>
                <w:szCs w:val="16"/>
                <w:lang w:val="fr-FR"/>
              </w:rPr>
              <w:tab/>
            </w:r>
            <w:r w:rsidR="00FA3CF8">
              <w:rPr>
                <w:sz w:val="18"/>
                <w:szCs w:val="16"/>
                <w:lang w:val="fr-FR"/>
              </w:rPr>
              <w:tab/>
            </w:r>
            <w:r w:rsidR="00FA3CF8">
              <w:rPr>
                <w:sz w:val="18"/>
                <w:szCs w:val="16"/>
                <w:lang w:val="fr-FR"/>
              </w:rPr>
              <w:tab/>
            </w:r>
            <w:r>
              <w:rPr>
                <w:noProof/>
                <w:sz w:val="18"/>
                <w:szCs w:val="16"/>
                <w:lang w:eastAsia="zh-CN"/>
              </w:rPr>
              <w:drawing>
                <wp:inline distT="0" distB="0" distL="0" distR="0" wp14:anchorId="327684E6" wp14:editId="07D52FBE">
                  <wp:extent cx="374400" cy="403200"/>
                  <wp:effectExtent l="0" t="0" r="6985" b="0"/>
                  <wp:docPr id="73" name="Picture 73"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rsidR="008319B5" w:rsidRPr="00F67958" w:rsidRDefault="008319B5" w:rsidP="008F2FF8">
            <w:pPr>
              <w:jc w:val="center"/>
              <w:rPr>
                <w:szCs w:val="24"/>
                <w:lang w:val="fr-FR"/>
              </w:rPr>
            </w:pPr>
          </w:p>
        </w:tc>
        <w:tc>
          <w:tcPr>
            <w:tcW w:w="3827" w:type="dxa"/>
            <w:tcBorders>
              <w:left w:val="single" w:sz="4" w:space="0" w:color="auto"/>
            </w:tcBorders>
          </w:tcPr>
          <w:p w:rsidR="008319B5" w:rsidRPr="00F67958" w:rsidRDefault="008319B5" w:rsidP="008F2FF8">
            <w:pPr>
              <w:pStyle w:val="Tabletext"/>
              <w:rPr>
                <w:sz w:val="16"/>
                <w:szCs w:val="14"/>
                <w:lang w:val="fr-FR"/>
              </w:rPr>
            </w:pPr>
            <w:r w:rsidRPr="00F67958">
              <w:rPr>
                <w:sz w:val="16"/>
                <w:szCs w:val="14"/>
                <w:lang w:val="fr-FR"/>
              </w:rPr>
              <w:t>Q4/2: Assistance aux pays en développement concernant la mise en oeuvre des programmes de conformité et d</w:t>
            </w:r>
            <w:r w:rsidR="000749CB">
              <w:rPr>
                <w:sz w:val="16"/>
                <w:szCs w:val="14"/>
                <w:lang w:val="fr-FR"/>
              </w:rPr>
              <w:t>'</w:t>
            </w:r>
            <w:r w:rsidRPr="00F67958">
              <w:rPr>
                <w:sz w:val="16"/>
                <w:szCs w:val="14"/>
                <w:lang w:val="fr-FR"/>
              </w:rPr>
              <w:t>interopérabilité et lutte contre la contrefaçon d</w:t>
            </w:r>
            <w:r w:rsidR="000749CB">
              <w:rPr>
                <w:sz w:val="16"/>
                <w:szCs w:val="14"/>
                <w:lang w:val="fr-FR"/>
              </w:rPr>
              <w:t>'</w:t>
            </w:r>
            <w:r w:rsidRPr="00F67958">
              <w:rPr>
                <w:sz w:val="16"/>
                <w:szCs w:val="14"/>
                <w:lang w:val="fr-FR"/>
              </w:rPr>
              <w:t>équipements TIC et le vol de dispositifs mobiles</w:t>
            </w:r>
          </w:p>
        </w:tc>
        <w:tc>
          <w:tcPr>
            <w:tcW w:w="3402" w:type="dxa"/>
            <w:tcMar>
              <w:right w:w="0" w:type="dxa"/>
            </w:tcMar>
          </w:tcPr>
          <w:p w:rsidR="008319B5" w:rsidRPr="00F67958" w:rsidRDefault="008319B5" w:rsidP="00FA3CF8">
            <w:pPr>
              <w:pStyle w:val="Tabletext"/>
              <w:rPr>
                <w:sz w:val="18"/>
                <w:szCs w:val="16"/>
                <w:lang w:val="fr-FR"/>
              </w:rPr>
            </w:pPr>
            <w:r w:rsidRPr="00F67958">
              <w:rPr>
                <w:noProof/>
                <w:lang w:eastAsia="zh-CN"/>
              </w:rPr>
              <w:drawing>
                <wp:inline distT="0" distB="0" distL="0" distR="0" wp14:anchorId="23B4E78E" wp14:editId="6E23F56B">
                  <wp:extent cx="374400" cy="403200"/>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4400" cy="403200"/>
                          </a:xfrm>
                          <a:prstGeom prst="rect">
                            <a:avLst/>
                          </a:prstGeom>
                        </pic:spPr>
                      </pic:pic>
                    </a:graphicData>
                  </a:graphic>
                </wp:inline>
              </w:drawing>
            </w:r>
            <w:r w:rsidRPr="00F67958">
              <w:rPr>
                <w:noProof/>
                <w:lang w:eastAsia="zh-CN"/>
              </w:rPr>
              <w:drawing>
                <wp:inline distT="0" distB="0" distL="0" distR="0" wp14:anchorId="748B0AF8" wp14:editId="1530CB1A">
                  <wp:extent cx="374400" cy="403200"/>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00" cy="403200"/>
                          </a:xfrm>
                          <a:prstGeom prst="rect">
                            <a:avLst/>
                          </a:prstGeom>
                        </pic:spPr>
                      </pic:pic>
                    </a:graphicData>
                  </a:graphic>
                </wp:inline>
              </w:drawing>
            </w:r>
            <w:r w:rsidRPr="00F67958">
              <w:rPr>
                <w:noProof/>
                <w:lang w:eastAsia="zh-CN"/>
              </w:rPr>
              <w:drawing>
                <wp:inline distT="0" distB="0" distL="0" distR="0" wp14:anchorId="0BEC536E" wp14:editId="0449522B">
                  <wp:extent cx="374400" cy="403200"/>
                  <wp:effectExtent l="0" t="0" r="698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00FA3CF8">
              <w:rPr>
                <w:sz w:val="18"/>
                <w:szCs w:val="16"/>
                <w:lang w:val="fr-FR"/>
              </w:rPr>
              <w:tab/>
            </w:r>
            <w:r w:rsidR="00FA3CF8">
              <w:rPr>
                <w:sz w:val="18"/>
                <w:szCs w:val="16"/>
                <w:lang w:val="fr-FR"/>
              </w:rPr>
              <w:tab/>
            </w:r>
            <w:r w:rsidR="00FA3CF8">
              <w:rPr>
                <w:sz w:val="18"/>
                <w:szCs w:val="16"/>
                <w:lang w:val="fr-FR"/>
              </w:rPr>
              <w:tab/>
            </w:r>
            <w:r w:rsidR="00076333">
              <w:rPr>
                <w:noProof/>
                <w:sz w:val="18"/>
                <w:szCs w:val="16"/>
                <w:lang w:eastAsia="zh-CN"/>
              </w:rPr>
              <w:drawing>
                <wp:inline distT="0" distB="0" distL="0" distR="0" wp14:anchorId="57134C26" wp14:editId="1A5D39C7">
                  <wp:extent cx="374400" cy="403200"/>
                  <wp:effectExtent l="0" t="0" r="6985" b="0"/>
                  <wp:docPr id="70" name="Picture 70"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8319B5" w:rsidRPr="00F67958" w:rsidTr="00FA3CF8">
        <w:tc>
          <w:tcPr>
            <w:tcW w:w="3828" w:type="dxa"/>
          </w:tcPr>
          <w:p w:rsidR="008319B5" w:rsidRPr="00F67958" w:rsidRDefault="009918B6" w:rsidP="008F2FF8">
            <w:pPr>
              <w:pStyle w:val="Tabletext"/>
              <w:rPr>
                <w:sz w:val="16"/>
                <w:szCs w:val="14"/>
                <w:lang w:val="fr-FR"/>
              </w:rPr>
            </w:pPr>
            <w:r>
              <w:rPr>
                <w:sz w:val="16"/>
                <w:szCs w:val="14"/>
                <w:lang w:val="fr-FR"/>
              </w:rPr>
              <w:t>Q5/1</w:t>
            </w:r>
            <w:r w:rsidR="00A62DD9">
              <w:rPr>
                <w:sz w:val="16"/>
                <w:szCs w:val="14"/>
                <w:lang w:val="fr-FR"/>
              </w:rPr>
              <w:t xml:space="preserve">: </w:t>
            </w:r>
            <w:r w:rsidRPr="009918B6">
              <w:rPr>
                <w:sz w:val="16"/>
                <w:szCs w:val="14"/>
                <w:lang w:val="fr-FR"/>
              </w:rPr>
              <w:t>Télécommunications/TIC pour les zones rurales et isolées</w:t>
            </w:r>
          </w:p>
        </w:tc>
        <w:tc>
          <w:tcPr>
            <w:tcW w:w="3402" w:type="dxa"/>
            <w:tcBorders>
              <w:right w:val="single" w:sz="4" w:space="0" w:color="auto"/>
            </w:tcBorders>
          </w:tcPr>
          <w:p w:rsidR="00076333" w:rsidRPr="00F67958" w:rsidRDefault="00076333" w:rsidP="000749CB">
            <w:pPr>
              <w:pStyle w:val="Tabletext"/>
              <w:rPr>
                <w:sz w:val="18"/>
                <w:szCs w:val="16"/>
                <w:lang w:val="fr-FR"/>
              </w:rPr>
            </w:pPr>
            <w:r w:rsidRPr="00F67958">
              <w:rPr>
                <w:noProof/>
                <w:lang w:eastAsia="zh-CN"/>
              </w:rPr>
              <w:drawing>
                <wp:inline distT="0" distB="0" distL="0" distR="0" wp14:anchorId="50A6F3F9" wp14:editId="2FEA7784">
                  <wp:extent cx="374400" cy="403200"/>
                  <wp:effectExtent l="0" t="0" r="698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Pr="00F67958">
              <w:rPr>
                <w:noProof/>
                <w:lang w:eastAsia="zh-CN"/>
              </w:rPr>
              <w:drawing>
                <wp:inline distT="0" distB="0" distL="0" distR="0" wp14:anchorId="71A6D2E9" wp14:editId="27F63560">
                  <wp:extent cx="374400" cy="403200"/>
                  <wp:effectExtent l="0" t="0" r="698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00" cy="403200"/>
                          </a:xfrm>
                          <a:prstGeom prst="rect">
                            <a:avLst/>
                          </a:prstGeom>
                        </pic:spPr>
                      </pic:pic>
                    </a:graphicData>
                  </a:graphic>
                </wp:inline>
              </w:drawing>
            </w:r>
            <w:r w:rsidRPr="00F67958">
              <w:rPr>
                <w:noProof/>
                <w:lang w:eastAsia="zh-CN"/>
              </w:rPr>
              <w:drawing>
                <wp:inline distT="0" distB="0" distL="0" distR="0" wp14:anchorId="25C3D10B" wp14:editId="643746D8">
                  <wp:extent cx="374400" cy="403200"/>
                  <wp:effectExtent l="0" t="0" r="698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00FA3CF8">
              <w:rPr>
                <w:noProof/>
                <w:sz w:val="18"/>
                <w:szCs w:val="16"/>
                <w:lang w:eastAsia="zh-CN"/>
              </w:rPr>
              <w:tab/>
            </w:r>
            <w:r>
              <w:rPr>
                <w:noProof/>
                <w:sz w:val="18"/>
                <w:szCs w:val="16"/>
                <w:lang w:eastAsia="zh-CN"/>
              </w:rPr>
              <w:drawing>
                <wp:inline distT="0" distB="0" distL="0" distR="0" wp14:anchorId="4C88B4FA" wp14:editId="3393BB67">
                  <wp:extent cx="374400" cy="403200"/>
                  <wp:effectExtent l="0" t="0" r="6985" b="0"/>
                  <wp:docPr id="77" name="Picture 77"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Pr>
                <w:noProof/>
                <w:sz w:val="18"/>
                <w:szCs w:val="16"/>
                <w:lang w:eastAsia="zh-CN"/>
              </w:rPr>
              <w:drawing>
                <wp:inline distT="0" distB="0" distL="0" distR="0" wp14:anchorId="3952FD27" wp14:editId="3FC682E1">
                  <wp:extent cx="374400" cy="403200"/>
                  <wp:effectExtent l="0" t="0" r="6985" b="0"/>
                  <wp:docPr id="78" name="Picture 78"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rsidR="008319B5" w:rsidRPr="00F67958" w:rsidRDefault="008319B5" w:rsidP="008F2FF8">
            <w:pPr>
              <w:jc w:val="center"/>
              <w:rPr>
                <w:szCs w:val="24"/>
                <w:lang w:val="fr-FR"/>
              </w:rPr>
            </w:pPr>
          </w:p>
        </w:tc>
        <w:tc>
          <w:tcPr>
            <w:tcW w:w="3827" w:type="dxa"/>
            <w:tcBorders>
              <w:left w:val="single" w:sz="4" w:space="0" w:color="auto"/>
            </w:tcBorders>
          </w:tcPr>
          <w:p w:rsidR="008319B5" w:rsidRPr="00F67958" w:rsidRDefault="008319B5" w:rsidP="000749CB">
            <w:pPr>
              <w:pStyle w:val="Tabletext"/>
              <w:rPr>
                <w:sz w:val="16"/>
                <w:szCs w:val="14"/>
                <w:lang w:val="fr-FR"/>
              </w:rPr>
            </w:pPr>
            <w:r w:rsidRPr="00F67958">
              <w:rPr>
                <w:sz w:val="16"/>
                <w:szCs w:val="14"/>
                <w:lang w:val="fr-FR"/>
              </w:rPr>
              <w:t>Q5/2: Utilisation des télécommunications/TIC aux fins de la réduction des risques de catastrophe et de la gestion des catastrophes</w:t>
            </w:r>
          </w:p>
        </w:tc>
        <w:tc>
          <w:tcPr>
            <w:tcW w:w="3402" w:type="dxa"/>
            <w:tcMar>
              <w:right w:w="0" w:type="dxa"/>
            </w:tcMar>
          </w:tcPr>
          <w:p w:rsidR="008319B5" w:rsidRPr="00F67958" w:rsidRDefault="008319B5" w:rsidP="00076333">
            <w:pPr>
              <w:pStyle w:val="Tabletext"/>
              <w:rPr>
                <w:sz w:val="18"/>
                <w:szCs w:val="16"/>
                <w:lang w:val="fr-FR"/>
              </w:rPr>
            </w:pPr>
            <w:r w:rsidRPr="00F67958">
              <w:rPr>
                <w:noProof/>
                <w:lang w:eastAsia="zh-CN"/>
              </w:rPr>
              <w:drawing>
                <wp:inline distT="0" distB="0" distL="0" distR="0" wp14:anchorId="421934F9" wp14:editId="5C11FA24">
                  <wp:extent cx="374400" cy="40320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00076333" w:rsidRPr="00F67958">
              <w:rPr>
                <w:noProof/>
                <w:lang w:eastAsia="zh-CN"/>
              </w:rPr>
              <w:drawing>
                <wp:inline distT="0" distB="0" distL="0" distR="0" wp14:anchorId="6909CACD" wp14:editId="37B60206">
                  <wp:extent cx="374400" cy="403200"/>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4400" cy="403200"/>
                          </a:xfrm>
                          <a:prstGeom prst="rect">
                            <a:avLst/>
                          </a:prstGeom>
                        </pic:spPr>
                      </pic:pic>
                    </a:graphicData>
                  </a:graphic>
                </wp:inline>
              </w:drawing>
            </w:r>
            <w:r w:rsidR="00FA3CF8">
              <w:rPr>
                <w:noProof/>
                <w:sz w:val="18"/>
                <w:szCs w:val="16"/>
                <w:lang w:eastAsia="zh-CN"/>
              </w:rPr>
              <w:tab/>
            </w:r>
            <w:r w:rsidR="00FA3CF8">
              <w:rPr>
                <w:noProof/>
                <w:sz w:val="18"/>
                <w:szCs w:val="16"/>
                <w:lang w:eastAsia="zh-CN"/>
              </w:rPr>
              <w:tab/>
            </w:r>
            <w:r w:rsidR="00FA3CF8">
              <w:rPr>
                <w:noProof/>
                <w:sz w:val="18"/>
                <w:szCs w:val="16"/>
                <w:lang w:eastAsia="zh-CN"/>
              </w:rPr>
              <w:tab/>
            </w:r>
            <w:r w:rsidR="00076333">
              <w:rPr>
                <w:noProof/>
                <w:sz w:val="18"/>
                <w:szCs w:val="16"/>
                <w:lang w:eastAsia="zh-CN"/>
              </w:rPr>
              <w:drawing>
                <wp:inline distT="0" distB="0" distL="0" distR="0" wp14:anchorId="57134C26" wp14:editId="1A5D39C7">
                  <wp:extent cx="374400" cy="403200"/>
                  <wp:effectExtent l="0" t="0" r="6985" b="0"/>
                  <wp:docPr id="71" name="Picture 71"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00076333">
              <w:rPr>
                <w:noProof/>
                <w:sz w:val="18"/>
                <w:szCs w:val="16"/>
                <w:lang w:eastAsia="zh-CN"/>
              </w:rPr>
              <w:drawing>
                <wp:inline distT="0" distB="0" distL="0" distR="0">
                  <wp:extent cx="374400" cy="403200"/>
                  <wp:effectExtent l="0" t="0" r="6985" b="0"/>
                  <wp:docPr id="68" name="Picture 68"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Cormierr\AppData\Local\Microsoft\Windows\INetCache\Content.Word\C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8319B5" w:rsidRPr="00F67958" w:rsidTr="00FA3CF8">
        <w:tc>
          <w:tcPr>
            <w:tcW w:w="3828" w:type="dxa"/>
          </w:tcPr>
          <w:p w:rsidR="008319B5" w:rsidRPr="00F67958" w:rsidRDefault="009918B6" w:rsidP="008F2FF8">
            <w:pPr>
              <w:pStyle w:val="Tabletext"/>
              <w:rPr>
                <w:sz w:val="16"/>
                <w:szCs w:val="14"/>
                <w:lang w:val="fr-FR"/>
              </w:rPr>
            </w:pPr>
            <w:r>
              <w:rPr>
                <w:sz w:val="16"/>
                <w:szCs w:val="14"/>
                <w:lang w:val="fr-FR"/>
              </w:rPr>
              <w:t>Q6/1</w:t>
            </w:r>
            <w:r w:rsidR="008319B5" w:rsidRPr="00F67958">
              <w:rPr>
                <w:sz w:val="16"/>
                <w:szCs w:val="14"/>
                <w:lang w:val="fr-FR"/>
              </w:rPr>
              <w:t xml:space="preserve">: </w:t>
            </w:r>
            <w:r w:rsidRPr="009918B6">
              <w:rPr>
                <w:sz w:val="16"/>
                <w:szCs w:val="14"/>
                <w:lang w:val="fr-FR"/>
              </w:rPr>
              <w:t>Information, protection et droits du consommateur: lois, réglementation, fondements économiques, réseaux de consommateurs</w:t>
            </w:r>
          </w:p>
        </w:tc>
        <w:tc>
          <w:tcPr>
            <w:tcW w:w="3402" w:type="dxa"/>
            <w:tcBorders>
              <w:right w:val="single" w:sz="4" w:space="0" w:color="auto"/>
            </w:tcBorders>
          </w:tcPr>
          <w:p w:rsidR="00076333" w:rsidRPr="00F67958" w:rsidRDefault="00076333" w:rsidP="00FA3CF8">
            <w:pPr>
              <w:pStyle w:val="Tabletext"/>
              <w:tabs>
                <w:tab w:val="clear" w:pos="567"/>
                <w:tab w:val="clear" w:pos="851"/>
                <w:tab w:val="clear" w:pos="1134"/>
                <w:tab w:val="clear" w:pos="1418"/>
                <w:tab w:val="clear" w:pos="1701"/>
                <w:tab w:val="clear" w:pos="1985"/>
                <w:tab w:val="clear" w:pos="2268"/>
                <w:tab w:val="left" w:pos="1995"/>
              </w:tabs>
              <w:rPr>
                <w:sz w:val="18"/>
                <w:szCs w:val="16"/>
                <w:lang w:val="fr-FR"/>
              </w:rPr>
            </w:pPr>
            <w:r w:rsidRPr="00F67958">
              <w:rPr>
                <w:noProof/>
                <w:lang w:eastAsia="zh-CN"/>
              </w:rPr>
              <w:drawing>
                <wp:inline distT="0" distB="0" distL="0" distR="0" wp14:anchorId="72D0F158" wp14:editId="54C7C483">
                  <wp:extent cx="374400" cy="403200"/>
                  <wp:effectExtent l="0" t="0" r="698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Pr="00F67958">
              <w:rPr>
                <w:noProof/>
                <w:lang w:eastAsia="zh-CN"/>
              </w:rPr>
              <w:drawing>
                <wp:inline distT="0" distB="0" distL="0" distR="0" wp14:anchorId="369F6B39" wp14:editId="1CE135FD">
                  <wp:extent cx="374400" cy="403200"/>
                  <wp:effectExtent l="0" t="0" r="698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00" cy="403200"/>
                          </a:xfrm>
                          <a:prstGeom prst="rect">
                            <a:avLst/>
                          </a:prstGeom>
                        </pic:spPr>
                      </pic:pic>
                    </a:graphicData>
                  </a:graphic>
                </wp:inline>
              </w:drawing>
            </w:r>
            <w:r>
              <w:rPr>
                <w:noProof/>
                <w:lang w:eastAsia="zh-CN"/>
              </w:rPr>
              <w:drawing>
                <wp:inline distT="0" distB="0" distL="0" distR="0">
                  <wp:extent cx="374400" cy="403200"/>
                  <wp:effectExtent l="0" t="0" r="6985" b="0"/>
                  <wp:docPr id="81" name="Picture 81"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00FA3CF8">
              <w:rPr>
                <w:sz w:val="18"/>
                <w:szCs w:val="16"/>
                <w:lang w:val="fr-FR"/>
              </w:rPr>
              <w:tab/>
            </w:r>
            <w:r w:rsidR="000749CB">
              <w:rPr>
                <w:sz w:val="18"/>
                <w:szCs w:val="16"/>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5" type="#_x0000_t75" style="width:29.4pt;height:29.4pt" stroked="t">
                  <v:stroke r:id="rId35" o:title="" color2="black" filltype="pattern"/>
                  <v:imagedata r:id="rId36" o:title="C5"/>
                </v:shape>
              </w:pict>
            </w:r>
            <w:r>
              <w:rPr>
                <w:noProof/>
                <w:sz w:val="18"/>
                <w:szCs w:val="16"/>
                <w:lang w:eastAsia="zh-CN"/>
              </w:rPr>
              <w:drawing>
                <wp:inline distT="0" distB="0" distL="0" distR="0" wp14:anchorId="0EFC1AD2" wp14:editId="789D997E">
                  <wp:extent cx="367200" cy="396000"/>
                  <wp:effectExtent l="0" t="0" r="0" b="4445"/>
                  <wp:docPr id="82" name="Picture 82"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7200" cy="3960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rsidR="008319B5" w:rsidRPr="00F67958" w:rsidRDefault="008319B5" w:rsidP="008F2FF8">
            <w:pPr>
              <w:jc w:val="center"/>
              <w:rPr>
                <w:szCs w:val="24"/>
                <w:lang w:val="fr-FR"/>
              </w:rPr>
            </w:pPr>
          </w:p>
        </w:tc>
        <w:tc>
          <w:tcPr>
            <w:tcW w:w="3827" w:type="dxa"/>
            <w:tcBorders>
              <w:left w:val="single" w:sz="4" w:space="0" w:color="auto"/>
            </w:tcBorders>
          </w:tcPr>
          <w:p w:rsidR="008319B5" w:rsidRPr="00F67958" w:rsidRDefault="008319B5" w:rsidP="008F2FF8">
            <w:pPr>
              <w:pStyle w:val="Tabletext"/>
              <w:rPr>
                <w:sz w:val="16"/>
                <w:szCs w:val="14"/>
                <w:lang w:val="fr-FR"/>
              </w:rPr>
            </w:pPr>
            <w:r w:rsidRPr="00F67958">
              <w:rPr>
                <w:sz w:val="16"/>
                <w:szCs w:val="14"/>
                <w:lang w:val="fr-FR"/>
              </w:rPr>
              <w:t>Q6/2: Les TIC et l</w:t>
            </w:r>
            <w:r w:rsidR="000749CB">
              <w:rPr>
                <w:sz w:val="16"/>
                <w:szCs w:val="14"/>
                <w:lang w:val="fr-FR"/>
              </w:rPr>
              <w:t>'</w:t>
            </w:r>
            <w:r w:rsidRPr="00F67958">
              <w:rPr>
                <w:sz w:val="16"/>
                <w:szCs w:val="14"/>
                <w:lang w:val="fr-FR"/>
              </w:rPr>
              <w:t>environnement</w:t>
            </w:r>
          </w:p>
        </w:tc>
        <w:tc>
          <w:tcPr>
            <w:tcW w:w="3402" w:type="dxa"/>
            <w:tcMar>
              <w:right w:w="0" w:type="dxa"/>
            </w:tcMar>
          </w:tcPr>
          <w:p w:rsidR="008319B5" w:rsidRPr="00F67958" w:rsidRDefault="008319B5" w:rsidP="008F2FF8">
            <w:pPr>
              <w:pStyle w:val="Tabletext"/>
              <w:tabs>
                <w:tab w:val="clear" w:pos="567"/>
                <w:tab w:val="clear" w:pos="851"/>
                <w:tab w:val="clear" w:pos="1134"/>
                <w:tab w:val="clear" w:pos="1418"/>
                <w:tab w:val="clear" w:pos="1701"/>
                <w:tab w:val="clear" w:pos="1985"/>
                <w:tab w:val="clear" w:pos="2268"/>
                <w:tab w:val="left" w:pos="2160"/>
              </w:tabs>
              <w:rPr>
                <w:sz w:val="18"/>
                <w:szCs w:val="16"/>
                <w:lang w:val="fr-FR"/>
              </w:rPr>
            </w:pPr>
            <w:r w:rsidRPr="00F67958">
              <w:rPr>
                <w:noProof/>
                <w:lang w:eastAsia="zh-CN"/>
              </w:rPr>
              <w:drawing>
                <wp:inline distT="0" distB="0" distL="0" distR="0" wp14:anchorId="6FBD73D8" wp14:editId="52120F1E">
                  <wp:extent cx="374400" cy="403200"/>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00FA3CF8">
              <w:rPr>
                <w:noProof/>
                <w:sz w:val="18"/>
                <w:szCs w:val="16"/>
                <w:lang w:eastAsia="zh-CN"/>
              </w:rPr>
              <w:tab/>
            </w:r>
            <w:r w:rsidR="00FA3CF8">
              <w:rPr>
                <w:noProof/>
                <w:sz w:val="18"/>
                <w:szCs w:val="16"/>
                <w:lang w:eastAsia="zh-CN"/>
              </w:rPr>
              <w:tab/>
            </w:r>
            <w:r w:rsidR="00076333">
              <w:rPr>
                <w:noProof/>
                <w:sz w:val="18"/>
                <w:szCs w:val="16"/>
                <w:lang w:eastAsia="zh-CN"/>
              </w:rPr>
              <w:drawing>
                <wp:inline distT="0" distB="0" distL="0" distR="0">
                  <wp:extent cx="374400" cy="403200"/>
                  <wp:effectExtent l="0" t="0" r="6985" b="0"/>
                  <wp:docPr id="67" name="Picture 67"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8319B5" w:rsidRPr="00F67958" w:rsidTr="00FA3CF8">
        <w:tc>
          <w:tcPr>
            <w:tcW w:w="3828" w:type="dxa"/>
          </w:tcPr>
          <w:p w:rsidR="008319B5" w:rsidRPr="00F67958" w:rsidRDefault="009918B6" w:rsidP="008F2FF8">
            <w:pPr>
              <w:pStyle w:val="Tabletext"/>
              <w:rPr>
                <w:sz w:val="16"/>
                <w:szCs w:val="14"/>
                <w:lang w:val="fr-FR"/>
              </w:rPr>
            </w:pPr>
            <w:r>
              <w:rPr>
                <w:sz w:val="16"/>
                <w:szCs w:val="14"/>
                <w:lang w:val="fr-FR"/>
              </w:rPr>
              <w:t>Q7/1</w:t>
            </w:r>
            <w:r w:rsidR="008319B5" w:rsidRPr="00F67958">
              <w:rPr>
                <w:sz w:val="16"/>
                <w:szCs w:val="14"/>
                <w:lang w:val="fr-FR"/>
              </w:rPr>
              <w:t xml:space="preserve">: </w:t>
            </w:r>
            <w:r w:rsidRPr="009918B6">
              <w:rPr>
                <w:sz w:val="16"/>
                <w:szCs w:val="14"/>
                <w:lang w:val="fr-FR"/>
              </w:rPr>
              <w:t>Accès des personnes handicapées et des autres personnes ayant des besoins particuliers aux services de télécommunication</w:t>
            </w:r>
          </w:p>
        </w:tc>
        <w:tc>
          <w:tcPr>
            <w:tcW w:w="3402" w:type="dxa"/>
            <w:tcBorders>
              <w:right w:val="single" w:sz="4" w:space="0" w:color="auto"/>
            </w:tcBorders>
          </w:tcPr>
          <w:p w:rsidR="009918B6" w:rsidRPr="00F67958" w:rsidRDefault="00076333" w:rsidP="000749CB">
            <w:pPr>
              <w:pStyle w:val="Tabletext"/>
              <w:rPr>
                <w:sz w:val="18"/>
                <w:szCs w:val="16"/>
                <w:lang w:val="fr-FR"/>
              </w:rPr>
            </w:pPr>
            <w:r w:rsidRPr="00F67958">
              <w:rPr>
                <w:noProof/>
                <w:lang w:eastAsia="zh-CN"/>
              </w:rPr>
              <w:drawing>
                <wp:inline distT="0" distB="0" distL="0" distR="0" wp14:anchorId="511374BE" wp14:editId="72726D92">
                  <wp:extent cx="374400" cy="403200"/>
                  <wp:effectExtent l="0" t="0" r="698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4400" cy="403200"/>
                          </a:xfrm>
                          <a:prstGeom prst="rect">
                            <a:avLst/>
                          </a:prstGeom>
                        </pic:spPr>
                      </pic:pic>
                    </a:graphicData>
                  </a:graphic>
                </wp:inline>
              </w:drawing>
            </w:r>
            <w:r w:rsidR="000749CB">
              <w:rPr>
                <w:sz w:val="18"/>
                <w:szCs w:val="16"/>
                <w:lang w:val="fr-FR"/>
              </w:rPr>
              <w:pict>
                <v:shape id="_x0000_i1736" type="#_x0000_t75" style="width:29.4pt;height:30.55pt" stroked="t">
                  <v:stroke r:id="rId35" o:title="" color2="black" filltype="pattern"/>
                  <v:imagedata r:id="rId37" o:title="ODD10"/>
                </v:shape>
              </w:pict>
            </w:r>
            <w:r w:rsidR="00FA3CF8">
              <w:rPr>
                <w:sz w:val="18"/>
                <w:szCs w:val="16"/>
                <w:lang w:val="fr-FR"/>
              </w:rPr>
              <w:tab/>
            </w:r>
            <w:r w:rsidR="000749CB">
              <w:rPr>
                <w:sz w:val="18"/>
                <w:szCs w:val="16"/>
                <w:lang w:val="fr-FR"/>
              </w:rPr>
              <w:pict>
                <v:shape id="_x0000_i1737" type="#_x0000_t75" style="width:29.4pt;height:29.95pt" stroked="t">
                  <v:stroke r:id="rId35" o:title="" color2="black" filltype="pattern"/>
                  <v:imagedata r:id="rId38" o:title="C3"/>
                </v:shape>
              </w:pict>
            </w:r>
            <w:r w:rsidR="000749CB">
              <w:rPr>
                <w:sz w:val="18"/>
                <w:szCs w:val="16"/>
                <w:lang w:val="fr-FR"/>
              </w:rPr>
              <w:pict>
                <v:shape id="_x0000_i1738" type="#_x0000_t75" style="width:29.4pt;height:29.4pt" stroked="t">
                  <v:stroke r:id="rId35" o:title="" color2="black" filltype="pattern"/>
                  <v:imagedata r:id="rId39" o:title="C4"/>
                </v:shape>
              </w:pict>
            </w:r>
            <w:r w:rsidR="009918B6">
              <w:rPr>
                <w:noProof/>
                <w:sz w:val="18"/>
                <w:szCs w:val="16"/>
                <w:lang w:eastAsia="zh-CN"/>
              </w:rPr>
              <w:drawing>
                <wp:inline distT="0" distB="0" distL="0" distR="0" wp14:anchorId="6DFEE04D" wp14:editId="65EFED78">
                  <wp:extent cx="365760" cy="393895"/>
                  <wp:effectExtent l="0" t="0" r="0" b="6350"/>
                  <wp:docPr id="84" name="Picture 84"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9359" cy="397771"/>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rsidR="008319B5" w:rsidRPr="00F67958" w:rsidRDefault="008319B5" w:rsidP="008F2FF8">
            <w:pPr>
              <w:jc w:val="center"/>
              <w:rPr>
                <w:szCs w:val="24"/>
                <w:lang w:val="fr-FR"/>
              </w:rPr>
            </w:pPr>
          </w:p>
        </w:tc>
        <w:tc>
          <w:tcPr>
            <w:tcW w:w="3827" w:type="dxa"/>
            <w:tcBorders>
              <w:left w:val="single" w:sz="4" w:space="0" w:color="auto"/>
            </w:tcBorders>
          </w:tcPr>
          <w:p w:rsidR="008319B5" w:rsidRPr="00F67958" w:rsidRDefault="008319B5" w:rsidP="008F2FF8">
            <w:pPr>
              <w:pStyle w:val="Tabletext"/>
              <w:rPr>
                <w:sz w:val="16"/>
                <w:szCs w:val="14"/>
                <w:lang w:val="fr-FR"/>
              </w:rPr>
            </w:pPr>
            <w:r w:rsidRPr="00F67958">
              <w:rPr>
                <w:sz w:val="16"/>
                <w:szCs w:val="14"/>
                <w:lang w:val="fr-FR"/>
              </w:rPr>
              <w:t>Q7/2: Stratégies et politiques concernant l</w:t>
            </w:r>
            <w:r w:rsidR="000749CB">
              <w:rPr>
                <w:sz w:val="16"/>
                <w:szCs w:val="14"/>
                <w:lang w:val="fr-FR"/>
              </w:rPr>
              <w:t>'</w:t>
            </w:r>
            <w:r w:rsidRPr="00F67958">
              <w:rPr>
                <w:sz w:val="16"/>
                <w:szCs w:val="14"/>
                <w:lang w:val="fr-FR"/>
              </w:rPr>
              <w:t>exposition des personnes aux champs électromagnétiques</w:t>
            </w:r>
          </w:p>
        </w:tc>
        <w:tc>
          <w:tcPr>
            <w:tcW w:w="3402" w:type="dxa"/>
            <w:tcMar>
              <w:right w:w="0" w:type="dxa"/>
            </w:tcMar>
          </w:tcPr>
          <w:p w:rsidR="008319B5" w:rsidRPr="00F67958" w:rsidRDefault="008319B5" w:rsidP="008F2FF8">
            <w:pPr>
              <w:pStyle w:val="Tabletext"/>
              <w:rPr>
                <w:sz w:val="18"/>
                <w:szCs w:val="16"/>
                <w:lang w:val="fr-FR"/>
              </w:rPr>
            </w:pPr>
            <w:r w:rsidRPr="00F67958">
              <w:rPr>
                <w:noProof/>
                <w:lang w:eastAsia="zh-CN"/>
              </w:rPr>
              <w:drawing>
                <wp:inline distT="0" distB="0" distL="0" distR="0" wp14:anchorId="5FC30902" wp14:editId="583D7741">
                  <wp:extent cx="374400" cy="403200"/>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4400" cy="403200"/>
                          </a:xfrm>
                          <a:prstGeom prst="rect">
                            <a:avLst/>
                          </a:prstGeom>
                        </pic:spPr>
                      </pic:pic>
                    </a:graphicData>
                  </a:graphic>
                </wp:inline>
              </w:drawing>
            </w:r>
            <w:r w:rsidRPr="00F67958">
              <w:rPr>
                <w:noProof/>
                <w:lang w:eastAsia="zh-CN"/>
              </w:rPr>
              <w:drawing>
                <wp:inline distT="0" distB="0" distL="0" distR="0" wp14:anchorId="4914D72C" wp14:editId="3F8F95AA">
                  <wp:extent cx="374400" cy="403200"/>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Pr="00F67958">
              <w:rPr>
                <w:sz w:val="18"/>
                <w:szCs w:val="16"/>
                <w:lang w:val="fr-FR"/>
              </w:rPr>
              <w:t xml:space="preserve"> </w:t>
            </w:r>
            <w:r w:rsidR="00FA3CF8">
              <w:rPr>
                <w:noProof/>
                <w:lang w:eastAsia="zh-CN"/>
              </w:rPr>
              <w:tab/>
            </w:r>
            <w:r w:rsidR="00FA3CF8">
              <w:rPr>
                <w:noProof/>
                <w:lang w:eastAsia="zh-CN"/>
              </w:rPr>
              <w:tab/>
            </w:r>
            <w:r w:rsidR="00FA3CF8">
              <w:rPr>
                <w:noProof/>
                <w:lang w:eastAsia="zh-CN"/>
              </w:rPr>
              <w:tab/>
            </w:r>
            <w:r w:rsidR="00FA3CF8">
              <w:rPr>
                <w:noProof/>
                <w:lang w:eastAsia="zh-CN"/>
              </w:rPr>
              <w:tab/>
            </w:r>
            <w:r w:rsidR="00FA3CF8">
              <w:rPr>
                <w:noProof/>
                <w:lang w:eastAsia="zh-CN"/>
              </w:rPr>
              <w:tab/>
            </w:r>
            <w:r w:rsidRPr="00F67958">
              <w:rPr>
                <w:noProof/>
                <w:lang w:eastAsia="zh-CN"/>
              </w:rPr>
              <w:drawing>
                <wp:inline distT="0" distB="0" distL="0" distR="0" wp14:anchorId="026D7D11" wp14:editId="3D63B4A4">
                  <wp:extent cx="374400" cy="403200"/>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74400" cy="403200"/>
                          </a:xfrm>
                          <a:prstGeom prst="rect">
                            <a:avLst/>
                          </a:prstGeom>
                        </pic:spPr>
                      </pic:pic>
                    </a:graphicData>
                  </a:graphic>
                </wp:inline>
              </w:drawing>
            </w:r>
          </w:p>
        </w:tc>
      </w:tr>
    </w:tbl>
    <w:p w:rsidR="00FA3CF8" w:rsidRDefault="00FA3CF8" w:rsidP="00FA3CF8">
      <w:pPr>
        <w:rPr>
          <w:lang w:val="fr-FR"/>
        </w:rPr>
      </w:pPr>
    </w:p>
    <w:p w:rsidR="008E531F" w:rsidRPr="00F67958" w:rsidRDefault="00AA4AE3" w:rsidP="00302CAA">
      <w:pPr>
        <w:jc w:val="center"/>
        <w:rPr>
          <w:lang w:val="fr-FR"/>
        </w:rPr>
      </w:pPr>
      <w:r w:rsidRPr="00F67958">
        <w:rPr>
          <w:lang w:val="fr-FR"/>
        </w:rPr>
        <w:t>______________</w:t>
      </w:r>
    </w:p>
    <w:sectPr w:rsidR="008E531F" w:rsidRPr="00F67958" w:rsidSect="00892568">
      <w:headerReference w:type="default" r:id="rId41"/>
      <w:footerReference w:type="default" r:id="rId42"/>
      <w:footerReference w:type="first" r:id="rId43"/>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CB" w:rsidRDefault="000749CB">
      <w:r>
        <w:separator/>
      </w:r>
    </w:p>
  </w:endnote>
  <w:endnote w:type="continuationSeparator" w:id="0">
    <w:p w:rsidR="000749CB" w:rsidRDefault="0007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CB" w:rsidRPr="001038CA" w:rsidRDefault="000749CB" w:rsidP="0020157A">
    <w:pPr>
      <w:pStyle w:val="Footer"/>
      <w:rPr>
        <w:lang w:val="es-ES_tradnl"/>
      </w:rPr>
    </w:pPr>
    <w:r>
      <w:fldChar w:fldCharType="begin"/>
    </w:r>
    <w:r w:rsidRPr="001038CA">
      <w:rPr>
        <w:lang w:val="es-ES_tradnl"/>
      </w:rPr>
      <w:instrText xml:space="preserve"> FILENAME \p  \* MERGEFORMAT </w:instrText>
    </w:r>
    <w:r>
      <w:fldChar w:fldCharType="separate"/>
    </w:r>
    <w:r w:rsidR="00FA3CF8">
      <w:rPr>
        <w:lang w:val="es-ES_tradnl"/>
      </w:rPr>
      <w:t>P:\FRA\ITU-D\CONF-D\TDAG19\000\003F.docx</w:t>
    </w:r>
    <w:r>
      <w:fldChar w:fldCharType="end"/>
    </w:r>
    <w:r>
      <w:rPr>
        <w:lang w:val="es-ES_tradnl"/>
      </w:rPr>
      <w:t xml:space="preserve"> (449202</w:t>
    </w:r>
    <w:r w:rsidRPr="001038CA">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0749CB" w:rsidRPr="004D495C" w:rsidTr="0020157A">
      <w:tc>
        <w:tcPr>
          <w:tcW w:w="1526" w:type="dxa"/>
          <w:tcBorders>
            <w:top w:val="single" w:sz="4" w:space="0" w:color="000000"/>
          </w:tcBorders>
          <w:shd w:val="clear" w:color="auto" w:fill="auto"/>
        </w:tcPr>
        <w:p w:rsidR="000749CB" w:rsidRPr="004D495C" w:rsidRDefault="000749CB" w:rsidP="0020157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0749CB" w:rsidRPr="004D495C" w:rsidRDefault="000749CB" w:rsidP="0020157A">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0749CB" w:rsidRPr="00A2627E" w:rsidRDefault="000749CB" w:rsidP="008F2FF8">
          <w:pPr>
            <w:pStyle w:val="FirstFooter"/>
            <w:tabs>
              <w:tab w:val="left" w:pos="2302"/>
            </w:tabs>
            <w:ind w:left="2302" w:hanging="2302"/>
            <w:rPr>
              <w:sz w:val="18"/>
              <w:szCs w:val="18"/>
              <w:lang w:val="fr-CH"/>
            </w:rPr>
          </w:pPr>
          <w:r w:rsidRPr="00A2627E">
            <w:rPr>
              <w:sz w:val="18"/>
              <w:szCs w:val="18"/>
              <w:lang w:val="fr-CH"/>
            </w:rPr>
            <w:t>M. Jaroslaw Ponder, Chef du Bureau de l</w:t>
          </w:r>
          <w:r>
            <w:rPr>
              <w:sz w:val="18"/>
              <w:szCs w:val="18"/>
              <w:lang w:val="fr-CH"/>
            </w:rPr>
            <w:t>'</w:t>
          </w:r>
          <w:r w:rsidRPr="00A2627E">
            <w:rPr>
              <w:sz w:val="18"/>
              <w:szCs w:val="18"/>
              <w:lang w:val="fr-CH"/>
            </w:rPr>
            <w:t xml:space="preserve">UIT pour </w:t>
          </w:r>
          <w:r>
            <w:rPr>
              <w:sz w:val="18"/>
              <w:szCs w:val="18"/>
              <w:lang w:val="fr-CH"/>
            </w:rPr>
            <w:t>l'</w:t>
          </w:r>
          <w:r w:rsidRPr="00A2627E">
            <w:rPr>
              <w:sz w:val="18"/>
              <w:szCs w:val="18"/>
              <w:lang w:val="fr-CH"/>
            </w:rPr>
            <w:t xml:space="preserve">Europe </w:t>
          </w:r>
        </w:p>
      </w:tc>
    </w:tr>
    <w:tr w:rsidR="000749CB" w:rsidRPr="004D495C" w:rsidTr="0020157A">
      <w:tc>
        <w:tcPr>
          <w:tcW w:w="1526" w:type="dxa"/>
          <w:shd w:val="clear" w:color="auto" w:fill="auto"/>
        </w:tcPr>
        <w:p w:rsidR="000749CB" w:rsidRPr="001038CA" w:rsidRDefault="000749CB" w:rsidP="0020157A">
          <w:pPr>
            <w:pStyle w:val="FirstFooter"/>
            <w:tabs>
              <w:tab w:val="left" w:pos="1559"/>
              <w:tab w:val="left" w:pos="3828"/>
            </w:tabs>
            <w:rPr>
              <w:sz w:val="20"/>
              <w:lang w:val="fr-CH"/>
            </w:rPr>
          </w:pPr>
        </w:p>
      </w:tc>
      <w:tc>
        <w:tcPr>
          <w:tcW w:w="2410" w:type="dxa"/>
          <w:shd w:val="clear" w:color="auto" w:fill="auto"/>
        </w:tcPr>
        <w:p w:rsidR="000749CB" w:rsidRPr="004D495C" w:rsidRDefault="000749CB" w:rsidP="0020157A">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0749CB" w:rsidRPr="00706D71" w:rsidRDefault="000749CB" w:rsidP="0020157A">
          <w:pPr>
            <w:pStyle w:val="FirstFooter"/>
            <w:tabs>
              <w:tab w:val="left" w:pos="2302"/>
            </w:tabs>
            <w:rPr>
              <w:sz w:val="18"/>
              <w:szCs w:val="18"/>
              <w:lang w:val="en-US"/>
            </w:rPr>
          </w:pPr>
          <w:r w:rsidRPr="00706D71">
            <w:rPr>
              <w:sz w:val="18"/>
              <w:szCs w:val="18"/>
              <w:lang w:val="en-US"/>
            </w:rPr>
            <w:t xml:space="preserve">+41 22 730 6065 </w:t>
          </w:r>
        </w:p>
      </w:tc>
    </w:tr>
    <w:tr w:rsidR="000749CB" w:rsidRPr="004D495C" w:rsidTr="0020157A">
      <w:tc>
        <w:tcPr>
          <w:tcW w:w="1526" w:type="dxa"/>
          <w:shd w:val="clear" w:color="auto" w:fill="auto"/>
        </w:tcPr>
        <w:p w:rsidR="000749CB" w:rsidRPr="004D495C" w:rsidRDefault="000749CB" w:rsidP="00A454E1">
          <w:pPr>
            <w:pStyle w:val="FirstFooter"/>
            <w:tabs>
              <w:tab w:val="left" w:pos="1559"/>
              <w:tab w:val="left" w:pos="3828"/>
            </w:tabs>
            <w:rPr>
              <w:sz w:val="20"/>
              <w:lang w:val="en-US"/>
            </w:rPr>
          </w:pPr>
        </w:p>
      </w:tc>
      <w:tc>
        <w:tcPr>
          <w:tcW w:w="2410" w:type="dxa"/>
          <w:shd w:val="clear" w:color="auto" w:fill="auto"/>
        </w:tcPr>
        <w:p w:rsidR="000749CB" w:rsidRPr="004D495C" w:rsidRDefault="000749CB" w:rsidP="00A454E1">
          <w:pPr>
            <w:pStyle w:val="FirstFooter"/>
            <w:tabs>
              <w:tab w:val="left" w:pos="2302"/>
            </w:tabs>
            <w:rPr>
              <w:sz w:val="18"/>
              <w:szCs w:val="18"/>
              <w:lang w:val="en-US"/>
            </w:rPr>
          </w:pPr>
          <w:r>
            <w:rPr>
              <w:sz w:val="18"/>
              <w:szCs w:val="18"/>
              <w:lang w:val="en-US"/>
            </w:rPr>
            <w:t>Courriel:</w:t>
          </w:r>
        </w:p>
      </w:tc>
      <w:tc>
        <w:tcPr>
          <w:tcW w:w="5987" w:type="dxa"/>
          <w:shd w:val="clear" w:color="auto" w:fill="auto"/>
        </w:tcPr>
        <w:p w:rsidR="000749CB" w:rsidRPr="00E5653A" w:rsidRDefault="000749CB" w:rsidP="00A454E1">
          <w:pPr>
            <w:pStyle w:val="FirstFooter"/>
            <w:tabs>
              <w:tab w:val="left" w:pos="2302"/>
            </w:tabs>
            <w:rPr>
              <w:sz w:val="18"/>
              <w:szCs w:val="18"/>
              <w:lang w:val="en-US"/>
            </w:rPr>
          </w:pPr>
          <w:hyperlink r:id="rId1" w:history="1">
            <w:r w:rsidRPr="00A2627E">
              <w:rPr>
                <w:rStyle w:val="Hyperlink"/>
                <w:sz w:val="18"/>
                <w:szCs w:val="18"/>
                <w:lang w:val="en-US"/>
              </w:rPr>
              <w:t>jaroslaw.ponder@itu.int</w:t>
            </w:r>
          </w:hyperlink>
        </w:p>
      </w:tc>
    </w:tr>
  </w:tbl>
  <w:p w:rsidR="000749CB" w:rsidRPr="008802F9" w:rsidRDefault="000749CB" w:rsidP="002B6949">
    <w:pPr>
      <w:pStyle w:val="Footer"/>
      <w:spacing w:before="120"/>
      <w:jc w:val="center"/>
    </w:pPr>
    <w:hyperlink r:id="rId2" w:history="1">
      <w:r>
        <w:rPr>
          <w:rStyle w:val="Hyperlink"/>
          <w:caps w:val="0"/>
          <w:noProof w:val="0"/>
          <w:sz w:val="18"/>
          <w:szCs w:val="18"/>
          <w:lang w:val="fr-CH"/>
        </w:rPr>
        <w:t>GCDT</w:t>
      </w:r>
    </w:hyperlink>
    <w:hyperlink r:id="rId3"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CB" w:rsidRPr="009918B6" w:rsidRDefault="000749CB" w:rsidP="00755118">
    <w:pPr>
      <w:pStyle w:val="Footer"/>
      <w:rPr>
        <w:caps w:val="0"/>
        <w:szCs w:val="16"/>
        <w:lang w:val="es-ES"/>
      </w:rPr>
    </w:pPr>
    <w:r w:rsidRPr="00755118">
      <w:rPr>
        <w:caps w:val="0"/>
        <w:szCs w:val="16"/>
      </w:rPr>
      <w:fldChar w:fldCharType="begin"/>
    </w:r>
    <w:r w:rsidRPr="009918B6">
      <w:rPr>
        <w:caps w:val="0"/>
        <w:szCs w:val="16"/>
        <w:lang w:val="es-ES"/>
      </w:rPr>
      <w:instrText xml:space="preserve"> FILENAME \p \* MERGEFORMAT </w:instrText>
    </w:r>
    <w:r w:rsidRPr="00755118">
      <w:rPr>
        <w:caps w:val="0"/>
        <w:szCs w:val="16"/>
      </w:rPr>
      <w:fldChar w:fldCharType="separate"/>
    </w:r>
    <w:r w:rsidR="00FA3CF8">
      <w:rPr>
        <w:caps w:val="0"/>
        <w:szCs w:val="16"/>
        <w:lang w:val="es-ES"/>
      </w:rPr>
      <w:t>P:\FRA\ITU-D\CONF-D\TDAG19\000\003F.docx</w:t>
    </w:r>
    <w:r w:rsidRPr="00755118">
      <w:rPr>
        <w:caps w:val="0"/>
        <w:szCs w:val="16"/>
        <w:lang w:val="en-US"/>
      </w:rPr>
      <w:fldChar w:fldCharType="end"/>
    </w:r>
    <w:r w:rsidRPr="009918B6">
      <w:rPr>
        <w:caps w:val="0"/>
        <w:szCs w:val="16"/>
        <w:lang w:val="es-ES"/>
      </w:rPr>
      <w:t xml:space="preserve"> (449202)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0749CB" w:rsidRPr="004D495C" w:rsidTr="0020157A">
      <w:tc>
        <w:tcPr>
          <w:tcW w:w="1526" w:type="dxa"/>
          <w:tcBorders>
            <w:top w:val="single" w:sz="4" w:space="0" w:color="000000"/>
          </w:tcBorders>
          <w:shd w:val="clear" w:color="auto" w:fill="auto"/>
        </w:tcPr>
        <w:p w:rsidR="000749CB" w:rsidRPr="004D495C" w:rsidRDefault="000749CB"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0749CB" w:rsidRPr="004D495C" w:rsidRDefault="000749CB"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0749CB" w:rsidRPr="00103701" w:rsidRDefault="000749CB" w:rsidP="00A454E1">
          <w:pPr>
            <w:pStyle w:val="FirstFooter"/>
            <w:tabs>
              <w:tab w:val="left" w:pos="2302"/>
            </w:tabs>
            <w:ind w:left="2302" w:hanging="2302"/>
            <w:rPr>
              <w:sz w:val="18"/>
              <w:szCs w:val="18"/>
            </w:rPr>
          </w:pPr>
          <w:bookmarkStart w:id="8" w:name="OrgName"/>
          <w:bookmarkEnd w:id="8"/>
          <w:r w:rsidRPr="00A2627E">
            <w:rPr>
              <w:sz w:val="18"/>
              <w:szCs w:val="18"/>
              <w:lang w:val="fr-CH"/>
            </w:rPr>
            <w:t>M. Jaroslaw Ponder, Chef du Bureau de l</w:t>
          </w:r>
          <w:r>
            <w:rPr>
              <w:sz w:val="18"/>
              <w:szCs w:val="18"/>
              <w:lang w:val="fr-CH"/>
            </w:rPr>
            <w:t>'</w:t>
          </w:r>
          <w:r w:rsidRPr="00A2627E">
            <w:rPr>
              <w:sz w:val="18"/>
              <w:szCs w:val="18"/>
              <w:lang w:val="fr-CH"/>
            </w:rPr>
            <w:t>UIT pour la région Europe</w:t>
          </w:r>
        </w:p>
      </w:tc>
    </w:tr>
    <w:tr w:rsidR="000749CB" w:rsidRPr="004D495C" w:rsidTr="0020157A">
      <w:tc>
        <w:tcPr>
          <w:tcW w:w="1526" w:type="dxa"/>
          <w:shd w:val="clear" w:color="auto" w:fill="auto"/>
        </w:tcPr>
        <w:p w:rsidR="000749CB" w:rsidRPr="00103701" w:rsidRDefault="000749CB" w:rsidP="00A454E1">
          <w:pPr>
            <w:pStyle w:val="FirstFooter"/>
            <w:tabs>
              <w:tab w:val="left" w:pos="1559"/>
              <w:tab w:val="left" w:pos="3828"/>
            </w:tabs>
            <w:rPr>
              <w:sz w:val="20"/>
            </w:rPr>
          </w:pPr>
        </w:p>
      </w:tc>
      <w:tc>
        <w:tcPr>
          <w:tcW w:w="2410" w:type="dxa"/>
          <w:shd w:val="clear" w:color="auto" w:fill="auto"/>
        </w:tcPr>
        <w:p w:rsidR="000749CB" w:rsidRPr="004D495C" w:rsidRDefault="000749CB" w:rsidP="00A454E1">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0749CB" w:rsidRPr="00E5653A" w:rsidRDefault="000749CB" w:rsidP="00A454E1">
          <w:pPr>
            <w:pStyle w:val="FirstFooter"/>
            <w:tabs>
              <w:tab w:val="left" w:pos="2302"/>
            </w:tabs>
            <w:rPr>
              <w:sz w:val="18"/>
              <w:szCs w:val="18"/>
              <w:lang w:val="en-US"/>
            </w:rPr>
          </w:pPr>
          <w:bookmarkStart w:id="9" w:name="PhoneNo"/>
          <w:bookmarkEnd w:id="9"/>
          <w:r w:rsidRPr="00706D71">
            <w:rPr>
              <w:sz w:val="18"/>
              <w:szCs w:val="18"/>
              <w:lang w:val="en-US"/>
            </w:rPr>
            <w:t>+41 22 730 6065</w:t>
          </w:r>
        </w:p>
      </w:tc>
    </w:tr>
    <w:tr w:rsidR="000749CB" w:rsidRPr="004D495C" w:rsidTr="0020157A">
      <w:tc>
        <w:tcPr>
          <w:tcW w:w="1526" w:type="dxa"/>
          <w:shd w:val="clear" w:color="auto" w:fill="auto"/>
        </w:tcPr>
        <w:p w:rsidR="000749CB" w:rsidRPr="004D495C" w:rsidRDefault="000749CB" w:rsidP="00A454E1">
          <w:pPr>
            <w:pStyle w:val="FirstFooter"/>
            <w:tabs>
              <w:tab w:val="left" w:pos="1559"/>
              <w:tab w:val="left" w:pos="3828"/>
            </w:tabs>
            <w:rPr>
              <w:sz w:val="20"/>
              <w:lang w:val="en-US"/>
            </w:rPr>
          </w:pPr>
        </w:p>
      </w:tc>
      <w:tc>
        <w:tcPr>
          <w:tcW w:w="2410" w:type="dxa"/>
          <w:shd w:val="clear" w:color="auto" w:fill="auto"/>
        </w:tcPr>
        <w:p w:rsidR="000749CB" w:rsidRPr="004D495C" w:rsidRDefault="000749CB" w:rsidP="00A454E1">
          <w:pPr>
            <w:pStyle w:val="FirstFooter"/>
            <w:tabs>
              <w:tab w:val="left" w:pos="2302"/>
            </w:tabs>
            <w:rPr>
              <w:sz w:val="18"/>
              <w:szCs w:val="18"/>
              <w:lang w:val="en-US"/>
            </w:rPr>
          </w:pPr>
          <w:r>
            <w:rPr>
              <w:sz w:val="18"/>
              <w:szCs w:val="18"/>
              <w:lang w:val="en-US"/>
            </w:rPr>
            <w:t>Courriel:</w:t>
          </w:r>
        </w:p>
      </w:tc>
      <w:bookmarkStart w:id="10" w:name="Email"/>
      <w:bookmarkEnd w:id="10"/>
      <w:tc>
        <w:tcPr>
          <w:tcW w:w="5987" w:type="dxa"/>
          <w:shd w:val="clear" w:color="auto" w:fill="auto"/>
        </w:tcPr>
        <w:p w:rsidR="000749CB" w:rsidRPr="00E5653A" w:rsidRDefault="000749CB" w:rsidP="00A454E1">
          <w:pPr>
            <w:pStyle w:val="FirstFooter"/>
            <w:tabs>
              <w:tab w:val="left" w:pos="2302"/>
            </w:tabs>
            <w:rPr>
              <w:sz w:val="18"/>
              <w:szCs w:val="18"/>
              <w:lang w:val="en-US"/>
            </w:rPr>
          </w:pPr>
          <w:r w:rsidRPr="00A2627E">
            <w:rPr>
              <w:sz w:val="18"/>
              <w:szCs w:val="18"/>
              <w:lang w:val="en-US"/>
            </w:rPr>
            <w:fldChar w:fldCharType="begin"/>
          </w:r>
          <w:r>
            <w:rPr>
              <w:sz w:val="18"/>
              <w:szCs w:val="18"/>
              <w:lang w:val="en-US"/>
            </w:rPr>
            <w:instrText xml:space="preserve"> HYPERLINK "mailto:jaroslaw.ponder@itu.int" </w:instrText>
          </w:r>
          <w:r w:rsidRPr="00A2627E">
            <w:rPr>
              <w:sz w:val="18"/>
              <w:szCs w:val="18"/>
              <w:lang w:val="en-US"/>
            </w:rPr>
            <w:fldChar w:fldCharType="separate"/>
          </w:r>
          <w:r w:rsidRPr="00A2627E">
            <w:rPr>
              <w:rStyle w:val="Hyperlink"/>
              <w:sz w:val="18"/>
              <w:szCs w:val="18"/>
              <w:lang w:val="en-US"/>
            </w:rPr>
            <w:t>jaroslaw.ponder@itu.int</w:t>
          </w:r>
          <w:r w:rsidRPr="00A2627E">
            <w:rPr>
              <w:sz w:val="18"/>
              <w:szCs w:val="18"/>
              <w:lang w:val="en-US"/>
            </w:rPr>
            <w:fldChar w:fldCharType="end"/>
          </w:r>
        </w:p>
      </w:tc>
    </w:tr>
  </w:tbl>
  <w:p w:rsidR="000749CB" w:rsidRDefault="000749CB" w:rsidP="00B80157">
    <w:pPr>
      <w:pStyle w:val="Footer"/>
      <w:jc w:val="center"/>
      <w:rPr>
        <w:lang w:val="fr-CH"/>
      </w:rPr>
    </w:pPr>
  </w:p>
  <w:p w:rsidR="000749CB" w:rsidRPr="008802F9" w:rsidRDefault="000749CB" w:rsidP="00B80157">
    <w:pPr>
      <w:pStyle w:val="Footer"/>
      <w:jc w:val="center"/>
    </w:pPr>
    <w:hyperlink r:id="rId1" w:history="1">
      <w:r>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CB" w:rsidRDefault="000749CB">
      <w:r>
        <w:t>____________________</w:t>
      </w:r>
    </w:p>
  </w:footnote>
  <w:footnote w:type="continuationSeparator" w:id="0">
    <w:p w:rsidR="000749CB" w:rsidRDefault="00074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CB" w:rsidRPr="00892568" w:rsidRDefault="000749CB" w:rsidP="00892568">
    <w:pPr>
      <w:tabs>
        <w:tab w:val="clear" w:pos="794"/>
        <w:tab w:val="clear" w:pos="1191"/>
        <w:tab w:val="clear" w:pos="1588"/>
        <w:tab w:val="clear" w:pos="1985"/>
        <w:tab w:val="center" w:pos="4820"/>
        <w:tab w:val="right" w:pos="13997"/>
      </w:tabs>
      <w:ind w:right="1"/>
      <w:rPr>
        <w:rStyle w:val="PageNumber"/>
        <w:smallCaps/>
        <w:spacing w:val="24"/>
        <w:sz w:val="22"/>
        <w:szCs w:val="22"/>
      </w:rPr>
    </w:pPr>
    <w:r w:rsidRPr="00972BCD">
      <w:rPr>
        <w:sz w:val="22"/>
        <w:szCs w:val="22"/>
      </w:rPr>
      <w:tab/>
    </w:r>
    <w:r w:rsidRPr="001038CA">
      <w:rPr>
        <w:sz w:val="22"/>
        <w:szCs w:val="22"/>
      </w:rPr>
      <w:t>ITU-D/TDAG-18/</w:t>
    </w:r>
    <w:r>
      <w:rPr>
        <w:sz w:val="22"/>
        <w:szCs w:val="22"/>
      </w:rPr>
      <w:t>3</w:t>
    </w:r>
    <w:r w:rsidRPr="001038CA">
      <w:rPr>
        <w:sz w:val="22"/>
        <w:szCs w:val="22"/>
      </w:rPr>
      <w:t>-F</w:t>
    </w:r>
    <w:r w:rsidRPr="001038CA">
      <w:rPr>
        <w:sz w:val="22"/>
        <w:szCs w:val="22"/>
      </w:rPr>
      <w:tab/>
      <w:t xml:space="preserve">Page </w:t>
    </w:r>
    <w:r w:rsidRPr="00972BCD">
      <w:rPr>
        <w:sz w:val="22"/>
        <w:szCs w:val="22"/>
      </w:rPr>
      <w:fldChar w:fldCharType="begin"/>
    </w:r>
    <w:r w:rsidRPr="001038CA">
      <w:rPr>
        <w:sz w:val="22"/>
        <w:szCs w:val="22"/>
      </w:rPr>
      <w:instrText xml:space="preserve"> PAGE </w:instrText>
    </w:r>
    <w:r w:rsidRPr="00972BCD">
      <w:rPr>
        <w:sz w:val="22"/>
        <w:szCs w:val="22"/>
      </w:rPr>
      <w:fldChar w:fldCharType="separate"/>
    </w:r>
    <w:r w:rsidR="00D26B0E">
      <w:rPr>
        <w:noProof/>
        <w:sz w:val="22"/>
        <w:szCs w:val="22"/>
      </w:rPr>
      <w:t>7</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CB" w:rsidRPr="001038CA" w:rsidRDefault="000749CB" w:rsidP="0020157A">
    <w:pPr>
      <w:pStyle w:val="Header"/>
      <w:tabs>
        <w:tab w:val="center" w:pos="4820"/>
      </w:tabs>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CB" w:rsidRPr="00755118" w:rsidRDefault="000749CB" w:rsidP="00892568">
    <w:pPr>
      <w:tabs>
        <w:tab w:val="clear" w:pos="794"/>
        <w:tab w:val="clear" w:pos="1191"/>
        <w:tab w:val="clear" w:pos="1588"/>
        <w:tab w:val="clear" w:pos="1985"/>
        <w:tab w:val="center" w:pos="7088"/>
        <w:tab w:val="right" w:pos="13997"/>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3</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26B0E">
      <w:rPr>
        <w:noProof/>
        <w:sz w:val="22"/>
        <w:szCs w:val="22"/>
        <w:lang w:val="de-CH"/>
      </w:rPr>
      <w:t>9</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A527F"/>
    <w:multiLevelType w:val="hybridMultilevel"/>
    <w:tmpl w:val="5378BCBC"/>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E0"/>
    <w:rsid w:val="00002716"/>
    <w:rsid w:val="00005791"/>
    <w:rsid w:val="00010827"/>
    <w:rsid w:val="00015089"/>
    <w:rsid w:val="0002520B"/>
    <w:rsid w:val="00037A9E"/>
    <w:rsid w:val="00037F91"/>
    <w:rsid w:val="000539F1"/>
    <w:rsid w:val="00054747"/>
    <w:rsid w:val="00055A2A"/>
    <w:rsid w:val="000615C1"/>
    <w:rsid w:val="00061675"/>
    <w:rsid w:val="00067B4E"/>
    <w:rsid w:val="000743AA"/>
    <w:rsid w:val="000749CB"/>
    <w:rsid w:val="00076333"/>
    <w:rsid w:val="0009225C"/>
    <w:rsid w:val="00093CF9"/>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3701"/>
    <w:rsid w:val="00107E85"/>
    <w:rsid w:val="00113EE8"/>
    <w:rsid w:val="0011455A"/>
    <w:rsid w:val="00114A65"/>
    <w:rsid w:val="00115DCB"/>
    <w:rsid w:val="00124609"/>
    <w:rsid w:val="00133061"/>
    <w:rsid w:val="00141699"/>
    <w:rsid w:val="00147000"/>
    <w:rsid w:val="00154F05"/>
    <w:rsid w:val="00156BF6"/>
    <w:rsid w:val="00163091"/>
    <w:rsid w:val="001645CB"/>
    <w:rsid w:val="00166305"/>
    <w:rsid w:val="00167545"/>
    <w:rsid w:val="001703C6"/>
    <w:rsid w:val="00173781"/>
    <w:rsid w:val="00175ADF"/>
    <w:rsid w:val="00175CAE"/>
    <w:rsid w:val="001760D0"/>
    <w:rsid w:val="0017690E"/>
    <w:rsid w:val="001828DB"/>
    <w:rsid w:val="001850FE"/>
    <w:rsid w:val="00185135"/>
    <w:rsid w:val="0019037C"/>
    <w:rsid w:val="001905A9"/>
    <w:rsid w:val="00191273"/>
    <w:rsid w:val="001942A7"/>
    <w:rsid w:val="0019587B"/>
    <w:rsid w:val="001A04FF"/>
    <w:rsid w:val="001A163D"/>
    <w:rsid w:val="001A441E"/>
    <w:rsid w:val="001A6733"/>
    <w:rsid w:val="001A6856"/>
    <w:rsid w:val="001B15BB"/>
    <w:rsid w:val="001B357F"/>
    <w:rsid w:val="001C3444"/>
    <w:rsid w:val="001C3702"/>
    <w:rsid w:val="001C4656"/>
    <w:rsid w:val="001C46BC"/>
    <w:rsid w:val="001C7203"/>
    <w:rsid w:val="001E7C76"/>
    <w:rsid w:val="001F23E6"/>
    <w:rsid w:val="001F4238"/>
    <w:rsid w:val="00200A38"/>
    <w:rsid w:val="00200A46"/>
    <w:rsid w:val="0020157A"/>
    <w:rsid w:val="00211B6F"/>
    <w:rsid w:val="0021438F"/>
    <w:rsid w:val="00217CC3"/>
    <w:rsid w:val="00220AB6"/>
    <w:rsid w:val="0022120F"/>
    <w:rsid w:val="0022754A"/>
    <w:rsid w:val="00236560"/>
    <w:rsid w:val="0023662E"/>
    <w:rsid w:val="00245D0F"/>
    <w:rsid w:val="002548C3"/>
    <w:rsid w:val="00255771"/>
    <w:rsid w:val="00256579"/>
    <w:rsid w:val="00257ACD"/>
    <w:rsid w:val="00262908"/>
    <w:rsid w:val="002650F4"/>
    <w:rsid w:val="002715FD"/>
    <w:rsid w:val="002770B1"/>
    <w:rsid w:val="00282AA1"/>
    <w:rsid w:val="00285B33"/>
    <w:rsid w:val="00287A3C"/>
    <w:rsid w:val="002A2FC6"/>
    <w:rsid w:val="002B1956"/>
    <w:rsid w:val="002B6949"/>
    <w:rsid w:val="002C1EC7"/>
    <w:rsid w:val="002C4342"/>
    <w:rsid w:val="002C7EA3"/>
    <w:rsid w:val="002D20AE"/>
    <w:rsid w:val="002D6C61"/>
    <w:rsid w:val="002E1C8F"/>
    <w:rsid w:val="002E2104"/>
    <w:rsid w:val="002E2DAC"/>
    <w:rsid w:val="002E6963"/>
    <w:rsid w:val="002E6F8F"/>
    <w:rsid w:val="002F05D8"/>
    <w:rsid w:val="002F0682"/>
    <w:rsid w:val="002F2DE0"/>
    <w:rsid w:val="002F5E25"/>
    <w:rsid w:val="00302CAA"/>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67480"/>
    <w:rsid w:val="00380B71"/>
    <w:rsid w:val="0038365A"/>
    <w:rsid w:val="003845A8"/>
    <w:rsid w:val="00386A89"/>
    <w:rsid w:val="0039648E"/>
    <w:rsid w:val="003A5AFE"/>
    <w:rsid w:val="003A5D5F"/>
    <w:rsid w:val="003A7FFE"/>
    <w:rsid w:val="003B0A63"/>
    <w:rsid w:val="003B50E1"/>
    <w:rsid w:val="003C1746"/>
    <w:rsid w:val="003C2AA9"/>
    <w:rsid w:val="003C58BF"/>
    <w:rsid w:val="003D451D"/>
    <w:rsid w:val="003D4868"/>
    <w:rsid w:val="003F2DD8"/>
    <w:rsid w:val="003F3F2D"/>
    <w:rsid w:val="003F50B2"/>
    <w:rsid w:val="00400CCF"/>
    <w:rsid w:val="00401BFF"/>
    <w:rsid w:val="00404424"/>
    <w:rsid w:val="0041156B"/>
    <w:rsid w:val="004121DD"/>
    <w:rsid w:val="004122C5"/>
    <w:rsid w:val="00413B78"/>
    <w:rsid w:val="00416DDE"/>
    <w:rsid w:val="00442BE0"/>
    <w:rsid w:val="0044411E"/>
    <w:rsid w:val="00453435"/>
    <w:rsid w:val="00466398"/>
    <w:rsid w:val="0047306D"/>
    <w:rsid w:val="00473791"/>
    <w:rsid w:val="00476E48"/>
    <w:rsid w:val="00481DE9"/>
    <w:rsid w:val="0049128B"/>
    <w:rsid w:val="00493B49"/>
    <w:rsid w:val="00495501"/>
    <w:rsid w:val="004A070A"/>
    <w:rsid w:val="004A320E"/>
    <w:rsid w:val="004A3600"/>
    <w:rsid w:val="004A4E9C"/>
    <w:rsid w:val="004B1A3C"/>
    <w:rsid w:val="004D2CC3"/>
    <w:rsid w:val="004D35CB"/>
    <w:rsid w:val="004E20E5"/>
    <w:rsid w:val="004E64EA"/>
    <w:rsid w:val="004E7828"/>
    <w:rsid w:val="004F46AA"/>
    <w:rsid w:val="004F6A70"/>
    <w:rsid w:val="00500AD7"/>
    <w:rsid w:val="00502ABF"/>
    <w:rsid w:val="00504DB0"/>
    <w:rsid w:val="00507C35"/>
    <w:rsid w:val="00510523"/>
    <w:rsid w:val="00510735"/>
    <w:rsid w:val="00514D2F"/>
    <w:rsid w:val="0054420E"/>
    <w:rsid w:val="00544D1B"/>
    <w:rsid w:val="00545DC0"/>
    <w:rsid w:val="00545F6C"/>
    <w:rsid w:val="005477D9"/>
    <w:rsid w:val="0055720C"/>
    <w:rsid w:val="0056282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B3D"/>
    <w:rsid w:val="00625FB8"/>
    <w:rsid w:val="006261BD"/>
    <w:rsid w:val="00635EDB"/>
    <w:rsid w:val="0064734E"/>
    <w:rsid w:val="00650137"/>
    <w:rsid w:val="006509D7"/>
    <w:rsid w:val="00651CE8"/>
    <w:rsid w:val="0065521B"/>
    <w:rsid w:val="00671EF6"/>
    <w:rsid w:val="0067205B"/>
    <w:rsid w:val="006748F8"/>
    <w:rsid w:val="00680489"/>
    <w:rsid w:val="00683C32"/>
    <w:rsid w:val="006853A8"/>
    <w:rsid w:val="00690BB2"/>
    <w:rsid w:val="006933AB"/>
    <w:rsid w:val="00693D09"/>
    <w:rsid w:val="006A6549"/>
    <w:rsid w:val="006A6E83"/>
    <w:rsid w:val="006A7710"/>
    <w:rsid w:val="006A7A61"/>
    <w:rsid w:val="006B1E59"/>
    <w:rsid w:val="006B2FFB"/>
    <w:rsid w:val="006B51D3"/>
    <w:rsid w:val="006C10A2"/>
    <w:rsid w:val="006C1F18"/>
    <w:rsid w:val="006D40D5"/>
    <w:rsid w:val="006E4A71"/>
    <w:rsid w:val="006E6B2B"/>
    <w:rsid w:val="006F009A"/>
    <w:rsid w:val="006F3D93"/>
    <w:rsid w:val="006F6CF8"/>
    <w:rsid w:val="007019B1"/>
    <w:rsid w:val="00721657"/>
    <w:rsid w:val="007279A8"/>
    <w:rsid w:val="00727B1A"/>
    <w:rsid w:val="00741337"/>
    <w:rsid w:val="00752258"/>
    <w:rsid w:val="007529E1"/>
    <w:rsid w:val="00755118"/>
    <w:rsid w:val="00762880"/>
    <w:rsid w:val="00762AD6"/>
    <w:rsid w:val="00762E02"/>
    <w:rsid w:val="00771B92"/>
    <w:rsid w:val="00772290"/>
    <w:rsid w:val="00777265"/>
    <w:rsid w:val="007805E7"/>
    <w:rsid w:val="0078222A"/>
    <w:rsid w:val="00787D48"/>
    <w:rsid w:val="00795294"/>
    <w:rsid w:val="007A18A3"/>
    <w:rsid w:val="007A4426"/>
    <w:rsid w:val="007A4E50"/>
    <w:rsid w:val="007B18A7"/>
    <w:rsid w:val="007B250E"/>
    <w:rsid w:val="007C27FC"/>
    <w:rsid w:val="007C51FF"/>
    <w:rsid w:val="007C6C15"/>
    <w:rsid w:val="007D0CCB"/>
    <w:rsid w:val="007D50E4"/>
    <w:rsid w:val="007E3DDE"/>
    <w:rsid w:val="007F1CC7"/>
    <w:rsid w:val="008027AC"/>
    <w:rsid w:val="008028CE"/>
    <w:rsid w:val="0080332E"/>
    <w:rsid w:val="008141E0"/>
    <w:rsid w:val="00815C25"/>
    <w:rsid w:val="00816EE1"/>
    <w:rsid w:val="00816F88"/>
    <w:rsid w:val="00820533"/>
    <w:rsid w:val="00822323"/>
    <w:rsid w:val="00827BC6"/>
    <w:rsid w:val="008300AD"/>
    <w:rsid w:val="008319B5"/>
    <w:rsid w:val="00833024"/>
    <w:rsid w:val="00834BBF"/>
    <w:rsid w:val="00836BDB"/>
    <w:rsid w:val="008419B1"/>
    <w:rsid w:val="00844A56"/>
    <w:rsid w:val="00845B11"/>
    <w:rsid w:val="00851060"/>
    <w:rsid w:val="00852081"/>
    <w:rsid w:val="00872B6E"/>
    <w:rsid w:val="00874DFD"/>
    <w:rsid w:val="008802F9"/>
    <w:rsid w:val="00883086"/>
    <w:rsid w:val="008879FD"/>
    <w:rsid w:val="00892568"/>
    <w:rsid w:val="00894C37"/>
    <w:rsid w:val="008A00EA"/>
    <w:rsid w:val="008A3F93"/>
    <w:rsid w:val="008A6236"/>
    <w:rsid w:val="008A6E1C"/>
    <w:rsid w:val="008A72FD"/>
    <w:rsid w:val="008B2EDF"/>
    <w:rsid w:val="008B54CB"/>
    <w:rsid w:val="008B5A3D"/>
    <w:rsid w:val="008B67CE"/>
    <w:rsid w:val="008C4010"/>
    <w:rsid w:val="008C4FDF"/>
    <w:rsid w:val="008C6B1F"/>
    <w:rsid w:val="008D5E4F"/>
    <w:rsid w:val="008E0B8B"/>
    <w:rsid w:val="008E531F"/>
    <w:rsid w:val="008F14F5"/>
    <w:rsid w:val="008F20EB"/>
    <w:rsid w:val="008F2FF8"/>
    <w:rsid w:val="008F71C1"/>
    <w:rsid w:val="00902D41"/>
    <w:rsid w:val="00902F49"/>
    <w:rsid w:val="00914004"/>
    <w:rsid w:val="00914EDC"/>
    <w:rsid w:val="0092088B"/>
    <w:rsid w:val="00922EC1"/>
    <w:rsid w:val="009301F1"/>
    <w:rsid w:val="009307DF"/>
    <w:rsid w:val="009359B8"/>
    <w:rsid w:val="00935FF0"/>
    <w:rsid w:val="009431F8"/>
    <w:rsid w:val="00947A35"/>
    <w:rsid w:val="00960D0E"/>
    <w:rsid w:val="00962081"/>
    <w:rsid w:val="00966CB5"/>
    <w:rsid w:val="00975786"/>
    <w:rsid w:val="00981CB7"/>
    <w:rsid w:val="00983E1F"/>
    <w:rsid w:val="00984929"/>
    <w:rsid w:val="009918B6"/>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04637"/>
    <w:rsid w:val="00A11D05"/>
    <w:rsid w:val="00A13162"/>
    <w:rsid w:val="00A20267"/>
    <w:rsid w:val="00A3158C"/>
    <w:rsid w:val="00A32DF3"/>
    <w:rsid w:val="00A33E32"/>
    <w:rsid w:val="00A35E20"/>
    <w:rsid w:val="00A36F6D"/>
    <w:rsid w:val="00A454E1"/>
    <w:rsid w:val="00A50CA0"/>
    <w:rsid w:val="00A525CC"/>
    <w:rsid w:val="00A53E7C"/>
    <w:rsid w:val="00A60087"/>
    <w:rsid w:val="00A62DD9"/>
    <w:rsid w:val="00A705E8"/>
    <w:rsid w:val="00A721F4"/>
    <w:rsid w:val="00A77231"/>
    <w:rsid w:val="00A9392C"/>
    <w:rsid w:val="00A9462B"/>
    <w:rsid w:val="00A97D59"/>
    <w:rsid w:val="00AA3E09"/>
    <w:rsid w:val="00AA4AE3"/>
    <w:rsid w:val="00AA4BEF"/>
    <w:rsid w:val="00AB1659"/>
    <w:rsid w:val="00AB4962"/>
    <w:rsid w:val="00AB734E"/>
    <w:rsid w:val="00AB740F"/>
    <w:rsid w:val="00AC442E"/>
    <w:rsid w:val="00AC6F14"/>
    <w:rsid w:val="00AC7221"/>
    <w:rsid w:val="00AE5961"/>
    <w:rsid w:val="00AE7389"/>
    <w:rsid w:val="00AF0745"/>
    <w:rsid w:val="00AF4971"/>
    <w:rsid w:val="00AF5276"/>
    <w:rsid w:val="00AF7C86"/>
    <w:rsid w:val="00B01046"/>
    <w:rsid w:val="00B07856"/>
    <w:rsid w:val="00B310F9"/>
    <w:rsid w:val="00B33C81"/>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A1A70"/>
    <w:rsid w:val="00BB1863"/>
    <w:rsid w:val="00BB25EE"/>
    <w:rsid w:val="00BB363A"/>
    <w:rsid w:val="00BC10A0"/>
    <w:rsid w:val="00BC7BA2"/>
    <w:rsid w:val="00BD426B"/>
    <w:rsid w:val="00BD79F0"/>
    <w:rsid w:val="00BE2B4D"/>
    <w:rsid w:val="00BE609E"/>
    <w:rsid w:val="00C015F8"/>
    <w:rsid w:val="00C07E26"/>
    <w:rsid w:val="00C1011C"/>
    <w:rsid w:val="00C12DEB"/>
    <w:rsid w:val="00C12F94"/>
    <w:rsid w:val="00C177C5"/>
    <w:rsid w:val="00C24335"/>
    <w:rsid w:val="00C26470"/>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2C5"/>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26B0E"/>
    <w:rsid w:val="00D35BDD"/>
    <w:rsid w:val="00D5468D"/>
    <w:rsid w:val="00D56D54"/>
    <w:rsid w:val="00D63006"/>
    <w:rsid w:val="00D6731E"/>
    <w:rsid w:val="00D71F67"/>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C2D6A"/>
    <w:rsid w:val="00DD66B4"/>
    <w:rsid w:val="00DE1972"/>
    <w:rsid w:val="00DE27AB"/>
    <w:rsid w:val="00DF2AB3"/>
    <w:rsid w:val="00DF7250"/>
    <w:rsid w:val="00E00CAA"/>
    <w:rsid w:val="00E03EBF"/>
    <w:rsid w:val="00E05209"/>
    <w:rsid w:val="00E07A2D"/>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5C8D"/>
    <w:rsid w:val="00EB7196"/>
    <w:rsid w:val="00EB7A8A"/>
    <w:rsid w:val="00EE3A64"/>
    <w:rsid w:val="00EE50E5"/>
    <w:rsid w:val="00EF01CF"/>
    <w:rsid w:val="00F0032D"/>
    <w:rsid w:val="00F03590"/>
    <w:rsid w:val="00F03622"/>
    <w:rsid w:val="00F077FD"/>
    <w:rsid w:val="00F204F3"/>
    <w:rsid w:val="00F218AB"/>
    <w:rsid w:val="00F238B3"/>
    <w:rsid w:val="00F24FED"/>
    <w:rsid w:val="00F25586"/>
    <w:rsid w:val="00F2651D"/>
    <w:rsid w:val="00F27362"/>
    <w:rsid w:val="00F31498"/>
    <w:rsid w:val="00F32FEF"/>
    <w:rsid w:val="00F3392B"/>
    <w:rsid w:val="00F35772"/>
    <w:rsid w:val="00F41B1C"/>
    <w:rsid w:val="00F42E13"/>
    <w:rsid w:val="00F42F1C"/>
    <w:rsid w:val="00F43B44"/>
    <w:rsid w:val="00F440E5"/>
    <w:rsid w:val="00F448F6"/>
    <w:rsid w:val="00F52741"/>
    <w:rsid w:val="00F53D8A"/>
    <w:rsid w:val="00F626F7"/>
    <w:rsid w:val="00F67958"/>
    <w:rsid w:val="00F736F9"/>
    <w:rsid w:val="00F73833"/>
    <w:rsid w:val="00F855E4"/>
    <w:rsid w:val="00F9211C"/>
    <w:rsid w:val="00FA095D"/>
    <w:rsid w:val="00FA3CF8"/>
    <w:rsid w:val="00FA4E70"/>
    <w:rsid w:val="00FA6C8B"/>
    <w:rsid w:val="00FA7C89"/>
    <w:rsid w:val="00FB05F0"/>
    <w:rsid w:val="00FB3E99"/>
    <w:rsid w:val="00FB4139"/>
    <w:rsid w:val="00FB476E"/>
    <w:rsid w:val="00FC0D90"/>
    <w:rsid w:val="00FC7D8C"/>
    <w:rsid w:val="00FD3980"/>
    <w:rsid w:val="00FD431E"/>
    <w:rsid w:val="00FD5A2C"/>
    <w:rsid w:val="00FE0D47"/>
    <w:rsid w:val="00FE1D5C"/>
    <w:rsid w:val="00FE2F8B"/>
    <w:rsid w:val="00FE3669"/>
    <w:rsid w:val="00FE5204"/>
    <w:rsid w:val="00FE5231"/>
    <w:rsid w:val="00FE72D6"/>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082A709-0625-474A-85B1-5008337A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A77231"/>
    <w:rPr>
      <w:color w:val="800080" w:themeColor="followedHyperlink"/>
      <w:u w:val="single"/>
    </w:rPr>
  </w:style>
  <w:style w:type="paragraph" w:customStyle="1" w:styleId="normalWSIS">
    <w:name w:val="normal WSIS"/>
    <w:basedOn w:val="ListParagraph"/>
    <w:qFormat/>
    <w:rsid w:val="00834BBF"/>
    <w:pPr>
      <w:numPr>
        <w:numId w:val="2"/>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ListParagraphChar">
    <w:name w:val="List Paragraph Char"/>
    <w:basedOn w:val="DefaultParagraphFont"/>
    <w:link w:val="ListParagraph"/>
    <w:uiPriority w:val="34"/>
    <w:locked/>
    <w:rsid w:val="00834BBF"/>
    <w:rPr>
      <w:rFonts w:asciiTheme="minorHAnsi" w:hAnsiTheme="minorHAnsi"/>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gionalcommissions.org/regional-forums-on-sustainable-development/"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net4/wsis/forum/2019/fr" TargetMode="External"/><Relationship Id="rId17" Type="http://schemas.openxmlformats.org/officeDocument/2006/relationships/footer" Target="footer2.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wsis/Pages/Contribution.aspx"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hyperlink" Target="https://www.itu.int/fr/ITU-D/Conferences/WTDC/WTDC17/Pages/default.aspx"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web/pp-18/fr/" TargetMode="Externa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jpeg"/><Relationship Id="rId43"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jaroslaw.ponder@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6A960-16FB-41AA-893D-FDC1791E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127</TotalTime>
  <Pages>9</Pages>
  <Words>4793</Words>
  <Characters>26325</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Cormier-Ribout, Kevin</dc:creator>
  <cp:lastModifiedBy>Royer, Veronique</cp:lastModifiedBy>
  <cp:revision>4</cp:revision>
  <cp:lastPrinted>2019-03-12T10:00:00Z</cp:lastPrinted>
  <dcterms:created xsi:type="dcterms:W3CDTF">2019-03-12T08:29:00Z</dcterms:created>
  <dcterms:modified xsi:type="dcterms:W3CDTF">2019-03-13T07:48:00Z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