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2C7A02" w14:paraId="72D3B14E" w14:textId="77777777" w:rsidTr="00876A8A">
        <w:trPr>
          <w:cantSplit/>
        </w:trPr>
        <w:tc>
          <w:tcPr>
            <w:tcW w:w="6487" w:type="dxa"/>
            <w:vAlign w:val="center"/>
          </w:tcPr>
          <w:p w14:paraId="46ADECB8" w14:textId="77777777" w:rsidR="009F6520" w:rsidRPr="002C7A02" w:rsidRDefault="00306CFB" w:rsidP="00306CFB">
            <w:pPr>
              <w:shd w:val="solid" w:color="FFFFFF" w:fill="FFFFFF"/>
              <w:spacing w:before="0"/>
              <w:rPr>
                <w:rFonts w:asciiTheme="minorHAnsi" w:hAnsiTheme="minorHAnsi" w:cs="Times New Roman Bold"/>
                <w:b/>
                <w:bCs/>
                <w:sz w:val="26"/>
                <w:szCs w:val="26"/>
              </w:rPr>
            </w:pPr>
            <w:proofErr w:type="spellStart"/>
            <w:r w:rsidRPr="002C7A02">
              <w:rPr>
                <w:rFonts w:asciiTheme="minorHAnsi" w:hAnsiTheme="minorHAnsi" w:cs="Times New Roman Bold"/>
                <w:b/>
                <w:bCs/>
                <w:sz w:val="26"/>
                <w:szCs w:val="26"/>
              </w:rPr>
              <w:t>Radiocommunication</w:t>
            </w:r>
            <w:proofErr w:type="spellEnd"/>
            <w:r w:rsidRPr="002C7A02">
              <w:rPr>
                <w:rFonts w:asciiTheme="minorHAnsi" w:hAnsiTheme="minorHAnsi" w:cs="Times New Roman Bold"/>
                <w:b/>
                <w:bCs/>
                <w:sz w:val="26"/>
                <w:szCs w:val="26"/>
              </w:rPr>
              <w:t xml:space="preserve"> Bureau</w:t>
            </w:r>
          </w:p>
        </w:tc>
        <w:tc>
          <w:tcPr>
            <w:tcW w:w="3402" w:type="dxa"/>
          </w:tcPr>
          <w:p w14:paraId="195F29CF" w14:textId="77777777" w:rsidR="009F6520" w:rsidRPr="002C7A02" w:rsidRDefault="00E557C9" w:rsidP="00E557C9">
            <w:pPr>
              <w:shd w:val="solid" w:color="FFFFFF" w:fill="FFFFFF"/>
              <w:spacing w:before="0" w:line="240" w:lineRule="atLeast"/>
              <w:rPr>
                <w:rFonts w:asciiTheme="minorHAnsi" w:hAnsiTheme="minorHAnsi"/>
              </w:rPr>
            </w:pPr>
            <w:bookmarkStart w:id="0" w:name="ditulogo"/>
            <w:bookmarkEnd w:id="0"/>
            <w:r w:rsidRPr="002C7A02">
              <w:rPr>
                <w:rFonts w:asciiTheme="minorHAnsi" w:hAnsiTheme="minorHAnsi"/>
                <w:b/>
                <w:bCs/>
                <w:noProof/>
                <w:sz w:val="20"/>
                <w:lang w:eastAsia="zh-CN"/>
              </w:rPr>
              <w:drawing>
                <wp:inline distT="0" distB="0" distL="0" distR="0" wp14:anchorId="3B021BB2" wp14:editId="5AED58C3">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2C7A02" w14:paraId="592F8D1A" w14:textId="77777777" w:rsidTr="00876A8A">
        <w:trPr>
          <w:cantSplit/>
        </w:trPr>
        <w:tc>
          <w:tcPr>
            <w:tcW w:w="6487" w:type="dxa"/>
            <w:tcBorders>
              <w:bottom w:val="single" w:sz="12" w:space="0" w:color="auto"/>
            </w:tcBorders>
          </w:tcPr>
          <w:p w14:paraId="3E45E5A3" w14:textId="77777777" w:rsidR="000069D4" w:rsidRPr="002C7A02" w:rsidRDefault="000069D4" w:rsidP="00A5173C">
            <w:pPr>
              <w:shd w:val="solid" w:color="FFFFFF" w:fill="FFFFFF"/>
              <w:spacing w:before="0" w:after="48"/>
              <w:rPr>
                <w:rFonts w:asciiTheme="minorHAnsi" w:hAnsiTheme="minorHAnsi" w:cs="Times New Roman Bold"/>
                <w:b/>
                <w:sz w:val="22"/>
                <w:szCs w:val="22"/>
              </w:rPr>
            </w:pPr>
          </w:p>
        </w:tc>
        <w:tc>
          <w:tcPr>
            <w:tcW w:w="3402" w:type="dxa"/>
            <w:tcBorders>
              <w:bottom w:val="single" w:sz="12" w:space="0" w:color="auto"/>
            </w:tcBorders>
          </w:tcPr>
          <w:p w14:paraId="1A877210" w14:textId="77777777" w:rsidR="000069D4" w:rsidRPr="002C7A02" w:rsidRDefault="000069D4" w:rsidP="00A5173C">
            <w:pPr>
              <w:shd w:val="solid" w:color="FFFFFF" w:fill="FFFFFF"/>
              <w:spacing w:before="0" w:after="48" w:line="240" w:lineRule="atLeast"/>
              <w:rPr>
                <w:rFonts w:asciiTheme="minorHAnsi" w:hAnsiTheme="minorHAnsi"/>
                <w:sz w:val="22"/>
                <w:szCs w:val="22"/>
                <w:lang w:val="en-US"/>
              </w:rPr>
            </w:pPr>
          </w:p>
        </w:tc>
      </w:tr>
      <w:tr w:rsidR="000069D4" w:rsidRPr="002C7A02" w14:paraId="10B7A69C" w14:textId="77777777" w:rsidTr="00876A8A">
        <w:trPr>
          <w:cantSplit/>
        </w:trPr>
        <w:tc>
          <w:tcPr>
            <w:tcW w:w="6487" w:type="dxa"/>
            <w:tcBorders>
              <w:top w:val="single" w:sz="12" w:space="0" w:color="auto"/>
            </w:tcBorders>
          </w:tcPr>
          <w:p w14:paraId="10450E9E" w14:textId="77777777" w:rsidR="000069D4" w:rsidRPr="002C7A02" w:rsidRDefault="000069D4" w:rsidP="00A5173C">
            <w:pPr>
              <w:shd w:val="solid" w:color="FFFFFF" w:fill="FFFFFF"/>
              <w:spacing w:before="0" w:after="48"/>
              <w:rPr>
                <w:rFonts w:asciiTheme="minorHAnsi" w:hAnsiTheme="minorHAnsi" w:cs="Times New Roman Bold"/>
                <w:bCs/>
                <w:sz w:val="22"/>
                <w:szCs w:val="22"/>
              </w:rPr>
            </w:pPr>
          </w:p>
        </w:tc>
        <w:tc>
          <w:tcPr>
            <w:tcW w:w="3402" w:type="dxa"/>
            <w:tcBorders>
              <w:top w:val="single" w:sz="12" w:space="0" w:color="auto"/>
            </w:tcBorders>
          </w:tcPr>
          <w:p w14:paraId="444E73A7" w14:textId="7DBE5B44" w:rsidR="000069D4" w:rsidRPr="002C7A02" w:rsidRDefault="000069D4" w:rsidP="00A83AF3">
            <w:pPr>
              <w:shd w:val="solid" w:color="FFFFFF" w:fill="FFFFFF"/>
              <w:spacing w:before="0" w:after="48" w:line="240" w:lineRule="atLeast"/>
              <w:rPr>
                <w:rFonts w:asciiTheme="minorHAnsi" w:hAnsiTheme="minorHAnsi"/>
                <w:lang w:val="en-US"/>
              </w:rPr>
            </w:pPr>
          </w:p>
        </w:tc>
      </w:tr>
      <w:tr w:rsidR="00E36A33" w:rsidRPr="002C7A02" w14:paraId="3C622546" w14:textId="77777777" w:rsidTr="00876A8A">
        <w:trPr>
          <w:cantSplit/>
        </w:trPr>
        <w:tc>
          <w:tcPr>
            <w:tcW w:w="6487" w:type="dxa"/>
            <w:vMerge w:val="restart"/>
          </w:tcPr>
          <w:p w14:paraId="707F7973" w14:textId="77777777" w:rsidR="00E36A33" w:rsidRPr="002C7A02" w:rsidRDefault="00E36A33" w:rsidP="00C50251">
            <w:pPr>
              <w:shd w:val="solid" w:color="FFFFFF" w:fill="FFFFFF"/>
              <w:tabs>
                <w:tab w:val="clear" w:pos="1134"/>
                <w:tab w:val="clear" w:pos="1871"/>
                <w:tab w:val="clear" w:pos="2268"/>
              </w:tabs>
              <w:spacing w:before="0" w:after="240"/>
              <w:ind w:left="1134" w:hanging="1134"/>
              <w:rPr>
                <w:rFonts w:asciiTheme="minorHAnsi" w:hAnsiTheme="minorHAnsi"/>
                <w:sz w:val="20"/>
              </w:rPr>
            </w:pPr>
            <w:bookmarkStart w:id="1" w:name="recibido"/>
            <w:bookmarkStart w:id="2" w:name="ddate" w:colFirst="1" w:colLast="1"/>
            <w:bookmarkEnd w:id="1"/>
            <w:r w:rsidRPr="002C7A02">
              <w:rPr>
                <w:rFonts w:asciiTheme="minorHAnsi" w:hAnsiTheme="minorHAnsi"/>
                <w:sz w:val="20"/>
              </w:rPr>
              <w:t>Source:</w:t>
            </w:r>
            <w:r w:rsidRPr="002C7A02">
              <w:rPr>
                <w:rFonts w:asciiTheme="minorHAnsi" w:hAnsiTheme="minorHAnsi"/>
                <w:sz w:val="20"/>
              </w:rPr>
              <w:tab/>
              <w:t>Documents 1/61 (Attachment: ”</w:t>
            </w:r>
            <w:r w:rsidRPr="002C7A02">
              <w:rPr>
                <w:rFonts w:asciiTheme="minorHAnsi" w:hAnsiTheme="minorHAnsi"/>
                <w:lang w:val="en-US" w:eastAsia="zh-CN"/>
              </w:rPr>
              <w:t>Report on Resolution 9</w:t>
            </w:r>
            <w:r w:rsidRPr="002C7A02">
              <w:rPr>
                <w:rFonts w:asciiTheme="minorHAnsi" w:hAnsiTheme="minorHAnsi"/>
                <w:sz w:val="20"/>
              </w:rPr>
              <w:t xml:space="preserve">”), </w:t>
            </w:r>
            <w:hyperlink r:id="rId9" w:history="1">
              <w:r w:rsidRPr="002C7A02">
                <w:rPr>
                  <w:rStyle w:val="Hyperlink"/>
                  <w:rFonts w:asciiTheme="minorHAnsi" w:hAnsiTheme="minorHAnsi"/>
                  <w:sz w:val="20"/>
                </w:rPr>
                <w:t>1/8</w:t>
              </w:r>
              <w:r w:rsidR="00C50251" w:rsidRPr="002C7A02">
                <w:rPr>
                  <w:rStyle w:val="Hyperlink"/>
                  <w:rFonts w:asciiTheme="minorHAnsi" w:hAnsiTheme="minorHAnsi"/>
                  <w:sz w:val="20"/>
                </w:rPr>
                <w:t>2</w:t>
              </w:r>
              <w:r w:rsidRPr="002C7A02">
                <w:rPr>
                  <w:rStyle w:val="Hyperlink"/>
                  <w:rFonts w:asciiTheme="minorHAnsi" w:hAnsiTheme="minorHAnsi"/>
                  <w:sz w:val="20"/>
                </w:rPr>
                <w:t>(Rev.1)</w:t>
              </w:r>
            </w:hyperlink>
          </w:p>
          <w:p w14:paraId="65631541" w14:textId="77777777" w:rsidR="00E36A33" w:rsidRPr="002C7A02" w:rsidRDefault="00E36A33" w:rsidP="00E36A33">
            <w:pPr>
              <w:shd w:val="solid" w:color="FFFFFF" w:fill="FFFFFF"/>
              <w:tabs>
                <w:tab w:val="clear" w:pos="1134"/>
                <w:tab w:val="clear" w:pos="1871"/>
                <w:tab w:val="clear" w:pos="2268"/>
              </w:tabs>
              <w:spacing w:before="0" w:after="240"/>
              <w:ind w:left="1134" w:hanging="1134"/>
              <w:rPr>
                <w:rFonts w:asciiTheme="minorHAnsi" w:hAnsiTheme="minorHAnsi"/>
                <w:sz w:val="20"/>
              </w:rPr>
            </w:pPr>
            <w:r w:rsidRPr="002C7A02">
              <w:rPr>
                <w:rFonts w:asciiTheme="minorHAnsi" w:hAnsiTheme="minorHAnsi"/>
                <w:sz w:val="20"/>
              </w:rPr>
              <w:t>Subject:</w:t>
            </w:r>
            <w:r w:rsidRPr="002C7A02">
              <w:rPr>
                <w:rFonts w:asciiTheme="minorHAnsi" w:hAnsiTheme="minorHAnsi"/>
                <w:sz w:val="20"/>
              </w:rPr>
              <w:tab/>
              <w:t>WTDC-14 Resolution 9 (Rev. Dubai, 2014)</w:t>
            </w:r>
          </w:p>
        </w:tc>
        <w:tc>
          <w:tcPr>
            <w:tcW w:w="3402" w:type="dxa"/>
          </w:tcPr>
          <w:p w14:paraId="25334EC8" w14:textId="098379EF" w:rsidR="00E36A33" w:rsidRPr="002C7A02" w:rsidRDefault="00D802E1" w:rsidP="00ED70FC">
            <w:pPr>
              <w:shd w:val="solid" w:color="FFFFFF" w:fill="FFFFFF"/>
              <w:spacing w:before="0" w:line="240" w:lineRule="atLeast"/>
              <w:rPr>
                <w:rFonts w:asciiTheme="minorHAnsi" w:hAnsiTheme="minorHAnsi"/>
                <w:sz w:val="20"/>
                <w:lang w:val="en-US" w:eastAsia="zh-CN"/>
              </w:rPr>
            </w:pPr>
            <w:r w:rsidRPr="002C7A02">
              <w:rPr>
                <w:rFonts w:asciiTheme="minorHAnsi" w:hAnsiTheme="minorHAnsi"/>
                <w:b/>
                <w:sz w:val="20"/>
                <w:lang w:val="en-US" w:eastAsia="zh-CN"/>
              </w:rPr>
              <w:t>2</w:t>
            </w:r>
            <w:r w:rsidR="00ED70FC" w:rsidRPr="002C7A02">
              <w:rPr>
                <w:rFonts w:asciiTheme="minorHAnsi" w:hAnsiTheme="minorHAnsi"/>
                <w:b/>
                <w:sz w:val="20"/>
                <w:lang w:val="en-US" w:eastAsia="zh-CN"/>
              </w:rPr>
              <w:t>7</w:t>
            </w:r>
            <w:r w:rsidR="00E36A33" w:rsidRPr="002C7A02">
              <w:rPr>
                <w:rFonts w:asciiTheme="minorHAnsi" w:hAnsiTheme="minorHAnsi"/>
                <w:b/>
                <w:sz w:val="20"/>
                <w:lang w:val="en-US" w:eastAsia="zh-CN"/>
              </w:rPr>
              <w:t xml:space="preserve"> June 2017</w:t>
            </w:r>
          </w:p>
        </w:tc>
      </w:tr>
      <w:tr w:rsidR="00E36A33" w:rsidRPr="002C7A02" w14:paraId="7A96C55C" w14:textId="77777777" w:rsidTr="00876A8A">
        <w:trPr>
          <w:cantSplit/>
        </w:trPr>
        <w:tc>
          <w:tcPr>
            <w:tcW w:w="6487" w:type="dxa"/>
            <w:vMerge/>
          </w:tcPr>
          <w:p w14:paraId="1C3CC75F" w14:textId="77777777" w:rsidR="00E36A33" w:rsidRPr="002C7A02" w:rsidRDefault="00E36A33" w:rsidP="00E36A33">
            <w:pPr>
              <w:spacing w:before="60"/>
              <w:jc w:val="center"/>
              <w:rPr>
                <w:rFonts w:asciiTheme="minorHAnsi" w:hAnsiTheme="minorHAnsi"/>
                <w:b/>
                <w:smallCaps/>
                <w:sz w:val="32"/>
                <w:lang w:eastAsia="zh-CN"/>
              </w:rPr>
            </w:pPr>
            <w:bookmarkStart w:id="3" w:name="dorlang" w:colFirst="1" w:colLast="1"/>
            <w:bookmarkEnd w:id="2"/>
          </w:p>
        </w:tc>
        <w:tc>
          <w:tcPr>
            <w:tcW w:w="3402" w:type="dxa"/>
          </w:tcPr>
          <w:p w14:paraId="62B9524A" w14:textId="77777777" w:rsidR="00E36A33" w:rsidRPr="002C7A02" w:rsidRDefault="00E36A33" w:rsidP="00E36A33">
            <w:pPr>
              <w:shd w:val="solid" w:color="FFFFFF" w:fill="FFFFFF"/>
              <w:spacing w:before="0" w:line="240" w:lineRule="atLeast"/>
              <w:rPr>
                <w:rFonts w:asciiTheme="minorHAnsi" w:eastAsia="SimSun" w:hAnsiTheme="minorHAnsi"/>
                <w:sz w:val="20"/>
                <w:lang w:val="en-US" w:eastAsia="zh-CN"/>
              </w:rPr>
            </w:pPr>
            <w:r w:rsidRPr="002C7A02">
              <w:rPr>
                <w:rFonts w:asciiTheme="minorHAnsi" w:eastAsia="SimSun" w:hAnsiTheme="minorHAnsi"/>
                <w:b/>
                <w:sz w:val="20"/>
                <w:lang w:val="en-US" w:eastAsia="zh-CN"/>
              </w:rPr>
              <w:t>English only</w:t>
            </w:r>
          </w:p>
        </w:tc>
      </w:tr>
      <w:tr w:rsidR="00E36A33" w:rsidRPr="002C7A02" w14:paraId="761D7999" w14:textId="77777777" w:rsidTr="00D046A7">
        <w:trPr>
          <w:cantSplit/>
        </w:trPr>
        <w:tc>
          <w:tcPr>
            <w:tcW w:w="9889" w:type="dxa"/>
            <w:gridSpan w:val="2"/>
          </w:tcPr>
          <w:p w14:paraId="051E4A85" w14:textId="77777777" w:rsidR="00E36A33" w:rsidRPr="002C7A02" w:rsidRDefault="00E36A33" w:rsidP="00E36A33">
            <w:pPr>
              <w:pStyle w:val="Source"/>
              <w:rPr>
                <w:rFonts w:asciiTheme="minorHAnsi" w:hAnsiTheme="minorHAnsi"/>
                <w:lang w:eastAsia="zh-CN"/>
              </w:rPr>
            </w:pPr>
            <w:bookmarkStart w:id="4" w:name="dsource" w:colFirst="0" w:colLast="0"/>
            <w:bookmarkEnd w:id="3"/>
          </w:p>
        </w:tc>
      </w:tr>
      <w:tr w:rsidR="00E36A33" w:rsidRPr="002C7A02" w14:paraId="135AA549" w14:textId="77777777" w:rsidTr="00D046A7">
        <w:trPr>
          <w:cantSplit/>
        </w:trPr>
        <w:tc>
          <w:tcPr>
            <w:tcW w:w="9889" w:type="dxa"/>
            <w:gridSpan w:val="2"/>
          </w:tcPr>
          <w:p w14:paraId="63CEE601" w14:textId="77777777" w:rsidR="00E36A33" w:rsidRPr="002C7A02" w:rsidRDefault="00E36A33" w:rsidP="00E36A33">
            <w:pPr>
              <w:pStyle w:val="Title1"/>
              <w:rPr>
                <w:rFonts w:asciiTheme="minorHAnsi" w:hAnsiTheme="minorHAnsi"/>
                <w:lang w:eastAsia="ko-KR"/>
              </w:rPr>
            </w:pPr>
            <w:bookmarkStart w:id="5" w:name="drec" w:colFirst="0" w:colLast="0"/>
            <w:bookmarkEnd w:id="4"/>
            <w:r w:rsidRPr="002C7A02">
              <w:rPr>
                <w:rFonts w:asciiTheme="minorHAnsi" w:hAnsiTheme="minorHAnsi" w:cstheme="majorBidi"/>
                <w:lang w:val="en-US"/>
              </w:rPr>
              <w:t xml:space="preserve">areas of the report </w:t>
            </w:r>
            <w:r w:rsidRPr="002C7A02">
              <w:rPr>
                <w:rFonts w:asciiTheme="minorHAnsi" w:hAnsiTheme="minorHAnsi"/>
                <w:bCs/>
                <w:szCs w:val="24"/>
              </w:rPr>
              <w:t xml:space="preserve">on WTDC Resolution 9 (Rev. Dubai, 2014), </w:t>
            </w:r>
            <w:r w:rsidRPr="002C7A02">
              <w:rPr>
                <w:rFonts w:asciiTheme="minorHAnsi" w:hAnsiTheme="minorHAnsi" w:cstheme="majorBidi"/>
                <w:lang w:val="en-US"/>
              </w:rPr>
              <w:t>where significant modifications have been made</w:t>
            </w:r>
          </w:p>
        </w:tc>
      </w:tr>
      <w:tr w:rsidR="00E36A33" w:rsidRPr="002C7A02" w14:paraId="2C6DFE07" w14:textId="77777777" w:rsidTr="00D046A7">
        <w:trPr>
          <w:cantSplit/>
        </w:trPr>
        <w:tc>
          <w:tcPr>
            <w:tcW w:w="9889" w:type="dxa"/>
            <w:gridSpan w:val="2"/>
          </w:tcPr>
          <w:p w14:paraId="17838ABC" w14:textId="77777777" w:rsidR="00E36A33" w:rsidRPr="002C7A02" w:rsidRDefault="00E36A33" w:rsidP="00E36A33">
            <w:pPr>
              <w:pStyle w:val="Title4"/>
              <w:rPr>
                <w:rFonts w:asciiTheme="minorHAnsi" w:hAnsiTheme="minorHAnsi"/>
                <w:lang w:eastAsia="zh-CN"/>
              </w:rPr>
            </w:pPr>
            <w:bookmarkStart w:id="6" w:name="dtitle1" w:colFirst="0" w:colLast="0"/>
            <w:bookmarkEnd w:id="5"/>
            <w:r w:rsidRPr="002C7A02">
              <w:rPr>
                <w:rFonts w:asciiTheme="minorHAnsi" w:hAnsiTheme="minorHAnsi"/>
              </w:rPr>
              <w:t>WTDC-14 Resolution 9: Participation of countries, particularly developing countries, in spectrum management</w:t>
            </w:r>
          </w:p>
        </w:tc>
      </w:tr>
    </w:tbl>
    <w:p w14:paraId="12B72112" w14:textId="77777777" w:rsidR="00E557C9" w:rsidRPr="002C7A02" w:rsidRDefault="00E557C9">
      <w:pPr>
        <w:tabs>
          <w:tab w:val="clear" w:pos="1134"/>
          <w:tab w:val="clear" w:pos="1871"/>
          <w:tab w:val="clear" w:pos="2268"/>
        </w:tabs>
        <w:overflowPunct/>
        <w:autoSpaceDE/>
        <w:autoSpaceDN/>
        <w:adjustRightInd/>
        <w:spacing w:before="0"/>
        <w:textAlignment w:val="auto"/>
        <w:rPr>
          <w:rFonts w:asciiTheme="minorHAnsi" w:hAnsiTheme="minorHAnsi"/>
          <w:lang w:eastAsia="zh-CN"/>
        </w:rPr>
      </w:pPr>
      <w:bookmarkStart w:id="7" w:name="dbreak"/>
      <w:bookmarkEnd w:id="6"/>
      <w:bookmarkEnd w:id="7"/>
    </w:p>
    <w:p w14:paraId="1308A8F6" w14:textId="43CC4807" w:rsidR="00D3157E" w:rsidRPr="002C7A02" w:rsidRDefault="00E36A33" w:rsidP="00AD5E23">
      <w:pPr>
        <w:rPr>
          <w:rFonts w:asciiTheme="minorHAnsi" w:hAnsiTheme="minorHAnsi" w:cstheme="majorBidi"/>
        </w:rPr>
      </w:pPr>
      <w:r w:rsidRPr="002C7A02">
        <w:rPr>
          <w:rFonts w:asciiTheme="minorHAnsi" w:hAnsiTheme="minorHAnsi" w:cstheme="majorBidi"/>
        </w:rPr>
        <w:t xml:space="preserve">In response to the request made during the ITU-R Study Group </w:t>
      </w:r>
      <w:r w:rsidR="00992A13" w:rsidRPr="002C7A02">
        <w:rPr>
          <w:rFonts w:asciiTheme="minorHAnsi" w:hAnsiTheme="minorHAnsi" w:cstheme="majorBidi"/>
        </w:rPr>
        <w:t xml:space="preserve">(SG) </w:t>
      </w:r>
      <w:r w:rsidRPr="002C7A02">
        <w:rPr>
          <w:rFonts w:asciiTheme="minorHAnsi" w:hAnsiTheme="minorHAnsi" w:cstheme="majorBidi"/>
        </w:rPr>
        <w:t>1 meeting on 21 June 2017, th</w:t>
      </w:r>
      <w:r w:rsidR="00D3157E" w:rsidRPr="002C7A02">
        <w:rPr>
          <w:rFonts w:asciiTheme="minorHAnsi" w:hAnsiTheme="minorHAnsi" w:cstheme="majorBidi"/>
        </w:rPr>
        <w:t>is document provide</w:t>
      </w:r>
      <w:r w:rsidR="009C0E5E" w:rsidRPr="002C7A02">
        <w:rPr>
          <w:rFonts w:asciiTheme="minorHAnsi" w:hAnsiTheme="minorHAnsi" w:cstheme="majorBidi"/>
        </w:rPr>
        <w:t>s</w:t>
      </w:r>
      <w:r w:rsidR="00D3157E" w:rsidRPr="002C7A02">
        <w:rPr>
          <w:rFonts w:asciiTheme="minorHAnsi" w:hAnsiTheme="minorHAnsi" w:cstheme="majorBidi"/>
        </w:rPr>
        <w:t xml:space="preserve"> </w:t>
      </w:r>
      <w:r w:rsidR="00992A13" w:rsidRPr="002C7A02">
        <w:rPr>
          <w:rFonts w:asciiTheme="minorHAnsi" w:hAnsiTheme="minorHAnsi" w:cstheme="majorBidi"/>
        </w:rPr>
        <w:t xml:space="preserve">information </w:t>
      </w:r>
      <w:r w:rsidR="00D3157E" w:rsidRPr="002C7A02">
        <w:rPr>
          <w:rFonts w:asciiTheme="minorHAnsi" w:hAnsiTheme="minorHAnsi" w:cstheme="majorBidi"/>
        </w:rPr>
        <w:t xml:space="preserve">to facilitate the understanding of the </w:t>
      </w:r>
      <w:r w:rsidR="009C0E5E" w:rsidRPr="002C7A02">
        <w:rPr>
          <w:rFonts w:asciiTheme="minorHAnsi" w:hAnsiTheme="minorHAnsi" w:cstheme="majorBidi"/>
        </w:rPr>
        <w:t xml:space="preserve">modifications </w:t>
      </w:r>
      <w:r w:rsidR="00D3157E" w:rsidRPr="002C7A02">
        <w:rPr>
          <w:rFonts w:asciiTheme="minorHAnsi" w:hAnsiTheme="minorHAnsi" w:cstheme="majorBidi"/>
        </w:rPr>
        <w:t xml:space="preserve">made to the original report </w:t>
      </w:r>
      <w:r w:rsidR="00992A13" w:rsidRPr="002C7A02">
        <w:rPr>
          <w:rFonts w:asciiTheme="minorHAnsi" w:hAnsiTheme="minorHAnsi" w:cstheme="majorBidi"/>
        </w:rPr>
        <w:t>provide</w:t>
      </w:r>
      <w:r w:rsidR="009C0E5E" w:rsidRPr="002C7A02">
        <w:rPr>
          <w:rFonts w:asciiTheme="minorHAnsi" w:hAnsiTheme="minorHAnsi" w:cstheme="majorBidi"/>
        </w:rPr>
        <w:t>d</w:t>
      </w:r>
      <w:r w:rsidR="00992A13" w:rsidRPr="002C7A02">
        <w:rPr>
          <w:rFonts w:asciiTheme="minorHAnsi" w:hAnsiTheme="minorHAnsi" w:cstheme="majorBidi"/>
        </w:rPr>
        <w:t xml:space="preserve"> by ITU-D SG1 </w:t>
      </w:r>
      <w:r w:rsidR="00D3157E" w:rsidRPr="002C7A02">
        <w:rPr>
          <w:rFonts w:asciiTheme="minorHAnsi" w:hAnsiTheme="minorHAnsi" w:cstheme="majorBidi"/>
        </w:rPr>
        <w:t xml:space="preserve">on </w:t>
      </w:r>
      <w:r w:rsidR="009C0E5E" w:rsidRPr="002C7A02">
        <w:rPr>
          <w:rFonts w:asciiTheme="minorHAnsi" w:hAnsiTheme="minorHAnsi" w:cstheme="majorBidi"/>
        </w:rPr>
        <w:t xml:space="preserve">Resolution 9 (Rev. Dubai, 2014), as </w:t>
      </w:r>
      <w:r w:rsidR="009C0E5E" w:rsidRPr="002C7A02">
        <w:rPr>
          <w:rFonts w:asciiTheme="minorHAnsi" w:hAnsiTheme="minorHAnsi" w:cstheme="majorBidi"/>
          <w:lang w:val="en-US"/>
        </w:rPr>
        <w:t xml:space="preserve">attached to ITU-R SG 1 Document </w:t>
      </w:r>
      <w:hyperlink r:id="rId10" w:history="1">
        <w:r w:rsidR="009C0E5E" w:rsidRPr="002C7A02">
          <w:rPr>
            <w:rStyle w:val="Hyperlink"/>
            <w:rFonts w:asciiTheme="minorHAnsi" w:hAnsiTheme="minorHAnsi" w:cstheme="majorBidi"/>
            <w:lang w:val="en-US"/>
          </w:rPr>
          <w:t>1/61</w:t>
        </w:r>
      </w:hyperlink>
      <w:r w:rsidR="009C0E5E" w:rsidRPr="002C7A02">
        <w:rPr>
          <w:rStyle w:val="Hyperlink"/>
          <w:rFonts w:asciiTheme="minorHAnsi" w:hAnsiTheme="minorHAnsi" w:cstheme="majorBidi"/>
          <w:lang w:val="en-US"/>
        </w:rPr>
        <w:t>.</w:t>
      </w:r>
    </w:p>
    <w:p w14:paraId="666269FA" w14:textId="4DA369F3" w:rsidR="00ED70FC" w:rsidRPr="002C7A02" w:rsidRDefault="00ED70FC" w:rsidP="004D7B76">
      <w:pPr>
        <w:rPr>
          <w:rFonts w:asciiTheme="minorHAnsi" w:eastAsia="SimSun" w:hAnsiTheme="minorHAnsi"/>
        </w:rPr>
      </w:pPr>
      <w:r w:rsidRPr="002C7A02">
        <w:rPr>
          <w:rFonts w:asciiTheme="minorHAnsi" w:eastAsia="SimSun" w:hAnsiTheme="minorHAnsi"/>
        </w:rPr>
        <w:t>There are also four Chapters as the Report provided by ITU-D SG1 with amendments described generally as follows:</w:t>
      </w:r>
    </w:p>
    <w:p w14:paraId="2D16B968" w14:textId="674D18D7" w:rsidR="004D7B76" w:rsidRPr="002C7A02" w:rsidRDefault="00092DFC" w:rsidP="00E21261">
      <w:pPr>
        <w:pStyle w:val="enumlev1"/>
        <w:rPr>
          <w:rFonts w:asciiTheme="minorHAnsi" w:eastAsiaTheme="minorEastAsia" w:hAnsiTheme="minorHAnsi"/>
        </w:rPr>
      </w:pPr>
      <w:r w:rsidRPr="002C7A02">
        <w:rPr>
          <w:rFonts w:asciiTheme="minorHAnsi" w:hAnsiTheme="minorHAnsi"/>
        </w:rPr>
        <w:t>–</w:t>
      </w:r>
      <w:r w:rsidRPr="002C7A02">
        <w:rPr>
          <w:rFonts w:asciiTheme="minorHAnsi" w:hAnsiTheme="minorHAnsi"/>
        </w:rPr>
        <w:tab/>
      </w:r>
      <w:r w:rsidR="004D7B76" w:rsidRPr="002C7A02">
        <w:rPr>
          <w:rFonts w:asciiTheme="minorHAnsi" w:hAnsiTheme="minorHAnsi"/>
        </w:rPr>
        <w:t>Chapter 1, initially focusing on “Emerging spectrum management approaches” was renamed “Spectrum management approaches” in order to deliver a broader view of solutions to meet the demand for connectivity, instead of focusing primarily on one approach (DSA) and one technology (TVWS)</w:t>
      </w:r>
      <w:r w:rsidR="004D7B76" w:rsidRPr="002C7A02">
        <w:rPr>
          <w:rFonts w:asciiTheme="minorHAnsi" w:hAnsiTheme="minorHAnsi"/>
          <w:lang w:eastAsia="zh-CN"/>
        </w:rPr>
        <w:t xml:space="preserve">, as requested by </w:t>
      </w:r>
      <w:r w:rsidR="004D7B76" w:rsidRPr="002C7A02">
        <w:rPr>
          <w:rFonts w:asciiTheme="minorHAnsi" w:hAnsiTheme="minorHAnsi"/>
          <w:i/>
          <w:lang w:eastAsia="zh-CN"/>
        </w:rPr>
        <w:t xml:space="preserve">Resolves 1 </w:t>
      </w:r>
      <w:r w:rsidR="004D7B76" w:rsidRPr="002C7A02">
        <w:rPr>
          <w:rFonts w:asciiTheme="minorHAnsi" w:hAnsiTheme="minorHAnsi"/>
          <w:lang w:eastAsia="zh-CN"/>
        </w:rPr>
        <w:t>of Resolution</w:t>
      </w:r>
      <w:r w:rsidR="00E21261" w:rsidRPr="002C7A02">
        <w:rPr>
          <w:rFonts w:asciiTheme="minorHAnsi" w:hAnsiTheme="minorHAnsi"/>
          <w:lang w:eastAsia="zh-CN"/>
        </w:rPr>
        <w:t> </w:t>
      </w:r>
      <w:r w:rsidR="004D7B76" w:rsidRPr="002C7A02">
        <w:rPr>
          <w:rFonts w:asciiTheme="minorHAnsi" w:hAnsiTheme="minorHAnsi"/>
          <w:lang w:eastAsia="zh-CN"/>
        </w:rPr>
        <w:t>9</w:t>
      </w:r>
      <w:r w:rsidR="00E21261" w:rsidRPr="002C7A02">
        <w:rPr>
          <w:rFonts w:asciiTheme="minorHAnsi" w:hAnsiTheme="minorHAnsi"/>
          <w:lang w:eastAsia="zh-CN"/>
        </w:rPr>
        <w:t xml:space="preserve"> </w:t>
      </w:r>
      <w:r w:rsidR="00E21261" w:rsidRPr="002C7A02">
        <w:rPr>
          <w:rFonts w:asciiTheme="minorHAnsi" w:hAnsiTheme="minorHAnsi" w:cstheme="majorBidi"/>
        </w:rPr>
        <w:t>(Rev. Dubai, 2014)</w:t>
      </w:r>
      <w:r w:rsidR="004D7B76" w:rsidRPr="002C7A02">
        <w:rPr>
          <w:rFonts w:asciiTheme="minorHAnsi" w:eastAsiaTheme="minorEastAsia" w:hAnsiTheme="minorHAnsi"/>
          <w:lang w:eastAsia="zh-CN"/>
        </w:rPr>
        <w:t>.</w:t>
      </w:r>
    </w:p>
    <w:p w14:paraId="5BD397F5" w14:textId="0760E8C8" w:rsidR="004D7B76" w:rsidRPr="002C7A02" w:rsidRDefault="00092DFC" w:rsidP="00092DFC">
      <w:pPr>
        <w:pStyle w:val="enumlev1"/>
        <w:rPr>
          <w:rFonts w:asciiTheme="minorHAnsi" w:hAnsiTheme="minorHAnsi"/>
          <w:lang w:eastAsia="zh-CN"/>
        </w:rPr>
      </w:pPr>
      <w:r w:rsidRPr="002C7A02">
        <w:rPr>
          <w:rFonts w:asciiTheme="minorHAnsi" w:hAnsiTheme="minorHAnsi"/>
        </w:rPr>
        <w:tab/>
      </w:r>
      <w:r w:rsidR="004D7B76" w:rsidRPr="002C7A02">
        <w:rPr>
          <w:rFonts w:asciiTheme="minorHAnsi" w:hAnsiTheme="minorHAnsi"/>
          <w:lang w:eastAsia="zh-CN"/>
        </w:rPr>
        <w:t xml:space="preserve">A </w:t>
      </w:r>
      <w:r w:rsidR="004D7B76" w:rsidRPr="002C7A02">
        <w:rPr>
          <w:rFonts w:asciiTheme="minorHAnsi" w:hAnsiTheme="minorHAnsi"/>
        </w:rPr>
        <w:t xml:space="preserve">new section provides a focus on ITU regulatory framework for wireless broadband: </w:t>
      </w:r>
      <w:proofErr w:type="gramStart"/>
      <w:r w:rsidR="004D7B76" w:rsidRPr="002C7A02">
        <w:rPr>
          <w:rFonts w:asciiTheme="minorHAnsi" w:hAnsiTheme="minorHAnsi"/>
        </w:rPr>
        <w:t>IMT ,</w:t>
      </w:r>
      <w:proofErr w:type="gramEnd"/>
      <w:r w:rsidR="004D7B76" w:rsidRPr="002C7A02">
        <w:rPr>
          <w:rFonts w:asciiTheme="minorHAnsi" w:hAnsiTheme="minorHAnsi"/>
        </w:rPr>
        <w:t xml:space="preserve"> RLANs , HAPS and satellite systems</w:t>
      </w:r>
      <w:r w:rsidR="004D7B76" w:rsidRPr="002C7A02">
        <w:rPr>
          <w:rFonts w:asciiTheme="minorHAnsi" w:hAnsiTheme="minorHAnsi"/>
          <w:lang w:eastAsia="zh-CN"/>
        </w:rPr>
        <w:t xml:space="preserve"> </w:t>
      </w:r>
      <w:r w:rsidR="004D7B76" w:rsidRPr="002C7A02">
        <w:rPr>
          <w:rFonts w:asciiTheme="minorHAnsi" w:hAnsiTheme="minorHAnsi"/>
        </w:rPr>
        <w:t xml:space="preserve"> (</w:t>
      </w:r>
      <w:r w:rsidR="004D7B76" w:rsidRPr="002C7A02">
        <w:rPr>
          <w:rFonts w:asciiTheme="minorHAnsi" w:hAnsiTheme="minorHAnsi"/>
          <w:lang w:eastAsia="zh-CN"/>
        </w:rPr>
        <w:t>ESIM part was from previous Chapter 3</w:t>
      </w:r>
      <w:r w:rsidR="004D7B76" w:rsidRPr="002C7A02">
        <w:rPr>
          <w:rFonts w:asciiTheme="minorHAnsi" w:hAnsiTheme="minorHAnsi"/>
        </w:rPr>
        <w:t>).</w:t>
      </w:r>
    </w:p>
    <w:p w14:paraId="5F796F4A" w14:textId="2BCEF110" w:rsidR="004D7B76" w:rsidRPr="002C7A02" w:rsidRDefault="00092DFC" w:rsidP="00092DFC">
      <w:pPr>
        <w:pStyle w:val="enumlev1"/>
        <w:rPr>
          <w:rFonts w:asciiTheme="minorHAnsi" w:hAnsiTheme="minorHAnsi"/>
        </w:rPr>
      </w:pPr>
      <w:r w:rsidRPr="002C7A02">
        <w:rPr>
          <w:rFonts w:asciiTheme="minorHAnsi" w:hAnsiTheme="minorHAnsi"/>
        </w:rPr>
        <w:tab/>
      </w:r>
      <w:r w:rsidR="004D7B76" w:rsidRPr="002C7A02">
        <w:rPr>
          <w:rFonts w:asciiTheme="minorHAnsi" w:hAnsiTheme="minorHAnsi"/>
        </w:rPr>
        <w:t xml:space="preserve">The considerations on TV White Spaces (TVWS) were grouped under chapter 1 as one spectrum management approach that falls under the principle of </w:t>
      </w:r>
      <w:r w:rsidR="004D7B76" w:rsidRPr="002C7A02">
        <w:rPr>
          <w:rFonts w:asciiTheme="minorHAnsi" w:hAnsiTheme="minorHAnsi"/>
          <w:lang w:eastAsia="zh-CN"/>
        </w:rPr>
        <w:t xml:space="preserve">dynamic </w:t>
      </w:r>
      <w:r w:rsidR="004D7B76" w:rsidRPr="002C7A02">
        <w:rPr>
          <w:rFonts w:asciiTheme="minorHAnsi" w:hAnsiTheme="minorHAnsi"/>
        </w:rPr>
        <w:t xml:space="preserve">spectrum sharing. </w:t>
      </w:r>
      <w:r w:rsidR="004D7B76" w:rsidRPr="002C7A02">
        <w:rPr>
          <w:rFonts w:asciiTheme="minorHAnsi" w:hAnsiTheme="minorHAnsi"/>
          <w:lang w:eastAsia="zh-CN"/>
        </w:rPr>
        <w:t>T</w:t>
      </w:r>
      <w:r w:rsidR="004D7B76" w:rsidRPr="002C7A02">
        <w:rPr>
          <w:rFonts w:asciiTheme="minorHAnsi" w:hAnsiTheme="minorHAnsi"/>
        </w:rPr>
        <w:t xml:space="preserve">he </w:t>
      </w:r>
      <w:r w:rsidR="004D7B76" w:rsidRPr="002C7A02">
        <w:rPr>
          <w:rFonts w:asciiTheme="minorHAnsi" w:hAnsiTheme="minorHAnsi"/>
          <w:lang w:eastAsia="zh-CN"/>
        </w:rPr>
        <w:t xml:space="preserve">related </w:t>
      </w:r>
      <w:r w:rsidR="004D7B76" w:rsidRPr="002C7A02">
        <w:rPr>
          <w:rFonts w:asciiTheme="minorHAnsi" w:hAnsiTheme="minorHAnsi"/>
        </w:rPr>
        <w:t>summary of these case studies was moved into an annex</w:t>
      </w:r>
      <w:r w:rsidR="004D7B76" w:rsidRPr="002C7A02">
        <w:rPr>
          <w:rFonts w:asciiTheme="minorHAnsi" w:hAnsiTheme="minorHAnsi"/>
          <w:lang w:eastAsia="zh-CN"/>
        </w:rPr>
        <w:t>.</w:t>
      </w:r>
      <w:r w:rsidR="004D7B76" w:rsidRPr="002C7A02">
        <w:rPr>
          <w:rFonts w:asciiTheme="minorHAnsi" w:hAnsiTheme="minorHAnsi"/>
        </w:rPr>
        <w:t xml:space="preserve"> Some of the claimed advantages of the TVWS approach initially presented under chapter 2 were moved into chapter 1 under a new </w:t>
      </w:r>
      <w:proofErr w:type="gramStart"/>
      <w:r w:rsidR="004D7B76" w:rsidRPr="002C7A02">
        <w:rPr>
          <w:rFonts w:asciiTheme="minorHAnsi" w:hAnsiTheme="minorHAnsi"/>
        </w:rPr>
        <w:t>section  on</w:t>
      </w:r>
      <w:proofErr w:type="gramEnd"/>
      <w:r w:rsidR="004D7B76" w:rsidRPr="002C7A02">
        <w:rPr>
          <w:rFonts w:asciiTheme="minorHAnsi" w:hAnsiTheme="minorHAnsi"/>
        </w:rPr>
        <w:t xml:space="preserve"> Benefits and Challenges associated with the use of TV White Spaces.</w:t>
      </w:r>
    </w:p>
    <w:p w14:paraId="50AF4931" w14:textId="7EA533C9" w:rsidR="004D7B76" w:rsidRPr="002C7A02" w:rsidRDefault="00092DFC" w:rsidP="00092DFC">
      <w:pPr>
        <w:pStyle w:val="enumlev1"/>
        <w:rPr>
          <w:rFonts w:asciiTheme="minorHAnsi" w:eastAsiaTheme="minorEastAsia" w:hAnsiTheme="minorHAnsi"/>
          <w:lang w:eastAsia="zh-CN"/>
        </w:rPr>
      </w:pPr>
      <w:r w:rsidRPr="002C7A02">
        <w:rPr>
          <w:rFonts w:asciiTheme="minorHAnsi" w:hAnsiTheme="minorHAnsi"/>
        </w:rPr>
        <w:t>–</w:t>
      </w:r>
      <w:r w:rsidRPr="002C7A02">
        <w:rPr>
          <w:rFonts w:asciiTheme="minorHAnsi" w:hAnsiTheme="minorHAnsi"/>
        </w:rPr>
        <w:tab/>
      </w:r>
      <w:r w:rsidR="004D7B76" w:rsidRPr="002C7A02">
        <w:rPr>
          <w:rFonts w:asciiTheme="minorHAnsi" w:hAnsiTheme="minorHAnsi"/>
        </w:rPr>
        <w:t xml:space="preserve">Chapter 2 which examines various economic aspects of spectrum </w:t>
      </w:r>
      <w:proofErr w:type="gramStart"/>
      <w:r w:rsidR="004D7B76" w:rsidRPr="002C7A02">
        <w:rPr>
          <w:rFonts w:asciiTheme="minorHAnsi" w:hAnsiTheme="minorHAnsi"/>
        </w:rPr>
        <w:t>management</w:t>
      </w:r>
      <w:r w:rsidR="004D7B76" w:rsidRPr="002C7A02">
        <w:rPr>
          <w:rFonts w:asciiTheme="minorHAnsi" w:hAnsiTheme="minorHAnsi"/>
          <w:lang w:eastAsia="zh-CN"/>
        </w:rPr>
        <w:t xml:space="preserve"> .</w:t>
      </w:r>
      <w:proofErr w:type="gramEnd"/>
      <w:r w:rsidR="004D7B76" w:rsidRPr="002C7A02">
        <w:rPr>
          <w:rFonts w:asciiTheme="minorHAnsi" w:hAnsiTheme="minorHAnsi"/>
        </w:rPr>
        <w:t xml:space="preserve"> </w:t>
      </w:r>
      <w:r w:rsidR="004D7B76" w:rsidRPr="002C7A02">
        <w:rPr>
          <w:rFonts w:asciiTheme="minorHAnsi" w:hAnsiTheme="minorHAnsi"/>
          <w:lang w:eastAsia="zh-CN"/>
        </w:rPr>
        <w:t>Experiences of different administrations were</w:t>
      </w:r>
      <w:r w:rsidR="004D7B76" w:rsidRPr="002C7A02">
        <w:rPr>
          <w:rFonts w:asciiTheme="minorHAnsi" w:eastAsiaTheme="minorEastAsia" w:hAnsiTheme="minorHAnsi"/>
          <w:lang w:eastAsia="zh-CN"/>
        </w:rPr>
        <w:t xml:space="preserve"> moved to an annex.</w:t>
      </w:r>
    </w:p>
    <w:p w14:paraId="6F97B86F" w14:textId="22C09FC8" w:rsidR="004D7B76" w:rsidRPr="002C7A02" w:rsidRDefault="00092DFC" w:rsidP="00092DFC">
      <w:pPr>
        <w:pStyle w:val="enumlev1"/>
        <w:rPr>
          <w:rFonts w:asciiTheme="minorHAnsi" w:hAnsiTheme="minorHAnsi"/>
          <w:lang w:eastAsia="zh-CN"/>
        </w:rPr>
      </w:pPr>
      <w:r w:rsidRPr="002C7A02">
        <w:rPr>
          <w:rFonts w:asciiTheme="minorHAnsi" w:hAnsiTheme="minorHAnsi"/>
        </w:rPr>
        <w:t>–</w:t>
      </w:r>
      <w:r w:rsidRPr="002C7A02">
        <w:rPr>
          <w:rFonts w:asciiTheme="minorHAnsi" w:hAnsiTheme="minorHAnsi"/>
        </w:rPr>
        <w:tab/>
      </w:r>
      <w:r w:rsidR="004D7B76" w:rsidRPr="002C7A02">
        <w:rPr>
          <w:rFonts w:asciiTheme="minorHAnsi" w:hAnsiTheme="minorHAnsi"/>
          <w:lang w:eastAsia="zh-CN"/>
        </w:rPr>
        <w:t>C</w:t>
      </w:r>
      <w:r w:rsidR="004D7B76" w:rsidRPr="002C7A02">
        <w:rPr>
          <w:rFonts w:asciiTheme="minorHAnsi" w:hAnsiTheme="minorHAnsi"/>
        </w:rPr>
        <w:t>hapter 3 on spectrum management activities w</w:t>
      </w:r>
      <w:r w:rsidR="004D7B76" w:rsidRPr="002C7A02">
        <w:rPr>
          <w:rFonts w:asciiTheme="minorHAnsi" w:hAnsiTheme="minorHAnsi"/>
          <w:lang w:eastAsia="zh-CN"/>
        </w:rPr>
        <w:t>as</w:t>
      </w:r>
      <w:r w:rsidR="004D7B76" w:rsidRPr="002C7A02">
        <w:rPr>
          <w:rFonts w:asciiTheme="minorHAnsi" w:hAnsiTheme="minorHAnsi"/>
        </w:rPr>
        <w:t xml:space="preserve"> shortened as a result of the move of information (spectrum </w:t>
      </w:r>
      <w:proofErr w:type="spellStart"/>
      <w:r w:rsidR="004D7B76" w:rsidRPr="002C7A02">
        <w:rPr>
          <w:rFonts w:asciiTheme="minorHAnsi" w:hAnsiTheme="minorHAnsi"/>
        </w:rPr>
        <w:t>refarming</w:t>
      </w:r>
      <w:proofErr w:type="spellEnd"/>
      <w:r w:rsidR="004D7B76" w:rsidRPr="002C7A02">
        <w:rPr>
          <w:rFonts w:asciiTheme="minorHAnsi" w:hAnsiTheme="minorHAnsi"/>
        </w:rPr>
        <w:t xml:space="preserve">, TVWS, ESIM) into chapter 1. Related examples/experiences were also moved into new annex 2 in order to achieve a </w:t>
      </w:r>
      <w:proofErr w:type="gramStart"/>
      <w:r w:rsidR="004D7B76" w:rsidRPr="002C7A02">
        <w:rPr>
          <w:rFonts w:asciiTheme="minorHAnsi" w:hAnsiTheme="minorHAnsi"/>
        </w:rPr>
        <w:t>consistent</w:t>
      </w:r>
      <w:proofErr w:type="gramEnd"/>
      <w:r w:rsidR="004D7B76" w:rsidRPr="002C7A02">
        <w:rPr>
          <w:rFonts w:asciiTheme="minorHAnsi" w:hAnsiTheme="minorHAnsi"/>
        </w:rPr>
        <w:t xml:space="preserve"> and balanced approach on case studies.</w:t>
      </w:r>
    </w:p>
    <w:p w14:paraId="2A8B8026" w14:textId="52BE7593" w:rsidR="004D7B76" w:rsidRPr="002C7A02" w:rsidRDefault="00092DFC" w:rsidP="00092DFC">
      <w:pPr>
        <w:pStyle w:val="enumlev1"/>
        <w:rPr>
          <w:rFonts w:asciiTheme="minorHAnsi" w:hAnsiTheme="minorHAnsi"/>
          <w:lang w:eastAsia="zh-CN"/>
        </w:rPr>
      </w:pPr>
      <w:r w:rsidRPr="002C7A02">
        <w:rPr>
          <w:rFonts w:asciiTheme="minorHAnsi" w:hAnsiTheme="minorHAnsi"/>
        </w:rPr>
        <w:t>–</w:t>
      </w:r>
      <w:r w:rsidRPr="002C7A02">
        <w:rPr>
          <w:rFonts w:asciiTheme="minorHAnsi" w:hAnsiTheme="minorHAnsi"/>
        </w:rPr>
        <w:tab/>
      </w:r>
      <w:r w:rsidR="004D7B76" w:rsidRPr="002C7A02">
        <w:rPr>
          <w:rFonts w:asciiTheme="minorHAnsi" w:hAnsiTheme="minorHAnsi"/>
        </w:rPr>
        <w:t>Chapter 4 on spectrum monitoring was in comparison not significantly amended.</w:t>
      </w:r>
    </w:p>
    <w:p w14:paraId="43ED1E74" w14:textId="77777777" w:rsidR="00C34A0E" w:rsidRPr="002C7A02" w:rsidRDefault="00992A13" w:rsidP="00AD5E23">
      <w:pPr>
        <w:rPr>
          <w:rFonts w:asciiTheme="minorHAnsi" w:hAnsiTheme="minorHAnsi" w:cstheme="majorBidi"/>
          <w:lang w:val="en-US"/>
        </w:rPr>
      </w:pPr>
      <w:r w:rsidRPr="002C7A02">
        <w:rPr>
          <w:rFonts w:asciiTheme="minorHAnsi" w:hAnsiTheme="minorHAnsi" w:cstheme="majorBidi"/>
        </w:rPr>
        <w:lastRenderedPageBreak/>
        <w:t>Th</w:t>
      </w:r>
      <w:r w:rsidR="00E36A33" w:rsidRPr="002C7A02">
        <w:rPr>
          <w:rFonts w:asciiTheme="minorHAnsi" w:hAnsiTheme="minorHAnsi" w:cstheme="majorBidi"/>
        </w:rPr>
        <w:t xml:space="preserve">e table below indicates </w:t>
      </w:r>
      <w:r w:rsidR="007C122C" w:rsidRPr="002C7A02">
        <w:rPr>
          <w:rFonts w:asciiTheme="minorHAnsi" w:hAnsiTheme="minorHAnsi" w:cstheme="majorBidi"/>
        </w:rPr>
        <w:t>where to locate</w:t>
      </w:r>
      <w:r w:rsidR="00C34A0E" w:rsidRPr="002C7A02">
        <w:rPr>
          <w:rFonts w:asciiTheme="minorHAnsi" w:hAnsiTheme="minorHAnsi" w:cstheme="majorBidi"/>
        </w:rPr>
        <w:t xml:space="preserve">, </w:t>
      </w:r>
      <w:r w:rsidR="007C122C" w:rsidRPr="002C7A02">
        <w:rPr>
          <w:rFonts w:asciiTheme="minorHAnsi" w:hAnsiTheme="minorHAnsi" w:cstheme="majorBidi"/>
          <w:lang w:val="en-US"/>
        </w:rPr>
        <w:t xml:space="preserve">in the revision to the Report on WTDC Resolution 9 (Rev. Dubai, 2014), as contained in ITU-R Study Group </w:t>
      </w:r>
      <w:r w:rsidR="00744B1F" w:rsidRPr="002C7A02">
        <w:rPr>
          <w:rFonts w:asciiTheme="minorHAnsi" w:hAnsiTheme="minorHAnsi" w:cstheme="majorBidi"/>
          <w:lang w:val="en-US"/>
        </w:rPr>
        <w:t xml:space="preserve">(SG) </w:t>
      </w:r>
      <w:r w:rsidR="007C122C" w:rsidRPr="002C7A02">
        <w:rPr>
          <w:rFonts w:asciiTheme="minorHAnsi" w:hAnsiTheme="minorHAnsi" w:cstheme="majorBidi"/>
          <w:lang w:val="en-US"/>
        </w:rPr>
        <w:t xml:space="preserve">1 Document </w:t>
      </w:r>
      <w:hyperlink r:id="rId11" w:history="1">
        <w:r w:rsidR="007C122C" w:rsidRPr="002C7A02">
          <w:rPr>
            <w:rStyle w:val="Hyperlink"/>
            <w:rFonts w:asciiTheme="minorHAnsi" w:hAnsiTheme="minorHAnsi" w:cstheme="majorBidi"/>
            <w:lang w:val="en-US"/>
          </w:rPr>
          <w:t>1/82 (Rev.1)</w:t>
        </w:r>
      </w:hyperlink>
      <w:r w:rsidR="007C122C" w:rsidRPr="002C7A02">
        <w:rPr>
          <w:rFonts w:asciiTheme="minorHAnsi" w:hAnsiTheme="minorHAnsi" w:cstheme="majorBidi"/>
          <w:lang w:val="en-US"/>
        </w:rPr>
        <w:t xml:space="preserve">, </w:t>
      </w:r>
      <w:r w:rsidR="00C34A0E" w:rsidRPr="002C7A02">
        <w:rPr>
          <w:rFonts w:asciiTheme="minorHAnsi" w:hAnsiTheme="minorHAnsi" w:cstheme="majorBidi"/>
          <w:lang w:val="en-US"/>
        </w:rPr>
        <w:t xml:space="preserve">the </w:t>
      </w:r>
      <w:r w:rsidR="00AD5E23" w:rsidRPr="002C7A02">
        <w:rPr>
          <w:rFonts w:asciiTheme="minorHAnsi" w:hAnsiTheme="minorHAnsi" w:cstheme="majorBidi"/>
          <w:lang w:val="en-US"/>
        </w:rPr>
        <w:t xml:space="preserve">elements </w:t>
      </w:r>
      <w:r w:rsidR="00C34A0E" w:rsidRPr="002C7A02">
        <w:rPr>
          <w:rFonts w:asciiTheme="minorHAnsi" w:hAnsiTheme="minorHAnsi" w:cstheme="majorBidi"/>
          <w:lang w:val="en-US"/>
        </w:rPr>
        <w:t xml:space="preserve">contained in </w:t>
      </w:r>
      <w:r w:rsidR="007C122C" w:rsidRPr="002C7A02">
        <w:rPr>
          <w:rFonts w:asciiTheme="minorHAnsi" w:hAnsiTheme="minorHAnsi" w:cstheme="majorBidi"/>
          <w:lang w:val="en-US"/>
        </w:rPr>
        <w:t xml:space="preserve">the sections </w:t>
      </w:r>
      <w:r w:rsidR="00C34A0E" w:rsidRPr="002C7A02">
        <w:rPr>
          <w:rFonts w:asciiTheme="minorHAnsi" w:hAnsiTheme="minorHAnsi" w:cstheme="majorBidi"/>
          <w:lang w:val="en-US"/>
        </w:rPr>
        <w:t>of the original report</w:t>
      </w:r>
      <w:r w:rsidR="007C122C" w:rsidRPr="002C7A02">
        <w:rPr>
          <w:rFonts w:asciiTheme="minorHAnsi" w:hAnsiTheme="minorHAnsi" w:cstheme="majorBidi"/>
          <w:lang w:val="en-US"/>
        </w:rPr>
        <w:t xml:space="preserve">. </w:t>
      </w:r>
    </w:p>
    <w:p w14:paraId="167C70CE" w14:textId="5FFE7680" w:rsidR="001F09F6" w:rsidRPr="002C7A02" w:rsidRDefault="00586485" w:rsidP="00AD5E23">
      <w:pPr>
        <w:rPr>
          <w:rFonts w:asciiTheme="minorHAnsi" w:hAnsiTheme="minorHAnsi" w:cstheme="majorBidi"/>
        </w:rPr>
      </w:pPr>
      <w:r w:rsidRPr="002C7A02">
        <w:rPr>
          <w:rFonts w:asciiTheme="minorHAnsi" w:hAnsiTheme="minorHAnsi" w:cstheme="majorBidi"/>
        </w:rPr>
        <w:t>This</w:t>
      </w:r>
      <w:r w:rsidR="007C122C" w:rsidRPr="002C7A02">
        <w:rPr>
          <w:rFonts w:asciiTheme="minorHAnsi" w:hAnsiTheme="minorHAnsi" w:cstheme="majorBidi"/>
        </w:rPr>
        <w:t xml:space="preserve"> also </w:t>
      </w:r>
      <w:r w:rsidR="00C34A0E" w:rsidRPr="002C7A02">
        <w:rPr>
          <w:rFonts w:asciiTheme="minorHAnsi" w:hAnsiTheme="minorHAnsi" w:cstheme="majorBidi"/>
        </w:rPr>
        <w:t xml:space="preserve">indicates </w:t>
      </w:r>
      <w:r w:rsidR="001F09F6" w:rsidRPr="002C7A02">
        <w:rPr>
          <w:rFonts w:asciiTheme="minorHAnsi" w:hAnsiTheme="minorHAnsi" w:cstheme="majorBidi"/>
          <w:lang w:val="en-US"/>
        </w:rPr>
        <w:t>the areas where significant modifications have been made</w:t>
      </w:r>
      <w:r w:rsidR="00306CFB" w:rsidRPr="002C7A02">
        <w:rPr>
          <w:rFonts w:asciiTheme="minorHAnsi" w:hAnsiTheme="minorHAnsi" w:cstheme="majorBidi"/>
          <w:lang w:val="en-US"/>
        </w:rPr>
        <w:t xml:space="preserve"> to the </w:t>
      </w:r>
      <w:r w:rsidR="00C34A0E" w:rsidRPr="002C7A02">
        <w:rPr>
          <w:rFonts w:asciiTheme="minorHAnsi" w:hAnsiTheme="minorHAnsi" w:cstheme="majorBidi"/>
          <w:lang w:val="en-US"/>
        </w:rPr>
        <w:t>original report and the scope of these modifications.</w:t>
      </w:r>
    </w:p>
    <w:p w14:paraId="3F004A54" w14:textId="77777777" w:rsidR="00306CFB" w:rsidRPr="002C7A02" w:rsidRDefault="00306CFB">
      <w:pPr>
        <w:tabs>
          <w:tab w:val="clear" w:pos="1134"/>
          <w:tab w:val="clear" w:pos="1871"/>
          <w:tab w:val="clear" w:pos="2268"/>
        </w:tabs>
        <w:overflowPunct/>
        <w:autoSpaceDE/>
        <w:autoSpaceDN/>
        <w:adjustRightInd/>
        <w:spacing w:before="0"/>
        <w:textAlignment w:val="auto"/>
        <w:rPr>
          <w:rFonts w:asciiTheme="minorHAnsi" w:hAnsiTheme="minorHAnsi"/>
          <w:lang w:eastAsia="zh-CN"/>
        </w:rPr>
        <w:sectPr w:rsidR="00306CFB" w:rsidRPr="002C7A02" w:rsidSect="006D332D">
          <w:headerReference w:type="even" r:id="rId12"/>
          <w:headerReference w:type="default" r:id="rId13"/>
          <w:footerReference w:type="even" r:id="rId14"/>
          <w:footerReference w:type="default" r:id="rId15"/>
          <w:headerReference w:type="first" r:id="rId16"/>
          <w:footerReference w:type="first" r:id="rId17"/>
          <w:pgSz w:w="11907" w:h="16834"/>
          <w:pgMar w:top="2127" w:right="1134" w:bottom="1418" w:left="1134" w:header="720" w:footer="720" w:gutter="0"/>
          <w:paperSrc w:first="15" w:other="15"/>
          <w:cols w:space="720"/>
          <w:titlePg/>
        </w:sectPr>
      </w:pPr>
    </w:p>
    <w:p w14:paraId="09305AE6" w14:textId="77777777" w:rsidR="00E36A33" w:rsidRPr="002C7A02" w:rsidRDefault="00E36A33">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bl>
      <w:tblPr>
        <w:tblStyle w:val="TableGrid"/>
        <w:tblW w:w="0" w:type="auto"/>
        <w:tblLook w:val="04A0" w:firstRow="1" w:lastRow="0" w:firstColumn="1" w:lastColumn="0" w:noHBand="0" w:noVBand="1"/>
      </w:tblPr>
      <w:tblGrid>
        <w:gridCol w:w="4815"/>
        <w:gridCol w:w="283"/>
        <w:gridCol w:w="8789"/>
      </w:tblGrid>
      <w:tr w:rsidR="00017004" w:rsidRPr="002C7A02" w14:paraId="6172A67E" w14:textId="77777777" w:rsidTr="00017004">
        <w:tc>
          <w:tcPr>
            <w:tcW w:w="4815" w:type="dxa"/>
            <w:shd w:val="clear" w:color="auto" w:fill="8DB3E2" w:themeFill="text2" w:themeFillTint="66"/>
          </w:tcPr>
          <w:p w14:paraId="7BF7CEEF" w14:textId="2D4A6D31" w:rsidR="00586485" w:rsidRPr="002C7A02" w:rsidRDefault="00E36A33" w:rsidP="00586485">
            <w:pPr>
              <w:tabs>
                <w:tab w:val="clear" w:pos="1134"/>
                <w:tab w:val="clear" w:pos="1871"/>
                <w:tab w:val="clear" w:pos="2268"/>
              </w:tabs>
              <w:overflowPunct/>
              <w:autoSpaceDE/>
              <w:autoSpaceDN/>
              <w:adjustRightInd/>
              <w:spacing w:before="0"/>
              <w:textAlignment w:val="auto"/>
              <w:rPr>
                <w:rFonts w:asciiTheme="minorHAnsi" w:hAnsiTheme="minorHAnsi"/>
              </w:rPr>
            </w:pPr>
            <w:r w:rsidRPr="002C7A02">
              <w:rPr>
                <w:rFonts w:asciiTheme="minorHAnsi" w:hAnsiTheme="minorHAnsi"/>
                <w:b/>
              </w:rPr>
              <w:t xml:space="preserve">Table of contents of </w:t>
            </w:r>
            <w:r w:rsidR="00586485" w:rsidRPr="002C7A02">
              <w:rPr>
                <w:rFonts w:asciiTheme="minorHAnsi" w:hAnsiTheme="minorHAnsi"/>
                <w:b/>
              </w:rPr>
              <w:t>the original Report</w:t>
            </w:r>
            <w:r w:rsidR="00586485" w:rsidRPr="002C7A02">
              <w:rPr>
                <w:rFonts w:asciiTheme="minorHAnsi" w:hAnsiTheme="minorHAnsi"/>
              </w:rPr>
              <w:t xml:space="preserve"> </w:t>
            </w:r>
          </w:p>
          <w:p w14:paraId="1F1BEFFD" w14:textId="6CCAA66D" w:rsidR="00E36A33" w:rsidRPr="002C7A02" w:rsidRDefault="00586485" w:rsidP="00586485">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rPr>
              <w:t>(</w:t>
            </w:r>
            <w:r w:rsidR="00E36A33" w:rsidRPr="002C7A02">
              <w:rPr>
                <w:rFonts w:asciiTheme="minorHAnsi" w:hAnsiTheme="minorHAnsi"/>
              </w:rPr>
              <w:t>Document 1/61</w:t>
            </w:r>
            <w:r w:rsidRPr="002C7A02">
              <w:rPr>
                <w:rFonts w:asciiTheme="minorHAnsi" w:hAnsiTheme="minorHAnsi"/>
              </w:rPr>
              <w:t xml:space="preserve">, </w:t>
            </w:r>
            <w:r w:rsidR="00E36A33" w:rsidRPr="002C7A02">
              <w:rPr>
                <w:rFonts w:asciiTheme="minorHAnsi" w:hAnsiTheme="minorHAnsi"/>
              </w:rPr>
              <w:t>Attachment: ”</w:t>
            </w:r>
            <w:r w:rsidR="00E36A33" w:rsidRPr="002C7A02">
              <w:rPr>
                <w:rFonts w:asciiTheme="minorHAnsi" w:hAnsiTheme="minorHAnsi"/>
                <w:lang w:val="en-US" w:eastAsia="zh-CN"/>
              </w:rPr>
              <w:t>Report on Resolution 9</w:t>
            </w:r>
            <w:r w:rsidR="00E36A33" w:rsidRPr="002C7A02">
              <w:rPr>
                <w:rFonts w:asciiTheme="minorHAnsi" w:hAnsiTheme="minorHAnsi"/>
              </w:rPr>
              <w:t>”)</w:t>
            </w:r>
          </w:p>
        </w:tc>
        <w:tc>
          <w:tcPr>
            <w:tcW w:w="9072" w:type="dxa"/>
            <w:gridSpan w:val="2"/>
            <w:shd w:val="clear" w:color="auto" w:fill="8DB3E2" w:themeFill="text2" w:themeFillTint="66"/>
          </w:tcPr>
          <w:p w14:paraId="5D98A5BB" w14:textId="176771F5" w:rsidR="00586485" w:rsidRPr="002C7A02" w:rsidRDefault="00941AB7" w:rsidP="000858D7">
            <w:pPr>
              <w:tabs>
                <w:tab w:val="clear" w:pos="1134"/>
                <w:tab w:val="clear" w:pos="1871"/>
                <w:tab w:val="clear" w:pos="2268"/>
              </w:tabs>
              <w:overflowPunct/>
              <w:autoSpaceDE/>
              <w:autoSpaceDN/>
              <w:adjustRightInd/>
              <w:spacing w:before="0"/>
              <w:textAlignment w:val="auto"/>
              <w:rPr>
                <w:rFonts w:asciiTheme="minorHAnsi" w:hAnsiTheme="minorHAnsi"/>
                <w:b/>
                <w:lang w:eastAsia="zh-CN"/>
              </w:rPr>
            </w:pPr>
            <w:r w:rsidRPr="002C7A02">
              <w:rPr>
                <w:rFonts w:asciiTheme="minorHAnsi" w:hAnsiTheme="minorHAnsi"/>
                <w:b/>
                <w:lang w:eastAsia="zh-CN"/>
              </w:rPr>
              <w:t xml:space="preserve">Corresponding </w:t>
            </w:r>
            <w:r w:rsidR="00E36A33" w:rsidRPr="002C7A02">
              <w:rPr>
                <w:rFonts w:asciiTheme="minorHAnsi" w:hAnsiTheme="minorHAnsi"/>
                <w:b/>
                <w:lang w:eastAsia="zh-CN"/>
              </w:rPr>
              <w:t xml:space="preserve">Sections/Annexes of </w:t>
            </w:r>
            <w:r w:rsidR="00586485" w:rsidRPr="002C7A02">
              <w:rPr>
                <w:rFonts w:asciiTheme="minorHAnsi" w:hAnsiTheme="minorHAnsi"/>
                <w:b/>
                <w:lang w:eastAsia="zh-CN"/>
              </w:rPr>
              <w:t xml:space="preserve">the revised Report </w:t>
            </w:r>
          </w:p>
          <w:p w14:paraId="0DD28CDD" w14:textId="549FA3E7" w:rsidR="00E36A33" w:rsidRPr="002C7A02" w:rsidRDefault="00586485" w:rsidP="000858D7">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w:t>
            </w:r>
            <w:r w:rsidR="00E36A33" w:rsidRPr="002C7A02">
              <w:rPr>
                <w:rFonts w:asciiTheme="minorHAnsi" w:hAnsiTheme="minorHAnsi"/>
              </w:rPr>
              <w:t>Doc</w:t>
            </w:r>
            <w:r w:rsidR="003C3642" w:rsidRPr="002C7A02">
              <w:rPr>
                <w:rFonts w:asciiTheme="minorHAnsi" w:hAnsiTheme="minorHAnsi"/>
              </w:rPr>
              <w:t xml:space="preserve">. </w:t>
            </w:r>
            <w:r w:rsidR="00E36A33" w:rsidRPr="002C7A02">
              <w:rPr>
                <w:rFonts w:asciiTheme="minorHAnsi" w:hAnsiTheme="minorHAnsi"/>
              </w:rPr>
              <w:t>1/8</w:t>
            </w:r>
            <w:r w:rsidR="00C50251" w:rsidRPr="002C7A02">
              <w:rPr>
                <w:rFonts w:asciiTheme="minorHAnsi" w:hAnsiTheme="minorHAnsi"/>
              </w:rPr>
              <w:t>2</w:t>
            </w:r>
            <w:r w:rsidRPr="002C7A02">
              <w:rPr>
                <w:rFonts w:asciiTheme="minorHAnsi" w:hAnsiTheme="minorHAnsi"/>
              </w:rPr>
              <w:t xml:space="preserve">(Rev.1) </w:t>
            </w:r>
            <w:r w:rsidRPr="002C7A02">
              <w:rPr>
                <w:rFonts w:asciiTheme="minorHAnsi" w:hAnsiTheme="minorHAnsi"/>
                <w:b/>
              </w:rPr>
              <w:t>and scope of the modifications</w:t>
            </w:r>
          </w:p>
        </w:tc>
      </w:tr>
      <w:tr w:rsidR="00017004" w:rsidRPr="002C7A02" w14:paraId="31CC051B" w14:textId="77777777" w:rsidTr="00017004">
        <w:trPr>
          <w:trHeight w:val="562"/>
        </w:trPr>
        <w:tc>
          <w:tcPr>
            <w:tcW w:w="4815" w:type="dxa"/>
          </w:tcPr>
          <w:p w14:paraId="066A100F" w14:textId="77777777" w:rsidR="00E36A33" w:rsidRPr="002C7A02" w:rsidRDefault="00C50251" w:rsidP="000858D7">
            <w:pPr>
              <w:tabs>
                <w:tab w:val="clear" w:pos="1134"/>
                <w:tab w:val="clear" w:pos="1871"/>
                <w:tab w:val="clear" w:pos="2268"/>
              </w:tabs>
              <w:overflowPunct/>
              <w:autoSpaceDE/>
              <w:autoSpaceDN/>
              <w:adjustRightInd/>
              <w:spacing w:before="0"/>
              <w:textAlignment w:val="auto"/>
              <w:rPr>
                <w:rFonts w:asciiTheme="minorHAnsi" w:hAnsiTheme="minorHAnsi"/>
                <w:lang w:eastAsia="zh-CN"/>
              </w:rPr>
            </w:pPr>
            <w:proofErr w:type="spellStart"/>
            <w:r w:rsidRPr="002C7A02">
              <w:rPr>
                <w:rFonts w:asciiTheme="minorHAnsi" w:hAnsiTheme="minorHAnsi"/>
                <w:lang w:eastAsia="zh-CN"/>
              </w:rPr>
              <w:t>i</w:t>
            </w:r>
            <w:proofErr w:type="spellEnd"/>
            <w:r w:rsidRPr="002C7A02">
              <w:rPr>
                <w:rFonts w:asciiTheme="minorHAnsi" w:hAnsiTheme="minorHAnsi"/>
                <w:lang w:eastAsia="zh-CN"/>
              </w:rPr>
              <w:t>.</w:t>
            </w:r>
            <w:r w:rsidRPr="002C7A02">
              <w:rPr>
                <w:rFonts w:asciiTheme="minorHAnsi" w:hAnsiTheme="minorHAnsi"/>
                <w:lang w:eastAsia="zh-CN"/>
              </w:rPr>
              <w:tab/>
              <w:t>Executive Summary</w:t>
            </w:r>
          </w:p>
        </w:tc>
        <w:tc>
          <w:tcPr>
            <w:tcW w:w="9072" w:type="dxa"/>
            <w:gridSpan w:val="2"/>
          </w:tcPr>
          <w:p w14:paraId="2DF6D296" w14:textId="77777777" w:rsidR="00306CFB" w:rsidRPr="002C7A02" w:rsidRDefault="00306CFB" w:rsidP="000858D7">
            <w:pPr>
              <w:tabs>
                <w:tab w:val="clear" w:pos="1134"/>
                <w:tab w:val="clear" w:pos="1871"/>
                <w:tab w:val="clear" w:pos="2268"/>
              </w:tabs>
              <w:overflowPunct/>
              <w:autoSpaceDE/>
              <w:autoSpaceDN/>
              <w:adjustRightInd/>
              <w:spacing w:before="0"/>
              <w:textAlignment w:val="auto"/>
              <w:rPr>
                <w:rFonts w:asciiTheme="minorHAnsi" w:hAnsiTheme="minorHAnsi"/>
                <w:b/>
                <w:bCs/>
                <w:i/>
                <w:iCs/>
                <w:u w:val="single"/>
                <w:lang w:eastAsia="zh-CN"/>
              </w:rPr>
            </w:pPr>
            <w:proofErr w:type="spellStart"/>
            <w:r w:rsidRPr="002C7A02">
              <w:rPr>
                <w:rFonts w:asciiTheme="minorHAnsi" w:hAnsiTheme="minorHAnsi"/>
                <w:lang w:eastAsia="zh-CN"/>
              </w:rPr>
              <w:t>i</w:t>
            </w:r>
            <w:proofErr w:type="spellEnd"/>
            <w:r w:rsidRPr="002C7A02">
              <w:rPr>
                <w:rFonts w:asciiTheme="minorHAnsi" w:hAnsiTheme="minorHAnsi"/>
                <w:lang w:eastAsia="zh-CN"/>
              </w:rPr>
              <w:t>.</w:t>
            </w:r>
            <w:r w:rsidRPr="002C7A02">
              <w:rPr>
                <w:rFonts w:asciiTheme="minorHAnsi" w:hAnsiTheme="minorHAnsi"/>
                <w:lang w:eastAsia="zh-CN"/>
              </w:rPr>
              <w:tab/>
              <w:t>Executive Summary</w:t>
            </w:r>
            <w:r w:rsidRPr="002C7A02">
              <w:rPr>
                <w:rFonts w:asciiTheme="minorHAnsi" w:hAnsiTheme="minorHAnsi"/>
                <w:b/>
                <w:bCs/>
                <w:i/>
                <w:iCs/>
                <w:u w:val="single"/>
                <w:lang w:eastAsia="zh-CN"/>
              </w:rPr>
              <w:t xml:space="preserve"> </w:t>
            </w:r>
          </w:p>
          <w:p w14:paraId="70F994BD" w14:textId="1E1508BC" w:rsidR="00E36A33" w:rsidRPr="002C7A02" w:rsidRDefault="00C50251" w:rsidP="000858D7">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Re-drafted to take into account the revisions made to the Report</w:t>
            </w:r>
          </w:p>
        </w:tc>
      </w:tr>
      <w:tr w:rsidR="00017004" w:rsidRPr="002C7A02" w14:paraId="4413E9CB" w14:textId="77777777" w:rsidTr="00017004">
        <w:tc>
          <w:tcPr>
            <w:tcW w:w="4815" w:type="dxa"/>
          </w:tcPr>
          <w:p w14:paraId="7AECACC1" w14:textId="77777777" w:rsidR="00E36A33" w:rsidRPr="002C7A02" w:rsidRDefault="00C50251" w:rsidP="000858D7">
            <w:pPr>
              <w:tabs>
                <w:tab w:val="clear" w:pos="1134"/>
                <w:tab w:val="clear" w:pos="1871"/>
                <w:tab w:val="clear" w:pos="2268"/>
              </w:tabs>
              <w:overflowPunct/>
              <w:autoSpaceDE/>
              <w:autoSpaceDN/>
              <w:adjustRightInd/>
              <w:spacing w:before="0"/>
              <w:textAlignment w:val="auto"/>
              <w:rPr>
                <w:rFonts w:asciiTheme="minorHAnsi" w:hAnsiTheme="minorHAnsi"/>
                <w:b/>
                <w:bCs/>
                <w:lang w:eastAsia="zh-CN"/>
              </w:rPr>
            </w:pPr>
            <w:r w:rsidRPr="002C7A02">
              <w:rPr>
                <w:rFonts w:asciiTheme="minorHAnsi" w:hAnsiTheme="minorHAnsi"/>
                <w:b/>
                <w:bCs/>
                <w:lang w:eastAsia="zh-CN"/>
              </w:rPr>
              <w:t>1</w:t>
            </w:r>
            <w:r w:rsidRPr="002C7A02">
              <w:rPr>
                <w:rFonts w:asciiTheme="minorHAnsi" w:eastAsiaTheme="minorEastAsia" w:hAnsiTheme="minorHAnsi"/>
                <w:b/>
                <w:bCs/>
                <w:lang w:eastAsia="zh-CN"/>
              </w:rPr>
              <w:tab/>
            </w:r>
            <w:r w:rsidRPr="002C7A02">
              <w:rPr>
                <w:rFonts w:asciiTheme="minorHAnsi" w:hAnsiTheme="minorHAnsi"/>
                <w:b/>
                <w:bCs/>
                <w:lang w:eastAsia="zh-CN"/>
              </w:rPr>
              <w:t>CHAPTER 1 – Emerging spectrum management approaches</w:t>
            </w:r>
          </w:p>
        </w:tc>
        <w:tc>
          <w:tcPr>
            <w:tcW w:w="9072" w:type="dxa"/>
            <w:gridSpan w:val="2"/>
          </w:tcPr>
          <w:p w14:paraId="64AC610C" w14:textId="3A18D9A5" w:rsidR="00E36A33" w:rsidRPr="002C7A02" w:rsidRDefault="00306CFB" w:rsidP="005541FC">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b/>
                <w:bCs/>
                <w:lang w:eastAsia="zh-CN"/>
              </w:rPr>
              <w:t>1</w:t>
            </w:r>
            <w:r w:rsidRPr="002C7A02">
              <w:rPr>
                <w:rFonts w:asciiTheme="minorHAnsi" w:eastAsiaTheme="minorEastAsia" w:hAnsiTheme="minorHAnsi"/>
                <w:b/>
                <w:bCs/>
                <w:lang w:eastAsia="zh-CN"/>
              </w:rPr>
              <w:tab/>
            </w:r>
            <w:r w:rsidRPr="002C7A02">
              <w:rPr>
                <w:rFonts w:asciiTheme="minorHAnsi" w:hAnsiTheme="minorHAnsi"/>
                <w:b/>
                <w:bCs/>
                <w:lang w:eastAsia="zh-CN"/>
              </w:rPr>
              <w:t>CHAPTER 1 – Spectrum management approaches</w:t>
            </w:r>
            <w:r w:rsidRPr="002C7A02">
              <w:rPr>
                <w:rFonts w:asciiTheme="minorHAnsi" w:hAnsiTheme="minorHAnsi"/>
                <w:b/>
                <w:bCs/>
                <w:lang w:eastAsia="zh-CN"/>
              </w:rPr>
              <w:br/>
            </w:r>
            <w:r w:rsidR="008A6BCE" w:rsidRPr="002C7A02">
              <w:rPr>
                <w:rFonts w:asciiTheme="minorHAnsi" w:hAnsiTheme="minorHAnsi"/>
                <w:lang w:eastAsia="zh-CN"/>
              </w:rPr>
              <w:t xml:space="preserve">Chapter 1 </w:t>
            </w:r>
            <w:r w:rsidRPr="002C7A02">
              <w:rPr>
                <w:rFonts w:asciiTheme="minorHAnsi" w:hAnsiTheme="minorHAnsi"/>
                <w:lang w:eastAsia="zh-CN"/>
              </w:rPr>
              <w:t xml:space="preserve">was renamed in order to deliver a broader view of </w:t>
            </w:r>
            <w:r w:rsidR="0012653E" w:rsidRPr="002C7A02">
              <w:rPr>
                <w:rFonts w:asciiTheme="minorHAnsi" w:hAnsiTheme="minorHAnsi"/>
                <w:lang w:eastAsia="zh-CN"/>
              </w:rPr>
              <w:t xml:space="preserve">the spectrum management </w:t>
            </w:r>
            <w:r w:rsidR="008A6BCE" w:rsidRPr="002C7A02">
              <w:rPr>
                <w:rFonts w:asciiTheme="minorHAnsi" w:hAnsiTheme="minorHAnsi"/>
                <w:lang w:eastAsia="zh-CN"/>
              </w:rPr>
              <w:t>approaches</w:t>
            </w:r>
          </w:p>
        </w:tc>
      </w:tr>
      <w:tr w:rsidR="00BA2149" w:rsidRPr="002C7A02" w14:paraId="7D551570" w14:textId="77777777" w:rsidTr="00017004">
        <w:tc>
          <w:tcPr>
            <w:tcW w:w="4815" w:type="dxa"/>
          </w:tcPr>
          <w:p w14:paraId="4AFCE1D1" w14:textId="77777777" w:rsidR="00C50251" w:rsidRPr="002C7A02" w:rsidRDefault="00306CFB" w:rsidP="000858D7">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1.1</w:t>
            </w:r>
            <w:r w:rsidRPr="002C7A02">
              <w:rPr>
                <w:rFonts w:asciiTheme="minorHAnsi" w:hAnsiTheme="minorHAnsi"/>
                <w:lang w:eastAsia="zh-CN"/>
              </w:rPr>
              <w:tab/>
            </w:r>
            <w:r w:rsidRPr="002C7A02">
              <w:rPr>
                <w:rFonts w:asciiTheme="minorHAnsi" w:hAnsiTheme="minorHAnsi"/>
                <w:b/>
                <w:bCs/>
                <w:lang w:eastAsia="zh-CN"/>
              </w:rPr>
              <w:t>Introduction</w:t>
            </w:r>
          </w:p>
        </w:tc>
        <w:tc>
          <w:tcPr>
            <w:tcW w:w="9072" w:type="dxa"/>
            <w:gridSpan w:val="2"/>
          </w:tcPr>
          <w:p w14:paraId="626FFD4B" w14:textId="63C0B0CE" w:rsidR="00306CFB" w:rsidRPr="002C7A02" w:rsidRDefault="00306CFB" w:rsidP="000858D7">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Re-drafted to take into account the revisions made in Chapter 1 of the Report</w:t>
            </w:r>
            <w:r w:rsidR="00CC0D92" w:rsidRPr="002C7A02">
              <w:rPr>
                <w:rFonts w:asciiTheme="minorHAnsi" w:hAnsiTheme="minorHAnsi"/>
                <w:lang w:eastAsia="zh-CN"/>
              </w:rPr>
              <w:t>.</w:t>
            </w:r>
          </w:p>
        </w:tc>
      </w:tr>
      <w:tr w:rsidR="00017004" w:rsidRPr="002C7A02" w14:paraId="0D819735" w14:textId="77777777" w:rsidTr="00017004">
        <w:tc>
          <w:tcPr>
            <w:tcW w:w="4815" w:type="dxa"/>
          </w:tcPr>
          <w:p w14:paraId="35102918" w14:textId="77777777" w:rsidR="00E21497" w:rsidRPr="002C7A02" w:rsidRDefault="00E21497" w:rsidP="000858D7">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1.2</w:t>
            </w:r>
            <w:r w:rsidRPr="002C7A02">
              <w:rPr>
                <w:rFonts w:asciiTheme="minorHAnsi" w:hAnsiTheme="minorHAnsi"/>
                <w:lang w:eastAsia="zh-CN"/>
              </w:rPr>
              <w:tab/>
            </w:r>
            <w:r w:rsidRPr="002C7A02">
              <w:rPr>
                <w:rFonts w:asciiTheme="minorHAnsi" w:hAnsiTheme="minorHAnsi"/>
                <w:b/>
                <w:bCs/>
                <w:lang w:eastAsia="zh-CN"/>
              </w:rPr>
              <w:t>Dynamic Spectrum Access (DSA)</w:t>
            </w:r>
          </w:p>
        </w:tc>
        <w:tc>
          <w:tcPr>
            <w:tcW w:w="9072" w:type="dxa"/>
            <w:gridSpan w:val="2"/>
          </w:tcPr>
          <w:p w14:paraId="5B4E951B" w14:textId="680F5CBB" w:rsidR="009F62F3" w:rsidRPr="002C7A02" w:rsidRDefault="009F62F3" w:rsidP="00D802E1">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 xml:space="preserve">This section </w:t>
            </w:r>
            <w:r w:rsidR="00A66142" w:rsidRPr="002C7A02">
              <w:rPr>
                <w:rFonts w:asciiTheme="minorHAnsi" w:hAnsiTheme="minorHAnsi"/>
                <w:lang w:eastAsia="zh-CN"/>
              </w:rPr>
              <w:t>has been</w:t>
            </w:r>
            <w:r w:rsidRPr="002C7A02">
              <w:rPr>
                <w:rFonts w:asciiTheme="minorHAnsi" w:hAnsiTheme="minorHAnsi"/>
                <w:lang w:eastAsia="zh-CN"/>
              </w:rPr>
              <w:t xml:space="preserve"> renamed “</w:t>
            </w:r>
            <w:r w:rsidRPr="002C7A02">
              <w:rPr>
                <w:rFonts w:asciiTheme="minorHAnsi" w:hAnsiTheme="minorHAnsi"/>
                <w:b/>
                <w:bCs/>
                <w:lang w:eastAsia="zh-CN"/>
              </w:rPr>
              <w:t>ITU regulatory framework for wireless broadband</w:t>
            </w:r>
            <w:r w:rsidRPr="002C7A02">
              <w:rPr>
                <w:rFonts w:asciiTheme="minorHAnsi" w:hAnsiTheme="minorHAnsi"/>
                <w:lang w:eastAsia="zh-CN"/>
              </w:rPr>
              <w:t>” to pro</w:t>
            </w:r>
            <w:r w:rsidR="00A66142" w:rsidRPr="002C7A02">
              <w:rPr>
                <w:rFonts w:asciiTheme="minorHAnsi" w:hAnsiTheme="minorHAnsi"/>
                <w:lang w:eastAsia="zh-CN"/>
              </w:rPr>
              <w:t xml:space="preserve">vide a more general overview of all options available for developing countries to manage spectrum for providing wireless broadband, </w:t>
            </w:r>
            <w:r w:rsidR="003A1158" w:rsidRPr="002C7A02">
              <w:rPr>
                <w:rFonts w:asciiTheme="minorHAnsi" w:hAnsiTheme="minorHAnsi"/>
                <w:lang w:eastAsia="zh-CN"/>
              </w:rPr>
              <w:t>including</w:t>
            </w:r>
            <w:r w:rsidR="00A66142" w:rsidRPr="002C7A02">
              <w:rPr>
                <w:rFonts w:asciiTheme="minorHAnsi" w:hAnsiTheme="minorHAnsi"/>
                <w:lang w:eastAsia="zh-CN"/>
              </w:rPr>
              <w:t xml:space="preserve"> </w:t>
            </w:r>
            <w:r w:rsidRPr="002C7A02">
              <w:rPr>
                <w:rFonts w:asciiTheme="minorHAnsi" w:hAnsiTheme="minorHAnsi"/>
                <w:lang w:eastAsia="zh-CN"/>
              </w:rPr>
              <w:t>“</w:t>
            </w:r>
            <w:r w:rsidRPr="002C7A02">
              <w:rPr>
                <w:rFonts w:asciiTheme="minorHAnsi" w:hAnsiTheme="minorHAnsi"/>
                <w:b/>
                <w:bCs/>
                <w:lang w:eastAsia="zh-CN"/>
              </w:rPr>
              <w:t>IMT</w:t>
            </w:r>
            <w:r w:rsidRPr="002C7A02">
              <w:rPr>
                <w:rFonts w:asciiTheme="minorHAnsi" w:hAnsiTheme="minorHAnsi"/>
                <w:lang w:eastAsia="zh-CN"/>
              </w:rPr>
              <w:t>” (Section 1.2.1), “</w:t>
            </w:r>
            <w:r w:rsidRPr="002C7A02">
              <w:rPr>
                <w:rFonts w:asciiTheme="minorHAnsi" w:hAnsiTheme="minorHAnsi"/>
                <w:b/>
                <w:bCs/>
                <w:lang w:eastAsia="zh-CN"/>
              </w:rPr>
              <w:t>WAS/RLANs</w:t>
            </w:r>
            <w:r w:rsidRPr="002C7A02">
              <w:rPr>
                <w:rFonts w:asciiTheme="minorHAnsi" w:hAnsiTheme="minorHAnsi"/>
                <w:lang w:eastAsia="zh-CN"/>
              </w:rPr>
              <w:t>” (Section 1.2.2), “</w:t>
            </w:r>
            <w:r w:rsidRPr="002C7A02">
              <w:rPr>
                <w:rFonts w:asciiTheme="minorHAnsi" w:hAnsiTheme="minorHAnsi"/>
                <w:b/>
                <w:bCs/>
                <w:lang w:eastAsia="zh-CN"/>
              </w:rPr>
              <w:t>HAPS</w:t>
            </w:r>
            <w:r w:rsidRPr="002C7A02">
              <w:rPr>
                <w:rFonts w:asciiTheme="minorHAnsi" w:hAnsiTheme="minorHAnsi"/>
                <w:lang w:eastAsia="zh-CN"/>
              </w:rPr>
              <w:t>” (Section 1.2.3) and “</w:t>
            </w:r>
            <w:r w:rsidRPr="002C7A02">
              <w:rPr>
                <w:rFonts w:asciiTheme="minorHAnsi" w:hAnsiTheme="minorHAnsi"/>
                <w:b/>
                <w:bCs/>
                <w:lang w:eastAsia="zh-CN"/>
              </w:rPr>
              <w:t>Satellite systems</w:t>
            </w:r>
            <w:r w:rsidRPr="002C7A02">
              <w:rPr>
                <w:rFonts w:asciiTheme="minorHAnsi" w:hAnsiTheme="minorHAnsi"/>
                <w:lang w:eastAsia="zh-CN"/>
              </w:rPr>
              <w:t>” (Section 1.2.4</w:t>
            </w:r>
            <w:r w:rsidR="00651A9B" w:rsidRPr="002C7A02">
              <w:rPr>
                <w:rFonts w:asciiTheme="minorHAnsi" w:hAnsiTheme="minorHAnsi"/>
                <w:lang w:eastAsia="zh-CN"/>
              </w:rPr>
              <w:t>, including</w:t>
            </w:r>
            <w:r w:rsidRPr="002C7A02">
              <w:rPr>
                <w:rFonts w:asciiTheme="minorHAnsi" w:hAnsiTheme="minorHAnsi"/>
                <w:lang w:eastAsia="zh-CN"/>
              </w:rPr>
              <w:t xml:space="preserve"> </w:t>
            </w:r>
            <w:r w:rsidRPr="002C7A02">
              <w:rPr>
                <w:rFonts w:asciiTheme="minorHAnsi" w:hAnsiTheme="minorHAnsi"/>
              </w:rPr>
              <w:t>HDFSS systems (Section 1.2.4.1), ESIMs (Section 1.2.4.2) and Non-GSO systems (Section 1.2.4.3)</w:t>
            </w:r>
            <w:r w:rsidRPr="002C7A02">
              <w:rPr>
                <w:rFonts w:asciiTheme="minorHAnsi" w:hAnsiTheme="minorHAnsi"/>
                <w:lang w:eastAsia="zh-CN"/>
              </w:rPr>
              <w:t>).</w:t>
            </w:r>
          </w:p>
          <w:p w14:paraId="053E043F" w14:textId="77777777" w:rsidR="00651A9B" w:rsidRPr="002C7A02" w:rsidRDefault="00651A9B" w:rsidP="00D802E1">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p w14:paraId="48054700" w14:textId="30654F72" w:rsidR="00E21497" w:rsidRPr="002C7A02" w:rsidRDefault="00D802E1" w:rsidP="008F50C9">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 xml:space="preserve">The </w:t>
            </w:r>
            <w:r w:rsidR="003A1158" w:rsidRPr="002C7A02">
              <w:rPr>
                <w:rFonts w:asciiTheme="minorHAnsi" w:hAnsiTheme="minorHAnsi"/>
                <w:lang w:eastAsia="zh-CN"/>
              </w:rPr>
              <w:t>original</w:t>
            </w:r>
            <w:r w:rsidR="009F62F3" w:rsidRPr="002C7A02">
              <w:rPr>
                <w:rFonts w:asciiTheme="minorHAnsi" w:hAnsiTheme="minorHAnsi"/>
                <w:lang w:eastAsia="zh-CN"/>
              </w:rPr>
              <w:t xml:space="preserve"> </w:t>
            </w:r>
            <w:r w:rsidRPr="002C7A02">
              <w:rPr>
                <w:rFonts w:asciiTheme="minorHAnsi" w:hAnsiTheme="minorHAnsi"/>
                <w:lang w:eastAsia="zh-CN"/>
              </w:rPr>
              <w:t xml:space="preserve">text in </w:t>
            </w:r>
            <w:r w:rsidR="009F62F3" w:rsidRPr="002C7A02">
              <w:rPr>
                <w:rFonts w:asciiTheme="minorHAnsi" w:hAnsiTheme="minorHAnsi"/>
                <w:lang w:eastAsia="zh-CN"/>
              </w:rPr>
              <w:t>this s</w:t>
            </w:r>
            <w:r w:rsidRPr="002C7A02">
              <w:rPr>
                <w:rFonts w:asciiTheme="minorHAnsi" w:hAnsiTheme="minorHAnsi"/>
                <w:lang w:eastAsia="zh-CN"/>
              </w:rPr>
              <w:t xml:space="preserve">ection </w:t>
            </w:r>
            <w:r w:rsidR="009F62F3" w:rsidRPr="002C7A02">
              <w:rPr>
                <w:rFonts w:asciiTheme="minorHAnsi" w:hAnsiTheme="minorHAnsi"/>
                <w:lang w:eastAsia="zh-CN"/>
              </w:rPr>
              <w:t>has been merged</w:t>
            </w:r>
            <w:r w:rsidRPr="002C7A02">
              <w:rPr>
                <w:rFonts w:asciiTheme="minorHAnsi" w:hAnsiTheme="minorHAnsi"/>
                <w:lang w:eastAsia="zh-CN"/>
              </w:rPr>
              <w:t xml:space="preserve"> into the </w:t>
            </w:r>
            <w:r w:rsidR="008F50C9" w:rsidRPr="002C7A02">
              <w:rPr>
                <w:rFonts w:asciiTheme="minorHAnsi" w:hAnsiTheme="minorHAnsi"/>
                <w:lang w:eastAsia="zh-CN"/>
              </w:rPr>
              <w:t xml:space="preserve">relevant parts of </w:t>
            </w:r>
            <w:r w:rsidRPr="002C7A02">
              <w:rPr>
                <w:rFonts w:asciiTheme="minorHAnsi" w:hAnsiTheme="minorHAnsi"/>
                <w:lang w:eastAsia="zh-CN"/>
              </w:rPr>
              <w:t xml:space="preserve">new Section 1.4. </w:t>
            </w:r>
            <w:r w:rsidR="008F50C9" w:rsidRPr="002C7A02">
              <w:rPr>
                <w:rFonts w:asciiTheme="minorHAnsi" w:hAnsiTheme="minorHAnsi"/>
                <w:b/>
                <w:bCs/>
                <w:lang w:eastAsia="zh-CN"/>
              </w:rPr>
              <w:t>S</w:t>
            </w:r>
            <w:r w:rsidRPr="002C7A02">
              <w:rPr>
                <w:rFonts w:asciiTheme="minorHAnsi" w:hAnsiTheme="minorHAnsi"/>
                <w:b/>
                <w:bCs/>
                <w:lang w:eastAsia="zh-CN"/>
              </w:rPr>
              <w:t>pectrum sharing</w:t>
            </w:r>
            <w:r w:rsidRPr="002C7A02">
              <w:rPr>
                <w:rFonts w:asciiTheme="minorHAnsi" w:hAnsiTheme="minorHAnsi"/>
                <w:lang w:eastAsia="zh-CN"/>
              </w:rPr>
              <w:t xml:space="preserve">, which provides a more complete </w:t>
            </w:r>
            <w:r w:rsidR="00651A9B" w:rsidRPr="002C7A02">
              <w:rPr>
                <w:rFonts w:asciiTheme="minorHAnsi" w:hAnsiTheme="minorHAnsi"/>
                <w:lang w:eastAsia="zh-CN"/>
              </w:rPr>
              <w:t xml:space="preserve">presentation </w:t>
            </w:r>
            <w:r w:rsidRPr="002C7A02">
              <w:rPr>
                <w:rFonts w:asciiTheme="minorHAnsi" w:hAnsiTheme="minorHAnsi"/>
                <w:lang w:eastAsia="zh-CN"/>
              </w:rPr>
              <w:t xml:space="preserve">of the trends in spectrum sharing and in which the ambiguous abbreviation “DSA”, meaning both </w:t>
            </w:r>
            <w:r w:rsidRPr="002C7A02">
              <w:rPr>
                <w:rFonts w:asciiTheme="minorHAnsi" w:hAnsiTheme="minorHAnsi"/>
              </w:rPr>
              <w:t>Dynamic Spectrum Alliance (</w:t>
            </w:r>
            <w:r w:rsidRPr="002C7A02">
              <w:rPr>
                <w:rFonts w:asciiTheme="minorHAnsi" w:hAnsiTheme="minorHAnsi" w:cstheme="majorBidi"/>
                <w:lang w:val="en-US"/>
              </w:rPr>
              <w:t>a specific industry group</w:t>
            </w:r>
            <w:r w:rsidRPr="002C7A02">
              <w:rPr>
                <w:rFonts w:asciiTheme="minorHAnsi" w:hAnsiTheme="minorHAnsi"/>
              </w:rPr>
              <w:t xml:space="preserve">) and Dynamic Spectrum </w:t>
            </w:r>
            <w:r w:rsidRPr="002C7A02">
              <w:rPr>
                <w:rFonts w:asciiTheme="minorHAnsi" w:hAnsiTheme="minorHAnsi"/>
                <w:lang w:val="en-US"/>
              </w:rPr>
              <w:t>Access</w:t>
            </w:r>
            <w:r w:rsidRPr="002C7A02">
              <w:rPr>
                <w:rFonts w:asciiTheme="minorHAnsi" w:hAnsiTheme="minorHAnsi"/>
                <w:lang w:eastAsia="zh-CN"/>
              </w:rPr>
              <w:t>, is replaced by the unambiguous term of “dynamic spectrum sharing”.</w:t>
            </w:r>
          </w:p>
        </w:tc>
      </w:tr>
      <w:tr w:rsidR="00BA2149" w:rsidRPr="002C7A02" w14:paraId="7B7166E5" w14:textId="77777777" w:rsidTr="00017004">
        <w:tc>
          <w:tcPr>
            <w:tcW w:w="4815" w:type="dxa"/>
          </w:tcPr>
          <w:p w14:paraId="3F927551" w14:textId="77777777" w:rsidR="00E21497" w:rsidRPr="002C7A02" w:rsidRDefault="00E21497" w:rsidP="000858D7">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1.2.1</w:t>
            </w:r>
            <w:r w:rsidRPr="002C7A02">
              <w:rPr>
                <w:rFonts w:asciiTheme="minorHAnsi" w:hAnsiTheme="minorHAnsi"/>
                <w:lang w:eastAsia="zh-CN"/>
              </w:rPr>
              <w:tab/>
            </w:r>
            <w:r w:rsidRPr="002C7A02">
              <w:rPr>
                <w:rFonts w:asciiTheme="minorHAnsi" w:hAnsiTheme="minorHAnsi"/>
                <w:b/>
                <w:lang w:eastAsia="zh-CN"/>
              </w:rPr>
              <w:t>ITU regulatory framework for DSA</w:t>
            </w:r>
          </w:p>
        </w:tc>
        <w:tc>
          <w:tcPr>
            <w:tcW w:w="9072" w:type="dxa"/>
            <w:gridSpan w:val="2"/>
          </w:tcPr>
          <w:p w14:paraId="70AB6C94" w14:textId="706D5F7B" w:rsidR="00E21497" w:rsidRPr="002C7A02" w:rsidRDefault="005B14D1" w:rsidP="005B14D1">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 xml:space="preserve">Merged into </w:t>
            </w:r>
            <w:r w:rsidR="00BA2149" w:rsidRPr="002C7A02">
              <w:rPr>
                <w:rFonts w:asciiTheme="minorHAnsi" w:hAnsiTheme="minorHAnsi"/>
                <w:lang w:eastAsia="zh-CN"/>
              </w:rPr>
              <w:t>the more comprehensive</w:t>
            </w:r>
            <w:r w:rsidRPr="002C7A02">
              <w:rPr>
                <w:rFonts w:asciiTheme="minorHAnsi" w:hAnsiTheme="minorHAnsi"/>
                <w:lang w:eastAsia="zh-CN"/>
              </w:rPr>
              <w:t xml:space="preserve"> </w:t>
            </w:r>
            <w:r w:rsidR="00B67617" w:rsidRPr="002C7A02">
              <w:rPr>
                <w:rFonts w:asciiTheme="minorHAnsi" w:hAnsiTheme="minorHAnsi"/>
                <w:lang w:eastAsia="zh-CN"/>
              </w:rPr>
              <w:t>Section 1.4.3</w:t>
            </w:r>
            <w:r w:rsidR="00405F39" w:rsidRPr="002C7A02">
              <w:rPr>
                <w:rFonts w:asciiTheme="minorHAnsi" w:hAnsiTheme="minorHAnsi"/>
                <w:lang w:eastAsia="zh-CN"/>
              </w:rPr>
              <w:t xml:space="preserve"> </w:t>
            </w:r>
            <w:r w:rsidR="00150A4D" w:rsidRPr="002C7A02">
              <w:rPr>
                <w:rFonts w:asciiTheme="minorHAnsi" w:hAnsiTheme="minorHAnsi"/>
                <w:b/>
                <w:bCs/>
              </w:rPr>
              <w:t>ITU regulatory framework for spectrum sharing</w:t>
            </w:r>
            <w:r w:rsidR="00150A4D" w:rsidRPr="002C7A02">
              <w:rPr>
                <w:rFonts w:asciiTheme="minorHAnsi" w:hAnsiTheme="minorHAnsi"/>
                <w:lang w:eastAsia="zh-CN"/>
              </w:rPr>
              <w:t xml:space="preserve"> </w:t>
            </w:r>
          </w:p>
        </w:tc>
      </w:tr>
      <w:tr w:rsidR="00BA2149" w:rsidRPr="002C7A02" w14:paraId="26ECE8C9" w14:textId="77777777" w:rsidTr="00017004">
        <w:tc>
          <w:tcPr>
            <w:tcW w:w="4815" w:type="dxa"/>
          </w:tcPr>
          <w:p w14:paraId="48854638" w14:textId="77777777" w:rsidR="00E21497" w:rsidRPr="002C7A02" w:rsidRDefault="00E21497" w:rsidP="000858D7">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1.2.2</w:t>
            </w:r>
            <w:r w:rsidRPr="002C7A02">
              <w:rPr>
                <w:rFonts w:asciiTheme="minorHAnsi" w:hAnsiTheme="minorHAnsi"/>
                <w:lang w:eastAsia="zh-CN"/>
              </w:rPr>
              <w:tab/>
            </w:r>
            <w:r w:rsidRPr="002C7A02">
              <w:rPr>
                <w:rFonts w:asciiTheme="minorHAnsi" w:hAnsiTheme="minorHAnsi"/>
                <w:b/>
                <w:lang w:eastAsia="zh-CN"/>
              </w:rPr>
              <w:t>Tiered access to spectrum using DSA</w:t>
            </w:r>
          </w:p>
        </w:tc>
        <w:tc>
          <w:tcPr>
            <w:tcW w:w="9072" w:type="dxa"/>
            <w:gridSpan w:val="2"/>
          </w:tcPr>
          <w:p w14:paraId="3BE3A2E4" w14:textId="0172F98B" w:rsidR="00E21497" w:rsidRPr="002C7A02" w:rsidRDefault="00083EC5" w:rsidP="00083EC5">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 xml:space="preserve">Split into </w:t>
            </w:r>
            <w:r w:rsidR="00B67617" w:rsidRPr="002C7A02">
              <w:rPr>
                <w:rFonts w:asciiTheme="minorHAnsi" w:hAnsiTheme="minorHAnsi"/>
                <w:lang w:eastAsia="zh-CN"/>
              </w:rPr>
              <w:t>Section</w:t>
            </w:r>
            <w:r w:rsidR="00A061CA" w:rsidRPr="002C7A02">
              <w:rPr>
                <w:rFonts w:asciiTheme="minorHAnsi" w:hAnsiTheme="minorHAnsi"/>
                <w:lang w:eastAsia="zh-CN"/>
              </w:rPr>
              <w:t>s</w:t>
            </w:r>
            <w:r w:rsidR="00B67617" w:rsidRPr="002C7A02">
              <w:rPr>
                <w:rFonts w:asciiTheme="minorHAnsi" w:hAnsiTheme="minorHAnsi"/>
                <w:lang w:eastAsia="zh-CN"/>
              </w:rPr>
              <w:t xml:space="preserve"> 1.4.4</w:t>
            </w:r>
            <w:r w:rsidR="00A061CA" w:rsidRPr="002C7A02">
              <w:rPr>
                <w:rFonts w:asciiTheme="minorHAnsi" w:hAnsiTheme="minorHAnsi"/>
                <w:lang w:eastAsia="zh-CN"/>
              </w:rPr>
              <w:t xml:space="preserve"> </w:t>
            </w:r>
            <w:r w:rsidR="00A061CA" w:rsidRPr="002C7A02">
              <w:rPr>
                <w:rFonts w:asciiTheme="minorHAnsi" w:hAnsiTheme="minorHAnsi"/>
                <w:b/>
                <w:bCs/>
              </w:rPr>
              <w:t>Licensed Shared Access (LSA)</w:t>
            </w:r>
            <w:r w:rsidR="00B67617" w:rsidRPr="002C7A02">
              <w:rPr>
                <w:rFonts w:asciiTheme="minorHAnsi" w:hAnsiTheme="minorHAnsi"/>
                <w:lang w:eastAsia="zh-CN"/>
              </w:rPr>
              <w:t xml:space="preserve">, </w:t>
            </w:r>
            <w:r w:rsidR="00A061CA" w:rsidRPr="002C7A02">
              <w:rPr>
                <w:rFonts w:asciiTheme="minorHAnsi" w:hAnsiTheme="minorHAnsi"/>
                <w:lang w:eastAsia="zh-CN"/>
              </w:rPr>
              <w:t xml:space="preserve">and </w:t>
            </w:r>
            <w:r w:rsidR="00B67617" w:rsidRPr="002C7A02">
              <w:rPr>
                <w:rFonts w:asciiTheme="minorHAnsi" w:hAnsiTheme="minorHAnsi"/>
                <w:lang w:eastAsia="zh-CN"/>
              </w:rPr>
              <w:t xml:space="preserve">1.4.5 </w:t>
            </w:r>
            <w:r w:rsidR="00A061CA" w:rsidRPr="002C7A02">
              <w:rPr>
                <w:rFonts w:asciiTheme="minorHAnsi" w:hAnsiTheme="minorHAnsi"/>
                <w:b/>
                <w:bCs/>
              </w:rPr>
              <w:t>Tiered access to spectrum</w:t>
            </w:r>
            <w:r w:rsidR="00A061CA" w:rsidRPr="002C7A02">
              <w:rPr>
                <w:rFonts w:asciiTheme="minorHAnsi" w:hAnsiTheme="minorHAnsi"/>
                <w:lang w:eastAsia="zh-CN"/>
              </w:rPr>
              <w:t xml:space="preserve"> to clearly separate the various concepts.</w:t>
            </w:r>
          </w:p>
        </w:tc>
      </w:tr>
      <w:tr w:rsidR="00017004" w:rsidRPr="002C7A02" w14:paraId="5A8F659D" w14:textId="77777777" w:rsidTr="00017004">
        <w:tc>
          <w:tcPr>
            <w:tcW w:w="4815" w:type="dxa"/>
          </w:tcPr>
          <w:p w14:paraId="42EBE514" w14:textId="77777777" w:rsidR="000858D7" w:rsidRPr="002C7A02" w:rsidRDefault="000858D7" w:rsidP="000858D7">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1.2.3</w:t>
            </w:r>
            <w:r w:rsidRPr="002C7A02">
              <w:rPr>
                <w:rFonts w:asciiTheme="minorHAnsi" w:hAnsiTheme="minorHAnsi"/>
                <w:lang w:eastAsia="zh-CN"/>
              </w:rPr>
              <w:tab/>
            </w:r>
            <w:r w:rsidRPr="002C7A02">
              <w:rPr>
                <w:rFonts w:asciiTheme="minorHAnsi" w:hAnsiTheme="minorHAnsi"/>
                <w:b/>
                <w:lang w:eastAsia="zh-CN"/>
              </w:rPr>
              <w:t>DSA as applied to the TV White Space spectrum</w:t>
            </w:r>
          </w:p>
        </w:tc>
        <w:tc>
          <w:tcPr>
            <w:tcW w:w="9072" w:type="dxa"/>
            <w:gridSpan w:val="2"/>
          </w:tcPr>
          <w:p w14:paraId="6EC01916" w14:textId="45BD519B" w:rsidR="000858D7" w:rsidRPr="002C7A02" w:rsidRDefault="00250B0A" w:rsidP="00280F77">
            <w:pPr>
              <w:tabs>
                <w:tab w:val="clear" w:pos="1134"/>
                <w:tab w:val="clear" w:pos="1871"/>
                <w:tab w:val="clear" w:pos="2268"/>
              </w:tabs>
              <w:overflowPunct/>
              <w:autoSpaceDE/>
              <w:autoSpaceDN/>
              <w:adjustRightInd/>
              <w:spacing w:before="0"/>
              <w:textAlignment w:val="auto"/>
              <w:rPr>
                <w:rFonts w:asciiTheme="minorHAnsi" w:hAnsiTheme="minorHAnsi"/>
                <w:bCs/>
                <w:iCs/>
                <w:lang w:eastAsia="zh-CN"/>
              </w:rPr>
            </w:pPr>
            <w:r w:rsidRPr="002C7A02">
              <w:rPr>
                <w:rFonts w:asciiTheme="minorHAnsi" w:eastAsia="SimSun" w:hAnsiTheme="minorHAnsi"/>
              </w:rPr>
              <w:t xml:space="preserve">The considerations on TV White Spaces (TVWS) were </w:t>
            </w:r>
            <w:r w:rsidR="00353251" w:rsidRPr="002C7A02">
              <w:rPr>
                <w:rFonts w:asciiTheme="minorHAnsi" w:eastAsia="SimSun" w:hAnsiTheme="minorHAnsi"/>
              </w:rPr>
              <w:t xml:space="preserve">restructured </w:t>
            </w:r>
            <w:r w:rsidRPr="002C7A02">
              <w:rPr>
                <w:rFonts w:asciiTheme="minorHAnsi" w:eastAsia="SimSun" w:hAnsiTheme="minorHAnsi"/>
              </w:rPr>
              <w:t xml:space="preserve">into Section 1.4.6 </w:t>
            </w:r>
            <w:r w:rsidRPr="002C7A02">
              <w:rPr>
                <w:rFonts w:asciiTheme="minorHAnsi" w:hAnsiTheme="minorHAnsi"/>
                <w:b/>
                <w:bCs/>
              </w:rPr>
              <w:t>TV White Spaces</w:t>
            </w:r>
            <w:r w:rsidR="00353251" w:rsidRPr="002C7A02">
              <w:rPr>
                <w:rFonts w:asciiTheme="minorHAnsi" w:hAnsiTheme="minorHAnsi"/>
                <w:bCs/>
                <w:iCs/>
                <w:lang w:eastAsia="zh-CN"/>
              </w:rPr>
              <w:t xml:space="preserve">, 1.4.7 </w:t>
            </w:r>
            <w:r w:rsidR="00353251" w:rsidRPr="002C7A02">
              <w:rPr>
                <w:rFonts w:asciiTheme="minorHAnsi" w:hAnsiTheme="minorHAnsi"/>
                <w:b/>
                <w:bCs/>
                <w:lang w:eastAsia="zh-CN"/>
              </w:rPr>
              <w:t>Case studies of broadband access in the TVWS</w:t>
            </w:r>
            <w:r w:rsidR="00353251" w:rsidRPr="002C7A02">
              <w:rPr>
                <w:rFonts w:asciiTheme="minorHAnsi" w:hAnsiTheme="minorHAnsi"/>
                <w:lang w:eastAsia="zh-CN"/>
              </w:rPr>
              <w:t xml:space="preserve"> and the </w:t>
            </w:r>
            <w:r w:rsidR="00231FE9" w:rsidRPr="002C7A02">
              <w:rPr>
                <w:rFonts w:asciiTheme="minorHAnsi" w:hAnsiTheme="minorHAnsi"/>
                <w:lang w:eastAsia="zh-CN"/>
              </w:rPr>
              <w:t xml:space="preserve">1.4.8 </w:t>
            </w:r>
            <w:r w:rsidR="00353251" w:rsidRPr="002C7A02">
              <w:rPr>
                <w:rFonts w:asciiTheme="minorHAnsi" w:hAnsiTheme="minorHAnsi"/>
                <w:b/>
                <w:bCs/>
                <w:lang w:eastAsia="zh-CN"/>
              </w:rPr>
              <w:t>Benefits and challenges associated with the use of TV white spaces</w:t>
            </w:r>
          </w:p>
        </w:tc>
      </w:tr>
      <w:tr w:rsidR="00017004" w:rsidRPr="002C7A02" w14:paraId="32428153" w14:textId="77777777" w:rsidTr="00017004">
        <w:tc>
          <w:tcPr>
            <w:tcW w:w="4815" w:type="dxa"/>
          </w:tcPr>
          <w:p w14:paraId="4A3A255B" w14:textId="77777777" w:rsidR="000858D7" w:rsidRPr="002C7A02" w:rsidRDefault="000858D7" w:rsidP="000858D7">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1.3</w:t>
            </w:r>
            <w:r w:rsidRPr="002C7A02">
              <w:rPr>
                <w:rFonts w:asciiTheme="minorHAnsi" w:hAnsiTheme="minorHAnsi"/>
                <w:lang w:eastAsia="zh-CN"/>
              </w:rPr>
              <w:tab/>
            </w:r>
            <w:r w:rsidRPr="002C7A02">
              <w:rPr>
                <w:rFonts w:asciiTheme="minorHAnsi" w:hAnsiTheme="minorHAnsi"/>
                <w:b/>
                <w:bCs/>
                <w:lang w:eastAsia="zh-CN"/>
              </w:rPr>
              <w:t>Regulatory considerations for TV White Spaces</w:t>
            </w:r>
          </w:p>
        </w:tc>
        <w:tc>
          <w:tcPr>
            <w:tcW w:w="9072" w:type="dxa"/>
            <w:gridSpan w:val="2"/>
          </w:tcPr>
          <w:p w14:paraId="712C0F43" w14:textId="02392073" w:rsidR="002C68DB" w:rsidRPr="002C7A02" w:rsidRDefault="002C68DB" w:rsidP="00E54F68">
            <w:pPr>
              <w:spacing w:before="0"/>
              <w:rPr>
                <w:rFonts w:asciiTheme="minorHAnsi" w:hAnsiTheme="minorHAnsi"/>
                <w:lang w:eastAsia="zh-CN"/>
              </w:rPr>
            </w:pPr>
            <w:r w:rsidRPr="002C7A02">
              <w:rPr>
                <w:rFonts w:asciiTheme="minorHAnsi" w:hAnsiTheme="minorHAnsi"/>
                <w:lang w:eastAsia="zh-CN"/>
              </w:rPr>
              <w:t xml:space="preserve">To clarify and structure the </w:t>
            </w:r>
            <w:r w:rsidR="00A87664" w:rsidRPr="002C7A02">
              <w:rPr>
                <w:rFonts w:asciiTheme="minorHAnsi" w:hAnsiTheme="minorHAnsi"/>
                <w:lang w:eastAsia="zh-CN"/>
              </w:rPr>
              <w:t xml:space="preserve">regulatory concepts, </w:t>
            </w:r>
            <w:r w:rsidRPr="002C7A02">
              <w:rPr>
                <w:rFonts w:asciiTheme="minorHAnsi" w:hAnsiTheme="minorHAnsi"/>
                <w:lang w:eastAsia="zh-CN"/>
              </w:rPr>
              <w:t>e.g. licensed / license-exempt, and various types of spectrum</w:t>
            </w:r>
            <w:r w:rsidR="00A87664" w:rsidRPr="002C7A02">
              <w:rPr>
                <w:rFonts w:asciiTheme="minorHAnsi" w:hAnsiTheme="minorHAnsi"/>
                <w:lang w:eastAsia="zh-CN"/>
              </w:rPr>
              <w:t xml:space="preserve"> sharing</w:t>
            </w:r>
            <w:r w:rsidRPr="002C7A02">
              <w:rPr>
                <w:rFonts w:asciiTheme="minorHAnsi" w:hAnsiTheme="minorHAnsi"/>
                <w:lang w:eastAsia="zh-CN"/>
              </w:rPr>
              <w:t>:</w:t>
            </w:r>
          </w:p>
          <w:p w14:paraId="711FF53E" w14:textId="77777777" w:rsidR="002C68DB" w:rsidRPr="002C7A02" w:rsidRDefault="002C68DB" w:rsidP="00E54F68">
            <w:pPr>
              <w:spacing w:before="0"/>
              <w:rPr>
                <w:rFonts w:asciiTheme="minorHAnsi" w:hAnsiTheme="minorHAnsi"/>
                <w:lang w:eastAsia="zh-CN"/>
              </w:rPr>
            </w:pPr>
          </w:p>
          <w:p w14:paraId="37C0AF46" w14:textId="675E318B" w:rsidR="002C68DB" w:rsidRPr="002C7A02" w:rsidRDefault="002C68DB" w:rsidP="00E54F68">
            <w:pPr>
              <w:pStyle w:val="ListParagraph"/>
              <w:numPr>
                <w:ilvl w:val="0"/>
                <w:numId w:val="3"/>
              </w:numPr>
              <w:spacing w:before="0"/>
              <w:rPr>
                <w:rFonts w:asciiTheme="minorHAnsi" w:eastAsia="Times New Roman" w:hAnsiTheme="minorHAnsi"/>
                <w:lang w:val="en-US" w:eastAsia="zh-CN"/>
              </w:rPr>
            </w:pPr>
            <w:r w:rsidRPr="002C7A02">
              <w:rPr>
                <w:rFonts w:asciiTheme="minorHAnsi" w:eastAsia="Times New Roman" w:hAnsiTheme="minorHAnsi"/>
                <w:lang w:val="en-GB" w:eastAsia="zh-CN"/>
              </w:rPr>
              <w:lastRenderedPageBreak/>
              <w:t>A</w:t>
            </w:r>
            <w:r w:rsidRPr="002C7A02">
              <w:rPr>
                <w:rFonts w:asciiTheme="minorHAnsi" w:eastAsia="Times New Roman" w:hAnsiTheme="minorHAnsi"/>
                <w:lang w:val="en-US" w:eastAsia="zh-CN"/>
              </w:rPr>
              <w:t xml:space="preserve"> new Section 1.3 describes the “</w:t>
            </w:r>
            <w:r w:rsidRPr="002C7A02">
              <w:rPr>
                <w:rFonts w:asciiTheme="minorHAnsi" w:eastAsia="Times New Roman" w:hAnsiTheme="minorHAnsi"/>
                <w:b/>
                <w:bCs/>
                <w:lang w:val="en-US"/>
              </w:rPr>
              <w:t>Spectrum management under the licensed approach</w:t>
            </w:r>
            <w:r w:rsidRPr="002C7A02">
              <w:rPr>
                <w:rFonts w:asciiTheme="minorHAnsi" w:eastAsia="Times New Roman" w:hAnsiTheme="minorHAnsi"/>
                <w:lang w:val="en-US" w:eastAsia="zh-CN"/>
              </w:rPr>
              <w:t>” with the “</w:t>
            </w:r>
            <w:r w:rsidRPr="002C7A02">
              <w:rPr>
                <w:rFonts w:asciiTheme="minorHAnsi" w:eastAsia="Times New Roman" w:hAnsiTheme="minorHAnsi"/>
                <w:b/>
                <w:bCs/>
                <w:lang w:val="en-US" w:eastAsia="zh-CN"/>
              </w:rPr>
              <w:t>Spectrum management for mobile broadband</w:t>
            </w:r>
            <w:r w:rsidRPr="002C7A02">
              <w:rPr>
                <w:rFonts w:asciiTheme="minorHAnsi" w:eastAsia="Times New Roman" w:hAnsiTheme="minorHAnsi"/>
                <w:lang w:val="en-US" w:eastAsia="zh-CN"/>
              </w:rPr>
              <w:t>” (Section 1.3.1), the “</w:t>
            </w:r>
            <w:r w:rsidRPr="002C7A02">
              <w:rPr>
                <w:rFonts w:asciiTheme="minorHAnsi" w:eastAsia="Times New Roman" w:hAnsiTheme="minorHAnsi"/>
                <w:b/>
                <w:bCs/>
                <w:lang w:val="en-US" w:eastAsia="zh-CN"/>
              </w:rPr>
              <w:t>Transition to digital terrestrial television broadcasting</w:t>
            </w:r>
            <w:r w:rsidRPr="002C7A02">
              <w:rPr>
                <w:rFonts w:asciiTheme="minorHAnsi" w:eastAsia="Times New Roman" w:hAnsiTheme="minorHAnsi"/>
                <w:lang w:val="en-US" w:eastAsia="zh-CN"/>
              </w:rPr>
              <w:t>” (Section 1.3.2), the “</w:t>
            </w:r>
            <w:r w:rsidRPr="002C7A02">
              <w:rPr>
                <w:rFonts w:asciiTheme="minorHAnsi" w:eastAsia="Times New Roman" w:hAnsiTheme="minorHAnsi"/>
                <w:b/>
                <w:bCs/>
                <w:lang w:val="en-US"/>
              </w:rPr>
              <w:t>Strategies and methods of migration from analogue to digital terrestrial broadcasting and implementation of new services</w:t>
            </w:r>
            <w:r w:rsidRPr="002C7A02">
              <w:rPr>
                <w:rFonts w:asciiTheme="minorHAnsi" w:eastAsia="Times New Roman" w:hAnsiTheme="minorHAnsi"/>
                <w:lang w:val="en-US" w:eastAsia="zh-CN"/>
              </w:rPr>
              <w:t>” (Section 1.3.3) and the “</w:t>
            </w:r>
            <w:r w:rsidRPr="002C7A02">
              <w:rPr>
                <w:rFonts w:asciiTheme="minorHAnsi" w:eastAsia="Times New Roman" w:hAnsiTheme="minorHAnsi"/>
                <w:b/>
                <w:bCs/>
                <w:lang w:val="en-US" w:eastAsia="zh-CN"/>
              </w:rPr>
              <w:t>Recent trends</w:t>
            </w:r>
            <w:r w:rsidRPr="002C7A02">
              <w:rPr>
                <w:rFonts w:asciiTheme="minorHAnsi" w:eastAsia="Times New Roman" w:hAnsiTheme="minorHAnsi"/>
                <w:lang w:val="en-US" w:eastAsia="zh-CN"/>
              </w:rPr>
              <w:t xml:space="preserve">” (Section 1.3.4); </w:t>
            </w:r>
            <w:r w:rsidRPr="002C7A02">
              <w:rPr>
                <w:rFonts w:asciiTheme="minorHAnsi" w:eastAsia="Times New Roman" w:hAnsiTheme="minorHAnsi"/>
                <w:lang w:val="en-US" w:eastAsia="zh-CN"/>
              </w:rPr>
              <w:br/>
              <w:t xml:space="preserve">- A new Section 1.4 describes </w:t>
            </w:r>
            <w:r w:rsidRPr="002C7A02">
              <w:rPr>
                <w:rFonts w:asciiTheme="minorHAnsi" w:eastAsia="Times New Roman" w:hAnsiTheme="minorHAnsi"/>
                <w:u w:val="single"/>
                <w:lang w:val="en-US" w:eastAsia="zh-CN"/>
              </w:rPr>
              <w:t>all the aspects</w:t>
            </w:r>
            <w:r w:rsidRPr="002C7A02">
              <w:rPr>
                <w:rFonts w:asciiTheme="minorHAnsi" w:eastAsia="Times New Roman" w:hAnsiTheme="minorHAnsi"/>
                <w:lang w:val="en-US" w:eastAsia="zh-CN"/>
              </w:rPr>
              <w:t xml:space="preserve"> of the “</w:t>
            </w:r>
            <w:r w:rsidRPr="002C7A02">
              <w:rPr>
                <w:rFonts w:asciiTheme="minorHAnsi" w:eastAsia="Times New Roman" w:hAnsiTheme="minorHAnsi"/>
                <w:b/>
                <w:bCs/>
                <w:lang w:val="en-US" w:eastAsia="zh-CN"/>
              </w:rPr>
              <w:t>Spectrum Sharing</w:t>
            </w:r>
            <w:r w:rsidRPr="002C7A02">
              <w:rPr>
                <w:rFonts w:asciiTheme="minorHAnsi" w:eastAsia="Times New Roman" w:hAnsiTheme="minorHAnsi"/>
                <w:lang w:val="en-US" w:eastAsia="zh-CN"/>
              </w:rPr>
              <w:t xml:space="preserve">” in a </w:t>
            </w:r>
            <w:r w:rsidRPr="002C7A02">
              <w:rPr>
                <w:rFonts w:asciiTheme="minorHAnsi" w:eastAsia="Times New Roman" w:hAnsiTheme="minorHAnsi" w:cstheme="majorBidi"/>
                <w:lang w:val="en-US"/>
              </w:rPr>
              <w:t xml:space="preserve">factual and balanced way </w:t>
            </w:r>
            <w:r w:rsidR="00A87664" w:rsidRPr="002C7A02">
              <w:rPr>
                <w:rFonts w:asciiTheme="minorHAnsi" w:eastAsia="Times New Roman" w:hAnsiTheme="minorHAnsi"/>
                <w:lang w:val="en-US" w:eastAsia="zh-CN"/>
              </w:rPr>
              <w:t>with</w:t>
            </w:r>
            <w:r w:rsidRPr="002C7A02">
              <w:rPr>
                <w:rFonts w:asciiTheme="minorHAnsi" w:eastAsia="Times New Roman" w:hAnsiTheme="minorHAnsi"/>
                <w:lang w:val="en-US" w:eastAsia="zh-CN"/>
              </w:rPr>
              <w:t xml:space="preserve"> “</w:t>
            </w:r>
            <w:r w:rsidRPr="002C7A02">
              <w:rPr>
                <w:rFonts w:asciiTheme="minorHAnsi" w:eastAsia="Times New Roman" w:hAnsiTheme="minorHAnsi"/>
                <w:b/>
                <w:bCs/>
                <w:lang w:val="en-US"/>
              </w:rPr>
              <w:t>Spectrum sharing under the license-exempt approach</w:t>
            </w:r>
            <w:r w:rsidRPr="002C7A02">
              <w:rPr>
                <w:rFonts w:asciiTheme="minorHAnsi" w:eastAsia="Times New Roman" w:hAnsiTheme="minorHAnsi"/>
                <w:lang w:val="en-US" w:eastAsia="zh-CN"/>
              </w:rPr>
              <w:t>” (Section 1.4.1), “</w:t>
            </w:r>
            <w:r w:rsidRPr="002C7A02">
              <w:rPr>
                <w:rFonts w:asciiTheme="minorHAnsi" w:eastAsia="Times New Roman" w:hAnsiTheme="minorHAnsi"/>
                <w:b/>
                <w:bCs/>
                <w:lang w:val="en-US" w:eastAsia="zh-CN"/>
              </w:rPr>
              <w:t>Dynamic spectrum sharing</w:t>
            </w:r>
            <w:r w:rsidRPr="002C7A02">
              <w:rPr>
                <w:rFonts w:asciiTheme="minorHAnsi" w:eastAsia="Times New Roman" w:hAnsiTheme="minorHAnsi"/>
                <w:lang w:val="en-US" w:eastAsia="zh-CN"/>
              </w:rPr>
              <w:t>” (Section 1.4.2)</w:t>
            </w:r>
            <w:r w:rsidR="00A87664" w:rsidRPr="002C7A02">
              <w:rPr>
                <w:rFonts w:asciiTheme="minorHAnsi" w:eastAsia="Times New Roman" w:hAnsiTheme="minorHAnsi"/>
                <w:lang w:val="en-US" w:eastAsia="zh-CN"/>
              </w:rPr>
              <w:t xml:space="preserve">, </w:t>
            </w:r>
            <w:r w:rsidRPr="002C7A02">
              <w:rPr>
                <w:rFonts w:asciiTheme="minorHAnsi" w:eastAsia="Times New Roman" w:hAnsiTheme="minorHAnsi"/>
                <w:lang w:val="en-US" w:eastAsia="zh-CN"/>
              </w:rPr>
              <w:t>“</w:t>
            </w:r>
            <w:r w:rsidRPr="002C7A02">
              <w:rPr>
                <w:rFonts w:asciiTheme="minorHAnsi" w:eastAsia="Times New Roman" w:hAnsiTheme="minorHAnsi"/>
                <w:b/>
                <w:bCs/>
                <w:lang w:val="en-US"/>
              </w:rPr>
              <w:t>ITU regulatory framework for spectrum sharing</w:t>
            </w:r>
            <w:r w:rsidR="00A87664" w:rsidRPr="002C7A02">
              <w:rPr>
                <w:rFonts w:asciiTheme="minorHAnsi" w:eastAsia="Times New Roman" w:hAnsiTheme="minorHAnsi"/>
                <w:lang w:val="en-US" w:eastAsia="zh-CN"/>
              </w:rPr>
              <w:t xml:space="preserve">” (Section 1.4.3), </w:t>
            </w:r>
            <w:r w:rsidRPr="002C7A02">
              <w:rPr>
                <w:rFonts w:asciiTheme="minorHAnsi" w:eastAsia="Times New Roman" w:hAnsiTheme="minorHAnsi"/>
                <w:lang w:val="en-US" w:eastAsia="zh-CN"/>
              </w:rPr>
              <w:t>“</w:t>
            </w:r>
            <w:r w:rsidRPr="002C7A02">
              <w:rPr>
                <w:rFonts w:asciiTheme="minorHAnsi" w:eastAsia="Times New Roman" w:hAnsiTheme="minorHAnsi"/>
                <w:b/>
                <w:bCs/>
                <w:lang w:val="en-US"/>
              </w:rPr>
              <w:t>Licensed Shared Access (LSA)</w:t>
            </w:r>
            <w:r w:rsidRPr="002C7A02">
              <w:rPr>
                <w:rFonts w:asciiTheme="minorHAnsi" w:eastAsia="Times New Roman" w:hAnsiTheme="minorHAnsi"/>
                <w:lang w:val="en-US" w:eastAsia="zh-CN"/>
              </w:rPr>
              <w:t>” (Section 1.4.4), the “</w:t>
            </w:r>
            <w:r w:rsidRPr="002C7A02">
              <w:rPr>
                <w:rFonts w:asciiTheme="minorHAnsi" w:eastAsia="Times New Roman" w:hAnsiTheme="minorHAnsi"/>
                <w:b/>
                <w:bCs/>
                <w:lang w:val="en-US"/>
              </w:rPr>
              <w:t>Tiered access to spectrum</w:t>
            </w:r>
            <w:r w:rsidRPr="002C7A02">
              <w:rPr>
                <w:rFonts w:asciiTheme="minorHAnsi" w:eastAsia="Times New Roman" w:hAnsiTheme="minorHAnsi"/>
                <w:lang w:val="en-US" w:eastAsia="zh-CN"/>
              </w:rPr>
              <w:t>” (Section 1.4.5), “</w:t>
            </w:r>
            <w:r w:rsidRPr="002C7A02">
              <w:rPr>
                <w:rFonts w:asciiTheme="minorHAnsi" w:eastAsia="Times New Roman" w:hAnsiTheme="minorHAnsi"/>
                <w:b/>
                <w:bCs/>
                <w:lang w:val="en-US"/>
              </w:rPr>
              <w:t>TV White Spaces</w:t>
            </w:r>
            <w:r w:rsidRPr="002C7A02">
              <w:rPr>
                <w:rFonts w:asciiTheme="minorHAnsi" w:eastAsia="Times New Roman" w:hAnsiTheme="minorHAnsi"/>
                <w:lang w:val="en-US"/>
              </w:rPr>
              <w:t xml:space="preserve">” </w:t>
            </w:r>
            <w:r w:rsidRPr="002C7A02">
              <w:rPr>
                <w:rFonts w:asciiTheme="minorHAnsi" w:eastAsia="Times New Roman" w:hAnsiTheme="minorHAnsi"/>
                <w:lang w:val="en-US" w:eastAsia="zh-CN"/>
              </w:rPr>
              <w:t>(Section 1.4.6)</w:t>
            </w:r>
            <w:r w:rsidR="00A87664" w:rsidRPr="002C7A02">
              <w:rPr>
                <w:rFonts w:asciiTheme="minorHAnsi" w:eastAsia="Times New Roman" w:hAnsiTheme="minorHAnsi"/>
                <w:lang w:val="en-US" w:eastAsia="zh-CN"/>
              </w:rPr>
              <w:t xml:space="preserve">, </w:t>
            </w:r>
            <w:r w:rsidRPr="002C7A02">
              <w:rPr>
                <w:rFonts w:asciiTheme="minorHAnsi" w:eastAsia="Times New Roman" w:hAnsiTheme="minorHAnsi"/>
                <w:lang w:val="en-US" w:eastAsia="zh-CN"/>
              </w:rPr>
              <w:t>“</w:t>
            </w:r>
            <w:r w:rsidRPr="002C7A02">
              <w:rPr>
                <w:rFonts w:asciiTheme="minorHAnsi" w:eastAsia="Times New Roman" w:hAnsiTheme="minorHAnsi"/>
                <w:b/>
                <w:bCs/>
                <w:lang w:val="en-US" w:eastAsia="zh-CN"/>
              </w:rPr>
              <w:t>Case studies of broadband access in the TVWS</w:t>
            </w:r>
            <w:r w:rsidRPr="002C7A02">
              <w:rPr>
                <w:rFonts w:asciiTheme="minorHAnsi" w:eastAsia="Times New Roman" w:hAnsiTheme="minorHAnsi"/>
                <w:lang w:val="en-US" w:eastAsia="zh-CN"/>
              </w:rPr>
              <w:t>” (Sect</w:t>
            </w:r>
            <w:r w:rsidR="00A87664" w:rsidRPr="002C7A02">
              <w:rPr>
                <w:rFonts w:asciiTheme="minorHAnsi" w:eastAsia="Times New Roman" w:hAnsiTheme="minorHAnsi"/>
                <w:lang w:val="en-US" w:eastAsia="zh-CN"/>
              </w:rPr>
              <w:t xml:space="preserve">ion 1.4.7) and </w:t>
            </w:r>
            <w:r w:rsidRPr="002C7A02">
              <w:rPr>
                <w:rFonts w:asciiTheme="minorHAnsi" w:eastAsia="Times New Roman" w:hAnsiTheme="minorHAnsi"/>
                <w:lang w:val="en-US" w:eastAsia="zh-CN"/>
              </w:rPr>
              <w:t>“</w:t>
            </w:r>
            <w:r w:rsidRPr="002C7A02">
              <w:rPr>
                <w:rFonts w:asciiTheme="minorHAnsi" w:eastAsia="Times New Roman" w:hAnsiTheme="minorHAnsi"/>
                <w:b/>
                <w:bCs/>
                <w:lang w:val="en-US" w:eastAsia="zh-CN"/>
              </w:rPr>
              <w:t>Benefits and challenges associated with the use of TV white spaces</w:t>
            </w:r>
            <w:r w:rsidRPr="002C7A02">
              <w:rPr>
                <w:rFonts w:asciiTheme="minorHAnsi" w:eastAsia="Times New Roman" w:hAnsiTheme="minorHAnsi"/>
                <w:lang w:val="en-US" w:eastAsia="zh-CN"/>
              </w:rPr>
              <w:t>” (Section 1.4.8).</w:t>
            </w:r>
          </w:p>
          <w:p w14:paraId="33B7EE6C" w14:textId="15CEEA78" w:rsidR="000858D7" w:rsidRPr="002C7A02" w:rsidRDefault="002C68DB" w:rsidP="002C68DB">
            <w:pPr>
              <w:pStyle w:val="ListParagraph"/>
              <w:numPr>
                <w:ilvl w:val="0"/>
                <w:numId w:val="3"/>
              </w:numPr>
              <w:spacing w:before="0"/>
              <w:rPr>
                <w:rFonts w:asciiTheme="minorHAnsi" w:eastAsia="Times New Roman" w:hAnsiTheme="minorHAnsi"/>
                <w:lang w:val="en-US" w:eastAsia="zh-CN"/>
              </w:rPr>
            </w:pPr>
            <w:r w:rsidRPr="002C7A02">
              <w:rPr>
                <w:rFonts w:asciiTheme="minorHAnsi" w:eastAsia="Times New Roman" w:hAnsiTheme="minorHAnsi"/>
                <w:lang w:val="en-US" w:eastAsia="zh-CN"/>
              </w:rPr>
              <w:t xml:space="preserve">The </w:t>
            </w:r>
            <w:r w:rsidR="00EA48A2" w:rsidRPr="002C7A02">
              <w:rPr>
                <w:rFonts w:asciiTheme="minorHAnsi" w:eastAsia="Times New Roman" w:hAnsiTheme="minorHAnsi"/>
                <w:lang w:val="en-US" w:eastAsia="zh-CN"/>
              </w:rPr>
              <w:t>original text under Section 1.3 has been</w:t>
            </w:r>
            <w:r w:rsidRPr="002C7A02">
              <w:rPr>
                <w:rFonts w:asciiTheme="minorHAnsi" w:eastAsia="Times New Roman" w:hAnsiTheme="minorHAnsi"/>
                <w:lang w:val="en-US" w:eastAsia="zh-CN"/>
              </w:rPr>
              <w:t xml:space="preserve"> m</w:t>
            </w:r>
            <w:r w:rsidR="00FB16B0" w:rsidRPr="002C7A02">
              <w:rPr>
                <w:rFonts w:asciiTheme="minorHAnsi" w:eastAsia="Times New Roman" w:hAnsiTheme="minorHAnsi"/>
                <w:lang w:val="en-US" w:eastAsia="zh-CN"/>
              </w:rPr>
              <w:t xml:space="preserve">erged into </w:t>
            </w:r>
            <w:r w:rsidR="00E54F68" w:rsidRPr="002C7A02">
              <w:rPr>
                <w:rFonts w:asciiTheme="minorHAnsi" w:eastAsia="Times New Roman" w:hAnsiTheme="minorHAnsi"/>
                <w:lang w:val="en-US" w:eastAsia="zh-CN"/>
              </w:rPr>
              <w:t xml:space="preserve">Sections 1.4.2 </w:t>
            </w:r>
            <w:r w:rsidR="00A4477B" w:rsidRPr="002C7A02">
              <w:rPr>
                <w:rFonts w:asciiTheme="minorHAnsi" w:eastAsia="Times New Roman" w:hAnsiTheme="minorHAnsi"/>
                <w:b/>
                <w:bCs/>
                <w:lang w:val="en-US" w:eastAsia="zh-CN"/>
              </w:rPr>
              <w:t>Dynamic spectrum sharing</w:t>
            </w:r>
            <w:r w:rsidR="00A4477B" w:rsidRPr="002C7A02">
              <w:rPr>
                <w:rFonts w:asciiTheme="minorHAnsi" w:eastAsia="Times New Roman" w:hAnsiTheme="minorHAnsi"/>
                <w:lang w:val="en-US" w:eastAsia="zh-CN"/>
              </w:rPr>
              <w:t xml:space="preserve"> </w:t>
            </w:r>
            <w:r w:rsidR="00E54F68" w:rsidRPr="002C7A02">
              <w:rPr>
                <w:rFonts w:asciiTheme="minorHAnsi" w:eastAsia="Times New Roman" w:hAnsiTheme="minorHAnsi"/>
                <w:lang w:val="en-US" w:eastAsia="zh-CN"/>
              </w:rPr>
              <w:t>and 1.4.6</w:t>
            </w:r>
            <w:r w:rsidR="00FB16B0" w:rsidRPr="002C7A02">
              <w:rPr>
                <w:rFonts w:asciiTheme="minorHAnsi" w:eastAsia="Times New Roman" w:hAnsiTheme="minorHAnsi"/>
                <w:lang w:val="en-US" w:eastAsia="zh-CN"/>
              </w:rPr>
              <w:t xml:space="preserve"> </w:t>
            </w:r>
            <w:r w:rsidR="00FB16B0" w:rsidRPr="002C7A02">
              <w:rPr>
                <w:rFonts w:asciiTheme="minorHAnsi" w:eastAsia="Times New Roman" w:hAnsiTheme="minorHAnsi"/>
                <w:b/>
                <w:bCs/>
                <w:lang w:val="en-US"/>
              </w:rPr>
              <w:t>TV White Spaces</w:t>
            </w:r>
          </w:p>
        </w:tc>
      </w:tr>
      <w:tr w:rsidR="00017004" w:rsidRPr="002C7A02" w14:paraId="485AF50E" w14:textId="77777777" w:rsidTr="00017004">
        <w:tc>
          <w:tcPr>
            <w:tcW w:w="4815" w:type="dxa"/>
          </w:tcPr>
          <w:p w14:paraId="3C6809B2" w14:textId="77777777" w:rsidR="00280F77" w:rsidRPr="002C7A02" w:rsidRDefault="00280F77" w:rsidP="000858D7">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lastRenderedPageBreak/>
              <w:t>1.3.1</w:t>
            </w:r>
            <w:r w:rsidRPr="002C7A02">
              <w:rPr>
                <w:rFonts w:asciiTheme="minorHAnsi" w:hAnsiTheme="minorHAnsi"/>
                <w:lang w:eastAsia="zh-CN"/>
              </w:rPr>
              <w:tab/>
            </w:r>
            <w:r w:rsidRPr="002C7A02">
              <w:rPr>
                <w:rFonts w:asciiTheme="minorHAnsi" w:eastAsia="SimSun" w:hAnsiTheme="minorHAnsi"/>
                <w:b/>
                <w:lang w:eastAsia="zh-CN"/>
              </w:rPr>
              <w:t xml:space="preserve">Interference protection </w:t>
            </w:r>
            <w:r w:rsidRPr="002C7A02">
              <w:rPr>
                <w:rFonts w:asciiTheme="minorHAnsi" w:hAnsiTheme="minorHAnsi"/>
                <w:b/>
                <w:lang w:eastAsia="zh-CN"/>
              </w:rPr>
              <w:t>experiences</w:t>
            </w:r>
          </w:p>
        </w:tc>
        <w:tc>
          <w:tcPr>
            <w:tcW w:w="9072" w:type="dxa"/>
            <w:gridSpan w:val="2"/>
            <w:vMerge w:val="restart"/>
          </w:tcPr>
          <w:p w14:paraId="7E48C282" w14:textId="27DE1108" w:rsidR="00280F77" w:rsidRPr="002C7A02" w:rsidRDefault="00FB16B0" w:rsidP="000858D7">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 xml:space="preserve">See </w:t>
            </w:r>
            <w:r w:rsidR="00280F77" w:rsidRPr="002C7A02">
              <w:rPr>
                <w:rFonts w:asciiTheme="minorHAnsi" w:hAnsiTheme="minorHAnsi"/>
                <w:lang w:eastAsia="zh-CN"/>
              </w:rPr>
              <w:t xml:space="preserve">Sub-sections 1.4.6.1 </w:t>
            </w:r>
            <w:r w:rsidR="003E1B1B" w:rsidRPr="002C7A02">
              <w:rPr>
                <w:rFonts w:asciiTheme="minorHAnsi" w:hAnsiTheme="minorHAnsi"/>
                <w:lang w:eastAsia="zh-CN"/>
              </w:rPr>
              <w:t xml:space="preserve">for the general </w:t>
            </w:r>
            <w:r w:rsidR="0054135C" w:rsidRPr="002C7A02">
              <w:rPr>
                <w:rFonts w:asciiTheme="minorHAnsi" w:hAnsiTheme="minorHAnsi"/>
                <w:lang w:eastAsia="zh-CN"/>
              </w:rPr>
              <w:t xml:space="preserve">description </w:t>
            </w:r>
            <w:r w:rsidR="00280F77" w:rsidRPr="002C7A02">
              <w:rPr>
                <w:rFonts w:asciiTheme="minorHAnsi" w:hAnsiTheme="minorHAnsi"/>
                <w:lang w:eastAsia="zh-CN"/>
              </w:rPr>
              <w:t>and Annex 2 Section A2-2</w:t>
            </w:r>
            <w:r w:rsidR="0054135C" w:rsidRPr="002C7A02">
              <w:rPr>
                <w:rFonts w:asciiTheme="minorHAnsi" w:hAnsiTheme="minorHAnsi"/>
                <w:lang w:eastAsia="zh-CN"/>
              </w:rPr>
              <w:t xml:space="preserve"> for the technical details.</w:t>
            </w:r>
          </w:p>
        </w:tc>
      </w:tr>
      <w:tr w:rsidR="00017004" w:rsidRPr="002C7A02" w14:paraId="0D6B3985" w14:textId="77777777" w:rsidTr="00017004">
        <w:tc>
          <w:tcPr>
            <w:tcW w:w="4815" w:type="dxa"/>
          </w:tcPr>
          <w:p w14:paraId="6477EF6D" w14:textId="77777777" w:rsidR="00280F77" w:rsidRPr="002C7A02" w:rsidRDefault="00280F77" w:rsidP="000858D7">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1.3.2</w:t>
            </w:r>
            <w:r w:rsidRPr="002C7A02">
              <w:rPr>
                <w:rFonts w:asciiTheme="minorHAnsi" w:hAnsiTheme="minorHAnsi"/>
                <w:lang w:eastAsia="zh-CN"/>
              </w:rPr>
              <w:tab/>
            </w:r>
            <w:r w:rsidRPr="002C7A02">
              <w:rPr>
                <w:rFonts w:asciiTheme="minorHAnsi" w:hAnsiTheme="minorHAnsi"/>
                <w:b/>
                <w:lang w:eastAsia="zh-CN"/>
              </w:rPr>
              <w:t>Interference avoidance methods</w:t>
            </w:r>
          </w:p>
        </w:tc>
        <w:tc>
          <w:tcPr>
            <w:tcW w:w="9072" w:type="dxa"/>
            <w:gridSpan w:val="2"/>
            <w:vMerge/>
          </w:tcPr>
          <w:p w14:paraId="68292487" w14:textId="77777777" w:rsidR="00280F77" w:rsidRPr="002C7A02" w:rsidRDefault="00280F77" w:rsidP="002F79BB">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017004" w:rsidRPr="002C7A02" w14:paraId="77A92506" w14:textId="77777777" w:rsidTr="00017004">
        <w:tc>
          <w:tcPr>
            <w:tcW w:w="4815" w:type="dxa"/>
          </w:tcPr>
          <w:p w14:paraId="658A5B10" w14:textId="77777777" w:rsidR="00280F77" w:rsidRPr="002C7A02" w:rsidRDefault="00280F77" w:rsidP="000858D7">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1.3.3</w:t>
            </w:r>
            <w:r w:rsidRPr="002C7A02">
              <w:rPr>
                <w:rFonts w:asciiTheme="minorHAnsi" w:hAnsiTheme="minorHAnsi"/>
                <w:lang w:eastAsia="zh-CN"/>
              </w:rPr>
              <w:tab/>
            </w:r>
            <w:r w:rsidRPr="002C7A02">
              <w:rPr>
                <w:rFonts w:asciiTheme="minorHAnsi" w:hAnsiTheme="minorHAnsi"/>
                <w:b/>
                <w:lang w:eastAsia="zh-CN"/>
              </w:rPr>
              <w:t>Device parameters</w:t>
            </w:r>
          </w:p>
        </w:tc>
        <w:tc>
          <w:tcPr>
            <w:tcW w:w="9072" w:type="dxa"/>
            <w:gridSpan w:val="2"/>
            <w:vMerge w:val="restart"/>
          </w:tcPr>
          <w:p w14:paraId="07D4540D" w14:textId="2ED29489" w:rsidR="00280F77" w:rsidRPr="002C7A02" w:rsidRDefault="00B86F7C" w:rsidP="00C20AAF">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bCs/>
                <w:iCs/>
                <w:lang w:eastAsia="zh-CN"/>
              </w:rPr>
              <w:t>These</w:t>
            </w:r>
            <w:r w:rsidR="00D63659" w:rsidRPr="002C7A02">
              <w:rPr>
                <w:rFonts w:asciiTheme="minorHAnsi" w:hAnsiTheme="minorHAnsi"/>
                <w:bCs/>
                <w:iCs/>
                <w:lang w:eastAsia="zh-CN"/>
              </w:rPr>
              <w:t xml:space="preserve"> two sections </w:t>
            </w:r>
            <w:r w:rsidRPr="002C7A02">
              <w:rPr>
                <w:rFonts w:asciiTheme="minorHAnsi" w:hAnsiTheme="minorHAnsi"/>
                <w:bCs/>
                <w:iCs/>
                <w:lang w:eastAsia="zh-CN"/>
              </w:rPr>
              <w:t>included</w:t>
            </w:r>
            <w:r w:rsidR="00D63659" w:rsidRPr="002C7A02">
              <w:rPr>
                <w:rFonts w:asciiTheme="minorHAnsi" w:hAnsiTheme="minorHAnsi"/>
                <w:bCs/>
                <w:iCs/>
                <w:lang w:eastAsia="zh-CN"/>
              </w:rPr>
              <w:t xml:space="preserve"> very technical </w:t>
            </w:r>
            <w:r w:rsidRPr="002C7A02">
              <w:rPr>
                <w:rFonts w:asciiTheme="minorHAnsi" w:hAnsiTheme="minorHAnsi"/>
                <w:bCs/>
                <w:iCs/>
                <w:lang w:eastAsia="zh-CN"/>
              </w:rPr>
              <w:t>and detailed information, which is</w:t>
            </w:r>
            <w:r w:rsidR="00D63659" w:rsidRPr="002C7A02">
              <w:rPr>
                <w:rFonts w:asciiTheme="minorHAnsi" w:hAnsiTheme="minorHAnsi"/>
                <w:bCs/>
                <w:iCs/>
                <w:lang w:eastAsia="zh-CN"/>
              </w:rPr>
              <w:t xml:space="preserve"> more suited for </w:t>
            </w:r>
            <w:r w:rsidR="00766B85" w:rsidRPr="002C7A02">
              <w:rPr>
                <w:rFonts w:asciiTheme="minorHAnsi" w:hAnsiTheme="minorHAnsi"/>
                <w:bCs/>
                <w:iCs/>
                <w:lang w:eastAsia="zh-CN"/>
              </w:rPr>
              <w:t>an ITU-R Recommendation than for a Report on spectrum management approac</w:t>
            </w:r>
            <w:r w:rsidRPr="002C7A02">
              <w:rPr>
                <w:rFonts w:asciiTheme="minorHAnsi" w:hAnsiTheme="minorHAnsi"/>
                <w:bCs/>
                <w:iCs/>
                <w:lang w:eastAsia="zh-CN"/>
              </w:rPr>
              <w:t>hes and trends. C</w:t>
            </w:r>
            <w:r w:rsidR="00C20AAF" w:rsidRPr="002C7A02">
              <w:rPr>
                <w:rFonts w:asciiTheme="minorHAnsi" w:hAnsiTheme="minorHAnsi"/>
                <w:bCs/>
                <w:iCs/>
                <w:lang w:eastAsia="zh-CN"/>
              </w:rPr>
              <w:t>onsequently, this information</w:t>
            </w:r>
            <w:r w:rsidRPr="002C7A02">
              <w:rPr>
                <w:rFonts w:asciiTheme="minorHAnsi" w:hAnsiTheme="minorHAnsi"/>
                <w:bCs/>
                <w:iCs/>
                <w:lang w:eastAsia="zh-CN"/>
              </w:rPr>
              <w:t xml:space="preserve"> ha</w:t>
            </w:r>
            <w:r w:rsidR="00C20AAF" w:rsidRPr="002C7A02">
              <w:rPr>
                <w:rFonts w:asciiTheme="minorHAnsi" w:hAnsiTheme="minorHAnsi"/>
                <w:bCs/>
                <w:iCs/>
                <w:lang w:eastAsia="zh-CN"/>
              </w:rPr>
              <w:t>s not been retained</w:t>
            </w:r>
            <w:r w:rsidRPr="002C7A02">
              <w:rPr>
                <w:rFonts w:asciiTheme="minorHAnsi" w:hAnsiTheme="minorHAnsi"/>
                <w:bCs/>
                <w:iCs/>
                <w:lang w:eastAsia="zh-CN"/>
              </w:rPr>
              <w:t>.</w:t>
            </w:r>
          </w:p>
        </w:tc>
      </w:tr>
      <w:tr w:rsidR="00017004" w:rsidRPr="002C7A02" w14:paraId="1DED287A" w14:textId="77777777" w:rsidTr="00017004">
        <w:tc>
          <w:tcPr>
            <w:tcW w:w="4815" w:type="dxa"/>
          </w:tcPr>
          <w:p w14:paraId="2EFE6120" w14:textId="77777777" w:rsidR="00280F77" w:rsidRPr="002C7A02" w:rsidRDefault="00280F77"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1.3.4</w:t>
            </w:r>
            <w:r w:rsidRPr="002C7A02">
              <w:rPr>
                <w:rFonts w:asciiTheme="minorHAnsi" w:hAnsiTheme="minorHAnsi"/>
                <w:lang w:eastAsia="zh-CN"/>
              </w:rPr>
              <w:tab/>
            </w:r>
            <w:r w:rsidRPr="002C7A02">
              <w:rPr>
                <w:rFonts w:asciiTheme="minorHAnsi" w:hAnsiTheme="minorHAnsi"/>
                <w:b/>
                <w:lang w:eastAsia="zh-CN"/>
              </w:rPr>
              <w:t>Database parameters</w:t>
            </w:r>
          </w:p>
        </w:tc>
        <w:tc>
          <w:tcPr>
            <w:tcW w:w="9072" w:type="dxa"/>
            <w:gridSpan w:val="2"/>
            <w:vMerge/>
          </w:tcPr>
          <w:p w14:paraId="6FE0CB89" w14:textId="77777777" w:rsidR="00280F77" w:rsidRPr="002C7A02" w:rsidRDefault="00280F77"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017004" w:rsidRPr="002C7A02" w14:paraId="3829A3F0" w14:textId="77777777" w:rsidTr="00017004">
        <w:tc>
          <w:tcPr>
            <w:tcW w:w="4815" w:type="dxa"/>
          </w:tcPr>
          <w:p w14:paraId="2E36A4C4" w14:textId="77777777" w:rsidR="00C4700A" w:rsidRPr="002C7A02" w:rsidRDefault="00C4700A"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1.3.5</w:t>
            </w:r>
            <w:r w:rsidRPr="002C7A02">
              <w:rPr>
                <w:rFonts w:asciiTheme="minorHAnsi" w:hAnsiTheme="minorHAnsi"/>
                <w:lang w:eastAsia="zh-CN"/>
              </w:rPr>
              <w:tab/>
            </w:r>
            <w:r w:rsidRPr="002C7A02">
              <w:rPr>
                <w:rFonts w:asciiTheme="minorHAnsi" w:hAnsiTheme="minorHAnsi"/>
                <w:b/>
                <w:lang w:eastAsia="zh-CN"/>
              </w:rPr>
              <w:t>Summary of regulatory approaches for TVWS</w:t>
            </w:r>
          </w:p>
        </w:tc>
        <w:tc>
          <w:tcPr>
            <w:tcW w:w="9072" w:type="dxa"/>
            <w:gridSpan w:val="2"/>
          </w:tcPr>
          <w:p w14:paraId="015BC1E2" w14:textId="235E5C04" w:rsidR="00C4700A" w:rsidRPr="002C7A02" w:rsidRDefault="00A6148E" w:rsidP="00C066D2">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 xml:space="preserve">Merged into new section 1.4.8 </w:t>
            </w:r>
            <w:r w:rsidRPr="002C7A02">
              <w:rPr>
                <w:rFonts w:asciiTheme="minorHAnsi" w:hAnsiTheme="minorHAnsi"/>
                <w:b/>
                <w:bCs/>
                <w:lang w:eastAsia="zh-CN"/>
              </w:rPr>
              <w:t>Benefits and challenges associated with the use of TV white spaces</w:t>
            </w:r>
            <w:r w:rsidRPr="002C7A02">
              <w:rPr>
                <w:rFonts w:asciiTheme="minorHAnsi" w:hAnsiTheme="minorHAnsi"/>
                <w:bCs/>
                <w:lang w:eastAsia="zh-CN"/>
              </w:rPr>
              <w:t xml:space="preserve">, which also includes </w:t>
            </w:r>
            <w:r w:rsidR="00C066D2" w:rsidRPr="002C7A02">
              <w:rPr>
                <w:rFonts w:asciiTheme="minorHAnsi" w:hAnsiTheme="minorHAnsi"/>
                <w:bCs/>
                <w:lang w:eastAsia="zh-CN"/>
              </w:rPr>
              <w:t xml:space="preserve">the </w:t>
            </w:r>
            <w:r w:rsidRPr="002C7A02">
              <w:rPr>
                <w:rFonts w:asciiTheme="minorHAnsi" w:hAnsiTheme="minorHAnsi"/>
                <w:bCs/>
                <w:lang w:eastAsia="zh-CN"/>
              </w:rPr>
              <w:t xml:space="preserve">elements </w:t>
            </w:r>
            <w:r w:rsidR="00C066D2" w:rsidRPr="002C7A02">
              <w:rPr>
                <w:rFonts w:asciiTheme="minorHAnsi" w:hAnsiTheme="minorHAnsi"/>
                <w:bCs/>
                <w:lang w:eastAsia="zh-CN"/>
              </w:rPr>
              <w:t xml:space="preserve">which did not relate </w:t>
            </w:r>
            <w:r w:rsidR="00EA48A2" w:rsidRPr="002C7A02">
              <w:rPr>
                <w:rFonts w:asciiTheme="minorHAnsi" w:hAnsiTheme="minorHAnsi"/>
                <w:bCs/>
                <w:lang w:eastAsia="zh-CN"/>
              </w:rPr>
              <w:t xml:space="preserve">to </w:t>
            </w:r>
            <w:r w:rsidR="00C066D2" w:rsidRPr="002C7A02">
              <w:rPr>
                <w:rFonts w:asciiTheme="minorHAnsi" w:hAnsiTheme="minorHAnsi"/>
                <w:bCs/>
                <w:lang w:eastAsia="zh-CN"/>
              </w:rPr>
              <w:t xml:space="preserve">the economic aspects in original Sections 2.4.1 </w:t>
            </w:r>
            <w:r w:rsidR="00C066D2" w:rsidRPr="002C7A02">
              <w:rPr>
                <w:rFonts w:asciiTheme="minorHAnsi" w:hAnsiTheme="minorHAnsi"/>
                <w:b/>
                <w:lang w:eastAsia="zh-CN"/>
              </w:rPr>
              <w:t>Potential benefits to consumers associated with shared use of TV white spaces</w:t>
            </w:r>
            <w:r w:rsidR="00C066D2" w:rsidRPr="002C7A02">
              <w:rPr>
                <w:rFonts w:asciiTheme="minorHAnsi" w:hAnsiTheme="minorHAnsi"/>
                <w:bCs/>
                <w:lang w:eastAsia="zh-CN"/>
              </w:rPr>
              <w:t xml:space="preserve"> and 2.4.2 </w:t>
            </w:r>
            <w:r w:rsidR="00C066D2" w:rsidRPr="002C7A02">
              <w:rPr>
                <w:rFonts w:asciiTheme="minorHAnsi" w:hAnsiTheme="minorHAnsi"/>
                <w:b/>
                <w:lang w:eastAsia="zh-CN"/>
              </w:rPr>
              <w:t>Potential regulatory costs associated with shared use of TV white spaces</w:t>
            </w:r>
          </w:p>
        </w:tc>
      </w:tr>
      <w:tr w:rsidR="00017004" w:rsidRPr="002C7A02" w14:paraId="00C093EA" w14:textId="77777777" w:rsidTr="00017004">
        <w:tc>
          <w:tcPr>
            <w:tcW w:w="4815" w:type="dxa"/>
            <w:shd w:val="clear" w:color="auto" w:fill="auto"/>
          </w:tcPr>
          <w:p w14:paraId="308307CE" w14:textId="77777777" w:rsidR="00312733" w:rsidRPr="002C7A02" w:rsidRDefault="00312733"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1.4</w:t>
            </w:r>
            <w:r w:rsidRPr="002C7A02">
              <w:rPr>
                <w:rFonts w:asciiTheme="minorHAnsi" w:hAnsiTheme="minorHAnsi"/>
                <w:lang w:eastAsia="zh-CN"/>
              </w:rPr>
              <w:tab/>
            </w:r>
            <w:r w:rsidRPr="002C7A02">
              <w:rPr>
                <w:rFonts w:asciiTheme="minorHAnsi" w:hAnsiTheme="minorHAnsi"/>
                <w:b/>
                <w:bCs/>
                <w:lang w:eastAsia="zh-CN"/>
              </w:rPr>
              <w:t>Case studies of broadband access in the TVWS using DSA</w:t>
            </w:r>
          </w:p>
        </w:tc>
        <w:tc>
          <w:tcPr>
            <w:tcW w:w="9072" w:type="dxa"/>
            <w:gridSpan w:val="2"/>
            <w:vMerge w:val="restart"/>
          </w:tcPr>
          <w:p w14:paraId="6160EE9E" w14:textId="39A59644" w:rsidR="002E1C36" w:rsidRPr="002C7A02" w:rsidRDefault="002E1C36" w:rsidP="002E1C36">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 xml:space="preserve">These case studies are summarized in </w:t>
            </w:r>
            <w:r w:rsidR="00312733" w:rsidRPr="002C7A02">
              <w:rPr>
                <w:rFonts w:asciiTheme="minorHAnsi" w:hAnsiTheme="minorHAnsi"/>
                <w:lang w:eastAsia="zh-CN"/>
              </w:rPr>
              <w:t xml:space="preserve">Section 1.4.7 </w:t>
            </w:r>
            <w:r w:rsidRPr="002C7A02">
              <w:rPr>
                <w:rFonts w:asciiTheme="minorHAnsi" w:hAnsiTheme="minorHAnsi"/>
                <w:b/>
                <w:bCs/>
                <w:lang w:eastAsia="zh-CN"/>
              </w:rPr>
              <w:t>Case studies of broadband access in the TVWS</w:t>
            </w:r>
            <w:r w:rsidRPr="002C7A02">
              <w:rPr>
                <w:rFonts w:asciiTheme="minorHAnsi" w:hAnsiTheme="minorHAnsi"/>
                <w:lang w:eastAsia="zh-CN"/>
              </w:rPr>
              <w:t xml:space="preserve"> </w:t>
            </w:r>
            <w:r w:rsidR="00312733" w:rsidRPr="002C7A02">
              <w:rPr>
                <w:rFonts w:asciiTheme="minorHAnsi" w:hAnsiTheme="minorHAnsi"/>
                <w:lang w:eastAsia="zh-CN"/>
              </w:rPr>
              <w:t xml:space="preserve">and </w:t>
            </w:r>
            <w:r w:rsidR="00BC083E" w:rsidRPr="002C7A02">
              <w:rPr>
                <w:rFonts w:asciiTheme="minorHAnsi" w:hAnsiTheme="minorHAnsi"/>
                <w:lang w:eastAsia="zh-CN"/>
              </w:rPr>
              <w:t xml:space="preserve">the </w:t>
            </w:r>
            <w:r w:rsidR="003A1158" w:rsidRPr="002C7A02">
              <w:rPr>
                <w:rFonts w:asciiTheme="minorHAnsi" w:hAnsiTheme="minorHAnsi"/>
                <w:lang w:eastAsia="zh-CN"/>
              </w:rPr>
              <w:t>original</w:t>
            </w:r>
            <w:r w:rsidR="00BC083E" w:rsidRPr="002C7A02">
              <w:rPr>
                <w:rFonts w:asciiTheme="minorHAnsi" w:hAnsiTheme="minorHAnsi"/>
                <w:lang w:eastAsia="zh-CN"/>
              </w:rPr>
              <w:t xml:space="preserve"> text was moved, without changes, to </w:t>
            </w:r>
            <w:r w:rsidR="008A7E21" w:rsidRPr="002C7A02">
              <w:rPr>
                <w:rFonts w:asciiTheme="minorHAnsi" w:hAnsiTheme="minorHAnsi"/>
                <w:lang w:eastAsia="zh-CN"/>
              </w:rPr>
              <w:t>Section A2-3</w:t>
            </w:r>
            <w:r w:rsidR="00BC083E" w:rsidRPr="002C7A02">
              <w:rPr>
                <w:rFonts w:asciiTheme="minorHAnsi" w:hAnsiTheme="minorHAnsi"/>
                <w:lang w:eastAsia="zh-CN"/>
              </w:rPr>
              <w:t xml:space="preserve"> of Annex 2.</w:t>
            </w:r>
          </w:p>
          <w:p w14:paraId="34D2F29E" w14:textId="77777777" w:rsidR="00BC083E" w:rsidRPr="002C7A02" w:rsidRDefault="00BC083E" w:rsidP="002E1C36">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p w14:paraId="1BB2658D" w14:textId="44E6D520" w:rsidR="00BC083E" w:rsidRPr="002C7A02" w:rsidRDefault="00BC083E" w:rsidP="002E1C36">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In addition, new text was provided by Ghana and included in bo</w:t>
            </w:r>
            <w:r w:rsidR="00FD42A1" w:rsidRPr="002C7A02">
              <w:rPr>
                <w:rFonts w:asciiTheme="minorHAnsi" w:hAnsiTheme="minorHAnsi"/>
                <w:lang w:eastAsia="zh-CN"/>
              </w:rPr>
              <w:t>th places.</w:t>
            </w:r>
          </w:p>
          <w:p w14:paraId="7C974369" w14:textId="77777777" w:rsidR="002E1C36" w:rsidRPr="002C7A02" w:rsidRDefault="002E1C36" w:rsidP="002E1C36">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p w14:paraId="2DCF3211" w14:textId="509ABA80" w:rsidR="00312733" w:rsidRPr="002C7A02" w:rsidRDefault="00312733" w:rsidP="002E1C36">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017004" w:rsidRPr="002C7A02" w14:paraId="593F81D6" w14:textId="77777777" w:rsidTr="00017004">
        <w:tc>
          <w:tcPr>
            <w:tcW w:w="4815" w:type="dxa"/>
            <w:shd w:val="clear" w:color="auto" w:fill="auto"/>
          </w:tcPr>
          <w:p w14:paraId="76F73466" w14:textId="77777777" w:rsidR="00312733" w:rsidRPr="002C7A02" w:rsidRDefault="00312733"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1.4.1</w:t>
            </w:r>
            <w:r w:rsidRPr="002C7A02">
              <w:rPr>
                <w:rFonts w:asciiTheme="minorHAnsi" w:hAnsiTheme="minorHAnsi"/>
                <w:lang w:eastAsia="zh-CN"/>
              </w:rPr>
              <w:tab/>
            </w:r>
            <w:r w:rsidRPr="002C7A02">
              <w:rPr>
                <w:rFonts w:asciiTheme="minorHAnsi" w:hAnsiTheme="minorHAnsi"/>
                <w:b/>
                <w:lang w:eastAsia="zh-CN"/>
              </w:rPr>
              <w:t>Bhutan</w:t>
            </w:r>
          </w:p>
        </w:tc>
        <w:tc>
          <w:tcPr>
            <w:tcW w:w="9072" w:type="dxa"/>
            <w:gridSpan w:val="2"/>
            <w:vMerge/>
          </w:tcPr>
          <w:p w14:paraId="04A21656" w14:textId="77777777" w:rsidR="00312733" w:rsidRPr="002C7A02" w:rsidRDefault="00312733"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017004" w:rsidRPr="002C7A02" w14:paraId="3523F02C" w14:textId="77777777" w:rsidTr="00017004">
        <w:tc>
          <w:tcPr>
            <w:tcW w:w="4815" w:type="dxa"/>
            <w:shd w:val="clear" w:color="auto" w:fill="auto"/>
          </w:tcPr>
          <w:p w14:paraId="7464C91A" w14:textId="77777777" w:rsidR="00312733" w:rsidRPr="002C7A02" w:rsidRDefault="00312733"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1.4.2</w:t>
            </w:r>
            <w:r w:rsidRPr="002C7A02">
              <w:rPr>
                <w:rFonts w:asciiTheme="minorHAnsi" w:hAnsiTheme="minorHAnsi"/>
                <w:lang w:eastAsia="zh-CN"/>
              </w:rPr>
              <w:tab/>
            </w:r>
            <w:r w:rsidRPr="002C7A02">
              <w:rPr>
                <w:rFonts w:asciiTheme="minorHAnsi" w:hAnsiTheme="minorHAnsi"/>
                <w:b/>
                <w:lang w:eastAsia="zh-CN"/>
              </w:rPr>
              <w:t>Botswana</w:t>
            </w:r>
          </w:p>
        </w:tc>
        <w:tc>
          <w:tcPr>
            <w:tcW w:w="9072" w:type="dxa"/>
            <w:gridSpan w:val="2"/>
            <w:vMerge/>
          </w:tcPr>
          <w:p w14:paraId="5983ECE5" w14:textId="77777777" w:rsidR="00312733" w:rsidRPr="002C7A02" w:rsidRDefault="00312733"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017004" w:rsidRPr="002C7A02" w14:paraId="4A55377E" w14:textId="77777777" w:rsidTr="00017004">
        <w:tc>
          <w:tcPr>
            <w:tcW w:w="4815" w:type="dxa"/>
            <w:shd w:val="clear" w:color="auto" w:fill="auto"/>
          </w:tcPr>
          <w:p w14:paraId="3EC19FCD" w14:textId="77777777" w:rsidR="00312733" w:rsidRPr="002C7A02" w:rsidRDefault="00312733"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1.4.3</w:t>
            </w:r>
            <w:r w:rsidRPr="002C7A02">
              <w:rPr>
                <w:rFonts w:asciiTheme="minorHAnsi" w:hAnsiTheme="minorHAnsi"/>
                <w:lang w:eastAsia="zh-CN"/>
              </w:rPr>
              <w:tab/>
            </w:r>
            <w:r w:rsidRPr="002C7A02">
              <w:rPr>
                <w:rFonts w:asciiTheme="minorHAnsi" w:hAnsiTheme="minorHAnsi"/>
                <w:b/>
                <w:lang w:eastAsia="zh-CN"/>
              </w:rPr>
              <w:t>Republic of Korea</w:t>
            </w:r>
          </w:p>
        </w:tc>
        <w:tc>
          <w:tcPr>
            <w:tcW w:w="9072" w:type="dxa"/>
            <w:gridSpan w:val="2"/>
            <w:vMerge/>
          </w:tcPr>
          <w:p w14:paraId="251C50D1" w14:textId="77777777" w:rsidR="00312733" w:rsidRPr="002C7A02" w:rsidRDefault="00312733"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017004" w:rsidRPr="002C7A02" w14:paraId="1716AAE0" w14:textId="77777777" w:rsidTr="00017004">
        <w:tc>
          <w:tcPr>
            <w:tcW w:w="4815" w:type="dxa"/>
            <w:shd w:val="clear" w:color="auto" w:fill="auto"/>
          </w:tcPr>
          <w:p w14:paraId="423EC73F" w14:textId="77777777" w:rsidR="00312733" w:rsidRPr="002C7A02" w:rsidRDefault="00312733"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1.4.4</w:t>
            </w:r>
            <w:r w:rsidRPr="002C7A02">
              <w:rPr>
                <w:rFonts w:asciiTheme="minorHAnsi" w:hAnsiTheme="minorHAnsi"/>
                <w:lang w:eastAsia="zh-CN"/>
              </w:rPr>
              <w:tab/>
            </w:r>
            <w:r w:rsidRPr="002C7A02">
              <w:rPr>
                <w:rFonts w:asciiTheme="minorHAnsi" w:hAnsiTheme="minorHAnsi"/>
                <w:b/>
                <w:lang w:eastAsia="zh-CN"/>
              </w:rPr>
              <w:t>Malawi</w:t>
            </w:r>
          </w:p>
        </w:tc>
        <w:tc>
          <w:tcPr>
            <w:tcW w:w="9072" w:type="dxa"/>
            <w:gridSpan w:val="2"/>
            <w:vMerge/>
          </w:tcPr>
          <w:p w14:paraId="7D6E99FE" w14:textId="77777777" w:rsidR="00312733" w:rsidRPr="002C7A02" w:rsidRDefault="00312733"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017004" w:rsidRPr="002C7A02" w14:paraId="7230BF78" w14:textId="77777777" w:rsidTr="00017004">
        <w:tc>
          <w:tcPr>
            <w:tcW w:w="4815" w:type="dxa"/>
            <w:shd w:val="clear" w:color="auto" w:fill="auto"/>
          </w:tcPr>
          <w:p w14:paraId="5BA601C1" w14:textId="77777777" w:rsidR="00312733" w:rsidRPr="002C7A02" w:rsidRDefault="00312733"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lastRenderedPageBreak/>
              <w:t>1.4.5</w:t>
            </w:r>
            <w:r w:rsidRPr="002C7A02">
              <w:rPr>
                <w:rFonts w:asciiTheme="minorHAnsi" w:hAnsiTheme="minorHAnsi"/>
                <w:lang w:eastAsia="zh-CN"/>
              </w:rPr>
              <w:tab/>
            </w:r>
            <w:r w:rsidRPr="002C7A02">
              <w:rPr>
                <w:rFonts w:asciiTheme="minorHAnsi" w:hAnsiTheme="minorHAnsi"/>
                <w:b/>
                <w:lang w:eastAsia="zh-CN"/>
              </w:rPr>
              <w:t>The Philippines</w:t>
            </w:r>
          </w:p>
        </w:tc>
        <w:tc>
          <w:tcPr>
            <w:tcW w:w="9072" w:type="dxa"/>
            <w:gridSpan w:val="2"/>
            <w:vMerge/>
          </w:tcPr>
          <w:p w14:paraId="0A9E33AA" w14:textId="77777777" w:rsidR="00312733" w:rsidRPr="002C7A02" w:rsidRDefault="00312733"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017004" w:rsidRPr="002C7A02" w14:paraId="6A1A9F2F" w14:textId="77777777" w:rsidTr="00017004">
        <w:tc>
          <w:tcPr>
            <w:tcW w:w="4815" w:type="dxa"/>
            <w:shd w:val="clear" w:color="auto" w:fill="auto"/>
          </w:tcPr>
          <w:p w14:paraId="532E6012" w14:textId="77777777" w:rsidR="00312733" w:rsidRPr="002C7A02" w:rsidRDefault="00312733"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1.4.6</w:t>
            </w:r>
            <w:r w:rsidRPr="002C7A02">
              <w:rPr>
                <w:rFonts w:asciiTheme="minorHAnsi" w:hAnsiTheme="minorHAnsi"/>
                <w:lang w:eastAsia="zh-CN"/>
              </w:rPr>
              <w:tab/>
            </w:r>
            <w:r w:rsidRPr="002C7A02">
              <w:rPr>
                <w:rFonts w:asciiTheme="minorHAnsi" w:hAnsiTheme="minorHAnsi"/>
                <w:b/>
                <w:lang w:eastAsia="zh-CN"/>
              </w:rPr>
              <w:t>United States of America</w:t>
            </w:r>
          </w:p>
        </w:tc>
        <w:tc>
          <w:tcPr>
            <w:tcW w:w="9072" w:type="dxa"/>
            <w:gridSpan w:val="2"/>
            <w:vMerge/>
          </w:tcPr>
          <w:p w14:paraId="35286795" w14:textId="77777777" w:rsidR="00312733" w:rsidRPr="002C7A02" w:rsidRDefault="00312733"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017004" w:rsidRPr="002C7A02" w14:paraId="7659F945" w14:textId="77777777" w:rsidTr="00017004">
        <w:tc>
          <w:tcPr>
            <w:tcW w:w="4815" w:type="dxa"/>
            <w:shd w:val="clear" w:color="auto" w:fill="auto"/>
          </w:tcPr>
          <w:p w14:paraId="1A59C909" w14:textId="77777777" w:rsidR="00312733" w:rsidRPr="002C7A02" w:rsidRDefault="00312733"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1.4.7</w:t>
            </w:r>
            <w:r w:rsidRPr="002C7A02">
              <w:rPr>
                <w:rFonts w:asciiTheme="minorHAnsi" w:hAnsiTheme="minorHAnsi"/>
                <w:lang w:eastAsia="zh-CN"/>
              </w:rPr>
              <w:tab/>
            </w:r>
            <w:r w:rsidRPr="002C7A02">
              <w:rPr>
                <w:rFonts w:asciiTheme="minorHAnsi" w:hAnsiTheme="minorHAnsi"/>
                <w:b/>
                <w:lang w:eastAsia="zh-CN"/>
              </w:rPr>
              <w:t>Additional trials</w:t>
            </w:r>
          </w:p>
        </w:tc>
        <w:tc>
          <w:tcPr>
            <w:tcW w:w="9072" w:type="dxa"/>
            <w:gridSpan w:val="2"/>
            <w:vMerge/>
          </w:tcPr>
          <w:p w14:paraId="01821486" w14:textId="77777777" w:rsidR="00312733" w:rsidRPr="002C7A02" w:rsidRDefault="00312733"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017004" w:rsidRPr="002C7A02" w14:paraId="27027172" w14:textId="77777777" w:rsidTr="00017004">
        <w:tc>
          <w:tcPr>
            <w:tcW w:w="4815" w:type="dxa"/>
            <w:shd w:val="clear" w:color="auto" w:fill="auto"/>
          </w:tcPr>
          <w:p w14:paraId="74BCCCCB" w14:textId="77777777" w:rsidR="00312733" w:rsidRPr="002C7A02" w:rsidRDefault="00312733"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1.4.8</w:t>
            </w:r>
            <w:r w:rsidRPr="002C7A02">
              <w:rPr>
                <w:rFonts w:asciiTheme="minorHAnsi" w:hAnsiTheme="minorHAnsi"/>
                <w:lang w:eastAsia="zh-CN"/>
              </w:rPr>
              <w:tab/>
            </w:r>
            <w:r w:rsidRPr="002C7A02">
              <w:rPr>
                <w:rFonts w:asciiTheme="minorHAnsi" w:hAnsiTheme="minorHAnsi"/>
                <w:b/>
                <w:lang w:eastAsia="zh-CN"/>
              </w:rPr>
              <w:t>Summary insights from case studies</w:t>
            </w:r>
          </w:p>
        </w:tc>
        <w:tc>
          <w:tcPr>
            <w:tcW w:w="9072" w:type="dxa"/>
            <w:gridSpan w:val="2"/>
            <w:vMerge/>
          </w:tcPr>
          <w:p w14:paraId="0A096F60" w14:textId="77777777" w:rsidR="00312733" w:rsidRPr="002C7A02" w:rsidRDefault="00312733"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C4700A" w:rsidRPr="002C7A02" w14:paraId="6CE77041" w14:textId="77777777" w:rsidTr="00017004">
        <w:tc>
          <w:tcPr>
            <w:tcW w:w="4815" w:type="dxa"/>
            <w:shd w:val="clear" w:color="auto" w:fill="auto"/>
          </w:tcPr>
          <w:p w14:paraId="23C6E567" w14:textId="77777777" w:rsidR="00C4700A" w:rsidRPr="002C7A02" w:rsidRDefault="00C4700A"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1.5</w:t>
            </w:r>
            <w:r w:rsidRPr="002C7A02">
              <w:rPr>
                <w:rFonts w:asciiTheme="minorHAnsi" w:hAnsiTheme="minorHAnsi"/>
                <w:lang w:eastAsia="zh-CN"/>
              </w:rPr>
              <w:tab/>
            </w:r>
            <w:r w:rsidRPr="002C7A02">
              <w:rPr>
                <w:rFonts w:asciiTheme="minorHAnsi" w:hAnsiTheme="minorHAnsi"/>
                <w:b/>
                <w:bCs/>
                <w:lang w:eastAsia="zh-CN"/>
              </w:rPr>
              <w:t>Current ITU-R studies and investigations</w:t>
            </w:r>
          </w:p>
        </w:tc>
        <w:tc>
          <w:tcPr>
            <w:tcW w:w="9072" w:type="dxa"/>
            <w:gridSpan w:val="2"/>
          </w:tcPr>
          <w:p w14:paraId="205B62BB" w14:textId="1F2B7E00" w:rsidR="00C4700A" w:rsidRPr="002C7A02" w:rsidRDefault="003D3EED" w:rsidP="003D3EED">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This section</w:t>
            </w:r>
            <w:r w:rsidR="00194B81" w:rsidRPr="002C7A02">
              <w:rPr>
                <w:rFonts w:asciiTheme="minorHAnsi" w:hAnsiTheme="minorHAnsi"/>
                <w:lang w:eastAsia="zh-CN"/>
              </w:rPr>
              <w:t xml:space="preserve"> was significantly reduced </w:t>
            </w:r>
            <w:r w:rsidRPr="002C7A02">
              <w:rPr>
                <w:rFonts w:asciiTheme="minorHAnsi" w:hAnsiTheme="minorHAnsi"/>
                <w:lang w:eastAsia="zh-CN"/>
              </w:rPr>
              <w:t>and move to t</w:t>
            </w:r>
            <w:r w:rsidR="00194B81" w:rsidRPr="002C7A02">
              <w:rPr>
                <w:rFonts w:asciiTheme="minorHAnsi" w:hAnsiTheme="minorHAnsi"/>
                <w:lang w:eastAsia="zh-CN"/>
              </w:rPr>
              <w:t>he part “</w:t>
            </w:r>
            <w:r w:rsidR="00194B81" w:rsidRPr="002C7A02">
              <w:rPr>
                <w:rFonts w:asciiTheme="minorHAnsi" w:hAnsiTheme="minorHAnsi"/>
                <w:b/>
                <w:bCs/>
                <w:lang w:eastAsia="zh-CN"/>
              </w:rPr>
              <w:t>References</w:t>
            </w:r>
            <w:r w:rsidR="00194B81" w:rsidRPr="002C7A02">
              <w:rPr>
                <w:rFonts w:asciiTheme="minorHAnsi" w:hAnsiTheme="minorHAnsi"/>
                <w:lang w:eastAsia="zh-CN"/>
              </w:rPr>
              <w:t>” before the Annexes</w:t>
            </w:r>
            <w:r w:rsidRPr="002C7A02">
              <w:rPr>
                <w:rFonts w:asciiTheme="minorHAnsi" w:hAnsiTheme="minorHAnsi"/>
                <w:lang w:eastAsia="zh-CN"/>
              </w:rPr>
              <w:t>, which includes all the relevant ITU-R references.</w:t>
            </w:r>
          </w:p>
        </w:tc>
      </w:tr>
      <w:tr w:rsidR="00C4700A" w:rsidRPr="002C7A02" w14:paraId="727996E6" w14:textId="77777777" w:rsidTr="000564AF">
        <w:tc>
          <w:tcPr>
            <w:tcW w:w="4815" w:type="dxa"/>
            <w:shd w:val="clear" w:color="auto" w:fill="auto"/>
          </w:tcPr>
          <w:p w14:paraId="5C20BE52" w14:textId="77777777" w:rsidR="00C4700A" w:rsidRPr="002C7A02" w:rsidRDefault="00C4700A" w:rsidP="00C4700A">
            <w:pPr>
              <w:tabs>
                <w:tab w:val="clear" w:pos="1134"/>
                <w:tab w:val="clear" w:pos="1871"/>
                <w:tab w:val="clear" w:pos="2268"/>
              </w:tabs>
              <w:overflowPunct/>
              <w:autoSpaceDE/>
              <w:autoSpaceDN/>
              <w:adjustRightInd/>
              <w:spacing w:before="0"/>
              <w:textAlignment w:val="auto"/>
              <w:rPr>
                <w:rFonts w:asciiTheme="minorHAnsi" w:hAnsiTheme="minorHAnsi"/>
                <w:b/>
                <w:bCs/>
                <w:lang w:eastAsia="zh-CN"/>
              </w:rPr>
            </w:pPr>
            <w:r w:rsidRPr="002C7A02">
              <w:rPr>
                <w:rFonts w:asciiTheme="minorHAnsi" w:hAnsiTheme="minorHAnsi"/>
                <w:b/>
                <w:bCs/>
                <w:lang w:eastAsia="zh-CN"/>
              </w:rPr>
              <w:t>2</w:t>
            </w:r>
            <w:r w:rsidRPr="002C7A02">
              <w:rPr>
                <w:rFonts w:asciiTheme="minorHAnsi" w:eastAsiaTheme="minorEastAsia" w:hAnsiTheme="minorHAnsi"/>
                <w:b/>
                <w:bCs/>
                <w:lang w:eastAsia="zh-CN"/>
              </w:rPr>
              <w:tab/>
            </w:r>
            <w:r w:rsidRPr="002C7A02">
              <w:rPr>
                <w:rFonts w:asciiTheme="minorHAnsi" w:hAnsiTheme="minorHAnsi"/>
                <w:b/>
                <w:bCs/>
                <w:lang w:eastAsia="zh-CN"/>
              </w:rPr>
              <w:t>CHAPTER 2 – Spectrum economics</w:t>
            </w:r>
          </w:p>
        </w:tc>
        <w:tc>
          <w:tcPr>
            <w:tcW w:w="9072" w:type="dxa"/>
            <w:gridSpan w:val="2"/>
          </w:tcPr>
          <w:p w14:paraId="6F3229C6" w14:textId="03FAF564" w:rsidR="000770D8" w:rsidRPr="002C7A02" w:rsidRDefault="000770D8" w:rsidP="00346B31">
            <w:pPr>
              <w:tabs>
                <w:tab w:val="clear" w:pos="1134"/>
                <w:tab w:val="clear" w:pos="1871"/>
                <w:tab w:val="clear" w:pos="2268"/>
              </w:tabs>
              <w:overflowPunct/>
              <w:autoSpaceDE/>
              <w:autoSpaceDN/>
              <w:adjustRightInd/>
              <w:spacing w:before="0"/>
              <w:textAlignment w:val="auto"/>
              <w:rPr>
                <w:rFonts w:asciiTheme="minorHAnsi" w:hAnsiTheme="minorHAnsi"/>
                <w:b/>
                <w:bCs/>
                <w:lang w:eastAsia="zh-CN"/>
              </w:rPr>
            </w:pPr>
          </w:p>
        </w:tc>
      </w:tr>
      <w:tr w:rsidR="003E76D1" w:rsidRPr="002C7A02" w14:paraId="40ECA0C0" w14:textId="77777777" w:rsidTr="000564AF">
        <w:tc>
          <w:tcPr>
            <w:tcW w:w="4815" w:type="dxa"/>
          </w:tcPr>
          <w:p w14:paraId="3D9EED11" w14:textId="77777777" w:rsidR="003E76D1" w:rsidRPr="002C7A02" w:rsidRDefault="003E76D1"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2.1</w:t>
            </w:r>
            <w:r w:rsidRPr="002C7A02">
              <w:rPr>
                <w:rFonts w:asciiTheme="minorHAnsi" w:hAnsiTheme="minorHAnsi"/>
                <w:lang w:eastAsia="zh-CN"/>
              </w:rPr>
              <w:tab/>
            </w:r>
            <w:r w:rsidRPr="002C7A02">
              <w:rPr>
                <w:rFonts w:asciiTheme="minorHAnsi" w:hAnsiTheme="minorHAnsi"/>
                <w:b/>
                <w:bCs/>
                <w:lang w:eastAsia="zh-CN"/>
              </w:rPr>
              <w:t>Introduction</w:t>
            </w:r>
          </w:p>
        </w:tc>
        <w:tc>
          <w:tcPr>
            <w:tcW w:w="9072" w:type="dxa"/>
            <w:gridSpan w:val="2"/>
            <w:vMerge w:val="restart"/>
          </w:tcPr>
          <w:p w14:paraId="14F9743A" w14:textId="30DE2908" w:rsidR="003E76D1" w:rsidRPr="002C7A02" w:rsidRDefault="00DE6842" w:rsidP="00DE6842">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Introduction was r</w:t>
            </w:r>
            <w:r w:rsidR="003E76D1" w:rsidRPr="002C7A02">
              <w:rPr>
                <w:rFonts w:asciiTheme="minorHAnsi" w:hAnsiTheme="minorHAnsi"/>
                <w:lang w:eastAsia="zh-CN"/>
              </w:rPr>
              <w:t xml:space="preserve">e-drafted to take into account the revisions made in </w:t>
            </w:r>
            <w:r w:rsidRPr="002C7A02">
              <w:rPr>
                <w:rFonts w:asciiTheme="minorHAnsi" w:hAnsiTheme="minorHAnsi"/>
                <w:lang w:eastAsia="zh-CN"/>
              </w:rPr>
              <w:t xml:space="preserve">the rest of </w:t>
            </w:r>
            <w:r w:rsidR="003E76D1" w:rsidRPr="002C7A02">
              <w:rPr>
                <w:rFonts w:asciiTheme="minorHAnsi" w:hAnsiTheme="minorHAnsi"/>
                <w:lang w:eastAsia="zh-CN"/>
              </w:rPr>
              <w:t>Chapter 2 and to encourage the reading of Report ITU-R SM.2012-5</w:t>
            </w:r>
            <w:r w:rsidR="004D7B76" w:rsidRPr="002C7A02">
              <w:rPr>
                <w:rFonts w:asciiTheme="minorHAnsi" w:eastAsiaTheme="minorEastAsia" w:hAnsiTheme="minorHAnsi"/>
                <w:lang w:eastAsia="zh-CN"/>
              </w:rPr>
              <w:t xml:space="preserve"> without a repetition of this Report</w:t>
            </w:r>
            <w:r w:rsidR="003E76D1" w:rsidRPr="002C7A02">
              <w:rPr>
                <w:rFonts w:asciiTheme="minorHAnsi" w:hAnsiTheme="minorHAnsi"/>
                <w:lang w:eastAsia="zh-CN"/>
              </w:rPr>
              <w:t>.</w:t>
            </w:r>
            <w:r w:rsidRPr="002C7A02">
              <w:rPr>
                <w:rFonts w:asciiTheme="minorHAnsi" w:hAnsiTheme="minorHAnsi"/>
                <w:lang w:eastAsia="zh-CN"/>
              </w:rPr>
              <w:t xml:space="preserve"> Section 2.2 was incorporated into the introduction.</w:t>
            </w:r>
          </w:p>
        </w:tc>
      </w:tr>
      <w:tr w:rsidR="003E76D1" w:rsidRPr="002C7A02" w14:paraId="2A2677D4" w14:textId="77777777" w:rsidTr="000564AF">
        <w:tc>
          <w:tcPr>
            <w:tcW w:w="4815" w:type="dxa"/>
          </w:tcPr>
          <w:p w14:paraId="50DFAAC2" w14:textId="77777777" w:rsidR="003E76D1" w:rsidRPr="002C7A02" w:rsidRDefault="003E76D1" w:rsidP="00C4700A">
            <w:pPr>
              <w:tabs>
                <w:tab w:val="clear" w:pos="1134"/>
                <w:tab w:val="clear" w:pos="1871"/>
                <w:tab w:val="clear" w:pos="2268"/>
              </w:tabs>
              <w:overflowPunct/>
              <w:autoSpaceDE/>
              <w:autoSpaceDN/>
              <w:adjustRightInd/>
              <w:spacing w:before="0"/>
              <w:textAlignment w:val="auto"/>
              <w:rPr>
                <w:rFonts w:asciiTheme="minorHAnsi" w:hAnsiTheme="minorHAnsi"/>
                <w:highlight w:val="yellow"/>
                <w:lang w:eastAsia="zh-CN"/>
              </w:rPr>
            </w:pPr>
            <w:r w:rsidRPr="002C7A02">
              <w:rPr>
                <w:rFonts w:asciiTheme="minorHAnsi" w:hAnsiTheme="minorHAnsi"/>
                <w:lang w:eastAsia="zh-CN"/>
              </w:rPr>
              <w:t>2.2</w:t>
            </w:r>
            <w:r w:rsidRPr="002C7A02">
              <w:rPr>
                <w:rFonts w:asciiTheme="minorHAnsi" w:hAnsiTheme="minorHAnsi"/>
                <w:lang w:eastAsia="zh-CN"/>
              </w:rPr>
              <w:tab/>
            </w:r>
            <w:r w:rsidRPr="002C7A02">
              <w:rPr>
                <w:rFonts w:asciiTheme="minorHAnsi" w:hAnsiTheme="minorHAnsi"/>
                <w:b/>
                <w:bCs/>
                <w:lang w:eastAsia="zh-CN"/>
              </w:rPr>
              <w:t>Report ITU-R SM.2012-5</w:t>
            </w:r>
            <w:r w:rsidRPr="002C7A02">
              <w:rPr>
                <w:rFonts w:asciiTheme="minorHAnsi" w:hAnsiTheme="minorHAnsi"/>
                <w:lang w:eastAsia="zh-CN"/>
              </w:rPr>
              <w:t xml:space="preserve"> (6/16) – “Economic aspects of spectrum management”</w:t>
            </w:r>
          </w:p>
        </w:tc>
        <w:tc>
          <w:tcPr>
            <w:tcW w:w="9072" w:type="dxa"/>
            <w:gridSpan w:val="2"/>
            <w:vMerge/>
          </w:tcPr>
          <w:p w14:paraId="2FA6B97B" w14:textId="77777777" w:rsidR="003E76D1" w:rsidRPr="002C7A02" w:rsidRDefault="003E76D1" w:rsidP="003E76D1">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0A1407" w:rsidRPr="002C7A02" w14:paraId="1241C30E" w14:textId="77777777" w:rsidTr="000564AF">
        <w:tc>
          <w:tcPr>
            <w:tcW w:w="4815" w:type="dxa"/>
          </w:tcPr>
          <w:p w14:paraId="20CFD92F" w14:textId="77777777" w:rsidR="00552E19" w:rsidRPr="002C7A02" w:rsidRDefault="00552E19"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2.3</w:t>
            </w:r>
            <w:r w:rsidRPr="002C7A02">
              <w:rPr>
                <w:rFonts w:asciiTheme="minorHAnsi" w:hAnsiTheme="minorHAnsi"/>
                <w:lang w:eastAsia="zh-CN"/>
              </w:rPr>
              <w:tab/>
            </w:r>
            <w:r w:rsidRPr="002C7A02">
              <w:rPr>
                <w:rFonts w:asciiTheme="minorHAnsi" w:hAnsiTheme="minorHAnsi"/>
                <w:b/>
                <w:bCs/>
                <w:lang w:eastAsia="zh-CN"/>
              </w:rPr>
              <w:t>Experience of Administrations with respect to spectrum pricing, licensing fees, and auctions</w:t>
            </w:r>
          </w:p>
        </w:tc>
        <w:tc>
          <w:tcPr>
            <w:tcW w:w="9072" w:type="dxa"/>
            <w:gridSpan w:val="2"/>
            <w:vMerge w:val="restart"/>
          </w:tcPr>
          <w:p w14:paraId="60CB9965" w14:textId="3CE55453" w:rsidR="00552E19" w:rsidRPr="002C7A02" w:rsidRDefault="00DE6842" w:rsidP="000C4D88">
            <w:pPr>
              <w:tabs>
                <w:tab w:val="clear" w:pos="1134"/>
                <w:tab w:val="clear" w:pos="1871"/>
                <w:tab w:val="clear" w:pos="2268"/>
              </w:tabs>
              <w:overflowPunct/>
              <w:autoSpaceDE/>
              <w:autoSpaceDN/>
              <w:adjustRightInd/>
              <w:spacing w:before="0"/>
              <w:textAlignment w:val="auto"/>
              <w:rPr>
                <w:rFonts w:asciiTheme="minorHAnsi" w:hAnsiTheme="minorHAnsi"/>
              </w:rPr>
            </w:pPr>
            <w:r w:rsidRPr="002C7A02">
              <w:rPr>
                <w:rFonts w:asciiTheme="minorHAnsi" w:hAnsiTheme="minorHAnsi"/>
                <w:lang w:eastAsia="zh-CN"/>
              </w:rPr>
              <w:t xml:space="preserve">Section renamed and renumber </w:t>
            </w:r>
            <w:r w:rsidR="00552E19" w:rsidRPr="002C7A02">
              <w:rPr>
                <w:rFonts w:asciiTheme="minorHAnsi" w:hAnsiTheme="minorHAnsi"/>
                <w:lang w:eastAsia="zh-CN"/>
              </w:rPr>
              <w:t>2.</w:t>
            </w:r>
            <w:r w:rsidR="000C4D88" w:rsidRPr="002C7A02">
              <w:rPr>
                <w:rFonts w:asciiTheme="minorHAnsi" w:hAnsiTheme="minorHAnsi"/>
                <w:lang w:eastAsia="zh-CN"/>
              </w:rPr>
              <w:t>2</w:t>
            </w:r>
            <w:r w:rsidR="00552E19" w:rsidRPr="002C7A02">
              <w:rPr>
                <w:rFonts w:asciiTheme="minorHAnsi" w:hAnsiTheme="minorHAnsi"/>
                <w:lang w:eastAsia="zh-CN"/>
              </w:rPr>
              <w:tab/>
            </w:r>
            <w:r w:rsidR="00552E19" w:rsidRPr="002C7A02">
              <w:rPr>
                <w:rFonts w:asciiTheme="minorHAnsi" w:hAnsiTheme="minorHAnsi"/>
                <w:b/>
                <w:bCs/>
              </w:rPr>
              <w:t>Spectrum pricing, licensing fees and auctions</w:t>
            </w:r>
          </w:p>
          <w:p w14:paraId="1BE9C313" w14:textId="77777777" w:rsidR="00FD42A1" w:rsidRPr="002C7A02" w:rsidRDefault="00FD42A1" w:rsidP="00652BF0">
            <w:pPr>
              <w:tabs>
                <w:tab w:val="clear" w:pos="1134"/>
                <w:tab w:val="clear" w:pos="1871"/>
                <w:tab w:val="clear" w:pos="2268"/>
              </w:tabs>
              <w:overflowPunct/>
              <w:autoSpaceDE/>
              <w:autoSpaceDN/>
              <w:adjustRightInd/>
              <w:spacing w:before="0"/>
              <w:textAlignment w:val="auto"/>
              <w:rPr>
                <w:rFonts w:asciiTheme="minorHAnsi" w:hAnsiTheme="minorHAnsi"/>
                <w:b/>
                <w:bCs/>
                <w:i/>
                <w:iCs/>
                <w:u w:val="single"/>
                <w:lang w:eastAsia="zh-CN"/>
              </w:rPr>
            </w:pPr>
          </w:p>
          <w:p w14:paraId="7DC88FCE" w14:textId="60C86EC7" w:rsidR="00552E19" w:rsidRPr="002C7A02" w:rsidRDefault="00552E19" w:rsidP="00FD42A1">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 xml:space="preserve">Experiences of different administrations were summarized and the </w:t>
            </w:r>
            <w:r w:rsidR="00FD42A1" w:rsidRPr="002C7A02">
              <w:rPr>
                <w:rFonts w:asciiTheme="minorHAnsi" w:hAnsiTheme="minorHAnsi"/>
                <w:lang w:eastAsia="zh-CN"/>
              </w:rPr>
              <w:t xml:space="preserve">current text </w:t>
            </w:r>
            <w:r w:rsidRPr="002C7A02">
              <w:rPr>
                <w:rFonts w:asciiTheme="minorHAnsi" w:hAnsiTheme="minorHAnsi"/>
                <w:lang w:eastAsia="zh-CN"/>
              </w:rPr>
              <w:t>moved to Annex 2 Section A2-4.</w:t>
            </w:r>
          </w:p>
        </w:tc>
      </w:tr>
      <w:tr w:rsidR="000A1407" w:rsidRPr="002C7A02" w14:paraId="0E73E749" w14:textId="77777777" w:rsidTr="000564AF">
        <w:tc>
          <w:tcPr>
            <w:tcW w:w="4815" w:type="dxa"/>
          </w:tcPr>
          <w:p w14:paraId="7FE4B53E" w14:textId="77777777" w:rsidR="00552E19" w:rsidRPr="002C7A02" w:rsidRDefault="00552E19"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2.3.1</w:t>
            </w:r>
            <w:r w:rsidRPr="002C7A02">
              <w:rPr>
                <w:rFonts w:asciiTheme="minorHAnsi" w:hAnsiTheme="minorHAnsi"/>
                <w:lang w:eastAsia="zh-CN"/>
              </w:rPr>
              <w:tab/>
            </w:r>
            <w:r w:rsidRPr="002C7A02">
              <w:rPr>
                <w:rFonts w:asciiTheme="minorHAnsi" w:hAnsiTheme="minorHAnsi"/>
                <w:b/>
                <w:lang w:eastAsia="zh-CN"/>
              </w:rPr>
              <w:t>Côte d’Ivoire – Estimating costs of licenses and frequencies</w:t>
            </w:r>
          </w:p>
        </w:tc>
        <w:tc>
          <w:tcPr>
            <w:tcW w:w="9072" w:type="dxa"/>
            <w:gridSpan w:val="2"/>
            <w:vMerge/>
          </w:tcPr>
          <w:p w14:paraId="0409FE78" w14:textId="77777777" w:rsidR="00552E19" w:rsidRPr="002C7A02" w:rsidRDefault="00552E19" w:rsidP="00552E19">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0A1407" w:rsidRPr="002C7A02" w14:paraId="2CE36FA5" w14:textId="77777777" w:rsidTr="000564AF">
        <w:tc>
          <w:tcPr>
            <w:tcW w:w="4815" w:type="dxa"/>
          </w:tcPr>
          <w:p w14:paraId="0F7C9D03" w14:textId="77777777" w:rsidR="00552E19" w:rsidRPr="002C7A02" w:rsidRDefault="00552E19"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2.3.2</w:t>
            </w:r>
            <w:r w:rsidRPr="002C7A02">
              <w:rPr>
                <w:rFonts w:asciiTheme="minorHAnsi" w:hAnsiTheme="minorHAnsi"/>
                <w:lang w:eastAsia="zh-CN"/>
              </w:rPr>
              <w:tab/>
            </w:r>
            <w:r w:rsidRPr="002C7A02">
              <w:rPr>
                <w:rFonts w:asciiTheme="minorHAnsi" w:hAnsiTheme="minorHAnsi"/>
                <w:b/>
                <w:lang w:eastAsia="zh-CN"/>
              </w:rPr>
              <w:t>Republic of Niger – Method to determine the frequency fees</w:t>
            </w:r>
          </w:p>
        </w:tc>
        <w:tc>
          <w:tcPr>
            <w:tcW w:w="9072" w:type="dxa"/>
            <w:gridSpan w:val="2"/>
            <w:vMerge/>
          </w:tcPr>
          <w:p w14:paraId="3AA02620" w14:textId="77777777" w:rsidR="00552E19" w:rsidRPr="002C7A02" w:rsidRDefault="00552E19"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0A1407" w:rsidRPr="002C7A02" w14:paraId="7FB47A94" w14:textId="77777777" w:rsidTr="000564AF">
        <w:tc>
          <w:tcPr>
            <w:tcW w:w="4815" w:type="dxa"/>
          </w:tcPr>
          <w:p w14:paraId="2C3ED480" w14:textId="77777777" w:rsidR="00552E19" w:rsidRPr="002C7A02" w:rsidRDefault="00552E19"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2.3.3</w:t>
            </w:r>
            <w:r w:rsidRPr="002C7A02">
              <w:rPr>
                <w:rFonts w:asciiTheme="minorHAnsi" w:hAnsiTheme="minorHAnsi"/>
                <w:lang w:eastAsia="zh-CN"/>
              </w:rPr>
              <w:tab/>
            </w:r>
            <w:r w:rsidRPr="002C7A02">
              <w:rPr>
                <w:rFonts w:asciiTheme="minorHAnsi" w:hAnsiTheme="minorHAnsi"/>
                <w:b/>
                <w:lang w:eastAsia="zh-CN"/>
              </w:rPr>
              <w:t>Russian Federation – Experience of Russian Federation in the field of spectrum fees</w:t>
            </w:r>
          </w:p>
        </w:tc>
        <w:tc>
          <w:tcPr>
            <w:tcW w:w="9072" w:type="dxa"/>
            <w:gridSpan w:val="2"/>
            <w:vMerge/>
          </w:tcPr>
          <w:p w14:paraId="016AF7E3" w14:textId="77777777" w:rsidR="00552E19" w:rsidRPr="002C7A02" w:rsidRDefault="00552E19"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0A1407" w:rsidRPr="002C7A02" w14:paraId="29456313" w14:textId="77777777" w:rsidTr="000564AF">
        <w:tc>
          <w:tcPr>
            <w:tcW w:w="4815" w:type="dxa"/>
          </w:tcPr>
          <w:p w14:paraId="49CF8C08" w14:textId="77777777" w:rsidR="00552E19" w:rsidRPr="002C7A02" w:rsidRDefault="00552E19" w:rsidP="00552E19">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2.3.4</w:t>
            </w:r>
            <w:r w:rsidRPr="002C7A02">
              <w:rPr>
                <w:rFonts w:asciiTheme="minorHAnsi" w:hAnsiTheme="minorHAnsi"/>
                <w:lang w:eastAsia="zh-CN"/>
              </w:rPr>
              <w:tab/>
            </w:r>
            <w:r w:rsidRPr="002C7A02">
              <w:rPr>
                <w:rFonts w:asciiTheme="minorHAnsi" w:hAnsiTheme="minorHAnsi"/>
                <w:b/>
                <w:lang w:eastAsia="zh-CN"/>
              </w:rPr>
              <w:t>Republic of Korea –Beauty contest and auction in spectrum management</w:t>
            </w:r>
          </w:p>
        </w:tc>
        <w:tc>
          <w:tcPr>
            <w:tcW w:w="9072" w:type="dxa"/>
            <w:gridSpan w:val="2"/>
            <w:vMerge/>
          </w:tcPr>
          <w:p w14:paraId="3A3BF57C" w14:textId="77777777" w:rsidR="00552E19" w:rsidRPr="002C7A02" w:rsidRDefault="00552E19"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D721FD" w:rsidRPr="002C7A02" w14:paraId="63CA8D27" w14:textId="77777777" w:rsidTr="000564AF">
        <w:tc>
          <w:tcPr>
            <w:tcW w:w="4815" w:type="dxa"/>
          </w:tcPr>
          <w:p w14:paraId="65F69F40" w14:textId="77777777" w:rsidR="00D721FD" w:rsidRPr="002C7A02" w:rsidRDefault="00D721FD"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2.4</w:t>
            </w:r>
            <w:r w:rsidRPr="002C7A02">
              <w:rPr>
                <w:rFonts w:asciiTheme="minorHAnsi" w:hAnsiTheme="minorHAnsi"/>
                <w:lang w:eastAsia="zh-CN"/>
              </w:rPr>
              <w:tab/>
            </w:r>
            <w:r w:rsidRPr="002C7A02">
              <w:rPr>
                <w:rFonts w:asciiTheme="minorHAnsi" w:hAnsiTheme="minorHAnsi"/>
                <w:b/>
                <w:bCs/>
                <w:lang w:eastAsia="zh-CN"/>
              </w:rPr>
              <w:t>Economic aspects related to licensed exempt use of the TVWS</w:t>
            </w:r>
          </w:p>
        </w:tc>
        <w:tc>
          <w:tcPr>
            <w:tcW w:w="9072" w:type="dxa"/>
            <w:gridSpan w:val="2"/>
            <w:vMerge w:val="restart"/>
          </w:tcPr>
          <w:p w14:paraId="46F87C5B" w14:textId="361B173A" w:rsidR="00DB6E67" w:rsidRPr="002C7A02" w:rsidRDefault="00332CF1"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Section 2.4 was restructured into:</w:t>
            </w:r>
          </w:p>
          <w:p w14:paraId="289040BF" w14:textId="77777777" w:rsidR="00332CF1" w:rsidRPr="002C7A02" w:rsidRDefault="00332CF1"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p w14:paraId="414841CD" w14:textId="77777777" w:rsidR="00D721FD" w:rsidRPr="002C7A02" w:rsidRDefault="00D721FD" w:rsidP="00C4700A">
            <w:pPr>
              <w:tabs>
                <w:tab w:val="clear" w:pos="1134"/>
                <w:tab w:val="clear" w:pos="1871"/>
                <w:tab w:val="clear" w:pos="2268"/>
              </w:tabs>
              <w:overflowPunct/>
              <w:autoSpaceDE/>
              <w:autoSpaceDN/>
              <w:adjustRightInd/>
              <w:spacing w:before="0"/>
              <w:textAlignment w:val="auto"/>
              <w:rPr>
                <w:rFonts w:asciiTheme="minorHAnsi" w:hAnsiTheme="minorHAnsi"/>
                <w:b/>
                <w:bCs/>
                <w:lang w:eastAsia="zh-CN"/>
              </w:rPr>
            </w:pPr>
            <w:r w:rsidRPr="002C7A02">
              <w:rPr>
                <w:rFonts w:asciiTheme="minorHAnsi" w:hAnsiTheme="minorHAnsi"/>
                <w:lang w:eastAsia="zh-CN"/>
              </w:rPr>
              <w:t>2.3</w:t>
            </w:r>
            <w:r w:rsidRPr="002C7A02">
              <w:rPr>
                <w:rFonts w:asciiTheme="minorHAnsi" w:hAnsiTheme="minorHAnsi"/>
                <w:lang w:eastAsia="zh-CN"/>
              </w:rPr>
              <w:tab/>
            </w:r>
            <w:r w:rsidRPr="002C7A02">
              <w:rPr>
                <w:rFonts w:asciiTheme="minorHAnsi" w:hAnsiTheme="minorHAnsi"/>
                <w:b/>
                <w:bCs/>
                <w:lang w:eastAsia="zh-CN"/>
              </w:rPr>
              <w:t>Economic aspects related to improving broadband access</w:t>
            </w:r>
          </w:p>
          <w:p w14:paraId="0C11305D" w14:textId="77777777" w:rsidR="00591646" w:rsidRPr="002C7A02" w:rsidRDefault="00591646" w:rsidP="00591646">
            <w:pPr>
              <w:tabs>
                <w:tab w:val="clear" w:pos="1134"/>
                <w:tab w:val="clear" w:pos="1871"/>
                <w:tab w:val="clear" w:pos="2268"/>
              </w:tabs>
              <w:overflowPunct/>
              <w:autoSpaceDE/>
              <w:autoSpaceDN/>
              <w:adjustRightInd/>
              <w:spacing w:before="0"/>
              <w:textAlignment w:val="auto"/>
              <w:rPr>
                <w:rFonts w:asciiTheme="minorHAnsi" w:hAnsiTheme="minorHAnsi"/>
                <w:b/>
                <w:bCs/>
                <w:lang w:eastAsia="zh-CN"/>
              </w:rPr>
            </w:pPr>
            <w:r w:rsidRPr="002C7A02">
              <w:rPr>
                <w:rFonts w:asciiTheme="minorHAnsi" w:hAnsiTheme="minorHAnsi"/>
                <w:lang w:eastAsia="zh-CN"/>
              </w:rPr>
              <w:t>2.4</w:t>
            </w:r>
            <w:r w:rsidRPr="002C7A02">
              <w:rPr>
                <w:rFonts w:asciiTheme="minorHAnsi" w:hAnsiTheme="minorHAnsi"/>
                <w:lang w:eastAsia="zh-CN"/>
              </w:rPr>
              <w:tab/>
            </w:r>
            <w:r w:rsidRPr="002C7A02">
              <w:rPr>
                <w:rFonts w:asciiTheme="minorHAnsi" w:hAnsiTheme="minorHAnsi"/>
                <w:b/>
                <w:bCs/>
              </w:rPr>
              <w:t>Assessing the economic benefits of using spectrum</w:t>
            </w:r>
          </w:p>
          <w:p w14:paraId="53A80890" w14:textId="77777777" w:rsidR="000564AF" w:rsidRPr="002C7A02" w:rsidRDefault="000564AF" w:rsidP="0096277A">
            <w:pPr>
              <w:tabs>
                <w:tab w:val="clear" w:pos="1134"/>
                <w:tab w:val="clear" w:pos="1871"/>
                <w:tab w:val="clear" w:pos="2268"/>
              </w:tabs>
              <w:overflowPunct/>
              <w:autoSpaceDE/>
              <w:autoSpaceDN/>
              <w:adjustRightInd/>
              <w:spacing w:before="0"/>
              <w:textAlignment w:val="auto"/>
              <w:rPr>
                <w:rFonts w:asciiTheme="minorHAnsi" w:hAnsiTheme="minorHAnsi"/>
                <w:b/>
                <w:bCs/>
                <w:i/>
                <w:iCs/>
                <w:u w:val="single"/>
                <w:lang w:eastAsia="zh-CN"/>
              </w:rPr>
            </w:pPr>
          </w:p>
          <w:p w14:paraId="5A306BDC" w14:textId="20827DFB" w:rsidR="00346B31" w:rsidRPr="002C7A02" w:rsidRDefault="000564AF" w:rsidP="00A12F78">
            <w:pPr>
              <w:tabs>
                <w:tab w:val="clear" w:pos="1134"/>
                <w:tab w:val="clear" w:pos="1871"/>
                <w:tab w:val="clear" w:pos="2268"/>
              </w:tabs>
              <w:overflowPunct/>
              <w:autoSpaceDE/>
              <w:autoSpaceDN/>
              <w:adjustRightInd/>
              <w:spacing w:before="0"/>
              <w:textAlignment w:val="auto"/>
              <w:rPr>
                <w:rFonts w:asciiTheme="minorHAnsi" w:hAnsiTheme="minorHAnsi"/>
                <w:bCs/>
                <w:iCs/>
                <w:lang w:eastAsia="zh-CN"/>
              </w:rPr>
            </w:pPr>
            <w:r w:rsidRPr="002C7A02">
              <w:rPr>
                <w:rFonts w:asciiTheme="minorHAnsi" w:hAnsiTheme="minorHAnsi"/>
                <w:bCs/>
                <w:iCs/>
                <w:lang w:eastAsia="zh-CN"/>
              </w:rPr>
              <w:t>These s</w:t>
            </w:r>
            <w:r w:rsidR="00346B31" w:rsidRPr="002C7A02">
              <w:rPr>
                <w:rFonts w:asciiTheme="minorHAnsi" w:hAnsiTheme="minorHAnsi"/>
                <w:bCs/>
                <w:iCs/>
                <w:lang w:eastAsia="zh-CN"/>
              </w:rPr>
              <w:t xml:space="preserve">ections were clarified </w:t>
            </w:r>
            <w:r w:rsidRPr="002C7A02">
              <w:rPr>
                <w:rFonts w:asciiTheme="minorHAnsi" w:hAnsiTheme="minorHAnsi"/>
                <w:bCs/>
                <w:iCs/>
                <w:lang w:eastAsia="zh-CN"/>
              </w:rPr>
              <w:t>to clearly separate the concepts involved</w:t>
            </w:r>
            <w:r w:rsidR="00A12F78" w:rsidRPr="002C7A02">
              <w:rPr>
                <w:rFonts w:asciiTheme="minorHAnsi" w:hAnsiTheme="minorHAnsi"/>
                <w:bCs/>
                <w:iCs/>
                <w:lang w:eastAsia="zh-CN"/>
              </w:rPr>
              <w:t>:</w:t>
            </w:r>
            <w:r w:rsidRPr="002C7A02">
              <w:rPr>
                <w:rFonts w:asciiTheme="minorHAnsi" w:hAnsiTheme="minorHAnsi"/>
                <w:bCs/>
                <w:iCs/>
                <w:lang w:eastAsia="zh-CN"/>
              </w:rPr>
              <w:t xml:space="preserve"> </w:t>
            </w:r>
            <w:r w:rsidR="00D97805" w:rsidRPr="002C7A02">
              <w:rPr>
                <w:rFonts w:asciiTheme="minorHAnsi" w:hAnsiTheme="minorHAnsi"/>
                <w:bCs/>
                <w:iCs/>
                <w:lang w:eastAsia="zh-CN"/>
              </w:rPr>
              <w:t xml:space="preserve">economic benefits of </w:t>
            </w:r>
            <w:r w:rsidRPr="002C7A02">
              <w:rPr>
                <w:rFonts w:asciiTheme="minorHAnsi" w:hAnsiTheme="minorHAnsi"/>
                <w:bCs/>
                <w:iCs/>
                <w:lang w:eastAsia="zh-CN"/>
              </w:rPr>
              <w:t>improving broadband access</w:t>
            </w:r>
            <w:r w:rsidR="00332CF1" w:rsidRPr="002C7A02">
              <w:rPr>
                <w:rFonts w:asciiTheme="minorHAnsi" w:hAnsiTheme="minorHAnsi"/>
                <w:bCs/>
                <w:iCs/>
                <w:lang w:eastAsia="zh-CN"/>
              </w:rPr>
              <w:t xml:space="preserve"> (Section 2.3)</w:t>
            </w:r>
            <w:r w:rsidRPr="002C7A02">
              <w:rPr>
                <w:rFonts w:asciiTheme="minorHAnsi" w:hAnsiTheme="minorHAnsi"/>
                <w:bCs/>
                <w:iCs/>
                <w:lang w:eastAsia="zh-CN"/>
              </w:rPr>
              <w:t xml:space="preserve">, </w:t>
            </w:r>
            <w:r w:rsidR="00D97805" w:rsidRPr="002C7A02">
              <w:rPr>
                <w:rFonts w:asciiTheme="minorHAnsi" w:hAnsiTheme="minorHAnsi"/>
                <w:bCs/>
                <w:iCs/>
                <w:lang w:eastAsia="zh-CN"/>
              </w:rPr>
              <w:t xml:space="preserve">of </w:t>
            </w:r>
            <w:r w:rsidR="00346B31" w:rsidRPr="002C7A02">
              <w:rPr>
                <w:rFonts w:asciiTheme="minorHAnsi" w:hAnsiTheme="minorHAnsi"/>
                <w:bCs/>
                <w:iCs/>
                <w:lang w:eastAsia="zh-CN"/>
              </w:rPr>
              <w:t xml:space="preserve">using spectrum under the licensed </w:t>
            </w:r>
            <w:r w:rsidR="00332CF1" w:rsidRPr="002C7A02">
              <w:rPr>
                <w:rFonts w:asciiTheme="minorHAnsi" w:hAnsiTheme="minorHAnsi"/>
                <w:bCs/>
                <w:iCs/>
                <w:lang w:eastAsia="zh-CN"/>
              </w:rPr>
              <w:t>(</w:t>
            </w:r>
            <w:r w:rsidR="00DF731A" w:rsidRPr="002C7A02">
              <w:rPr>
                <w:rFonts w:asciiTheme="minorHAnsi" w:hAnsiTheme="minorHAnsi"/>
                <w:bCs/>
                <w:iCs/>
                <w:lang w:eastAsia="zh-CN"/>
              </w:rPr>
              <w:t xml:space="preserve">Section </w:t>
            </w:r>
            <w:r w:rsidR="00332CF1" w:rsidRPr="002C7A02">
              <w:rPr>
                <w:rFonts w:asciiTheme="minorHAnsi" w:hAnsiTheme="minorHAnsi"/>
                <w:bCs/>
                <w:iCs/>
                <w:lang w:eastAsia="zh-CN"/>
              </w:rPr>
              <w:t xml:space="preserve">2.4.1) </w:t>
            </w:r>
            <w:r w:rsidR="00346B31" w:rsidRPr="002C7A02">
              <w:rPr>
                <w:rFonts w:asciiTheme="minorHAnsi" w:hAnsiTheme="minorHAnsi"/>
                <w:bCs/>
                <w:iCs/>
                <w:lang w:eastAsia="zh-CN"/>
              </w:rPr>
              <w:t xml:space="preserve">and licensed-exempt </w:t>
            </w:r>
            <w:r w:rsidR="00332CF1" w:rsidRPr="002C7A02">
              <w:rPr>
                <w:rFonts w:asciiTheme="minorHAnsi" w:hAnsiTheme="minorHAnsi"/>
                <w:bCs/>
                <w:iCs/>
                <w:lang w:eastAsia="zh-CN"/>
              </w:rPr>
              <w:t xml:space="preserve">(Section 2.4.2) </w:t>
            </w:r>
            <w:r w:rsidR="00346B31" w:rsidRPr="002C7A02">
              <w:rPr>
                <w:rFonts w:asciiTheme="minorHAnsi" w:hAnsiTheme="minorHAnsi"/>
                <w:bCs/>
                <w:iCs/>
                <w:lang w:eastAsia="zh-CN"/>
              </w:rPr>
              <w:t>approach</w:t>
            </w:r>
            <w:r w:rsidR="00332CF1" w:rsidRPr="002C7A02">
              <w:rPr>
                <w:rFonts w:asciiTheme="minorHAnsi" w:hAnsiTheme="minorHAnsi"/>
                <w:bCs/>
                <w:iCs/>
                <w:lang w:eastAsia="zh-CN"/>
              </w:rPr>
              <w:t>es</w:t>
            </w:r>
            <w:r w:rsidR="00346B31" w:rsidRPr="002C7A02">
              <w:rPr>
                <w:rFonts w:asciiTheme="minorHAnsi" w:hAnsiTheme="minorHAnsi"/>
                <w:bCs/>
                <w:iCs/>
                <w:lang w:eastAsia="zh-CN"/>
              </w:rPr>
              <w:t xml:space="preserve">, </w:t>
            </w:r>
            <w:r w:rsidR="00DF731A" w:rsidRPr="002C7A02">
              <w:rPr>
                <w:rFonts w:asciiTheme="minorHAnsi" w:hAnsiTheme="minorHAnsi"/>
                <w:bCs/>
                <w:iCs/>
                <w:lang w:eastAsia="zh-CN"/>
              </w:rPr>
              <w:t xml:space="preserve">potential costs and economic benefits associated with the share use </w:t>
            </w:r>
            <w:r w:rsidR="00346B31" w:rsidRPr="002C7A02">
              <w:rPr>
                <w:rFonts w:asciiTheme="minorHAnsi" w:hAnsiTheme="minorHAnsi"/>
                <w:bCs/>
                <w:iCs/>
                <w:lang w:eastAsia="zh-CN"/>
              </w:rPr>
              <w:t xml:space="preserve">of </w:t>
            </w:r>
            <w:r w:rsidR="00D97805" w:rsidRPr="002C7A02">
              <w:rPr>
                <w:rFonts w:asciiTheme="minorHAnsi" w:hAnsiTheme="minorHAnsi"/>
                <w:bCs/>
                <w:iCs/>
                <w:lang w:eastAsia="zh-CN"/>
              </w:rPr>
              <w:t>spe</w:t>
            </w:r>
            <w:r w:rsidR="00346B31" w:rsidRPr="002C7A02">
              <w:rPr>
                <w:rFonts w:asciiTheme="minorHAnsi" w:hAnsiTheme="minorHAnsi"/>
                <w:bCs/>
                <w:iCs/>
                <w:lang w:eastAsia="zh-CN"/>
              </w:rPr>
              <w:t>ctrum</w:t>
            </w:r>
            <w:r w:rsidR="00332CF1" w:rsidRPr="002C7A02">
              <w:rPr>
                <w:rFonts w:asciiTheme="minorHAnsi" w:hAnsiTheme="minorHAnsi"/>
                <w:bCs/>
                <w:iCs/>
                <w:lang w:eastAsia="zh-CN"/>
              </w:rPr>
              <w:t xml:space="preserve"> (Section </w:t>
            </w:r>
            <w:r w:rsidR="00DF731A" w:rsidRPr="002C7A02">
              <w:rPr>
                <w:rFonts w:asciiTheme="minorHAnsi" w:hAnsiTheme="minorHAnsi"/>
                <w:bCs/>
                <w:iCs/>
                <w:lang w:eastAsia="zh-CN"/>
              </w:rPr>
              <w:t>2</w:t>
            </w:r>
            <w:r w:rsidR="00332CF1" w:rsidRPr="002C7A02">
              <w:rPr>
                <w:rFonts w:asciiTheme="minorHAnsi" w:hAnsiTheme="minorHAnsi"/>
                <w:bCs/>
                <w:iCs/>
                <w:lang w:eastAsia="zh-CN"/>
              </w:rPr>
              <w:t>.4.3)</w:t>
            </w:r>
            <w:r w:rsidR="00346B31" w:rsidRPr="002C7A02">
              <w:rPr>
                <w:rFonts w:asciiTheme="minorHAnsi" w:hAnsiTheme="minorHAnsi"/>
                <w:bCs/>
                <w:iCs/>
                <w:lang w:eastAsia="zh-CN"/>
              </w:rPr>
              <w:t>.</w:t>
            </w:r>
          </w:p>
          <w:p w14:paraId="2DF18254" w14:textId="77777777" w:rsidR="00346B31" w:rsidRPr="002C7A02" w:rsidRDefault="00346B31" w:rsidP="00346B31">
            <w:pPr>
              <w:tabs>
                <w:tab w:val="clear" w:pos="1134"/>
                <w:tab w:val="clear" w:pos="1871"/>
                <w:tab w:val="clear" w:pos="2268"/>
              </w:tabs>
              <w:overflowPunct/>
              <w:autoSpaceDE/>
              <w:autoSpaceDN/>
              <w:adjustRightInd/>
              <w:spacing w:before="0"/>
              <w:textAlignment w:val="auto"/>
              <w:rPr>
                <w:rFonts w:asciiTheme="minorHAnsi" w:hAnsiTheme="minorHAnsi"/>
                <w:bCs/>
                <w:iCs/>
                <w:lang w:eastAsia="zh-CN"/>
              </w:rPr>
            </w:pPr>
          </w:p>
          <w:p w14:paraId="0A791FED" w14:textId="4927C067" w:rsidR="00D721FD" w:rsidRPr="002C7A02" w:rsidRDefault="00040C94" w:rsidP="00346B31">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lastRenderedPageBreak/>
              <w:t xml:space="preserve">The information not related to economic considerations in </w:t>
            </w:r>
            <w:r w:rsidR="003A1158" w:rsidRPr="002C7A02">
              <w:rPr>
                <w:rFonts w:asciiTheme="minorHAnsi" w:hAnsiTheme="minorHAnsi"/>
                <w:lang w:eastAsia="zh-CN"/>
              </w:rPr>
              <w:t>original</w:t>
            </w:r>
            <w:r w:rsidR="00332CF1" w:rsidRPr="002C7A02">
              <w:rPr>
                <w:rFonts w:asciiTheme="minorHAnsi" w:hAnsiTheme="minorHAnsi"/>
                <w:lang w:eastAsia="zh-CN"/>
              </w:rPr>
              <w:t xml:space="preserve"> </w:t>
            </w:r>
            <w:r w:rsidRPr="002C7A02">
              <w:rPr>
                <w:rFonts w:asciiTheme="minorHAnsi" w:hAnsiTheme="minorHAnsi"/>
                <w:bCs/>
                <w:lang w:eastAsia="zh-CN"/>
              </w:rPr>
              <w:t xml:space="preserve">Sections 2.4.1 </w:t>
            </w:r>
            <w:r w:rsidRPr="002C7A02">
              <w:rPr>
                <w:rFonts w:asciiTheme="minorHAnsi" w:hAnsiTheme="minorHAnsi"/>
                <w:b/>
                <w:lang w:eastAsia="zh-CN"/>
              </w:rPr>
              <w:t>Potential benefits to consumers associated with shared use of TV white spaces</w:t>
            </w:r>
            <w:r w:rsidRPr="002C7A02">
              <w:rPr>
                <w:rFonts w:asciiTheme="minorHAnsi" w:hAnsiTheme="minorHAnsi"/>
                <w:bCs/>
                <w:lang w:eastAsia="zh-CN"/>
              </w:rPr>
              <w:t xml:space="preserve"> and 2.4.2 </w:t>
            </w:r>
            <w:r w:rsidRPr="002C7A02">
              <w:rPr>
                <w:rFonts w:asciiTheme="minorHAnsi" w:hAnsiTheme="minorHAnsi"/>
                <w:b/>
                <w:lang w:eastAsia="zh-CN"/>
              </w:rPr>
              <w:t>Potential regulatory costs associated with shared use of TV white spaces</w:t>
            </w:r>
            <w:r w:rsidRPr="002C7A02">
              <w:rPr>
                <w:rFonts w:asciiTheme="minorHAnsi" w:hAnsiTheme="minorHAnsi"/>
                <w:lang w:eastAsia="zh-CN"/>
              </w:rPr>
              <w:t xml:space="preserve"> was moved to Section 1.4.8 </w:t>
            </w:r>
            <w:r w:rsidRPr="002C7A02">
              <w:rPr>
                <w:rFonts w:asciiTheme="minorHAnsi" w:hAnsiTheme="minorHAnsi"/>
                <w:b/>
                <w:bCs/>
                <w:lang w:eastAsia="zh-CN"/>
              </w:rPr>
              <w:t>Benefits and challenges associated with the use of TV white spaces</w:t>
            </w:r>
            <w:r w:rsidR="009F7672" w:rsidRPr="002C7A02">
              <w:rPr>
                <w:rFonts w:asciiTheme="minorHAnsi" w:hAnsiTheme="minorHAnsi"/>
                <w:b/>
                <w:bCs/>
                <w:lang w:eastAsia="zh-CN"/>
              </w:rPr>
              <w:t xml:space="preserve"> </w:t>
            </w:r>
            <w:r w:rsidR="009F7672" w:rsidRPr="002C7A02">
              <w:rPr>
                <w:rFonts w:asciiTheme="minorHAnsi" w:hAnsiTheme="minorHAnsi"/>
                <w:bCs/>
                <w:lang w:eastAsia="zh-CN"/>
              </w:rPr>
              <w:t>in order to more accurately reflect instructs 1 of Resolution 9 (Rev. Dubai, 2014).</w:t>
            </w:r>
          </w:p>
        </w:tc>
      </w:tr>
      <w:tr w:rsidR="00D721FD" w:rsidRPr="002C7A02" w14:paraId="15FB2AD6" w14:textId="77777777" w:rsidTr="000564AF">
        <w:tc>
          <w:tcPr>
            <w:tcW w:w="4815" w:type="dxa"/>
          </w:tcPr>
          <w:p w14:paraId="6C960B00" w14:textId="45C782E7" w:rsidR="00D721FD" w:rsidRPr="002C7A02" w:rsidRDefault="00D721FD" w:rsidP="00BD4A93">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2.4.1</w:t>
            </w:r>
            <w:r w:rsidRPr="002C7A02">
              <w:rPr>
                <w:rFonts w:asciiTheme="minorHAnsi" w:hAnsiTheme="minorHAnsi"/>
                <w:lang w:eastAsia="zh-CN"/>
              </w:rPr>
              <w:tab/>
            </w:r>
            <w:r w:rsidRPr="002C7A02">
              <w:rPr>
                <w:rFonts w:asciiTheme="minorHAnsi" w:hAnsiTheme="minorHAnsi"/>
                <w:b/>
                <w:lang w:eastAsia="zh-CN"/>
              </w:rPr>
              <w:t>Potential benefits to consumers associated with shared use of TV</w:t>
            </w:r>
            <w:r w:rsidR="00BD4A93" w:rsidRPr="002C7A02">
              <w:rPr>
                <w:rFonts w:asciiTheme="minorHAnsi" w:hAnsiTheme="minorHAnsi"/>
                <w:b/>
                <w:lang w:eastAsia="zh-CN"/>
              </w:rPr>
              <w:t xml:space="preserve"> </w:t>
            </w:r>
            <w:r w:rsidRPr="002C7A02">
              <w:rPr>
                <w:rFonts w:asciiTheme="minorHAnsi" w:hAnsiTheme="minorHAnsi"/>
                <w:b/>
                <w:lang w:eastAsia="zh-CN"/>
              </w:rPr>
              <w:t>white spaces</w:t>
            </w:r>
          </w:p>
        </w:tc>
        <w:tc>
          <w:tcPr>
            <w:tcW w:w="9072" w:type="dxa"/>
            <w:gridSpan w:val="2"/>
            <w:vMerge/>
          </w:tcPr>
          <w:p w14:paraId="5330E62D" w14:textId="77777777" w:rsidR="00D721FD" w:rsidRPr="002C7A02" w:rsidRDefault="00D721FD"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D721FD" w:rsidRPr="002C7A02" w14:paraId="7FF5E71B" w14:textId="77777777" w:rsidTr="000564AF">
        <w:tc>
          <w:tcPr>
            <w:tcW w:w="4815" w:type="dxa"/>
          </w:tcPr>
          <w:p w14:paraId="5FA70917" w14:textId="77777777" w:rsidR="00D721FD" w:rsidRPr="002C7A02" w:rsidRDefault="00D721FD" w:rsidP="00BD4A93">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2.4.2</w:t>
            </w:r>
            <w:r w:rsidRPr="002C7A02">
              <w:rPr>
                <w:rFonts w:asciiTheme="minorHAnsi" w:hAnsiTheme="minorHAnsi"/>
                <w:lang w:eastAsia="zh-CN"/>
              </w:rPr>
              <w:tab/>
            </w:r>
            <w:r w:rsidRPr="002C7A02">
              <w:rPr>
                <w:rFonts w:asciiTheme="minorHAnsi" w:hAnsiTheme="minorHAnsi"/>
                <w:b/>
                <w:lang w:eastAsia="zh-CN"/>
              </w:rPr>
              <w:t>Potential regulatory costs associated with shared use of TV white</w:t>
            </w:r>
            <w:r w:rsidR="00BD4A93" w:rsidRPr="002C7A02">
              <w:rPr>
                <w:rFonts w:asciiTheme="minorHAnsi" w:hAnsiTheme="minorHAnsi"/>
                <w:b/>
                <w:lang w:eastAsia="zh-CN"/>
              </w:rPr>
              <w:t xml:space="preserve"> </w:t>
            </w:r>
            <w:r w:rsidRPr="002C7A02">
              <w:rPr>
                <w:rFonts w:asciiTheme="minorHAnsi" w:hAnsiTheme="minorHAnsi"/>
                <w:b/>
                <w:lang w:eastAsia="zh-CN"/>
              </w:rPr>
              <w:t>spaces</w:t>
            </w:r>
          </w:p>
        </w:tc>
        <w:tc>
          <w:tcPr>
            <w:tcW w:w="9072" w:type="dxa"/>
            <w:gridSpan w:val="2"/>
            <w:vMerge/>
          </w:tcPr>
          <w:p w14:paraId="26149DC9" w14:textId="77777777" w:rsidR="00D721FD" w:rsidRPr="002C7A02" w:rsidRDefault="00D721FD" w:rsidP="00C4700A">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D7087A" w:rsidRPr="002C7A02" w14:paraId="4457DA1D" w14:textId="77777777" w:rsidTr="00D7087A">
        <w:tc>
          <w:tcPr>
            <w:tcW w:w="5098" w:type="dxa"/>
            <w:gridSpan w:val="2"/>
          </w:tcPr>
          <w:p w14:paraId="3658D6F5" w14:textId="0D766048" w:rsidR="00D96F32" w:rsidRPr="002C7A02" w:rsidRDefault="00214152" w:rsidP="00D96F32">
            <w:pPr>
              <w:tabs>
                <w:tab w:val="clear" w:pos="1134"/>
                <w:tab w:val="clear" w:pos="1871"/>
                <w:tab w:val="clear" w:pos="2268"/>
              </w:tabs>
              <w:overflowPunct/>
              <w:autoSpaceDE/>
              <w:autoSpaceDN/>
              <w:adjustRightInd/>
              <w:spacing w:before="0"/>
              <w:textAlignment w:val="auto"/>
              <w:rPr>
                <w:rFonts w:asciiTheme="minorHAnsi" w:hAnsiTheme="minorHAnsi"/>
                <w:b/>
                <w:bCs/>
                <w:highlight w:val="yellow"/>
                <w:lang w:eastAsia="zh-CN"/>
              </w:rPr>
            </w:pPr>
            <w:r w:rsidRPr="002C7A02">
              <w:rPr>
                <w:rFonts w:asciiTheme="minorHAnsi" w:hAnsiTheme="minorHAnsi"/>
              </w:rPr>
              <w:br w:type="page"/>
            </w:r>
            <w:r w:rsidR="00D96F32" w:rsidRPr="002C7A02">
              <w:rPr>
                <w:rFonts w:asciiTheme="minorHAnsi" w:hAnsiTheme="minorHAnsi"/>
                <w:b/>
                <w:bCs/>
                <w:lang w:eastAsia="zh-CN"/>
              </w:rPr>
              <w:t>3</w:t>
            </w:r>
            <w:r w:rsidR="00D96F32" w:rsidRPr="002C7A02">
              <w:rPr>
                <w:rFonts w:asciiTheme="minorHAnsi" w:eastAsiaTheme="minorEastAsia" w:hAnsiTheme="minorHAnsi"/>
                <w:b/>
                <w:bCs/>
                <w:lang w:eastAsia="zh-CN"/>
              </w:rPr>
              <w:tab/>
            </w:r>
            <w:r w:rsidR="00D96F32" w:rsidRPr="002C7A02">
              <w:rPr>
                <w:rFonts w:asciiTheme="minorHAnsi" w:hAnsiTheme="minorHAnsi"/>
                <w:b/>
                <w:bCs/>
                <w:lang w:eastAsia="zh-CN"/>
              </w:rPr>
              <w:t>CHAPTER 3 – Spectrum management activities and resources</w:t>
            </w:r>
          </w:p>
        </w:tc>
        <w:tc>
          <w:tcPr>
            <w:tcW w:w="8789" w:type="dxa"/>
          </w:tcPr>
          <w:p w14:paraId="093B55D1" w14:textId="052EF074" w:rsidR="00D96F32" w:rsidRPr="002C7A02" w:rsidRDefault="00D96F32" w:rsidP="00EA7273">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 xml:space="preserve">Chapter 3 was shortened as a result of the move of information (spectrum </w:t>
            </w:r>
            <w:proofErr w:type="spellStart"/>
            <w:r w:rsidRPr="002C7A02">
              <w:rPr>
                <w:rFonts w:asciiTheme="minorHAnsi" w:hAnsiTheme="minorHAnsi"/>
                <w:lang w:eastAsia="zh-CN"/>
              </w:rPr>
              <w:t>refarming</w:t>
            </w:r>
            <w:proofErr w:type="spellEnd"/>
            <w:r w:rsidRPr="002C7A02">
              <w:rPr>
                <w:rFonts w:asciiTheme="minorHAnsi" w:hAnsiTheme="minorHAnsi"/>
                <w:lang w:eastAsia="zh-CN"/>
              </w:rPr>
              <w:t>, ESIM) into Chapter 1</w:t>
            </w:r>
          </w:p>
        </w:tc>
      </w:tr>
      <w:tr w:rsidR="00D7087A" w:rsidRPr="002C7A02" w14:paraId="75E6D26E" w14:textId="77777777" w:rsidTr="00D7087A">
        <w:tc>
          <w:tcPr>
            <w:tcW w:w="5098" w:type="dxa"/>
            <w:gridSpan w:val="2"/>
          </w:tcPr>
          <w:p w14:paraId="7957644C" w14:textId="77777777" w:rsidR="002D5D40" w:rsidRPr="002C7A02" w:rsidRDefault="002D5D40"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3.1</w:t>
            </w:r>
            <w:r w:rsidRPr="002C7A02">
              <w:rPr>
                <w:rFonts w:asciiTheme="minorHAnsi" w:hAnsiTheme="minorHAnsi"/>
                <w:lang w:eastAsia="zh-CN"/>
              </w:rPr>
              <w:tab/>
            </w:r>
            <w:r w:rsidRPr="002C7A02">
              <w:rPr>
                <w:rFonts w:asciiTheme="minorHAnsi" w:hAnsiTheme="minorHAnsi"/>
                <w:b/>
                <w:bCs/>
                <w:lang w:eastAsia="zh-CN"/>
              </w:rPr>
              <w:t>NTFA guidelines</w:t>
            </w:r>
          </w:p>
        </w:tc>
        <w:tc>
          <w:tcPr>
            <w:tcW w:w="8789" w:type="dxa"/>
            <w:vMerge w:val="restart"/>
          </w:tcPr>
          <w:p w14:paraId="58328636" w14:textId="029AE949" w:rsidR="00C813BC" w:rsidRPr="002C7A02" w:rsidRDefault="002D5D40" w:rsidP="005F6780">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 xml:space="preserve">Basically unchanged with the </w:t>
            </w:r>
            <w:r w:rsidR="00C813BC" w:rsidRPr="002C7A02">
              <w:rPr>
                <w:rFonts w:asciiTheme="minorHAnsi" w:hAnsiTheme="minorHAnsi"/>
                <w:lang w:eastAsia="zh-CN"/>
              </w:rPr>
              <w:t>following exceptions:</w:t>
            </w:r>
          </w:p>
          <w:p w14:paraId="13FF3E58" w14:textId="77777777" w:rsidR="00C813BC" w:rsidRPr="002C7A02" w:rsidRDefault="00C813BC" w:rsidP="005F6780">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p w14:paraId="46695C52" w14:textId="77777777" w:rsidR="00C813BC" w:rsidRPr="002C7A02" w:rsidRDefault="00C813BC" w:rsidP="005F6780">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 xml:space="preserve">- </w:t>
            </w:r>
            <w:r w:rsidR="002D5D40" w:rsidRPr="002C7A02">
              <w:rPr>
                <w:rFonts w:asciiTheme="minorHAnsi" w:hAnsiTheme="minorHAnsi"/>
                <w:lang w:eastAsia="zh-CN"/>
              </w:rPr>
              <w:t xml:space="preserve">national experiences </w:t>
            </w:r>
            <w:r w:rsidRPr="002C7A02">
              <w:rPr>
                <w:rFonts w:asciiTheme="minorHAnsi" w:hAnsiTheme="minorHAnsi"/>
                <w:lang w:eastAsia="zh-CN"/>
              </w:rPr>
              <w:t xml:space="preserve">were </w:t>
            </w:r>
            <w:r w:rsidR="002D5D40" w:rsidRPr="002C7A02">
              <w:rPr>
                <w:rFonts w:asciiTheme="minorHAnsi" w:hAnsiTheme="minorHAnsi"/>
                <w:lang w:eastAsia="zh-CN"/>
              </w:rPr>
              <w:t xml:space="preserve">summarized and the </w:t>
            </w:r>
            <w:r w:rsidR="005F6780" w:rsidRPr="002C7A02">
              <w:rPr>
                <w:rFonts w:asciiTheme="minorHAnsi" w:hAnsiTheme="minorHAnsi"/>
                <w:lang w:eastAsia="zh-CN"/>
              </w:rPr>
              <w:t>current text</w:t>
            </w:r>
            <w:r w:rsidR="002D5D40" w:rsidRPr="002C7A02">
              <w:rPr>
                <w:rFonts w:asciiTheme="minorHAnsi" w:hAnsiTheme="minorHAnsi"/>
                <w:lang w:eastAsia="zh-CN"/>
              </w:rPr>
              <w:t xml:space="preserve"> moved to</w:t>
            </w:r>
            <w:r w:rsidR="005F6780" w:rsidRPr="002C7A02">
              <w:rPr>
                <w:rFonts w:asciiTheme="minorHAnsi" w:hAnsiTheme="minorHAnsi"/>
                <w:lang w:eastAsia="zh-CN"/>
              </w:rPr>
              <w:t xml:space="preserve"> Annex 2 Sections A2-5 and A2-6</w:t>
            </w:r>
          </w:p>
          <w:p w14:paraId="28AFA8AE" w14:textId="150D0E6E" w:rsidR="002D5D40" w:rsidRPr="002C7A02" w:rsidRDefault="00C813BC" w:rsidP="000D6100">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 xml:space="preserve">- </w:t>
            </w:r>
            <w:r w:rsidR="006226BD" w:rsidRPr="002C7A02">
              <w:rPr>
                <w:rFonts w:asciiTheme="minorHAnsi" w:hAnsiTheme="minorHAnsi"/>
                <w:lang w:eastAsia="zh-CN"/>
              </w:rPr>
              <w:t xml:space="preserve">the considerations under </w:t>
            </w:r>
            <w:r w:rsidR="003A1158" w:rsidRPr="002C7A02">
              <w:rPr>
                <w:rFonts w:asciiTheme="minorHAnsi" w:hAnsiTheme="minorHAnsi"/>
                <w:lang w:eastAsia="zh-CN"/>
              </w:rPr>
              <w:t>Section</w:t>
            </w:r>
            <w:r w:rsidR="006226BD" w:rsidRPr="002C7A02">
              <w:rPr>
                <w:rFonts w:asciiTheme="minorHAnsi" w:hAnsiTheme="minorHAnsi"/>
                <w:lang w:eastAsia="zh-CN"/>
              </w:rPr>
              <w:t xml:space="preserve"> 3.</w:t>
            </w:r>
            <w:r w:rsidR="001D0739" w:rsidRPr="002C7A02">
              <w:rPr>
                <w:rFonts w:asciiTheme="minorHAnsi" w:hAnsiTheme="minorHAnsi"/>
                <w:lang w:eastAsia="zh-CN"/>
              </w:rPr>
              <w:t>2.</w:t>
            </w:r>
            <w:r w:rsidR="006226BD" w:rsidRPr="002C7A02">
              <w:rPr>
                <w:rFonts w:asciiTheme="minorHAnsi" w:hAnsiTheme="minorHAnsi"/>
                <w:lang w:eastAsia="zh-CN"/>
              </w:rPr>
              <w:t xml:space="preserve">3 </w:t>
            </w:r>
            <w:r w:rsidR="006226BD" w:rsidRPr="002C7A02">
              <w:rPr>
                <w:rFonts w:asciiTheme="minorHAnsi" w:hAnsiTheme="minorHAnsi"/>
                <w:b/>
                <w:lang w:eastAsia="zh-CN"/>
              </w:rPr>
              <w:t>Strategies and methods of migration from analogue to digital terrestrial broadcasting and implementation of new services</w:t>
            </w:r>
            <w:r w:rsidR="006226BD" w:rsidRPr="002C7A02">
              <w:rPr>
                <w:rFonts w:asciiTheme="minorHAnsi" w:hAnsiTheme="minorHAnsi"/>
                <w:lang w:eastAsia="zh-CN"/>
              </w:rPr>
              <w:t xml:space="preserve"> </w:t>
            </w:r>
            <w:r w:rsidR="001D0739" w:rsidRPr="002C7A02">
              <w:rPr>
                <w:rFonts w:asciiTheme="minorHAnsi" w:hAnsiTheme="minorHAnsi"/>
                <w:lang w:eastAsia="zh-CN"/>
              </w:rPr>
              <w:t xml:space="preserve">were </w:t>
            </w:r>
            <w:r w:rsidR="002D5D40" w:rsidRPr="002C7A02">
              <w:rPr>
                <w:rFonts w:asciiTheme="minorHAnsi" w:hAnsiTheme="minorHAnsi"/>
                <w:lang w:eastAsia="zh-CN"/>
              </w:rPr>
              <w:t xml:space="preserve">moved to </w:t>
            </w:r>
            <w:r w:rsidR="000D6100" w:rsidRPr="002C7A02">
              <w:rPr>
                <w:rFonts w:asciiTheme="minorHAnsi" w:hAnsiTheme="minorHAnsi"/>
                <w:lang w:eastAsia="zh-CN"/>
              </w:rPr>
              <w:t>Section 1.3.</w:t>
            </w:r>
            <w:r w:rsidR="006226BD" w:rsidRPr="002C7A02">
              <w:rPr>
                <w:rFonts w:asciiTheme="minorHAnsi" w:hAnsiTheme="minorHAnsi"/>
                <w:lang w:eastAsia="zh-CN"/>
              </w:rPr>
              <w:t>2 and 1.3.3</w:t>
            </w:r>
          </w:p>
        </w:tc>
      </w:tr>
      <w:tr w:rsidR="00D7087A" w:rsidRPr="002C7A02" w14:paraId="35206F2D" w14:textId="77777777" w:rsidTr="00D7087A">
        <w:tc>
          <w:tcPr>
            <w:tcW w:w="5098" w:type="dxa"/>
            <w:gridSpan w:val="2"/>
          </w:tcPr>
          <w:p w14:paraId="3323C125" w14:textId="25539EC9" w:rsidR="002D5D40" w:rsidRPr="002C7A02" w:rsidRDefault="002D5D40"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3.1.1</w:t>
            </w:r>
            <w:r w:rsidRPr="002C7A02">
              <w:rPr>
                <w:rFonts w:asciiTheme="minorHAnsi" w:hAnsiTheme="minorHAnsi"/>
                <w:lang w:eastAsia="zh-CN"/>
              </w:rPr>
              <w:tab/>
            </w:r>
            <w:r w:rsidRPr="002C7A02">
              <w:rPr>
                <w:rFonts w:asciiTheme="minorHAnsi" w:hAnsiTheme="minorHAnsi"/>
                <w:b/>
                <w:lang w:eastAsia="zh-CN"/>
              </w:rPr>
              <w:t>National Table of Frequency Allocations (NTFA)</w:t>
            </w:r>
          </w:p>
        </w:tc>
        <w:tc>
          <w:tcPr>
            <w:tcW w:w="8789" w:type="dxa"/>
            <w:vMerge/>
          </w:tcPr>
          <w:p w14:paraId="7DB57397" w14:textId="77777777" w:rsidR="002D5D40" w:rsidRPr="002C7A02" w:rsidRDefault="002D5D40"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D7087A" w:rsidRPr="002C7A02" w14:paraId="3F5692F0" w14:textId="77777777" w:rsidTr="00D7087A">
        <w:tc>
          <w:tcPr>
            <w:tcW w:w="5098" w:type="dxa"/>
            <w:gridSpan w:val="2"/>
          </w:tcPr>
          <w:p w14:paraId="3855ECFC" w14:textId="77777777" w:rsidR="002D5D40" w:rsidRPr="002C7A02" w:rsidRDefault="002D5D40"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3.1.2</w:t>
            </w:r>
            <w:r w:rsidRPr="002C7A02">
              <w:rPr>
                <w:rFonts w:asciiTheme="minorHAnsi" w:hAnsiTheme="minorHAnsi"/>
                <w:lang w:eastAsia="zh-CN"/>
              </w:rPr>
              <w:tab/>
              <w:t>Assessing countries’ needs for spectrum management and IT</w:t>
            </w:r>
            <w:r w:rsidRPr="002C7A02">
              <w:rPr>
                <w:rFonts w:asciiTheme="minorHAnsi" w:hAnsiTheme="minorHAnsi"/>
                <w:lang w:eastAsia="zh-CN"/>
              </w:rPr>
              <w:br/>
              <w:t>tools/systems</w:t>
            </w:r>
          </w:p>
        </w:tc>
        <w:tc>
          <w:tcPr>
            <w:tcW w:w="8789" w:type="dxa"/>
            <w:vMerge/>
          </w:tcPr>
          <w:p w14:paraId="53715F01" w14:textId="77777777" w:rsidR="002D5D40" w:rsidRPr="002C7A02" w:rsidRDefault="002D5D40"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D7087A" w:rsidRPr="002C7A02" w14:paraId="71D43645" w14:textId="77777777" w:rsidTr="00D7087A">
        <w:tc>
          <w:tcPr>
            <w:tcW w:w="5098" w:type="dxa"/>
            <w:gridSpan w:val="2"/>
          </w:tcPr>
          <w:p w14:paraId="774FD867" w14:textId="77777777" w:rsidR="002D5D40" w:rsidRPr="002C7A02" w:rsidRDefault="002D5D40"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3.1.3</w:t>
            </w:r>
            <w:r w:rsidRPr="002C7A02">
              <w:rPr>
                <w:rFonts w:asciiTheme="minorHAnsi" w:hAnsiTheme="minorHAnsi"/>
                <w:lang w:eastAsia="zh-CN"/>
              </w:rPr>
              <w:tab/>
            </w:r>
            <w:r w:rsidRPr="002C7A02">
              <w:rPr>
                <w:rFonts w:asciiTheme="minorHAnsi" w:hAnsiTheme="minorHAnsi"/>
                <w:b/>
                <w:lang w:eastAsia="zh-CN"/>
              </w:rPr>
              <w:t>Hungary – Spectrum Management IT System (STIR)</w:t>
            </w:r>
          </w:p>
        </w:tc>
        <w:tc>
          <w:tcPr>
            <w:tcW w:w="8789" w:type="dxa"/>
            <w:vMerge/>
          </w:tcPr>
          <w:p w14:paraId="4D2DD1BE" w14:textId="77777777" w:rsidR="002D5D40" w:rsidRPr="002C7A02" w:rsidRDefault="002D5D40"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D7087A" w:rsidRPr="002C7A02" w14:paraId="3A3BC8C8" w14:textId="77777777" w:rsidTr="00D7087A">
        <w:tc>
          <w:tcPr>
            <w:tcW w:w="5098" w:type="dxa"/>
            <w:gridSpan w:val="2"/>
          </w:tcPr>
          <w:p w14:paraId="7532E382" w14:textId="77777777" w:rsidR="002D5D40" w:rsidRPr="002C7A02" w:rsidRDefault="002D5D40"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3.2</w:t>
            </w:r>
            <w:r w:rsidRPr="002C7A02">
              <w:rPr>
                <w:rFonts w:asciiTheme="minorHAnsi" w:hAnsiTheme="minorHAnsi"/>
                <w:lang w:eastAsia="zh-CN"/>
              </w:rPr>
              <w:tab/>
            </w:r>
            <w:r w:rsidRPr="002C7A02">
              <w:rPr>
                <w:rFonts w:asciiTheme="minorHAnsi" w:hAnsiTheme="minorHAnsi"/>
                <w:b/>
                <w:bCs/>
                <w:lang w:eastAsia="zh-CN"/>
              </w:rPr>
              <w:t>Spectrum re-allocation (including digital dividend)</w:t>
            </w:r>
          </w:p>
        </w:tc>
        <w:tc>
          <w:tcPr>
            <w:tcW w:w="8789" w:type="dxa"/>
            <w:vMerge/>
          </w:tcPr>
          <w:p w14:paraId="3C4EE88A" w14:textId="77777777" w:rsidR="002D5D40" w:rsidRPr="002C7A02" w:rsidRDefault="002D5D40"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D7087A" w:rsidRPr="002C7A02" w14:paraId="0D6FC000" w14:textId="77777777" w:rsidTr="00D7087A">
        <w:tc>
          <w:tcPr>
            <w:tcW w:w="5098" w:type="dxa"/>
            <w:gridSpan w:val="2"/>
          </w:tcPr>
          <w:p w14:paraId="2292618C" w14:textId="77777777" w:rsidR="002D5D40" w:rsidRPr="002C7A02" w:rsidRDefault="002D5D40"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3.2.1</w:t>
            </w:r>
            <w:r w:rsidRPr="002C7A02">
              <w:rPr>
                <w:rFonts w:asciiTheme="minorHAnsi" w:hAnsiTheme="minorHAnsi"/>
                <w:lang w:eastAsia="zh-CN"/>
              </w:rPr>
              <w:tab/>
            </w:r>
            <w:r w:rsidRPr="002C7A02">
              <w:rPr>
                <w:rFonts w:asciiTheme="minorHAnsi" w:hAnsiTheme="minorHAnsi"/>
                <w:b/>
                <w:lang w:eastAsia="zh-CN"/>
              </w:rPr>
              <w:t>People’s Republic of China – The improvement of spectral efficiency based on LTE technology</w:t>
            </w:r>
          </w:p>
        </w:tc>
        <w:tc>
          <w:tcPr>
            <w:tcW w:w="8789" w:type="dxa"/>
            <w:vMerge/>
          </w:tcPr>
          <w:p w14:paraId="64B4F6DF" w14:textId="77777777" w:rsidR="002D5D40" w:rsidRPr="002C7A02" w:rsidRDefault="002D5D40"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D7087A" w:rsidRPr="002C7A02" w14:paraId="453998BC" w14:textId="77777777" w:rsidTr="00D7087A">
        <w:tc>
          <w:tcPr>
            <w:tcW w:w="5098" w:type="dxa"/>
            <w:gridSpan w:val="2"/>
          </w:tcPr>
          <w:p w14:paraId="13258490" w14:textId="7C9D5094" w:rsidR="002D5D40" w:rsidRPr="002C7A02" w:rsidRDefault="002D5D40" w:rsidP="005F3FB9">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3.2.2</w:t>
            </w:r>
            <w:r w:rsidRPr="002C7A02">
              <w:rPr>
                <w:rFonts w:asciiTheme="minorHAnsi" w:hAnsiTheme="minorHAnsi"/>
                <w:lang w:eastAsia="zh-CN"/>
              </w:rPr>
              <w:tab/>
            </w:r>
            <w:r w:rsidRPr="002C7A02">
              <w:rPr>
                <w:rFonts w:asciiTheme="minorHAnsi" w:hAnsiTheme="minorHAnsi"/>
                <w:b/>
                <w:lang w:eastAsia="zh-CN"/>
              </w:rPr>
              <w:t>Tanzania − The legal framework on Spectrum Management in</w:t>
            </w:r>
            <w:r w:rsidR="005F3FB9" w:rsidRPr="002C7A02">
              <w:rPr>
                <w:rFonts w:asciiTheme="minorHAnsi" w:hAnsiTheme="minorHAnsi"/>
                <w:b/>
                <w:lang w:eastAsia="zh-CN"/>
              </w:rPr>
              <w:t xml:space="preserve"> </w:t>
            </w:r>
            <w:r w:rsidRPr="002C7A02">
              <w:rPr>
                <w:rFonts w:asciiTheme="minorHAnsi" w:hAnsiTheme="minorHAnsi"/>
                <w:b/>
                <w:lang w:eastAsia="zh-CN"/>
              </w:rPr>
              <w:t>Tanzania</w:t>
            </w:r>
          </w:p>
        </w:tc>
        <w:tc>
          <w:tcPr>
            <w:tcW w:w="8789" w:type="dxa"/>
            <w:vMerge/>
          </w:tcPr>
          <w:p w14:paraId="215B4382" w14:textId="77777777" w:rsidR="002D5D40" w:rsidRPr="002C7A02" w:rsidRDefault="002D5D40"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D7087A" w:rsidRPr="002C7A02" w14:paraId="09D50B9F" w14:textId="77777777" w:rsidTr="00D7087A">
        <w:tc>
          <w:tcPr>
            <w:tcW w:w="5098" w:type="dxa"/>
            <w:gridSpan w:val="2"/>
          </w:tcPr>
          <w:p w14:paraId="4DA53B37" w14:textId="77777777" w:rsidR="002D5D40" w:rsidRPr="002C7A02" w:rsidRDefault="002D5D40"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3.2.3</w:t>
            </w:r>
            <w:r w:rsidRPr="002C7A02">
              <w:rPr>
                <w:rFonts w:asciiTheme="minorHAnsi" w:hAnsiTheme="minorHAnsi"/>
                <w:lang w:eastAsia="zh-CN"/>
              </w:rPr>
              <w:tab/>
            </w:r>
            <w:r w:rsidRPr="002C7A02">
              <w:rPr>
                <w:rFonts w:asciiTheme="minorHAnsi" w:hAnsiTheme="minorHAnsi"/>
                <w:b/>
                <w:lang w:eastAsia="zh-CN"/>
              </w:rPr>
              <w:t>Strategies and methods of migration from analogue to digital terrestrial broadcasting and implementation of new services</w:t>
            </w:r>
          </w:p>
        </w:tc>
        <w:tc>
          <w:tcPr>
            <w:tcW w:w="8789" w:type="dxa"/>
            <w:vMerge/>
          </w:tcPr>
          <w:p w14:paraId="56DD7B6E" w14:textId="77777777" w:rsidR="002D5D40" w:rsidRPr="002C7A02" w:rsidRDefault="002D5D40"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5F3FB9" w:rsidRPr="002C7A02" w14:paraId="302DFE0F" w14:textId="77777777" w:rsidTr="00D7087A">
        <w:tc>
          <w:tcPr>
            <w:tcW w:w="5098" w:type="dxa"/>
            <w:gridSpan w:val="2"/>
          </w:tcPr>
          <w:p w14:paraId="4D2B9260" w14:textId="77777777" w:rsidR="00FF5E62" w:rsidRPr="002C7A02" w:rsidRDefault="00FF5E62"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3.3</w:t>
            </w:r>
            <w:r w:rsidRPr="002C7A02">
              <w:rPr>
                <w:rFonts w:asciiTheme="minorHAnsi" w:hAnsiTheme="minorHAnsi"/>
                <w:lang w:eastAsia="zh-CN"/>
              </w:rPr>
              <w:tab/>
            </w:r>
            <w:r w:rsidRPr="002C7A02">
              <w:rPr>
                <w:rFonts w:asciiTheme="minorHAnsi" w:hAnsiTheme="minorHAnsi"/>
                <w:b/>
                <w:bCs/>
                <w:lang w:eastAsia="zh-CN"/>
              </w:rPr>
              <w:t>Spectrum management approach for the consideration of earth stations in the fixed-satellite service, including Earth Stations In Motion (ESIMs)</w:t>
            </w:r>
          </w:p>
        </w:tc>
        <w:tc>
          <w:tcPr>
            <w:tcW w:w="8789" w:type="dxa"/>
            <w:vMerge w:val="restart"/>
          </w:tcPr>
          <w:p w14:paraId="1B9B4EE2" w14:textId="6F6670EA" w:rsidR="00FF5E62" w:rsidRPr="002C7A02" w:rsidRDefault="00C813BC" w:rsidP="00C813BC">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bCs/>
                <w:iCs/>
                <w:lang w:eastAsia="zh-CN"/>
              </w:rPr>
              <w:t>Section m</w:t>
            </w:r>
            <w:r w:rsidR="00FF5E62" w:rsidRPr="002C7A02">
              <w:rPr>
                <w:rFonts w:asciiTheme="minorHAnsi" w:hAnsiTheme="minorHAnsi"/>
                <w:lang w:eastAsia="zh-CN"/>
              </w:rPr>
              <w:t xml:space="preserve">oved to Section </w:t>
            </w:r>
            <w:r w:rsidR="00FF5E62" w:rsidRPr="002C7A02">
              <w:rPr>
                <w:rFonts w:asciiTheme="minorHAnsi" w:hAnsiTheme="minorHAnsi"/>
              </w:rPr>
              <w:t>1.2.4.2</w:t>
            </w:r>
            <w:r w:rsidR="00FF5E62" w:rsidRPr="002C7A02">
              <w:rPr>
                <w:rFonts w:asciiTheme="minorHAnsi" w:hAnsiTheme="minorHAnsi"/>
                <w:lang w:eastAsia="zh-CN"/>
              </w:rPr>
              <w:t>.</w:t>
            </w:r>
          </w:p>
        </w:tc>
      </w:tr>
      <w:tr w:rsidR="005F3FB9" w:rsidRPr="002C7A02" w14:paraId="50685E65" w14:textId="77777777" w:rsidTr="00D7087A">
        <w:tc>
          <w:tcPr>
            <w:tcW w:w="5098" w:type="dxa"/>
            <w:gridSpan w:val="2"/>
          </w:tcPr>
          <w:p w14:paraId="6F7843A3" w14:textId="77777777" w:rsidR="00FF5E62" w:rsidRPr="002C7A02" w:rsidRDefault="00FF5E62"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3.3.1</w:t>
            </w:r>
            <w:r w:rsidRPr="002C7A02">
              <w:rPr>
                <w:rFonts w:asciiTheme="minorHAnsi" w:hAnsiTheme="minorHAnsi"/>
                <w:lang w:eastAsia="zh-CN"/>
              </w:rPr>
              <w:tab/>
            </w:r>
            <w:r w:rsidRPr="002C7A02">
              <w:rPr>
                <w:rFonts w:asciiTheme="minorHAnsi" w:hAnsiTheme="minorHAnsi"/>
                <w:b/>
                <w:lang w:eastAsia="zh-CN"/>
              </w:rPr>
              <w:t>CEPT adopts regional regulatory approach</w:t>
            </w:r>
          </w:p>
        </w:tc>
        <w:tc>
          <w:tcPr>
            <w:tcW w:w="8789" w:type="dxa"/>
            <w:vMerge/>
          </w:tcPr>
          <w:p w14:paraId="73C7BB46" w14:textId="77777777" w:rsidR="00FF5E62" w:rsidRPr="002C7A02" w:rsidRDefault="00FF5E62"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5F3FB9" w:rsidRPr="002C7A02" w14:paraId="1A3ECE22" w14:textId="77777777" w:rsidTr="00D7087A">
        <w:tc>
          <w:tcPr>
            <w:tcW w:w="5098" w:type="dxa"/>
            <w:gridSpan w:val="2"/>
          </w:tcPr>
          <w:p w14:paraId="4EFA2D2B" w14:textId="77777777" w:rsidR="00FF5E62" w:rsidRPr="002C7A02" w:rsidRDefault="00FF5E62"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3.3.2</w:t>
            </w:r>
            <w:r w:rsidRPr="002C7A02">
              <w:rPr>
                <w:rFonts w:asciiTheme="minorHAnsi" w:hAnsiTheme="minorHAnsi"/>
                <w:lang w:eastAsia="zh-CN"/>
              </w:rPr>
              <w:tab/>
            </w:r>
            <w:r w:rsidRPr="002C7A02">
              <w:rPr>
                <w:rFonts w:asciiTheme="minorHAnsi" w:hAnsiTheme="minorHAnsi"/>
                <w:b/>
                <w:lang w:eastAsia="zh-CN"/>
              </w:rPr>
              <w:t>WRC-15 on ESIMs</w:t>
            </w:r>
          </w:p>
        </w:tc>
        <w:tc>
          <w:tcPr>
            <w:tcW w:w="8789" w:type="dxa"/>
            <w:vMerge/>
          </w:tcPr>
          <w:p w14:paraId="6EA3BAB6" w14:textId="77777777" w:rsidR="00FF5E62" w:rsidRPr="002C7A02" w:rsidRDefault="00FF5E62"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5F3FB9" w:rsidRPr="002C7A02" w14:paraId="43B953AB" w14:textId="77777777" w:rsidTr="00D7087A">
        <w:tc>
          <w:tcPr>
            <w:tcW w:w="5098" w:type="dxa"/>
            <w:gridSpan w:val="2"/>
          </w:tcPr>
          <w:p w14:paraId="7676A51F" w14:textId="77777777" w:rsidR="00FF5E62" w:rsidRPr="002C7A02" w:rsidRDefault="00FF5E62"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lastRenderedPageBreak/>
              <w:t>3.3.3</w:t>
            </w:r>
            <w:r w:rsidRPr="002C7A02">
              <w:rPr>
                <w:rFonts w:asciiTheme="minorHAnsi" w:hAnsiTheme="minorHAnsi"/>
                <w:lang w:eastAsia="zh-CN"/>
              </w:rPr>
              <w:tab/>
            </w:r>
            <w:r w:rsidRPr="002C7A02">
              <w:rPr>
                <w:rFonts w:asciiTheme="minorHAnsi" w:hAnsiTheme="minorHAnsi"/>
                <w:b/>
                <w:lang w:eastAsia="zh-CN"/>
              </w:rPr>
              <w:t>ESIM authorizations outside CEPT</w:t>
            </w:r>
          </w:p>
        </w:tc>
        <w:tc>
          <w:tcPr>
            <w:tcW w:w="8789" w:type="dxa"/>
            <w:vMerge/>
          </w:tcPr>
          <w:p w14:paraId="40A98DFF" w14:textId="77777777" w:rsidR="00FF5E62" w:rsidRPr="002C7A02" w:rsidRDefault="00FF5E62"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5F3FB9" w:rsidRPr="002C7A02" w14:paraId="724B968E" w14:textId="77777777" w:rsidTr="00D7087A">
        <w:tc>
          <w:tcPr>
            <w:tcW w:w="5098" w:type="dxa"/>
            <w:gridSpan w:val="2"/>
          </w:tcPr>
          <w:p w14:paraId="37CB8D68" w14:textId="77777777" w:rsidR="00FF5E62" w:rsidRPr="002C7A02" w:rsidRDefault="00FF5E62"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3.3.4</w:t>
            </w:r>
            <w:r w:rsidRPr="002C7A02">
              <w:rPr>
                <w:rFonts w:asciiTheme="minorHAnsi" w:hAnsiTheme="minorHAnsi"/>
                <w:lang w:eastAsia="zh-CN"/>
              </w:rPr>
              <w:tab/>
            </w:r>
            <w:r w:rsidRPr="002C7A02">
              <w:rPr>
                <w:rFonts w:asciiTheme="minorHAnsi" w:hAnsiTheme="minorHAnsi"/>
                <w:b/>
                <w:lang w:eastAsia="zh-CN"/>
              </w:rPr>
              <w:t>Consideration for spectrum managers in developing countries</w:t>
            </w:r>
          </w:p>
        </w:tc>
        <w:tc>
          <w:tcPr>
            <w:tcW w:w="8789" w:type="dxa"/>
            <w:vMerge/>
          </w:tcPr>
          <w:p w14:paraId="16FC90CC" w14:textId="77777777" w:rsidR="00FF5E62" w:rsidRPr="002C7A02" w:rsidRDefault="00FF5E62"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5F3FB9" w:rsidRPr="002C7A02" w14:paraId="1C094A0A" w14:textId="77777777" w:rsidTr="00D7087A">
        <w:tc>
          <w:tcPr>
            <w:tcW w:w="5098" w:type="dxa"/>
            <w:gridSpan w:val="2"/>
          </w:tcPr>
          <w:p w14:paraId="58DBCB7B" w14:textId="77777777" w:rsidR="00A11928" w:rsidRPr="002C7A02" w:rsidRDefault="00A11928"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3.4</w:t>
            </w:r>
            <w:r w:rsidRPr="002C7A02">
              <w:rPr>
                <w:rFonts w:asciiTheme="minorHAnsi" w:hAnsiTheme="minorHAnsi"/>
                <w:lang w:eastAsia="zh-CN"/>
              </w:rPr>
              <w:tab/>
            </w:r>
            <w:r w:rsidRPr="002C7A02">
              <w:rPr>
                <w:rFonts w:asciiTheme="minorHAnsi" w:hAnsiTheme="minorHAnsi"/>
                <w:b/>
                <w:bCs/>
                <w:lang w:eastAsia="zh-CN"/>
              </w:rPr>
              <w:t xml:space="preserve">Results and preparations of World </w:t>
            </w:r>
            <w:proofErr w:type="spellStart"/>
            <w:r w:rsidRPr="002C7A02">
              <w:rPr>
                <w:rFonts w:asciiTheme="minorHAnsi" w:hAnsiTheme="minorHAnsi"/>
                <w:b/>
                <w:bCs/>
                <w:lang w:eastAsia="zh-CN"/>
              </w:rPr>
              <w:t>Radiocommunication</w:t>
            </w:r>
            <w:proofErr w:type="spellEnd"/>
            <w:r w:rsidRPr="002C7A02">
              <w:rPr>
                <w:rFonts w:asciiTheme="minorHAnsi" w:hAnsiTheme="minorHAnsi"/>
                <w:b/>
                <w:bCs/>
                <w:lang w:eastAsia="zh-CN"/>
              </w:rPr>
              <w:t xml:space="preserve"> Conferences</w:t>
            </w:r>
          </w:p>
        </w:tc>
        <w:tc>
          <w:tcPr>
            <w:tcW w:w="8789" w:type="dxa"/>
            <w:vMerge w:val="restart"/>
          </w:tcPr>
          <w:p w14:paraId="031A1E4E" w14:textId="52EB17B7" w:rsidR="00A11928" w:rsidRPr="002C7A02" w:rsidRDefault="00AB58BB">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 xml:space="preserve">Now </w:t>
            </w:r>
            <w:r w:rsidR="006D049B" w:rsidRPr="002C7A02">
              <w:rPr>
                <w:rFonts w:asciiTheme="minorHAnsi" w:hAnsiTheme="minorHAnsi"/>
                <w:lang w:eastAsia="zh-CN"/>
              </w:rPr>
              <w:t>Section 3.2,</w:t>
            </w:r>
            <w:r w:rsidR="00A11928" w:rsidRPr="002C7A02">
              <w:rPr>
                <w:rFonts w:asciiTheme="minorHAnsi" w:hAnsiTheme="minorHAnsi"/>
                <w:lang w:eastAsia="zh-CN"/>
              </w:rPr>
              <w:t xml:space="preserve"> with improvement </w:t>
            </w:r>
            <w:r w:rsidR="006D049B" w:rsidRPr="002C7A02">
              <w:rPr>
                <w:rFonts w:asciiTheme="minorHAnsi" w:hAnsiTheme="minorHAnsi"/>
                <w:lang w:eastAsia="zh-CN"/>
              </w:rPr>
              <w:t xml:space="preserve">and update </w:t>
            </w:r>
            <w:r w:rsidR="00A11928" w:rsidRPr="002C7A02">
              <w:rPr>
                <w:rFonts w:asciiTheme="minorHAnsi" w:hAnsiTheme="minorHAnsi"/>
                <w:lang w:eastAsia="zh-CN"/>
              </w:rPr>
              <w:t>of the texts.</w:t>
            </w:r>
          </w:p>
        </w:tc>
      </w:tr>
      <w:tr w:rsidR="005F3FB9" w:rsidRPr="002C7A02" w14:paraId="47CD9591" w14:textId="77777777" w:rsidTr="00D7087A">
        <w:tc>
          <w:tcPr>
            <w:tcW w:w="5098" w:type="dxa"/>
            <w:gridSpan w:val="2"/>
          </w:tcPr>
          <w:p w14:paraId="2B6A21DA" w14:textId="77777777" w:rsidR="00A11928" w:rsidRPr="002C7A02" w:rsidRDefault="00A11928"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3.4.1</w:t>
            </w:r>
            <w:r w:rsidRPr="002C7A02">
              <w:rPr>
                <w:rFonts w:asciiTheme="minorHAnsi" w:hAnsiTheme="minorHAnsi"/>
                <w:lang w:eastAsia="zh-CN"/>
              </w:rPr>
              <w:tab/>
            </w:r>
            <w:r w:rsidRPr="002C7A02">
              <w:rPr>
                <w:rFonts w:asciiTheme="minorHAnsi" w:hAnsiTheme="minorHAnsi"/>
                <w:b/>
                <w:lang w:eastAsia="zh-CN"/>
              </w:rPr>
              <w:t>WRC cycle and WRC process</w:t>
            </w:r>
          </w:p>
        </w:tc>
        <w:tc>
          <w:tcPr>
            <w:tcW w:w="8789" w:type="dxa"/>
            <w:vMerge/>
          </w:tcPr>
          <w:p w14:paraId="21A165DD" w14:textId="77777777" w:rsidR="00A11928" w:rsidRPr="002C7A02" w:rsidRDefault="00A11928"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5F3FB9" w:rsidRPr="002C7A02" w14:paraId="71E4C44D" w14:textId="77777777" w:rsidTr="00D7087A">
        <w:tc>
          <w:tcPr>
            <w:tcW w:w="5098" w:type="dxa"/>
            <w:gridSpan w:val="2"/>
          </w:tcPr>
          <w:p w14:paraId="34EFC40D" w14:textId="77777777" w:rsidR="00A11928" w:rsidRPr="002C7A02" w:rsidRDefault="00A11928"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3.4.2</w:t>
            </w:r>
            <w:r w:rsidRPr="002C7A02">
              <w:rPr>
                <w:rFonts w:asciiTheme="minorHAnsi" w:hAnsiTheme="minorHAnsi"/>
                <w:lang w:eastAsia="zh-CN"/>
              </w:rPr>
              <w:tab/>
            </w:r>
            <w:r w:rsidRPr="002C7A02">
              <w:rPr>
                <w:rFonts w:asciiTheme="minorHAnsi" w:hAnsiTheme="minorHAnsi"/>
                <w:b/>
                <w:lang w:eastAsia="zh-CN"/>
              </w:rPr>
              <w:t>WRC-15</w:t>
            </w:r>
          </w:p>
        </w:tc>
        <w:tc>
          <w:tcPr>
            <w:tcW w:w="8789" w:type="dxa"/>
            <w:vMerge/>
          </w:tcPr>
          <w:p w14:paraId="6D410189" w14:textId="77777777" w:rsidR="00A11928" w:rsidRPr="002C7A02" w:rsidRDefault="00A11928"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5F3FB9" w:rsidRPr="002C7A02" w14:paraId="1813EDE5" w14:textId="77777777" w:rsidTr="00D7087A">
        <w:tc>
          <w:tcPr>
            <w:tcW w:w="5098" w:type="dxa"/>
            <w:gridSpan w:val="2"/>
          </w:tcPr>
          <w:p w14:paraId="704BAE96" w14:textId="77777777" w:rsidR="00A11928" w:rsidRPr="002C7A02" w:rsidRDefault="00A11928"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3.4.3</w:t>
            </w:r>
            <w:r w:rsidRPr="002C7A02">
              <w:rPr>
                <w:rFonts w:asciiTheme="minorHAnsi" w:hAnsiTheme="minorHAnsi"/>
                <w:lang w:eastAsia="zh-CN"/>
              </w:rPr>
              <w:tab/>
              <w:t>Preparation for WRC-19 and WRC-23</w:t>
            </w:r>
          </w:p>
        </w:tc>
        <w:tc>
          <w:tcPr>
            <w:tcW w:w="8789" w:type="dxa"/>
            <w:vMerge/>
          </w:tcPr>
          <w:p w14:paraId="2275B0FF" w14:textId="77777777" w:rsidR="00A11928" w:rsidRPr="002C7A02" w:rsidRDefault="00A11928"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5F3FB9" w:rsidRPr="002C7A02" w14:paraId="5990DBB2" w14:textId="77777777" w:rsidTr="00D7087A">
        <w:tc>
          <w:tcPr>
            <w:tcW w:w="5098" w:type="dxa"/>
            <w:gridSpan w:val="2"/>
          </w:tcPr>
          <w:p w14:paraId="4F9A3A10" w14:textId="77777777" w:rsidR="00A11928" w:rsidRPr="002C7A02" w:rsidRDefault="00A11928" w:rsidP="00D96F32">
            <w:pPr>
              <w:tabs>
                <w:tab w:val="clear" w:pos="1134"/>
                <w:tab w:val="clear" w:pos="1871"/>
                <w:tab w:val="clear" w:pos="2268"/>
              </w:tabs>
              <w:overflowPunct/>
              <w:autoSpaceDE/>
              <w:autoSpaceDN/>
              <w:adjustRightInd/>
              <w:spacing w:before="0"/>
              <w:textAlignment w:val="auto"/>
              <w:rPr>
                <w:rFonts w:asciiTheme="minorHAnsi" w:hAnsiTheme="minorHAnsi"/>
                <w:b/>
                <w:bCs/>
                <w:lang w:eastAsia="zh-CN"/>
              </w:rPr>
            </w:pPr>
            <w:r w:rsidRPr="002C7A02">
              <w:rPr>
                <w:rFonts w:asciiTheme="minorHAnsi" w:hAnsiTheme="minorHAnsi"/>
                <w:b/>
                <w:bCs/>
                <w:lang w:eastAsia="zh-CN"/>
              </w:rPr>
              <w:t>4</w:t>
            </w:r>
            <w:r w:rsidRPr="002C7A02">
              <w:rPr>
                <w:rFonts w:asciiTheme="minorHAnsi" w:eastAsiaTheme="minorEastAsia" w:hAnsiTheme="minorHAnsi"/>
                <w:b/>
                <w:bCs/>
                <w:lang w:eastAsia="zh-CN"/>
              </w:rPr>
              <w:tab/>
            </w:r>
            <w:r w:rsidRPr="002C7A02">
              <w:rPr>
                <w:rFonts w:asciiTheme="minorHAnsi" w:hAnsiTheme="minorHAnsi"/>
                <w:b/>
                <w:bCs/>
                <w:lang w:eastAsia="zh-CN"/>
              </w:rPr>
              <w:t>CHAPTER 4 – Spectrum monitoring</w:t>
            </w:r>
          </w:p>
        </w:tc>
        <w:tc>
          <w:tcPr>
            <w:tcW w:w="8789" w:type="dxa"/>
            <w:vMerge w:val="restart"/>
          </w:tcPr>
          <w:p w14:paraId="6AB269C7" w14:textId="2E9BB2E4" w:rsidR="00A11928" w:rsidRPr="002C7A02" w:rsidRDefault="006D049B" w:rsidP="006D049B">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bCs/>
                <w:iCs/>
                <w:lang w:eastAsia="zh-CN"/>
              </w:rPr>
              <w:t>N</w:t>
            </w:r>
            <w:r w:rsidR="00A11928" w:rsidRPr="002C7A02">
              <w:rPr>
                <w:rFonts w:asciiTheme="minorHAnsi" w:eastAsia="SimSun" w:hAnsiTheme="minorHAnsi"/>
              </w:rPr>
              <w:t>ot significantly amended</w:t>
            </w:r>
            <w:r w:rsidR="00A11928" w:rsidRPr="002C7A02">
              <w:rPr>
                <w:rFonts w:asciiTheme="minorHAnsi" w:hAnsiTheme="minorHAnsi"/>
                <w:lang w:eastAsia="zh-CN"/>
              </w:rPr>
              <w:t>.</w:t>
            </w:r>
          </w:p>
        </w:tc>
      </w:tr>
      <w:tr w:rsidR="005F3FB9" w:rsidRPr="002C7A02" w14:paraId="01720DDC" w14:textId="77777777" w:rsidTr="00D7087A">
        <w:tc>
          <w:tcPr>
            <w:tcW w:w="5098" w:type="dxa"/>
            <w:gridSpan w:val="2"/>
          </w:tcPr>
          <w:p w14:paraId="254924CA" w14:textId="77777777" w:rsidR="00A11928" w:rsidRPr="002C7A02" w:rsidRDefault="00A11928"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4.1</w:t>
            </w:r>
            <w:r w:rsidRPr="002C7A02">
              <w:rPr>
                <w:rFonts w:asciiTheme="minorHAnsi" w:hAnsiTheme="minorHAnsi"/>
                <w:lang w:eastAsia="zh-CN"/>
              </w:rPr>
              <w:tab/>
            </w:r>
            <w:r w:rsidRPr="002C7A02">
              <w:rPr>
                <w:rFonts w:asciiTheme="minorHAnsi" w:hAnsiTheme="minorHAnsi"/>
                <w:b/>
                <w:lang w:eastAsia="zh-CN"/>
              </w:rPr>
              <w:t>Identification of methodologies on setting up a spectrum monitoring network</w:t>
            </w:r>
          </w:p>
        </w:tc>
        <w:tc>
          <w:tcPr>
            <w:tcW w:w="8789" w:type="dxa"/>
            <w:vMerge/>
          </w:tcPr>
          <w:p w14:paraId="02152D28" w14:textId="77777777" w:rsidR="00A11928" w:rsidRPr="002C7A02" w:rsidRDefault="00A11928"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5F3FB9" w:rsidRPr="002C7A02" w14:paraId="216D2928" w14:textId="77777777" w:rsidTr="00D7087A">
        <w:tc>
          <w:tcPr>
            <w:tcW w:w="5098" w:type="dxa"/>
            <w:gridSpan w:val="2"/>
          </w:tcPr>
          <w:p w14:paraId="0F8A587D" w14:textId="77777777" w:rsidR="00A11928" w:rsidRPr="002C7A02" w:rsidRDefault="00A11928"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4.1.1</w:t>
            </w:r>
            <w:r w:rsidRPr="002C7A02">
              <w:rPr>
                <w:rFonts w:asciiTheme="minorHAnsi" w:hAnsiTheme="minorHAnsi"/>
                <w:lang w:eastAsia="zh-CN"/>
              </w:rPr>
              <w:tab/>
            </w:r>
            <w:r w:rsidRPr="002C7A02">
              <w:rPr>
                <w:rFonts w:asciiTheme="minorHAnsi" w:hAnsiTheme="minorHAnsi"/>
                <w:b/>
                <w:lang w:eastAsia="zh-CN"/>
              </w:rPr>
              <w:t>Setting up tenders</w:t>
            </w:r>
          </w:p>
        </w:tc>
        <w:tc>
          <w:tcPr>
            <w:tcW w:w="8789" w:type="dxa"/>
            <w:vMerge/>
          </w:tcPr>
          <w:p w14:paraId="49717A49" w14:textId="77777777" w:rsidR="00A11928" w:rsidRPr="002C7A02" w:rsidRDefault="00A11928"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5F3FB9" w:rsidRPr="002C7A02" w14:paraId="1A02C292" w14:textId="77777777" w:rsidTr="00D7087A">
        <w:tc>
          <w:tcPr>
            <w:tcW w:w="5098" w:type="dxa"/>
            <w:gridSpan w:val="2"/>
          </w:tcPr>
          <w:p w14:paraId="73D09907" w14:textId="77777777" w:rsidR="00A11928" w:rsidRPr="002C7A02" w:rsidRDefault="00A11928"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4.1.2</w:t>
            </w:r>
            <w:r w:rsidRPr="002C7A02">
              <w:rPr>
                <w:rFonts w:asciiTheme="minorHAnsi" w:hAnsiTheme="minorHAnsi"/>
                <w:lang w:eastAsia="zh-CN"/>
              </w:rPr>
              <w:tab/>
            </w:r>
            <w:r w:rsidRPr="002C7A02">
              <w:rPr>
                <w:rFonts w:asciiTheme="minorHAnsi" w:hAnsiTheme="minorHAnsi"/>
                <w:b/>
                <w:lang w:eastAsia="zh-CN"/>
              </w:rPr>
              <w:t>Planning a spectrum monitoring network</w:t>
            </w:r>
          </w:p>
        </w:tc>
        <w:tc>
          <w:tcPr>
            <w:tcW w:w="8789" w:type="dxa"/>
            <w:vMerge/>
          </w:tcPr>
          <w:p w14:paraId="248B95E9" w14:textId="77777777" w:rsidR="00A11928" w:rsidRPr="002C7A02" w:rsidRDefault="00A11928"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5F3FB9" w:rsidRPr="002C7A02" w14:paraId="0FCE989C" w14:textId="77777777" w:rsidTr="00D7087A">
        <w:tc>
          <w:tcPr>
            <w:tcW w:w="5098" w:type="dxa"/>
            <w:gridSpan w:val="2"/>
          </w:tcPr>
          <w:p w14:paraId="76EF13FB" w14:textId="77777777" w:rsidR="00A11928" w:rsidRPr="002C7A02" w:rsidRDefault="00A11928"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4.2</w:t>
            </w:r>
            <w:r w:rsidRPr="002C7A02">
              <w:rPr>
                <w:rFonts w:asciiTheme="minorHAnsi" w:hAnsiTheme="minorHAnsi"/>
                <w:lang w:eastAsia="zh-CN"/>
              </w:rPr>
              <w:tab/>
            </w:r>
            <w:r w:rsidRPr="002C7A02">
              <w:rPr>
                <w:rFonts w:asciiTheme="minorHAnsi" w:hAnsiTheme="minorHAnsi"/>
                <w:b/>
                <w:lang w:eastAsia="zh-CN"/>
              </w:rPr>
              <w:t>Challenges of detecting weak signals and solutions</w:t>
            </w:r>
          </w:p>
        </w:tc>
        <w:tc>
          <w:tcPr>
            <w:tcW w:w="8789" w:type="dxa"/>
            <w:vMerge/>
          </w:tcPr>
          <w:p w14:paraId="4CDE862F" w14:textId="77777777" w:rsidR="00A11928" w:rsidRPr="002C7A02" w:rsidRDefault="00A11928"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5F3FB9" w:rsidRPr="002C7A02" w14:paraId="1182B995" w14:textId="77777777" w:rsidTr="00D7087A">
        <w:tc>
          <w:tcPr>
            <w:tcW w:w="5098" w:type="dxa"/>
            <w:gridSpan w:val="2"/>
          </w:tcPr>
          <w:p w14:paraId="03C162DB" w14:textId="77777777" w:rsidR="00A11928" w:rsidRPr="002C7A02" w:rsidRDefault="00A11928"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4.3</w:t>
            </w:r>
            <w:r w:rsidRPr="002C7A02">
              <w:rPr>
                <w:rFonts w:asciiTheme="minorHAnsi" w:hAnsiTheme="minorHAnsi"/>
                <w:lang w:eastAsia="zh-CN"/>
              </w:rPr>
              <w:tab/>
            </w:r>
            <w:r w:rsidRPr="002C7A02">
              <w:rPr>
                <w:rFonts w:asciiTheme="minorHAnsi" w:hAnsiTheme="minorHAnsi"/>
                <w:b/>
                <w:lang w:eastAsia="zh-CN"/>
              </w:rPr>
              <w:t>Summary</w:t>
            </w:r>
          </w:p>
        </w:tc>
        <w:tc>
          <w:tcPr>
            <w:tcW w:w="8789" w:type="dxa"/>
            <w:vMerge/>
          </w:tcPr>
          <w:p w14:paraId="2CFA184B" w14:textId="77777777" w:rsidR="00A11928" w:rsidRPr="002C7A02" w:rsidRDefault="00A11928"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tc>
      </w:tr>
      <w:tr w:rsidR="00D7087A" w:rsidRPr="002C7A02" w14:paraId="176088E2" w14:textId="77777777" w:rsidTr="00D7087A">
        <w:tc>
          <w:tcPr>
            <w:tcW w:w="5098" w:type="dxa"/>
            <w:gridSpan w:val="2"/>
          </w:tcPr>
          <w:p w14:paraId="154C677C" w14:textId="77777777" w:rsidR="00C01A53" w:rsidRPr="002C7A02" w:rsidRDefault="00C01A53" w:rsidP="00D96F32">
            <w:pPr>
              <w:tabs>
                <w:tab w:val="clear" w:pos="1134"/>
                <w:tab w:val="clear" w:pos="1871"/>
                <w:tab w:val="clear" w:pos="2268"/>
              </w:tabs>
              <w:overflowPunct/>
              <w:autoSpaceDE/>
              <w:autoSpaceDN/>
              <w:adjustRightInd/>
              <w:spacing w:before="0"/>
              <w:textAlignment w:val="auto"/>
              <w:rPr>
                <w:rFonts w:asciiTheme="minorHAnsi" w:hAnsiTheme="minorHAnsi"/>
                <w:b/>
                <w:bCs/>
                <w:lang w:eastAsia="zh-CN"/>
              </w:rPr>
            </w:pPr>
            <w:r w:rsidRPr="002C7A02">
              <w:rPr>
                <w:rFonts w:asciiTheme="minorHAnsi" w:hAnsiTheme="minorHAnsi"/>
                <w:b/>
                <w:bCs/>
                <w:lang w:eastAsia="zh-CN"/>
              </w:rPr>
              <w:t>Glossary</w:t>
            </w:r>
          </w:p>
        </w:tc>
        <w:tc>
          <w:tcPr>
            <w:tcW w:w="8789" w:type="dxa"/>
            <w:vMerge w:val="restart"/>
          </w:tcPr>
          <w:p w14:paraId="2F2AC8A7" w14:textId="3FF862F2" w:rsidR="00C01A53" w:rsidRPr="002C7A02" w:rsidRDefault="00C01A53" w:rsidP="00C01A53">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Updated according to the terms and abbreviations used.</w:t>
            </w:r>
          </w:p>
        </w:tc>
      </w:tr>
      <w:tr w:rsidR="00D7087A" w:rsidRPr="002C7A02" w14:paraId="6159074D" w14:textId="77777777" w:rsidTr="00D7087A">
        <w:tc>
          <w:tcPr>
            <w:tcW w:w="5098" w:type="dxa"/>
            <w:gridSpan w:val="2"/>
          </w:tcPr>
          <w:p w14:paraId="6D701440" w14:textId="77777777" w:rsidR="00C01A53" w:rsidRPr="002C7A02" w:rsidRDefault="00C01A53" w:rsidP="00D96F32">
            <w:pPr>
              <w:tabs>
                <w:tab w:val="clear" w:pos="1134"/>
                <w:tab w:val="clear" w:pos="1871"/>
                <w:tab w:val="clear" w:pos="2268"/>
              </w:tabs>
              <w:overflowPunct/>
              <w:autoSpaceDE/>
              <w:autoSpaceDN/>
              <w:adjustRightInd/>
              <w:spacing w:before="0"/>
              <w:textAlignment w:val="auto"/>
              <w:rPr>
                <w:rFonts w:asciiTheme="minorHAnsi" w:hAnsiTheme="minorHAnsi"/>
                <w:b/>
                <w:bCs/>
                <w:lang w:eastAsia="zh-CN"/>
              </w:rPr>
            </w:pPr>
            <w:r w:rsidRPr="002C7A02">
              <w:rPr>
                <w:rFonts w:asciiTheme="minorHAnsi" w:hAnsiTheme="minorHAnsi"/>
                <w:b/>
                <w:bCs/>
                <w:lang w:eastAsia="zh-CN"/>
              </w:rPr>
              <w:t>Abbreviations and acronyms</w:t>
            </w:r>
          </w:p>
        </w:tc>
        <w:tc>
          <w:tcPr>
            <w:tcW w:w="8789" w:type="dxa"/>
            <w:vMerge/>
          </w:tcPr>
          <w:p w14:paraId="7FC5C665" w14:textId="77777777" w:rsidR="00C01A53" w:rsidRPr="002C7A02" w:rsidRDefault="00C01A53" w:rsidP="00D96F32">
            <w:pPr>
              <w:tabs>
                <w:tab w:val="clear" w:pos="1134"/>
                <w:tab w:val="clear" w:pos="1871"/>
                <w:tab w:val="clear" w:pos="2268"/>
              </w:tabs>
              <w:overflowPunct/>
              <w:autoSpaceDE/>
              <w:autoSpaceDN/>
              <w:adjustRightInd/>
              <w:spacing w:before="0"/>
              <w:textAlignment w:val="auto"/>
              <w:rPr>
                <w:rFonts w:asciiTheme="minorHAnsi" w:hAnsiTheme="minorHAnsi"/>
                <w:b/>
                <w:bCs/>
                <w:lang w:eastAsia="zh-CN"/>
              </w:rPr>
            </w:pPr>
          </w:p>
        </w:tc>
      </w:tr>
      <w:tr w:rsidR="00EB071D" w:rsidRPr="002C7A02" w14:paraId="42FAC802" w14:textId="77777777" w:rsidTr="00B45E75">
        <w:trPr>
          <w:trHeight w:val="828"/>
        </w:trPr>
        <w:tc>
          <w:tcPr>
            <w:tcW w:w="5098" w:type="dxa"/>
            <w:gridSpan w:val="2"/>
          </w:tcPr>
          <w:p w14:paraId="2F7A037E" w14:textId="46A5F8D9" w:rsidR="00EB071D" w:rsidRPr="002C7A02" w:rsidRDefault="00EB071D" w:rsidP="00D96F32">
            <w:pPr>
              <w:spacing w:before="0"/>
              <w:rPr>
                <w:rFonts w:asciiTheme="minorHAnsi" w:hAnsiTheme="minorHAnsi"/>
                <w:b/>
                <w:bCs/>
                <w:lang w:eastAsia="zh-CN"/>
              </w:rPr>
            </w:pPr>
            <w:r w:rsidRPr="002C7A02">
              <w:rPr>
                <w:rFonts w:asciiTheme="minorHAnsi" w:hAnsiTheme="minorHAnsi"/>
                <w:b/>
                <w:bCs/>
                <w:lang w:eastAsia="zh-CN"/>
              </w:rPr>
              <w:t>References</w:t>
            </w:r>
          </w:p>
        </w:tc>
        <w:tc>
          <w:tcPr>
            <w:tcW w:w="8789" w:type="dxa"/>
          </w:tcPr>
          <w:p w14:paraId="76E4CF8A" w14:textId="78F58533" w:rsidR="00EB071D" w:rsidRPr="002C7A02" w:rsidRDefault="00EB071D">
            <w:pPr>
              <w:spacing w:before="0"/>
              <w:rPr>
                <w:rFonts w:asciiTheme="minorHAnsi" w:hAnsiTheme="minorHAnsi"/>
                <w:b/>
                <w:bCs/>
                <w:lang w:eastAsia="zh-CN"/>
              </w:rPr>
            </w:pPr>
            <w:r w:rsidRPr="002C7A02">
              <w:rPr>
                <w:rFonts w:asciiTheme="minorHAnsi" w:hAnsiTheme="minorHAnsi"/>
                <w:lang w:eastAsia="zh-CN"/>
              </w:rPr>
              <w:t>Split into a Section “</w:t>
            </w:r>
            <w:r w:rsidRPr="002C7A02">
              <w:rPr>
                <w:rFonts w:asciiTheme="minorHAnsi" w:hAnsiTheme="minorHAnsi"/>
                <w:b/>
                <w:bCs/>
                <w:lang w:eastAsia="zh-CN"/>
              </w:rPr>
              <w:t>References</w:t>
            </w:r>
            <w:r w:rsidRPr="002C7A02">
              <w:rPr>
                <w:rFonts w:asciiTheme="minorHAnsi" w:hAnsiTheme="minorHAnsi"/>
                <w:lang w:eastAsia="zh-CN"/>
              </w:rPr>
              <w:t>” to include all the relevant ITU-R references,</w:t>
            </w:r>
            <w:r w:rsidR="00A12F78" w:rsidRPr="002C7A02">
              <w:rPr>
                <w:rFonts w:asciiTheme="minorHAnsi" w:hAnsiTheme="minorHAnsi"/>
                <w:lang w:eastAsia="zh-CN"/>
              </w:rPr>
              <w:t xml:space="preserve"> </w:t>
            </w:r>
            <w:r w:rsidRPr="002C7A02">
              <w:rPr>
                <w:rFonts w:asciiTheme="minorHAnsi" w:hAnsiTheme="minorHAnsi"/>
                <w:lang w:eastAsia="zh-CN"/>
              </w:rPr>
              <w:t>and the former Section now “</w:t>
            </w:r>
            <w:r w:rsidRPr="002C7A02">
              <w:rPr>
                <w:rFonts w:asciiTheme="minorHAnsi" w:hAnsiTheme="minorHAnsi"/>
                <w:b/>
                <w:bCs/>
                <w:lang w:eastAsia="zh-CN"/>
              </w:rPr>
              <w:t>Other References</w:t>
            </w:r>
            <w:r w:rsidRPr="002C7A02">
              <w:rPr>
                <w:rFonts w:asciiTheme="minorHAnsi" w:hAnsiTheme="minorHAnsi"/>
                <w:lang w:eastAsia="zh-CN"/>
              </w:rPr>
              <w:t>” which will need to be updated administratively before the publication of the revised Report.</w:t>
            </w:r>
          </w:p>
        </w:tc>
      </w:tr>
      <w:tr w:rsidR="00D7087A" w:rsidRPr="002C7A02" w14:paraId="7A8557A2" w14:textId="77777777" w:rsidTr="00D7087A">
        <w:tc>
          <w:tcPr>
            <w:tcW w:w="5098" w:type="dxa"/>
            <w:gridSpan w:val="2"/>
          </w:tcPr>
          <w:p w14:paraId="29D7DDB4" w14:textId="77777777" w:rsidR="00D96F32" w:rsidRPr="002C7A02" w:rsidRDefault="00D96F32" w:rsidP="00D96F32">
            <w:pPr>
              <w:tabs>
                <w:tab w:val="clear" w:pos="1134"/>
                <w:tab w:val="clear" w:pos="1871"/>
                <w:tab w:val="clear" w:pos="2268"/>
              </w:tabs>
              <w:overflowPunct/>
              <w:autoSpaceDE/>
              <w:autoSpaceDN/>
              <w:adjustRightInd/>
              <w:spacing w:before="0"/>
              <w:textAlignment w:val="auto"/>
              <w:rPr>
                <w:rFonts w:asciiTheme="minorHAnsi" w:hAnsiTheme="minorHAnsi"/>
                <w:b/>
                <w:bCs/>
                <w:highlight w:val="yellow"/>
                <w:lang w:eastAsia="zh-CN"/>
              </w:rPr>
            </w:pPr>
            <w:r w:rsidRPr="002C7A02">
              <w:rPr>
                <w:rFonts w:asciiTheme="minorHAnsi" w:hAnsiTheme="minorHAnsi"/>
                <w:b/>
                <w:bCs/>
                <w:lang w:eastAsia="zh-CN"/>
              </w:rPr>
              <w:t>Annex 1: Spectrum access schemes</w:t>
            </w:r>
          </w:p>
        </w:tc>
        <w:tc>
          <w:tcPr>
            <w:tcW w:w="8789" w:type="dxa"/>
          </w:tcPr>
          <w:p w14:paraId="59610839" w14:textId="231A56F5" w:rsidR="00D96F32" w:rsidRPr="002C7A02" w:rsidRDefault="001F6AEA" w:rsidP="001F6AEA">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This Annex was d</w:t>
            </w:r>
            <w:r w:rsidR="00D96F32" w:rsidRPr="002C7A02">
              <w:rPr>
                <w:rFonts w:asciiTheme="minorHAnsi" w:hAnsiTheme="minorHAnsi"/>
                <w:lang w:eastAsia="zh-CN"/>
              </w:rPr>
              <w:t>eleted</w:t>
            </w:r>
            <w:r w:rsidR="00514A91" w:rsidRPr="002C7A02">
              <w:rPr>
                <w:rFonts w:asciiTheme="minorHAnsi" w:hAnsiTheme="minorHAnsi"/>
                <w:lang w:eastAsia="zh-CN"/>
              </w:rPr>
              <w:t xml:space="preserve"> since it provided information of a rather theoretical natural on spectrum access schemes, of which several are rather unproven. Also, the terminologies used in this annex are not commonly used by administrations and no practical guidance was offered to administrations in the context of the report on Resolution 9.</w:t>
            </w:r>
          </w:p>
        </w:tc>
      </w:tr>
      <w:tr w:rsidR="00D96F32" w:rsidRPr="002C7A02" w14:paraId="6E1D3815" w14:textId="77777777" w:rsidTr="00D7087A">
        <w:tc>
          <w:tcPr>
            <w:tcW w:w="5098" w:type="dxa"/>
            <w:gridSpan w:val="2"/>
          </w:tcPr>
          <w:p w14:paraId="687FD564" w14:textId="77777777" w:rsidR="00D96F32" w:rsidRPr="002C7A02" w:rsidRDefault="00D96F32" w:rsidP="00D96F32">
            <w:pPr>
              <w:tabs>
                <w:tab w:val="clear" w:pos="1134"/>
                <w:tab w:val="clear" w:pos="1871"/>
                <w:tab w:val="clear" w:pos="2268"/>
              </w:tabs>
              <w:overflowPunct/>
              <w:autoSpaceDE/>
              <w:autoSpaceDN/>
              <w:adjustRightInd/>
              <w:spacing w:before="0"/>
              <w:textAlignment w:val="auto"/>
              <w:rPr>
                <w:rFonts w:asciiTheme="minorHAnsi" w:hAnsiTheme="minorHAnsi"/>
                <w:b/>
                <w:bCs/>
                <w:lang w:eastAsia="zh-CN"/>
              </w:rPr>
            </w:pPr>
            <w:r w:rsidRPr="002C7A02">
              <w:rPr>
                <w:rFonts w:asciiTheme="minorHAnsi" w:hAnsiTheme="minorHAnsi"/>
                <w:b/>
                <w:bCs/>
                <w:lang w:eastAsia="zh-CN"/>
              </w:rPr>
              <w:t>Annex 2: Existing regulations on TV white space</w:t>
            </w:r>
          </w:p>
        </w:tc>
        <w:tc>
          <w:tcPr>
            <w:tcW w:w="8789" w:type="dxa"/>
          </w:tcPr>
          <w:p w14:paraId="0B2A3AC4" w14:textId="71E90F50" w:rsidR="00D96F32" w:rsidRPr="002C7A02" w:rsidRDefault="00C07607" w:rsidP="00C07607">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 xml:space="preserve">Now </w:t>
            </w:r>
            <w:r w:rsidRPr="002C7A02">
              <w:rPr>
                <w:rFonts w:asciiTheme="minorHAnsi" w:hAnsiTheme="minorHAnsi"/>
                <w:b/>
                <w:lang w:eastAsia="zh-CN"/>
              </w:rPr>
              <w:t>Annex 1</w:t>
            </w:r>
            <w:r w:rsidRPr="002C7A02">
              <w:rPr>
                <w:rFonts w:asciiTheme="minorHAnsi" w:hAnsiTheme="minorHAnsi"/>
                <w:lang w:eastAsia="zh-CN"/>
              </w:rPr>
              <w:t>, no other changes, excepting updating references.</w:t>
            </w:r>
          </w:p>
        </w:tc>
      </w:tr>
      <w:tr w:rsidR="008113EB" w:rsidRPr="002C7A02" w14:paraId="1FA47116" w14:textId="77777777" w:rsidTr="00D7087A">
        <w:tc>
          <w:tcPr>
            <w:tcW w:w="5098" w:type="dxa"/>
            <w:gridSpan w:val="2"/>
          </w:tcPr>
          <w:p w14:paraId="71FD7762" w14:textId="4BF762F3" w:rsidR="008113EB" w:rsidRPr="002C7A02" w:rsidRDefault="008113EB" w:rsidP="00D96F32">
            <w:pPr>
              <w:tabs>
                <w:tab w:val="clear" w:pos="1134"/>
                <w:tab w:val="clear" w:pos="1871"/>
                <w:tab w:val="clear" w:pos="2268"/>
              </w:tabs>
              <w:overflowPunct/>
              <w:autoSpaceDE/>
              <w:autoSpaceDN/>
              <w:adjustRightInd/>
              <w:spacing w:before="0"/>
              <w:textAlignment w:val="auto"/>
              <w:rPr>
                <w:rFonts w:asciiTheme="minorHAnsi" w:hAnsiTheme="minorHAnsi"/>
                <w:b/>
                <w:bCs/>
                <w:lang w:eastAsia="zh-CN"/>
              </w:rPr>
            </w:pPr>
          </w:p>
        </w:tc>
        <w:tc>
          <w:tcPr>
            <w:tcW w:w="8789" w:type="dxa"/>
          </w:tcPr>
          <w:p w14:paraId="23D9F140" w14:textId="6C9BD054" w:rsidR="008113EB" w:rsidRPr="002C7A02" w:rsidRDefault="002705B4" w:rsidP="00C07607">
            <w:pPr>
              <w:tabs>
                <w:tab w:val="clear" w:pos="1134"/>
                <w:tab w:val="clear" w:pos="1871"/>
                <w:tab w:val="clear" w:pos="2268"/>
              </w:tabs>
              <w:overflowPunct/>
              <w:autoSpaceDE/>
              <w:autoSpaceDN/>
              <w:adjustRightInd/>
              <w:spacing w:before="0"/>
              <w:textAlignment w:val="auto"/>
              <w:rPr>
                <w:rFonts w:asciiTheme="minorHAnsi" w:hAnsiTheme="minorHAnsi"/>
                <w:b/>
                <w:bCs/>
                <w:lang w:eastAsia="zh-CN"/>
              </w:rPr>
            </w:pPr>
            <w:r w:rsidRPr="002C7A02">
              <w:rPr>
                <w:rFonts w:asciiTheme="minorHAnsi" w:hAnsiTheme="minorHAnsi"/>
                <w:b/>
                <w:bCs/>
                <w:lang w:eastAsia="zh-CN"/>
              </w:rPr>
              <w:t xml:space="preserve">New </w:t>
            </w:r>
            <w:r w:rsidR="008113EB" w:rsidRPr="002C7A02">
              <w:rPr>
                <w:rFonts w:asciiTheme="minorHAnsi" w:hAnsiTheme="minorHAnsi"/>
                <w:b/>
                <w:bCs/>
                <w:lang w:eastAsia="zh-CN"/>
              </w:rPr>
              <w:t xml:space="preserve">Annex 2: </w:t>
            </w:r>
            <w:r w:rsidR="008113EB" w:rsidRPr="002C7A02">
              <w:rPr>
                <w:rFonts w:asciiTheme="minorHAnsi" w:hAnsiTheme="minorHAnsi"/>
                <w:b/>
                <w:bCs/>
              </w:rPr>
              <w:t>Case studies and countries experiences</w:t>
            </w:r>
          </w:p>
          <w:p w14:paraId="7B08E775" w14:textId="4C8999D0" w:rsidR="001F6AEA" w:rsidRPr="002C7A02" w:rsidRDefault="008113EB" w:rsidP="002705B4">
            <w:pPr>
              <w:tabs>
                <w:tab w:val="clear" w:pos="1134"/>
                <w:tab w:val="clear" w:pos="1871"/>
                <w:tab w:val="clear" w:pos="2268"/>
              </w:tabs>
              <w:overflowPunct/>
              <w:autoSpaceDE/>
              <w:autoSpaceDN/>
              <w:adjustRightInd/>
              <w:spacing w:before="0"/>
              <w:textAlignment w:val="auto"/>
              <w:rPr>
                <w:rFonts w:asciiTheme="minorHAnsi" w:hAnsiTheme="minorHAnsi"/>
                <w:b/>
                <w:bCs/>
                <w:i/>
                <w:iCs/>
                <w:u w:val="single"/>
                <w:lang w:eastAsia="zh-CN"/>
              </w:rPr>
            </w:pPr>
            <w:r w:rsidRPr="002C7A02">
              <w:rPr>
                <w:rFonts w:asciiTheme="minorHAnsi" w:hAnsiTheme="minorHAnsi"/>
                <w:lang w:eastAsia="zh-CN"/>
              </w:rPr>
              <w:t>New Annex</w:t>
            </w:r>
            <w:r w:rsidR="008A7E21" w:rsidRPr="002C7A02">
              <w:rPr>
                <w:rFonts w:asciiTheme="minorHAnsi" w:hAnsiTheme="minorHAnsi"/>
                <w:lang w:eastAsia="zh-CN"/>
              </w:rPr>
              <w:t xml:space="preserve">, including </w:t>
            </w:r>
            <w:r w:rsidR="001F6AEA" w:rsidRPr="002C7A02">
              <w:rPr>
                <w:rFonts w:asciiTheme="minorHAnsi" w:hAnsiTheme="minorHAnsi"/>
                <w:lang w:eastAsia="zh-CN"/>
              </w:rPr>
              <w:t xml:space="preserve">the case studies and countries experienced moved from Chapters 1 and 2. This Annex </w:t>
            </w:r>
            <w:r w:rsidR="008A7E21" w:rsidRPr="002C7A02">
              <w:rPr>
                <w:rFonts w:asciiTheme="minorHAnsi" w:hAnsiTheme="minorHAnsi"/>
                <w:lang w:eastAsia="zh-CN"/>
              </w:rPr>
              <w:t xml:space="preserve">also </w:t>
            </w:r>
            <w:r w:rsidR="001F6AEA" w:rsidRPr="002C7A02">
              <w:rPr>
                <w:rFonts w:asciiTheme="minorHAnsi" w:hAnsiTheme="minorHAnsi"/>
                <w:lang w:eastAsia="zh-CN"/>
              </w:rPr>
              <w:t xml:space="preserve">includes </w:t>
            </w:r>
            <w:r w:rsidR="008A7E21" w:rsidRPr="002C7A02">
              <w:rPr>
                <w:rFonts w:asciiTheme="minorHAnsi" w:hAnsiTheme="minorHAnsi"/>
                <w:lang w:eastAsia="zh-CN"/>
              </w:rPr>
              <w:t>a Section A2-1 “</w:t>
            </w:r>
            <w:r w:rsidR="008A7E21" w:rsidRPr="002C7A02">
              <w:rPr>
                <w:rFonts w:asciiTheme="minorHAnsi" w:hAnsiTheme="minorHAnsi"/>
                <w:b/>
                <w:bCs/>
                <w:lang w:eastAsia="zh-CN"/>
              </w:rPr>
              <w:t>Digital Dividend</w:t>
            </w:r>
            <w:r w:rsidR="008A7E21" w:rsidRPr="002C7A02">
              <w:rPr>
                <w:rFonts w:asciiTheme="minorHAnsi" w:hAnsiTheme="minorHAnsi"/>
                <w:lang w:eastAsia="zh-CN"/>
              </w:rPr>
              <w:t xml:space="preserve">” to provide </w:t>
            </w:r>
            <w:r w:rsidR="002705B4" w:rsidRPr="002C7A02">
              <w:rPr>
                <w:rFonts w:asciiTheme="minorHAnsi" w:hAnsiTheme="minorHAnsi"/>
                <w:lang w:eastAsia="zh-CN"/>
              </w:rPr>
              <w:t xml:space="preserve">relevant </w:t>
            </w:r>
            <w:r w:rsidR="008A7E21" w:rsidRPr="002C7A02">
              <w:rPr>
                <w:rFonts w:asciiTheme="minorHAnsi" w:hAnsiTheme="minorHAnsi"/>
              </w:rPr>
              <w:t xml:space="preserve">information on the auctions </w:t>
            </w:r>
            <w:r w:rsidR="001F6AEA" w:rsidRPr="002C7A02">
              <w:rPr>
                <w:rFonts w:asciiTheme="minorHAnsi" w:hAnsiTheme="minorHAnsi"/>
              </w:rPr>
              <w:t xml:space="preserve">relating to the use </w:t>
            </w:r>
            <w:r w:rsidR="008A7E21" w:rsidRPr="002C7A02">
              <w:rPr>
                <w:rFonts w:asciiTheme="minorHAnsi" w:hAnsiTheme="minorHAnsi"/>
              </w:rPr>
              <w:t>of the Digital Dividend</w:t>
            </w:r>
            <w:r w:rsidR="001F6AEA" w:rsidRPr="002C7A02">
              <w:rPr>
                <w:rFonts w:asciiTheme="minorHAnsi" w:hAnsiTheme="minorHAnsi"/>
                <w:lang w:eastAsia="zh-CN"/>
              </w:rPr>
              <w:t xml:space="preserve"> by the mobile service.</w:t>
            </w:r>
          </w:p>
        </w:tc>
      </w:tr>
      <w:tr w:rsidR="00D96F32" w:rsidRPr="002C7A02" w14:paraId="01473D8F" w14:textId="77777777" w:rsidTr="00D7087A">
        <w:tc>
          <w:tcPr>
            <w:tcW w:w="5098" w:type="dxa"/>
            <w:gridSpan w:val="2"/>
          </w:tcPr>
          <w:p w14:paraId="02931CF5" w14:textId="22CAC01B" w:rsidR="00D96F32" w:rsidRPr="002C7A02" w:rsidRDefault="00D96F32" w:rsidP="00D96F32">
            <w:pPr>
              <w:tabs>
                <w:tab w:val="clear" w:pos="1134"/>
                <w:tab w:val="clear" w:pos="1871"/>
                <w:tab w:val="clear" w:pos="2268"/>
              </w:tabs>
              <w:overflowPunct/>
              <w:autoSpaceDE/>
              <w:autoSpaceDN/>
              <w:adjustRightInd/>
              <w:spacing w:before="0"/>
              <w:textAlignment w:val="auto"/>
              <w:rPr>
                <w:rFonts w:asciiTheme="minorHAnsi" w:hAnsiTheme="minorHAnsi"/>
                <w:b/>
                <w:bCs/>
                <w:lang w:eastAsia="zh-CN"/>
              </w:rPr>
            </w:pPr>
            <w:r w:rsidRPr="002C7A02">
              <w:rPr>
                <w:rFonts w:asciiTheme="minorHAnsi" w:hAnsiTheme="minorHAnsi"/>
                <w:b/>
                <w:bCs/>
                <w:lang w:eastAsia="zh-CN"/>
              </w:rPr>
              <w:lastRenderedPageBreak/>
              <w:t>Annex 3: Case studies and contribution received for WTDC Resolution 9</w:t>
            </w:r>
          </w:p>
        </w:tc>
        <w:tc>
          <w:tcPr>
            <w:tcW w:w="8789" w:type="dxa"/>
          </w:tcPr>
          <w:p w14:paraId="60CA8CD0" w14:textId="77777777" w:rsidR="00D96F32" w:rsidRPr="002C7A02" w:rsidRDefault="00D96F32" w:rsidP="00D96F32">
            <w:pPr>
              <w:tabs>
                <w:tab w:val="clear" w:pos="1134"/>
                <w:tab w:val="clear" w:pos="1871"/>
                <w:tab w:val="clear" w:pos="2268"/>
              </w:tabs>
              <w:overflowPunct/>
              <w:autoSpaceDE/>
              <w:autoSpaceDN/>
              <w:adjustRightInd/>
              <w:spacing w:before="0"/>
              <w:textAlignment w:val="auto"/>
              <w:rPr>
                <w:rFonts w:asciiTheme="minorHAnsi" w:hAnsiTheme="minorHAnsi"/>
                <w:b/>
                <w:bCs/>
                <w:lang w:eastAsia="zh-CN"/>
              </w:rPr>
            </w:pPr>
            <w:r w:rsidRPr="002C7A02">
              <w:rPr>
                <w:rFonts w:asciiTheme="minorHAnsi" w:hAnsiTheme="minorHAnsi"/>
                <w:b/>
                <w:bCs/>
                <w:lang w:eastAsia="zh-CN"/>
              </w:rPr>
              <w:t>Annex 3: Contribution received for WTDC Resolution 9</w:t>
            </w:r>
          </w:p>
          <w:p w14:paraId="5588EF0A" w14:textId="1124CDC9" w:rsidR="00D96F32" w:rsidRPr="002C7A02" w:rsidRDefault="002705B4" w:rsidP="00D96F32">
            <w:pPr>
              <w:tabs>
                <w:tab w:val="clear" w:pos="1134"/>
                <w:tab w:val="clear" w:pos="1871"/>
                <w:tab w:val="clear" w:pos="2268"/>
              </w:tabs>
              <w:overflowPunct/>
              <w:autoSpaceDE/>
              <w:autoSpaceDN/>
              <w:adjustRightInd/>
              <w:spacing w:before="0"/>
              <w:textAlignment w:val="auto"/>
              <w:rPr>
                <w:rFonts w:asciiTheme="minorHAnsi" w:hAnsiTheme="minorHAnsi"/>
                <w:lang w:eastAsia="zh-CN"/>
              </w:rPr>
            </w:pPr>
            <w:r w:rsidRPr="002C7A02">
              <w:rPr>
                <w:rFonts w:asciiTheme="minorHAnsi" w:hAnsiTheme="minorHAnsi"/>
                <w:lang w:eastAsia="zh-CN"/>
              </w:rPr>
              <w:t>No change</w:t>
            </w:r>
            <w:r w:rsidR="00D96F32" w:rsidRPr="002C7A02">
              <w:rPr>
                <w:rFonts w:asciiTheme="minorHAnsi" w:hAnsiTheme="minorHAnsi"/>
                <w:lang w:eastAsia="zh-CN"/>
              </w:rPr>
              <w:t xml:space="preserve"> apart from the title to better reflect the content of this annex.</w:t>
            </w:r>
          </w:p>
        </w:tc>
      </w:tr>
    </w:tbl>
    <w:p w14:paraId="25115225" w14:textId="77777777" w:rsidR="004D6344" w:rsidRPr="002C7A02" w:rsidRDefault="004D6344">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p w14:paraId="24891BF4" w14:textId="77777777" w:rsidR="000069D4" w:rsidRPr="002C7A02" w:rsidRDefault="00125AA9" w:rsidP="00125AA9">
      <w:pPr>
        <w:jc w:val="center"/>
        <w:rPr>
          <w:rFonts w:asciiTheme="minorHAnsi" w:hAnsiTheme="minorHAnsi"/>
          <w:lang w:eastAsia="zh-CN"/>
        </w:rPr>
      </w:pPr>
      <w:r w:rsidRPr="002C7A02">
        <w:rPr>
          <w:rFonts w:asciiTheme="minorHAnsi" w:hAnsiTheme="minorHAnsi"/>
        </w:rPr>
        <w:t>______________</w:t>
      </w:r>
    </w:p>
    <w:sectPr w:rsidR="000069D4" w:rsidRPr="002C7A02" w:rsidSect="00306CFB">
      <w:headerReference w:type="first" r:id="rId18"/>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2610A" w14:textId="77777777" w:rsidR="004D71C3" w:rsidRDefault="004D71C3">
      <w:r>
        <w:separator/>
      </w:r>
    </w:p>
  </w:endnote>
  <w:endnote w:type="continuationSeparator" w:id="0">
    <w:p w14:paraId="0125FFCE" w14:textId="77777777" w:rsidR="004D71C3" w:rsidRDefault="004D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A1CF" w14:textId="77777777" w:rsidR="006D332D" w:rsidRDefault="006D33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4CCC6" w14:textId="77777777" w:rsidR="006D332D" w:rsidRDefault="006D33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AC596" w14:textId="77777777" w:rsidR="006D332D" w:rsidRDefault="006D3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2E73A" w14:textId="77777777" w:rsidR="004D71C3" w:rsidRDefault="004D71C3">
      <w:r>
        <w:t>____________________</w:t>
      </w:r>
    </w:p>
  </w:footnote>
  <w:footnote w:type="continuationSeparator" w:id="0">
    <w:p w14:paraId="783E84B3" w14:textId="77777777" w:rsidR="004D71C3" w:rsidRDefault="004D7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7130D" w14:textId="77777777" w:rsidR="006D332D" w:rsidRDefault="006D33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DD60F" w14:textId="77777777" w:rsidR="00FA124A" w:rsidRDefault="00FA124A" w:rsidP="00306CFB">
    <w:pPr>
      <w:pStyle w:val="Header"/>
      <w:rPr>
        <w:lang w:val="en-US"/>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6D332D">
      <w:rPr>
        <w:rStyle w:val="PageNumber"/>
        <w:noProof/>
      </w:rPr>
      <w:t>8</w:t>
    </w:r>
    <w:r w:rsidR="00D02712">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74345" w14:textId="2AADC468" w:rsidR="006D332D" w:rsidRPr="006D332D" w:rsidRDefault="006D332D">
    <w:pPr>
      <w:pStyle w:val="Header"/>
      <w:rPr>
        <w:rFonts w:asciiTheme="minorHAnsi" w:hAnsiTheme="minorHAnsi"/>
        <w:sz w:val="20"/>
        <w:lang w:val="en-US"/>
      </w:rPr>
    </w:pPr>
    <w:bookmarkStart w:id="8" w:name="_GoBack"/>
    <w:r w:rsidRPr="006D332D">
      <w:rPr>
        <w:rFonts w:asciiTheme="minorHAnsi" w:hAnsiTheme="minorHAnsi"/>
        <w:sz w:val="20"/>
        <w:lang w:val="en-US"/>
      </w:rPr>
      <w:t xml:space="preserve">Attachment 1 to </w:t>
    </w:r>
    <w:r w:rsidRPr="006D332D">
      <w:rPr>
        <w:rFonts w:asciiTheme="minorHAnsi" w:hAnsiTheme="minorHAnsi"/>
        <w:sz w:val="20"/>
        <w:lang w:val="en-US"/>
      </w:rPr>
      <w:br/>
      <w:t>TDAG-18/23-E</w:t>
    </w:r>
    <w:bookmarkEnd w:id="8"/>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2E793" w14:textId="77777777" w:rsidR="00306CFB" w:rsidRDefault="00306C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A5682"/>
    <w:multiLevelType w:val="hybridMultilevel"/>
    <w:tmpl w:val="2AFAFF36"/>
    <w:lvl w:ilvl="0" w:tplc="0A6C29AC">
      <w:start w:val="27"/>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BB7F4C"/>
    <w:multiLevelType w:val="hybridMultilevel"/>
    <w:tmpl w:val="674AF656"/>
    <w:lvl w:ilvl="0" w:tplc="13B8DE86">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C50427"/>
    <w:multiLevelType w:val="hybridMultilevel"/>
    <w:tmpl w:val="CB1C7B18"/>
    <w:lvl w:ilvl="0" w:tplc="516ABA26">
      <w:start w:val="2"/>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F201019"/>
    <w:multiLevelType w:val="hybridMultilevel"/>
    <w:tmpl w:val="97DA1A58"/>
    <w:lvl w:ilvl="0" w:tplc="E94CA4B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C9"/>
    <w:rsid w:val="00004BC6"/>
    <w:rsid w:val="000069D4"/>
    <w:rsid w:val="0000744E"/>
    <w:rsid w:val="00014AB8"/>
    <w:rsid w:val="00016D87"/>
    <w:rsid w:val="00017004"/>
    <w:rsid w:val="000174AD"/>
    <w:rsid w:val="0002401A"/>
    <w:rsid w:val="00033340"/>
    <w:rsid w:val="00040C94"/>
    <w:rsid w:val="00047A1D"/>
    <w:rsid w:val="0005520E"/>
    <w:rsid w:val="000564AF"/>
    <w:rsid w:val="000604B9"/>
    <w:rsid w:val="00070CF3"/>
    <w:rsid w:val="00071AFB"/>
    <w:rsid w:val="000770D8"/>
    <w:rsid w:val="00083EC5"/>
    <w:rsid w:val="000858D7"/>
    <w:rsid w:val="00092DFC"/>
    <w:rsid w:val="000A1407"/>
    <w:rsid w:val="000A7D55"/>
    <w:rsid w:val="000B0793"/>
    <w:rsid w:val="000B3B94"/>
    <w:rsid w:val="000B7B8A"/>
    <w:rsid w:val="000C12C8"/>
    <w:rsid w:val="000C2622"/>
    <w:rsid w:val="000C2E8E"/>
    <w:rsid w:val="000C4D88"/>
    <w:rsid w:val="000D6100"/>
    <w:rsid w:val="000E0E7C"/>
    <w:rsid w:val="000F1B4B"/>
    <w:rsid w:val="000F5C09"/>
    <w:rsid w:val="001005B2"/>
    <w:rsid w:val="0011423F"/>
    <w:rsid w:val="00125AA9"/>
    <w:rsid w:val="001262AA"/>
    <w:rsid w:val="0012653E"/>
    <w:rsid w:val="0012744F"/>
    <w:rsid w:val="00131178"/>
    <w:rsid w:val="00137E42"/>
    <w:rsid w:val="00150A4D"/>
    <w:rsid w:val="00156F66"/>
    <w:rsid w:val="00163271"/>
    <w:rsid w:val="001720F2"/>
    <w:rsid w:val="00182528"/>
    <w:rsid w:val="0018500B"/>
    <w:rsid w:val="00194B81"/>
    <w:rsid w:val="00196A19"/>
    <w:rsid w:val="00197C3F"/>
    <w:rsid w:val="001A4292"/>
    <w:rsid w:val="001B5734"/>
    <w:rsid w:val="001C042A"/>
    <w:rsid w:val="001D0739"/>
    <w:rsid w:val="001D2A3C"/>
    <w:rsid w:val="001E2B6C"/>
    <w:rsid w:val="001E6EF2"/>
    <w:rsid w:val="001F09F6"/>
    <w:rsid w:val="001F6AEA"/>
    <w:rsid w:val="001F7452"/>
    <w:rsid w:val="00202DC1"/>
    <w:rsid w:val="002116EE"/>
    <w:rsid w:val="00214152"/>
    <w:rsid w:val="00225D0A"/>
    <w:rsid w:val="002309D8"/>
    <w:rsid w:val="00231FE9"/>
    <w:rsid w:val="00232347"/>
    <w:rsid w:val="00237088"/>
    <w:rsid w:val="00240F87"/>
    <w:rsid w:val="00250B0A"/>
    <w:rsid w:val="002705B4"/>
    <w:rsid w:val="00280F77"/>
    <w:rsid w:val="00281994"/>
    <w:rsid w:val="002973E2"/>
    <w:rsid w:val="002A34A1"/>
    <w:rsid w:val="002A7FE2"/>
    <w:rsid w:val="002B108A"/>
    <w:rsid w:val="002C51ED"/>
    <w:rsid w:val="002C68DB"/>
    <w:rsid w:val="002C7A02"/>
    <w:rsid w:val="002D4DE9"/>
    <w:rsid w:val="002D5D40"/>
    <w:rsid w:val="002E1B4F"/>
    <w:rsid w:val="002E1C36"/>
    <w:rsid w:val="002E2E0F"/>
    <w:rsid w:val="002F2E67"/>
    <w:rsid w:val="002F79BB"/>
    <w:rsid w:val="002F7CB3"/>
    <w:rsid w:val="003020FB"/>
    <w:rsid w:val="00304E2E"/>
    <w:rsid w:val="00306CFB"/>
    <w:rsid w:val="00312733"/>
    <w:rsid w:val="00315546"/>
    <w:rsid w:val="00330567"/>
    <w:rsid w:val="00332CF1"/>
    <w:rsid w:val="003347FD"/>
    <w:rsid w:val="00341013"/>
    <w:rsid w:val="0034245D"/>
    <w:rsid w:val="00344B99"/>
    <w:rsid w:val="00346B31"/>
    <w:rsid w:val="00350B48"/>
    <w:rsid w:val="00353251"/>
    <w:rsid w:val="0035634A"/>
    <w:rsid w:val="00357F5A"/>
    <w:rsid w:val="00386A9D"/>
    <w:rsid w:val="00391081"/>
    <w:rsid w:val="00391CC9"/>
    <w:rsid w:val="003A1158"/>
    <w:rsid w:val="003B2789"/>
    <w:rsid w:val="003C13CE"/>
    <w:rsid w:val="003C3642"/>
    <w:rsid w:val="003D1916"/>
    <w:rsid w:val="003D34CA"/>
    <w:rsid w:val="003D3EED"/>
    <w:rsid w:val="003E0FB7"/>
    <w:rsid w:val="003E1B1B"/>
    <w:rsid w:val="003E2518"/>
    <w:rsid w:val="003E3E0E"/>
    <w:rsid w:val="003E76D1"/>
    <w:rsid w:val="003E7CEF"/>
    <w:rsid w:val="00401593"/>
    <w:rsid w:val="00405F39"/>
    <w:rsid w:val="00414650"/>
    <w:rsid w:val="00424F71"/>
    <w:rsid w:val="00426499"/>
    <w:rsid w:val="004418A3"/>
    <w:rsid w:val="00442475"/>
    <w:rsid w:val="00467CB0"/>
    <w:rsid w:val="0048165E"/>
    <w:rsid w:val="00496E3E"/>
    <w:rsid w:val="004A081A"/>
    <w:rsid w:val="004B1EF7"/>
    <w:rsid w:val="004B3FAD"/>
    <w:rsid w:val="004C5749"/>
    <w:rsid w:val="004D6344"/>
    <w:rsid w:val="004D71C3"/>
    <w:rsid w:val="004D7B76"/>
    <w:rsid w:val="00500AF1"/>
    <w:rsid w:val="00501DCA"/>
    <w:rsid w:val="00503372"/>
    <w:rsid w:val="00510178"/>
    <w:rsid w:val="00511CB9"/>
    <w:rsid w:val="00513A47"/>
    <w:rsid w:val="00514A91"/>
    <w:rsid w:val="00521AEF"/>
    <w:rsid w:val="005251ED"/>
    <w:rsid w:val="00533397"/>
    <w:rsid w:val="005408DF"/>
    <w:rsid w:val="0054135C"/>
    <w:rsid w:val="005448CE"/>
    <w:rsid w:val="00546C67"/>
    <w:rsid w:val="00552E19"/>
    <w:rsid w:val="005541FC"/>
    <w:rsid w:val="00562E77"/>
    <w:rsid w:val="0056428F"/>
    <w:rsid w:val="00573344"/>
    <w:rsid w:val="00583F9B"/>
    <w:rsid w:val="00584235"/>
    <w:rsid w:val="00586485"/>
    <w:rsid w:val="00591646"/>
    <w:rsid w:val="0059295B"/>
    <w:rsid w:val="00593DF6"/>
    <w:rsid w:val="00594CCB"/>
    <w:rsid w:val="005A05DC"/>
    <w:rsid w:val="005A399F"/>
    <w:rsid w:val="005A39FD"/>
    <w:rsid w:val="005B14D1"/>
    <w:rsid w:val="005C7FB6"/>
    <w:rsid w:val="005D6590"/>
    <w:rsid w:val="005E4138"/>
    <w:rsid w:val="005E5C10"/>
    <w:rsid w:val="005E643D"/>
    <w:rsid w:val="005F2C78"/>
    <w:rsid w:val="005F3FB9"/>
    <w:rsid w:val="005F6780"/>
    <w:rsid w:val="006143E6"/>
    <w:rsid w:val="006144E4"/>
    <w:rsid w:val="006226BD"/>
    <w:rsid w:val="00650299"/>
    <w:rsid w:val="00650BD2"/>
    <w:rsid w:val="00651A9B"/>
    <w:rsid w:val="00652BF0"/>
    <w:rsid w:val="00655FC5"/>
    <w:rsid w:val="00676E21"/>
    <w:rsid w:val="00686D37"/>
    <w:rsid w:val="00696219"/>
    <w:rsid w:val="006A7248"/>
    <w:rsid w:val="006C1AF6"/>
    <w:rsid w:val="006D001A"/>
    <w:rsid w:val="006D049B"/>
    <w:rsid w:val="006D332D"/>
    <w:rsid w:val="006D40FA"/>
    <w:rsid w:val="006D79D6"/>
    <w:rsid w:val="006E2905"/>
    <w:rsid w:val="006E7AB5"/>
    <w:rsid w:val="006F0036"/>
    <w:rsid w:val="007027AF"/>
    <w:rsid w:val="00711240"/>
    <w:rsid w:val="00715F7D"/>
    <w:rsid w:val="00726038"/>
    <w:rsid w:val="0074130C"/>
    <w:rsid w:val="00743CD3"/>
    <w:rsid w:val="00744B1F"/>
    <w:rsid w:val="00766B85"/>
    <w:rsid w:val="00771DDE"/>
    <w:rsid w:val="00785605"/>
    <w:rsid w:val="00794F9D"/>
    <w:rsid w:val="007A171F"/>
    <w:rsid w:val="007C122C"/>
    <w:rsid w:val="007D3BA9"/>
    <w:rsid w:val="008113EB"/>
    <w:rsid w:val="00814E0A"/>
    <w:rsid w:val="008204AC"/>
    <w:rsid w:val="00822027"/>
    <w:rsid w:val="00822581"/>
    <w:rsid w:val="0082407E"/>
    <w:rsid w:val="008309DD"/>
    <w:rsid w:val="0083227A"/>
    <w:rsid w:val="0083246E"/>
    <w:rsid w:val="008401A0"/>
    <w:rsid w:val="00866900"/>
    <w:rsid w:val="00876A8A"/>
    <w:rsid w:val="00881BA1"/>
    <w:rsid w:val="0089702D"/>
    <w:rsid w:val="008A429D"/>
    <w:rsid w:val="008A4E3E"/>
    <w:rsid w:val="008A6BCE"/>
    <w:rsid w:val="008A7E21"/>
    <w:rsid w:val="008B248E"/>
    <w:rsid w:val="008B43A3"/>
    <w:rsid w:val="008C2302"/>
    <w:rsid w:val="008C26B8"/>
    <w:rsid w:val="008D09E6"/>
    <w:rsid w:val="008D65C1"/>
    <w:rsid w:val="008F208F"/>
    <w:rsid w:val="008F50C9"/>
    <w:rsid w:val="00914FF5"/>
    <w:rsid w:val="00941AB7"/>
    <w:rsid w:val="0096277A"/>
    <w:rsid w:val="00981089"/>
    <w:rsid w:val="00982084"/>
    <w:rsid w:val="00992A13"/>
    <w:rsid w:val="00995963"/>
    <w:rsid w:val="009B61EB"/>
    <w:rsid w:val="009C0E5E"/>
    <w:rsid w:val="009C2064"/>
    <w:rsid w:val="009C2066"/>
    <w:rsid w:val="009D1697"/>
    <w:rsid w:val="009E148F"/>
    <w:rsid w:val="009F3A46"/>
    <w:rsid w:val="009F62F3"/>
    <w:rsid w:val="009F6520"/>
    <w:rsid w:val="009F7672"/>
    <w:rsid w:val="00A014F8"/>
    <w:rsid w:val="00A061CA"/>
    <w:rsid w:val="00A11928"/>
    <w:rsid w:val="00A12F78"/>
    <w:rsid w:val="00A4477B"/>
    <w:rsid w:val="00A5173C"/>
    <w:rsid w:val="00A54BF7"/>
    <w:rsid w:val="00A6148E"/>
    <w:rsid w:val="00A61AEF"/>
    <w:rsid w:val="00A62A53"/>
    <w:rsid w:val="00A66142"/>
    <w:rsid w:val="00A83AF3"/>
    <w:rsid w:val="00A87664"/>
    <w:rsid w:val="00A87D45"/>
    <w:rsid w:val="00A9108F"/>
    <w:rsid w:val="00A9110B"/>
    <w:rsid w:val="00AA2F3B"/>
    <w:rsid w:val="00AB492C"/>
    <w:rsid w:val="00AB58BB"/>
    <w:rsid w:val="00AC12B3"/>
    <w:rsid w:val="00AD2345"/>
    <w:rsid w:val="00AD5E23"/>
    <w:rsid w:val="00AF173A"/>
    <w:rsid w:val="00AF4B5B"/>
    <w:rsid w:val="00AF4FBC"/>
    <w:rsid w:val="00B066A4"/>
    <w:rsid w:val="00B07A13"/>
    <w:rsid w:val="00B20733"/>
    <w:rsid w:val="00B212AD"/>
    <w:rsid w:val="00B236F9"/>
    <w:rsid w:val="00B31C9C"/>
    <w:rsid w:val="00B4279B"/>
    <w:rsid w:val="00B45FC9"/>
    <w:rsid w:val="00B57DD8"/>
    <w:rsid w:val="00B67617"/>
    <w:rsid w:val="00B76F35"/>
    <w:rsid w:val="00B81138"/>
    <w:rsid w:val="00B82517"/>
    <w:rsid w:val="00B86F7C"/>
    <w:rsid w:val="00BA2149"/>
    <w:rsid w:val="00BA3A3D"/>
    <w:rsid w:val="00BC083E"/>
    <w:rsid w:val="00BC2033"/>
    <w:rsid w:val="00BC7CCF"/>
    <w:rsid w:val="00BD4A93"/>
    <w:rsid w:val="00BE470B"/>
    <w:rsid w:val="00C01A53"/>
    <w:rsid w:val="00C047B7"/>
    <w:rsid w:val="00C066D2"/>
    <w:rsid w:val="00C07607"/>
    <w:rsid w:val="00C20789"/>
    <w:rsid w:val="00C20AAF"/>
    <w:rsid w:val="00C3196A"/>
    <w:rsid w:val="00C34A0E"/>
    <w:rsid w:val="00C46FB4"/>
    <w:rsid w:val="00C4700A"/>
    <w:rsid w:val="00C4771B"/>
    <w:rsid w:val="00C50251"/>
    <w:rsid w:val="00C57A91"/>
    <w:rsid w:val="00C813BC"/>
    <w:rsid w:val="00C8506A"/>
    <w:rsid w:val="00CB1223"/>
    <w:rsid w:val="00CC014D"/>
    <w:rsid w:val="00CC01C2"/>
    <w:rsid w:val="00CC0D92"/>
    <w:rsid w:val="00CE173B"/>
    <w:rsid w:val="00CF0DAC"/>
    <w:rsid w:val="00CF21F2"/>
    <w:rsid w:val="00D002A6"/>
    <w:rsid w:val="00D02712"/>
    <w:rsid w:val="00D046A7"/>
    <w:rsid w:val="00D17C9C"/>
    <w:rsid w:val="00D214D0"/>
    <w:rsid w:val="00D3157E"/>
    <w:rsid w:val="00D323A5"/>
    <w:rsid w:val="00D34DBC"/>
    <w:rsid w:val="00D41710"/>
    <w:rsid w:val="00D420F6"/>
    <w:rsid w:val="00D445E6"/>
    <w:rsid w:val="00D63659"/>
    <w:rsid w:val="00D6546B"/>
    <w:rsid w:val="00D67358"/>
    <w:rsid w:val="00D7087A"/>
    <w:rsid w:val="00D721FD"/>
    <w:rsid w:val="00D802E1"/>
    <w:rsid w:val="00D832DE"/>
    <w:rsid w:val="00D96F32"/>
    <w:rsid w:val="00D97805"/>
    <w:rsid w:val="00DA1B1D"/>
    <w:rsid w:val="00DA3478"/>
    <w:rsid w:val="00DB178B"/>
    <w:rsid w:val="00DB6E67"/>
    <w:rsid w:val="00DC17D3"/>
    <w:rsid w:val="00DC3B68"/>
    <w:rsid w:val="00DD4BED"/>
    <w:rsid w:val="00DE2AC4"/>
    <w:rsid w:val="00DE39F0"/>
    <w:rsid w:val="00DE6842"/>
    <w:rsid w:val="00DF0AF3"/>
    <w:rsid w:val="00DF731A"/>
    <w:rsid w:val="00DF7E9F"/>
    <w:rsid w:val="00E03221"/>
    <w:rsid w:val="00E14F06"/>
    <w:rsid w:val="00E16319"/>
    <w:rsid w:val="00E16516"/>
    <w:rsid w:val="00E17E92"/>
    <w:rsid w:val="00E21261"/>
    <w:rsid w:val="00E21497"/>
    <w:rsid w:val="00E27D7E"/>
    <w:rsid w:val="00E3337F"/>
    <w:rsid w:val="00E36A27"/>
    <w:rsid w:val="00E36A33"/>
    <w:rsid w:val="00E406BA"/>
    <w:rsid w:val="00E42E13"/>
    <w:rsid w:val="00E465B1"/>
    <w:rsid w:val="00E54F68"/>
    <w:rsid w:val="00E557C9"/>
    <w:rsid w:val="00E56D5C"/>
    <w:rsid w:val="00E60C03"/>
    <w:rsid w:val="00E60E69"/>
    <w:rsid w:val="00E6257C"/>
    <w:rsid w:val="00E63C59"/>
    <w:rsid w:val="00E75C68"/>
    <w:rsid w:val="00E977E3"/>
    <w:rsid w:val="00EA48A2"/>
    <w:rsid w:val="00EA7273"/>
    <w:rsid w:val="00EB071D"/>
    <w:rsid w:val="00ED0EFB"/>
    <w:rsid w:val="00ED70FC"/>
    <w:rsid w:val="00EE37A7"/>
    <w:rsid w:val="00EE4413"/>
    <w:rsid w:val="00EF2D3F"/>
    <w:rsid w:val="00F25662"/>
    <w:rsid w:val="00F45875"/>
    <w:rsid w:val="00F773EA"/>
    <w:rsid w:val="00F80B43"/>
    <w:rsid w:val="00F83616"/>
    <w:rsid w:val="00F90623"/>
    <w:rsid w:val="00FA124A"/>
    <w:rsid w:val="00FA1DFE"/>
    <w:rsid w:val="00FA6272"/>
    <w:rsid w:val="00FB0774"/>
    <w:rsid w:val="00FB16B0"/>
    <w:rsid w:val="00FB5D09"/>
    <w:rsid w:val="00FB7D9F"/>
    <w:rsid w:val="00FC08DD"/>
    <w:rsid w:val="00FC2316"/>
    <w:rsid w:val="00FC2CFD"/>
    <w:rsid w:val="00FC6127"/>
    <w:rsid w:val="00FC708A"/>
    <w:rsid w:val="00FD3C2A"/>
    <w:rsid w:val="00FD42A1"/>
    <w:rsid w:val="00FF5E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D5B821"/>
  <w15:docId w15:val="{E5B85FAE-9A16-4BB6-ACF8-104F0595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AppendixNoTitle">
    <w:name w:val="Appendix_NoTitle"/>
    <w:basedOn w:val="Normal"/>
    <w:next w:val="Normal"/>
    <w:uiPriority w:val="99"/>
    <w:rsid w:val="00125AA9"/>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Tablefin">
    <w:name w:val="Table_fin"/>
    <w:basedOn w:val="Normal"/>
    <w:next w:val="Normal"/>
    <w:rsid w:val="00125AA9"/>
    <w:pPr>
      <w:tabs>
        <w:tab w:val="clear" w:pos="1134"/>
        <w:tab w:val="clear" w:pos="1871"/>
        <w:tab w:val="clear" w:pos="2268"/>
        <w:tab w:val="left" w:pos="794"/>
        <w:tab w:val="left" w:pos="1191"/>
        <w:tab w:val="left" w:pos="1588"/>
        <w:tab w:val="left" w:pos="1985"/>
      </w:tabs>
      <w:spacing w:before="0"/>
      <w:jc w:val="both"/>
    </w:pPr>
    <w:rPr>
      <w:sz w:val="20"/>
    </w:rPr>
  </w:style>
  <w:style w:type="character" w:customStyle="1" w:styleId="TableheadChar">
    <w:name w:val="Table_head Char"/>
    <w:basedOn w:val="DefaultParagraphFont"/>
    <w:link w:val="Tablehead"/>
    <w:locked/>
    <w:rsid w:val="00125AA9"/>
    <w:rPr>
      <w:rFonts w:ascii="Times New Roman Bold" w:hAnsi="Times New Roman Bold" w:cs="Times New Roman Bold"/>
      <w:b/>
      <w:lang w:val="en-GB" w:eastAsia="en-US"/>
    </w:rPr>
  </w:style>
  <w:style w:type="character" w:customStyle="1" w:styleId="TableNoChar">
    <w:name w:val="Table_No Char"/>
    <w:basedOn w:val="DefaultParagraphFont"/>
    <w:link w:val="TableNo"/>
    <w:locked/>
    <w:rsid w:val="00125AA9"/>
    <w:rPr>
      <w:rFonts w:ascii="Times New Roman" w:hAnsi="Times New Roman"/>
      <w:caps/>
      <w:lang w:val="en-GB" w:eastAsia="en-US"/>
    </w:rPr>
  </w:style>
  <w:style w:type="character" w:customStyle="1" w:styleId="TabletextChar">
    <w:name w:val="Table_text Char"/>
    <w:basedOn w:val="DefaultParagraphFont"/>
    <w:link w:val="Tabletext"/>
    <w:locked/>
    <w:rsid w:val="00125AA9"/>
    <w:rPr>
      <w:rFonts w:ascii="Times New Roman" w:hAnsi="Times New Roman"/>
      <w:lang w:val="en-GB" w:eastAsia="en-US"/>
    </w:rPr>
  </w:style>
  <w:style w:type="character" w:styleId="Hyperlink">
    <w:name w:val="Hyperlink"/>
    <w:aliases w:val="CEO_Hyperlink,超级链接"/>
    <w:basedOn w:val="DefaultParagraphFont"/>
    <w:uiPriority w:val="99"/>
    <w:unhideWhenUsed/>
    <w:rsid w:val="00125AA9"/>
    <w:rPr>
      <w:color w:val="0000FF"/>
      <w:u w:val="single"/>
    </w:rPr>
  </w:style>
  <w:style w:type="paragraph" w:styleId="BalloonText">
    <w:name w:val="Balloon Text"/>
    <w:basedOn w:val="Normal"/>
    <w:link w:val="BalloonTextChar"/>
    <w:semiHidden/>
    <w:unhideWhenUsed/>
    <w:rsid w:val="00E14F06"/>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E14F06"/>
    <w:rPr>
      <w:rFonts w:asciiTheme="majorHAnsi" w:eastAsiaTheme="majorEastAsia" w:hAnsiTheme="majorHAnsi" w:cstheme="majorBidi"/>
      <w:sz w:val="18"/>
      <w:szCs w:val="18"/>
      <w:lang w:val="en-GB" w:eastAsia="en-US"/>
    </w:rPr>
  </w:style>
  <w:style w:type="table" w:styleId="TableGrid">
    <w:name w:val="Table Grid"/>
    <w:basedOn w:val="TableNormal"/>
    <w:rsid w:val="00D420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2905"/>
    <w:pPr>
      <w:tabs>
        <w:tab w:val="clear" w:pos="1134"/>
        <w:tab w:val="clear" w:pos="1871"/>
        <w:tab w:val="clear" w:pos="2268"/>
      </w:tabs>
      <w:overflowPunct/>
      <w:autoSpaceDE/>
      <w:autoSpaceDN/>
      <w:adjustRightInd/>
      <w:ind w:left="720"/>
      <w:contextualSpacing/>
      <w:jc w:val="both"/>
      <w:textAlignment w:val="auto"/>
    </w:pPr>
    <w:rPr>
      <w:rFonts w:ascii="Calibri" w:eastAsiaTheme="minorEastAsia" w:hAnsi="Calibri"/>
      <w:szCs w:val="22"/>
      <w:lang w:val="fr-FR" w:eastAsia="fr-FR"/>
    </w:rPr>
  </w:style>
  <w:style w:type="character" w:customStyle="1" w:styleId="ListParagraphChar">
    <w:name w:val="List Paragraph Char"/>
    <w:link w:val="ListParagraph"/>
    <w:uiPriority w:val="34"/>
    <w:rsid w:val="006E2905"/>
    <w:rPr>
      <w:rFonts w:ascii="Calibri" w:eastAsiaTheme="minorEastAsia" w:hAnsi="Calibri"/>
      <w:sz w:val="24"/>
      <w:szCs w:val="22"/>
      <w:lang w:val="fr-FR" w:eastAsia="fr-FR"/>
    </w:rPr>
  </w:style>
  <w:style w:type="character" w:styleId="FollowedHyperlink">
    <w:name w:val="FollowedHyperlink"/>
    <w:basedOn w:val="DefaultParagraphFont"/>
    <w:semiHidden/>
    <w:unhideWhenUsed/>
    <w:rsid w:val="006A7248"/>
    <w:rPr>
      <w:color w:val="800080" w:themeColor="followedHyperlink"/>
      <w:u w:val="single"/>
    </w:rPr>
  </w:style>
  <w:style w:type="paragraph" w:styleId="DocumentMap">
    <w:name w:val="Document Map"/>
    <w:basedOn w:val="Normal"/>
    <w:link w:val="DocumentMapChar"/>
    <w:semiHidden/>
    <w:unhideWhenUsed/>
    <w:rsid w:val="008D09E6"/>
    <w:pPr>
      <w:spacing w:before="0"/>
    </w:pPr>
    <w:rPr>
      <w:szCs w:val="24"/>
    </w:rPr>
  </w:style>
  <w:style w:type="character" w:customStyle="1" w:styleId="DocumentMapChar">
    <w:name w:val="Document Map Char"/>
    <w:basedOn w:val="DefaultParagraphFont"/>
    <w:link w:val="DocumentMap"/>
    <w:semiHidden/>
    <w:rsid w:val="008D09E6"/>
    <w:rPr>
      <w:rFonts w:ascii="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1-C-0082/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R15-SG01-C-0061/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15-SG01-C-0082/e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C204E-E503-470E-BD22-B50E71F2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10</TotalTime>
  <Pages>8</Pages>
  <Words>1925</Words>
  <Characters>11289</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13188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BDT - nd</cp:lastModifiedBy>
  <cp:revision>11</cp:revision>
  <cp:lastPrinted>2017-06-23T17:47:00Z</cp:lastPrinted>
  <dcterms:created xsi:type="dcterms:W3CDTF">2017-06-26T11:28:00Z</dcterms:created>
  <dcterms:modified xsi:type="dcterms:W3CDTF">2017-11-15T14:55:00Z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