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7B11DD" w:rsidTr="00E62572">
        <w:trPr>
          <w:trHeight w:val="1134"/>
        </w:trPr>
        <w:tc>
          <w:tcPr>
            <w:tcW w:w="6662" w:type="dxa"/>
          </w:tcPr>
          <w:p w:rsidR="004713B8" w:rsidRPr="007B11DD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7B11DD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7B11DD" w:rsidRDefault="004713B8" w:rsidP="004713B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7B11DD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23-е собрание, </w:t>
            </w:r>
            <w:r w:rsidRPr="007B11DD">
              <w:rPr>
                <w:b/>
                <w:bCs/>
                <w:sz w:val="24"/>
                <w:szCs w:val="24"/>
              </w:rPr>
              <w:t>Женева, 9−11 апреля 2018 года</w:t>
            </w:r>
          </w:p>
        </w:tc>
        <w:tc>
          <w:tcPr>
            <w:tcW w:w="3261" w:type="dxa"/>
            <w:vAlign w:val="center"/>
          </w:tcPr>
          <w:p w:rsidR="004713B8" w:rsidRPr="007B11DD" w:rsidRDefault="004713B8" w:rsidP="00CD34AE">
            <w:pPr>
              <w:widowControl w:val="0"/>
              <w:spacing w:before="40"/>
            </w:pPr>
            <w:r w:rsidRPr="007B11DD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29CFD45" wp14:editId="4BAD212C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-71120</wp:posOffset>
                  </wp:positionV>
                  <wp:extent cx="771525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7B11DD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7B11DD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7B11DD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7B11DD" w:rsidTr="00CD34AE">
        <w:trPr>
          <w:trHeight w:val="300"/>
        </w:trPr>
        <w:tc>
          <w:tcPr>
            <w:tcW w:w="6662" w:type="dxa"/>
          </w:tcPr>
          <w:p w:rsidR="00CD34AE" w:rsidRPr="007B11DD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7B11DD" w:rsidRDefault="007F3A5F" w:rsidP="007B11DD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7B11DD">
              <w:rPr>
                <w:rFonts w:cstheme="minorHAnsi"/>
                <w:b/>
                <w:bCs/>
              </w:rPr>
              <w:t>Пересмотр 1</w:t>
            </w:r>
            <w:r w:rsidR="007B11DD" w:rsidRPr="007B11DD">
              <w:rPr>
                <w:rFonts w:cstheme="minorHAnsi"/>
                <w:b/>
                <w:bCs/>
              </w:rPr>
              <w:br/>
            </w:r>
            <w:r w:rsidR="003E6E87" w:rsidRPr="007B11DD">
              <w:rPr>
                <w:rFonts w:cstheme="minorHAnsi"/>
                <w:b/>
                <w:bCs/>
              </w:rPr>
              <w:t>Документ</w:t>
            </w:r>
            <w:r w:rsidRPr="007B11DD">
              <w:rPr>
                <w:rFonts w:cstheme="minorHAnsi"/>
                <w:b/>
                <w:bCs/>
              </w:rPr>
              <w:t>а</w:t>
            </w:r>
            <w:r w:rsidR="003E6E87" w:rsidRPr="007B11DD">
              <w:rPr>
                <w:rFonts w:cstheme="minorHAnsi"/>
                <w:b/>
                <w:bCs/>
              </w:rPr>
              <w:t xml:space="preserve"> </w:t>
            </w:r>
            <w:bookmarkStart w:id="0" w:name="DocRef1"/>
            <w:bookmarkEnd w:id="0"/>
            <w:r w:rsidR="003E6E87" w:rsidRPr="007B11DD">
              <w:rPr>
                <w:rFonts w:cstheme="minorHAnsi"/>
                <w:b/>
                <w:bCs/>
              </w:rPr>
              <w:t>TDAG</w:t>
            </w:r>
            <w:r w:rsidR="00527225" w:rsidRPr="007B11DD">
              <w:rPr>
                <w:rFonts w:cstheme="minorHAnsi"/>
                <w:b/>
                <w:bCs/>
              </w:rPr>
              <w:t>-</w:t>
            </w:r>
            <w:r w:rsidR="003E6E87" w:rsidRPr="007B11DD">
              <w:rPr>
                <w:rFonts w:cstheme="minorHAnsi"/>
                <w:b/>
                <w:bCs/>
              </w:rPr>
              <w:t>1</w:t>
            </w:r>
            <w:r w:rsidR="004713B8" w:rsidRPr="007B11DD">
              <w:rPr>
                <w:rFonts w:cstheme="minorHAnsi"/>
                <w:b/>
                <w:bCs/>
              </w:rPr>
              <w:t>8</w:t>
            </w:r>
            <w:r w:rsidR="003E6E87" w:rsidRPr="007B11DD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1A75F8" w:rsidRPr="007B11DD">
              <w:rPr>
                <w:rFonts w:cstheme="minorHAnsi"/>
                <w:b/>
                <w:bCs/>
              </w:rPr>
              <w:t>21</w:t>
            </w:r>
            <w:r w:rsidR="003E6E87" w:rsidRPr="007B11DD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7B11DD" w:rsidTr="00CD34AE">
        <w:trPr>
          <w:trHeight w:val="300"/>
        </w:trPr>
        <w:tc>
          <w:tcPr>
            <w:tcW w:w="6662" w:type="dxa"/>
          </w:tcPr>
          <w:p w:rsidR="00CD34AE" w:rsidRPr="007B11DD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:rsidR="00CD34AE" w:rsidRPr="007B11DD" w:rsidRDefault="007F3A5F" w:rsidP="004713B8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7B11DD">
              <w:rPr>
                <w:b/>
                <w:bCs/>
              </w:rPr>
              <w:t>22</w:t>
            </w:r>
            <w:r w:rsidR="001A75F8" w:rsidRPr="007B11DD">
              <w:rPr>
                <w:b/>
                <w:bCs/>
              </w:rPr>
              <w:t xml:space="preserve"> февраля</w:t>
            </w:r>
            <w:r w:rsidR="00A73D91" w:rsidRPr="007B11DD">
              <w:rPr>
                <w:b/>
                <w:bCs/>
              </w:rPr>
              <w:t xml:space="preserve"> 201</w:t>
            </w:r>
            <w:r w:rsidR="004713B8" w:rsidRPr="007B11DD">
              <w:rPr>
                <w:b/>
                <w:bCs/>
              </w:rPr>
              <w:t>8</w:t>
            </w:r>
            <w:r w:rsidR="00A73D91" w:rsidRPr="007B11DD">
              <w:rPr>
                <w:b/>
                <w:bCs/>
              </w:rPr>
              <w:t xml:space="preserve"> года</w:t>
            </w:r>
          </w:p>
        </w:tc>
      </w:tr>
      <w:tr w:rsidR="00CD34AE" w:rsidRPr="007B11DD" w:rsidTr="00CD34AE">
        <w:trPr>
          <w:trHeight w:val="300"/>
        </w:trPr>
        <w:tc>
          <w:tcPr>
            <w:tcW w:w="6662" w:type="dxa"/>
          </w:tcPr>
          <w:p w:rsidR="00CD34AE" w:rsidRPr="007B11DD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7B11DD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7B11DD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7B11DD">
              <w:rPr>
                <w:rFonts w:cstheme="minorHAnsi"/>
                <w:b/>
                <w:bCs/>
              </w:rPr>
              <w:t xml:space="preserve"> </w:t>
            </w:r>
            <w:r w:rsidR="001A75F8" w:rsidRPr="007B11DD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7B11DD" w:rsidTr="00CD34AE">
        <w:trPr>
          <w:trHeight w:val="850"/>
        </w:trPr>
        <w:tc>
          <w:tcPr>
            <w:tcW w:w="9923" w:type="dxa"/>
            <w:gridSpan w:val="2"/>
          </w:tcPr>
          <w:p w:rsidR="00CD34AE" w:rsidRPr="007B11DD" w:rsidRDefault="001A75F8" w:rsidP="001A75F8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7B11DD">
              <w:t>Директор Бюро развития электросвязи</w:t>
            </w:r>
          </w:p>
        </w:tc>
      </w:tr>
      <w:tr w:rsidR="00CD34AE" w:rsidRPr="007B11DD" w:rsidTr="00270876">
        <w:tc>
          <w:tcPr>
            <w:tcW w:w="9923" w:type="dxa"/>
            <w:gridSpan w:val="2"/>
          </w:tcPr>
          <w:p w:rsidR="00CD34AE" w:rsidRPr="007B11DD" w:rsidRDefault="001A75F8" w:rsidP="001A75F8">
            <w:pPr>
              <w:pStyle w:val="Title1"/>
            </w:pPr>
            <w:bookmarkStart w:id="5" w:name="Title"/>
            <w:bookmarkEnd w:id="5"/>
            <w:r w:rsidRPr="007B11DD">
              <w:t>партнерские отношения и мобилизация ресурсов в мсэ-D</w:t>
            </w:r>
          </w:p>
        </w:tc>
      </w:tr>
      <w:tr w:rsidR="00CD34AE" w:rsidRPr="007B11DD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7B11DD" w:rsidRDefault="00CD34AE" w:rsidP="00CD34AE"/>
        </w:tc>
      </w:tr>
      <w:tr w:rsidR="00CD34AE" w:rsidRPr="007B11DD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590CD5" w:rsidRDefault="00CD34AE" w:rsidP="007B11DD">
            <w:pPr>
              <w:pStyle w:val="Headingb"/>
            </w:pPr>
            <w:r w:rsidRPr="00590CD5">
              <w:t>Резюме</w:t>
            </w:r>
          </w:p>
          <w:p w:rsidR="00CD34AE" w:rsidRPr="00590CD5" w:rsidRDefault="001A75F8" w:rsidP="007F3A5F">
            <w:r w:rsidRPr="00590CD5">
              <w:t xml:space="preserve">На ВКРЭ-17 было особо отмечено значение партнерских отношений и мобилизации ресурсов. В настоящем документе представлен обзор </w:t>
            </w:r>
            <w:r w:rsidR="007F3A5F" w:rsidRPr="00590CD5">
              <w:t xml:space="preserve">основной </w:t>
            </w:r>
            <w:r w:rsidRPr="00590CD5">
              <w:t>задач</w:t>
            </w:r>
            <w:r w:rsidR="007F3A5F" w:rsidRPr="00590CD5">
              <w:t>и</w:t>
            </w:r>
            <w:r w:rsidRPr="00590CD5">
              <w:t xml:space="preserve">, </w:t>
            </w:r>
            <w:r w:rsidR="007F3A5F" w:rsidRPr="00590CD5">
              <w:t xml:space="preserve">мер </w:t>
            </w:r>
            <w:r w:rsidR="004E5AD4" w:rsidRPr="00590CD5">
              <w:t xml:space="preserve">по внедрению </w:t>
            </w:r>
            <w:r w:rsidR="007F3A5F" w:rsidRPr="00590CD5">
              <w:t xml:space="preserve">управления, ориентированного на результаты, и </w:t>
            </w:r>
            <w:r w:rsidR="00E7319E" w:rsidRPr="00590CD5">
              <w:t xml:space="preserve">направления </w:t>
            </w:r>
            <w:r w:rsidR="007F3A5F" w:rsidRPr="00590CD5">
              <w:t>дальнейших действий</w:t>
            </w:r>
            <w:r w:rsidRPr="00590CD5">
              <w:t>, направленных на укрепление партнерских отношений и мобилизацию ресурсов.</w:t>
            </w:r>
          </w:p>
          <w:p w:rsidR="00CD34AE" w:rsidRPr="00590CD5" w:rsidRDefault="00CD34AE" w:rsidP="007B11DD">
            <w:pPr>
              <w:pStyle w:val="Headingb"/>
            </w:pPr>
            <w:r w:rsidRPr="00590CD5">
              <w:t>Необходимые действия</w:t>
            </w:r>
          </w:p>
          <w:p w:rsidR="00CD34AE" w:rsidRPr="00590CD5" w:rsidRDefault="001A75F8" w:rsidP="001A75F8">
            <w:r w:rsidRPr="00590CD5">
              <w:t>КГРЭ предлагается принять настоящий документ к сведению и по мере необходимости предоставить руководящие указания.</w:t>
            </w:r>
          </w:p>
          <w:p w:rsidR="00CD34AE" w:rsidRPr="00590CD5" w:rsidRDefault="00CD34AE" w:rsidP="007B11DD">
            <w:pPr>
              <w:pStyle w:val="Headingb"/>
            </w:pPr>
            <w:r w:rsidRPr="00590CD5">
              <w:t>Справочные материалы</w:t>
            </w:r>
          </w:p>
          <w:p w:rsidR="00590CD5" w:rsidRPr="00590CD5" w:rsidRDefault="00142C18" w:rsidP="00590CD5">
            <w:pPr>
              <w:rPr>
                <w:szCs w:val="24"/>
              </w:rPr>
            </w:pPr>
            <w:hyperlink r:id="rId8" w:history="1">
              <w:r w:rsidR="00590CD5" w:rsidRPr="00590CD5">
                <w:rPr>
                  <w:rStyle w:val="Hyperlink"/>
                  <w:szCs w:val="24"/>
                </w:rPr>
                <w:t>Цель 4 ВКРЭ-17</w:t>
              </w:r>
            </w:hyperlink>
            <w:r w:rsidR="00590CD5" w:rsidRPr="00590CD5">
              <w:rPr>
                <w:szCs w:val="24"/>
              </w:rPr>
              <w:t xml:space="preserve">; </w:t>
            </w:r>
            <w:hyperlink r:id="rId9" w:history="1">
              <w:r w:rsidR="00590CD5" w:rsidRPr="00590CD5">
                <w:rPr>
                  <w:rStyle w:val="Hyperlink"/>
                  <w:szCs w:val="24"/>
                </w:rPr>
                <w:t>конечный результат деятельности D.1.5 ВКРЭ-17</w:t>
              </w:r>
            </w:hyperlink>
            <w:r w:rsidR="00590CD5" w:rsidRPr="00590CD5">
              <w:t>;</w:t>
            </w:r>
          </w:p>
          <w:p w:rsidR="00CD34AE" w:rsidRPr="00590CD5" w:rsidRDefault="00142C18" w:rsidP="00DA5B0C">
            <w:pPr>
              <w:spacing w:after="120"/>
            </w:pPr>
            <w:hyperlink r:id="rId10" w:history="1">
              <w:r w:rsidR="00590CD5" w:rsidRPr="00590CD5">
                <w:rPr>
                  <w:rStyle w:val="Hyperlink"/>
                </w:rPr>
                <w:t>Резолюция 17 (Пересм. Буэнос-Айрес, 2017 г.)</w:t>
              </w:r>
            </w:hyperlink>
            <w:r w:rsidR="00590CD5" w:rsidRPr="00590CD5">
              <w:t xml:space="preserve"> и </w:t>
            </w:r>
            <w:hyperlink r:id="rId11" w:history="1">
              <w:r w:rsidR="00590CD5" w:rsidRPr="00590CD5">
                <w:rPr>
                  <w:rStyle w:val="Hyperlink"/>
                  <w:szCs w:val="24"/>
                </w:rPr>
                <w:t>Резолюция 71 (Пересм. Буэнос-Айрес, 2017 г.) ВКРЭ</w:t>
              </w:r>
            </w:hyperlink>
          </w:p>
        </w:tc>
      </w:tr>
    </w:tbl>
    <w:p w:rsidR="001A75F8" w:rsidRPr="007B11DD" w:rsidRDefault="001A75F8" w:rsidP="007B11DD">
      <w:pPr>
        <w:pStyle w:val="Heading1"/>
        <w:spacing w:before="480"/>
      </w:pPr>
      <w:r w:rsidRPr="007B11DD">
        <w:t>1</w:t>
      </w:r>
      <w:r w:rsidRPr="007B11DD">
        <w:tab/>
        <w:t>Базовая информация</w:t>
      </w:r>
    </w:p>
    <w:p w:rsidR="00FA543E" w:rsidRPr="007B11DD" w:rsidRDefault="001A75F8" w:rsidP="00AC6C43">
      <w:bookmarkStart w:id="6" w:name="lt_pId032"/>
      <w:r w:rsidRPr="007B11DD">
        <w:t>На Всемирной конференции по развитию электросвязи 2017 года (ВКРЭ-17) была особо отмечена решающая роль партнерских отношений и сотрудничества, а также мобилизации ресурсов для поддержки осуществления программ и региональных инициатив в рамках выполнения Плана действий Буэнос-Айреса</w:t>
      </w:r>
      <w:r w:rsidR="00D65FD0" w:rsidRPr="007B11DD">
        <w:t xml:space="preserve"> (О</w:t>
      </w:r>
      <w:r w:rsidR="00FA543E" w:rsidRPr="007B11DD">
        <w:t xml:space="preserve">перативного плана БРЭ, </w:t>
      </w:r>
      <w:r w:rsidRPr="007B11DD">
        <w:t xml:space="preserve">проектов </w:t>
      </w:r>
      <w:r w:rsidR="00FA543E" w:rsidRPr="007B11DD">
        <w:t xml:space="preserve">и </w:t>
      </w:r>
      <w:r w:rsidRPr="007B11DD">
        <w:t>региональных инициатив</w:t>
      </w:r>
      <w:r w:rsidR="00FA543E" w:rsidRPr="007B11DD">
        <w:t>)</w:t>
      </w:r>
      <w:r w:rsidR="00D65FD0" w:rsidRPr="007B11DD">
        <w:t>,</w:t>
      </w:r>
      <w:r w:rsidR="00FA543E" w:rsidRPr="007B11DD">
        <w:t xml:space="preserve"> Направлений деятельности ВВУИО, а также достижения Целей в области устойчивого развития (ЦУР), в особенности ЦУР</w:t>
      </w:r>
      <w:r w:rsidR="00DA5B0C">
        <w:t> </w:t>
      </w:r>
      <w:r w:rsidR="00FA543E" w:rsidRPr="007B11DD">
        <w:t>17</w:t>
      </w:r>
      <w:r w:rsidRPr="007B11DD">
        <w:t xml:space="preserve">. </w:t>
      </w:r>
    </w:p>
    <w:p w:rsidR="001A75F8" w:rsidRPr="007B11DD" w:rsidRDefault="001A75F8" w:rsidP="00AC6C43">
      <w:r w:rsidRPr="007B11DD">
        <w:t>В Плане действий ВКРЭ-17 указывается, что программы следует осуществлять, по возможности, в партнерстве с другими организациями и заинтересованными сторонами, включая Членов Сектора, Академические организации, неправительственные организации, другие учреждения и сети системы Организации Объединенных Наций, с тем чтобы использовать воздействие разработанных в рамках этих программ продуктов и услуг</w:t>
      </w:r>
      <w:r w:rsidR="009078A6" w:rsidRPr="007B11DD">
        <w:t>. В частности, "</w:t>
      </w:r>
      <w:r w:rsidR="00D65FD0" w:rsidRPr="007B11DD">
        <w:t>р</w:t>
      </w:r>
      <w:r w:rsidRPr="007B11DD">
        <w:t xml:space="preserve">егиональные инициативы </w:t>
      </w:r>
      <w:r w:rsidRPr="007B11DD">
        <w:rPr>
          <w:color w:val="000000"/>
        </w:rPr>
        <w:t>рассчитаны на работу в конкретных приоритетных областях электросвязи/ИКТ с помощью партнерских отношений и мобилизации ресурсов для выполнения проектов</w:t>
      </w:r>
      <w:r w:rsidR="00AC6C43" w:rsidRPr="007B11DD">
        <w:rPr>
          <w:color w:val="000000"/>
        </w:rPr>
        <w:t>"</w:t>
      </w:r>
      <w:r w:rsidRPr="007B11DD">
        <w:rPr>
          <w:color w:val="000000"/>
        </w:rPr>
        <w:t>.</w:t>
      </w:r>
      <w:bookmarkStart w:id="7" w:name="lt_pId033"/>
      <w:bookmarkEnd w:id="6"/>
    </w:p>
    <w:p w:rsidR="001A75F8" w:rsidRPr="007B11DD" w:rsidRDefault="001A75F8" w:rsidP="001A75F8">
      <w:r w:rsidRPr="007B11DD">
        <w:lastRenderedPageBreak/>
        <w:t xml:space="preserve">В описании конечного результата деятельности D.1.5 </w:t>
      </w:r>
      <w:bookmarkStart w:id="8" w:name="lt_pId034"/>
      <w:bookmarkEnd w:id="7"/>
      <w:r w:rsidRPr="007B11DD">
        <w:t xml:space="preserve">подчеркивается </w:t>
      </w:r>
      <w:r w:rsidR="009078A6" w:rsidRPr="007B11DD">
        <w:t>значение "</w:t>
      </w:r>
      <w:r w:rsidRPr="007B11DD">
        <w:rPr>
          <w:color w:val="000000"/>
        </w:rPr>
        <w:t xml:space="preserve">содействия достижению договоренностей о сотрудничестве при выполнении программ в области развития электросвязи/ИКТ между Государствами-Членами, а также между Государствами-Членами и другими заинтересованными сторонами в экосистеме ИКТ, по просьбам </w:t>
      </w:r>
      <w:r w:rsidR="007B11DD" w:rsidRPr="007B11DD">
        <w:rPr>
          <w:color w:val="000000"/>
        </w:rPr>
        <w:t>участвующих Государств – Членов </w:t>
      </w:r>
      <w:r w:rsidRPr="007B11DD">
        <w:rPr>
          <w:color w:val="000000"/>
        </w:rPr>
        <w:t>МСЭ"</w:t>
      </w:r>
      <w:r w:rsidRPr="007B11DD">
        <w:t>.</w:t>
      </w:r>
    </w:p>
    <w:p w:rsidR="001A75F8" w:rsidRPr="007B11DD" w:rsidRDefault="001A75F8" w:rsidP="001A75F8">
      <w:r w:rsidRPr="007B11DD">
        <w:t>В Резолюции 17 содержится, в частности, решение о том, "чтобы БРЭ продолжало активное создание партнерств с Государствами-Членами, Членами Сектора МСЭ-D, финансовыми учреждениями и международными организациями в целях обеспечения финансирования деятельности, связанной с осуществлением этих инициатив"; она также призывает "международные финансовые организации/учреждения, поставщиков оборудования и операторов/поставщиков услуг участвовать полностью или частично в финансировании этих инициатив, одобренных регионами".</w:t>
      </w:r>
      <w:bookmarkEnd w:id="8"/>
    </w:p>
    <w:p w:rsidR="001A75F8" w:rsidRPr="007B11DD" w:rsidRDefault="001A75F8" w:rsidP="001A75F8">
      <w:bookmarkStart w:id="9" w:name="lt_pId035"/>
      <w:r w:rsidRPr="007B11DD">
        <w:t xml:space="preserve">В Резолюции 71 </w:t>
      </w:r>
      <w:r w:rsidR="009078A6" w:rsidRPr="007B11DD">
        <w:t xml:space="preserve">также </w:t>
      </w:r>
      <w:r w:rsidRPr="007B11DD">
        <w:t>учитывается, что "партнерские отношения между государственным и частным секторами, включая МСЭ и другие объединения, такие как национальные, региональные, международные и межправительственные организации, в зависимости от случая, продолжают иметь решающее значение для обеспечения устойчивого развития электросвязи/информационно-коммуникационных технологий (ИКТ)".</w:t>
      </w:r>
      <w:bookmarkEnd w:id="9"/>
    </w:p>
    <w:p w:rsidR="001A75F8" w:rsidRPr="007B11DD" w:rsidRDefault="001A75F8" w:rsidP="001A75F8">
      <w:pPr>
        <w:pStyle w:val="Heading1"/>
      </w:pPr>
      <w:r w:rsidRPr="007B11DD">
        <w:t>2</w:t>
      </w:r>
      <w:r w:rsidRPr="007B11DD">
        <w:tab/>
        <w:t>Стратегическая задача</w:t>
      </w:r>
    </w:p>
    <w:p w:rsidR="001A75F8" w:rsidRPr="007B11DD" w:rsidRDefault="001A75F8" w:rsidP="001A75F8">
      <w:r w:rsidRPr="007B11DD">
        <w:t xml:space="preserve">В соответствии с решениями ВКРЭ-17 задача заключается в том, чтобы налаживать, развивать и укреплять партнерские отношения и сотрудничество с различными заинтересованными сторонами, в том числе с другими учреждениями системы Организации Объединенных Наций, международными и региональными организациями, Государствами – Членами МСЭ, Членами Сектора МСЭ-D, Ассоциированными членами, Академическими организациями и другими соответствующими партнерами из развитых и развивающихся стран в целях повышения эффективности мобилизации ресурсов, предотвращения дублирования усилий и оказания МСЭ-D поддержки в осуществлении программ и региональных инициатив. </w:t>
      </w:r>
    </w:p>
    <w:p w:rsidR="001A75F8" w:rsidRPr="007B11DD" w:rsidRDefault="001A75F8" w:rsidP="001A75F8">
      <w:pPr>
        <w:pStyle w:val="Heading1"/>
      </w:pPr>
      <w:r w:rsidRPr="007B11DD">
        <w:t>3</w:t>
      </w:r>
      <w:r w:rsidRPr="007B11DD">
        <w:tab/>
        <w:t>Анализ состояния дел</w:t>
      </w:r>
    </w:p>
    <w:p w:rsidR="001A75F8" w:rsidRPr="007B11DD" w:rsidRDefault="001A75F8" w:rsidP="001A75F8">
      <w:bookmarkStart w:id="10" w:name="lt_pId039"/>
      <w:r w:rsidRPr="007B11DD">
        <w:t>На приводимых ниже диаграммах представлен обзор ряда партнерских соглашений, подписанных в цикле развития 2014−2017 годов между БРЭ и различными заинтересованными сторонами, представляющими государственный и частный секторы, фонды, учреждения системы ООН, финансовые учреждения и т. д. в разбивке по годам, регионам-бенефициарам и областям деятельности. Это стало возможным благодаря совместным усилиям персонала БРЭ на местах и в штаб-квартире МСЭ под руководством Директора БРЭ</w:t>
      </w:r>
      <w:bookmarkEnd w:id="10"/>
      <w:r w:rsidRPr="007B11DD">
        <w:t xml:space="preserve">. </w:t>
      </w:r>
    </w:p>
    <w:p w:rsidR="001A75F8" w:rsidRPr="007B11DD" w:rsidRDefault="001A75F8" w:rsidP="007B11DD">
      <w:pPr>
        <w:pStyle w:val="Tabletitle"/>
        <w:spacing w:before="200"/>
      </w:pPr>
      <w:r w:rsidRPr="007B11DD">
        <w:t>Диаграммы: новые соглашения, подписанные в период с 2014 по 2017 год</w:t>
      </w:r>
      <w:r w:rsidRPr="007B11DD">
        <w:rPr>
          <w:rStyle w:val="FootnoteReference"/>
          <w:b w:val="0"/>
          <w:bCs/>
        </w:rPr>
        <w:footnoteReference w:customMarkFollows="1" w:id="1"/>
        <w:t>1</w:t>
      </w:r>
    </w:p>
    <w:p w:rsidR="001A75F8" w:rsidRPr="007B11DD" w:rsidRDefault="001A75F8" w:rsidP="001A75F8">
      <w:pPr>
        <w:tabs>
          <w:tab w:val="clear" w:pos="794"/>
          <w:tab w:val="left" w:pos="1134"/>
        </w:tabs>
        <w:ind w:left="851"/>
        <w:rPr>
          <w:rFonts w:cs="Calibri"/>
          <w:szCs w:val="24"/>
        </w:rPr>
      </w:pPr>
      <w:r w:rsidRPr="007B11DD">
        <w:rPr>
          <w:noProof/>
          <w:lang w:val="en-GB" w:eastAsia="zh-CN"/>
        </w:rPr>
        <w:drawing>
          <wp:inline distT="0" distB="0" distL="0" distR="0" wp14:anchorId="1DDE070B" wp14:editId="69C0FEFF">
            <wp:extent cx="2552700" cy="1691640"/>
            <wp:effectExtent l="0" t="0" r="0" b="38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7B11DD">
        <w:rPr>
          <w:noProof/>
          <w:lang w:val="en-GB" w:eastAsia="zh-CN"/>
        </w:rPr>
        <w:drawing>
          <wp:inline distT="0" distB="0" distL="0" distR="0" wp14:anchorId="2C0359D9" wp14:editId="179AB22D">
            <wp:extent cx="2447925" cy="1685925"/>
            <wp:effectExtent l="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A75F8" w:rsidRPr="007B11DD" w:rsidRDefault="001A75F8" w:rsidP="001A75F8">
      <w:pPr>
        <w:pStyle w:val="ListParagraph"/>
        <w:spacing w:before="0"/>
        <w:ind w:left="0"/>
        <w:contextualSpacing w:val="0"/>
        <w:jc w:val="center"/>
        <w:rPr>
          <w:rFonts w:ascii="Calibri" w:hAnsi="Calibri" w:cs="Calibri"/>
          <w:sz w:val="24"/>
          <w:szCs w:val="24"/>
          <w:lang w:val="ru-RU"/>
        </w:rPr>
      </w:pPr>
      <w:r w:rsidRPr="007B11DD">
        <w:rPr>
          <w:noProof/>
          <w:lang w:val="en-GB"/>
        </w:rPr>
        <w:lastRenderedPageBreak/>
        <w:drawing>
          <wp:inline distT="0" distB="0" distL="0" distR="0" wp14:anchorId="24B221BF" wp14:editId="60C5551B">
            <wp:extent cx="5231130" cy="2583815"/>
            <wp:effectExtent l="0" t="0" r="7620" b="698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A75F8" w:rsidRPr="007B11DD" w:rsidRDefault="001A75F8" w:rsidP="001A75F8">
      <w:pPr>
        <w:pStyle w:val="Normalaftertitle"/>
      </w:pPr>
      <w:bookmarkStart w:id="11" w:name="lt_pId112"/>
      <w:r w:rsidRPr="007B11DD">
        <w:t xml:space="preserve">В </w:t>
      </w:r>
      <w:r w:rsidR="009078A6" w:rsidRPr="007B11DD">
        <w:t xml:space="preserve">результате в </w:t>
      </w:r>
      <w:r w:rsidRPr="007B11DD">
        <w:t xml:space="preserve">период с 2014 по 2017 год были подписаны </w:t>
      </w:r>
      <w:r w:rsidRPr="007B11DD">
        <w:rPr>
          <w:b/>
          <w:bCs/>
          <w:i/>
          <w:iCs/>
        </w:rPr>
        <w:t>197 новых соглашений</w:t>
      </w:r>
      <w:r w:rsidRPr="007B11DD">
        <w:t xml:space="preserve"> и 35 дополнений/поправок, оценочная стоимость которых составляет </w:t>
      </w:r>
      <w:r w:rsidRPr="007B11DD">
        <w:rPr>
          <w:b/>
          <w:bCs/>
          <w:i/>
          <w:iCs/>
        </w:rPr>
        <w:t>36,6 млн. долл. США</w:t>
      </w:r>
      <w:r w:rsidRPr="007B11DD">
        <w:t>. Более подробная информация представлена в Документе </w:t>
      </w:r>
      <w:hyperlink r:id="rId15" w:history="1">
        <w:r w:rsidRPr="007B11DD">
          <w:t>INF/</w:t>
        </w:r>
      </w:hyperlink>
      <w:r w:rsidRPr="007B11DD">
        <w:t>3</w:t>
      </w:r>
      <w:bookmarkEnd w:id="11"/>
      <w:r w:rsidRPr="007B11DD">
        <w:rPr>
          <w:szCs w:val="24"/>
        </w:rPr>
        <w:fldChar w:fldCharType="begin"/>
      </w:r>
      <w:r w:rsidRPr="007B11DD">
        <w:rPr>
          <w:szCs w:val="24"/>
        </w:rPr>
        <w:instrText xml:space="preserve"> HYPERLINK "https://www.itu.int/md/D18-TDAG23-INF-0003/" </w:instrText>
      </w:r>
      <w:r w:rsidRPr="007B11DD">
        <w:rPr>
          <w:szCs w:val="24"/>
        </w:rPr>
        <w:fldChar w:fldCharType="separate"/>
      </w:r>
      <w:r w:rsidRPr="007B11DD">
        <w:rPr>
          <w:szCs w:val="24"/>
        </w:rPr>
        <w:t xml:space="preserve"> (Подписанные соглашения о партнерстве (2014−2017 гг.)).</w:t>
      </w:r>
      <w:r w:rsidRPr="007B11DD">
        <w:rPr>
          <w:szCs w:val="24"/>
        </w:rPr>
        <w:fldChar w:fldCharType="end"/>
      </w:r>
    </w:p>
    <w:p w:rsidR="001A75F8" w:rsidRPr="007B11DD" w:rsidRDefault="009078A6" w:rsidP="008674F7">
      <w:pPr>
        <w:pStyle w:val="Heading1"/>
      </w:pPr>
      <w:r w:rsidRPr="007B11DD">
        <w:t>4</w:t>
      </w:r>
      <w:r w:rsidRPr="007B11DD">
        <w:tab/>
        <w:t>Основные действия и конечные</w:t>
      </w:r>
      <w:r w:rsidR="001A75F8" w:rsidRPr="007B11DD">
        <w:t xml:space="preserve"> результаты</w:t>
      </w:r>
    </w:p>
    <w:p w:rsidR="009078A6" w:rsidRPr="007B11DD" w:rsidRDefault="009078A6" w:rsidP="009078A6">
      <w:r w:rsidRPr="007B11DD">
        <w:t>Продолжая работу по привлечению доноров/партнеров и поддержанию отношений с ними, БРЭ приняло ряд стратегических мер, включая разработку и усовершенствование своих внутренних продуктов и внешних услуг</w:t>
      </w:r>
      <w:r w:rsidR="00D65FD0" w:rsidRPr="007B11DD">
        <w:t>,</w:t>
      </w:r>
      <w:r w:rsidRPr="007B11DD">
        <w:t xml:space="preserve"> в целях укрепления партнерских отношений и более активной мобилизации ресурсов.</w:t>
      </w:r>
    </w:p>
    <w:p w:rsidR="001A75F8" w:rsidRPr="007B11DD" w:rsidRDefault="001A75F8" w:rsidP="008674F7">
      <w:pPr>
        <w:pStyle w:val="Heading2"/>
      </w:pPr>
      <w:r w:rsidRPr="007B11DD">
        <w:t>4.1</w:t>
      </w:r>
      <w:r w:rsidRPr="007B11DD">
        <w:tab/>
        <w:t>Информационно-разъяснительная работа с партне</w:t>
      </w:r>
      <w:r w:rsidR="007B11DD">
        <w:t>рами за пределами сектора ИКТ в</w:t>
      </w:r>
      <w:r w:rsidR="007B11DD">
        <w:rPr>
          <w:lang w:val="en-US"/>
        </w:rPr>
        <w:t> </w:t>
      </w:r>
      <w:r w:rsidRPr="007B11DD">
        <w:t>конвергированной экосистеме</w:t>
      </w:r>
    </w:p>
    <w:p w:rsidR="001A75F8" w:rsidRPr="007B11DD" w:rsidRDefault="001A75F8" w:rsidP="001A75F8">
      <w:pPr>
        <w:rPr>
          <w:rFonts w:cs="Segoe UI"/>
          <w:szCs w:val="24"/>
        </w:rPr>
      </w:pPr>
      <w:bookmarkStart w:id="12" w:name="lt_pId148"/>
      <w:r w:rsidRPr="007B11DD">
        <w:rPr>
          <w:rFonts w:cs="Segoe UI"/>
          <w:szCs w:val="24"/>
        </w:rPr>
        <w:t xml:space="preserve">Успех партнерских отношений и мобилизации ресурсов зависит от качества отношений с партнерами. Стимулирование и развитие отношений имеет основополагающее значение для их поддержания и сохранения на долгосрочной основе. Налаживание партнерских отношений и мобилизация ресурсов не являются однократными видами деятельности, которые заканчиваются после получения поддержки. Поэтому БРЭ уделяет </w:t>
      </w:r>
      <w:r w:rsidRPr="007B11DD">
        <w:t>особое внимание укреплению доверия своих партнеров и вовлечению их в долгосрочные партнерские отношения</w:t>
      </w:r>
      <w:r w:rsidRPr="007B11DD">
        <w:rPr>
          <w:rFonts w:cs="Segoe UI"/>
          <w:szCs w:val="24"/>
        </w:rPr>
        <w:t>.</w:t>
      </w:r>
      <w:bookmarkEnd w:id="12"/>
      <w:r w:rsidRPr="007B11DD">
        <w:rPr>
          <w:rFonts w:cs="Segoe UI"/>
          <w:szCs w:val="24"/>
        </w:rPr>
        <w:t xml:space="preserve"> </w:t>
      </w:r>
    </w:p>
    <w:p w:rsidR="001A75F8" w:rsidRPr="007B11DD" w:rsidRDefault="001A75F8" w:rsidP="006E1AC6">
      <w:pPr>
        <w:rPr>
          <w:rFonts w:cs="Segoe UI"/>
          <w:szCs w:val="24"/>
        </w:rPr>
      </w:pPr>
      <w:bookmarkStart w:id="13" w:name="lt_pId150"/>
      <w:r w:rsidRPr="007B11DD">
        <w:rPr>
          <w:rFonts w:cs="Segoe UI"/>
          <w:szCs w:val="24"/>
        </w:rPr>
        <w:t>Признавая важность расширения и диверсификации своей партнерской базы путем информационно-разъяснительной деятельности в конвергированной экосистеме ИКТ, БРЭ налаживает контакты с партнерами за пределами сектора ИКТ в таких областях, как здравоохра</w:t>
      </w:r>
      <w:r w:rsidR="00CE5BA3" w:rsidRPr="007B11DD">
        <w:rPr>
          <w:rFonts w:cs="Segoe UI"/>
          <w:szCs w:val="24"/>
        </w:rPr>
        <w:t xml:space="preserve">нение/фармацевтика, финансы, </w:t>
      </w:r>
      <w:r w:rsidRPr="007B11DD">
        <w:rPr>
          <w:rFonts w:cs="Segoe UI"/>
          <w:szCs w:val="24"/>
        </w:rPr>
        <w:t>сельское хозяйство</w:t>
      </w:r>
      <w:r w:rsidR="00CE5BA3" w:rsidRPr="007B11DD">
        <w:rPr>
          <w:rFonts w:cs="Segoe UI"/>
          <w:szCs w:val="24"/>
        </w:rPr>
        <w:t xml:space="preserve"> и охрана окружающей среды</w:t>
      </w:r>
      <w:r w:rsidRPr="007B11DD">
        <w:rPr>
          <w:rFonts w:cs="Segoe UI"/>
          <w:szCs w:val="24"/>
        </w:rPr>
        <w:t xml:space="preserve">. </w:t>
      </w:r>
      <w:r w:rsidR="00CE5BA3" w:rsidRPr="007B11DD">
        <w:rPr>
          <w:rFonts w:cs="Segoe UI"/>
          <w:szCs w:val="24"/>
        </w:rPr>
        <w:t xml:space="preserve">Важные партнерские </w:t>
      </w:r>
      <w:r w:rsidRPr="007B11DD">
        <w:rPr>
          <w:rFonts w:cs="Segoe UI"/>
          <w:szCs w:val="24"/>
        </w:rPr>
        <w:t>соглашени</w:t>
      </w:r>
      <w:r w:rsidR="00AC4A30" w:rsidRPr="007B11DD">
        <w:rPr>
          <w:rFonts w:cs="Segoe UI"/>
          <w:szCs w:val="24"/>
        </w:rPr>
        <w:t>я были подписаны</w:t>
      </w:r>
      <w:r w:rsidRPr="007B11DD">
        <w:rPr>
          <w:rFonts w:cs="Segoe UI"/>
          <w:szCs w:val="24"/>
        </w:rPr>
        <w:t xml:space="preserve"> с </w:t>
      </w:r>
      <w:r w:rsidR="00AC4A30" w:rsidRPr="007B11DD">
        <w:rPr>
          <w:rFonts w:cs="Segoe UI"/>
          <w:szCs w:val="24"/>
        </w:rPr>
        <w:t xml:space="preserve">ВОЗ, Всемирным фондом для борьбы с диабетом, </w:t>
      </w:r>
      <w:r w:rsidRPr="007B11DD">
        <w:rPr>
          <w:rFonts w:cs="Segoe UI"/>
          <w:szCs w:val="24"/>
        </w:rPr>
        <w:t>Фондом Пьера Фавра</w:t>
      </w:r>
      <w:r w:rsidR="00AC4A30" w:rsidRPr="007B11DD">
        <w:rPr>
          <w:rFonts w:cs="Segoe UI"/>
          <w:szCs w:val="24"/>
        </w:rPr>
        <w:t xml:space="preserve">, ЕС, ARM, </w:t>
      </w:r>
      <w:r w:rsidR="00743584" w:rsidRPr="007B11DD">
        <w:rPr>
          <w:rFonts w:cs="Segoe UI"/>
          <w:szCs w:val="24"/>
        </w:rPr>
        <w:t xml:space="preserve">Ассоциацией </w:t>
      </w:r>
      <w:r w:rsidR="00AC4A30" w:rsidRPr="007B11DD">
        <w:rPr>
          <w:rFonts w:cs="Segoe UI"/>
          <w:szCs w:val="24"/>
        </w:rPr>
        <w:t>GSM, Sanofi Avantis Group, Navartis Pharma AG</w:t>
      </w:r>
      <w:r w:rsidR="00743584" w:rsidRPr="007B11DD">
        <w:rPr>
          <w:rFonts w:cs="Segoe UI"/>
          <w:szCs w:val="24"/>
        </w:rPr>
        <w:t xml:space="preserve">, Всемирным фондом по борьбе с легочными заболеваниями, GSK Services, Норвежским управлением здравоохранения, Альянсом мобильного здравоохранения NCD, с Фондом Билла и Мелинды Гейтс </w:t>
      </w:r>
      <w:r w:rsidR="006E1AC6">
        <w:rPr>
          <w:rFonts w:cs="Segoe UI"/>
          <w:szCs w:val="24"/>
        </w:rPr>
        <w:t>−</w:t>
      </w:r>
      <w:r w:rsidR="00743584" w:rsidRPr="007B11DD">
        <w:rPr>
          <w:rFonts w:cs="Segoe UI"/>
          <w:szCs w:val="24"/>
        </w:rPr>
        <w:t xml:space="preserve"> </w:t>
      </w:r>
      <w:r w:rsidRPr="007B11DD">
        <w:rPr>
          <w:rFonts w:cs="Segoe UI"/>
          <w:szCs w:val="24"/>
        </w:rPr>
        <w:t xml:space="preserve">об осуществлении </w:t>
      </w:r>
      <w:r w:rsidR="00743584" w:rsidRPr="007B11DD">
        <w:rPr>
          <w:rFonts w:cs="Segoe UI"/>
          <w:szCs w:val="24"/>
        </w:rPr>
        <w:t xml:space="preserve">Глобальной </w:t>
      </w:r>
      <w:r w:rsidRPr="007B11DD">
        <w:rPr>
          <w:rFonts w:cs="Segoe UI"/>
          <w:szCs w:val="24"/>
        </w:rPr>
        <w:t>инициативы</w:t>
      </w:r>
      <w:r w:rsidR="00743584" w:rsidRPr="007B11DD">
        <w:rPr>
          <w:rFonts w:cs="Segoe UI"/>
          <w:szCs w:val="24"/>
        </w:rPr>
        <w:t xml:space="preserve"> по охвату финансовыми услугами</w:t>
      </w:r>
      <w:r w:rsidRPr="007B11DD">
        <w:rPr>
          <w:rFonts w:cs="Segoe UI"/>
          <w:szCs w:val="24"/>
        </w:rPr>
        <w:t xml:space="preserve">, </w:t>
      </w:r>
      <w:r w:rsidR="006E1AC6">
        <w:rPr>
          <w:rFonts w:cs="Segoe UI"/>
          <w:szCs w:val="24"/>
        </w:rPr>
        <w:t>с ФАО −</w:t>
      </w:r>
      <w:r w:rsidR="00743584" w:rsidRPr="007B11DD">
        <w:rPr>
          <w:rFonts w:cs="Segoe UI"/>
          <w:szCs w:val="24"/>
        </w:rPr>
        <w:t xml:space="preserve"> о развитии электронного сельского хозяйства, </w:t>
      </w:r>
      <w:r w:rsidRPr="007B11DD">
        <w:rPr>
          <w:rFonts w:cs="Segoe UI"/>
          <w:szCs w:val="24"/>
        </w:rPr>
        <w:t>а также с Международной асс</w:t>
      </w:r>
      <w:r w:rsidR="00743584" w:rsidRPr="007B11DD">
        <w:rPr>
          <w:rFonts w:cs="Segoe UI"/>
          <w:szCs w:val="24"/>
        </w:rPr>
        <w:t xml:space="preserve">оциацией по твердым отходам, </w:t>
      </w:r>
      <w:r w:rsidRPr="007B11DD">
        <w:rPr>
          <w:rFonts w:cs="Segoe UI"/>
          <w:szCs w:val="24"/>
        </w:rPr>
        <w:t xml:space="preserve">программой "Устойчивые циклы" при канцелярии проректора Университета Организации Объединенных Наций в Европе (UN-ViE SCYCLE UN) </w:t>
      </w:r>
      <w:r w:rsidR="00743584" w:rsidRPr="007B11DD">
        <w:rPr>
          <w:rFonts w:cs="Segoe UI"/>
          <w:szCs w:val="24"/>
        </w:rPr>
        <w:t xml:space="preserve">и Национальным университетом в Ла-Плата </w:t>
      </w:r>
      <w:r w:rsidR="006E1AC6">
        <w:rPr>
          <w:rFonts w:cs="Segoe UI"/>
          <w:szCs w:val="24"/>
        </w:rPr>
        <w:t>−</w:t>
      </w:r>
      <w:r w:rsidR="00D65FD0" w:rsidRPr="007B11DD">
        <w:rPr>
          <w:rFonts w:cs="Segoe UI"/>
          <w:szCs w:val="24"/>
        </w:rPr>
        <w:t xml:space="preserve"> </w:t>
      </w:r>
      <w:r w:rsidRPr="007B11DD">
        <w:rPr>
          <w:rFonts w:cs="Segoe UI"/>
          <w:szCs w:val="24"/>
        </w:rPr>
        <w:t xml:space="preserve">о </w:t>
      </w:r>
      <w:r w:rsidR="00743584" w:rsidRPr="007B11DD">
        <w:rPr>
          <w:rFonts w:cs="Segoe UI"/>
          <w:szCs w:val="24"/>
        </w:rPr>
        <w:t xml:space="preserve">реализации </w:t>
      </w:r>
      <w:r w:rsidRPr="007B11DD">
        <w:rPr>
          <w:rFonts w:cs="Segoe UI"/>
          <w:szCs w:val="24"/>
        </w:rPr>
        <w:t>проекта, связанного с электронными отходами</w:t>
      </w:r>
      <w:r w:rsidR="00743584" w:rsidRPr="007B11DD">
        <w:rPr>
          <w:rFonts w:cs="Segoe UI"/>
          <w:szCs w:val="24"/>
        </w:rPr>
        <w:t>, и многие другие (см. Документ INF/3 (Подписанные соглашения о партнерстве (2014</w:t>
      </w:r>
      <w:r w:rsidR="007B11DD">
        <w:rPr>
          <w:rFonts w:cs="Segoe UI"/>
          <w:szCs w:val="24"/>
          <w:lang w:val="en-US"/>
        </w:rPr>
        <w:t>−</w:t>
      </w:r>
      <w:r w:rsidR="00743584" w:rsidRPr="007B11DD">
        <w:rPr>
          <w:rFonts w:cs="Segoe UI"/>
          <w:szCs w:val="24"/>
        </w:rPr>
        <w:t>2017 гг.))</w:t>
      </w:r>
      <w:r w:rsidRPr="007B11DD">
        <w:rPr>
          <w:rFonts w:cs="Segoe UI"/>
          <w:szCs w:val="24"/>
        </w:rPr>
        <w:t>.</w:t>
      </w:r>
      <w:bookmarkEnd w:id="13"/>
    </w:p>
    <w:p w:rsidR="001A75F8" w:rsidRPr="007B11DD" w:rsidRDefault="001A75F8" w:rsidP="001A75F8">
      <w:pPr>
        <w:rPr>
          <w:rFonts w:cs="Segoe UI"/>
          <w:szCs w:val="24"/>
        </w:rPr>
      </w:pPr>
      <w:r w:rsidRPr="007B11DD">
        <w:rPr>
          <w:rFonts w:cs="Segoe UI"/>
          <w:szCs w:val="24"/>
        </w:rPr>
        <w:lastRenderedPageBreak/>
        <w:t>БСЭ использует различные средства для обеспечения непрерывного взаимодействия с существующими партнерами и привлечения средств новых партнеров в рамках различных видов деятельности, проектов и инициатив, направленных на развитие, в том числе собрания (например, двусторонние собрания, мероприятия, организованные БРЭ, внешние мероприятия и др.), телефонные конференции, обмен электронными письмами, стратегические миссии и визиты и т. д. Распространение и обмен информацией по соответствующим каналам связи имеет решающее значение для повышения шансов на привлечение потенциальных партнеров к участию в работе БРЭ и внесению в нее вклада.</w:t>
      </w:r>
    </w:p>
    <w:p w:rsidR="001A75F8" w:rsidRPr="007B11DD" w:rsidRDefault="001A75F8" w:rsidP="007B11DD">
      <w:pPr>
        <w:pStyle w:val="Heading2"/>
      </w:pPr>
      <w:r w:rsidRPr="007B11DD">
        <w:t>4.</w:t>
      </w:r>
      <w:r w:rsidR="00447D6E" w:rsidRPr="007B11DD">
        <w:t>2</w:t>
      </w:r>
      <w:r w:rsidRPr="007B11DD">
        <w:tab/>
        <w:t>Признание важной роли партнеров в области развития</w:t>
      </w:r>
    </w:p>
    <w:p w:rsidR="001A75F8" w:rsidRPr="007B11DD" w:rsidRDefault="001A75F8" w:rsidP="001A75F8">
      <w:pPr>
        <w:rPr>
          <w:rFonts w:cs="Segoe UI"/>
          <w:szCs w:val="24"/>
        </w:rPr>
      </w:pPr>
      <w:r w:rsidRPr="007B11DD">
        <w:rPr>
          <w:rFonts w:cs="Segoe UI"/>
          <w:szCs w:val="24"/>
        </w:rPr>
        <w:t>В ходе празднования 25-й годовщины МСЭ-D на ВКРЭ-17 таким ведущим партнерам, как правительство Австралии, Европейская комиссия и Фонд Билла и Мелинды Гейтс были вручены награды в знак признания важности партнерских отношений с партнерами в области развития, которые вносят свой вклад в деятельность Сектора МСЭ-D на протяжении 25 лет его существования путем финансирования различных инициатив и проектов на региональном и глобальном уровнях.</w:t>
      </w:r>
    </w:p>
    <w:p w:rsidR="001A75F8" w:rsidRPr="007B11DD" w:rsidRDefault="001A75F8" w:rsidP="00AC6C43">
      <w:pPr>
        <w:pStyle w:val="Heading2"/>
      </w:pPr>
      <w:r w:rsidRPr="007B11DD">
        <w:t>4.</w:t>
      </w:r>
      <w:r w:rsidR="00447D6E" w:rsidRPr="007B11DD">
        <w:t>3</w:t>
      </w:r>
      <w:r w:rsidRPr="007B11DD">
        <w:tab/>
        <w:t>Усовершенствование инструментов для поддержания партнерских отношений</w:t>
      </w:r>
    </w:p>
    <w:p w:rsidR="001A75F8" w:rsidRPr="007B11DD" w:rsidRDefault="001A75F8" w:rsidP="001A75F8">
      <w:pPr>
        <w:rPr>
          <w:rFonts w:cs="Segoe UI"/>
          <w:szCs w:val="24"/>
        </w:rPr>
      </w:pPr>
      <w:bookmarkStart w:id="14" w:name="lt_pId159"/>
      <w:r w:rsidRPr="007B11DD">
        <w:rPr>
          <w:rFonts w:cs="Segoe UI"/>
          <w:szCs w:val="24"/>
        </w:rPr>
        <w:t>Поддержание партнерских отношений и мобилизация ресурсов представляют собой динамичный процесс, требующий инициативного подхода. В связи с этим БРЭ занимается разработкой и усовершенствованием различных внутренних и внешних продуктов и инструментов в поддержку своей информационно-разъяснительной работы в интересах налаживания партнерских отношений и мобилизации ресурсов для осуществления различных видов деятельности, проектов и инициатив на глобальном, региональном и национальном уровнях.</w:t>
      </w:r>
      <w:bookmarkEnd w:id="14"/>
    </w:p>
    <w:p w:rsidR="001A75F8" w:rsidRPr="007B11DD" w:rsidRDefault="001A75F8" w:rsidP="001A75F8">
      <w:pPr>
        <w:pStyle w:val="enumlev1"/>
        <w:rPr>
          <w:bCs/>
        </w:rPr>
      </w:pPr>
      <w:bookmarkStart w:id="15" w:name="lt_pId160"/>
      <w:r w:rsidRPr="007B11DD">
        <w:t>•</w:t>
      </w:r>
      <w:r w:rsidRPr="007B11DD">
        <w:tab/>
      </w:r>
      <w:bookmarkEnd w:id="15"/>
      <w:r w:rsidRPr="007B11DD">
        <w:rPr>
          <w:b/>
          <w:bCs/>
        </w:rPr>
        <w:t>Инструменты привлечения партнеров по финансированию</w:t>
      </w:r>
    </w:p>
    <w:p w:rsidR="001A75F8" w:rsidRPr="007B11DD" w:rsidRDefault="001A75F8" w:rsidP="001A75F8">
      <w:r w:rsidRPr="007B11DD">
        <w:rPr>
          <w:bCs/>
        </w:rPr>
        <w:t xml:space="preserve">БРЭ разработало и дополнило </w:t>
      </w:r>
      <w:r w:rsidRPr="007B11DD">
        <w:rPr>
          <w:b/>
          <w:i/>
          <w:iCs/>
        </w:rPr>
        <w:t>базу данных партнеров по финансированию</w:t>
      </w:r>
      <w:r w:rsidRPr="007B11DD">
        <w:t xml:space="preserve">, которая </w:t>
      </w:r>
      <w:bookmarkStart w:id="16" w:name="lt_pId097"/>
      <w:r w:rsidRPr="007B11DD">
        <w:t xml:space="preserve">включает около 110 досье на </w:t>
      </w:r>
      <w:r w:rsidRPr="007B11DD">
        <w:rPr>
          <w:rFonts w:cs="Segoe UI"/>
          <w:szCs w:val="24"/>
        </w:rPr>
        <w:t>партнеров</w:t>
      </w:r>
      <w:r w:rsidRPr="007B11DD">
        <w:t xml:space="preserve"> от администраций, многосторонних и двусторонних учреждений, банков развития, фондов и объединений частного сектора (информация о круге полномочий, стратегии развития, приоритетных областях деятельности, странах и регионах-бенефициарах, типе и механизме финансирования, в случае его наличия</w:t>
      </w:r>
      <w:r w:rsidRPr="007B11DD">
        <w:rPr>
          <w:rFonts w:cs="Calibri"/>
          <w:szCs w:val="24"/>
        </w:rPr>
        <w:t>)</w:t>
      </w:r>
      <w:r w:rsidRPr="007B11DD">
        <w:t>.</w:t>
      </w:r>
      <w:bookmarkEnd w:id="16"/>
    </w:p>
    <w:p w:rsidR="001A75F8" w:rsidRPr="007B11DD" w:rsidRDefault="001A75F8" w:rsidP="00447D6E">
      <w:pPr>
        <w:rPr>
          <w:rFonts w:cs="Calibri"/>
          <w:szCs w:val="24"/>
        </w:rPr>
      </w:pPr>
      <w:bookmarkStart w:id="17" w:name="lt_pId165"/>
      <w:r w:rsidRPr="007B11DD">
        <w:rPr>
          <w:rFonts w:cs="Calibri"/>
          <w:szCs w:val="24"/>
        </w:rPr>
        <w:t xml:space="preserve">Была также доработана </w:t>
      </w:r>
      <w:r w:rsidRPr="007B11DD">
        <w:rPr>
          <w:rFonts w:cs="Calibri"/>
          <w:b/>
          <w:bCs/>
          <w:i/>
          <w:iCs/>
          <w:szCs w:val="24"/>
        </w:rPr>
        <w:t>база данных партнерских соглашений</w:t>
      </w:r>
      <w:r w:rsidRPr="007B11DD">
        <w:rPr>
          <w:rFonts w:cs="Calibri"/>
          <w:szCs w:val="24"/>
        </w:rPr>
        <w:t>, которая будет использоваться в качестве системы для регистрации информации обо всех соглашениях, подписанных БРЭ с различными заинтересованными сторонами. К концу 2017 года в эту базу данных были внесены около 990 соглашений различных типов (меморандумы о взаимопонимании, соглашения о</w:t>
      </w:r>
      <w:r w:rsidR="007B11DD">
        <w:rPr>
          <w:rFonts w:cs="Calibri"/>
          <w:szCs w:val="24"/>
          <w:lang w:val="en-US"/>
        </w:rPr>
        <w:t> </w:t>
      </w:r>
      <w:r w:rsidRPr="007B11DD">
        <w:rPr>
          <w:rFonts w:cs="Calibri"/>
          <w:szCs w:val="24"/>
        </w:rPr>
        <w:t>сотрудничестве, соглашения о добровольных взносах, соглашения о спонсорской поддержке, письма о намерениях, проектные документы и др.). Механизм поиска, с помощью которого можно получить информацию об участии различных партнеров в видах деятельности, проектах и инициативах БРЭ (направления действий, страны-бенефициары и т. д.), предоставляет возможность найти потенциальных партнеров для предстоящих мероприятий, проектов и инициатив.</w:t>
      </w:r>
      <w:bookmarkStart w:id="18" w:name="lt_pId172"/>
      <w:bookmarkEnd w:id="17"/>
    </w:p>
    <w:p w:rsidR="001A75F8" w:rsidRPr="007B11DD" w:rsidRDefault="001A75F8" w:rsidP="001A75F8">
      <w:pPr>
        <w:pStyle w:val="enumlev1"/>
        <w:keepNext/>
      </w:pPr>
      <w:r w:rsidRPr="007B11DD">
        <w:t>•</w:t>
      </w:r>
      <w:r w:rsidRPr="007B11DD">
        <w:tab/>
      </w:r>
      <w:bookmarkEnd w:id="18"/>
      <w:r w:rsidRPr="007B11DD">
        <w:rPr>
          <w:b/>
          <w:bCs/>
        </w:rPr>
        <w:t>Новые платформы для взаимодействия с партнерами</w:t>
      </w:r>
    </w:p>
    <w:p w:rsidR="001A75F8" w:rsidRPr="007B11DD" w:rsidRDefault="001A75F8" w:rsidP="001A75F8">
      <w:r w:rsidRPr="007B11DD">
        <w:t xml:space="preserve">В настоящее время идет процесс разработки новой интерактивной </w:t>
      </w:r>
      <w:r w:rsidRPr="007B11DD">
        <w:rPr>
          <w:b/>
          <w:bCs/>
        </w:rPr>
        <w:t>платформы для размещения информации о возможностях для партнерства</w:t>
      </w:r>
      <w:r w:rsidRPr="007B11DD">
        <w:t xml:space="preserve"> с презентациями концептов проектов или инициатив БРЭ, для которых ведется поиск партнеров. Эта платформа, которая будет функционировать на шести официальных языках МСЭ, будет использоваться в качестве первичного инструмента для контактов с БРЭ в целях повышения наглядности потенциальных возможностей для партнерства с БРЭ. Заинтересованным объединениям будет предложена подписка с возможностью отбора критериев, соответствующих их приоритетам (направления действий и регионы). Эта платформа создается для того, чтобы представля</w:t>
      </w:r>
      <w:bookmarkStart w:id="19" w:name="_GoBack"/>
      <w:bookmarkEnd w:id="19"/>
      <w:r w:rsidRPr="007B11DD">
        <w:t xml:space="preserve">ть концепты проектов с помощью различных информационных и рекламных средств (пояснительные записки, видеоролики, информационно-рекламные материалы, презентации в формате PowerPoint и т. д.) в соответствии с едиными правилами и на прозрачной </w:t>
      </w:r>
      <w:r w:rsidRPr="007B11DD">
        <w:lastRenderedPageBreak/>
        <w:t>основе. Ее цель заключается в содействии потенциальным партнерам в поиске концептов, которые соответствуют их целям и стратегиям развития и заслуживают дальнейшего рассмотрения. Эти концепты будут использоваться в качестве основы для рассмотрения потенциальными партнерами и ориентиров для первоначального обсуждения перед разработкой более полного предложения. Платформа не только позволит заинтересованным объединениям изучить возможности партнерства с БРЭ в любое время и в любом регионе мира, но и будет использоваться в качестве эффективного внешнего информационного и рекламного инструмента поддержки информационно-разъяснительной деятельности БРЭ.</w:t>
      </w:r>
    </w:p>
    <w:p w:rsidR="00447D6E" w:rsidRPr="007B11DD" w:rsidRDefault="00447D6E" w:rsidP="00AC6C43">
      <w:bookmarkStart w:id="20" w:name="lt_pId166"/>
      <w:r w:rsidRPr="007B11DD">
        <w:rPr>
          <w:rFonts w:cs="Calibri"/>
          <w:iCs/>
          <w:szCs w:val="24"/>
        </w:rPr>
        <w:t xml:space="preserve">В 2017 году была введена в действие новая интерактивная и простая в использовании </w:t>
      </w:r>
      <w:hyperlink r:id="rId16" w:history="1">
        <w:r w:rsidRPr="007B11DD">
          <w:rPr>
            <w:rStyle w:val="Hyperlink"/>
            <w:rFonts w:cs="Calibri"/>
            <w:b/>
            <w:bCs/>
            <w:i/>
            <w:iCs/>
            <w:szCs w:val="24"/>
          </w:rPr>
          <w:t>платформа для размещения информации о возможностях спонсорской поддержки</w:t>
        </w:r>
      </w:hyperlink>
      <w:r w:rsidRPr="007B11DD">
        <w:rPr>
          <w:szCs w:val="24"/>
        </w:rPr>
        <w:t>, которая доступна на шести языках МСЭ. С помощью этой платформы различные объединения могут повысить наглядность своей деятельности, распространять информацию о своих торговых марках и устраивать презентации своих продуктов и решений на мероприятиях, организуемых БРЭ. Членам МСЭ</w:t>
      </w:r>
      <w:r w:rsidRPr="007B11DD">
        <w:rPr>
          <w:rFonts w:cs="Calibri"/>
          <w:szCs w:val="24"/>
        </w:rPr>
        <w:t xml:space="preserve">-D </w:t>
      </w:r>
      <w:r w:rsidR="00D65FD0" w:rsidRPr="007B11DD">
        <w:rPr>
          <w:rFonts w:cs="Calibri"/>
          <w:szCs w:val="24"/>
        </w:rPr>
        <w:t>были предложены</w:t>
      </w:r>
      <w:r w:rsidRPr="007B11DD">
        <w:rPr>
          <w:rFonts w:cs="Calibri"/>
          <w:szCs w:val="24"/>
        </w:rPr>
        <w:t xml:space="preserve"> скидки на участие в открытых мероприятиях/собраниях, а также на осуществление различных видов деятельности, получающих спонсорскую поддержку. Привлеченные в форме спонсорс</w:t>
      </w:r>
      <w:r w:rsidR="00E7319E" w:rsidRPr="007B11DD">
        <w:rPr>
          <w:rFonts w:cs="Calibri"/>
          <w:szCs w:val="24"/>
        </w:rPr>
        <w:t>ких пакетов ресурсы использовались</w:t>
      </w:r>
      <w:r w:rsidRPr="007B11DD">
        <w:rPr>
          <w:rFonts w:cs="Calibri"/>
          <w:szCs w:val="24"/>
        </w:rPr>
        <w:t xml:space="preserve"> для организации спонсируемых мероприятий, а также в качестве начального финансирования для осуществления различных видов деятельности, проектов и инициатив, в том числе региональных инициатив.</w:t>
      </w:r>
      <w:r w:rsidRPr="007B11DD">
        <w:rPr>
          <w:szCs w:val="24"/>
        </w:rPr>
        <w:t xml:space="preserve"> </w:t>
      </w:r>
      <w:r w:rsidR="00E7319E" w:rsidRPr="007B11DD">
        <w:rPr>
          <w:szCs w:val="24"/>
        </w:rPr>
        <w:t xml:space="preserve">Были предложены </w:t>
      </w:r>
      <w:r w:rsidRPr="007B11DD">
        <w:rPr>
          <w:szCs w:val="24"/>
        </w:rPr>
        <w:t xml:space="preserve">различные спонсорские пакеты для проведения сопутствующих и/или </w:t>
      </w:r>
      <w:r w:rsidR="006E1AC6">
        <w:rPr>
          <w:szCs w:val="24"/>
        </w:rPr>
        <w:t>протокольных</w:t>
      </w:r>
      <w:r w:rsidRPr="007B11DD">
        <w:rPr>
          <w:szCs w:val="24"/>
        </w:rPr>
        <w:t xml:space="preserve"> мероприятий, приуроченных к мероприятиям, организуемым БРЭ, таким как ГСР-17, ВКРЭ-17 и празднование 25</w:t>
      </w:r>
      <w:r w:rsidRPr="007B11DD">
        <w:rPr>
          <w:szCs w:val="24"/>
        </w:rPr>
        <w:noBreakHyphen/>
        <w:t>й годовщины МСЭ</w:t>
      </w:r>
      <w:r w:rsidRPr="007B11DD">
        <w:rPr>
          <w:rFonts w:cs="Calibri"/>
          <w:szCs w:val="24"/>
        </w:rPr>
        <w:t>-D. В результате 14</w:t>
      </w:r>
      <w:r w:rsidR="00AC6C43">
        <w:rPr>
          <w:rFonts w:cs="Calibri"/>
          <w:szCs w:val="24"/>
        </w:rPr>
        <w:t> </w:t>
      </w:r>
      <w:r w:rsidRPr="007B11DD">
        <w:rPr>
          <w:rFonts w:cs="Calibri"/>
          <w:szCs w:val="24"/>
        </w:rPr>
        <w:t xml:space="preserve">объединений из числа Членов </w:t>
      </w:r>
      <w:r w:rsidRPr="007B11DD">
        <w:rPr>
          <w:szCs w:val="24"/>
        </w:rPr>
        <w:t>МСЭ</w:t>
      </w:r>
      <w:r w:rsidRPr="007B11DD">
        <w:rPr>
          <w:rFonts w:cs="Calibri"/>
          <w:szCs w:val="24"/>
        </w:rPr>
        <w:t xml:space="preserve">-D, представляющих как государственный, так и частный сектор, оказали спонсорскую поддержку организации </w:t>
      </w:r>
      <w:r w:rsidR="006E1AC6" w:rsidRPr="007B11DD">
        <w:rPr>
          <w:rFonts w:cs="Calibri"/>
          <w:szCs w:val="24"/>
        </w:rPr>
        <w:t xml:space="preserve">программы </w:t>
      </w:r>
      <w:r w:rsidRPr="007B11DD">
        <w:rPr>
          <w:rFonts w:cs="Calibri"/>
          <w:szCs w:val="24"/>
        </w:rPr>
        <w:t>сопутствующ</w:t>
      </w:r>
      <w:r w:rsidR="006E1AC6">
        <w:rPr>
          <w:rFonts w:cs="Calibri"/>
          <w:szCs w:val="24"/>
        </w:rPr>
        <w:t>их</w:t>
      </w:r>
      <w:r w:rsidRPr="007B11DD">
        <w:rPr>
          <w:rFonts w:cs="Calibri"/>
          <w:szCs w:val="24"/>
        </w:rPr>
        <w:t xml:space="preserve"> или </w:t>
      </w:r>
      <w:r w:rsidR="006E1AC6">
        <w:rPr>
          <w:rFonts w:cs="Calibri"/>
          <w:szCs w:val="24"/>
        </w:rPr>
        <w:t xml:space="preserve">протокольных мероприятий </w:t>
      </w:r>
      <w:r w:rsidRPr="007B11DD">
        <w:rPr>
          <w:rFonts w:cs="Calibri"/>
          <w:szCs w:val="24"/>
        </w:rPr>
        <w:t>в рамках этих мероприятий на общую сумму 329 590 долл. США</w:t>
      </w:r>
      <w:bookmarkEnd w:id="20"/>
      <w:r w:rsidRPr="007B11DD">
        <w:rPr>
          <w:szCs w:val="24"/>
        </w:rPr>
        <w:t>.</w:t>
      </w:r>
    </w:p>
    <w:p w:rsidR="001A75F8" w:rsidRPr="007B11DD" w:rsidRDefault="001A75F8" w:rsidP="001A75F8">
      <w:pPr>
        <w:pStyle w:val="Heading1"/>
      </w:pPr>
      <w:r w:rsidRPr="007B11DD">
        <w:t>5</w:t>
      </w:r>
      <w:r w:rsidRPr="007B11DD">
        <w:tab/>
        <w:t>Направление дальнейших действий</w:t>
      </w:r>
    </w:p>
    <w:p w:rsidR="001A75F8" w:rsidRPr="007B11DD" w:rsidRDefault="001A75F8" w:rsidP="001A75F8">
      <w:r w:rsidRPr="007B11DD">
        <w:t xml:space="preserve">БРЭ будет и далее совершенствовать свои продукты и инструменты мобилизации ресурсов, а также укреплять отношения сотрудничества путем привлечения традиционных и нетипичных партнеров из сектора электросвязи/ИКТ и других секторов конвергированной экосистемы к осуществлению глобальных, региональных и национальных проектов и инициатив, в том числе региональных инициатив. </w:t>
      </w:r>
    </w:p>
    <w:p w:rsidR="001A75F8" w:rsidRPr="007B11DD" w:rsidRDefault="001A75F8" w:rsidP="00AC6C43">
      <w:r w:rsidRPr="007B11DD">
        <w:t>Членам МСЭ предлагается стать партнерами БРЭ в выполнении решений ВКРЭ-17, достижении целей ВВУИО, а также участии в достижении Целей в области устойчивого развития (ЦУР)</w:t>
      </w:r>
      <w:r w:rsidR="004E5AD4" w:rsidRPr="007B11DD">
        <w:t>, с особым вниманием к ЦУР</w:t>
      </w:r>
      <w:r w:rsidR="00DA5B0C">
        <w:t> </w:t>
      </w:r>
      <w:r w:rsidR="004E5AD4" w:rsidRPr="007B11DD">
        <w:t>17</w:t>
      </w:r>
      <w:r w:rsidRPr="007B11DD">
        <w:t>.</w:t>
      </w:r>
    </w:p>
    <w:p w:rsidR="001A75F8" w:rsidRPr="007B11DD" w:rsidRDefault="001A75F8" w:rsidP="001A75F8">
      <w:pPr>
        <w:spacing w:before="480"/>
        <w:jc w:val="center"/>
      </w:pPr>
      <w:r w:rsidRPr="007B11DD">
        <w:t>______________</w:t>
      </w:r>
    </w:p>
    <w:sectPr w:rsidR="001A75F8" w:rsidRPr="007B11DD" w:rsidSect="007B11DD">
      <w:headerReference w:type="default" r:id="rId17"/>
      <w:footerReference w:type="default" r:id="rId18"/>
      <w:footerReference w:type="first" r:id="rId19"/>
      <w:pgSz w:w="11906" w:h="16838" w:code="9"/>
      <w:pgMar w:top="1418" w:right="1134" w:bottom="1418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5F8" w:rsidRDefault="001A75F8" w:rsidP="00E54FD2">
      <w:pPr>
        <w:spacing w:before="0"/>
      </w:pPr>
      <w:r>
        <w:separator/>
      </w:r>
    </w:p>
  </w:endnote>
  <w:endnote w:type="continuationSeparator" w:id="0">
    <w:p w:rsidR="001A75F8" w:rsidRDefault="001A75F8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CD" w:rsidRPr="00142C18" w:rsidRDefault="00142C18" w:rsidP="007B11DD">
    <w:pPr>
      <w:pStyle w:val="Footer"/>
      <w:rPr>
        <w:lang w:val="en-GB"/>
      </w:rPr>
    </w:pPr>
    <w:r>
      <w:fldChar w:fldCharType="begin"/>
    </w:r>
    <w:r w:rsidRPr="00142C18">
      <w:rPr>
        <w:lang w:val="en-GB"/>
      </w:rPr>
      <w:instrText xml:space="preserve"> FILENAME \p  \* MERGEFORMAT </w:instrText>
    </w:r>
    <w:r>
      <w:fldChar w:fldCharType="separate"/>
    </w:r>
    <w:r w:rsidR="00DA5B0C" w:rsidRPr="00142C18">
      <w:rPr>
        <w:lang w:val="en-GB"/>
      </w:rPr>
      <w:t>P:\RUS\ITU-D\CONF-D\TDAG18\000\021REV1R.docx</w:t>
    </w:r>
    <w:r>
      <w:fldChar w:fldCharType="end"/>
    </w:r>
    <w:r w:rsidR="00AA42F8" w:rsidRPr="00142C18">
      <w:rPr>
        <w:lang w:val="en-GB"/>
      </w:rPr>
      <w:t xml:space="preserve"> (</w:t>
    </w:r>
    <w:r w:rsidR="007B11DD">
      <w:rPr>
        <w:lang w:val="en-US"/>
      </w:rPr>
      <w:t>432851</w:t>
    </w:r>
    <w:r w:rsidR="00AA42F8" w:rsidRPr="00142C18">
      <w:rPr>
        <w:lang w:val="en-GB"/>
      </w:rPr>
      <w:t>)</w:t>
    </w:r>
    <w:r w:rsidR="00AA42F8" w:rsidRPr="00142C18">
      <w:rPr>
        <w:lang w:val="en-GB"/>
      </w:rPr>
      <w:tab/>
    </w:r>
    <w:r w:rsidR="00AA42F8">
      <w:fldChar w:fldCharType="begin"/>
    </w:r>
    <w:r w:rsidR="00AA42F8">
      <w:instrText xml:space="preserve"> SAVEDATE \@ DD.MM.YY </w:instrText>
    </w:r>
    <w:r w:rsidR="00AA42F8">
      <w:fldChar w:fldCharType="separate"/>
    </w:r>
    <w:r>
      <w:t>02.03.18</w:t>
    </w:r>
    <w:r w:rsidR="00AA42F8">
      <w:fldChar w:fldCharType="end"/>
    </w:r>
    <w:r w:rsidR="00AA42F8" w:rsidRPr="00142C18">
      <w:rPr>
        <w:lang w:val="en-GB"/>
      </w:rPr>
      <w:tab/>
    </w:r>
    <w:r w:rsidR="00AA42F8">
      <w:fldChar w:fldCharType="begin"/>
    </w:r>
    <w:r w:rsidR="00AA42F8">
      <w:instrText xml:space="preserve"> PRINTDATE \@ DD.MM.YY </w:instrText>
    </w:r>
    <w:r w:rsidR="00AA42F8">
      <w:fldChar w:fldCharType="separate"/>
    </w:r>
    <w:r w:rsidR="00DA5B0C">
      <w:t>02.03.18</w:t>
    </w:r>
    <w:r w:rsidR="00AA42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4D495C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BD2C91" w:rsidRPr="006E1AC6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6E1AC6">
            <w:rPr>
              <w:sz w:val="18"/>
              <w:szCs w:val="18"/>
            </w:rPr>
            <w:t>Координатор</w:t>
          </w:r>
          <w:r w:rsidRPr="006E1AC6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BD2C91" w:rsidRPr="006E1AC6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6E1AC6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:rsidR="00BD2C91" w:rsidRPr="006E1AC6" w:rsidRDefault="001A75F8" w:rsidP="001A75F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6E1AC6">
            <w:rPr>
              <w:sz w:val="18"/>
              <w:szCs w:val="18"/>
            </w:rPr>
            <w:t>г-жа Ын-Чон Ким (</w:t>
          </w:r>
          <w:r w:rsidRPr="006E1AC6">
            <w:rPr>
              <w:sz w:val="18"/>
              <w:szCs w:val="18"/>
              <w:lang w:val="en-US"/>
            </w:rPr>
            <w:t>Eun</w:t>
          </w:r>
          <w:r w:rsidRPr="006E1AC6">
            <w:rPr>
              <w:sz w:val="18"/>
              <w:szCs w:val="18"/>
            </w:rPr>
            <w:t>-</w:t>
          </w:r>
          <w:r w:rsidRPr="006E1AC6">
            <w:rPr>
              <w:sz w:val="18"/>
              <w:szCs w:val="18"/>
              <w:lang w:val="en-US"/>
            </w:rPr>
            <w:t>Jun</w:t>
          </w:r>
          <w:r w:rsidRPr="006E1AC6">
            <w:rPr>
              <w:sz w:val="18"/>
              <w:szCs w:val="18"/>
            </w:rPr>
            <w:t xml:space="preserve"> </w:t>
          </w:r>
          <w:r w:rsidRPr="006E1AC6">
            <w:rPr>
              <w:sz w:val="18"/>
              <w:szCs w:val="18"/>
              <w:lang w:val="en-US"/>
            </w:rPr>
            <w:t>Kim</w:t>
          </w:r>
          <w:r w:rsidRPr="006E1AC6">
            <w:rPr>
              <w:sz w:val="18"/>
              <w:szCs w:val="18"/>
            </w:rPr>
            <w:t>), руководитель Департамента инноваций и партнерских отношений</w:t>
          </w:r>
          <w:r w:rsidRPr="006E1AC6">
            <w:rPr>
              <w:sz w:val="18"/>
              <w:szCs w:val="18"/>
            </w:rPr>
            <w:br/>
            <w:t>Бюро развития электросвязи</w:t>
          </w:r>
        </w:p>
      </w:tc>
    </w:tr>
    <w:tr w:rsidR="00BD2C91" w:rsidRPr="004D495C" w:rsidTr="004E3CF5">
      <w:tc>
        <w:tcPr>
          <w:tcW w:w="1418" w:type="dxa"/>
          <w:shd w:val="clear" w:color="auto" w:fill="auto"/>
        </w:tcPr>
        <w:p w:rsidR="00BD2C91" w:rsidRPr="006E1AC6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:rsidR="00BD2C91" w:rsidRPr="006E1AC6" w:rsidRDefault="00BD2C91" w:rsidP="001530FB">
          <w:pPr>
            <w:pStyle w:val="FirstFooter"/>
            <w:spacing w:before="40"/>
            <w:rPr>
              <w:sz w:val="18"/>
              <w:szCs w:val="18"/>
            </w:rPr>
          </w:pPr>
          <w:r w:rsidRPr="006E1AC6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:rsidR="00BD2C91" w:rsidRPr="006E1AC6" w:rsidRDefault="001A75F8" w:rsidP="001A75F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6E1AC6">
            <w:rPr>
              <w:sz w:val="18"/>
              <w:szCs w:val="18"/>
              <w:lang w:val="en-US"/>
            </w:rPr>
            <w:t>+41 22 730 5900</w:t>
          </w:r>
        </w:p>
      </w:tc>
    </w:tr>
    <w:tr w:rsidR="00BD2C91" w:rsidRPr="00142C18" w:rsidTr="004E3CF5">
      <w:tc>
        <w:tcPr>
          <w:tcW w:w="1418" w:type="dxa"/>
          <w:shd w:val="clear" w:color="auto" w:fill="auto"/>
        </w:tcPr>
        <w:p w:rsidR="00BD2C91" w:rsidRPr="006E1AC6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:rsidR="00BD2C91" w:rsidRPr="006E1AC6" w:rsidRDefault="00BD2C9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6E1AC6">
            <w:rPr>
              <w:sz w:val="18"/>
              <w:szCs w:val="18"/>
            </w:rPr>
            <w:t>Эл. почта</w:t>
          </w:r>
          <w:r w:rsidRPr="006E1AC6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:rsidR="00BD2C91" w:rsidRPr="006E1AC6" w:rsidRDefault="00142C18" w:rsidP="001A75F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1A75F8" w:rsidRPr="006E1AC6">
              <w:rPr>
                <w:rStyle w:val="Hyperlink"/>
                <w:sz w:val="18"/>
                <w:szCs w:val="18"/>
                <w:lang w:val="en-US"/>
              </w:rPr>
              <w:t>eun-ju.kim@itu.int</w:t>
            </w:r>
          </w:hyperlink>
        </w:p>
      </w:tc>
    </w:tr>
  </w:tbl>
  <w:p w:rsidR="00B52E6E" w:rsidRPr="006E4AB3" w:rsidRDefault="00142C18" w:rsidP="007B11DD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5F8" w:rsidRDefault="001A75F8" w:rsidP="00E54FD2">
      <w:pPr>
        <w:spacing w:before="0"/>
      </w:pPr>
      <w:r>
        <w:separator/>
      </w:r>
    </w:p>
  </w:footnote>
  <w:footnote w:type="continuationSeparator" w:id="0">
    <w:p w:rsidR="001A75F8" w:rsidRDefault="001A75F8" w:rsidP="00E54FD2">
      <w:pPr>
        <w:spacing w:before="0"/>
      </w:pPr>
      <w:r>
        <w:continuationSeparator/>
      </w:r>
    </w:p>
  </w:footnote>
  <w:footnote w:id="1">
    <w:p w:rsidR="001A75F8" w:rsidRDefault="001A75F8" w:rsidP="001A75F8">
      <w:pPr>
        <w:pStyle w:val="FootnoteText"/>
      </w:pPr>
      <w:r>
        <w:rPr>
          <w:rStyle w:val="FootnoteReference"/>
        </w:rPr>
        <w:t>1</w:t>
      </w:r>
      <w:r>
        <w:t xml:space="preserve"> </w:t>
      </w:r>
      <w:r>
        <w:tab/>
      </w:r>
      <w:r>
        <w:rPr>
          <w:rFonts w:cs="Calibri"/>
        </w:rPr>
        <w:t>В</w:t>
      </w:r>
      <w:r w:rsidRPr="000610B8">
        <w:rPr>
          <w:rFonts w:cs="Calibri"/>
        </w:rPr>
        <w:t xml:space="preserve"> 2015 </w:t>
      </w:r>
      <w:r>
        <w:rPr>
          <w:rFonts w:cs="Calibri"/>
        </w:rPr>
        <w:t>году</w:t>
      </w:r>
      <w:r w:rsidRPr="000610B8">
        <w:rPr>
          <w:rFonts w:cs="Calibri"/>
        </w:rPr>
        <w:t xml:space="preserve"> </w:t>
      </w:r>
      <w:r>
        <w:rPr>
          <w:rFonts w:cs="Calibri"/>
        </w:rPr>
        <w:t>было</w:t>
      </w:r>
      <w:r w:rsidRPr="000610B8">
        <w:rPr>
          <w:rFonts w:cs="Calibri"/>
        </w:rPr>
        <w:t xml:space="preserve"> </w:t>
      </w:r>
      <w:r>
        <w:rPr>
          <w:rFonts w:cs="Calibri"/>
        </w:rPr>
        <w:t>подписано</w:t>
      </w:r>
      <w:r w:rsidRPr="000610B8">
        <w:rPr>
          <w:rFonts w:cs="Calibri"/>
        </w:rPr>
        <w:t xml:space="preserve"> 28 </w:t>
      </w:r>
      <w:r>
        <w:rPr>
          <w:rFonts w:cs="Calibri"/>
        </w:rPr>
        <w:t>соглашений</w:t>
      </w:r>
      <w:r w:rsidRPr="000610B8">
        <w:rPr>
          <w:rFonts w:cs="Calibri"/>
        </w:rPr>
        <w:t xml:space="preserve"> </w:t>
      </w:r>
      <w:r>
        <w:rPr>
          <w:rFonts w:cs="Calibri"/>
        </w:rPr>
        <w:t>для</w:t>
      </w:r>
      <w:r w:rsidRPr="000610B8">
        <w:rPr>
          <w:rFonts w:cs="Calibri"/>
        </w:rPr>
        <w:t xml:space="preserve"> </w:t>
      </w:r>
      <w:r>
        <w:rPr>
          <w:rFonts w:cs="Calibri"/>
        </w:rPr>
        <w:t>осуществления</w:t>
      </w:r>
      <w:r w:rsidRPr="000610B8">
        <w:rPr>
          <w:rFonts w:cs="Calibri"/>
        </w:rPr>
        <w:t xml:space="preserve"> "</w:t>
      </w:r>
      <w:r>
        <w:rPr>
          <w:rFonts w:cs="Calibri"/>
        </w:rPr>
        <w:t>Совместной деятельности по созданию потенциала в рамках центров профессионального мастерства Академии МСЭ</w:t>
      </w:r>
      <w:r w:rsidRPr="000610B8">
        <w:rPr>
          <w:rFonts w:cs="Calibri"/>
        </w:rPr>
        <w:t>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7B11DD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rPr>
        <w:smallCaps/>
        <w:spacing w:val="24"/>
      </w:rPr>
    </w:pPr>
    <w:r w:rsidRPr="00972BCD">
      <w:tab/>
    </w:r>
    <w:r w:rsidRPr="002236F8">
      <w:t>TDAG</w:t>
    </w:r>
    <w:r w:rsidR="00527225">
      <w:rPr>
        <w:lang w:val="en-US"/>
      </w:rPr>
      <w:t>-</w:t>
    </w:r>
    <w:r w:rsidRPr="00701E31">
      <w:t>1</w:t>
    </w:r>
    <w:r w:rsidR="004713B8" w:rsidRPr="004713B8">
      <w:t>8</w:t>
    </w:r>
    <w:r w:rsidRPr="00701E31">
      <w:t>/</w:t>
    </w:r>
    <w:r w:rsidR="001A75F8">
      <w:t>21</w:t>
    </w:r>
    <w:r w:rsidR="00142C18">
      <w:t>(</w:t>
    </w:r>
    <w:r w:rsidR="00142C18">
      <w:rPr>
        <w:lang w:val="en-US"/>
      </w:rPr>
      <w:t>Rev.1)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142C18">
      <w:rPr>
        <w:rStyle w:val="PageNumber"/>
        <w:noProof/>
      </w:rPr>
      <w:t>5</w:t>
    </w:r>
    <w:r w:rsidR="00D923CD" w:rsidRPr="00DE3BA6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107E03"/>
    <w:rsid w:val="00111662"/>
    <w:rsid w:val="00134D3C"/>
    <w:rsid w:val="00142C18"/>
    <w:rsid w:val="001530FB"/>
    <w:rsid w:val="00191479"/>
    <w:rsid w:val="001A75F8"/>
    <w:rsid w:val="001E3E78"/>
    <w:rsid w:val="00202D0A"/>
    <w:rsid w:val="002236F8"/>
    <w:rsid w:val="00257C2C"/>
    <w:rsid w:val="00270876"/>
    <w:rsid w:val="002717CC"/>
    <w:rsid w:val="00316454"/>
    <w:rsid w:val="00366978"/>
    <w:rsid w:val="003A294B"/>
    <w:rsid w:val="003C6E83"/>
    <w:rsid w:val="003E6E87"/>
    <w:rsid w:val="004143D5"/>
    <w:rsid w:val="00422053"/>
    <w:rsid w:val="00447D6E"/>
    <w:rsid w:val="004713B8"/>
    <w:rsid w:val="00492670"/>
    <w:rsid w:val="004E4490"/>
    <w:rsid w:val="004E5AD4"/>
    <w:rsid w:val="005150E7"/>
    <w:rsid w:val="00527225"/>
    <w:rsid w:val="00590CD5"/>
    <w:rsid w:val="00655923"/>
    <w:rsid w:val="00694764"/>
    <w:rsid w:val="006E1AC6"/>
    <w:rsid w:val="00701E31"/>
    <w:rsid w:val="00743584"/>
    <w:rsid w:val="007B11DD"/>
    <w:rsid w:val="007F3A5F"/>
    <w:rsid w:val="008112E9"/>
    <w:rsid w:val="008674F7"/>
    <w:rsid w:val="00875722"/>
    <w:rsid w:val="008C576E"/>
    <w:rsid w:val="009078A6"/>
    <w:rsid w:val="00916B10"/>
    <w:rsid w:val="009C5B8E"/>
    <w:rsid w:val="00A30897"/>
    <w:rsid w:val="00A44602"/>
    <w:rsid w:val="00A64F9D"/>
    <w:rsid w:val="00A73D91"/>
    <w:rsid w:val="00AA42F8"/>
    <w:rsid w:val="00AC2E0E"/>
    <w:rsid w:val="00AC4A30"/>
    <w:rsid w:val="00AC6023"/>
    <w:rsid w:val="00AC6C43"/>
    <w:rsid w:val="00AE0BB7"/>
    <w:rsid w:val="00AE1BA7"/>
    <w:rsid w:val="00B222FE"/>
    <w:rsid w:val="00B52E6E"/>
    <w:rsid w:val="00B726C0"/>
    <w:rsid w:val="00B75868"/>
    <w:rsid w:val="00BD2C91"/>
    <w:rsid w:val="00BD7A1A"/>
    <w:rsid w:val="00C62E82"/>
    <w:rsid w:val="00C71A6F"/>
    <w:rsid w:val="00C84CCD"/>
    <w:rsid w:val="00CD34AE"/>
    <w:rsid w:val="00CE37A1"/>
    <w:rsid w:val="00CE5BA3"/>
    <w:rsid w:val="00CE5E7B"/>
    <w:rsid w:val="00D16175"/>
    <w:rsid w:val="00D65FD0"/>
    <w:rsid w:val="00D712FE"/>
    <w:rsid w:val="00D923CD"/>
    <w:rsid w:val="00D93FCC"/>
    <w:rsid w:val="00DA4610"/>
    <w:rsid w:val="00DA5B0C"/>
    <w:rsid w:val="00DD19E1"/>
    <w:rsid w:val="00DD5D8C"/>
    <w:rsid w:val="00E06A7D"/>
    <w:rsid w:val="00E30170"/>
    <w:rsid w:val="00E54FD2"/>
    <w:rsid w:val="00E67294"/>
    <w:rsid w:val="00E7319E"/>
    <w:rsid w:val="00E82D31"/>
    <w:rsid w:val="00EE153D"/>
    <w:rsid w:val="00EF1DC1"/>
    <w:rsid w:val="00F72A94"/>
    <w:rsid w:val="00F746B3"/>
    <w:rsid w:val="00F961B7"/>
    <w:rsid w:val="00FA2BC3"/>
    <w:rsid w:val="00FA543E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7B11D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7B11DD"/>
    <w:pPr>
      <w:spacing w:before="28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1A75F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A75F8"/>
    <w:rPr>
      <w:rFonts w:ascii="Calibri" w:eastAsia="Times New Roman" w:hAnsi="Calibri" w:cs="Times New Roman"/>
      <w:sz w:val="20"/>
      <w:lang w:val="ru-RU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7B11DD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7B11DD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7B11DD"/>
    <w:pPr>
      <w:framePr w:hSpace="180" w:wrap="around" w:vAnchor="page" w:hAnchor="margin" w:y="790"/>
      <w:spacing w:before="72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7B11DD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ListParagraph">
    <w:name w:val="List Paragraph"/>
    <w:basedOn w:val="Normal"/>
    <w:link w:val="ListParagraphChar"/>
    <w:uiPriority w:val="99"/>
    <w:qFormat/>
    <w:rsid w:val="001A75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720"/>
      <w:contextualSpacing/>
      <w:textAlignment w:val="auto"/>
    </w:pPr>
    <w:rPr>
      <w:rFonts w:ascii="Verdana" w:eastAsia="SimHei" w:hAnsi="Verdana" w:cs="Simplified Arabic"/>
      <w:bCs/>
      <w:sz w:val="19"/>
      <w:szCs w:val="28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1A75F8"/>
    <w:rPr>
      <w:rFonts w:ascii="Verdana" w:eastAsia="SimHei" w:hAnsi="Verdana" w:cs="Simplified Arabic"/>
      <w:bCs/>
      <w:sz w:val="19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E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E7"/>
    <w:rPr>
      <w:rFonts w:ascii="Segoe UI" w:eastAsia="Times New Roman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D14-WTDC17-C-0115/" TargetMode="External"/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hart" Target="charts/chart1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tu.int/go/en/itudsponsorship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D14-WTDC17-C-011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D14-TDAG21-INF-0006/en" TargetMode="External"/><Relationship Id="rId10" Type="http://schemas.openxmlformats.org/officeDocument/2006/relationships/hyperlink" Target="https://www.itu.int/md/D14-WTDC17-C-0115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D14-WTDC17-C-0115/" TargetMode="External"/><Relationship Id="rId14" Type="http://schemas.openxmlformats.org/officeDocument/2006/relationships/chart" Target="charts/chart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eun-ju.kim@itu.in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indenlaub\AppData\Local\Microsoft\Windows\Temporary%20Internet%20Files\Content.Outlook\9S6BQNF5\Charts%20TDAG2017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guyots\Desktop\TDAG\2018\Copy%20of%20Charts%20TDAG2018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C:\Users\guyots\Desktop\TDAG\2018\Copy%20of%20Charts%20TDAG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900" b="1">
                <a:solidFill>
                  <a:sysClr val="windowText" lastClr="000000"/>
                </a:solidFill>
              </a:rPr>
              <a:t>Новые</a:t>
            </a:r>
            <a:r>
              <a:rPr lang="ru-RU" sz="900" b="1" baseline="0">
                <a:solidFill>
                  <a:sysClr val="windowText" lastClr="000000"/>
                </a:solidFill>
              </a:rPr>
              <a:t> подписанные соглашения </a:t>
            </a:r>
            <a:r>
              <a:rPr lang="en-US" sz="900" b="1">
                <a:solidFill>
                  <a:sysClr val="windowText" lastClr="000000"/>
                </a:solidFill>
              </a:rPr>
              <a:t>(2014</a:t>
            </a:r>
            <a:r>
              <a:rPr lang="ru-RU" sz="900" b="1" i="0" u="none" strike="noStrike" baseline="0">
                <a:effectLst/>
              </a:rPr>
              <a:t>−</a:t>
            </a:r>
            <a:r>
              <a:rPr lang="en-US" sz="900" b="1">
                <a:solidFill>
                  <a:sysClr val="windowText" lastClr="000000"/>
                </a:solidFill>
              </a:rPr>
              <a:t>2017</a:t>
            </a:r>
            <a:r>
              <a:rPr lang="ru-RU" sz="900" b="1">
                <a:solidFill>
                  <a:sysClr val="windowText" lastClr="000000"/>
                </a:solidFill>
              </a:rPr>
              <a:t> гг.</a:t>
            </a:r>
            <a:r>
              <a:rPr lang="en-US" sz="900" b="1">
                <a:solidFill>
                  <a:sysClr val="windowText" lastClr="000000"/>
                </a:solidFill>
              </a:rPr>
              <a:t>)</a:t>
            </a:r>
          </a:p>
        </c:rich>
      </c:tx>
      <c:layout>
        <c:manualLayout>
          <c:xMode val="edge"/>
          <c:yMode val="edge"/>
          <c:x val="0.11448124828907746"/>
          <c:y val="4.55137552250413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7317285552632898E-2"/>
          <c:y val="0.28726429848509999"/>
          <c:w val="0.92564426556014801"/>
          <c:h val="0.57052413297755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lumMod val="75000"/>
              </a:schemeClr>
            </a:soli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58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Sheet1!$C$1:$F$1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Sheet1!$C$2:$F$2</c:f>
              <c:numCache>
                <c:formatCode>General</c:formatCode>
                <c:ptCount val="4"/>
                <c:pt idx="0">
                  <c:v>42</c:v>
                </c:pt>
                <c:pt idx="1">
                  <c:v>68</c:v>
                </c:pt>
                <c:pt idx="2">
                  <c:v>29</c:v>
                </c:pt>
                <c:pt idx="3">
                  <c:v>55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311045176"/>
        <c:axId val="311044784"/>
      </c:barChart>
      <c:catAx>
        <c:axId val="311045176"/>
        <c:scaling>
          <c:orientation val="minMax"/>
        </c:scaling>
        <c:delete val="0"/>
        <c:axPos val="b"/>
        <c:numFmt formatCode="###\ \г.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1044784"/>
        <c:crosses val="autoZero"/>
        <c:auto val="1"/>
        <c:lblAlgn val="ctr"/>
        <c:lblOffset val="100"/>
        <c:noMultiLvlLbl val="0"/>
      </c:catAx>
      <c:valAx>
        <c:axId val="3110447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11045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</a:gradFill>
    <a:ln w="9525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900"/>
              <a:t>Регионы-бенефициары новых подписанных соглашений</a:t>
            </a:r>
            <a:br>
              <a:rPr lang="ru-RU" sz="900"/>
            </a:br>
            <a:r>
              <a:rPr lang="en-US" sz="900"/>
              <a:t>(2014</a:t>
            </a:r>
            <a:r>
              <a:rPr lang="ru-RU" sz="900" b="1" i="0" u="none" strike="noStrike" baseline="0">
                <a:effectLst/>
              </a:rPr>
              <a:t>−</a:t>
            </a:r>
            <a:r>
              <a:rPr lang="en-US" sz="900"/>
              <a:t>2017</a:t>
            </a:r>
            <a:r>
              <a:rPr lang="ru-RU" sz="900"/>
              <a:t> гг.</a:t>
            </a:r>
            <a:r>
              <a:rPr lang="en-US" sz="900"/>
              <a:t>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Sheet1!$H$7:$H$13</c:f>
              <c:strCache>
                <c:ptCount val="7"/>
                <c:pt idx="0">
                  <c:v>AFR</c:v>
                </c:pt>
                <c:pt idx="1">
                  <c:v>AMS</c:v>
                </c:pt>
                <c:pt idx="2">
                  <c:v>ARB</c:v>
                </c:pt>
                <c:pt idx="3">
                  <c:v>ASP</c:v>
                </c:pt>
                <c:pt idx="4">
                  <c:v>CIS</c:v>
                </c:pt>
                <c:pt idx="5">
                  <c:v>EUR</c:v>
                </c:pt>
                <c:pt idx="6">
                  <c:v>GLO</c:v>
                </c:pt>
              </c:strCache>
            </c:strRef>
          </c:cat>
          <c:val>
            <c:numRef>
              <c:f>Sheet1!$I$7:$I$13</c:f>
              <c:numCache>
                <c:formatCode>General</c:formatCode>
                <c:ptCount val="7"/>
                <c:pt idx="0">
                  <c:v>27.5</c:v>
                </c:pt>
                <c:pt idx="1">
                  <c:v>26</c:v>
                </c:pt>
                <c:pt idx="2">
                  <c:v>17</c:v>
                </c:pt>
                <c:pt idx="3">
                  <c:v>42</c:v>
                </c:pt>
                <c:pt idx="4">
                  <c:v>5</c:v>
                </c:pt>
                <c:pt idx="5">
                  <c:v>10.5</c:v>
                </c:pt>
                <c:pt idx="6">
                  <c:v>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711074552"/>
        <c:axId val="711074160"/>
      </c:barChart>
      <c:catAx>
        <c:axId val="711074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1074160"/>
        <c:crosses val="autoZero"/>
        <c:auto val="1"/>
        <c:lblAlgn val="ctr"/>
        <c:lblOffset val="100"/>
        <c:noMultiLvlLbl val="0"/>
      </c:catAx>
      <c:valAx>
        <c:axId val="711074160"/>
        <c:scaling>
          <c:orientation val="minMax"/>
        </c:scaling>
        <c:delete val="0"/>
        <c:axPos val="l"/>
        <c:majorGridlines>
          <c:spPr>
            <a:ln w="9525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1074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none" spc="5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 b="1">
                <a:solidFill>
                  <a:sysClr val="windowText" lastClr="000000"/>
                </a:solidFill>
              </a:rPr>
              <a:t>Новые подписанные соглашения </a:t>
            </a:r>
            <a:r>
              <a:rPr lang="ru-RU" sz="1000" b="1" i="0" u="none" strike="noStrike" cap="none" baseline="0">
                <a:effectLst/>
              </a:rPr>
              <a:t>−</a:t>
            </a:r>
            <a:r>
              <a:rPr lang="ru-RU" sz="900" b="1">
                <a:solidFill>
                  <a:sysClr val="windowText" lastClr="000000"/>
                </a:solidFill>
              </a:rPr>
              <a:t> области</a:t>
            </a:r>
            <a:r>
              <a:rPr lang="ru-RU" sz="900" b="1" baseline="0">
                <a:solidFill>
                  <a:sysClr val="windowText" lastClr="000000"/>
                </a:solidFill>
              </a:rPr>
              <a:t> деятельности </a:t>
            </a:r>
            <a:br>
              <a:rPr lang="ru-RU" sz="900" b="1" baseline="0">
                <a:solidFill>
                  <a:sysClr val="windowText" lastClr="000000"/>
                </a:solidFill>
              </a:rPr>
            </a:br>
            <a:r>
              <a:rPr lang="en-US" sz="900" b="1" baseline="0">
                <a:solidFill>
                  <a:sysClr val="windowText" lastClr="000000"/>
                </a:solidFill>
              </a:rPr>
              <a:t>(2014</a:t>
            </a:r>
            <a:r>
              <a:rPr lang="ru-RU" sz="1000" b="1" i="0" u="none" strike="noStrike" cap="none" baseline="0">
                <a:effectLst/>
              </a:rPr>
              <a:t>−</a:t>
            </a:r>
            <a:r>
              <a:rPr lang="en-US" sz="900" b="1" baseline="0">
                <a:solidFill>
                  <a:sysClr val="windowText" lastClr="000000"/>
                </a:solidFill>
              </a:rPr>
              <a:t>2017</a:t>
            </a:r>
            <a:r>
              <a:rPr lang="ru-RU" sz="900" b="1" baseline="0">
                <a:solidFill>
                  <a:sysClr val="windowText" lastClr="000000"/>
                </a:solidFill>
              </a:rPr>
              <a:t>гг.</a:t>
            </a:r>
            <a:r>
              <a:rPr lang="en-US" sz="1000" b="1" baseline="0">
                <a:solidFill>
                  <a:sysClr val="windowText" lastClr="000000"/>
                </a:solidFill>
              </a:rPr>
              <a:t>)</a:t>
            </a:r>
          </a:p>
        </c:rich>
      </c:tx>
      <c:layout>
        <c:manualLayout>
          <c:xMode val="edge"/>
          <c:yMode val="edge"/>
          <c:x val="0.16073427923718445"/>
          <c:y val="2.46476624680946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spc="5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6530971816467522"/>
          <c:y val="0.15829461474602477"/>
          <c:w val="0.60959366226731959"/>
          <c:h val="0.76138229710718452"/>
        </c:manualLayout>
      </c:layout>
      <c:barChart>
        <c:barDir val="bar"/>
        <c:grouping val="clustered"/>
        <c:varyColors val="0"/>
        <c:ser>
          <c:idx val="0"/>
          <c:order val="0"/>
          <c:spPr>
            <a:noFill/>
            <a:ln w="25400">
              <a:solidFill>
                <a:schemeClr val="accent1"/>
              </a:solidFill>
              <a:miter lim="800000"/>
            </a:ln>
            <a:effectLst/>
          </c:spPr>
          <c:invertIfNegative val="0"/>
          <c:cat>
            <c:strRef>
              <c:f>Sheet1!$A$35:$A$45</c:f>
              <c:strCache>
                <c:ptCount val="11"/>
                <c:pt idx="0">
                  <c:v>Capacity Building</c:v>
                </c:pt>
                <c:pt idx="1">
                  <c:v>ICT Applications</c:v>
                </c:pt>
                <c:pt idx="2">
                  <c:v>Generic</c:v>
                </c:pt>
                <c:pt idx="3">
                  <c:v>Infrastructure</c:v>
                </c:pt>
                <c:pt idx="4">
                  <c:v>Cybersecurity</c:v>
                </c:pt>
                <c:pt idx="5">
                  <c:v>Enabling Environment</c:v>
                </c:pt>
                <c:pt idx="6">
                  <c:v>Emergency Telecommunications</c:v>
                </c:pt>
                <c:pt idx="7">
                  <c:v>Digital Inclusion</c:v>
                </c:pt>
                <c:pt idx="8">
                  <c:v>Innovation</c:v>
                </c:pt>
                <c:pt idx="9">
                  <c:v>Climate Change &amp; e-Waste</c:v>
                </c:pt>
                <c:pt idx="10">
                  <c:v>Statistics &amp; Indicators</c:v>
                </c:pt>
              </c:strCache>
            </c:strRef>
          </c:cat>
          <c:val>
            <c:numRef>
              <c:f>Sheet1!$B$35:$B$45</c:f>
              <c:numCache>
                <c:formatCode>General</c:formatCode>
                <c:ptCount val="11"/>
                <c:pt idx="0">
                  <c:v>49</c:v>
                </c:pt>
                <c:pt idx="1">
                  <c:v>32</c:v>
                </c:pt>
                <c:pt idx="2">
                  <c:v>29</c:v>
                </c:pt>
                <c:pt idx="3">
                  <c:v>27</c:v>
                </c:pt>
                <c:pt idx="4">
                  <c:v>20</c:v>
                </c:pt>
                <c:pt idx="5">
                  <c:v>16</c:v>
                </c:pt>
                <c:pt idx="6">
                  <c:v>10</c:v>
                </c:pt>
                <c:pt idx="7">
                  <c:v>7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7"/>
        <c:overlap val="-48"/>
        <c:axId val="711074944"/>
        <c:axId val="821913384"/>
      </c:barChart>
      <c:catAx>
        <c:axId val="7110749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1913384"/>
        <c:crosses val="autoZero"/>
        <c:auto val="1"/>
        <c:lblAlgn val="ctr"/>
        <c:lblOffset val="100"/>
        <c:noMultiLvlLbl val="0"/>
      </c:catAx>
      <c:valAx>
        <c:axId val="821913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1074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0.02824</cdr:x>
      <cdr:y>0.16916</cdr:y>
    </cdr:from>
    <cdr:to>
      <cdr:x>0.3265</cdr:x>
      <cdr:y>0.88627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27221" y="365761"/>
          <a:ext cx="1343771" cy="15505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  </a:t>
          </a:r>
          <a:endParaRPr lang="en-GB" sz="1100"/>
        </a:p>
      </cdr:txBody>
    </cdr:sp>
  </cdr:relSizeAnchor>
  <cdr:relSizeAnchor xmlns:cdr="http://schemas.openxmlformats.org/drawingml/2006/chartDrawing">
    <cdr:from>
      <cdr:x>0.01092</cdr:x>
      <cdr:y>0.14561</cdr:y>
    </cdr:from>
    <cdr:to>
      <cdr:x>0.36124</cdr:x>
      <cdr:y>0.91459</cdr:y>
    </cdr:to>
    <cdr:sp macro="" textlink="">
      <cdr:nvSpPr>
        <cdr:cNvPr id="3" name="Text Box 3"/>
        <cdr:cNvSpPr txBox="1"/>
      </cdr:nvSpPr>
      <cdr:spPr>
        <a:xfrm xmlns:a="http://schemas.openxmlformats.org/drawingml/2006/main">
          <a:off x="57150" y="376220"/>
          <a:ext cx="1832548" cy="1986902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  <a:effectLst xmlns:a="http://schemas.openxmlformats.org/drawingml/2006/main"/>
      </cdr:spPr>
      <cdr:style>
        <a:lnRef xmlns:a="http://schemas.openxmlformats.org/drawingml/2006/main" idx="0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="horz" wrap="square" lIns="0" tIns="36000" rIns="36000" bIns="3600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marL="0" algn="r" hangingPunct="0">
            <a:spcBef>
              <a:spcPts val="500"/>
            </a:spcBef>
          </a:pPr>
          <a:r>
            <a:rPr lang="ru-RU" sz="8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Статистика и показатели</a:t>
          </a:r>
        </a:p>
        <a:p xmlns:a="http://schemas.openxmlformats.org/drawingml/2006/main">
          <a:pPr marL="0" algn="r" hangingPunct="0">
            <a:spcBef>
              <a:spcPts val="500"/>
            </a:spcBef>
          </a:pPr>
          <a:r>
            <a:rPr lang="ru-RU" sz="800" spc="-3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Изменение климата и электронные</a:t>
          </a:r>
          <a:r>
            <a:rPr lang="ru-RU" sz="800" spc="-30" baseline="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 отходы</a:t>
          </a:r>
          <a:endParaRPr lang="en-GB" sz="800" spc="-30">
            <a:solidFill>
              <a:schemeClr val="dk1"/>
            </a:solidFill>
            <a:effectLst/>
            <a:latin typeface="+mn-lt"/>
            <a:ea typeface="+mn-ea"/>
            <a:cs typeface="+mn-cs"/>
          </a:endParaRPr>
        </a:p>
        <a:p xmlns:a="http://schemas.openxmlformats.org/drawingml/2006/main">
          <a:pPr marL="0" algn="r" hangingPunct="0">
            <a:spcBef>
              <a:spcPts val="500"/>
            </a:spcBef>
          </a:pPr>
          <a:r>
            <a:rPr lang="ru-RU" sz="8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Инновации</a:t>
          </a:r>
          <a:endParaRPr lang="en-GB" sz="800">
            <a:solidFill>
              <a:schemeClr val="dk1"/>
            </a:solidFill>
            <a:effectLst/>
            <a:latin typeface="+mn-lt"/>
            <a:ea typeface="+mn-ea"/>
            <a:cs typeface="+mn-cs"/>
          </a:endParaRPr>
        </a:p>
        <a:p xmlns:a="http://schemas.openxmlformats.org/drawingml/2006/main">
          <a:pPr marL="0" algn="r" hangingPunct="0">
            <a:spcBef>
              <a:spcPts val="500"/>
            </a:spcBef>
          </a:pPr>
          <a:r>
            <a:rPr lang="ru-RU" sz="8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Охват цифровыми технологиями</a:t>
          </a:r>
          <a:endParaRPr lang="en-GB" sz="800">
            <a:solidFill>
              <a:schemeClr val="dk1"/>
            </a:solidFill>
            <a:effectLst/>
            <a:latin typeface="+mn-lt"/>
            <a:ea typeface="+mn-ea"/>
            <a:cs typeface="+mn-cs"/>
          </a:endParaRPr>
        </a:p>
        <a:p xmlns:a="http://schemas.openxmlformats.org/drawingml/2006/main">
          <a:pPr marL="0" algn="r" hangingPunct="0">
            <a:spcBef>
              <a:spcPts val="500"/>
            </a:spcBef>
          </a:pPr>
          <a:r>
            <a:rPr lang="ru-RU" sz="800" spc="-20" baseline="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Электросвязь в чрезвычайных ситуациях</a:t>
          </a:r>
          <a:endParaRPr lang="en-GB" sz="800" spc="-20" baseline="0">
            <a:solidFill>
              <a:schemeClr val="dk1"/>
            </a:solidFill>
            <a:effectLst/>
            <a:latin typeface="+mn-lt"/>
            <a:ea typeface="+mn-ea"/>
            <a:cs typeface="+mn-cs"/>
          </a:endParaRPr>
        </a:p>
        <a:p xmlns:a="http://schemas.openxmlformats.org/drawingml/2006/main">
          <a:pPr marL="144000" marR="0" indent="0" algn="r" defTabSz="914400" eaLnBrk="1" fontAlgn="auto" latinLnBrk="0" hangingPunct="0">
            <a:lnSpc>
              <a:spcPct val="100000"/>
            </a:lnSpc>
            <a:spcBef>
              <a:spcPts val="40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8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Благоприятная среда</a:t>
          </a:r>
          <a:endParaRPr lang="en-GB" sz="800">
            <a:solidFill>
              <a:schemeClr val="dk1"/>
            </a:solidFill>
            <a:effectLst/>
            <a:latin typeface="+mn-lt"/>
            <a:ea typeface="+mn-ea"/>
            <a:cs typeface="+mn-cs"/>
          </a:endParaRPr>
        </a:p>
        <a:p xmlns:a="http://schemas.openxmlformats.org/drawingml/2006/main">
          <a:pPr marL="144000" marR="0" indent="0" algn="r" defTabSz="914400" eaLnBrk="1" fontAlgn="auto" latinLnBrk="0" hangingPunct="0">
            <a:lnSpc>
              <a:spcPct val="100000"/>
            </a:lnSpc>
            <a:spcBef>
              <a:spcPts val="40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8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Кибербезопасность</a:t>
          </a:r>
          <a:endParaRPr lang="en-GB" sz="800">
            <a:solidFill>
              <a:schemeClr val="dk1"/>
            </a:solidFill>
            <a:effectLst/>
            <a:latin typeface="+mn-lt"/>
            <a:ea typeface="+mn-ea"/>
            <a:cs typeface="+mn-cs"/>
          </a:endParaRPr>
        </a:p>
        <a:p xmlns:a="http://schemas.openxmlformats.org/drawingml/2006/main">
          <a:pPr marL="144000" marR="0" indent="0" algn="r" defTabSz="914400" eaLnBrk="1" fontAlgn="auto" latinLnBrk="0" hangingPunct="0">
            <a:lnSpc>
              <a:spcPct val="100000"/>
            </a:lnSpc>
            <a:spcBef>
              <a:spcPts val="40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8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Инфраструктура</a:t>
          </a:r>
          <a:endParaRPr lang="en-GB" sz="800">
            <a:solidFill>
              <a:schemeClr val="dk1"/>
            </a:solidFill>
            <a:effectLst/>
            <a:latin typeface="+mn-lt"/>
            <a:ea typeface="+mn-ea"/>
            <a:cs typeface="+mn-cs"/>
          </a:endParaRPr>
        </a:p>
        <a:p xmlns:a="http://schemas.openxmlformats.org/drawingml/2006/main">
          <a:pPr marL="144000" algn="r" hangingPunct="0">
            <a:spcBef>
              <a:spcPts val="400"/>
            </a:spcBef>
          </a:pPr>
          <a:r>
            <a:rPr lang="ru-RU" sz="8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Деятельность общего характера</a:t>
          </a:r>
          <a:endParaRPr lang="en-GB" sz="800">
            <a:solidFill>
              <a:schemeClr val="dk1"/>
            </a:solidFill>
            <a:effectLst/>
            <a:latin typeface="+mn-lt"/>
            <a:ea typeface="+mn-ea"/>
            <a:cs typeface="+mn-cs"/>
          </a:endParaRPr>
        </a:p>
        <a:p xmlns:a="http://schemas.openxmlformats.org/drawingml/2006/main">
          <a:pPr marL="144000" algn="r" hangingPunct="0">
            <a:spcBef>
              <a:spcPts val="400"/>
            </a:spcBef>
          </a:pPr>
          <a:r>
            <a:rPr lang="ru-RU" sz="8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Приложения ИКТ</a:t>
          </a:r>
          <a:endParaRPr lang="en-GB" sz="800">
            <a:solidFill>
              <a:schemeClr val="dk1"/>
            </a:solidFill>
            <a:effectLst/>
            <a:latin typeface="+mn-lt"/>
            <a:ea typeface="+mn-ea"/>
            <a:cs typeface="+mn-cs"/>
          </a:endParaRPr>
        </a:p>
        <a:p xmlns:a="http://schemas.openxmlformats.org/drawingml/2006/main">
          <a:pPr marL="144000" algn="r">
            <a:spcBef>
              <a:spcPts val="400"/>
            </a:spcBef>
          </a:pPr>
          <a:r>
            <a:rPr lang="ru-RU" sz="80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Создание потенциала</a:t>
          </a:r>
          <a:endParaRPr lang="en-GB" sz="8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15967-7814-4988-8CF8-5A58A01F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Maloletkova, Svetlana</dc:creator>
  <cp:keywords/>
  <dc:description/>
  <cp:lastModifiedBy>Fedosova, Elena</cp:lastModifiedBy>
  <cp:revision>8</cp:revision>
  <cp:lastPrinted>2018-03-02T07:58:00Z</cp:lastPrinted>
  <dcterms:created xsi:type="dcterms:W3CDTF">2018-02-27T09:23:00Z</dcterms:created>
  <dcterms:modified xsi:type="dcterms:W3CDTF">2018-03-02T09:58:00Z</dcterms:modified>
</cp:coreProperties>
</file>