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86088A">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bookmarkStart w:id="0" w:name="_GoBack"/>
            <w:bookmarkEnd w:id="0"/>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1" w:name="ditulogo"/>
            <w:bookmarkEnd w:id="1"/>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2"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3" w:name="dnum" w:colFirst="1" w:colLast="1"/>
            <w:bookmarkStart w:id="4" w:name="dmeeting" w:colFirst="0" w:colLast="0"/>
            <w:bookmarkEnd w:id="2"/>
          </w:p>
        </w:tc>
        <w:tc>
          <w:tcPr>
            <w:tcW w:w="3227" w:type="dxa"/>
          </w:tcPr>
          <w:p w:rsidR="00D83BF5" w:rsidRPr="00E07105" w:rsidRDefault="00BA5AAB" w:rsidP="001B445D">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5" w:name="DocRef1"/>
            <w:bookmarkEnd w:id="5"/>
            <w:r w:rsidR="001E252D">
              <w:rPr>
                <w:b/>
                <w:bCs/>
                <w:szCs w:val="24"/>
                <w:lang w:val="es-ES_tradnl"/>
              </w:rPr>
              <w:t>TDAG-18</w:t>
            </w:r>
            <w:r w:rsidR="00D83BF5" w:rsidRPr="00147DA1">
              <w:rPr>
                <w:b/>
                <w:bCs/>
                <w:szCs w:val="24"/>
                <w:lang w:val="es-ES_tradnl"/>
              </w:rPr>
              <w:t>/</w:t>
            </w:r>
            <w:r w:rsidR="001B445D">
              <w:rPr>
                <w:b/>
                <w:bCs/>
                <w:szCs w:val="24"/>
                <w:lang w:val="es-ES_tradnl"/>
              </w:rPr>
              <w:t>21</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rsidR="00D83BF5" w:rsidRPr="00D96B4B" w:rsidRDefault="00D25C8A" w:rsidP="001B445D">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CE03C2">
              <w:rPr>
                <w:b/>
                <w:bCs/>
                <w:szCs w:val="24"/>
                <w:lang w:val="fr-FR" w:eastAsia="zh-CN"/>
              </w:rPr>
              <w:t>2</w:t>
            </w:r>
            <w:r w:rsidR="00BA5AAB">
              <w:rPr>
                <w:b/>
                <w:bCs/>
                <w:szCs w:val="24"/>
                <w:lang w:val="fr-FR" w:eastAsia="zh-CN"/>
              </w:rPr>
              <w:t>月</w:t>
            </w:r>
            <w:r w:rsidR="00CE03C2">
              <w:rPr>
                <w:b/>
                <w:bCs/>
                <w:szCs w:val="24"/>
                <w:lang w:val="fr-FR" w:eastAsia="zh-CN"/>
              </w:rPr>
              <w:t>6</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r w:rsidRPr="00926865">
              <w:rPr>
                <w:rFonts w:hint="eastAsia"/>
              </w:rPr>
              <w:t>电</w:t>
            </w:r>
            <w:r w:rsidRPr="00926865">
              <w:t>信发展局主任</w:t>
            </w:r>
          </w:p>
        </w:tc>
      </w:tr>
      <w:tr w:rsidR="00D83BF5" w:rsidRPr="00C324A8" w:rsidTr="007F735C">
        <w:trPr>
          <w:cantSplit/>
          <w:trHeight w:val="23"/>
        </w:trPr>
        <w:tc>
          <w:tcPr>
            <w:tcW w:w="10031" w:type="dxa"/>
            <w:gridSpan w:val="2"/>
            <w:shd w:val="clear" w:color="auto" w:fill="auto"/>
            <w:vAlign w:val="center"/>
          </w:tcPr>
          <w:p w:rsidR="00D83BF5" w:rsidRDefault="001B445D" w:rsidP="007F735C">
            <w:pPr>
              <w:pStyle w:val="Title1"/>
              <w:spacing w:before="120" w:after="120"/>
              <w:rPr>
                <w:lang w:eastAsia="zh-CN"/>
              </w:rPr>
            </w:pPr>
            <w:r>
              <w:rPr>
                <w:lang w:eastAsia="zh-CN"/>
              </w:rPr>
              <w:t>ITU-D</w:t>
            </w:r>
            <w:r>
              <w:rPr>
                <w:rFonts w:hint="eastAsia"/>
                <w:lang w:eastAsia="zh-CN"/>
              </w:rPr>
              <w:t>的伙伴关系建设和资源筹措</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1B445D" w:rsidP="00AD192B">
            <w:pPr>
              <w:ind w:firstLineChars="200" w:firstLine="480"/>
              <w:rPr>
                <w:b/>
                <w:bCs/>
                <w:lang w:eastAsia="zh-CN"/>
              </w:rPr>
            </w:pPr>
            <w:r>
              <w:rPr>
                <w:szCs w:val="24"/>
                <w:lang w:eastAsia="zh-CN"/>
              </w:rPr>
              <w:t>201</w:t>
            </w:r>
            <w:r w:rsidR="00AD192B">
              <w:rPr>
                <w:szCs w:val="24"/>
                <w:lang w:eastAsia="zh-CN"/>
              </w:rPr>
              <w:t>7</w:t>
            </w:r>
            <w:r>
              <w:rPr>
                <w:rFonts w:hint="eastAsia"/>
                <w:szCs w:val="24"/>
                <w:lang w:eastAsia="zh-CN"/>
              </w:rPr>
              <w:t>年世界电信发展大会（</w:t>
            </w:r>
            <w:r>
              <w:rPr>
                <w:szCs w:val="24"/>
                <w:lang w:eastAsia="zh-CN"/>
              </w:rPr>
              <w:t>WTDC-1</w:t>
            </w:r>
            <w:r w:rsidR="00AD192B">
              <w:rPr>
                <w:szCs w:val="24"/>
                <w:lang w:eastAsia="zh-CN"/>
              </w:rPr>
              <w:t>7</w:t>
            </w:r>
            <w:r>
              <w:rPr>
                <w:rFonts w:hint="eastAsia"/>
                <w:szCs w:val="24"/>
                <w:lang w:eastAsia="zh-CN"/>
              </w:rPr>
              <w:t>）强调了伙伴关系和资源筹措的重要性。</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1B445D" w:rsidP="001B445D">
            <w:pPr>
              <w:ind w:firstLineChars="200" w:firstLine="480"/>
              <w:rPr>
                <w:b/>
                <w:bCs/>
                <w:lang w:eastAsia="zh-CN"/>
              </w:rPr>
            </w:pPr>
            <w:r>
              <w:rPr>
                <w:rFonts w:hint="eastAsia"/>
                <w:szCs w:val="24"/>
                <w:lang w:eastAsia="zh-CN"/>
              </w:rPr>
              <w:t>请电信发展顾问组（</w:t>
            </w:r>
            <w:r>
              <w:rPr>
                <w:szCs w:val="24"/>
                <w:lang w:eastAsia="zh-CN"/>
              </w:rPr>
              <w:t>TDAG</w:t>
            </w:r>
            <w:r>
              <w:rPr>
                <w:rFonts w:hint="eastAsia"/>
                <w:szCs w:val="24"/>
                <w:lang w:eastAsia="zh-CN"/>
              </w:rPr>
              <w:t>）将此报告记录在案并酌情提供指导。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AD192B" w:rsidRPr="00AD192B" w:rsidRDefault="00AD192B" w:rsidP="00BA5AAB">
            <w:pPr>
              <w:spacing w:after="120"/>
              <w:rPr>
                <w:szCs w:val="24"/>
                <w:lang w:eastAsia="zh-CN"/>
              </w:rPr>
            </w:pPr>
            <w:r w:rsidRPr="00AD192B">
              <w:rPr>
                <w:rFonts w:hint="eastAsia"/>
                <w:szCs w:val="24"/>
                <w:lang w:eastAsia="zh-CN"/>
              </w:rPr>
              <w:t>WTDC</w:t>
            </w:r>
            <w:r w:rsidRPr="00AD192B">
              <w:rPr>
                <w:szCs w:val="24"/>
                <w:lang w:eastAsia="zh-CN"/>
              </w:rPr>
              <w:t>-17</w:t>
            </w:r>
            <w:r w:rsidRPr="00AD192B">
              <w:rPr>
                <w:rFonts w:hint="eastAsia"/>
                <w:szCs w:val="24"/>
                <w:lang w:eastAsia="zh-CN"/>
              </w:rPr>
              <w:t>目标</w:t>
            </w:r>
            <w:r w:rsidRPr="00AD192B">
              <w:rPr>
                <w:rFonts w:hint="eastAsia"/>
                <w:szCs w:val="24"/>
                <w:lang w:eastAsia="zh-CN"/>
              </w:rPr>
              <w:t>4</w:t>
            </w:r>
            <w:r w:rsidRPr="00AD192B">
              <w:rPr>
                <w:rFonts w:hint="eastAsia"/>
                <w:szCs w:val="24"/>
                <w:lang w:eastAsia="zh-CN"/>
              </w:rPr>
              <w:t>、</w:t>
            </w:r>
            <w:r w:rsidRPr="00AD192B">
              <w:rPr>
                <w:szCs w:val="24"/>
                <w:lang w:eastAsia="zh-CN"/>
              </w:rPr>
              <w:t xml:space="preserve">WTDC-17 </w:t>
            </w:r>
            <w:r w:rsidRPr="00AD192B">
              <w:rPr>
                <w:rFonts w:hint="eastAsia"/>
                <w:szCs w:val="24"/>
                <w:lang w:eastAsia="zh-CN"/>
              </w:rPr>
              <w:t>输出成果</w:t>
            </w:r>
            <w:r w:rsidRPr="00AD192B">
              <w:rPr>
                <w:rFonts w:hint="eastAsia"/>
                <w:szCs w:val="24"/>
                <w:lang w:eastAsia="zh-CN"/>
              </w:rPr>
              <w:t xml:space="preserve"> </w:t>
            </w:r>
            <w:r w:rsidRPr="00AD192B">
              <w:rPr>
                <w:szCs w:val="24"/>
                <w:lang w:eastAsia="zh-CN"/>
              </w:rPr>
              <w:t>D.1.5</w:t>
            </w:r>
          </w:p>
          <w:p w:rsidR="001B445D" w:rsidRPr="00D9621A" w:rsidRDefault="001B445D" w:rsidP="001B445D">
            <w:pPr>
              <w:spacing w:after="120"/>
              <w:rPr>
                <w:lang w:eastAsia="zh-CN"/>
              </w:rPr>
            </w:pPr>
            <w:r>
              <w:rPr>
                <w:szCs w:val="24"/>
                <w:lang w:eastAsia="zh-CN"/>
              </w:rPr>
              <w:t>WTDC</w:t>
            </w:r>
            <w:r>
              <w:rPr>
                <w:rFonts w:hint="eastAsia"/>
                <w:szCs w:val="24"/>
                <w:lang w:eastAsia="zh-CN"/>
              </w:rPr>
              <w:t>第</w:t>
            </w:r>
            <w:r>
              <w:rPr>
                <w:szCs w:val="24"/>
                <w:lang w:eastAsia="zh-CN"/>
              </w:rPr>
              <w:t>17</w:t>
            </w:r>
            <w:r>
              <w:rPr>
                <w:rFonts w:hint="eastAsia"/>
                <w:szCs w:val="24"/>
                <w:lang w:eastAsia="zh-CN"/>
              </w:rPr>
              <w:t>号决议（</w:t>
            </w:r>
            <w:r>
              <w:rPr>
                <w:szCs w:val="24"/>
                <w:lang w:eastAsia="zh-CN"/>
              </w:rPr>
              <w:t>2014</w:t>
            </w:r>
            <w:r>
              <w:rPr>
                <w:rFonts w:hint="eastAsia"/>
                <w:szCs w:val="24"/>
                <w:lang w:eastAsia="zh-CN"/>
              </w:rPr>
              <w:t>年，布宜诺斯艾利斯，修订版）和</w:t>
            </w:r>
            <w:r>
              <w:rPr>
                <w:szCs w:val="24"/>
                <w:lang w:eastAsia="zh-CN"/>
              </w:rPr>
              <w:t>WTDC</w:t>
            </w:r>
            <w:r>
              <w:rPr>
                <w:rFonts w:hint="eastAsia"/>
                <w:szCs w:val="24"/>
                <w:lang w:eastAsia="zh-CN"/>
              </w:rPr>
              <w:t>第</w:t>
            </w:r>
            <w:r>
              <w:rPr>
                <w:szCs w:val="24"/>
                <w:lang w:eastAsia="zh-CN"/>
              </w:rPr>
              <w:t>71</w:t>
            </w:r>
            <w:r>
              <w:rPr>
                <w:rFonts w:hint="eastAsia"/>
                <w:szCs w:val="24"/>
                <w:lang w:eastAsia="zh-CN"/>
              </w:rPr>
              <w:t>号决议（</w:t>
            </w:r>
            <w:r>
              <w:rPr>
                <w:szCs w:val="24"/>
                <w:lang w:eastAsia="zh-CN"/>
              </w:rPr>
              <w:t>2014</w:t>
            </w:r>
            <w:r>
              <w:rPr>
                <w:rFonts w:hint="eastAsia"/>
                <w:szCs w:val="24"/>
                <w:lang w:eastAsia="zh-CN"/>
              </w:rPr>
              <w:t>年，布宜诺斯艾利斯，修订版）。</w:t>
            </w:r>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1B445D" w:rsidRDefault="001B445D" w:rsidP="001B445D">
      <w:pPr>
        <w:pStyle w:val="Heading1"/>
        <w:rPr>
          <w:szCs w:val="28"/>
          <w:lang w:eastAsia="zh-CN"/>
        </w:rPr>
      </w:pPr>
      <w:r>
        <w:rPr>
          <w:szCs w:val="28"/>
          <w:lang w:eastAsia="zh-CN"/>
        </w:rPr>
        <w:t>1</w:t>
      </w:r>
      <w:r>
        <w:rPr>
          <w:szCs w:val="28"/>
          <w:lang w:eastAsia="zh-CN"/>
        </w:rPr>
        <w:tab/>
      </w:r>
      <w:r>
        <w:rPr>
          <w:rFonts w:hint="eastAsia"/>
          <w:szCs w:val="28"/>
          <w:lang w:eastAsia="zh-CN"/>
        </w:rPr>
        <w:t>背景</w:t>
      </w:r>
    </w:p>
    <w:p w:rsidR="001B445D" w:rsidRDefault="00F303E2" w:rsidP="00A30D88">
      <w:pPr>
        <w:ind w:firstLineChars="200" w:firstLine="480"/>
        <w:rPr>
          <w:lang w:val="en-US" w:eastAsia="zh-CN"/>
        </w:rPr>
      </w:pPr>
      <w:bookmarkStart w:id="10" w:name="lt_pId031"/>
      <w:r>
        <w:rPr>
          <w:rFonts w:hint="eastAsia"/>
          <w:lang w:val="en-US" w:eastAsia="zh-CN"/>
        </w:rPr>
        <w:t>为支持</w:t>
      </w:r>
      <w:r>
        <w:rPr>
          <w:lang w:val="en-US" w:eastAsia="zh-CN"/>
        </w:rPr>
        <w:t>落实《</w:t>
      </w:r>
      <w:r>
        <w:rPr>
          <w:rFonts w:hint="eastAsia"/>
          <w:lang w:val="en-US" w:eastAsia="zh-CN"/>
        </w:rPr>
        <w:t>布</w:t>
      </w:r>
      <w:r>
        <w:rPr>
          <w:lang w:val="en-US" w:eastAsia="zh-CN"/>
        </w:rPr>
        <w:t>宜诺斯艾利斯行动计划》</w:t>
      </w:r>
      <w:r>
        <w:rPr>
          <w:rFonts w:hint="eastAsia"/>
          <w:lang w:val="en-US" w:eastAsia="zh-CN"/>
        </w:rPr>
        <w:t>、</w:t>
      </w:r>
      <w:r>
        <w:rPr>
          <w:lang w:val="en-US" w:eastAsia="zh-CN"/>
        </w:rPr>
        <w:t>信息社会世界峰会（</w:t>
      </w:r>
      <w:r>
        <w:rPr>
          <w:lang w:val="en-US" w:eastAsia="zh-CN"/>
        </w:rPr>
        <w:t>WSIS</w:t>
      </w:r>
      <w:r>
        <w:rPr>
          <w:lang w:val="en-US" w:eastAsia="zh-CN"/>
        </w:rPr>
        <w:t>）各</w:t>
      </w:r>
      <w:r>
        <w:rPr>
          <w:rFonts w:hint="eastAsia"/>
          <w:lang w:val="en-US" w:eastAsia="zh-CN"/>
        </w:rPr>
        <w:t>行动方面、电信发展局开展的活动及项目和区域性举措，</w:t>
      </w:r>
      <w:r w:rsidR="001B445D">
        <w:rPr>
          <w:lang w:val="en-US" w:eastAsia="zh-CN"/>
        </w:rPr>
        <w:t>2017</w:t>
      </w:r>
      <w:r w:rsidR="006F7FAE">
        <w:rPr>
          <w:rFonts w:hint="eastAsia"/>
          <w:lang w:val="en-US" w:eastAsia="zh-CN"/>
        </w:rPr>
        <w:t>年</w:t>
      </w:r>
      <w:r w:rsidR="006F7FAE">
        <w:rPr>
          <w:lang w:val="en-US" w:eastAsia="zh-CN"/>
        </w:rPr>
        <w:t>世界</w:t>
      </w:r>
      <w:r w:rsidR="006F7FAE">
        <w:rPr>
          <w:rFonts w:hint="eastAsia"/>
          <w:lang w:val="en-US" w:eastAsia="zh-CN"/>
        </w:rPr>
        <w:t>电</w:t>
      </w:r>
      <w:r w:rsidR="006F7FAE">
        <w:rPr>
          <w:lang w:val="en-US" w:eastAsia="zh-CN"/>
        </w:rPr>
        <w:t>信发展大会（</w:t>
      </w:r>
      <w:r w:rsidR="001B445D">
        <w:rPr>
          <w:lang w:val="en-US" w:eastAsia="zh-CN"/>
        </w:rPr>
        <w:t>WTDC-17</w:t>
      </w:r>
      <w:r w:rsidR="006F7FAE">
        <w:rPr>
          <w:rFonts w:hint="eastAsia"/>
          <w:lang w:val="en-US" w:eastAsia="zh-CN"/>
        </w:rPr>
        <w:t>）</w:t>
      </w:r>
      <w:r w:rsidR="00AD192B">
        <w:rPr>
          <w:rFonts w:hint="eastAsia"/>
          <w:lang w:val="en-US" w:eastAsia="zh-CN"/>
        </w:rPr>
        <w:t>强调</w:t>
      </w:r>
      <w:r w:rsidR="006F7FAE">
        <w:rPr>
          <w:lang w:val="en-US" w:eastAsia="zh-CN"/>
        </w:rPr>
        <w:t>了伙伴关系</w:t>
      </w:r>
      <w:r>
        <w:rPr>
          <w:rFonts w:hint="eastAsia"/>
          <w:lang w:val="en-US" w:eastAsia="zh-CN"/>
        </w:rPr>
        <w:t>、协</w:t>
      </w:r>
      <w:r w:rsidR="006F7FAE">
        <w:rPr>
          <w:lang w:val="en-US" w:eastAsia="zh-CN"/>
        </w:rPr>
        <w:t>作以及资源筹措的关键</w:t>
      </w:r>
      <w:r w:rsidR="006F7FAE">
        <w:rPr>
          <w:rFonts w:hint="eastAsia"/>
          <w:lang w:val="en-US" w:eastAsia="zh-CN"/>
        </w:rPr>
        <w:t>作用</w:t>
      </w:r>
      <w:r w:rsidR="006F7FAE">
        <w:rPr>
          <w:lang w:val="en-US" w:eastAsia="zh-CN"/>
        </w:rPr>
        <w:t>。</w:t>
      </w:r>
      <w:bookmarkStart w:id="11" w:name="lt_pId032"/>
      <w:bookmarkEnd w:id="10"/>
      <w:r w:rsidR="001B445D">
        <w:rPr>
          <w:lang w:val="en-US" w:eastAsia="zh-CN"/>
        </w:rPr>
        <w:t>WTDC-17</w:t>
      </w:r>
      <w:r w:rsidR="006F7FAE">
        <w:rPr>
          <w:rFonts w:hint="eastAsia"/>
          <w:lang w:val="en-US" w:eastAsia="zh-CN"/>
        </w:rPr>
        <w:t>行动</w:t>
      </w:r>
      <w:r w:rsidR="006F7FAE">
        <w:rPr>
          <w:lang w:val="en-US" w:eastAsia="zh-CN"/>
        </w:rPr>
        <w:t>计划</w:t>
      </w:r>
      <w:r>
        <w:rPr>
          <w:rFonts w:hint="eastAsia"/>
          <w:lang w:val="en-US" w:eastAsia="zh-CN"/>
        </w:rPr>
        <w:t>表明</w:t>
      </w:r>
      <w:r w:rsidR="006F7FAE">
        <w:rPr>
          <w:lang w:val="en-US" w:eastAsia="zh-CN"/>
        </w:rPr>
        <w:t>，在可能的情况下，应通过与其它组织和利益攸关方（包括部门成员、学术界、非</w:t>
      </w:r>
      <w:r w:rsidR="006F7FAE">
        <w:rPr>
          <w:rFonts w:hint="eastAsia"/>
          <w:lang w:val="en-US" w:eastAsia="zh-CN"/>
        </w:rPr>
        <w:t>政府</w:t>
      </w:r>
      <w:r w:rsidR="006F7FAE">
        <w:rPr>
          <w:lang w:val="en-US" w:eastAsia="zh-CN"/>
        </w:rPr>
        <w:t>组织、其它联合国机构和网络）的合作实施各项目，以便充分利用根据各项目开发的产品和服务产生的影响，</w:t>
      </w:r>
      <w:r w:rsidR="00A30D88" w:rsidRPr="00C94C59">
        <w:rPr>
          <w:rFonts w:ascii="SimSun" w:eastAsia="SimSun" w:hAnsi="SimSun"/>
          <w:lang w:val="en-US" w:eastAsia="zh-CN"/>
        </w:rPr>
        <w:t>“</w:t>
      </w:r>
      <w:r w:rsidR="00A30D88">
        <w:rPr>
          <w:lang w:val="en-US" w:eastAsia="zh-CN"/>
        </w:rPr>
        <w:t>……</w:t>
      </w:r>
      <w:r w:rsidR="00A30D88">
        <w:rPr>
          <w:lang w:val="en-US" w:eastAsia="zh-CN"/>
        </w:rPr>
        <w:t>各</w:t>
      </w:r>
      <w:r w:rsidR="006F7FAE">
        <w:rPr>
          <w:lang w:val="en-US" w:eastAsia="zh-CN"/>
        </w:rPr>
        <w:t>区域性举措则</w:t>
      </w:r>
      <w:r w:rsidR="00AD192B">
        <w:rPr>
          <w:rFonts w:hint="eastAsia"/>
          <w:lang w:val="en-US" w:eastAsia="zh-CN"/>
        </w:rPr>
        <w:t>旨在</w:t>
      </w:r>
      <w:r w:rsidR="00AD192B">
        <w:rPr>
          <w:lang w:val="en-US" w:eastAsia="zh-CN"/>
        </w:rPr>
        <w:t>解决</w:t>
      </w:r>
      <w:r w:rsidR="006F7FAE">
        <w:rPr>
          <w:lang w:val="en-US" w:eastAsia="zh-CN"/>
        </w:rPr>
        <w:t>具体的电信</w:t>
      </w:r>
      <w:r w:rsidR="006F7FAE">
        <w:rPr>
          <w:rFonts w:hint="eastAsia"/>
          <w:lang w:val="en-US" w:eastAsia="zh-CN"/>
        </w:rPr>
        <w:t>/</w:t>
      </w:r>
      <w:r w:rsidR="006F7FAE">
        <w:rPr>
          <w:lang w:val="en-US" w:eastAsia="zh-CN"/>
        </w:rPr>
        <w:t>ICT</w:t>
      </w:r>
      <w:r w:rsidR="006F7FAE">
        <w:rPr>
          <w:lang w:val="en-US" w:eastAsia="zh-CN"/>
        </w:rPr>
        <w:t>优先</w:t>
      </w:r>
      <w:r w:rsidR="00AD192B">
        <w:rPr>
          <w:rFonts w:hint="eastAsia"/>
          <w:lang w:val="en-US" w:eastAsia="zh-CN"/>
        </w:rPr>
        <w:t>问题</w:t>
      </w:r>
      <w:r w:rsidR="006F7FAE">
        <w:rPr>
          <w:lang w:val="en-US" w:eastAsia="zh-CN"/>
        </w:rPr>
        <w:t>，通过伙伴关系和资源筹措实施项目。</w:t>
      </w:r>
      <w:bookmarkEnd w:id="11"/>
      <w:r w:rsidR="00A30D88" w:rsidRPr="00C94C59">
        <w:rPr>
          <w:rFonts w:ascii="SimSun" w:eastAsia="SimSun" w:hAnsi="SimSun"/>
          <w:lang w:val="en-US" w:eastAsia="zh-CN"/>
        </w:rPr>
        <w:t>”</w:t>
      </w:r>
    </w:p>
    <w:p w:rsidR="001B445D" w:rsidRDefault="00AD192B" w:rsidP="00BF66AB">
      <w:pPr>
        <w:pStyle w:val="Default"/>
        <w:spacing w:before="120"/>
        <w:ind w:firstLineChars="200" w:firstLine="480"/>
        <w:rPr>
          <w:rFonts w:ascii="SimSun" w:eastAsia="SimSun" w:cs="SimSun"/>
          <w:sz w:val="18"/>
          <w:szCs w:val="18"/>
        </w:rPr>
      </w:pPr>
      <w:r>
        <w:rPr>
          <w:rFonts w:hint="eastAsia"/>
        </w:rPr>
        <w:t>输出</w:t>
      </w:r>
      <w:r>
        <w:t>成果</w:t>
      </w:r>
      <w:r w:rsidR="00BF66AB">
        <w:rPr>
          <w:rFonts w:hint="eastAsia"/>
        </w:rPr>
        <w:t>D.1.</w:t>
      </w:r>
      <w:r w:rsidR="00BF66AB">
        <w:t>5</w:t>
      </w:r>
      <w:r w:rsidR="00D91F9F">
        <w:rPr>
          <w:rFonts w:hint="eastAsia"/>
        </w:rPr>
        <w:t>说明了“</w:t>
      </w:r>
      <w:r w:rsidR="00D91F9F">
        <w:t>……</w:t>
      </w:r>
      <w:r w:rsidR="001B445D">
        <w:t>按照国际电联相关成员国的要求，为就电信</w:t>
      </w:r>
      <w:r w:rsidR="001B445D" w:rsidRPr="00BF66AB">
        <w:t>/ICT</w:t>
      </w:r>
      <w:r w:rsidR="001B445D" w:rsidRPr="00BF66AB">
        <w:rPr>
          <w:rFonts w:ascii="SimSun" w:eastAsia="SimSun" w:cs="SimSun" w:hint="eastAsia"/>
        </w:rPr>
        <w:t>发展项目开展合作，促进在成员国之间、成员国和</w:t>
      </w:r>
      <w:r w:rsidR="001B445D" w:rsidRPr="00BF66AB">
        <w:rPr>
          <w:rFonts w:eastAsia="SimSun"/>
        </w:rPr>
        <w:t>ICT</w:t>
      </w:r>
      <w:r w:rsidR="001B445D" w:rsidRPr="00BF66AB">
        <w:rPr>
          <w:rFonts w:ascii="SimSun" w:eastAsia="SimSun" w:cs="SimSun" w:hint="eastAsia"/>
        </w:rPr>
        <w:t>生态系统内其他利益攸关方之间达成协议</w:t>
      </w:r>
      <w:r w:rsidR="00D91F9F">
        <w:rPr>
          <w:rFonts w:ascii="SimSun" w:eastAsia="SimSun" w:cs="SimSun" w:hint="eastAsia"/>
        </w:rPr>
        <w:t>”的重要性</w:t>
      </w:r>
      <w:r w:rsidR="001B445D" w:rsidRPr="00BF66AB">
        <w:rPr>
          <w:rFonts w:ascii="SimSun" w:eastAsia="SimSun" w:cs="SimSun" w:hint="eastAsia"/>
        </w:rPr>
        <w:t>。</w:t>
      </w:r>
      <w:r w:rsidR="001B445D" w:rsidRPr="00BF66AB">
        <w:rPr>
          <w:rFonts w:ascii="SimSun" w:eastAsia="SimSun" w:cs="SimSun"/>
        </w:rPr>
        <w:t xml:space="preserve"> </w:t>
      </w:r>
    </w:p>
    <w:p w:rsidR="00BF66AB" w:rsidRDefault="006F7FAE" w:rsidP="00BF66AB">
      <w:pPr>
        <w:ind w:firstLineChars="200" w:firstLine="480"/>
        <w:rPr>
          <w:lang w:val="en-US" w:eastAsia="zh-CN"/>
        </w:rPr>
      </w:pPr>
      <w:bookmarkStart w:id="12" w:name="lt_pId034"/>
      <w:r>
        <w:rPr>
          <w:rFonts w:hint="eastAsia"/>
          <w:lang w:val="en-US" w:eastAsia="zh-CN"/>
        </w:rPr>
        <w:t>第</w:t>
      </w:r>
      <w:r>
        <w:rPr>
          <w:rFonts w:hint="eastAsia"/>
          <w:lang w:val="en-US" w:eastAsia="zh-CN"/>
        </w:rPr>
        <w:t>17</w:t>
      </w:r>
      <w:r>
        <w:rPr>
          <w:rFonts w:hint="eastAsia"/>
          <w:lang w:val="en-US" w:eastAsia="zh-CN"/>
        </w:rPr>
        <w:t>号</w:t>
      </w:r>
      <w:r>
        <w:rPr>
          <w:lang w:val="en-US" w:eastAsia="zh-CN"/>
        </w:rPr>
        <w:t>决议做出决议，</w:t>
      </w:r>
      <w:r w:rsidR="00C94C59" w:rsidRPr="00C94C59">
        <w:rPr>
          <w:rFonts w:ascii="SimSun" w:eastAsia="SimSun" w:hAnsi="SimSun"/>
          <w:lang w:val="en-US" w:eastAsia="zh-CN"/>
        </w:rPr>
        <w:t>“</w:t>
      </w:r>
      <w:r w:rsidR="00BF66AB" w:rsidRPr="00C26365">
        <w:rPr>
          <w:rFonts w:cstheme="minorHAnsi" w:hint="eastAsia"/>
          <w:lang w:eastAsia="zh-CN"/>
        </w:rPr>
        <w:t>电信发展局</w:t>
      </w:r>
      <w:r w:rsidR="00BF66AB" w:rsidRPr="00C26365">
        <w:rPr>
          <w:rFonts w:cstheme="minorHAnsi"/>
          <w:lang w:eastAsia="zh-CN"/>
        </w:rPr>
        <w:t>继续</w:t>
      </w:r>
      <w:r w:rsidR="00BF66AB" w:rsidRPr="00C26365">
        <w:rPr>
          <w:rFonts w:cstheme="minorHAnsi" w:hint="eastAsia"/>
          <w:lang w:eastAsia="zh-CN"/>
        </w:rPr>
        <w:t>积极</w:t>
      </w:r>
      <w:r w:rsidR="00BF66AB" w:rsidRPr="00C26365">
        <w:rPr>
          <w:rFonts w:cstheme="minorHAnsi"/>
          <w:lang w:eastAsia="zh-CN"/>
        </w:rPr>
        <w:t>与成员国、</w:t>
      </w:r>
      <w:r w:rsidR="00BF66AB" w:rsidRPr="00C26365">
        <w:rPr>
          <w:rFonts w:cstheme="minorHAnsi"/>
          <w:lang w:eastAsia="zh-CN"/>
        </w:rPr>
        <w:t>ITU-D</w:t>
      </w:r>
      <w:r w:rsidR="00BF66AB" w:rsidRPr="00C26365">
        <w:rPr>
          <w:rFonts w:cstheme="minorHAnsi"/>
          <w:lang w:eastAsia="zh-CN"/>
        </w:rPr>
        <w:t>部门成员、金融机构和国际组织结成伙伴关系，以便资助这些举措活动的实施；</w:t>
      </w:r>
      <w:r w:rsidR="00C94C59" w:rsidRPr="00C94C59">
        <w:rPr>
          <w:rFonts w:ascii="SimSun" w:eastAsia="SimSun" w:hAnsi="SimSun"/>
          <w:lang w:val="en-US" w:eastAsia="zh-CN"/>
        </w:rPr>
        <w:t>”</w:t>
      </w:r>
      <w:r w:rsidR="00AD192B">
        <w:rPr>
          <w:rFonts w:ascii="SimSun" w:eastAsia="SimSun" w:hAnsi="SimSun" w:hint="eastAsia"/>
          <w:lang w:val="en-US" w:eastAsia="zh-CN"/>
        </w:rPr>
        <w:t>同时</w:t>
      </w:r>
      <w:r>
        <w:rPr>
          <w:rFonts w:hint="eastAsia"/>
          <w:lang w:val="en-US" w:eastAsia="zh-CN"/>
        </w:rPr>
        <w:t>呼吁</w:t>
      </w:r>
      <w:r w:rsidR="00C94C59" w:rsidRPr="00C94C59">
        <w:rPr>
          <w:rFonts w:ascii="SimSun" w:eastAsia="SimSun" w:hAnsi="SimSun"/>
          <w:lang w:val="en-US" w:eastAsia="zh-CN"/>
        </w:rPr>
        <w:t>“</w:t>
      </w:r>
      <w:r w:rsidR="00BF66AB" w:rsidRPr="00C26365">
        <w:rPr>
          <w:rFonts w:cstheme="minorHAnsi"/>
          <w:lang w:eastAsia="zh-CN"/>
        </w:rPr>
        <w:t>国际金融组织</w:t>
      </w:r>
      <w:r w:rsidR="00BF66AB" w:rsidRPr="00C26365">
        <w:rPr>
          <w:rFonts w:cstheme="minorHAnsi"/>
          <w:lang w:eastAsia="zh-CN"/>
        </w:rPr>
        <w:t>/</w:t>
      </w:r>
      <w:r w:rsidR="00BF66AB" w:rsidRPr="00C26365">
        <w:rPr>
          <w:rFonts w:cstheme="minorHAnsi"/>
          <w:lang w:eastAsia="zh-CN"/>
        </w:rPr>
        <w:t>机构、设备供应商和运营商</w:t>
      </w:r>
      <w:r w:rsidR="00BF66AB" w:rsidRPr="00C26365">
        <w:rPr>
          <w:rFonts w:cstheme="minorHAnsi"/>
          <w:lang w:eastAsia="zh-CN"/>
        </w:rPr>
        <w:t>/</w:t>
      </w:r>
      <w:r w:rsidR="00BF66AB" w:rsidRPr="00C26365">
        <w:rPr>
          <w:rFonts w:cstheme="minorHAnsi"/>
          <w:lang w:eastAsia="zh-CN"/>
        </w:rPr>
        <w:t>业务提供商全面或部分资助这些区域批准的举措，</w:t>
      </w:r>
      <w:bookmarkEnd w:id="12"/>
    </w:p>
    <w:p w:rsidR="00BF66AB" w:rsidRDefault="006F7FAE" w:rsidP="007A7A70">
      <w:pPr>
        <w:rPr>
          <w:lang w:val="en-US" w:eastAsia="zh-CN"/>
        </w:rPr>
      </w:pPr>
      <w:bookmarkStart w:id="13" w:name="lt_pId035"/>
      <w:r>
        <w:rPr>
          <w:rFonts w:hint="eastAsia"/>
          <w:lang w:val="en-US" w:eastAsia="zh-CN"/>
        </w:rPr>
        <w:lastRenderedPageBreak/>
        <w:t>第</w:t>
      </w:r>
      <w:r>
        <w:rPr>
          <w:rFonts w:hint="eastAsia"/>
          <w:lang w:val="en-US" w:eastAsia="zh-CN"/>
        </w:rPr>
        <w:t>71</w:t>
      </w:r>
      <w:r>
        <w:rPr>
          <w:rFonts w:hint="eastAsia"/>
          <w:lang w:val="en-US" w:eastAsia="zh-CN"/>
        </w:rPr>
        <w:t>号</w:t>
      </w:r>
      <w:r>
        <w:rPr>
          <w:lang w:val="en-US" w:eastAsia="zh-CN"/>
        </w:rPr>
        <w:t>决议认识，</w:t>
      </w:r>
      <w:r w:rsidR="00C94C59" w:rsidRPr="00C94C59">
        <w:rPr>
          <w:rFonts w:ascii="SimSun" w:eastAsia="SimSun" w:hAnsi="SimSun"/>
          <w:lang w:val="en-US" w:eastAsia="zh-CN"/>
        </w:rPr>
        <w:t>“</w:t>
      </w:r>
      <w:r w:rsidR="007A7A70" w:rsidRPr="004F0D73">
        <w:rPr>
          <w:rFonts w:cstheme="minorHAnsi"/>
          <w:lang w:eastAsia="zh-CN"/>
        </w:rPr>
        <w:t>公有和私营部门之间，包括国际电联与国家、区域性、国际和政府间组织等其他实体之间酌情建立的合作伙伴关系，继续是实现可持续电信</w:t>
      </w:r>
      <w:r w:rsidR="007A7A70" w:rsidRPr="004F0D73">
        <w:rPr>
          <w:rFonts w:cstheme="minorHAnsi"/>
          <w:lang w:eastAsia="zh-CN"/>
        </w:rPr>
        <w:t>/</w:t>
      </w:r>
      <w:r w:rsidR="007A7A70" w:rsidRPr="004F0D73">
        <w:rPr>
          <w:rFonts w:cstheme="minorHAnsi"/>
          <w:lang w:eastAsia="zh-CN"/>
        </w:rPr>
        <w:t>信息通信技术（</w:t>
      </w:r>
      <w:r w:rsidR="007A7A70" w:rsidRPr="004F0D73">
        <w:rPr>
          <w:rFonts w:cstheme="minorHAnsi"/>
          <w:lang w:eastAsia="zh-CN"/>
        </w:rPr>
        <w:t>ICT</w:t>
      </w:r>
      <w:r w:rsidR="007A7A70" w:rsidRPr="004F0D73">
        <w:rPr>
          <w:rFonts w:cstheme="minorHAnsi"/>
          <w:lang w:eastAsia="zh-CN"/>
        </w:rPr>
        <w:t>）发展的关键；</w:t>
      </w:r>
      <w:bookmarkEnd w:id="13"/>
    </w:p>
    <w:p w:rsidR="001B445D" w:rsidRDefault="001B445D" w:rsidP="006F7FAE">
      <w:pPr>
        <w:pStyle w:val="Heading1"/>
        <w:rPr>
          <w:rFonts w:cs="Calibri"/>
          <w:lang w:eastAsia="zh-CN"/>
        </w:rPr>
      </w:pPr>
      <w:r>
        <w:rPr>
          <w:rFonts w:hint="eastAsia"/>
          <w:szCs w:val="28"/>
          <w:lang w:eastAsia="zh-CN"/>
        </w:rPr>
        <w:t>2</w:t>
      </w:r>
      <w:r>
        <w:rPr>
          <w:rFonts w:hint="eastAsia"/>
          <w:szCs w:val="28"/>
          <w:lang w:eastAsia="zh-CN"/>
        </w:rPr>
        <w:tab/>
      </w:r>
      <w:r w:rsidR="006F7FAE">
        <w:rPr>
          <w:rFonts w:cs="Calibri" w:hint="eastAsia"/>
          <w:lang w:eastAsia="zh-CN"/>
        </w:rPr>
        <w:t>战略</w:t>
      </w:r>
      <w:r w:rsidR="006F7FAE">
        <w:rPr>
          <w:rFonts w:cs="Calibri"/>
          <w:lang w:eastAsia="zh-CN"/>
        </w:rPr>
        <w:t>目标</w:t>
      </w:r>
    </w:p>
    <w:p w:rsidR="008C03EA" w:rsidRPr="008C03EA" w:rsidRDefault="00492ACB" w:rsidP="00FA7431">
      <w:pPr>
        <w:ind w:firstLineChars="200" w:firstLine="484"/>
        <w:rPr>
          <w:lang w:eastAsia="zh-CN"/>
        </w:rPr>
      </w:pPr>
      <w:r>
        <w:rPr>
          <w:rFonts w:hint="eastAsia"/>
          <w:spacing w:val="2"/>
          <w:lang w:eastAsia="zh-CN"/>
        </w:rPr>
        <w:t>根据</w:t>
      </w:r>
      <w:r>
        <w:rPr>
          <w:spacing w:val="2"/>
          <w:lang w:eastAsia="zh-CN"/>
        </w:rPr>
        <w:t>WTDC-17</w:t>
      </w:r>
      <w:r>
        <w:rPr>
          <w:rFonts w:hint="eastAsia"/>
          <w:spacing w:val="2"/>
          <w:lang w:eastAsia="zh-CN"/>
        </w:rPr>
        <w:t>的</w:t>
      </w:r>
      <w:r>
        <w:rPr>
          <w:spacing w:val="2"/>
          <w:lang w:eastAsia="zh-CN"/>
        </w:rPr>
        <w:t>输出成果，</w:t>
      </w:r>
      <w:r>
        <w:rPr>
          <w:rFonts w:hint="eastAsia"/>
          <w:spacing w:val="2"/>
          <w:lang w:eastAsia="zh-CN"/>
        </w:rPr>
        <w:t>目标</w:t>
      </w:r>
      <w:r>
        <w:rPr>
          <w:spacing w:val="2"/>
          <w:lang w:eastAsia="zh-CN"/>
        </w:rPr>
        <w:t>确定为</w:t>
      </w:r>
      <w:r>
        <w:rPr>
          <w:rFonts w:hint="eastAsia"/>
          <w:spacing w:val="2"/>
          <w:lang w:eastAsia="zh-CN"/>
        </w:rPr>
        <w:t>推进</w:t>
      </w:r>
      <w:r w:rsidR="008C03EA" w:rsidRPr="000F3BC3">
        <w:rPr>
          <w:rFonts w:hint="eastAsia"/>
          <w:lang w:eastAsia="zh-CN"/>
        </w:rPr>
        <w:t>与</w:t>
      </w:r>
      <w:r w:rsidR="008C03EA">
        <w:rPr>
          <w:rFonts w:hint="eastAsia"/>
          <w:lang w:eastAsia="zh-CN"/>
        </w:rPr>
        <w:t>包括其它</w:t>
      </w:r>
      <w:r w:rsidR="008C03EA" w:rsidRPr="000F3BC3">
        <w:rPr>
          <w:rFonts w:hint="eastAsia"/>
          <w:lang w:eastAsia="zh-CN"/>
        </w:rPr>
        <w:t>联合国机构、国际和区域性组织、</w:t>
      </w:r>
      <w:r w:rsidR="008C03EA">
        <w:rPr>
          <w:rFonts w:hint="eastAsia"/>
          <w:lang w:eastAsia="zh-CN"/>
        </w:rPr>
        <w:t>来自</w:t>
      </w:r>
      <w:r w:rsidR="008C03EA" w:rsidRPr="000F3BC3">
        <w:rPr>
          <w:rFonts w:hint="eastAsia"/>
          <w:lang w:eastAsia="zh-CN"/>
        </w:rPr>
        <w:t>发达国家</w:t>
      </w:r>
      <w:r w:rsidR="008C03EA">
        <w:rPr>
          <w:rFonts w:hint="eastAsia"/>
          <w:lang w:eastAsia="zh-CN"/>
        </w:rPr>
        <w:t>和</w:t>
      </w:r>
      <w:r w:rsidR="008C03EA" w:rsidRPr="000F3BC3">
        <w:rPr>
          <w:rFonts w:hint="eastAsia"/>
          <w:lang w:eastAsia="zh-CN"/>
        </w:rPr>
        <w:t>发展中国家</w:t>
      </w:r>
      <w:r>
        <w:rPr>
          <w:rStyle w:val="FootnoteReference"/>
          <w:lang w:eastAsia="zh-CN"/>
        </w:rPr>
        <w:t xml:space="preserve"> </w:t>
      </w:r>
      <w:r w:rsidR="008C03EA" w:rsidRPr="000F3BC3">
        <w:rPr>
          <w:rFonts w:hint="eastAsia"/>
          <w:lang w:eastAsia="zh-CN"/>
        </w:rPr>
        <w:t>的</w:t>
      </w:r>
      <w:r w:rsidR="008C03EA">
        <w:rPr>
          <w:lang w:eastAsia="zh-CN"/>
        </w:rPr>
        <w:t>国际电联</w:t>
      </w:r>
      <w:r w:rsidR="008C03EA" w:rsidRPr="000F3BC3">
        <w:rPr>
          <w:rFonts w:hint="eastAsia"/>
          <w:lang w:eastAsia="zh-CN"/>
        </w:rPr>
        <w:t>成员国、</w:t>
      </w:r>
      <w:r w:rsidR="008C03EA">
        <w:rPr>
          <w:lang w:eastAsia="zh-CN"/>
        </w:rPr>
        <w:t>国际电联</w:t>
      </w:r>
      <w:r w:rsidR="008C03EA" w:rsidRPr="000F3BC3">
        <w:rPr>
          <w:rFonts w:hint="eastAsia"/>
          <w:lang w:eastAsia="zh-CN"/>
        </w:rPr>
        <w:t>部门成员、</w:t>
      </w:r>
      <w:r w:rsidR="008C03EA">
        <w:rPr>
          <w:rFonts w:hint="eastAsia"/>
          <w:lang w:eastAsia="zh-CN"/>
        </w:rPr>
        <w:t>部门准成员</w:t>
      </w:r>
      <w:r w:rsidR="008C03EA" w:rsidRPr="000F3BC3">
        <w:rPr>
          <w:rFonts w:hint="eastAsia"/>
          <w:lang w:eastAsia="zh-CN"/>
        </w:rPr>
        <w:t>、学术</w:t>
      </w:r>
      <w:r w:rsidR="008C03EA">
        <w:rPr>
          <w:rFonts w:hint="eastAsia"/>
          <w:lang w:eastAsia="zh-CN"/>
        </w:rPr>
        <w:t>成员及</w:t>
      </w:r>
      <w:r w:rsidR="008C03EA" w:rsidRPr="000F3BC3">
        <w:rPr>
          <w:rFonts w:hint="eastAsia"/>
          <w:lang w:eastAsia="zh-CN"/>
        </w:rPr>
        <w:t>其他相关合作伙伴</w:t>
      </w:r>
      <w:r w:rsidR="008C03EA">
        <w:rPr>
          <w:rFonts w:hint="eastAsia"/>
          <w:lang w:eastAsia="zh-CN"/>
        </w:rPr>
        <w:t>在内</w:t>
      </w:r>
      <w:r w:rsidR="008C03EA" w:rsidRPr="000F3BC3">
        <w:rPr>
          <w:rFonts w:hint="eastAsia"/>
          <w:lang w:eastAsia="zh-CN"/>
        </w:rPr>
        <w:t>的各</w:t>
      </w:r>
      <w:r w:rsidR="008C03EA">
        <w:rPr>
          <w:rFonts w:hint="eastAsia"/>
          <w:lang w:eastAsia="zh-CN"/>
        </w:rPr>
        <w:t>类</w:t>
      </w:r>
      <w:r w:rsidR="008C03EA" w:rsidRPr="000F3BC3">
        <w:rPr>
          <w:rFonts w:hint="eastAsia"/>
          <w:lang w:eastAsia="zh-CN"/>
        </w:rPr>
        <w:t>利益攸关方</w:t>
      </w:r>
      <w:r>
        <w:rPr>
          <w:rFonts w:hint="eastAsia"/>
          <w:lang w:eastAsia="zh-CN"/>
        </w:rPr>
        <w:t>的</w:t>
      </w:r>
      <w:r w:rsidR="008C03EA" w:rsidRPr="000F3BC3">
        <w:rPr>
          <w:rFonts w:hint="eastAsia"/>
          <w:lang w:eastAsia="zh-CN"/>
        </w:rPr>
        <w:t>伙伴关系</w:t>
      </w:r>
      <w:r w:rsidR="008C03EA">
        <w:rPr>
          <w:rFonts w:hint="eastAsia"/>
          <w:lang w:eastAsia="zh-CN"/>
        </w:rPr>
        <w:t>并开展</w:t>
      </w:r>
      <w:r w:rsidR="008C03EA">
        <w:rPr>
          <w:lang w:eastAsia="zh-CN"/>
        </w:rPr>
        <w:t>合作</w:t>
      </w:r>
      <w:r w:rsidR="008C03EA" w:rsidRPr="000F3BC3">
        <w:rPr>
          <w:rFonts w:hint="eastAsia"/>
          <w:lang w:eastAsia="zh-CN"/>
        </w:rPr>
        <w:t>，</w:t>
      </w:r>
      <w:r w:rsidR="008C03EA">
        <w:rPr>
          <w:lang w:eastAsia="zh-CN"/>
        </w:rPr>
        <w:t>避免重复工作</w:t>
      </w:r>
      <w:r>
        <w:rPr>
          <w:rFonts w:hint="eastAsia"/>
          <w:lang w:eastAsia="zh-CN"/>
        </w:rPr>
        <w:t>并</w:t>
      </w:r>
      <w:r w:rsidR="008C03EA" w:rsidRPr="000F3BC3">
        <w:rPr>
          <w:rFonts w:hint="eastAsia"/>
          <w:lang w:eastAsia="zh-CN"/>
        </w:rPr>
        <w:t>支持</w:t>
      </w:r>
      <w:r>
        <w:rPr>
          <w:rFonts w:hint="eastAsia"/>
          <w:lang w:eastAsia="zh-CN"/>
        </w:rPr>
        <w:t>ITU-D</w:t>
      </w:r>
      <w:r>
        <w:rPr>
          <w:rFonts w:hint="eastAsia"/>
          <w:lang w:eastAsia="zh-CN"/>
        </w:rPr>
        <w:t>落实各</w:t>
      </w:r>
      <w:r>
        <w:rPr>
          <w:lang w:eastAsia="zh-CN"/>
        </w:rPr>
        <w:t>项目和区域性</w:t>
      </w:r>
      <w:r>
        <w:rPr>
          <w:rFonts w:hint="eastAsia"/>
          <w:lang w:eastAsia="zh-CN"/>
        </w:rPr>
        <w:t>举措</w:t>
      </w:r>
      <w:r w:rsidR="008C03EA" w:rsidRPr="000F3BC3">
        <w:rPr>
          <w:rFonts w:hint="eastAsia"/>
          <w:lang w:eastAsia="zh-CN"/>
        </w:rPr>
        <w:t>。</w:t>
      </w:r>
    </w:p>
    <w:p w:rsidR="001B445D" w:rsidRDefault="001B445D" w:rsidP="006F7FAE">
      <w:pPr>
        <w:pStyle w:val="Heading1"/>
        <w:rPr>
          <w:szCs w:val="28"/>
          <w:lang w:eastAsia="zh-CN"/>
        </w:rPr>
      </w:pPr>
      <w:r>
        <w:rPr>
          <w:szCs w:val="28"/>
          <w:lang w:eastAsia="zh-CN"/>
        </w:rPr>
        <w:t>3</w:t>
      </w:r>
      <w:r>
        <w:rPr>
          <w:szCs w:val="28"/>
          <w:lang w:eastAsia="zh-CN"/>
        </w:rPr>
        <w:tab/>
      </w:r>
      <w:r w:rsidR="006F7FAE">
        <w:rPr>
          <w:rFonts w:hint="eastAsia"/>
          <w:szCs w:val="28"/>
          <w:lang w:eastAsia="zh-CN"/>
        </w:rPr>
        <w:t>状态</w:t>
      </w:r>
      <w:r w:rsidR="006F7FAE">
        <w:rPr>
          <w:szCs w:val="28"/>
          <w:lang w:eastAsia="zh-CN"/>
        </w:rPr>
        <w:t>分析</w:t>
      </w:r>
    </w:p>
    <w:p w:rsidR="008C03EA" w:rsidRDefault="006F7FAE" w:rsidP="006F7FAE">
      <w:pPr>
        <w:ind w:firstLineChars="200" w:firstLine="480"/>
        <w:rPr>
          <w:rFonts w:cs="Calibri"/>
          <w:szCs w:val="24"/>
          <w:lang w:val="en-US" w:eastAsia="zh-CN"/>
        </w:rPr>
      </w:pPr>
      <w:bookmarkStart w:id="14" w:name="lt_pId039"/>
      <w:r>
        <w:rPr>
          <w:rFonts w:cs="Calibri" w:hint="eastAsia"/>
          <w:szCs w:val="24"/>
          <w:lang w:val="en-US" w:eastAsia="zh-CN"/>
        </w:rPr>
        <w:t>下</w:t>
      </w:r>
      <w:r>
        <w:rPr>
          <w:rFonts w:cs="Calibri"/>
          <w:szCs w:val="24"/>
          <w:lang w:val="en-US" w:eastAsia="zh-CN"/>
        </w:rPr>
        <w:t>图</w:t>
      </w:r>
      <w:r>
        <w:rPr>
          <w:rFonts w:cs="Calibri" w:hint="eastAsia"/>
          <w:szCs w:val="24"/>
          <w:lang w:val="en-US" w:eastAsia="zh-CN"/>
        </w:rPr>
        <w:t>概括</w:t>
      </w:r>
      <w:r>
        <w:rPr>
          <w:rFonts w:cs="Calibri"/>
          <w:szCs w:val="24"/>
          <w:lang w:val="en-US" w:eastAsia="zh-CN"/>
        </w:rPr>
        <w:t>了</w:t>
      </w:r>
      <w:r w:rsidR="008C03EA" w:rsidRPr="008657BB">
        <w:rPr>
          <w:rFonts w:cs="Calibri"/>
          <w:szCs w:val="24"/>
          <w:lang w:val="en-US" w:eastAsia="zh-CN"/>
        </w:rPr>
        <w:t>2014</w:t>
      </w:r>
      <w:r>
        <w:rPr>
          <w:rFonts w:cs="Calibri" w:hint="eastAsia"/>
          <w:szCs w:val="24"/>
          <w:lang w:val="en-US" w:eastAsia="zh-CN"/>
        </w:rPr>
        <w:t>至</w:t>
      </w:r>
      <w:r w:rsidR="008C03EA" w:rsidRPr="008657BB">
        <w:rPr>
          <w:rFonts w:cs="Calibri"/>
          <w:szCs w:val="24"/>
          <w:lang w:val="en-US" w:eastAsia="zh-CN"/>
        </w:rPr>
        <w:t>2017</w:t>
      </w:r>
      <w:r>
        <w:rPr>
          <w:rFonts w:cs="Calibri" w:hint="eastAsia"/>
          <w:szCs w:val="24"/>
          <w:lang w:val="en-US" w:eastAsia="zh-CN"/>
        </w:rPr>
        <w:t>年</w:t>
      </w:r>
      <w:r>
        <w:rPr>
          <w:rFonts w:cs="Calibri"/>
          <w:szCs w:val="24"/>
          <w:lang w:val="en-US" w:eastAsia="zh-CN"/>
        </w:rPr>
        <w:t>发展周期内电信发展局与公众和私营部门、各基金会、联合国机构、金融机构等</w:t>
      </w:r>
      <w:r>
        <w:rPr>
          <w:rFonts w:cs="Calibri" w:hint="eastAsia"/>
          <w:szCs w:val="24"/>
          <w:lang w:val="en-US" w:eastAsia="zh-CN"/>
        </w:rPr>
        <w:t>不</w:t>
      </w:r>
      <w:r>
        <w:rPr>
          <w:rFonts w:cs="Calibri"/>
          <w:szCs w:val="24"/>
          <w:lang w:val="en-US" w:eastAsia="zh-CN"/>
        </w:rPr>
        <w:t>同利益攸关方</w:t>
      </w:r>
      <w:r>
        <w:rPr>
          <w:rFonts w:cs="Calibri" w:hint="eastAsia"/>
          <w:szCs w:val="24"/>
          <w:lang w:val="en-US" w:eastAsia="zh-CN"/>
        </w:rPr>
        <w:t>每年</w:t>
      </w:r>
      <w:r>
        <w:rPr>
          <w:rFonts w:cs="Calibri"/>
          <w:szCs w:val="24"/>
          <w:lang w:val="en-US" w:eastAsia="zh-CN"/>
        </w:rPr>
        <w:t>签订的合作伙伴协议数量、受益区域的分配情况以及行动领域</w:t>
      </w:r>
      <w:bookmarkEnd w:id="14"/>
      <w:r w:rsidR="00B6603F">
        <w:rPr>
          <w:rFonts w:cs="Calibri"/>
          <w:szCs w:val="24"/>
          <w:lang w:val="en-US" w:eastAsia="zh-CN"/>
        </w:rPr>
        <w:t>。</w:t>
      </w:r>
      <w:r w:rsidR="00B6603F">
        <w:rPr>
          <w:rFonts w:cs="Calibri" w:hint="eastAsia"/>
          <w:szCs w:val="24"/>
          <w:lang w:val="en-US" w:eastAsia="zh-CN"/>
        </w:rPr>
        <w:t>此分析是电信发展局（</w:t>
      </w:r>
      <w:r w:rsidR="00B6603F">
        <w:rPr>
          <w:rFonts w:cs="Calibri" w:hint="eastAsia"/>
          <w:szCs w:val="24"/>
          <w:lang w:val="en-US" w:eastAsia="zh-CN"/>
        </w:rPr>
        <w:t>BDT</w:t>
      </w:r>
      <w:r w:rsidR="00B6603F">
        <w:rPr>
          <w:rFonts w:cs="Calibri" w:hint="eastAsia"/>
          <w:szCs w:val="24"/>
          <w:lang w:val="en-US" w:eastAsia="zh-CN"/>
        </w:rPr>
        <w:t>）各驻地人员与国际电联总部人员在</w:t>
      </w:r>
      <w:r w:rsidR="00B6603F">
        <w:rPr>
          <w:rFonts w:cs="Calibri" w:hint="eastAsia"/>
          <w:szCs w:val="24"/>
          <w:lang w:val="en-US" w:eastAsia="zh-CN"/>
        </w:rPr>
        <w:t>BDT</w:t>
      </w:r>
      <w:r w:rsidR="00B6603F">
        <w:rPr>
          <w:rFonts w:cs="Calibri" w:hint="eastAsia"/>
          <w:szCs w:val="24"/>
          <w:lang w:val="en-US" w:eastAsia="zh-CN"/>
        </w:rPr>
        <w:t>主任领导下联手合作的成果，在此一并致谢。</w:t>
      </w:r>
    </w:p>
    <w:p w:rsidR="008C03EA" w:rsidRPr="008657BB" w:rsidRDefault="00EA169A" w:rsidP="008C03EA">
      <w:pPr>
        <w:rPr>
          <w:rFonts w:cs="Calibri"/>
          <w:szCs w:val="24"/>
          <w:lang w:val="en-US" w:eastAsia="zh-CN"/>
        </w:rPr>
      </w:pPr>
      <w:r>
        <w:rPr>
          <w:rFonts w:cs="Calibri"/>
          <w:szCs w:val="24"/>
          <w:lang w:val="en-US" w:eastAsia="zh-CN"/>
        </w:rPr>
        <w:t xml:space="preserve"> </w:t>
      </w:r>
    </w:p>
    <w:p w:rsidR="008C03EA" w:rsidRPr="00EA169A" w:rsidRDefault="006F7FAE" w:rsidP="006F7FAE">
      <w:pPr>
        <w:pStyle w:val="ListParagraph"/>
        <w:keepNext/>
        <w:ind w:left="0"/>
        <w:contextualSpacing w:val="0"/>
        <w:jc w:val="center"/>
        <w:rPr>
          <w:rFonts w:ascii="Calibri" w:hAnsi="Calibri" w:cs="Calibri"/>
          <w:b/>
          <w:bCs/>
          <w:sz w:val="22"/>
          <w:szCs w:val="22"/>
          <w:lang w:eastAsia="zh-CN"/>
        </w:rPr>
      </w:pPr>
      <w:bookmarkStart w:id="15" w:name="lt_pId041"/>
      <w:r w:rsidRPr="00EA169A">
        <w:rPr>
          <w:rFonts w:ascii="Calibri" w:hAnsi="Calibri" w:cs="Calibri" w:hint="eastAsia"/>
          <w:b/>
          <w:sz w:val="22"/>
          <w:szCs w:val="22"/>
          <w:lang w:eastAsia="zh-CN"/>
        </w:rPr>
        <w:t>图</w:t>
      </w:r>
      <w:r w:rsidRPr="00EA169A">
        <w:rPr>
          <w:rFonts w:ascii="Calibri" w:hAnsi="Calibri" w:cs="Calibri"/>
          <w:b/>
          <w:sz w:val="22"/>
          <w:szCs w:val="22"/>
          <w:lang w:eastAsia="zh-CN"/>
        </w:rPr>
        <w:t>表：</w:t>
      </w:r>
      <w:r w:rsidRPr="00EA169A">
        <w:rPr>
          <w:rFonts w:ascii="Calibri" w:hAnsi="Calibri" w:cs="Calibri"/>
          <w:b/>
          <w:sz w:val="22"/>
          <w:szCs w:val="22"/>
          <w:lang w:eastAsia="zh-CN"/>
        </w:rPr>
        <w:t>2014</w:t>
      </w:r>
      <w:r w:rsidRPr="00EA169A">
        <w:rPr>
          <w:rFonts w:ascii="Calibri" w:hAnsi="Calibri" w:cs="Calibri" w:hint="eastAsia"/>
          <w:b/>
          <w:sz w:val="22"/>
          <w:szCs w:val="22"/>
          <w:lang w:eastAsia="zh-CN"/>
        </w:rPr>
        <w:t>至</w:t>
      </w:r>
      <w:r w:rsidR="008C03EA" w:rsidRPr="00EA169A">
        <w:rPr>
          <w:rFonts w:ascii="Calibri" w:hAnsi="Calibri" w:cs="Calibri"/>
          <w:b/>
          <w:sz w:val="22"/>
          <w:szCs w:val="22"/>
          <w:lang w:eastAsia="zh-CN"/>
        </w:rPr>
        <w:t>2017</w:t>
      </w:r>
      <w:bookmarkEnd w:id="15"/>
      <w:r w:rsidRPr="00EA169A">
        <w:rPr>
          <w:rFonts w:ascii="Calibri" w:hAnsi="Calibri" w:cs="Calibri" w:hint="eastAsia"/>
          <w:b/>
          <w:sz w:val="22"/>
          <w:szCs w:val="22"/>
          <w:lang w:eastAsia="zh-CN"/>
        </w:rPr>
        <w:t>年</w:t>
      </w:r>
      <w:r w:rsidRPr="00EA169A">
        <w:rPr>
          <w:rStyle w:val="FootnoteReference"/>
          <w:noProof/>
          <w:sz w:val="22"/>
          <w:szCs w:val="22"/>
          <w:vertAlign w:val="superscript"/>
        </w:rPr>
        <w:footnoteReference w:id="1"/>
      </w:r>
      <w:r w:rsidRPr="00EA169A">
        <w:rPr>
          <w:rFonts w:ascii="Calibri" w:hAnsi="Calibri" w:cs="Calibri" w:hint="eastAsia"/>
          <w:b/>
          <w:sz w:val="22"/>
          <w:szCs w:val="22"/>
          <w:lang w:eastAsia="zh-CN"/>
        </w:rPr>
        <w:t>签署</w:t>
      </w:r>
      <w:r w:rsidRPr="00EA169A">
        <w:rPr>
          <w:rFonts w:ascii="Calibri" w:hAnsi="Calibri" w:cs="Calibri"/>
          <w:b/>
          <w:sz w:val="22"/>
          <w:szCs w:val="22"/>
          <w:lang w:eastAsia="zh-CN"/>
        </w:rPr>
        <w:t>的新协议</w:t>
      </w:r>
    </w:p>
    <w:p w:rsidR="008C03EA" w:rsidRDefault="008C03EA" w:rsidP="008C03EA">
      <w:pPr>
        <w:ind w:left="851"/>
        <w:rPr>
          <w:rFonts w:ascii="Calibri" w:hAnsi="Calibri" w:cs="Calibri"/>
          <w:szCs w:val="24"/>
          <w:lang w:val="en-US"/>
        </w:rPr>
      </w:pPr>
      <w:r w:rsidRPr="00B55BFB">
        <w:rPr>
          <w:noProof/>
          <w:lang w:eastAsia="zh-CN"/>
        </w:rPr>
        <w:drawing>
          <wp:inline distT="0" distB="0" distL="0" distR="0" wp14:anchorId="028A4E9D" wp14:editId="0EF69AC8">
            <wp:extent cx="2552700" cy="16916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zh-CN"/>
        </w:rPr>
        <w:drawing>
          <wp:inline distT="0" distB="0" distL="0" distR="0" wp14:anchorId="259C918C" wp14:editId="02887CC2">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7431" w:rsidRDefault="00FA7431" w:rsidP="008C03EA">
      <w:pPr>
        <w:ind w:left="851"/>
        <w:rPr>
          <w:rFonts w:ascii="Calibri" w:hAnsi="Calibri" w:cs="Calibri"/>
          <w:szCs w:val="24"/>
          <w:lang w:val="en-US" w:eastAsia="zh-CN"/>
        </w:rPr>
      </w:pPr>
      <w:r>
        <w:rPr>
          <w:rFonts w:ascii="Calibri" w:hAnsi="Calibri" w:cs="Calibri" w:hint="eastAsia"/>
          <w:szCs w:val="24"/>
          <w:lang w:eastAsia="zh-CN"/>
        </w:rPr>
        <w:t>图中</w:t>
      </w:r>
      <w:r>
        <w:rPr>
          <w:rFonts w:ascii="Calibri" w:hAnsi="Calibri" w:cs="Calibri"/>
          <w:szCs w:val="24"/>
          <w:lang w:eastAsia="zh-CN"/>
        </w:rPr>
        <w:t>文字：非洲、美洲、阿拉伯、亚太、独联体国家、</w:t>
      </w:r>
      <w:r>
        <w:rPr>
          <w:rFonts w:ascii="Calibri" w:hAnsi="Calibri" w:cs="Calibri" w:hint="eastAsia"/>
          <w:szCs w:val="24"/>
          <w:lang w:eastAsia="zh-CN"/>
        </w:rPr>
        <w:t>欧洲、全球</w:t>
      </w:r>
    </w:p>
    <w:p w:rsidR="00FA7431" w:rsidRDefault="00FA7431" w:rsidP="008C03EA">
      <w:pPr>
        <w:ind w:left="851"/>
        <w:rPr>
          <w:rFonts w:ascii="Calibri" w:hAnsi="Calibri" w:cs="Calibri"/>
          <w:szCs w:val="24"/>
          <w:lang w:val="en-US" w:eastAsia="zh-CN"/>
        </w:rPr>
      </w:pPr>
    </w:p>
    <w:p w:rsidR="00FA7431" w:rsidRPr="00B55BFB" w:rsidRDefault="00FA7431" w:rsidP="00FA7431">
      <w:pPr>
        <w:pStyle w:val="ListParagraph"/>
        <w:spacing w:before="0"/>
        <w:ind w:left="0"/>
        <w:contextualSpacing w:val="0"/>
        <w:jc w:val="center"/>
        <w:rPr>
          <w:rFonts w:ascii="Calibri" w:hAnsi="Calibri" w:cs="Calibri"/>
          <w:szCs w:val="24"/>
        </w:rPr>
      </w:pPr>
      <w:r w:rsidRPr="00405951">
        <w:rPr>
          <w:noProof/>
          <w:lang w:eastAsia="zh-CN"/>
        </w:rPr>
        <w:lastRenderedPageBreak/>
        <mc:AlternateContent>
          <mc:Choice Requires="wps">
            <w:drawing>
              <wp:anchor distT="45720" distB="45720" distL="114300" distR="114300" simplePos="0" relativeHeight="251659264" behindDoc="0" locked="0" layoutInCell="1" allowOverlap="1" wp14:anchorId="1491A748" wp14:editId="32CB2676">
                <wp:simplePos x="0" y="0"/>
                <wp:positionH relativeFrom="column">
                  <wp:posOffset>663085</wp:posOffset>
                </wp:positionH>
                <wp:positionV relativeFrom="paragraph">
                  <wp:posOffset>424871</wp:posOffset>
                </wp:positionV>
                <wp:extent cx="1334464" cy="2056968"/>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464" cy="2056968"/>
                        </a:xfrm>
                        <a:prstGeom prst="rect">
                          <a:avLst/>
                        </a:prstGeom>
                        <a:solidFill>
                          <a:schemeClr val="bg1"/>
                        </a:solidFill>
                        <a:ln w="9525">
                          <a:noFill/>
                          <a:miter lim="800000"/>
                          <a:headEnd/>
                          <a:tailEnd/>
                        </a:ln>
                      </wps:spPr>
                      <wps:txbx>
                        <w:txbxContent>
                          <w:p w:rsidR="00FA7431" w:rsidRPr="002956D9" w:rsidRDefault="00FA7431" w:rsidP="00FA7431">
                            <w:pPr>
                              <w:spacing w:before="0"/>
                              <w:jc w:val="right"/>
                              <w:rPr>
                                <w:rFonts w:asciiTheme="minorEastAsia" w:hAnsiTheme="minorEastAsia"/>
                                <w:sz w:val="16"/>
                                <w:szCs w:val="16"/>
                                <w:lang w:eastAsia="zh-CN"/>
                              </w:rPr>
                            </w:pPr>
                            <w:r w:rsidRPr="002956D9">
                              <w:rPr>
                                <w:rFonts w:asciiTheme="minorEastAsia" w:hAnsiTheme="minorEastAsia" w:cs="Calibri" w:hint="eastAsia"/>
                                <w:sz w:val="16"/>
                                <w:szCs w:val="16"/>
                                <w:lang w:eastAsia="zh-CN"/>
                              </w:rPr>
                              <w:t>统计</w:t>
                            </w:r>
                            <w:r w:rsidRPr="002956D9">
                              <w:rPr>
                                <w:rFonts w:asciiTheme="minorEastAsia" w:hAnsiTheme="minorEastAsia" w:cs="Calibri"/>
                                <w:sz w:val="16"/>
                                <w:szCs w:val="16"/>
                                <w:lang w:eastAsia="zh-CN"/>
                              </w:rPr>
                              <w:t>和指标</w:t>
                            </w:r>
                          </w:p>
                          <w:p w:rsidR="00FA7431" w:rsidRDefault="00FA7431" w:rsidP="00FA7431">
                            <w:pPr>
                              <w:spacing w:before="60"/>
                              <w:jc w:val="right"/>
                              <w:rPr>
                                <w:rFonts w:asciiTheme="minorEastAsia" w:hAnsiTheme="minorEastAsia" w:cs="Calibri"/>
                                <w:sz w:val="16"/>
                                <w:szCs w:val="16"/>
                                <w:lang w:eastAsia="zh-CN"/>
                              </w:rPr>
                            </w:pPr>
                            <w:r w:rsidRPr="002956D9">
                              <w:rPr>
                                <w:rFonts w:asciiTheme="minorEastAsia" w:hAnsiTheme="minorEastAsia" w:cs="Calibri"/>
                                <w:sz w:val="16"/>
                                <w:szCs w:val="16"/>
                                <w:lang w:eastAsia="zh-CN"/>
                              </w:rPr>
                              <w:t>气候变化和电子废物</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创新</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数字包容性</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应急通信</w:t>
                            </w:r>
                          </w:p>
                          <w:p w:rsidR="00FA7431" w:rsidRDefault="00FA7431" w:rsidP="00FA7431">
                            <w:pPr>
                              <w:spacing w:before="40"/>
                              <w:jc w:val="right"/>
                              <w:rPr>
                                <w:rFonts w:ascii="Calibri" w:hAnsi="Calibri" w:cs="Calibri"/>
                                <w:sz w:val="16"/>
                                <w:szCs w:val="16"/>
                                <w:lang w:eastAsia="zh-CN"/>
                              </w:rPr>
                            </w:pPr>
                            <w:r w:rsidRPr="00FA7431">
                              <w:rPr>
                                <w:rFonts w:ascii="Calibri" w:hAnsi="Calibri" w:cs="Calibri"/>
                                <w:sz w:val="16"/>
                                <w:szCs w:val="16"/>
                                <w:lang w:eastAsia="zh-CN"/>
                              </w:rPr>
                              <w:t>有利的环境</w:t>
                            </w:r>
                          </w:p>
                          <w:p w:rsidR="00FA7431" w:rsidRPr="00A85181" w:rsidRDefault="00FA7431" w:rsidP="00FA7431">
                            <w:pPr>
                              <w:spacing w:before="40"/>
                              <w:jc w:val="right"/>
                              <w:rPr>
                                <w:sz w:val="16"/>
                                <w:szCs w:val="16"/>
                                <w:lang w:eastAsia="zh-CN"/>
                              </w:rPr>
                            </w:pPr>
                            <w:r w:rsidRPr="00FA7431">
                              <w:rPr>
                                <w:rFonts w:ascii="Calibri" w:hAnsi="Calibri" w:cs="Calibri"/>
                                <w:sz w:val="16"/>
                                <w:szCs w:val="16"/>
                                <w:lang w:eastAsia="zh-CN"/>
                              </w:rPr>
                              <w:t>网络安全</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基础设备</w:t>
                            </w:r>
                          </w:p>
                          <w:p w:rsidR="00FA7431" w:rsidRPr="00A85181" w:rsidRDefault="00FA7431" w:rsidP="00FA7431">
                            <w:pPr>
                              <w:spacing w:before="40"/>
                              <w:jc w:val="right"/>
                              <w:rPr>
                                <w:sz w:val="16"/>
                                <w:szCs w:val="16"/>
                                <w:lang w:eastAsia="zh-CN"/>
                              </w:rPr>
                            </w:pPr>
                            <w:r w:rsidRPr="00FA7431">
                              <w:rPr>
                                <w:rFonts w:ascii="Calibri" w:hAnsi="Calibri" w:cs="Calibri"/>
                                <w:sz w:val="16"/>
                                <w:szCs w:val="16"/>
                                <w:lang w:eastAsia="zh-CN"/>
                              </w:rPr>
                              <w:t>一般性</w:t>
                            </w:r>
                          </w:p>
                          <w:p w:rsidR="00FA7431" w:rsidRPr="00A85181" w:rsidRDefault="00FA7431" w:rsidP="00FA7431">
                            <w:pPr>
                              <w:spacing w:before="40"/>
                              <w:jc w:val="right"/>
                              <w:rPr>
                                <w:sz w:val="16"/>
                                <w:szCs w:val="16"/>
                                <w:lang w:eastAsia="zh-CN"/>
                              </w:rPr>
                            </w:pPr>
                            <w:r w:rsidRPr="00FA7431">
                              <w:rPr>
                                <w:rFonts w:ascii="Calibri" w:hAnsi="Calibri" w:cs="Calibri"/>
                                <w:sz w:val="16"/>
                                <w:szCs w:val="16"/>
                                <w:lang w:eastAsia="zh-CN"/>
                              </w:rPr>
                              <w:t>ICT</w:t>
                            </w:r>
                            <w:r w:rsidRPr="00FA7431">
                              <w:rPr>
                                <w:rFonts w:ascii="Calibri" w:hAnsi="Calibri" w:cs="Calibri"/>
                                <w:sz w:val="16"/>
                                <w:szCs w:val="16"/>
                                <w:lang w:eastAsia="zh-CN"/>
                              </w:rPr>
                              <w:t>应用</w:t>
                            </w:r>
                          </w:p>
                          <w:p w:rsidR="00FA7431" w:rsidRPr="00471F26" w:rsidRDefault="00FA7431" w:rsidP="00FA7431">
                            <w:pPr>
                              <w:spacing w:before="40"/>
                              <w:jc w:val="right"/>
                              <w:rPr>
                                <w:lang w:eastAsia="zh-CN"/>
                              </w:rPr>
                            </w:pPr>
                            <w:r w:rsidRPr="00FA7431">
                              <w:rPr>
                                <w:rFonts w:ascii="Calibri" w:hAnsi="Calibri" w:cs="Calibri"/>
                                <w:sz w:val="16"/>
                                <w:szCs w:val="16"/>
                                <w:lang w:eastAsia="zh-CN"/>
                              </w:rPr>
                              <w:t>能力建设</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1A748" id="_x0000_t202" coordsize="21600,21600" o:spt="202" path="m,l,21600r21600,l21600,xe">
                <v:stroke joinstyle="miter"/>
                <v:path gradientshapeok="t" o:connecttype="rect"/>
              </v:shapetype>
              <v:shape id="Text Box 2" o:spid="_x0000_s1026" type="#_x0000_t202" style="position:absolute;left:0;text-align:left;margin-left:52.2pt;margin-top:33.45pt;width:105.1pt;height:16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" fillcolor="white [3212]" stroked="f">
                <v:textbox inset="0,0,0,0">
                  <w:txbxContent>
                    <w:p w:rsidR="00FA7431" w:rsidRPr="002956D9" w:rsidRDefault="00FA7431" w:rsidP="00FA7431">
                      <w:pPr>
                        <w:spacing w:before="0"/>
                        <w:jc w:val="right"/>
                        <w:rPr>
                          <w:rFonts w:asciiTheme="minorEastAsia" w:hAnsiTheme="minorEastAsia"/>
                          <w:sz w:val="16"/>
                          <w:szCs w:val="16"/>
                          <w:lang w:eastAsia="zh-CN"/>
                        </w:rPr>
                      </w:pPr>
                      <w:r w:rsidRPr="002956D9">
                        <w:rPr>
                          <w:rFonts w:asciiTheme="minorEastAsia" w:hAnsiTheme="minorEastAsia" w:cs="Calibri" w:hint="eastAsia"/>
                          <w:sz w:val="16"/>
                          <w:szCs w:val="16"/>
                          <w:lang w:eastAsia="zh-CN"/>
                        </w:rPr>
                        <w:t>统计</w:t>
                      </w:r>
                      <w:r w:rsidRPr="002956D9">
                        <w:rPr>
                          <w:rFonts w:asciiTheme="minorEastAsia" w:hAnsiTheme="minorEastAsia" w:cs="Calibri"/>
                          <w:sz w:val="16"/>
                          <w:szCs w:val="16"/>
                          <w:lang w:eastAsia="zh-CN"/>
                        </w:rPr>
                        <w:t>和指标</w:t>
                      </w:r>
                    </w:p>
                    <w:p w:rsidR="00FA7431" w:rsidRDefault="00FA7431" w:rsidP="00FA7431">
                      <w:pPr>
                        <w:spacing w:before="60"/>
                        <w:jc w:val="right"/>
                        <w:rPr>
                          <w:rFonts w:asciiTheme="minorEastAsia" w:hAnsiTheme="minorEastAsia" w:cs="Calibri"/>
                          <w:sz w:val="16"/>
                          <w:szCs w:val="16"/>
                          <w:lang w:eastAsia="zh-CN"/>
                        </w:rPr>
                      </w:pPr>
                      <w:r w:rsidRPr="002956D9">
                        <w:rPr>
                          <w:rFonts w:asciiTheme="minorEastAsia" w:hAnsiTheme="minorEastAsia" w:cs="Calibri"/>
                          <w:sz w:val="16"/>
                          <w:szCs w:val="16"/>
                          <w:lang w:eastAsia="zh-CN"/>
                        </w:rPr>
                        <w:t>气候变化和电子废物</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创新</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数字包容性</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应急通信</w:t>
                      </w:r>
                    </w:p>
                    <w:p w:rsidR="00FA7431" w:rsidRDefault="00FA7431" w:rsidP="00FA7431">
                      <w:pPr>
                        <w:spacing w:before="40"/>
                        <w:jc w:val="right"/>
                        <w:rPr>
                          <w:rFonts w:ascii="Calibri" w:hAnsi="Calibri" w:cs="Calibri"/>
                          <w:sz w:val="16"/>
                          <w:szCs w:val="16"/>
                          <w:lang w:eastAsia="zh-CN"/>
                        </w:rPr>
                      </w:pPr>
                      <w:r w:rsidRPr="00FA7431">
                        <w:rPr>
                          <w:rFonts w:ascii="Calibri" w:hAnsi="Calibri" w:cs="Calibri"/>
                          <w:sz w:val="16"/>
                          <w:szCs w:val="16"/>
                          <w:lang w:eastAsia="zh-CN"/>
                        </w:rPr>
                        <w:t>有利的环境</w:t>
                      </w:r>
                    </w:p>
                    <w:p w:rsidR="00FA7431" w:rsidRPr="00A85181" w:rsidRDefault="00FA7431" w:rsidP="00FA7431">
                      <w:pPr>
                        <w:spacing w:before="40"/>
                        <w:jc w:val="right"/>
                        <w:rPr>
                          <w:sz w:val="16"/>
                          <w:szCs w:val="16"/>
                          <w:lang w:eastAsia="zh-CN"/>
                        </w:rPr>
                      </w:pPr>
                      <w:r w:rsidRPr="00FA7431">
                        <w:rPr>
                          <w:rFonts w:ascii="Calibri" w:hAnsi="Calibri" w:cs="Calibri"/>
                          <w:sz w:val="16"/>
                          <w:szCs w:val="16"/>
                          <w:lang w:eastAsia="zh-CN"/>
                        </w:rPr>
                        <w:t>网络安全</w:t>
                      </w:r>
                    </w:p>
                    <w:p w:rsidR="00FA7431" w:rsidRPr="00A85181" w:rsidRDefault="00FA7431" w:rsidP="00FA7431">
                      <w:pPr>
                        <w:spacing w:before="60"/>
                        <w:jc w:val="right"/>
                        <w:rPr>
                          <w:sz w:val="16"/>
                          <w:szCs w:val="16"/>
                          <w:lang w:eastAsia="zh-CN"/>
                        </w:rPr>
                      </w:pPr>
                      <w:r w:rsidRPr="00FA7431">
                        <w:rPr>
                          <w:rFonts w:ascii="Calibri" w:hAnsi="Calibri" w:cs="Calibri"/>
                          <w:sz w:val="16"/>
                          <w:szCs w:val="16"/>
                          <w:lang w:eastAsia="zh-CN"/>
                        </w:rPr>
                        <w:t>基础设备</w:t>
                      </w:r>
                    </w:p>
                    <w:p w:rsidR="00FA7431" w:rsidRPr="00A85181" w:rsidRDefault="00FA7431" w:rsidP="00FA7431">
                      <w:pPr>
                        <w:spacing w:before="40"/>
                        <w:jc w:val="right"/>
                        <w:rPr>
                          <w:sz w:val="16"/>
                          <w:szCs w:val="16"/>
                          <w:lang w:eastAsia="zh-CN"/>
                        </w:rPr>
                      </w:pPr>
                      <w:r w:rsidRPr="00FA7431">
                        <w:rPr>
                          <w:rFonts w:ascii="Calibri" w:hAnsi="Calibri" w:cs="Calibri"/>
                          <w:sz w:val="16"/>
                          <w:szCs w:val="16"/>
                          <w:lang w:eastAsia="zh-CN"/>
                        </w:rPr>
                        <w:t>一般性</w:t>
                      </w:r>
                    </w:p>
                    <w:p w:rsidR="00FA7431" w:rsidRPr="00A85181" w:rsidRDefault="00FA7431" w:rsidP="00FA7431">
                      <w:pPr>
                        <w:spacing w:before="40"/>
                        <w:jc w:val="right"/>
                        <w:rPr>
                          <w:sz w:val="16"/>
                          <w:szCs w:val="16"/>
                          <w:lang w:eastAsia="zh-CN"/>
                        </w:rPr>
                      </w:pPr>
                      <w:r w:rsidRPr="00FA7431">
                        <w:rPr>
                          <w:rFonts w:ascii="Calibri" w:hAnsi="Calibri" w:cs="Calibri"/>
                          <w:sz w:val="16"/>
                          <w:szCs w:val="16"/>
                          <w:lang w:eastAsia="zh-CN"/>
                        </w:rPr>
                        <w:t>ICT</w:t>
                      </w:r>
                      <w:r w:rsidRPr="00FA7431">
                        <w:rPr>
                          <w:rFonts w:ascii="Calibri" w:hAnsi="Calibri" w:cs="Calibri"/>
                          <w:sz w:val="16"/>
                          <w:szCs w:val="16"/>
                          <w:lang w:eastAsia="zh-CN"/>
                        </w:rPr>
                        <w:t>应用</w:t>
                      </w:r>
                    </w:p>
                    <w:p w:rsidR="00FA7431" w:rsidRPr="00471F26" w:rsidRDefault="00FA7431" w:rsidP="00FA7431">
                      <w:pPr>
                        <w:spacing w:before="40"/>
                        <w:jc w:val="right"/>
                        <w:rPr>
                          <w:lang w:eastAsia="zh-CN"/>
                        </w:rPr>
                      </w:pPr>
                      <w:r w:rsidRPr="00FA7431">
                        <w:rPr>
                          <w:rFonts w:ascii="Calibri" w:hAnsi="Calibri" w:cs="Calibri"/>
                          <w:sz w:val="16"/>
                          <w:szCs w:val="16"/>
                          <w:lang w:eastAsia="zh-CN"/>
                        </w:rPr>
                        <w:t>能力建设</w:t>
                      </w:r>
                    </w:p>
                  </w:txbxContent>
                </v:textbox>
              </v:shape>
            </w:pict>
          </mc:Fallback>
        </mc:AlternateContent>
      </w:r>
      <w:r>
        <w:rPr>
          <w:noProof/>
          <w:lang w:eastAsia="zh-CN"/>
        </w:rPr>
        <w:drawing>
          <wp:inline distT="0" distB="0" distL="0" distR="0" wp14:anchorId="368F4446" wp14:editId="313B0F3E">
            <wp:extent cx="4961614" cy="2536466"/>
            <wp:effectExtent l="0" t="0" r="1079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7431" w:rsidRDefault="00FA7431" w:rsidP="008C03EA">
      <w:pPr>
        <w:ind w:left="851"/>
        <w:rPr>
          <w:rFonts w:ascii="Calibri" w:hAnsi="Calibri" w:cs="Calibri"/>
          <w:szCs w:val="24"/>
          <w:lang w:val="en-US"/>
        </w:rPr>
      </w:pPr>
    </w:p>
    <w:p w:rsidR="00FA7431" w:rsidRDefault="00FA7431" w:rsidP="008C03EA">
      <w:pPr>
        <w:ind w:left="851"/>
        <w:rPr>
          <w:rFonts w:ascii="Calibri" w:hAnsi="Calibri" w:cs="Calibri"/>
          <w:szCs w:val="24"/>
          <w:lang w:val="en-US"/>
        </w:rPr>
      </w:pPr>
    </w:p>
    <w:p w:rsidR="00FA7431" w:rsidRDefault="00FA7431" w:rsidP="008C03EA">
      <w:pPr>
        <w:ind w:left="851"/>
        <w:rPr>
          <w:rFonts w:ascii="Calibri" w:hAnsi="Calibri" w:cs="Calibri"/>
          <w:szCs w:val="24"/>
          <w:lang w:val="en-US"/>
        </w:rPr>
      </w:pPr>
    </w:p>
    <w:p w:rsidR="008C03EA" w:rsidRPr="008C03EA" w:rsidRDefault="009F30AD" w:rsidP="00EA169A">
      <w:pPr>
        <w:ind w:firstLineChars="200" w:firstLine="480"/>
        <w:rPr>
          <w:lang w:eastAsia="zh-CN"/>
        </w:rPr>
      </w:pPr>
      <w:r>
        <w:rPr>
          <w:rFonts w:hint="eastAsia"/>
          <w:szCs w:val="24"/>
          <w:lang w:eastAsia="zh-CN"/>
        </w:rPr>
        <w:t>自</w:t>
      </w:r>
      <w:r>
        <w:rPr>
          <w:rFonts w:hint="eastAsia"/>
          <w:szCs w:val="24"/>
          <w:lang w:eastAsia="zh-CN"/>
        </w:rPr>
        <w:t>201</w:t>
      </w:r>
      <w:r w:rsidR="00EA169A">
        <w:rPr>
          <w:szCs w:val="24"/>
          <w:lang w:eastAsia="zh-CN"/>
        </w:rPr>
        <w:t>4</w:t>
      </w:r>
      <w:r>
        <w:rPr>
          <w:rFonts w:hint="eastAsia"/>
          <w:szCs w:val="24"/>
          <w:lang w:eastAsia="zh-CN"/>
        </w:rPr>
        <w:t>年</w:t>
      </w:r>
      <w:r>
        <w:rPr>
          <w:szCs w:val="24"/>
          <w:lang w:eastAsia="zh-CN"/>
        </w:rPr>
        <w:t>至</w:t>
      </w:r>
      <w:r>
        <w:rPr>
          <w:rFonts w:hint="eastAsia"/>
          <w:szCs w:val="24"/>
          <w:lang w:eastAsia="zh-CN"/>
        </w:rPr>
        <w:t>201</w:t>
      </w:r>
      <w:r w:rsidR="00EA169A">
        <w:rPr>
          <w:szCs w:val="24"/>
          <w:lang w:eastAsia="zh-CN"/>
        </w:rPr>
        <w:t>7</w:t>
      </w:r>
      <w:r>
        <w:rPr>
          <w:rFonts w:hint="eastAsia"/>
          <w:szCs w:val="24"/>
          <w:lang w:eastAsia="zh-CN"/>
        </w:rPr>
        <w:t>年，</w:t>
      </w:r>
      <w:r>
        <w:rPr>
          <w:szCs w:val="24"/>
          <w:lang w:eastAsia="zh-CN"/>
        </w:rPr>
        <w:t>约达成</w:t>
      </w:r>
      <w:r>
        <w:rPr>
          <w:rFonts w:hint="eastAsia"/>
          <w:szCs w:val="24"/>
          <w:lang w:eastAsia="zh-CN"/>
        </w:rPr>
        <w:t>1</w:t>
      </w:r>
      <w:r w:rsidR="00EA169A">
        <w:rPr>
          <w:szCs w:val="24"/>
          <w:lang w:eastAsia="zh-CN"/>
        </w:rPr>
        <w:t>97</w:t>
      </w:r>
      <w:r>
        <w:rPr>
          <w:rFonts w:hint="eastAsia"/>
          <w:szCs w:val="24"/>
          <w:lang w:eastAsia="zh-CN"/>
        </w:rPr>
        <w:t>项</w:t>
      </w:r>
      <w:r w:rsidRPr="00EA169A">
        <w:rPr>
          <w:b/>
          <w:bCs/>
          <w:szCs w:val="24"/>
          <w:lang w:eastAsia="zh-CN"/>
        </w:rPr>
        <w:t>新协议</w:t>
      </w:r>
      <w:r>
        <w:rPr>
          <w:szCs w:val="24"/>
          <w:lang w:eastAsia="zh-CN"/>
        </w:rPr>
        <w:t>和</w:t>
      </w:r>
      <w:r w:rsidR="00EA169A">
        <w:rPr>
          <w:szCs w:val="24"/>
          <w:lang w:eastAsia="zh-CN"/>
        </w:rPr>
        <w:t>35</w:t>
      </w:r>
      <w:r>
        <w:rPr>
          <w:rFonts w:hint="eastAsia"/>
          <w:szCs w:val="24"/>
          <w:lang w:eastAsia="zh-CN"/>
        </w:rPr>
        <w:t>项</w:t>
      </w:r>
      <w:r>
        <w:rPr>
          <w:szCs w:val="24"/>
          <w:lang w:eastAsia="zh-CN"/>
        </w:rPr>
        <w:t>增补</w:t>
      </w:r>
      <w:r>
        <w:rPr>
          <w:rFonts w:hint="eastAsia"/>
          <w:szCs w:val="24"/>
          <w:lang w:eastAsia="zh-CN"/>
        </w:rPr>
        <w:t>/</w:t>
      </w:r>
      <w:r>
        <w:rPr>
          <w:rFonts w:hint="eastAsia"/>
          <w:szCs w:val="24"/>
          <w:lang w:eastAsia="zh-CN"/>
        </w:rPr>
        <w:t>修订</w:t>
      </w:r>
      <w:r>
        <w:rPr>
          <w:szCs w:val="24"/>
          <w:lang w:eastAsia="zh-CN"/>
        </w:rPr>
        <w:t>，</w:t>
      </w:r>
      <w:r>
        <w:rPr>
          <w:rFonts w:hint="eastAsia"/>
          <w:szCs w:val="24"/>
          <w:lang w:eastAsia="zh-CN"/>
        </w:rPr>
        <w:t>估计价值</w:t>
      </w:r>
      <w:r>
        <w:rPr>
          <w:szCs w:val="24"/>
          <w:lang w:eastAsia="zh-CN"/>
        </w:rPr>
        <w:t>3 </w:t>
      </w:r>
      <w:r w:rsidR="00EA169A">
        <w:rPr>
          <w:szCs w:val="24"/>
          <w:lang w:eastAsia="zh-CN"/>
        </w:rPr>
        <w:t>6</w:t>
      </w:r>
      <w:r>
        <w:rPr>
          <w:szCs w:val="24"/>
          <w:lang w:eastAsia="zh-CN"/>
        </w:rPr>
        <w:t>6</w:t>
      </w:r>
      <w:r>
        <w:rPr>
          <w:rFonts w:hint="eastAsia"/>
          <w:szCs w:val="24"/>
          <w:lang w:eastAsia="zh-CN"/>
        </w:rPr>
        <w:t>0</w:t>
      </w:r>
      <w:r>
        <w:rPr>
          <w:rFonts w:hint="eastAsia"/>
          <w:szCs w:val="24"/>
          <w:lang w:eastAsia="zh-CN"/>
        </w:rPr>
        <w:t>万</w:t>
      </w:r>
      <w:r>
        <w:rPr>
          <w:szCs w:val="24"/>
          <w:lang w:eastAsia="zh-CN"/>
        </w:rPr>
        <w:t>美元</w:t>
      </w:r>
      <w:r w:rsidR="00EA169A">
        <w:rPr>
          <w:rFonts w:hint="eastAsia"/>
          <w:szCs w:val="24"/>
          <w:lang w:eastAsia="zh-CN"/>
        </w:rPr>
        <w:t>。</w:t>
      </w:r>
      <w:r w:rsidR="00EA169A" w:rsidRPr="00EA169A">
        <w:rPr>
          <w:rFonts w:asciiTheme="majorEastAsia" w:eastAsiaTheme="majorEastAsia" w:hAnsiTheme="majorEastAsia" w:hint="eastAsia"/>
          <w:bCs/>
          <w:iCs/>
          <w:szCs w:val="24"/>
          <w:lang w:eastAsia="zh-CN"/>
        </w:rPr>
        <w:t>更</w:t>
      </w:r>
      <w:r w:rsidR="00EA169A" w:rsidRPr="00EA169A">
        <w:rPr>
          <w:rFonts w:asciiTheme="majorEastAsia" w:eastAsiaTheme="majorEastAsia" w:hAnsiTheme="majorEastAsia"/>
          <w:bCs/>
          <w:iCs/>
          <w:szCs w:val="24"/>
          <w:lang w:eastAsia="zh-CN"/>
        </w:rPr>
        <w:t>多信息见</w:t>
      </w:r>
      <w:r w:rsidR="00EA169A" w:rsidRPr="00EA169A">
        <w:rPr>
          <w:rFonts w:asciiTheme="majorEastAsia" w:eastAsiaTheme="majorEastAsia" w:hAnsiTheme="majorEastAsia" w:hint="eastAsia"/>
          <w:szCs w:val="24"/>
          <w:lang w:eastAsia="zh-CN"/>
        </w:rPr>
        <w:t>INF/</w:t>
      </w:r>
      <w:r w:rsidR="00EA169A" w:rsidRPr="00EA169A">
        <w:rPr>
          <w:rFonts w:asciiTheme="majorEastAsia" w:eastAsiaTheme="majorEastAsia" w:hAnsiTheme="majorEastAsia"/>
          <w:szCs w:val="24"/>
          <w:lang w:eastAsia="zh-CN"/>
        </w:rPr>
        <w:t>3</w:t>
      </w:r>
      <w:r w:rsidR="00EA169A" w:rsidRPr="00EA169A">
        <w:rPr>
          <w:rFonts w:asciiTheme="majorEastAsia" w:eastAsiaTheme="majorEastAsia" w:hAnsiTheme="majorEastAsia" w:hint="eastAsia"/>
          <w:bCs/>
          <w:iCs/>
          <w:szCs w:val="24"/>
          <w:lang w:eastAsia="zh-CN"/>
        </w:rPr>
        <w:t>号</w:t>
      </w:r>
      <w:r w:rsidR="00EA169A" w:rsidRPr="00EA169A">
        <w:rPr>
          <w:rFonts w:asciiTheme="majorEastAsia" w:eastAsiaTheme="majorEastAsia" w:hAnsiTheme="majorEastAsia"/>
          <w:bCs/>
          <w:iCs/>
          <w:szCs w:val="24"/>
          <w:lang w:eastAsia="zh-CN"/>
        </w:rPr>
        <w:t>情况通报</w:t>
      </w:r>
      <w:r w:rsidR="00EA169A" w:rsidRPr="00EA169A">
        <w:rPr>
          <w:rFonts w:asciiTheme="majorEastAsia" w:eastAsiaTheme="majorEastAsia" w:hAnsiTheme="majorEastAsia" w:hint="eastAsia"/>
          <w:bCs/>
          <w:iCs/>
          <w:szCs w:val="24"/>
          <w:lang w:eastAsia="zh-CN"/>
        </w:rPr>
        <w:t>文件</w:t>
      </w:r>
      <w:r>
        <w:rPr>
          <w:bCs/>
          <w:szCs w:val="24"/>
          <w:lang w:eastAsia="zh-CN"/>
        </w:rPr>
        <w:t>（</w:t>
      </w:r>
      <w:r w:rsidR="00EA169A">
        <w:rPr>
          <w:rFonts w:hint="eastAsia"/>
          <w:bCs/>
          <w:szCs w:val="24"/>
          <w:lang w:eastAsia="zh-CN"/>
        </w:rPr>
        <w:t>签订</w:t>
      </w:r>
      <w:r w:rsidR="00EA169A">
        <w:rPr>
          <w:bCs/>
          <w:szCs w:val="24"/>
          <w:lang w:eastAsia="zh-CN"/>
        </w:rPr>
        <w:t>的伙伴关系协议（</w:t>
      </w:r>
      <w:r w:rsidR="00EA169A">
        <w:rPr>
          <w:rFonts w:hint="eastAsia"/>
          <w:bCs/>
          <w:szCs w:val="24"/>
          <w:lang w:eastAsia="zh-CN"/>
        </w:rPr>
        <w:t>2014</w:t>
      </w:r>
      <w:r w:rsidR="00EA169A">
        <w:rPr>
          <w:bCs/>
          <w:szCs w:val="24"/>
          <w:lang w:eastAsia="zh-CN"/>
        </w:rPr>
        <w:t>-2017</w:t>
      </w:r>
      <w:r w:rsidR="00EA169A">
        <w:rPr>
          <w:rFonts w:hint="eastAsia"/>
          <w:bCs/>
          <w:szCs w:val="24"/>
          <w:lang w:eastAsia="zh-CN"/>
        </w:rPr>
        <w:t>年</w:t>
      </w:r>
      <w:r w:rsidR="00EA169A">
        <w:rPr>
          <w:bCs/>
          <w:szCs w:val="24"/>
          <w:lang w:eastAsia="zh-CN"/>
        </w:rPr>
        <w:t>）</w:t>
      </w:r>
      <w:r>
        <w:rPr>
          <w:bCs/>
          <w:szCs w:val="24"/>
          <w:lang w:eastAsia="zh-CN"/>
        </w:rPr>
        <w:t>）</w:t>
      </w:r>
      <w:r w:rsidR="00EA169A">
        <w:rPr>
          <w:rFonts w:hint="eastAsia"/>
          <w:szCs w:val="24"/>
          <w:lang w:eastAsia="zh-CN"/>
        </w:rPr>
        <w:t>。</w:t>
      </w:r>
    </w:p>
    <w:p w:rsidR="009F30AD" w:rsidRPr="00877FC1" w:rsidRDefault="009F30AD" w:rsidP="00C02092">
      <w:pPr>
        <w:pStyle w:val="Heading1"/>
        <w:rPr>
          <w:lang w:val="en-US" w:eastAsia="zh-CN"/>
        </w:rPr>
      </w:pPr>
      <w:bookmarkStart w:id="17" w:name="lt_pId044"/>
      <w:r>
        <w:rPr>
          <w:lang w:eastAsia="zh-CN"/>
        </w:rPr>
        <w:t>4</w:t>
      </w:r>
      <w:r>
        <w:rPr>
          <w:lang w:eastAsia="zh-CN"/>
        </w:rPr>
        <w:tab/>
      </w:r>
      <w:bookmarkEnd w:id="17"/>
      <w:r w:rsidR="00C02092">
        <w:rPr>
          <w:rFonts w:hint="eastAsia"/>
          <w:lang w:val="en-US" w:eastAsia="zh-CN"/>
        </w:rPr>
        <w:t>全球</w:t>
      </w:r>
      <w:r w:rsidR="00877FC1" w:rsidRPr="00877FC1">
        <w:rPr>
          <w:lang w:val="en-US" w:eastAsia="zh-CN"/>
        </w:rPr>
        <w:t>行动</w:t>
      </w:r>
      <w:r w:rsidR="00C02092">
        <w:rPr>
          <w:rFonts w:hint="eastAsia"/>
          <w:lang w:val="en-US" w:eastAsia="zh-CN"/>
        </w:rPr>
        <w:t>与</w:t>
      </w:r>
      <w:r w:rsidR="00877FC1" w:rsidRPr="00877FC1">
        <w:rPr>
          <w:lang w:val="en-US" w:eastAsia="zh-CN"/>
        </w:rPr>
        <w:t>成果</w:t>
      </w:r>
      <w:r w:rsidRPr="00877FC1">
        <w:rPr>
          <w:color w:val="800000"/>
          <w:sz w:val="22"/>
          <w:lang w:val="en-US" w:eastAsia="zh-CN"/>
        </w:rPr>
        <w:t xml:space="preserve"> </w:t>
      </w:r>
    </w:p>
    <w:p w:rsidR="009F30AD" w:rsidRDefault="009B60FC" w:rsidP="00C94C59">
      <w:pPr>
        <w:pStyle w:val="Heading3"/>
        <w:rPr>
          <w:lang w:eastAsia="zh-CN"/>
        </w:rPr>
      </w:pPr>
      <w:r>
        <w:rPr>
          <w:lang w:eastAsia="zh-CN"/>
        </w:rPr>
        <w:t>4.</w:t>
      </w:r>
      <w:r w:rsidR="009F30AD">
        <w:rPr>
          <w:lang w:eastAsia="zh-CN"/>
        </w:rPr>
        <w:t>1</w:t>
      </w:r>
      <w:r w:rsidR="009F30AD">
        <w:rPr>
          <w:lang w:eastAsia="zh-CN"/>
        </w:rPr>
        <w:tab/>
      </w:r>
      <w:bookmarkStart w:id="18" w:name="lt_pId144"/>
      <w:r w:rsidR="00CB2208">
        <w:rPr>
          <w:rFonts w:hint="eastAsia"/>
          <w:lang w:eastAsia="zh-CN"/>
        </w:rPr>
        <w:t>在融合</w:t>
      </w:r>
      <w:r w:rsidR="00CB2208">
        <w:rPr>
          <w:lang w:eastAsia="zh-CN"/>
        </w:rPr>
        <w:t>生态系统内与</w:t>
      </w:r>
      <w:r w:rsidR="009F30AD">
        <w:rPr>
          <w:lang w:eastAsia="zh-CN"/>
        </w:rPr>
        <w:t>ICT</w:t>
      </w:r>
      <w:r w:rsidR="00CB2208">
        <w:rPr>
          <w:rFonts w:hint="eastAsia"/>
          <w:lang w:eastAsia="zh-CN"/>
        </w:rPr>
        <w:t>行</w:t>
      </w:r>
      <w:r w:rsidR="00CB2208">
        <w:rPr>
          <w:lang w:eastAsia="zh-CN"/>
        </w:rPr>
        <w:t>业以外伙伴的联络</w:t>
      </w:r>
      <w:bookmarkEnd w:id="18"/>
    </w:p>
    <w:p w:rsidR="009F30AD" w:rsidRPr="00D72F83" w:rsidRDefault="00CB2208" w:rsidP="00D72F83">
      <w:pPr>
        <w:pStyle w:val="CEOParagraph1"/>
        <w:keepNext w:val="0"/>
        <w:numPr>
          <w:ilvl w:val="0"/>
          <w:numId w:val="0"/>
        </w:numPr>
        <w:overflowPunct w:val="0"/>
        <w:autoSpaceDE w:val="0"/>
        <w:autoSpaceDN w:val="0"/>
        <w:adjustRightInd w:val="0"/>
        <w:spacing w:before="120" w:after="0"/>
        <w:ind w:firstLineChars="200" w:firstLine="480"/>
        <w:textAlignment w:val="baseline"/>
        <w:rPr>
          <w:rFonts w:eastAsiaTheme="minorEastAsia"/>
          <w:bCs w:val="0"/>
          <w:color w:val="800000"/>
          <w:szCs w:val="24"/>
          <w:lang w:eastAsia="zh-CN"/>
        </w:rPr>
      </w:pPr>
      <w:bookmarkStart w:id="19" w:name="lt_pId145"/>
      <w:r>
        <w:rPr>
          <w:rFonts w:asciiTheme="minorHAnsi" w:eastAsiaTheme="minorEastAsia" w:hAnsiTheme="minorHAnsi" w:hint="eastAsia"/>
          <w:b w:val="0"/>
          <w:bCs w:val="0"/>
          <w:sz w:val="24"/>
          <w:szCs w:val="24"/>
          <w:lang w:eastAsia="zh-CN"/>
        </w:rPr>
        <w:t>成功</w:t>
      </w:r>
      <w:r>
        <w:rPr>
          <w:rFonts w:asciiTheme="minorHAnsi" w:eastAsiaTheme="minorEastAsia" w:hAnsiTheme="minorHAnsi"/>
          <w:b w:val="0"/>
          <w:bCs w:val="0"/>
          <w:sz w:val="24"/>
          <w:szCs w:val="24"/>
          <w:lang w:eastAsia="zh-CN"/>
        </w:rPr>
        <w:t>的伙伴关系资源筹措取决于与各伙伴之间</w:t>
      </w:r>
      <w:r>
        <w:rPr>
          <w:rFonts w:asciiTheme="minorHAnsi" w:eastAsiaTheme="minorEastAsia" w:hAnsiTheme="minorHAnsi" w:hint="eastAsia"/>
          <w:b w:val="0"/>
          <w:bCs w:val="0"/>
          <w:sz w:val="24"/>
          <w:szCs w:val="24"/>
          <w:lang w:eastAsia="zh-CN"/>
        </w:rPr>
        <w:t>结</w:t>
      </w:r>
      <w:r>
        <w:rPr>
          <w:rFonts w:asciiTheme="minorHAnsi" w:eastAsiaTheme="minorEastAsia" w:hAnsiTheme="minorHAnsi"/>
          <w:b w:val="0"/>
          <w:bCs w:val="0"/>
          <w:sz w:val="24"/>
          <w:szCs w:val="24"/>
          <w:lang w:eastAsia="zh-CN"/>
        </w:rPr>
        <w:t>成的关系质量。培养和建立关系对于长期维护和坚持至关重要。伙伴</w:t>
      </w:r>
      <w:r>
        <w:rPr>
          <w:rFonts w:asciiTheme="minorHAnsi" w:eastAsiaTheme="minorEastAsia" w:hAnsiTheme="minorHAnsi" w:hint="eastAsia"/>
          <w:b w:val="0"/>
          <w:bCs w:val="0"/>
          <w:sz w:val="24"/>
          <w:szCs w:val="24"/>
          <w:lang w:eastAsia="zh-CN"/>
        </w:rPr>
        <w:t>关系</w:t>
      </w:r>
      <w:r>
        <w:rPr>
          <w:rFonts w:asciiTheme="minorHAnsi" w:eastAsiaTheme="minorEastAsia" w:hAnsiTheme="minorHAnsi"/>
          <w:b w:val="0"/>
          <w:bCs w:val="0"/>
          <w:sz w:val="24"/>
          <w:szCs w:val="24"/>
          <w:lang w:eastAsia="zh-CN"/>
        </w:rPr>
        <w:t>资源筹措不是得到支持便终结的一次性活动。</w:t>
      </w:r>
      <w:bookmarkEnd w:id="19"/>
      <w:r w:rsidR="00D72F83">
        <w:rPr>
          <w:rFonts w:asciiTheme="minorHAnsi" w:eastAsiaTheme="minorEastAsia" w:hAnsiTheme="minorHAnsi" w:hint="eastAsia"/>
          <w:b w:val="0"/>
          <w:bCs w:val="0"/>
          <w:sz w:val="24"/>
          <w:szCs w:val="24"/>
          <w:lang w:eastAsia="zh-CN"/>
        </w:rPr>
        <w:t>因此</w:t>
      </w:r>
      <w:r w:rsidR="00D72F83">
        <w:rPr>
          <w:rFonts w:asciiTheme="minorHAnsi" w:eastAsiaTheme="minorEastAsia" w:hAnsiTheme="minorHAnsi"/>
          <w:b w:val="0"/>
          <w:bCs w:val="0"/>
          <w:sz w:val="24"/>
          <w:szCs w:val="24"/>
          <w:lang w:eastAsia="zh-CN"/>
        </w:rPr>
        <w:t>，</w:t>
      </w:r>
      <w:r w:rsidR="007A17E5" w:rsidRPr="00CB2208">
        <w:rPr>
          <w:b w:val="0"/>
          <w:bCs w:val="0"/>
          <w:lang w:eastAsia="zh-CN"/>
        </w:rPr>
        <w:t>电信发展局特别注意培</w:t>
      </w:r>
      <w:r w:rsidR="007A17E5" w:rsidRPr="00CB2208">
        <w:rPr>
          <w:rFonts w:hint="eastAsia"/>
          <w:b w:val="0"/>
          <w:bCs w:val="0"/>
          <w:lang w:eastAsia="zh-CN"/>
        </w:rPr>
        <w:t>养</w:t>
      </w:r>
      <w:r w:rsidR="007A17E5" w:rsidRPr="00CB2208">
        <w:rPr>
          <w:b w:val="0"/>
          <w:bCs w:val="0"/>
          <w:lang w:eastAsia="zh-CN"/>
        </w:rPr>
        <w:t>与</w:t>
      </w:r>
      <w:r w:rsidR="00D72F83">
        <w:rPr>
          <w:rFonts w:eastAsiaTheme="minorEastAsia" w:hint="eastAsia"/>
          <w:b w:val="0"/>
          <w:bCs w:val="0"/>
          <w:lang w:eastAsia="zh-CN"/>
        </w:rPr>
        <w:t>其</w:t>
      </w:r>
      <w:r w:rsidR="007A17E5" w:rsidRPr="00CB2208">
        <w:rPr>
          <w:b w:val="0"/>
          <w:bCs w:val="0"/>
          <w:lang w:eastAsia="zh-CN"/>
        </w:rPr>
        <w:t>合作伙伴的关系</w:t>
      </w:r>
      <w:r w:rsidR="00D72F83">
        <w:rPr>
          <w:rFonts w:eastAsiaTheme="minorEastAsia" w:hint="eastAsia"/>
          <w:b w:val="0"/>
          <w:bCs w:val="0"/>
          <w:lang w:eastAsia="zh-CN"/>
        </w:rPr>
        <w:t>，并</w:t>
      </w:r>
      <w:r w:rsidR="00D72F83" w:rsidRPr="00CB2208">
        <w:rPr>
          <w:rFonts w:hint="eastAsia"/>
          <w:b w:val="0"/>
          <w:bCs w:val="0"/>
          <w:lang w:eastAsia="zh-CN"/>
        </w:rPr>
        <w:t>长</w:t>
      </w:r>
      <w:r w:rsidR="00D72F83" w:rsidRPr="00CB2208">
        <w:rPr>
          <w:b w:val="0"/>
          <w:bCs w:val="0"/>
          <w:lang w:eastAsia="zh-CN"/>
        </w:rPr>
        <w:t>久</w:t>
      </w:r>
      <w:r w:rsidR="00D72F83">
        <w:rPr>
          <w:rFonts w:eastAsiaTheme="minorEastAsia" w:hint="eastAsia"/>
          <w:b w:val="0"/>
          <w:bCs w:val="0"/>
          <w:lang w:eastAsia="zh-CN"/>
        </w:rPr>
        <w:t>保持这一</w:t>
      </w:r>
      <w:r w:rsidR="007A17E5" w:rsidRPr="00CB2208">
        <w:rPr>
          <w:b w:val="0"/>
          <w:bCs w:val="0"/>
          <w:lang w:eastAsia="zh-CN"/>
        </w:rPr>
        <w:t>关系</w:t>
      </w:r>
      <w:r w:rsidR="00D72F83">
        <w:rPr>
          <w:rFonts w:eastAsiaTheme="minorEastAsia" w:hint="eastAsia"/>
          <w:b w:val="0"/>
          <w:bCs w:val="0"/>
          <w:lang w:eastAsia="zh-CN"/>
        </w:rPr>
        <w:t>。</w:t>
      </w:r>
      <w:r w:rsidR="00D72F83">
        <w:rPr>
          <w:rFonts w:eastAsiaTheme="minorEastAsia" w:hint="eastAsia"/>
          <w:b w:val="0"/>
          <w:bCs w:val="0"/>
          <w:lang w:eastAsia="zh-CN"/>
        </w:rPr>
        <w:t xml:space="preserve"> </w:t>
      </w:r>
    </w:p>
    <w:p w:rsidR="009F30AD" w:rsidRPr="00B55BFB" w:rsidRDefault="00DA2659" w:rsidP="00D72F83">
      <w:pPr>
        <w:pStyle w:val="CEOParagraph1"/>
        <w:numPr>
          <w:ilvl w:val="0"/>
          <w:numId w:val="0"/>
        </w:numPr>
        <w:spacing w:before="120" w:after="0"/>
        <w:ind w:firstLineChars="200" w:firstLine="480"/>
        <w:rPr>
          <w:rFonts w:asciiTheme="minorHAnsi" w:hAnsiTheme="minorHAnsi"/>
          <w:b w:val="0"/>
          <w:bCs w:val="0"/>
          <w:sz w:val="24"/>
          <w:szCs w:val="24"/>
          <w:lang w:eastAsia="zh-CN"/>
        </w:rPr>
      </w:pPr>
      <w:bookmarkStart w:id="20" w:name="lt_pId149"/>
      <w:r>
        <w:rPr>
          <w:rFonts w:asciiTheme="minorHAnsi" w:eastAsiaTheme="minorEastAsia" w:hAnsiTheme="minorHAnsi"/>
          <w:b w:val="0"/>
          <w:bCs w:val="0"/>
          <w:sz w:val="24"/>
          <w:szCs w:val="24"/>
          <w:lang w:eastAsia="zh-CN"/>
        </w:rPr>
        <w:t>认识到在</w:t>
      </w:r>
      <w:r>
        <w:rPr>
          <w:rFonts w:asciiTheme="minorHAnsi" w:eastAsiaTheme="minorEastAsia" w:hAnsiTheme="minorHAnsi" w:hint="eastAsia"/>
          <w:b w:val="0"/>
          <w:bCs w:val="0"/>
          <w:sz w:val="24"/>
          <w:szCs w:val="24"/>
          <w:lang w:eastAsia="zh-CN"/>
        </w:rPr>
        <w:t>融合</w:t>
      </w:r>
      <w:r>
        <w:rPr>
          <w:rFonts w:asciiTheme="minorHAnsi" w:eastAsiaTheme="minorEastAsia" w:hAnsiTheme="minorHAnsi"/>
          <w:b w:val="0"/>
          <w:bCs w:val="0"/>
          <w:sz w:val="24"/>
          <w:szCs w:val="24"/>
          <w:lang w:eastAsia="zh-CN"/>
        </w:rPr>
        <w:t>的</w:t>
      </w:r>
      <w:r>
        <w:rPr>
          <w:rFonts w:asciiTheme="minorHAnsi" w:eastAsiaTheme="minorEastAsia" w:hAnsiTheme="minorHAnsi"/>
          <w:b w:val="0"/>
          <w:bCs w:val="0"/>
          <w:sz w:val="24"/>
          <w:szCs w:val="24"/>
          <w:lang w:eastAsia="zh-CN"/>
        </w:rPr>
        <w:t>ICT</w:t>
      </w:r>
      <w:r>
        <w:rPr>
          <w:rFonts w:asciiTheme="minorHAnsi" w:eastAsiaTheme="minorEastAsia" w:hAnsiTheme="minorHAnsi" w:hint="eastAsia"/>
          <w:b w:val="0"/>
          <w:bCs w:val="0"/>
          <w:sz w:val="24"/>
          <w:szCs w:val="24"/>
          <w:lang w:eastAsia="zh-CN"/>
        </w:rPr>
        <w:t>生态</w:t>
      </w:r>
      <w:r>
        <w:rPr>
          <w:rFonts w:asciiTheme="minorHAnsi" w:eastAsiaTheme="minorEastAsia" w:hAnsiTheme="minorHAnsi"/>
          <w:b w:val="0"/>
          <w:bCs w:val="0"/>
          <w:sz w:val="24"/>
          <w:szCs w:val="24"/>
          <w:lang w:eastAsia="zh-CN"/>
        </w:rPr>
        <w:t>系统中通过宣传活动扩大和增加伙伴</w:t>
      </w:r>
      <w:r w:rsidR="00D72F83">
        <w:rPr>
          <w:rFonts w:asciiTheme="minorHAnsi" w:eastAsiaTheme="minorEastAsia" w:hAnsiTheme="minorHAnsi" w:hint="eastAsia"/>
          <w:b w:val="0"/>
          <w:bCs w:val="0"/>
          <w:sz w:val="24"/>
          <w:szCs w:val="24"/>
          <w:lang w:eastAsia="zh-CN"/>
        </w:rPr>
        <w:t>至关重要</w:t>
      </w:r>
      <w:r>
        <w:rPr>
          <w:rFonts w:asciiTheme="minorHAnsi" w:eastAsiaTheme="minorEastAsia" w:hAnsiTheme="minorHAnsi"/>
          <w:b w:val="0"/>
          <w:bCs w:val="0"/>
          <w:sz w:val="24"/>
          <w:szCs w:val="24"/>
          <w:lang w:eastAsia="zh-CN"/>
        </w:rPr>
        <w:t>，电信发展局与</w:t>
      </w:r>
      <w:r>
        <w:rPr>
          <w:rFonts w:asciiTheme="minorHAnsi" w:eastAsiaTheme="minorEastAsia" w:hAnsiTheme="minorHAnsi"/>
          <w:b w:val="0"/>
          <w:bCs w:val="0"/>
          <w:sz w:val="24"/>
          <w:szCs w:val="24"/>
          <w:lang w:eastAsia="zh-CN"/>
        </w:rPr>
        <w:t>ICT</w:t>
      </w:r>
      <w:r>
        <w:rPr>
          <w:rFonts w:asciiTheme="minorHAnsi" w:eastAsiaTheme="minorEastAsia" w:hAnsiTheme="minorHAnsi"/>
          <w:b w:val="0"/>
          <w:bCs w:val="0"/>
          <w:sz w:val="24"/>
          <w:szCs w:val="24"/>
          <w:lang w:eastAsia="zh-CN"/>
        </w:rPr>
        <w:t>行业以外的伙伴开展接触，如卫生</w:t>
      </w:r>
      <w:r>
        <w:rPr>
          <w:rFonts w:asciiTheme="minorHAnsi" w:eastAsiaTheme="minorEastAsia" w:hAnsiTheme="minorHAnsi" w:hint="eastAsia"/>
          <w:b w:val="0"/>
          <w:bCs w:val="0"/>
          <w:sz w:val="24"/>
          <w:szCs w:val="24"/>
          <w:lang w:eastAsia="zh-CN"/>
        </w:rPr>
        <w:t>/</w:t>
      </w:r>
      <w:r>
        <w:rPr>
          <w:rFonts w:asciiTheme="minorHAnsi" w:eastAsiaTheme="minorEastAsia" w:hAnsiTheme="minorHAnsi" w:hint="eastAsia"/>
          <w:b w:val="0"/>
          <w:bCs w:val="0"/>
          <w:sz w:val="24"/>
          <w:szCs w:val="24"/>
          <w:lang w:eastAsia="zh-CN"/>
        </w:rPr>
        <w:t>医药</w:t>
      </w:r>
      <w:r>
        <w:rPr>
          <w:rFonts w:asciiTheme="minorHAnsi" w:eastAsiaTheme="minorEastAsia" w:hAnsiTheme="minorHAnsi"/>
          <w:b w:val="0"/>
          <w:bCs w:val="0"/>
          <w:sz w:val="24"/>
          <w:szCs w:val="24"/>
          <w:lang w:eastAsia="zh-CN"/>
        </w:rPr>
        <w:t>、金融或农业行业的伙伴。</w:t>
      </w:r>
      <w:r>
        <w:rPr>
          <w:rFonts w:asciiTheme="minorHAnsi" w:eastAsiaTheme="minorEastAsia" w:hAnsiTheme="minorHAnsi" w:hint="eastAsia"/>
          <w:b w:val="0"/>
          <w:bCs w:val="0"/>
          <w:sz w:val="24"/>
          <w:szCs w:val="24"/>
          <w:lang w:eastAsia="zh-CN"/>
        </w:rPr>
        <w:t>2</w:t>
      </w:r>
      <w:r>
        <w:rPr>
          <w:rFonts w:asciiTheme="minorHAnsi" w:eastAsiaTheme="minorEastAsia" w:hAnsiTheme="minorHAnsi"/>
          <w:b w:val="0"/>
          <w:bCs w:val="0"/>
          <w:sz w:val="24"/>
          <w:szCs w:val="24"/>
          <w:lang w:eastAsia="zh-CN"/>
        </w:rPr>
        <w:t>017</w:t>
      </w:r>
      <w:r>
        <w:rPr>
          <w:rFonts w:asciiTheme="minorHAnsi" w:eastAsiaTheme="minorEastAsia" w:hAnsiTheme="minorHAnsi" w:hint="eastAsia"/>
          <w:b w:val="0"/>
          <w:bCs w:val="0"/>
          <w:sz w:val="24"/>
          <w:szCs w:val="24"/>
          <w:lang w:eastAsia="zh-CN"/>
        </w:rPr>
        <w:t>年</w:t>
      </w:r>
      <w:r>
        <w:rPr>
          <w:rFonts w:asciiTheme="minorHAnsi" w:eastAsiaTheme="minorEastAsia" w:hAnsiTheme="minorHAnsi"/>
          <w:b w:val="0"/>
          <w:bCs w:val="0"/>
          <w:sz w:val="24"/>
          <w:szCs w:val="24"/>
          <w:lang w:eastAsia="zh-CN"/>
        </w:rPr>
        <w:t>，与</w:t>
      </w:r>
      <w:bookmarkStart w:id="21" w:name="lt_pId150"/>
      <w:bookmarkEnd w:id="20"/>
      <w:r w:rsidR="009F30AD" w:rsidRPr="00B55BFB">
        <w:rPr>
          <w:rFonts w:asciiTheme="minorHAnsi" w:hAnsiTheme="minorHAnsi"/>
          <w:b w:val="0"/>
          <w:bCs w:val="0"/>
          <w:sz w:val="24"/>
          <w:szCs w:val="24"/>
          <w:lang w:eastAsia="zh-CN"/>
        </w:rPr>
        <w:t>Pierre Favre</w:t>
      </w:r>
      <w:r>
        <w:rPr>
          <w:rFonts w:asciiTheme="minorHAnsi" w:eastAsiaTheme="minorEastAsia" w:hAnsiTheme="minorHAnsi" w:hint="eastAsia"/>
          <w:b w:val="0"/>
          <w:bCs w:val="0"/>
          <w:sz w:val="24"/>
          <w:szCs w:val="24"/>
          <w:lang w:eastAsia="zh-CN"/>
        </w:rPr>
        <w:t>基金</w:t>
      </w:r>
      <w:r>
        <w:rPr>
          <w:rFonts w:asciiTheme="minorHAnsi" w:eastAsiaTheme="minorEastAsia" w:hAnsiTheme="minorHAnsi"/>
          <w:b w:val="0"/>
          <w:bCs w:val="0"/>
          <w:sz w:val="24"/>
          <w:szCs w:val="24"/>
          <w:lang w:eastAsia="zh-CN"/>
        </w:rPr>
        <w:t>会签署了移动卫生举措伙伴关系并与国际</w:t>
      </w:r>
      <w:r w:rsidR="00D72F83">
        <w:rPr>
          <w:rFonts w:asciiTheme="minorHAnsi" w:eastAsiaTheme="minorEastAsia" w:hAnsiTheme="minorHAnsi" w:hint="eastAsia"/>
          <w:b w:val="0"/>
          <w:bCs w:val="0"/>
          <w:sz w:val="24"/>
          <w:szCs w:val="24"/>
          <w:lang w:eastAsia="zh-CN"/>
        </w:rPr>
        <w:t>固体</w:t>
      </w:r>
      <w:r>
        <w:rPr>
          <w:rFonts w:asciiTheme="minorHAnsi" w:eastAsiaTheme="minorEastAsia" w:hAnsiTheme="minorHAnsi"/>
          <w:b w:val="0"/>
          <w:bCs w:val="0"/>
          <w:sz w:val="24"/>
          <w:szCs w:val="24"/>
          <w:lang w:eastAsia="zh-CN"/>
        </w:rPr>
        <w:t>废物协会和联合国大学欧洲副校长、可持续周期项目（</w:t>
      </w:r>
      <w:r w:rsidR="009F30AD" w:rsidRPr="00B55BFB">
        <w:rPr>
          <w:rFonts w:asciiTheme="minorHAnsi" w:hAnsiTheme="minorHAnsi"/>
          <w:b w:val="0"/>
          <w:bCs w:val="0"/>
          <w:sz w:val="24"/>
          <w:szCs w:val="24"/>
          <w:lang w:eastAsia="zh-CN"/>
        </w:rPr>
        <w:t>UN-ViE SCYCLE UN</w:t>
      </w:r>
      <w:r>
        <w:rPr>
          <w:rFonts w:asciiTheme="minorHAnsi" w:eastAsiaTheme="minorEastAsia" w:hAnsiTheme="minorHAnsi" w:hint="eastAsia"/>
          <w:b w:val="0"/>
          <w:bCs w:val="0"/>
          <w:sz w:val="24"/>
          <w:szCs w:val="24"/>
          <w:lang w:eastAsia="zh-CN"/>
        </w:rPr>
        <w:t>）</w:t>
      </w:r>
      <w:r w:rsidR="00D72F83">
        <w:rPr>
          <w:rFonts w:asciiTheme="minorHAnsi" w:eastAsiaTheme="minorEastAsia" w:hAnsiTheme="minorHAnsi" w:hint="eastAsia"/>
          <w:b w:val="0"/>
          <w:bCs w:val="0"/>
          <w:sz w:val="24"/>
          <w:szCs w:val="24"/>
          <w:lang w:eastAsia="zh-CN"/>
        </w:rPr>
        <w:t>取得</w:t>
      </w:r>
      <w:r w:rsidR="00D72F83">
        <w:rPr>
          <w:rFonts w:asciiTheme="minorHAnsi" w:eastAsiaTheme="minorEastAsia" w:hAnsiTheme="minorHAnsi"/>
          <w:b w:val="0"/>
          <w:bCs w:val="0"/>
          <w:sz w:val="24"/>
          <w:szCs w:val="24"/>
          <w:lang w:eastAsia="zh-CN"/>
        </w:rPr>
        <w:t>联系</w:t>
      </w:r>
      <w:r>
        <w:rPr>
          <w:rFonts w:asciiTheme="minorHAnsi" w:eastAsiaTheme="minorEastAsia" w:hAnsiTheme="minorHAnsi"/>
          <w:b w:val="0"/>
          <w:bCs w:val="0"/>
          <w:sz w:val="24"/>
          <w:szCs w:val="24"/>
          <w:lang w:eastAsia="zh-CN"/>
        </w:rPr>
        <w:t>。</w:t>
      </w:r>
      <w:bookmarkEnd w:id="21"/>
    </w:p>
    <w:p w:rsidR="009F30AD" w:rsidRDefault="00DA2659" w:rsidP="00D72F83">
      <w:pPr>
        <w:pStyle w:val="CEOParagraph1"/>
        <w:numPr>
          <w:ilvl w:val="0"/>
          <w:numId w:val="0"/>
        </w:numPr>
        <w:spacing w:before="120" w:after="0"/>
        <w:ind w:firstLineChars="200" w:firstLine="480"/>
        <w:rPr>
          <w:rFonts w:asciiTheme="minorHAnsi" w:hAnsiTheme="minorHAnsi"/>
          <w:b w:val="0"/>
          <w:bCs w:val="0"/>
          <w:sz w:val="24"/>
          <w:szCs w:val="24"/>
          <w:lang w:eastAsia="zh-CN"/>
        </w:rPr>
      </w:pPr>
      <w:bookmarkStart w:id="22" w:name="lt_pId151"/>
      <w:r>
        <w:rPr>
          <w:rFonts w:asciiTheme="minorHAnsi" w:eastAsiaTheme="minorEastAsia" w:hAnsiTheme="minorHAnsi" w:hint="eastAsia"/>
          <w:b w:val="0"/>
          <w:bCs w:val="0"/>
          <w:sz w:val="24"/>
          <w:szCs w:val="24"/>
          <w:lang w:eastAsia="zh-CN"/>
        </w:rPr>
        <w:t>为</w:t>
      </w:r>
      <w:r>
        <w:rPr>
          <w:rFonts w:asciiTheme="minorHAnsi" w:eastAsiaTheme="minorEastAsia" w:hAnsiTheme="minorHAnsi"/>
          <w:b w:val="0"/>
          <w:bCs w:val="0"/>
          <w:sz w:val="24"/>
          <w:szCs w:val="24"/>
          <w:lang w:eastAsia="zh-CN"/>
        </w:rPr>
        <w:t>确保现有伙伴的不断参与以及新伙伴在发展活动</w:t>
      </w:r>
      <w:r>
        <w:rPr>
          <w:rFonts w:asciiTheme="minorHAnsi" w:eastAsiaTheme="minorEastAsia" w:hAnsiTheme="minorHAnsi" w:hint="eastAsia"/>
          <w:b w:val="0"/>
          <w:bCs w:val="0"/>
          <w:sz w:val="24"/>
          <w:szCs w:val="24"/>
          <w:lang w:eastAsia="zh-CN"/>
        </w:rPr>
        <w:t>、</w:t>
      </w:r>
      <w:r>
        <w:rPr>
          <w:rFonts w:asciiTheme="minorHAnsi" w:eastAsiaTheme="minorEastAsia" w:hAnsiTheme="minorHAnsi"/>
          <w:b w:val="0"/>
          <w:bCs w:val="0"/>
          <w:sz w:val="24"/>
          <w:szCs w:val="24"/>
          <w:lang w:eastAsia="zh-CN"/>
        </w:rPr>
        <w:t>项目和举措中的承诺，电信发展局</w:t>
      </w:r>
      <w:r w:rsidR="00D72F83">
        <w:rPr>
          <w:rFonts w:asciiTheme="minorHAnsi" w:eastAsiaTheme="minorEastAsia" w:hAnsiTheme="minorHAnsi" w:hint="eastAsia"/>
          <w:b w:val="0"/>
          <w:bCs w:val="0"/>
          <w:sz w:val="24"/>
          <w:szCs w:val="24"/>
          <w:lang w:eastAsia="zh-CN"/>
        </w:rPr>
        <w:t>采用</w:t>
      </w:r>
      <w:r>
        <w:rPr>
          <w:rFonts w:asciiTheme="minorHAnsi" w:eastAsiaTheme="minorEastAsia" w:hAnsiTheme="minorHAnsi"/>
          <w:b w:val="0"/>
          <w:bCs w:val="0"/>
          <w:sz w:val="24"/>
          <w:szCs w:val="24"/>
          <w:lang w:eastAsia="zh-CN"/>
        </w:rPr>
        <w:t>会议（双边会议、电信发展局组织的活动、外部活动）、会议</w:t>
      </w:r>
      <w:r w:rsidR="00D72F83">
        <w:rPr>
          <w:rFonts w:asciiTheme="minorHAnsi" w:eastAsiaTheme="minorEastAsia" w:hAnsiTheme="minorHAnsi" w:hint="eastAsia"/>
          <w:b w:val="0"/>
          <w:bCs w:val="0"/>
          <w:sz w:val="24"/>
          <w:szCs w:val="24"/>
          <w:lang w:eastAsia="zh-CN"/>
        </w:rPr>
        <w:t>电话</w:t>
      </w:r>
      <w:r>
        <w:rPr>
          <w:rFonts w:asciiTheme="minorHAnsi" w:eastAsiaTheme="minorEastAsia" w:hAnsiTheme="minorHAnsi"/>
          <w:b w:val="0"/>
          <w:bCs w:val="0"/>
          <w:sz w:val="24"/>
          <w:szCs w:val="24"/>
          <w:lang w:eastAsia="zh-CN"/>
        </w:rPr>
        <w:t>、电子邮件交流、战</w:t>
      </w:r>
      <w:r>
        <w:rPr>
          <w:rFonts w:asciiTheme="minorHAnsi" w:eastAsiaTheme="minorEastAsia" w:hAnsiTheme="minorHAnsi"/>
          <w:b w:val="0"/>
          <w:bCs w:val="0"/>
          <w:sz w:val="24"/>
          <w:szCs w:val="24"/>
          <w:lang w:eastAsia="zh-CN"/>
        </w:rPr>
        <w:lastRenderedPageBreak/>
        <w:t>略性出差和访问等</w:t>
      </w:r>
      <w:r>
        <w:rPr>
          <w:rFonts w:asciiTheme="minorHAnsi" w:eastAsiaTheme="minorEastAsia" w:hAnsiTheme="minorHAnsi" w:hint="eastAsia"/>
          <w:b w:val="0"/>
          <w:bCs w:val="0"/>
          <w:sz w:val="24"/>
          <w:szCs w:val="24"/>
          <w:lang w:eastAsia="zh-CN"/>
        </w:rPr>
        <w:t>若干</w:t>
      </w:r>
      <w:r>
        <w:rPr>
          <w:rFonts w:asciiTheme="minorHAnsi" w:eastAsiaTheme="minorEastAsia" w:hAnsiTheme="minorHAnsi"/>
          <w:b w:val="0"/>
          <w:bCs w:val="0"/>
          <w:sz w:val="24"/>
          <w:szCs w:val="24"/>
          <w:lang w:eastAsia="zh-CN"/>
        </w:rPr>
        <w:t>方式。利用</w:t>
      </w:r>
      <w:r>
        <w:rPr>
          <w:rFonts w:asciiTheme="minorHAnsi" w:eastAsiaTheme="minorEastAsia" w:hAnsiTheme="minorHAnsi" w:hint="eastAsia"/>
          <w:b w:val="0"/>
          <w:bCs w:val="0"/>
          <w:sz w:val="24"/>
          <w:szCs w:val="24"/>
          <w:lang w:eastAsia="zh-CN"/>
        </w:rPr>
        <w:t>适当</w:t>
      </w:r>
      <w:r>
        <w:rPr>
          <w:rFonts w:asciiTheme="minorHAnsi" w:eastAsiaTheme="minorEastAsia" w:hAnsiTheme="minorHAnsi"/>
          <w:b w:val="0"/>
          <w:bCs w:val="0"/>
          <w:sz w:val="24"/>
          <w:szCs w:val="24"/>
          <w:lang w:eastAsia="zh-CN"/>
        </w:rPr>
        <w:t>的宣传手段传播信息并分享资料亦对加强参与电信发展局的工作并为此做出贡献提高了机遇。</w:t>
      </w:r>
      <w:bookmarkEnd w:id="22"/>
    </w:p>
    <w:p w:rsidR="009F30AD" w:rsidRPr="00354E8D" w:rsidRDefault="0072051C" w:rsidP="00C94C59">
      <w:pPr>
        <w:pStyle w:val="Heading3"/>
        <w:rPr>
          <w:bCs/>
          <w:lang w:eastAsia="zh-CN"/>
        </w:rPr>
      </w:pPr>
      <w:r>
        <w:rPr>
          <w:lang w:eastAsia="zh-CN"/>
        </w:rPr>
        <w:t>4.1.1</w:t>
      </w:r>
      <w:r w:rsidR="00C94C59">
        <w:rPr>
          <w:lang w:eastAsia="zh-CN"/>
        </w:rPr>
        <w:tab/>
      </w:r>
      <w:r w:rsidR="00354E8D">
        <w:rPr>
          <w:rFonts w:hint="eastAsia"/>
          <w:lang w:eastAsia="zh-CN"/>
        </w:rPr>
        <w:t>认识</w:t>
      </w:r>
      <w:r w:rsidR="00354E8D">
        <w:rPr>
          <w:lang w:eastAsia="zh-CN"/>
        </w:rPr>
        <w:t>到发展伙伴的重要性</w:t>
      </w:r>
    </w:p>
    <w:p w:rsidR="009F30AD" w:rsidRDefault="00354E8D" w:rsidP="00D72F83">
      <w:pPr>
        <w:pStyle w:val="CEOParagraph1"/>
        <w:numPr>
          <w:ilvl w:val="0"/>
          <w:numId w:val="0"/>
        </w:numPr>
        <w:spacing w:before="120" w:after="0"/>
        <w:ind w:firstLineChars="200" w:firstLine="480"/>
        <w:rPr>
          <w:rFonts w:asciiTheme="minorHAnsi" w:hAnsiTheme="minorHAnsi"/>
          <w:b w:val="0"/>
          <w:bCs w:val="0"/>
          <w:sz w:val="24"/>
          <w:szCs w:val="24"/>
          <w:lang w:eastAsia="zh-CN"/>
        </w:rPr>
      </w:pPr>
      <w:bookmarkStart w:id="23" w:name="lt_pId155"/>
      <w:r w:rsidRPr="00354E8D">
        <w:rPr>
          <w:rFonts w:asciiTheme="minorHAnsi" w:eastAsiaTheme="minorEastAsia" w:hAnsiTheme="minorHAnsi" w:hint="eastAsia"/>
          <w:b w:val="0"/>
          <w:bCs w:val="0"/>
          <w:sz w:val="24"/>
          <w:szCs w:val="24"/>
          <w:lang w:eastAsia="zh-CN"/>
        </w:rPr>
        <w:t>认识</w:t>
      </w:r>
      <w:r w:rsidRPr="00354E8D">
        <w:rPr>
          <w:rFonts w:asciiTheme="minorHAnsi" w:eastAsiaTheme="minorEastAsia" w:hAnsiTheme="minorHAnsi"/>
          <w:b w:val="0"/>
          <w:bCs w:val="0"/>
          <w:sz w:val="24"/>
          <w:szCs w:val="24"/>
          <w:lang w:eastAsia="zh-CN"/>
        </w:rPr>
        <w:t>到发展</w:t>
      </w:r>
      <w:r>
        <w:rPr>
          <w:rFonts w:asciiTheme="minorHAnsi" w:eastAsiaTheme="minorEastAsia" w:hAnsiTheme="minorHAnsi" w:hint="eastAsia"/>
          <w:b w:val="0"/>
          <w:bCs w:val="0"/>
          <w:sz w:val="24"/>
          <w:szCs w:val="24"/>
          <w:lang w:eastAsia="zh-CN"/>
        </w:rPr>
        <w:t>合作</w:t>
      </w:r>
      <w:r w:rsidRPr="00354E8D">
        <w:rPr>
          <w:rFonts w:asciiTheme="minorHAnsi" w:eastAsiaTheme="minorEastAsia" w:hAnsiTheme="minorHAnsi"/>
          <w:b w:val="0"/>
          <w:bCs w:val="0"/>
          <w:sz w:val="24"/>
          <w:szCs w:val="24"/>
          <w:lang w:eastAsia="zh-CN"/>
        </w:rPr>
        <w:t>伙伴的重要性</w:t>
      </w:r>
      <w:r>
        <w:rPr>
          <w:rFonts w:asciiTheme="minorHAnsi" w:eastAsiaTheme="minorEastAsia" w:hAnsiTheme="minorHAnsi" w:hint="eastAsia"/>
          <w:b w:val="0"/>
          <w:bCs w:val="0"/>
          <w:sz w:val="24"/>
          <w:szCs w:val="24"/>
          <w:lang w:eastAsia="zh-CN"/>
        </w:rPr>
        <w:t>，</w:t>
      </w:r>
      <w:r>
        <w:rPr>
          <w:rFonts w:asciiTheme="minorHAnsi" w:eastAsiaTheme="minorEastAsia" w:hAnsiTheme="minorHAnsi"/>
          <w:b w:val="0"/>
          <w:bCs w:val="0"/>
          <w:sz w:val="24"/>
          <w:szCs w:val="24"/>
          <w:lang w:eastAsia="zh-CN"/>
        </w:rPr>
        <w:t>特别是通过区域和全球层面开展的不同举措和项目筹措资金在过去</w:t>
      </w:r>
      <w:r>
        <w:rPr>
          <w:rFonts w:asciiTheme="minorHAnsi" w:eastAsiaTheme="minorEastAsia" w:hAnsiTheme="minorHAnsi" w:hint="eastAsia"/>
          <w:b w:val="0"/>
          <w:bCs w:val="0"/>
          <w:sz w:val="24"/>
          <w:szCs w:val="24"/>
          <w:lang w:eastAsia="zh-CN"/>
        </w:rPr>
        <w:t>25</w:t>
      </w:r>
      <w:r>
        <w:rPr>
          <w:rFonts w:asciiTheme="minorHAnsi" w:eastAsiaTheme="minorEastAsia" w:hAnsiTheme="minorHAnsi" w:hint="eastAsia"/>
          <w:b w:val="0"/>
          <w:bCs w:val="0"/>
          <w:sz w:val="24"/>
          <w:szCs w:val="24"/>
          <w:lang w:eastAsia="zh-CN"/>
        </w:rPr>
        <w:t>年</w:t>
      </w:r>
      <w:r>
        <w:rPr>
          <w:rFonts w:asciiTheme="minorHAnsi" w:eastAsiaTheme="minorEastAsia" w:hAnsiTheme="minorHAnsi"/>
          <w:b w:val="0"/>
          <w:bCs w:val="0"/>
          <w:sz w:val="24"/>
          <w:szCs w:val="24"/>
          <w:lang w:eastAsia="zh-CN"/>
        </w:rPr>
        <w:t>为</w:t>
      </w:r>
      <w:r w:rsidR="009F30AD" w:rsidRPr="00B55BFB">
        <w:rPr>
          <w:rFonts w:asciiTheme="minorHAnsi" w:hAnsiTheme="minorHAnsi"/>
          <w:b w:val="0"/>
          <w:bCs w:val="0"/>
          <w:sz w:val="24"/>
          <w:szCs w:val="24"/>
          <w:lang w:eastAsia="zh-CN"/>
        </w:rPr>
        <w:t>ITU-D</w:t>
      </w:r>
      <w:r>
        <w:rPr>
          <w:rFonts w:asciiTheme="minorHAnsi" w:eastAsiaTheme="minorEastAsia" w:hAnsiTheme="minorHAnsi" w:hint="eastAsia"/>
          <w:b w:val="0"/>
          <w:bCs w:val="0"/>
          <w:sz w:val="24"/>
          <w:szCs w:val="24"/>
          <w:lang w:eastAsia="zh-CN"/>
        </w:rPr>
        <w:t>部门</w:t>
      </w:r>
      <w:r>
        <w:rPr>
          <w:rFonts w:asciiTheme="minorHAnsi" w:eastAsiaTheme="minorEastAsia" w:hAnsiTheme="minorHAnsi"/>
          <w:b w:val="0"/>
          <w:bCs w:val="0"/>
          <w:sz w:val="24"/>
          <w:szCs w:val="24"/>
          <w:lang w:eastAsia="zh-CN"/>
        </w:rPr>
        <w:t>做出的贡献，诸如澳大利亚政</w:t>
      </w:r>
      <w:r>
        <w:rPr>
          <w:rFonts w:asciiTheme="minorHAnsi" w:eastAsiaTheme="minorEastAsia" w:hAnsiTheme="minorHAnsi" w:hint="eastAsia"/>
          <w:b w:val="0"/>
          <w:bCs w:val="0"/>
          <w:sz w:val="24"/>
          <w:szCs w:val="24"/>
          <w:lang w:eastAsia="zh-CN"/>
        </w:rPr>
        <w:t>府</w:t>
      </w:r>
      <w:r>
        <w:rPr>
          <w:rFonts w:asciiTheme="minorHAnsi" w:eastAsiaTheme="minorEastAsia" w:hAnsiTheme="minorHAnsi"/>
          <w:b w:val="0"/>
          <w:bCs w:val="0"/>
          <w:sz w:val="24"/>
          <w:szCs w:val="24"/>
          <w:lang w:eastAsia="zh-CN"/>
        </w:rPr>
        <w:t>、欧洲委员会和</w:t>
      </w:r>
      <w:r>
        <w:rPr>
          <w:rFonts w:asciiTheme="minorHAnsi" w:eastAsiaTheme="minorEastAsia" w:hAnsiTheme="minorHAnsi" w:hint="eastAsia"/>
          <w:b w:val="0"/>
          <w:bCs w:val="0"/>
          <w:sz w:val="24"/>
          <w:szCs w:val="24"/>
          <w:lang w:eastAsia="zh-CN"/>
        </w:rPr>
        <w:t>比</w:t>
      </w:r>
      <w:r>
        <w:rPr>
          <w:rFonts w:asciiTheme="minorHAnsi" w:eastAsiaTheme="minorEastAsia" w:hAnsiTheme="minorHAnsi"/>
          <w:b w:val="0"/>
          <w:bCs w:val="0"/>
          <w:sz w:val="24"/>
          <w:szCs w:val="24"/>
          <w:lang w:eastAsia="zh-CN"/>
        </w:rPr>
        <w:t>尔和美林达</w:t>
      </w:r>
      <w:r>
        <w:rPr>
          <w:rFonts w:asciiTheme="minorHAnsi" w:eastAsiaTheme="minorEastAsia" w:hAnsiTheme="minorHAnsi" w:hint="eastAsia"/>
          <w:b w:val="0"/>
          <w:bCs w:val="0"/>
          <w:sz w:val="24"/>
          <w:szCs w:val="24"/>
          <w:lang w:eastAsia="zh-CN"/>
        </w:rPr>
        <w:t>盖</w:t>
      </w:r>
      <w:r>
        <w:rPr>
          <w:rFonts w:asciiTheme="minorHAnsi" w:eastAsiaTheme="minorEastAsia" w:hAnsiTheme="minorHAnsi"/>
          <w:b w:val="0"/>
          <w:bCs w:val="0"/>
          <w:sz w:val="24"/>
          <w:szCs w:val="24"/>
          <w:lang w:eastAsia="zh-CN"/>
        </w:rPr>
        <w:t>茨基金会等</w:t>
      </w:r>
      <w:r>
        <w:rPr>
          <w:rFonts w:asciiTheme="minorHAnsi" w:eastAsiaTheme="minorEastAsia" w:hAnsiTheme="minorHAnsi" w:hint="eastAsia"/>
          <w:b w:val="0"/>
          <w:bCs w:val="0"/>
          <w:sz w:val="24"/>
          <w:szCs w:val="24"/>
          <w:lang w:eastAsia="zh-CN"/>
        </w:rPr>
        <w:t>重要</w:t>
      </w:r>
      <w:r>
        <w:rPr>
          <w:rFonts w:asciiTheme="minorHAnsi" w:eastAsiaTheme="minorEastAsia" w:hAnsiTheme="minorHAnsi"/>
          <w:b w:val="0"/>
          <w:bCs w:val="0"/>
          <w:sz w:val="24"/>
          <w:szCs w:val="24"/>
          <w:lang w:eastAsia="zh-CN"/>
        </w:rPr>
        <w:t>合</w:t>
      </w:r>
      <w:r>
        <w:rPr>
          <w:rFonts w:asciiTheme="minorHAnsi" w:eastAsiaTheme="minorEastAsia" w:hAnsiTheme="minorHAnsi" w:hint="eastAsia"/>
          <w:b w:val="0"/>
          <w:bCs w:val="0"/>
          <w:sz w:val="24"/>
          <w:szCs w:val="24"/>
          <w:lang w:eastAsia="zh-CN"/>
        </w:rPr>
        <w:t>作</w:t>
      </w:r>
      <w:r>
        <w:rPr>
          <w:rFonts w:asciiTheme="minorHAnsi" w:eastAsiaTheme="minorEastAsia" w:hAnsiTheme="minorHAnsi"/>
          <w:b w:val="0"/>
          <w:bCs w:val="0"/>
          <w:sz w:val="24"/>
          <w:szCs w:val="24"/>
          <w:lang w:eastAsia="zh-CN"/>
        </w:rPr>
        <w:t>伙伴</w:t>
      </w:r>
      <w:r w:rsidR="00D72F83">
        <w:rPr>
          <w:rFonts w:asciiTheme="minorHAnsi" w:eastAsiaTheme="minorEastAsia" w:hAnsiTheme="minorHAnsi" w:hint="eastAsia"/>
          <w:b w:val="0"/>
          <w:bCs w:val="0"/>
          <w:sz w:val="24"/>
          <w:szCs w:val="24"/>
          <w:lang w:eastAsia="zh-CN"/>
        </w:rPr>
        <w:t>在</w:t>
      </w:r>
      <w:r>
        <w:rPr>
          <w:rFonts w:asciiTheme="minorHAnsi" w:hAnsiTheme="minorHAnsi"/>
          <w:b w:val="0"/>
          <w:bCs w:val="0"/>
          <w:sz w:val="24"/>
          <w:szCs w:val="24"/>
          <w:lang w:eastAsia="zh-CN"/>
        </w:rPr>
        <w:t>WTDC-17</w:t>
      </w:r>
      <w:r>
        <w:rPr>
          <w:rFonts w:asciiTheme="minorHAnsi" w:eastAsiaTheme="minorEastAsia" w:hAnsiTheme="minorHAnsi" w:hint="eastAsia"/>
          <w:b w:val="0"/>
          <w:bCs w:val="0"/>
          <w:sz w:val="24"/>
          <w:szCs w:val="24"/>
          <w:lang w:eastAsia="zh-CN"/>
        </w:rPr>
        <w:t>期间</w:t>
      </w:r>
      <w:r w:rsidR="00D72F83">
        <w:rPr>
          <w:rFonts w:asciiTheme="minorHAnsi" w:eastAsiaTheme="minorEastAsia" w:hAnsiTheme="minorHAnsi" w:hint="eastAsia"/>
          <w:b w:val="0"/>
          <w:bCs w:val="0"/>
          <w:sz w:val="24"/>
          <w:szCs w:val="24"/>
          <w:lang w:eastAsia="zh-CN"/>
        </w:rPr>
        <w:t>举办</w:t>
      </w:r>
      <w:r w:rsidR="00D72F83">
        <w:rPr>
          <w:rFonts w:asciiTheme="minorHAnsi" w:eastAsiaTheme="minorEastAsia" w:hAnsiTheme="minorHAnsi"/>
          <w:b w:val="0"/>
          <w:bCs w:val="0"/>
          <w:sz w:val="24"/>
          <w:szCs w:val="24"/>
          <w:lang w:eastAsia="zh-CN"/>
        </w:rPr>
        <w:t>的</w:t>
      </w:r>
      <w:r>
        <w:rPr>
          <w:rFonts w:asciiTheme="minorHAnsi" w:hAnsiTheme="minorHAnsi"/>
          <w:b w:val="0"/>
          <w:bCs w:val="0"/>
          <w:sz w:val="24"/>
          <w:szCs w:val="24"/>
          <w:lang w:eastAsia="zh-CN"/>
        </w:rPr>
        <w:t>25</w:t>
      </w:r>
      <w:r>
        <w:rPr>
          <w:rFonts w:asciiTheme="minorHAnsi" w:eastAsiaTheme="minorEastAsia" w:hAnsiTheme="minorHAnsi" w:hint="eastAsia"/>
          <w:b w:val="0"/>
          <w:bCs w:val="0"/>
          <w:sz w:val="24"/>
          <w:szCs w:val="24"/>
          <w:lang w:eastAsia="zh-CN"/>
        </w:rPr>
        <w:t>周年</w:t>
      </w:r>
      <w:r>
        <w:rPr>
          <w:rFonts w:asciiTheme="minorHAnsi" w:eastAsiaTheme="minorEastAsia" w:hAnsiTheme="minorHAnsi"/>
          <w:b w:val="0"/>
          <w:bCs w:val="0"/>
          <w:sz w:val="24"/>
          <w:szCs w:val="24"/>
          <w:lang w:eastAsia="zh-CN"/>
        </w:rPr>
        <w:t>庆祝活动中荣获奖励。</w:t>
      </w:r>
      <w:bookmarkEnd w:id="23"/>
    </w:p>
    <w:p w:rsidR="009F30AD" w:rsidRDefault="0072051C" w:rsidP="0072051C">
      <w:pPr>
        <w:pStyle w:val="Heading3"/>
        <w:rPr>
          <w:lang w:val="en-US" w:eastAsia="zh-CN"/>
        </w:rPr>
      </w:pPr>
      <w:r>
        <w:rPr>
          <w:lang w:val="en-US" w:eastAsia="zh-CN"/>
        </w:rPr>
        <w:t>4.1.2</w:t>
      </w:r>
      <w:r w:rsidR="00C94C59">
        <w:rPr>
          <w:lang w:val="en-US" w:eastAsia="zh-CN"/>
        </w:rPr>
        <w:tab/>
      </w:r>
      <w:r w:rsidR="00354E8D">
        <w:rPr>
          <w:rFonts w:hint="eastAsia"/>
          <w:lang w:val="en-US" w:eastAsia="zh-CN"/>
        </w:rPr>
        <w:t>改进</w:t>
      </w:r>
      <w:r w:rsidR="00354E8D">
        <w:rPr>
          <w:lang w:val="en-US" w:eastAsia="zh-CN"/>
        </w:rPr>
        <w:t>伙伴关系工具</w:t>
      </w:r>
    </w:p>
    <w:p w:rsidR="009F30AD" w:rsidRDefault="00354E8D" w:rsidP="00354E8D">
      <w:pPr>
        <w:pStyle w:val="CEONormal"/>
        <w:spacing w:after="0"/>
        <w:ind w:firstLineChars="200" w:firstLine="480"/>
        <w:rPr>
          <w:rFonts w:asciiTheme="minorHAnsi" w:hAnsiTheme="minorHAnsi"/>
          <w:sz w:val="24"/>
          <w:szCs w:val="24"/>
          <w:lang w:eastAsia="zh-CN"/>
        </w:rPr>
      </w:pPr>
      <w:bookmarkStart w:id="24" w:name="lt_pId158"/>
      <w:r>
        <w:rPr>
          <w:rFonts w:asciiTheme="minorHAnsi" w:hAnsiTheme="minorHAnsi" w:hint="eastAsia"/>
          <w:sz w:val="24"/>
          <w:szCs w:val="24"/>
          <w:lang w:eastAsia="zh-CN"/>
        </w:rPr>
        <w:t>伙伴</w:t>
      </w:r>
      <w:r>
        <w:rPr>
          <w:rFonts w:asciiTheme="minorHAnsi" w:hAnsiTheme="minorHAnsi"/>
          <w:sz w:val="24"/>
          <w:szCs w:val="24"/>
          <w:lang w:eastAsia="zh-CN"/>
        </w:rPr>
        <w:t>关系和资源筹措是一个不断演进的过程，需要采取积极的方式。因此</w:t>
      </w:r>
      <w:r>
        <w:rPr>
          <w:rFonts w:asciiTheme="minorHAnsi" w:hAnsiTheme="minorHAnsi" w:hint="eastAsia"/>
          <w:sz w:val="24"/>
          <w:szCs w:val="24"/>
          <w:lang w:eastAsia="zh-CN"/>
        </w:rPr>
        <w:t>，</w:t>
      </w:r>
      <w:r>
        <w:rPr>
          <w:rFonts w:asciiTheme="minorHAnsi" w:hAnsiTheme="minorHAnsi"/>
          <w:sz w:val="24"/>
          <w:szCs w:val="24"/>
          <w:lang w:eastAsia="zh-CN"/>
        </w:rPr>
        <w:t>为支持电信发展局付出的努力和资源筹措工作以支持全球、区域和国家活动、项目和举措的落实</w:t>
      </w:r>
      <w:r>
        <w:rPr>
          <w:rFonts w:asciiTheme="minorHAnsi" w:hAnsiTheme="minorHAnsi" w:hint="eastAsia"/>
          <w:sz w:val="24"/>
          <w:szCs w:val="24"/>
          <w:lang w:eastAsia="zh-CN"/>
        </w:rPr>
        <w:t>，</w:t>
      </w:r>
      <w:r>
        <w:rPr>
          <w:rFonts w:asciiTheme="minorHAnsi" w:hAnsiTheme="minorHAnsi"/>
          <w:sz w:val="24"/>
          <w:szCs w:val="24"/>
          <w:lang w:eastAsia="zh-CN"/>
        </w:rPr>
        <w:t>电信发展局开发并增强了各种内外部产品和工具。</w:t>
      </w:r>
      <w:bookmarkEnd w:id="24"/>
    </w:p>
    <w:p w:rsidR="009F30AD" w:rsidRPr="00C94C59" w:rsidRDefault="00C94C59" w:rsidP="00C94C59">
      <w:pPr>
        <w:pStyle w:val="enumlev1"/>
        <w:rPr>
          <w:rFonts w:eastAsia="Times New Roman"/>
          <w:b/>
          <w:bCs/>
          <w:lang w:eastAsia="zh-CN"/>
        </w:rPr>
      </w:pPr>
      <w:r w:rsidRPr="00C94C59">
        <w:rPr>
          <w:b/>
          <w:bCs/>
          <w:lang w:eastAsia="zh-CN"/>
        </w:rPr>
        <w:t>•</w:t>
      </w:r>
      <w:r w:rsidRPr="00C94C59">
        <w:rPr>
          <w:b/>
          <w:bCs/>
          <w:lang w:eastAsia="zh-CN"/>
        </w:rPr>
        <w:tab/>
      </w:r>
      <w:r w:rsidR="00354E8D" w:rsidRPr="00C94C59">
        <w:rPr>
          <w:rFonts w:hint="eastAsia"/>
          <w:b/>
          <w:bCs/>
          <w:lang w:eastAsia="zh-CN"/>
        </w:rPr>
        <w:t>吸引</w:t>
      </w:r>
      <w:r w:rsidR="00354E8D" w:rsidRPr="00C94C59">
        <w:rPr>
          <w:b/>
          <w:bCs/>
          <w:lang w:eastAsia="zh-CN"/>
        </w:rPr>
        <w:t>融资伙伴的工具</w:t>
      </w:r>
    </w:p>
    <w:p w:rsidR="009F30AD" w:rsidRPr="005E29E1" w:rsidRDefault="00354E8D" w:rsidP="00D72F83">
      <w:pPr>
        <w:ind w:firstLineChars="200" w:firstLine="480"/>
        <w:rPr>
          <w:rFonts w:cs="Calibri"/>
          <w:szCs w:val="24"/>
          <w:lang w:eastAsia="zh-CN"/>
        </w:rPr>
      </w:pPr>
      <w:bookmarkStart w:id="25" w:name="lt_pId161"/>
      <w:r>
        <w:rPr>
          <w:rFonts w:hint="eastAsia"/>
          <w:lang w:eastAsia="zh-CN"/>
        </w:rPr>
        <w:t>电</w:t>
      </w:r>
      <w:r>
        <w:rPr>
          <w:lang w:eastAsia="zh-CN"/>
        </w:rPr>
        <w:t>信发展局开发并</w:t>
      </w:r>
      <w:r w:rsidR="00D72F83">
        <w:rPr>
          <w:rFonts w:hint="eastAsia"/>
          <w:lang w:eastAsia="zh-CN"/>
        </w:rPr>
        <w:t>强化</w:t>
      </w:r>
      <w:r>
        <w:rPr>
          <w:lang w:eastAsia="zh-CN"/>
        </w:rPr>
        <w:t>了</w:t>
      </w:r>
      <w:r>
        <w:rPr>
          <w:rFonts w:eastAsia="STKaiti" w:hint="eastAsia"/>
          <w:b/>
          <w:bCs/>
          <w:lang w:eastAsia="zh-CN"/>
        </w:rPr>
        <w:t>融资伙伴数据库。</w:t>
      </w:r>
      <w:r w:rsidRPr="00354E8D">
        <w:rPr>
          <w:rFonts w:asciiTheme="minorEastAsia" w:hAnsiTheme="minorEastAsia"/>
          <w:lang w:eastAsia="zh-CN"/>
        </w:rPr>
        <w:t>该</w:t>
      </w:r>
      <w:r w:rsidRPr="00354E8D">
        <w:rPr>
          <w:rFonts w:asciiTheme="minorEastAsia" w:hAnsiTheme="minorEastAsia" w:hint="eastAsia"/>
          <w:lang w:eastAsia="zh-CN"/>
        </w:rPr>
        <w:t>数据</w:t>
      </w:r>
      <w:r>
        <w:rPr>
          <w:rFonts w:cs="Calibri" w:hint="eastAsia"/>
          <w:szCs w:val="24"/>
          <w:lang w:val="en-US" w:eastAsia="zh-CN"/>
        </w:rPr>
        <w:t>库</w:t>
      </w:r>
      <w:r>
        <w:rPr>
          <w:rFonts w:hint="eastAsia"/>
          <w:lang w:eastAsia="zh-CN"/>
        </w:rPr>
        <w:t>涵盖</w:t>
      </w:r>
      <w:r>
        <w:rPr>
          <w:rFonts w:hint="eastAsia"/>
          <w:lang w:eastAsia="zh-CN"/>
        </w:rPr>
        <w:t>110</w:t>
      </w:r>
      <w:r>
        <w:rPr>
          <w:rFonts w:hint="eastAsia"/>
          <w:lang w:eastAsia="zh-CN"/>
        </w:rPr>
        <w:t>多家来自主管部门、多边</w:t>
      </w:r>
      <w:r>
        <w:rPr>
          <w:rFonts w:hint="eastAsia"/>
          <w:lang w:eastAsia="zh-CN"/>
        </w:rPr>
        <w:t>/</w:t>
      </w:r>
      <w:r>
        <w:rPr>
          <w:rFonts w:hint="eastAsia"/>
          <w:lang w:eastAsia="zh-CN"/>
        </w:rPr>
        <w:t>双边机构、发展银行、基金会和私营部门实</w:t>
      </w:r>
      <w:r>
        <w:rPr>
          <w:lang w:eastAsia="zh-CN"/>
        </w:rPr>
        <w:t>体</w:t>
      </w:r>
      <w:r>
        <w:rPr>
          <w:rFonts w:hint="eastAsia"/>
          <w:lang w:eastAsia="zh-CN"/>
        </w:rPr>
        <w:t>的资料</w:t>
      </w:r>
      <w:bookmarkEnd w:id="25"/>
      <w:r>
        <w:rPr>
          <w:rFonts w:hint="eastAsia"/>
          <w:lang w:eastAsia="zh-CN"/>
        </w:rPr>
        <w:t>（</w:t>
      </w:r>
      <w:r>
        <w:rPr>
          <w:lang w:eastAsia="zh-CN"/>
        </w:rPr>
        <w:t>职责、发展战略、优先行动领域、受益国和区域、融资类型和机制（</w:t>
      </w:r>
      <w:r>
        <w:rPr>
          <w:rFonts w:hint="eastAsia"/>
          <w:lang w:eastAsia="zh-CN"/>
        </w:rPr>
        <w:t>如</w:t>
      </w:r>
      <w:r>
        <w:rPr>
          <w:lang w:eastAsia="zh-CN"/>
        </w:rPr>
        <w:t>有）</w:t>
      </w:r>
      <w:r>
        <w:rPr>
          <w:rFonts w:hint="eastAsia"/>
          <w:lang w:eastAsia="zh-CN"/>
        </w:rPr>
        <w:t>）</w:t>
      </w:r>
      <w:r>
        <w:rPr>
          <w:lang w:eastAsia="zh-CN"/>
        </w:rPr>
        <w:t>。</w:t>
      </w:r>
    </w:p>
    <w:p w:rsidR="009F30AD" w:rsidRPr="00B55BFB" w:rsidRDefault="006511D4" w:rsidP="00D72F83">
      <w:pPr>
        <w:spacing w:before="240"/>
        <w:ind w:firstLineChars="200" w:firstLine="480"/>
        <w:rPr>
          <w:rFonts w:cs="Calibri"/>
          <w:szCs w:val="24"/>
          <w:lang w:eastAsia="zh-CN"/>
        </w:rPr>
      </w:pPr>
      <w:bookmarkStart w:id="26" w:name="lt_pId163"/>
      <w:r w:rsidRPr="006511D4">
        <w:rPr>
          <w:rFonts w:eastAsia="STKaiti" w:hint="eastAsia"/>
          <w:b/>
          <w:bCs/>
          <w:lang w:eastAsia="zh-CN"/>
        </w:rPr>
        <w:t>伙伴</w:t>
      </w:r>
      <w:r w:rsidRPr="006511D4">
        <w:rPr>
          <w:rFonts w:eastAsia="STKaiti"/>
          <w:b/>
          <w:bCs/>
          <w:lang w:eastAsia="zh-CN"/>
        </w:rPr>
        <w:t>关系协议数据库</w:t>
      </w:r>
      <w:r w:rsidR="00D72F83">
        <w:rPr>
          <w:rFonts w:cs="Calibri" w:hint="eastAsia"/>
          <w:bCs/>
          <w:szCs w:val="24"/>
          <w:lang w:eastAsia="zh-CN"/>
        </w:rPr>
        <w:t>经过</w:t>
      </w:r>
      <w:r w:rsidR="00D72F83">
        <w:rPr>
          <w:rFonts w:cs="Calibri"/>
          <w:bCs/>
          <w:szCs w:val="24"/>
          <w:lang w:eastAsia="zh-CN"/>
        </w:rPr>
        <w:t>完善</w:t>
      </w:r>
      <w:r w:rsidR="00D72F83">
        <w:rPr>
          <w:rFonts w:cs="Calibri" w:hint="eastAsia"/>
          <w:bCs/>
          <w:szCs w:val="24"/>
          <w:lang w:eastAsia="zh-CN"/>
        </w:rPr>
        <w:t>记录</w:t>
      </w:r>
      <w:r w:rsidR="00D72F83">
        <w:rPr>
          <w:rFonts w:cs="Calibri"/>
          <w:bCs/>
          <w:szCs w:val="24"/>
          <w:lang w:eastAsia="zh-CN"/>
        </w:rPr>
        <w:t>了</w:t>
      </w:r>
      <w:r>
        <w:rPr>
          <w:rFonts w:cs="Calibri"/>
          <w:bCs/>
          <w:szCs w:val="24"/>
          <w:lang w:eastAsia="zh-CN"/>
        </w:rPr>
        <w:t>电信发展局与各利益攸关方签署的所有协议。截止</w:t>
      </w:r>
      <w:r>
        <w:rPr>
          <w:rFonts w:cs="Calibri" w:hint="eastAsia"/>
          <w:bCs/>
          <w:szCs w:val="24"/>
          <w:lang w:eastAsia="zh-CN"/>
        </w:rPr>
        <w:t>2017</w:t>
      </w:r>
      <w:r>
        <w:rPr>
          <w:rFonts w:cs="Calibri" w:hint="eastAsia"/>
          <w:bCs/>
          <w:szCs w:val="24"/>
          <w:lang w:eastAsia="zh-CN"/>
        </w:rPr>
        <w:t>年</w:t>
      </w:r>
      <w:r>
        <w:rPr>
          <w:rFonts w:cs="Calibri"/>
          <w:bCs/>
          <w:szCs w:val="24"/>
          <w:lang w:eastAsia="zh-CN"/>
        </w:rPr>
        <w:t>年</w:t>
      </w:r>
      <w:r>
        <w:rPr>
          <w:rFonts w:cs="Calibri" w:hint="eastAsia"/>
          <w:bCs/>
          <w:szCs w:val="24"/>
          <w:lang w:eastAsia="zh-CN"/>
        </w:rPr>
        <w:t>底</w:t>
      </w:r>
      <w:r>
        <w:rPr>
          <w:rFonts w:cs="Calibri"/>
          <w:bCs/>
          <w:szCs w:val="24"/>
          <w:lang w:eastAsia="zh-CN"/>
        </w:rPr>
        <w:t>，已</w:t>
      </w:r>
      <w:r>
        <w:rPr>
          <w:rFonts w:cs="Calibri" w:hint="eastAsia"/>
          <w:bCs/>
          <w:szCs w:val="24"/>
          <w:lang w:eastAsia="zh-CN"/>
        </w:rPr>
        <w:t>有各类</w:t>
      </w:r>
      <w:r>
        <w:rPr>
          <w:rFonts w:cs="Calibri"/>
          <w:bCs/>
          <w:szCs w:val="24"/>
          <w:lang w:eastAsia="zh-CN"/>
        </w:rPr>
        <w:t>协议</w:t>
      </w:r>
      <w:r>
        <w:rPr>
          <w:rFonts w:cs="Calibri" w:hint="eastAsia"/>
          <w:bCs/>
          <w:szCs w:val="24"/>
          <w:lang w:eastAsia="zh-CN"/>
        </w:rPr>
        <w:t>990</w:t>
      </w:r>
      <w:r>
        <w:rPr>
          <w:rFonts w:cs="Calibri" w:hint="eastAsia"/>
          <w:bCs/>
          <w:szCs w:val="24"/>
          <w:lang w:eastAsia="zh-CN"/>
        </w:rPr>
        <w:t>项</w:t>
      </w:r>
      <w:r>
        <w:rPr>
          <w:rFonts w:cs="Calibri"/>
          <w:bCs/>
          <w:szCs w:val="24"/>
          <w:lang w:eastAsia="zh-CN"/>
        </w:rPr>
        <w:t>（谅解备忘录、合作协议、自愿捐赠协议、</w:t>
      </w:r>
      <w:r>
        <w:rPr>
          <w:rFonts w:cs="Calibri" w:hint="eastAsia"/>
          <w:bCs/>
          <w:szCs w:val="24"/>
          <w:lang w:eastAsia="zh-CN"/>
        </w:rPr>
        <w:t>赞助协议、意向</w:t>
      </w:r>
      <w:r>
        <w:rPr>
          <w:rFonts w:cs="Calibri"/>
          <w:bCs/>
          <w:szCs w:val="24"/>
          <w:lang w:eastAsia="zh-CN"/>
        </w:rPr>
        <w:t>书、项目文件）存入数据库。通过</w:t>
      </w:r>
      <w:r>
        <w:rPr>
          <w:rFonts w:cs="Calibri" w:hint="eastAsia"/>
          <w:bCs/>
          <w:szCs w:val="24"/>
          <w:lang w:eastAsia="zh-CN"/>
        </w:rPr>
        <w:t>搜索</w:t>
      </w:r>
      <w:r>
        <w:rPr>
          <w:rFonts w:cs="Calibri"/>
          <w:bCs/>
          <w:szCs w:val="24"/>
          <w:lang w:eastAsia="zh-CN"/>
        </w:rPr>
        <w:t>工具可以</w:t>
      </w:r>
      <w:r w:rsidR="00D72F83">
        <w:rPr>
          <w:rFonts w:cs="Calibri" w:hint="eastAsia"/>
          <w:bCs/>
          <w:szCs w:val="24"/>
          <w:lang w:eastAsia="zh-CN"/>
        </w:rPr>
        <w:t>为开展</w:t>
      </w:r>
      <w:r>
        <w:rPr>
          <w:rFonts w:cs="Calibri" w:hint="eastAsia"/>
          <w:bCs/>
          <w:szCs w:val="24"/>
          <w:lang w:eastAsia="zh-CN"/>
        </w:rPr>
        <w:t>未来</w:t>
      </w:r>
      <w:r>
        <w:rPr>
          <w:rFonts w:cs="Calibri"/>
          <w:bCs/>
          <w:szCs w:val="24"/>
          <w:lang w:eastAsia="zh-CN"/>
        </w:rPr>
        <w:t>活动、项目和举措</w:t>
      </w:r>
      <w:r w:rsidR="00D72F83">
        <w:rPr>
          <w:rFonts w:cs="Calibri" w:hint="eastAsia"/>
          <w:bCs/>
          <w:szCs w:val="24"/>
          <w:lang w:eastAsia="zh-CN"/>
        </w:rPr>
        <w:t>发现</w:t>
      </w:r>
      <w:r>
        <w:rPr>
          <w:rFonts w:cs="Calibri" w:hint="eastAsia"/>
          <w:bCs/>
          <w:szCs w:val="24"/>
          <w:lang w:eastAsia="zh-CN"/>
        </w:rPr>
        <w:t>潜</w:t>
      </w:r>
      <w:r>
        <w:rPr>
          <w:rFonts w:cs="Calibri"/>
          <w:bCs/>
          <w:szCs w:val="24"/>
          <w:lang w:eastAsia="zh-CN"/>
        </w:rPr>
        <w:t>在合作</w:t>
      </w:r>
      <w:r>
        <w:rPr>
          <w:rFonts w:cs="Calibri" w:hint="eastAsia"/>
          <w:bCs/>
          <w:szCs w:val="24"/>
          <w:lang w:eastAsia="zh-CN"/>
        </w:rPr>
        <w:t>伙伴</w:t>
      </w:r>
      <w:r>
        <w:rPr>
          <w:rFonts w:cs="Calibri"/>
          <w:bCs/>
          <w:szCs w:val="24"/>
          <w:lang w:eastAsia="zh-CN"/>
        </w:rPr>
        <w:t>，</w:t>
      </w:r>
      <w:r>
        <w:rPr>
          <w:rFonts w:cs="Calibri" w:hint="eastAsia"/>
          <w:bCs/>
          <w:szCs w:val="24"/>
          <w:lang w:eastAsia="zh-CN"/>
        </w:rPr>
        <w:t>提供</w:t>
      </w:r>
      <w:r>
        <w:rPr>
          <w:rFonts w:cs="Calibri"/>
          <w:bCs/>
          <w:szCs w:val="24"/>
          <w:lang w:eastAsia="zh-CN"/>
        </w:rPr>
        <w:t>该合作伙伴对电信发展局活动、项目和举措（行动领域、</w:t>
      </w:r>
      <w:r w:rsidR="00D72F83">
        <w:rPr>
          <w:rFonts w:cs="Calibri" w:hint="eastAsia"/>
          <w:bCs/>
          <w:szCs w:val="24"/>
          <w:lang w:eastAsia="zh-CN"/>
        </w:rPr>
        <w:t>受益</w:t>
      </w:r>
      <w:r>
        <w:rPr>
          <w:rFonts w:cs="Calibri"/>
          <w:bCs/>
          <w:szCs w:val="24"/>
          <w:lang w:eastAsia="zh-CN"/>
        </w:rPr>
        <w:t>国等</w:t>
      </w:r>
      <w:r>
        <w:rPr>
          <w:rFonts w:cs="Calibri" w:hint="eastAsia"/>
          <w:bCs/>
          <w:szCs w:val="24"/>
          <w:lang w:eastAsia="zh-CN"/>
        </w:rPr>
        <w:t>）</w:t>
      </w:r>
      <w:r>
        <w:rPr>
          <w:rFonts w:cs="Calibri"/>
          <w:bCs/>
          <w:szCs w:val="24"/>
          <w:lang w:eastAsia="zh-CN"/>
        </w:rPr>
        <w:t>的参与情况。</w:t>
      </w:r>
      <w:bookmarkEnd w:id="26"/>
    </w:p>
    <w:p w:rsidR="009F30AD" w:rsidRDefault="009F30AD" w:rsidP="00372521">
      <w:pPr>
        <w:ind w:firstLineChars="200" w:firstLine="480"/>
        <w:rPr>
          <w:szCs w:val="24"/>
          <w:lang w:eastAsia="zh-CN"/>
        </w:rPr>
      </w:pPr>
      <w:bookmarkStart w:id="27" w:name="lt_pId166"/>
      <w:r>
        <w:rPr>
          <w:rFonts w:cs="Calibri"/>
          <w:iCs/>
          <w:szCs w:val="24"/>
          <w:lang w:eastAsia="zh-CN"/>
        </w:rPr>
        <w:t>2017</w:t>
      </w:r>
      <w:r w:rsidR="006511D4">
        <w:rPr>
          <w:rFonts w:cs="Calibri" w:hint="eastAsia"/>
          <w:iCs/>
          <w:szCs w:val="24"/>
          <w:lang w:eastAsia="zh-CN"/>
        </w:rPr>
        <w:t>年</w:t>
      </w:r>
      <w:r w:rsidR="006511D4">
        <w:rPr>
          <w:rFonts w:cs="Calibri"/>
          <w:iCs/>
          <w:szCs w:val="24"/>
          <w:lang w:eastAsia="zh-CN"/>
        </w:rPr>
        <w:t>，全新互动式方便使用的</w:t>
      </w:r>
      <w:r>
        <w:rPr>
          <w:rStyle w:val="FootnoteReference"/>
          <w:rFonts w:cs="Calibri"/>
          <w:iCs/>
          <w:szCs w:val="24"/>
          <w:lang w:val="en-US"/>
        </w:rPr>
        <w:footnoteReference w:id="2"/>
      </w:r>
      <w:r w:rsidRPr="005E29E1">
        <w:rPr>
          <w:rFonts w:cs="Calibri"/>
          <w:iCs/>
          <w:szCs w:val="24"/>
          <w:lang w:eastAsia="zh-CN"/>
        </w:rPr>
        <w:t xml:space="preserve"> </w:t>
      </w:r>
      <w:hyperlink r:id="rId16" w:history="1">
        <w:r w:rsidR="00E84E0B" w:rsidRPr="00E84E0B">
          <w:rPr>
            <w:rStyle w:val="Hyperlink"/>
            <w:rFonts w:ascii="STKaiti" w:eastAsia="STKaiti" w:hAnsi="STKaiti" w:cs="Calibri" w:hint="eastAsia"/>
            <w:b/>
            <w:bCs/>
            <w:szCs w:val="24"/>
            <w:lang w:val="en-US" w:eastAsia="zh-CN"/>
          </w:rPr>
          <w:t>赞助</w:t>
        </w:r>
        <w:r w:rsidR="00E84E0B" w:rsidRPr="00E84E0B">
          <w:rPr>
            <w:rStyle w:val="Hyperlink"/>
            <w:rFonts w:ascii="STKaiti" w:eastAsia="STKaiti" w:hAnsi="STKaiti" w:cs="Calibri"/>
            <w:b/>
            <w:bCs/>
            <w:szCs w:val="24"/>
            <w:lang w:val="en-US" w:eastAsia="zh-CN"/>
          </w:rPr>
          <w:t>机会平台</w:t>
        </w:r>
      </w:hyperlink>
      <w:r w:rsidR="00E84E0B">
        <w:rPr>
          <w:rFonts w:hint="eastAsia"/>
          <w:szCs w:val="24"/>
          <w:lang w:eastAsia="zh-CN"/>
        </w:rPr>
        <w:t>用</w:t>
      </w:r>
      <w:r w:rsidR="00E84E0B">
        <w:rPr>
          <w:szCs w:val="24"/>
          <w:lang w:eastAsia="zh-CN"/>
        </w:rPr>
        <w:t>国际电联</w:t>
      </w:r>
      <w:r w:rsidR="00D72F83">
        <w:rPr>
          <w:szCs w:val="24"/>
          <w:lang w:eastAsia="zh-CN"/>
        </w:rPr>
        <w:t>六</w:t>
      </w:r>
      <w:r w:rsidR="00D72F83">
        <w:rPr>
          <w:rFonts w:hint="eastAsia"/>
          <w:szCs w:val="24"/>
          <w:lang w:eastAsia="zh-CN"/>
        </w:rPr>
        <w:t>种</w:t>
      </w:r>
      <w:r w:rsidR="00E84E0B">
        <w:rPr>
          <w:szCs w:val="24"/>
          <w:lang w:eastAsia="zh-CN"/>
        </w:rPr>
        <w:t>语文推出。</w:t>
      </w:r>
      <w:r w:rsidR="00E84E0B">
        <w:rPr>
          <w:rFonts w:hint="eastAsia"/>
          <w:szCs w:val="24"/>
          <w:lang w:eastAsia="zh-CN"/>
        </w:rPr>
        <w:t>该</w:t>
      </w:r>
      <w:r w:rsidR="00E84E0B">
        <w:rPr>
          <w:szCs w:val="24"/>
          <w:lang w:eastAsia="zh-CN"/>
        </w:rPr>
        <w:t>平台建议各实体利用电信发展局举办的各</w:t>
      </w:r>
      <w:r w:rsidR="00E84E0B">
        <w:rPr>
          <w:rFonts w:hint="eastAsia"/>
          <w:szCs w:val="24"/>
          <w:lang w:eastAsia="zh-CN"/>
        </w:rPr>
        <w:t>场</w:t>
      </w:r>
      <w:r w:rsidR="00E84E0B">
        <w:rPr>
          <w:szCs w:val="24"/>
          <w:lang w:eastAsia="zh-CN"/>
        </w:rPr>
        <w:t>会议和活动提高知名度，增强品牌并展示其产品和解决方案。</w:t>
      </w:r>
      <w:bookmarkStart w:id="29" w:name="lt_pId169"/>
      <w:bookmarkEnd w:id="27"/>
      <w:r w:rsidR="007A17E5" w:rsidRPr="007A17E5">
        <w:rPr>
          <w:lang w:eastAsia="zh-CN"/>
        </w:rPr>
        <w:t>ITU-D</w:t>
      </w:r>
      <w:r w:rsidR="007A17E5">
        <w:rPr>
          <w:rFonts w:ascii="Book Antiqua" w:hAnsi="Book Antiqua" w:hint="eastAsia"/>
          <w:lang w:eastAsia="zh-CN"/>
        </w:rPr>
        <w:t>成</w:t>
      </w:r>
      <w:r w:rsidR="007A17E5">
        <w:rPr>
          <w:rFonts w:ascii="Book Antiqua" w:hAnsi="Book Antiqua"/>
          <w:lang w:eastAsia="zh-CN"/>
        </w:rPr>
        <w:t>员</w:t>
      </w:r>
      <w:r w:rsidR="007A17E5">
        <w:rPr>
          <w:rFonts w:ascii="Book Antiqua" w:hAnsi="Book Antiqua" w:hint="eastAsia"/>
          <w:lang w:eastAsia="zh-CN"/>
        </w:rPr>
        <w:t>的</w:t>
      </w:r>
      <w:r w:rsidR="007A17E5">
        <w:rPr>
          <w:rFonts w:ascii="Book Antiqua" w:hAnsi="Book Antiqua"/>
          <w:lang w:eastAsia="zh-CN"/>
        </w:rPr>
        <w:t>公开活动</w:t>
      </w:r>
      <w:r w:rsidR="007A17E5">
        <w:rPr>
          <w:rFonts w:ascii="Book Antiqua" w:hAnsi="Book Antiqua"/>
          <w:lang w:eastAsia="zh-CN"/>
        </w:rPr>
        <w:t>/</w:t>
      </w:r>
      <w:r w:rsidR="007A17E5">
        <w:rPr>
          <w:rFonts w:ascii="Book Antiqua" w:hAnsi="Book Antiqua"/>
          <w:lang w:eastAsia="zh-CN"/>
        </w:rPr>
        <w:t>会议以及多个赞助活动</w:t>
      </w:r>
      <w:r w:rsidR="007A17E5">
        <w:rPr>
          <w:rFonts w:ascii="Book Antiqua" w:hAnsi="Book Antiqua" w:hint="eastAsia"/>
          <w:lang w:eastAsia="zh-CN"/>
        </w:rPr>
        <w:t>可以享受</w:t>
      </w:r>
      <w:r w:rsidR="007A17E5">
        <w:rPr>
          <w:rFonts w:ascii="Book Antiqua" w:hAnsi="Book Antiqua"/>
          <w:lang w:eastAsia="zh-CN"/>
        </w:rPr>
        <w:t>优惠。</w:t>
      </w:r>
      <w:r w:rsidR="00372521">
        <w:rPr>
          <w:rFonts w:ascii="Book Antiqua" w:hAnsi="Book Antiqua" w:hint="eastAsia"/>
          <w:lang w:eastAsia="zh-CN"/>
        </w:rPr>
        <w:t>通过</w:t>
      </w:r>
      <w:r w:rsidR="00E84E0B">
        <w:rPr>
          <w:rFonts w:ascii="Book Antiqua" w:hAnsi="Book Antiqua"/>
          <w:lang w:eastAsia="zh-CN"/>
        </w:rPr>
        <w:t>赞助方筹措的资源用来组织各项赞助活动并作为落实各项活动、项目和举措的种子基金，包括</w:t>
      </w:r>
      <w:r w:rsidR="00372521">
        <w:rPr>
          <w:rFonts w:ascii="Book Antiqua" w:hAnsi="Book Antiqua"/>
          <w:lang w:eastAsia="zh-CN"/>
        </w:rPr>
        <w:t>《</w:t>
      </w:r>
      <w:r w:rsidR="00372521">
        <w:rPr>
          <w:rFonts w:ascii="Book Antiqua" w:hAnsi="Book Antiqua" w:hint="eastAsia"/>
          <w:lang w:eastAsia="zh-CN"/>
        </w:rPr>
        <w:t>布</w:t>
      </w:r>
      <w:r w:rsidR="00372521">
        <w:rPr>
          <w:rFonts w:ascii="Book Antiqua" w:hAnsi="Book Antiqua"/>
          <w:lang w:eastAsia="zh-CN"/>
        </w:rPr>
        <w:t>宜诺斯</w:t>
      </w:r>
      <w:r w:rsidR="00372521">
        <w:rPr>
          <w:rFonts w:ascii="Book Antiqua" w:hAnsi="Book Antiqua" w:hint="eastAsia"/>
          <w:lang w:eastAsia="zh-CN"/>
        </w:rPr>
        <w:t>艾</w:t>
      </w:r>
      <w:r w:rsidR="00372521">
        <w:rPr>
          <w:rFonts w:ascii="Book Antiqua" w:hAnsi="Book Antiqua"/>
          <w:lang w:eastAsia="zh-CN"/>
        </w:rPr>
        <w:t>利斯行动计划》框架内</w:t>
      </w:r>
      <w:r w:rsidR="00372521">
        <w:rPr>
          <w:rFonts w:ascii="Book Antiqua" w:hAnsi="Book Antiqua" w:hint="eastAsia"/>
          <w:lang w:eastAsia="zh-CN"/>
        </w:rPr>
        <w:t>的</w:t>
      </w:r>
      <w:r w:rsidR="00E84E0B">
        <w:rPr>
          <w:rFonts w:ascii="Book Antiqua" w:hAnsi="Book Antiqua"/>
          <w:lang w:eastAsia="zh-CN"/>
        </w:rPr>
        <w:t>区域性举措</w:t>
      </w:r>
      <w:r w:rsidR="00E84E0B">
        <w:rPr>
          <w:rFonts w:ascii="Book Antiqua" w:hAnsi="Book Antiqua" w:hint="eastAsia"/>
          <w:lang w:eastAsia="zh-CN"/>
        </w:rPr>
        <w:t>。</w:t>
      </w:r>
      <w:r w:rsidR="00E84E0B" w:rsidRPr="00E84E0B">
        <w:rPr>
          <w:rFonts w:cs="Calibri" w:hint="eastAsia"/>
          <w:iCs/>
          <w:szCs w:val="24"/>
          <w:lang w:eastAsia="zh-CN"/>
        </w:rPr>
        <w:t>2</w:t>
      </w:r>
      <w:r w:rsidR="00E84E0B" w:rsidRPr="00E84E0B">
        <w:rPr>
          <w:rFonts w:cs="Calibri"/>
          <w:iCs/>
          <w:szCs w:val="24"/>
          <w:lang w:eastAsia="zh-CN"/>
        </w:rPr>
        <w:t>017</w:t>
      </w:r>
      <w:r w:rsidR="00E84E0B">
        <w:rPr>
          <w:rFonts w:ascii="Book Antiqua" w:hAnsi="Book Antiqua" w:hint="eastAsia"/>
          <w:lang w:eastAsia="zh-CN"/>
        </w:rPr>
        <w:t>年</w:t>
      </w:r>
      <w:r w:rsidR="00E84E0B">
        <w:rPr>
          <w:rFonts w:ascii="Book Antiqua" w:hAnsi="Book Antiqua"/>
          <w:lang w:eastAsia="zh-CN"/>
        </w:rPr>
        <w:t>，</w:t>
      </w:r>
      <w:r w:rsidR="00E84E0B">
        <w:rPr>
          <w:rFonts w:ascii="Book Antiqua" w:hAnsi="Book Antiqua" w:hint="eastAsia"/>
          <w:lang w:eastAsia="zh-CN"/>
        </w:rPr>
        <w:t>利用</w:t>
      </w:r>
      <w:r w:rsidR="00E84E0B">
        <w:rPr>
          <w:rFonts w:ascii="Book Antiqua" w:hAnsi="Book Antiqua"/>
          <w:lang w:eastAsia="zh-CN"/>
        </w:rPr>
        <w:t>电信发展局组织的活动</w:t>
      </w:r>
      <w:r w:rsidR="00E84E0B">
        <w:rPr>
          <w:rFonts w:ascii="Book Antiqua" w:hAnsi="Book Antiqua" w:hint="eastAsia"/>
          <w:lang w:eastAsia="zh-CN"/>
        </w:rPr>
        <w:t>，</w:t>
      </w:r>
      <w:r w:rsidR="00E84E0B">
        <w:rPr>
          <w:rFonts w:ascii="Book Antiqua" w:hAnsi="Book Antiqua"/>
          <w:lang w:eastAsia="zh-CN"/>
        </w:rPr>
        <w:t>已经为</w:t>
      </w:r>
      <w:r w:rsidR="00372521">
        <w:rPr>
          <w:rFonts w:ascii="Book Antiqua" w:hAnsi="Book Antiqua" w:hint="eastAsia"/>
          <w:lang w:eastAsia="zh-CN"/>
        </w:rPr>
        <w:t>会外</w:t>
      </w:r>
      <w:r w:rsidR="00E84E0B">
        <w:rPr>
          <w:rFonts w:ascii="Book Antiqua" w:hAnsi="Book Antiqua" w:hint="eastAsia"/>
          <w:lang w:eastAsia="zh-CN"/>
        </w:rPr>
        <w:t>/</w:t>
      </w:r>
      <w:r w:rsidR="00E84E0B">
        <w:rPr>
          <w:rFonts w:ascii="Book Antiqua" w:hAnsi="Book Antiqua" w:hint="eastAsia"/>
          <w:lang w:eastAsia="zh-CN"/>
        </w:rPr>
        <w:t>或</w:t>
      </w:r>
      <w:r w:rsidR="00E84E0B">
        <w:rPr>
          <w:rFonts w:ascii="Book Antiqua" w:hAnsi="Book Antiqua"/>
          <w:lang w:eastAsia="zh-CN"/>
        </w:rPr>
        <w:t>社交活动推出赞助</w:t>
      </w:r>
      <w:r w:rsidR="00E84E0B">
        <w:rPr>
          <w:rFonts w:ascii="Book Antiqua" w:hAnsi="Book Antiqua" w:hint="eastAsia"/>
          <w:lang w:eastAsia="zh-CN"/>
        </w:rPr>
        <w:t>包</w:t>
      </w:r>
      <w:r w:rsidR="00E84E0B">
        <w:rPr>
          <w:rFonts w:ascii="Book Antiqua" w:hAnsi="Book Antiqua"/>
          <w:lang w:eastAsia="zh-CN"/>
        </w:rPr>
        <w:t>，如</w:t>
      </w:r>
      <w:bookmarkStart w:id="30" w:name="lt_pId170"/>
      <w:bookmarkEnd w:id="29"/>
      <w:r w:rsidRPr="006C70C5">
        <w:rPr>
          <w:szCs w:val="24"/>
          <w:lang w:eastAsia="zh-CN"/>
        </w:rPr>
        <w:t>GSR</w:t>
      </w:r>
      <w:r w:rsidRPr="006C70C5">
        <w:rPr>
          <w:szCs w:val="24"/>
          <w:lang w:eastAsia="zh-CN"/>
        </w:rPr>
        <w:noBreakHyphen/>
        <w:t>17</w:t>
      </w:r>
      <w:r w:rsidR="00E84E0B">
        <w:rPr>
          <w:rFonts w:hint="eastAsia"/>
          <w:szCs w:val="24"/>
          <w:lang w:eastAsia="zh-CN"/>
        </w:rPr>
        <w:t>、</w:t>
      </w:r>
      <w:r w:rsidRPr="006C70C5">
        <w:rPr>
          <w:szCs w:val="24"/>
          <w:lang w:eastAsia="zh-CN"/>
        </w:rPr>
        <w:t>WTDC-17</w:t>
      </w:r>
      <w:r w:rsidR="00E84E0B">
        <w:rPr>
          <w:rFonts w:hint="eastAsia"/>
          <w:szCs w:val="24"/>
          <w:lang w:eastAsia="zh-CN"/>
        </w:rPr>
        <w:t>和</w:t>
      </w:r>
      <w:r w:rsidRPr="006C70C5">
        <w:rPr>
          <w:szCs w:val="24"/>
          <w:lang w:eastAsia="zh-CN"/>
        </w:rPr>
        <w:t>ITU-D 25</w:t>
      </w:r>
      <w:r w:rsidR="00E84E0B">
        <w:rPr>
          <w:rFonts w:hint="eastAsia"/>
          <w:szCs w:val="24"/>
          <w:lang w:eastAsia="zh-CN"/>
        </w:rPr>
        <w:t>周年</w:t>
      </w:r>
      <w:r w:rsidR="00E84E0B">
        <w:rPr>
          <w:szCs w:val="24"/>
          <w:lang w:eastAsia="zh-CN"/>
        </w:rPr>
        <w:t>纪念活动。因此</w:t>
      </w:r>
      <w:r w:rsidR="00E84E0B">
        <w:rPr>
          <w:rFonts w:hint="eastAsia"/>
          <w:szCs w:val="24"/>
          <w:lang w:eastAsia="zh-CN"/>
        </w:rPr>
        <w:t>，</w:t>
      </w:r>
      <w:bookmarkStart w:id="31" w:name="lt_pId171"/>
      <w:bookmarkEnd w:id="30"/>
      <w:r>
        <w:rPr>
          <w:szCs w:val="24"/>
          <w:lang w:eastAsia="zh-CN"/>
        </w:rPr>
        <w:t>ITU-D</w:t>
      </w:r>
      <w:r w:rsidR="00E84E0B">
        <w:rPr>
          <w:rFonts w:hint="eastAsia"/>
          <w:szCs w:val="24"/>
          <w:lang w:eastAsia="zh-CN"/>
        </w:rPr>
        <w:t>成员</w:t>
      </w:r>
      <w:r w:rsidR="00E84E0B">
        <w:rPr>
          <w:szCs w:val="24"/>
          <w:lang w:eastAsia="zh-CN"/>
        </w:rPr>
        <w:t>的</w:t>
      </w:r>
      <w:r w:rsidR="00E84E0B">
        <w:rPr>
          <w:rFonts w:hint="eastAsia"/>
          <w:szCs w:val="24"/>
          <w:lang w:eastAsia="zh-CN"/>
        </w:rPr>
        <w:t>14</w:t>
      </w:r>
      <w:r w:rsidR="00E84E0B">
        <w:rPr>
          <w:rFonts w:hint="eastAsia"/>
          <w:szCs w:val="24"/>
          <w:lang w:eastAsia="zh-CN"/>
        </w:rPr>
        <w:t>家</w:t>
      </w:r>
      <w:r w:rsidR="00E84E0B">
        <w:rPr>
          <w:szCs w:val="24"/>
          <w:lang w:eastAsia="zh-CN"/>
        </w:rPr>
        <w:t>实体（</w:t>
      </w:r>
      <w:r w:rsidR="00E84E0B">
        <w:rPr>
          <w:rFonts w:hint="eastAsia"/>
          <w:szCs w:val="24"/>
          <w:lang w:eastAsia="zh-CN"/>
        </w:rPr>
        <w:t>部门</w:t>
      </w:r>
      <w:r w:rsidR="00E84E0B">
        <w:rPr>
          <w:szCs w:val="24"/>
          <w:lang w:eastAsia="zh-CN"/>
        </w:rPr>
        <w:t>）</w:t>
      </w:r>
      <w:r w:rsidR="00E84E0B">
        <w:rPr>
          <w:rFonts w:hint="eastAsia"/>
          <w:szCs w:val="24"/>
          <w:lang w:eastAsia="zh-CN"/>
        </w:rPr>
        <w:t>在</w:t>
      </w:r>
      <w:r w:rsidR="00E84E0B">
        <w:rPr>
          <w:szCs w:val="24"/>
          <w:lang w:eastAsia="zh-CN"/>
        </w:rPr>
        <w:t>上述活动期间通过</w:t>
      </w:r>
      <w:r w:rsidR="00E84E0B">
        <w:rPr>
          <w:szCs w:val="24"/>
          <w:lang w:eastAsia="zh-CN"/>
        </w:rPr>
        <w:t>329,590</w:t>
      </w:r>
      <w:r w:rsidR="00E84E0B">
        <w:rPr>
          <w:rFonts w:hint="eastAsia"/>
          <w:szCs w:val="24"/>
          <w:lang w:eastAsia="zh-CN"/>
        </w:rPr>
        <w:t>美元</w:t>
      </w:r>
      <w:r w:rsidR="00E84E0B">
        <w:rPr>
          <w:szCs w:val="24"/>
          <w:lang w:eastAsia="zh-CN"/>
        </w:rPr>
        <w:t>赞助了会外</w:t>
      </w:r>
      <w:r w:rsidR="00BA666D">
        <w:rPr>
          <w:rFonts w:hint="eastAsia"/>
          <w:szCs w:val="24"/>
          <w:lang w:eastAsia="zh-CN"/>
        </w:rPr>
        <w:t>活动</w:t>
      </w:r>
      <w:r w:rsidR="00E84E0B">
        <w:rPr>
          <w:szCs w:val="24"/>
          <w:lang w:eastAsia="zh-CN"/>
        </w:rPr>
        <w:t>或</w:t>
      </w:r>
      <w:r w:rsidR="00E84E0B">
        <w:rPr>
          <w:rFonts w:hint="eastAsia"/>
          <w:szCs w:val="24"/>
          <w:lang w:eastAsia="zh-CN"/>
        </w:rPr>
        <w:t>社交</w:t>
      </w:r>
      <w:r w:rsidR="00E84E0B">
        <w:rPr>
          <w:szCs w:val="24"/>
          <w:lang w:eastAsia="zh-CN"/>
        </w:rPr>
        <w:t>活动。</w:t>
      </w:r>
      <w:bookmarkEnd w:id="31"/>
    </w:p>
    <w:p w:rsidR="009F30AD" w:rsidRPr="00BF71EB" w:rsidRDefault="00C94C59" w:rsidP="00C94C59">
      <w:pPr>
        <w:pStyle w:val="Headingb"/>
        <w:rPr>
          <w:rFonts w:eastAsia="Times New Roman"/>
          <w:bCs/>
          <w:lang w:eastAsia="zh-CN"/>
        </w:rPr>
      </w:pPr>
      <w:r>
        <w:rPr>
          <w:lang w:eastAsia="zh-CN"/>
        </w:rPr>
        <w:t>•</w:t>
      </w:r>
      <w:r w:rsidRPr="00C94C59">
        <w:rPr>
          <w:rStyle w:val="enumlev1Char"/>
          <w:lang w:eastAsia="zh-CN"/>
        </w:rPr>
        <w:tab/>
      </w:r>
      <w:r w:rsidR="00445A33" w:rsidRPr="00C94C59">
        <w:rPr>
          <w:rStyle w:val="enumlev1Char"/>
          <w:rFonts w:hint="eastAsia"/>
          <w:lang w:eastAsia="zh-CN"/>
        </w:rPr>
        <w:t>新</w:t>
      </w:r>
      <w:r w:rsidR="00445A33" w:rsidRPr="00C94C59">
        <w:rPr>
          <w:rStyle w:val="enumlev1Char"/>
          <w:lang w:eastAsia="zh-CN"/>
        </w:rPr>
        <w:t>的伙伴参与平台</w:t>
      </w:r>
    </w:p>
    <w:p w:rsidR="009F30AD" w:rsidRPr="00EA5E97" w:rsidRDefault="00022392" w:rsidP="00372521">
      <w:pPr>
        <w:ind w:firstLineChars="200" w:firstLine="480"/>
        <w:rPr>
          <w:rFonts w:cs="Calibri"/>
          <w:szCs w:val="24"/>
          <w:lang w:eastAsia="zh-CN"/>
        </w:rPr>
      </w:pPr>
      <w:bookmarkStart w:id="32" w:name="lt_pId173"/>
      <w:r>
        <w:rPr>
          <w:rFonts w:cs="Calibri" w:hint="eastAsia"/>
          <w:iCs/>
          <w:szCs w:val="24"/>
          <w:lang w:val="en-US" w:eastAsia="zh-CN"/>
        </w:rPr>
        <w:t>新</w:t>
      </w:r>
      <w:r>
        <w:rPr>
          <w:rFonts w:cs="Calibri"/>
          <w:iCs/>
          <w:szCs w:val="24"/>
          <w:lang w:val="en-US" w:eastAsia="zh-CN"/>
        </w:rPr>
        <w:t>的互动式</w:t>
      </w:r>
      <w:r w:rsidRPr="00022392">
        <w:rPr>
          <w:rFonts w:cs="Calibri"/>
          <w:b/>
          <w:bCs/>
          <w:iCs/>
          <w:szCs w:val="24"/>
          <w:lang w:val="en-US" w:eastAsia="zh-CN"/>
        </w:rPr>
        <w:t>伙伴机遇平</w:t>
      </w:r>
      <w:r w:rsidRPr="00022392">
        <w:rPr>
          <w:rFonts w:cs="Calibri" w:hint="eastAsia"/>
          <w:b/>
          <w:bCs/>
          <w:iCs/>
          <w:szCs w:val="24"/>
          <w:lang w:val="en-US" w:eastAsia="zh-CN"/>
        </w:rPr>
        <w:t>台</w:t>
      </w:r>
      <w:r>
        <w:rPr>
          <w:rFonts w:cs="Calibri"/>
          <w:iCs/>
          <w:szCs w:val="24"/>
          <w:lang w:val="en-US" w:eastAsia="zh-CN"/>
        </w:rPr>
        <w:t>将</w:t>
      </w:r>
      <w:r>
        <w:rPr>
          <w:rFonts w:cs="Calibri" w:hint="eastAsia"/>
          <w:iCs/>
          <w:szCs w:val="24"/>
          <w:lang w:val="en-US" w:eastAsia="zh-CN"/>
        </w:rPr>
        <w:t>展示</w:t>
      </w:r>
      <w:r>
        <w:rPr>
          <w:rFonts w:cs="Calibri"/>
          <w:iCs/>
          <w:szCs w:val="24"/>
          <w:lang w:val="en-US" w:eastAsia="zh-CN"/>
        </w:rPr>
        <w:t>电信发展局伙伴的概念项目和举措。该</w:t>
      </w:r>
      <w:r>
        <w:rPr>
          <w:rFonts w:cs="Calibri" w:hint="eastAsia"/>
          <w:iCs/>
          <w:szCs w:val="24"/>
          <w:lang w:val="en-US" w:eastAsia="zh-CN"/>
        </w:rPr>
        <w:t>平台</w:t>
      </w:r>
      <w:r>
        <w:rPr>
          <w:rFonts w:cs="Calibri"/>
          <w:iCs/>
          <w:szCs w:val="24"/>
          <w:lang w:val="en-US" w:eastAsia="zh-CN"/>
        </w:rPr>
        <w:t>正在开发中。平</w:t>
      </w:r>
      <w:r>
        <w:rPr>
          <w:rFonts w:cs="Calibri" w:hint="eastAsia"/>
          <w:iCs/>
          <w:szCs w:val="24"/>
          <w:lang w:val="en-US" w:eastAsia="zh-CN"/>
        </w:rPr>
        <w:t>台</w:t>
      </w:r>
      <w:r>
        <w:rPr>
          <w:rFonts w:cs="Calibri"/>
          <w:iCs/>
          <w:szCs w:val="24"/>
          <w:lang w:val="en-US" w:eastAsia="zh-CN"/>
        </w:rPr>
        <w:t>将</w:t>
      </w:r>
      <w:r>
        <w:rPr>
          <w:rFonts w:cs="Calibri" w:hint="eastAsia"/>
          <w:iCs/>
          <w:szCs w:val="24"/>
          <w:lang w:val="en-US" w:eastAsia="zh-CN"/>
        </w:rPr>
        <w:t>采</w:t>
      </w:r>
      <w:r>
        <w:rPr>
          <w:rFonts w:cs="Calibri"/>
          <w:iCs/>
          <w:szCs w:val="24"/>
          <w:lang w:val="en-US" w:eastAsia="zh-CN"/>
        </w:rPr>
        <w:t>用国际电联</w:t>
      </w:r>
      <w:r w:rsidR="00372521">
        <w:rPr>
          <w:rFonts w:cs="Calibri"/>
          <w:iCs/>
          <w:szCs w:val="24"/>
          <w:lang w:val="en-US" w:eastAsia="zh-CN"/>
        </w:rPr>
        <w:t>六种</w:t>
      </w:r>
      <w:r>
        <w:rPr>
          <w:rFonts w:cs="Calibri"/>
          <w:iCs/>
          <w:szCs w:val="24"/>
          <w:lang w:val="en-US" w:eastAsia="zh-CN"/>
        </w:rPr>
        <w:t>正式语文，作为电信发展局宣传伙伴关系潜在机遇的</w:t>
      </w:r>
      <w:r w:rsidR="00372521">
        <w:rPr>
          <w:rFonts w:cs="Calibri" w:hint="eastAsia"/>
          <w:iCs/>
          <w:szCs w:val="24"/>
          <w:lang w:val="en-US" w:eastAsia="zh-CN"/>
        </w:rPr>
        <w:t>契机</w:t>
      </w:r>
      <w:r>
        <w:rPr>
          <w:rFonts w:cs="Calibri" w:hint="eastAsia"/>
          <w:iCs/>
          <w:szCs w:val="24"/>
          <w:lang w:val="en-US" w:eastAsia="zh-CN"/>
        </w:rPr>
        <w:t>。</w:t>
      </w:r>
      <w:r>
        <w:rPr>
          <w:rFonts w:cs="Calibri"/>
          <w:iCs/>
          <w:szCs w:val="24"/>
          <w:lang w:val="en-US" w:eastAsia="zh-CN"/>
        </w:rPr>
        <w:t>感</w:t>
      </w:r>
      <w:r>
        <w:rPr>
          <w:rFonts w:cs="Calibri" w:hint="eastAsia"/>
          <w:iCs/>
          <w:szCs w:val="24"/>
          <w:lang w:val="en-US" w:eastAsia="zh-CN"/>
        </w:rPr>
        <w:t>兴趣</w:t>
      </w:r>
      <w:r>
        <w:rPr>
          <w:rFonts w:cs="Calibri"/>
          <w:iCs/>
          <w:szCs w:val="24"/>
          <w:lang w:val="en-US" w:eastAsia="zh-CN"/>
        </w:rPr>
        <w:t>的各实体将得到注册建议</w:t>
      </w:r>
      <w:r w:rsidR="00372521">
        <w:rPr>
          <w:rFonts w:cs="Calibri" w:hint="eastAsia"/>
          <w:iCs/>
          <w:szCs w:val="24"/>
          <w:lang w:val="en-US" w:eastAsia="zh-CN"/>
        </w:rPr>
        <w:t>，</w:t>
      </w:r>
      <w:r>
        <w:rPr>
          <w:rFonts w:cs="Calibri"/>
          <w:iCs/>
          <w:szCs w:val="24"/>
          <w:lang w:val="en-US" w:eastAsia="zh-CN"/>
        </w:rPr>
        <w:t>以便了解符合其工作重心的挑选标准（行动领域和区域）。该</w:t>
      </w:r>
      <w:r>
        <w:rPr>
          <w:rFonts w:cs="Calibri" w:hint="eastAsia"/>
          <w:iCs/>
          <w:szCs w:val="24"/>
          <w:lang w:val="en-US" w:eastAsia="zh-CN"/>
        </w:rPr>
        <w:t>平台</w:t>
      </w:r>
      <w:r>
        <w:rPr>
          <w:rFonts w:cs="Calibri"/>
          <w:iCs/>
          <w:szCs w:val="24"/>
          <w:lang w:val="en-US" w:eastAsia="zh-CN"/>
        </w:rPr>
        <w:t>的宗旨是通过各种</w:t>
      </w:r>
      <w:r>
        <w:rPr>
          <w:rFonts w:cs="Calibri" w:hint="eastAsia"/>
          <w:iCs/>
          <w:szCs w:val="24"/>
          <w:lang w:val="en-US" w:eastAsia="zh-CN"/>
        </w:rPr>
        <w:t>宣传</w:t>
      </w:r>
      <w:r>
        <w:rPr>
          <w:rFonts w:cs="Calibri"/>
          <w:iCs/>
          <w:szCs w:val="24"/>
          <w:lang w:val="en-US" w:eastAsia="zh-CN"/>
        </w:rPr>
        <w:t>和市场手段（理念推广、视频、手册、投影片介绍）以统一和透明的方式介绍想法。平台</w:t>
      </w:r>
      <w:r>
        <w:rPr>
          <w:rFonts w:cs="Calibri" w:hint="eastAsia"/>
          <w:iCs/>
          <w:szCs w:val="24"/>
          <w:lang w:val="en-US" w:eastAsia="zh-CN"/>
        </w:rPr>
        <w:t>旨</w:t>
      </w:r>
      <w:r>
        <w:rPr>
          <w:rFonts w:cs="Calibri"/>
          <w:iCs/>
          <w:szCs w:val="24"/>
          <w:lang w:val="en-US" w:eastAsia="zh-CN"/>
        </w:rPr>
        <w:t>在帮助潜在</w:t>
      </w:r>
      <w:r>
        <w:rPr>
          <w:rFonts w:cs="Calibri" w:hint="eastAsia"/>
          <w:iCs/>
          <w:szCs w:val="24"/>
          <w:lang w:val="en-US" w:eastAsia="zh-CN"/>
        </w:rPr>
        <w:t>合作</w:t>
      </w:r>
      <w:r>
        <w:rPr>
          <w:rFonts w:cs="Calibri"/>
          <w:iCs/>
          <w:szCs w:val="24"/>
          <w:lang w:val="en-US" w:eastAsia="zh-CN"/>
        </w:rPr>
        <w:t>伙伴寻找</w:t>
      </w:r>
      <w:r>
        <w:rPr>
          <w:rFonts w:cs="Calibri" w:hint="eastAsia"/>
          <w:iCs/>
          <w:szCs w:val="24"/>
          <w:lang w:val="en-US" w:eastAsia="zh-CN"/>
        </w:rPr>
        <w:t>符合</w:t>
      </w:r>
      <w:r>
        <w:rPr>
          <w:rFonts w:cs="Calibri"/>
          <w:iCs/>
          <w:szCs w:val="24"/>
          <w:lang w:val="en-US" w:eastAsia="zh-CN"/>
        </w:rPr>
        <w:t>其目标和发展战略</w:t>
      </w:r>
      <w:r>
        <w:rPr>
          <w:rFonts w:cs="Calibri" w:hint="eastAsia"/>
          <w:iCs/>
          <w:szCs w:val="24"/>
          <w:lang w:val="en-US" w:eastAsia="zh-CN"/>
        </w:rPr>
        <w:t>并</w:t>
      </w:r>
      <w:r>
        <w:rPr>
          <w:rFonts w:cs="Calibri"/>
          <w:iCs/>
          <w:szCs w:val="24"/>
          <w:lang w:val="en-US" w:eastAsia="zh-CN"/>
        </w:rPr>
        <w:t>值得</w:t>
      </w:r>
      <w:r>
        <w:rPr>
          <w:rFonts w:cs="Calibri" w:hint="eastAsia"/>
          <w:iCs/>
          <w:szCs w:val="24"/>
          <w:lang w:val="en-US" w:eastAsia="zh-CN"/>
        </w:rPr>
        <w:t>深</w:t>
      </w:r>
      <w:r>
        <w:rPr>
          <w:rFonts w:cs="Calibri"/>
          <w:iCs/>
          <w:szCs w:val="24"/>
          <w:lang w:val="en-US" w:eastAsia="zh-CN"/>
        </w:rPr>
        <w:t>思的理念。这</w:t>
      </w:r>
      <w:r>
        <w:rPr>
          <w:rFonts w:cs="Calibri" w:hint="eastAsia"/>
          <w:iCs/>
          <w:szCs w:val="24"/>
          <w:lang w:val="en-US" w:eastAsia="zh-CN"/>
        </w:rPr>
        <w:t>些</w:t>
      </w:r>
      <w:r>
        <w:rPr>
          <w:rFonts w:cs="Calibri"/>
          <w:iCs/>
          <w:szCs w:val="24"/>
          <w:lang w:val="en-US" w:eastAsia="zh-CN"/>
        </w:rPr>
        <w:t>理念将作为潜在合作伙伴考虑的初步思路并为</w:t>
      </w:r>
      <w:r w:rsidR="00372521">
        <w:rPr>
          <w:rFonts w:cs="Calibri" w:hint="eastAsia"/>
          <w:iCs/>
          <w:szCs w:val="24"/>
          <w:lang w:val="en-US" w:eastAsia="zh-CN"/>
        </w:rPr>
        <w:t>其</w:t>
      </w:r>
      <w:r>
        <w:rPr>
          <w:rFonts w:cs="Calibri"/>
          <w:iCs/>
          <w:szCs w:val="24"/>
          <w:lang w:val="en-US" w:eastAsia="zh-CN"/>
        </w:rPr>
        <w:t>提供指导，然后再制定更加复杂的建议。该</w:t>
      </w:r>
      <w:r>
        <w:rPr>
          <w:rFonts w:cs="Calibri" w:hint="eastAsia"/>
          <w:iCs/>
          <w:szCs w:val="24"/>
          <w:lang w:val="en-US" w:eastAsia="zh-CN"/>
        </w:rPr>
        <w:t>平</w:t>
      </w:r>
      <w:r>
        <w:rPr>
          <w:rFonts w:cs="Calibri"/>
          <w:iCs/>
          <w:szCs w:val="24"/>
          <w:lang w:val="en-US" w:eastAsia="zh-CN"/>
        </w:rPr>
        <w:t>台可使感兴趣的各实体</w:t>
      </w:r>
      <w:r>
        <w:rPr>
          <w:rFonts w:cs="Calibri" w:hint="eastAsia"/>
          <w:iCs/>
          <w:szCs w:val="24"/>
          <w:lang w:val="en-US" w:eastAsia="zh-CN"/>
        </w:rPr>
        <w:t>随时</w:t>
      </w:r>
      <w:r>
        <w:rPr>
          <w:rFonts w:cs="Calibri"/>
          <w:iCs/>
          <w:szCs w:val="24"/>
          <w:lang w:val="en-US" w:eastAsia="zh-CN"/>
        </w:rPr>
        <w:t>随地</w:t>
      </w:r>
      <w:r>
        <w:rPr>
          <w:rFonts w:cs="Calibri" w:hint="eastAsia"/>
          <w:iCs/>
          <w:szCs w:val="24"/>
          <w:lang w:val="en-US" w:eastAsia="zh-CN"/>
        </w:rPr>
        <w:t>探讨与</w:t>
      </w:r>
      <w:r>
        <w:rPr>
          <w:rFonts w:cs="Calibri"/>
          <w:iCs/>
          <w:szCs w:val="24"/>
          <w:lang w:val="en-US" w:eastAsia="zh-CN"/>
        </w:rPr>
        <w:t>电信发</w:t>
      </w:r>
      <w:r>
        <w:rPr>
          <w:rFonts w:cs="Calibri" w:hint="eastAsia"/>
          <w:iCs/>
          <w:szCs w:val="24"/>
          <w:lang w:val="en-US" w:eastAsia="zh-CN"/>
        </w:rPr>
        <w:t>展</w:t>
      </w:r>
      <w:r>
        <w:rPr>
          <w:rFonts w:cs="Calibri"/>
          <w:iCs/>
          <w:szCs w:val="24"/>
          <w:lang w:val="en-US" w:eastAsia="zh-CN"/>
        </w:rPr>
        <w:t>局建立伙伴关系的可能性。</w:t>
      </w:r>
      <w:r>
        <w:rPr>
          <w:rFonts w:cs="Calibri" w:hint="eastAsia"/>
          <w:iCs/>
          <w:szCs w:val="24"/>
          <w:lang w:val="en-US" w:eastAsia="zh-CN"/>
        </w:rPr>
        <w:t>同时还将作为开展有效外部宣传和推广的手段</w:t>
      </w:r>
      <w:r w:rsidR="00372521">
        <w:rPr>
          <w:rFonts w:cs="Calibri" w:hint="eastAsia"/>
          <w:iCs/>
          <w:szCs w:val="24"/>
          <w:lang w:val="en-US" w:eastAsia="zh-CN"/>
        </w:rPr>
        <w:t>，</w:t>
      </w:r>
      <w:r>
        <w:rPr>
          <w:rFonts w:cs="Calibri" w:hint="eastAsia"/>
          <w:iCs/>
          <w:szCs w:val="24"/>
          <w:lang w:val="en-US" w:eastAsia="zh-CN"/>
        </w:rPr>
        <w:t>支持电信发展局的外部宣传工作。</w:t>
      </w:r>
      <w:bookmarkEnd w:id="32"/>
    </w:p>
    <w:p w:rsidR="009F30AD" w:rsidRPr="00AF5580" w:rsidRDefault="00C94C59" w:rsidP="00C94C59">
      <w:pPr>
        <w:pStyle w:val="Heading1"/>
        <w:rPr>
          <w:lang w:eastAsia="zh-CN"/>
        </w:rPr>
      </w:pPr>
      <w:r>
        <w:rPr>
          <w:rFonts w:hint="eastAsia"/>
          <w:lang w:eastAsia="zh-CN"/>
        </w:rPr>
        <w:lastRenderedPageBreak/>
        <w:t>5</w:t>
      </w:r>
      <w:r>
        <w:rPr>
          <w:rFonts w:hint="eastAsia"/>
          <w:lang w:eastAsia="zh-CN"/>
        </w:rPr>
        <w:tab/>
      </w:r>
      <w:r w:rsidR="007A17E5">
        <w:rPr>
          <w:rFonts w:hint="eastAsia"/>
          <w:lang w:eastAsia="zh-CN"/>
        </w:rPr>
        <w:t>展望</w:t>
      </w:r>
      <w:r w:rsidR="007A17E5">
        <w:rPr>
          <w:lang w:eastAsia="zh-CN"/>
        </w:rPr>
        <w:t>未来</w:t>
      </w:r>
      <w:r w:rsidR="009F30AD" w:rsidRPr="00C22886">
        <w:rPr>
          <w:color w:val="800000"/>
          <w:sz w:val="22"/>
          <w:lang w:eastAsia="zh-CN"/>
        </w:rPr>
        <w:t xml:space="preserve"> </w:t>
      </w:r>
    </w:p>
    <w:p w:rsidR="007A17E5" w:rsidRPr="007A17E5" w:rsidRDefault="007A17E5" w:rsidP="00372521">
      <w:pPr>
        <w:ind w:firstLineChars="200" w:firstLine="480"/>
        <w:rPr>
          <w:lang w:eastAsia="zh-CN"/>
        </w:rPr>
      </w:pPr>
      <w:r w:rsidRPr="007A17E5">
        <w:rPr>
          <w:rFonts w:hint="eastAsia"/>
          <w:lang w:eastAsia="zh-CN"/>
        </w:rPr>
        <w:t>电信发展局将继续与</w:t>
      </w:r>
      <w:r w:rsidR="00372521">
        <w:rPr>
          <w:rFonts w:hint="eastAsia"/>
          <w:lang w:eastAsia="zh-CN"/>
        </w:rPr>
        <w:t>融合</w:t>
      </w:r>
      <w:r w:rsidR="00372521">
        <w:rPr>
          <w:lang w:eastAsia="zh-CN"/>
        </w:rPr>
        <w:t>生态系统中</w:t>
      </w:r>
      <w:r w:rsidR="00372521">
        <w:rPr>
          <w:rFonts w:hint="eastAsia"/>
          <w:lang w:eastAsia="zh-CN"/>
        </w:rPr>
        <w:t>电信</w:t>
      </w:r>
      <w:r w:rsidR="00372521">
        <w:rPr>
          <w:rFonts w:hint="eastAsia"/>
          <w:lang w:eastAsia="zh-CN"/>
        </w:rPr>
        <w:t>/ICT</w:t>
      </w:r>
      <w:r w:rsidR="00372521">
        <w:rPr>
          <w:rFonts w:hint="eastAsia"/>
          <w:lang w:eastAsia="zh-CN"/>
        </w:rPr>
        <w:t>领域</w:t>
      </w:r>
      <w:r w:rsidR="00372521">
        <w:rPr>
          <w:lang w:eastAsia="zh-CN"/>
        </w:rPr>
        <w:t>内外</w:t>
      </w:r>
      <w:r w:rsidR="00372521">
        <w:rPr>
          <w:rFonts w:hint="eastAsia"/>
          <w:lang w:eastAsia="zh-CN"/>
        </w:rPr>
        <w:t>的</w:t>
      </w:r>
      <w:r w:rsidRPr="007A17E5">
        <w:rPr>
          <w:rFonts w:hint="eastAsia"/>
          <w:lang w:eastAsia="zh-CN"/>
        </w:rPr>
        <w:t>传统和非传统合作伙伴接触，开发并改进其资源筹措产品和工具，落实包括区域性举措在内的全球</w:t>
      </w:r>
      <w:r w:rsidR="00372521">
        <w:rPr>
          <w:rFonts w:hint="eastAsia"/>
          <w:lang w:eastAsia="zh-CN"/>
        </w:rPr>
        <w:t>、</w:t>
      </w:r>
      <w:r w:rsidRPr="007A17E5">
        <w:rPr>
          <w:rFonts w:hint="eastAsia"/>
          <w:lang w:eastAsia="zh-CN"/>
        </w:rPr>
        <w:t>区域性</w:t>
      </w:r>
      <w:r w:rsidR="00372521">
        <w:rPr>
          <w:rFonts w:hint="eastAsia"/>
          <w:lang w:eastAsia="zh-CN"/>
        </w:rPr>
        <w:t>和</w:t>
      </w:r>
      <w:r w:rsidR="00372521">
        <w:rPr>
          <w:lang w:eastAsia="zh-CN"/>
        </w:rPr>
        <w:t>国家</w:t>
      </w:r>
      <w:r w:rsidRPr="007A17E5">
        <w:rPr>
          <w:rFonts w:hint="eastAsia"/>
          <w:lang w:eastAsia="zh-CN"/>
        </w:rPr>
        <w:t>项目与举措。</w:t>
      </w:r>
    </w:p>
    <w:p w:rsidR="009F30AD" w:rsidRPr="00B55BFB" w:rsidRDefault="007A17E5" w:rsidP="00372521">
      <w:pPr>
        <w:ind w:firstLineChars="200" w:firstLine="480"/>
        <w:rPr>
          <w:rFonts w:cs="Calibri"/>
          <w:lang w:eastAsia="zh-CN"/>
        </w:rPr>
      </w:pPr>
      <w:r w:rsidRPr="007A17E5">
        <w:rPr>
          <w:rFonts w:hint="eastAsia"/>
          <w:lang w:eastAsia="zh-CN"/>
        </w:rPr>
        <w:t>请国际电联成员与电信发展局合作，落实</w:t>
      </w:r>
      <w:r w:rsidRPr="007A17E5">
        <w:rPr>
          <w:rFonts w:hint="eastAsia"/>
          <w:lang w:eastAsia="zh-CN"/>
        </w:rPr>
        <w:t>WTDC-1</w:t>
      </w:r>
      <w:r w:rsidR="00372521">
        <w:rPr>
          <w:lang w:eastAsia="zh-CN"/>
        </w:rPr>
        <w:t>7</w:t>
      </w:r>
      <w:r w:rsidRPr="007A17E5">
        <w:rPr>
          <w:rFonts w:hint="eastAsia"/>
          <w:lang w:eastAsia="zh-CN"/>
        </w:rPr>
        <w:t>的成果并实现信息社会世界峰会（</w:t>
      </w:r>
      <w:r w:rsidRPr="007A17E5">
        <w:rPr>
          <w:rFonts w:hint="eastAsia"/>
          <w:lang w:eastAsia="zh-CN"/>
        </w:rPr>
        <w:t>WSIS</w:t>
      </w:r>
      <w:r w:rsidRPr="007A17E5">
        <w:rPr>
          <w:rFonts w:hint="eastAsia"/>
          <w:lang w:eastAsia="zh-CN"/>
        </w:rPr>
        <w:t>）制定的目标，为实现可持续发展目标（</w:t>
      </w:r>
      <w:r w:rsidRPr="007A17E5">
        <w:rPr>
          <w:rFonts w:hint="eastAsia"/>
          <w:lang w:eastAsia="zh-CN"/>
        </w:rPr>
        <w:t>SDG</w:t>
      </w:r>
      <w:r w:rsidRPr="007A17E5">
        <w:rPr>
          <w:rFonts w:hint="eastAsia"/>
          <w:lang w:eastAsia="zh-CN"/>
        </w:rPr>
        <w:t>）做出贡献。</w:t>
      </w:r>
    </w:p>
    <w:p w:rsidR="009F30AD" w:rsidRDefault="009F30AD" w:rsidP="009F30AD">
      <w:pPr>
        <w:jc w:val="center"/>
        <w:rPr>
          <w:rFonts w:cstheme="minorHAnsi"/>
          <w:szCs w:val="24"/>
          <w:lang w:val="en-US" w:eastAsia="zh-CN"/>
        </w:rPr>
      </w:pPr>
    </w:p>
    <w:p w:rsidR="009F30AD" w:rsidRPr="00B55BFB" w:rsidRDefault="009F30AD" w:rsidP="009F30AD">
      <w:pPr>
        <w:jc w:val="center"/>
        <w:rPr>
          <w:szCs w:val="24"/>
          <w:lang w:val="en-US" w:eastAsia="zh-CN"/>
        </w:rPr>
      </w:pPr>
    </w:p>
    <w:p w:rsidR="00325D93" w:rsidRPr="00022392" w:rsidRDefault="001F2CC2" w:rsidP="00022392">
      <w:pPr>
        <w:jc w:val="center"/>
      </w:pPr>
      <w:r>
        <w:t>______________</w:t>
      </w:r>
    </w:p>
    <w:sectPr w:rsidR="00325D93" w:rsidRPr="00022392" w:rsidSect="0039169B">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8B" w:rsidRDefault="003F238B">
      <w:r>
        <w:separator/>
      </w:r>
    </w:p>
  </w:endnote>
  <w:endnote w:type="continuationSeparator" w:id="0">
    <w:p w:rsidR="003F238B" w:rsidRDefault="003F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Default="003F238B">
    <w:pPr>
      <w:framePr w:wrap="around" w:vAnchor="text" w:hAnchor="margin" w:xAlign="right" w:y="1"/>
    </w:pPr>
    <w:r>
      <w:fldChar w:fldCharType="begin"/>
    </w:r>
    <w:r>
      <w:instrText xml:space="preserve">PAGE  </w:instrText>
    </w:r>
    <w:r>
      <w:fldChar w:fldCharType="end"/>
    </w:r>
  </w:p>
  <w:p w:rsidR="003F238B" w:rsidRPr="0041348E" w:rsidRDefault="003F238B">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7A5A5E">
      <w:rPr>
        <w:noProof/>
      </w:rPr>
      <w:t>09.02.18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Default="00141D85" w:rsidP="00754879">
    <w:pPr>
      <w:pStyle w:val="Footer"/>
    </w:pPr>
    <w:fldSimple w:instr=" FILENAME \p  \* MERGEFORMAT ">
      <w:r w:rsidR="00C94C59">
        <w:t>P:\CHI\ITU-D\CONF-D\TDAG18\000\021</w:t>
      </w:r>
      <w:r>
        <w:rPr>
          <w:rFonts w:hint="eastAsia"/>
          <w:lang w:eastAsia="zh-CN"/>
        </w:rPr>
        <w:t>v2</w:t>
      </w:r>
      <w:r w:rsidR="00C94C59">
        <w:t>C.docx</w:t>
      </w:r>
    </w:fldSimple>
    <w:r w:rsidR="003F238B">
      <w:t xml:space="preserve"> (428714)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A7431" w:rsidRPr="004D495C" w:rsidTr="00FA7431">
      <w:tc>
        <w:tcPr>
          <w:tcW w:w="1526" w:type="dxa"/>
          <w:tcBorders>
            <w:top w:val="single" w:sz="4" w:space="0" w:color="000000"/>
          </w:tcBorders>
          <w:shd w:val="clear" w:color="auto" w:fill="auto"/>
        </w:tcPr>
        <w:p w:rsidR="00FA7431" w:rsidRPr="004D495C" w:rsidRDefault="00FA7431" w:rsidP="00FA743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A7431" w:rsidRPr="004D495C" w:rsidRDefault="00FA7431" w:rsidP="00FA743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FA7431" w:rsidRPr="00E41CCE" w:rsidRDefault="00FA7431" w:rsidP="00FA7431">
          <w:pPr>
            <w:pStyle w:val="FirstFooter"/>
            <w:tabs>
              <w:tab w:val="left" w:pos="1201"/>
            </w:tabs>
            <w:rPr>
              <w:sz w:val="18"/>
              <w:szCs w:val="18"/>
              <w:lang w:val="en-US" w:eastAsia="zh-CN"/>
            </w:rPr>
          </w:pPr>
          <w:r>
            <w:rPr>
              <w:rFonts w:hint="eastAsia"/>
              <w:sz w:val="18"/>
              <w:szCs w:val="18"/>
              <w:lang w:val="en-US" w:eastAsia="zh-CN"/>
            </w:rPr>
            <w:t>电信发展局创新</w:t>
          </w:r>
          <w:r>
            <w:rPr>
              <w:sz w:val="18"/>
              <w:szCs w:val="18"/>
              <w:lang w:val="en-US" w:eastAsia="zh-CN"/>
            </w:rPr>
            <w:t>和伙伴</w:t>
          </w:r>
          <w:r>
            <w:rPr>
              <w:rFonts w:hint="eastAsia"/>
              <w:sz w:val="18"/>
              <w:szCs w:val="18"/>
              <w:lang w:val="en-US" w:eastAsia="zh-CN"/>
            </w:rPr>
            <w:t>关系</w:t>
          </w:r>
          <w:r>
            <w:rPr>
              <w:sz w:val="18"/>
              <w:szCs w:val="18"/>
              <w:lang w:val="en-US" w:eastAsia="zh-CN"/>
            </w:rPr>
            <w:t>部主任金</w:t>
          </w:r>
          <w:r>
            <w:rPr>
              <w:rFonts w:hint="eastAsia"/>
              <w:sz w:val="18"/>
              <w:szCs w:val="18"/>
              <w:lang w:val="en-US" w:eastAsia="zh-CN"/>
            </w:rPr>
            <w:t>恩珠</w:t>
          </w:r>
          <w:r>
            <w:rPr>
              <w:sz w:val="18"/>
              <w:szCs w:val="18"/>
              <w:lang w:val="en-US" w:eastAsia="zh-CN"/>
            </w:rPr>
            <w:t>女士</w:t>
          </w:r>
        </w:p>
      </w:tc>
      <w:bookmarkStart w:id="34" w:name="OrgName"/>
      <w:bookmarkEnd w:id="34"/>
    </w:tr>
    <w:tr w:rsidR="00FA7431" w:rsidRPr="004D495C" w:rsidTr="00FA7431">
      <w:tc>
        <w:tcPr>
          <w:tcW w:w="1526" w:type="dxa"/>
          <w:shd w:val="clear" w:color="auto" w:fill="auto"/>
        </w:tcPr>
        <w:p w:rsidR="00FA7431" w:rsidRPr="004D495C" w:rsidRDefault="00FA7431" w:rsidP="00FA7431">
          <w:pPr>
            <w:pStyle w:val="FirstFooter"/>
            <w:tabs>
              <w:tab w:val="left" w:pos="1559"/>
              <w:tab w:val="left" w:pos="3828"/>
            </w:tabs>
            <w:rPr>
              <w:sz w:val="20"/>
              <w:lang w:val="en-US" w:eastAsia="zh-CN"/>
            </w:rPr>
          </w:pPr>
        </w:p>
      </w:tc>
      <w:tc>
        <w:tcPr>
          <w:tcW w:w="2410" w:type="dxa"/>
          <w:shd w:val="clear" w:color="auto" w:fill="auto"/>
        </w:tcPr>
        <w:p w:rsidR="00FA7431" w:rsidRPr="004D495C" w:rsidRDefault="00FA7431" w:rsidP="00FA743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FA7431" w:rsidRPr="00E41CCE" w:rsidRDefault="00FA7431" w:rsidP="00FA7431">
          <w:pPr>
            <w:pStyle w:val="FirstFooter"/>
            <w:tabs>
              <w:tab w:val="left" w:pos="2302"/>
            </w:tabs>
            <w:rPr>
              <w:sz w:val="18"/>
              <w:szCs w:val="18"/>
              <w:lang w:val="en-US"/>
            </w:rPr>
          </w:pPr>
          <w:r w:rsidRPr="00E41CCE">
            <w:rPr>
              <w:sz w:val="18"/>
              <w:szCs w:val="18"/>
              <w:lang w:val="en-US"/>
            </w:rPr>
            <w:t>+41 22 730 5900</w:t>
          </w:r>
        </w:p>
      </w:tc>
      <w:bookmarkStart w:id="35" w:name="PhoneNo"/>
      <w:bookmarkEnd w:id="35"/>
    </w:tr>
    <w:tr w:rsidR="00FA7431" w:rsidRPr="004D495C" w:rsidTr="00FA7431">
      <w:tc>
        <w:tcPr>
          <w:tcW w:w="1526" w:type="dxa"/>
          <w:shd w:val="clear" w:color="auto" w:fill="auto"/>
        </w:tcPr>
        <w:p w:rsidR="00FA7431" w:rsidRPr="004D495C" w:rsidRDefault="00FA7431" w:rsidP="00FA7431">
          <w:pPr>
            <w:pStyle w:val="FirstFooter"/>
            <w:tabs>
              <w:tab w:val="left" w:pos="1559"/>
              <w:tab w:val="left" w:pos="3828"/>
            </w:tabs>
            <w:rPr>
              <w:sz w:val="20"/>
              <w:lang w:val="en-US"/>
            </w:rPr>
          </w:pPr>
        </w:p>
      </w:tc>
      <w:tc>
        <w:tcPr>
          <w:tcW w:w="2410" w:type="dxa"/>
          <w:shd w:val="clear" w:color="auto" w:fill="auto"/>
        </w:tcPr>
        <w:p w:rsidR="00FA7431" w:rsidRPr="004D495C" w:rsidRDefault="00FA7431" w:rsidP="00FA743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FA7431" w:rsidRPr="00E41CCE" w:rsidRDefault="007A5A5E" w:rsidP="00FA7431">
          <w:pPr>
            <w:pStyle w:val="FirstFooter"/>
            <w:tabs>
              <w:tab w:val="left" w:pos="2302"/>
            </w:tabs>
            <w:rPr>
              <w:sz w:val="18"/>
              <w:szCs w:val="18"/>
              <w:lang w:val="en-US"/>
            </w:rPr>
          </w:pPr>
          <w:hyperlink r:id="rId1" w:history="1">
            <w:r w:rsidR="00FA7431" w:rsidRPr="00E41CCE">
              <w:rPr>
                <w:rStyle w:val="Hyperlink"/>
                <w:sz w:val="18"/>
                <w:szCs w:val="18"/>
                <w:lang w:val="en-US"/>
              </w:rPr>
              <w:t>eun-ju.kim@itu.int</w:t>
            </w:r>
          </w:hyperlink>
          <w:r w:rsidR="00FA7431" w:rsidRPr="00E41CCE">
            <w:rPr>
              <w:sz w:val="18"/>
              <w:szCs w:val="18"/>
              <w:lang w:val="en-US"/>
            </w:rPr>
            <w:t xml:space="preserve"> </w:t>
          </w:r>
        </w:p>
      </w:tc>
      <w:bookmarkStart w:id="36" w:name="Email"/>
      <w:bookmarkEnd w:id="36"/>
    </w:tr>
  </w:tbl>
  <w:p w:rsidR="003F238B" w:rsidRPr="00D83BF5" w:rsidRDefault="007A5A5E" w:rsidP="001E252D">
    <w:pPr>
      <w:jc w:val="center"/>
    </w:pPr>
    <w:hyperlink r:id="rId2" w:history="1">
      <w:r w:rsidR="003F238B"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8B" w:rsidRDefault="003F238B">
      <w:r>
        <w:rPr>
          <w:b/>
        </w:rPr>
        <w:t>_______________</w:t>
      </w:r>
    </w:p>
  </w:footnote>
  <w:footnote w:type="continuationSeparator" w:id="0">
    <w:p w:rsidR="003F238B" w:rsidRDefault="003F238B">
      <w:r>
        <w:continuationSeparator/>
      </w:r>
    </w:p>
  </w:footnote>
  <w:footnote w:id="1">
    <w:p w:rsidR="003F238B" w:rsidRPr="008657BB" w:rsidRDefault="003F238B" w:rsidP="00E642A5">
      <w:pPr>
        <w:pStyle w:val="FootnoteText"/>
        <w:tabs>
          <w:tab w:val="clear" w:pos="255"/>
        </w:tabs>
        <w:ind w:left="142" w:hanging="142"/>
        <w:rPr>
          <w:rFonts w:ascii="Calibri" w:hAnsi="Calibri"/>
          <w:b/>
          <w:color w:val="800000"/>
          <w:sz w:val="22"/>
          <w:szCs w:val="14"/>
          <w:lang w:val="en-US" w:eastAsia="zh-CN"/>
        </w:rPr>
      </w:pPr>
      <w:r w:rsidRPr="0055277F">
        <w:rPr>
          <w:rStyle w:val="FootnoteReference"/>
          <w:sz w:val="12"/>
          <w:szCs w:val="14"/>
        </w:rPr>
        <w:footnoteRef/>
      </w:r>
      <w:r w:rsidRPr="0055277F">
        <w:rPr>
          <w:rFonts w:cs="Calibri"/>
          <w:sz w:val="16"/>
          <w:szCs w:val="16"/>
          <w:lang w:eastAsia="zh-CN"/>
        </w:rPr>
        <w:t xml:space="preserve"> </w:t>
      </w:r>
      <w:bookmarkStart w:id="16" w:name="lt_pId184"/>
      <w:r w:rsidRPr="00C94C59">
        <w:rPr>
          <w:rFonts w:cs="Calibri"/>
          <w:szCs w:val="24"/>
          <w:lang w:eastAsia="zh-CN"/>
        </w:rPr>
        <w:t>2015</w:t>
      </w:r>
      <w:r w:rsidRPr="00C94C59">
        <w:rPr>
          <w:rFonts w:cs="Calibri" w:hint="eastAsia"/>
          <w:szCs w:val="24"/>
          <w:lang w:eastAsia="zh-CN"/>
        </w:rPr>
        <w:t>年</w:t>
      </w:r>
      <w:r w:rsidRPr="00C94C59">
        <w:rPr>
          <w:rFonts w:cs="Calibri"/>
          <w:szCs w:val="24"/>
          <w:lang w:eastAsia="zh-CN"/>
        </w:rPr>
        <w:t>，为落实</w:t>
      </w:r>
      <w:r w:rsidRPr="00C94C59">
        <w:rPr>
          <w:rFonts w:cs="Calibri"/>
          <w:szCs w:val="24"/>
          <w:lang w:eastAsia="zh-CN"/>
        </w:rPr>
        <w:t>“</w:t>
      </w:r>
      <w:r w:rsidRPr="00C94C59">
        <w:rPr>
          <w:rFonts w:cs="Calibri"/>
          <w:szCs w:val="24"/>
          <w:lang w:eastAsia="zh-CN"/>
        </w:rPr>
        <w:t>国际电联学院高级培训中心联合能力建设活动</w:t>
      </w:r>
      <w:r w:rsidRPr="00C94C59">
        <w:rPr>
          <w:rFonts w:cs="Calibri"/>
          <w:szCs w:val="24"/>
          <w:lang w:eastAsia="zh-CN"/>
        </w:rPr>
        <w:t>”</w:t>
      </w:r>
      <w:r w:rsidRPr="00C94C59">
        <w:rPr>
          <w:rFonts w:cs="Calibri"/>
          <w:szCs w:val="24"/>
          <w:lang w:eastAsia="zh-CN"/>
        </w:rPr>
        <w:t>签署了</w:t>
      </w:r>
      <w:r w:rsidRPr="00C94C59">
        <w:rPr>
          <w:rFonts w:cs="Calibri"/>
          <w:szCs w:val="24"/>
          <w:lang w:eastAsia="zh-CN"/>
        </w:rPr>
        <w:t>28</w:t>
      </w:r>
      <w:r w:rsidRPr="00C94C59">
        <w:rPr>
          <w:rFonts w:cs="Calibri" w:hint="eastAsia"/>
          <w:szCs w:val="24"/>
          <w:lang w:eastAsia="zh-CN"/>
        </w:rPr>
        <w:t>项</w:t>
      </w:r>
      <w:r w:rsidRPr="00C94C59">
        <w:rPr>
          <w:rFonts w:cs="Calibri"/>
          <w:szCs w:val="24"/>
          <w:lang w:eastAsia="zh-CN"/>
        </w:rPr>
        <w:t>协议</w:t>
      </w:r>
      <w:r w:rsidRPr="00C94C59">
        <w:rPr>
          <w:rFonts w:cs="Calibri" w:hint="eastAsia"/>
          <w:szCs w:val="24"/>
          <w:lang w:eastAsia="zh-CN"/>
        </w:rPr>
        <w:t>。</w:t>
      </w:r>
      <w:bookmarkEnd w:id="16"/>
    </w:p>
  </w:footnote>
  <w:footnote w:id="2">
    <w:p w:rsidR="003F238B" w:rsidRPr="00BF71EB" w:rsidRDefault="003F238B" w:rsidP="00372521">
      <w:pPr>
        <w:pStyle w:val="FootnoteText"/>
        <w:tabs>
          <w:tab w:val="clear" w:pos="255"/>
        </w:tabs>
        <w:ind w:left="284" w:hanging="284"/>
        <w:rPr>
          <w:sz w:val="20"/>
          <w:szCs w:val="18"/>
          <w:lang w:val="en-US" w:eastAsia="zh-CN"/>
        </w:rPr>
      </w:pPr>
      <w:r w:rsidRPr="00BF71EB">
        <w:rPr>
          <w:rStyle w:val="FootnoteReference"/>
          <w:sz w:val="14"/>
          <w:szCs w:val="18"/>
        </w:rPr>
        <w:footnoteRef/>
      </w:r>
      <w:bookmarkStart w:id="28" w:name="lt_pId190"/>
      <w:r w:rsidR="006511D4">
        <w:rPr>
          <w:sz w:val="20"/>
          <w:szCs w:val="18"/>
          <w:lang w:eastAsia="zh-CN"/>
        </w:rPr>
        <w:tab/>
      </w:r>
      <w:r w:rsidR="006511D4" w:rsidRPr="00C94C59">
        <w:rPr>
          <w:rFonts w:hint="eastAsia"/>
          <w:szCs w:val="24"/>
          <w:lang w:eastAsia="zh-CN"/>
        </w:rPr>
        <w:t>仅</w:t>
      </w:r>
      <w:r w:rsidR="006511D4" w:rsidRPr="00C94C59">
        <w:rPr>
          <w:szCs w:val="24"/>
          <w:lang w:eastAsia="zh-CN"/>
        </w:rPr>
        <w:t>通过</w:t>
      </w:r>
      <w:r w:rsidR="006511D4" w:rsidRPr="00C94C59">
        <w:rPr>
          <w:rFonts w:hint="eastAsia"/>
          <w:szCs w:val="24"/>
          <w:lang w:eastAsia="zh-CN"/>
        </w:rPr>
        <w:t>3</w:t>
      </w:r>
      <w:r w:rsidR="006511D4" w:rsidRPr="00C94C59">
        <w:rPr>
          <w:rFonts w:hint="eastAsia"/>
          <w:szCs w:val="24"/>
          <w:lang w:eastAsia="zh-CN"/>
        </w:rPr>
        <w:t>次</w:t>
      </w:r>
      <w:r w:rsidR="006511D4" w:rsidRPr="00C94C59">
        <w:rPr>
          <w:szCs w:val="24"/>
          <w:lang w:eastAsia="zh-CN"/>
        </w:rPr>
        <w:t>点击</w:t>
      </w:r>
      <w:r w:rsidR="00E84E0B" w:rsidRPr="00C94C59">
        <w:rPr>
          <w:rFonts w:hint="eastAsia"/>
          <w:szCs w:val="24"/>
          <w:lang w:eastAsia="zh-CN"/>
        </w:rPr>
        <w:t>，</w:t>
      </w:r>
      <w:r w:rsidR="00E84E0B" w:rsidRPr="00C94C59">
        <w:rPr>
          <w:szCs w:val="24"/>
          <w:lang w:eastAsia="zh-CN"/>
        </w:rPr>
        <w:t>各实体就有机会成为</w:t>
      </w:r>
      <w:r w:rsidR="00E84E0B" w:rsidRPr="00C94C59">
        <w:rPr>
          <w:rFonts w:hint="eastAsia"/>
          <w:szCs w:val="24"/>
          <w:lang w:eastAsia="zh-CN"/>
        </w:rPr>
        <w:t>赞助</w:t>
      </w:r>
      <w:r w:rsidR="00E84E0B" w:rsidRPr="00C94C59">
        <w:rPr>
          <w:szCs w:val="24"/>
          <w:lang w:eastAsia="zh-CN"/>
        </w:rPr>
        <w:t>商</w:t>
      </w:r>
      <w:r w:rsidR="00372521" w:rsidRPr="00C94C59">
        <w:rPr>
          <w:rFonts w:hint="eastAsia"/>
          <w:szCs w:val="24"/>
          <w:lang w:eastAsia="zh-CN"/>
        </w:rPr>
        <w:t>：</w:t>
      </w:r>
      <w:r w:rsidR="00E84E0B" w:rsidRPr="00C94C59">
        <w:rPr>
          <w:rFonts w:ascii="SimSun" w:eastAsia="SimSun" w:hAnsi="SimSun"/>
          <w:szCs w:val="24"/>
          <w:lang w:eastAsia="zh-CN"/>
        </w:rPr>
        <w:t>“</w:t>
      </w:r>
      <w:r w:rsidR="00E84E0B" w:rsidRPr="00C94C59">
        <w:rPr>
          <w:szCs w:val="24"/>
          <w:lang w:eastAsia="zh-CN"/>
        </w:rPr>
        <w:t xml:space="preserve">1 </w:t>
      </w:r>
      <w:r w:rsidR="00E84E0B" w:rsidRPr="00C94C59">
        <w:rPr>
          <w:rFonts w:hint="eastAsia"/>
          <w:szCs w:val="24"/>
          <w:lang w:eastAsia="zh-CN"/>
        </w:rPr>
        <w:t>选择</w:t>
      </w:r>
      <w:r w:rsidR="00E84E0B" w:rsidRPr="00C94C59">
        <w:rPr>
          <w:szCs w:val="24"/>
          <w:lang w:eastAsia="zh-CN"/>
        </w:rPr>
        <w:t>会议，</w:t>
      </w:r>
      <w:r w:rsidR="00E84E0B" w:rsidRPr="00C94C59">
        <w:rPr>
          <w:rFonts w:hint="eastAsia"/>
          <w:szCs w:val="24"/>
          <w:lang w:eastAsia="zh-CN"/>
        </w:rPr>
        <w:t xml:space="preserve">2 </w:t>
      </w:r>
      <w:r w:rsidR="00E84E0B" w:rsidRPr="00C94C59">
        <w:rPr>
          <w:rFonts w:hint="eastAsia"/>
          <w:szCs w:val="24"/>
          <w:lang w:eastAsia="zh-CN"/>
        </w:rPr>
        <w:t>选择</w:t>
      </w:r>
      <w:r w:rsidR="00E84E0B" w:rsidRPr="00C94C59">
        <w:rPr>
          <w:szCs w:val="24"/>
          <w:lang w:eastAsia="zh-CN"/>
        </w:rPr>
        <w:t>活动</w:t>
      </w:r>
      <w:r w:rsidR="00372521" w:rsidRPr="00C94C59">
        <w:rPr>
          <w:rFonts w:hint="eastAsia"/>
          <w:szCs w:val="24"/>
          <w:lang w:eastAsia="zh-CN"/>
        </w:rPr>
        <w:t>，</w:t>
      </w:r>
      <w:r w:rsidR="00372521" w:rsidRPr="00C94C59">
        <w:rPr>
          <w:rFonts w:hint="eastAsia"/>
          <w:szCs w:val="24"/>
          <w:lang w:eastAsia="zh-CN"/>
        </w:rPr>
        <w:t>3</w:t>
      </w:r>
      <w:r w:rsidR="00E84E0B" w:rsidRPr="00C94C59">
        <w:rPr>
          <w:szCs w:val="24"/>
          <w:lang w:eastAsia="zh-CN"/>
        </w:rPr>
        <w:t>得到初步</w:t>
      </w:r>
      <w:r w:rsidR="00E84E0B" w:rsidRPr="00C94C59">
        <w:rPr>
          <w:rFonts w:hint="eastAsia"/>
          <w:szCs w:val="24"/>
          <w:lang w:eastAsia="zh-CN"/>
        </w:rPr>
        <w:t>报价</w:t>
      </w:r>
      <w:r w:rsidR="00E84E0B" w:rsidRPr="00C94C59">
        <w:rPr>
          <w:rFonts w:ascii="SimSun" w:eastAsia="SimSun" w:hAnsi="SimSun"/>
          <w:szCs w:val="24"/>
          <w:lang w:eastAsia="zh-CN"/>
        </w:rPr>
        <w:t>”</w:t>
      </w:r>
      <w:r w:rsidR="00E84E0B" w:rsidRPr="00C94C59">
        <w:rPr>
          <w:szCs w:val="24"/>
          <w:lang w:eastAsia="zh-CN"/>
        </w:rPr>
        <w:t>。</w:t>
      </w:r>
      <w:bookmarkEnd w:id="2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85" w:rsidRDefault="00141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Pr="00325D93" w:rsidRDefault="003F238B" w:rsidP="00754879">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33" w:name="DocNo2"/>
    <w:bookmarkEnd w:id="33"/>
    <w:r>
      <w:rPr>
        <w:sz w:val="18"/>
        <w:szCs w:val="18"/>
        <w:lang w:val="es-ES_tradnl"/>
      </w:rPr>
      <w:t>21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7A5A5E">
      <w:rPr>
        <w:noProof/>
        <w:sz w:val="18"/>
        <w:szCs w:val="18"/>
        <w:lang w:val="es-ES_tradnl"/>
      </w:rPr>
      <w:t>5</w:t>
    </w:r>
    <w:r w:rsidRPr="00325D93">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85" w:rsidRDefault="00141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6A1AD5"/>
    <w:multiLevelType w:val="hybridMultilevel"/>
    <w:tmpl w:val="C728BC86"/>
    <w:lvl w:ilvl="0" w:tplc="1D0A4BAA">
      <w:start w:val="1"/>
      <w:numFmt w:val="lowerLetter"/>
      <w:pStyle w:val="CEOParagraphabc"/>
      <w:lvlText w:val="%1)"/>
      <w:lvlJc w:val="left"/>
      <w:pPr>
        <w:ind w:left="720" w:hanging="360"/>
      </w:pPr>
    </w:lvl>
    <w:lvl w:ilvl="1" w:tplc="5110262E">
      <w:start w:val="1"/>
      <w:numFmt w:val="lowerLetter"/>
      <w:lvlText w:val="%2."/>
      <w:lvlJc w:val="left"/>
      <w:pPr>
        <w:ind w:left="1440" w:hanging="360"/>
      </w:pPr>
    </w:lvl>
    <w:lvl w:ilvl="2" w:tplc="013CC946">
      <w:start w:val="1"/>
      <w:numFmt w:val="lowerRoman"/>
      <w:lvlText w:val="%3."/>
      <w:lvlJc w:val="right"/>
      <w:pPr>
        <w:ind w:left="2160" w:hanging="180"/>
      </w:pPr>
    </w:lvl>
    <w:lvl w:ilvl="3" w:tplc="3F6A38B4">
      <w:start w:val="1"/>
      <w:numFmt w:val="decimal"/>
      <w:lvlText w:val="%4."/>
      <w:lvlJc w:val="left"/>
      <w:pPr>
        <w:ind w:left="2880" w:hanging="360"/>
      </w:pPr>
    </w:lvl>
    <w:lvl w:ilvl="4" w:tplc="B5749FDC">
      <w:start w:val="1"/>
      <w:numFmt w:val="lowerLetter"/>
      <w:lvlText w:val="%5."/>
      <w:lvlJc w:val="left"/>
      <w:pPr>
        <w:ind w:left="3600" w:hanging="360"/>
      </w:pPr>
    </w:lvl>
    <w:lvl w:ilvl="5" w:tplc="2A16E544">
      <w:start w:val="1"/>
      <w:numFmt w:val="lowerRoman"/>
      <w:lvlText w:val="%6."/>
      <w:lvlJc w:val="right"/>
      <w:pPr>
        <w:ind w:left="4320" w:hanging="180"/>
      </w:pPr>
    </w:lvl>
    <w:lvl w:ilvl="6" w:tplc="19FAD3D4">
      <w:start w:val="1"/>
      <w:numFmt w:val="decimal"/>
      <w:lvlText w:val="%7."/>
      <w:lvlJc w:val="left"/>
      <w:pPr>
        <w:ind w:left="5040" w:hanging="360"/>
      </w:pPr>
    </w:lvl>
    <w:lvl w:ilvl="7" w:tplc="E92CFBDE">
      <w:start w:val="1"/>
      <w:numFmt w:val="lowerLetter"/>
      <w:lvlText w:val="%8."/>
      <w:lvlJc w:val="left"/>
      <w:pPr>
        <w:ind w:left="5760" w:hanging="360"/>
      </w:pPr>
    </w:lvl>
    <w:lvl w:ilvl="8" w:tplc="41E8E15A">
      <w:start w:val="1"/>
      <w:numFmt w:val="lowerRoman"/>
      <w:lvlText w:val="%9."/>
      <w:lvlJc w:val="right"/>
      <w:pPr>
        <w:ind w:left="6480" w:hanging="180"/>
      </w:pPr>
    </w:lvl>
  </w:abstractNum>
  <w:abstractNum w:abstractNumId="4"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29247AB6"/>
    <w:multiLevelType w:val="hybridMultilevel"/>
    <w:tmpl w:val="EB442592"/>
    <w:lvl w:ilvl="0" w:tplc="6F765D2E">
      <w:start w:val="1"/>
      <w:numFmt w:val="bullet"/>
      <w:lvlText w:val=""/>
      <w:lvlJc w:val="left"/>
      <w:pPr>
        <w:ind w:left="360" w:hanging="360"/>
      </w:pPr>
      <w:rPr>
        <w:rFonts w:ascii="Symbol" w:hAnsi="Symbol" w:hint="default"/>
      </w:rPr>
    </w:lvl>
    <w:lvl w:ilvl="1" w:tplc="273476DC" w:tentative="1">
      <w:start w:val="1"/>
      <w:numFmt w:val="bullet"/>
      <w:lvlText w:val="o"/>
      <w:lvlJc w:val="left"/>
      <w:pPr>
        <w:ind w:left="1080" w:hanging="360"/>
      </w:pPr>
      <w:rPr>
        <w:rFonts w:ascii="Courier New" w:hAnsi="Courier New" w:cs="Courier New" w:hint="default"/>
      </w:rPr>
    </w:lvl>
    <w:lvl w:ilvl="2" w:tplc="4506796A" w:tentative="1">
      <w:start w:val="1"/>
      <w:numFmt w:val="bullet"/>
      <w:lvlText w:val=""/>
      <w:lvlJc w:val="left"/>
      <w:pPr>
        <w:ind w:left="1800" w:hanging="360"/>
      </w:pPr>
      <w:rPr>
        <w:rFonts w:ascii="Wingdings" w:hAnsi="Wingdings" w:hint="default"/>
      </w:rPr>
    </w:lvl>
    <w:lvl w:ilvl="3" w:tplc="5D445F7C" w:tentative="1">
      <w:start w:val="1"/>
      <w:numFmt w:val="bullet"/>
      <w:lvlText w:val=""/>
      <w:lvlJc w:val="left"/>
      <w:pPr>
        <w:ind w:left="2520" w:hanging="360"/>
      </w:pPr>
      <w:rPr>
        <w:rFonts w:ascii="Symbol" w:hAnsi="Symbol" w:hint="default"/>
      </w:rPr>
    </w:lvl>
    <w:lvl w:ilvl="4" w:tplc="9E1409DC" w:tentative="1">
      <w:start w:val="1"/>
      <w:numFmt w:val="bullet"/>
      <w:lvlText w:val="o"/>
      <w:lvlJc w:val="left"/>
      <w:pPr>
        <w:ind w:left="3240" w:hanging="360"/>
      </w:pPr>
      <w:rPr>
        <w:rFonts w:ascii="Courier New" w:hAnsi="Courier New" w:cs="Courier New" w:hint="default"/>
      </w:rPr>
    </w:lvl>
    <w:lvl w:ilvl="5" w:tplc="BD5E5A06" w:tentative="1">
      <w:start w:val="1"/>
      <w:numFmt w:val="bullet"/>
      <w:lvlText w:val=""/>
      <w:lvlJc w:val="left"/>
      <w:pPr>
        <w:ind w:left="3960" w:hanging="360"/>
      </w:pPr>
      <w:rPr>
        <w:rFonts w:ascii="Wingdings" w:hAnsi="Wingdings" w:hint="default"/>
      </w:rPr>
    </w:lvl>
    <w:lvl w:ilvl="6" w:tplc="1CDEFB9E" w:tentative="1">
      <w:start w:val="1"/>
      <w:numFmt w:val="bullet"/>
      <w:lvlText w:val=""/>
      <w:lvlJc w:val="left"/>
      <w:pPr>
        <w:ind w:left="4680" w:hanging="360"/>
      </w:pPr>
      <w:rPr>
        <w:rFonts w:ascii="Symbol" w:hAnsi="Symbol" w:hint="default"/>
      </w:rPr>
    </w:lvl>
    <w:lvl w:ilvl="7" w:tplc="A58A43EE" w:tentative="1">
      <w:start w:val="1"/>
      <w:numFmt w:val="bullet"/>
      <w:lvlText w:val="o"/>
      <w:lvlJc w:val="left"/>
      <w:pPr>
        <w:ind w:left="5400" w:hanging="360"/>
      </w:pPr>
      <w:rPr>
        <w:rFonts w:ascii="Courier New" w:hAnsi="Courier New" w:cs="Courier New" w:hint="default"/>
      </w:rPr>
    </w:lvl>
    <w:lvl w:ilvl="8" w:tplc="7DC430A0" w:tentative="1">
      <w:start w:val="1"/>
      <w:numFmt w:val="bullet"/>
      <w:lvlText w:val=""/>
      <w:lvlJc w:val="left"/>
      <w:pPr>
        <w:ind w:left="6120" w:hanging="360"/>
      </w:pPr>
      <w:rPr>
        <w:rFonts w:ascii="Wingdings" w:hAnsi="Wingdings" w:hint="default"/>
      </w:rPr>
    </w:lvl>
  </w:abstractNum>
  <w:abstractNum w:abstractNumId="6" w15:restartNumberingAfterBreak="0">
    <w:nsid w:val="3A6A297C"/>
    <w:multiLevelType w:val="hybridMultilevel"/>
    <w:tmpl w:val="72DCFB8A"/>
    <w:lvl w:ilvl="0" w:tplc="B41C16EA">
      <w:start w:val="1"/>
      <w:numFmt w:val="bullet"/>
      <w:lvlText w:val=""/>
      <w:lvlJc w:val="left"/>
      <w:pPr>
        <w:ind w:left="360" w:hanging="360"/>
      </w:pPr>
      <w:rPr>
        <w:rFonts w:ascii="Symbol" w:hAnsi="Symbol" w:hint="default"/>
      </w:rPr>
    </w:lvl>
    <w:lvl w:ilvl="1" w:tplc="6200341C" w:tentative="1">
      <w:start w:val="1"/>
      <w:numFmt w:val="bullet"/>
      <w:lvlText w:val="o"/>
      <w:lvlJc w:val="left"/>
      <w:pPr>
        <w:ind w:left="1080" w:hanging="360"/>
      </w:pPr>
      <w:rPr>
        <w:rFonts w:ascii="Courier New" w:hAnsi="Courier New" w:cs="Courier New" w:hint="default"/>
      </w:rPr>
    </w:lvl>
    <w:lvl w:ilvl="2" w:tplc="86609A92" w:tentative="1">
      <w:start w:val="1"/>
      <w:numFmt w:val="bullet"/>
      <w:lvlText w:val=""/>
      <w:lvlJc w:val="left"/>
      <w:pPr>
        <w:ind w:left="1800" w:hanging="360"/>
      </w:pPr>
      <w:rPr>
        <w:rFonts w:ascii="Wingdings" w:hAnsi="Wingdings" w:hint="default"/>
      </w:rPr>
    </w:lvl>
    <w:lvl w:ilvl="3" w:tplc="7304E97E" w:tentative="1">
      <w:start w:val="1"/>
      <w:numFmt w:val="bullet"/>
      <w:lvlText w:val=""/>
      <w:lvlJc w:val="left"/>
      <w:pPr>
        <w:ind w:left="2520" w:hanging="360"/>
      </w:pPr>
      <w:rPr>
        <w:rFonts w:ascii="Symbol" w:hAnsi="Symbol" w:hint="default"/>
      </w:rPr>
    </w:lvl>
    <w:lvl w:ilvl="4" w:tplc="3E080558" w:tentative="1">
      <w:start w:val="1"/>
      <w:numFmt w:val="bullet"/>
      <w:lvlText w:val="o"/>
      <w:lvlJc w:val="left"/>
      <w:pPr>
        <w:ind w:left="3240" w:hanging="360"/>
      </w:pPr>
      <w:rPr>
        <w:rFonts w:ascii="Courier New" w:hAnsi="Courier New" w:cs="Courier New" w:hint="default"/>
      </w:rPr>
    </w:lvl>
    <w:lvl w:ilvl="5" w:tplc="5072A232" w:tentative="1">
      <w:start w:val="1"/>
      <w:numFmt w:val="bullet"/>
      <w:lvlText w:val=""/>
      <w:lvlJc w:val="left"/>
      <w:pPr>
        <w:ind w:left="3960" w:hanging="360"/>
      </w:pPr>
      <w:rPr>
        <w:rFonts w:ascii="Wingdings" w:hAnsi="Wingdings" w:hint="default"/>
      </w:rPr>
    </w:lvl>
    <w:lvl w:ilvl="6" w:tplc="E3CED4B8" w:tentative="1">
      <w:start w:val="1"/>
      <w:numFmt w:val="bullet"/>
      <w:lvlText w:val=""/>
      <w:lvlJc w:val="left"/>
      <w:pPr>
        <w:ind w:left="4680" w:hanging="360"/>
      </w:pPr>
      <w:rPr>
        <w:rFonts w:ascii="Symbol" w:hAnsi="Symbol" w:hint="default"/>
      </w:rPr>
    </w:lvl>
    <w:lvl w:ilvl="7" w:tplc="4412D148" w:tentative="1">
      <w:start w:val="1"/>
      <w:numFmt w:val="bullet"/>
      <w:lvlText w:val="o"/>
      <w:lvlJc w:val="left"/>
      <w:pPr>
        <w:ind w:left="5400" w:hanging="360"/>
      </w:pPr>
      <w:rPr>
        <w:rFonts w:ascii="Courier New" w:hAnsi="Courier New" w:cs="Courier New" w:hint="default"/>
      </w:rPr>
    </w:lvl>
    <w:lvl w:ilvl="8" w:tplc="5CA6CD3E"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CF53A8"/>
    <w:multiLevelType w:val="hybridMultilevel"/>
    <w:tmpl w:val="35684F56"/>
    <w:lvl w:ilvl="0" w:tplc="7C6EF0B8">
      <w:start w:val="1"/>
      <w:numFmt w:val="bullet"/>
      <w:lvlText w:val=""/>
      <w:lvlJc w:val="left"/>
      <w:pPr>
        <w:ind w:left="360" w:hanging="360"/>
      </w:pPr>
      <w:rPr>
        <w:rFonts w:ascii="Symbol" w:hAnsi="Symbol" w:hint="default"/>
      </w:rPr>
    </w:lvl>
    <w:lvl w:ilvl="1" w:tplc="88C0C59A" w:tentative="1">
      <w:start w:val="1"/>
      <w:numFmt w:val="bullet"/>
      <w:lvlText w:val="o"/>
      <w:lvlJc w:val="left"/>
      <w:pPr>
        <w:ind w:left="1080" w:hanging="360"/>
      </w:pPr>
      <w:rPr>
        <w:rFonts w:ascii="Courier New" w:hAnsi="Courier New" w:cs="Courier New" w:hint="default"/>
      </w:rPr>
    </w:lvl>
    <w:lvl w:ilvl="2" w:tplc="1F902D7E" w:tentative="1">
      <w:start w:val="1"/>
      <w:numFmt w:val="bullet"/>
      <w:lvlText w:val=""/>
      <w:lvlJc w:val="left"/>
      <w:pPr>
        <w:ind w:left="1800" w:hanging="360"/>
      </w:pPr>
      <w:rPr>
        <w:rFonts w:ascii="Wingdings" w:hAnsi="Wingdings" w:hint="default"/>
      </w:rPr>
    </w:lvl>
    <w:lvl w:ilvl="3" w:tplc="9A16E714" w:tentative="1">
      <w:start w:val="1"/>
      <w:numFmt w:val="bullet"/>
      <w:lvlText w:val=""/>
      <w:lvlJc w:val="left"/>
      <w:pPr>
        <w:ind w:left="2520" w:hanging="360"/>
      </w:pPr>
      <w:rPr>
        <w:rFonts w:ascii="Symbol" w:hAnsi="Symbol" w:hint="default"/>
      </w:rPr>
    </w:lvl>
    <w:lvl w:ilvl="4" w:tplc="A89A932E" w:tentative="1">
      <w:start w:val="1"/>
      <w:numFmt w:val="bullet"/>
      <w:lvlText w:val="o"/>
      <w:lvlJc w:val="left"/>
      <w:pPr>
        <w:ind w:left="3240" w:hanging="360"/>
      </w:pPr>
      <w:rPr>
        <w:rFonts w:ascii="Courier New" w:hAnsi="Courier New" w:cs="Courier New" w:hint="default"/>
      </w:rPr>
    </w:lvl>
    <w:lvl w:ilvl="5" w:tplc="EAAA2EFE" w:tentative="1">
      <w:start w:val="1"/>
      <w:numFmt w:val="bullet"/>
      <w:lvlText w:val=""/>
      <w:lvlJc w:val="left"/>
      <w:pPr>
        <w:ind w:left="3960" w:hanging="360"/>
      </w:pPr>
      <w:rPr>
        <w:rFonts w:ascii="Wingdings" w:hAnsi="Wingdings" w:hint="default"/>
      </w:rPr>
    </w:lvl>
    <w:lvl w:ilvl="6" w:tplc="3CCCC5D6" w:tentative="1">
      <w:start w:val="1"/>
      <w:numFmt w:val="bullet"/>
      <w:lvlText w:val=""/>
      <w:lvlJc w:val="left"/>
      <w:pPr>
        <w:ind w:left="4680" w:hanging="360"/>
      </w:pPr>
      <w:rPr>
        <w:rFonts w:ascii="Symbol" w:hAnsi="Symbol" w:hint="default"/>
      </w:rPr>
    </w:lvl>
    <w:lvl w:ilvl="7" w:tplc="3410C5FE" w:tentative="1">
      <w:start w:val="1"/>
      <w:numFmt w:val="bullet"/>
      <w:lvlText w:val="o"/>
      <w:lvlJc w:val="left"/>
      <w:pPr>
        <w:ind w:left="5400" w:hanging="360"/>
      </w:pPr>
      <w:rPr>
        <w:rFonts w:ascii="Courier New" w:hAnsi="Courier New" w:cs="Courier New" w:hint="default"/>
      </w:rPr>
    </w:lvl>
    <w:lvl w:ilvl="8" w:tplc="3C4222B8" w:tentative="1">
      <w:start w:val="1"/>
      <w:numFmt w:val="bullet"/>
      <w:lvlText w:val=""/>
      <w:lvlJc w:val="left"/>
      <w:pPr>
        <w:ind w:left="6120" w:hanging="360"/>
      </w:pPr>
      <w:rPr>
        <w:rFonts w:ascii="Wingdings" w:hAnsi="Wingdings" w:hint="default"/>
      </w:rPr>
    </w:lvl>
  </w:abstractNum>
  <w:abstractNum w:abstractNumId="9"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392"/>
    <w:rsid w:val="00022A29"/>
    <w:rsid w:val="000355FD"/>
    <w:rsid w:val="00051E39"/>
    <w:rsid w:val="00075C63"/>
    <w:rsid w:val="00077239"/>
    <w:rsid w:val="00080905"/>
    <w:rsid w:val="000822BE"/>
    <w:rsid w:val="00086491"/>
    <w:rsid w:val="00091346"/>
    <w:rsid w:val="000D4875"/>
    <w:rsid w:val="000F033A"/>
    <w:rsid w:val="000F73FF"/>
    <w:rsid w:val="00114CF7"/>
    <w:rsid w:val="00123B68"/>
    <w:rsid w:val="00126F2E"/>
    <w:rsid w:val="00141D85"/>
    <w:rsid w:val="00146F6F"/>
    <w:rsid w:val="00147DA1"/>
    <w:rsid w:val="00150E91"/>
    <w:rsid w:val="00152957"/>
    <w:rsid w:val="00187BD9"/>
    <w:rsid w:val="00190B55"/>
    <w:rsid w:val="00194CFB"/>
    <w:rsid w:val="001B2ED3"/>
    <w:rsid w:val="001B445D"/>
    <w:rsid w:val="001B7EA3"/>
    <w:rsid w:val="001C3B5F"/>
    <w:rsid w:val="001D058F"/>
    <w:rsid w:val="001E252D"/>
    <w:rsid w:val="001F2CC2"/>
    <w:rsid w:val="001F7E49"/>
    <w:rsid w:val="002009EA"/>
    <w:rsid w:val="00202CA0"/>
    <w:rsid w:val="002043F1"/>
    <w:rsid w:val="002154A6"/>
    <w:rsid w:val="002162CD"/>
    <w:rsid w:val="002255B3"/>
    <w:rsid w:val="00236E8A"/>
    <w:rsid w:val="00271316"/>
    <w:rsid w:val="00296313"/>
    <w:rsid w:val="002B3C84"/>
    <w:rsid w:val="002D58BE"/>
    <w:rsid w:val="003013EE"/>
    <w:rsid w:val="0030171E"/>
    <w:rsid w:val="00325D93"/>
    <w:rsid w:val="00354E8D"/>
    <w:rsid w:val="00372521"/>
    <w:rsid w:val="00377BD3"/>
    <w:rsid w:val="00384088"/>
    <w:rsid w:val="0038489B"/>
    <w:rsid w:val="0039169B"/>
    <w:rsid w:val="003A7F8C"/>
    <w:rsid w:val="003B532E"/>
    <w:rsid w:val="003B6F14"/>
    <w:rsid w:val="003C7480"/>
    <w:rsid w:val="003D0F8B"/>
    <w:rsid w:val="003E1B6B"/>
    <w:rsid w:val="003F238B"/>
    <w:rsid w:val="004131D4"/>
    <w:rsid w:val="0041348E"/>
    <w:rsid w:val="00445A33"/>
    <w:rsid w:val="00447308"/>
    <w:rsid w:val="004765FF"/>
    <w:rsid w:val="004766CD"/>
    <w:rsid w:val="00492075"/>
    <w:rsid w:val="00492ACB"/>
    <w:rsid w:val="004969AD"/>
    <w:rsid w:val="004B13CB"/>
    <w:rsid w:val="004B4FDF"/>
    <w:rsid w:val="004D5D5C"/>
    <w:rsid w:val="0050139F"/>
    <w:rsid w:val="00521223"/>
    <w:rsid w:val="00524DF1"/>
    <w:rsid w:val="005455CE"/>
    <w:rsid w:val="0055140B"/>
    <w:rsid w:val="00554C4F"/>
    <w:rsid w:val="00561D72"/>
    <w:rsid w:val="005964AB"/>
    <w:rsid w:val="005B44F5"/>
    <w:rsid w:val="005C099A"/>
    <w:rsid w:val="005C31A5"/>
    <w:rsid w:val="005C3DD7"/>
    <w:rsid w:val="005E10C9"/>
    <w:rsid w:val="005E61DD"/>
    <w:rsid w:val="005E6321"/>
    <w:rsid w:val="005F5F32"/>
    <w:rsid w:val="006023DF"/>
    <w:rsid w:val="00602C32"/>
    <w:rsid w:val="0064322F"/>
    <w:rsid w:val="006511D4"/>
    <w:rsid w:val="00657DE0"/>
    <w:rsid w:val="006629AE"/>
    <w:rsid w:val="0067199F"/>
    <w:rsid w:val="00677048"/>
    <w:rsid w:val="00685313"/>
    <w:rsid w:val="006953D4"/>
    <w:rsid w:val="006A6E9B"/>
    <w:rsid w:val="006B7C2A"/>
    <w:rsid w:val="006C23DA"/>
    <w:rsid w:val="006E3D45"/>
    <w:rsid w:val="006F7FAE"/>
    <w:rsid w:val="00700EA2"/>
    <w:rsid w:val="007149F9"/>
    <w:rsid w:val="0072051C"/>
    <w:rsid w:val="00733A30"/>
    <w:rsid w:val="00745AEE"/>
    <w:rsid w:val="007479EA"/>
    <w:rsid w:val="00750F10"/>
    <w:rsid w:val="00754879"/>
    <w:rsid w:val="007742CA"/>
    <w:rsid w:val="007A17E5"/>
    <w:rsid w:val="007A5A5E"/>
    <w:rsid w:val="007A7A70"/>
    <w:rsid w:val="007C6749"/>
    <w:rsid w:val="007D06F0"/>
    <w:rsid w:val="007D45E3"/>
    <w:rsid w:val="007D5320"/>
    <w:rsid w:val="007E061C"/>
    <w:rsid w:val="007F47B5"/>
    <w:rsid w:val="007F735C"/>
    <w:rsid w:val="00800972"/>
    <w:rsid w:val="00804475"/>
    <w:rsid w:val="00811633"/>
    <w:rsid w:val="00821CEF"/>
    <w:rsid w:val="00832828"/>
    <w:rsid w:val="0083645A"/>
    <w:rsid w:val="00840B0F"/>
    <w:rsid w:val="0086088A"/>
    <w:rsid w:val="008711AE"/>
    <w:rsid w:val="00872FC8"/>
    <w:rsid w:val="00877FC1"/>
    <w:rsid w:val="008801D3"/>
    <w:rsid w:val="008845D0"/>
    <w:rsid w:val="008A3933"/>
    <w:rsid w:val="008B43F2"/>
    <w:rsid w:val="008B61EA"/>
    <w:rsid w:val="008B6CFF"/>
    <w:rsid w:val="008B7245"/>
    <w:rsid w:val="008C03EA"/>
    <w:rsid w:val="00910B26"/>
    <w:rsid w:val="00917D6B"/>
    <w:rsid w:val="009274B4"/>
    <w:rsid w:val="00934EA2"/>
    <w:rsid w:val="00944A5C"/>
    <w:rsid w:val="00952A66"/>
    <w:rsid w:val="009A08D2"/>
    <w:rsid w:val="009B60FC"/>
    <w:rsid w:val="009B75FF"/>
    <w:rsid w:val="009C56E5"/>
    <w:rsid w:val="009E5FC8"/>
    <w:rsid w:val="009E687A"/>
    <w:rsid w:val="009F30AD"/>
    <w:rsid w:val="00A03C5C"/>
    <w:rsid w:val="00A066F1"/>
    <w:rsid w:val="00A141AF"/>
    <w:rsid w:val="00A16D29"/>
    <w:rsid w:val="00A20E5E"/>
    <w:rsid w:val="00A25174"/>
    <w:rsid w:val="00A30305"/>
    <w:rsid w:val="00A30D88"/>
    <w:rsid w:val="00A31D2D"/>
    <w:rsid w:val="00A4600A"/>
    <w:rsid w:val="00A538A6"/>
    <w:rsid w:val="00A54C25"/>
    <w:rsid w:val="00A710E7"/>
    <w:rsid w:val="00A7372E"/>
    <w:rsid w:val="00A93B85"/>
    <w:rsid w:val="00A954D4"/>
    <w:rsid w:val="00AA0B18"/>
    <w:rsid w:val="00AA666F"/>
    <w:rsid w:val="00AB4927"/>
    <w:rsid w:val="00AB6F07"/>
    <w:rsid w:val="00AC034F"/>
    <w:rsid w:val="00AD192B"/>
    <w:rsid w:val="00B004E5"/>
    <w:rsid w:val="00B12B78"/>
    <w:rsid w:val="00B15F9D"/>
    <w:rsid w:val="00B223A0"/>
    <w:rsid w:val="00B639E9"/>
    <w:rsid w:val="00B6603F"/>
    <w:rsid w:val="00B817CD"/>
    <w:rsid w:val="00B90710"/>
    <w:rsid w:val="00B911B2"/>
    <w:rsid w:val="00B951D0"/>
    <w:rsid w:val="00B95DA2"/>
    <w:rsid w:val="00BA5AAB"/>
    <w:rsid w:val="00BA666D"/>
    <w:rsid w:val="00BB29C8"/>
    <w:rsid w:val="00BB3A95"/>
    <w:rsid w:val="00BC0382"/>
    <w:rsid w:val="00BD0504"/>
    <w:rsid w:val="00BD62C6"/>
    <w:rsid w:val="00BE4CB7"/>
    <w:rsid w:val="00BF66AB"/>
    <w:rsid w:val="00C0018F"/>
    <w:rsid w:val="00C02092"/>
    <w:rsid w:val="00C20466"/>
    <w:rsid w:val="00C214ED"/>
    <w:rsid w:val="00C234E6"/>
    <w:rsid w:val="00C324A8"/>
    <w:rsid w:val="00C467DD"/>
    <w:rsid w:val="00C54517"/>
    <w:rsid w:val="00C56CC5"/>
    <w:rsid w:val="00C64CD8"/>
    <w:rsid w:val="00C76A6D"/>
    <w:rsid w:val="00C94C59"/>
    <w:rsid w:val="00C97C68"/>
    <w:rsid w:val="00CA1A47"/>
    <w:rsid w:val="00CB2208"/>
    <w:rsid w:val="00CC247A"/>
    <w:rsid w:val="00CE03C2"/>
    <w:rsid w:val="00CE5E47"/>
    <w:rsid w:val="00CE67AD"/>
    <w:rsid w:val="00CF020F"/>
    <w:rsid w:val="00CF2B5B"/>
    <w:rsid w:val="00D14CE0"/>
    <w:rsid w:val="00D25C8A"/>
    <w:rsid w:val="00D36333"/>
    <w:rsid w:val="00D5651D"/>
    <w:rsid w:val="00D56564"/>
    <w:rsid w:val="00D72F83"/>
    <w:rsid w:val="00D74898"/>
    <w:rsid w:val="00D801ED"/>
    <w:rsid w:val="00D83BF5"/>
    <w:rsid w:val="00D867B3"/>
    <w:rsid w:val="00D91F9F"/>
    <w:rsid w:val="00D925C2"/>
    <w:rsid w:val="00D936BC"/>
    <w:rsid w:val="00D9621A"/>
    <w:rsid w:val="00D96530"/>
    <w:rsid w:val="00D96B4B"/>
    <w:rsid w:val="00DA2345"/>
    <w:rsid w:val="00DA2659"/>
    <w:rsid w:val="00DA453A"/>
    <w:rsid w:val="00DA7078"/>
    <w:rsid w:val="00DC7A97"/>
    <w:rsid w:val="00DD08B4"/>
    <w:rsid w:val="00DD44AF"/>
    <w:rsid w:val="00DE2AC3"/>
    <w:rsid w:val="00DE434C"/>
    <w:rsid w:val="00DE5692"/>
    <w:rsid w:val="00DF51EE"/>
    <w:rsid w:val="00DF6F8E"/>
    <w:rsid w:val="00E03C94"/>
    <w:rsid w:val="00E07105"/>
    <w:rsid w:val="00E24A64"/>
    <w:rsid w:val="00E26226"/>
    <w:rsid w:val="00E35A44"/>
    <w:rsid w:val="00E37CDD"/>
    <w:rsid w:val="00E4165C"/>
    <w:rsid w:val="00E45D05"/>
    <w:rsid w:val="00E55816"/>
    <w:rsid w:val="00E55AEF"/>
    <w:rsid w:val="00E642A5"/>
    <w:rsid w:val="00E73D76"/>
    <w:rsid w:val="00E84E0B"/>
    <w:rsid w:val="00E976C1"/>
    <w:rsid w:val="00EA12E5"/>
    <w:rsid w:val="00EA169A"/>
    <w:rsid w:val="00F02766"/>
    <w:rsid w:val="00F04067"/>
    <w:rsid w:val="00F05BD4"/>
    <w:rsid w:val="00F11A98"/>
    <w:rsid w:val="00F21A1D"/>
    <w:rsid w:val="00F303E2"/>
    <w:rsid w:val="00F65C19"/>
    <w:rsid w:val="00FA743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1B445D"/>
    <w:pPr>
      <w:spacing w:before="120" w:after="120"/>
    </w:pPr>
    <w:rPr>
      <w:rFonts w:ascii="Calibri" w:eastAsia="SimSun" w:hAnsi="Calibri" w:cs="Simplified Arabic"/>
      <w:sz w:val="22"/>
      <w:szCs w:val="19"/>
      <w:lang w:eastAsia="en-US"/>
    </w:rPr>
  </w:style>
  <w:style w:type="paragraph" w:customStyle="1" w:styleId="ListParagraph1">
    <w:name w:val="List Paragraph1"/>
    <w:basedOn w:val="Normal"/>
    <w:link w:val="a"/>
    <w:uiPriority w:val="99"/>
    <w:qFormat/>
    <w:rsid w:val="001B445D"/>
    <w:pPr>
      <w:tabs>
        <w:tab w:val="clear" w:pos="1134"/>
        <w:tab w:val="clear" w:pos="1871"/>
        <w:tab w:val="clear" w:pos="2268"/>
      </w:tabs>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CEONormalChar">
    <w:name w:val="CEO_Normal Char"/>
    <w:basedOn w:val="DefaultParagraphFont"/>
    <w:link w:val="CEONormal"/>
    <w:locked/>
    <w:rsid w:val="001B445D"/>
    <w:rPr>
      <w:rFonts w:ascii="Calibri" w:eastAsia="SimSun" w:hAnsi="Calibri" w:cs="Simplified Arabic"/>
      <w:sz w:val="22"/>
      <w:szCs w:val="19"/>
      <w:lang w:eastAsia="en-US"/>
    </w:rPr>
  </w:style>
  <w:style w:type="character" w:customStyle="1" w:styleId="a">
    <w:name w:val="列出段落 字符"/>
    <w:basedOn w:val="DefaultParagraphFont"/>
    <w:link w:val="ListParagraph1"/>
    <w:uiPriority w:val="99"/>
    <w:locked/>
    <w:rsid w:val="001B445D"/>
    <w:rPr>
      <w:rFonts w:ascii="Verdana" w:eastAsia="SimHei" w:hAnsi="Verdana" w:cs="Simplified Arabic"/>
      <w:bCs/>
      <w:sz w:val="19"/>
      <w:szCs w:val="28"/>
    </w:rPr>
  </w:style>
  <w:style w:type="character" w:customStyle="1" w:styleId="enumlev1Char">
    <w:name w:val="enumlev1 Char"/>
    <w:basedOn w:val="DefaultParagraphFont"/>
    <w:link w:val="enumlev1"/>
    <w:locked/>
    <w:rsid w:val="001B445D"/>
    <w:rPr>
      <w:rFonts w:asciiTheme="minorHAnsi" w:hAnsiTheme="minorHAnsi"/>
      <w:sz w:val="24"/>
      <w:lang w:val="en-GB" w:eastAsia="en-US"/>
    </w:rPr>
  </w:style>
  <w:style w:type="character" w:customStyle="1" w:styleId="ListParagraphChar">
    <w:name w:val="List Paragraph Char"/>
    <w:basedOn w:val="DefaultParagraphFont"/>
    <w:link w:val="ListParagraph"/>
    <w:uiPriority w:val="99"/>
    <w:locked/>
    <w:rsid w:val="001B445D"/>
    <w:rPr>
      <w:rFonts w:asciiTheme="minorHAnsi" w:hAnsiTheme="minorHAnsi"/>
      <w:sz w:val="24"/>
      <w:lang w:val="en-GB" w:eastAsia="en-US"/>
    </w:rPr>
  </w:style>
  <w:style w:type="paragraph" w:customStyle="1" w:styleId="Default">
    <w:name w:val="Default"/>
    <w:rsid w:val="001B445D"/>
    <w:pPr>
      <w:autoSpaceDE w:val="0"/>
      <w:autoSpaceDN w:val="0"/>
      <w:adjustRightInd w:val="0"/>
    </w:pPr>
    <w:rPr>
      <w:rFonts w:ascii="Calibri" w:hAnsi="Calibri" w:cs="Calibri"/>
      <w:color w:val="000000"/>
      <w:sz w:val="24"/>
      <w:szCs w:val="24"/>
      <w:lang w:val="en-GB"/>
    </w:rPr>
  </w:style>
  <w:style w:type="paragraph" w:customStyle="1" w:styleId="BDTcontributionH1">
    <w:name w:val="BDT_contributionH1"/>
    <w:basedOn w:val="Normal"/>
    <w:next w:val="Normal"/>
    <w:rsid w:val="009F30AD"/>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9F30AD"/>
    <w:pPr>
      <w:keepNext/>
      <w:numPr>
        <w:numId w:val="6"/>
      </w:numPr>
      <w:tabs>
        <w:tab w:val="clear" w:pos="1134"/>
        <w:tab w:val="clear" w:pos="1871"/>
        <w:tab w:val="clear" w:pos="2268"/>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9F30AD"/>
    <w:pPr>
      <w:numPr>
        <w:numId w:val="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character" w:styleId="FollowedHyperlink">
    <w:name w:val="FollowedHyperlink"/>
    <w:basedOn w:val="DefaultParagraphFont"/>
    <w:semiHidden/>
    <w:unhideWhenUsed/>
    <w:rsid w:val="009F3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go/en/itudsponsor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r>
              <a:rPr lang="zh-CN" altLang="en-US" sz="900" b="1"/>
              <a:t>新签署的协议（</a:t>
            </a:r>
            <a:r>
              <a:rPr lang="en-US" sz="900" b="1"/>
              <a:t>2014-2017</a:t>
            </a:r>
            <a:r>
              <a:rPr lang="zh-CN" altLang="en-US" sz="900" b="1"/>
              <a:t>年）</a:t>
            </a:r>
            <a:endParaRPr lang="en-US" sz="900" b="1"/>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593454976"/>
        <c:axId val="593455368"/>
      </c:barChart>
      <c:catAx>
        <c:axId val="593454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93455368"/>
        <c:crosses val="autoZero"/>
        <c:auto val="1"/>
        <c:lblAlgn val="ctr"/>
        <c:lblOffset val="100"/>
        <c:noMultiLvlLbl val="0"/>
      </c:catAx>
      <c:valAx>
        <c:axId val="593455368"/>
        <c:scaling>
          <c:orientation val="minMax"/>
        </c:scaling>
        <c:delete val="1"/>
        <c:axPos val="l"/>
        <c:numFmt formatCode="General" sourceLinked="1"/>
        <c:majorTickMark val="none"/>
        <c:minorTickMark val="none"/>
        <c:tickLblPos val="nextTo"/>
        <c:crossAx val="593454976"/>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CN" altLang="en-US" sz="900"/>
              <a:t>新签协议的受益区域</a:t>
            </a:r>
            <a:r>
              <a:rPr lang="en-US" altLang="zh-CN" sz="900"/>
              <a:t/>
            </a:r>
            <a:br>
              <a:rPr lang="en-US" altLang="zh-CN" sz="900"/>
            </a:br>
            <a:r>
              <a:rPr lang="zh-CN" altLang="en-US" sz="900"/>
              <a:t>（</a:t>
            </a:r>
            <a:r>
              <a:rPr lang="en-US" sz="900"/>
              <a:t>2014 - 2017</a:t>
            </a:r>
            <a:r>
              <a:rPr lang="zh-CN" altLang="en-US" sz="900"/>
              <a:t>年）</a:t>
            </a:r>
            <a:endParaRPr lang="en-US" sz="900"/>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593456152"/>
        <c:axId val="593456544"/>
      </c:barChart>
      <c:catAx>
        <c:axId val="59345615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93456544"/>
        <c:crosses val="autoZero"/>
        <c:auto val="1"/>
        <c:lblAlgn val="ctr"/>
        <c:lblOffset val="100"/>
        <c:noMultiLvlLbl val="0"/>
      </c:catAx>
      <c:valAx>
        <c:axId val="593456544"/>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93456152"/>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none" spc="50" baseline="0">
                <a:solidFill>
                  <a:sysClr val="windowText" lastClr="000000">
                    <a:lumMod val="65000"/>
                    <a:lumOff val="35000"/>
                  </a:sysClr>
                </a:solidFill>
                <a:latin typeface="+mn-lt"/>
                <a:ea typeface="+mn-ea"/>
                <a:cs typeface="+mn-cs"/>
              </a:defRPr>
            </a:pPr>
            <a:r>
              <a:rPr lang="zh-CN" sz="800" b="1" i="0" baseline="0">
                <a:effectLst/>
              </a:rPr>
              <a:t>新签协议的行动领域（</a:t>
            </a:r>
            <a:r>
              <a:rPr lang="en-US" sz="800" b="1" i="0" baseline="0">
                <a:effectLst/>
              </a:rPr>
              <a:t>2014-2017</a:t>
            </a:r>
            <a:r>
              <a:rPr lang="zh-CN" sz="800" b="1" i="0" baseline="0">
                <a:effectLst/>
              </a:rPr>
              <a:t>年）</a:t>
            </a:r>
            <a:endParaRPr lang="en-GB" sz="800">
              <a:effectLst/>
            </a:endParaRPr>
          </a:p>
        </c:rich>
      </c:tx>
      <c:layout>
        <c:manualLayout>
          <c:xMode val="edge"/>
          <c:yMode val="edge"/>
          <c:x val="0.14672748358886428"/>
          <c:y val="5.701434897730293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none" spc="5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583764672"/>
        <c:axId val="583765064"/>
      </c:barChart>
      <c:catAx>
        <c:axId val="58376467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583765064"/>
        <c:crosses val="autoZero"/>
        <c:auto val="1"/>
        <c:lblAlgn val="ctr"/>
        <c:lblOffset val="100"/>
        <c:noMultiLvlLbl val="0"/>
      </c:catAx>
      <c:valAx>
        <c:axId val="5837650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58376467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elements/1.1/"/>
    <ds:schemaRef ds:uri="http://www.w3.org/XML/1998/namespace"/>
    <ds:schemaRef ds:uri="10bb021d-947f-43a0-81ba-2a21b0d60df9"/>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bc0480e9-89b5-4e04-9897-b8ef005e5e50"/>
    <ds:schemaRef ds:uri="http://purl.org/dc/te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BEA524C-7AF3-43EA-B5C7-AE9AA117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2674</Words>
  <Characters>445</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Yuan, Tianxiang</cp:lastModifiedBy>
  <cp:revision>2</cp:revision>
  <cp:lastPrinted>2011-08-24T07:41:00Z</cp:lastPrinted>
  <dcterms:created xsi:type="dcterms:W3CDTF">2018-02-09T08:49:00Z</dcterms:created>
  <dcterms:modified xsi:type="dcterms:W3CDTF">2018-02-09T08:49:00Z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