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53"/>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D372A5" w:rsidRPr="00E96C28" w:rsidTr="00083F67">
        <w:trPr>
          <w:cantSplit/>
          <w:trHeight w:val="1134"/>
        </w:trPr>
        <w:tc>
          <w:tcPr>
            <w:tcW w:w="6663" w:type="dxa"/>
            <w:tcBorders>
              <w:bottom w:val="single" w:sz="12" w:space="0" w:color="auto"/>
            </w:tcBorders>
          </w:tcPr>
          <w:p w:rsidR="00D372A5" w:rsidRPr="00B96672" w:rsidRDefault="00D372A5" w:rsidP="00BC7208">
            <w:pPr>
              <w:rPr>
                <w:b/>
                <w:bCs/>
                <w:sz w:val="32"/>
                <w:szCs w:val="32"/>
                <w:lang w:val="es-ES_tradnl"/>
              </w:rPr>
            </w:pPr>
            <w:r w:rsidRPr="00B96672">
              <w:rPr>
                <w:rFonts w:cstheme="minorHAnsi"/>
                <w:b/>
                <w:bCs/>
                <w:sz w:val="32"/>
                <w:szCs w:val="32"/>
                <w:lang w:val="es-ES_tradnl"/>
              </w:rPr>
              <w:t>Grupo Asesor de Desarrollo de las Telecomunicaciones (GADT</w:t>
            </w:r>
            <w:r w:rsidRPr="00B96672">
              <w:rPr>
                <w:b/>
                <w:bCs/>
                <w:sz w:val="32"/>
                <w:szCs w:val="32"/>
                <w:lang w:val="es-ES_tradnl"/>
              </w:rPr>
              <w:t>)</w:t>
            </w:r>
          </w:p>
          <w:p w:rsidR="00D372A5" w:rsidRPr="00B96672" w:rsidRDefault="00D372A5" w:rsidP="000725A1">
            <w:pPr>
              <w:spacing w:before="100" w:after="120"/>
              <w:rPr>
                <w:rFonts w:ascii="Verdana" w:hAnsi="Verdana"/>
                <w:sz w:val="28"/>
                <w:szCs w:val="28"/>
                <w:lang w:val="es-ES_tradnl"/>
              </w:rPr>
            </w:pPr>
            <w:r w:rsidRPr="00B96672">
              <w:rPr>
                <w:b/>
                <w:bCs/>
                <w:sz w:val="26"/>
                <w:szCs w:val="26"/>
                <w:lang w:val="es-ES_tradnl"/>
              </w:rPr>
              <w:t>23ª reunión, Ginebra, 9-11 de abril de 2018</w:t>
            </w:r>
          </w:p>
        </w:tc>
        <w:tc>
          <w:tcPr>
            <w:tcW w:w="3225" w:type="dxa"/>
            <w:tcBorders>
              <w:bottom w:val="single" w:sz="12" w:space="0" w:color="auto"/>
            </w:tcBorders>
          </w:tcPr>
          <w:p w:rsidR="00D372A5" w:rsidRPr="00B96672" w:rsidRDefault="00D372A5" w:rsidP="004B7893">
            <w:pPr>
              <w:spacing w:before="40" w:after="80"/>
              <w:ind w:right="142"/>
              <w:rPr>
                <w:lang w:val="es-ES_tradnl"/>
              </w:rPr>
            </w:pPr>
            <w:r w:rsidRPr="00B96672">
              <w:rPr>
                <w:noProof/>
                <w:color w:val="3399FF"/>
                <w:lang w:val="en-GB" w:eastAsia="zh-CN"/>
              </w:rPr>
              <w:drawing>
                <wp:anchor distT="0" distB="0" distL="114300" distR="114300" simplePos="0" relativeHeight="251661312" behindDoc="0" locked="0" layoutInCell="1" allowOverlap="1" wp14:anchorId="1BC3BCAE" wp14:editId="3F2A306F">
                  <wp:simplePos x="0" y="0"/>
                  <wp:positionH relativeFrom="column">
                    <wp:posOffset>1160145</wp:posOffset>
                  </wp:positionH>
                  <wp:positionV relativeFrom="paragraph">
                    <wp:posOffset>66040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B7893" w:rsidRPr="00E96C28" w:rsidTr="004B7893">
        <w:trPr>
          <w:cantSplit/>
        </w:trPr>
        <w:tc>
          <w:tcPr>
            <w:tcW w:w="6663" w:type="dxa"/>
            <w:tcBorders>
              <w:top w:val="single" w:sz="12" w:space="0" w:color="auto"/>
            </w:tcBorders>
          </w:tcPr>
          <w:p w:rsidR="004B7893" w:rsidRPr="00B96672" w:rsidRDefault="004B7893" w:rsidP="004B7893">
            <w:pPr>
              <w:spacing w:before="0"/>
              <w:rPr>
                <w:rFonts w:cs="Arial"/>
                <w:b/>
                <w:bCs/>
                <w:sz w:val="20"/>
                <w:lang w:val="es-ES_tradnl"/>
              </w:rPr>
            </w:pPr>
          </w:p>
        </w:tc>
        <w:tc>
          <w:tcPr>
            <w:tcW w:w="3225" w:type="dxa"/>
            <w:tcBorders>
              <w:top w:val="single" w:sz="12" w:space="0" w:color="auto"/>
            </w:tcBorders>
          </w:tcPr>
          <w:p w:rsidR="004B7893" w:rsidRPr="00B96672" w:rsidRDefault="004B7893" w:rsidP="004B7893">
            <w:pPr>
              <w:spacing w:before="0"/>
              <w:rPr>
                <w:b/>
                <w:bCs/>
                <w:sz w:val="20"/>
                <w:lang w:val="es-ES_tradnl"/>
              </w:rPr>
            </w:pPr>
          </w:p>
        </w:tc>
      </w:tr>
      <w:tr w:rsidR="004B7893" w:rsidRPr="00B96672" w:rsidTr="004B7893">
        <w:trPr>
          <w:cantSplit/>
        </w:trPr>
        <w:tc>
          <w:tcPr>
            <w:tcW w:w="6663" w:type="dxa"/>
          </w:tcPr>
          <w:p w:rsidR="004B7893" w:rsidRPr="00B96672" w:rsidRDefault="004B7893" w:rsidP="004B7893">
            <w:pPr>
              <w:pStyle w:val="Committee"/>
              <w:spacing w:before="0"/>
              <w:rPr>
                <w:b w:val="0"/>
                <w:lang w:val="es-ES_tradnl"/>
              </w:rPr>
            </w:pPr>
          </w:p>
        </w:tc>
        <w:tc>
          <w:tcPr>
            <w:tcW w:w="3225" w:type="dxa"/>
          </w:tcPr>
          <w:p w:rsidR="004B7893" w:rsidRPr="00B96672" w:rsidRDefault="005637B9" w:rsidP="005C78D0">
            <w:pPr>
              <w:spacing w:before="0"/>
              <w:rPr>
                <w:bCs/>
                <w:lang w:val="es-ES_tradnl"/>
              </w:rPr>
            </w:pPr>
            <w:r w:rsidRPr="00B96672">
              <w:rPr>
                <w:b/>
                <w:bCs/>
                <w:lang w:val="es-ES_tradnl"/>
              </w:rPr>
              <w:t xml:space="preserve">Documento </w:t>
            </w:r>
            <w:bookmarkStart w:id="0" w:name="DocRef1"/>
            <w:bookmarkEnd w:id="0"/>
            <w:r w:rsidRPr="00B96672">
              <w:rPr>
                <w:b/>
                <w:bCs/>
                <w:lang w:val="es-ES_tradnl"/>
              </w:rPr>
              <w:t>TDAG</w:t>
            </w:r>
            <w:r w:rsidR="00E96C28">
              <w:rPr>
                <w:b/>
                <w:bCs/>
                <w:lang w:val="es-ES_tradnl"/>
              </w:rPr>
              <w:t>-</w:t>
            </w:r>
            <w:r w:rsidRPr="00B96672">
              <w:rPr>
                <w:b/>
                <w:bCs/>
                <w:lang w:val="es-ES_tradnl"/>
              </w:rPr>
              <w:t>1</w:t>
            </w:r>
            <w:r w:rsidR="000725A1" w:rsidRPr="00B96672">
              <w:rPr>
                <w:b/>
                <w:bCs/>
                <w:lang w:val="es-ES_tradnl"/>
              </w:rPr>
              <w:t>8</w:t>
            </w:r>
            <w:r w:rsidRPr="00B96672">
              <w:rPr>
                <w:b/>
                <w:bCs/>
                <w:lang w:val="es-ES_tradnl"/>
              </w:rPr>
              <w:t>/</w:t>
            </w:r>
            <w:bookmarkStart w:id="1" w:name="DocNo1"/>
            <w:bookmarkEnd w:id="1"/>
            <w:r w:rsidR="00E61696" w:rsidRPr="00B96672">
              <w:rPr>
                <w:b/>
                <w:bCs/>
                <w:lang w:val="es-ES_tradnl"/>
              </w:rPr>
              <w:t>20</w:t>
            </w:r>
            <w:r w:rsidRPr="00B96672">
              <w:rPr>
                <w:b/>
                <w:bCs/>
                <w:lang w:val="es-ES_tradnl"/>
              </w:rPr>
              <w:t>-S</w:t>
            </w:r>
          </w:p>
        </w:tc>
      </w:tr>
      <w:tr w:rsidR="004B7893" w:rsidRPr="00B96672" w:rsidTr="004B7893">
        <w:trPr>
          <w:cantSplit/>
        </w:trPr>
        <w:tc>
          <w:tcPr>
            <w:tcW w:w="6663" w:type="dxa"/>
          </w:tcPr>
          <w:p w:rsidR="004B7893" w:rsidRPr="00B96672" w:rsidRDefault="004B7893" w:rsidP="004B7893">
            <w:pPr>
              <w:spacing w:before="0"/>
              <w:rPr>
                <w:b/>
                <w:bCs/>
                <w:smallCaps/>
                <w:lang w:val="es-ES_tradnl"/>
              </w:rPr>
            </w:pPr>
          </w:p>
        </w:tc>
        <w:tc>
          <w:tcPr>
            <w:tcW w:w="3225" w:type="dxa"/>
          </w:tcPr>
          <w:p w:rsidR="004B7893" w:rsidRPr="00B96672" w:rsidRDefault="00CA6534" w:rsidP="00E61696">
            <w:pPr>
              <w:spacing w:before="0"/>
              <w:rPr>
                <w:b/>
                <w:lang w:val="es-ES_tradnl"/>
              </w:rPr>
            </w:pPr>
            <w:bookmarkStart w:id="2" w:name="CreationDate"/>
            <w:bookmarkEnd w:id="2"/>
            <w:r>
              <w:rPr>
                <w:b/>
                <w:bCs/>
                <w:szCs w:val="28"/>
                <w:lang w:val="es-ES_tradnl"/>
              </w:rPr>
              <w:t>31</w:t>
            </w:r>
            <w:bookmarkStart w:id="3" w:name="_GoBack"/>
            <w:bookmarkEnd w:id="3"/>
            <w:r w:rsidR="00BC7208" w:rsidRPr="00B96672">
              <w:rPr>
                <w:b/>
                <w:bCs/>
                <w:szCs w:val="28"/>
                <w:lang w:val="es-ES_tradnl"/>
              </w:rPr>
              <w:t xml:space="preserve"> </w:t>
            </w:r>
            <w:r w:rsidR="00E61696" w:rsidRPr="00B96672">
              <w:rPr>
                <w:b/>
                <w:bCs/>
                <w:szCs w:val="28"/>
                <w:lang w:val="es-ES_tradnl"/>
              </w:rPr>
              <w:t>de enero de</w:t>
            </w:r>
            <w:r w:rsidR="00BC7208" w:rsidRPr="00B96672">
              <w:rPr>
                <w:b/>
                <w:bCs/>
                <w:szCs w:val="28"/>
                <w:lang w:val="es-ES_tradnl"/>
              </w:rPr>
              <w:t xml:space="preserve"> 201</w:t>
            </w:r>
            <w:r w:rsidR="000725A1" w:rsidRPr="00B96672">
              <w:rPr>
                <w:b/>
                <w:bCs/>
                <w:szCs w:val="28"/>
                <w:lang w:val="es-ES_tradnl"/>
              </w:rPr>
              <w:t>8</w:t>
            </w:r>
          </w:p>
        </w:tc>
      </w:tr>
      <w:tr w:rsidR="004B7893" w:rsidRPr="00B96672" w:rsidTr="004B7893">
        <w:trPr>
          <w:cantSplit/>
        </w:trPr>
        <w:tc>
          <w:tcPr>
            <w:tcW w:w="6663" w:type="dxa"/>
          </w:tcPr>
          <w:p w:rsidR="004B7893" w:rsidRPr="00B96672" w:rsidRDefault="004B7893" w:rsidP="004B7893">
            <w:pPr>
              <w:spacing w:before="0"/>
              <w:rPr>
                <w:b/>
                <w:bCs/>
                <w:smallCaps/>
                <w:lang w:val="es-ES_tradnl"/>
              </w:rPr>
            </w:pPr>
          </w:p>
        </w:tc>
        <w:tc>
          <w:tcPr>
            <w:tcW w:w="3225" w:type="dxa"/>
          </w:tcPr>
          <w:p w:rsidR="004B7893" w:rsidRPr="00B96672" w:rsidRDefault="005637B9" w:rsidP="004B7893">
            <w:pPr>
              <w:spacing w:before="0"/>
              <w:rPr>
                <w:szCs w:val="24"/>
                <w:lang w:val="es-ES_tradnl"/>
              </w:rPr>
            </w:pPr>
            <w:r w:rsidRPr="00B96672">
              <w:rPr>
                <w:b/>
                <w:lang w:val="es-ES_tradnl"/>
              </w:rPr>
              <w:t>Original:</w:t>
            </w:r>
            <w:bookmarkStart w:id="4" w:name="Original"/>
            <w:bookmarkEnd w:id="4"/>
            <w:r w:rsidRPr="00B96672">
              <w:rPr>
                <w:b/>
                <w:lang w:val="es-ES_tradnl"/>
              </w:rPr>
              <w:t xml:space="preserve"> </w:t>
            </w:r>
            <w:r w:rsidR="00E61696" w:rsidRPr="00B96672">
              <w:rPr>
                <w:b/>
                <w:lang w:val="es-ES_tradnl"/>
              </w:rPr>
              <w:t>inglés</w:t>
            </w:r>
          </w:p>
        </w:tc>
      </w:tr>
      <w:tr w:rsidR="004B7893" w:rsidRPr="00E96C28" w:rsidTr="004B7893">
        <w:trPr>
          <w:cantSplit/>
          <w:trHeight w:val="852"/>
        </w:trPr>
        <w:tc>
          <w:tcPr>
            <w:tcW w:w="9888" w:type="dxa"/>
            <w:gridSpan w:val="2"/>
          </w:tcPr>
          <w:p w:rsidR="004B7893" w:rsidRPr="00B96672" w:rsidRDefault="00790C00" w:rsidP="004B7893">
            <w:pPr>
              <w:pStyle w:val="Source"/>
              <w:rPr>
                <w:szCs w:val="28"/>
                <w:lang w:val="es-ES_tradnl"/>
              </w:rPr>
            </w:pPr>
            <w:bookmarkStart w:id="5" w:name="Source"/>
            <w:bookmarkEnd w:id="5"/>
            <w:r w:rsidRPr="00B96672">
              <w:rPr>
                <w:lang w:val="es-ES_tradnl"/>
              </w:rPr>
              <w:t>Director de la Oficina de Desarrollo de Telecomunicaciones</w:t>
            </w:r>
          </w:p>
        </w:tc>
      </w:tr>
      <w:tr w:rsidR="004B7893" w:rsidRPr="00E96C28" w:rsidTr="004B7893">
        <w:trPr>
          <w:cantSplit/>
        </w:trPr>
        <w:tc>
          <w:tcPr>
            <w:tcW w:w="9888" w:type="dxa"/>
            <w:gridSpan w:val="2"/>
          </w:tcPr>
          <w:p w:rsidR="004B7893" w:rsidRPr="00B96672" w:rsidRDefault="00790C00" w:rsidP="004B7893">
            <w:pPr>
              <w:pStyle w:val="Title1"/>
              <w:spacing w:afterAutospacing="0"/>
              <w:rPr>
                <w:bCs/>
                <w:szCs w:val="28"/>
                <w:lang w:val="es-ES_tradnl"/>
              </w:rPr>
            </w:pPr>
            <w:bookmarkStart w:id="6" w:name="Title"/>
            <w:bookmarkEnd w:id="6"/>
            <w:r w:rsidRPr="00B96672">
              <w:rPr>
                <w:lang w:val="es-ES_tradnl"/>
              </w:rPr>
              <w:t>MIEMBROS DE SECTOR DEL UIT-D</w:t>
            </w:r>
          </w:p>
        </w:tc>
      </w:tr>
      <w:tr w:rsidR="004B7893" w:rsidRPr="00E96C28" w:rsidTr="004B7893">
        <w:trPr>
          <w:cantSplit/>
        </w:trPr>
        <w:tc>
          <w:tcPr>
            <w:tcW w:w="9888" w:type="dxa"/>
            <w:gridSpan w:val="2"/>
            <w:tcBorders>
              <w:bottom w:val="single" w:sz="4" w:space="0" w:color="auto"/>
            </w:tcBorders>
          </w:tcPr>
          <w:p w:rsidR="004B7893" w:rsidRPr="00B96672" w:rsidRDefault="004B7893" w:rsidP="00BC7208">
            <w:pPr>
              <w:rPr>
                <w:lang w:val="es-ES_tradnl"/>
              </w:rPr>
            </w:pPr>
          </w:p>
        </w:tc>
      </w:tr>
      <w:tr w:rsidR="004B7893" w:rsidRPr="00E96C28" w:rsidTr="004B7893">
        <w:trPr>
          <w:cantSplit/>
          <w:trHeight w:val="703"/>
        </w:trPr>
        <w:tc>
          <w:tcPr>
            <w:tcW w:w="9888" w:type="dxa"/>
            <w:gridSpan w:val="2"/>
            <w:tcBorders>
              <w:top w:val="single" w:sz="4" w:space="0" w:color="auto"/>
              <w:left w:val="single" w:sz="4" w:space="0" w:color="auto"/>
              <w:bottom w:val="single" w:sz="4" w:space="0" w:color="auto"/>
              <w:right w:val="single" w:sz="4" w:space="0" w:color="auto"/>
            </w:tcBorders>
          </w:tcPr>
          <w:p w:rsidR="004B7893" w:rsidRPr="00B96672" w:rsidRDefault="004B7893" w:rsidP="004B7893">
            <w:pPr>
              <w:spacing w:before="240"/>
              <w:rPr>
                <w:b/>
                <w:bCs/>
                <w:lang w:val="es-ES_tradnl"/>
              </w:rPr>
            </w:pPr>
            <w:r w:rsidRPr="00B96672">
              <w:rPr>
                <w:b/>
                <w:bCs/>
                <w:lang w:val="es-ES_tradnl"/>
              </w:rPr>
              <w:t>Resumen:</w:t>
            </w:r>
          </w:p>
          <w:p w:rsidR="00790C00" w:rsidRPr="00B96672" w:rsidRDefault="00790C00" w:rsidP="007F2764">
            <w:pPr>
              <w:rPr>
                <w:bCs/>
                <w:lang w:val="es-ES_tradnl"/>
              </w:rPr>
            </w:pPr>
            <w:r w:rsidRPr="00B96672">
              <w:rPr>
                <w:bCs/>
                <w:lang w:val="es-ES_tradnl"/>
              </w:rPr>
              <w:t xml:space="preserve">Los Miembros de Sector del UIT-D incluyen Miembros de Sector, Asociados e </w:t>
            </w:r>
            <w:r w:rsidR="00501D0A" w:rsidRPr="00B96672">
              <w:rPr>
                <w:bCs/>
                <w:lang w:val="es-ES_tradnl"/>
              </w:rPr>
              <w:t>Instituciones Académicas</w:t>
            </w:r>
            <w:r w:rsidRPr="00B96672">
              <w:rPr>
                <w:bCs/>
                <w:lang w:val="es-ES_tradnl"/>
              </w:rPr>
              <w:t xml:space="preserve">. En </w:t>
            </w:r>
            <w:r w:rsidR="00AF2424" w:rsidRPr="00B96672">
              <w:rPr>
                <w:bCs/>
                <w:lang w:val="es-ES_tradnl"/>
              </w:rPr>
              <w:t>el presente</w:t>
            </w:r>
            <w:r w:rsidRPr="00B96672">
              <w:rPr>
                <w:bCs/>
                <w:lang w:val="es-ES_tradnl"/>
              </w:rPr>
              <w:t xml:space="preserve"> documento se </w:t>
            </w:r>
            <w:r w:rsidR="007B03BB" w:rsidRPr="00B96672">
              <w:rPr>
                <w:bCs/>
                <w:lang w:val="es-ES_tradnl"/>
              </w:rPr>
              <w:t>proporciona</w:t>
            </w:r>
            <w:r w:rsidRPr="00B96672">
              <w:rPr>
                <w:bCs/>
                <w:lang w:val="es-ES_tradnl"/>
              </w:rPr>
              <w:t xml:space="preserve"> una visión general de la evolución de lo</w:t>
            </w:r>
            <w:r w:rsidR="007B03BB" w:rsidRPr="00B96672">
              <w:rPr>
                <w:bCs/>
                <w:lang w:val="es-ES_tradnl"/>
              </w:rPr>
              <w:t>s Miembros de Sector del UIT-D</w:t>
            </w:r>
            <w:r w:rsidRPr="00B96672">
              <w:rPr>
                <w:bCs/>
                <w:lang w:val="es-ES_tradnl"/>
              </w:rPr>
              <w:t xml:space="preserve">, </w:t>
            </w:r>
            <w:r w:rsidR="007B03BB" w:rsidRPr="00B96672">
              <w:rPr>
                <w:bCs/>
                <w:lang w:val="es-ES_tradnl"/>
              </w:rPr>
              <w:t xml:space="preserve">así como </w:t>
            </w:r>
            <w:r w:rsidR="00AF2424" w:rsidRPr="00B96672">
              <w:rPr>
                <w:bCs/>
                <w:lang w:val="es-ES_tradnl"/>
              </w:rPr>
              <w:t xml:space="preserve">de las </w:t>
            </w:r>
            <w:r w:rsidRPr="00B96672">
              <w:rPr>
                <w:bCs/>
                <w:lang w:val="es-ES_tradnl"/>
              </w:rPr>
              <w:t>estrategias y medidas para fortalecer la capacidad de los miembros del UIT-D, de conformidad con los resultados de la CMDT-1</w:t>
            </w:r>
            <w:r w:rsidR="007F2764" w:rsidRPr="00B96672">
              <w:rPr>
                <w:bCs/>
                <w:lang w:val="es-ES_tradnl"/>
              </w:rPr>
              <w:t>7</w:t>
            </w:r>
            <w:r w:rsidRPr="00B96672">
              <w:rPr>
                <w:bCs/>
                <w:lang w:val="es-ES_tradnl"/>
              </w:rPr>
              <w:t xml:space="preserve"> y la PP-14.</w:t>
            </w:r>
          </w:p>
          <w:p w:rsidR="004B7893" w:rsidRPr="00B96672" w:rsidRDefault="00CE6F3E" w:rsidP="004B7893">
            <w:pPr>
              <w:rPr>
                <w:b/>
                <w:bCs/>
                <w:lang w:val="es-ES_tradnl"/>
              </w:rPr>
            </w:pPr>
            <w:r w:rsidRPr="00B96672">
              <w:rPr>
                <w:b/>
                <w:bCs/>
                <w:lang w:val="es-ES_tradnl"/>
              </w:rPr>
              <w:t>Acción solicitada:</w:t>
            </w:r>
          </w:p>
          <w:p w:rsidR="004B7893" w:rsidRPr="00B96672" w:rsidRDefault="00790C00" w:rsidP="007B03BB">
            <w:pPr>
              <w:rPr>
                <w:b/>
                <w:bCs/>
                <w:lang w:val="es-ES_tradnl"/>
              </w:rPr>
            </w:pPr>
            <w:r w:rsidRPr="00B96672">
              <w:rPr>
                <w:bCs/>
                <w:lang w:val="es-ES_tradnl"/>
              </w:rPr>
              <w:t xml:space="preserve">Se invita al GADT a que tome nota del presente informe y formule </w:t>
            </w:r>
            <w:r w:rsidR="007B03BB" w:rsidRPr="00B96672">
              <w:rPr>
                <w:bCs/>
                <w:lang w:val="es-ES_tradnl"/>
              </w:rPr>
              <w:t>las observaciones</w:t>
            </w:r>
            <w:r w:rsidRPr="00B96672">
              <w:rPr>
                <w:bCs/>
                <w:lang w:val="es-ES_tradnl"/>
              </w:rPr>
              <w:t xml:space="preserve"> que estime oportun</w:t>
            </w:r>
            <w:r w:rsidR="007B03BB" w:rsidRPr="00B96672">
              <w:rPr>
                <w:bCs/>
                <w:lang w:val="es-ES_tradnl"/>
              </w:rPr>
              <w:t>a</w:t>
            </w:r>
            <w:r w:rsidRPr="00B96672">
              <w:rPr>
                <w:bCs/>
                <w:lang w:val="es-ES_tradnl"/>
              </w:rPr>
              <w:t>s.</w:t>
            </w:r>
          </w:p>
          <w:p w:rsidR="004B7893" w:rsidRPr="00B96672" w:rsidRDefault="004B7893" w:rsidP="004B7893">
            <w:pPr>
              <w:rPr>
                <w:b/>
                <w:bCs/>
                <w:lang w:val="es-ES_tradnl"/>
              </w:rPr>
            </w:pPr>
            <w:r w:rsidRPr="00B96672">
              <w:rPr>
                <w:b/>
                <w:bCs/>
                <w:lang w:val="es-ES_tradnl"/>
              </w:rPr>
              <w:t>Referencias:</w:t>
            </w:r>
          </w:p>
          <w:p w:rsidR="004B7893" w:rsidRPr="00B96672" w:rsidRDefault="007B03BB" w:rsidP="007B03BB">
            <w:pPr>
              <w:rPr>
                <w:b/>
                <w:bCs/>
                <w:lang w:val="es-ES_tradnl"/>
              </w:rPr>
            </w:pPr>
            <w:r w:rsidRPr="00B96672">
              <w:rPr>
                <w:bCs/>
                <w:lang w:val="es-ES_tradnl"/>
              </w:rPr>
              <w:t xml:space="preserve">Resolución 71 </w:t>
            </w:r>
            <w:r w:rsidR="00F43EE7" w:rsidRPr="00B96672">
              <w:rPr>
                <w:bCs/>
                <w:lang w:val="es-ES_tradnl"/>
              </w:rPr>
              <w:t xml:space="preserve">(Rev. </w:t>
            </w:r>
            <w:r w:rsidRPr="00B96672">
              <w:rPr>
                <w:bCs/>
                <w:lang w:val="es-ES_tradnl"/>
              </w:rPr>
              <w:t>Buenos Aires, 2017</w:t>
            </w:r>
            <w:r w:rsidR="00F43EE7" w:rsidRPr="00B96672">
              <w:rPr>
                <w:bCs/>
                <w:lang w:val="es-ES_tradnl"/>
              </w:rPr>
              <w:t>) de la CMDT; Resoluciones 187 (Busán, 2014) y 169 (Rev. Busán, 2014) de la PP</w:t>
            </w:r>
            <w:r w:rsidRPr="00B96672">
              <w:rPr>
                <w:bCs/>
                <w:lang w:val="es-ES_tradnl"/>
              </w:rPr>
              <w:t>.</w:t>
            </w:r>
          </w:p>
        </w:tc>
      </w:tr>
    </w:tbl>
    <w:p w:rsidR="00790C00" w:rsidRPr="00B96672" w:rsidRDefault="00790C00" w:rsidP="00BC7208">
      <w:pPr>
        <w:rPr>
          <w:lang w:val="es-ES_tradnl"/>
        </w:rPr>
      </w:pPr>
    </w:p>
    <w:p w:rsidR="00790C00" w:rsidRPr="00B96672" w:rsidRDefault="00790C00">
      <w:pPr>
        <w:tabs>
          <w:tab w:val="clear" w:pos="794"/>
          <w:tab w:val="clear" w:pos="1191"/>
          <w:tab w:val="clear" w:pos="1588"/>
          <w:tab w:val="clear" w:pos="1985"/>
        </w:tabs>
        <w:overflowPunct/>
        <w:autoSpaceDE/>
        <w:autoSpaceDN/>
        <w:adjustRightInd/>
        <w:spacing w:before="0" w:after="200" w:line="276" w:lineRule="auto"/>
        <w:textAlignment w:val="auto"/>
        <w:rPr>
          <w:lang w:val="es-ES_tradnl"/>
        </w:rPr>
      </w:pPr>
      <w:r w:rsidRPr="00B96672">
        <w:rPr>
          <w:lang w:val="es-ES_tradnl"/>
        </w:rPr>
        <w:br w:type="page"/>
      </w:r>
    </w:p>
    <w:p w:rsidR="00790C00" w:rsidRPr="00B96672" w:rsidRDefault="00E61696" w:rsidP="00E61696">
      <w:pPr>
        <w:pStyle w:val="Heading1"/>
        <w:rPr>
          <w:bCs/>
          <w:szCs w:val="28"/>
          <w:lang w:val="es-ES_tradnl"/>
        </w:rPr>
      </w:pPr>
      <w:r w:rsidRPr="00B96672">
        <w:rPr>
          <w:lang w:val="es-ES_tradnl"/>
        </w:rPr>
        <w:lastRenderedPageBreak/>
        <w:t>1</w:t>
      </w:r>
      <w:r w:rsidRPr="00B96672">
        <w:rPr>
          <w:lang w:val="es-ES_tradnl"/>
        </w:rPr>
        <w:tab/>
        <w:t>Antecedentes</w:t>
      </w:r>
    </w:p>
    <w:p w:rsidR="00790C00" w:rsidRPr="00B96672" w:rsidRDefault="00F43EE7" w:rsidP="00AF2424">
      <w:pPr>
        <w:rPr>
          <w:szCs w:val="24"/>
          <w:lang w:val="es-ES_tradnl"/>
        </w:rPr>
      </w:pPr>
      <w:bookmarkStart w:id="7" w:name="lt_pId025"/>
      <w:r w:rsidRPr="00B96672">
        <w:rPr>
          <w:lang w:val="es-ES_tradnl"/>
        </w:rPr>
        <w:t>En la Conferencia Mundial de Desarrollo de las Telecomunicaciones de 201</w:t>
      </w:r>
      <w:r w:rsidR="007B03BB" w:rsidRPr="00B96672">
        <w:rPr>
          <w:lang w:val="es-ES_tradnl"/>
        </w:rPr>
        <w:t>7</w:t>
      </w:r>
      <w:r w:rsidRPr="00B96672">
        <w:rPr>
          <w:lang w:val="es-ES_tradnl"/>
        </w:rPr>
        <w:t xml:space="preserve"> (CMDT-1</w:t>
      </w:r>
      <w:r w:rsidR="007B03BB" w:rsidRPr="00B96672">
        <w:rPr>
          <w:lang w:val="es-ES_tradnl"/>
        </w:rPr>
        <w:t>7</w:t>
      </w:r>
      <w:r w:rsidRPr="00B96672">
        <w:rPr>
          <w:lang w:val="es-ES_tradnl"/>
        </w:rPr>
        <w:t xml:space="preserve">) se revisó y </w:t>
      </w:r>
      <w:r w:rsidR="007B03BB" w:rsidRPr="00B96672">
        <w:rPr>
          <w:lang w:val="es-ES_tradnl"/>
        </w:rPr>
        <w:t>aprobó</w:t>
      </w:r>
      <w:r w:rsidRPr="00B96672">
        <w:rPr>
          <w:lang w:val="es-ES_tradnl"/>
        </w:rPr>
        <w:t xml:space="preserve"> la Resolución 71 </w:t>
      </w:r>
      <w:r w:rsidR="00790C00" w:rsidRPr="00B96672">
        <w:rPr>
          <w:szCs w:val="24"/>
          <w:lang w:val="es-ES_tradnl"/>
        </w:rPr>
        <w:t xml:space="preserve">(Rev. Buenos Aires, 2017) </w:t>
      </w:r>
      <w:bookmarkStart w:id="8" w:name="lt_pId026"/>
      <w:bookmarkEnd w:id="7"/>
      <w:r w:rsidR="00D113FC" w:rsidRPr="00B96672">
        <w:rPr>
          <w:szCs w:val="24"/>
          <w:lang w:val="es-ES_tradnl"/>
        </w:rPr>
        <w:t>a fin de</w:t>
      </w:r>
      <w:r w:rsidR="00AD473C" w:rsidRPr="00B96672">
        <w:rPr>
          <w:szCs w:val="24"/>
          <w:lang w:val="es-ES_tradnl"/>
        </w:rPr>
        <w:t xml:space="preserve"> promover la participación</w:t>
      </w:r>
      <w:r w:rsidR="00D113FC" w:rsidRPr="00B96672">
        <w:rPr>
          <w:szCs w:val="24"/>
          <w:lang w:val="es-ES_tradnl"/>
        </w:rPr>
        <w:t xml:space="preserve"> eficaz</w:t>
      </w:r>
      <w:r w:rsidR="00AD473C" w:rsidRPr="00B96672">
        <w:rPr>
          <w:szCs w:val="24"/>
          <w:lang w:val="es-ES_tradnl"/>
        </w:rPr>
        <w:t xml:space="preserve"> de los actuales Miembros de Sector, Asociados e </w:t>
      </w:r>
      <w:r w:rsidR="00501D0A" w:rsidRPr="00B96672">
        <w:rPr>
          <w:szCs w:val="24"/>
          <w:lang w:val="es-ES_tradnl"/>
        </w:rPr>
        <w:t>Instituciones Académicas</w:t>
      </w:r>
      <w:r w:rsidR="00AD473C" w:rsidRPr="00B96672">
        <w:rPr>
          <w:szCs w:val="24"/>
          <w:lang w:val="es-ES_tradnl"/>
        </w:rPr>
        <w:t xml:space="preserve"> en las actividades del UIT-D, incluida </w:t>
      </w:r>
      <w:r w:rsidR="00D113FC" w:rsidRPr="00B96672">
        <w:rPr>
          <w:szCs w:val="24"/>
          <w:lang w:val="es-ES_tradnl"/>
        </w:rPr>
        <w:t>su</w:t>
      </w:r>
      <w:r w:rsidR="00AD473C" w:rsidRPr="00B96672">
        <w:rPr>
          <w:szCs w:val="24"/>
          <w:lang w:val="es-ES_tradnl"/>
        </w:rPr>
        <w:t xml:space="preserve"> participación en </w:t>
      </w:r>
      <w:r w:rsidR="00D113FC" w:rsidRPr="00B96672">
        <w:rPr>
          <w:szCs w:val="24"/>
          <w:lang w:val="es-ES_tradnl"/>
        </w:rPr>
        <w:t>la labor de las Comisiones de Estudio</w:t>
      </w:r>
      <w:r w:rsidR="00AD473C" w:rsidRPr="00B96672">
        <w:rPr>
          <w:szCs w:val="24"/>
          <w:lang w:val="es-ES_tradnl"/>
        </w:rPr>
        <w:t xml:space="preserve"> del UIT-D</w:t>
      </w:r>
      <w:r w:rsidR="00D113FC" w:rsidRPr="00B96672">
        <w:rPr>
          <w:szCs w:val="24"/>
          <w:lang w:val="es-ES_tradnl"/>
        </w:rPr>
        <w:t>,</w:t>
      </w:r>
      <w:r w:rsidR="00AD473C" w:rsidRPr="00B96672">
        <w:rPr>
          <w:szCs w:val="24"/>
          <w:lang w:val="es-ES_tradnl"/>
        </w:rPr>
        <w:t xml:space="preserve"> y </w:t>
      </w:r>
      <w:r w:rsidR="00D113FC" w:rsidRPr="00B96672">
        <w:rPr>
          <w:szCs w:val="24"/>
          <w:lang w:val="es-ES_tradnl"/>
        </w:rPr>
        <w:t>facilitar a</w:t>
      </w:r>
      <w:r w:rsidR="00AD473C" w:rsidRPr="00B96672">
        <w:rPr>
          <w:szCs w:val="24"/>
          <w:lang w:val="es-ES_tradnl"/>
        </w:rPr>
        <w:t xml:space="preserve"> los sectores público, privado y académico </w:t>
      </w:r>
      <w:r w:rsidR="00D113FC" w:rsidRPr="00B96672">
        <w:rPr>
          <w:szCs w:val="24"/>
          <w:lang w:val="es-ES_tradnl"/>
        </w:rPr>
        <w:t xml:space="preserve">su </w:t>
      </w:r>
      <w:r w:rsidR="00AF2424" w:rsidRPr="00B96672">
        <w:rPr>
          <w:szCs w:val="24"/>
          <w:lang w:val="es-ES_tradnl"/>
        </w:rPr>
        <w:t>participación</w:t>
      </w:r>
      <w:r w:rsidR="00D113FC" w:rsidRPr="00B96672">
        <w:rPr>
          <w:szCs w:val="24"/>
          <w:lang w:val="es-ES_tradnl"/>
        </w:rPr>
        <w:t xml:space="preserve"> en calidad de</w:t>
      </w:r>
      <w:r w:rsidR="00AD473C" w:rsidRPr="00B96672">
        <w:rPr>
          <w:szCs w:val="24"/>
          <w:lang w:val="es-ES_tradnl"/>
        </w:rPr>
        <w:t xml:space="preserve"> miembros. En particular, </w:t>
      </w:r>
      <w:r w:rsidR="00D113FC" w:rsidRPr="00B96672">
        <w:rPr>
          <w:szCs w:val="24"/>
          <w:lang w:val="es-ES_tradnl"/>
        </w:rPr>
        <w:t xml:space="preserve">se </w:t>
      </w:r>
      <w:r w:rsidR="00AD473C" w:rsidRPr="00B96672">
        <w:rPr>
          <w:szCs w:val="24"/>
          <w:lang w:val="es-ES_tradnl"/>
        </w:rPr>
        <w:t xml:space="preserve">encargó al Director de la BDT que </w:t>
      </w:r>
      <w:r w:rsidR="00D113FC" w:rsidRPr="00B96672">
        <w:rPr>
          <w:szCs w:val="24"/>
          <w:lang w:val="es-ES_tradnl"/>
        </w:rPr>
        <w:t xml:space="preserve">mejorara el portal </w:t>
      </w:r>
      <w:r w:rsidR="00AF2424" w:rsidRPr="00B96672">
        <w:rPr>
          <w:szCs w:val="24"/>
          <w:lang w:val="es-ES_tradnl"/>
        </w:rPr>
        <w:t>de</w:t>
      </w:r>
      <w:r w:rsidR="00AD473C" w:rsidRPr="00B96672">
        <w:rPr>
          <w:szCs w:val="24"/>
          <w:lang w:val="es-ES_tradnl"/>
        </w:rPr>
        <w:t xml:space="preserve"> los Miembros de Sector </w:t>
      </w:r>
      <w:r w:rsidR="00D113FC" w:rsidRPr="00B96672">
        <w:rPr>
          <w:szCs w:val="24"/>
          <w:lang w:val="es-ES_tradnl"/>
        </w:rPr>
        <w:t>del UIT-D</w:t>
      </w:r>
      <w:r w:rsidR="00AD473C" w:rsidRPr="00B96672">
        <w:rPr>
          <w:szCs w:val="24"/>
          <w:lang w:val="es-ES_tradnl"/>
        </w:rPr>
        <w:t xml:space="preserve">, Asociados </w:t>
      </w:r>
      <w:r w:rsidR="00D113FC" w:rsidRPr="00B96672">
        <w:rPr>
          <w:szCs w:val="24"/>
          <w:lang w:val="es-ES_tradnl"/>
        </w:rPr>
        <w:t xml:space="preserve">e </w:t>
      </w:r>
      <w:r w:rsidR="00501D0A" w:rsidRPr="00B96672">
        <w:rPr>
          <w:szCs w:val="24"/>
          <w:lang w:val="es-ES_tradnl"/>
        </w:rPr>
        <w:t>Instituciones Académicas</w:t>
      </w:r>
      <w:r w:rsidR="00AD473C" w:rsidRPr="00B96672">
        <w:rPr>
          <w:szCs w:val="24"/>
          <w:lang w:val="es-ES_tradnl"/>
        </w:rPr>
        <w:t xml:space="preserve"> a fin de ayudar a intercambiar y </w:t>
      </w:r>
      <w:r w:rsidR="00D113FC" w:rsidRPr="00B96672">
        <w:rPr>
          <w:szCs w:val="24"/>
          <w:lang w:val="es-ES_tradnl"/>
        </w:rPr>
        <w:t xml:space="preserve">dar a </w:t>
      </w:r>
      <w:r w:rsidR="00AF2424" w:rsidRPr="00B96672">
        <w:rPr>
          <w:szCs w:val="24"/>
          <w:lang w:val="es-ES_tradnl"/>
        </w:rPr>
        <w:t>conocer</w:t>
      </w:r>
      <w:r w:rsidR="00AD473C" w:rsidRPr="00B96672">
        <w:rPr>
          <w:szCs w:val="24"/>
          <w:lang w:val="es-ES_tradnl"/>
        </w:rPr>
        <w:t xml:space="preserve"> información </w:t>
      </w:r>
      <w:r w:rsidR="00AF2424" w:rsidRPr="00B96672">
        <w:rPr>
          <w:szCs w:val="24"/>
          <w:lang w:val="es-ES_tradnl"/>
        </w:rPr>
        <w:t>destinada a</w:t>
      </w:r>
      <w:r w:rsidR="00AD473C" w:rsidRPr="00B96672">
        <w:rPr>
          <w:szCs w:val="24"/>
          <w:lang w:val="es-ES_tradnl"/>
        </w:rPr>
        <w:t xml:space="preserve"> todos los miembros de la UIT</w:t>
      </w:r>
      <w:r w:rsidR="00790C00" w:rsidRPr="00B96672">
        <w:rPr>
          <w:szCs w:val="24"/>
          <w:lang w:val="es-ES_tradnl"/>
        </w:rPr>
        <w:t>.</w:t>
      </w:r>
      <w:bookmarkEnd w:id="8"/>
    </w:p>
    <w:p w:rsidR="00790C00" w:rsidRPr="00B96672" w:rsidRDefault="00E129A2" w:rsidP="000276E2">
      <w:pPr>
        <w:rPr>
          <w:szCs w:val="24"/>
          <w:lang w:val="es-ES_tradnl"/>
        </w:rPr>
      </w:pPr>
      <w:bookmarkStart w:id="9" w:name="lt_pId027"/>
      <w:r w:rsidRPr="00B96672">
        <w:rPr>
          <w:szCs w:val="24"/>
          <w:lang w:val="es-ES_tradnl"/>
        </w:rPr>
        <w:t>En la Resolución 71 (Rev. Buenos Aires, 2017) también se hace más hincapié en la evolución de la función del sector privado en el Sector UIT-D al encargar, en particular, el establecimiento del Grupo Asesor de la Industria para los</w:t>
      </w:r>
      <w:r w:rsidR="007F2764" w:rsidRPr="00B96672">
        <w:rPr>
          <w:szCs w:val="24"/>
          <w:lang w:val="es-ES_tradnl"/>
        </w:rPr>
        <w:t xml:space="preserve"> Problemas del Desarrollo (IAGD</w:t>
      </w:r>
      <w:r w:rsidRPr="00B96672">
        <w:rPr>
          <w:szCs w:val="24"/>
          <w:lang w:val="es-ES_tradnl"/>
        </w:rPr>
        <w:t xml:space="preserve">), promoviendo una amplia representación de la industria </w:t>
      </w:r>
      <w:r w:rsidR="000276E2" w:rsidRPr="00B96672">
        <w:rPr>
          <w:szCs w:val="24"/>
          <w:lang w:val="es-ES_tradnl"/>
        </w:rPr>
        <w:t>a través de</w:t>
      </w:r>
      <w:r w:rsidRPr="00B96672">
        <w:rPr>
          <w:szCs w:val="24"/>
          <w:lang w:val="es-ES_tradnl"/>
        </w:rPr>
        <w:t xml:space="preserve"> los Miembros de Sector del UIT-D de todas las regiones</w:t>
      </w:r>
      <w:r w:rsidR="00790C00" w:rsidRPr="00B96672">
        <w:rPr>
          <w:szCs w:val="24"/>
          <w:lang w:val="es-ES_tradnl" w:eastAsia="en-AU"/>
        </w:rPr>
        <w:t>.</w:t>
      </w:r>
      <w:bookmarkEnd w:id="9"/>
    </w:p>
    <w:p w:rsidR="00F43EE7" w:rsidRPr="00B96672" w:rsidRDefault="00F43EE7" w:rsidP="00AF258B">
      <w:pPr>
        <w:rPr>
          <w:lang w:val="es-ES_tradnl"/>
        </w:rPr>
      </w:pPr>
      <w:bookmarkStart w:id="10" w:name="lt_pId031"/>
      <w:r w:rsidRPr="00B96672">
        <w:rPr>
          <w:lang w:val="es-ES_tradnl"/>
        </w:rPr>
        <w:t>Por otro lado, en la Conferencia de Plenipotenciarios de 2014 (PP-14) se adoptaron varias Resoluciones relativas a los Miembros, en particular la Resolución 187</w:t>
      </w:r>
      <w:r w:rsidR="004C50A0" w:rsidRPr="00B96672">
        <w:rPr>
          <w:lang w:val="es-ES_tradnl"/>
        </w:rPr>
        <w:t xml:space="preserve"> (Busán, 2014)</w:t>
      </w:r>
      <w:r w:rsidRPr="00B96672">
        <w:rPr>
          <w:lang w:val="es-ES_tradnl"/>
        </w:rPr>
        <w:t xml:space="preserve">, en virtud de la cual se encarga al Consejo que revise la situación relativa a los Miembros de Sector a través del Grupo de Trabajo del Consejo sobre Recursos </w:t>
      </w:r>
      <w:r w:rsidR="00AF258B" w:rsidRPr="00B96672">
        <w:rPr>
          <w:lang w:val="es-ES_tradnl"/>
        </w:rPr>
        <w:t>Humanos y Financieros (GTC-RHF)</w:t>
      </w:r>
      <w:r w:rsidRPr="00B96672">
        <w:rPr>
          <w:lang w:val="es-ES_tradnl"/>
        </w:rPr>
        <w:t>.</w:t>
      </w:r>
      <w:r w:rsidR="00AF258B" w:rsidRPr="00B96672">
        <w:rPr>
          <w:lang w:val="es-ES_tradnl"/>
        </w:rPr>
        <w:t xml:space="preserve"> </w:t>
      </w:r>
      <w:r w:rsidRPr="00B96672">
        <w:rPr>
          <w:lang w:val="es-ES_tradnl"/>
        </w:rPr>
        <w:t xml:space="preserve">En particular, en virtud de la Resolución 187 (Busán, 2014) se pide al Consejo que </w:t>
      </w:r>
      <w:r w:rsidRPr="00B96672">
        <w:rPr>
          <w:i/>
          <w:iCs/>
          <w:lang w:val="es-ES_tradnl"/>
        </w:rPr>
        <w:t>examine la estructura, las ventajas y metodologías de fijación de precios existentes, la aplicación de los derechos y las obligaciones, y los criterios para la exoneración del pago de cuotas; que prepare directrices y cursos de formación para los presidentes, los vicepresidentes y los consejeros de las Comisiones de Estudio; y, por último, que estudie la posibilidad de establecer una nueva categoría de participación para entidades sin ánimo de lucro. También se encarga al Consejo que formule una estrategia de consulta general con el conjunto de los miembros para velar por que se tengan rigurosamente en cuenta todos los puntos de vista</w:t>
      </w:r>
      <w:r w:rsidRPr="00B96672">
        <w:rPr>
          <w:lang w:val="es-ES_tradnl"/>
        </w:rPr>
        <w:t>.</w:t>
      </w:r>
    </w:p>
    <w:p w:rsidR="00F43EE7" w:rsidRPr="00B96672" w:rsidRDefault="00AF258B" w:rsidP="00AF258B">
      <w:pPr>
        <w:snapToGrid w:val="0"/>
        <w:rPr>
          <w:szCs w:val="24"/>
          <w:lang w:val="es-ES_tradnl"/>
        </w:rPr>
      </w:pPr>
      <w:bookmarkStart w:id="11" w:name="lt_pId032"/>
      <w:bookmarkEnd w:id="10"/>
      <w:r w:rsidRPr="00B96672">
        <w:rPr>
          <w:szCs w:val="24"/>
          <w:lang w:val="es-ES_tradnl"/>
        </w:rPr>
        <w:t>El</w:t>
      </w:r>
      <w:r w:rsidR="00F43EE7" w:rsidRPr="00B96672">
        <w:rPr>
          <w:szCs w:val="24"/>
          <w:lang w:val="es-ES_tradnl"/>
        </w:rPr>
        <w:t xml:space="preserve"> GTC-RHF ha seguido analizando la participación de Miembros de Sector, Asociados e </w:t>
      </w:r>
      <w:r w:rsidR="00501D0A" w:rsidRPr="00B96672">
        <w:rPr>
          <w:szCs w:val="24"/>
          <w:lang w:val="es-ES_tradnl"/>
        </w:rPr>
        <w:t>Instituciones Académicas</w:t>
      </w:r>
      <w:r w:rsidR="00F43EE7" w:rsidRPr="00B96672">
        <w:rPr>
          <w:szCs w:val="24"/>
          <w:lang w:val="es-ES_tradnl"/>
        </w:rPr>
        <w:t>, e informará a</w:t>
      </w:r>
      <w:r w:rsidRPr="00B96672">
        <w:rPr>
          <w:szCs w:val="24"/>
          <w:lang w:val="es-ES_tradnl"/>
        </w:rPr>
        <w:t>l respecto en la reunión de 2018</w:t>
      </w:r>
      <w:r w:rsidR="00F43EE7" w:rsidRPr="00B96672">
        <w:rPr>
          <w:szCs w:val="24"/>
          <w:lang w:val="es-ES_tradnl"/>
        </w:rPr>
        <w:t xml:space="preserve"> del Consejo</w:t>
      </w:r>
      <w:r w:rsidRPr="00B96672">
        <w:rPr>
          <w:szCs w:val="24"/>
          <w:lang w:val="es-ES_tradnl"/>
        </w:rPr>
        <w:t>, en particular sobre la aplicación de los criterios de exoneración del pago de la cuota de miembro aprobados en la reunión de 2017 del Consejo.</w:t>
      </w:r>
    </w:p>
    <w:p w:rsidR="008200C7" w:rsidRPr="00B96672" w:rsidRDefault="008200C7" w:rsidP="00B26DB1">
      <w:pPr>
        <w:rPr>
          <w:lang w:val="es-ES_tradnl"/>
        </w:rPr>
      </w:pPr>
      <w:bookmarkStart w:id="12" w:name="lt_pId033"/>
      <w:bookmarkEnd w:id="11"/>
      <w:r w:rsidRPr="00B96672">
        <w:rPr>
          <w:lang w:val="es-ES_tradnl"/>
        </w:rPr>
        <w:t xml:space="preserve">En la PP-14 también se revisó sustancialmente la Resolución 169, en virtud de la cual se permite a las </w:t>
      </w:r>
      <w:r w:rsidR="00501D0A" w:rsidRPr="00B96672">
        <w:rPr>
          <w:lang w:val="es-ES_tradnl"/>
        </w:rPr>
        <w:t>Instituciones Académicas</w:t>
      </w:r>
      <w:r w:rsidRPr="00B96672">
        <w:rPr>
          <w:lang w:val="es-ES_tradnl"/>
        </w:rPr>
        <w:t xml:space="preserve"> que abonan una cuota única participar en la labor de todos los Sectores, así como en conferencias, talleres y actividades a escala internacional y regional de la Unión, salvo en las conferencias con valor de tratado y en el Consejo.</w:t>
      </w:r>
    </w:p>
    <w:bookmarkEnd w:id="12"/>
    <w:p w:rsidR="00790C00" w:rsidRPr="00B96672" w:rsidRDefault="008200C7" w:rsidP="00AF258B">
      <w:pPr>
        <w:rPr>
          <w:lang w:val="es-ES_tradnl"/>
        </w:rPr>
      </w:pPr>
      <w:r w:rsidRPr="00B96672">
        <w:rPr>
          <w:lang w:val="es-ES_tradnl"/>
        </w:rPr>
        <w:t xml:space="preserve">La BDT seguirá adoptando las medidas necesarias para aplicar los resultados </w:t>
      </w:r>
      <w:r w:rsidR="00795F39" w:rsidRPr="00B96672">
        <w:rPr>
          <w:lang w:val="es-ES_tradnl"/>
        </w:rPr>
        <w:t>de la PP-14, la CMDT</w:t>
      </w:r>
      <w:r w:rsidR="00795F39" w:rsidRPr="00B96672">
        <w:rPr>
          <w:lang w:val="es-ES_tradnl"/>
        </w:rPr>
        <w:noBreakHyphen/>
      </w:r>
      <w:r w:rsidR="00AF258B" w:rsidRPr="00B96672">
        <w:rPr>
          <w:lang w:val="es-ES_tradnl"/>
        </w:rPr>
        <w:t xml:space="preserve">17, el GTC-RHF y </w:t>
      </w:r>
      <w:r w:rsidRPr="00B96672">
        <w:rPr>
          <w:lang w:val="es-ES_tradnl"/>
        </w:rPr>
        <w:t>el Consejo, previa consulta con todas la</w:t>
      </w:r>
      <w:r w:rsidR="007F2764" w:rsidRPr="00B96672">
        <w:rPr>
          <w:lang w:val="es-ES_tradnl"/>
        </w:rPr>
        <w:t>s reuniones pertinentes del UIT</w:t>
      </w:r>
      <w:r w:rsidR="007F2764" w:rsidRPr="00B96672">
        <w:rPr>
          <w:lang w:val="es-ES_tradnl"/>
        </w:rPr>
        <w:noBreakHyphen/>
      </w:r>
      <w:r w:rsidRPr="00B96672">
        <w:rPr>
          <w:lang w:val="es-ES_tradnl"/>
        </w:rPr>
        <w:t>D, incluidos el GADT y las Comisiones de Estudio del UIT-D.</w:t>
      </w:r>
    </w:p>
    <w:p w:rsidR="008200C7" w:rsidRPr="00B96672" w:rsidRDefault="008200C7" w:rsidP="008200C7">
      <w:pPr>
        <w:pStyle w:val="Heading1"/>
        <w:rPr>
          <w:bCs/>
          <w:lang w:val="es-ES_tradnl" w:eastAsia="ko-KR"/>
        </w:rPr>
      </w:pPr>
      <w:bookmarkStart w:id="13" w:name="lt_pId035"/>
      <w:r w:rsidRPr="00B96672">
        <w:rPr>
          <w:lang w:val="es-ES_tradnl" w:eastAsia="ko-KR"/>
        </w:rPr>
        <w:t>2</w:t>
      </w:r>
      <w:r w:rsidRPr="00B96672">
        <w:rPr>
          <w:lang w:val="es-ES_tradnl" w:eastAsia="ko-KR"/>
        </w:rPr>
        <w:tab/>
        <w:t>Objetivos estratégicos</w:t>
      </w:r>
    </w:p>
    <w:bookmarkEnd w:id="13"/>
    <w:p w:rsidR="00790C00" w:rsidRPr="00B96672" w:rsidRDefault="008200C7" w:rsidP="00AF258B">
      <w:pPr>
        <w:rPr>
          <w:lang w:val="es-ES_tradnl"/>
        </w:rPr>
      </w:pPr>
      <w:r w:rsidRPr="00B96672">
        <w:rPr>
          <w:lang w:val="es-ES_tradnl"/>
        </w:rPr>
        <w:t>De conformidad con los resultados de la CMDT-1</w:t>
      </w:r>
      <w:r w:rsidR="00AF258B" w:rsidRPr="00B96672">
        <w:rPr>
          <w:lang w:val="es-ES_tradnl"/>
        </w:rPr>
        <w:t>7</w:t>
      </w:r>
      <w:r w:rsidRPr="00B96672">
        <w:rPr>
          <w:lang w:val="es-ES_tradnl"/>
        </w:rPr>
        <w:t xml:space="preserve"> y la PP-14, la BDT ha coordinado estrechamente su labor con la Secretaría General, las otras dos Oficinas y las Oficinas Regionales y de Zona para alcanzar dos objetivos principales, a saber:</w:t>
      </w:r>
    </w:p>
    <w:p w:rsidR="00790C00" w:rsidRPr="00B96672" w:rsidRDefault="008200C7" w:rsidP="00AF258B">
      <w:pPr>
        <w:pStyle w:val="enumlev1"/>
        <w:rPr>
          <w:rFonts w:cs="Calibri"/>
          <w:sz w:val="28"/>
          <w:szCs w:val="28"/>
          <w:highlight w:val="yellow"/>
          <w:lang w:val="es-ES_tradnl"/>
        </w:rPr>
      </w:pPr>
      <w:r w:rsidRPr="00B96672">
        <w:rPr>
          <w:lang w:val="es-ES_tradnl"/>
        </w:rPr>
        <w:t>•</w:t>
      </w:r>
      <w:r w:rsidRPr="00B96672">
        <w:rPr>
          <w:lang w:val="es-ES_tradnl"/>
        </w:rPr>
        <w:tab/>
        <w:t xml:space="preserve">lograr la participación de más entidades como Miembros de Sector, Asociados o </w:t>
      </w:r>
      <w:r w:rsidR="00501D0A" w:rsidRPr="00B96672">
        <w:rPr>
          <w:lang w:val="es-ES_tradnl"/>
        </w:rPr>
        <w:t>Instituciones Académicas</w:t>
      </w:r>
      <w:r w:rsidRPr="00B96672">
        <w:rPr>
          <w:lang w:val="es-ES_tradnl"/>
        </w:rPr>
        <w:t>; y</w:t>
      </w:r>
    </w:p>
    <w:p w:rsidR="00790C00" w:rsidRPr="00B96672" w:rsidRDefault="008200C7" w:rsidP="00AF258B">
      <w:pPr>
        <w:pStyle w:val="enumlev1"/>
        <w:rPr>
          <w:rFonts w:cs="Calibri"/>
          <w:szCs w:val="24"/>
          <w:lang w:val="es-ES_tradnl"/>
        </w:rPr>
      </w:pPr>
      <w:bookmarkStart w:id="14" w:name="lt_pId037"/>
      <w:r w:rsidRPr="00B96672">
        <w:rPr>
          <w:rFonts w:cs="Calibri"/>
          <w:szCs w:val="24"/>
          <w:lang w:val="es-ES_tradnl"/>
        </w:rPr>
        <w:lastRenderedPageBreak/>
        <w:t>•</w:t>
      </w:r>
      <w:r w:rsidRPr="00B96672">
        <w:rPr>
          <w:rFonts w:cs="Calibri"/>
          <w:szCs w:val="24"/>
          <w:lang w:val="es-ES_tradnl"/>
        </w:rPr>
        <w:tab/>
      </w:r>
      <w:bookmarkEnd w:id="14"/>
      <w:r w:rsidR="00AF258B" w:rsidRPr="00B96672">
        <w:rPr>
          <w:rFonts w:cs="Calibri"/>
          <w:szCs w:val="24"/>
          <w:lang w:val="es-ES_tradnl"/>
        </w:rPr>
        <w:t>mejorar las plataformas de</w:t>
      </w:r>
      <w:r w:rsidRPr="00B96672">
        <w:rPr>
          <w:lang w:val="es-ES_tradnl"/>
        </w:rPr>
        <w:t xml:space="preserve"> participación </w:t>
      </w:r>
      <w:r w:rsidR="00AF258B" w:rsidRPr="00B96672">
        <w:rPr>
          <w:lang w:val="es-ES_tradnl"/>
        </w:rPr>
        <w:t xml:space="preserve">y retención </w:t>
      </w:r>
      <w:r w:rsidRPr="00B96672">
        <w:rPr>
          <w:lang w:val="es-ES_tradnl"/>
        </w:rPr>
        <w:t xml:space="preserve">de los Miembros de Sector del UIT-D, Asociados e </w:t>
      </w:r>
      <w:r w:rsidR="00501D0A" w:rsidRPr="00B96672">
        <w:rPr>
          <w:lang w:val="es-ES_tradnl"/>
        </w:rPr>
        <w:t>Instituciones Académicas</w:t>
      </w:r>
      <w:r w:rsidRPr="00B96672">
        <w:rPr>
          <w:lang w:val="es-ES_tradnl"/>
        </w:rPr>
        <w:t>.</w:t>
      </w:r>
    </w:p>
    <w:p w:rsidR="008200C7" w:rsidRPr="00B96672" w:rsidRDefault="008200C7" w:rsidP="008200C7">
      <w:pPr>
        <w:pStyle w:val="Heading1"/>
        <w:rPr>
          <w:bCs/>
          <w:lang w:val="es-ES_tradnl" w:eastAsia="ko-KR"/>
        </w:rPr>
      </w:pPr>
      <w:r w:rsidRPr="00B96672">
        <w:rPr>
          <w:lang w:val="es-ES_tradnl" w:eastAsia="ko-KR"/>
        </w:rPr>
        <w:t>3</w:t>
      </w:r>
      <w:r w:rsidRPr="00B96672">
        <w:rPr>
          <w:lang w:val="es-ES_tradnl" w:eastAsia="ko-KR"/>
        </w:rPr>
        <w:tab/>
        <w:t>Análisis de la situación</w:t>
      </w:r>
    </w:p>
    <w:p w:rsidR="00790C00" w:rsidRPr="00B96672" w:rsidRDefault="00790C00" w:rsidP="000276E2">
      <w:pPr>
        <w:rPr>
          <w:lang w:val="es-ES_tradnl"/>
        </w:rPr>
      </w:pPr>
      <w:r w:rsidRPr="00B96672">
        <w:rPr>
          <w:b/>
          <w:bCs/>
          <w:lang w:val="es-ES_tradnl"/>
        </w:rPr>
        <w:t>3.1</w:t>
      </w:r>
      <w:r w:rsidR="00B26DB1" w:rsidRPr="00B96672">
        <w:rPr>
          <w:b/>
          <w:bCs/>
          <w:lang w:val="es-ES_tradnl"/>
        </w:rPr>
        <w:tab/>
      </w:r>
      <w:r w:rsidR="00AF258B" w:rsidRPr="00B96672">
        <w:rPr>
          <w:lang w:val="es-ES_tradnl"/>
        </w:rPr>
        <w:t>En el</w:t>
      </w:r>
      <w:r w:rsidR="00ED4F81" w:rsidRPr="00B96672">
        <w:rPr>
          <w:lang w:val="es-ES_tradnl"/>
        </w:rPr>
        <w:t xml:space="preserve"> </w:t>
      </w:r>
      <w:r w:rsidR="00ED4F81" w:rsidRPr="00B96672">
        <w:rPr>
          <w:b/>
          <w:bCs/>
          <w:lang w:val="es-ES_tradnl"/>
        </w:rPr>
        <w:t>Gráfico 1</w:t>
      </w:r>
      <w:r w:rsidR="00ED4F81" w:rsidRPr="00B96672">
        <w:rPr>
          <w:lang w:val="es-ES_tradnl"/>
        </w:rPr>
        <w:t xml:space="preserve"> siguiente se muestra </w:t>
      </w:r>
      <w:r w:rsidR="00BE5909" w:rsidRPr="00B96672">
        <w:rPr>
          <w:lang w:val="es-ES_tradnl"/>
        </w:rPr>
        <w:t>el aumento</w:t>
      </w:r>
      <w:r w:rsidR="00ED4F81" w:rsidRPr="00B96672">
        <w:rPr>
          <w:lang w:val="es-ES_tradnl"/>
        </w:rPr>
        <w:t xml:space="preserve"> del número de Miembros </w:t>
      </w:r>
      <w:r w:rsidR="0010274B" w:rsidRPr="00B96672">
        <w:rPr>
          <w:lang w:val="es-ES_tradnl"/>
        </w:rPr>
        <w:t xml:space="preserve">de Sector </w:t>
      </w:r>
      <w:r w:rsidR="007F2764" w:rsidRPr="00B96672">
        <w:rPr>
          <w:lang w:val="es-ES_tradnl"/>
        </w:rPr>
        <w:t>del UIT</w:t>
      </w:r>
      <w:r w:rsidR="007F2764" w:rsidRPr="00B96672">
        <w:rPr>
          <w:lang w:val="es-ES_tradnl"/>
        </w:rPr>
        <w:noBreakHyphen/>
      </w:r>
      <w:r w:rsidR="00ED4F81" w:rsidRPr="00B96672">
        <w:rPr>
          <w:lang w:val="es-ES_tradnl"/>
        </w:rPr>
        <w:t xml:space="preserve">D </w:t>
      </w:r>
      <w:r w:rsidR="00BE5909" w:rsidRPr="00B96672">
        <w:rPr>
          <w:lang w:val="es-ES_tradnl"/>
        </w:rPr>
        <w:t xml:space="preserve">(Miembros de Sector del UIT-D, Asociados e </w:t>
      </w:r>
      <w:r w:rsidR="00501D0A" w:rsidRPr="00B96672">
        <w:rPr>
          <w:lang w:val="es-ES_tradnl"/>
        </w:rPr>
        <w:t>Instituciones Académicas</w:t>
      </w:r>
      <w:r w:rsidR="00BE5909" w:rsidRPr="00B96672">
        <w:rPr>
          <w:lang w:val="es-ES_tradnl"/>
        </w:rPr>
        <w:t xml:space="preserve"> de</w:t>
      </w:r>
      <w:r w:rsidR="000276E2" w:rsidRPr="00B96672">
        <w:rPr>
          <w:lang w:val="es-ES_tradnl"/>
        </w:rPr>
        <w:t xml:space="preserve"> la</w:t>
      </w:r>
      <w:r w:rsidR="00BE5909" w:rsidRPr="00B96672">
        <w:rPr>
          <w:lang w:val="es-ES_tradnl"/>
        </w:rPr>
        <w:t xml:space="preserve"> U</w:t>
      </w:r>
      <w:r w:rsidR="0010274B" w:rsidRPr="00B96672">
        <w:rPr>
          <w:lang w:val="es-ES_tradnl"/>
        </w:rPr>
        <w:t>I</w:t>
      </w:r>
      <w:r w:rsidR="00BE5909" w:rsidRPr="00B96672">
        <w:rPr>
          <w:lang w:val="es-ES_tradnl"/>
        </w:rPr>
        <w:t>T</w:t>
      </w:r>
      <w:r w:rsidR="0010274B" w:rsidRPr="00B96672">
        <w:rPr>
          <w:lang w:val="es-ES_tradnl"/>
        </w:rPr>
        <w:t>1</w:t>
      </w:r>
      <w:r w:rsidR="0010274B" w:rsidRPr="00B96672">
        <w:rPr>
          <w:rStyle w:val="FootnoteReference"/>
          <w:lang w:val="es-ES_tradnl"/>
        </w:rPr>
        <w:footnoteReference w:id="1"/>
      </w:r>
      <w:r w:rsidR="00BE5909" w:rsidRPr="00B96672">
        <w:rPr>
          <w:lang w:val="es-ES_tradnl"/>
        </w:rPr>
        <w:t xml:space="preserve">) </w:t>
      </w:r>
      <w:r w:rsidR="007F2764" w:rsidRPr="00B96672">
        <w:rPr>
          <w:lang w:val="es-ES_tradnl"/>
        </w:rPr>
        <w:t>de </w:t>
      </w:r>
      <w:r w:rsidR="00ED4F81" w:rsidRPr="00B96672">
        <w:rPr>
          <w:lang w:val="es-ES_tradnl"/>
        </w:rPr>
        <w:t xml:space="preserve">1994 </w:t>
      </w:r>
      <w:r w:rsidR="000276E2" w:rsidRPr="00B96672">
        <w:rPr>
          <w:lang w:val="es-ES_tradnl"/>
        </w:rPr>
        <w:t>a</w:t>
      </w:r>
      <w:r w:rsidR="00ED4F81" w:rsidRPr="00B96672">
        <w:rPr>
          <w:lang w:val="es-ES_tradnl"/>
        </w:rPr>
        <w:t xml:space="preserve"> diciembre de 201</w:t>
      </w:r>
      <w:r w:rsidR="00BE5909" w:rsidRPr="00B96672">
        <w:rPr>
          <w:lang w:val="es-ES_tradnl"/>
        </w:rPr>
        <w:t>7</w:t>
      </w:r>
      <w:r w:rsidR="00ED4F81" w:rsidRPr="00B96672">
        <w:rPr>
          <w:lang w:val="es-ES_tradnl"/>
        </w:rPr>
        <w:t>.</w:t>
      </w:r>
    </w:p>
    <w:p w:rsidR="00790C00" w:rsidRPr="00B96672" w:rsidRDefault="00790C00" w:rsidP="005E6261">
      <w:pPr>
        <w:rPr>
          <w:lang w:val="es-ES_tradnl"/>
        </w:rPr>
      </w:pPr>
      <w:r w:rsidRPr="00B96672">
        <w:rPr>
          <w:noProof/>
          <w:lang w:val="en-GB" w:eastAsia="zh-CN"/>
        </w:rPr>
        <w:drawing>
          <wp:inline distT="0" distB="0" distL="0" distR="0" wp14:anchorId="595E83D9" wp14:editId="19F4F7B2">
            <wp:extent cx="6031230" cy="3051810"/>
            <wp:effectExtent l="0" t="0" r="762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90C00" w:rsidRPr="00B96672" w:rsidRDefault="0010274B" w:rsidP="004F7C4C">
      <w:pPr>
        <w:tabs>
          <w:tab w:val="left" w:pos="3945"/>
        </w:tabs>
        <w:rPr>
          <w:szCs w:val="24"/>
          <w:lang w:val="es-ES_tradnl" w:eastAsia="zh-CN"/>
        </w:rPr>
      </w:pPr>
      <w:bookmarkStart w:id="15" w:name="lt_pId041"/>
      <w:r w:rsidRPr="00B96672">
        <w:rPr>
          <w:szCs w:val="24"/>
          <w:lang w:val="es-ES_tradnl" w:eastAsia="zh-CN"/>
        </w:rPr>
        <w:t xml:space="preserve">La disminución del número de miembros total en 2017 obedece principalmente a la conclusión de un proyecto piloto de </w:t>
      </w:r>
      <w:r w:rsidR="004F7C4C" w:rsidRPr="00B96672">
        <w:rPr>
          <w:szCs w:val="24"/>
          <w:lang w:val="es-ES_tradnl" w:eastAsia="zh-CN"/>
        </w:rPr>
        <w:t xml:space="preserve">los </w:t>
      </w:r>
      <w:r w:rsidRPr="00B96672">
        <w:rPr>
          <w:szCs w:val="24"/>
          <w:lang w:val="es-ES_tradnl" w:eastAsia="zh-CN"/>
        </w:rPr>
        <w:t xml:space="preserve">Miembros de </w:t>
      </w:r>
      <w:r w:rsidR="00501D0A" w:rsidRPr="00B96672">
        <w:rPr>
          <w:szCs w:val="24"/>
          <w:lang w:val="es-ES_tradnl" w:eastAsia="zh-CN"/>
        </w:rPr>
        <w:t>Instituciones Académicas</w:t>
      </w:r>
      <w:r w:rsidRPr="00B96672">
        <w:rPr>
          <w:szCs w:val="24"/>
          <w:lang w:val="es-ES_tradnl" w:eastAsia="zh-CN"/>
        </w:rPr>
        <w:t>, cuya renovación se encuentra en fase de revisión en 2018</w:t>
      </w:r>
      <w:r w:rsidR="00790C00" w:rsidRPr="00B96672">
        <w:rPr>
          <w:szCs w:val="24"/>
          <w:lang w:val="es-ES_tradnl" w:eastAsia="zh-CN"/>
        </w:rPr>
        <w:t>.</w:t>
      </w:r>
      <w:bookmarkEnd w:id="15"/>
    </w:p>
    <w:p w:rsidR="00790C00" w:rsidRPr="00B96672" w:rsidRDefault="00790C00" w:rsidP="00B26DB1">
      <w:pPr>
        <w:keepNext/>
        <w:rPr>
          <w:szCs w:val="24"/>
          <w:lang w:val="es-ES_tradnl"/>
        </w:rPr>
      </w:pPr>
      <w:r w:rsidRPr="00B96672">
        <w:rPr>
          <w:b/>
          <w:bCs/>
          <w:szCs w:val="24"/>
          <w:lang w:val="es-ES_tradnl"/>
        </w:rPr>
        <w:t>3.2</w:t>
      </w:r>
      <w:r w:rsidR="00B26DB1" w:rsidRPr="00B96672">
        <w:rPr>
          <w:b/>
          <w:bCs/>
          <w:szCs w:val="24"/>
          <w:lang w:val="es-ES_tradnl"/>
        </w:rPr>
        <w:tab/>
      </w:r>
      <w:r w:rsidR="00ED4F81" w:rsidRPr="00B96672">
        <w:rPr>
          <w:lang w:val="es-ES_tradnl"/>
        </w:rPr>
        <w:t xml:space="preserve">En los </w:t>
      </w:r>
      <w:r w:rsidR="00ED4F81" w:rsidRPr="00B96672">
        <w:rPr>
          <w:b/>
          <w:bCs/>
          <w:lang w:val="es-ES_tradnl"/>
        </w:rPr>
        <w:t>Gráficos 2 y 3</w:t>
      </w:r>
      <w:r w:rsidR="00ED4F81" w:rsidRPr="00B96672">
        <w:rPr>
          <w:lang w:val="es-ES_tradnl"/>
        </w:rPr>
        <w:t xml:space="preserve"> que figuran a continuación se muestra la distribución de los Miembros de Sector del UIT-D por categoría y región.</w:t>
      </w:r>
    </w:p>
    <w:p w:rsidR="00790C00" w:rsidRPr="00B96672" w:rsidRDefault="00790C00" w:rsidP="005E6261">
      <w:pPr>
        <w:rPr>
          <w:b/>
          <w:bCs/>
          <w:lang w:val="es-ES_tradnl"/>
        </w:rPr>
      </w:pPr>
      <w:r w:rsidRPr="00B96672">
        <w:rPr>
          <w:noProof/>
          <w:lang w:val="en-GB" w:eastAsia="zh-CN"/>
        </w:rPr>
        <w:drawing>
          <wp:inline distT="0" distB="0" distL="0" distR="0" wp14:anchorId="65CF35AA" wp14:editId="594A97F8">
            <wp:extent cx="2828925" cy="18478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96672">
        <w:rPr>
          <w:noProof/>
          <w:lang w:val="en-GB" w:eastAsia="zh-CN"/>
        </w:rPr>
        <w:drawing>
          <wp:inline distT="0" distB="0" distL="0" distR="0" wp14:anchorId="1DB4DD70" wp14:editId="3E9FCB15">
            <wp:extent cx="2952750" cy="1832610"/>
            <wp:effectExtent l="0" t="0" r="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274B" w:rsidRPr="00B96672" w:rsidRDefault="0010274B" w:rsidP="005E6261">
      <w:pPr>
        <w:pStyle w:val="Figurelegend"/>
        <w:rPr>
          <w:lang w:val="es-ES_tradnl"/>
        </w:rPr>
      </w:pPr>
      <w:r w:rsidRPr="00B96672">
        <w:rPr>
          <w:lang w:val="es-ES_tradnl"/>
        </w:rPr>
        <w:lastRenderedPageBreak/>
        <w:t>[</w:t>
      </w:r>
      <w:r w:rsidR="00501D0A" w:rsidRPr="00B96672">
        <w:rPr>
          <w:lang w:val="es-ES_tradnl"/>
        </w:rPr>
        <w:t>Instituciones Académicas</w:t>
      </w:r>
      <w:r w:rsidR="000568B1" w:rsidRPr="00B96672">
        <w:rPr>
          <w:lang w:val="es-ES_tradnl"/>
        </w:rPr>
        <w:t xml:space="preserve"> / Asociados / </w:t>
      </w:r>
      <w:r w:rsidRPr="00B96672">
        <w:rPr>
          <w:lang w:val="es-ES_tradnl"/>
        </w:rPr>
        <w:t xml:space="preserve">Miembros de </w:t>
      </w:r>
      <w:r w:rsidR="003665C5" w:rsidRPr="00B96672">
        <w:rPr>
          <w:lang w:val="es-ES_tradnl"/>
        </w:rPr>
        <w:t>Sector]</w:t>
      </w:r>
      <w:r w:rsidR="00795F39" w:rsidRPr="00B96672">
        <w:rPr>
          <w:lang w:val="es-ES_tradnl"/>
        </w:rPr>
        <w:t xml:space="preserve"> </w:t>
      </w:r>
      <w:r w:rsidRPr="00B96672">
        <w:rPr>
          <w:lang w:val="es-ES_tradnl"/>
        </w:rPr>
        <w:t>[Regional e i</w:t>
      </w:r>
      <w:r w:rsidR="000568B1" w:rsidRPr="00B96672">
        <w:rPr>
          <w:lang w:val="es-ES_tradnl"/>
        </w:rPr>
        <w:t xml:space="preserve">nternacional / Asia y Pacífico </w:t>
      </w:r>
      <w:r w:rsidRPr="00B96672">
        <w:rPr>
          <w:lang w:val="es-ES_tradnl"/>
        </w:rPr>
        <w:t xml:space="preserve">/ América / Europa / Estados </w:t>
      </w:r>
      <w:r w:rsidR="00486897" w:rsidRPr="00B96672">
        <w:rPr>
          <w:lang w:val="es-ES_tradnl"/>
        </w:rPr>
        <w:t>Árabes</w:t>
      </w:r>
      <w:r w:rsidRPr="00B96672">
        <w:rPr>
          <w:lang w:val="es-ES_tradnl"/>
        </w:rPr>
        <w:t xml:space="preserve"> / </w:t>
      </w:r>
      <w:r w:rsidR="00486897" w:rsidRPr="00B96672">
        <w:rPr>
          <w:lang w:val="es-ES_tradnl"/>
        </w:rPr>
        <w:t>África</w:t>
      </w:r>
      <w:r w:rsidRPr="00B96672">
        <w:rPr>
          <w:lang w:val="es-ES_tradnl"/>
        </w:rPr>
        <w:t xml:space="preserve"> / </w:t>
      </w:r>
      <w:r w:rsidR="003665C5" w:rsidRPr="00B96672">
        <w:rPr>
          <w:lang w:val="es-ES_tradnl"/>
        </w:rPr>
        <w:t>CIS]</w:t>
      </w:r>
    </w:p>
    <w:p w:rsidR="00790C00" w:rsidRPr="00B96672" w:rsidRDefault="00790C00" w:rsidP="004F7C4C">
      <w:pPr>
        <w:keepNext/>
        <w:rPr>
          <w:szCs w:val="24"/>
          <w:lang w:val="es-ES_tradnl"/>
        </w:rPr>
      </w:pPr>
      <w:r w:rsidRPr="00B96672">
        <w:rPr>
          <w:b/>
          <w:bCs/>
          <w:szCs w:val="24"/>
          <w:lang w:val="es-ES_tradnl"/>
        </w:rPr>
        <w:t>3.3</w:t>
      </w:r>
      <w:r w:rsidR="00B26DB1" w:rsidRPr="00B96672">
        <w:rPr>
          <w:b/>
          <w:bCs/>
          <w:szCs w:val="24"/>
          <w:lang w:val="es-ES_tradnl"/>
        </w:rPr>
        <w:tab/>
      </w:r>
      <w:r w:rsidR="00ED4F81" w:rsidRPr="00B96672">
        <w:rPr>
          <w:lang w:val="es-ES_tradnl"/>
        </w:rPr>
        <w:t xml:space="preserve">En los </w:t>
      </w:r>
      <w:r w:rsidR="00ED4F81" w:rsidRPr="00B96672">
        <w:rPr>
          <w:b/>
          <w:bCs/>
          <w:lang w:val="es-ES_tradnl"/>
        </w:rPr>
        <w:t>Gráficos 4 y 5</w:t>
      </w:r>
      <w:r w:rsidR="00ED4F81" w:rsidRPr="00B96672">
        <w:rPr>
          <w:lang w:val="es-ES_tradnl"/>
        </w:rPr>
        <w:t xml:space="preserve"> que figuran a continuación se muestra la distribución </w:t>
      </w:r>
      <w:r w:rsidR="00486897" w:rsidRPr="00B96672">
        <w:rPr>
          <w:lang w:val="es-ES_tradnl"/>
        </w:rPr>
        <w:t xml:space="preserve">por región </w:t>
      </w:r>
      <w:r w:rsidR="00ED4F81" w:rsidRPr="00B96672">
        <w:rPr>
          <w:lang w:val="es-ES_tradnl"/>
        </w:rPr>
        <w:t xml:space="preserve">de los Miembros de Sector </w:t>
      </w:r>
      <w:r w:rsidR="00C55D60" w:rsidRPr="00B96672">
        <w:rPr>
          <w:lang w:val="es-ES_tradnl"/>
        </w:rPr>
        <w:t xml:space="preserve">y Asociados </w:t>
      </w:r>
      <w:r w:rsidR="00486897" w:rsidRPr="00B96672">
        <w:rPr>
          <w:lang w:val="es-ES_tradnl"/>
        </w:rPr>
        <w:t xml:space="preserve">del UIT-D </w:t>
      </w:r>
      <w:r w:rsidR="00C55D60" w:rsidRPr="00B96672">
        <w:rPr>
          <w:lang w:val="es-ES_tradnl"/>
        </w:rPr>
        <w:t xml:space="preserve">e </w:t>
      </w:r>
      <w:r w:rsidR="00501D0A" w:rsidRPr="00B96672">
        <w:rPr>
          <w:lang w:val="es-ES_tradnl"/>
        </w:rPr>
        <w:t>Instituciones Académicas</w:t>
      </w:r>
      <w:r w:rsidR="00C55D60" w:rsidRPr="00B96672">
        <w:rPr>
          <w:lang w:val="es-ES_tradnl"/>
        </w:rPr>
        <w:t xml:space="preserve"> de la UIT</w:t>
      </w:r>
      <w:r w:rsidR="00ED4F81" w:rsidRPr="00B96672">
        <w:rPr>
          <w:lang w:val="es-ES_tradnl"/>
        </w:rPr>
        <w:t>.</w:t>
      </w:r>
    </w:p>
    <w:p w:rsidR="00486897" w:rsidRPr="00B96672" w:rsidRDefault="00790C00" w:rsidP="00486897">
      <w:pPr>
        <w:spacing w:line="480" w:lineRule="auto"/>
        <w:jc w:val="center"/>
        <w:rPr>
          <w:i/>
          <w:iCs/>
          <w:sz w:val="18"/>
          <w:szCs w:val="14"/>
          <w:lang w:val="es-ES_tradnl"/>
        </w:rPr>
      </w:pPr>
      <w:r w:rsidRPr="00B96672">
        <w:rPr>
          <w:noProof/>
          <w:lang w:val="en-GB" w:eastAsia="zh-CN"/>
        </w:rPr>
        <w:drawing>
          <wp:inline distT="0" distB="0" distL="0" distR="0" wp14:anchorId="133EC3B7" wp14:editId="69E70A36">
            <wp:extent cx="4095750" cy="21526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6897" w:rsidRPr="00B96672" w:rsidRDefault="003665C5" w:rsidP="005E6261">
      <w:pPr>
        <w:pStyle w:val="Figurelegend"/>
        <w:rPr>
          <w:szCs w:val="24"/>
          <w:highlight w:val="green"/>
          <w:lang w:val="es-ES_tradnl"/>
        </w:rPr>
      </w:pPr>
      <w:r w:rsidRPr="00B96672">
        <w:rPr>
          <w:lang w:val="es-ES_tradnl"/>
        </w:rPr>
        <w:t>[Regional</w:t>
      </w:r>
      <w:r w:rsidR="00486897" w:rsidRPr="00B96672">
        <w:rPr>
          <w:lang w:val="es-ES_tradnl"/>
        </w:rPr>
        <w:t xml:space="preserve"> e internacional / Asia y Pacífico</w:t>
      </w:r>
      <w:r w:rsidR="00795F39" w:rsidRPr="00B96672">
        <w:rPr>
          <w:lang w:val="es-ES_tradnl"/>
        </w:rPr>
        <w:t xml:space="preserve"> </w:t>
      </w:r>
      <w:r w:rsidR="00486897" w:rsidRPr="00B96672">
        <w:rPr>
          <w:lang w:val="es-ES_tradnl"/>
        </w:rPr>
        <w:t xml:space="preserve">/ América / Europa / Estados Árabes / África / </w:t>
      </w:r>
      <w:r w:rsidRPr="00B96672">
        <w:rPr>
          <w:lang w:val="es-ES_tradnl"/>
        </w:rPr>
        <w:t>CIS]</w:t>
      </w:r>
    </w:p>
    <w:p w:rsidR="00790C00" w:rsidRPr="00B96672" w:rsidRDefault="00790C00" w:rsidP="00ED4F81">
      <w:pPr>
        <w:spacing w:line="480" w:lineRule="auto"/>
        <w:jc w:val="center"/>
        <w:rPr>
          <w:szCs w:val="24"/>
          <w:highlight w:val="green"/>
          <w:lang w:val="es-ES_tradnl"/>
        </w:rPr>
      </w:pPr>
      <w:r w:rsidRPr="00B96672">
        <w:rPr>
          <w:noProof/>
          <w:lang w:val="en-GB" w:eastAsia="zh-CN"/>
        </w:rPr>
        <w:drawing>
          <wp:inline distT="0" distB="0" distL="0" distR="0" wp14:anchorId="5F7FA570" wp14:editId="3EFAA223">
            <wp:extent cx="4095750" cy="21336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6897" w:rsidRPr="00B96672" w:rsidRDefault="003665C5" w:rsidP="005E6261">
      <w:pPr>
        <w:pStyle w:val="Figurelegend"/>
        <w:rPr>
          <w:szCs w:val="24"/>
          <w:highlight w:val="green"/>
          <w:lang w:val="es-ES_tradnl"/>
        </w:rPr>
      </w:pPr>
      <w:r w:rsidRPr="00B96672">
        <w:rPr>
          <w:lang w:val="es-ES_tradnl"/>
        </w:rPr>
        <w:t>[Regional</w:t>
      </w:r>
      <w:r w:rsidR="00486897" w:rsidRPr="00B96672">
        <w:rPr>
          <w:lang w:val="es-ES_tradnl"/>
        </w:rPr>
        <w:t xml:space="preserve"> e i</w:t>
      </w:r>
      <w:r w:rsidR="000568B1" w:rsidRPr="00B96672">
        <w:rPr>
          <w:lang w:val="es-ES_tradnl"/>
        </w:rPr>
        <w:t xml:space="preserve">nternacional / Asia y Pacífico </w:t>
      </w:r>
      <w:r w:rsidR="00486897" w:rsidRPr="00B96672">
        <w:rPr>
          <w:lang w:val="es-ES_tradnl"/>
        </w:rPr>
        <w:t xml:space="preserve">/ América / Europa / Estados Árabes / África / </w:t>
      </w:r>
      <w:r w:rsidRPr="00B96672">
        <w:rPr>
          <w:lang w:val="es-ES_tradnl"/>
        </w:rPr>
        <w:t>CIS]</w:t>
      </w:r>
    </w:p>
    <w:p w:rsidR="00ED4F81" w:rsidRPr="00B96672" w:rsidRDefault="00ED4F81" w:rsidP="00ED4F81">
      <w:pPr>
        <w:pStyle w:val="Heading1"/>
        <w:rPr>
          <w:szCs w:val="24"/>
          <w:highlight w:val="cyan"/>
          <w:lang w:val="es-ES_tradnl"/>
        </w:rPr>
      </w:pPr>
      <w:bookmarkStart w:id="16" w:name="lt_pId047"/>
      <w:r w:rsidRPr="00B96672">
        <w:rPr>
          <w:lang w:val="es-ES_tradnl"/>
        </w:rPr>
        <w:t>4</w:t>
      </w:r>
      <w:r w:rsidRPr="00B96672">
        <w:rPr>
          <w:lang w:val="es-ES_tradnl"/>
        </w:rPr>
        <w:tab/>
        <w:t>Principales medidas</w:t>
      </w:r>
      <w:r w:rsidR="00486897" w:rsidRPr="00B96672">
        <w:rPr>
          <w:lang w:val="es-ES_tradnl"/>
        </w:rPr>
        <w:t xml:space="preserve"> y resultados</w:t>
      </w:r>
    </w:p>
    <w:bookmarkEnd w:id="16"/>
    <w:p w:rsidR="00790C00" w:rsidRPr="00B96672" w:rsidRDefault="00FE7F8D" w:rsidP="004F7C4C">
      <w:pPr>
        <w:rPr>
          <w:szCs w:val="24"/>
          <w:lang w:val="es-ES_tradnl"/>
        </w:rPr>
      </w:pPr>
      <w:r w:rsidRPr="00B96672">
        <w:rPr>
          <w:rFonts w:ascii="Calibri" w:hAnsi="Calibri"/>
          <w:color w:val="000000" w:themeColor="text1"/>
          <w:szCs w:val="24"/>
          <w:lang w:val="es-ES_tradnl"/>
        </w:rPr>
        <w:t>La BDT ha adoptado una serie de medidas estratégicas y seguirá desplegando esfuerzos en aras de la mejora de sus productos</w:t>
      </w:r>
      <w:r w:rsidR="00486897" w:rsidRPr="00B96672">
        <w:rPr>
          <w:rFonts w:ascii="Calibri" w:hAnsi="Calibri"/>
          <w:color w:val="000000" w:themeColor="text1"/>
          <w:szCs w:val="24"/>
          <w:lang w:val="es-ES_tradnl"/>
        </w:rPr>
        <w:t>,</w:t>
      </w:r>
      <w:r w:rsidRPr="00B96672">
        <w:rPr>
          <w:rFonts w:ascii="Calibri" w:hAnsi="Calibri"/>
          <w:color w:val="000000" w:themeColor="text1"/>
          <w:szCs w:val="24"/>
          <w:lang w:val="es-ES_tradnl"/>
        </w:rPr>
        <w:t xml:space="preserve"> servicios</w:t>
      </w:r>
      <w:r w:rsidR="00486897" w:rsidRPr="00B96672">
        <w:rPr>
          <w:rFonts w:ascii="Calibri" w:hAnsi="Calibri"/>
          <w:color w:val="000000" w:themeColor="text1"/>
          <w:szCs w:val="24"/>
          <w:lang w:val="es-ES_tradnl"/>
        </w:rPr>
        <w:t xml:space="preserve"> y oportunidades de participación para los Miembros de Sector del UIT-D, Asociados e </w:t>
      </w:r>
      <w:r w:rsidR="00501D0A" w:rsidRPr="00B96672">
        <w:rPr>
          <w:rFonts w:ascii="Calibri" w:hAnsi="Calibri"/>
          <w:color w:val="000000" w:themeColor="text1"/>
          <w:szCs w:val="24"/>
          <w:lang w:val="es-ES_tradnl"/>
        </w:rPr>
        <w:t>Instituciones Académicas</w:t>
      </w:r>
      <w:r w:rsidRPr="00B96672">
        <w:rPr>
          <w:rFonts w:ascii="Calibri" w:hAnsi="Calibri"/>
          <w:color w:val="000000" w:themeColor="text1"/>
          <w:szCs w:val="24"/>
          <w:lang w:val="es-ES_tradnl"/>
        </w:rPr>
        <w:t>.</w:t>
      </w:r>
    </w:p>
    <w:p w:rsidR="00790C00" w:rsidRPr="00B96672" w:rsidRDefault="00B26DB1" w:rsidP="00B26DB1">
      <w:pPr>
        <w:pStyle w:val="Heading2"/>
        <w:rPr>
          <w:lang w:val="es-ES_tradnl"/>
        </w:rPr>
      </w:pPr>
      <w:bookmarkStart w:id="17" w:name="lt_pId048"/>
      <w:r w:rsidRPr="00B96672">
        <w:rPr>
          <w:lang w:val="es-ES_tradnl"/>
        </w:rPr>
        <w:t>4.1</w:t>
      </w:r>
      <w:r w:rsidRPr="00B96672">
        <w:rPr>
          <w:lang w:val="es-ES_tradnl"/>
        </w:rPr>
        <w:tab/>
      </w:r>
      <w:r w:rsidR="00486897" w:rsidRPr="00B96672">
        <w:rPr>
          <w:lang w:val="es-ES_tradnl"/>
        </w:rPr>
        <w:t>Mejora de los instrumentos y servicios de los Miembros de Sector del UIT</w:t>
      </w:r>
      <w:r w:rsidR="00790C00" w:rsidRPr="00B96672">
        <w:rPr>
          <w:lang w:val="es-ES_tradnl"/>
        </w:rPr>
        <w:t>-D</w:t>
      </w:r>
      <w:bookmarkEnd w:id="17"/>
    </w:p>
    <w:p w:rsidR="00790C00" w:rsidRPr="00B96672" w:rsidRDefault="008B0208" w:rsidP="000E2DBF">
      <w:pPr>
        <w:rPr>
          <w:szCs w:val="24"/>
          <w:lang w:val="es-ES_tradnl"/>
        </w:rPr>
      </w:pPr>
      <w:bookmarkStart w:id="18" w:name="lt_pId049"/>
      <w:r w:rsidRPr="00B96672">
        <w:rPr>
          <w:szCs w:val="24"/>
          <w:lang w:val="es-ES_tradnl"/>
        </w:rPr>
        <w:t>Las</w:t>
      </w:r>
      <w:r w:rsidR="00FE7F8D" w:rsidRPr="00B96672">
        <w:rPr>
          <w:szCs w:val="24"/>
          <w:lang w:val="es-ES_tradnl"/>
        </w:rPr>
        <w:t xml:space="preserve"> plataformas de divulgación de información, en particular el portal de los Miembros de Sector del UIT-D </w:t>
      </w:r>
      <w:r w:rsidR="00790C00" w:rsidRPr="00B96672">
        <w:rPr>
          <w:szCs w:val="24"/>
          <w:lang w:val="es-ES_tradnl"/>
        </w:rPr>
        <w:t>(</w:t>
      </w:r>
      <w:hyperlink r:id="rId14" w:history="1">
        <w:r w:rsidRPr="00B96672">
          <w:rPr>
            <w:rStyle w:val="Hyperlink"/>
            <w:szCs w:val="24"/>
            <w:lang w:val="es-ES_tradnl"/>
          </w:rPr>
          <w:t>http://www.itu.int/en/ITU-D/Membership/Pages/default.aspx</w:t>
        </w:r>
      </w:hyperlink>
      <w:r w:rsidR="00790C00" w:rsidRPr="00B96672">
        <w:rPr>
          <w:szCs w:val="24"/>
          <w:lang w:val="es-ES_tradnl"/>
        </w:rPr>
        <w:t xml:space="preserve">) </w:t>
      </w:r>
      <w:r w:rsidRPr="00B96672">
        <w:rPr>
          <w:szCs w:val="24"/>
          <w:lang w:val="es-ES_tradnl"/>
        </w:rPr>
        <w:t xml:space="preserve">y el </w:t>
      </w:r>
      <w:r w:rsidR="0072031C" w:rsidRPr="00B96672">
        <w:rPr>
          <w:szCs w:val="24"/>
          <w:lang w:val="es-ES_tradnl"/>
        </w:rPr>
        <w:t xml:space="preserve">correspondiente </w:t>
      </w:r>
      <w:r w:rsidRPr="00B96672">
        <w:rPr>
          <w:szCs w:val="24"/>
          <w:lang w:val="es-ES_tradnl"/>
        </w:rPr>
        <w:t xml:space="preserve">sitio web, se mejoraron para promover las ventajas y la visibilidad de los Miembros con respecto a las esferas de acción de la UIT, las oportunidades </w:t>
      </w:r>
      <w:r w:rsidR="0072031C" w:rsidRPr="00B96672">
        <w:rPr>
          <w:szCs w:val="24"/>
          <w:lang w:val="es-ES_tradnl"/>
        </w:rPr>
        <w:t xml:space="preserve">de participación en proyectos y de establecimiento </w:t>
      </w:r>
      <w:r w:rsidR="0072031C" w:rsidRPr="00B96672">
        <w:rPr>
          <w:color w:val="000000" w:themeColor="text1"/>
          <w:szCs w:val="24"/>
          <w:lang w:val="es-ES_tradnl"/>
        </w:rPr>
        <w:t xml:space="preserve">de asociaciones, y los casos de éxito de </w:t>
      </w:r>
      <w:r w:rsidR="000E2DBF" w:rsidRPr="00B96672">
        <w:rPr>
          <w:color w:val="000000" w:themeColor="text1"/>
          <w:szCs w:val="24"/>
          <w:lang w:val="es-ES_tradnl"/>
        </w:rPr>
        <w:t xml:space="preserve">los </w:t>
      </w:r>
      <w:r w:rsidR="0072031C" w:rsidRPr="00B96672">
        <w:rPr>
          <w:color w:val="000000" w:themeColor="text1"/>
          <w:szCs w:val="24"/>
          <w:lang w:val="es-ES_tradnl"/>
        </w:rPr>
        <w:t xml:space="preserve">Miembros. También se facilitó información refundida sobre </w:t>
      </w:r>
      <w:r w:rsidR="000E2DBF" w:rsidRPr="00B96672">
        <w:rPr>
          <w:color w:val="000000" w:themeColor="text1"/>
          <w:szCs w:val="24"/>
          <w:lang w:val="es-ES_tradnl"/>
        </w:rPr>
        <w:t xml:space="preserve">los </w:t>
      </w:r>
      <w:r w:rsidR="0072031C" w:rsidRPr="00B96672">
        <w:rPr>
          <w:color w:val="000000" w:themeColor="text1"/>
          <w:szCs w:val="24"/>
          <w:lang w:val="es-ES_tradnl"/>
        </w:rPr>
        <w:t>programas, productos y servicios de la UIT</w:t>
      </w:r>
      <w:r w:rsidR="004B17A4" w:rsidRPr="00B96672">
        <w:rPr>
          <w:color w:val="000000" w:themeColor="text1"/>
          <w:szCs w:val="24"/>
          <w:lang w:val="es-ES_tradnl"/>
        </w:rPr>
        <w:t xml:space="preserve"> para darla a conocer a los Miembros actuales</w:t>
      </w:r>
      <w:r w:rsidR="000E2DBF" w:rsidRPr="00B96672">
        <w:rPr>
          <w:color w:val="000000" w:themeColor="text1"/>
          <w:szCs w:val="24"/>
          <w:lang w:val="es-ES_tradnl"/>
        </w:rPr>
        <w:t>, así como</w:t>
      </w:r>
      <w:r w:rsidR="004B17A4" w:rsidRPr="00B96672">
        <w:rPr>
          <w:color w:val="000000" w:themeColor="text1"/>
          <w:szCs w:val="24"/>
          <w:lang w:val="es-ES_tradnl"/>
        </w:rPr>
        <w:t xml:space="preserve"> a los futuros</w:t>
      </w:r>
      <w:r w:rsidR="000E2DBF" w:rsidRPr="00B96672">
        <w:rPr>
          <w:color w:val="000000" w:themeColor="text1"/>
          <w:szCs w:val="24"/>
          <w:lang w:val="es-ES_tradnl"/>
        </w:rPr>
        <w:t>,</w:t>
      </w:r>
      <w:r w:rsidR="004B17A4" w:rsidRPr="00B96672">
        <w:rPr>
          <w:color w:val="000000" w:themeColor="text1"/>
          <w:szCs w:val="24"/>
          <w:lang w:val="es-ES_tradnl"/>
        </w:rPr>
        <w:t xml:space="preserve"> en aras de una mejor colaboración. La BDT sigue mejorando sus documentos e instrumentos de divulgación y comunicación en estrecha </w:t>
      </w:r>
      <w:r w:rsidR="004B17A4" w:rsidRPr="00B96672">
        <w:rPr>
          <w:szCs w:val="24"/>
          <w:lang w:val="es-ES_tradnl"/>
        </w:rPr>
        <w:lastRenderedPageBreak/>
        <w:t xml:space="preserve">colaboración con </w:t>
      </w:r>
      <w:r w:rsidR="004C5C1E" w:rsidRPr="00B96672">
        <w:rPr>
          <w:szCs w:val="24"/>
          <w:lang w:val="es-ES_tradnl"/>
        </w:rPr>
        <w:t xml:space="preserve">las </w:t>
      </w:r>
      <w:r w:rsidR="004B17A4" w:rsidRPr="00B96672">
        <w:rPr>
          <w:szCs w:val="24"/>
          <w:lang w:val="es-ES_tradnl"/>
        </w:rPr>
        <w:t xml:space="preserve">actividades realizadas en toda la UIT, en particular la plataforma en línea de la Zona de Miembros de la UIT, </w:t>
      </w:r>
      <w:r w:rsidR="000E2DBF" w:rsidRPr="00B96672">
        <w:rPr>
          <w:szCs w:val="24"/>
          <w:lang w:val="es-ES_tradnl"/>
        </w:rPr>
        <w:t xml:space="preserve">y </w:t>
      </w:r>
      <w:r w:rsidR="004B17A4" w:rsidRPr="00B96672">
        <w:rPr>
          <w:szCs w:val="24"/>
          <w:lang w:val="es-ES_tradnl"/>
        </w:rPr>
        <w:t>el proyecto MyITU, que brinda a los Miembros la posibilidad de personalizar contenidos, establecer nuevos contactos y colaborar mutuamente.</w:t>
      </w:r>
      <w:bookmarkEnd w:id="18"/>
    </w:p>
    <w:p w:rsidR="00790C00" w:rsidRPr="00B96672" w:rsidRDefault="00790C00" w:rsidP="00B26DB1">
      <w:pPr>
        <w:pStyle w:val="Heading2"/>
        <w:rPr>
          <w:lang w:val="es-ES_tradnl"/>
        </w:rPr>
      </w:pPr>
      <w:r w:rsidRPr="00B96672">
        <w:rPr>
          <w:lang w:val="es-ES_tradnl"/>
        </w:rPr>
        <w:t>4.2</w:t>
      </w:r>
      <w:r w:rsidRPr="00B96672">
        <w:rPr>
          <w:lang w:val="es-ES_tradnl"/>
        </w:rPr>
        <w:tab/>
      </w:r>
      <w:bookmarkStart w:id="19" w:name="lt_pId053"/>
      <w:r w:rsidR="004B17A4" w:rsidRPr="00B96672">
        <w:rPr>
          <w:lang w:val="es-ES_tradnl"/>
        </w:rPr>
        <w:t xml:space="preserve">Reconocimiento del apoyo </w:t>
      </w:r>
      <w:r w:rsidR="00687C16" w:rsidRPr="00B96672">
        <w:rPr>
          <w:lang w:val="es-ES_tradnl"/>
        </w:rPr>
        <w:t xml:space="preserve">duradero </w:t>
      </w:r>
      <w:r w:rsidR="004B17A4" w:rsidRPr="00B96672">
        <w:rPr>
          <w:lang w:val="es-ES_tradnl"/>
        </w:rPr>
        <w:t>al Sector del UIT-D</w:t>
      </w:r>
      <w:bookmarkEnd w:id="19"/>
    </w:p>
    <w:p w:rsidR="00790C00" w:rsidRPr="00B96672" w:rsidRDefault="004C5C1E" w:rsidP="00B26DB1">
      <w:pPr>
        <w:rPr>
          <w:lang w:val="es-ES_tradnl"/>
        </w:rPr>
      </w:pPr>
      <w:bookmarkStart w:id="20" w:name="lt_pId054"/>
      <w:r w:rsidRPr="00B96672">
        <w:rPr>
          <w:lang w:val="es-ES_tradnl"/>
        </w:rPr>
        <w:t xml:space="preserve">Con ocasión de las celebraciones </w:t>
      </w:r>
      <w:r w:rsidR="00C86169" w:rsidRPr="00B96672">
        <w:rPr>
          <w:lang w:val="es-ES_tradnl"/>
        </w:rPr>
        <w:t>por</w:t>
      </w:r>
      <w:r w:rsidRPr="00B96672">
        <w:rPr>
          <w:lang w:val="es-ES_tradnl"/>
        </w:rPr>
        <w:t xml:space="preserve"> el 25ª aniversario del UIT-D durante la CMDT-17 que tuvo lugar en Buenos Aires (Argentina), el 11 de octubre de 2017, </w:t>
      </w:r>
      <w:r w:rsidR="00C86169" w:rsidRPr="00B96672">
        <w:rPr>
          <w:lang w:val="es-ES_tradnl"/>
        </w:rPr>
        <w:t>se reconoció a los Miembros de Sector más antiguos del UIT-D</w:t>
      </w:r>
      <w:r w:rsidR="00795F39" w:rsidRPr="00B96672">
        <w:rPr>
          <w:lang w:val="es-ES_tradnl"/>
        </w:rPr>
        <w:t xml:space="preserve"> </w:t>
      </w:r>
      <w:r w:rsidR="00C86169" w:rsidRPr="00B96672">
        <w:rPr>
          <w:lang w:val="es-ES_tradnl"/>
        </w:rPr>
        <w:t xml:space="preserve">con premios especiales para cada región, por ejemplo </w:t>
      </w:r>
      <w:r w:rsidR="000E2DBF" w:rsidRPr="00B96672">
        <w:rPr>
          <w:lang w:val="es-ES_tradnl"/>
        </w:rPr>
        <w:t xml:space="preserve">a </w:t>
      </w:r>
      <w:r w:rsidR="00790C00" w:rsidRPr="00B96672">
        <w:rPr>
          <w:lang w:val="es-ES_tradnl"/>
        </w:rPr>
        <w:t>ArmenTel CJSC Armenia Telephone Company, ​Orange, ​PT.</w:t>
      </w:r>
      <w:bookmarkEnd w:id="20"/>
      <w:r w:rsidR="00790C00" w:rsidRPr="00B96672">
        <w:rPr>
          <w:lang w:val="es-ES_tradnl"/>
        </w:rPr>
        <w:t xml:space="preserve"> </w:t>
      </w:r>
      <w:bookmarkStart w:id="21" w:name="lt_pId055"/>
      <w:r w:rsidR="00790C00" w:rsidRPr="00B96672">
        <w:rPr>
          <w:lang w:val="es-ES_tradnl"/>
        </w:rPr>
        <w:t xml:space="preserve">Telekomunikasi Indonesia Tbk, ​Sudatel Telecom Group, ​Telecomunicaciones de México, </w:t>
      </w:r>
      <w:r w:rsidR="00C86169" w:rsidRPr="00B96672">
        <w:rPr>
          <w:lang w:val="es-ES_tradnl"/>
        </w:rPr>
        <w:t>y</w:t>
      </w:r>
      <w:r w:rsidR="00790C00" w:rsidRPr="00B96672">
        <w:rPr>
          <w:lang w:val="es-ES_tradnl"/>
        </w:rPr>
        <w:t xml:space="preserve"> ​Telkom SA SOC Ltd.</w:t>
      </w:r>
      <w:bookmarkEnd w:id="21"/>
      <w:r w:rsidR="00790C00" w:rsidRPr="00B96672">
        <w:rPr>
          <w:lang w:val="es-ES_tradnl"/>
        </w:rPr>
        <w:t xml:space="preserve"> </w:t>
      </w:r>
      <w:bookmarkStart w:id="22" w:name="lt_pId056"/>
      <w:r w:rsidR="00790C00" w:rsidRPr="00B96672">
        <w:rPr>
          <w:lang w:val="es-ES_tradnl"/>
        </w:rPr>
        <w:t>(</w:t>
      </w:r>
      <w:hyperlink r:id="rId15" w:history="1">
        <w:r w:rsidR="00790C00" w:rsidRPr="00B96672">
          <w:rPr>
            <w:rStyle w:val="Hyperlink"/>
            <w:lang w:val="es-ES_tradnl"/>
          </w:rPr>
          <w:t>https://www.itu.int/en/ITU-D/Pages/ITU-D-Anniversary-Awards.aspx</w:t>
        </w:r>
      </w:hyperlink>
      <w:r w:rsidR="00790C00" w:rsidRPr="00B96672">
        <w:rPr>
          <w:lang w:val="es-ES_tradnl"/>
        </w:rPr>
        <w:t>)</w:t>
      </w:r>
      <w:bookmarkEnd w:id="22"/>
    </w:p>
    <w:p w:rsidR="00790C00" w:rsidRPr="00B96672" w:rsidRDefault="00C86169" w:rsidP="007F2764">
      <w:pPr>
        <w:rPr>
          <w:szCs w:val="24"/>
          <w:lang w:val="es-ES_tradnl"/>
        </w:rPr>
      </w:pPr>
      <w:bookmarkStart w:id="23" w:name="lt_pId057"/>
      <w:r w:rsidRPr="00B96672">
        <w:rPr>
          <w:szCs w:val="24"/>
          <w:lang w:val="es-ES_tradnl"/>
        </w:rPr>
        <w:t>También se concedieron premios a</w:t>
      </w:r>
      <w:r w:rsidR="00F94A47" w:rsidRPr="00B96672">
        <w:rPr>
          <w:szCs w:val="24"/>
          <w:lang w:val="es-ES_tradnl"/>
        </w:rPr>
        <w:t xml:space="preserve"> varios</w:t>
      </w:r>
      <w:r w:rsidRPr="00B96672">
        <w:rPr>
          <w:szCs w:val="24"/>
          <w:lang w:val="es-ES_tradnl"/>
        </w:rPr>
        <w:t xml:space="preserve"> Miembros </w:t>
      </w:r>
      <w:r w:rsidR="000E2DBF" w:rsidRPr="00B96672">
        <w:rPr>
          <w:szCs w:val="24"/>
          <w:lang w:val="es-ES_tradnl"/>
        </w:rPr>
        <w:t>como reconocimiento a</w:t>
      </w:r>
      <w:r w:rsidRPr="00B96672">
        <w:rPr>
          <w:szCs w:val="24"/>
          <w:lang w:val="es-ES_tradnl"/>
        </w:rPr>
        <w:t xml:space="preserve"> sus contribuciones a proyectos del UIT-D </w:t>
      </w:r>
      <w:r w:rsidR="00B669D8" w:rsidRPr="00B96672">
        <w:rPr>
          <w:szCs w:val="24"/>
          <w:lang w:val="es-ES_tradnl"/>
        </w:rPr>
        <w:t>en</w:t>
      </w:r>
      <w:r w:rsidRPr="00B96672">
        <w:rPr>
          <w:szCs w:val="24"/>
          <w:lang w:val="es-ES_tradnl"/>
        </w:rPr>
        <w:t xml:space="preserve"> </w:t>
      </w:r>
      <w:r w:rsidR="00F94A47" w:rsidRPr="00B96672">
        <w:rPr>
          <w:szCs w:val="24"/>
          <w:lang w:val="es-ES_tradnl"/>
        </w:rPr>
        <w:t>diversas</w:t>
      </w:r>
      <w:r w:rsidRPr="00B96672">
        <w:rPr>
          <w:szCs w:val="24"/>
          <w:lang w:val="es-ES_tradnl"/>
        </w:rPr>
        <w:t xml:space="preserve"> categorías, en particular </w:t>
      </w:r>
      <w:r w:rsidR="00B669D8" w:rsidRPr="00B96672">
        <w:rPr>
          <w:szCs w:val="24"/>
          <w:lang w:val="es-ES_tradnl"/>
        </w:rPr>
        <w:t>en los sectores de la A</w:t>
      </w:r>
      <w:r w:rsidRPr="00B96672">
        <w:rPr>
          <w:szCs w:val="24"/>
          <w:lang w:val="es-ES_tradnl"/>
        </w:rPr>
        <w:t xml:space="preserve">dministración, </w:t>
      </w:r>
      <w:r w:rsidR="007F2764" w:rsidRPr="00B96672">
        <w:rPr>
          <w:szCs w:val="24"/>
          <w:lang w:val="es-ES_tradnl"/>
        </w:rPr>
        <w:t>o</w:t>
      </w:r>
      <w:r w:rsidR="00B669D8" w:rsidRPr="00B96672">
        <w:rPr>
          <w:szCs w:val="24"/>
          <w:lang w:val="es-ES_tradnl"/>
        </w:rPr>
        <w:t>rganizaciones</w:t>
      </w:r>
      <w:r w:rsidRPr="00B96672">
        <w:rPr>
          <w:szCs w:val="24"/>
          <w:lang w:val="es-ES_tradnl"/>
        </w:rPr>
        <w:t xml:space="preserve"> </w:t>
      </w:r>
      <w:r w:rsidR="007F2764" w:rsidRPr="00B96672">
        <w:rPr>
          <w:szCs w:val="24"/>
          <w:lang w:val="es-ES_tradnl"/>
        </w:rPr>
        <w:t>i</w:t>
      </w:r>
      <w:r w:rsidR="00B669D8" w:rsidRPr="00B96672">
        <w:rPr>
          <w:szCs w:val="24"/>
          <w:lang w:val="es-ES_tradnl"/>
        </w:rPr>
        <w:t>nternacionales</w:t>
      </w:r>
      <w:r w:rsidRPr="00B96672">
        <w:rPr>
          <w:szCs w:val="24"/>
          <w:lang w:val="es-ES_tradnl"/>
        </w:rPr>
        <w:t>/</w:t>
      </w:r>
      <w:r w:rsidR="007F2764" w:rsidRPr="00B96672">
        <w:rPr>
          <w:szCs w:val="24"/>
          <w:lang w:val="es-ES_tradnl"/>
        </w:rPr>
        <w:t>r</w:t>
      </w:r>
      <w:r w:rsidR="00B669D8" w:rsidRPr="00B96672">
        <w:rPr>
          <w:szCs w:val="24"/>
          <w:lang w:val="es-ES_tradnl"/>
        </w:rPr>
        <w:t>egionales</w:t>
      </w:r>
      <w:r w:rsidRPr="00B96672">
        <w:rPr>
          <w:szCs w:val="24"/>
          <w:lang w:val="es-ES_tradnl"/>
        </w:rPr>
        <w:t xml:space="preserve"> y </w:t>
      </w:r>
      <w:r w:rsidR="007F2764" w:rsidRPr="00B96672">
        <w:rPr>
          <w:szCs w:val="24"/>
          <w:lang w:val="es-ES_tradnl"/>
        </w:rPr>
        <w:t>f</w:t>
      </w:r>
      <w:r w:rsidRPr="00B96672">
        <w:rPr>
          <w:szCs w:val="24"/>
          <w:lang w:val="es-ES_tradnl"/>
        </w:rPr>
        <w:t xml:space="preserve">undaciones, por ejemplo </w:t>
      </w:r>
      <w:r w:rsidR="00F94A47" w:rsidRPr="00B96672">
        <w:rPr>
          <w:szCs w:val="24"/>
          <w:lang w:val="es-ES_tradnl"/>
        </w:rPr>
        <w:t>el Departamento de</w:t>
      </w:r>
      <w:r w:rsidR="00790C00" w:rsidRPr="00B96672">
        <w:rPr>
          <w:szCs w:val="24"/>
          <w:lang w:val="es-ES_tradnl"/>
        </w:rPr>
        <w:t xml:space="preserve"> </w:t>
      </w:r>
      <w:r w:rsidR="00F94A47" w:rsidRPr="00B96672">
        <w:rPr>
          <w:szCs w:val="24"/>
          <w:lang w:val="es-ES_tradnl"/>
        </w:rPr>
        <w:t>Comunicaciones</w:t>
      </w:r>
      <w:r w:rsidR="00790C00" w:rsidRPr="00B96672">
        <w:rPr>
          <w:szCs w:val="24"/>
          <w:lang w:val="es-ES_tradnl"/>
        </w:rPr>
        <w:t xml:space="preserve"> </w:t>
      </w:r>
      <w:r w:rsidR="00F94A47" w:rsidRPr="00B96672">
        <w:rPr>
          <w:szCs w:val="24"/>
          <w:lang w:val="es-ES_tradnl"/>
        </w:rPr>
        <w:t>y</w:t>
      </w:r>
      <w:r w:rsidR="00B669D8" w:rsidRPr="00B96672">
        <w:rPr>
          <w:szCs w:val="24"/>
          <w:lang w:val="es-ES_tradnl"/>
        </w:rPr>
        <w:t xml:space="preserve"> Arte</w:t>
      </w:r>
      <w:r w:rsidR="00F94A47" w:rsidRPr="00B96672">
        <w:rPr>
          <w:szCs w:val="24"/>
          <w:lang w:val="es-ES_tradnl"/>
        </w:rPr>
        <w:t>, el Gobierno Australiano, la Comisión Europea</w:t>
      </w:r>
      <w:r w:rsidR="00790C00" w:rsidRPr="00B96672">
        <w:rPr>
          <w:szCs w:val="24"/>
          <w:lang w:val="es-ES_tradnl"/>
        </w:rPr>
        <w:t xml:space="preserve"> </w:t>
      </w:r>
      <w:r w:rsidR="00F94A47" w:rsidRPr="00B96672">
        <w:rPr>
          <w:szCs w:val="24"/>
          <w:lang w:val="es-ES_tradnl"/>
        </w:rPr>
        <w:t>y la Fundación</w:t>
      </w:r>
      <w:r w:rsidR="00790C00" w:rsidRPr="00B96672">
        <w:rPr>
          <w:szCs w:val="24"/>
          <w:lang w:val="es-ES_tradnl"/>
        </w:rPr>
        <w:t xml:space="preserve"> Bill </w:t>
      </w:r>
      <w:r w:rsidR="00F94A47" w:rsidRPr="00B96672">
        <w:rPr>
          <w:szCs w:val="24"/>
          <w:lang w:val="es-ES_tradnl"/>
        </w:rPr>
        <w:t>y</w:t>
      </w:r>
      <w:r w:rsidR="00790C00" w:rsidRPr="00B96672">
        <w:rPr>
          <w:szCs w:val="24"/>
          <w:lang w:val="es-ES_tradnl"/>
        </w:rPr>
        <w:t xml:space="preserve"> Melinda Gates.</w:t>
      </w:r>
      <w:bookmarkEnd w:id="23"/>
    </w:p>
    <w:p w:rsidR="00790C00" w:rsidRPr="00B96672" w:rsidRDefault="00790C00" w:rsidP="00B26DB1">
      <w:pPr>
        <w:pStyle w:val="Heading2"/>
        <w:rPr>
          <w:lang w:val="es-ES_tradnl"/>
        </w:rPr>
      </w:pPr>
      <w:r w:rsidRPr="00B96672">
        <w:rPr>
          <w:lang w:val="es-ES_tradnl"/>
        </w:rPr>
        <w:t>4.3</w:t>
      </w:r>
      <w:r w:rsidRPr="00B96672">
        <w:rPr>
          <w:lang w:val="es-ES_tradnl"/>
        </w:rPr>
        <w:tab/>
      </w:r>
      <w:bookmarkStart w:id="24" w:name="lt_pId059"/>
      <w:r w:rsidR="00B669D8" w:rsidRPr="00B96672">
        <w:rPr>
          <w:lang w:val="es-ES_tradnl"/>
        </w:rPr>
        <w:t>Nuevas plataformas de colaboración con entidades académicas</w:t>
      </w:r>
      <w:bookmarkEnd w:id="24"/>
    </w:p>
    <w:p w:rsidR="00790C00" w:rsidRPr="00B96672" w:rsidRDefault="00B669D8" w:rsidP="000E2DBF">
      <w:pPr>
        <w:shd w:val="clear" w:color="auto" w:fill="FFFFFF"/>
        <w:overflowPunct/>
        <w:autoSpaceDE/>
        <w:autoSpaceDN/>
        <w:adjustRightInd/>
        <w:textAlignment w:val="auto"/>
        <w:rPr>
          <w:rFonts w:cs="Segoe UI"/>
          <w:szCs w:val="24"/>
          <w:lang w:val="es-ES_tradnl"/>
        </w:rPr>
      </w:pPr>
      <w:bookmarkStart w:id="25" w:name="lt_pId060"/>
      <w:r w:rsidRPr="00B96672">
        <w:rPr>
          <w:rFonts w:cs="Segoe UI"/>
          <w:szCs w:val="24"/>
          <w:lang w:val="es-ES_tradnl"/>
        </w:rPr>
        <w:t xml:space="preserve">La </w:t>
      </w:r>
      <w:r w:rsidR="00790C00" w:rsidRPr="00B96672">
        <w:rPr>
          <w:rFonts w:cs="Segoe UI"/>
          <w:szCs w:val="24"/>
          <w:lang w:val="es-ES_tradnl"/>
        </w:rPr>
        <w:t xml:space="preserve">Academia </w:t>
      </w:r>
      <w:r w:rsidRPr="00B96672">
        <w:rPr>
          <w:rFonts w:cs="Segoe UI"/>
          <w:szCs w:val="24"/>
          <w:lang w:val="es-ES_tradnl"/>
        </w:rPr>
        <w:t xml:space="preserve">promueve </w:t>
      </w:r>
      <w:r w:rsidR="00BC3DA3" w:rsidRPr="00B96672">
        <w:rPr>
          <w:rFonts w:cs="Segoe UI"/>
          <w:szCs w:val="24"/>
          <w:lang w:val="es-ES_tradnl"/>
        </w:rPr>
        <w:t xml:space="preserve">soluciones innovadoras y sostenibles </w:t>
      </w:r>
      <w:r w:rsidR="000D5DA5" w:rsidRPr="00B96672">
        <w:rPr>
          <w:rFonts w:cs="Segoe UI"/>
          <w:szCs w:val="24"/>
          <w:lang w:val="es-ES_tradnl"/>
        </w:rPr>
        <w:t>por medio de un espacio en el que se conjuga talento, investigación y tecnología con objeto de resolver los problemas más acuciantes a nivel internacional. A ra</w:t>
      </w:r>
      <w:r w:rsidR="00AF7581" w:rsidRPr="00B96672">
        <w:rPr>
          <w:rFonts w:cs="Segoe UI"/>
          <w:szCs w:val="24"/>
          <w:lang w:val="es-ES_tradnl"/>
        </w:rPr>
        <w:t xml:space="preserve">íz del aumento del número de </w:t>
      </w:r>
      <w:r w:rsidR="000D5DA5" w:rsidRPr="00B96672">
        <w:rPr>
          <w:rFonts w:cs="Segoe UI"/>
          <w:szCs w:val="24"/>
          <w:lang w:val="es-ES_tradnl"/>
        </w:rPr>
        <w:t xml:space="preserve">Miembros de </w:t>
      </w:r>
      <w:r w:rsidR="00501D0A" w:rsidRPr="00B96672">
        <w:rPr>
          <w:rFonts w:cs="Segoe UI"/>
          <w:szCs w:val="24"/>
          <w:lang w:val="es-ES_tradnl"/>
        </w:rPr>
        <w:t>Instituciones Académicas</w:t>
      </w:r>
      <w:r w:rsidR="000D5DA5" w:rsidRPr="00B96672">
        <w:rPr>
          <w:rFonts w:cs="Segoe UI"/>
          <w:szCs w:val="24"/>
          <w:lang w:val="es-ES_tradnl"/>
        </w:rPr>
        <w:t xml:space="preserve">, la BDT </w:t>
      </w:r>
      <w:r w:rsidR="00AF7581" w:rsidRPr="00B96672">
        <w:rPr>
          <w:rFonts w:cs="Segoe UI"/>
          <w:szCs w:val="24"/>
          <w:lang w:val="es-ES_tradnl"/>
        </w:rPr>
        <w:t>perfeccionó varios</w:t>
      </w:r>
      <w:r w:rsidR="000D5DA5" w:rsidRPr="00B96672">
        <w:rPr>
          <w:rFonts w:cs="Segoe UI"/>
          <w:szCs w:val="24"/>
          <w:lang w:val="es-ES_tradnl"/>
        </w:rPr>
        <w:t xml:space="preserve"> tipos de plataformas de colaboración, incluidas las existentes, en particular la Academia de la UIT </w:t>
      </w:r>
      <w:r w:rsidR="00AF7581" w:rsidRPr="00B96672">
        <w:rPr>
          <w:rFonts w:cs="Segoe UI"/>
          <w:szCs w:val="24"/>
          <w:lang w:val="es-ES_tradnl"/>
        </w:rPr>
        <w:t>y la Gaceta de la UIT</w:t>
      </w:r>
      <w:bookmarkStart w:id="26" w:name="lt_pId061"/>
      <w:bookmarkEnd w:id="25"/>
      <w:r w:rsidR="00790C00" w:rsidRPr="00B96672">
        <w:rPr>
          <w:rFonts w:cs="Segoe UI"/>
          <w:szCs w:val="24"/>
          <w:lang w:val="es-ES_tradnl"/>
        </w:rPr>
        <w:t>.</w:t>
      </w:r>
      <w:bookmarkEnd w:id="26"/>
    </w:p>
    <w:p w:rsidR="00790C00" w:rsidRPr="00B96672" w:rsidRDefault="00E7252C" w:rsidP="00E7252C">
      <w:pPr>
        <w:shd w:val="clear" w:color="auto" w:fill="FFFFFF"/>
        <w:overflowPunct/>
        <w:autoSpaceDE/>
        <w:autoSpaceDN/>
        <w:adjustRightInd/>
        <w:textAlignment w:val="auto"/>
        <w:rPr>
          <w:rFonts w:cs="Segoe UI"/>
          <w:szCs w:val="24"/>
          <w:lang w:val="es-ES_tradnl"/>
        </w:rPr>
      </w:pPr>
      <w:bookmarkStart w:id="27" w:name="lt_pId062"/>
      <w:r w:rsidRPr="00B96672">
        <w:rPr>
          <w:rFonts w:cs="Segoe UI"/>
          <w:b/>
          <w:bCs/>
          <w:i/>
          <w:iCs/>
          <w:szCs w:val="24"/>
          <w:lang w:val="es-ES_tradnl"/>
        </w:rPr>
        <w:t>La r</w:t>
      </w:r>
      <w:r w:rsidR="00AF7581" w:rsidRPr="00B96672">
        <w:rPr>
          <w:rFonts w:cs="Segoe UI"/>
          <w:b/>
          <w:bCs/>
          <w:i/>
          <w:iCs/>
          <w:szCs w:val="24"/>
          <w:lang w:val="es-ES_tradnl"/>
        </w:rPr>
        <w:t xml:space="preserve">eunión </w:t>
      </w:r>
      <w:r w:rsidR="000E2DBF" w:rsidRPr="00B96672">
        <w:rPr>
          <w:rFonts w:cs="Segoe UI"/>
          <w:b/>
          <w:bCs/>
          <w:i/>
          <w:iCs/>
          <w:szCs w:val="24"/>
          <w:lang w:val="es-ES_tradnl"/>
        </w:rPr>
        <w:t>sobre la</w:t>
      </w:r>
      <w:r w:rsidR="00501D0A" w:rsidRPr="00B96672">
        <w:rPr>
          <w:rFonts w:cs="Segoe UI"/>
          <w:b/>
          <w:bCs/>
          <w:i/>
          <w:iCs/>
          <w:szCs w:val="24"/>
          <w:lang w:val="es-ES_tradnl"/>
        </w:rPr>
        <w:t xml:space="preserve"> asociación UIT-Instituciones Académicas</w:t>
      </w:r>
      <w:r w:rsidR="007F2764" w:rsidRPr="00B96672">
        <w:rPr>
          <w:rFonts w:cs="Segoe UI"/>
          <w:i/>
          <w:iCs/>
          <w:szCs w:val="24"/>
          <w:lang w:val="es-ES_tradnl"/>
        </w:rPr>
        <w:t>:</w:t>
      </w:r>
      <w:r w:rsidR="00790C00" w:rsidRPr="00B96672">
        <w:rPr>
          <w:rFonts w:cs="Segoe UI"/>
          <w:szCs w:val="24"/>
          <w:lang w:val="es-ES_tradnl"/>
        </w:rPr>
        <w:t xml:space="preserve"> </w:t>
      </w:r>
      <w:r w:rsidR="00AF7581" w:rsidRPr="00B96672">
        <w:rPr>
          <w:rFonts w:cs="Segoe UI"/>
          <w:i/>
          <w:iCs/>
          <w:szCs w:val="24"/>
          <w:lang w:val="es-ES_tradnl"/>
        </w:rPr>
        <w:t>Desarrollo de competencias para la era digital</w:t>
      </w:r>
      <w:r w:rsidR="00790C00" w:rsidRPr="00B96672">
        <w:rPr>
          <w:rFonts w:cs="Segoe UI"/>
          <w:szCs w:val="24"/>
          <w:lang w:val="es-ES_tradnl"/>
        </w:rPr>
        <w:t xml:space="preserve"> </w:t>
      </w:r>
      <w:r w:rsidR="00AF7581" w:rsidRPr="00B96672">
        <w:rPr>
          <w:rFonts w:cs="Segoe UI"/>
          <w:szCs w:val="24"/>
          <w:lang w:val="es-ES_tradnl"/>
        </w:rPr>
        <w:t>tuvo lugar en</w:t>
      </w:r>
      <w:r w:rsidR="00790C00" w:rsidRPr="00B96672">
        <w:rPr>
          <w:rFonts w:cs="Segoe UI"/>
          <w:szCs w:val="24"/>
          <w:lang w:val="es-ES_tradnl"/>
        </w:rPr>
        <w:t xml:space="preserve"> Budapest</w:t>
      </w:r>
      <w:r w:rsidR="00AF7581" w:rsidRPr="00B96672">
        <w:rPr>
          <w:rFonts w:cs="Segoe UI"/>
          <w:szCs w:val="24"/>
          <w:lang w:val="es-ES_tradnl"/>
        </w:rPr>
        <w:t xml:space="preserve"> (Hungría), del 19 al 21 de septiembre de 2017 y contribuyó a mejorar la colaboración entre la UIT y las </w:t>
      </w:r>
      <w:r w:rsidR="00501D0A" w:rsidRPr="00B96672">
        <w:rPr>
          <w:rFonts w:cs="Segoe UI"/>
          <w:szCs w:val="24"/>
          <w:lang w:val="es-ES_tradnl"/>
        </w:rPr>
        <w:t>Instituciones Académicas</w:t>
      </w:r>
      <w:r w:rsidR="007F2764" w:rsidRPr="00B96672">
        <w:rPr>
          <w:rFonts w:cs="Segoe UI"/>
          <w:szCs w:val="24"/>
          <w:lang w:val="es-ES_tradnl"/>
        </w:rPr>
        <w:t>, así como entre é</w:t>
      </w:r>
      <w:r w:rsidR="00AF7581" w:rsidRPr="00B96672">
        <w:rPr>
          <w:rFonts w:cs="Segoe UI"/>
          <w:szCs w:val="24"/>
          <w:lang w:val="es-ES_tradnl"/>
        </w:rPr>
        <w:t>stas y los Centros de excelencia</w:t>
      </w:r>
      <w:r w:rsidR="00790C00" w:rsidRPr="00B96672">
        <w:rPr>
          <w:rFonts w:cs="Segoe UI"/>
          <w:szCs w:val="24"/>
          <w:lang w:val="es-ES_tradnl"/>
        </w:rPr>
        <w:t>.</w:t>
      </w:r>
      <w:bookmarkEnd w:id="27"/>
    </w:p>
    <w:p w:rsidR="00790C00" w:rsidRPr="00B96672" w:rsidRDefault="00D23B2C" w:rsidP="003665C5">
      <w:pPr>
        <w:rPr>
          <w:lang w:val="es-ES_tradnl"/>
        </w:rPr>
      </w:pPr>
      <w:bookmarkStart w:id="28" w:name="lt_pId063"/>
      <w:r w:rsidRPr="00B96672">
        <w:rPr>
          <w:rFonts w:cs="Segoe UI"/>
          <w:lang w:val="es-ES_tradnl"/>
        </w:rPr>
        <w:t>E</w:t>
      </w:r>
      <w:r w:rsidR="00790C00" w:rsidRPr="00B96672">
        <w:rPr>
          <w:rFonts w:cs="Segoe UI"/>
          <w:lang w:val="es-ES_tradnl"/>
        </w:rPr>
        <w:t xml:space="preserve">n 2017, </w:t>
      </w:r>
      <w:bookmarkStart w:id="29" w:name="lt_pId064"/>
      <w:bookmarkEnd w:id="28"/>
      <w:r w:rsidR="00FE7F8D" w:rsidRPr="00B96672">
        <w:rPr>
          <w:lang w:val="es-ES_tradnl"/>
        </w:rPr>
        <w:t>a raíz de las consultas celebradas con varios miembros de la Academia</w:t>
      </w:r>
      <w:r w:rsidRPr="00B96672">
        <w:rPr>
          <w:lang w:val="es-ES_tradnl"/>
        </w:rPr>
        <w:t xml:space="preserve">, incluidos varios candidatos, </w:t>
      </w:r>
      <w:r w:rsidR="00FE7F8D" w:rsidRPr="00B96672">
        <w:rPr>
          <w:lang w:val="es-ES_tradnl"/>
        </w:rPr>
        <w:t xml:space="preserve">la BDT </w:t>
      </w:r>
      <w:r w:rsidR="00D32E52" w:rsidRPr="00B96672">
        <w:rPr>
          <w:lang w:val="es-ES_tradnl"/>
        </w:rPr>
        <w:t>llevó a cabo</w:t>
      </w:r>
      <w:r w:rsidR="00FE7F8D" w:rsidRPr="00B96672">
        <w:rPr>
          <w:lang w:val="es-ES_tradnl"/>
        </w:rPr>
        <w:t xml:space="preserve"> un </w:t>
      </w:r>
      <w:r w:rsidR="00FE7F8D" w:rsidRPr="00B96672">
        <w:rPr>
          <w:b/>
          <w:bCs/>
          <w:lang w:val="es-ES_tradnl"/>
        </w:rPr>
        <w:t xml:space="preserve">estudio </w:t>
      </w:r>
      <w:r w:rsidR="00D32E52" w:rsidRPr="00B96672">
        <w:rPr>
          <w:b/>
          <w:bCs/>
          <w:lang w:val="es-ES_tradnl"/>
        </w:rPr>
        <w:t>conjunto</w:t>
      </w:r>
      <w:r w:rsidR="00D32E52" w:rsidRPr="00B96672">
        <w:rPr>
          <w:lang w:val="es-ES_tradnl"/>
        </w:rPr>
        <w:t xml:space="preserve"> con destacados expertos de la comunidad científica internacional relativo a la</w:t>
      </w:r>
      <w:r w:rsidR="00FE7F8D" w:rsidRPr="00B96672">
        <w:rPr>
          <w:lang w:val="es-ES_tradnl"/>
        </w:rPr>
        <w:t xml:space="preserve"> repercusión de las TIC </w:t>
      </w:r>
      <w:r w:rsidR="00E7252C" w:rsidRPr="00B96672">
        <w:rPr>
          <w:lang w:val="es-ES_tradnl"/>
        </w:rPr>
        <w:t>en el</w:t>
      </w:r>
      <w:r w:rsidR="00FE7F8D" w:rsidRPr="00B96672">
        <w:rPr>
          <w:lang w:val="es-ES_tradnl"/>
        </w:rPr>
        <w:t xml:space="preserve"> desarrollo sostenible</w:t>
      </w:r>
      <w:r w:rsidR="00E7252C" w:rsidRPr="00B96672">
        <w:rPr>
          <w:lang w:val="es-ES_tradnl"/>
        </w:rPr>
        <w:t>, a fin de</w:t>
      </w:r>
      <w:r w:rsidR="00D32E52" w:rsidRPr="00B96672">
        <w:rPr>
          <w:lang w:val="es-ES_tradnl"/>
        </w:rPr>
        <w:t xml:space="preserve"> aprovechar las oportunidades que brindan las TIC en las esferas de</w:t>
      </w:r>
      <w:r w:rsidR="00FE7F8D" w:rsidRPr="00B96672">
        <w:rPr>
          <w:lang w:val="es-ES_tradnl"/>
        </w:rPr>
        <w:t xml:space="preserve"> la innovación,</w:t>
      </w:r>
      <w:r w:rsidR="00D32E52" w:rsidRPr="00B96672">
        <w:rPr>
          <w:lang w:val="es-ES_tradnl"/>
        </w:rPr>
        <w:t xml:space="preserve"> la gobernanza, la enseñanza,</w:t>
      </w:r>
      <w:r w:rsidR="00FE7F8D" w:rsidRPr="00B96672">
        <w:rPr>
          <w:lang w:val="es-ES_tradnl"/>
        </w:rPr>
        <w:t xml:space="preserve"> la creación de empleo y el desarrollo económico</w:t>
      </w:r>
      <w:r w:rsidR="00D32E52" w:rsidRPr="00B96672">
        <w:rPr>
          <w:lang w:val="es-ES_tradnl"/>
        </w:rPr>
        <w:t xml:space="preserve">. Dicho estudio académico se efectuó mediante actividades pro bono de trabajo e investigación de autores destacados. En la </w:t>
      </w:r>
      <w:r w:rsidR="00D32E52" w:rsidRPr="00B96672">
        <w:rPr>
          <w:i/>
          <w:iCs/>
          <w:lang w:val="es-ES_tradnl"/>
        </w:rPr>
        <w:t xml:space="preserve">mesa redonda ministerial </w:t>
      </w:r>
      <w:r w:rsidR="00D32E52" w:rsidRPr="00B96672">
        <w:rPr>
          <w:rFonts w:cs="Segoe UI"/>
          <w:i/>
          <w:iCs/>
          <w:lang w:val="es-ES_tradnl"/>
        </w:rPr>
        <w:t>TIC④ODS,</w:t>
      </w:r>
      <w:r w:rsidR="00D32E52" w:rsidRPr="00B96672">
        <w:rPr>
          <w:rFonts w:cs="Segoe UI"/>
          <w:lang w:val="es-ES_tradnl"/>
        </w:rPr>
        <w:t xml:space="preserve"> organizada para celebrar el 25º Aniversario del </w:t>
      </w:r>
      <w:r w:rsidR="008F3957" w:rsidRPr="00B96672">
        <w:rPr>
          <w:rFonts w:cs="Segoe UI"/>
          <w:lang w:val="es-ES_tradnl"/>
        </w:rPr>
        <w:t xml:space="preserve">Sector de Desarrollo de las Telecomunicaciones (UIT-D) de la UIT durante </w:t>
      </w:r>
      <w:r w:rsidR="00795F39" w:rsidRPr="00B96672">
        <w:rPr>
          <w:rFonts w:cs="Segoe UI"/>
          <w:lang w:val="es-ES_tradnl"/>
        </w:rPr>
        <w:t>la CMDT-17, el 11 de octubre de </w:t>
      </w:r>
      <w:r w:rsidR="008F3957" w:rsidRPr="00B96672">
        <w:rPr>
          <w:rFonts w:cs="Segoe UI"/>
          <w:lang w:val="es-ES_tradnl"/>
        </w:rPr>
        <w:t>2017, s</w:t>
      </w:r>
      <w:r w:rsidR="00D32E52" w:rsidRPr="00B96672">
        <w:rPr>
          <w:lang w:val="es-ES_tradnl"/>
        </w:rPr>
        <w:t xml:space="preserve">e presentó la publicación </w:t>
      </w:r>
      <w:r w:rsidR="00795F39" w:rsidRPr="00B96672">
        <w:rPr>
          <w:rStyle w:val="Strong"/>
          <w:rFonts w:cs="Segoe UI"/>
          <w:i/>
          <w:iCs/>
          <w:lang w:val="es-ES_tradnl"/>
        </w:rPr>
        <w:t>"</w:t>
      </w:r>
      <w:r w:rsidR="00D32E52" w:rsidRPr="00B96672">
        <w:rPr>
          <w:rStyle w:val="Strong"/>
          <w:rFonts w:cs="Segoe UI"/>
          <w:i/>
          <w:iCs/>
          <w:lang w:val="es-ES_tradnl"/>
        </w:rPr>
        <w:t>Crecimiento económico centrado en las TIC, innovación y creación de empleo</w:t>
      </w:r>
      <w:r w:rsidR="00795F39" w:rsidRPr="00B96672">
        <w:rPr>
          <w:rStyle w:val="Strong"/>
          <w:rFonts w:cs="Segoe UI"/>
          <w:i/>
          <w:iCs/>
          <w:lang w:val="es-ES_tradnl"/>
        </w:rPr>
        <w:t>"</w:t>
      </w:r>
      <w:r w:rsidR="00D32E52" w:rsidRPr="00B96672">
        <w:rPr>
          <w:lang w:val="es-ES_tradnl"/>
        </w:rPr>
        <w:t xml:space="preserve"> </w:t>
      </w:r>
      <w:bookmarkStart w:id="30" w:name="lt_pId065"/>
      <w:bookmarkEnd w:id="29"/>
      <w:r w:rsidR="00790C00" w:rsidRPr="00B96672">
        <w:rPr>
          <w:rStyle w:val="Strong"/>
          <w:rFonts w:cs="Segoe UI"/>
          <w:b w:val="0"/>
          <w:bCs w:val="0"/>
          <w:szCs w:val="24"/>
          <w:lang w:val="es-ES_tradnl"/>
        </w:rPr>
        <w:t>[</w:t>
      </w:r>
      <w:hyperlink r:id="rId16" w:history="1">
        <w:r w:rsidR="003665C5" w:rsidRPr="00B96672">
          <w:rPr>
            <w:rStyle w:val="Hyperlink"/>
            <w:rFonts w:cs="Segoe UI"/>
            <w:szCs w:val="24"/>
            <w:lang w:val="es-ES_tradnl"/>
          </w:rPr>
          <w:t>https://www.itu.int/en/ITU-D/Pages/IMPACT-STUDY.aspx</w:t>
        </w:r>
      </w:hyperlink>
      <w:r w:rsidR="00790C00" w:rsidRPr="00B96672">
        <w:rPr>
          <w:rStyle w:val="Strong"/>
          <w:rFonts w:cs="Segoe UI"/>
          <w:b w:val="0"/>
          <w:bCs w:val="0"/>
          <w:szCs w:val="24"/>
          <w:lang w:val="es-ES_tradnl"/>
        </w:rPr>
        <w:t>]</w:t>
      </w:r>
      <w:r w:rsidR="00790C00" w:rsidRPr="00B96672">
        <w:rPr>
          <w:rFonts w:cs="Segoe UI"/>
          <w:lang w:val="es-ES_tradnl"/>
        </w:rPr>
        <w:t>.</w:t>
      </w:r>
      <w:bookmarkEnd w:id="30"/>
    </w:p>
    <w:p w:rsidR="00790C00" w:rsidRPr="005E6261" w:rsidRDefault="008F3957" w:rsidP="00B26DB1">
      <w:bookmarkStart w:id="31" w:name="lt_pId066"/>
      <w:r w:rsidRPr="00B96672">
        <w:rPr>
          <w:lang w:val="es-ES_tradnl"/>
        </w:rPr>
        <w:t>La BDT organizó conjuntamente con Argentina el evento</w:t>
      </w:r>
      <w:r w:rsidR="00790C00" w:rsidRPr="00B96672">
        <w:rPr>
          <w:lang w:val="es-ES_tradnl"/>
        </w:rPr>
        <w:t xml:space="preserve"> </w:t>
      </w:r>
      <w:r w:rsidR="00795F39" w:rsidRPr="00B96672">
        <w:rPr>
          <w:b/>
          <w:bCs/>
          <w:i/>
          <w:iCs/>
          <w:lang w:val="es-ES_tradnl"/>
        </w:rPr>
        <w:t>"</w:t>
      </w:r>
      <w:r w:rsidR="00790C00" w:rsidRPr="00B96672">
        <w:rPr>
          <w:b/>
          <w:bCs/>
          <w:i/>
          <w:iCs/>
          <w:lang w:val="es-ES_tradnl"/>
        </w:rPr>
        <w:t>Academia④</w:t>
      </w:r>
      <w:r w:rsidRPr="00B96672">
        <w:rPr>
          <w:b/>
          <w:bCs/>
          <w:i/>
          <w:iCs/>
          <w:lang w:val="es-ES_tradnl"/>
        </w:rPr>
        <w:t>ODS</w:t>
      </w:r>
      <w:r w:rsidR="00790C00" w:rsidRPr="00B96672">
        <w:rPr>
          <w:b/>
          <w:bCs/>
          <w:i/>
          <w:iCs/>
          <w:lang w:val="es-ES_tradnl"/>
        </w:rPr>
        <w:t xml:space="preserve">: </w:t>
      </w:r>
      <w:r w:rsidRPr="00B96672">
        <w:rPr>
          <w:b/>
          <w:bCs/>
          <w:i/>
          <w:iCs/>
          <w:lang w:val="es-ES_tradnl"/>
        </w:rPr>
        <w:t>de la investigación a la definición de soluciones innovadoras para fomentar el desarrollo sostenible</w:t>
      </w:r>
      <w:r w:rsidR="00795F39" w:rsidRPr="00B96672">
        <w:rPr>
          <w:b/>
          <w:bCs/>
          <w:i/>
          <w:iCs/>
          <w:lang w:val="es-ES_tradnl"/>
        </w:rPr>
        <w:t>"</w:t>
      </w:r>
      <w:r w:rsidR="00790C00" w:rsidRPr="00B96672">
        <w:rPr>
          <w:lang w:val="es-ES_tradnl"/>
        </w:rPr>
        <w:t xml:space="preserve"> </w:t>
      </w:r>
      <w:r w:rsidR="00795F39" w:rsidRPr="00B96672">
        <w:rPr>
          <w:lang w:val="es-ES_tradnl"/>
        </w:rPr>
        <w:t>durante la </w:t>
      </w:r>
      <w:r w:rsidRPr="00B96672">
        <w:rPr>
          <w:lang w:val="es-ES_tradnl"/>
        </w:rPr>
        <w:t>CMDT</w:t>
      </w:r>
      <w:r w:rsidR="00795F39" w:rsidRPr="00B96672">
        <w:rPr>
          <w:lang w:val="es-ES_tradnl"/>
        </w:rPr>
        <w:noBreakHyphen/>
      </w:r>
      <w:r w:rsidR="00790C00" w:rsidRPr="00B96672">
        <w:rPr>
          <w:lang w:val="es-ES_tradnl"/>
        </w:rPr>
        <w:t xml:space="preserve">17, </w:t>
      </w:r>
      <w:r w:rsidRPr="00B96672">
        <w:rPr>
          <w:lang w:val="es-ES_tradnl"/>
        </w:rPr>
        <w:t>que contó con más de 100 participantes</w:t>
      </w:r>
      <w:r w:rsidR="00790C00" w:rsidRPr="00B96672">
        <w:rPr>
          <w:lang w:val="es-ES_tradnl"/>
        </w:rPr>
        <w:t>.</w:t>
      </w:r>
      <w:bookmarkEnd w:id="31"/>
      <w:r w:rsidR="00790C00" w:rsidRPr="00B96672">
        <w:rPr>
          <w:lang w:val="es-ES_tradnl"/>
        </w:rPr>
        <w:t xml:space="preserve"> </w:t>
      </w:r>
      <w:bookmarkStart w:id="32" w:name="lt_pId067"/>
      <w:r w:rsidR="00E7252C" w:rsidRPr="00B96672">
        <w:rPr>
          <w:lang w:val="es-ES_tradnl"/>
        </w:rPr>
        <w:t>En los debates se</w:t>
      </w:r>
      <w:r w:rsidRPr="00B96672">
        <w:rPr>
          <w:lang w:val="es-ES_tradnl"/>
        </w:rPr>
        <w:t xml:space="preserve"> presentaron varias plataformas del UIT-D, incluidas las previstas, </w:t>
      </w:r>
      <w:r w:rsidR="00E7252C" w:rsidRPr="00B96672">
        <w:rPr>
          <w:lang w:val="es-ES_tradnl"/>
        </w:rPr>
        <w:t>a fin de</w:t>
      </w:r>
      <w:r w:rsidRPr="00B96672">
        <w:rPr>
          <w:lang w:val="es-ES_tradnl"/>
        </w:rPr>
        <w:t xml:space="preserve"> promover la colaboración con las </w:t>
      </w:r>
      <w:r w:rsidR="00501D0A" w:rsidRPr="00B96672">
        <w:rPr>
          <w:lang w:val="es-ES_tradnl"/>
        </w:rPr>
        <w:t>Instituciones Académicas</w:t>
      </w:r>
      <w:r w:rsidRPr="00B96672">
        <w:rPr>
          <w:lang w:val="es-ES_tradnl"/>
        </w:rPr>
        <w:t xml:space="preserve"> y poner de manifiesto proyectos e iniciativas dirigidos por las mismas en el marco de TIC④ODG</w:t>
      </w:r>
      <w:r w:rsidR="00790C00" w:rsidRPr="00B96672">
        <w:rPr>
          <w:lang w:val="es-ES_tradnl"/>
        </w:rPr>
        <w:t>.</w:t>
      </w:r>
      <w:bookmarkEnd w:id="32"/>
      <w:r w:rsidR="00FD354C" w:rsidRPr="00B96672">
        <w:rPr>
          <w:lang w:val="es-ES_tradnl"/>
        </w:rPr>
        <w:br/>
      </w:r>
      <w:hyperlink r:id="rId17" w:history="1">
        <w:bookmarkStart w:id="33" w:name="lt_pId068"/>
        <w:r w:rsidR="00790C00" w:rsidRPr="005E6261">
          <w:rPr>
            <w:rStyle w:val="Hyperlink"/>
            <w:rFonts w:cs="Segoe UI"/>
          </w:rPr>
          <w:t>https://www.itu.int/en/ITU-D/Membership/Pages/WTDC17_Academia4SDGs.aspx</w:t>
        </w:r>
        <w:bookmarkEnd w:id="33"/>
      </w:hyperlink>
    </w:p>
    <w:p w:rsidR="00790C00" w:rsidRPr="00B96672" w:rsidRDefault="008F3957" w:rsidP="003665C5">
      <w:pPr>
        <w:rPr>
          <w:lang w:val="es-ES_tradnl"/>
        </w:rPr>
      </w:pPr>
      <w:bookmarkStart w:id="34" w:name="lt_pId069"/>
      <w:r w:rsidRPr="00B96672">
        <w:rPr>
          <w:lang w:val="es-ES_tradnl"/>
        </w:rPr>
        <w:lastRenderedPageBreak/>
        <w:t xml:space="preserve">La BDT también llevó a cabo diversas actividades de divulgación para los miembros del sector académico, por ejemplo, un taller para aumentar la concienciación sobre las esferas de participación académica y el análisis de posibles esferas de colaboración basada en las redes y los programas de la Universidad de Ciencias y Artes Aplicados de Suiza Occidental (HES-SO), las </w:t>
      </w:r>
      <w:r w:rsidR="00501D0A" w:rsidRPr="00B96672">
        <w:rPr>
          <w:lang w:val="es-ES_tradnl"/>
        </w:rPr>
        <w:t>Instituciones Académicas</w:t>
      </w:r>
      <w:r w:rsidRPr="00B96672">
        <w:rPr>
          <w:lang w:val="es-ES_tradnl"/>
        </w:rPr>
        <w:t xml:space="preserve"> que son miembro de la UIT y otras instituciones de investigación</w:t>
      </w:r>
      <w:bookmarkEnd w:id="34"/>
      <w:r w:rsidR="00795F39" w:rsidRPr="00B96672">
        <w:rPr>
          <w:lang w:val="es-ES_tradnl"/>
        </w:rPr>
        <w:t>.</w:t>
      </w:r>
    </w:p>
    <w:p w:rsidR="00790C00" w:rsidRPr="00B96672" w:rsidRDefault="00790C00" w:rsidP="003665C5">
      <w:pPr>
        <w:pStyle w:val="Heading2"/>
        <w:rPr>
          <w:sz w:val="32"/>
          <w:szCs w:val="32"/>
          <w:lang w:val="es-ES_tradnl"/>
        </w:rPr>
      </w:pPr>
      <w:r w:rsidRPr="00B96672">
        <w:rPr>
          <w:lang w:val="es-ES_tradnl"/>
        </w:rPr>
        <w:t>4.4</w:t>
      </w:r>
      <w:r w:rsidRPr="00B96672">
        <w:rPr>
          <w:lang w:val="es-ES_tradnl"/>
        </w:rPr>
        <w:tab/>
      </w:r>
      <w:r w:rsidR="00FE7F8D" w:rsidRPr="00B96672">
        <w:rPr>
          <w:lang w:val="es-ES_tradnl"/>
        </w:rPr>
        <w:t>Mejora de la participación del sector privado en los trabajos del UIT-D</w:t>
      </w:r>
    </w:p>
    <w:p w:rsidR="002C55C4" w:rsidRPr="005E6261" w:rsidRDefault="00297420" w:rsidP="00B96672">
      <w:pPr>
        <w:rPr>
          <w:lang w:val="es-ES_tradnl"/>
        </w:rPr>
      </w:pPr>
      <w:r w:rsidRPr="00B96672">
        <w:rPr>
          <w:lang w:val="es-ES_tradnl"/>
        </w:rPr>
        <w:t xml:space="preserve">La BDT </w:t>
      </w:r>
      <w:r w:rsidR="002C55C4" w:rsidRPr="00B96672">
        <w:rPr>
          <w:lang w:val="es-ES_tradnl"/>
        </w:rPr>
        <w:t>mejoró</w:t>
      </w:r>
      <w:r w:rsidRPr="00B96672">
        <w:rPr>
          <w:lang w:val="es-ES_tradnl"/>
        </w:rPr>
        <w:t xml:space="preserve"> la colaboración y las sinergias con </w:t>
      </w:r>
      <w:r w:rsidR="002C55C4" w:rsidRPr="00B96672">
        <w:rPr>
          <w:lang w:val="es-ES_tradnl"/>
        </w:rPr>
        <w:t>los miembros</w:t>
      </w:r>
      <w:r w:rsidRPr="00B96672">
        <w:rPr>
          <w:lang w:val="es-ES_tradnl"/>
        </w:rPr>
        <w:t xml:space="preserve"> del sector privado en el ec</w:t>
      </w:r>
      <w:r w:rsidR="002C55C4" w:rsidRPr="00B96672">
        <w:rPr>
          <w:lang w:val="es-ES_tradnl"/>
        </w:rPr>
        <w:t>osistema convergente de las TIC por medio de alianzas</w:t>
      </w:r>
      <w:r w:rsidRPr="00B96672">
        <w:rPr>
          <w:lang w:val="es-ES_tradnl"/>
        </w:rPr>
        <w:t xml:space="preserve"> con asociaciones </w:t>
      </w:r>
      <w:r w:rsidR="002C55C4" w:rsidRPr="00B96672">
        <w:rPr>
          <w:lang w:val="es-ES_tradnl"/>
        </w:rPr>
        <w:t>del sector industrial y</w:t>
      </w:r>
      <w:r w:rsidRPr="00B96672">
        <w:rPr>
          <w:lang w:val="es-ES_tradnl"/>
        </w:rPr>
        <w:t xml:space="preserve"> organizaciones </w:t>
      </w:r>
      <w:r w:rsidR="002C55C4" w:rsidRPr="00B96672">
        <w:rPr>
          <w:lang w:val="es-ES_tradnl"/>
        </w:rPr>
        <w:t>en los planos regional e internacional, incluidas</w:t>
      </w:r>
      <w:r w:rsidRPr="00B96672">
        <w:rPr>
          <w:lang w:val="es-ES_tradnl"/>
        </w:rPr>
        <w:t xml:space="preserve"> sus redes y miembros afiliados.</w:t>
      </w:r>
      <w:bookmarkStart w:id="35" w:name="lt_pId074"/>
      <w:r w:rsidR="00FD354C" w:rsidRPr="00B96672">
        <w:rPr>
          <w:bCs/>
          <w:color w:val="010000"/>
          <w:sz w:val="22"/>
          <w:szCs w:val="32"/>
          <w:lang w:val="es-ES_tradnl"/>
        </w:rPr>
        <w:t xml:space="preserve"> </w:t>
      </w:r>
      <w:r w:rsidR="002C55C4" w:rsidRPr="00062DF1">
        <w:rPr>
          <w:lang w:val="es-ES_tradnl"/>
        </w:rPr>
        <w:t xml:space="preserve">Además de la labor impulsada por los Miembros en el marco de programas, proyectos, iniciativas y acciones del UIT-D, se puso en marcha la </w:t>
      </w:r>
      <w:r w:rsidR="00853693" w:rsidRPr="00062DF1">
        <w:rPr>
          <w:lang w:val="es-ES_tradnl"/>
        </w:rPr>
        <w:t>plataforma de Directores de Reglamentación (CRO) del Sector Privado</w:t>
      </w:r>
      <w:r w:rsidR="002C55C4" w:rsidRPr="00062DF1">
        <w:rPr>
          <w:lang w:val="es-ES_tradnl"/>
        </w:rPr>
        <w:t xml:space="preserve">, </w:t>
      </w:r>
      <w:r w:rsidR="00853693" w:rsidRPr="00062DF1">
        <w:rPr>
          <w:lang w:val="es-ES_tradnl"/>
        </w:rPr>
        <w:t>que ha fomentado la colaboración del</w:t>
      </w:r>
      <w:r w:rsidR="002C55C4" w:rsidRPr="00062DF1">
        <w:rPr>
          <w:lang w:val="es-ES_tradnl"/>
        </w:rPr>
        <w:t xml:space="preserve"> sector privado </w:t>
      </w:r>
      <w:r w:rsidR="00853693" w:rsidRPr="00062DF1">
        <w:rPr>
          <w:lang w:val="es-ES_tradnl"/>
        </w:rPr>
        <w:t xml:space="preserve">con organismos de reglamentación </w:t>
      </w:r>
      <w:r w:rsidR="002C55C4" w:rsidRPr="00062DF1">
        <w:rPr>
          <w:lang w:val="es-ES_tradnl"/>
        </w:rPr>
        <w:t xml:space="preserve">mediante propuestas e iniciativas </w:t>
      </w:r>
      <w:r w:rsidR="00853693" w:rsidRPr="00062DF1">
        <w:rPr>
          <w:lang w:val="es-ES_tradnl"/>
        </w:rPr>
        <w:t>a fin de</w:t>
      </w:r>
      <w:r w:rsidR="002C55C4" w:rsidRPr="00062DF1">
        <w:rPr>
          <w:lang w:val="es-ES_tradnl"/>
        </w:rPr>
        <w:t xml:space="preserve"> contribuir a los Objetivos de Desarrollo Sostenible (ODS), </w:t>
      </w:r>
      <w:r w:rsidR="00853693" w:rsidRPr="00062DF1">
        <w:rPr>
          <w:lang w:val="es-ES_tradnl"/>
        </w:rPr>
        <w:t xml:space="preserve">en particular </w:t>
      </w:r>
      <w:r w:rsidR="002C55C4" w:rsidRPr="00062DF1">
        <w:rPr>
          <w:lang w:val="es-ES_tradnl"/>
        </w:rPr>
        <w:t>el Objetivo 17.</w:t>
      </w:r>
    </w:p>
    <w:p w:rsidR="00790C00" w:rsidRPr="005E6261" w:rsidRDefault="002C55C4" w:rsidP="003665C5">
      <w:pPr>
        <w:rPr>
          <w:b/>
          <w:bCs/>
          <w:sz w:val="32"/>
          <w:szCs w:val="32"/>
        </w:rPr>
      </w:pPr>
      <w:r w:rsidRPr="00E2313C">
        <w:rPr>
          <w:lang w:val="es-ES_tradnl"/>
        </w:rPr>
        <w:t xml:space="preserve">La 8ª edición de la </w:t>
      </w:r>
      <w:r w:rsidRPr="00E2313C">
        <w:rPr>
          <w:b/>
          <w:bCs/>
          <w:i/>
          <w:iCs/>
          <w:lang w:val="es-ES_tradnl"/>
        </w:rPr>
        <w:t xml:space="preserve">reunión de Directores </w:t>
      </w:r>
      <w:r w:rsidR="00853693" w:rsidRPr="00E2313C">
        <w:rPr>
          <w:b/>
          <w:bCs/>
          <w:i/>
          <w:iCs/>
          <w:lang w:val="es-ES_tradnl"/>
        </w:rPr>
        <w:t xml:space="preserve">de Reglamentación </w:t>
      </w:r>
      <w:r w:rsidRPr="00E2313C">
        <w:rPr>
          <w:b/>
          <w:bCs/>
          <w:i/>
          <w:iCs/>
          <w:lang w:val="es-ES_tradnl"/>
        </w:rPr>
        <w:t>del Sector Privado (CRO)</w:t>
      </w:r>
      <w:r w:rsidRPr="00E2313C">
        <w:rPr>
          <w:lang w:val="es-ES_tradnl"/>
        </w:rPr>
        <w:t xml:space="preserve"> y el Grupo de Trabajo CRO (</w:t>
      </w:r>
      <w:r w:rsidR="00853693" w:rsidRPr="00E2313C">
        <w:rPr>
          <w:lang w:val="es-ES_tradnl"/>
        </w:rPr>
        <w:t xml:space="preserve">GT </w:t>
      </w:r>
      <w:r w:rsidRPr="00E2313C">
        <w:rPr>
          <w:lang w:val="es-ES_tradnl"/>
        </w:rPr>
        <w:t xml:space="preserve">CRO) sobre </w:t>
      </w:r>
      <w:r w:rsidR="00853693" w:rsidRPr="00E2313C">
        <w:rPr>
          <w:lang w:val="es-ES_tradnl"/>
        </w:rPr>
        <w:t>i</w:t>
      </w:r>
      <w:r w:rsidRPr="00E2313C">
        <w:rPr>
          <w:lang w:val="es-ES_tradnl"/>
        </w:rPr>
        <w:t xml:space="preserve">nclusión </w:t>
      </w:r>
      <w:r w:rsidR="00853693" w:rsidRPr="00E2313C">
        <w:rPr>
          <w:lang w:val="es-ES_tradnl"/>
        </w:rPr>
        <w:t>f</w:t>
      </w:r>
      <w:r w:rsidRPr="00E2313C">
        <w:rPr>
          <w:lang w:val="es-ES_tradnl"/>
        </w:rPr>
        <w:t xml:space="preserve">inanciera </w:t>
      </w:r>
      <w:r w:rsidR="00853693" w:rsidRPr="00E2313C">
        <w:rPr>
          <w:lang w:val="es-ES_tradnl"/>
        </w:rPr>
        <w:t>d</w:t>
      </w:r>
      <w:r w:rsidRPr="00E2313C">
        <w:rPr>
          <w:lang w:val="es-ES_tradnl"/>
        </w:rPr>
        <w:t xml:space="preserve">igital </w:t>
      </w:r>
      <w:r w:rsidR="00853693" w:rsidRPr="00E2313C">
        <w:rPr>
          <w:lang w:val="es-ES_tradnl"/>
        </w:rPr>
        <w:t>tuvo lugar</w:t>
      </w:r>
      <w:r w:rsidRPr="00E2313C">
        <w:rPr>
          <w:lang w:val="es-ES_tradnl"/>
        </w:rPr>
        <w:t xml:space="preserve"> en 2017 durante el Simposio Mundial para Reguladores (GSR-17</w:t>
      </w:r>
      <w:r w:rsidR="00790C00" w:rsidRPr="00E2313C">
        <w:rPr>
          <w:lang w:val="es-ES_tradnl"/>
        </w:rPr>
        <w:t>).</w:t>
      </w:r>
      <w:bookmarkEnd w:id="35"/>
      <w:r w:rsidR="00790C00" w:rsidRPr="00B96672">
        <w:rPr>
          <w:szCs w:val="24"/>
          <w:lang w:val="es-ES_tradnl"/>
        </w:rPr>
        <w:t xml:space="preserve"> </w:t>
      </w:r>
      <w:r w:rsidR="00853693" w:rsidRPr="00B96672">
        <w:rPr>
          <w:szCs w:val="24"/>
          <w:lang w:val="es-ES_tradnl"/>
        </w:rPr>
        <w:t>Contó con la participación de</w:t>
      </w:r>
      <w:r w:rsidR="00FE7F8D" w:rsidRPr="00B96672">
        <w:rPr>
          <w:szCs w:val="24"/>
          <w:lang w:val="es-ES_tradnl"/>
        </w:rPr>
        <w:t xml:space="preserve"> altos directivos del sector industrial</w:t>
      </w:r>
      <w:r w:rsidR="00853693" w:rsidRPr="00B96672">
        <w:rPr>
          <w:szCs w:val="24"/>
          <w:lang w:val="es-ES_tradnl"/>
        </w:rPr>
        <w:t>, que intercambiaron</w:t>
      </w:r>
      <w:r w:rsidR="00FE7F8D" w:rsidRPr="00B96672">
        <w:rPr>
          <w:szCs w:val="24"/>
          <w:lang w:val="es-ES_tradnl"/>
        </w:rPr>
        <w:t xml:space="preserve"> experiencias y </w:t>
      </w:r>
      <w:r w:rsidR="00853693" w:rsidRPr="00B96672">
        <w:rPr>
          <w:szCs w:val="24"/>
          <w:lang w:val="es-ES_tradnl"/>
        </w:rPr>
        <w:t>propuestas</w:t>
      </w:r>
      <w:r w:rsidR="00FE7F8D" w:rsidRPr="00B96672">
        <w:rPr>
          <w:szCs w:val="24"/>
          <w:lang w:val="es-ES_tradnl"/>
        </w:rPr>
        <w:t xml:space="preserve"> sobre la forma de fomentar la participación del sector privado y </w:t>
      </w:r>
      <w:r w:rsidR="00853693" w:rsidRPr="00B96672">
        <w:rPr>
          <w:szCs w:val="24"/>
          <w:lang w:val="es-ES_tradnl"/>
        </w:rPr>
        <w:t>su</w:t>
      </w:r>
      <w:r w:rsidR="00FE7F8D" w:rsidRPr="00B96672">
        <w:rPr>
          <w:szCs w:val="24"/>
          <w:lang w:val="es-ES_tradnl"/>
        </w:rPr>
        <w:t xml:space="preserve"> colaboración en iniciativas </w:t>
      </w:r>
      <w:r w:rsidR="00853693" w:rsidRPr="00B96672">
        <w:rPr>
          <w:szCs w:val="24"/>
          <w:lang w:val="es-ES_tradnl"/>
        </w:rPr>
        <w:t>en los planos</w:t>
      </w:r>
      <w:r w:rsidR="00FE7F8D" w:rsidRPr="00B96672">
        <w:rPr>
          <w:szCs w:val="24"/>
          <w:lang w:val="es-ES_tradnl"/>
        </w:rPr>
        <w:t xml:space="preserve"> mundial, regional y nacional, </w:t>
      </w:r>
      <w:r w:rsidR="00853693" w:rsidRPr="00B96672">
        <w:rPr>
          <w:szCs w:val="24"/>
          <w:lang w:val="es-ES_tradnl"/>
        </w:rPr>
        <w:t>y</w:t>
      </w:r>
      <w:r w:rsidR="00FE7F8D" w:rsidRPr="00B96672">
        <w:rPr>
          <w:szCs w:val="24"/>
          <w:lang w:val="es-ES_tradnl"/>
        </w:rPr>
        <w:t xml:space="preserve"> de identificar mecanismos para </w:t>
      </w:r>
      <w:r w:rsidR="00D95F69" w:rsidRPr="00B96672">
        <w:rPr>
          <w:szCs w:val="24"/>
          <w:lang w:val="es-ES_tradnl"/>
        </w:rPr>
        <w:t>fomentar</w:t>
      </w:r>
      <w:r w:rsidR="00FE7F8D" w:rsidRPr="00B96672">
        <w:rPr>
          <w:szCs w:val="24"/>
          <w:lang w:val="es-ES_tradnl"/>
        </w:rPr>
        <w:t xml:space="preserve"> un entorno de reglamentación </w:t>
      </w:r>
      <w:r w:rsidR="00D95F69" w:rsidRPr="00B96672">
        <w:rPr>
          <w:szCs w:val="24"/>
          <w:lang w:val="es-ES_tradnl"/>
        </w:rPr>
        <w:t xml:space="preserve">y colaboración </w:t>
      </w:r>
      <w:r w:rsidR="00FE7F8D" w:rsidRPr="00B96672">
        <w:rPr>
          <w:szCs w:val="24"/>
          <w:lang w:val="es-ES_tradnl"/>
        </w:rPr>
        <w:t>propicio en aras del futuro de dicho sector.</w:t>
      </w:r>
      <w:r w:rsidR="00290514" w:rsidRPr="00B96672">
        <w:rPr>
          <w:szCs w:val="24"/>
          <w:lang w:val="es-ES_tradnl"/>
        </w:rPr>
        <w:br/>
      </w:r>
      <w:hyperlink r:id="rId18" w:history="1">
        <w:bookmarkStart w:id="36" w:name="lt_pId076"/>
        <w:r w:rsidR="00790C00" w:rsidRPr="005E6261">
          <w:rPr>
            <w:rStyle w:val="Hyperlink"/>
            <w:szCs w:val="24"/>
          </w:rPr>
          <w:t>https://www.itu.int/en/ITU-D/Conferences/CRO/Pages/CRO8.default.aspx</w:t>
        </w:r>
        <w:bookmarkEnd w:id="36"/>
      </w:hyperlink>
    </w:p>
    <w:p w:rsidR="00790C00" w:rsidRPr="00B96672" w:rsidRDefault="00D95F69" w:rsidP="003665C5">
      <w:pPr>
        <w:rPr>
          <w:lang w:val="es-ES_tradnl"/>
        </w:rPr>
      </w:pPr>
      <w:bookmarkStart w:id="37" w:name="lt_pId077"/>
      <w:r w:rsidRPr="00B96672">
        <w:rPr>
          <w:lang w:val="es-ES_tradnl"/>
        </w:rPr>
        <w:t>Durante el</w:t>
      </w:r>
      <w:r w:rsidR="00790C00" w:rsidRPr="00B96672">
        <w:rPr>
          <w:lang w:val="es-ES_tradnl"/>
        </w:rPr>
        <w:t xml:space="preserve"> GSR-17, </w:t>
      </w:r>
      <w:r w:rsidR="00083F67" w:rsidRPr="00B96672">
        <w:rPr>
          <w:lang w:val="es-ES_tradnl"/>
        </w:rPr>
        <w:t xml:space="preserve">el </w:t>
      </w:r>
      <w:r w:rsidR="00083F67" w:rsidRPr="00B96672">
        <w:rPr>
          <w:b/>
          <w:i/>
          <w:iCs/>
          <w:lang w:val="es-ES_tradnl"/>
        </w:rPr>
        <w:t>debate de los líderes del sector</w:t>
      </w:r>
      <w:r w:rsidR="00083F67" w:rsidRPr="00B96672">
        <w:rPr>
          <w:lang w:val="es-ES_tradnl"/>
        </w:rPr>
        <w:t xml:space="preserve"> hizo hincapié en las </w:t>
      </w:r>
      <w:r w:rsidR="00795F39" w:rsidRPr="00B96672">
        <w:rPr>
          <w:lang w:val="es-ES_tradnl"/>
        </w:rPr>
        <w:t>"</w:t>
      </w:r>
      <w:r w:rsidR="00083F67" w:rsidRPr="00B96672">
        <w:rPr>
          <w:lang w:val="es-ES_tradnl"/>
        </w:rPr>
        <w:t>nuevas tecnologías como motor del desarrollo socioeconómico</w:t>
      </w:r>
      <w:r w:rsidR="00795F39" w:rsidRPr="00B96672">
        <w:rPr>
          <w:lang w:val="es-ES_tradnl"/>
        </w:rPr>
        <w:t>"</w:t>
      </w:r>
      <w:r w:rsidR="00083F67" w:rsidRPr="00B96672">
        <w:rPr>
          <w:lang w:val="es-ES_tradnl"/>
        </w:rPr>
        <w:t xml:space="preserve"> y los </w:t>
      </w:r>
      <w:r w:rsidR="00795F39" w:rsidRPr="00B96672">
        <w:rPr>
          <w:lang w:val="es-ES_tradnl"/>
        </w:rPr>
        <w:t>"</w:t>
      </w:r>
      <w:r w:rsidR="00083F67" w:rsidRPr="00B96672">
        <w:rPr>
          <w:lang w:val="es-ES_tradnl"/>
        </w:rPr>
        <w:t>enfoques sobre colaboración entre los sectores público y privado y el papel de las asociaciones estratégicas</w:t>
      </w:r>
      <w:r w:rsidR="00795F39" w:rsidRPr="00B96672">
        <w:rPr>
          <w:lang w:val="es-ES_tradnl"/>
        </w:rPr>
        <w:t>"</w:t>
      </w:r>
      <w:r w:rsidR="00083F67" w:rsidRPr="00B96672">
        <w:rPr>
          <w:lang w:val="es-ES_tradnl"/>
        </w:rPr>
        <w:t xml:space="preserve">, y se intercambió información en el marco del sector industrial sobre la repercusión social de esas tecnologías y soluciones en </w:t>
      </w:r>
      <w:r w:rsidR="00E7252C" w:rsidRPr="00B96672">
        <w:rPr>
          <w:lang w:val="es-ES_tradnl"/>
        </w:rPr>
        <w:t>cuanto a</w:t>
      </w:r>
      <w:r w:rsidR="00083F67" w:rsidRPr="00B96672">
        <w:rPr>
          <w:lang w:val="es-ES_tradnl"/>
        </w:rPr>
        <w:t xml:space="preserve"> transformación digital; también se analizaron oportunidades de asociación entre los sectores privado y gubernamental, y otros actores, </w:t>
      </w:r>
      <w:r w:rsidR="00E7252C" w:rsidRPr="00B96672">
        <w:rPr>
          <w:lang w:val="es-ES_tradnl"/>
        </w:rPr>
        <w:t>a fin de</w:t>
      </w:r>
      <w:r w:rsidR="00083F67" w:rsidRPr="00B96672">
        <w:rPr>
          <w:lang w:val="es-ES_tradnl"/>
        </w:rPr>
        <w:t xml:space="preserve"> aprovechar las ventajas de la transformación digital en el plano social</w:t>
      </w:r>
      <w:r w:rsidR="00790C00" w:rsidRPr="00B96672">
        <w:rPr>
          <w:lang w:val="es-ES_tradnl"/>
        </w:rPr>
        <w:t>.</w:t>
      </w:r>
      <w:bookmarkEnd w:id="37"/>
    </w:p>
    <w:p w:rsidR="00790C00" w:rsidRPr="005E6261" w:rsidRDefault="001A3DE8" w:rsidP="00290514">
      <w:pPr>
        <w:rPr>
          <w:rStyle w:val="ms-rtefontsize-1"/>
          <w:rFonts w:cs="Segoe UI"/>
          <w:b/>
          <w:bCs/>
          <w:szCs w:val="24"/>
        </w:rPr>
      </w:pPr>
      <w:bookmarkStart w:id="38" w:name="lt_pId078"/>
      <w:r w:rsidRPr="00B96672">
        <w:rPr>
          <w:lang w:val="es-ES_tradnl"/>
        </w:rPr>
        <w:t>La</w:t>
      </w:r>
      <w:r w:rsidR="00790C00" w:rsidRPr="00B96672">
        <w:rPr>
          <w:lang w:val="es-ES_tradnl"/>
        </w:rPr>
        <w:t xml:space="preserve"> </w:t>
      </w:r>
      <w:r w:rsidRPr="00B96672">
        <w:rPr>
          <w:b/>
          <w:bCs/>
          <w:i/>
          <w:iCs/>
          <w:lang w:val="es-ES_tradnl"/>
        </w:rPr>
        <w:t xml:space="preserve">mesa redonda de los sectores público y privado sobre </w:t>
      </w:r>
      <w:r w:rsidR="00795F39" w:rsidRPr="00B96672">
        <w:rPr>
          <w:b/>
          <w:bCs/>
          <w:i/>
          <w:iCs/>
          <w:lang w:val="es-ES_tradnl"/>
        </w:rPr>
        <w:t>"</w:t>
      </w:r>
      <w:r w:rsidRPr="00B96672">
        <w:rPr>
          <w:b/>
          <w:bCs/>
          <w:i/>
          <w:iCs/>
          <w:lang w:val="es-ES_tradnl"/>
        </w:rPr>
        <w:t xml:space="preserve">Asociaciones en </w:t>
      </w:r>
      <w:r w:rsidR="00103D8A" w:rsidRPr="00B96672">
        <w:rPr>
          <w:b/>
          <w:bCs/>
          <w:i/>
          <w:iCs/>
          <w:lang w:val="es-ES_tradnl"/>
        </w:rPr>
        <w:t>pos</w:t>
      </w:r>
      <w:r w:rsidRPr="00B96672">
        <w:rPr>
          <w:b/>
          <w:bCs/>
          <w:i/>
          <w:iCs/>
          <w:lang w:val="es-ES_tradnl"/>
        </w:rPr>
        <w:t xml:space="preserve"> de los ODS</w:t>
      </w:r>
      <w:r w:rsidR="00795F39" w:rsidRPr="00B96672">
        <w:rPr>
          <w:b/>
          <w:bCs/>
          <w:i/>
          <w:iCs/>
          <w:lang w:val="es-ES_tradnl"/>
        </w:rPr>
        <w:t>"</w:t>
      </w:r>
      <w:r w:rsidRPr="00B96672">
        <w:rPr>
          <w:lang w:val="es-ES_tradnl"/>
        </w:rPr>
        <w:t xml:space="preserve"> se celebró el 8 de octubre de 2017</w:t>
      </w:r>
      <w:r w:rsidR="00103D8A" w:rsidRPr="00B96672">
        <w:rPr>
          <w:lang w:val="es-ES_tradnl"/>
        </w:rPr>
        <w:t xml:space="preserve"> en el marco de un evento previo a la CMDT</w:t>
      </w:r>
      <w:r w:rsidR="00790C00" w:rsidRPr="00B96672">
        <w:rPr>
          <w:lang w:val="es-ES_tradnl"/>
        </w:rPr>
        <w:t xml:space="preserve">-17, </w:t>
      </w:r>
      <w:r w:rsidR="00103D8A" w:rsidRPr="00B96672">
        <w:rPr>
          <w:lang w:val="es-ES_tradnl"/>
        </w:rPr>
        <w:t>y contó con más de</w:t>
      </w:r>
      <w:r w:rsidR="00795F39" w:rsidRPr="00B96672">
        <w:rPr>
          <w:lang w:val="es-ES_tradnl"/>
        </w:rPr>
        <w:t> </w:t>
      </w:r>
      <w:r w:rsidR="00103D8A" w:rsidRPr="00B96672">
        <w:rPr>
          <w:lang w:val="es-ES_tradnl"/>
        </w:rPr>
        <w:t>100 participantes</w:t>
      </w:r>
      <w:r w:rsidR="00790C00" w:rsidRPr="00B96672">
        <w:rPr>
          <w:lang w:val="es-ES_tradnl"/>
        </w:rPr>
        <w:t>.</w:t>
      </w:r>
      <w:bookmarkEnd w:id="38"/>
      <w:r w:rsidR="00790C00" w:rsidRPr="00B96672">
        <w:rPr>
          <w:lang w:val="es-ES_tradnl"/>
        </w:rPr>
        <w:t xml:space="preserve"> </w:t>
      </w:r>
      <w:bookmarkStart w:id="39" w:name="lt_pId079"/>
      <w:r w:rsidR="00103D8A" w:rsidRPr="00B96672">
        <w:rPr>
          <w:lang w:val="es-ES_tradnl"/>
        </w:rPr>
        <w:t>El sector privado desempeña un papel primordial para cumplir la agenda de desarrollo sostenible recientemente adoptada</w:t>
      </w:r>
      <w:r w:rsidR="00790C00" w:rsidRPr="00B96672">
        <w:rPr>
          <w:lang w:val="es-ES_tradnl"/>
        </w:rPr>
        <w:t>.</w:t>
      </w:r>
      <w:bookmarkEnd w:id="39"/>
      <w:r w:rsidR="00790C00" w:rsidRPr="00B96672">
        <w:rPr>
          <w:lang w:val="es-ES_tradnl"/>
        </w:rPr>
        <w:t xml:space="preserve"> </w:t>
      </w:r>
      <w:bookmarkStart w:id="40" w:name="lt_pId081"/>
      <w:r w:rsidR="00103D8A" w:rsidRPr="00B96672">
        <w:rPr>
          <w:lang w:val="es-ES_tradnl"/>
        </w:rPr>
        <w:t>Es asimismo</w:t>
      </w:r>
      <w:r w:rsidR="00CB6BC8" w:rsidRPr="00B96672">
        <w:rPr>
          <w:lang w:val="es-ES_tradnl"/>
        </w:rPr>
        <w:t xml:space="preserve"> un motor de innovación, productividad y eficiencia tecnológica y seguirá siendo un actor importante en cuanto a inversión para </w:t>
      </w:r>
      <w:r w:rsidR="00103D8A" w:rsidRPr="00B96672">
        <w:rPr>
          <w:lang w:val="es-ES_tradnl"/>
        </w:rPr>
        <w:t>fomentar el</w:t>
      </w:r>
      <w:r w:rsidR="00CB6BC8" w:rsidRPr="00B96672">
        <w:rPr>
          <w:lang w:val="es-ES_tradnl"/>
        </w:rPr>
        <w:t xml:space="preserve"> </w:t>
      </w:r>
      <w:r w:rsidR="003665C5" w:rsidRPr="00B96672">
        <w:rPr>
          <w:lang w:val="es-ES_tradnl"/>
        </w:rPr>
        <w:t>desarrollo</w:t>
      </w:r>
      <w:r w:rsidR="00CB6BC8" w:rsidRPr="00B96672">
        <w:rPr>
          <w:lang w:val="es-ES_tradnl"/>
        </w:rPr>
        <w:t xml:space="preserve"> económico sostenible, la creación de empleo y la transformación</w:t>
      </w:r>
      <w:r w:rsidR="00103D8A" w:rsidRPr="00B96672">
        <w:rPr>
          <w:lang w:val="es-ES_tradnl"/>
        </w:rPr>
        <w:t>,</w:t>
      </w:r>
      <w:r w:rsidR="00CB6BC8" w:rsidRPr="00B96672">
        <w:rPr>
          <w:lang w:val="es-ES_tradnl"/>
        </w:rPr>
        <w:t xml:space="preserve"> </w:t>
      </w:r>
      <w:r w:rsidR="00103D8A" w:rsidRPr="00B96672">
        <w:rPr>
          <w:lang w:val="es-ES_tradnl"/>
        </w:rPr>
        <w:t>en aras de</w:t>
      </w:r>
      <w:r w:rsidR="00CB6BC8" w:rsidRPr="00B96672">
        <w:rPr>
          <w:lang w:val="es-ES_tradnl"/>
        </w:rPr>
        <w:t xml:space="preserve"> una sociedad integradora y la economía digital. </w:t>
      </w:r>
      <w:r w:rsidR="00103D8A" w:rsidRPr="00B96672">
        <w:rPr>
          <w:lang w:val="es-ES_tradnl"/>
        </w:rPr>
        <w:t>En la mesa redonda se pusieron de manifiesto los avances</w:t>
      </w:r>
      <w:r w:rsidR="00790C00" w:rsidRPr="00B96672">
        <w:rPr>
          <w:lang w:val="es-ES_tradnl"/>
        </w:rPr>
        <w:t xml:space="preserve"> </w:t>
      </w:r>
      <w:r w:rsidR="00103D8A" w:rsidRPr="00B96672">
        <w:rPr>
          <w:lang w:val="es-ES_tradnl"/>
        </w:rPr>
        <w:t xml:space="preserve">y resultados de los </w:t>
      </w:r>
      <w:r w:rsidR="00790C00" w:rsidRPr="00B96672">
        <w:rPr>
          <w:lang w:val="es-ES_tradnl"/>
        </w:rPr>
        <w:t>CRO</w:t>
      </w:r>
      <w:r w:rsidR="00103D8A" w:rsidRPr="00B96672">
        <w:rPr>
          <w:lang w:val="es-ES_tradnl"/>
        </w:rPr>
        <w:t xml:space="preserve">, se recabó información y se formularon recomendaciones para seguir mejorando la cooperación entre los Estados Miembros, los Miembros de Sector, los Asociados y las </w:t>
      </w:r>
      <w:r w:rsidR="00501D0A" w:rsidRPr="00B96672">
        <w:rPr>
          <w:lang w:val="es-ES_tradnl"/>
        </w:rPr>
        <w:t>Instituciones Académicas</w:t>
      </w:r>
      <w:r w:rsidR="00790C00" w:rsidRPr="00B96672">
        <w:rPr>
          <w:lang w:val="es-ES_tradnl"/>
        </w:rPr>
        <w:t>.</w:t>
      </w:r>
      <w:bookmarkStart w:id="41" w:name="lt_pId082"/>
      <w:bookmarkEnd w:id="40"/>
      <w:r w:rsidR="00290514" w:rsidRPr="00B96672">
        <w:rPr>
          <w:lang w:val="es-ES_tradnl"/>
        </w:rPr>
        <w:br/>
      </w:r>
      <w:hyperlink r:id="rId19" w:history="1">
        <w:r w:rsidR="00790C00" w:rsidRPr="005E6261">
          <w:rPr>
            <w:rStyle w:val="Hyperlink"/>
          </w:rPr>
          <w:t>https://www.itu.int/en/ITU-D/Conferences/CRO/Pages/CRO8.default.aspx</w:t>
        </w:r>
        <w:bookmarkEnd w:id="41"/>
      </w:hyperlink>
    </w:p>
    <w:p w:rsidR="00790C00" w:rsidRPr="00B96672" w:rsidRDefault="00FE7F8D" w:rsidP="00FE7F8D">
      <w:pPr>
        <w:pStyle w:val="Heading1"/>
        <w:rPr>
          <w:szCs w:val="28"/>
          <w:lang w:val="es-ES_tradnl"/>
        </w:rPr>
      </w:pPr>
      <w:r w:rsidRPr="00B96672">
        <w:rPr>
          <w:lang w:val="es-ES_tradnl"/>
        </w:rPr>
        <w:t>5</w:t>
      </w:r>
      <w:r w:rsidRPr="00B96672">
        <w:rPr>
          <w:lang w:val="es-ES_tradnl"/>
        </w:rPr>
        <w:tab/>
        <w:t>Medidas futuras</w:t>
      </w:r>
    </w:p>
    <w:p w:rsidR="00297420" w:rsidRPr="00B96672" w:rsidRDefault="00267783" w:rsidP="00290514">
      <w:pPr>
        <w:rPr>
          <w:rFonts w:ascii="Calibri" w:hAnsi="Calibri"/>
          <w:color w:val="000000" w:themeColor="text1"/>
          <w:szCs w:val="24"/>
          <w:lang w:val="es-ES_tradnl"/>
        </w:rPr>
      </w:pPr>
      <w:bookmarkStart w:id="42" w:name="lt_pId085"/>
      <w:r w:rsidRPr="00B96672">
        <w:rPr>
          <w:szCs w:val="24"/>
          <w:lang w:val="es-ES_tradnl"/>
        </w:rPr>
        <w:t>Si bien los</w:t>
      </w:r>
      <w:r w:rsidR="00297420" w:rsidRPr="00B96672">
        <w:rPr>
          <w:szCs w:val="24"/>
          <w:lang w:val="es-ES_tradnl"/>
        </w:rPr>
        <w:t xml:space="preserve"> programas, proyectos, iniciativas y actividades </w:t>
      </w:r>
      <w:r w:rsidRPr="00B96672">
        <w:rPr>
          <w:szCs w:val="24"/>
          <w:lang w:val="es-ES_tradnl"/>
        </w:rPr>
        <w:t xml:space="preserve">del UIT-D en el marco de sus esferas de acción proporcionan productos y </w:t>
      </w:r>
      <w:r w:rsidR="00297420" w:rsidRPr="00B96672">
        <w:rPr>
          <w:szCs w:val="24"/>
          <w:lang w:val="es-ES_tradnl"/>
        </w:rPr>
        <w:t xml:space="preserve">servicios, </w:t>
      </w:r>
      <w:r w:rsidR="00290514" w:rsidRPr="00B96672">
        <w:rPr>
          <w:szCs w:val="24"/>
          <w:lang w:val="es-ES_tradnl"/>
        </w:rPr>
        <w:t>para</w:t>
      </w:r>
      <w:r w:rsidR="00297420" w:rsidRPr="00B96672">
        <w:rPr>
          <w:szCs w:val="24"/>
          <w:lang w:val="es-ES_tradnl"/>
        </w:rPr>
        <w:t xml:space="preserve"> </w:t>
      </w:r>
      <w:r w:rsidRPr="00B96672">
        <w:rPr>
          <w:szCs w:val="24"/>
          <w:lang w:val="es-ES_tradnl"/>
        </w:rPr>
        <w:t>los</w:t>
      </w:r>
      <w:r w:rsidR="00297420" w:rsidRPr="00B96672">
        <w:rPr>
          <w:szCs w:val="24"/>
          <w:lang w:val="es-ES_tradnl"/>
        </w:rPr>
        <w:t xml:space="preserve"> Miembros </w:t>
      </w:r>
      <w:r w:rsidRPr="00B96672">
        <w:rPr>
          <w:szCs w:val="24"/>
          <w:lang w:val="es-ES_tradnl"/>
        </w:rPr>
        <w:t xml:space="preserve">de la UIT, la BDT seguirá </w:t>
      </w:r>
      <w:r w:rsidRPr="00B96672">
        <w:rPr>
          <w:szCs w:val="24"/>
          <w:lang w:val="es-ES_tradnl"/>
        </w:rPr>
        <w:lastRenderedPageBreak/>
        <w:t xml:space="preserve">fomentando los servicios, productos e instrumentos de comunicación de sus Miembros </w:t>
      </w:r>
      <w:r w:rsidR="00297420" w:rsidRPr="00B96672">
        <w:rPr>
          <w:szCs w:val="24"/>
          <w:lang w:val="es-ES_tradnl"/>
        </w:rPr>
        <w:t>con objeto de facilitar la colaboración con los Miembros actuales, y con posibles nuevos Miembros</w:t>
      </w:r>
      <w:r w:rsidR="00290514" w:rsidRPr="00B96672">
        <w:rPr>
          <w:szCs w:val="24"/>
          <w:lang w:val="es-ES_tradnl"/>
        </w:rPr>
        <w:t>, incluidas la</w:t>
      </w:r>
      <w:r w:rsidRPr="00B96672">
        <w:rPr>
          <w:szCs w:val="24"/>
          <w:lang w:val="es-ES_tradnl"/>
        </w:rPr>
        <w:t xml:space="preserve">s </w:t>
      </w:r>
      <w:r w:rsidR="00501D0A" w:rsidRPr="00B96672">
        <w:rPr>
          <w:szCs w:val="24"/>
          <w:lang w:val="es-ES_tradnl"/>
        </w:rPr>
        <w:t>Instituciones Académicas</w:t>
      </w:r>
      <w:r w:rsidRPr="00B96672">
        <w:rPr>
          <w:szCs w:val="24"/>
          <w:lang w:val="es-ES_tradnl"/>
        </w:rPr>
        <w:t xml:space="preserve">, por medio de plataformas de asociación </w:t>
      </w:r>
      <w:r w:rsidR="00297420" w:rsidRPr="00B96672">
        <w:rPr>
          <w:rFonts w:ascii="Calibri" w:hAnsi="Calibri"/>
          <w:color w:val="000000" w:themeColor="text1"/>
          <w:szCs w:val="24"/>
          <w:lang w:val="es-ES_tradnl"/>
        </w:rPr>
        <w:t xml:space="preserve">multipartitas </w:t>
      </w:r>
      <w:r w:rsidRPr="00B96672">
        <w:rPr>
          <w:rFonts w:ascii="Calibri" w:hAnsi="Calibri"/>
          <w:color w:val="000000" w:themeColor="text1"/>
          <w:szCs w:val="24"/>
          <w:lang w:val="es-ES_tradnl"/>
        </w:rPr>
        <w:t>innovadoras e inclusivas</w:t>
      </w:r>
      <w:r w:rsidR="00297420" w:rsidRPr="00B96672">
        <w:rPr>
          <w:rFonts w:ascii="Calibri" w:hAnsi="Calibri"/>
          <w:bCs/>
          <w:color w:val="000000" w:themeColor="text1"/>
          <w:szCs w:val="24"/>
          <w:lang w:val="es-ES_tradnl"/>
        </w:rPr>
        <w:t>.</w:t>
      </w:r>
    </w:p>
    <w:p w:rsidR="00790C00" w:rsidRPr="00B96672" w:rsidRDefault="006D1A50" w:rsidP="00E7252C">
      <w:pPr>
        <w:rPr>
          <w:szCs w:val="24"/>
          <w:lang w:val="es-ES_tradnl"/>
        </w:rPr>
      </w:pPr>
      <w:bookmarkStart w:id="43" w:name="lt_pId086"/>
      <w:bookmarkEnd w:id="42"/>
      <w:r w:rsidRPr="00B96672">
        <w:rPr>
          <w:szCs w:val="24"/>
          <w:lang w:val="es-ES_tradnl"/>
        </w:rPr>
        <w:t>A raíz de la decisión del Consejo de 2017 de realizar ensayos de participación de pequeñas y medianas empresas (PYME) en las Comisiones de Estudio del UIT-T y del UIT-D, la BDT iniciará la ejecución del proyecto piloto relativo a dicha participación en el nuevo período de estudios de las Comisiones de Estudio del UIT-D a partir de 2018, cuyo avances se notificarán al Consejo y a la</w:t>
      </w:r>
      <w:r w:rsidR="00795F39" w:rsidRPr="00B96672">
        <w:rPr>
          <w:szCs w:val="24"/>
          <w:lang w:val="es-ES_tradnl"/>
        </w:rPr>
        <w:t> PP</w:t>
      </w:r>
      <w:r w:rsidR="00795F39" w:rsidRPr="00B96672">
        <w:rPr>
          <w:szCs w:val="24"/>
          <w:lang w:val="es-ES_tradnl"/>
        </w:rPr>
        <w:noBreakHyphen/>
      </w:r>
      <w:r w:rsidRPr="00B96672">
        <w:rPr>
          <w:szCs w:val="24"/>
          <w:lang w:val="es-ES_tradnl"/>
        </w:rPr>
        <w:t xml:space="preserve">18. La BDT también fomentará la participación de las </w:t>
      </w:r>
      <w:r w:rsidR="00501D0A" w:rsidRPr="00B96672">
        <w:rPr>
          <w:szCs w:val="24"/>
          <w:lang w:val="es-ES_tradnl"/>
        </w:rPr>
        <w:t>Instituciones Académicas</w:t>
      </w:r>
      <w:r w:rsidRPr="00B96672">
        <w:rPr>
          <w:szCs w:val="24"/>
          <w:lang w:val="es-ES_tradnl"/>
        </w:rPr>
        <w:t xml:space="preserve"> de la UIT en las Comisiones de Estudio del UIT-D y en las </w:t>
      </w:r>
      <w:r w:rsidR="00501D0A" w:rsidRPr="00B96672">
        <w:rPr>
          <w:szCs w:val="24"/>
          <w:lang w:val="es-ES_tradnl"/>
        </w:rPr>
        <w:t>Instituciones Académicas</w:t>
      </w:r>
      <w:r w:rsidRPr="00B96672">
        <w:rPr>
          <w:szCs w:val="24"/>
          <w:lang w:val="es-ES_tradnl"/>
        </w:rPr>
        <w:t xml:space="preserve"> de la UIT, en particular</w:t>
      </w:r>
      <w:r w:rsidR="00790C00" w:rsidRPr="00B96672">
        <w:rPr>
          <w:szCs w:val="24"/>
          <w:lang w:val="es-ES_tradnl"/>
        </w:rPr>
        <w:t>.</w:t>
      </w:r>
      <w:bookmarkEnd w:id="43"/>
    </w:p>
    <w:p w:rsidR="00CB6BC8" w:rsidRPr="00B96672" w:rsidRDefault="00436D78" w:rsidP="00290514">
      <w:pPr>
        <w:rPr>
          <w:rFonts w:ascii="Calibri" w:hAnsi="Calibri"/>
          <w:szCs w:val="24"/>
          <w:lang w:val="es-ES_tradnl"/>
        </w:rPr>
      </w:pPr>
      <w:bookmarkStart w:id="44" w:name="lt_pId088"/>
      <w:r w:rsidRPr="00B96672">
        <w:rPr>
          <w:szCs w:val="24"/>
          <w:lang w:val="es-ES_tradnl"/>
        </w:rPr>
        <w:t>La aplicación de la Resolución 71 (Rev. Buenos Aires, 2017) de la CMDT, recientemente revisada y aprobada, en particular el establecimiento del Grupo Asesor de la Industria para los Problemas del Desarrollo (IAGD) del UIT-D, comenzará en 2018. Junto con la reunión de los CRO, la primera reunión del IAGD tendrá lugar durante el GSR-18, en julio de 2018, en Ginebra</w:t>
      </w:r>
      <w:r w:rsidR="00790C00" w:rsidRPr="00B96672">
        <w:rPr>
          <w:szCs w:val="24"/>
          <w:lang w:val="es-ES_tradnl"/>
        </w:rPr>
        <w:t>.</w:t>
      </w:r>
      <w:bookmarkEnd w:id="44"/>
      <w:r w:rsidR="00790C00" w:rsidRPr="00B96672">
        <w:rPr>
          <w:szCs w:val="24"/>
          <w:lang w:val="es-ES_tradnl"/>
        </w:rPr>
        <w:t xml:space="preserve"> </w:t>
      </w:r>
      <w:r w:rsidR="00CB6BC8" w:rsidRPr="00B96672">
        <w:rPr>
          <w:rFonts w:ascii="Calibri" w:hAnsi="Calibri"/>
          <w:szCs w:val="24"/>
          <w:lang w:val="es-ES_tradnl"/>
        </w:rPr>
        <w:t xml:space="preserve">Se invita al sector privado a participar en </w:t>
      </w:r>
      <w:r w:rsidR="00290514" w:rsidRPr="00B96672">
        <w:rPr>
          <w:rFonts w:ascii="Calibri" w:hAnsi="Calibri"/>
          <w:szCs w:val="24"/>
          <w:lang w:val="es-ES_tradnl"/>
        </w:rPr>
        <w:t>el</w:t>
      </w:r>
      <w:r w:rsidR="00CB6BC8" w:rsidRPr="00B96672">
        <w:rPr>
          <w:rFonts w:ascii="Calibri" w:hAnsi="Calibri"/>
          <w:szCs w:val="24"/>
          <w:lang w:val="es-ES_tradnl"/>
        </w:rPr>
        <w:t xml:space="preserve"> </w:t>
      </w:r>
      <w:r w:rsidR="0062045C" w:rsidRPr="00B96672">
        <w:rPr>
          <w:lang w:val="es-ES_tradnl"/>
        </w:rPr>
        <w:t>IAGD</w:t>
      </w:r>
      <w:r w:rsidR="0062045C" w:rsidRPr="00B96672">
        <w:rPr>
          <w:rFonts w:ascii="Calibri" w:hAnsi="Calibri"/>
          <w:szCs w:val="24"/>
          <w:lang w:val="es-ES_tradnl"/>
        </w:rPr>
        <w:t xml:space="preserve"> y a contribuir al mandato </w:t>
      </w:r>
      <w:r w:rsidR="00CB6BC8" w:rsidRPr="00B96672">
        <w:rPr>
          <w:rFonts w:ascii="Calibri" w:hAnsi="Calibri"/>
          <w:szCs w:val="24"/>
          <w:lang w:val="es-ES_tradnl"/>
        </w:rPr>
        <w:t>del UIT-D para el cumplimiento de los Objetivos de Desarrollo Sostenible (ODS).</w:t>
      </w:r>
      <w:bookmarkStart w:id="45" w:name="lt_pId090"/>
    </w:p>
    <w:bookmarkEnd w:id="45"/>
    <w:p w:rsidR="000725A1" w:rsidRPr="00B96672" w:rsidRDefault="00CB6BC8" w:rsidP="00196640">
      <w:pPr>
        <w:rPr>
          <w:rFonts w:ascii="Calibri" w:hAnsi="Calibri"/>
          <w:szCs w:val="24"/>
          <w:lang w:val="es-ES_tradnl"/>
        </w:rPr>
      </w:pPr>
      <w:r w:rsidRPr="00B96672">
        <w:rPr>
          <w:rFonts w:ascii="Calibri" w:hAnsi="Calibri"/>
          <w:szCs w:val="24"/>
          <w:lang w:val="es-ES_tradnl"/>
        </w:rPr>
        <w:t xml:space="preserve">La diversidad de los Miembros de Sector y los Asociados, así como el número </w:t>
      </w:r>
      <w:r w:rsidR="00196640" w:rsidRPr="00B96672">
        <w:rPr>
          <w:rFonts w:ascii="Calibri" w:hAnsi="Calibri"/>
          <w:szCs w:val="24"/>
          <w:lang w:val="es-ES_tradnl"/>
        </w:rPr>
        <w:t>cada vez mayor</w:t>
      </w:r>
      <w:r w:rsidRPr="00B96672">
        <w:rPr>
          <w:rFonts w:ascii="Calibri" w:hAnsi="Calibri"/>
          <w:szCs w:val="24"/>
          <w:lang w:val="es-ES_tradnl"/>
        </w:rPr>
        <w:t xml:space="preserve"> de </w:t>
      </w:r>
      <w:r w:rsidR="00501D0A" w:rsidRPr="00B96672">
        <w:rPr>
          <w:rFonts w:ascii="Calibri" w:hAnsi="Calibri"/>
          <w:szCs w:val="24"/>
          <w:lang w:val="es-ES_tradnl"/>
        </w:rPr>
        <w:t>Instituciones Académic</w:t>
      </w:r>
      <w:r w:rsidR="00196640" w:rsidRPr="00B96672">
        <w:rPr>
          <w:rFonts w:ascii="Calibri" w:hAnsi="Calibri"/>
          <w:szCs w:val="24"/>
          <w:lang w:val="es-ES_tradnl"/>
        </w:rPr>
        <w:t>as, siguen siendo propicios para la colaboración y el intercambio en un ecosistema de las TIC convergente. La BDT seguirá incidiendo en enfoques con varias partes interesadas en aras de la mejora de la colaboración y las asociaciones con los miembros y sus redes y los miembros afiliados a asociaciones, así como en los eventos actuales y venideros de la BDT a escalas mundial y regional</w:t>
      </w:r>
      <w:r w:rsidR="00E61696" w:rsidRPr="00B96672">
        <w:rPr>
          <w:rFonts w:ascii="Calibri" w:hAnsi="Calibri"/>
          <w:szCs w:val="24"/>
          <w:lang w:val="es-ES_tradnl"/>
        </w:rPr>
        <w:t>.</w:t>
      </w:r>
    </w:p>
    <w:p w:rsidR="00E61696" w:rsidRPr="00B96672" w:rsidRDefault="00E61696" w:rsidP="00083F67">
      <w:pPr>
        <w:pStyle w:val="Reasons"/>
        <w:rPr>
          <w:lang w:val="es-ES_tradnl"/>
        </w:rPr>
      </w:pPr>
    </w:p>
    <w:p w:rsidR="00E61696" w:rsidRPr="00B96672" w:rsidRDefault="00E61696" w:rsidP="003665C5">
      <w:pPr>
        <w:jc w:val="center"/>
        <w:rPr>
          <w:lang w:val="es-ES_tradnl"/>
        </w:rPr>
      </w:pPr>
      <w:r w:rsidRPr="00B96672">
        <w:rPr>
          <w:lang w:val="es-ES_tradnl"/>
        </w:rPr>
        <w:t>______________</w:t>
      </w:r>
    </w:p>
    <w:sectPr w:rsidR="00E61696" w:rsidRPr="00B96672" w:rsidSect="004B7893">
      <w:headerReference w:type="default" r:id="rId20"/>
      <w:footerReference w:type="default" r:id="rId21"/>
      <w:footerReference w:type="first" r:id="rId2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F67" w:rsidRDefault="00083F67" w:rsidP="0088106F">
      <w:r>
        <w:separator/>
      </w:r>
    </w:p>
  </w:endnote>
  <w:endnote w:type="continuationSeparator" w:id="0">
    <w:p w:rsidR="00083F67" w:rsidRDefault="00083F67"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F67" w:rsidRPr="00E96C28" w:rsidRDefault="005E6261" w:rsidP="00B26DB1">
    <w:pPr>
      <w:pStyle w:val="Footer"/>
      <w:rPr>
        <w:lang w:val="fr-CH"/>
      </w:rPr>
    </w:pPr>
    <w:fldSimple w:instr=" FILENAME \p  \* MERGEFORMAT ">
      <w:r w:rsidR="00501D0A">
        <w:t>P:\ESP\ITU-D\CONF-D\TDAG18\000\020S.docx</w:t>
      </w:r>
    </w:fldSimple>
    <w:r w:rsidR="00B26DB1">
      <w:t xml:space="preserve"> </w:t>
    </w:r>
    <w:r w:rsidR="00083F67" w:rsidRPr="00E96C28">
      <w:rPr>
        <w:lang w:val="fr-CH"/>
      </w:rPr>
      <w:t>(428713)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134"/>
      <w:gridCol w:w="2552"/>
      <w:gridCol w:w="6237"/>
    </w:tblGrid>
    <w:tr w:rsidR="00083F67" w:rsidRPr="00E96C28" w:rsidTr="00083F67">
      <w:tc>
        <w:tcPr>
          <w:tcW w:w="1134" w:type="dxa"/>
          <w:tcBorders>
            <w:top w:val="single" w:sz="4" w:space="0" w:color="000000"/>
          </w:tcBorders>
          <w:shd w:val="clear" w:color="auto" w:fill="auto"/>
        </w:tcPr>
        <w:p w:rsidR="00083F67" w:rsidRPr="007B03BB" w:rsidRDefault="00083F67" w:rsidP="00E61696">
          <w:pPr>
            <w:pStyle w:val="FirstFooter"/>
            <w:tabs>
              <w:tab w:val="left" w:pos="1559"/>
              <w:tab w:val="left" w:pos="3828"/>
            </w:tabs>
            <w:rPr>
              <w:sz w:val="18"/>
              <w:szCs w:val="18"/>
              <w:lang w:val="es-ES_tradnl"/>
            </w:rPr>
          </w:pPr>
          <w:r w:rsidRPr="007B03BB">
            <w:rPr>
              <w:sz w:val="18"/>
              <w:szCs w:val="18"/>
              <w:lang w:val="es-ES_tradnl"/>
            </w:rPr>
            <w:t>Contacto:</w:t>
          </w:r>
        </w:p>
      </w:tc>
      <w:tc>
        <w:tcPr>
          <w:tcW w:w="2552" w:type="dxa"/>
          <w:tcBorders>
            <w:top w:val="single" w:sz="4" w:space="0" w:color="000000"/>
          </w:tcBorders>
          <w:shd w:val="clear" w:color="auto" w:fill="auto"/>
        </w:tcPr>
        <w:p w:rsidR="00083F67" w:rsidRPr="007B03BB" w:rsidRDefault="00083F67" w:rsidP="00E61696">
          <w:pPr>
            <w:pStyle w:val="FirstFooter"/>
            <w:tabs>
              <w:tab w:val="left" w:pos="2302"/>
            </w:tabs>
            <w:ind w:left="2302" w:hanging="2302"/>
            <w:rPr>
              <w:sz w:val="18"/>
              <w:szCs w:val="18"/>
              <w:lang w:val="es-ES_tradnl"/>
            </w:rPr>
          </w:pPr>
          <w:r w:rsidRPr="007B03BB">
            <w:rPr>
              <w:sz w:val="18"/>
              <w:szCs w:val="18"/>
              <w:lang w:val="es-ES_tradnl"/>
            </w:rPr>
            <w:t>Nombre/Organización/Entidad:</w:t>
          </w:r>
        </w:p>
      </w:tc>
      <w:tc>
        <w:tcPr>
          <w:tcW w:w="6237" w:type="dxa"/>
          <w:tcBorders>
            <w:top w:val="single" w:sz="4" w:space="0" w:color="000000"/>
          </w:tcBorders>
          <w:shd w:val="clear" w:color="auto" w:fill="auto"/>
        </w:tcPr>
        <w:p w:rsidR="00083F67" w:rsidRPr="007B03BB" w:rsidRDefault="00083F67" w:rsidP="00E61696">
          <w:pPr>
            <w:pStyle w:val="FirstFooter"/>
            <w:tabs>
              <w:tab w:val="left" w:pos="1201"/>
            </w:tabs>
            <w:rPr>
              <w:sz w:val="18"/>
              <w:szCs w:val="18"/>
              <w:lang w:val="es-ES_tradnl"/>
            </w:rPr>
          </w:pPr>
          <w:bookmarkStart w:id="46" w:name="OrgName"/>
          <w:bookmarkEnd w:id="46"/>
          <w:r w:rsidRPr="007B03BB">
            <w:rPr>
              <w:sz w:val="18"/>
              <w:szCs w:val="18"/>
              <w:lang w:val="es-ES_tradnl"/>
            </w:rPr>
            <w:t>Sra. Eun-Jun Kim, Jefa del Departamento de Innovación y Asociaciones (IP), Oficina de Desarrollo de las Telecomunicaciones</w:t>
          </w:r>
        </w:p>
      </w:tc>
    </w:tr>
    <w:tr w:rsidR="00083F67" w:rsidRPr="007B03BB" w:rsidTr="00083F67">
      <w:tc>
        <w:tcPr>
          <w:tcW w:w="1134" w:type="dxa"/>
          <w:shd w:val="clear" w:color="auto" w:fill="auto"/>
        </w:tcPr>
        <w:p w:rsidR="00083F67" w:rsidRPr="007B03BB" w:rsidRDefault="00083F67" w:rsidP="00E61696">
          <w:pPr>
            <w:pStyle w:val="FirstFooter"/>
            <w:tabs>
              <w:tab w:val="left" w:pos="1559"/>
              <w:tab w:val="left" w:pos="3828"/>
            </w:tabs>
            <w:rPr>
              <w:sz w:val="20"/>
              <w:lang w:val="es-ES_tradnl"/>
            </w:rPr>
          </w:pPr>
        </w:p>
      </w:tc>
      <w:tc>
        <w:tcPr>
          <w:tcW w:w="2552" w:type="dxa"/>
          <w:shd w:val="clear" w:color="auto" w:fill="auto"/>
        </w:tcPr>
        <w:p w:rsidR="00083F67" w:rsidRPr="007B03BB" w:rsidRDefault="00083F67" w:rsidP="00E61696">
          <w:pPr>
            <w:pStyle w:val="FirstFooter"/>
            <w:tabs>
              <w:tab w:val="left" w:pos="2302"/>
            </w:tabs>
            <w:rPr>
              <w:sz w:val="18"/>
              <w:szCs w:val="18"/>
              <w:lang w:val="es-ES_tradnl"/>
            </w:rPr>
          </w:pPr>
          <w:r w:rsidRPr="007B03BB">
            <w:rPr>
              <w:sz w:val="18"/>
              <w:szCs w:val="18"/>
              <w:lang w:val="es-ES_tradnl"/>
            </w:rPr>
            <w:t>Teléfono:</w:t>
          </w:r>
        </w:p>
      </w:tc>
      <w:tc>
        <w:tcPr>
          <w:tcW w:w="6237" w:type="dxa"/>
          <w:shd w:val="clear" w:color="auto" w:fill="auto"/>
        </w:tcPr>
        <w:p w:rsidR="00083F67" w:rsidRPr="007B03BB" w:rsidRDefault="00083F67" w:rsidP="00E61696">
          <w:pPr>
            <w:pStyle w:val="FirstFooter"/>
            <w:tabs>
              <w:tab w:val="left" w:pos="2302"/>
            </w:tabs>
            <w:rPr>
              <w:sz w:val="18"/>
              <w:szCs w:val="18"/>
              <w:lang w:val="es-ES_tradnl"/>
            </w:rPr>
          </w:pPr>
          <w:bookmarkStart w:id="47" w:name="PhoneNo"/>
          <w:bookmarkEnd w:id="47"/>
          <w:r w:rsidRPr="007B03BB">
            <w:rPr>
              <w:sz w:val="18"/>
              <w:szCs w:val="18"/>
              <w:lang w:val="es-ES_tradnl"/>
            </w:rPr>
            <w:t>+41 22 730 5900</w:t>
          </w:r>
        </w:p>
      </w:tc>
    </w:tr>
    <w:tr w:rsidR="00083F67" w:rsidRPr="00E96C28" w:rsidTr="00083F67">
      <w:tc>
        <w:tcPr>
          <w:tcW w:w="1134" w:type="dxa"/>
          <w:shd w:val="clear" w:color="auto" w:fill="auto"/>
        </w:tcPr>
        <w:p w:rsidR="00083F67" w:rsidRPr="007B03BB" w:rsidRDefault="00083F67" w:rsidP="00E61696">
          <w:pPr>
            <w:pStyle w:val="FirstFooter"/>
            <w:tabs>
              <w:tab w:val="left" w:pos="1559"/>
              <w:tab w:val="left" w:pos="3828"/>
            </w:tabs>
            <w:rPr>
              <w:sz w:val="20"/>
              <w:lang w:val="es-ES_tradnl"/>
            </w:rPr>
          </w:pPr>
        </w:p>
      </w:tc>
      <w:tc>
        <w:tcPr>
          <w:tcW w:w="2552" w:type="dxa"/>
          <w:shd w:val="clear" w:color="auto" w:fill="auto"/>
        </w:tcPr>
        <w:p w:rsidR="00083F67" w:rsidRPr="007B03BB" w:rsidRDefault="00083F67" w:rsidP="00E61696">
          <w:pPr>
            <w:pStyle w:val="FirstFooter"/>
            <w:tabs>
              <w:tab w:val="left" w:pos="2302"/>
            </w:tabs>
            <w:rPr>
              <w:sz w:val="18"/>
              <w:szCs w:val="18"/>
              <w:lang w:val="es-ES_tradnl"/>
            </w:rPr>
          </w:pPr>
          <w:r w:rsidRPr="007B03BB">
            <w:rPr>
              <w:sz w:val="18"/>
              <w:szCs w:val="18"/>
              <w:lang w:val="es-ES_tradnl"/>
            </w:rPr>
            <w:t>Correo-e:</w:t>
          </w:r>
        </w:p>
      </w:tc>
      <w:bookmarkStart w:id="48" w:name="Email"/>
      <w:bookmarkEnd w:id="48"/>
      <w:tc>
        <w:tcPr>
          <w:tcW w:w="6237" w:type="dxa"/>
          <w:shd w:val="clear" w:color="auto" w:fill="auto"/>
        </w:tcPr>
        <w:p w:rsidR="00083F67" w:rsidRPr="007B03BB" w:rsidRDefault="00083F67" w:rsidP="00E61696">
          <w:pPr>
            <w:pStyle w:val="FirstFooter"/>
            <w:tabs>
              <w:tab w:val="left" w:pos="2302"/>
            </w:tabs>
            <w:rPr>
              <w:sz w:val="18"/>
              <w:szCs w:val="18"/>
              <w:lang w:val="es-ES_tradnl"/>
            </w:rPr>
          </w:pPr>
          <w:r w:rsidRPr="007B03BB">
            <w:fldChar w:fldCharType="begin"/>
          </w:r>
          <w:r w:rsidRPr="007B03BB">
            <w:rPr>
              <w:lang w:val="es-ES_tradnl"/>
            </w:rPr>
            <w:instrText xml:space="preserve"> HYPERLINK "mailto:eun-ju.kim@itu.int" </w:instrText>
          </w:r>
          <w:r w:rsidRPr="007B03BB">
            <w:fldChar w:fldCharType="separate"/>
          </w:r>
          <w:r w:rsidRPr="007B03BB">
            <w:rPr>
              <w:rStyle w:val="Hyperlink"/>
              <w:sz w:val="18"/>
              <w:szCs w:val="18"/>
              <w:lang w:val="es-ES_tradnl"/>
            </w:rPr>
            <w:t>eun-ju.kim@itu.int</w:t>
          </w:r>
          <w:r w:rsidRPr="007B03BB">
            <w:rPr>
              <w:rStyle w:val="Hyperlink"/>
              <w:sz w:val="18"/>
              <w:szCs w:val="18"/>
              <w:lang w:val="es-ES_tradnl"/>
            </w:rPr>
            <w:fldChar w:fldCharType="end"/>
          </w:r>
          <w:r w:rsidRPr="007B03BB">
            <w:rPr>
              <w:sz w:val="18"/>
              <w:szCs w:val="18"/>
              <w:lang w:val="es-ES_tradnl"/>
            </w:rPr>
            <w:t xml:space="preserve"> </w:t>
          </w:r>
        </w:p>
      </w:tc>
    </w:tr>
  </w:tbl>
  <w:p w:rsidR="00083F67" w:rsidRPr="00B26DB1" w:rsidRDefault="00CA6534" w:rsidP="00B26DB1">
    <w:pPr>
      <w:tabs>
        <w:tab w:val="clear" w:pos="794"/>
        <w:tab w:val="clear" w:pos="1191"/>
        <w:tab w:val="clear" w:pos="1588"/>
        <w:tab w:val="clear" w:pos="1985"/>
        <w:tab w:val="left" w:pos="5954"/>
        <w:tab w:val="right" w:pos="9639"/>
      </w:tabs>
      <w:spacing w:before="0"/>
      <w:jc w:val="center"/>
      <w:rPr>
        <w:rFonts w:ascii="Calibri" w:hAnsi="Calibri"/>
        <w:color w:val="0000FF"/>
        <w:sz w:val="18"/>
        <w:szCs w:val="18"/>
        <w:u w:val="single"/>
        <w:lang w:val="es-ES_tradnl"/>
      </w:rPr>
    </w:pPr>
    <w:hyperlink r:id="rId1" w:history="1">
      <w:r w:rsidR="00083F67" w:rsidRPr="007B03BB">
        <w:rPr>
          <w:rFonts w:ascii="Calibri" w:hAnsi="Calibri"/>
          <w:color w:val="0000FF"/>
          <w:sz w:val="18"/>
          <w:szCs w:val="18"/>
          <w:u w:val="single"/>
          <w:lang w:val="es-ES_tradnl"/>
        </w:rPr>
        <w:t>http://www.itu.int/ITU-D/TDAG/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F67" w:rsidRDefault="00083F67" w:rsidP="0088106F">
      <w:r>
        <w:separator/>
      </w:r>
    </w:p>
  </w:footnote>
  <w:footnote w:type="continuationSeparator" w:id="0">
    <w:p w:rsidR="00083F67" w:rsidRDefault="00083F67" w:rsidP="0088106F">
      <w:r>
        <w:continuationSeparator/>
      </w:r>
    </w:p>
  </w:footnote>
  <w:footnote w:id="1">
    <w:p w:rsidR="00083F67" w:rsidRPr="0010274B" w:rsidRDefault="00083F67" w:rsidP="0010274B">
      <w:pPr>
        <w:pStyle w:val="FootnoteText"/>
        <w:rPr>
          <w:lang w:val="es-ES_tradnl"/>
        </w:rPr>
      </w:pPr>
      <w:r>
        <w:rPr>
          <w:rStyle w:val="FootnoteReference"/>
        </w:rPr>
        <w:footnoteRef/>
      </w:r>
      <w:r w:rsidR="007F2764">
        <w:rPr>
          <w:lang w:val="es-ES_tradnl"/>
        </w:rPr>
        <w:t xml:space="preserve"> Véase la R</w:t>
      </w:r>
      <w:r w:rsidRPr="0010274B">
        <w:rPr>
          <w:lang w:val="es-ES_tradnl"/>
        </w:rPr>
        <w:t xml:space="preserve">esolución 169 de la PP-10 (Guadalajara, 2010), </w:t>
      </w:r>
      <w:r>
        <w:rPr>
          <w:lang w:val="es-ES_tradnl"/>
        </w:rPr>
        <w:t xml:space="preserve">en la que se aprobó la nueva categoría de participación de </w:t>
      </w:r>
      <w:r w:rsidR="00501D0A">
        <w:rPr>
          <w:lang w:val="es-ES_tradnl"/>
        </w:rPr>
        <w:t>Instituciones Académicas</w:t>
      </w:r>
      <w:r>
        <w:rPr>
          <w:lang w:val="es-ES_tradnl"/>
        </w:rPr>
        <w:t xml:space="preserve"> en la labor de la UIT.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F67" w:rsidRPr="00B26DB1" w:rsidRDefault="00083F67" w:rsidP="00E96C28">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Pr="003D4CFB">
      <w:rPr>
        <w:sz w:val="22"/>
        <w:szCs w:val="22"/>
        <w:lang w:val="en-US"/>
      </w:rPr>
      <w:t>TDAG</w:t>
    </w:r>
    <w:r w:rsidR="00E96C28">
      <w:rPr>
        <w:sz w:val="22"/>
        <w:szCs w:val="22"/>
        <w:lang w:val="en-US"/>
      </w:rPr>
      <w:t>-</w:t>
    </w:r>
    <w:r w:rsidRPr="003D4CFB">
      <w:rPr>
        <w:sz w:val="22"/>
        <w:szCs w:val="22"/>
        <w:lang w:val="en-US"/>
      </w:rPr>
      <w:t>1</w:t>
    </w:r>
    <w:r>
      <w:rPr>
        <w:sz w:val="22"/>
        <w:szCs w:val="22"/>
        <w:lang w:val="en-US"/>
      </w:rPr>
      <w:t>8/20</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CA6534">
      <w:rPr>
        <w:noProof/>
        <w:sz w:val="22"/>
        <w:szCs w:val="22"/>
        <w:lang w:val="en-US"/>
      </w:rPr>
      <w:t>7</w:t>
    </w:r>
    <w:r w:rsidRPr="00972BC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63C3"/>
    <w:multiLevelType w:val="hybridMultilevel"/>
    <w:tmpl w:val="DBF27572"/>
    <w:lvl w:ilvl="0" w:tplc="842027DE">
      <w:start w:val="1"/>
      <w:numFmt w:val="bullet"/>
      <w:lvlText w:val=""/>
      <w:lvlJc w:val="left"/>
      <w:pPr>
        <w:ind w:left="360" w:hanging="360"/>
      </w:pPr>
      <w:rPr>
        <w:rFonts w:ascii="Symbol" w:hAnsi="Symbol" w:hint="default"/>
      </w:rPr>
    </w:lvl>
    <w:lvl w:ilvl="1" w:tplc="DC8C952E" w:tentative="1">
      <w:start w:val="1"/>
      <w:numFmt w:val="bullet"/>
      <w:lvlText w:val="o"/>
      <w:lvlJc w:val="left"/>
      <w:pPr>
        <w:ind w:left="1080" w:hanging="360"/>
      </w:pPr>
      <w:rPr>
        <w:rFonts w:ascii="Courier New" w:hAnsi="Courier New" w:cs="Courier New" w:hint="default"/>
      </w:rPr>
    </w:lvl>
    <w:lvl w:ilvl="2" w:tplc="B0FAD566" w:tentative="1">
      <w:start w:val="1"/>
      <w:numFmt w:val="bullet"/>
      <w:lvlText w:val=""/>
      <w:lvlJc w:val="left"/>
      <w:pPr>
        <w:ind w:left="1800" w:hanging="360"/>
      </w:pPr>
      <w:rPr>
        <w:rFonts w:ascii="Wingdings" w:hAnsi="Wingdings" w:hint="default"/>
      </w:rPr>
    </w:lvl>
    <w:lvl w:ilvl="3" w:tplc="33D26626" w:tentative="1">
      <w:start w:val="1"/>
      <w:numFmt w:val="bullet"/>
      <w:lvlText w:val=""/>
      <w:lvlJc w:val="left"/>
      <w:pPr>
        <w:ind w:left="2520" w:hanging="360"/>
      </w:pPr>
      <w:rPr>
        <w:rFonts w:ascii="Symbol" w:hAnsi="Symbol" w:hint="default"/>
      </w:rPr>
    </w:lvl>
    <w:lvl w:ilvl="4" w:tplc="48ECF046" w:tentative="1">
      <w:start w:val="1"/>
      <w:numFmt w:val="bullet"/>
      <w:lvlText w:val="o"/>
      <w:lvlJc w:val="left"/>
      <w:pPr>
        <w:ind w:left="3240" w:hanging="360"/>
      </w:pPr>
      <w:rPr>
        <w:rFonts w:ascii="Courier New" w:hAnsi="Courier New" w:cs="Courier New" w:hint="default"/>
      </w:rPr>
    </w:lvl>
    <w:lvl w:ilvl="5" w:tplc="30C8CE46" w:tentative="1">
      <w:start w:val="1"/>
      <w:numFmt w:val="bullet"/>
      <w:lvlText w:val=""/>
      <w:lvlJc w:val="left"/>
      <w:pPr>
        <w:ind w:left="3960" w:hanging="360"/>
      </w:pPr>
      <w:rPr>
        <w:rFonts w:ascii="Wingdings" w:hAnsi="Wingdings" w:hint="default"/>
      </w:rPr>
    </w:lvl>
    <w:lvl w:ilvl="6" w:tplc="084EF55C" w:tentative="1">
      <w:start w:val="1"/>
      <w:numFmt w:val="bullet"/>
      <w:lvlText w:val=""/>
      <w:lvlJc w:val="left"/>
      <w:pPr>
        <w:ind w:left="4680" w:hanging="360"/>
      </w:pPr>
      <w:rPr>
        <w:rFonts w:ascii="Symbol" w:hAnsi="Symbol" w:hint="default"/>
      </w:rPr>
    </w:lvl>
    <w:lvl w:ilvl="7" w:tplc="9138B69C" w:tentative="1">
      <w:start w:val="1"/>
      <w:numFmt w:val="bullet"/>
      <w:lvlText w:val="o"/>
      <w:lvlJc w:val="left"/>
      <w:pPr>
        <w:ind w:left="5400" w:hanging="360"/>
      </w:pPr>
      <w:rPr>
        <w:rFonts w:ascii="Courier New" w:hAnsi="Courier New" w:cs="Courier New" w:hint="default"/>
      </w:rPr>
    </w:lvl>
    <w:lvl w:ilvl="8" w:tplc="2DDEE332" w:tentative="1">
      <w:start w:val="1"/>
      <w:numFmt w:val="bullet"/>
      <w:lvlText w:val=""/>
      <w:lvlJc w:val="left"/>
      <w:pPr>
        <w:ind w:left="6120" w:hanging="360"/>
      </w:pPr>
      <w:rPr>
        <w:rFonts w:ascii="Wingdings" w:hAnsi="Wingdings" w:hint="default"/>
      </w:rPr>
    </w:lvl>
  </w:abstractNum>
  <w:abstractNum w:abstractNumId="1" w15:restartNumberingAfterBreak="0">
    <w:nsid w:val="1EB77860"/>
    <w:multiLevelType w:val="multilevel"/>
    <w:tmpl w:val="93F499C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930C6"/>
    <w:multiLevelType w:val="multilevel"/>
    <w:tmpl w:val="3A0662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79"/>
    <w:rsid w:val="000135AE"/>
    <w:rsid w:val="000276E2"/>
    <w:rsid w:val="00033D49"/>
    <w:rsid w:val="000568B1"/>
    <w:rsid w:val="00062DF1"/>
    <w:rsid w:val="000725A1"/>
    <w:rsid w:val="00083F67"/>
    <w:rsid w:val="000C0AA7"/>
    <w:rsid w:val="000D5DA5"/>
    <w:rsid w:val="000E2DBF"/>
    <w:rsid w:val="000E7A0A"/>
    <w:rsid w:val="0010274B"/>
    <w:rsid w:val="00103D8A"/>
    <w:rsid w:val="00194CB2"/>
    <w:rsid w:val="00196640"/>
    <w:rsid w:val="001A3DE8"/>
    <w:rsid w:val="00213302"/>
    <w:rsid w:val="00221C14"/>
    <w:rsid w:val="00241CB9"/>
    <w:rsid w:val="00267783"/>
    <w:rsid w:val="00286A79"/>
    <w:rsid w:val="00290514"/>
    <w:rsid w:val="00297420"/>
    <w:rsid w:val="002A63AC"/>
    <w:rsid w:val="002A7FAB"/>
    <w:rsid w:val="002C55C4"/>
    <w:rsid w:val="002D4BE6"/>
    <w:rsid w:val="002D6772"/>
    <w:rsid w:val="00302736"/>
    <w:rsid w:val="0033649F"/>
    <w:rsid w:val="00360762"/>
    <w:rsid w:val="003665C5"/>
    <w:rsid w:val="00390391"/>
    <w:rsid w:val="003D4CFB"/>
    <w:rsid w:val="003F4AB4"/>
    <w:rsid w:val="00436D78"/>
    <w:rsid w:val="004727F1"/>
    <w:rsid w:val="00482632"/>
    <w:rsid w:val="00486897"/>
    <w:rsid w:val="004B17A4"/>
    <w:rsid w:val="004B7893"/>
    <w:rsid w:val="004C50A0"/>
    <w:rsid w:val="004C5C1E"/>
    <w:rsid w:val="004F7C4C"/>
    <w:rsid w:val="00501D0A"/>
    <w:rsid w:val="00535C50"/>
    <w:rsid w:val="005557A3"/>
    <w:rsid w:val="005637B9"/>
    <w:rsid w:val="005643DC"/>
    <w:rsid w:val="005C78D0"/>
    <w:rsid w:val="005D1527"/>
    <w:rsid w:val="005E6261"/>
    <w:rsid w:val="0062045C"/>
    <w:rsid w:val="006339E7"/>
    <w:rsid w:val="00635A62"/>
    <w:rsid w:val="00687C16"/>
    <w:rsid w:val="006D1A50"/>
    <w:rsid w:val="006E4AB3"/>
    <w:rsid w:val="006E728F"/>
    <w:rsid w:val="006F39EB"/>
    <w:rsid w:val="0072031C"/>
    <w:rsid w:val="00790C00"/>
    <w:rsid w:val="00795F39"/>
    <w:rsid w:val="007B03BB"/>
    <w:rsid w:val="007C3061"/>
    <w:rsid w:val="007E471D"/>
    <w:rsid w:val="007F2764"/>
    <w:rsid w:val="008200C7"/>
    <w:rsid w:val="00835A77"/>
    <w:rsid w:val="00842FA3"/>
    <w:rsid w:val="00853693"/>
    <w:rsid w:val="0088106F"/>
    <w:rsid w:val="008B0208"/>
    <w:rsid w:val="008C1852"/>
    <w:rsid w:val="008D789A"/>
    <w:rsid w:val="008F3957"/>
    <w:rsid w:val="00917B12"/>
    <w:rsid w:val="009752D2"/>
    <w:rsid w:val="009952F6"/>
    <w:rsid w:val="009A6FC4"/>
    <w:rsid w:val="009D1BD4"/>
    <w:rsid w:val="00A33516"/>
    <w:rsid w:val="00A87DD9"/>
    <w:rsid w:val="00AD473C"/>
    <w:rsid w:val="00AE1BA7"/>
    <w:rsid w:val="00AF2424"/>
    <w:rsid w:val="00AF258B"/>
    <w:rsid w:val="00AF563E"/>
    <w:rsid w:val="00AF7581"/>
    <w:rsid w:val="00B26DB1"/>
    <w:rsid w:val="00B669D8"/>
    <w:rsid w:val="00B9442F"/>
    <w:rsid w:val="00B96672"/>
    <w:rsid w:val="00BC041C"/>
    <w:rsid w:val="00BC3DA3"/>
    <w:rsid w:val="00BC7208"/>
    <w:rsid w:val="00BE5909"/>
    <w:rsid w:val="00C55D60"/>
    <w:rsid w:val="00C86169"/>
    <w:rsid w:val="00CA6534"/>
    <w:rsid w:val="00CB6BC8"/>
    <w:rsid w:val="00CD2C2D"/>
    <w:rsid w:val="00CE6F3E"/>
    <w:rsid w:val="00D113FC"/>
    <w:rsid w:val="00D16175"/>
    <w:rsid w:val="00D23B2C"/>
    <w:rsid w:val="00D32E52"/>
    <w:rsid w:val="00D372A5"/>
    <w:rsid w:val="00D95F69"/>
    <w:rsid w:val="00E129A2"/>
    <w:rsid w:val="00E17138"/>
    <w:rsid w:val="00E204A0"/>
    <w:rsid w:val="00E2313C"/>
    <w:rsid w:val="00E3519F"/>
    <w:rsid w:val="00E51C72"/>
    <w:rsid w:val="00E61696"/>
    <w:rsid w:val="00E7252C"/>
    <w:rsid w:val="00E827C2"/>
    <w:rsid w:val="00E96C28"/>
    <w:rsid w:val="00EB6D19"/>
    <w:rsid w:val="00ED2681"/>
    <w:rsid w:val="00ED4F81"/>
    <w:rsid w:val="00ED7FF1"/>
    <w:rsid w:val="00F01E28"/>
    <w:rsid w:val="00F12690"/>
    <w:rsid w:val="00F43EE7"/>
    <w:rsid w:val="00F94A47"/>
    <w:rsid w:val="00FA67A2"/>
    <w:rsid w:val="00FD354C"/>
    <w:rsid w:val="00FD3A29"/>
    <w:rsid w:val="00FE7F8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82CEA0C-68EA-4873-A844-6FD8CADD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basedOn w:val="DefaultParagraphFont"/>
    <w:uiPriority w:val="99"/>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basedOn w:val="DefaultParagraphFont"/>
    <w:uiPriority w:val="99"/>
    <w:rsid w:val="006F39EB"/>
    <w:rPr>
      <w:rFonts w:asciiTheme="minorHAnsi" w:hAnsiTheme="minorHAnsi"/>
      <w:position w:val="6"/>
      <w:sz w:val="18"/>
    </w:rPr>
  </w:style>
  <w:style w:type="paragraph" w:styleId="FootnoteText">
    <w:name w:val="footnote text"/>
    <w:basedOn w:val="Normal"/>
    <w:link w:val="FootnoteTextChar"/>
    <w:uiPriority w:val="99"/>
    <w:rsid w:val="006F39EB"/>
    <w:pPr>
      <w:keepLines/>
      <w:tabs>
        <w:tab w:val="left" w:pos="255"/>
      </w:tabs>
      <w:ind w:left="255" w:hanging="255"/>
    </w:pPr>
  </w:style>
  <w:style w:type="character" w:customStyle="1" w:styleId="FootnoteTextChar">
    <w:name w:val="Footnote Text Char"/>
    <w:basedOn w:val="DefaultParagraphFont"/>
    <w:link w:val="FootnoteText"/>
    <w:uiPriority w:val="99"/>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213302"/>
    <w:pPr>
      <w:spacing w:before="840" w:after="100" w:afterAutospacing="1"/>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6F39E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styleId="ListParagraph">
    <w:name w:val="List Paragraph"/>
    <w:aliases w:val="List Paragraph1,List Paragraph11,Recommendation"/>
    <w:basedOn w:val="Normal"/>
    <w:link w:val="ListParagraphChar"/>
    <w:uiPriority w:val="34"/>
    <w:qFormat/>
    <w:rsid w:val="00790C00"/>
    <w:pPr>
      <w:tabs>
        <w:tab w:val="clear" w:pos="794"/>
        <w:tab w:val="clear" w:pos="1191"/>
        <w:tab w:val="clear" w:pos="1588"/>
        <w:tab w:val="clear" w:pos="1985"/>
        <w:tab w:val="left" w:pos="1134"/>
        <w:tab w:val="left" w:pos="1871"/>
        <w:tab w:val="left" w:pos="2268"/>
      </w:tabs>
      <w:ind w:left="720"/>
      <w:contextualSpacing/>
    </w:pPr>
    <w:rPr>
      <w:lang w:val="en-GB"/>
    </w:rPr>
  </w:style>
  <w:style w:type="paragraph" w:customStyle="1" w:styleId="CEONormal">
    <w:name w:val="CEO_Normal"/>
    <w:link w:val="CEONormalChar"/>
    <w:rsid w:val="00790C00"/>
    <w:pPr>
      <w:spacing w:before="120" w:after="120" w:line="240" w:lineRule="auto"/>
    </w:pPr>
    <w:rPr>
      <w:rFonts w:ascii="Calibri" w:eastAsia="SimSun" w:hAnsi="Calibri" w:cs="Simplified Arabic"/>
      <w:szCs w:val="19"/>
      <w:lang w:val="en-GB" w:eastAsia="en-US"/>
    </w:rPr>
  </w:style>
  <w:style w:type="character" w:customStyle="1" w:styleId="CEONormalChar">
    <w:name w:val="CEO_Normal Char"/>
    <w:basedOn w:val="DefaultParagraphFont"/>
    <w:link w:val="CEONormal"/>
    <w:locked/>
    <w:rsid w:val="00790C00"/>
    <w:rPr>
      <w:rFonts w:ascii="Calibri" w:eastAsia="SimSun" w:hAnsi="Calibri" w:cs="Simplified Arabic"/>
      <w:szCs w:val="19"/>
      <w:lang w:val="en-GB" w:eastAsia="en-US"/>
    </w:rPr>
  </w:style>
  <w:style w:type="paragraph" w:styleId="NormalWeb">
    <w:name w:val="Normal (Web)"/>
    <w:basedOn w:val="Normal"/>
    <w:uiPriority w:val="99"/>
    <w:unhideWhenUsed/>
    <w:rsid w:val="00790C00"/>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styleId="PlainText">
    <w:name w:val="Plain Text"/>
    <w:basedOn w:val="Normal"/>
    <w:link w:val="PlainTextChar"/>
    <w:uiPriority w:val="99"/>
    <w:unhideWhenUsed/>
    <w:rsid w:val="00790C00"/>
    <w:pPr>
      <w:tabs>
        <w:tab w:val="clear" w:pos="794"/>
        <w:tab w:val="clear" w:pos="1191"/>
        <w:tab w:val="clear" w:pos="1588"/>
        <w:tab w:val="clear" w:pos="1985"/>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790C00"/>
    <w:rPr>
      <w:rFonts w:ascii="Calibri" w:hAnsi="Calibri"/>
      <w:szCs w:val="21"/>
      <w:lang w:val="en-US"/>
    </w:rPr>
  </w:style>
  <w:style w:type="character" w:customStyle="1" w:styleId="ListParagraphChar">
    <w:name w:val="List Paragraph Char"/>
    <w:aliases w:val="List Paragraph1 Char,List Paragraph11 Char,Recommendation Char"/>
    <w:basedOn w:val="DefaultParagraphFont"/>
    <w:link w:val="ListParagraph"/>
    <w:uiPriority w:val="34"/>
    <w:rsid w:val="00790C00"/>
    <w:rPr>
      <w:rFonts w:eastAsia="Times New Roman" w:cs="Times New Roman"/>
      <w:sz w:val="24"/>
      <w:szCs w:val="20"/>
      <w:lang w:val="en-GB" w:eastAsia="en-US"/>
    </w:rPr>
  </w:style>
  <w:style w:type="character" w:styleId="Strong">
    <w:name w:val="Strong"/>
    <w:basedOn w:val="DefaultParagraphFont"/>
    <w:uiPriority w:val="22"/>
    <w:qFormat/>
    <w:rsid w:val="00790C00"/>
    <w:rPr>
      <w:b/>
      <w:bCs/>
    </w:rPr>
  </w:style>
  <w:style w:type="character" w:customStyle="1" w:styleId="ms-rtefontsize-1">
    <w:name w:val="ms-rtefontsize-1"/>
    <w:basedOn w:val="DefaultParagraphFont"/>
    <w:rsid w:val="0079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yperlink" Target="https://www.itu.int/en/ITU-D/Conferences/CRO/Pages/CRO8.default.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itu.int/en/ITU-D/Membership/Pages/WTDC17_Academia4SDGs.aspx" TargetMode="External"/><Relationship Id="rId2" Type="http://schemas.openxmlformats.org/officeDocument/2006/relationships/numbering" Target="numbering.xml"/><Relationship Id="rId16" Type="http://schemas.openxmlformats.org/officeDocument/2006/relationships/hyperlink" Target="https://www.itu.int/en/ITU-D/Pages/IMPACT-STUDY.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D/Pages/ITU-D-Anniversary-Awards.aspx"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itu.int/en/ITU-D/Conferences/CRO/Pages/CRO8.default.aspx"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itu.int/en/ITU-D/Membership/Pages/default.asp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TDAG18.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blue\dfs\bdt\PSB\Membership\TDAG\TDAG%202018\GRAPH%20MEMBERS%20SINCE%201994.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blue\dfs\bdt\PSB\Membership\TDAG\TDAG%202018\GRAPH%20MEMBERS%20SINCE%201994.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blue\dfs\bdt\PSB\Membership\TDAG\TDAG%202018\GRAPH%20MEMBERS%20SINCE%20199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blue\dfs\bdt\PSB\Membership\TDAG\TDAG%202018\DOCUMENTS\FINAL%20DOCUMENT%20MAITE\GRAPH%20MEMBERS%20SINCE%20199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blue\dfs\bdt\PSB\Membership\TDAG\TDAG%202018\DOCUMENTS\FINAL%20DOCUMENT%20MAITE\GRAPH%20MEMBERS%20SINCE%20199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GB" sz="1000" b="1" i="0" u="none" strike="noStrike" baseline="0">
                <a:effectLst/>
              </a:rPr>
              <a:t>Gráfico1 - Evolución del número de Miembros de Sector del UIT-D </a:t>
            </a:r>
            <a:endParaRPr lang="en-GB"/>
          </a:p>
        </c:rich>
      </c:tx>
      <c:layout>
        <c:manualLayout>
          <c:xMode val="edge"/>
          <c:yMode val="edge"/>
          <c:x val="0.19054537797431043"/>
          <c:y val="4.5935035274148786E-2"/>
        </c:manualLayout>
      </c:layout>
      <c:overlay val="0"/>
      <c:spPr>
        <a:noFill/>
        <a:ln w="25400">
          <a:noFill/>
        </a:ln>
      </c:spPr>
    </c:title>
    <c:autoTitleDeleted val="0"/>
    <c:plotArea>
      <c:layout>
        <c:manualLayout>
          <c:layoutTarget val="inner"/>
          <c:xMode val="edge"/>
          <c:yMode val="edge"/>
          <c:x val="5.9722303225780198E-2"/>
          <c:y val="0.19279131528677257"/>
          <c:w val="0.92045064726190662"/>
          <c:h val="0.66775567255276524"/>
        </c:manualLayout>
      </c:layout>
      <c:lineChart>
        <c:grouping val="standard"/>
        <c:varyColors val="0"/>
        <c:ser>
          <c:idx val="0"/>
          <c:order val="0"/>
          <c:spPr>
            <a:ln w="12700">
              <a:solidFill>
                <a:srgbClr val="000080"/>
              </a:solidFill>
            </a:ln>
          </c:spPr>
          <c:marker>
            <c:symbol val="diamond"/>
            <c:size val="5"/>
            <c:spPr>
              <a:solidFill>
                <a:srgbClr val="000080"/>
              </a:solidFill>
              <a:ln>
                <a:solidFill>
                  <a:srgbClr val="000080"/>
                </a:solidFill>
              </a:ln>
            </c:spPr>
          </c:marker>
          <c:dLbls>
            <c:dLbl>
              <c:idx val="0"/>
              <c:layout>
                <c:manualLayout>
                  <c:x val="-1.2641382574338717E-3"/>
                  <c:y val="-1.0583586102473797E-3"/>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2.8177028810931738E-2"/>
                  <c:y val="-2.2097144523206467E-2"/>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Sheet2!$B$121:$Y$121</c:f>
              <c:numCache>
                <c:formatCode>General</c:formatCode>
                <c:ptCount val="24"/>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numCache>
            </c:numRef>
          </c:cat>
          <c:val>
            <c:numRef>
              <c:f>Sheet2!$B$121:$X$121</c:f>
              <c:numCache>
                <c:formatCode>General</c:formatCode>
                <c:ptCount val="23"/>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numCache>
            </c:numRef>
          </c:val>
          <c:smooth val="0"/>
        </c:ser>
        <c:ser>
          <c:idx val="1"/>
          <c:order val="1"/>
          <c:dLbls>
            <c:dLbl>
              <c:idx val="0"/>
              <c:layout>
                <c:manualLayout>
                  <c:x val="1.3972055888223553E-3"/>
                  <c:y val="8.9481122551986758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2"/>
              <c:layout>
                <c:manualLayout>
                  <c:x val="-2.3352036085309696E-2"/>
                  <c:y val="2.47272049573684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3"/>
              <c:layout>
                <c:manualLayout>
                  <c:x val="-2.0259533426585149E-2"/>
                  <c:y val="-3.575931706761507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Sheet2!$B$121:$Y$121</c:f>
              <c:numCache>
                <c:formatCode>General</c:formatCode>
                <c:ptCount val="24"/>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numCache>
            </c:numRef>
          </c:cat>
          <c:val>
            <c:numRef>
              <c:f>Sheet2!$B$122:$Y$122</c:f>
              <c:numCache>
                <c:formatCode>General</c:formatCode>
                <c:ptCount val="24"/>
                <c:pt idx="0">
                  <c:v>27</c:v>
                </c:pt>
                <c:pt idx="1">
                  <c:v>81</c:v>
                </c:pt>
                <c:pt idx="2">
                  <c:v>107</c:v>
                </c:pt>
                <c:pt idx="3">
                  <c:v>130</c:v>
                </c:pt>
                <c:pt idx="4">
                  <c:v>143</c:v>
                </c:pt>
                <c:pt idx="5">
                  <c:v>185</c:v>
                </c:pt>
                <c:pt idx="6">
                  <c:v>204</c:v>
                </c:pt>
                <c:pt idx="7">
                  <c:v>243</c:v>
                </c:pt>
                <c:pt idx="8">
                  <c:v>247</c:v>
                </c:pt>
                <c:pt idx="9">
                  <c:v>260</c:v>
                </c:pt>
                <c:pt idx="10">
                  <c:v>282</c:v>
                </c:pt>
                <c:pt idx="11">
                  <c:v>307</c:v>
                </c:pt>
                <c:pt idx="12">
                  <c:v>326</c:v>
                </c:pt>
                <c:pt idx="13">
                  <c:v>320</c:v>
                </c:pt>
                <c:pt idx="14">
                  <c:v>311</c:v>
                </c:pt>
                <c:pt idx="15">
                  <c:v>319</c:v>
                </c:pt>
                <c:pt idx="16">
                  <c:v>316</c:v>
                </c:pt>
                <c:pt idx="17">
                  <c:v>352</c:v>
                </c:pt>
                <c:pt idx="18">
                  <c:v>377</c:v>
                </c:pt>
                <c:pt idx="19">
                  <c:v>412</c:v>
                </c:pt>
                <c:pt idx="20">
                  <c:v>433</c:v>
                </c:pt>
                <c:pt idx="21">
                  <c:v>459</c:v>
                </c:pt>
                <c:pt idx="22">
                  <c:v>475</c:v>
                </c:pt>
                <c:pt idx="23">
                  <c:v>453</c:v>
                </c:pt>
              </c:numCache>
            </c:numRef>
          </c:val>
          <c:smooth val="0"/>
        </c:ser>
        <c:dLbls>
          <c:showLegendKey val="0"/>
          <c:showVal val="0"/>
          <c:showCatName val="0"/>
          <c:showSerName val="0"/>
          <c:showPercent val="0"/>
          <c:showBubbleSize val="0"/>
        </c:dLbls>
        <c:marker val="1"/>
        <c:smooth val="0"/>
        <c:axId val="212913112"/>
        <c:axId val="212502000"/>
      </c:lineChart>
      <c:catAx>
        <c:axId val="212913112"/>
        <c:scaling>
          <c:orientation val="minMax"/>
        </c:scaling>
        <c:delete val="0"/>
        <c:axPos val="b"/>
        <c:numFmt formatCode="General" sourceLinked="1"/>
        <c:majorTickMark val="cross"/>
        <c:minorTickMark val="none"/>
        <c:tickLblPos val="nextTo"/>
        <c:spPr>
          <a:ln w="3175">
            <a:solidFill>
              <a:srgbClr val="000000"/>
            </a:solidFill>
          </a:ln>
        </c:spPr>
        <c:txPr>
          <a:bodyPr rot="0" vert="horz"/>
          <a:lstStyle/>
          <a:p>
            <a:pPr>
              <a:defRPr sz="800" b="0" i="0" u="none" strike="noStrike" baseline="0">
                <a:solidFill>
                  <a:srgbClr val="000000"/>
                </a:solidFill>
                <a:latin typeface="Arial"/>
                <a:ea typeface="Arial"/>
                <a:cs typeface="Arial"/>
              </a:defRPr>
            </a:pPr>
            <a:endParaRPr lang="en-US"/>
          </a:p>
        </c:txPr>
        <c:crossAx val="212502000"/>
        <c:crosses val="autoZero"/>
        <c:auto val="0"/>
        <c:lblAlgn val="ctr"/>
        <c:lblOffset val="100"/>
        <c:tickLblSkip val="1"/>
        <c:tickMarkSkip val="1"/>
        <c:noMultiLvlLbl val="0"/>
      </c:catAx>
      <c:valAx>
        <c:axId val="212502000"/>
        <c:scaling>
          <c:orientation val="minMax"/>
          <c:max val="500"/>
        </c:scaling>
        <c:delete val="0"/>
        <c:axPos val="l"/>
        <c:majorGridlines>
          <c:spPr>
            <a:ln w="3175">
              <a:solidFill>
                <a:srgbClr val="000000"/>
              </a:solidFill>
              <a:prstDash val="sysDash"/>
            </a:ln>
          </c:spPr>
        </c:majorGridlines>
        <c:numFmt formatCode="General" sourceLinked="1"/>
        <c:majorTickMark val="out"/>
        <c:minorTickMark val="none"/>
        <c:tickLblPos val="nextTo"/>
        <c:spPr>
          <a:ln w="3175">
            <a:solidFill>
              <a:srgbClr val="000000"/>
            </a:solidFill>
          </a:ln>
        </c:spPr>
        <c:txPr>
          <a:bodyPr rot="0" vert="horz"/>
          <a:lstStyle/>
          <a:p>
            <a:pPr>
              <a:defRPr sz="800" b="0" i="0" u="none" strike="noStrike" baseline="0">
                <a:solidFill>
                  <a:srgbClr val="000000"/>
                </a:solidFill>
                <a:latin typeface="Arial"/>
                <a:ea typeface="Arial"/>
                <a:cs typeface="Arial"/>
              </a:defRPr>
            </a:pPr>
            <a:endParaRPr lang="en-US"/>
          </a:p>
        </c:txPr>
        <c:crossAx val="212913112"/>
        <c:crosses val="autoZero"/>
        <c:crossBetween val="midCat"/>
      </c:valAx>
      <c:spPr>
        <a:gradFill rotWithShape="0">
          <a:gsLst>
            <a:gs pos="0">
              <a:srgbClr val="CCFFCC"/>
            </a:gs>
            <a:gs pos="100000">
              <a:srgbClr val="FFFFFF"/>
            </a:gs>
          </a:gsLst>
          <a:lin ang="5400000" scaled="1"/>
        </a:gradFill>
        <a:ln w="12700">
          <a:solidFill>
            <a:srgbClr val="808080"/>
          </a:solidFill>
        </a:ln>
      </c:spPr>
    </c:plotArea>
    <c:plotVisOnly val="1"/>
    <c:dispBlanksAs val="gap"/>
    <c:showDLblsOverMax val="0"/>
  </c:chart>
  <c:spPr>
    <a:solidFill>
      <a:srgbClr val="FFFFFF"/>
    </a:solidFill>
    <a:ln w="3175">
      <a:solidFill>
        <a:srgbClr val="000000"/>
      </a:solid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ysClr val="windowText" lastClr="000000"/>
                </a:solidFill>
                <a:latin typeface="+mn-lt"/>
                <a:ea typeface="+mn-ea"/>
                <a:cs typeface="+mn-cs"/>
              </a:defRPr>
            </a:pPr>
            <a:r>
              <a:rPr lang="en-GB" sz="900" cap="none" baseline="0">
                <a:solidFill>
                  <a:sysClr val="windowText" lastClr="000000"/>
                </a:solidFill>
              </a:rPr>
              <a:t>Gráfico 2 </a:t>
            </a:r>
          </a:p>
          <a:p>
            <a:pPr>
              <a:defRPr>
                <a:solidFill>
                  <a:sysClr val="windowText" lastClr="000000"/>
                </a:solidFill>
              </a:defRPr>
            </a:pPr>
            <a:r>
              <a:rPr lang="en-GB" sz="900" cap="none" baseline="0">
                <a:solidFill>
                  <a:sysClr val="windowText" lastClr="000000"/>
                </a:solidFill>
              </a:rPr>
              <a:t>Miembros de Sector del UIT-D por categoría - 2017 </a:t>
            </a:r>
          </a:p>
        </c:rich>
      </c:tx>
      <c:layout>
        <c:manualLayout>
          <c:xMode val="edge"/>
          <c:yMode val="edge"/>
          <c:x val="1.0561529271206694E-2"/>
          <c:y val="3.6068944990123664E-3"/>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9722303225780198E-2"/>
          <c:y val="0.20068093869890885"/>
          <c:w val="0.91336613771238229"/>
          <c:h val="0.65986613741675104"/>
        </c:manualLayout>
      </c:layout>
      <c:pieChart>
        <c:varyColors val="1"/>
        <c:ser>
          <c:idx val="1"/>
          <c:order val="0"/>
          <c:dPt>
            <c:idx val="0"/>
            <c:bubble3D val="0"/>
            <c:spPr>
              <a:solidFill>
                <a:schemeClr val="accent1">
                  <a:alpha val="70000"/>
                </a:schemeClr>
              </a:solidFill>
              <a:ln>
                <a:noFill/>
              </a:ln>
              <a:effectLst/>
            </c:spPr>
          </c:dPt>
          <c:dPt>
            <c:idx val="1"/>
            <c:bubble3D val="0"/>
            <c:spPr>
              <a:solidFill>
                <a:schemeClr val="accent2">
                  <a:alpha val="70000"/>
                </a:schemeClr>
              </a:solidFill>
              <a:ln>
                <a:noFill/>
              </a:ln>
              <a:effectLst/>
            </c:spPr>
          </c:dPt>
          <c:dPt>
            <c:idx val="2"/>
            <c:bubble3D val="0"/>
            <c:spPr>
              <a:solidFill>
                <a:schemeClr val="accent3">
                  <a:alpha val="70000"/>
                </a:schemeClr>
              </a:solidFill>
              <a:ln>
                <a:noFill/>
              </a:ln>
              <a:effectLst/>
            </c:spPr>
          </c:dPt>
          <c:dPt>
            <c:idx val="3"/>
            <c:bubble3D val="0"/>
            <c:spPr>
              <a:solidFill>
                <a:schemeClr val="accent4">
                  <a:alpha val="70000"/>
                </a:schemeClr>
              </a:solidFill>
              <a:ln>
                <a:noFill/>
              </a:ln>
              <a:effectLst/>
            </c:spPr>
          </c:dPt>
          <c:dPt>
            <c:idx val="4"/>
            <c:bubble3D val="0"/>
            <c:spPr>
              <a:solidFill>
                <a:schemeClr val="accent5">
                  <a:alpha val="70000"/>
                </a:schemeClr>
              </a:solidFill>
              <a:ln>
                <a:noFill/>
              </a:ln>
              <a:effectLst/>
            </c:spPr>
          </c:dPt>
          <c:dPt>
            <c:idx val="5"/>
            <c:bubble3D val="0"/>
            <c:spPr>
              <a:solidFill>
                <a:schemeClr val="accent6">
                  <a:alpha val="70000"/>
                </a:schemeClr>
              </a:solidFill>
              <a:ln>
                <a:noFill/>
              </a:ln>
              <a:effectLst/>
            </c:spPr>
          </c:dPt>
          <c:dPt>
            <c:idx val="6"/>
            <c:bubble3D val="0"/>
            <c:spPr>
              <a:solidFill>
                <a:schemeClr val="accent1">
                  <a:lumMod val="60000"/>
                  <a:alpha val="70000"/>
                </a:schemeClr>
              </a:solidFill>
              <a:ln>
                <a:noFill/>
              </a:ln>
              <a:effectLst/>
            </c:spPr>
          </c:dPt>
          <c:dLbls>
            <c:dLbl>
              <c:idx val="0"/>
              <c:spPr>
                <a:solidFill>
                  <a:schemeClr val="lt1">
                    <a:alpha val="90000"/>
                  </a:schemeClr>
                </a:solidFill>
                <a:ln w="12700">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solidFill>
                      <a:effectLst/>
                      <a:latin typeface="+mn-lt"/>
                      <a:ea typeface="+mn-ea"/>
                      <a:cs typeface="+mn-cs"/>
                    </a:defRPr>
                  </a:pPr>
                  <a:endParaRPr lang="en-US"/>
                </a:p>
              </c:txPr>
              <c:dLblPos val="inEnd"/>
              <c:showLegendKey val="0"/>
              <c:showVal val="0"/>
              <c:showCatName val="0"/>
              <c:showSerName val="0"/>
              <c:showPercent val="1"/>
              <c:showBubbleSize val="0"/>
            </c:dLbl>
            <c:dLbl>
              <c:idx val="1"/>
              <c:spPr>
                <a:solidFill>
                  <a:schemeClr val="lt1">
                    <a:alpha val="90000"/>
                  </a:schemeClr>
                </a:solidFill>
                <a:ln w="12700">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2"/>
                      </a:solidFill>
                      <a:effectLst/>
                      <a:latin typeface="+mn-lt"/>
                      <a:ea typeface="+mn-ea"/>
                      <a:cs typeface="+mn-cs"/>
                    </a:defRPr>
                  </a:pPr>
                  <a:endParaRPr lang="en-US"/>
                </a:p>
              </c:txPr>
              <c:dLblPos val="inEnd"/>
              <c:showLegendKey val="0"/>
              <c:showVal val="0"/>
              <c:showCatName val="0"/>
              <c:showSerName val="0"/>
              <c:showPercent val="1"/>
              <c:showBubbleSize val="0"/>
            </c:dLbl>
            <c:dLbl>
              <c:idx val="2"/>
              <c:spPr>
                <a:solidFill>
                  <a:schemeClr val="lt1">
                    <a:alpha val="90000"/>
                  </a:schemeClr>
                </a:solidFill>
                <a:ln w="12700">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3"/>
                      </a:solidFill>
                      <a:effectLst/>
                      <a:latin typeface="+mn-lt"/>
                      <a:ea typeface="+mn-ea"/>
                      <a:cs typeface="+mn-cs"/>
                    </a:defRPr>
                  </a:pPr>
                  <a:endParaRPr lang="en-US"/>
                </a:p>
              </c:txPr>
              <c:dLblPos val="inEnd"/>
              <c:showLegendKey val="0"/>
              <c:showVal val="0"/>
              <c:showCatName val="0"/>
              <c:showSerName val="0"/>
              <c:showPercent val="1"/>
              <c:showBubbleSize val="0"/>
            </c:dLbl>
            <c:dLbl>
              <c:idx val="5"/>
              <c:spPr>
                <a:solidFill>
                  <a:schemeClr val="lt1">
                    <a:alpha val="90000"/>
                  </a:schemeClr>
                </a:solidFill>
                <a:ln w="12700">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6"/>
                      </a:solidFill>
                      <a:effectLst/>
                      <a:latin typeface="+mn-lt"/>
                      <a:ea typeface="+mn-ea"/>
                      <a:cs typeface="+mn-cs"/>
                    </a:defRPr>
                  </a:pPr>
                  <a:endParaRPr lang="en-US"/>
                </a:p>
              </c:txPr>
              <c:dLblPos val="inEnd"/>
              <c:showLegendKey val="0"/>
              <c:showVal val="0"/>
              <c:showCatName val="0"/>
              <c:showSerName val="0"/>
              <c:showPercent val="1"/>
              <c:showBubbleSize val="0"/>
            </c:dLbl>
            <c:spPr>
              <a:solidFill>
                <a:sysClr val="window" lastClr="FFFFFF">
                  <a:alpha val="90000"/>
                </a:sysClr>
              </a:solidFill>
              <a:ln w="12700">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2"/>
                    </a:solidFill>
                    <a:effectLst/>
                    <a:latin typeface="+mn-lt"/>
                    <a:ea typeface="+mn-ea"/>
                    <a:cs typeface="+mn-cs"/>
                  </a:defRPr>
                </a:pPr>
                <a:endParaRPr lang="en-US"/>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Sheet2!$P$9:$R$9</c:f>
              <c:strCache>
                <c:ptCount val="3"/>
                <c:pt idx="0">
                  <c:v>Academia</c:v>
                </c:pt>
                <c:pt idx="1">
                  <c:v>Associates</c:v>
                </c:pt>
                <c:pt idx="2">
                  <c:v>Sector Members</c:v>
                </c:pt>
              </c:strCache>
            </c:strRef>
          </c:cat>
          <c:val>
            <c:numRef>
              <c:f>Sheet2!$P$10:$R$10</c:f>
              <c:numCache>
                <c:formatCode>General</c:formatCode>
                <c:ptCount val="3"/>
                <c:pt idx="0">
                  <c:v>126</c:v>
                </c:pt>
                <c:pt idx="1">
                  <c:v>12</c:v>
                </c:pt>
                <c:pt idx="2">
                  <c:v>318</c:v>
                </c:pt>
              </c:numCache>
            </c:numRef>
          </c:val>
        </c:ser>
        <c:dLbls>
          <c:dLblPos val="inEnd"/>
          <c:showLegendKey val="0"/>
          <c:showVal val="0"/>
          <c:showCatName val="1"/>
          <c:showSerName val="0"/>
          <c:showPercent val="0"/>
          <c:showBubbleSize val="0"/>
          <c:showLeaderLines val="0"/>
        </c:dLbls>
        <c:firstSliceAng val="0"/>
      </c:pieChart>
      <c:spPr>
        <a:noFill/>
        <a:ln>
          <a:noFill/>
        </a:ln>
        <a:effectLst/>
      </c:spPr>
    </c:plotArea>
    <c:legend>
      <c:legendPos val="r"/>
      <c:legendEntry>
        <c:idx val="1"/>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Entry>
      <c:layout>
        <c:manualLayout>
          <c:xMode val="edge"/>
          <c:yMode val="edge"/>
          <c:x val="0.71816188813877535"/>
          <c:y val="0.48690599158976094"/>
          <c:w val="0.28183813649433637"/>
          <c:h val="0.4841221460220698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a:solidFill>
        <a:schemeClr val="bg1">
          <a:lumMod val="50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GB" sz="900">
                <a:latin typeface="+mn-lt"/>
              </a:rPr>
              <a:t>Gráfico 3 </a:t>
            </a:r>
          </a:p>
          <a:p>
            <a:pPr>
              <a:defRPr sz="1000" b="1" i="0" u="none" strike="noStrike" baseline="0">
                <a:solidFill>
                  <a:srgbClr val="000000"/>
                </a:solidFill>
                <a:latin typeface="Arial"/>
                <a:ea typeface="Arial"/>
                <a:cs typeface="Arial"/>
              </a:defRPr>
            </a:pPr>
            <a:r>
              <a:rPr lang="en-GB" sz="900">
                <a:latin typeface="+mn-lt"/>
              </a:rPr>
              <a:t>Miembros de Sector del UIT-D por Región</a:t>
            </a:r>
            <a:r>
              <a:rPr lang="en-GB" sz="900" baseline="0">
                <a:latin typeface="+mn-lt"/>
              </a:rPr>
              <a:t> - 2017</a:t>
            </a:r>
          </a:p>
        </c:rich>
      </c:tx>
      <c:layout>
        <c:manualLayout>
          <c:xMode val="edge"/>
          <c:yMode val="edge"/>
          <c:x val="3.2552027770722206E-2"/>
          <c:y val="2.3887242784880577E-2"/>
        </c:manualLayout>
      </c:layout>
      <c:overlay val="0"/>
      <c:spPr>
        <a:noFill/>
        <a:ln w="25400">
          <a:noFill/>
        </a:ln>
      </c:spPr>
    </c:title>
    <c:autoTitleDeleted val="0"/>
    <c:plotArea>
      <c:layout>
        <c:manualLayout>
          <c:layoutTarget val="inner"/>
          <c:xMode val="edge"/>
          <c:yMode val="edge"/>
          <c:x val="5.9722312032537313E-2"/>
          <c:y val="0.20484237223156093"/>
          <c:w val="0.91336613771238229"/>
          <c:h val="0.65986613741675104"/>
        </c:manualLayout>
      </c:layout>
      <c:pieChart>
        <c:varyColors val="1"/>
        <c:ser>
          <c:idx val="1"/>
          <c:order val="0"/>
          <c:spPr>
            <a:ln>
              <a:noFill/>
            </a:ln>
          </c:spPr>
          <c:dPt>
            <c:idx val="0"/>
            <c:bubble3D val="0"/>
          </c:dPt>
          <c:dPt>
            <c:idx val="2"/>
            <c:bubble3D val="0"/>
          </c:dPt>
          <c:dPt>
            <c:idx val="3"/>
            <c:bubble3D val="0"/>
          </c:dPt>
          <c:dPt>
            <c:idx val="4"/>
            <c:bubble3D val="0"/>
          </c:dPt>
          <c:dPt>
            <c:idx val="5"/>
            <c:bubble3D val="0"/>
          </c:dPt>
          <c:dPt>
            <c:idx val="6"/>
            <c:bubble3D val="0"/>
          </c:dPt>
          <c:dLbls>
            <c:dLbl>
              <c:idx val="0"/>
              <c:spPr>
                <a:noFill/>
                <a:ln w="25400">
                  <a:noFill/>
                </a:ln>
              </c:spPr>
              <c:txPr>
                <a:bodyPr wrap="square" lIns="38100" tIns="19050" rIns="38100" bIns="19050" anchor="ctr">
                  <a:spAutoFit/>
                </a:bodyPr>
                <a:lstStyle/>
                <a:p>
                  <a:pPr>
                    <a:defRPr/>
                  </a:pPr>
                  <a:endParaRPr lang="en-US"/>
                </a:p>
              </c:txPr>
              <c:dLblPos val="bestFit"/>
              <c:showLegendKey val="0"/>
              <c:showVal val="0"/>
              <c:showCatName val="0"/>
              <c:showSerName val="0"/>
              <c:showPercent val="1"/>
              <c:showBubbleSize val="0"/>
            </c:dLbl>
            <c:dLbl>
              <c:idx val="5"/>
              <c:spPr>
                <a:noFill/>
                <a:ln w="25400">
                  <a:noFill/>
                </a:ln>
              </c:spPr>
              <c:txPr>
                <a:bodyPr wrap="square" lIns="38100" tIns="19050" rIns="38100" bIns="19050" anchor="ctr">
                  <a:spAutoFit/>
                </a:bodyPr>
                <a:lstStyle/>
                <a:p>
                  <a:pPr>
                    <a:defRPr/>
                  </a:pPr>
                  <a:endParaRPr lang="en-US"/>
                </a:p>
              </c:txPr>
              <c:dLblPos val="bestFit"/>
              <c:showLegendKey val="0"/>
              <c:showVal val="0"/>
              <c:showCatName val="0"/>
              <c:showSerName val="0"/>
              <c:showPercent val="1"/>
              <c:showBubbleSize val="0"/>
            </c:dLbl>
            <c:dLbl>
              <c:idx val="6"/>
              <c:layout>
                <c:manualLayout>
                  <c:x val="2.1883261571155568E-2"/>
                  <c:y val="0.106163340809010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w="25400">
                <a:noFill/>
              </a:ln>
            </c:spPr>
            <c:dLblPos val="bestFit"/>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Sheet2!$C$160:$I$160</c:f>
              <c:strCache>
                <c:ptCount val="7"/>
                <c:pt idx="0">
                  <c:v>Regional &amp; International</c:v>
                </c:pt>
                <c:pt idx="1">
                  <c:v>Àsia &amp; the Pacific</c:v>
                </c:pt>
                <c:pt idx="2">
                  <c:v>Americas</c:v>
                </c:pt>
                <c:pt idx="3">
                  <c:v>Europe</c:v>
                </c:pt>
                <c:pt idx="4">
                  <c:v>Arab States</c:v>
                </c:pt>
                <c:pt idx="5">
                  <c:v>Africa</c:v>
                </c:pt>
                <c:pt idx="6">
                  <c:v>CIS</c:v>
                </c:pt>
              </c:strCache>
            </c:strRef>
          </c:cat>
          <c:val>
            <c:numRef>
              <c:f>Sheet2!$C$161:$I$161</c:f>
              <c:numCache>
                <c:formatCode>0</c:formatCode>
                <c:ptCount val="7"/>
                <c:pt idx="0">
                  <c:v>22.417582417582416</c:v>
                </c:pt>
                <c:pt idx="1">
                  <c:v>21.978021978021978</c:v>
                </c:pt>
                <c:pt idx="2">
                  <c:v>15.164835164835164</c:v>
                </c:pt>
                <c:pt idx="3">
                  <c:v>14.945054945054945</c:v>
                </c:pt>
                <c:pt idx="4">
                  <c:v>13.626373626373626</c:v>
                </c:pt>
                <c:pt idx="5">
                  <c:v>7.4725274725274726</c:v>
                </c:pt>
                <c:pt idx="6">
                  <c:v>4.395604395604396</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76575739270814569"/>
          <c:y val="0.18664636774872995"/>
          <c:w val="0.22384464864357168"/>
          <c:h val="0.81306933826618866"/>
        </c:manualLayout>
      </c:layout>
      <c:overlay val="0"/>
      <c:txPr>
        <a:bodyPr/>
        <a:lstStyle/>
        <a:p>
          <a:pPr>
            <a:defRPr sz="700">
              <a:latin typeface="+mn-lt"/>
            </a:defRPr>
          </a:pPr>
          <a:endParaRPr lang="en-US"/>
        </a:p>
      </c:txPr>
    </c:legend>
    <c:plotVisOnly val="1"/>
    <c:dispBlanksAs val="gap"/>
    <c:showDLblsOverMax val="0"/>
  </c:chart>
  <c:spPr>
    <a:noFill/>
    <a:ln>
      <a:solidFill>
        <a:schemeClr val="bg1">
          <a:lumMod val="50000"/>
        </a:schemeClr>
      </a:solid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GB" sz="900">
                <a:latin typeface="+mn-lt"/>
              </a:rPr>
              <a:t>Gráfico 4 </a:t>
            </a:r>
          </a:p>
          <a:p>
            <a:pPr>
              <a:defRPr sz="1000" b="1" i="0" u="none" strike="noStrike" baseline="0">
                <a:solidFill>
                  <a:srgbClr val="000000"/>
                </a:solidFill>
                <a:latin typeface="Arial"/>
                <a:ea typeface="Arial"/>
                <a:cs typeface="Arial"/>
              </a:defRPr>
            </a:pPr>
            <a:r>
              <a:rPr lang="en-GB" sz="900">
                <a:latin typeface="+mn-lt"/>
              </a:rPr>
              <a:t>Miembros de Sector y Asociados del UIT-D por Región</a:t>
            </a:r>
            <a:r>
              <a:rPr lang="en-GB" sz="900" baseline="0">
                <a:latin typeface="+mn-lt"/>
              </a:rPr>
              <a:t> - 2017</a:t>
            </a:r>
          </a:p>
        </c:rich>
      </c:tx>
      <c:layout>
        <c:manualLayout>
          <c:xMode val="edge"/>
          <c:yMode val="edge"/>
          <c:x val="0.13499374019090166"/>
          <c:y val="1.00273268310597E-2"/>
        </c:manualLayout>
      </c:layout>
      <c:overlay val="0"/>
      <c:spPr>
        <a:noFill/>
        <a:ln w="25400">
          <a:noFill/>
        </a:ln>
      </c:spPr>
    </c:title>
    <c:autoTitleDeleted val="0"/>
    <c:plotArea>
      <c:layout>
        <c:manualLayout>
          <c:layoutTarget val="inner"/>
          <c:xMode val="edge"/>
          <c:yMode val="edge"/>
          <c:x val="5.9722312032537313E-2"/>
          <c:y val="0.20484237223156093"/>
          <c:w val="0.91336613771238229"/>
          <c:h val="0.65986613741675104"/>
        </c:manualLayout>
      </c:layout>
      <c:pieChart>
        <c:varyColors val="1"/>
        <c:ser>
          <c:idx val="1"/>
          <c:order val="0"/>
          <c:spPr>
            <a:ln>
              <a:noFill/>
            </a:ln>
          </c:spPr>
          <c:dPt>
            <c:idx val="0"/>
            <c:bubble3D val="0"/>
          </c:dPt>
          <c:dPt>
            <c:idx val="2"/>
            <c:bubble3D val="0"/>
          </c:dPt>
          <c:dPt>
            <c:idx val="3"/>
            <c:bubble3D val="0"/>
          </c:dPt>
          <c:dPt>
            <c:idx val="4"/>
            <c:bubble3D val="0"/>
          </c:dPt>
          <c:dPt>
            <c:idx val="5"/>
            <c:bubble3D val="0"/>
          </c:dPt>
          <c:dPt>
            <c:idx val="6"/>
            <c:bubble3D val="0"/>
          </c:dPt>
          <c:dLbls>
            <c:dLbl>
              <c:idx val="0"/>
              <c:spPr>
                <a:noFill/>
                <a:ln w="25400">
                  <a:noFill/>
                </a:ln>
              </c:spPr>
              <c:txPr>
                <a:bodyPr wrap="square" lIns="38100" tIns="19050" rIns="38100" bIns="19050" anchor="ctr">
                  <a:spAutoFit/>
                </a:bodyPr>
                <a:lstStyle/>
                <a:p>
                  <a:pPr>
                    <a:defRPr/>
                  </a:pPr>
                  <a:endParaRPr lang="en-US"/>
                </a:p>
              </c:txPr>
              <c:dLblPos val="bestFit"/>
              <c:showLegendKey val="0"/>
              <c:showVal val="0"/>
              <c:showCatName val="0"/>
              <c:showSerName val="0"/>
              <c:showPercent val="1"/>
              <c:showBubbleSize val="0"/>
            </c:dLbl>
            <c:dLbl>
              <c:idx val="5"/>
              <c:spPr>
                <a:noFill/>
                <a:ln w="25400">
                  <a:noFill/>
                </a:ln>
              </c:spPr>
              <c:txPr>
                <a:bodyPr wrap="square" lIns="38100" tIns="19050" rIns="38100" bIns="19050" anchor="ctr">
                  <a:spAutoFit/>
                </a:bodyPr>
                <a:lstStyle/>
                <a:p>
                  <a:pPr>
                    <a:defRPr/>
                  </a:pPr>
                  <a:endParaRPr lang="en-US"/>
                </a:p>
              </c:txPr>
              <c:dLblPos val="bestFit"/>
              <c:showLegendKey val="0"/>
              <c:showVal val="0"/>
              <c:showCatName val="0"/>
              <c:showSerName val="0"/>
              <c:showPercent val="1"/>
              <c:showBubbleSize val="0"/>
            </c:dLbl>
            <c:dLbl>
              <c:idx val="6"/>
              <c:layout/>
              <c:tx>
                <c:rich>
                  <a:bodyPr/>
                  <a:lstStyle/>
                  <a:p>
                    <a:fld id="{B389CCF0-D9F1-45FB-BF99-23EEC6E3F67D}" type="VALUE">
                      <a:rPr lang="en-US" sz="600"/>
                      <a:pPr/>
                      <a:t>[VALUE]</a:t>
                    </a:fld>
                    <a:r>
                      <a:rPr lang="en-US" sz="600"/>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w="25400">
                <a:noFill/>
              </a:ln>
            </c:spPr>
            <c:dLblPos val="bestFit"/>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Sheet2!$E$184:$K$184</c:f>
              <c:strCache>
                <c:ptCount val="7"/>
                <c:pt idx="0">
                  <c:v>Regional &amp; International</c:v>
                </c:pt>
                <c:pt idx="1">
                  <c:v>Àsia &amp; the Pacific</c:v>
                </c:pt>
                <c:pt idx="2">
                  <c:v>Americas</c:v>
                </c:pt>
                <c:pt idx="3">
                  <c:v>Europe</c:v>
                </c:pt>
                <c:pt idx="4">
                  <c:v>Arab States</c:v>
                </c:pt>
                <c:pt idx="5">
                  <c:v>Africa</c:v>
                </c:pt>
                <c:pt idx="6">
                  <c:v>CIS</c:v>
                </c:pt>
              </c:strCache>
            </c:strRef>
          </c:cat>
          <c:val>
            <c:numRef>
              <c:f>Sheet2!$E$185:$K$185</c:f>
              <c:numCache>
                <c:formatCode>0</c:formatCode>
                <c:ptCount val="7"/>
                <c:pt idx="0">
                  <c:v>30.303030303030305</c:v>
                </c:pt>
                <c:pt idx="1">
                  <c:v>19.09090909090909</c:v>
                </c:pt>
                <c:pt idx="2">
                  <c:v>13.030303030303031</c:v>
                </c:pt>
                <c:pt idx="3">
                  <c:v>11.515151515151516</c:v>
                </c:pt>
                <c:pt idx="4">
                  <c:v>13.636363636363637</c:v>
                </c:pt>
                <c:pt idx="5">
                  <c:v>8.4848484848484844</c:v>
                </c:pt>
                <c:pt idx="6">
                  <c:v>3.9393939393939394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6575739270814569"/>
          <c:y val="0.22822663471413898"/>
          <c:w val="0.22384464864357168"/>
          <c:h val="0.6952591373839464"/>
        </c:manualLayout>
      </c:layout>
      <c:overlay val="0"/>
      <c:txPr>
        <a:bodyPr/>
        <a:lstStyle/>
        <a:p>
          <a:pPr>
            <a:defRPr sz="700">
              <a:latin typeface="+mn-lt"/>
            </a:defRPr>
          </a:pPr>
          <a:endParaRPr lang="en-US"/>
        </a:p>
      </c:txPr>
    </c:legend>
    <c:plotVisOnly val="1"/>
    <c:dispBlanksAs val="gap"/>
    <c:showDLblsOverMax val="0"/>
  </c:chart>
  <c:spPr>
    <a:noFill/>
    <a:ln>
      <a:solidFill>
        <a:schemeClr val="bg1">
          <a:lumMod val="50000"/>
        </a:schemeClr>
      </a:solid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GB" sz="900">
                <a:latin typeface="+mn-lt"/>
              </a:rPr>
              <a:t>Gráfico 5</a:t>
            </a:r>
          </a:p>
          <a:p>
            <a:pPr>
              <a:defRPr sz="1000" b="1" i="0" u="none" strike="noStrike" baseline="0">
                <a:solidFill>
                  <a:srgbClr val="000000"/>
                </a:solidFill>
                <a:latin typeface="Arial"/>
                <a:ea typeface="Arial"/>
                <a:cs typeface="Arial"/>
              </a:defRPr>
            </a:pPr>
            <a:r>
              <a:rPr lang="en-GB" sz="900">
                <a:latin typeface="+mn-lt"/>
              </a:rPr>
              <a:t>Instituciones acedémicas de la UIT por Región</a:t>
            </a:r>
            <a:r>
              <a:rPr lang="en-GB" sz="900" baseline="0">
                <a:latin typeface="+mn-lt"/>
              </a:rPr>
              <a:t> - 2017</a:t>
            </a:r>
          </a:p>
        </c:rich>
      </c:tx>
      <c:layout>
        <c:manualLayout>
          <c:xMode val="edge"/>
          <c:yMode val="edge"/>
          <c:x val="0.19039418909845571"/>
          <c:y val="4.0748031496062997E-3"/>
        </c:manualLayout>
      </c:layout>
      <c:overlay val="0"/>
      <c:spPr>
        <a:noFill/>
        <a:ln w="25400">
          <a:noFill/>
        </a:ln>
      </c:spPr>
    </c:title>
    <c:autoTitleDeleted val="0"/>
    <c:plotArea>
      <c:layout>
        <c:manualLayout>
          <c:layoutTarget val="inner"/>
          <c:xMode val="edge"/>
          <c:yMode val="edge"/>
          <c:x val="5.9722312032537313E-2"/>
          <c:y val="0.20484237223156093"/>
          <c:w val="0.91336613771238229"/>
          <c:h val="0.65986613741675104"/>
        </c:manualLayout>
      </c:layout>
      <c:pieChart>
        <c:varyColors val="1"/>
        <c:ser>
          <c:idx val="1"/>
          <c:order val="0"/>
          <c:spPr>
            <a:ln>
              <a:noFill/>
            </a:ln>
          </c:spPr>
          <c:dPt>
            <c:idx val="0"/>
            <c:bubble3D val="0"/>
          </c:dPt>
          <c:dPt>
            <c:idx val="2"/>
            <c:bubble3D val="0"/>
          </c:dPt>
          <c:dPt>
            <c:idx val="3"/>
            <c:bubble3D val="0"/>
          </c:dPt>
          <c:dPt>
            <c:idx val="4"/>
            <c:bubble3D val="0"/>
          </c:dPt>
          <c:dPt>
            <c:idx val="5"/>
            <c:bubble3D val="0"/>
          </c:dPt>
          <c:dPt>
            <c:idx val="6"/>
            <c:bubble3D val="0"/>
          </c:dPt>
          <c:dLbls>
            <c:dLbl>
              <c:idx val="0"/>
              <c:layout>
                <c:manualLayout>
                  <c:x val="0.18120553327060532"/>
                  <c:y val="2.7839332583427072E-2"/>
                </c:manualLayout>
              </c:layout>
              <c:tx>
                <c:rich>
                  <a:bodyPr/>
                  <a:lstStyle/>
                  <a:p>
                    <a:fld id="{13F723B1-9C27-4D85-A662-5C98695DF75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5"/>
              <c:layout/>
              <c:tx>
                <c:rich>
                  <a:bodyPr wrap="square" lIns="38100" tIns="19050" rIns="38100" bIns="19050" anchor="ctr">
                    <a:spAutoFit/>
                  </a:bodyPr>
                  <a:lstStyle/>
                  <a:p>
                    <a:pPr>
                      <a:defRPr/>
                    </a:pPr>
                    <a:r>
                      <a:rPr lang="en-US"/>
                      <a:t>6%</a:t>
                    </a:r>
                  </a:p>
                </c:rich>
              </c:tx>
              <c:spPr>
                <a:noFill/>
                <a:ln w="25400">
                  <a:noFill/>
                </a:ln>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tx>
                <c:rich>
                  <a:bodyPr/>
                  <a:lstStyle/>
                  <a:p>
                    <a:fld id="{AF0C7640-1607-4920-ADB6-6B7E89CFE76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w="25400">
                <a:noFill/>
              </a:ln>
            </c:spPr>
            <c:dLblPos val="bestFit"/>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Sheet2!$E$202:$K$202</c:f>
              <c:strCache>
                <c:ptCount val="7"/>
                <c:pt idx="0">
                  <c:v>Regional &amp; International</c:v>
                </c:pt>
                <c:pt idx="1">
                  <c:v>Àsia &amp; the Pacific</c:v>
                </c:pt>
                <c:pt idx="2">
                  <c:v>Americas</c:v>
                </c:pt>
                <c:pt idx="3">
                  <c:v>Europe</c:v>
                </c:pt>
                <c:pt idx="4">
                  <c:v>Arab States</c:v>
                </c:pt>
                <c:pt idx="5">
                  <c:v>Africa</c:v>
                </c:pt>
                <c:pt idx="6">
                  <c:v>CIS</c:v>
                </c:pt>
              </c:strCache>
            </c:strRef>
          </c:cat>
          <c:val>
            <c:numRef>
              <c:f>Sheet2!$E$203:$K$203</c:f>
              <c:numCache>
                <c:formatCode>0</c:formatCode>
                <c:ptCount val="7"/>
                <c:pt idx="0">
                  <c:v>1.5873015873015872</c:v>
                </c:pt>
                <c:pt idx="1">
                  <c:v>29.365079365079364</c:v>
                </c:pt>
                <c:pt idx="2">
                  <c:v>20.634920634920636</c:v>
                </c:pt>
                <c:pt idx="3">
                  <c:v>23.80952380952381</c:v>
                </c:pt>
                <c:pt idx="4">
                  <c:v>13.492063492063492</c:v>
                </c:pt>
                <c:pt idx="5">
                  <c:v>5.5555555555555554</c:v>
                </c:pt>
                <c:pt idx="6">
                  <c:v>5.5555555555555554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6575739270814569"/>
          <c:y val="0.22822663471413898"/>
          <c:w val="0.22384464864357168"/>
          <c:h val="0.6952591373839464"/>
        </c:manualLayout>
      </c:layout>
      <c:overlay val="0"/>
      <c:txPr>
        <a:bodyPr/>
        <a:lstStyle/>
        <a:p>
          <a:pPr>
            <a:defRPr sz="700">
              <a:latin typeface="+mn-lt"/>
            </a:defRPr>
          </a:pPr>
          <a:endParaRPr lang="en-US"/>
        </a:p>
      </c:txPr>
    </c:legend>
    <c:plotVisOnly val="1"/>
    <c:dispBlanksAs val="gap"/>
    <c:showDLblsOverMax val="0"/>
  </c:chart>
  <c:spPr>
    <a:noFill/>
    <a:ln>
      <a:solidFill>
        <a:schemeClr val="bg1">
          <a:lumMod val="50000"/>
        </a:schemeClr>
      </a:solid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81D7F-F5AD-41D6-8A63-EECA504F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PS_TDAG18.dotx</Template>
  <TotalTime>71</TotalTime>
  <Pages>7</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16315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dc:creator>
  <cp:keywords/>
  <dc:description/>
  <cp:lastModifiedBy>BDT - nd</cp:lastModifiedBy>
  <cp:revision>19</cp:revision>
  <cp:lastPrinted>2018-02-13T08:22:00Z</cp:lastPrinted>
  <dcterms:created xsi:type="dcterms:W3CDTF">2018-02-13T07:41:00Z</dcterms:created>
  <dcterms:modified xsi:type="dcterms:W3CDTF">2018-02-13T15:21:00Z</dcterms:modified>
</cp:coreProperties>
</file>