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FA3AD6">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FA3AD6">
              <w:rPr>
                <w:b/>
                <w:bCs/>
                <w:szCs w:val="24"/>
                <w:lang w:val="es-ES_tradnl"/>
              </w:rPr>
              <w:t>20</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7D5793" w:rsidP="00B951D0">
            <w:pPr>
              <w:spacing w:before="0" w:line="240" w:lineRule="atLeast"/>
              <w:rPr>
                <w:rFonts w:cstheme="minorHAnsi"/>
                <w:szCs w:val="24"/>
              </w:rPr>
            </w:pPr>
            <w:r>
              <w:rPr>
                <w:b/>
                <w:bCs/>
                <w:szCs w:val="24"/>
                <w:lang w:val="fr-FR"/>
              </w:rPr>
              <w:t>31</w:t>
            </w:r>
            <w:bookmarkStart w:id="7" w:name="_GoBack"/>
            <w:bookmarkEnd w:id="7"/>
            <w:r w:rsidR="00FA3AD6">
              <w:rPr>
                <w:b/>
                <w:bCs/>
                <w:szCs w:val="24"/>
                <w:lang w:val="fr-FR"/>
              </w:rPr>
              <w:t xml:space="preserve"> January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D867B3" w:rsidP="00F21E88">
            <w:pPr>
              <w:pStyle w:val="Source"/>
              <w:spacing w:before="240" w:after="240"/>
            </w:pPr>
            <w:r w:rsidRPr="003604FB">
              <w:rPr>
                <w:bCs/>
                <w:szCs w:val="28"/>
                <w:lang w:val="en-US"/>
              </w:rPr>
              <w:t>Director</w:t>
            </w:r>
            <w:r w:rsidR="00F21E88">
              <w:rPr>
                <w:bCs/>
                <w:szCs w:val="28"/>
                <w:lang w:val="en-US"/>
              </w:rPr>
              <w:t>,</w:t>
            </w:r>
            <w:r w:rsidRPr="003604FB">
              <w:rPr>
                <w:bCs/>
                <w:szCs w:val="28"/>
                <w:lang w:val="en-US"/>
              </w:rPr>
              <w:t xml:space="preserve"> </w:t>
            </w:r>
            <w:r w:rsidR="00F21E88">
              <w:rPr>
                <w:bCs/>
                <w:szCs w:val="28"/>
                <w:lang w:val="en-US"/>
              </w:rPr>
              <w:t>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FA3AD6" w:rsidP="007F735C">
            <w:pPr>
              <w:pStyle w:val="Title1"/>
              <w:spacing w:before="120" w:after="120"/>
            </w:pPr>
            <w:r w:rsidRPr="00FA3AD6">
              <w:rPr>
                <w:bCs/>
              </w:rPr>
              <w:t>ITU-D Sector membership</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5455CE" w:rsidRDefault="001E252D" w:rsidP="00D867B3">
            <w:pPr>
              <w:rPr>
                <w:sz w:val="20"/>
                <w:lang w:val="en-AU"/>
              </w:rPr>
            </w:pPr>
            <w:r w:rsidRPr="00D9621A">
              <w:rPr>
                <w:b/>
                <w:bCs/>
                <w:szCs w:val="24"/>
              </w:rPr>
              <w:t>Summary:</w:t>
            </w:r>
            <w:r w:rsidR="00D867B3">
              <w:rPr>
                <w:b/>
                <w:bCs/>
                <w:szCs w:val="24"/>
              </w:rPr>
              <w:t xml:space="preserve"> </w:t>
            </w:r>
            <w:r w:rsidR="00D867B3" w:rsidRPr="000531C1">
              <w:rPr>
                <w:sz w:val="20"/>
                <w:lang w:val="en-AU"/>
              </w:rPr>
              <w:t xml:space="preserve"> </w:t>
            </w:r>
          </w:p>
          <w:p w:rsidR="00FA3AD6" w:rsidRDefault="00FA3AD6" w:rsidP="00D867B3">
            <w:pPr>
              <w:rPr>
                <w:szCs w:val="24"/>
                <w:lang w:val="en-US"/>
              </w:rPr>
            </w:pPr>
            <w:r w:rsidRPr="00FA3AD6">
              <w:rPr>
                <w:szCs w:val="24"/>
                <w:lang w:val="en-US"/>
              </w:rPr>
              <w:t xml:space="preserve">ITU-D Sector membership includes Sector Members, Associates and Academia. This document provides an overview of the evolution of ITU-D Sector membership, and strategies and actions to strengthen the ITU-D membership in accordance with the outcomes of WTDC-17 and PP-14. </w:t>
            </w:r>
          </w:p>
          <w:p w:rsidR="005455CE" w:rsidRDefault="00D867B3" w:rsidP="00D867B3">
            <w:pPr>
              <w:rPr>
                <w:b/>
                <w:bCs/>
              </w:rPr>
            </w:pPr>
            <w:r>
              <w:rPr>
                <w:b/>
                <w:bCs/>
              </w:rPr>
              <w:t xml:space="preserve">Action Required: </w:t>
            </w:r>
          </w:p>
          <w:p w:rsidR="00FA3AD6" w:rsidRDefault="00FA3AD6" w:rsidP="00D867B3">
            <w:pPr>
              <w:rPr>
                <w:szCs w:val="24"/>
                <w:lang w:val="en-US"/>
              </w:rPr>
            </w:pPr>
            <w:r w:rsidRPr="00FA3AD6">
              <w:rPr>
                <w:szCs w:val="24"/>
                <w:lang w:val="en-US"/>
              </w:rPr>
              <w:t>TDAG is invited to note the report and to provide guidance as deemed appropriate.</w:t>
            </w:r>
          </w:p>
          <w:p w:rsidR="005455CE" w:rsidRDefault="00D867B3" w:rsidP="00D867B3">
            <w:pPr>
              <w:rPr>
                <w:b/>
                <w:bCs/>
              </w:rPr>
            </w:pPr>
            <w:r w:rsidRPr="00A550B6">
              <w:rPr>
                <w:b/>
                <w:bCs/>
              </w:rPr>
              <w:t xml:space="preserve">References: </w:t>
            </w:r>
          </w:p>
          <w:p w:rsidR="001E252D" w:rsidRPr="00D9621A" w:rsidRDefault="00FA3AD6" w:rsidP="00FA3AD6">
            <w:pPr>
              <w:spacing w:after="120"/>
            </w:pPr>
            <w:r w:rsidRPr="00FA3AD6">
              <w:t>WTDC Resolution 71 (Rev. Buenos Aires, 2017); PP Resolutions 187 (Busan, 2014) and 169 (Rev. Busan, 2014)</w:t>
            </w:r>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rPr>
      </w:pPr>
    </w:p>
    <w:p w:rsidR="00FD57D5" w:rsidRDefault="00FD57D5">
      <w:pPr>
        <w:tabs>
          <w:tab w:val="clear" w:pos="1134"/>
          <w:tab w:val="clear" w:pos="1871"/>
          <w:tab w:val="clear" w:pos="2268"/>
        </w:tabs>
        <w:overflowPunct/>
        <w:autoSpaceDE/>
        <w:autoSpaceDN/>
        <w:adjustRightInd/>
        <w:spacing w:before="0"/>
        <w:textAlignment w:val="auto"/>
        <w:rPr>
          <w:rFonts w:eastAsiaTheme="minorEastAsia" w:cstheme="minorBidi"/>
          <w:b/>
          <w:bCs/>
          <w:szCs w:val="24"/>
          <w:lang w:val="en-US" w:eastAsia="zh-CN"/>
        </w:rPr>
      </w:pPr>
      <w:r>
        <w:rPr>
          <w:b/>
          <w:bCs/>
          <w:szCs w:val="24"/>
        </w:rPr>
        <w:br w:type="page"/>
      </w:r>
    </w:p>
    <w:p w:rsidR="00FA3AD6" w:rsidRPr="008C530C" w:rsidRDefault="00FA3AD6" w:rsidP="00FD57D5">
      <w:pPr>
        <w:pStyle w:val="PlainText"/>
        <w:numPr>
          <w:ilvl w:val="0"/>
          <w:numId w:val="7"/>
        </w:numPr>
        <w:spacing w:before="120"/>
        <w:ind w:left="567" w:hanging="567"/>
        <w:rPr>
          <w:rFonts w:asciiTheme="minorHAnsi" w:hAnsiTheme="minorHAnsi"/>
          <w:b/>
          <w:bCs/>
          <w:sz w:val="28"/>
          <w:szCs w:val="28"/>
        </w:rPr>
      </w:pPr>
      <w:r w:rsidRPr="008C530C">
        <w:rPr>
          <w:rFonts w:asciiTheme="minorHAnsi" w:hAnsiTheme="minorHAnsi"/>
          <w:b/>
          <w:bCs/>
          <w:sz w:val="28"/>
          <w:szCs w:val="28"/>
        </w:rPr>
        <w:lastRenderedPageBreak/>
        <w:t>Background</w:t>
      </w:r>
    </w:p>
    <w:p w:rsidR="00FA3AD6" w:rsidRPr="00690B5F" w:rsidRDefault="00FA3AD6" w:rsidP="00F21E88">
      <w:pPr>
        <w:rPr>
          <w:szCs w:val="24"/>
        </w:rPr>
      </w:pPr>
      <w:r w:rsidRPr="00690B5F">
        <w:rPr>
          <w:szCs w:val="24"/>
        </w:rPr>
        <w:t>World Telecommunication Development Conference in 2017 (WTDC-17)  revised and adopted Resolution 71 (Rev. Buenos Aires, 2017) to promote active involvement of current Sector Members, Associates and Academia in the ITU-D activities, including participation in the work of ITU-D study groups and motivate prospects from the public, private and academic sectors to become members. In particular, it instructed the BDT Director to strengthen the ITU</w:t>
      </w:r>
      <w:r w:rsidRPr="00690B5F">
        <w:rPr>
          <w:szCs w:val="24"/>
        </w:rPr>
        <w:noBreakHyphen/>
        <w:t xml:space="preserve">D Sector Members, Associates and Academia portal in order to help exchange and disseminate information for all ITU members. </w:t>
      </w:r>
    </w:p>
    <w:p w:rsidR="00FA3AD6" w:rsidRPr="00690B5F" w:rsidRDefault="00FA3AD6" w:rsidP="00F21E88">
      <w:pPr>
        <w:rPr>
          <w:szCs w:val="24"/>
        </w:rPr>
      </w:pPr>
      <w:r w:rsidRPr="00690B5F">
        <w:rPr>
          <w:szCs w:val="24"/>
        </w:rPr>
        <w:t xml:space="preserve">Resolution 71 (Rev. Buenos Aires, 2017) also brings enhanced focus to the evolving role of the private sector in the ITU-D Sector by instructing, amongst others, the creation of the </w:t>
      </w:r>
      <w:r w:rsidRPr="00690B5F">
        <w:rPr>
          <w:iCs/>
          <w:szCs w:val="24"/>
        </w:rPr>
        <w:t>Industry Advisory Group for Development issues (IAGD) promoting</w:t>
      </w:r>
      <w:r w:rsidRPr="00690B5F">
        <w:rPr>
          <w:szCs w:val="24"/>
        </w:rPr>
        <w:t xml:space="preserve"> a wide </w:t>
      </w:r>
      <w:r w:rsidRPr="00986749">
        <w:rPr>
          <w:szCs w:val="24"/>
          <w:lang w:eastAsia="en-AU"/>
        </w:rPr>
        <w:t>representation of industry from the ITU</w:t>
      </w:r>
      <w:r w:rsidRPr="00986749">
        <w:rPr>
          <w:szCs w:val="24"/>
          <w:lang w:eastAsia="en-AU"/>
        </w:rPr>
        <w:noBreakHyphen/>
        <w:t xml:space="preserve">D Sector Members from all regions. </w:t>
      </w:r>
    </w:p>
    <w:p w:rsidR="00FA3AD6" w:rsidRPr="00336D70" w:rsidRDefault="00FA3AD6" w:rsidP="0079704B">
      <w:pPr>
        <w:pStyle w:val="PlainText"/>
        <w:spacing w:before="120"/>
        <w:rPr>
          <w:rFonts w:asciiTheme="minorHAnsi" w:eastAsia="Times New Roman" w:hAnsiTheme="minorHAnsi" w:cs="Times New Roman"/>
          <w:i/>
          <w:iCs/>
          <w:sz w:val="24"/>
          <w:szCs w:val="24"/>
          <w:lang w:val="en-GB" w:eastAsia="en-US"/>
        </w:rPr>
      </w:pPr>
      <w:r w:rsidRPr="00843F99">
        <w:rPr>
          <w:rFonts w:asciiTheme="minorHAnsi" w:hAnsiTheme="minorHAnsi"/>
          <w:sz w:val="24"/>
          <w:szCs w:val="24"/>
        </w:rPr>
        <w:t>Furthermore, the Plenipotentiary Conference in 2014 (PP-14) adopted several Resolutions relat</w:t>
      </w:r>
      <w:r w:rsidRPr="00690B5F">
        <w:rPr>
          <w:rFonts w:asciiTheme="minorHAnsi" w:hAnsiTheme="minorHAnsi"/>
          <w:sz w:val="24"/>
          <w:szCs w:val="24"/>
        </w:rPr>
        <w:t>ed</w:t>
      </w:r>
      <w:r w:rsidRPr="00843F99">
        <w:rPr>
          <w:rFonts w:asciiTheme="minorHAnsi" w:hAnsiTheme="minorHAnsi"/>
          <w:sz w:val="24"/>
          <w:szCs w:val="24"/>
        </w:rPr>
        <w:t xml:space="preserve"> to membership, such as Resolution 187 (Busan, 2014)</w:t>
      </w:r>
      <w:r w:rsidRPr="00D37F2D">
        <w:rPr>
          <w:rFonts w:asciiTheme="minorHAnsi" w:hAnsiTheme="minorHAnsi"/>
          <w:sz w:val="24"/>
          <w:szCs w:val="24"/>
        </w:rPr>
        <w:t xml:space="preserve">, which instructs Council to review Sector </w:t>
      </w:r>
      <w:r w:rsidR="0079704B">
        <w:rPr>
          <w:rFonts w:asciiTheme="minorHAnsi" w:hAnsiTheme="minorHAnsi"/>
          <w:sz w:val="24"/>
          <w:szCs w:val="24"/>
        </w:rPr>
        <w:t>m</w:t>
      </w:r>
      <w:r w:rsidRPr="00843F99">
        <w:rPr>
          <w:rFonts w:asciiTheme="minorHAnsi" w:hAnsiTheme="minorHAnsi"/>
          <w:sz w:val="24"/>
          <w:szCs w:val="24"/>
        </w:rPr>
        <w:t>embership through the Council Working Group on Finance and Human Resources (CWG-FHR)</w:t>
      </w:r>
      <w:r>
        <w:rPr>
          <w:rFonts w:asciiTheme="minorHAnsi" w:hAnsiTheme="minorHAnsi"/>
          <w:sz w:val="24"/>
          <w:szCs w:val="24"/>
        </w:rPr>
        <w:t>.</w:t>
      </w:r>
      <w:r w:rsidR="00F21E88">
        <w:rPr>
          <w:rFonts w:asciiTheme="minorHAnsi" w:hAnsiTheme="minorHAnsi"/>
          <w:sz w:val="24"/>
          <w:szCs w:val="24"/>
        </w:rPr>
        <w:t xml:space="preserve">  </w:t>
      </w:r>
      <w:r w:rsidRPr="00690B5F">
        <w:rPr>
          <w:rFonts w:asciiTheme="minorHAnsi" w:eastAsia="Times New Roman" w:hAnsiTheme="minorHAnsi" w:cs="Times New Roman"/>
          <w:sz w:val="24"/>
          <w:szCs w:val="24"/>
          <w:lang w:val="en-GB" w:eastAsia="en-US"/>
        </w:rPr>
        <w:t xml:space="preserve">More specifically, Resolution 187 (Busan, 2014) instructs Council to: </w:t>
      </w:r>
      <w:r w:rsidRPr="00336D70">
        <w:rPr>
          <w:rFonts w:asciiTheme="minorHAnsi" w:eastAsia="Times New Roman" w:hAnsiTheme="minorHAnsi" w:cs="Times New Roman"/>
          <w:i/>
          <w:iCs/>
          <w:sz w:val="24"/>
          <w:szCs w:val="24"/>
          <w:lang w:val="en-GB" w:eastAsia="en-US"/>
        </w:rPr>
        <w:t>review the current structure, benefits and pricing methodologies, the practical application of rights and obligations and the current criteria for fee-exemptions; develop guidelines and training for chairmen, vice-chairmen and study group counsellors; and, study the possibility of establishing a new category of participation for not-profit entities</w:t>
      </w:r>
      <w:r w:rsidRPr="00690B5F">
        <w:rPr>
          <w:rFonts w:asciiTheme="minorHAnsi" w:eastAsia="Times New Roman" w:hAnsiTheme="minorHAnsi" w:cs="Times New Roman"/>
          <w:sz w:val="24"/>
          <w:szCs w:val="24"/>
          <w:lang w:val="en-GB" w:eastAsia="en-US"/>
        </w:rPr>
        <w:t xml:space="preserve">. It further instructs Council to </w:t>
      </w:r>
      <w:r w:rsidRPr="00336D70">
        <w:rPr>
          <w:rFonts w:asciiTheme="minorHAnsi" w:eastAsia="Times New Roman" w:hAnsiTheme="minorHAnsi" w:cs="Times New Roman"/>
          <w:i/>
          <w:iCs/>
          <w:sz w:val="24"/>
          <w:szCs w:val="24"/>
          <w:lang w:val="en-GB" w:eastAsia="en-US"/>
        </w:rPr>
        <w:t xml:space="preserve">develop a comprehensive consultation strategy with the entire membership to ensure that all points of view are thoroughly considered. </w:t>
      </w:r>
    </w:p>
    <w:p w:rsidR="00FA3AD6" w:rsidRPr="00843F99" w:rsidRDefault="00FA3AD6" w:rsidP="00F21E88">
      <w:pPr>
        <w:snapToGrid w:val="0"/>
        <w:rPr>
          <w:szCs w:val="24"/>
        </w:rPr>
      </w:pPr>
      <w:r w:rsidRPr="00986749">
        <w:rPr>
          <w:szCs w:val="24"/>
        </w:rPr>
        <w:t xml:space="preserve">CWG-FHR has continued to review the participation of Sector Members, Associates and Academia and will report to Council 2018, amongst others, </w:t>
      </w:r>
      <w:r>
        <w:rPr>
          <w:szCs w:val="24"/>
        </w:rPr>
        <w:t>on the application of criteria for</w:t>
      </w:r>
      <w:r w:rsidRPr="00986749">
        <w:rPr>
          <w:szCs w:val="24"/>
        </w:rPr>
        <w:t xml:space="preserve"> membership fee exemptions</w:t>
      </w:r>
      <w:r>
        <w:rPr>
          <w:szCs w:val="24"/>
        </w:rPr>
        <w:t xml:space="preserve"> which was </w:t>
      </w:r>
      <w:r w:rsidRPr="00843F99">
        <w:rPr>
          <w:szCs w:val="24"/>
        </w:rPr>
        <w:t>approved in Council 2017.</w:t>
      </w:r>
    </w:p>
    <w:p w:rsidR="00FA3AD6" w:rsidRPr="00986749" w:rsidRDefault="00FA3AD6" w:rsidP="00F21E88">
      <w:pPr>
        <w:pStyle w:val="PlainText"/>
        <w:spacing w:before="120"/>
        <w:rPr>
          <w:rFonts w:asciiTheme="minorHAnsi" w:hAnsiTheme="minorHAnsi"/>
          <w:sz w:val="24"/>
          <w:szCs w:val="24"/>
        </w:rPr>
      </w:pPr>
      <w:r w:rsidRPr="00D37F2D">
        <w:rPr>
          <w:rFonts w:asciiTheme="minorHAnsi" w:hAnsiTheme="minorHAnsi"/>
          <w:sz w:val="24"/>
          <w:szCs w:val="24"/>
        </w:rPr>
        <w:t>PP-14 also made important revisions to Resolutions 169 on Academia, through which a single fee for Academ</w:t>
      </w:r>
      <w:r w:rsidRPr="00986749">
        <w:rPr>
          <w:rFonts w:asciiTheme="minorHAnsi" w:hAnsiTheme="minorHAnsi"/>
          <w:sz w:val="24"/>
          <w:szCs w:val="24"/>
        </w:rPr>
        <w:t xml:space="preserve">ia membership allows them to participate in the work of all Sectors as well as global and regional conferences, workshops and activities of the Union, with the exception of treaty-making conferences and Council. </w:t>
      </w:r>
    </w:p>
    <w:p w:rsidR="00FA3AD6" w:rsidRPr="00986749" w:rsidRDefault="00FA3AD6" w:rsidP="00F21E88">
      <w:pPr>
        <w:pStyle w:val="PlainText"/>
        <w:spacing w:before="120"/>
        <w:rPr>
          <w:rFonts w:asciiTheme="minorHAnsi" w:hAnsiTheme="minorHAnsi"/>
          <w:sz w:val="24"/>
          <w:szCs w:val="24"/>
        </w:rPr>
      </w:pPr>
      <w:r w:rsidRPr="00986749">
        <w:rPr>
          <w:rFonts w:asciiTheme="minorHAnsi" w:hAnsiTheme="minorHAnsi"/>
          <w:sz w:val="24"/>
          <w:szCs w:val="24"/>
        </w:rPr>
        <w:t xml:space="preserve">BDT will continue to take the necessary measures to implement the outcomes of PP-14, WTDC-17, CWG-FHR and Council, in consultation with all the relevant ITU-D meetings including TDAG and ITU-D Study Groups. </w:t>
      </w:r>
    </w:p>
    <w:p w:rsidR="00FA3AD6" w:rsidRPr="008C530C" w:rsidRDefault="00FA3AD6" w:rsidP="00FD57D5">
      <w:pPr>
        <w:pStyle w:val="ListParagraph"/>
        <w:numPr>
          <w:ilvl w:val="0"/>
          <w:numId w:val="7"/>
        </w:numPr>
        <w:shd w:val="clear" w:color="auto" w:fill="FFFFFF"/>
        <w:tabs>
          <w:tab w:val="clear" w:pos="1134"/>
          <w:tab w:val="clear" w:pos="1871"/>
          <w:tab w:val="clear" w:pos="2268"/>
        </w:tabs>
        <w:overflowPunct/>
        <w:autoSpaceDE/>
        <w:autoSpaceDN/>
        <w:adjustRightInd/>
        <w:ind w:left="567" w:hanging="567"/>
        <w:jc w:val="both"/>
        <w:textAlignment w:val="auto"/>
        <w:rPr>
          <w:rFonts w:cs="Segoe UI"/>
          <w:b/>
          <w:bCs/>
          <w:sz w:val="28"/>
          <w:szCs w:val="28"/>
          <w:lang w:eastAsia="ko-KR"/>
        </w:rPr>
      </w:pPr>
      <w:r w:rsidRPr="008C530C">
        <w:rPr>
          <w:rFonts w:cs="Segoe UI"/>
          <w:b/>
          <w:sz w:val="28"/>
          <w:szCs w:val="28"/>
          <w:lang w:eastAsia="ko-KR"/>
        </w:rPr>
        <w:t>Strategic Objectives</w:t>
      </w:r>
    </w:p>
    <w:p w:rsidR="00FA3AD6" w:rsidRPr="00D37F2D" w:rsidRDefault="00FA3AD6" w:rsidP="000D4B68">
      <w:pPr>
        <w:pStyle w:val="CEONormal"/>
        <w:spacing w:after="0"/>
        <w:rPr>
          <w:rFonts w:asciiTheme="minorHAnsi" w:hAnsiTheme="minorHAnsi" w:cs="Calibri"/>
          <w:sz w:val="24"/>
          <w:szCs w:val="24"/>
        </w:rPr>
      </w:pPr>
      <w:r w:rsidRPr="00843F99">
        <w:rPr>
          <w:rFonts w:asciiTheme="minorHAnsi" w:hAnsiTheme="minorHAnsi" w:cs="Calibri"/>
          <w:sz w:val="24"/>
          <w:szCs w:val="24"/>
        </w:rPr>
        <w:t xml:space="preserve">In accordance with the outcomes of WTDC-17 and PP-14, BDT, in close coordination and collaboration with the General Secretariat, the other two </w:t>
      </w:r>
      <w:r w:rsidR="004F11EF" w:rsidRPr="00843F99">
        <w:rPr>
          <w:rFonts w:asciiTheme="minorHAnsi" w:hAnsiTheme="minorHAnsi" w:cs="Calibri"/>
          <w:sz w:val="24"/>
          <w:szCs w:val="24"/>
        </w:rPr>
        <w:t>Bureau</w:t>
      </w:r>
      <w:r w:rsidR="004F11EF">
        <w:rPr>
          <w:rFonts w:asciiTheme="minorHAnsi" w:hAnsiTheme="minorHAnsi" w:cs="Calibri"/>
          <w:sz w:val="24"/>
          <w:szCs w:val="24"/>
        </w:rPr>
        <w:t>x</w:t>
      </w:r>
      <w:r w:rsidRPr="00843F99">
        <w:rPr>
          <w:rFonts w:asciiTheme="minorHAnsi" w:hAnsiTheme="minorHAnsi" w:cs="Calibri"/>
          <w:sz w:val="24"/>
          <w:szCs w:val="24"/>
        </w:rPr>
        <w:t>, and Regional/Area offices</w:t>
      </w:r>
      <w:r>
        <w:rPr>
          <w:rFonts w:asciiTheme="minorHAnsi" w:hAnsiTheme="minorHAnsi" w:cs="Calibri"/>
          <w:sz w:val="24"/>
          <w:szCs w:val="24"/>
        </w:rPr>
        <w:t>,</w:t>
      </w:r>
      <w:r w:rsidRPr="00843F99">
        <w:rPr>
          <w:rFonts w:asciiTheme="minorHAnsi" w:hAnsiTheme="minorHAnsi" w:cs="Calibri"/>
          <w:sz w:val="24"/>
          <w:szCs w:val="24"/>
        </w:rPr>
        <w:t xml:space="preserve"> has focused on two overarching objectives: </w:t>
      </w:r>
    </w:p>
    <w:p w:rsidR="00FA3AD6" w:rsidRPr="00986749" w:rsidRDefault="00FA3AD6" w:rsidP="000D4B68">
      <w:pPr>
        <w:pStyle w:val="CEONormal"/>
        <w:numPr>
          <w:ilvl w:val="0"/>
          <w:numId w:val="6"/>
        </w:numPr>
        <w:spacing w:after="0"/>
        <w:rPr>
          <w:rFonts w:asciiTheme="minorHAnsi" w:hAnsiTheme="minorHAnsi" w:cs="Calibri"/>
          <w:sz w:val="24"/>
          <w:szCs w:val="24"/>
        </w:rPr>
      </w:pPr>
      <w:r w:rsidRPr="00986749">
        <w:rPr>
          <w:rFonts w:asciiTheme="minorHAnsi" w:hAnsiTheme="minorHAnsi" w:cs="Calibri"/>
          <w:sz w:val="24"/>
          <w:szCs w:val="24"/>
        </w:rPr>
        <w:t xml:space="preserve">Outreach </w:t>
      </w:r>
      <w:r w:rsidR="004F11EF">
        <w:rPr>
          <w:rFonts w:asciiTheme="minorHAnsi" w:hAnsiTheme="minorHAnsi" w:cs="Calibri"/>
          <w:sz w:val="24"/>
          <w:szCs w:val="24"/>
        </w:rPr>
        <w:t xml:space="preserve">to </w:t>
      </w:r>
      <w:r w:rsidRPr="00986749">
        <w:rPr>
          <w:rFonts w:asciiTheme="minorHAnsi" w:hAnsiTheme="minorHAnsi" w:cs="Calibri"/>
          <w:sz w:val="24"/>
          <w:szCs w:val="24"/>
        </w:rPr>
        <w:t>bring new entities to join as Sector Members, Associates and Academia; and</w:t>
      </w:r>
    </w:p>
    <w:p w:rsidR="00FA3AD6" w:rsidRPr="00FD57D5" w:rsidRDefault="00FA3AD6" w:rsidP="00DE7A0C">
      <w:pPr>
        <w:pStyle w:val="CEONormal"/>
        <w:numPr>
          <w:ilvl w:val="0"/>
          <w:numId w:val="6"/>
        </w:numPr>
        <w:spacing w:after="0"/>
        <w:rPr>
          <w:rFonts w:asciiTheme="minorHAnsi" w:hAnsiTheme="minorHAnsi" w:cs="Calibri"/>
          <w:sz w:val="24"/>
          <w:szCs w:val="24"/>
        </w:rPr>
      </w:pPr>
      <w:r w:rsidRPr="00FD57D5">
        <w:rPr>
          <w:rFonts w:asciiTheme="minorHAnsi" w:hAnsiTheme="minorHAnsi" w:cs="Calibri"/>
          <w:sz w:val="24"/>
          <w:szCs w:val="24"/>
        </w:rPr>
        <w:t xml:space="preserve">Enhance platforms for engagement and retention of </w:t>
      </w:r>
      <w:r w:rsidR="004F11EF">
        <w:rPr>
          <w:rFonts w:asciiTheme="minorHAnsi" w:hAnsiTheme="minorHAnsi" w:cs="Calibri"/>
          <w:sz w:val="24"/>
          <w:szCs w:val="24"/>
        </w:rPr>
        <w:t xml:space="preserve">existing </w:t>
      </w:r>
      <w:r w:rsidRPr="00FD57D5">
        <w:rPr>
          <w:rFonts w:asciiTheme="minorHAnsi" w:hAnsiTheme="minorHAnsi" w:cs="Calibri"/>
          <w:sz w:val="24"/>
          <w:szCs w:val="24"/>
        </w:rPr>
        <w:t>ITU-D Sector Members, Associates and Academia.</w:t>
      </w:r>
    </w:p>
    <w:p w:rsidR="00FA3AD6" w:rsidRPr="008C530C" w:rsidRDefault="00FA3AD6" w:rsidP="00FD57D5">
      <w:pPr>
        <w:pStyle w:val="ListParagraph"/>
        <w:keepNext/>
        <w:numPr>
          <w:ilvl w:val="0"/>
          <w:numId w:val="7"/>
        </w:numPr>
        <w:shd w:val="clear" w:color="auto" w:fill="FFFFFF"/>
        <w:tabs>
          <w:tab w:val="clear" w:pos="1134"/>
          <w:tab w:val="clear" w:pos="1871"/>
          <w:tab w:val="clear" w:pos="2268"/>
        </w:tabs>
        <w:overflowPunct/>
        <w:autoSpaceDE/>
        <w:autoSpaceDN/>
        <w:adjustRightInd/>
        <w:ind w:left="0" w:firstLine="0"/>
        <w:contextualSpacing w:val="0"/>
        <w:textAlignment w:val="auto"/>
        <w:rPr>
          <w:rFonts w:cs="Segoe UI"/>
          <w:b/>
          <w:bCs/>
          <w:sz w:val="28"/>
          <w:szCs w:val="28"/>
          <w:lang w:eastAsia="ko-KR"/>
        </w:rPr>
      </w:pPr>
      <w:r w:rsidRPr="008C530C">
        <w:rPr>
          <w:rFonts w:cs="Segoe UI"/>
          <w:b/>
          <w:sz w:val="28"/>
          <w:szCs w:val="28"/>
          <w:lang w:eastAsia="ko-KR"/>
        </w:rPr>
        <w:lastRenderedPageBreak/>
        <w:t xml:space="preserve">Status Analysis </w:t>
      </w:r>
    </w:p>
    <w:p w:rsidR="00FA3AD6" w:rsidRPr="00690B5F" w:rsidRDefault="00FA3AD6" w:rsidP="0079704B">
      <w:pPr>
        <w:pStyle w:val="NormalWeb"/>
        <w:keepNext/>
        <w:shd w:val="clear" w:color="auto" w:fill="FFFFFF"/>
        <w:spacing w:before="120" w:beforeAutospacing="0" w:after="0" w:afterAutospacing="0"/>
        <w:rPr>
          <w:rFonts w:asciiTheme="minorHAnsi" w:hAnsiTheme="minorHAnsi"/>
        </w:rPr>
      </w:pPr>
      <w:r w:rsidRPr="00690B5F">
        <w:rPr>
          <w:rFonts w:asciiTheme="minorHAnsi" w:hAnsiTheme="minorHAnsi"/>
          <w:b/>
          <w:bCs/>
        </w:rPr>
        <w:t>3.1 Chart 1</w:t>
      </w:r>
      <w:r w:rsidRPr="00690B5F">
        <w:rPr>
          <w:rFonts w:asciiTheme="minorHAnsi" w:hAnsiTheme="minorHAnsi"/>
        </w:rPr>
        <w:t xml:space="preserve"> below illustrates the increase of ITU-D Sector </w:t>
      </w:r>
      <w:r w:rsidR="0079704B">
        <w:rPr>
          <w:rFonts w:asciiTheme="minorHAnsi" w:hAnsiTheme="minorHAnsi"/>
        </w:rPr>
        <w:t>m</w:t>
      </w:r>
      <w:r w:rsidR="0079704B" w:rsidRPr="00843F99">
        <w:rPr>
          <w:rFonts w:asciiTheme="minorHAnsi" w:hAnsiTheme="minorHAnsi"/>
        </w:rPr>
        <w:t xml:space="preserve">embership </w:t>
      </w:r>
      <w:r w:rsidRPr="00690B5F">
        <w:rPr>
          <w:rFonts w:asciiTheme="minorHAnsi" w:hAnsiTheme="minorHAnsi"/>
        </w:rPr>
        <w:t>(ITU-D Sector Members, ITU-D Associates &amp; ITU Academia</w:t>
      </w:r>
      <w:r w:rsidRPr="00690B5F">
        <w:rPr>
          <w:rStyle w:val="FootnoteReference"/>
        </w:rPr>
        <w:footnoteReference w:id="1"/>
      </w:r>
      <w:r w:rsidRPr="00690B5F">
        <w:rPr>
          <w:rFonts w:asciiTheme="minorHAnsi" w:hAnsiTheme="minorHAnsi"/>
        </w:rPr>
        <w:t xml:space="preserve">) from 1994 to </w:t>
      </w:r>
      <w:r w:rsidRPr="00B90A09">
        <w:rPr>
          <w:rFonts w:asciiTheme="minorHAnsi" w:hAnsiTheme="minorHAnsi"/>
        </w:rPr>
        <w:t>December 2017</w:t>
      </w:r>
      <w:r w:rsidRPr="00690B5F">
        <w:rPr>
          <w:rFonts w:asciiTheme="minorHAnsi" w:hAnsiTheme="minorHAnsi"/>
        </w:rPr>
        <w:t>.</w:t>
      </w:r>
    </w:p>
    <w:p w:rsidR="00FA3AD6" w:rsidRPr="00843F99" w:rsidRDefault="00FA3AD6" w:rsidP="00FA3AD6">
      <w:pPr>
        <w:pStyle w:val="NormalWeb"/>
        <w:shd w:val="clear" w:color="auto" w:fill="FFFFFF"/>
        <w:spacing w:before="120" w:beforeAutospacing="0" w:after="0" w:afterAutospacing="0"/>
        <w:rPr>
          <w:rFonts w:asciiTheme="minorHAnsi" w:hAnsiTheme="minorHAnsi"/>
        </w:rPr>
      </w:pPr>
      <w:r w:rsidRPr="00690B5F">
        <w:rPr>
          <w:rFonts w:asciiTheme="minorHAnsi" w:hAnsiTheme="minorHAnsi"/>
          <w:noProof/>
          <w:lang w:val="en-GB"/>
        </w:rPr>
        <w:drawing>
          <wp:inline distT="0" distB="0" distL="0" distR="0" wp14:anchorId="34990A78" wp14:editId="6E336333">
            <wp:extent cx="6031230" cy="3051810"/>
            <wp:effectExtent l="0" t="0" r="762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3AD6" w:rsidRPr="00690B5F" w:rsidRDefault="00FA3AD6" w:rsidP="0079704B">
      <w:pPr>
        <w:tabs>
          <w:tab w:val="left" w:pos="3945"/>
        </w:tabs>
        <w:rPr>
          <w:szCs w:val="24"/>
          <w:lang w:val="en-US" w:eastAsia="zh-CN"/>
        </w:rPr>
      </w:pPr>
      <w:r w:rsidRPr="00690B5F">
        <w:rPr>
          <w:szCs w:val="24"/>
          <w:lang w:val="en-US" w:eastAsia="zh-CN"/>
        </w:rPr>
        <w:t xml:space="preserve">The decline of overall </w:t>
      </w:r>
      <w:r w:rsidR="0079704B">
        <w:rPr>
          <w:szCs w:val="24"/>
        </w:rPr>
        <w:t>m</w:t>
      </w:r>
      <w:r w:rsidR="0079704B" w:rsidRPr="00843F99">
        <w:rPr>
          <w:szCs w:val="24"/>
        </w:rPr>
        <w:t xml:space="preserve">embership </w:t>
      </w:r>
      <w:r w:rsidRPr="00690B5F">
        <w:rPr>
          <w:szCs w:val="24"/>
          <w:lang w:val="en-US" w:eastAsia="zh-CN"/>
        </w:rPr>
        <w:t xml:space="preserve">figures in 2017 is </w:t>
      </w:r>
      <w:r>
        <w:rPr>
          <w:szCs w:val="24"/>
          <w:lang w:val="en-US" w:eastAsia="zh-CN"/>
        </w:rPr>
        <w:t xml:space="preserve">mainly </w:t>
      </w:r>
      <w:r w:rsidRPr="00690B5F">
        <w:rPr>
          <w:szCs w:val="24"/>
          <w:lang w:val="en-US" w:eastAsia="zh-CN"/>
        </w:rPr>
        <w:t xml:space="preserve">due to the termination of a pilot project of </w:t>
      </w:r>
      <w:r w:rsidR="004F11EF">
        <w:rPr>
          <w:szCs w:val="24"/>
          <w:lang w:val="en-US" w:eastAsia="zh-CN"/>
        </w:rPr>
        <w:t>A</w:t>
      </w:r>
      <w:r w:rsidR="004F11EF" w:rsidRPr="00690B5F">
        <w:rPr>
          <w:szCs w:val="24"/>
          <w:lang w:val="en-US" w:eastAsia="zh-CN"/>
        </w:rPr>
        <w:t xml:space="preserve">cademia </w:t>
      </w:r>
      <w:r w:rsidR="004F11EF">
        <w:rPr>
          <w:szCs w:val="24"/>
          <w:lang w:val="en-US" w:eastAsia="zh-CN"/>
        </w:rPr>
        <w:t>M</w:t>
      </w:r>
      <w:r w:rsidRPr="00690B5F">
        <w:rPr>
          <w:szCs w:val="24"/>
          <w:lang w:val="en-US" w:eastAsia="zh-CN"/>
        </w:rPr>
        <w:t xml:space="preserve">embers, </w:t>
      </w:r>
      <w:r w:rsidR="004F11EF">
        <w:rPr>
          <w:szCs w:val="24"/>
          <w:lang w:val="en-US" w:eastAsia="zh-CN"/>
        </w:rPr>
        <w:t>the</w:t>
      </w:r>
      <w:r w:rsidRPr="00690B5F">
        <w:rPr>
          <w:szCs w:val="24"/>
          <w:lang w:val="en-US" w:eastAsia="zh-CN"/>
        </w:rPr>
        <w:t xml:space="preserve"> renewal </w:t>
      </w:r>
      <w:r w:rsidR="004F11EF">
        <w:rPr>
          <w:szCs w:val="24"/>
          <w:lang w:val="en-US" w:eastAsia="zh-CN"/>
        </w:rPr>
        <w:t xml:space="preserve">of which </w:t>
      </w:r>
      <w:r w:rsidRPr="00690B5F">
        <w:rPr>
          <w:szCs w:val="24"/>
          <w:lang w:val="en-US" w:eastAsia="zh-CN"/>
        </w:rPr>
        <w:t xml:space="preserve">is under the process to be revived in 2018. </w:t>
      </w:r>
    </w:p>
    <w:p w:rsidR="00FA3AD6" w:rsidRPr="00690B5F" w:rsidRDefault="00FA3AD6" w:rsidP="0079704B">
      <w:pPr>
        <w:keepNext/>
        <w:rPr>
          <w:szCs w:val="24"/>
        </w:rPr>
      </w:pPr>
      <w:r w:rsidRPr="00690B5F">
        <w:rPr>
          <w:b/>
          <w:bCs/>
          <w:szCs w:val="24"/>
        </w:rPr>
        <w:t>3.2 Charts 2 and 3</w:t>
      </w:r>
      <w:r w:rsidRPr="00690B5F">
        <w:rPr>
          <w:szCs w:val="24"/>
        </w:rPr>
        <w:t xml:space="preserve"> below show ITU-D Sector </w:t>
      </w:r>
      <w:r w:rsidR="0079704B">
        <w:rPr>
          <w:szCs w:val="24"/>
        </w:rPr>
        <w:t>m</w:t>
      </w:r>
      <w:r w:rsidR="0079704B" w:rsidRPr="00843F99">
        <w:rPr>
          <w:szCs w:val="24"/>
        </w:rPr>
        <w:t xml:space="preserve">embership </w:t>
      </w:r>
      <w:r w:rsidRPr="00690B5F">
        <w:rPr>
          <w:szCs w:val="24"/>
        </w:rPr>
        <w:t xml:space="preserve">by Category and by Region. </w:t>
      </w:r>
    </w:p>
    <w:p w:rsidR="00FA3AD6" w:rsidRPr="00690B5F" w:rsidRDefault="00FA3AD6" w:rsidP="00FA3AD6">
      <w:pPr>
        <w:pStyle w:val="ListParagraph"/>
        <w:spacing w:before="240"/>
        <w:ind w:left="0"/>
        <w:rPr>
          <w:b/>
          <w:bCs/>
          <w:szCs w:val="24"/>
        </w:rPr>
      </w:pPr>
      <w:r w:rsidRPr="00690B5F">
        <w:rPr>
          <w:noProof/>
          <w:szCs w:val="24"/>
          <w:lang w:eastAsia="zh-CN"/>
        </w:rPr>
        <w:drawing>
          <wp:inline distT="0" distB="0" distL="0" distR="0" wp14:anchorId="447191EA" wp14:editId="53F7978C">
            <wp:extent cx="2828925" cy="18478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90B5F">
        <w:rPr>
          <w:noProof/>
          <w:szCs w:val="24"/>
          <w:lang w:eastAsia="zh-CN"/>
        </w:rPr>
        <w:drawing>
          <wp:inline distT="0" distB="0" distL="0" distR="0" wp14:anchorId="5C7DB205" wp14:editId="0AD3E7A8">
            <wp:extent cx="2952750" cy="1832610"/>
            <wp:effectExtent l="0" t="0" r="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3AD6" w:rsidRPr="00690B5F" w:rsidRDefault="00FA3AD6" w:rsidP="00FA3AD6">
      <w:pPr>
        <w:pStyle w:val="ListParagraph"/>
        <w:spacing w:before="240"/>
        <w:ind w:left="284"/>
        <w:rPr>
          <w:b/>
          <w:bCs/>
          <w:szCs w:val="24"/>
        </w:rPr>
      </w:pPr>
      <w:r w:rsidRPr="00690B5F">
        <w:rPr>
          <w:b/>
          <w:szCs w:val="24"/>
        </w:rPr>
        <w:t xml:space="preserve"> </w:t>
      </w:r>
    </w:p>
    <w:p w:rsidR="00FA3AD6" w:rsidRPr="00690B5F" w:rsidRDefault="00FA3AD6" w:rsidP="00FD57D5">
      <w:pPr>
        <w:keepNext/>
        <w:rPr>
          <w:szCs w:val="24"/>
        </w:rPr>
      </w:pPr>
      <w:r w:rsidRPr="00690B5F">
        <w:rPr>
          <w:b/>
          <w:bCs/>
          <w:szCs w:val="24"/>
        </w:rPr>
        <w:lastRenderedPageBreak/>
        <w:t>3.3 Charts 4 and 5</w:t>
      </w:r>
      <w:r w:rsidRPr="00690B5F">
        <w:rPr>
          <w:szCs w:val="24"/>
        </w:rPr>
        <w:t xml:space="preserve"> below show ITU-D Sector Members &amp; Associates and ITU Academia by Region. </w:t>
      </w:r>
    </w:p>
    <w:p w:rsidR="00FA3AD6" w:rsidRPr="00690B5F" w:rsidRDefault="009E0496" w:rsidP="002B1677">
      <w:pPr>
        <w:jc w:val="center"/>
        <w:rPr>
          <w:szCs w:val="24"/>
          <w:highlight w:val="green"/>
          <w:lang w:val="en-US"/>
        </w:rPr>
      </w:pPr>
      <w:r>
        <w:rPr>
          <w:noProof/>
          <w:lang w:eastAsia="zh-CN"/>
        </w:rPr>
        <w:drawing>
          <wp:inline distT="0" distB="0" distL="0" distR="0" wp14:anchorId="10D2448B" wp14:editId="486413CE">
            <wp:extent cx="4095750" cy="21526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B7B59">
        <w:rPr>
          <w:noProof/>
          <w:lang w:eastAsia="zh-CN"/>
        </w:rPr>
        <w:drawing>
          <wp:inline distT="0" distB="0" distL="0" distR="0" wp14:anchorId="79736B03" wp14:editId="53A9E61D">
            <wp:extent cx="4095750" cy="21336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3AD6" w:rsidRPr="008C530C" w:rsidRDefault="00FA3AD6" w:rsidP="00FD57D5">
      <w:pPr>
        <w:pStyle w:val="ListParagraph"/>
        <w:keepNext/>
        <w:numPr>
          <w:ilvl w:val="0"/>
          <w:numId w:val="7"/>
        </w:numPr>
        <w:tabs>
          <w:tab w:val="clear" w:pos="1134"/>
          <w:tab w:val="clear" w:pos="1871"/>
          <w:tab w:val="clear" w:pos="2268"/>
        </w:tabs>
        <w:overflowPunct/>
        <w:autoSpaceDE/>
        <w:autoSpaceDN/>
        <w:adjustRightInd/>
        <w:ind w:left="567" w:hanging="567"/>
        <w:textAlignment w:val="auto"/>
        <w:rPr>
          <w:b/>
          <w:bCs/>
          <w:sz w:val="28"/>
          <w:szCs w:val="28"/>
        </w:rPr>
      </w:pPr>
      <w:r w:rsidRPr="008C530C">
        <w:rPr>
          <w:b/>
          <w:sz w:val="28"/>
          <w:szCs w:val="28"/>
        </w:rPr>
        <w:t>Key Actions and Results</w:t>
      </w:r>
    </w:p>
    <w:p w:rsidR="00FA3AD6" w:rsidRPr="00690B5F" w:rsidRDefault="00FA3AD6" w:rsidP="00F21E88">
      <w:pPr>
        <w:rPr>
          <w:szCs w:val="24"/>
          <w:lang w:val="en-US"/>
        </w:rPr>
      </w:pPr>
      <w:r w:rsidRPr="00690B5F">
        <w:rPr>
          <w:szCs w:val="24"/>
          <w:lang w:val="en-US"/>
        </w:rPr>
        <w:t>BDT had been conducting a series of strategic actions and will enhance efforts towards improving its products</w:t>
      </w:r>
      <w:r w:rsidRPr="00843F99">
        <w:rPr>
          <w:szCs w:val="24"/>
          <w:lang w:val="en-US"/>
        </w:rPr>
        <w:t>,</w:t>
      </w:r>
      <w:r w:rsidRPr="00690B5F">
        <w:rPr>
          <w:szCs w:val="24"/>
          <w:lang w:val="en-US"/>
        </w:rPr>
        <w:t xml:space="preserve"> services and engagement opportunities for ITU-D Sector Members, Associates and Academia.  </w:t>
      </w:r>
    </w:p>
    <w:p w:rsidR="00FA3AD6" w:rsidRPr="00B90A09" w:rsidRDefault="00FA3AD6" w:rsidP="0079704B">
      <w:pPr>
        <w:pStyle w:val="ListParagraph"/>
        <w:keepNext/>
        <w:numPr>
          <w:ilvl w:val="1"/>
          <w:numId w:val="8"/>
        </w:numPr>
        <w:tabs>
          <w:tab w:val="clear" w:pos="1134"/>
          <w:tab w:val="clear" w:pos="1871"/>
          <w:tab w:val="clear" w:pos="2268"/>
        </w:tabs>
        <w:overflowPunct/>
        <w:autoSpaceDE/>
        <w:autoSpaceDN/>
        <w:adjustRightInd/>
        <w:ind w:left="567" w:hanging="567"/>
        <w:textAlignment w:val="auto"/>
        <w:rPr>
          <w:szCs w:val="24"/>
        </w:rPr>
      </w:pPr>
      <w:r w:rsidRPr="00F2407F">
        <w:rPr>
          <w:b/>
          <w:szCs w:val="24"/>
        </w:rPr>
        <w:t>Enhancing</w:t>
      </w:r>
      <w:r>
        <w:rPr>
          <w:szCs w:val="24"/>
        </w:rPr>
        <w:t xml:space="preserve"> </w:t>
      </w:r>
      <w:r w:rsidRPr="00B90A09">
        <w:rPr>
          <w:b/>
          <w:szCs w:val="24"/>
        </w:rPr>
        <w:t xml:space="preserve">ITU-D Sector </w:t>
      </w:r>
      <w:r w:rsidR="0079704B">
        <w:rPr>
          <w:szCs w:val="24"/>
        </w:rPr>
        <w:t>m</w:t>
      </w:r>
      <w:r w:rsidR="0079704B" w:rsidRPr="00843F99">
        <w:rPr>
          <w:szCs w:val="24"/>
        </w:rPr>
        <w:t xml:space="preserve">embership </w:t>
      </w:r>
      <w:r w:rsidRPr="00B90A09">
        <w:rPr>
          <w:b/>
          <w:szCs w:val="24"/>
        </w:rPr>
        <w:t>tools and services</w:t>
      </w:r>
      <w:r w:rsidRPr="00B90A09">
        <w:rPr>
          <w:szCs w:val="24"/>
        </w:rPr>
        <w:t xml:space="preserve">: </w:t>
      </w:r>
    </w:p>
    <w:p w:rsidR="00FA3AD6" w:rsidRPr="00843F99" w:rsidRDefault="00FA3AD6" w:rsidP="0079704B">
      <w:pPr>
        <w:rPr>
          <w:szCs w:val="24"/>
        </w:rPr>
      </w:pPr>
      <w:r w:rsidRPr="00986749">
        <w:rPr>
          <w:szCs w:val="24"/>
        </w:rPr>
        <w:t xml:space="preserve">Information-dissemination platforms such as the ITU-D Sector </w:t>
      </w:r>
      <w:r w:rsidR="0079704B">
        <w:rPr>
          <w:szCs w:val="24"/>
        </w:rPr>
        <w:t>M</w:t>
      </w:r>
      <w:r w:rsidR="0079704B" w:rsidRPr="00843F99">
        <w:rPr>
          <w:szCs w:val="24"/>
        </w:rPr>
        <w:t xml:space="preserve">embership </w:t>
      </w:r>
      <w:r w:rsidRPr="00986749">
        <w:rPr>
          <w:szCs w:val="24"/>
        </w:rPr>
        <w:t>Portal (</w:t>
      </w:r>
      <w:hyperlink r:id="rId18" w:history="1">
        <w:r w:rsidRPr="00690B5F">
          <w:rPr>
            <w:rStyle w:val="Hyperlink"/>
            <w:szCs w:val="24"/>
          </w:rPr>
          <w:t>http://www.itu.int/en/ITU-D/Membership/Pages/default.aspx</w:t>
        </w:r>
      </w:hyperlink>
      <w:r w:rsidRPr="00843F99">
        <w:rPr>
          <w:szCs w:val="24"/>
        </w:rPr>
        <w:t xml:space="preserve">) and the webpage were </w:t>
      </w:r>
      <w:r w:rsidRPr="00690B5F">
        <w:rPr>
          <w:szCs w:val="24"/>
        </w:rPr>
        <w:t xml:space="preserve">strengthened </w:t>
      </w:r>
      <w:r w:rsidRPr="00986749">
        <w:rPr>
          <w:szCs w:val="24"/>
        </w:rPr>
        <w:t xml:space="preserve">to </w:t>
      </w:r>
      <w:r w:rsidRPr="00690B5F">
        <w:rPr>
          <w:szCs w:val="24"/>
        </w:rPr>
        <w:t>p</w:t>
      </w:r>
      <w:r w:rsidRPr="00986749">
        <w:rPr>
          <w:szCs w:val="24"/>
        </w:rPr>
        <w:t>romote benefits</w:t>
      </w:r>
      <w:r w:rsidRPr="00690B5F">
        <w:rPr>
          <w:szCs w:val="24"/>
        </w:rPr>
        <w:t xml:space="preserve"> and visibilities of </w:t>
      </w:r>
      <w:r w:rsidR="0079704B">
        <w:rPr>
          <w:szCs w:val="24"/>
        </w:rPr>
        <w:t>m</w:t>
      </w:r>
      <w:r w:rsidR="0079704B" w:rsidRPr="00843F99">
        <w:rPr>
          <w:szCs w:val="24"/>
        </w:rPr>
        <w:t xml:space="preserve">embership </w:t>
      </w:r>
      <w:r w:rsidRPr="00690B5F">
        <w:rPr>
          <w:szCs w:val="24"/>
        </w:rPr>
        <w:t xml:space="preserve">with </w:t>
      </w:r>
      <w:r w:rsidRPr="00986749">
        <w:rPr>
          <w:szCs w:val="24"/>
        </w:rPr>
        <w:t>ITU’s areas of action</w:t>
      </w:r>
      <w:r w:rsidRPr="00690B5F">
        <w:rPr>
          <w:szCs w:val="24"/>
        </w:rPr>
        <w:t>s,</w:t>
      </w:r>
      <w:r w:rsidRPr="00986749">
        <w:rPr>
          <w:szCs w:val="24"/>
        </w:rPr>
        <w:t xml:space="preserve"> opportunities for engagement in projects and for partnership</w:t>
      </w:r>
      <w:r w:rsidRPr="00690B5F">
        <w:rPr>
          <w:szCs w:val="24"/>
        </w:rPr>
        <w:t xml:space="preserve">, and </w:t>
      </w:r>
      <w:r w:rsidRPr="00986749">
        <w:rPr>
          <w:szCs w:val="24"/>
        </w:rPr>
        <w:t>highlight</w:t>
      </w:r>
      <w:r w:rsidRPr="00690B5F">
        <w:rPr>
          <w:szCs w:val="24"/>
        </w:rPr>
        <w:t>s of</w:t>
      </w:r>
      <w:r w:rsidRPr="00986749">
        <w:rPr>
          <w:szCs w:val="24"/>
        </w:rPr>
        <w:t xml:space="preserve"> success stories fr</w:t>
      </w:r>
      <w:r w:rsidRPr="00690B5F">
        <w:rPr>
          <w:szCs w:val="24"/>
        </w:rPr>
        <w:t>o</w:t>
      </w:r>
      <w:r w:rsidRPr="00986749">
        <w:rPr>
          <w:szCs w:val="24"/>
        </w:rPr>
        <w:t xml:space="preserve">m </w:t>
      </w:r>
      <w:r w:rsidR="0079704B">
        <w:rPr>
          <w:szCs w:val="24"/>
        </w:rPr>
        <w:t>m</w:t>
      </w:r>
      <w:r w:rsidR="0079704B" w:rsidRPr="00843F99">
        <w:rPr>
          <w:szCs w:val="24"/>
        </w:rPr>
        <w:t>embership</w:t>
      </w:r>
      <w:r w:rsidRPr="00986749">
        <w:rPr>
          <w:szCs w:val="24"/>
        </w:rPr>
        <w:t>. Consolidated information on ITU’s programs, products and services were also designed and implemented for</w:t>
      </w:r>
      <w:r>
        <w:rPr>
          <w:szCs w:val="24"/>
        </w:rPr>
        <w:t xml:space="preserve"> outreach to new</w:t>
      </w:r>
      <w:r w:rsidRPr="00986749">
        <w:rPr>
          <w:szCs w:val="24"/>
        </w:rPr>
        <w:t xml:space="preserve"> prospective </w:t>
      </w:r>
      <w:r w:rsidRPr="00690B5F">
        <w:rPr>
          <w:szCs w:val="24"/>
        </w:rPr>
        <w:t>and</w:t>
      </w:r>
      <w:r>
        <w:rPr>
          <w:szCs w:val="24"/>
        </w:rPr>
        <w:t xml:space="preserve"> to </w:t>
      </w:r>
      <w:r w:rsidRPr="00690B5F">
        <w:rPr>
          <w:szCs w:val="24"/>
        </w:rPr>
        <w:t xml:space="preserve">existing </w:t>
      </w:r>
      <w:r w:rsidR="004F11EF">
        <w:rPr>
          <w:szCs w:val="24"/>
        </w:rPr>
        <w:t>M</w:t>
      </w:r>
      <w:r w:rsidR="004F11EF" w:rsidRPr="00986749">
        <w:rPr>
          <w:szCs w:val="24"/>
        </w:rPr>
        <w:t>embers</w:t>
      </w:r>
      <w:r w:rsidR="004F11EF">
        <w:rPr>
          <w:szCs w:val="24"/>
        </w:rPr>
        <w:t xml:space="preserve"> </w:t>
      </w:r>
      <w:r>
        <w:rPr>
          <w:szCs w:val="24"/>
        </w:rPr>
        <w:t>for better engagement</w:t>
      </w:r>
      <w:r w:rsidRPr="00986749">
        <w:rPr>
          <w:szCs w:val="24"/>
        </w:rPr>
        <w:t xml:space="preserve">.  </w:t>
      </w:r>
      <w:r w:rsidRPr="00690B5F">
        <w:rPr>
          <w:szCs w:val="24"/>
          <w:lang w:val="en-US"/>
        </w:rPr>
        <w:t xml:space="preserve">BDT continues to enhance its outreach and communication materials and outreach tools in close collaboration with ITU-wide efforts such as an ITU online </w:t>
      </w:r>
      <w:r w:rsidR="004F11EF">
        <w:rPr>
          <w:szCs w:val="24"/>
          <w:lang w:val="en-US"/>
        </w:rPr>
        <w:t>M</w:t>
      </w:r>
      <w:r w:rsidR="004F11EF" w:rsidRPr="00690B5F">
        <w:rPr>
          <w:szCs w:val="24"/>
          <w:lang w:val="en-US"/>
        </w:rPr>
        <w:t xml:space="preserve">embers’ </w:t>
      </w:r>
      <w:r w:rsidR="004F11EF">
        <w:rPr>
          <w:szCs w:val="24"/>
          <w:lang w:val="en-US"/>
        </w:rPr>
        <w:t>Z</w:t>
      </w:r>
      <w:r w:rsidR="004F11EF" w:rsidRPr="00690B5F">
        <w:rPr>
          <w:szCs w:val="24"/>
          <w:lang w:val="en-US"/>
        </w:rPr>
        <w:t xml:space="preserve">one </w:t>
      </w:r>
      <w:r w:rsidRPr="00690B5F">
        <w:rPr>
          <w:szCs w:val="24"/>
          <w:lang w:val="en-US"/>
        </w:rPr>
        <w:t xml:space="preserve">platform – MyITU project, which shall enable customized content, enhanced networking and collaboration between and amongst </w:t>
      </w:r>
      <w:r w:rsidR="004F11EF">
        <w:rPr>
          <w:szCs w:val="24"/>
          <w:lang w:val="en-US"/>
        </w:rPr>
        <w:t>M</w:t>
      </w:r>
      <w:r w:rsidR="004F11EF" w:rsidRPr="00690B5F">
        <w:rPr>
          <w:szCs w:val="24"/>
          <w:lang w:val="en-US"/>
        </w:rPr>
        <w:t>embers</w:t>
      </w:r>
      <w:r w:rsidRPr="00690B5F">
        <w:rPr>
          <w:szCs w:val="24"/>
          <w:lang w:val="en-US"/>
        </w:rPr>
        <w:t xml:space="preserve">.   </w:t>
      </w:r>
    </w:p>
    <w:p w:rsidR="00FA3AD6" w:rsidRPr="00757F9C" w:rsidRDefault="00FA3AD6" w:rsidP="00F21E88">
      <w:pPr>
        <w:pStyle w:val="NormalWeb"/>
        <w:keepNext/>
        <w:shd w:val="clear" w:color="auto" w:fill="FFFFFF"/>
        <w:spacing w:before="120" w:beforeAutospacing="0" w:after="0" w:afterAutospacing="0"/>
        <w:ind w:left="567" w:hanging="567"/>
        <w:contextualSpacing/>
      </w:pPr>
      <w:r w:rsidRPr="00843F99">
        <w:rPr>
          <w:rFonts w:asciiTheme="minorHAnsi" w:hAnsiTheme="minorHAnsi"/>
          <w:b/>
          <w:lang w:val="en-GB" w:eastAsia="en-US"/>
        </w:rPr>
        <w:t>4.</w:t>
      </w:r>
      <w:r>
        <w:rPr>
          <w:rFonts w:asciiTheme="minorHAnsi" w:hAnsiTheme="minorHAnsi"/>
          <w:b/>
          <w:lang w:val="en-GB" w:eastAsia="en-US"/>
        </w:rPr>
        <w:t>2</w:t>
      </w:r>
      <w:r w:rsidR="00FD57D5">
        <w:rPr>
          <w:rFonts w:asciiTheme="minorHAnsi" w:hAnsiTheme="minorHAnsi"/>
          <w:b/>
          <w:lang w:val="en-GB" w:eastAsia="en-US"/>
        </w:rPr>
        <w:tab/>
      </w:r>
      <w:r w:rsidRPr="00843F99">
        <w:rPr>
          <w:rFonts w:asciiTheme="minorHAnsi" w:hAnsiTheme="minorHAnsi"/>
          <w:b/>
          <w:lang w:val="en-GB" w:eastAsia="en-US"/>
        </w:rPr>
        <w:t>Recognition of long</w:t>
      </w:r>
      <w:r w:rsidR="004F11EF">
        <w:rPr>
          <w:rFonts w:asciiTheme="minorHAnsi" w:hAnsiTheme="minorHAnsi"/>
          <w:b/>
          <w:lang w:val="en-GB" w:eastAsia="en-US"/>
        </w:rPr>
        <w:t>-</w:t>
      </w:r>
      <w:r w:rsidRPr="00843F99">
        <w:rPr>
          <w:rFonts w:asciiTheme="minorHAnsi" w:hAnsiTheme="minorHAnsi"/>
          <w:b/>
          <w:lang w:val="en-GB" w:eastAsia="en-US"/>
        </w:rPr>
        <w:t>standing support to the ITU</w:t>
      </w:r>
      <w:r>
        <w:rPr>
          <w:rFonts w:asciiTheme="minorHAnsi" w:hAnsiTheme="minorHAnsi"/>
          <w:b/>
          <w:lang w:val="en-GB" w:eastAsia="en-US"/>
        </w:rPr>
        <w:t>-D</w:t>
      </w:r>
      <w:r w:rsidRPr="00843F99">
        <w:rPr>
          <w:rFonts w:asciiTheme="minorHAnsi" w:hAnsiTheme="minorHAnsi"/>
          <w:b/>
          <w:lang w:val="en-GB" w:eastAsia="en-US"/>
        </w:rPr>
        <w:t xml:space="preserve"> Sector:</w:t>
      </w:r>
    </w:p>
    <w:p w:rsidR="00FA3AD6" w:rsidRPr="00690B5F" w:rsidRDefault="00FA3AD6" w:rsidP="004F11EF">
      <w:pPr>
        <w:pStyle w:val="NormalWeb"/>
        <w:shd w:val="clear" w:color="auto" w:fill="FFFFFF"/>
        <w:spacing w:before="120" w:beforeAutospacing="0" w:after="0" w:afterAutospacing="0"/>
        <w:rPr>
          <w:lang w:val="es-ES_tradnl"/>
        </w:rPr>
      </w:pPr>
      <w:r w:rsidRPr="00690B5F">
        <w:rPr>
          <w:rFonts w:asciiTheme="minorHAnsi" w:hAnsiTheme="minorHAnsi"/>
        </w:rPr>
        <w:t xml:space="preserve">On the occasion of the ITU-D 25th Anniversary celebrations </w:t>
      </w:r>
      <w:r>
        <w:rPr>
          <w:rFonts w:asciiTheme="minorHAnsi" w:hAnsiTheme="minorHAnsi"/>
        </w:rPr>
        <w:t xml:space="preserve">during WTDC-17 </w:t>
      </w:r>
      <w:r w:rsidRPr="00690B5F">
        <w:rPr>
          <w:rFonts w:asciiTheme="minorHAnsi" w:hAnsiTheme="minorHAnsi"/>
        </w:rPr>
        <w:t>held in Buenos Aires, Argentina</w:t>
      </w:r>
      <w:r>
        <w:rPr>
          <w:rFonts w:asciiTheme="minorHAnsi" w:hAnsiTheme="minorHAnsi"/>
        </w:rPr>
        <w:t>,</w:t>
      </w:r>
      <w:r w:rsidRPr="00690B5F">
        <w:rPr>
          <w:rFonts w:asciiTheme="minorHAnsi" w:hAnsiTheme="minorHAnsi"/>
        </w:rPr>
        <w:t xml:space="preserve"> on 11 October 2017, </w:t>
      </w:r>
      <w:r>
        <w:rPr>
          <w:rFonts w:asciiTheme="minorHAnsi" w:hAnsiTheme="minorHAnsi"/>
        </w:rPr>
        <w:t>long</w:t>
      </w:r>
      <w:r w:rsidR="004F11EF">
        <w:rPr>
          <w:rFonts w:asciiTheme="minorHAnsi" w:hAnsiTheme="minorHAnsi"/>
        </w:rPr>
        <w:t>-</w:t>
      </w:r>
      <w:r>
        <w:rPr>
          <w:rFonts w:asciiTheme="minorHAnsi" w:hAnsiTheme="minorHAnsi"/>
        </w:rPr>
        <w:t xml:space="preserve">standing </w:t>
      </w:r>
      <w:r w:rsidRPr="00690B5F">
        <w:rPr>
          <w:rFonts w:asciiTheme="minorHAnsi" w:hAnsiTheme="minorHAnsi"/>
        </w:rPr>
        <w:t xml:space="preserve">ITU-D Sector Members </w:t>
      </w:r>
      <w:r>
        <w:rPr>
          <w:rFonts w:asciiTheme="minorHAnsi" w:hAnsiTheme="minorHAnsi"/>
        </w:rPr>
        <w:t xml:space="preserve">have been recognized with </w:t>
      </w:r>
      <w:r w:rsidRPr="00690B5F">
        <w:rPr>
          <w:rFonts w:asciiTheme="minorHAnsi" w:hAnsiTheme="minorHAnsi"/>
        </w:rPr>
        <w:t>special awards</w:t>
      </w:r>
      <w:r>
        <w:rPr>
          <w:rFonts w:asciiTheme="minorHAnsi" w:hAnsiTheme="minorHAnsi"/>
        </w:rPr>
        <w:t xml:space="preserve"> for each Region: e.g., </w:t>
      </w:r>
      <w:r w:rsidRPr="00690B5F">
        <w:rPr>
          <w:rFonts w:asciiTheme="minorHAnsi" w:hAnsiTheme="minorHAnsi"/>
        </w:rPr>
        <w:t xml:space="preserve">ArmenTel CJSC Armenia Telephone Company, </w:t>
      </w:r>
      <w:r w:rsidRPr="000D4B68">
        <w:rPr>
          <w:rFonts w:asciiTheme="minorHAnsi" w:hAnsiTheme="minorHAnsi"/>
          <w:highlight w:val="yellow"/>
        </w:rPr>
        <w:t>​</w:t>
      </w:r>
      <w:r w:rsidRPr="00690B5F">
        <w:rPr>
          <w:rFonts w:asciiTheme="minorHAnsi" w:hAnsiTheme="minorHAnsi"/>
        </w:rPr>
        <w:t xml:space="preserve">Orange, </w:t>
      </w:r>
      <w:r w:rsidRPr="000D4B68">
        <w:rPr>
          <w:rFonts w:asciiTheme="minorHAnsi" w:hAnsiTheme="minorHAnsi"/>
        </w:rPr>
        <w:t>​</w:t>
      </w:r>
      <w:r w:rsidRPr="00690B5F">
        <w:rPr>
          <w:rFonts w:asciiTheme="minorHAnsi" w:hAnsiTheme="minorHAnsi"/>
        </w:rPr>
        <w:t xml:space="preserve">PT. </w:t>
      </w:r>
      <w:r w:rsidRPr="00690B5F">
        <w:rPr>
          <w:rFonts w:asciiTheme="minorHAnsi" w:hAnsiTheme="minorHAnsi"/>
          <w:lang w:val="es-ES_tradnl"/>
        </w:rPr>
        <w:lastRenderedPageBreak/>
        <w:t xml:space="preserve">Telekomunikasi Indonesia Tbk, </w:t>
      </w:r>
      <w:r w:rsidRPr="000D4B68">
        <w:rPr>
          <w:rFonts w:asciiTheme="minorHAnsi" w:hAnsiTheme="minorHAnsi"/>
          <w:highlight w:val="yellow"/>
          <w:lang w:val="es-ES_tradnl"/>
        </w:rPr>
        <w:t>​</w:t>
      </w:r>
      <w:r w:rsidRPr="00690B5F">
        <w:rPr>
          <w:rFonts w:asciiTheme="minorHAnsi" w:hAnsiTheme="minorHAnsi"/>
          <w:lang w:val="es-ES_tradnl"/>
        </w:rPr>
        <w:t xml:space="preserve">Sudatel Telecom Group, </w:t>
      </w:r>
      <w:r w:rsidRPr="000D4B68">
        <w:rPr>
          <w:rFonts w:asciiTheme="minorHAnsi" w:hAnsiTheme="minorHAnsi"/>
          <w:highlight w:val="yellow"/>
          <w:lang w:val="es-ES_tradnl"/>
        </w:rPr>
        <w:t>​</w:t>
      </w:r>
      <w:r w:rsidRPr="00690B5F">
        <w:rPr>
          <w:rFonts w:asciiTheme="minorHAnsi" w:hAnsiTheme="minorHAnsi"/>
          <w:lang w:val="es-ES_tradnl"/>
        </w:rPr>
        <w:t xml:space="preserve">Telecomunicaciones de México, and </w:t>
      </w:r>
      <w:r w:rsidRPr="000D4B68">
        <w:rPr>
          <w:rFonts w:asciiTheme="minorHAnsi" w:hAnsiTheme="minorHAnsi"/>
          <w:highlight w:val="yellow"/>
          <w:lang w:val="es-ES_tradnl"/>
        </w:rPr>
        <w:t>​</w:t>
      </w:r>
      <w:r w:rsidRPr="00690B5F">
        <w:rPr>
          <w:rFonts w:asciiTheme="minorHAnsi" w:hAnsiTheme="minorHAnsi"/>
          <w:lang w:val="es-ES_tradnl"/>
        </w:rPr>
        <w:t xml:space="preserve">Telkom SA SOC Ltd. </w:t>
      </w:r>
      <w:r>
        <w:rPr>
          <w:rFonts w:asciiTheme="minorHAnsi" w:hAnsiTheme="minorHAnsi"/>
          <w:lang w:val="es-ES_tradnl"/>
        </w:rPr>
        <w:t>(</w:t>
      </w:r>
      <w:hyperlink r:id="rId19" w:history="1">
        <w:r w:rsidRPr="00A66057">
          <w:rPr>
            <w:rStyle w:val="Hyperlink"/>
            <w:rFonts w:asciiTheme="minorHAnsi" w:hAnsiTheme="minorHAnsi"/>
            <w:lang w:val="es-ES_tradnl"/>
          </w:rPr>
          <w:t>https://www.itu.int/en/ITU-D/Pages/ITU-D-Anniversary-Awards.aspx</w:t>
        </w:r>
      </w:hyperlink>
      <w:r>
        <w:rPr>
          <w:rFonts w:asciiTheme="minorHAnsi" w:hAnsiTheme="minorHAnsi"/>
          <w:lang w:val="es-ES_tradnl"/>
        </w:rPr>
        <w:t xml:space="preserve">) </w:t>
      </w:r>
    </w:p>
    <w:p w:rsidR="00FA3AD6" w:rsidRPr="00690B5F" w:rsidRDefault="00FA3AD6" w:rsidP="004F11EF">
      <w:pPr>
        <w:rPr>
          <w:szCs w:val="24"/>
        </w:rPr>
      </w:pPr>
      <w:r w:rsidRPr="00690B5F">
        <w:rPr>
          <w:szCs w:val="24"/>
        </w:rPr>
        <w:t xml:space="preserve">Awards were also presented to </w:t>
      </w:r>
      <w:r w:rsidR="004F11EF">
        <w:rPr>
          <w:szCs w:val="24"/>
        </w:rPr>
        <w:t xml:space="preserve">Members </w:t>
      </w:r>
      <w:r w:rsidRPr="00690B5F">
        <w:rPr>
          <w:szCs w:val="24"/>
        </w:rPr>
        <w:t>in recognition of their contributions to ITU-D projects</w:t>
      </w:r>
      <w:r>
        <w:rPr>
          <w:szCs w:val="24"/>
        </w:rPr>
        <w:t xml:space="preserve"> with different categories such as the Administration, International/Regional Organization and Foundation: e.g., </w:t>
      </w:r>
      <w:r w:rsidRPr="00690B5F">
        <w:rPr>
          <w:szCs w:val="24"/>
        </w:rPr>
        <w:t xml:space="preserve">the Department of Communications and the Arts, Australian Government, the </w:t>
      </w:r>
      <w:r w:rsidRPr="000D4B68">
        <w:rPr>
          <w:szCs w:val="24"/>
          <w:highlight w:val="yellow"/>
        </w:rPr>
        <w:t>​</w:t>
      </w:r>
      <w:r w:rsidRPr="00690B5F">
        <w:rPr>
          <w:szCs w:val="24"/>
        </w:rPr>
        <w:t>European Commission and the Bill and Melinda Gates Foundation.</w:t>
      </w:r>
    </w:p>
    <w:p w:rsidR="00FA3AD6" w:rsidRPr="00843F99" w:rsidRDefault="00FA3AD6" w:rsidP="00F21E88">
      <w:pPr>
        <w:pStyle w:val="NormalWeb"/>
        <w:keepNext/>
        <w:shd w:val="clear" w:color="auto" w:fill="FFFFFF"/>
        <w:spacing w:before="120" w:beforeAutospacing="0" w:after="0" w:afterAutospacing="0"/>
        <w:ind w:left="567" w:hanging="567"/>
        <w:contextualSpacing/>
        <w:rPr>
          <w:rFonts w:asciiTheme="minorHAnsi" w:hAnsiTheme="minorHAnsi" w:cs="Segoe UI"/>
          <w:b/>
          <w:bCs/>
          <w:lang w:val="en-GB"/>
        </w:rPr>
      </w:pPr>
      <w:r w:rsidRPr="00986749">
        <w:rPr>
          <w:rFonts w:asciiTheme="minorHAnsi" w:hAnsiTheme="minorHAnsi" w:cs="Segoe UI"/>
          <w:b/>
          <w:bCs/>
          <w:lang w:val="en-GB"/>
        </w:rPr>
        <w:t>4.</w:t>
      </w:r>
      <w:r>
        <w:rPr>
          <w:rFonts w:asciiTheme="minorHAnsi" w:hAnsiTheme="minorHAnsi" w:cs="Segoe UI"/>
          <w:b/>
          <w:bCs/>
          <w:lang w:val="en-GB"/>
        </w:rPr>
        <w:t>3</w:t>
      </w:r>
      <w:r w:rsidR="00FD57D5">
        <w:rPr>
          <w:rFonts w:asciiTheme="minorHAnsi" w:hAnsiTheme="minorHAnsi" w:cs="Segoe UI"/>
          <w:b/>
          <w:bCs/>
          <w:lang w:val="en-GB"/>
        </w:rPr>
        <w:tab/>
      </w:r>
      <w:r w:rsidRPr="00986749">
        <w:rPr>
          <w:rFonts w:asciiTheme="minorHAnsi" w:hAnsiTheme="minorHAnsi" w:cs="Segoe UI"/>
          <w:b/>
          <w:bCs/>
          <w:lang w:val="en-GB"/>
        </w:rPr>
        <w:t>New platforms for engagement with Academia</w:t>
      </w:r>
      <w:r>
        <w:rPr>
          <w:rFonts w:asciiTheme="minorHAnsi" w:hAnsiTheme="minorHAnsi" w:cs="Segoe UI"/>
          <w:b/>
          <w:bCs/>
          <w:lang w:val="en-GB"/>
        </w:rPr>
        <w:t>:</w:t>
      </w:r>
      <w:r w:rsidRPr="00843F99">
        <w:rPr>
          <w:rFonts w:asciiTheme="minorHAnsi" w:hAnsiTheme="minorHAnsi" w:cs="Segoe UI"/>
          <w:b/>
          <w:bCs/>
          <w:lang w:val="en-GB"/>
        </w:rPr>
        <w:t xml:space="preserve"> </w:t>
      </w:r>
    </w:p>
    <w:p w:rsidR="00FA3AD6" w:rsidRPr="00690B5F" w:rsidRDefault="00FA3AD6" w:rsidP="000D4B68">
      <w:pPr>
        <w:shd w:val="clear" w:color="auto" w:fill="FFFFFF"/>
        <w:overflowPunct/>
        <w:autoSpaceDE/>
        <w:autoSpaceDN/>
        <w:adjustRightInd/>
        <w:textAlignment w:val="auto"/>
        <w:rPr>
          <w:rFonts w:cs="Segoe UI"/>
          <w:szCs w:val="24"/>
        </w:rPr>
      </w:pPr>
      <w:r w:rsidRPr="00690B5F">
        <w:rPr>
          <w:rFonts w:cs="Segoe UI"/>
          <w:szCs w:val="24"/>
        </w:rPr>
        <w:t xml:space="preserve">Academia fosters innovative and sustainable solutions by providing a space where talent, research and technology come together to solve the world's most pressing problems. With the increasing portfolio of Academia </w:t>
      </w:r>
      <w:r w:rsidR="004F11EF">
        <w:rPr>
          <w:rFonts w:cs="Segoe UI"/>
          <w:szCs w:val="24"/>
        </w:rPr>
        <w:t>M</w:t>
      </w:r>
      <w:r w:rsidR="004F11EF" w:rsidRPr="00690B5F">
        <w:rPr>
          <w:rFonts w:cs="Segoe UI"/>
          <w:szCs w:val="24"/>
        </w:rPr>
        <w:t>embers</w:t>
      </w:r>
      <w:r>
        <w:rPr>
          <w:rFonts w:cs="Segoe UI"/>
          <w:szCs w:val="24"/>
        </w:rPr>
        <w:t>,</w:t>
      </w:r>
      <w:r w:rsidRPr="00690B5F">
        <w:rPr>
          <w:rFonts w:cs="Segoe UI"/>
          <w:szCs w:val="24"/>
        </w:rPr>
        <w:t xml:space="preserve"> BDT </w:t>
      </w:r>
      <w:r>
        <w:rPr>
          <w:rFonts w:cs="Segoe UI"/>
          <w:szCs w:val="24"/>
        </w:rPr>
        <w:t xml:space="preserve">strengthened </w:t>
      </w:r>
      <w:r w:rsidRPr="00690B5F">
        <w:rPr>
          <w:rFonts w:cs="Segoe UI"/>
          <w:szCs w:val="24"/>
        </w:rPr>
        <w:t>various types of collaborative platforms in addition to existing ones - such as ITU Academy</w:t>
      </w:r>
      <w:r>
        <w:rPr>
          <w:rFonts w:cs="Segoe UI"/>
          <w:szCs w:val="24"/>
        </w:rPr>
        <w:t xml:space="preserve"> and</w:t>
      </w:r>
      <w:r w:rsidRPr="00690B5F">
        <w:rPr>
          <w:rFonts w:cs="Segoe UI"/>
          <w:szCs w:val="24"/>
        </w:rPr>
        <w:t xml:space="preserve"> ITU Journal amongst others. </w:t>
      </w:r>
    </w:p>
    <w:p w:rsidR="00FA3AD6" w:rsidRPr="00690B5F" w:rsidRDefault="00FA3AD6" w:rsidP="00F21E88">
      <w:pPr>
        <w:shd w:val="clear" w:color="auto" w:fill="FFFFFF"/>
        <w:overflowPunct/>
        <w:autoSpaceDE/>
        <w:autoSpaceDN/>
        <w:adjustRightInd/>
        <w:textAlignment w:val="auto"/>
        <w:rPr>
          <w:rFonts w:cs="Segoe UI"/>
          <w:szCs w:val="24"/>
        </w:rPr>
      </w:pPr>
      <w:r w:rsidRPr="00690B5F">
        <w:rPr>
          <w:rFonts w:cs="Segoe UI"/>
          <w:b/>
          <w:bCs/>
          <w:i/>
          <w:iCs/>
          <w:szCs w:val="24"/>
        </w:rPr>
        <w:t>The ITU-Academia Partnership Meeting</w:t>
      </w:r>
      <w:r w:rsidRPr="00690B5F">
        <w:rPr>
          <w:rFonts w:cs="Segoe UI"/>
          <w:szCs w:val="24"/>
        </w:rPr>
        <w:t xml:space="preserve">: </w:t>
      </w:r>
      <w:r w:rsidRPr="00336D70">
        <w:rPr>
          <w:rFonts w:cs="Segoe UI"/>
          <w:i/>
          <w:iCs/>
          <w:szCs w:val="24"/>
        </w:rPr>
        <w:t>Developing Skills for the Digital Era</w:t>
      </w:r>
      <w:r w:rsidRPr="00690B5F">
        <w:rPr>
          <w:rFonts w:cs="Segoe UI"/>
          <w:szCs w:val="24"/>
        </w:rPr>
        <w:t xml:space="preserve"> was held in Budapest, Hungary, on 19-21 September 2017 and contributed to enhanced cooperation between ITU and academic institutions, and between academic institutions and Centers of Excellence.</w:t>
      </w:r>
    </w:p>
    <w:p w:rsidR="00FA3AD6" w:rsidRPr="00690B5F" w:rsidRDefault="00FA3AD6" w:rsidP="002B1677">
      <w:pPr>
        <w:shd w:val="clear" w:color="auto" w:fill="FFFFFF"/>
        <w:overflowPunct/>
        <w:autoSpaceDE/>
        <w:autoSpaceDN/>
        <w:adjustRightInd/>
        <w:textAlignment w:val="auto"/>
        <w:rPr>
          <w:rFonts w:cs="Segoe UI"/>
          <w:szCs w:val="24"/>
        </w:rPr>
      </w:pPr>
      <w:r w:rsidRPr="00690B5F">
        <w:rPr>
          <w:rFonts w:cs="Segoe UI"/>
          <w:szCs w:val="24"/>
        </w:rPr>
        <w:t xml:space="preserve">In 2017, further to consultations with Academia </w:t>
      </w:r>
      <w:r w:rsidR="004F11EF">
        <w:rPr>
          <w:rFonts w:cs="Segoe UI"/>
          <w:szCs w:val="24"/>
        </w:rPr>
        <w:t>M</w:t>
      </w:r>
      <w:r w:rsidR="004F11EF" w:rsidRPr="00690B5F">
        <w:rPr>
          <w:rFonts w:cs="Segoe UI"/>
          <w:szCs w:val="24"/>
        </w:rPr>
        <w:t xml:space="preserve">embers </w:t>
      </w:r>
      <w:r w:rsidRPr="00690B5F">
        <w:rPr>
          <w:rFonts w:cs="Segoe UI"/>
          <w:szCs w:val="24"/>
        </w:rPr>
        <w:t xml:space="preserve">and prospects, BDT completed a </w:t>
      </w:r>
      <w:r w:rsidRPr="00690B5F">
        <w:rPr>
          <w:rFonts w:cs="Segoe UI"/>
          <w:b/>
          <w:bCs/>
          <w:szCs w:val="24"/>
        </w:rPr>
        <w:t xml:space="preserve"> collaborative research study </w:t>
      </w:r>
      <w:r w:rsidRPr="00690B5F">
        <w:rPr>
          <w:rFonts w:cs="Segoe UI"/>
          <w:szCs w:val="24"/>
        </w:rPr>
        <w:t xml:space="preserve">with renowned experts from the scientific community from around the world for an impact study on ICTs for sustainable development address the challenges and opportunities offered by ICTs in the areas of innovation, governance, education, job creation and economic growth. This academic-driven research was implemented through pro-bono work and research by leading authors. The book, </w:t>
      </w:r>
      <w:r w:rsidRPr="00690B5F">
        <w:rPr>
          <w:rStyle w:val="Strong"/>
          <w:rFonts w:cs="Segoe UI"/>
          <w:i/>
          <w:iCs/>
          <w:szCs w:val="24"/>
        </w:rPr>
        <w:t>"ICT-centric economic growth, innovation and job creation"</w:t>
      </w:r>
      <w:r w:rsidRPr="00690B5F">
        <w:rPr>
          <w:rStyle w:val="Strong"/>
          <w:rFonts w:cs="Segoe UI"/>
          <w:szCs w:val="24"/>
        </w:rPr>
        <w:t xml:space="preserve"> </w:t>
      </w:r>
      <w:r w:rsidRPr="00E85257">
        <w:rPr>
          <w:rStyle w:val="Strong"/>
          <w:rFonts w:cs="Segoe UI"/>
          <w:szCs w:val="24"/>
        </w:rPr>
        <w:t>[</w:t>
      </w:r>
      <w:r w:rsidR="004F11EF" w:rsidRPr="004F11EF">
        <w:rPr>
          <w:rStyle w:val="Strong"/>
          <w:rFonts w:cs="Segoe UI"/>
          <w:szCs w:val="24"/>
        </w:rPr>
        <w:t>https://www.itu.int/en/ITU-D/Pages/IMPACT-STUDY.aspx</w:t>
      </w:r>
      <w:r w:rsidRPr="00E85257">
        <w:rPr>
          <w:rStyle w:val="Strong"/>
          <w:rFonts w:cs="Segoe UI"/>
          <w:szCs w:val="24"/>
        </w:rPr>
        <w:t xml:space="preserve">] </w:t>
      </w:r>
      <w:r w:rsidRPr="00690B5F">
        <w:rPr>
          <w:rFonts w:cs="Segoe UI"/>
          <w:szCs w:val="24"/>
        </w:rPr>
        <w:t xml:space="preserve">was launched at the </w:t>
      </w:r>
      <w:r w:rsidRPr="008D0D70">
        <w:rPr>
          <w:rFonts w:cs="Segoe UI"/>
          <w:i/>
          <w:iCs/>
          <w:szCs w:val="24"/>
        </w:rPr>
        <w:t>Ministerial Roundtable on ICT</w:t>
      </w:r>
      <w:r w:rsidRPr="008D0D70">
        <w:rPr>
          <w:rFonts w:cs="Cambria Math"/>
          <w:i/>
          <w:iCs/>
          <w:szCs w:val="24"/>
        </w:rPr>
        <w:t>④</w:t>
      </w:r>
      <w:r w:rsidRPr="008D0D70">
        <w:rPr>
          <w:rFonts w:cs="Segoe UI"/>
          <w:i/>
          <w:iCs/>
          <w:szCs w:val="24"/>
        </w:rPr>
        <w:t>SDGs</w:t>
      </w:r>
      <w:r w:rsidRPr="00690B5F">
        <w:rPr>
          <w:rFonts w:cs="Segoe UI"/>
          <w:szCs w:val="24"/>
        </w:rPr>
        <w:t xml:space="preserve"> organized to celebrate the 25th Anniversary of the ITU Telecommunication Development Sector (ITU-D) </w:t>
      </w:r>
      <w:r>
        <w:rPr>
          <w:rFonts w:cs="Segoe UI"/>
          <w:szCs w:val="24"/>
        </w:rPr>
        <w:t xml:space="preserve">during the WTDC-17, </w:t>
      </w:r>
      <w:r w:rsidRPr="00690B5F">
        <w:rPr>
          <w:rFonts w:cs="Segoe UI"/>
          <w:szCs w:val="24"/>
        </w:rPr>
        <w:t>on 11</w:t>
      </w:r>
      <w:r w:rsidR="004F11EF">
        <w:rPr>
          <w:rFonts w:cs="Segoe UI"/>
          <w:szCs w:val="24"/>
        </w:rPr>
        <w:t> </w:t>
      </w:r>
      <w:r w:rsidRPr="00690B5F">
        <w:rPr>
          <w:rFonts w:cs="Segoe UI"/>
          <w:szCs w:val="24"/>
        </w:rPr>
        <w:t xml:space="preserve">October, 2017. </w:t>
      </w:r>
    </w:p>
    <w:p w:rsidR="00FA3AD6" w:rsidRPr="00690B5F" w:rsidRDefault="00FA3AD6" w:rsidP="00F21E88">
      <w:pPr>
        <w:pStyle w:val="NormalWeb"/>
        <w:shd w:val="clear" w:color="auto" w:fill="FFFFFF"/>
        <w:spacing w:before="120" w:beforeAutospacing="0" w:after="0" w:afterAutospacing="0"/>
        <w:rPr>
          <w:rFonts w:asciiTheme="minorHAnsi" w:hAnsiTheme="minorHAnsi" w:cs="Segoe UI"/>
          <w:lang w:val="en-GB" w:eastAsia="en-US"/>
        </w:rPr>
      </w:pPr>
      <w:r w:rsidRPr="00690B5F">
        <w:rPr>
          <w:rFonts w:asciiTheme="minorHAnsi" w:hAnsiTheme="minorHAnsi"/>
          <w:lang w:val="en-GB" w:eastAsia="en-US"/>
        </w:rPr>
        <w:t>I</w:t>
      </w:r>
      <w:r w:rsidRPr="00690B5F">
        <w:rPr>
          <w:rFonts w:asciiTheme="minorHAnsi" w:hAnsiTheme="minorHAnsi" w:cs="Segoe UI"/>
          <w:lang w:val="en-GB" w:eastAsia="en-US"/>
        </w:rPr>
        <w:t xml:space="preserve">n partnership with Argentina, BDT organized the joint event </w:t>
      </w:r>
      <w:r w:rsidRPr="00690B5F">
        <w:rPr>
          <w:rFonts w:asciiTheme="minorHAnsi" w:hAnsiTheme="minorHAnsi" w:cs="Segoe UI"/>
          <w:b/>
          <w:bCs/>
          <w:lang w:val="en-GB" w:eastAsia="en-US"/>
        </w:rPr>
        <w:t>“</w:t>
      </w:r>
      <w:r w:rsidRPr="00690B5F">
        <w:rPr>
          <w:rFonts w:asciiTheme="minorHAnsi" w:hAnsiTheme="minorHAnsi" w:cs="Segoe UI"/>
          <w:b/>
          <w:bCs/>
          <w:i/>
          <w:iCs/>
          <w:lang w:val="en-GB" w:eastAsia="en-US"/>
        </w:rPr>
        <w:t>Academia④SDGs: from research to innovative solutions to accelerate sustainable development</w:t>
      </w:r>
      <w:r w:rsidRPr="00690B5F">
        <w:rPr>
          <w:rFonts w:asciiTheme="minorHAnsi" w:hAnsiTheme="minorHAnsi" w:cs="Segoe UI"/>
          <w:b/>
          <w:bCs/>
          <w:lang w:val="en-GB" w:eastAsia="en-US"/>
        </w:rPr>
        <w:t>”</w:t>
      </w:r>
      <w:r w:rsidRPr="00690B5F">
        <w:rPr>
          <w:rFonts w:asciiTheme="minorHAnsi" w:hAnsiTheme="minorHAnsi" w:cs="Segoe UI"/>
          <w:lang w:val="en-GB" w:eastAsia="en-US"/>
        </w:rPr>
        <w:t xml:space="preserve"> during </w:t>
      </w:r>
      <w:r>
        <w:rPr>
          <w:rFonts w:asciiTheme="minorHAnsi" w:hAnsiTheme="minorHAnsi" w:cs="Segoe UI"/>
          <w:lang w:val="en-GB" w:eastAsia="en-US"/>
        </w:rPr>
        <w:t xml:space="preserve">the </w:t>
      </w:r>
      <w:r w:rsidRPr="00690B5F">
        <w:rPr>
          <w:rFonts w:asciiTheme="minorHAnsi" w:hAnsiTheme="minorHAnsi" w:cs="Segoe UI"/>
          <w:lang w:val="en-GB" w:eastAsia="en-US"/>
        </w:rPr>
        <w:t xml:space="preserve">WTDC-17, which attracted over 100 participants. Panellists showcased existing and new ITU-D platforms for Academia engagement and highlighting Academia-led projects and initiatives in ICT④SDGs. </w:t>
      </w:r>
      <w:hyperlink r:id="rId20" w:history="1">
        <w:r w:rsidRPr="00A66057">
          <w:rPr>
            <w:rStyle w:val="Hyperlink"/>
            <w:rFonts w:asciiTheme="minorHAnsi" w:hAnsiTheme="minorHAnsi" w:cs="Segoe UI"/>
            <w:lang w:val="en-GB" w:eastAsia="en-US"/>
          </w:rPr>
          <w:t>https://www.itu.int/en/ITU-D/Membership/Pages/WTDC17_Academia4SDGs.aspx</w:t>
        </w:r>
      </w:hyperlink>
      <w:r>
        <w:rPr>
          <w:rFonts w:asciiTheme="minorHAnsi" w:hAnsiTheme="minorHAnsi" w:cs="Segoe UI"/>
          <w:lang w:val="en-GB" w:eastAsia="en-US"/>
        </w:rPr>
        <w:t xml:space="preserve"> </w:t>
      </w:r>
    </w:p>
    <w:p w:rsidR="00FA3AD6" w:rsidRPr="00690B5F" w:rsidRDefault="00FA3AD6" w:rsidP="00F21E88">
      <w:pPr>
        <w:pStyle w:val="NormalWeb"/>
        <w:shd w:val="clear" w:color="auto" w:fill="FFFFFF"/>
        <w:spacing w:before="120" w:beforeAutospacing="0" w:after="0" w:afterAutospacing="0"/>
        <w:rPr>
          <w:rFonts w:asciiTheme="minorHAnsi" w:hAnsiTheme="minorHAnsi" w:cs="Segoe UI"/>
          <w:lang w:val="en-GB" w:eastAsia="en-US"/>
        </w:rPr>
      </w:pPr>
      <w:r w:rsidRPr="00690B5F">
        <w:rPr>
          <w:rFonts w:asciiTheme="minorHAnsi" w:hAnsiTheme="minorHAnsi" w:cs="Segoe UI"/>
          <w:lang w:val="en-GB" w:eastAsia="en-US"/>
        </w:rPr>
        <w:t xml:space="preserve">BDT </w:t>
      </w:r>
      <w:r>
        <w:rPr>
          <w:rFonts w:asciiTheme="minorHAnsi" w:hAnsiTheme="minorHAnsi" w:cs="Segoe UI"/>
          <w:lang w:val="en-GB" w:eastAsia="en-US"/>
        </w:rPr>
        <w:t xml:space="preserve">also undertook </w:t>
      </w:r>
      <w:r w:rsidRPr="00690B5F">
        <w:rPr>
          <w:rFonts w:asciiTheme="minorHAnsi" w:hAnsiTheme="minorHAnsi" w:cs="Segoe UI"/>
          <w:lang w:val="en-GB" w:eastAsia="en-US"/>
        </w:rPr>
        <w:t>outreach</w:t>
      </w:r>
      <w:r>
        <w:rPr>
          <w:rFonts w:asciiTheme="minorHAnsi" w:hAnsiTheme="minorHAnsi" w:cs="Segoe UI"/>
          <w:lang w:val="en-GB" w:eastAsia="en-US"/>
        </w:rPr>
        <w:t xml:space="preserve">ing activities for </w:t>
      </w:r>
      <w:r w:rsidRPr="00690B5F">
        <w:rPr>
          <w:rFonts w:asciiTheme="minorHAnsi" w:hAnsiTheme="minorHAnsi" w:cs="Segoe UI"/>
          <w:lang w:val="en-GB" w:eastAsia="en-US"/>
        </w:rPr>
        <w:t>Academia members</w:t>
      </w:r>
      <w:r>
        <w:rPr>
          <w:rFonts w:asciiTheme="minorHAnsi" w:hAnsiTheme="minorHAnsi" w:cs="Segoe UI"/>
          <w:lang w:val="en-GB" w:eastAsia="en-US"/>
        </w:rPr>
        <w:t xml:space="preserve">: e.g., </w:t>
      </w:r>
      <w:r w:rsidRPr="00690B5F">
        <w:rPr>
          <w:rFonts w:asciiTheme="minorHAnsi" w:hAnsiTheme="minorHAnsi" w:cs="Segoe UI"/>
          <w:lang w:val="en-GB" w:eastAsia="en-US"/>
        </w:rPr>
        <w:t>workshop for awareness raising of areas for academic engagement and mapping of potential areas for joint collaboration</w:t>
      </w:r>
      <w:r>
        <w:rPr>
          <w:rFonts w:asciiTheme="minorHAnsi" w:hAnsiTheme="minorHAnsi" w:cs="Segoe UI"/>
          <w:lang w:val="en-GB" w:eastAsia="en-US"/>
        </w:rPr>
        <w:t xml:space="preserve"> with </w:t>
      </w:r>
      <w:r w:rsidRPr="000250B9">
        <w:rPr>
          <w:rFonts w:asciiTheme="minorHAnsi" w:hAnsiTheme="minorHAnsi" w:cs="Segoe UI"/>
          <w:lang w:val="en-GB" w:eastAsia="en-US"/>
        </w:rPr>
        <w:t>University of Applied Sciences and Arts – Western Switzerland</w:t>
      </w:r>
      <w:r>
        <w:rPr>
          <w:rFonts w:asciiTheme="minorHAnsi" w:hAnsiTheme="minorHAnsi" w:cs="Segoe UI"/>
          <w:lang w:val="en-GB" w:eastAsia="en-US"/>
        </w:rPr>
        <w:t xml:space="preserve"> (</w:t>
      </w:r>
      <w:r w:rsidRPr="00690B5F">
        <w:rPr>
          <w:rFonts w:asciiTheme="minorHAnsi" w:hAnsiTheme="minorHAnsi" w:cs="Segoe UI"/>
          <w:lang w:val="en-GB" w:eastAsia="en-US"/>
        </w:rPr>
        <w:t>HES-SO</w:t>
      </w:r>
      <w:r>
        <w:rPr>
          <w:rFonts w:asciiTheme="minorHAnsi" w:hAnsiTheme="minorHAnsi" w:cs="Segoe UI"/>
          <w:lang w:val="en-GB" w:eastAsia="en-US"/>
        </w:rPr>
        <w:t>)</w:t>
      </w:r>
      <w:r w:rsidRPr="00690B5F">
        <w:rPr>
          <w:rFonts w:asciiTheme="minorHAnsi" w:hAnsiTheme="minorHAnsi" w:cs="Segoe UI"/>
          <w:lang w:val="en-GB" w:eastAsia="en-US"/>
        </w:rPr>
        <w:t xml:space="preserve"> networks and programs, ITU Academia members, and other research institutions. </w:t>
      </w:r>
    </w:p>
    <w:p w:rsidR="00FA3AD6" w:rsidRPr="00843F99" w:rsidRDefault="00FA3AD6" w:rsidP="00F21E88">
      <w:pPr>
        <w:keepNext/>
        <w:overflowPunct/>
        <w:autoSpaceDE/>
        <w:autoSpaceDN/>
        <w:adjustRightInd/>
        <w:ind w:left="567" w:hanging="567"/>
        <w:contextualSpacing/>
        <w:textAlignment w:val="auto"/>
        <w:rPr>
          <w:szCs w:val="24"/>
        </w:rPr>
      </w:pPr>
      <w:r w:rsidRPr="00843F99">
        <w:rPr>
          <w:b/>
          <w:bCs/>
          <w:szCs w:val="24"/>
        </w:rPr>
        <w:t>4.</w:t>
      </w:r>
      <w:r>
        <w:rPr>
          <w:b/>
          <w:bCs/>
          <w:szCs w:val="24"/>
        </w:rPr>
        <w:t>4</w:t>
      </w:r>
      <w:r w:rsidR="00FD57D5">
        <w:rPr>
          <w:b/>
          <w:bCs/>
          <w:szCs w:val="24"/>
        </w:rPr>
        <w:tab/>
      </w:r>
      <w:r w:rsidRPr="00843F99">
        <w:rPr>
          <w:b/>
          <w:bCs/>
          <w:szCs w:val="24"/>
        </w:rPr>
        <w:t>Enhancing private sector engagement in work of ITU-D</w:t>
      </w:r>
      <w:r w:rsidRPr="00843F99">
        <w:rPr>
          <w:szCs w:val="24"/>
        </w:rPr>
        <w:t xml:space="preserve">: </w:t>
      </w:r>
    </w:p>
    <w:p w:rsidR="00FA3AD6" w:rsidRPr="00690B5F" w:rsidRDefault="00FA3AD6" w:rsidP="0079704B">
      <w:pPr>
        <w:rPr>
          <w:rStyle w:val="ms-rtefontsize-1"/>
          <w:rFonts w:cs="Segoe UI"/>
          <w:szCs w:val="24"/>
          <w:lang w:val="en-US"/>
        </w:rPr>
      </w:pPr>
      <w:r w:rsidRPr="00690B5F">
        <w:rPr>
          <w:rStyle w:val="ms-rtefontsize-1"/>
          <w:rFonts w:cs="Segoe UI"/>
          <w:szCs w:val="24"/>
          <w:lang w:val="en-US"/>
        </w:rPr>
        <w:t>BDT</w:t>
      </w:r>
      <w:r>
        <w:rPr>
          <w:rStyle w:val="ms-rtefontsize-1"/>
          <w:rFonts w:cs="Segoe UI"/>
          <w:szCs w:val="24"/>
          <w:lang w:val="en-US"/>
        </w:rPr>
        <w:t xml:space="preserve"> </w:t>
      </w:r>
      <w:r w:rsidRPr="00690B5F">
        <w:rPr>
          <w:rStyle w:val="ms-rtefontsize-1"/>
          <w:rFonts w:cs="Segoe UI"/>
          <w:szCs w:val="24"/>
          <w:lang w:val="en-US"/>
        </w:rPr>
        <w:t>enhance</w:t>
      </w:r>
      <w:r>
        <w:rPr>
          <w:rStyle w:val="ms-rtefontsize-1"/>
          <w:rFonts w:cs="Segoe UI"/>
          <w:szCs w:val="24"/>
          <w:lang w:val="en-US"/>
        </w:rPr>
        <w:t>d</w:t>
      </w:r>
      <w:r w:rsidRPr="00690B5F">
        <w:rPr>
          <w:rStyle w:val="ms-rtefontsize-1"/>
          <w:rFonts w:cs="Segoe UI"/>
          <w:szCs w:val="24"/>
          <w:lang w:val="en-US"/>
        </w:rPr>
        <w:t xml:space="preserve"> collaboration and synergies with its private sector </w:t>
      </w:r>
      <w:r w:rsidR="004F11EF">
        <w:rPr>
          <w:rStyle w:val="ms-rtefontsize-1"/>
          <w:rFonts w:cs="Segoe UI"/>
          <w:szCs w:val="24"/>
          <w:lang w:val="en-US"/>
        </w:rPr>
        <w:t>M</w:t>
      </w:r>
      <w:r w:rsidR="004F11EF" w:rsidRPr="00690B5F">
        <w:rPr>
          <w:rStyle w:val="ms-rtefontsize-1"/>
          <w:rFonts w:cs="Segoe UI"/>
          <w:szCs w:val="24"/>
          <w:lang w:val="en-US"/>
        </w:rPr>
        <w:t xml:space="preserve">embers </w:t>
      </w:r>
      <w:r w:rsidRPr="00690B5F">
        <w:rPr>
          <w:rStyle w:val="ms-rtefontsize-1"/>
          <w:rFonts w:cs="Segoe UI"/>
          <w:szCs w:val="24"/>
          <w:lang w:val="en-US"/>
        </w:rPr>
        <w:t>in the converged ICT ecosystem through partnership</w:t>
      </w:r>
      <w:r w:rsidR="004F11EF">
        <w:rPr>
          <w:rStyle w:val="ms-rtefontsize-1"/>
          <w:rFonts w:cs="Segoe UI"/>
          <w:szCs w:val="24"/>
          <w:lang w:val="en-US"/>
        </w:rPr>
        <w:t>s</w:t>
      </w:r>
      <w:r w:rsidRPr="00690B5F">
        <w:rPr>
          <w:rStyle w:val="ms-rtefontsize-1"/>
          <w:rFonts w:cs="Segoe UI"/>
          <w:szCs w:val="24"/>
          <w:lang w:val="en-US"/>
        </w:rPr>
        <w:t xml:space="preserve"> with industry associations, regional and international organizations and their existing networks and affiliated members. In addition to the </w:t>
      </w:r>
      <w:r w:rsidR="0079704B">
        <w:rPr>
          <w:szCs w:val="24"/>
        </w:rPr>
        <w:t>m</w:t>
      </w:r>
      <w:r w:rsidR="0079704B" w:rsidRPr="00843F99">
        <w:rPr>
          <w:szCs w:val="24"/>
        </w:rPr>
        <w:t xml:space="preserve">embership </w:t>
      </w:r>
      <w:r w:rsidRPr="00690B5F">
        <w:rPr>
          <w:rStyle w:val="ms-rtefontsize-1"/>
          <w:rFonts w:cs="Segoe UI"/>
          <w:szCs w:val="24"/>
          <w:lang w:val="en-US"/>
        </w:rPr>
        <w:t>drive work carried out under ITU-D programs, projects, initiatives and actions, the Private Sector Chief Regulatory Officers (CRO) platform</w:t>
      </w:r>
      <w:r w:rsidR="00460084">
        <w:rPr>
          <w:rStyle w:val="ms-rtefontsize-1"/>
          <w:rFonts w:cs="Segoe UI"/>
          <w:szCs w:val="24"/>
          <w:lang w:val="en-US"/>
        </w:rPr>
        <w:t xml:space="preserve"> was put in place</w:t>
      </w:r>
      <w:r>
        <w:rPr>
          <w:rStyle w:val="ms-rtefontsize-1"/>
          <w:rFonts w:cs="Segoe UI"/>
          <w:szCs w:val="24"/>
          <w:lang w:val="en-US"/>
        </w:rPr>
        <w:t>,</w:t>
      </w:r>
      <w:r w:rsidRPr="00690B5F">
        <w:rPr>
          <w:rStyle w:val="ms-rtefontsize-1"/>
          <w:rFonts w:cs="Segoe UI"/>
          <w:szCs w:val="24"/>
          <w:lang w:val="en-US"/>
        </w:rPr>
        <w:t xml:space="preserve"> where private sector has been engaging through proposals and initiatives</w:t>
      </w:r>
      <w:r>
        <w:rPr>
          <w:rStyle w:val="ms-rtefontsize-1"/>
          <w:rFonts w:cs="Segoe UI"/>
          <w:szCs w:val="24"/>
          <w:lang w:val="en-US"/>
        </w:rPr>
        <w:t xml:space="preserve"> with</w:t>
      </w:r>
      <w:r w:rsidRPr="00690B5F">
        <w:rPr>
          <w:rStyle w:val="ms-rtefontsize-1"/>
          <w:rFonts w:cs="Segoe UI"/>
          <w:szCs w:val="24"/>
          <w:lang w:val="en-US"/>
        </w:rPr>
        <w:t xml:space="preserve"> regulatory bodies </w:t>
      </w:r>
      <w:r>
        <w:rPr>
          <w:rStyle w:val="ms-rtefontsize-1"/>
          <w:rFonts w:cs="Segoe UI"/>
          <w:szCs w:val="24"/>
          <w:lang w:val="en-US"/>
        </w:rPr>
        <w:t>to contribute to the</w:t>
      </w:r>
      <w:r w:rsidRPr="00690B5F">
        <w:rPr>
          <w:rStyle w:val="ms-rtefontsize-1"/>
          <w:rFonts w:cs="Segoe UI"/>
          <w:szCs w:val="24"/>
          <w:lang w:val="en-US"/>
        </w:rPr>
        <w:t xml:space="preserve"> Sustainable Development Goals (SDGs), Goal 17 in particular.</w:t>
      </w:r>
    </w:p>
    <w:p w:rsidR="00FA3AD6" w:rsidRPr="00986749" w:rsidRDefault="00FA3AD6" w:rsidP="00F21E88">
      <w:pPr>
        <w:rPr>
          <w:szCs w:val="24"/>
        </w:rPr>
      </w:pPr>
      <w:r w:rsidRPr="00843F99">
        <w:rPr>
          <w:szCs w:val="24"/>
        </w:rPr>
        <w:t>The 8th</w:t>
      </w:r>
      <w:r w:rsidRPr="00843F99">
        <w:rPr>
          <w:szCs w:val="24"/>
          <w:vertAlign w:val="superscript"/>
        </w:rPr>
        <w:t xml:space="preserve"> </w:t>
      </w:r>
      <w:r w:rsidRPr="00843F99">
        <w:rPr>
          <w:szCs w:val="24"/>
        </w:rPr>
        <w:t xml:space="preserve">edition of the </w:t>
      </w:r>
      <w:r w:rsidRPr="00690B5F">
        <w:rPr>
          <w:b/>
          <w:bCs/>
          <w:i/>
          <w:iCs/>
          <w:szCs w:val="24"/>
        </w:rPr>
        <w:t>Private Sector Chief Regulatory Officers (CRO) meeting</w:t>
      </w:r>
      <w:r w:rsidRPr="00843F99">
        <w:rPr>
          <w:b/>
          <w:bCs/>
          <w:szCs w:val="24"/>
        </w:rPr>
        <w:t xml:space="preserve"> </w:t>
      </w:r>
      <w:r w:rsidRPr="00843F99">
        <w:rPr>
          <w:szCs w:val="24"/>
        </w:rPr>
        <w:t xml:space="preserve">and CRO Working Group (CRO WG) on Digital Financial Inclusion (DFI) were </w:t>
      </w:r>
      <w:r w:rsidRPr="00734505">
        <w:rPr>
          <w:szCs w:val="24"/>
        </w:rPr>
        <w:t xml:space="preserve">held in 2017 during the Global Symposium for Regulators (GSR-17). It brought </w:t>
      </w:r>
      <w:r w:rsidRPr="00986749">
        <w:rPr>
          <w:szCs w:val="24"/>
        </w:rPr>
        <w:t xml:space="preserve">together senior industry executives to share </w:t>
      </w:r>
      <w:r w:rsidRPr="00986749">
        <w:rPr>
          <w:szCs w:val="24"/>
        </w:rPr>
        <w:lastRenderedPageBreak/>
        <w:t xml:space="preserve">experiences and exchange ideas on how to strengthen the private sector’s involvement and engagement in global, regional and national initiatives and to identify mechanisms to better foster an enabling regulatory and collaborative environment for future development of the sector. </w:t>
      </w:r>
      <w:hyperlink r:id="rId21" w:history="1">
        <w:r w:rsidRPr="00A66057">
          <w:rPr>
            <w:rStyle w:val="Hyperlink"/>
            <w:szCs w:val="24"/>
          </w:rPr>
          <w:t>https://www.itu.int/en/ITU-D/Conferences/CRO/Pages/CRO8.default.aspx</w:t>
        </w:r>
      </w:hyperlink>
      <w:r>
        <w:rPr>
          <w:szCs w:val="24"/>
        </w:rPr>
        <w:t xml:space="preserve"> </w:t>
      </w:r>
    </w:p>
    <w:p w:rsidR="00FA3AD6" w:rsidRPr="00986749" w:rsidRDefault="00FA3AD6" w:rsidP="00F21E88">
      <w:pPr>
        <w:rPr>
          <w:bCs/>
          <w:szCs w:val="24"/>
        </w:rPr>
      </w:pPr>
      <w:r w:rsidRPr="00986749">
        <w:rPr>
          <w:bCs/>
          <w:szCs w:val="24"/>
        </w:rPr>
        <w:t xml:space="preserve">Also during GSR-17, the </w:t>
      </w:r>
      <w:r w:rsidRPr="00690B5F">
        <w:rPr>
          <w:b/>
          <w:i/>
          <w:iCs/>
          <w:szCs w:val="24"/>
        </w:rPr>
        <w:t>Industry Leader’s Debate</w:t>
      </w:r>
      <w:r w:rsidRPr="00734505">
        <w:rPr>
          <w:bCs/>
          <w:szCs w:val="24"/>
        </w:rPr>
        <w:t xml:space="preserve"> focused on “Emerging technologies as enablers of socio-economic development</w:t>
      </w:r>
      <w:r w:rsidRPr="00986749">
        <w:rPr>
          <w:bCs/>
          <w:szCs w:val="24"/>
        </w:rPr>
        <w:t>” and “Collaborative approaches between public and private sector and the role of strategic partnerships”, where the industry shared on the impact of these technologies and solutions offered by industry across the sectors on digital transformation on society, and explored potential opportunities for partnerships between the private sector, government and other actors to leverage the benefits of digital transformation for society.</w:t>
      </w:r>
    </w:p>
    <w:p w:rsidR="00FA3AD6" w:rsidRPr="00690B5F" w:rsidRDefault="00FA3AD6" w:rsidP="000D4B68">
      <w:pPr>
        <w:rPr>
          <w:rStyle w:val="ms-rtefontsize-1"/>
          <w:rFonts w:cs="Segoe UI"/>
          <w:b/>
          <w:bCs/>
          <w:szCs w:val="24"/>
          <w:highlight w:val="yellow"/>
          <w:lang w:val="en-US"/>
        </w:rPr>
      </w:pPr>
      <w:r w:rsidRPr="00690B5F">
        <w:rPr>
          <w:rStyle w:val="ms-rtefontsize-1"/>
          <w:rFonts w:cs="Segoe UI"/>
          <w:szCs w:val="24"/>
          <w:lang w:val="en-US"/>
        </w:rPr>
        <w:t xml:space="preserve">The </w:t>
      </w:r>
      <w:r w:rsidRPr="000D4B68">
        <w:rPr>
          <w:rStyle w:val="ms-rtefontsize-1"/>
          <w:rFonts w:cs="Segoe UI"/>
          <w:b/>
          <w:bCs/>
          <w:i/>
          <w:iCs/>
          <w:szCs w:val="24"/>
        </w:rPr>
        <w:t>Public-</w:t>
      </w:r>
      <w:hyperlink r:id="rId22" w:anchor="ChildVerticalTab_13" w:history="1">
        <w:r w:rsidRPr="000D4B68">
          <w:rPr>
            <w:rStyle w:val="ms-rtefontsize-1"/>
            <w:rFonts w:cs="Segoe UI"/>
            <w:b/>
            <w:bCs/>
            <w:i/>
            <w:iCs/>
            <w:szCs w:val="24"/>
          </w:rPr>
          <w:t xml:space="preserve">Private Sector Roundtable on </w:t>
        </w:r>
        <w:r w:rsidRPr="000D4B68">
          <w:rPr>
            <w:rStyle w:val="ms-rtefontsize-1"/>
            <w:rFonts w:cs="Segoe UI"/>
            <w:b/>
            <w:bCs/>
            <w:i/>
            <w:iCs/>
            <w:szCs w:val="24"/>
            <w:lang w:val="en-US"/>
          </w:rPr>
          <w:t>"Partnering for SGDs"</w:t>
        </w:r>
      </w:hyperlink>
      <w:r w:rsidRPr="00690B5F">
        <w:rPr>
          <w:rStyle w:val="ms-rtefontsize-1"/>
          <w:rFonts w:cs="Segoe UI"/>
          <w:szCs w:val="24"/>
          <w:lang w:val="en-US"/>
        </w:rPr>
        <w:t xml:space="preserve"> took place on 8 October 2017 as a pre-event to </w:t>
      </w:r>
      <w:r w:rsidRPr="00E85257">
        <w:rPr>
          <w:rStyle w:val="ms-rtefontsize-1"/>
          <w:rFonts w:cs="Segoe UI"/>
          <w:szCs w:val="24"/>
          <w:lang w:val="en-US"/>
        </w:rPr>
        <w:t>WTDC-17</w:t>
      </w:r>
      <w:r>
        <w:rPr>
          <w:rStyle w:val="ms-rtefontsize-1"/>
          <w:rFonts w:cs="Segoe UI"/>
          <w:szCs w:val="24"/>
          <w:lang w:val="en-US"/>
        </w:rPr>
        <w:t>,</w:t>
      </w:r>
      <w:r w:rsidRPr="00690B5F">
        <w:rPr>
          <w:rStyle w:val="ms-rtefontsize-1"/>
          <w:rFonts w:cs="Segoe UI"/>
          <w:szCs w:val="24"/>
          <w:lang w:val="en-US"/>
        </w:rPr>
        <w:t xml:space="preserve"> with more than 100 participants. The private sector has a fundamental role in advancing the newly-adopted sustainable development agenda. It is a driver of innovation, productivity and technological </w:t>
      </w:r>
      <w:r w:rsidR="00460084" w:rsidRPr="00690B5F">
        <w:rPr>
          <w:rStyle w:val="ms-rtefontsize-1"/>
          <w:rFonts w:cs="Segoe UI"/>
          <w:szCs w:val="24"/>
          <w:lang w:val="en-US"/>
        </w:rPr>
        <w:t>efficienc</w:t>
      </w:r>
      <w:r w:rsidR="00460084">
        <w:rPr>
          <w:rStyle w:val="ms-rtefontsize-1"/>
          <w:rFonts w:cs="Segoe UI"/>
          <w:szCs w:val="24"/>
          <w:lang w:val="en-US"/>
        </w:rPr>
        <w:t>y</w:t>
      </w:r>
      <w:r w:rsidR="00460084" w:rsidRPr="00690B5F">
        <w:rPr>
          <w:rStyle w:val="ms-rtefontsize-1"/>
          <w:rFonts w:cs="Segoe UI"/>
          <w:szCs w:val="24"/>
          <w:lang w:val="en-US"/>
        </w:rPr>
        <w:t xml:space="preserve"> </w:t>
      </w:r>
      <w:r w:rsidRPr="00690B5F">
        <w:rPr>
          <w:rStyle w:val="ms-rtefontsize-1"/>
          <w:rFonts w:cs="Segoe UI"/>
          <w:szCs w:val="24"/>
          <w:lang w:val="en-US"/>
        </w:rPr>
        <w:t>and will remain an important player in terms of investment for sustainable economic growth, job creation, and transformation towards an inclusive society and digital economy. </w:t>
      </w:r>
      <w:r w:rsidRPr="00690B5F">
        <w:rPr>
          <w:rFonts w:cstheme="minorHAnsi"/>
          <w:szCs w:val="24"/>
        </w:rPr>
        <w:t xml:space="preserve"> </w:t>
      </w:r>
      <w:r>
        <w:rPr>
          <w:rFonts w:cstheme="minorHAnsi"/>
          <w:szCs w:val="24"/>
        </w:rPr>
        <w:t>T</w:t>
      </w:r>
      <w:r w:rsidRPr="00690B5F">
        <w:rPr>
          <w:rFonts w:cstheme="minorHAnsi"/>
          <w:szCs w:val="24"/>
        </w:rPr>
        <w:t>he roundtable highlighted CRO progress and outcomes, collected inputs and recommendations to further promote enhanced cooperation between Member States, Sector Members, Associates and Academia.</w:t>
      </w:r>
      <w:r>
        <w:rPr>
          <w:rFonts w:cstheme="minorHAnsi"/>
          <w:szCs w:val="24"/>
        </w:rPr>
        <w:t xml:space="preserve"> </w:t>
      </w:r>
      <w:hyperlink r:id="rId23" w:history="1">
        <w:r w:rsidRPr="00A66057">
          <w:rPr>
            <w:rStyle w:val="Hyperlink"/>
            <w:rFonts w:cstheme="minorHAnsi"/>
            <w:szCs w:val="24"/>
          </w:rPr>
          <w:t>https://www.itu.int/en/ITU-D/Conferences/CRO/Pages/CRO8.default.aspx</w:t>
        </w:r>
      </w:hyperlink>
      <w:r>
        <w:rPr>
          <w:rFonts w:cstheme="minorHAnsi"/>
          <w:szCs w:val="24"/>
        </w:rPr>
        <w:t xml:space="preserve"> </w:t>
      </w:r>
    </w:p>
    <w:p w:rsidR="00FA3AD6" w:rsidRPr="008C530C" w:rsidRDefault="00FA3AD6" w:rsidP="00F21E88">
      <w:pPr>
        <w:pStyle w:val="ListParagraph"/>
        <w:keepNext/>
        <w:numPr>
          <w:ilvl w:val="0"/>
          <w:numId w:val="8"/>
        </w:numPr>
        <w:tabs>
          <w:tab w:val="clear" w:pos="1134"/>
          <w:tab w:val="clear" w:pos="1871"/>
          <w:tab w:val="clear" w:pos="2268"/>
        </w:tabs>
        <w:overflowPunct/>
        <w:autoSpaceDE/>
        <w:autoSpaceDN/>
        <w:adjustRightInd/>
        <w:ind w:left="567" w:hanging="567"/>
        <w:textAlignment w:val="auto"/>
        <w:rPr>
          <w:b/>
          <w:sz w:val="28"/>
          <w:szCs w:val="28"/>
        </w:rPr>
      </w:pPr>
      <w:r w:rsidRPr="008C530C">
        <w:rPr>
          <w:b/>
          <w:sz w:val="28"/>
          <w:szCs w:val="28"/>
        </w:rPr>
        <w:t>Ways Forward</w:t>
      </w:r>
    </w:p>
    <w:p w:rsidR="00FA3AD6" w:rsidRPr="00690B5F" w:rsidRDefault="00FA3AD6" w:rsidP="0079704B">
      <w:pPr>
        <w:rPr>
          <w:szCs w:val="24"/>
          <w:lang w:val="en-US"/>
        </w:rPr>
      </w:pPr>
      <w:r w:rsidRPr="00734505">
        <w:rPr>
          <w:szCs w:val="24"/>
        </w:rPr>
        <w:t xml:space="preserve">While ITU-D programs, projects, initiatives and activities under its areas of action provide products and services for </w:t>
      </w:r>
      <w:r>
        <w:rPr>
          <w:szCs w:val="24"/>
        </w:rPr>
        <w:t xml:space="preserve">ITU </w:t>
      </w:r>
      <w:r w:rsidR="0079704B">
        <w:rPr>
          <w:szCs w:val="24"/>
        </w:rPr>
        <w:t>m</w:t>
      </w:r>
      <w:r w:rsidR="0079704B" w:rsidRPr="00843F99">
        <w:rPr>
          <w:szCs w:val="24"/>
        </w:rPr>
        <w:t>embership</w:t>
      </w:r>
      <w:r w:rsidRPr="00734505">
        <w:rPr>
          <w:szCs w:val="24"/>
        </w:rPr>
        <w:t xml:space="preserve">, BDT will </w:t>
      </w:r>
      <w:r w:rsidRPr="00690B5F">
        <w:rPr>
          <w:szCs w:val="24"/>
          <w:lang w:val="en-US"/>
        </w:rPr>
        <w:t xml:space="preserve">strengthen its </w:t>
      </w:r>
      <w:r w:rsidR="0079704B">
        <w:rPr>
          <w:szCs w:val="24"/>
        </w:rPr>
        <w:t>m</w:t>
      </w:r>
      <w:r w:rsidR="0079704B" w:rsidRPr="00843F99">
        <w:rPr>
          <w:szCs w:val="24"/>
        </w:rPr>
        <w:t xml:space="preserve">embership </w:t>
      </w:r>
      <w:r w:rsidRPr="00690B5F">
        <w:rPr>
          <w:szCs w:val="24"/>
          <w:lang w:val="en-US"/>
        </w:rPr>
        <w:t>services, products, and communication tools for greater engagement with existing, new and prospective members</w:t>
      </w:r>
      <w:r>
        <w:rPr>
          <w:szCs w:val="24"/>
          <w:lang w:val="en-US"/>
        </w:rPr>
        <w:t xml:space="preserve"> including Academia through innovative and inclusive multi-stakeholder partnership platform</w:t>
      </w:r>
      <w:r w:rsidR="00460084">
        <w:rPr>
          <w:szCs w:val="24"/>
          <w:lang w:val="en-US"/>
        </w:rPr>
        <w:t>s</w:t>
      </w:r>
      <w:r>
        <w:rPr>
          <w:szCs w:val="24"/>
          <w:lang w:val="en-US"/>
        </w:rPr>
        <w:t>.</w:t>
      </w:r>
    </w:p>
    <w:p w:rsidR="00FA3AD6" w:rsidRPr="00690B5F" w:rsidRDefault="00FA3AD6" w:rsidP="000D4B68">
      <w:pPr>
        <w:rPr>
          <w:szCs w:val="24"/>
          <w:lang w:val="en-US"/>
        </w:rPr>
      </w:pPr>
      <w:r w:rsidRPr="00690B5F">
        <w:rPr>
          <w:szCs w:val="24"/>
          <w:lang w:val="en-US"/>
        </w:rPr>
        <w:t>Following Council 2017</w:t>
      </w:r>
      <w:r w:rsidR="00460084">
        <w:rPr>
          <w:szCs w:val="24"/>
          <w:lang w:val="en-US"/>
        </w:rPr>
        <w:t>’s</w:t>
      </w:r>
      <w:r w:rsidRPr="00690B5F">
        <w:rPr>
          <w:szCs w:val="24"/>
          <w:lang w:val="en-US"/>
        </w:rPr>
        <w:t xml:space="preserve"> decision </w:t>
      </w:r>
      <w:r w:rsidR="00460084">
        <w:rPr>
          <w:szCs w:val="24"/>
          <w:lang w:val="en-US"/>
        </w:rPr>
        <w:t>for</w:t>
      </w:r>
      <w:r w:rsidR="00460084" w:rsidRPr="00690B5F">
        <w:rPr>
          <w:szCs w:val="24"/>
          <w:lang w:val="en-US"/>
        </w:rPr>
        <w:t xml:space="preserve"> </w:t>
      </w:r>
      <w:r w:rsidRPr="00690B5F">
        <w:rPr>
          <w:szCs w:val="24"/>
          <w:lang w:val="en-US"/>
        </w:rPr>
        <w:t xml:space="preserve">trial participation of Small and Medium Enterprises (SMEs) in ITU-T and ITU-D study groups, BDT will kick off the implementation of the pilot project for participation of in ITU-D </w:t>
      </w:r>
      <w:r>
        <w:rPr>
          <w:szCs w:val="24"/>
          <w:lang w:val="en-US"/>
        </w:rPr>
        <w:t>S</w:t>
      </w:r>
      <w:r w:rsidRPr="00690B5F">
        <w:rPr>
          <w:szCs w:val="24"/>
          <w:lang w:val="en-US"/>
        </w:rPr>
        <w:t xml:space="preserve">tudy </w:t>
      </w:r>
      <w:r>
        <w:rPr>
          <w:szCs w:val="24"/>
          <w:lang w:val="en-US"/>
        </w:rPr>
        <w:t>G</w:t>
      </w:r>
      <w:r w:rsidRPr="00690B5F">
        <w:rPr>
          <w:szCs w:val="24"/>
          <w:lang w:val="en-US"/>
        </w:rPr>
        <w:t>roups new study period as from 2018, for which the progress will be reported to Council and PP-18. BDT will also foster increased ITU Academia engagement in IT</w:t>
      </w:r>
      <w:r>
        <w:rPr>
          <w:szCs w:val="24"/>
          <w:lang w:val="en-US"/>
        </w:rPr>
        <w:t>U-D study groups and ITU Academy, in particular</w:t>
      </w:r>
      <w:r w:rsidRPr="00690B5F">
        <w:rPr>
          <w:szCs w:val="24"/>
          <w:lang w:val="en-US"/>
        </w:rPr>
        <w:t xml:space="preserve">. </w:t>
      </w:r>
    </w:p>
    <w:p w:rsidR="00FA3AD6" w:rsidRPr="00803FC1" w:rsidRDefault="00FA3AD6" w:rsidP="000D4B68">
      <w:pPr>
        <w:rPr>
          <w:rFonts w:ascii="Calibri" w:hAnsi="Calibri"/>
          <w:szCs w:val="24"/>
          <w:lang w:val="en-US"/>
        </w:rPr>
      </w:pPr>
      <w:r w:rsidRPr="00690B5F">
        <w:rPr>
          <w:szCs w:val="24"/>
          <w:lang w:val="en-US"/>
        </w:rPr>
        <w:t>The implementation of the recently revised and approved WTDC Res</w:t>
      </w:r>
      <w:r w:rsidR="00460084">
        <w:rPr>
          <w:szCs w:val="24"/>
          <w:lang w:val="en-US"/>
        </w:rPr>
        <w:t>olution</w:t>
      </w:r>
      <w:r w:rsidR="00460084" w:rsidRPr="00690B5F">
        <w:rPr>
          <w:szCs w:val="24"/>
          <w:lang w:val="en-US"/>
        </w:rPr>
        <w:t xml:space="preserve"> </w:t>
      </w:r>
      <w:r w:rsidRPr="00690B5F">
        <w:rPr>
          <w:szCs w:val="24"/>
          <w:lang w:val="en-US"/>
        </w:rPr>
        <w:t>71 (Rev. Buenos Aires, 2017)</w:t>
      </w:r>
      <w:r>
        <w:rPr>
          <w:szCs w:val="24"/>
          <w:lang w:val="en-US"/>
        </w:rPr>
        <w:t>,</w:t>
      </w:r>
      <w:r w:rsidRPr="00690B5F">
        <w:rPr>
          <w:szCs w:val="24"/>
          <w:lang w:val="en-US"/>
        </w:rPr>
        <w:t xml:space="preserve"> particularly the establishment of the ITU-D Industry Advisory Group for Development (IAGD)</w:t>
      </w:r>
      <w:r>
        <w:rPr>
          <w:szCs w:val="24"/>
          <w:lang w:val="en-US"/>
        </w:rPr>
        <w:t>,</w:t>
      </w:r>
      <w:r w:rsidRPr="00690B5F">
        <w:rPr>
          <w:szCs w:val="24"/>
          <w:lang w:val="en-US"/>
        </w:rPr>
        <w:t xml:space="preserve"> will begin in 2018. Along with </w:t>
      </w:r>
      <w:r w:rsidR="00460084">
        <w:rPr>
          <w:szCs w:val="24"/>
          <w:lang w:val="en-US"/>
        </w:rPr>
        <w:t xml:space="preserve">the </w:t>
      </w:r>
      <w:r w:rsidRPr="00690B5F">
        <w:rPr>
          <w:szCs w:val="24"/>
          <w:lang w:val="en-US"/>
        </w:rPr>
        <w:t xml:space="preserve">CRO meeting, the </w:t>
      </w:r>
      <w:r w:rsidR="00460084">
        <w:rPr>
          <w:szCs w:val="24"/>
          <w:lang w:val="en-US"/>
        </w:rPr>
        <w:t xml:space="preserve">First </w:t>
      </w:r>
      <w:r w:rsidRPr="00690B5F">
        <w:rPr>
          <w:szCs w:val="24"/>
          <w:lang w:val="en-US"/>
        </w:rPr>
        <w:t xml:space="preserve">IAGD meeting </w:t>
      </w:r>
      <w:r>
        <w:rPr>
          <w:szCs w:val="24"/>
          <w:lang w:val="en-US"/>
        </w:rPr>
        <w:t>will</w:t>
      </w:r>
      <w:r w:rsidRPr="00690B5F">
        <w:rPr>
          <w:szCs w:val="24"/>
          <w:lang w:val="en-US"/>
        </w:rPr>
        <w:t xml:space="preserve"> take place </w:t>
      </w:r>
      <w:r w:rsidR="00460084">
        <w:rPr>
          <w:szCs w:val="24"/>
          <w:lang w:val="en-US"/>
        </w:rPr>
        <w:t>during</w:t>
      </w:r>
      <w:r w:rsidR="00460084" w:rsidRPr="00690B5F">
        <w:rPr>
          <w:szCs w:val="24"/>
          <w:lang w:val="en-US"/>
        </w:rPr>
        <w:t xml:space="preserve"> </w:t>
      </w:r>
      <w:r w:rsidRPr="00690B5F">
        <w:rPr>
          <w:szCs w:val="24"/>
          <w:lang w:val="en-US"/>
        </w:rPr>
        <w:t>GSR-18, in July</w:t>
      </w:r>
      <w:r>
        <w:rPr>
          <w:szCs w:val="24"/>
          <w:lang w:val="en-US"/>
        </w:rPr>
        <w:t xml:space="preserve"> 2018</w:t>
      </w:r>
      <w:r w:rsidRPr="00690B5F">
        <w:rPr>
          <w:szCs w:val="24"/>
          <w:lang w:val="en-US"/>
        </w:rPr>
        <w:t xml:space="preserve">, </w:t>
      </w:r>
      <w:r w:rsidR="00460084">
        <w:rPr>
          <w:szCs w:val="24"/>
          <w:lang w:val="en-US"/>
        </w:rPr>
        <w:t xml:space="preserve">in </w:t>
      </w:r>
      <w:r w:rsidRPr="00690B5F">
        <w:rPr>
          <w:szCs w:val="24"/>
          <w:lang w:val="en-US"/>
        </w:rPr>
        <w:t xml:space="preserve">Geneva. </w:t>
      </w:r>
      <w:r w:rsidRPr="00803FC1">
        <w:rPr>
          <w:rFonts w:ascii="Calibri" w:hAnsi="Calibri"/>
          <w:szCs w:val="24"/>
          <w:lang w:val="en-US"/>
        </w:rPr>
        <w:t>Private sector is invited to actively participate in IAGD and contribute to ITU-D’s mandate to achieve the Sustainable Development Goals (SDGs).</w:t>
      </w:r>
    </w:p>
    <w:p w:rsidR="00FA3AD6" w:rsidRPr="00690B5F" w:rsidRDefault="00FA3AD6" w:rsidP="0079704B">
      <w:pPr>
        <w:rPr>
          <w:rFonts w:cs="Segoe UI"/>
          <w:szCs w:val="24"/>
        </w:rPr>
      </w:pPr>
      <w:r>
        <w:rPr>
          <w:rFonts w:ascii="Calibri" w:hAnsi="Calibri"/>
          <w:szCs w:val="24"/>
        </w:rPr>
        <w:t>The</w:t>
      </w:r>
      <w:r w:rsidRPr="0062424D">
        <w:rPr>
          <w:rFonts w:ascii="Calibri" w:hAnsi="Calibri"/>
          <w:szCs w:val="24"/>
        </w:rPr>
        <w:t xml:space="preserve"> diverse nature of </w:t>
      </w:r>
      <w:r>
        <w:rPr>
          <w:rFonts w:ascii="Calibri" w:hAnsi="Calibri"/>
          <w:szCs w:val="24"/>
        </w:rPr>
        <w:t>S</w:t>
      </w:r>
      <w:r w:rsidRPr="0062424D">
        <w:rPr>
          <w:rFonts w:ascii="Calibri" w:hAnsi="Calibri"/>
          <w:szCs w:val="24"/>
        </w:rPr>
        <w:t xml:space="preserve">ector </w:t>
      </w:r>
      <w:r>
        <w:rPr>
          <w:rFonts w:ascii="Calibri" w:hAnsi="Calibri"/>
          <w:szCs w:val="24"/>
        </w:rPr>
        <w:t>M</w:t>
      </w:r>
      <w:r w:rsidRPr="0062424D">
        <w:rPr>
          <w:rFonts w:ascii="Calibri" w:hAnsi="Calibri"/>
          <w:szCs w:val="24"/>
        </w:rPr>
        <w:t xml:space="preserve">embers, </w:t>
      </w:r>
      <w:r>
        <w:rPr>
          <w:rFonts w:ascii="Calibri" w:hAnsi="Calibri"/>
          <w:szCs w:val="24"/>
        </w:rPr>
        <w:t>A</w:t>
      </w:r>
      <w:r w:rsidRPr="0062424D">
        <w:rPr>
          <w:rFonts w:ascii="Calibri" w:hAnsi="Calibri"/>
          <w:szCs w:val="24"/>
        </w:rPr>
        <w:t xml:space="preserve">ssociates and increasing number of Academia </w:t>
      </w:r>
      <w:r>
        <w:rPr>
          <w:rFonts w:ascii="Calibri" w:hAnsi="Calibri"/>
          <w:szCs w:val="24"/>
        </w:rPr>
        <w:t>continues to foster</w:t>
      </w:r>
      <w:r w:rsidRPr="0062424D">
        <w:rPr>
          <w:rFonts w:ascii="Calibri" w:hAnsi="Calibri"/>
          <w:szCs w:val="24"/>
        </w:rPr>
        <w:t xml:space="preserve"> fertile ground for collaboration </w:t>
      </w:r>
      <w:r>
        <w:rPr>
          <w:rFonts w:ascii="Calibri" w:hAnsi="Calibri"/>
          <w:szCs w:val="24"/>
        </w:rPr>
        <w:t xml:space="preserve">and exchange in a converged ICT ecosystem. BDT will </w:t>
      </w:r>
      <w:r w:rsidRPr="00690B5F">
        <w:rPr>
          <w:szCs w:val="24"/>
          <w:lang w:val="en-US"/>
        </w:rPr>
        <w:t xml:space="preserve">continue to focus on a multi-stakeholder </w:t>
      </w:r>
      <w:r>
        <w:rPr>
          <w:szCs w:val="24"/>
          <w:lang w:val="en-US"/>
        </w:rPr>
        <w:t>approaches for</w:t>
      </w:r>
      <w:r w:rsidRPr="00690B5F">
        <w:rPr>
          <w:szCs w:val="24"/>
          <w:lang w:val="en-US"/>
        </w:rPr>
        <w:t xml:space="preserve"> </w:t>
      </w:r>
      <w:r>
        <w:rPr>
          <w:szCs w:val="24"/>
          <w:lang w:val="en-US"/>
        </w:rPr>
        <w:t xml:space="preserve">enhanced engagement and partnerships with </w:t>
      </w:r>
      <w:r w:rsidR="0079704B">
        <w:rPr>
          <w:szCs w:val="24"/>
        </w:rPr>
        <w:t>m</w:t>
      </w:r>
      <w:r w:rsidR="0079704B" w:rsidRPr="00843F99">
        <w:rPr>
          <w:szCs w:val="24"/>
        </w:rPr>
        <w:t xml:space="preserve">embership </w:t>
      </w:r>
      <w:r w:rsidRPr="00803FC1">
        <w:rPr>
          <w:rFonts w:ascii="Calibri" w:hAnsi="Calibri"/>
          <w:szCs w:val="24"/>
          <w:lang w:val="en-US"/>
        </w:rPr>
        <w:t>and their networks and</w:t>
      </w:r>
      <w:r>
        <w:rPr>
          <w:rFonts w:ascii="Calibri" w:hAnsi="Calibri"/>
          <w:szCs w:val="24"/>
          <w:lang w:val="en-US"/>
        </w:rPr>
        <w:t xml:space="preserve"> associations</w:t>
      </w:r>
      <w:r w:rsidRPr="00803FC1">
        <w:rPr>
          <w:rFonts w:ascii="Calibri" w:hAnsi="Calibri"/>
          <w:szCs w:val="24"/>
          <w:lang w:val="en-US"/>
        </w:rPr>
        <w:t xml:space="preserve"> affiliated members, as well as through existing and new BDT events at global and regional levels.</w:t>
      </w:r>
    </w:p>
    <w:p w:rsidR="00FA3AD6" w:rsidRPr="00690B5F" w:rsidRDefault="00FA3AD6" w:rsidP="00FD57D5">
      <w:pPr>
        <w:jc w:val="both"/>
        <w:rPr>
          <w:bCs/>
          <w:szCs w:val="24"/>
        </w:rPr>
      </w:pPr>
    </w:p>
    <w:p w:rsidR="00FA3AD6" w:rsidRPr="00CF4CB2" w:rsidRDefault="00FA3AD6" w:rsidP="00FA3AD6">
      <w:pPr>
        <w:jc w:val="center"/>
        <w:rPr>
          <w:lang w:val="en-US" w:eastAsia="zh-CN"/>
        </w:rPr>
      </w:pPr>
      <w:r w:rsidRPr="00690B5F">
        <w:rPr>
          <w:szCs w:val="24"/>
          <w:lang w:val="en-US" w:eastAsia="zh-CN"/>
        </w:rPr>
        <w:t>_________________</w:t>
      </w:r>
      <w:r w:rsidRPr="00CF4CB2">
        <w:rPr>
          <w:lang w:val="en-US" w:eastAsia="zh-CN"/>
        </w:rPr>
        <w:t>___</w:t>
      </w:r>
    </w:p>
    <w:sectPr w:rsidR="00FA3AD6" w:rsidRPr="00CF4CB2" w:rsidSect="0039169B">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D4" w:rsidRDefault="003547D4">
      <w:r>
        <w:separator/>
      </w:r>
    </w:p>
  </w:endnote>
  <w:endnote w:type="continuationSeparator" w:id="0">
    <w:p w:rsidR="003547D4" w:rsidRDefault="0035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C4759">
      <w:rPr>
        <w:noProof/>
        <w:lang w:val="en-US"/>
      </w:rPr>
      <w:t>P:\SUP\Meetings\TDAG\2018-23rd\Documents\C\020E_v2_ITU-D Membership.docx</w:t>
    </w:r>
    <w:r>
      <w:fldChar w:fldCharType="end"/>
    </w:r>
    <w:r w:rsidRPr="0041348E">
      <w:rPr>
        <w:lang w:val="en-US"/>
      </w:rPr>
      <w:tab/>
    </w:r>
    <w:r>
      <w:fldChar w:fldCharType="begin"/>
    </w:r>
    <w:r>
      <w:instrText xml:space="preserve"> SAVEDATE \@ DD.MM.YY </w:instrText>
    </w:r>
    <w:r>
      <w:fldChar w:fldCharType="separate"/>
    </w:r>
    <w:r w:rsidR="007D5793">
      <w:rPr>
        <w:noProof/>
      </w:rPr>
      <w:t>15.01.18</w:t>
    </w:r>
    <w:r>
      <w:fldChar w:fldCharType="end"/>
    </w:r>
    <w:r w:rsidRPr="0041348E">
      <w:rPr>
        <w:lang w:val="en-US"/>
      </w:rPr>
      <w:tab/>
    </w:r>
    <w:r>
      <w:fldChar w:fldCharType="begin"/>
    </w:r>
    <w:r>
      <w:instrText xml:space="preserve"> PRINTDATE \@ DD.MM.YY </w:instrText>
    </w:r>
    <w:r>
      <w:fldChar w:fldCharType="separate"/>
    </w:r>
    <w:r w:rsidR="005C4759">
      <w:rPr>
        <w:noProof/>
      </w:rPr>
      <w:t>12.01.18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A3AD6" w:rsidRPr="009359B8" w:rsidTr="00743DE5">
      <w:tc>
        <w:tcPr>
          <w:tcW w:w="1526" w:type="dxa"/>
          <w:tcBorders>
            <w:top w:val="single" w:sz="4" w:space="0" w:color="000000"/>
          </w:tcBorders>
          <w:shd w:val="clear" w:color="auto" w:fill="auto"/>
        </w:tcPr>
        <w:p w:rsidR="00FA3AD6" w:rsidRPr="004D495C" w:rsidRDefault="00FA3AD6" w:rsidP="00FA3AD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A3AD6" w:rsidRPr="004D495C" w:rsidRDefault="00FA3AD6" w:rsidP="00FA3AD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FA3AD6" w:rsidRPr="00103886" w:rsidRDefault="00FA3AD6" w:rsidP="00FA3AD6">
          <w:pPr>
            <w:pStyle w:val="FirstFooter"/>
            <w:tabs>
              <w:tab w:val="left" w:pos="1201"/>
            </w:tabs>
            <w:rPr>
              <w:sz w:val="18"/>
              <w:szCs w:val="18"/>
              <w:lang w:val="en-US"/>
            </w:rPr>
          </w:pPr>
          <w:r>
            <w:rPr>
              <w:sz w:val="18"/>
              <w:szCs w:val="18"/>
              <w:lang w:val="en-US"/>
            </w:rPr>
            <w:t xml:space="preserve">Ms Eun-Jun Kim, Chief, Innovation and Partnership Department </w:t>
          </w:r>
          <w:r w:rsidRPr="00547039">
            <w:rPr>
              <w:sz w:val="18"/>
              <w:szCs w:val="18"/>
            </w:rPr>
            <w:t>Telecommunication Development Bureau</w:t>
          </w:r>
        </w:p>
      </w:tc>
    </w:tr>
    <w:tr w:rsidR="00FA3AD6" w:rsidRPr="009359B8" w:rsidTr="00743DE5">
      <w:tc>
        <w:tcPr>
          <w:tcW w:w="1526" w:type="dxa"/>
          <w:shd w:val="clear" w:color="auto" w:fill="auto"/>
        </w:tcPr>
        <w:p w:rsidR="00FA3AD6" w:rsidRPr="004D495C" w:rsidRDefault="00FA3AD6" w:rsidP="00FA3AD6">
          <w:pPr>
            <w:pStyle w:val="FirstFooter"/>
            <w:tabs>
              <w:tab w:val="left" w:pos="1559"/>
              <w:tab w:val="left" w:pos="3828"/>
            </w:tabs>
            <w:rPr>
              <w:sz w:val="20"/>
              <w:lang w:val="en-US"/>
            </w:rPr>
          </w:pPr>
        </w:p>
      </w:tc>
      <w:tc>
        <w:tcPr>
          <w:tcW w:w="2410" w:type="dxa"/>
          <w:shd w:val="clear" w:color="auto" w:fill="auto"/>
        </w:tcPr>
        <w:p w:rsidR="00FA3AD6" w:rsidRPr="004D495C" w:rsidRDefault="00FA3AD6" w:rsidP="00FA3AD6">
          <w:pPr>
            <w:pStyle w:val="FirstFooter"/>
            <w:tabs>
              <w:tab w:val="left" w:pos="2302"/>
            </w:tabs>
            <w:rPr>
              <w:sz w:val="18"/>
              <w:szCs w:val="18"/>
              <w:lang w:val="en-US"/>
            </w:rPr>
          </w:pPr>
          <w:r w:rsidRPr="004D495C">
            <w:rPr>
              <w:sz w:val="18"/>
              <w:szCs w:val="18"/>
              <w:lang w:val="en-US"/>
            </w:rPr>
            <w:t>Phone number:</w:t>
          </w:r>
        </w:p>
      </w:tc>
      <w:tc>
        <w:tcPr>
          <w:tcW w:w="5987" w:type="dxa"/>
        </w:tcPr>
        <w:p w:rsidR="00FA3AD6" w:rsidRPr="00103886" w:rsidRDefault="00FA3AD6" w:rsidP="00FA3AD6">
          <w:pPr>
            <w:pStyle w:val="FirstFooter"/>
            <w:tabs>
              <w:tab w:val="left" w:pos="2302"/>
            </w:tabs>
            <w:rPr>
              <w:sz w:val="18"/>
              <w:szCs w:val="18"/>
              <w:lang w:val="en-US"/>
            </w:rPr>
          </w:pPr>
          <w:r>
            <w:rPr>
              <w:sz w:val="18"/>
              <w:szCs w:val="18"/>
              <w:lang w:val="en-US"/>
            </w:rPr>
            <w:t>+41 22 730 5900</w:t>
          </w:r>
        </w:p>
      </w:tc>
    </w:tr>
    <w:tr w:rsidR="00FA3AD6" w:rsidRPr="009359B8" w:rsidTr="00743DE5">
      <w:tc>
        <w:tcPr>
          <w:tcW w:w="1526" w:type="dxa"/>
          <w:shd w:val="clear" w:color="auto" w:fill="auto"/>
        </w:tcPr>
        <w:p w:rsidR="00FA3AD6" w:rsidRPr="004D495C" w:rsidRDefault="00FA3AD6" w:rsidP="00FA3AD6">
          <w:pPr>
            <w:pStyle w:val="FirstFooter"/>
            <w:tabs>
              <w:tab w:val="left" w:pos="1559"/>
              <w:tab w:val="left" w:pos="3828"/>
            </w:tabs>
            <w:rPr>
              <w:sz w:val="20"/>
              <w:lang w:val="en-US"/>
            </w:rPr>
          </w:pPr>
        </w:p>
      </w:tc>
      <w:tc>
        <w:tcPr>
          <w:tcW w:w="2410" w:type="dxa"/>
          <w:shd w:val="clear" w:color="auto" w:fill="auto"/>
        </w:tcPr>
        <w:p w:rsidR="00FA3AD6" w:rsidRPr="004D495C" w:rsidRDefault="00FA3AD6" w:rsidP="00FA3AD6">
          <w:pPr>
            <w:pStyle w:val="FirstFooter"/>
            <w:tabs>
              <w:tab w:val="left" w:pos="2302"/>
            </w:tabs>
            <w:rPr>
              <w:sz w:val="18"/>
              <w:szCs w:val="18"/>
              <w:lang w:val="en-US"/>
            </w:rPr>
          </w:pPr>
          <w:r w:rsidRPr="004D495C">
            <w:rPr>
              <w:sz w:val="18"/>
              <w:szCs w:val="18"/>
              <w:lang w:val="en-US"/>
            </w:rPr>
            <w:t>E-mail:</w:t>
          </w:r>
        </w:p>
      </w:tc>
      <w:tc>
        <w:tcPr>
          <w:tcW w:w="5987" w:type="dxa"/>
        </w:tcPr>
        <w:p w:rsidR="00FA3AD6" w:rsidRPr="00103886" w:rsidRDefault="007D5793" w:rsidP="00FA3AD6">
          <w:pPr>
            <w:pStyle w:val="FirstFooter"/>
            <w:tabs>
              <w:tab w:val="left" w:pos="2302"/>
            </w:tabs>
            <w:rPr>
              <w:sz w:val="18"/>
              <w:szCs w:val="18"/>
              <w:lang w:val="en-US"/>
            </w:rPr>
          </w:pPr>
          <w:hyperlink r:id="rId1" w:history="1">
            <w:r w:rsidR="00FA3AD6" w:rsidRPr="00996114">
              <w:rPr>
                <w:rStyle w:val="Hyperlink"/>
                <w:sz w:val="18"/>
                <w:szCs w:val="18"/>
                <w:lang w:val="en-US"/>
              </w:rPr>
              <w:t>eun-ju.kim@itu.int</w:t>
            </w:r>
          </w:hyperlink>
          <w:r w:rsidR="00FA3AD6">
            <w:rPr>
              <w:sz w:val="18"/>
              <w:szCs w:val="18"/>
              <w:lang w:val="en-US"/>
            </w:rPr>
            <w:t xml:space="preserve"> </w:t>
          </w:r>
        </w:p>
      </w:tc>
    </w:tr>
  </w:tbl>
  <w:p w:rsidR="00E45D05" w:rsidRPr="00D83BF5" w:rsidRDefault="007D5793"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D4" w:rsidRDefault="003547D4">
      <w:r>
        <w:rPr>
          <w:b/>
        </w:rPr>
        <w:t>_______________</w:t>
      </w:r>
    </w:p>
  </w:footnote>
  <w:footnote w:type="continuationSeparator" w:id="0">
    <w:p w:rsidR="003547D4" w:rsidRDefault="003547D4">
      <w:r>
        <w:continuationSeparator/>
      </w:r>
    </w:p>
  </w:footnote>
  <w:footnote w:id="1">
    <w:p w:rsidR="00FA3AD6" w:rsidRPr="0026635A" w:rsidRDefault="00FA3AD6" w:rsidP="002B1677">
      <w:pPr>
        <w:pStyle w:val="FootnoteText"/>
        <w:rPr>
          <w:lang w:val="en-US"/>
        </w:rPr>
      </w:pPr>
      <w:r>
        <w:rPr>
          <w:rStyle w:val="FootnoteReference"/>
        </w:rPr>
        <w:footnoteRef/>
      </w:r>
      <w:r>
        <w:t xml:space="preserve"> </w:t>
      </w:r>
      <w:r w:rsidR="002B1677">
        <w:t>Refer to</w:t>
      </w:r>
      <w:r w:rsidRPr="0026635A">
        <w:t xml:space="preserve"> </w:t>
      </w:r>
      <w:r>
        <w:t>PP</w:t>
      </w:r>
      <w:r w:rsidR="002B1677">
        <w:t>-10</w:t>
      </w:r>
      <w:r>
        <w:t xml:space="preserve"> </w:t>
      </w:r>
      <w:r w:rsidRPr="0026635A">
        <w:t>Res</w:t>
      </w:r>
      <w:r>
        <w:t>olution 169 (Guadalajara, 2010)</w:t>
      </w:r>
      <w:r w:rsidR="002B1677">
        <w:t>,</w:t>
      </w:r>
      <w:r>
        <w:t xml:space="preserve"> which enabled the new category of Academia participation in the work of ITU.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FD57D5">
    <w:pPr>
      <w:tabs>
        <w:tab w:val="clear" w:pos="1134"/>
        <w:tab w:val="clear" w:pos="1871"/>
        <w:tab w:val="clear" w:pos="2268"/>
        <w:tab w:val="center" w:pos="4820"/>
        <w:tab w:val="right" w:pos="9638"/>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FA3AD6">
      <w:rPr>
        <w:sz w:val="22"/>
        <w:szCs w:val="22"/>
        <w:lang w:val="es-ES_tradnl"/>
      </w:rPr>
      <w:t>20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D5793">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B77860"/>
    <w:multiLevelType w:val="multilevel"/>
    <w:tmpl w:val="93F499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412E"/>
    <w:rsid w:val="000355FD"/>
    <w:rsid w:val="00051E39"/>
    <w:rsid w:val="00075C63"/>
    <w:rsid w:val="00077239"/>
    <w:rsid w:val="00080905"/>
    <w:rsid w:val="000822BE"/>
    <w:rsid w:val="00086491"/>
    <w:rsid w:val="00091346"/>
    <w:rsid w:val="000B7B59"/>
    <w:rsid w:val="000D4875"/>
    <w:rsid w:val="000D4B68"/>
    <w:rsid w:val="000F73FF"/>
    <w:rsid w:val="00114CF7"/>
    <w:rsid w:val="00123B68"/>
    <w:rsid w:val="00126F2E"/>
    <w:rsid w:val="00146F6F"/>
    <w:rsid w:val="00147DA1"/>
    <w:rsid w:val="00152957"/>
    <w:rsid w:val="00187BD9"/>
    <w:rsid w:val="00190B55"/>
    <w:rsid w:val="00194CFB"/>
    <w:rsid w:val="001B2ED3"/>
    <w:rsid w:val="001B7EA3"/>
    <w:rsid w:val="001C3B5F"/>
    <w:rsid w:val="001D058F"/>
    <w:rsid w:val="001E252D"/>
    <w:rsid w:val="002009EA"/>
    <w:rsid w:val="00202CA0"/>
    <w:rsid w:val="002154A6"/>
    <w:rsid w:val="002162CD"/>
    <w:rsid w:val="002255B3"/>
    <w:rsid w:val="00236E8A"/>
    <w:rsid w:val="00237CFC"/>
    <w:rsid w:val="00271316"/>
    <w:rsid w:val="00296313"/>
    <w:rsid w:val="002B1677"/>
    <w:rsid w:val="002B3C84"/>
    <w:rsid w:val="002D58BE"/>
    <w:rsid w:val="003013EE"/>
    <w:rsid w:val="003547D4"/>
    <w:rsid w:val="00377BD3"/>
    <w:rsid w:val="00384088"/>
    <w:rsid w:val="0038489B"/>
    <w:rsid w:val="0039169B"/>
    <w:rsid w:val="003A7F8C"/>
    <w:rsid w:val="003B532E"/>
    <w:rsid w:val="003B6F14"/>
    <w:rsid w:val="003D0F8B"/>
    <w:rsid w:val="003F240D"/>
    <w:rsid w:val="004131D4"/>
    <w:rsid w:val="0041348E"/>
    <w:rsid w:val="00422116"/>
    <w:rsid w:val="00447308"/>
    <w:rsid w:val="00460084"/>
    <w:rsid w:val="004765FF"/>
    <w:rsid w:val="00492075"/>
    <w:rsid w:val="004969AD"/>
    <w:rsid w:val="004B13CB"/>
    <w:rsid w:val="004B4FDF"/>
    <w:rsid w:val="004D5D5C"/>
    <w:rsid w:val="004F11EF"/>
    <w:rsid w:val="0050139F"/>
    <w:rsid w:val="00521223"/>
    <w:rsid w:val="00524DF1"/>
    <w:rsid w:val="005455CE"/>
    <w:rsid w:val="0055140B"/>
    <w:rsid w:val="00554C4F"/>
    <w:rsid w:val="00561D72"/>
    <w:rsid w:val="00590B78"/>
    <w:rsid w:val="005964AB"/>
    <w:rsid w:val="005B44F5"/>
    <w:rsid w:val="005B7509"/>
    <w:rsid w:val="005C099A"/>
    <w:rsid w:val="005C31A5"/>
    <w:rsid w:val="005C4759"/>
    <w:rsid w:val="005E10C9"/>
    <w:rsid w:val="005E61DD"/>
    <w:rsid w:val="005E6321"/>
    <w:rsid w:val="005F5F32"/>
    <w:rsid w:val="006023DF"/>
    <w:rsid w:val="0064322F"/>
    <w:rsid w:val="00657DE0"/>
    <w:rsid w:val="0067199F"/>
    <w:rsid w:val="00677048"/>
    <w:rsid w:val="00685313"/>
    <w:rsid w:val="006A6E9B"/>
    <w:rsid w:val="006B7C2A"/>
    <w:rsid w:val="006C23DA"/>
    <w:rsid w:val="006E3D45"/>
    <w:rsid w:val="007149F9"/>
    <w:rsid w:val="00733A30"/>
    <w:rsid w:val="00745AEE"/>
    <w:rsid w:val="007479EA"/>
    <w:rsid w:val="00750F10"/>
    <w:rsid w:val="007742CA"/>
    <w:rsid w:val="0079704B"/>
    <w:rsid w:val="007D06F0"/>
    <w:rsid w:val="007D45E3"/>
    <w:rsid w:val="007D5320"/>
    <w:rsid w:val="007D5793"/>
    <w:rsid w:val="007F735C"/>
    <w:rsid w:val="00800972"/>
    <w:rsid w:val="00804475"/>
    <w:rsid w:val="00811633"/>
    <w:rsid w:val="00821CEF"/>
    <w:rsid w:val="00832828"/>
    <w:rsid w:val="0083645A"/>
    <w:rsid w:val="00840B0F"/>
    <w:rsid w:val="008711AE"/>
    <w:rsid w:val="00872FC8"/>
    <w:rsid w:val="008801D3"/>
    <w:rsid w:val="008845D0"/>
    <w:rsid w:val="008A3933"/>
    <w:rsid w:val="008B43F2"/>
    <w:rsid w:val="008B61EA"/>
    <w:rsid w:val="008B6CFF"/>
    <w:rsid w:val="008B7245"/>
    <w:rsid w:val="008C530C"/>
    <w:rsid w:val="008D0D70"/>
    <w:rsid w:val="00910B26"/>
    <w:rsid w:val="009274B4"/>
    <w:rsid w:val="00934EA2"/>
    <w:rsid w:val="00944A5C"/>
    <w:rsid w:val="00952A66"/>
    <w:rsid w:val="009B75FF"/>
    <w:rsid w:val="009C56E5"/>
    <w:rsid w:val="009E0496"/>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639E9"/>
    <w:rsid w:val="00B817CD"/>
    <w:rsid w:val="00B911B2"/>
    <w:rsid w:val="00B951D0"/>
    <w:rsid w:val="00B95DA2"/>
    <w:rsid w:val="00BB29C8"/>
    <w:rsid w:val="00BB3A95"/>
    <w:rsid w:val="00BC0382"/>
    <w:rsid w:val="00BD62C6"/>
    <w:rsid w:val="00BE4CB7"/>
    <w:rsid w:val="00C0018F"/>
    <w:rsid w:val="00C20466"/>
    <w:rsid w:val="00C214ED"/>
    <w:rsid w:val="00C234E6"/>
    <w:rsid w:val="00C324A8"/>
    <w:rsid w:val="00C5142C"/>
    <w:rsid w:val="00C54517"/>
    <w:rsid w:val="00C64CD8"/>
    <w:rsid w:val="00C97C68"/>
    <w:rsid w:val="00CA1A47"/>
    <w:rsid w:val="00CC247A"/>
    <w:rsid w:val="00CE5E47"/>
    <w:rsid w:val="00CF020F"/>
    <w:rsid w:val="00CF2B5B"/>
    <w:rsid w:val="00D14CE0"/>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21E88"/>
    <w:rsid w:val="00F65C19"/>
    <w:rsid w:val="00FA3AD6"/>
    <w:rsid w:val="00FD2546"/>
    <w:rsid w:val="00FD57D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FA3AD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A3AD6"/>
    <w:rPr>
      <w:rFonts w:ascii="Calibri" w:eastAsia="SimSun" w:hAnsi="Calibri" w:cs="Simplified Arabic"/>
      <w:sz w:val="22"/>
      <w:szCs w:val="19"/>
      <w:lang w:val="en-GB" w:eastAsia="en-US"/>
    </w:rPr>
  </w:style>
  <w:style w:type="paragraph" w:styleId="NormalWeb">
    <w:name w:val="Normal (Web)"/>
    <w:basedOn w:val="Normal"/>
    <w:uiPriority w:val="99"/>
    <w:unhideWhenUsed/>
    <w:rsid w:val="00FA3AD6"/>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FA3AD6"/>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FA3AD6"/>
    <w:rPr>
      <w:rFonts w:ascii="Calibri" w:eastAsiaTheme="minorEastAsia" w:hAnsi="Calibri" w:cstheme="minorBidi"/>
      <w:sz w:val="22"/>
      <w:szCs w:val="21"/>
    </w:rPr>
  </w:style>
  <w:style w:type="character" w:customStyle="1" w:styleId="ListParagraphChar">
    <w:name w:val="List Paragraph Char"/>
    <w:aliases w:val="List Paragraph1 Char,Recommendation Char,List Paragraph11 Char"/>
    <w:basedOn w:val="DefaultParagraphFont"/>
    <w:link w:val="ListParagraph"/>
    <w:uiPriority w:val="34"/>
    <w:rsid w:val="00FA3AD6"/>
    <w:rPr>
      <w:rFonts w:asciiTheme="minorHAnsi" w:hAnsiTheme="minorHAnsi"/>
      <w:sz w:val="24"/>
      <w:lang w:val="en-GB" w:eastAsia="en-US"/>
    </w:rPr>
  </w:style>
  <w:style w:type="character" w:styleId="Strong">
    <w:name w:val="Strong"/>
    <w:basedOn w:val="DefaultParagraphFont"/>
    <w:uiPriority w:val="22"/>
    <w:qFormat/>
    <w:rsid w:val="00FA3AD6"/>
    <w:rPr>
      <w:b/>
      <w:bCs/>
    </w:rPr>
  </w:style>
  <w:style w:type="character" w:customStyle="1" w:styleId="ms-rtefontsize-1">
    <w:name w:val="ms-rtefontsize-1"/>
    <w:basedOn w:val="DefaultParagraphFont"/>
    <w:rsid w:val="00FA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www.itu.int/en/ITU-D/Membership/Pages/defaul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en/ITU-D/Conferences/CRO/Pages/CRO8.default.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www.itu.int/en/ITU-D/Membership/Pages/WTDC17_Academia4SDG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yperlink" Target="https://www.itu.int/en/ITU-D/Conferences/CRO/Pages/CRO8.default.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en/ITU-D/Pages/ITU-D-Anniversary-Aw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yperlink" Target="http://www.itu.int/en/ITU-D/Conferences/WTDC/WTDC17/Pages/Programme-PreEvents.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8\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a:t>Chart</a:t>
            </a:r>
            <a:r>
              <a:rPr lang="en-GB" baseline="0"/>
              <a:t> 1 </a:t>
            </a:r>
            <a:r>
              <a:rPr lang="en-GB"/>
              <a:t>Evolution of ITU-D Sector Membership</a:t>
            </a:r>
          </a:p>
        </c:rich>
      </c:tx>
      <c:layout>
        <c:manualLayout>
          <c:xMode val="edge"/>
          <c:yMode val="edge"/>
          <c:x val="0.38088861646785171"/>
          <c:y val="4.5935175262855454E-2"/>
        </c:manualLayout>
      </c:layout>
      <c:overlay val="0"/>
      <c:spPr>
        <a:noFill/>
        <a:ln w="25400">
          <a:noFill/>
        </a:ln>
      </c:spPr>
    </c:title>
    <c:autoTitleDeleted val="0"/>
    <c:plotArea>
      <c:layout>
        <c:manualLayout>
          <c:layoutTarget val="inner"/>
          <c:xMode val="edge"/>
          <c:yMode val="edge"/>
          <c:x val="5.9722303225780198E-2"/>
          <c:y val="0.19279131528677257"/>
          <c:w val="0.92045064726190662"/>
          <c:h val="0.6677556725527652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3352036085309696E-2"/>
                  <c:y val="2.47272049573684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2.0259533426585149E-2"/>
                  <c:y val="-3.57593170676150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Sheet2!$B$122:$Y$122</c:f>
              <c:numCache>
                <c:formatCode>General</c:formatCode>
                <c:ptCount val="24"/>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numCache>
            </c:numRef>
          </c:val>
          <c:smooth val="0"/>
        </c:ser>
        <c:dLbls>
          <c:showLegendKey val="0"/>
          <c:showVal val="0"/>
          <c:showCatName val="0"/>
          <c:showSerName val="0"/>
          <c:showPercent val="0"/>
          <c:showBubbleSize val="0"/>
        </c:dLbls>
        <c:marker val="1"/>
        <c:smooth val="0"/>
        <c:axId val="148086800"/>
        <c:axId val="148087976"/>
      </c:lineChart>
      <c:catAx>
        <c:axId val="14808680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8087976"/>
        <c:crosses val="autoZero"/>
        <c:auto val="0"/>
        <c:lblAlgn val="ctr"/>
        <c:lblOffset val="100"/>
        <c:tickLblSkip val="1"/>
        <c:tickMarkSkip val="1"/>
        <c:noMultiLvlLbl val="0"/>
      </c:catAx>
      <c:valAx>
        <c:axId val="148087976"/>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8086800"/>
        <c:crosses val="autoZero"/>
        <c:crossBetween val="midCat"/>
      </c:valAx>
      <c:spPr>
        <a:gradFill rotWithShape="0">
          <a:gsLst>
            <a:gs pos="0">
              <a:srgbClr val="CCFFCC"/>
            </a:gs>
            <a:gs pos="100000">
              <a:srgbClr val="FFFFFF"/>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r>
              <a:rPr lang="en-GB" sz="900" cap="none" baseline="0">
                <a:solidFill>
                  <a:sysClr val="windowText" lastClr="000000"/>
                </a:solidFill>
              </a:rPr>
              <a:t>Chart 2 </a:t>
            </a:r>
          </a:p>
          <a:p>
            <a:pPr>
              <a:defRPr>
                <a:solidFill>
                  <a:sysClr val="windowText" lastClr="000000"/>
                </a:solidFill>
              </a:defRPr>
            </a:pPr>
            <a:r>
              <a:rPr lang="en-GB" sz="900" cap="none" baseline="0">
                <a:solidFill>
                  <a:sysClr val="windowText" lastClr="000000"/>
                </a:solidFill>
              </a:rPr>
              <a:t>ITU-D Sector Membership by Category - 2017 </a:t>
            </a:r>
          </a:p>
        </c:rich>
      </c:tx>
      <c:layout>
        <c:manualLayout>
          <c:xMode val="edge"/>
          <c:yMode val="edge"/>
          <c:x val="1.0561529271206694E-2"/>
          <c:y val="3.6068944990123664E-3"/>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cap="flat" cmpd="sng" algn="ctr">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126</c:v>
                </c:pt>
                <c:pt idx="1">
                  <c:v>12</c:v>
                </c:pt>
                <c:pt idx="2">
                  <c:v>318</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48690599158976094"/>
          <c:w val="0.28183813649433637"/>
          <c:h val="0.4841221460220698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Chart 3 </a:t>
            </a:r>
          </a:p>
          <a:p>
            <a:pPr>
              <a:defRPr sz="1000" b="1" i="0" u="none" strike="noStrike" baseline="0">
                <a:solidFill>
                  <a:srgbClr val="000000"/>
                </a:solidFill>
                <a:latin typeface="Arial"/>
                <a:ea typeface="Arial"/>
                <a:cs typeface="Arial"/>
              </a:defRPr>
            </a:pPr>
            <a:r>
              <a:rPr lang="en-GB" sz="900">
                <a:latin typeface="+mn-lt"/>
              </a:rPr>
              <a:t>ITU</a:t>
            </a:r>
            <a:r>
              <a:rPr lang="en-GB" sz="900" baseline="0">
                <a:latin typeface="+mn-lt"/>
              </a:rPr>
              <a:t>-D Sector Membership by Region - 2017</a:t>
            </a: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1883261571155568E-2"/>
                  <c:y val="0.10616334080901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22.417582417582416</c:v>
                </c:pt>
                <c:pt idx="1">
                  <c:v>21.978021978021978</c:v>
                </c:pt>
                <c:pt idx="2">
                  <c:v>15.164835164835164</c:v>
                </c:pt>
                <c:pt idx="3">
                  <c:v>14.945054945054945</c:v>
                </c:pt>
                <c:pt idx="4">
                  <c:v>13.626373626373626</c:v>
                </c:pt>
                <c:pt idx="5">
                  <c:v>7.4725274725274726</c:v>
                </c:pt>
                <c:pt idx="6">
                  <c:v>4.395604395604396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18664636774872995"/>
          <c:w val="0.22384464864357168"/>
          <c:h val="0.81306933826618866"/>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Chart 4 </a:t>
            </a:r>
          </a:p>
          <a:p>
            <a:pPr>
              <a:defRPr sz="1000" b="1" i="0" u="none" strike="noStrike" baseline="0">
                <a:solidFill>
                  <a:srgbClr val="000000"/>
                </a:solidFill>
                <a:latin typeface="Arial"/>
                <a:ea typeface="Arial"/>
                <a:cs typeface="Arial"/>
              </a:defRPr>
            </a:pPr>
            <a:r>
              <a:rPr lang="en-GB" sz="900">
                <a:latin typeface="+mn-lt"/>
              </a:rPr>
              <a:t>ITU</a:t>
            </a:r>
            <a:r>
              <a:rPr lang="en-GB" sz="900" baseline="0">
                <a:latin typeface="+mn-lt"/>
              </a:rPr>
              <a:t>-D Sector Members &amp; Associates by Region - 2017</a:t>
            </a:r>
          </a:p>
        </c:rich>
      </c:tx>
      <c:layout>
        <c:manualLayout>
          <c:xMode val="edge"/>
          <c:yMode val="edge"/>
          <c:x val="0.13499374019090166"/>
          <c:y val="1.00273268310597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tx>
                <c:rich>
                  <a:bodyPr/>
                  <a:lstStyle/>
                  <a:p>
                    <a:fld id="{B389CCF0-D9F1-45FB-BF99-23EEC6E3F67D}" type="VALUE">
                      <a:rPr lang="en-US" sz="600"/>
                      <a:pPr/>
                      <a:t>[VALUE]</a:t>
                    </a:fld>
                    <a:r>
                      <a:rPr lang="en-US" sz="600"/>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Sheet2!$E$184:$K$184</c:f>
              <c:strCache>
                <c:ptCount val="7"/>
                <c:pt idx="0">
                  <c:v>Regional &amp; International</c:v>
                </c:pt>
                <c:pt idx="1">
                  <c:v>Àsia &amp; the Pacific</c:v>
                </c:pt>
                <c:pt idx="2">
                  <c:v>Americas</c:v>
                </c:pt>
                <c:pt idx="3">
                  <c:v>Europe</c:v>
                </c:pt>
                <c:pt idx="4">
                  <c:v>Arab States</c:v>
                </c:pt>
                <c:pt idx="5">
                  <c:v>Africa</c:v>
                </c:pt>
                <c:pt idx="6">
                  <c:v>CIS</c:v>
                </c:pt>
              </c:strCache>
            </c:strRef>
          </c:cat>
          <c:val>
            <c:numRef>
              <c:f>Sheet2!$E$185:$K$185</c:f>
              <c:numCache>
                <c:formatCode>0</c:formatCode>
                <c:ptCount val="7"/>
                <c:pt idx="0">
                  <c:v>30.303030303030305</c:v>
                </c:pt>
                <c:pt idx="1">
                  <c:v>19.09090909090909</c:v>
                </c:pt>
                <c:pt idx="2">
                  <c:v>13.030303030303031</c:v>
                </c:pt>
                <c:pt idx="3">
                  <c:v>11.515151515151516</c:v>
                </c:pt>
                <c:pt idx="4">
                  <c:v>13.636363636363637</c:v>
                </c:pt>
                <c:pt idx="5">
                  <c:v>8.4848484848484844</c:v>
                </c:pt>
                <c:pt idx="6">
                  <c:v>3.9393939393939394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Chart 5</a:t>
            </a:r>
          </a:p>
          <a:p>
            <a:pPr>
              <a:defRPr sz="1000" b="1" i="0" u="none" strike="noStrike" baseline="0">
                <a:solidFill>
                  <a:srgbClr val="000000"/>
                </a:solidFill>
                <a:latin typeface="Arial"/>
                <a:ea typeface="Arial"/>
                <a:cs typeface="Arial"/>
              </a:defRPr>
            </a:pPr>
            <a:r>
              <a:rPr lang="en-GB" sz="900">
                <a:latin typeface="+mn-lt"/>
              </a:rPr>
              <a:t>ITU</a:t>
            </a:r>
            <a:r>
              <a:rPr lang="en-GB" sz="900" baseline="0">
                <a:latin typeface="+mn-lt"/>
              </a:rPr>
              <a:t> Academia by Region - 2017</a:t>
            </a:r>
          </a:p>
        </c:rich>
      </c:tx>
      <c:layout>
        <c:manualLayout>
          <c:xMode val="edge"/>
          <c:yMode val="edge"/>
          <c:x val="0.28031661136697533"/>
          <c:y val="4.0748031496062979E-3"/>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layout>
                <c:manualLayout>
                  <c:x val="0.18120553327060532"/>
                  <c:y val="2.7839332583427072E-2"/>
                </c:manualLayout>
              </c:layout>
              <c:tx>
                <c:rich>
                  <a:bodyPr/>
                  <a:lstStyle/>
                  <a:p>
                    <a:fld id="{13F723B1-9C27-4D85-A662-5C98695DF75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wrap="square" lIns="38100" tIns="19050" rIns="38100" bIns="19050" anchor="ctr">
                    <a:spAutoFit/>
                  </a:bodyPr>
                  <a:lstStyle/>
                  <a:p>
                    <a:pPr>
                      <a:defRPr/>
                    </a:pPr>
                    <a:r>
                      <a:rPr lang="en-US"/>
                      <a:t>6%</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fld id="{AF0C7640-1607-4920-ADB6-6B7E89CFE7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Sheet2!$E$202:$K$202</c:f>
              <c:strCache>
                <c:ptCount val="7"/>
                <c:pt idx="0">
                  <c:v>Regional &amp; International</c:v>
                </c:pt>
                <c:pt idx="1">
                  <c:v>Àsia &amp; the Pacific</c:v>
                </c:pt>
                <c:pt idx="2">
                  <c:v>Americas</c:v>
                </c:pt>
                <c:pt idx="3">
                  <c:v>Europe</c:v>
                </c:pt>
                <c:pt idx="4">
                  <c:v>Arab States</c:v>
                </c:pt>
                <c:pt idx="5">
                  <c:v>Africa</c:v>
                </c:pt>
                <c:pt idx="6">
                  <c:v>CIS</c:v>
                </c:pt>
              </c:strCache>
            </c:strRef>
          </c:cat>
          <c:val>
            <c:numRef>
              <c:f>Sheet2!$E$203:$K$203</c:f>
              <c:numCache>
                <c:formatCode>0</c:formatCode>
                <c:ptCount val="7"/>
                <c:pt idx="0">
                  <c:v>1.5873015873015872</c:v>
                </c:pt>
                <c:pt idx="1">
                  <c:v>29.365079365079364</c:v>
                </c:pt>
                <c:pt idx="2">
                  <c:v>20.634920634920636</c:v>
                </c:pt>
                <c:pt idx="3">
                  <c:v>23.80952380952381</c:v>
                </c:pt>
                <c:pt idx="4">
                  <c:v>13.492063492063492</c:v>
                </c:pt>
                <c:pt idx="5">
                  <c:v>5.5555555555555554</c:v>
                </c:pt>
                <c:pt idx="6">
                  <c:v>5.5555555555555554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10bb021d-947f-43a0-81ba-2a21b0d60df9"/>
    <ds:schemaRef ds:uri="http://www.w3.org/XML/1998/namespace"/>
    <ds:schemaRef ds:uri="http://schemas.openxmlformats.org/package/2006/metadata/core-properties"/>
    <ds:schemaRef ds:uri="bc0480e9-89b5-4e04-9897-b8ef005e5e50"/>
  </ds:schemaRefs>
</ds:datastoreItem>
</file>

<file path=customXml/itemProps5.xml><?xml version="1.0" encoding="utf-8"?>
<ds:datastoreItem xmlns:ds="http://schemas.openxmlformats.org/officeDocument/2006/customXml" ds:itemID="{9FB12DC7-CCEB-4AEF-82B9-7A5EC0DC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1783</Words>
  <Characters>11643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2018-01-12T08:55:00Z</cp:lastPrinted>
  <dcterms:created xsi:type="dcterms:W3CDTF">2018-01-15T13:40:00Z</dcterms:created>
  <dcterms:modified xsi:type="dcterms:W3CDTF">2018-01-31T09:51:00Z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