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F7694A" w:rsidTr="006D7E3A">
        <w:trPr>
          <w:cantSplit/>
          <w:trHeight w:val="1134"/>
        </w:trPr>
        <w:tc>
          <w:tcPr>
            <w:tcW w:w="7251" w:type="dxa"/>
          </w:tcPr>
          <w:p w:rsidR="0021438F" w:rsidRPr="00F7694A" w:rsidRDefault="0021438F" w:rsidP="00156BF6">
            <w:pPr>
              <w:tabs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F7694A">
              <w:rPr>
                <w:b/>
                <w:sz w:val="32"/>
                <w:szCs w:val="32"/>
                <w:lang w:val="fr-FR"/>
              </w:rPr>
              <w:t>Groupe</w:t>
            </w:r>
            <w:r w:rsidRPr="00F7694A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F7694A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:rsidR="0021438F" w:rsidRPr="00F7694A" w:rsidRDefault="0021438F" w:rsidP="009E2E4A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F7694A">
              <w:rPr>
                <w:b/>
                <w:bCs/>
                <w:sz w:val="26"/>
                <w:szCs w:val="26"/>
                <w:lang w:val="fr-FR"/>
              </w:rPr>
              <w:t>23ème réunion, Genève, 9-11 avril 2018</w:t>
            </w:r>
          </w:p>
        </w:tc>
        <w:tc>
          <w:tcPr>
            <w:tcW w:w="2996" w:type="dxa"/>
          </w:tcPr>
          <w:p w:rsidR="0021438F" w:rsidRPr="00F7694A" w:rsidRDefault="0021438F" w:rsidP="00107E85">
            <w:pPr>
              <w:spacing w:before="0"/>
              <w:ind w:right="142"/>
              <w:jc w:val="right"/>
              <w:rPr>
                <w:lang w:val="fr-FR"/>
              </w:rPr>
            </w:pPr>
            <w:r w:rsidRPr="00F7694A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70528" behindDoc="0" locked="0" layoutInCell="1" allowOverlap="1" wp14:anchorId="2A9E46AC" wp14:editId="1509EEC8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62230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F7694A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F7694A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F7694A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F7694A" w:rsidTr="000C61E9">
        <w:trPr>
          <w:cantSplit/>
        </w:trPr>
        <w:tc>
          <w:tcPr>
            <w:tcW w:w="7251" w:type="dxa"/>
          </w:tcPr>
          <w:p w:rsidR="00683C32" w:rsidRPr="00F7694A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F7694A" w:rsidRDefault="00323587" w:rsidP="00D64F21">
            <w:pPr>
              <w:spacing w:before="0"/>
              <w:rPr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0" w:name="DocRef1"/>
            <w:bookmarkEnd w:id="0"/>
            <w:r w:rsidRPr="00F7694A">
              <w:rPr>
                <w:b/>
                <w:bCs/>
                <w:szCs w:val="28"/>
                <w:lang w:val="fr-FR"/>
              </w:rPr>
              <w:t>TDAG1</w:t>
            </w:r>
            <w:r w:rsidR="009E2E4A" w:rsidRPr="00F7694A">
              <w:rPr>
                <w:b/>
                <w:bCs/>
                <w:szCs w:val="28"/>
                <w:lang w:val="fr-FR"/>
              </w:rPr>
              <w:t>8</w:t>
            </w:r>
            <w:bookmarkStart w:id="1" w:name="_GoBack"/>
            <w:bookmarkEnd w:id="1"/>
            <w:r w:rsidRPr="00F7694A">
              <w:rPr>
                <w:b/>
                <w:bCs/>
                <w:szCs w:val="28"/>
                <w:lang w:val="fr-FR"/>
              </w:rPr>
              <w:t>/</w:t>
            </w:r>
            <w:bookmarkStart w:id="2" w:name="DocNo1"/>
            <w:bookmarkEnd w:id="2"/>
            <w:r w:rsidR="00A07E13" w:rsidRPr="00F7694A">
              <w:rPr>
                <w:b/>
                <w:bCs/>
                <w:szCs w:val="28"/>
                <w:lang w:val="fr-FR"/>
              </w:rPr>
              <w:t>18</w:t>
            </w:r>
            <w:r w:rsidRPr="00F7694A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F7694A" w:rsidTr="000C61E9">
        <w:trPr>
          <w:cantSplit/>
        </w:trPr>
        <w:tc>
          <w:tcPr>
            <w:tcW w:w="7251" w:type="dxa"/>
          </w:tcPr>
          <w:p w:rsidR="00683C32" w:rsidRPr="00F7694A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F7694A" w:rsidRDefault="00A07E13" w:rsidP="009E2E4A">
            <w:pPr>
              <w:spacing w:before="0"/>
              <w:rPr>
                <w:b/>
                <w:szCs w:val="24"/>
                <w:lang w:val="fr-FR"/>
              </w:rPr>
            </w:pPr>
            <w:bookmarkStart w:id="3" w:name="CreationDate"/>
            <w:bookmarkEnd w:id="3"/>
            <w:r w:rsidRPr="00F7694A">
              <w:rPr>
                <w:b/>
                <w:bCs/>
                <w:szCs w:val="28"/>
                <w:lang w:val="fr-FR"/>
              </w:rPr>
              <w:t>5 février</w:t>
            </w:r>
            <w:r w:rsidR="00323587" w:rsidRPr="00F7694A">
              <w:rPr>
                <w:b/>
                <w:bCs/>
                <w:szCs w:val="28"/>
                <w:lang w:val="fr-FR"/>
              </w:rPr>
              <w:t xml:space="preserve"> 201</w:t>
            </w:r>
            <w:r w:rsidR="009E2E4A" w:rsidRPr="00F7694A">
              <w:rPr>
                <w:b/>
                <w:bCs/>
                <w:szCs w:val="28"/>
                <w:lang w:val="fr-FR"/>
              </w:rPr>
              <w:t>8</w:t>
            </w:r>
          </w:p>
        </w:tc>
      </w:tr>
      <w:tr w:rsidR="00683C32" w:rsidRPr="00F7694A" w:rsidTr="000C61E9">
        <w:trPr>
          <w:cantSplit/>
        </w:trPr>
        <w:tc>
          <w:tcPr>
            <w:tcW w:w="7251" w:type="dxa"/>
          </w:tcPr>
          <w:p w:rsidR="00683C32" w:rsidRPr="00F7694A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514D2F" w:rsidRPr="00F7694A" w:rsidRDefault="00323587" w:rsidP="00400CCF">
            <w:pPr>
              <w:spacing w:before="0"/>
              <w:rPr>
                <w:szCs w:val="24"/>
                <w:lang w:val="fr-FR"/>
              </w:rPr>
            </w:pPr>
            <w:r w:rsidRPr="00F7694A">
              <w:rPr>
                <w:b/>
                <w:szCs w:val="28"/>
                <w:lang w:val="fr-FR"/>
              </w:rPr>
              <w:t>Original:</w:t>
            </w:r>
            <w:bookmarkStart w:id="4" w:name="Original"/>
            <w:bookmarkEnd w:id="4"/>
            <w:r w:rsidR="00A07E13" w:rsidRPr="00F7694A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F7694A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F7694A" w:rsidRDefault="00A07E13" w:rsidP="00D90E76">
            <w:pPr>
              <w:pStyle w:val="Source"/>
              <w:rPr>
                <w:lang w:val="fr-FR"/>
              </w:rPr>
            </w:pPr>
            <w:bookmarkStart w:id="5" w:name="Source"/>
            <w:bookmarkEnd w:id="5"/>
            <w:r w:rsidRPr="00F7694A">
              <w:rPr>
                <w:lang w:val="fr-FR"/>
              </w:rPr>
              <w:t>Rapport du Directeur du BDT</w:t>
            </w:r>
          </w:p>
        </w:tc>
      </w:tr>
      <w:tr w:rsidR="00AC6F14" w:rsidRPr="00F7694A" w:rsidTr="000C61E9">
        <w:trPr>
          <w:cantSplit/>
        </w:trPr>
        <w:tc>
          <w:tcPr>
            <w:tcW w:w="10247" w:type="dxa"/>
            <w:gridSpan w:val="2"/>
          </w:tcPr>
          <w:p w:rsidR="00AC6F14" w:rsidRPr="00F7694A" w:rsidRDefault="00A07E13" w:rsidP="0030353C">
            <w:pPr>
              <w:pStyle w:val="Title1"/>
              <w:rPr>
                <w:lang w:val="fr-FR"/>
              </w:rPr>
            </w:pPr>
            <w:bookmarkStart w:id="6" w:name="Title"/>
            <w:bookmarkEnd w:id="6"/>
            <w:r w:rsidRPr="00F7694A">
              <w:rPr>
                <w:color w:val="000000"/>
                <w:lang w:val="fr-FR"/>
              </w:rPr>
              <w:t>ACTIVITÉS EN MATIÈRE DE RENFORCEMENT DES CAPACITÉS</w:t>
            </w:r>
          </w:p>
        </w:tc>
      </w:tr>
      <w:tr w:rsidR="00A721F4" w:rsidRPr="00F7694A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:rsidR="00A721F4" w:rsidRPr="00F7694A" w:rsidRDefault="00A721F4" w:rsidP="0030353C">
            <w:pPr>
              <w:rPr>
                <w:lang w:val="fr-FR"/>
              </w:rPr>
            </w:pPr>
          </w:p>
        </w:tc>
      </w:tr>
      <w:tr w:rsidR="00A721F4" w:rsidRPr="00F7694A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F7694A" w:rsidRDefault="00156BF6" w:rsidP="00935FF0">
            <w:pPr>
              <w:spacing w:before="240"/>
              <w:rPr>
                <w:b/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4"/>
                <w:lang w:val="fr-FR"/>
              </w:rPr>
              <w:t>Résumé:</w:t>
            </w:r>
          </w:p>
          <w:p w:rsidR="00A721F4" w:rsidRPr="00F7694A" w:rsidRDefault="00A07E13" w:rsidP="00063E26">
            <w:pPr>
              <w:rPr>
                <w:szCs w:val="24"/>
                <w:lang w:val="fr-FR"/>
              </w:rPr>
            </w:pPr>
            <w:r w:rsidRPr="00F7694A">
              <w:rPr>
                <w:szCs w:val="24"/>
                <w:lang w:val="fr-FR"/>
              </w:rPr>
              <w:t>Le présent document donne une vue d</w:t>
            </w:r>
            <w:r w:rsidR="009D043B" w:rsidRPr="00F7694A">
              <w:rPr>
                <w:szCs w:val="24"/>
                <w:lang w:val="fr-FR"/>
              </w:rPr>
              <w:t>'</w:t>
            </w:r>
            <w:r w:rsidRPr="00F7694A">
              <w:rPr>
                <w:szCs w:val="24"/>
                <w:lang w:val="fr-FR"/>
              </w:rPr>
              <w:t xml:space="preserve">ensemble des </w:t>
            </w:r>
            <w:r w:rsidR="00063E26" w:rsidRPr="00F7694A">
              <w:rPr>
                <w:szCs w:val="24"/>
                <w:lang w:val="fr-FR"/>
              </w:rPr>
              <w:t xml:space="preserve">principales </w:t>
            </w:r>
            <w:r w:rsidRPr="00F7694A">
              <w:rPr>
                <w:szCs w:val="24"/>
                <w:lang w:val="fr-FR"/>
              </w:rPr>
              <w:t>activités menées au cours de l</w:t>
            </w:r>
            <w:r w:rsidR="009D043B" w:rsidRPr="00F7694A">
              <w:rPr>
                <w:szCs w:val="24"/>
                <w:lang w:val="fr-FR"/>
              </w:rPr>
              <w:t>'</w:t>
            </w:r>
            <w:r w:rsidRPr="00F7694A">
              <w:rPr>
                <w:szCs w:val="24"/>
                <w:lang w:val="fr-FR"/>
              </w:rPr>
              <w:t>année précédente par le BDT dans le domaine du renforcement des capacités</w:t>
            </w:r>
            <w:r w:rsidR="00063E26" w:rsidRPr="00F7694A">
              <w:rPr>
                <w:szCs w:val="24"/>
                <w:lang w:val="fr-FR"/>
              </w:rPr>
              <w:t>,</w:t>
            </w:r>
            <w:r w:rsidR="009D043B" w:rsidRPr="00F7694A">
              <w:rPr>
                <w:szCs w:val="24"/>
                <w:lang w:val="fr-FR"/>
              </w:rPr>
              <w:t xml:space="preserve"> </w:t>
            </w:r>
            <w:r w:rsidRPr="00F7694A">
              <w:rPr>
                <w:color w:val="000000"/>
                <w:lang w:val="fr-FR"/>
              </w:rPr>
              <w:t>dans le cadre de l'Académie de l'UIT</w:t>
            </w:r>
            <w:r w:rsidR="00063E26" w:rsidRPr="00F7694A">
              <w:rPr>
                <w:color w:val="000000"/>
                <w:lang w:val="fr-FR"/>
              </w:rPr>
              <w:t>.</w:t>
            </w:r>
            <w:r w:rsidRPr="00F7694A">
              <w:rPr>
                <w:szCs w:val="24"/>
                <w:lang w:val="fr-FR"/>
              </w:rPr>
              <w:t xml:space="preserve"> </w:t>
            </w:r>
            <w:r w:rsidR="00063E26" w:rsidRPr="00F7694A">
              <w:rPr>
                <w:szCs w:val="24"/>
                <w:lang w:val="fr-FR"/>
              </w:rPr>
              <w:t xml:space="preserve">Il traite notamment </w:t>
            </w:r>
            <w:r w:rsidRPr="00F7694A">
              <w:rPr>
                <w:szCs w:val="24"/>
                <w:lang w:val="fr-FR"/>
              </w:rPr>
              <w:t xml:space="preserve">de la </w:t>
            </w:r>
            <w:r w:rsidRPr="00F7694A">
              <w:rPr>
                <w:lang w:val="fr-FR"/>
              </w:rPr>
              <w:t>conception et de l</w:t>
            </w:r>
            <w:r w:rsidR="009D043B" w:rsidRPr="00F7694A">
              <w:rPr>
                <w:lang w:val="fr-FR"/>
              </w:rPr>
              <w:t>'</w:t>
            </w:r>
            <w:r w:rsidRPr="00F7694A">
              <w:rPr>
                <w:lang w:val="fr-FR"/>
              </w:rPr>
              <w:t>exécution de programmes de formation</w:t>
            </w:r>
            <w:r w:rsidR="009D043B" w:rsidRPr="00F7694A">
              <w:rPr>
                <w:lang w:val="fr-FR"/>
              </w:rPr>
              <w:t>,</w:t>
            </w:r>
            <w:r w:rsidRPr="00F7694A">
              <w:rPr>
                <w:lang w:val="fr-FR"/>
              </w:rPr>
              <w:t xml:space="preserve"> des travaux menés par le réseau de Centres d</w:t>
            </w:r>
            <w:r w:rsidR="009D043B" w:rsidRPr="00F7694A">
              <w:rPr>
                <w:lang w:val="fr-FR"/>
              </w:rPr>
              <w:t>'</w:t>
            </w:r>
            <w:r w:rsidRPr="00F7694A">
              <w:rPr>
                <w:lang w:val="fr-FR"/>
              </w:rPr>
              <w:t>excellence, de la publication de l</w:t>
            </w:r>
            <w:r w:rsidR="009D043B" w:rsidRPr="00F7694A">
              <w:rPr>
                <w:lang w:val="fr-FR"/>
              </w:rPr>
              <w:t>'UIT intitulée "</w:t>
            </w:r>
            <w:r w:rsidR="00063E26" w:rsidRPr="00F7694A">
              <w:rPr>
                <w:lang w:val="fr-FR"/>
              </w:rPr>
              <w:t>R</w:t>
            </w:r>
            <w:r w:rsidRPr="00F7694A">
              <w:rPr>
                <w:lang w:val="fr-FR"/>
              </w:rPr>
              <w:t>enforcement des capacités dans un environnement</w:t>
            </w:r>
            <w:r w:rsidR="009D043B" w:rsidRPr="00F7694A">
              <w:rPr>
                <w:lang w:val="fr-FR"/>
              </w:rPr>
              <w:t xml:space="preserve"> </w:t>
            </w:r>
            <w:r w:rsidRPr="00F7694A">
              <w:rPr>
                <w:color w:val="000000"/>
                <w:lang w:val="fr-FR"/>
              </w:rPr>
              <w:t>des TIC</w:t>
            </w:r>
            <w:r w:rsidR="009D043B" w:rsidRPr="00F7694A">
              <w:rPr>
                <w:color w:val="000000"/>
                <w:lang w:val="fr-FR"/>
              </w:rPr>
              <w:t xml:space="preserve"> </w:t>
            </w:r>
            <w:r w:rsidRPr="00F7694A">
              <w:rPr>
                <w:lang w:val="fr-FR"/>
              </w:rPr>
              <w:t>en pleine évolution</w:t>
            </w:r>
            <w:r w:rsidR="009D043B" w:rsidRPr="00F7694A">
              <w:rPr>
                <w:lang w:val="fr-FR"/>
              </w:rPr>
              <w:t>"</w:t>
            </w:r>
            <w:r w:rsidR="00063E26" w:rsidRPr="00F7694A">
              <w:rPr>
                <w:lang w:val="fr-FR"/>
              </w:rPr>
              <w:t xml:space="preserve"> et de la R</w:t>
            </w:r>
            <w:r w:rsidRPr="00F7694A">
              <w:rPr>
                <w:lang w:val="fr-FR"/>
              </w:rPr>
              <w:t>éunion</w:t>
            </w:r>
            <w:r w:rsidR="009D043B" w:rsidRPr="00F7694A">
              <w:rPr>
                <w:lang w:val="fr-FR"/>
              </w:rPr>
              <w:t xml:space="preserve"> </w:t>
            </w:r>
            <w:r w:rsidRPr="00F7694A">
              <w:rPr>
                <w:color w:val="000000"/>
                <w:lang w:val="fr-FR"/>
              </w:rPr>
              <w:t>des partenaires universitaires de l</w:t>
            </w:r>
            <w:r w:rsidR="009D043B" w:rsidRPr="00F7694A">
              <w:rPr>
                <w:color w:val="000000"/>
                <w:lang w:val="fr-FR"/>
              </w:rPr>
              <w:t>'</w:t>
            </w:r>
            <w:r w:rsidRPr="00F7694A">
              <w:rPr>
                <w:color w:val="000000"/>
                <w:lang w:val="fr-FR"/>
              </w:rPr>
              <w:t>UIT</w:t>
            </w:r>
            <w:r w:rsidR="00063E26" w:rsidRPr="00F7694A">
              <w:rPr>
                <w:color w:val="000000"/>
                <w:lang w:val="fr-FR"/>
              </w:rPr>
              <w:t>,</w:t>
            </w:r>
            <w:r w:rsidRPr="00F7694A">
              <w:rPr>
                <w:color w:val="000000"/>
                <w:lang w:val="fr-FR"/>
              </w:rPr>
              <w:t xml:space="preserve"> qui s</w:t>
            </w:r>
            <w:r w:rsidR="009D043B" w:rsidRPr="00F7694A">
              <w:rPr>
                <w:color w:val="000000"/>
                <w:lang w:val="fr-FR"/>
              </w:rPr>
              <w:t>'</w:t>
            </w:r>
            <w:r w:rsidRPr="00F7694A">
              <w:rPr>
                <w:color w:val="000000"/>
                <w:lang w:val="fr-FR"/>
              </w:rPr>
              <w:t xml:space="preserve">est tenue en septembre 2017 </w:t>
            </w:r>
            <w:r w:rsidR="00063E26" w:rsidRPr="00F7694A">
              <w:rPr>
                <w:color w:val="000000"/>
                <w:lang w:val="fr-FR"/>
              </w:rPr>
              <w:t xml:space="preserve">à </w:t>
            </w:r>
            <w:r w:rsidRPr="00F7694A">
              <w:rPr>
                <w:color w:val="000000"/>
                <w:lang w:val="fr-FR"/>
              </w:rPr>
              <w:t>Budapest (Hongrie).</w:t>
            </w:r>
            <w:r w:rsidRPr="00F7694A">
              <w:rPr>
                <w:lang w:val="fr-FR"/>
              </w:rPr>
              <w:t xml:space="preserve"> On trouvera également dans le présent document un résumé des résultats obtenus par la</w:t>
            </w:r>
            <w:r w:rsidR="009D043B" w:rsidRPr="00F7694A">
              <w:rPr>
                <w:lang w:val="fr-FR"/>
              </w:rPr>
              <w:t xml:space="preserve"> CMDT-</w:t>
            </w:r>
            <w:r w:rsidRPr="00F7694A">
              <w:rPr>
                <w:lang w:val="fr-FR"/>
              </w:rPr>
              <w:t>17 en ce qui concerne le</w:t>
            </w:r>
            <w:r w:rsidR="009D043B" w:rsidRPr="00F7694A">
              <w:rPr>
                <w:lang w:val="fr-FR"/>
              </w:rPr>
              <w:t xml:space="preserve"> </w:t>
            </w:r>
            <w:r w:rsidRPr="00F7694A">
              <w:rPr>
                <w:szCs w:val="24"/>
                <w:lang w:val="fr-FR"/>
              </w:rPr>
              <w:t xml:space="preserve">renforcement </w:t>
            </w:r>
            <w:r w:rsidRPr="00F7694A">
              <w:rPr>
                <w:lang w:val="fr-FR"/>
              </w:rPr>
              <w:t>des capacités</w:t>
            </w:r>
            <w:r w:rsidR="009D043B" w:rsidRPr="00F7694A">
              <w:rPr>
                <w:lang w:val="fr-FR"/>
              </w:rPr>
              <w:t>.</w:t>
            </w:r>
          </w:p>
          <w:p w:rsidR="00A721F4" w:rsidRPr="00F7694A" w:rsidRDefault="00156BF6" w:rsidP="00A721F4">
            <w:pPr>
              <w:rPr>
                <w:b/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4"/>
                <w:lang w:val="fr-FR"/>
              </w:rPr>
              <w:t>Suite à donner:</w:t>
            </w:r>
          </w:p>
          <w:p w:rsidR="00A721F4" w:rsidRPr="00F7694A" w:rsidRDefault="00A07E13" w:rsidP="00A721F4">
            <w:pPr>
              <w:rPr>
                <w:szCs w:val="24"/>
                <w:lang w:val="fr-FR"/>
              </w:rPr>
            </w:pPr>
            <w:r w:rsidRPr="00F7694A">
              <w:rPr>
                <w:color w:val="000000"/>
                <w:lang w:val="fr-FR"/>
              </w:rPr>
              <w:t>Le GCDT est invité à prendre note du présent rapport et à fournir les indications qu'il jugera nécessaires.</w:t>
            </w:r>
          </w:p>
          <w:p w:rsidR="00A721F4" w:rsidRPr="00F7694A" w:rsidRDefault="00156BF6" w:rsidP="00A721F4">
            <w:pPr>
              <w:rPr>
                <w:b/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4"/>
                <w:lang w:val="fr-FR"/>
              </w:rPr>
              <w:t>Références:</w:t>
            </w:r>
          </w:p>
          <w:p w:rsidR="00A07E13" w:rsidRPr="00F7694A" w:rsidRDefault="00A07E13" w:rsidP="00A07E13">
            <w:pPr>
              <w:rPr>
                <w:lang w:val="fr-FR"/>
              </w:rPr>
            </w:pPr>
            <w:r w:rsidRPr="00F7694A">
              <w:rPr>
                <w:lang w:val="fr-FR"/>
              </w:rPr>
              <w:t>Plan d</w:t>
            </w:r>
            <w:r w:rsidR="009D043B" w:rsidRPr="00F7694A">
              <w:rPr>
                <w:lang w:val="fr-FR"/>
              </w:rPr>
              <w:t>'</w:t>
            </w:r>
            <w:r w:rsidRPr="00F7694A">
              <w:rPr>
                <w:lang w:val="fr-FR"/>
              </w:rPr>
              <w:t>action de Buenos Aires, Objectif 3, Produit</w:t>
            </w:r>
            <w:r w:rsidR="009D043B" w:rsidRPr="00F7694A">
              <w:rPr>
                <w:lang w:val="fr-FR"/>
              </w:rPr>
              <w:t xml:space="preserve"> </w:t>
            </w:r>
            <w:r w:rsidRPr="00F7694A">
              <w:rPr>
                <w:lang w:val="fr-FR"/>
              </w:rPr>
              <w:t>3.3</w:t>
            </w:r>
            <w:r w:rsidR="009D043B" w:rsidRPr="00F7694A">
              <w:rPr>
                <w:lang w:val="fr-FR"/>
              </w:rPr>
              <w:t>.</w:t>
            </w:r>
          </w:p>
          <w:p w:rsidR="00A07E13" w:rsidRPr="00F7694A" w:rsidRDefault="00A07E13" w:rsidP="00063E26">
            <w:pPr>
              <w:rPr>
                <w:lang w:val="fr-FR"/>
              </w:rPr>
            </w:pPr>
            <w:r w:rsidRPr="00F7694A">
              <w:rPr>
                <w:lang w:val="fr-FR"/>
              </w:rPr>
              <w:t xml:space="preserve">Résolution 40 de la CMDT (Rév.Buenos Aires, 2017) </w:t>
            </w:r>
            <w:r w:rsidR="00063E26" w:rsidRPr="00F7694A">
              <w:rPr>
                <w:lang w:val="fr-FR"/>
              </w:rPr>
              <w:t xml:space="preserve">– </w:t>
            </w:r>
            <w:r w:rsidRPr="00F7694A">
              <w:rPr>
                <w:lang w:val="fr-FR"/>
              </w:rPr>
              <w:t>Groupe sur les initiatives en matière de renforcement des capacités</w:t>
            </w:r>
            <w:r w:rsidR="009D043B" w:rsidRPr="00F7694A">
              <w:rPr>
                <w:lang w:val="fr-FR"/>
              </w:rPr>
              <w:t>.</w:t>
            </w:r>
          </w:p>
          <w:p w:rsidR="00A07E13" w:rsidRPr="00F7694A" w:rsidRDefault="00A07E13" w:rsidP="00A07E13">
            <w:pPr>
              <w:rPr>
                <w:lang w:val="fr-FR"/>
              </w:rPr>
            </w:pPr>
            <w:r w:rsidRPr="00F7694A">
              <w:rPr>
                <w:lang w:val="fr-FR"/>
              </w:rPr>
              <w:t xml:space="preserve">Résolution 73 de la CMDT (Rév.Buenos Aires, 2017) </w:t>
            </w:r>
            <w:r w:rsidR="00063E26" w:rsidRPr="00F7694A">
              <w:rPr>
                <w:lang w:val="fr-FR"/>
              </w:rPr>
              <w:t xml:space="preserve">– </w:t>
            </w:r>
            <w:r w:rsidRPr="00F7694A">
              <w:rPr>
                <w:lang w:val="fr-FR"/>
              </w:rPr>
              <w:t>Centres d'</w:t>
            </w:r>
            <w:r w:rsidR="009D043B" w:rsidRPr="00F7694A">
              <w:rPr>
                <w:lang w:val="fr-FR"/>
              </w:rPr>
              <w:t>excellence de l'UIT.</w:t>
            </w:r>
          </w:p>
          <w:p w:rsidR="00A721F4" w:rsidRPr="00F7694A" w:rsidRDefault="00A07E13" w:rsidP="00226DCA">
            <w:pPr>
              <w:spacing w:after="120"/>
              <w:rPr>
                <w:lang w:val="fr-FR"/>
              </w:rPr>
            </w:pPr>
            <w:r w:rsidRPr="00F7694A">
              <w:rPr>
                <w:lang w:val="fr-FR"/>
              </w:rPr>
              <w:t>Résolution 169 (Rév. Busan, 2014) de la C</w:t>
            </w:r>
            <w:r w:rsidR="00063E26" w:rsidRPr="00F7694A">
              <w:rPr>
                <w:lang w:val="fr-FR"/>
              </w:rPr>
              <w:t>onférence de plénipotentiaires – A</w:t>
            </w:r>
            <w:r w:rsidRPr="00F7694A">
              <w:rPr>
                <w:lang w:val="fr-FR"/>
              </w:rPr>
              <w:t>dmission d'établissements universitaires à participer aux travaux de l'Union</w:t>
            </w:r>
            <w:r w:rsidR="009D043B" w:rsidRPr="00F7694A">
              <w:rPr>
                <w:lang w:val="fr-FR"/>
              </w:rPr>
              <w:t>.</w:t>
            </w:r>
          </w:p>
        </w:tc>
      </w:tr>
    </w:tbl>
    <w:p w:rsidR="00A07E13" w:rsidRPr="00F7694A" w:rsidRDefault="00A07E13" w:rsidP="00935FF0">
      <w:pPr>
        <w:rPr>
          <w:lang w:val="fr-FR"/>
        </w:rPr>
      </w:pPr>
    </w:p>
    <w:p w:rsidR="00A07E13" w:rsidRPr="00F7694A" w:rsidRDefault="00A07E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A07E13" w:rsidRPr="00F7694A" w:rsidRDefault="00A07E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7694A">
        <w:rPr>
          <w:lang w:val="fr-FR"/>
        </w:rPr>
        <w:br w:type="page"/>
      </w:r>
    </w:p>
    <w:p w:rsidR="00A07E13" w:rsidRPr="00F7694A" w:rsidRDefault="00A07E13" w:rsidP="00883501">
      <w:pPr>
        <w:rPr>
          <w:lang w:val="fr-FR"/>
        </w:rPr>
      </w:pPr>
      <w:r w:rsidRPr="00F7694A">
        <w:rPr>
          <w:lang w:val="fr-FR"/>
        </w:rPr>
        <w:lastRenderedPageBreak/>
        <w:t>Dans le cadre de l</w:t>
      </w:r>
      <w:r w:rsidR="009D043B" w:rsidRPr="00F7694A">
        <w:rPr>
          <w:lang w:val="fr-FR"/>
        </w:rPr>
        <w:t>'</w:t>
      </w:r>
      <w:r w:rsidR="00883501" w:rsidRPr="00F7694A">
        <w:rPr>
          <w:lang w:val="fr-FR"/>
        </w:rPr>
        <w:t>A</w:t>
      </w:r>
      <w:r w:rsidRPr="00F7694A">
        <w:rPr>
          <w:lang w:val="fr-FR"/>
        </w:rPr>
        <w:t>cadémie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UIT, le BDT a mené à bien un certain nombre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activités en matière de renforcement des capacités, qui ont contribué au </w:t>
      </w:r>
      <w:r w:rsidR="00883501" w:rsidRPr="00F7694A">
        <w:rPr>
          <w:lang w:val="fr-FR"/>
        </w:rPr>
        <w:t>perfectionnement</w:t>
      </w:r>
      <w:r w:rsidRPr="00F7694A">
        <w:rPr>
          <w:lang w:val="fr-FR"/>
        </w:rPr>
        <w:t xml:space="preserve"> des compétences humaines et à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amélioration des connaissances </w:t>
      </w:r>
      <w:r w:rsidR="00883501" w:rsidRPr="00F7694A">
        <w:rPr>
          <w:lang w:val="fr-FR"/>
        </w:rPr>
        <w:t xml:space="preserve">des membres de l'UIT </w:t>
      </w:r>
      <w:r w:rsidRPr="00F7694A">
        <w:rPr>
          <w:lang w:val="fr-FR"/>
        </w:rPr>
        <w:t>dans le domaine des télécommunications/TIC.</w:t>
      </w:r>
      <w:r w:rsidR="009D043B" w:rsidRPr="00F7694A">
        <w:rPr>
          <w:lang w:val="fr-FR"/>
        </w:rPr>
        <w:t xml:space="preserve"> </w:t>
      </w:r>
    </w:p>
    <w:p w:rsidR="00A07E13" w:rsidRPr="00F7694A" w:rsidRDefault="00A07E13" w:rsidP="00883501">
      <w:pPr>
        <w:pStyle w:val="Headingb"/>
        <w:rPr>
          <w:lang w:val="fr-FR"/>
        </w:rPr>
      </w:pPr>
      <w:r w:rsidRPr="00F7694A">
        <w:rPr>
          <w:lang w:val="fr-FR"/>
        </w:rPr>
        <w:t xml:space="preserve">Conception et organisation de cours de formation </w:t>
      </w:r>
    </w:p>
    <w:p w:rsidR="00A07E13" w:rsidRPr="00F7694A" w:rsidRDefault="00A07E13" w:rsidP="00883501">
      <w:pPr>
        <w:rPr>
          <w:lang w:val="fr-FR"/>
        </w:rPr>
      </w:pPr>
      <w:r w:rsidRPr="00F7694A">
        <w:rPr>
          <w:lang w:val="fr-FR"/>
        </w:rPr>
        <w:t>Les activités liées au renforcement des capacités sont organisées en étroite collaboration ave</w:t>
      </w:r>
      <w:r w:rsidR="00883501" w:rsidRPr="00F7694A">
        <w:rPr>
          <w:lang w:val="fr-FR"/>
        </w:rPr>
        <w:t>c des partenaires tels que les C</w:t>
      </w:r>
      <w:r w:rsidRPr="00F7694A">
        <w:rPr>
          <w:lang w:val="fr-FR"/>
        </w:rPr>
        <w:t>entres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excellence (CoE), le secteur privé, les établissements universitaires et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autres instituts de formation.</w:t>
      </w:r>
      <w:r w:rsidR="009D043B" w:rsidRPr="00F7694A">
        <w:rPr>
          <w:lang w:val="fr-FR"/>
        </w:rPr>
        <w:t xml:space="preserve"> </w:t>
      </w:r>
    </w:p>
    <w:p w:rsidR="00A07E13" w:rsidRPr="00F7694A" w:rsidRDefault="00A07E13" w:rsidP="00883501">
      <w:pPr>
        <w:rPr>
          <w:lang w:val="fr-FR"/>
        </w:rPr>
      </w:pPr>
      <w:r w:rsidRPr="00F7694A">
        <w:rPr>
          <w:lang w:val="fr-FR"/>
        </w:rPr>
        <w:t>En 2017,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plus de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1 500 participants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de 116 pays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ont suivi une formation dans le cadre de 64 co</w:t>
      </w:r>
      <w:r w:rsidR="00883501" w:rsidRPr="00F7694A">
        <w:rPr>
          <w:lang w:val="fr-FR"/>
        </w:rPr>
        <w:t>urs dispensés par le réseau de C</w:t>
      </w:r>
      <w:r w:rsidRPr="00F7694A">
        <w:rPr>
          <w:lang w:val="fr-FR"/>
        </w:rPr>
        <w:t>entres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excellence et 28 manifestations régionales </w:t>
      </w:r>
      <w:r w:rsidR="00883501" w:rsidRPr="00F7694A">
        <w:rPr>
          <w:lang w:val="fr-FR"/>
        </w:rPr>
        <w:t>sur le</w:t>
      </w:r>
      <w:r w:rsidRPr="00F7694A">
        <w:rPr>
          <w:lang w:val="fr-FR"/>
        </w:rPr>
        <w:t xml:space="preserve"> renforcement des capacités ont été organisées, en présence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environ 1</w:t>
      </w:r>
      <w:r w:rsidR="00883501" w:rsidRPr="00F7694A">
        <w:rPr>
          <w:lang w:val="fr-FR"/>
        </w:rPr>
        <w:t> </w:t>
      </w:r>
      <w:r w:rsidRPr="00F7694A">
        <w:rPr>
          <w:lang w:val="fr-FR"/>
        </w:rPr>
        <w:t>300 participants, dans l</w:t>
      </w:r>
      <w:r w:rsidR="00883501" w:rsidRPr="00F7694A">
        <w:rPr>
          <w:lang w:val="fr-FR"/>
        </w:rPr>
        <w:t>es principaux domaines suivants</w:t>
      </w:r>
      <w:r w:rsidRPr="00F7694A">
        <w:rPr>
          <w:lang w:val="fr-FR"/>
        </w:rPr>
        <w:t>: politiques et réglementation</w:t>
      </w:r>
      <w:r w:rsidR="009D043B" w:rsidRPr="00F7694A">
        <w:rPr>
          <w:lang w:val="fr-FR"/>
        </w:rPr>
        <w:t>,</w:t>
      </w:r>
      <w:r w:rsidR="00883501" w:rsidRPr="00F7694A">
        <w:rPr>
          <w:lang w:val="fr-FR"/>
        </w:rPr>
        <w:t xml:space="preserve"> accès au large bande, cyber</w:t>
      </w:r>
      <w:r w:rsidRPr="00F7694A">
        <w:rPr>
          <w:lang w:val="fr-FR"/>
        </w:rPr>
        <w:t>sécurité, application</w:t>
      </w:r>
      <w:r w:rsidR="00883501" w:rsidRPr="00F7694A">
        <w:rPr>
          <w:lang w:val="fr-FR"/>
        </w:rPr>
        <w:t>s</w:t>
      </w:r>
      <w:r w:rsidRPr="00F7694A">
        <w:rPr>
          <w:lang w:val="fr-FR"/>
        </w:rPr>
        <w:t xml:space="preserve"> et services des TIC, gestion du spectre, gouvernance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Internet, radiodiffusion numérique, conformité et interopérabilité, informatique en nuage</w:t>
      </w:r>
      <w:r w:rsidR="009D043B" w:rsidRPr="00F7694A">
        <w:rPr>
          <w:lang w:val="fr-FR"/>
        </w:rPr>
        <w:t>,</w:t>
      </w:r>
      <w:r w:rsidRPr="00F7694A">
        <w:rPr>
          <w:lang w:val="fr-FR"/>
        </w:rPr>
        <w:t xml:space="preserve"> qualité de service et déchets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équipements électriques et électroniques.</w:t>
      </w:r>
      <w:r w:rsidR="009D043B" w:rsidRPr="00F7694A">
        <w:rPr>
          <w:lang w:val="fr-FR"/>
        </w:rPr>
        <w:t xml:space="preserve"> </w:t>
      </w:r>
    </w:p>
    <w:p w:rsidR="00A07E13" w:rsidRPr="00F7694A" w:rsidRDefault="00A07E13" w:rsidP="00883501">
      <w:pPr>
        <w:rPr>
          <w:lang w:val="fr-FR"/>
        </w:rPr>
      </w:pPr>
      <w:r w:rsidRPr="00F7694A">
        <w:rPr>
          <w:lang w:val="fr-FR"/>
        </w:rPr>
        <w:t>Dans le cadre de l</w:t>
      </w:r>
      <w:r w:rsidR="009D043B" w:rsidRPr="00F7694A">
        <w:rPr>
          <w:lang w:val="fr-FR"/>
        </w:rPr>
        <w:t>'</w:t>
      </w:r>
      <w:r w:rsidR="00883501" w:rsidRPr="00F7694A">
        <w:rPr>
          <w:lang w:val="fr-FR"/>
        </w:rPr>
        <w:t>A</w:t>
      </w:r>
      <w:r w:rsidRPr="00F7694A">
        <w:rPr>
          <w:lang w:val="fr-FR"/>
        </w:rPr>
        <w:t>cadémie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UIT, </w:t>
      </w:r>
      <w:r w:rsidR="00883501" w:rsidRPr="00F7694A">
        <w:rPr>
          <w:lang w:val="fr-FR"/>
        </w:rPr>
        <w:t xml:space="preserve">le </w:t>
      </w:r>
      <w:r w:rsidRPr="00F7694A">
        <w:rPr>
          <w:lang w:val="fr-FR"/>
        </w:rPr>
        <w:t>BDT a élaboré des programmes de formation complets et de qualité</w:t>
      </w:r>
      <w:r w:rsidR="009D043B" w:rsidRPr="00F7694A">
        <w:rPr>
          <w:lang w:val="fr-FR"/>
        </w:rPr>
        <w:t>.</w:t>
      </w:r>
      <w:r w:rsidRPr="00F7694A">
        <w:rPr>
          <w:lang w:val="fr-FR"/>
        </w:rPr>
        <w:t xml:space="preserve"> Ces ressources </w:t>
      </w:r>
      <w:r w:rsidR="00883501" w:rsidRPr="00F7694A">
        <w:rPr>
          <w:lang w:val="fr-FR"/>
        </w:rPr>
        <w:t xml:space="preserve">de </w:t>
      </w:r>
      <w:r w:rsidRPr="00F7694A">
        <w:rPr>
          <w:lang w:val="fr-FR"/>
        </w:rPr>
        <w:t>formation sont mises au point et validées par des spécialistes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UIT,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des chercheurs et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autres experts,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objectif ét</w:t>
      </w:r>
      <w:r w:rsidR="00883501" w:rsidRPr="00F7694A">
        <w:rPr>
          <w:lang w:val="fr-FR"/>
        </w:rPr>
        <w:t xml:space="preserve">ant </w:t>
      </w:r>
      <w:r w:rsidRPr="00F7694A">
        <w:rPr>
          <w:lang w:val="fr-FR"/>
        </w:rPr>
        <w:t>de veiller à ce qu</w:t>
      </w:r>
      <w:r w:rsidR="009D043B" w:rsidRPr="00F7694A">
        <w:rPr>
          <w:lang w:val="fr-FR"/>
        </w:rPr>
        <w:t>'</w:t>
      </w:r>
      <w:r w:rsidR="00883501" w:rsidRPr="00F7694A">
        <w:rPr>
          <w:lang w:val="fr-FR"/>
        </w:rPr>
        <w:t>elle</w:t>
      </w:r>
      <w:r w:rsidRPr="00F7694A">
        <w:rPr>
          <w:lang w:val="fr-FR"/>
        </w:rPr>
        <w:t>s répondent au</w:t>
      </w:r>
      <w:r w:rsidR="00883501" w:rsidRPr="00F7694A">
        <w:rPr>
          <w:lang w:val="fr-FR"/>
        </w:rPr>
        <w:t>x</w:t>
      </w:r>
      <w:r w:rsidRPr="00F7694A">
        <w:rPr>
          <w:lang w:val="fr-FR"/>
        </w:rPr>
        <w:t xml:space="preserve"> plus haut</w:t>
      </w:r>
      <w:r w:rsidR="00883501" w:rsidRPr="00F7694A">
        <w:rPr>
          <w:lang w:val="fr-FR"/>
        </w:rPr>
        <w:t>s</w:t>
      </w:r>
      <w:r w:rsidRPr="00F7694A">
        <w:rPr>
          <w:lang w:val="fr-FR"/>
        </w:rPr>
        <w:t xml:space="preserve"> niveau</w:t>
      </w:r>
      <w:r w:rsidR="00883501" w:rsidRPr="00F7694A">
        <w:rPr>
          <w:lang w:val="fr-FR"/>
        </w:rPr>
        <w:t>x</w:t>
      </w:r>
      <w:r w:rsidRPr="00F7694A">
        <w:rPr>
          <w:lang w:val="fr-FR"/>
        </w:rPr>
        <w:t xml:space="preserve"> de qualité et so</w:t>
      </w:r>
      <w:r w:rsidR="00883501" w:rsidRPr="00F7694A">
        <w:rPr>
          <w:lang w:val="fr-FR"/>
        </w:rPr>
        <w:t>ie</w:t>
      </w:r>
      <w:r w:rsidRPr="00F7694A">
        <w:rPr>
          <w:lang w:val="fr-FR"/>
        </w:rPr>
        <w:t>nt conformes aux normes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UIT. En 2017, des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programmes de formation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sur les thèmes suivants ont été mis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à jour, établis sous leur forme finale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ou entrepris: gestion du spectre, qualité de service, TIC et changements climatiques, Internet des objets (IoT)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et gouvernance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Internet.</w:t>
      </w:r>
      <w:r w:rsidR="009D043B" w:rsidRPr="00F7694A">
        <w:rPr>
          <w:lang w:val="fr-FR"/>
        </w:rPr>
        <w:t xml:space="preserve"> </w:t>
      </w:r>
    </w:p>
    <w:p w:rsidR="00A07E13" w:rsidRPr="00F7694A" w:rsidRDefault="00A07E13" w:rsidP="00883501">
      <w:pPr>
        <w:pStyle w:val="Headingb"/>
        <w:rPr>
          <w:lang w:val="fr-FR"/>
        </w:rPr>
      </w:pPr>
      <w:r w:rsidRPr="00F7694A">
        <w:rPr>
          <w:lang w:val="fr-FR"/>
        </w:rPr>
        <w:t>Réseau de Centres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excellence</w:t>
      </w:r>
    </w:p>
    <w:p w:rsidR="00A07E13" w:rsidRPr="00F7694A" w:rsidRDefault="00A07E13" w:rsidP="00396EB8">
      <w:pPr>
        <w:rPr>
          <w:lang w:val="fr-FR"/>
        </w:rPr>
      </w:pPr>
      <w:r w:rsidRPr="00F7694A">
        <w:rPr>
          <w:lang w:val="fr-FR"/>
        </w:rPr>
        <w:t>Le réseau de Centres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excellence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(CoE) constitue le principal mo</w:t>
      </w:r>
      <w:r w:rsidR="00396EB8" w:rsidRPr="00F7694A">
        <w:rPr>
          <w:lang w:val="fr-FR"/>
        </w:rPr>
        <w:t>yen par lequel sont organisées d</w:t>
      </w:r>
      <w:r w:rsidRPr="00F7694A">
        <w:rPr>
          <w:lang w:val="fr-FR"/>
        </w:rPr>
        <w:t>es formations dans le cadre de l</w:t>
      </w:r>
      <w:r w:rsidR="009D043B" w:rsidRPr="00F7694A">
        <w:rPr>
          <w:lang w:val="fr-FR"/>
        </w:rPr>
        <w:t>'</w:t>
      </w:r>
      <w:r w:rsidR="00396EB8" w:rsidRPr="00F7694A">
        <w:rPr>
          <w:lang w:val="fr-FR"/>
        </w:rPr>
        <w:t>A</w:t>
      </w:r>
      <w:r w:rsidRPr="00F7694A">
        <w:rPr>
          <w:lang w:val="fr-FR"/>
        </w:rPr>
        <w:t>cadémie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UIT. En 2017, le réseau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CoE a continué de renforcer les capacités de décideur</w:t>
      </w:r>
      <w:r w:rsidR="00396EB8" w:rsidRPr="00F7694A">
        <w:rPr>
          <w:lang w:val="fr-FR"/>
        </w:rPr>
        <w:t>s</w:t>
      </w:r>
      <w:r w:rsidRPr="00F7694A">
        <w:rPr>
          <w:lang w:val="fr-FR"/>
        </w:rPr>
        <w:t>, de</w:t>
      </w:r>
      <w:r w:rsidR="00396EB8" w:rsidRPr="00F7694A">
        <w:rPr>
          <w:lang w:val="fr-FR"/>
        </w:rPr>
        <w:t xml:space="preserve"> régulateurs, d'</w:t>
      </w:r>
      <w:r w:rsidRPr="00F7694A">
        <w:rPr>
          <w:lang w:val="fr-FR"/>
        </w:rPr>
        <w:t>opérateurs et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autres bénéficiaires dans de</w:t>
      </w:r>
      <w:r w:rsidR="00396EB8" w:rsidRPr="00F7694A">
        <w:rPr>
          <w:lang w:val="fr-FR"/>
        </w:rPr>
        <w:t>s</w:t>
      </w:r>
      <w:r w:rsidRPr="00F7694A">
        <w:rPr>
          <w:lang w:val="fr-FR"/>
        </w:rPr>
        <w:t xml:space="preserve"> domaines </w:t>
      </w:r>
      <w:r w:rsidR="00396EB8" w:rsidRPr="00F7694A">
        <w:rPr>
          <w:lang w:val="fr-FR"/>
        </w:rPr>
        <w:t xml:space="preserve">très divers </w:t>
      </w:r>
      <w:r w:rsidRPr="00F7694A">
        <w:rPr>
          <w:lang w:val="fr-FR"/>
        </w:rPr>
        <w:t xml:space="preserve">relatifs aux TIC, </w:t>
      </w:r>
      <w:r w:rsidR="00396EB8" w:rsidRPr="00F7694A">
        <w:rPr>
          <w:lang w:val="fr-FR"/>
        </w:rPr>
        <w:t>qu'il s'agisse de la cyber</w:t>
      </w:r>
      <w:r w:rsidRPr="00F7694A">
        <w:rPr>
          <w:lang w:val="fr-FR"/>
        </w:rPr>
        <w:t>sécurité,</w:t>
      </w:r>
      <w:r w:rsidR="00396EB8" w:rsidRPr="00F7694A">
        <w:rPr>
          <w:lang w:val="fr-FR"/>
        </w:rPr>
        <w:t xml:space="preserve"> de l'infrastructure large bande et de la gestion du spectre</w:t>
      </w:r>
      <w:r w:rsidRPr="00F7694A">
        <w:rPr>
          <w:lang w:val="fr-FR"/>
        </w:rPr>
        <w:t xml:space="preserve"> </w:t>
      </w:r>
      <w:r w:rsidR="00396EB8" w:rsidRPr="00F7694A">
        <w:rPr>
          <w:lang w:val="fr-FR"/>
        </w:rPr>
        <w:t xml:space="preserve">ou des politiques, des </w:t>
      </w:r>
      <w:r w:rsidRPr="00F7694A">
        <w:rPr>
          <w:lang w:val="fr-FR"/>
        </w:rPr>
        <w:t xml:space="preserve">applications et </w:t>
      </w:r>
      <w:r w:rsidR="00396EB8" w:rsidRPr="00F7694A">
        <w:rPr>
          <w:lang w:val="fr-FR"/>
        </w:rPr>
        <w:t xml:space="preserve">des </w:t>
      </w:r>
      <w:r w:rsidRPr="00F7694A">
        <w:rPr>
          <w:lang w:val="fr-FR"/>
        </w:rPr>
        <w:t>services liés aux TIC</w:t>
      </w:r>
      <w:r w:rsidR="00396EB8" w:rsidRPr="00F7694A">
        <w:rPr>
          <w:lang w:val="fr-FR"/>
        </w:rPr>
        <w:t>.</w:t>
      </w:r>
    </w:p>
    <w:p w:rsidR="00A07E13" w:rsidRPr="00F7694A" w:rsidRDefault="000F616C" w:rsidP="000F616C">
      <w:pPr>
        <w:rPr>
          <w:lang w:val="fr-FR"/>
        </w:rPr>
      </w:pPr>
      <w:r w:rsidRPr="00F7694A">
        <w:rPr>
          <w:lang w:val="fr-FR"/>
        </w:rPr>
        <w:t>Le réseau de C</w:t>
      </w:r>
      <w:r w:rsidR="00A07E13" w:rsidRPr="00F7694A">
        <w:rPr>
          <w:lang w:val="fr-FR"/>
        </w:rPr>
        <w:t>entres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 xml:space="preserve">excellence actuellement en place entre à présent dans sa dernière année, puisque le cycle </w:t>
      </w:r>
      <w:r w:rsidRPr="00F7694A">
        <w:rPr>
          <w:lang w:val="fr-FR"/>
        </w:rPr>
        <w:t>d'études 2015-</w:t>
      </w:r>
      <w:r w:rsidR="00A07E13" w:rsidRPr="00F7694A">
        <w:rPr>
          <w:lang w:val="fr-FR"/>
        </w:rPr>
        <w:t xml:space="preserve">2018 prendra fin en décembre 2018. La quatrième série de réunions des commissions de direction </w:t>
      </w:r>
      <w:r w:rsidRPr="00F7694A">
        <w:rPr>
          <w:lang w:val="fr-FR"/>
        </w:rPr>
        <w:t>des Centres d'excellence du</w:t>
      </w:r>
      <w:r w:rsidR="00A07E13" w:rsidRPr="00F7694A">
        <w:rPr>
          <w:lang w:val="fr-FR"/>
        </w:rPr>
        <w:t xml:space="preserve"> cycle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études en cours s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est tenue entre novembre et décembre 2007</w:t>
      </w:r>
      <w:r w:rsidR="009D043B" w:rsidRPr="00F7694A">
        <w:rPr>
          <w:lang w:val="fr-FR"/>
        </w:rPr>
        <w:t>.</w:t>
      </w:r>
      <w:r w:rsidR="00A07E13" w:rsidRPr="00F7694A">
        <w:rPr>
          <w:lang w:val="fr-FR"/>
        </w:rPr>
        <w:t xml:space="preserve"> Les participants à ces réunions ont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passé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en revue le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fonctionnement du réseau, réfléchi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à la façon de l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améliorer et déterminé les activités de formation à entreprendre en 2018</w:t>
      </w:r>
      <w:r w:rsidR="009D043B" w:rsidRPr="00F7694A">
        <w:rPr>
          <w:lang w:val="fr-FR"/>
        </w:rPr>
        <w:t>.</w:t>
      </w:r>
      <w:r w:rsidR="00A07E13" w:rsidRPr="00F7694A">
        <w:rPr>
          <w:lang w:val="fr-FR"/>
        </w:rPr>
        <w:t xml:space="preserve"> Les travaux préparatoires en vue du nouveau cycle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études (2019-2022) sont en cours, et conformément aux résultats de la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CMDT</w:t>
      </w:r>
      <w:r w:rsidR="00A07E13" w:rsidRPr="00F7694A">
        <w:rPr>
          <w:lang w:val="fr-FR"/>
        </w:rPr>
        <w:t>-17,</w:t>
      </w:r>
      <w:r w:rsidRPr="00F7694A">
        <w:rPr>
          <w:lang w:val="fr-FR"/>
        </w:rPr>
        <w:t xml:space="preserve"> </w:t>
      </w:r>
      <w:r w:rsidR="00A07E13" w:rsidRPr="00F7694A">
        <w:rPr>
          <w:lang w:val="fr-FR"/>
        </w:rPr>
        <w:t>le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BDT a</w:t>
      </w:r>
      <w:r w:rsidR="00A07E13" w:rsidRPr="00F7694A">
        <w:rPr>
          <w:lang w:val="fr-FR"/>
        </w:rPr>
        <w:t xml:space="preserve"> réexaminé la stratégie ainsi que les processus et procédures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exploitation régissant les activités des Centres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excellence. Un appel à propositions concernant la mise en place de nouve</w:t>
      </w:r>
      <w:r w:rsidRPr="00F7694A">
        <w:rPr>
          <w:lang w:val="fr-FR"/>
        </w:rPr>
        <w:t>aux C</w:t>
      </w:r>
      <w:r w:rsidR="00A07E13" w:rsidRPr="00F7694A">
        <w:rPr>
          <w:lang w:val="fr-FR"/>
        </w:rPr>
        <w:t>entres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excellence sera lancé au deuxième trimestre de 2018, en vue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ach</w:t>
      </w:r>
      <w:r w:rsidRPr="00F7694A">
        <w:rPr>
          <w:lang w:val="fr-FR"/>
        </w:rPr>
        <w:t>ever la sélection des nouveaux C</w:t>
      </w:r>
      <w:r w:rsidR="00A07E13" w:rsidRPr="00F7694A">
        <w:rPr>
          <w:lang w:val="fr-FR"/>
        </w:rPr>
        <w:t>entres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excellence au troisième trimestre de 2018</w:t>
      </w:r>
      <w:r w:rsidRPr="00F7694A">
        <w:rPr>
          <w:lang w:val="fr-FR"/>
        </w:rPr>
        <w:t>.</w:t>
      </w:r>
    </w:p>
    <w:p w:rsidR="00A07E13" w:rsidRPr="00F7694A" w:rsidRDefault="000F616C" w:rsidP="000F616C">
      <w:pPr>
        <w:pStyle w:val="Headingb"/>
        <w:keepLines/>
        <w:rPr>
          <w:lang w:val="fr-FR"/>
        </w:rPr>
      </w:pPr>
      <w:r w:rsidRPr="00F7694A">
        <w:rPr>
          <w:lang w:val="fr-FR"/>
        </w:rPr>
        <w:lastRenderedPageBreak/>
        <w:t>Publication "</w:t>
      </w:r>
      <w:r w:rsidR="00A07E13" w:rsidRPr="00F7694A">
        <w:rPr>
          <w:lang w:val="fr-FR"/>
        </w:rPr>
        <w:t>Renforcement des capacités dans un environnement des TIC en pleine évolution</w:t>
      </w:r>
      <w:r w:rsidRPr="00F7694A">
        <w:rPr>
          <w:lang w:val="fr-FR"/>
        </w:rPr>
        <w:t>"</w:t>
      </w:r>
    </w:p>
    <w:p w:rsidR="00A07E13" w:rsidRPr="00F7694A" w:rsidRDefault="00A07E13" w:rsidP="00D65B83">
      <w:pPr>
        <w:keepNext/>
        <w:keepLines/>
        <w:rPr>
          <w:lang w:val="fr-FR"/>
        </w:rPr>
      </w:pPr>
      <w:r w:rsidRPr="00F7694A">
        <w:rPr>
          <w:lang w:val="fr-FR"/>
        </w:rPr>
        <w:t>Le premier numéro de la publication en ligne de l</w:t>
      </w:r>
      <w:r w:rsidR="009D043B" w:rsidRPr="00F7694A">
        <w:rPr>
          <w:lang w:val="fr-FR"/>
        </w:rPr>
        <w:t>'</w:t>
      </w:r>
      <w:r w:rsidR="000F616C" w:rsidRPr="00F7694A">
        <w:rPr>
          <w:lang w:val="fr-FR"/>
        </w:rPr>
        <w:t>UIT intitulée "</w:t>
      </w:r>
      <w:hyperlink r:id="rId9" w:history="1">
        <w:r w:rsidRPr="00F7694A">
          <w:rPr>
            <w:rStyle w:val="Hyperlink"/>
            <w:lang w:val="fr-FR"/>
          </w:rPr>
          <w:t>Renforcement des capacités dans un environnement des TIC en pleine évolution</w:t>
        </w:r>
      </w:hyperlink>
      <w:r w:rsidR="000F616C" w:rsidRPr="00F7694A">
        <w:rPr>
          <w:lang w:val="fr-FR"/>
        </w:rPr>
        <w:t>"</w:t>
      </w:r>
      <w:r w:rsidRPr="00F7694A">
        <w:rPr>
          <w:lang w:val="fr-FR"/>
        </w:rPr>
        <w:t xml:space="preserve"> a paru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en 2017.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Cette nouvelle publication regroupe des articles scientifiques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portant plus particulièrement sur les dimensions humaine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et institutionnelle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du renforcement des capacités dans le secteur des télécommunications/TIC.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Elle traite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un large éventail de thèmes concernant les TIC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susceptibles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avoir des incidences sur les personnes et le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perfectionnement de leurs compétences</w:t>
      </w:r>
      <w:r w:rsidR="00870A04" w:rsidRPr="00F7694A">
        <w:rPr>
          <w:lang w:val="fr-FR"/>
        </w:rPr>
        <w:t>.</w:t>
      </w:r>
    </w:p>
    <w:p w:rsidR="00A07E13" w:rsidRPr="00F7694A" w:rsidRDefault="00A07E13" w:rsidP="00C80BDA">
      <w:pPr>
        <w:rPr>
          <w:lang w:val="fr-FR"/>
        </w:rPr>
      </w:pPr>
      <w:r w:rsidRPr="00F7694A">
        <w:rPr>
          <w:lang w:val="fr-FR"/>
        </w:rPr>
        <w:t>Le premier numéro de la publication e</w:t>
      </w:r>
      <w:r w:rsidR="00C80BDA" w:rsidRPr="00F7694A">
        <w:rPr>
          <w:lang w:val="fr-FR"/>
        </w:rPr>
        <w:t>s</w:t>
      </w:r>
      <w:r w:rsidRPr="00F7694A">
        <w:rPr>
          <w:lang w:val="fr-FR"/>
        </w:rPr>
        <w:t>t plus particulièrement consacré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aux technologies mobiles utilisées pour la formation professionnelle et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apprentissage tout au long de la vie. Il présente les travaux effectués par une équipe internationale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experts qui se sont penchés sur les questions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une manière analytique, critique et conceptuelle</w:t>
      </w:r>
      <w:r w:rsidR="009D043B" w:rsidRPr="00F7694A">
        <w:rPr>
          <w:lang w:val="fr-FR"/>
        </w:rPr>
        <w:t>.</w:t>
      </w:r>
      <w:r w:rsidRPr="00F7694A">
        <w:rPr>
          <w:lang w:val="fr-FR"/>
        </w:rPr>
        <w:t xml:space="preserve"> Les articles de ce numéro traite</w:t>
      </w:r>
      <w:r w:rsidR="00C80BDA" w:rsidRPr="00F7694A">
        <w:rPr>
          <w:lang w:val="fr-FR"/>
        </w:rPr>
        <w:t>nt</w:t>
      </w:r>
      <w:r w:rsidRPr="00F7694A">
        <w:rPr>
          <w:lang w:val="fr-FR"/>
        </w:rPr>
        <w:t xml:space="preserve"> des possibilités de plus en plus nombreuses qu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offrent les dispositifs mobiles, en ce sens qu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ils mettent les avantages des TIC à la portée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un nombre croissant de personnes </w:t>
      </w:r>
      <w:r w:rsidR="00C80BDA" w:rsidRPr="00F7694A">
        <w:rPr>
          <w:lang w:val="fr-FR"/>
        </w:rPr>
        <w:t xml:space="preserve">partout </w:t>
      </w:r>
      <w:r w:rsidRPr="00F7694A">
        <w:rPr>
          <w:lang w:val="fr-FR"/>
        </w:rPr>
        <w:t>dans le monde.</w:t>
      </w:r>
      <w:r w:rsidR="009D043B" w:rsidRPr="00F7694A">
        <w:rPr>
          <w:lang w:val="fr-FR"/>
        </w:rPr>
        <w:t xml:space="preserve"> </w:t>
      </w:r>
      <w:r w:rsidR="00C80BDA" w:rsidRPr="00F7694A">
        <w:rPr>
          <w:lang w:val="fr-FR"/>
        </w:rPr>
        <w:t>Ces articles viennent enrichir les</w:t>
      </w:r>
      <w:r w:rsidRPr="00F7694A">
        <w:rPr>
          <w:lang w:val="fr-FR"/>
        </w:rPr>
        <w:t xml:space="preserve"> débats actuels sur les applications des techniques mobiles à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enseignement et les possibilités qu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elles offrent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améliorer et de faciliter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apprentissage tout au long de la vie ainsi que la </w:t>
      </w:r>
      <w:r w:rsidR="00C80BDA" w:rsidRPr="00F7694A">
        <w:rPr>
          <w:lang w:val="fr-FR"/>
        </w:rPr>
        <w:t>formation</w:t>
      </w:r>
      <w:r w:rsidRPr="00F7694A">
        <w:rPr>
          <w:lang w:val="fr-FR"/>
        </w:rPr>
        <w:t xml:space="preserve"> professionnelle</w:t>
      </w:r>
      <w:r w:rsidR="00C80BDA" w:rsidRPr="00F7694A">
        <w:rPr>
          <w:lang w:val="fr-FR"/>
        </w:rPr>
        <w:t>.</w:t>
      </w:r>
    </w:p>
    <w:p w:rsidR="00A07E13" w:rsidRPr="00F7694A" w:rsidRDefault="00A07E13" w:rsidP="00C80BDA">
      <w:pPr>
        <w:rPr>
          <w:lang w:val="fr-FR"/>
        </w:rPr>
      </w:pPr>
      <w:r w:rsidRPr="00F7694A">
        <w:rPr>
          <w:lang w:val="fr-FR"/>
        </w:rPr>
        <w:t xml:space="preserve">Le </w:t>
      </w:r>
      <w:r w:rsidR="00C80BDA" w:rsidRPr="00F7694A">
        <w:rPr>
          <w:lang w:val="fr-FR"/>
        </w:rPr>
        <w:t>deuxième</w:t>
      </w:r>
      <w:r w:rsidRPr="00F7694A">
        <w:rPr>
          <w:lang w:val="fr-FR"/>
        </w:rPr>
        <w:t xml:space="preserve"> numéro de la publication est en préparation. Il sera axé sur le renforcement des capacités pour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économie numérique du XXIe siècle et mettra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accent sur la manière dont les profondes transformations numériques </w:t>
      </w:r>
      <w:r w:rsidR="00C80BDA" w:rsidRPr="00F7694A">
        <w:rPr>
          <w:lang w:val="fr-FR"/>
        </w:rPr>
        <w:t xml:space="preserve">à l'oeuvre, </w:t>
      </w:r>
      <w:r w:rsidRPr="00F7694A">
        <w:rPr>
          <w:lang w:val="fr-FR"/>
        </w:rPr>
        <w:t>telles que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intelligence artificielle,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apprentissage machine,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Internet des objets et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analyse</w:t>
      </w:r>
      <w:r w:rsidR="009D043B" w:rsidRPr="00F7694A">
        <w:rPr>
          <w:lang w:val="fr-FR"/>
        </w:rPr>
        <w:t xml:space="preserve"> </w:t>
      </w:r>
      <w:r w:rsidR="00C80BDA" w:rsidRPr="00F7694A">
        <w:rPr>
          <w:lang w:val="fr-FR"/>
        </w:rPr>
        <w:t>des méga</w:t>
      </w:r>
      <w:r w:rsidRPr="00F7694A">
        <w:rPr>
          <w:lang w:val="fr-FR"/>
        </w:rPr>
        <w:t>données</w:t>
      </w:r>
      <w:r w:rsidR="00C80BDA" w:rsidRPr="00F7694A">
        <w:rPr>
          <w:lang w:val="fr-FR"/>
        </w:rPr>
        <w:t>,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imposent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acquisition de </w:t>
      </w:r>
      <w:r w:rsidR="00C80BDA" w:rsidRPr="00F7694A">
        <w:rPr>
          <w:lang w:val="fr-FR"/>
        </w:rPr>
        <w:t xml:space="preserve">compétences </w:t>
      </w:r>
      <w:r w:rsidRPr="00F7694A">
        <w:rPr>
          <w:lang w:val="fr-FR"/>
        </w:rPr>
        <w:t>nouvelles et influent à leur tour sur le renforcement des capacités et le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perfectionnement des compétences. Le deuxième numéro de la publication</w:t>
      </w:r>
      <w:r w:rsidR="009D043B" w:rsidRPr="00F7694A">
        <w:rPr>
          <w:lang w:val="fr-FR"/>
        </w:rPr>
        <w:t xml:space="preserve"> </w:t>
      </w:r>
      <w:r w:rsidR="00C80BDA" w:rsidRPr="00F7694A">
        <w:rPr>
          <w:lang w:val="fr-FR"/>
        </w:rPr>
        <w:t>"</w:t>
      </w:r>
      <w:r w:rsidRPr="00F7694A">
        <w:rPr>
          <w:lang w:val="fr-FR"/>
        </w:rPr>
        <w:t>Renforcement des capacités dans un environnement des TIC en pleine évolution</w:t>
      </w:r>
      <w:r w:rsidR="00C80BDA" w:rsidRPr="00F7694A">
        <w:rPr>
          <w:lang w:val="fr-FR"/>
        </w:rPr>
        <w:t>"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devra paraître au deuxième</w:t>
      </w:r>
      <w:r w:rsidR="00C80BDA" w:rsidRPr="00F7694A">
        <w:rPr>
          <w:lang w:val="fr-FR"/>
        </w:rPr>
        <w:t> </w:t>
      </w:r>
      <w:r w:rsidRPr="00F7694A">
        <w:rPr>
          <w:lang w:val="fr-FR"/>
        </w:rPr>
        <w:t>trimestre de 2018.</w:t>
      </w:r>
      <w:r w:rsidR="009D043B" w:rsidRPr="00F7694A">
        <w:rPr>
          <w:lang w:val="fr-FR"/>
        </w:rPr>
        <w:t xml:space="preserve"> </w:t>
      </w:r>
    </w:p>
    <w:p w:rsidR="00A07E13" w:rsidRPr="00F7694A" w:rsidRDefault="00A07E13" w:rsidP="00CC724C">
      <w:pPr>
        <w:pStyle w:val="Headingb"/>
        <w:rPr>
          <w:lang w:val="fr-FR"/>
        </w:rPr>
      </w:pPr>
      <w:r w:rsidRPr="00F7694A">
        <w:rPr>
          <w:lang w:val="fr-FR"/>
        </w:rPr>
        <w:t>Réunion des partenaires universitaires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UIT</w:t>
      </w:r>
    </w:p>
    <w:p w:rsidR="00A07E13" w:rsidRPr="00F7694A" w:rsidRDefault="00D64F21" w:rsidP="003D768B">
      <w:pPr>
        <w:rPr>
          <w:lang w:val="fr-FR"/>
        </w:rPr>
      </w:pPr>
      <w:hyperlink r:id="rId10" w:history="1">
        <w:r w:rsidR="00A07E13" w:rsidRPr="00F7694A">
          <w:rPr>
            <w:rStyle w:val="Hyperlink"/>
            <w:lang w:val="fr-FR"/>
          </w:rPr>
          <w:t>La Réunion des partenaires universitaires de l</w:t>
        </w:r>
        <w:r w:rsidR="009D043B" w:rsidRPr="00F7694A">
          <w:rPr>
            <w:rStyle w:val="Hyperlink"/>
            <w:lang w:val="fr-FR"/>
          </w:rPr>
          <w:t>'</w:t>
        </w:r>
        <w:r w:rsidR="00A07E13" w:rsidRPr="00F7694A">
          <w:rPr>
            <w:rStyle w:val="Hyperlink"/>
            <w:lang w:val="fr-FR"/>
          </w:rPr>
          <w:t xml:space="preserve">UIT: </w:t>
        </w:r>
        <w:r w:rsidR="00A07E13" w:rsidRPr="00F7694A">
          <w:rPr>
            <w:rStyle w:val="Hyperlink"/>
            <w:i/>
            <w:iCs/>
            <w:lang w:val="fr-FR"/>
          </w:rPr>
          <w:t>Acquérir des compétences pour l</w:t>
        </w:r>
        <w:r w:rsidR="009D043B" w:rsidRPr="00F7694A">
          <w:rPr>
            <w:rStyle w:val="Hyperlink"/>
            <w:i/>
            <w:iCs/>
            <w:lang w:val="fr-FR"/>
          </w:rPr>
          <w:t>'</w:t>
        </w:r>
        <w:r w:rsidR="00A07E13" w:rsidRPr="00F7694A">
          <w:rPr>
            <w:rStyle w:val="Hyperlink"/>
            <w:i/>
            <w:iCs/>
            <w:lang w:val="fr-FR"/>
          </w:rPr>
          <w:t>ère numérique</w:t>
        </w:r>
      </w:hyperlink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a eu lieu à Budapest (Hongrie) du 19 au 21 septembre 2017. Cette réunion, organisée par l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UIT à l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aimable invitation de l'Autorité nationale de Hongrie chargée des médias et de l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infocommunication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(NMHH), s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est tenue en présence de 88 participants de 32 pays, dont 38</w:t>
      </w:r>
      <w:r w:rsidR="003D768B" w:rsidRPr="00F7694A">
        <w:rPr>
          <w:lang w:val="fr-FR"/>
        </w:rPr>
        <w:t> </w:t>
      </w:r>
      <w:r w:rsidR="00A07E13" w:rsidRPr="00F7694A">
        <w:rPr>
          <w:lang w:val="fr-FR"/>
        </w:rPr>
        <w:t>établissements universitaires représentant toutes les régions.</w:t>
      </w:r>
    </w:p>
    <w:p w:rsidR="00A07E13" w:rsidRPr="00F7694A" w:rsidRDefault="00A07E13" w:rsidP="00226DCA">
      <w:pPr>
        <w:rPr>
          <w:lang w:val="fr-FR"/>
        </w:rPr>
      </w:pPr>
      <w:r w:rsidRPr="00F7694A">
        <w:rPr>
          <w:lang w:val="fr-FR"/>
        </w:rPr>
        <w:t xml:space="preserve">Les participants se sont penchés sur les nouvelles tendances technologiques et la façon dont elles influent sur les programmes universitaires, </w:t>
      </w:r>
      <w:r w:rsidR="003D768B" w:rsidRPr="00F7694A">
        <w:rPr>
          <w:lang w:val="fr-FR"/>
        </w:rPr>
        <w:t>et ont fait</w:t>
      </w:r>
      <w:r w:rsidRPr="00F7694A">
        <w:rPr>
          <w:lang w:val="fr-FR"/>
        </w:rPr>
        <w:t xml:space="preserve"> part des dernières avancées dans le domaine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enseignement et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apprentissage à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ère du numérique. Ils ont également abordé les méthodes à adopter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afin de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 xml:space="preserve">renforcer les compétences pour </w:t>
      </w:r>
      <w:r w:rsidR="003D768B" w:rsidRPr="00F7694A">
        <w:rPr>
          <w:lang w:val="fr-FR"/>
        </w:rPr>
        <w:t>une meilleure préparation</w:t>
      </w:r>
      <w:r w:rsidRPr="00F7694A">
        <w:rPr>
          <w:lang w:val="fr-FR"/>
        </w:rPr>
        <w:t xml:space="preserve"> aux métiers du XXIe siècle</w:t>
      </w:r>
      <w:r w:rsidR="003D768B" w:rsidRPr="00F7694A">
        <w:rPr>
          <w:lang w:val="fr-FR"/>
        </w:rPr>
        <w:t>.</w:t>
      </w:r>
      <w:r w:rsidR="00960A5A">
        <w:rPr>
          <w:lang w:val="fr-FR"/>
        </w:rPr>
        <w:t xml:space="preserve"> Des débats ont été engagé</w:t>
      </w:r>
      <w:r w:rsidRPr="00F7694A">
        <w:rPr>
          <w:lang w:val="fr-FR"/>
        </w:rPr>
        <w:t>s sur la transformation numérique et les différentes compétences requises</w:t>
      </w:r>
      <w:r w:rsidR="003D768B" w:rsidRPr="00F7694A">
        <w:rPr>
          <w:lang w:val="fr-FR"/>
        </w:rPr>
        <w:t xml:space="preserve"> à cette fin</w:t>
      </w:r>
      <w:r w:rsidRPr="00F7694A">
        <w:rPr>
          <w:lang w:val="fr-FR"/>
        </w:rPr>
        <w:t>, le rôle des universités dans la définition de la stratégie numérique, les modifications des programmes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études, notamment en ce qui concerne </w:t>
      </w:r>
      <w:r w:rsidR="003D768B" w:rsidRPr="00F7694A">
        <w:rPr>
          <w:lang w:val="fr-FR"/>
        </w:rPr>
        <w:t>la prise en</w:t>
      </w:r>
      <w:r w:rsidRPr="00F7694A">
        <w:rPr>
          <w:lang w:val="fr-FR"/>
        </w:rPr>
        <w:t xml:space="preserve"> compte des questions de politiques relatives à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Internet et les nouveaux modes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enseignement et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apprentissage à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ère du numérique. La réunion a également été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occasion </w:t>
      </w:r>
      <w:r w:rsidR="003D768B" w:rsidRPr="00F7694A">
        <w:rPr>
          <w:lang w:val="fr-FR"/>
        </w:rPr>
        <w:t>de procéder à</w:t>
      </w:r>
      <w:r w:rsidRPr="00F7694A">
        <w:rPr>
          <w:lang w:val="fr-FR"/>
        </w:rPr>
        <w:t xml:space="preserve"> des discussions sur des partenariats réussis entre des univ</w:t>
      </w:r>
      <w:r w:rsidR="003D768B" w:rsidRPr="00F7694A">
        <w:rPr>
          <w:lang w:val="fr-FR"/>
        </w:rPr>
        <w:t>ersités, le secteur privé, des C</w:t>
      </w:r>
      <w:r w:rsidRPr="00F7694A">
        <w:rPr>
          <w:lang w:val="fr-FR"/>
        </w:rPr>
        <w:t>entres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excellence et </w:t>
      </w:r>
      <w:r w:rsidR="00960A5A">
        <w:rPr>
          <w:lang w:val="fr-FR"/>
        </w:rPr>
        <w:t>l'</w:t>
      </w:r>
      <w:r w:rsidRPr="00F7694A">
        <w:rPr>
          <w:lang w:val="fr-FR"/>
        </w:rPr>
        <w:t>UIT</w:t>
      </w:r>
      <w:r w:rsidR="009D043B" w:rsidRPr="00F7694A">
        <w:rPr>
          <w:lang w:val="fr-FR"/>
        </w:rPr>
        <w:t>.</w:t>
      </w:r>
      <w:r w:rsidRPr="00F7694A">
        <w:rPr>
          <w:lang w:val="fr-FR"/>
        </w:rPr>
        <w:t xml:space="preserve"> </w:t>
      </w:r>
      <w:r w:rsidR="003D768B" w:rsidRPr="00F7694A">
        <w:rPr>
          <w:lang w:val="fr-FR"/>
        </w:rPr>
        <w:t>Enfin, l</w:t>
      </w:r>
      <w:r w:rsidRPr="00F7694A">
        <w:rPr>
          <w:lang w:val="fr-FR"/>
        </w:rPr>
        <w:t>es participants se sont penchés sur le rôle que jouent les universités en tant que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pépinières d'entreprises au service de l'innovation et</w:t>
      </w:r>
      <w:r w:rsidR="009D043B" w:rsidRPr="00F7694A">
        <w:rPr>
          <w:lang w:val="fr-FR"/>
        </w:rPr>
        <w:t xml:space="preserve"> </w:t>
      </w:r>
      <w:r w:rsidR="003D768B" w:rsidRPr="00F7694A">
        <w:rPr>
          <w:lang w:val="fr-FR"/>
        </w:rPr>
        <w:t xml:space="preserve">en tant que </w:t>
      </w:r>
      <w:r w:rsidRPr="00F7694A">
        <w:rPr>
          <w:lang w:val="fr-FR"/>
        </w:rPr>
        <w:t>start-up</w:t>
      </w:r>
      <w:r w:rsidR="003D768B" w:rsidRPr="00F7694A">
        <w:rPr>
          <w:lang w:val="fr-FR"/>
        </w:rPr>
        <w:t xml:space="preserve"> et </w:t>
      </w:r>
      <w:r w:rsidRPr="00F7694A">
        <w:rPr>
          <w:lang w:val="fr-FR"/>
        </w:rPr>
        <w:t>certains exemples concrets ont été présentés</w:t>
      </w:r>
      <w:r w:rsidR="003D768B" w:rsidRPr="00F7694A">
        <w:rPr>
          <w:lang w:val="fr-FR"/>
        </w:rPr>
        <w:t xml:space="preserve"> à cet égard</w:t>
      </w:r>
      <w:r w:rsidRPr="00F7694A">
        <w:rPr>
          <w:lang w:val="fr-FR"/>
        </w:rPr>
        <w:t>.</w:t>
      </w:r>
      <w:r w:rsidR="009D043B" w:rsidRPr="00F7694A">
        <w:rPr>
          <w:lang w:val="fr-FR"/>
        </w:rPr>
        <w:t xml:space="preserve"> </w:t>
      </w:r>
    </w:p>
    <w:p w:rsidR="00A07E13" w:rsidRPr="00F7694A" w:rsidRDefault="00A07E13" w:rsidP="00F75C19">
      <w:pPr>
        <w:rPr>
          <w:lang w:val="fr-FR"/>
        </w:rPr>
      </w:pPr>
      <w:r w:rsidRPr="00F7694A">
        <w:rPr>
          <w:lang w:val="fr-FR"/>
        </w:rPr>
        <w:lastRenderedPageBreak/>
        <w:t>Les travaux ont notamment débouché sur une série de recommandations et de propositions relatives au</w:t>
      </w:r>
      <w:r w:rsidR="00F75C19" w:rsidRPr="00F7694A">
        <w:rPr>
          <w:lang w:val="fr-FR"/>
        </w:rPr>
        <w:t xml:space="preserve">x moyens à mettre en oeuvre pour </w:t>
      </w:r>
      <w:r w:rsidRPr="00F7694A">
        <w:rPr>
          <w:lang w:val="fr-FR"/>
        </w:rPr>
        <w:t>intensifier la collaboration entre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UIT et les milieux universitaires</w:t>
      </w:r>
      <w:r w:rsidR="00F75C19" w:rsidRPr="00F7694A">
        <w:rPr>
          <w:lang w:val="fr-FR"/>
        </w:rPr>
        <w:t>,</w:t>
      </w:r>
      <w:r w:rsidRPr="00F7694A">
        <w:rPr>
          <w:lang w:val="fr-FR"/>
        </w:rPr>
        <w:t xml:space="preserve"> en vue de renforcer les capacités dans le monde de demain placé sous le signe du numérique. Les délégués ont confirmé que les manifestations consacrées aux partenariats de cette nature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étaient très demandées et que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UIT avait un rôle important à jouer en réunissant différentes parties prenantes et universités issues de toutes les régions.</w:t>
      </w:r>
      <w:r w:rsidR="009D043B" w:rsidRPr="00F7694A">
        <w:rPr>
          <w:lang w:val="fr-FR"/>
        </w:rPr>
        <w:t xml:space="preserve"> </w:t>
      </w:r>
      <w:r w:rsidR="00F75C19" w:rsidRPr="00F7694A">
        <w:rPr>
          <w:lang w:val="fr-FR"/>
        </w:rPr>
        <w:t>A</w:t>
      </w:r>
      <w:r w:rsidRPr="00F7694A">
        <w:rPr>
          <w:lang w:val="fr-FR"/>
        </w:rPr>
        <w:t xml:space="preserve"> cet égard,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un des principaux atouts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 xml:space="preserve">UIT est que </w:t>
      </w:r>
      <w:r w:rsidR="00F75C19" w:rsidRPr="00F7694A">
        <w:rPr>
          <w:lang w:val="fr-FR"/>
        </w:rPr>
        <w:t>cette organisation</w:t>
      </w:r>
      <w:r w:rsidRPr="00F7694A">
        <w:rPr>
          <w:lang w:val="fr-FR"/>
        </w:rPr>
        <w:t>,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forte de sa présence sur la scène internationale, compte de nombreux membres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du monde entier</w:t>
      </w:r>
      <w:r w:rsidR="009D043B" w:rsidRPr="00F7694A">
        <w:rPr>
          <w:lang w:val="fr-FR"/>
        </w:rPr>
        <w:t>.</w:t>
      </w:r>
      <w:r w:rsidRPr="00F7694A">
        <w:rPr>
          <w:lang w:val="fr-FR"/>
        </w:rPr>
        <w:t xml:space="preserve"> Enfin, les participants ont estimé que le renforcement des capacités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à l'ère du numérique était un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 xml:space="preserve">secteur de croissance et </w:t>
      </w:r>
      <w:r w:rsidR="00F75C19" w:rsidRPr="00F7694A">
        <w:rPr>
          <w:lang w:val="fr-FR"/>
        </w:rPr>
        <w:t xml:space="preserve">que </w:t>
      </w:r>
      <w:r w:rsidRPr="00F7694A">
        <w:rPr>
          <w:lang w:val="fr-FR"/>
        </w:rPr>
        <w:t>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UIT devrait jouer un rôle déterminant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à cet égard.</w:t>
      </w:r>
    </w:p>
    <w:p w:rsidR="00A07E13" w:rsidRPr="00F7694A" w:rsidRDefault="00F75C19" w:rsidP="00F75C19">
      <w:pPr>
        <w:pStyle w:val="Headingb"/>
        <w:rPr>
          <w:lang w:val="fr-FR"/>
        </w:rPr>
      </w:pPr>
      <w:r w:rsidRPr="00F7694A">
        <w:rPr>
          <w:lang w:val="fr-FR"/>
        </w:rPr>
        <w:t>CMDT</w:t>
      </w:r>
      <w:r w:rsidR="00A07E13" w:rsidRPr="00F7694A">
        <w:rPr>
          <w:lang w:val="fr-FR"/>
        </w:rPr>
        <w:t>-17</w:t>
      </w:r>
    </w:p>
    <w:p w:rsidR="00A07E13" w:rsidRPr="00F7694A" w:rsidRDefault="00960A5A" w:rsidP="00960A5A">
      <w:pPr>
        <w:rPr>
          <w:lang w:val="fr-FR"/>
        </w:rPr>
      </w:pPr>
      <w:r>
        <w:rPr>
          <w:lang w:val="fr-FR"/>
        </w:rPr>
        <w:t>La CMDT-</w:t>
      </w:r>
      <w:r w:rsidR="00A07E13" w:rsidRPr="00F7694A">
        <w:rPr>
          <w:lang w:val="fr-FR"/>
        </w:rPr>
        <w:t>17 a réaffirmé combien le renforcement des capacités et le perfectionnement des compétences étaient importants</w:t>
      </w:r>
      <w:r w:rsidR="009D043B" w:rsidRPr="00F7694A">
        <w:rPr>
          <w:lang w:val="fr-FR"/>
        </w:rPr>
        <w:t>,</w:t>
      </w:r>
      <w:r w:rsidR="00A07E13" w:rsidRPr="00F7694A">
        <w:rPr>
          <w:lang w:val="fr-FR"/>
        </w:rPr>
        <w:t xml:space="preserve"> comme en témoigne</w:t>
      </w:r>
      <w:r w:rsidR="0043736C" w:rsidRPr="00F7694A">
        <w:rPr>
          <w:lang w:val="fr-FR"/>
        </w:rPr>
        <w:t>nt</w:t>
      </w:r>
      <w:r w:rsidR="00A07E13" w:rsidRPr="00F7694A">
        <w:rPr>
          <w:lang w:val="fr-FR"/>
        </w:rPr>
        <w:t xml:space="preserve"> l</w:t>
      </w:r>
      <w:r w:rsidR="009D043B" w:rsidRPr="00F7694A">
        <w:rPr>
          <w:lang w:val="fr-FR"/>
        </w:rPr>
        <w:t>'</w:t>
      </w:r>
      <w:r w:rsidR="0043736C" w:rsidRPr="00F7694A">
        <w:rPr>
          <w:lang w:val="fr-FR"/>
        </w:rPr>
        <w:t>Objectif 3 du P</w:t>
      </w:r>
      <w:r w:rsidR="00A07E13" w:rsidRPr="00F7694A">
        <w:rPr>
          <w:lang w:val="fr-FR"/>
        </w:rPr>
        <w:t>lan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action de Buenos</w:t>
      </w:r>
      <w:r w:rsidR="0043736C" w:rsidRPr="00F7694A">
        <w:rPr>
          <w:lang w:val="fr-FR"/>
        </w:rPr>
        <w:t> </w:t>
      </w:r>
      <w:r w:rsidR="00A07E13" w:rsidRPr="00F7694A">
        <w:rPr>
          <w:lang w:val="fr-FR"/>
        </w:rPr>
        <w:t>Aires</w:t>
      </w:r>
      <w:r w:rsidR="009D043B" w:rsidRPr="00F7694A">
        <w:rPr>
          <w:lang w:val="fr-FR"/>
        </w:rPr>
        <w:t>,</w:t>
      </w:r>
      <w:r w:rsidR="00A07E13" w:rsidRPr="00F7694A">
        <w:rPr>
          <w:lang w:val="fr-FR"/>
        </w:rPr>
        <w:t xml:space="preserve"> la</w:t>
      </w:r>
      <w:r w:rsidR="00F75C19" w:rsidRPr="00F7694A">
        <w:rPr>
          <w:lang w:val="fr-FR"/>
        </w:rPr>
        <w:t xml:space="preserve"> Ré</w:t>
      </w:r>
      <w:r w:rsidR="00A07E13" w:rsidRPr="00F7694A">
        <w:rPr>
          <w:lang w:val="fr-FR"/>
        </w:rPr>
        <w:t>solution 40 (relative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aux Centres d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excellence) et la Résolution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73 (relative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au Groupe sur les initiatives pour le renfo</w:t>
      </w:r>
      <w:r w:rsidR="0043736C" w:rsidRPr="00F7694A">
        <w:rPr>
          <w:lang w:val="fr-FR"/>
        </w:rPr>
        <w:t>rcement des capacités, voir le D</w:t>
      </w:r>
      <w:r w:rsidR="00A07E13" w:rsidRPr="00F7694A">
        <w:rPr>
          <w:lang w:val="fr-FR"/>
        </w:rPr>
        <w:t xml:space="preserve">ocument </w:t>
      </w:r>
      <w:hyperlink r:id="rId11" w:history="1">
        <w:r w:rsidR="00A07E13" w:rsidRPr="00F7694A">
          <w:rPr>
            <w:rStyle w:val="Hyperlink"/>
            <w:lang w:val="fr-FR"/>
          </w:rPr>
          <w:t>TDAG-18/17</w:t>
        </w:r>
      </w:hyperlink>
      <w:r w:rsidR="00A07E13" w:rsidRPr="00F7694A">
        <w:rPr>
          <w:lang w:val="fr-FR"/>
        </w:rPr>
        <w:t xml:space="preserve">). </w:t>
      </w:r>
    </w:p>
    <w:p w:rsidR="00A07E13" w:rsidRPr="00F7694A" w:rsidRDefault="00A07E13" w:rsidP="0043736C">
      <w:pPr>
        <w:rPr>
          <w:lang w:val="fr-FR"/>
        </w:rPr>
      </w:pPr>
      <w:r w:rsidRPr="00F7694A">
        <w:rPr>
          <w:lang w:val="fr-FR"/>
        </w:rPr>
        <w:t xml:space="preserve">Il convient en particulier de </w:t>
      </w:r>
      <w:r w:rsidR="0043736C" w:rsidRPr="00F7694A">
        <w:rPr>
          <w:lang w:val="fr-FR"/>
        </w:rPr>
        <w:t>mettre en évidence</w:t>
      </w:r>
      <w:r w:rsidRPr="00F7694A">
        <w:rPr>
          <w:lang w:val="fr-FR"/>
        </w:rPr>
        <w:t xml:space="preserve"> le</w:t>
      </w:r>
      <w:r w:rsidR="0043736C" w:rsidRPr="00F7694A">
        <w:rPr>
          <w:lang w:val="fr-FR"/>
        </w:rPr>
        <w:t>s résultats ci-après de la CMDT</w:t>
      </w:r>
      <w:r w:rsidRPr="00F7694A">
        <w:rPr>
          <w:lang w:val="fr-FR"/>
        </w:rPr>
        <w:t>-17</w:t>
      </w:r>
      <w:r w:rsidR="0043736C" w:rsidRPr="00F7694A">
        <w:rPr>
          <w:lang w:val="fr-FR"/>
        </w:rPr>
        <w:t>:</w:t>
      </w:r>
    </w:p>
    <w:p w:rsidR="00A07E13" w:rsidRPr="00F7694A" w:rsidRDefault="00026169" w:rsidP="00026169">
      <w:pPr>
        <w:pStyle w:val="enumlev1"/>
        <w:rPr>
          <w:lang w:val="fr-FR"/>
        </w:rPr>
      </w:pPr>
      <w:r w:rsidRPr="00F7694A">
        <w:rPr>
          <w:lang w:val="fr-FR"/>
        </w:rPr>
        <w:t>•</w:t>
      </w:r>
      <w:r w:rsidRPr="00F7694A">
        <w:rPr>
          <w:lang w:val="fr-FR"/>
        </w:rPr>
        <w:tab/>
        <w:t>L</w:t>
      </w:r>
      <w:r w:rsidR="00A07E13" w:rsidRPr="00F7694A">
        <w:rPr>
          <w:lang w:val="fr-FR"/>
        </w:rPr>
        <w:t>a conférence a insisté sur la nécessité de mieux faire connaître l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importance du perfectionnement des compétences dans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le monde numérique de demain</w:t>
      </w:r>
      <w:r w:rsidRPr="00F7694A">
        <w:rPr>
          <w:lang w:val="fr-FR"/>
        </w:rPr>
        <w:t>.</w:t>
      </w:r>
    </w:p>
    <w:p w:rsidR="00A07E13" w:rsidRPr="00F7694A" w:rsidRDefault="00A07E13" w:rsidP="00026169">
      <w:pPr>
        <w:pStyle w:val="enumlev1"/>
        <w:rPr>
          <w:lang w:val="fr-FR"/>
        </w:rPr>
      </w:pPr>
      <w:r w:rsidRPr="00F7694A">
        <w:rPr>
          <w:lang w:val="fr-FR"/>
        </w:rPr>
        <w:t>•</w:t>
      </w:r>
      <w:r w:rsidRPr="00F7694A">
        <w:rPr>
          <w:lang w:val="fr-FR"/>
        </w:rPr>
        <w:tab/>
      </w:r>
      <w:r w:rsidR="00026169" w:rsidRPr="00F7694A">
        <w:rPr>
          <w:lang w:val="fr-FR"/>
        </w:rPr>
        <w:t>L</w:t>
      </w:r>
      <w:r w:rsidRPr="00F7694A">
        <w:rPr>
          <w:lang w:val="fr-FR"/>
        </w:rPr>
        <w:t>a gouvernance internationale de l'Internet a été intégré</w:t>
      </w:r>
      <w:r w:rsidR="00026169" w:rsidRPr="00F7694A">
        <w:rPr>
          <w:lang w:val="fr-FR"/>
        </w:rPr>
        <w:t>e</w:t>
      </w:r>
      <w:r w:rsidRPr="00F7694A">
        <w:rPr>
          <w:lang w:val="fr-FR"/>
        </w:rPr>
        <w:t xml:space="preserve"> dans les programmes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UIT relatifs au renforcement des capacités et au développement des compétences humaines</w:t>
      </w:r>
      <w:r w:rsidR="00026169" w:rsidRPr="00F7694A">
        <w:rPr>
          <w:lang w:val="fr-FR"/>
        </w:rPr>
        <w:t>.</w:t>
      </w:r>
    </w:p>
    <w:p w:rsidR="00A07E13" w:rsidRPr="00F7694A" w:rsidRDefault="00A07E13" w:rsidP="00026169">
      <w:pPr>
        <w:pStyle w:val="enumlev1"/>
        <w:rPr>
          <w:lang w:val="fr-FR"/>
        </w:rPr>
      </w:pPr>
      <w:r w:rsidRPr="00F7694A">
        <w:rPr>
          <w:lang w:val="fr-FR"/>
        </w:rPr>
        <w:t>•</w:t>
      </w:r>
      <w:r w:rsidRPr="00F7694A">
        <w:rPr>
          <w:lang w:val="fr-FR"/>
        </w:rPr>
        <w:tab/>
        <w:t>La conférence a souligné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importance du programme de Centre</w:t>
      </w:r>
      <w:r w:rsidR="009B309D" w:rsidRPr="00F7694A">
        <w:rPr>
          <w:lang w:val="fr-FR"/>
        </w:rPr>
        <w:t>s</w:t>
      </w:r>
      <w:r w:rsidRPr="00F7694A">
        <w:rPr>
          <w:lang w:val="fr-FR"/>
        </w:rPr>
        <w:t xml:space="preserve"> d</w:t>
      </w:r>
      <w:r w:rsidR="009D043B" w:rsidRPr="00F7694A">
        <w:rPr>
          <w:lang w:val="fr-FR"/>
        </w:rPr>
        <w:t>'</w:t>
      </w:r>
      <w:r w:rsidR="009B309D" w:rsidRPr="00F7694A">
        <w:rPr>
          <w:lang w:val="fr-FR"/>
        </w:rPr>
        <w:t>excellence et a préconisé un réexamen et un</w:t>
      </w:r>
      <w:r w:rsidRPr="00F7694A">
        <w:rPr>
          <w:lang w:val="fr-FR"/>
        </w:rPr>
        <w:t xml:space="preserve"> renforcement de ce programme</w:t>
      </w:r>
      <w:r w:rsidR="00026169" w:rsidRPr="00F7694A">
        <w:rPr>
          <w:lang w:val="fr-FR"/>
        </w:rPr>
        <w:t>.</w:t>
      </w:r>
    </w:p>
    <w:p w:rsidR="00A07E13" w:rsidRPr="00F7694A" w:rsidRDefault="00026169" w:rsidP="00026169">
      <w:pPr>
        <w:pStyle w:val="enumlev1"/>
        <w:rPr>
          <w:lang w:val="fr-FR"/>
        </w:rPr>
      </w:pPr>
      <w:r w:rsidRPr="00F7694A">
        <w:rPr>
          <w:lang w:val="fr-FR"/>
        </w:rPr>
        <w:t>•</w:t>
      </w:r>
      <w:r w:rsidRPr="00F7694A">
        <w:rPr>
          <w:lang w:val="fr-FR"/>
        </w:rPr>
        <w:tab/>
        <w:t>L</w:t>
      </w:r>
      <w:r w:rsidR="00A07E13" w:rsidRPr="00F7694A">
        <w:rPr>
          <w:lang w:val="fr-FR"/>
        </w:rPr>
        <w:t>a conférence a préconisé une nouvelle amélioration de la plate-forme de l'Académie de l'UIT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et des services qui s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y rattachent, estimant qu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il s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agissait du support de base et du c</w:t>
      </w:r>
      <w:r w:rsidR="00960A5A">
        <w:rPr>
          <w:lang w:val="fr-FR"/>
        </w:rPr>
        <w:t>adre principal pour la mise en oe</w:t>
      </w:r>
      <w:r w:rsidR="00A07E13" w:rsidRPr="00F7694A">
        <w:rPr>
          <w:lang w:val="fr-FR"/>
        </w:rPr>
        <w:t>uvre des activités de renforcement des capacités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de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l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UIT.</w:t>
      </w:r>
    </w:p>
    <w:p w:rsidR="00A07E13" w:rsidRPr="00F7694A" w:rsidRDefault="00026169" w:rsidP="00026169">
      <w:pPr>
        <w:pStyle w:val="enumlev1"/>
        <w:rPr>
          <w:lang w:val="fr-FR"/>
        </w:rPr>
      </w:pPr>
      <w:r w:rsidRPr="00F7694A">
        <w:rPr>
          <w:lang w:val="fr-FR"/>
        </w:rPr>
        <w:t>•</w:t>
      </w:r>
      <w:r w:rsidRPr="00F7694A">
        <w:rPr>
          <w:lang w:val="fr-FR"/>
        </w:rPr>
        <w:tab/>
        <w:t>La conférence a</w:t>
      </w:r>
      <w:r w:rsidR="00A07E13" w:rsidRPr="00F7694A">
        <w:rPr>
          <w:lang w:val="fr-FR"/>
        </w:rPr>
        <w:t xml:space="preserve"> lancé un appel en faveur de l</w:t>
      </w:r>
      <w:r w:rsidR="009D043B" w:rsidRPr="00F7694A">
        <w:rPr>
          <w:lang w:val="fr-FR"/>
        </w:rPr>
        <w:t>'</w:t>
      </w:r>
      <w:r w:rsidR="00A07E13" w:rsidRPr="00F7694A">
        <w:rPr>
          <w:lang w:val="fr-FR"/>
        </w:rPr>
        <w:t>organisation de forums mondiaux et régionaux sur le perfectionnement des compétences numériques,</w:t>
      </w:r>
      <w:r w:rsidR="009D043B" w:rsidRPr="00F7694A">
        <w:rPr>
          <w:lang w:val="fr-FR"/>
        </w:rPr>
        <w:t xml:space="preserve"> </w:t>
      </w:r>
      <w:r w:rsidR="009B309D" w:rsidRPr="00F7694A">
        <w:rPr>
          <w:lang w:val="fr-FR"/>
        </w:rPr>
        <w:t>l'éducation et</w:t>
      </w:r>
      <w:r w:rsidR="00A07E13" w:rsidRPr="00F7694A">
        <w:rPr>
          <w:lang w:val="fr-FR"/>
        </w:rPr>
        <w:t xml:space="preserve"> la formation permanente,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notamment dans le cadre du</w:t>
      </w:r>
      <w:r w:rsidR="009D043B" w:rsidRPr="00F7694A">
        <w:rPr>
          <w:lang w:val="fr-FR"/>
        </w:rPr>
        <w:t xml:space="preserve"> </w:t>
      </w:r>
      <w:r w:rsidR="00A07E13" w:rsidRPr="00F7694A">
        <w:rPr>
          <w:lang w:val="fr-FR"/>
        </w:rPr>
        <w:t>Colloque mondial sur le renforcement des capacités dans le secteur des TIC.</w:t>
      </w:r>
    </w:p>
    <w:p w:rsidR="00A07E13" w:rsidRPr="00F7694A" w:rsidRDefault="00A07E13" w:rsidP="00026169">
      <w:pPr>
        <w:pStyle w:val="enumlev1"/>
        <w:rPr>
          <w:lang w:val="fr-FR"/>
        </w:rPr>
      </w:pPr>
      <w:r w:rsidRPr="00F7694A">
        <w:rPr>
          <w:lang w:val="fr-FR"/>
        </w:rPr>
        <w:t>•</w:t>
      </w:r>
      <w:r w:rsidRPr="00F7694A">
        <w:rPr>
          <w:lang w:val="fr-FR"/>
        </w:rPr>
        <w:tab/>
        <w:t>La conférence a recommandé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établissement de partenariats avec des instituts universitaires et d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autres partenaires, aux fins du renforcement des connaissances professionnelles et du perfectionnement des compétences relatives à la transformation numérique.</w:t>
      </w:r>
    </w:p>
    <w:p w:rsidR="00A07E13" w:rsidRPr="00F7694A" w:rsidRDefault="00A07E13" w:rsidP="009B309D">
      <w:pPr>
        <w:pStyle w:val="enumlev1"/>
        <w:rPr>
          <w:lang w:val="fr-FR"/>
        </w:rPr>
      </w:pPr>
      <w:r w:rsidRPr="00F7694A">
        <w:rPr>
          <w:lang w:val="fr-FR"/>
        </w:rPr>
        <w:t>•</w:t>
      </w:r>
      <w:r w:rsidRPr="00F7694A">
        <w:rPr>
          <w:lang w:val="fr-FR"/>
        </w:rPr>
        <w:tab/>
        <w:t>La conférence a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 xml:space="preserve">demandé que les initiatives régionales jouent un </w:t>
      </w:r>
      <w:r w:rsidR="009B309D" w:rsidRPr="00F7694A">
        <w:rPr>
          <w:lang w:val="fr-FR"/>
        </w:rPr>
        <w:t xml:space="preserve">plus grand </w:t>
      </w:r>
      <w:r w:rsidRPr="00F7694A">
        <w:rPr>
          <w:lang w:val="fr-FR"/>
        </w:rPr>
        <w:t>rôle dans le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renforcement des capacités humaines</w:t>
      </w:r>
      <w:r w:rsidR="009D043B" w:rsidRPr="00F7694A">
        <w:rPr>
          <w:lang w:val="fr-FR"/>
        </w:rPr>
        <w:t>.</w:t>
      </w:r>
      <w:r w:rsidRPr="00F7694A">
        <w:rPr>
          <w:lang w:val="fr-FR"/>
        </w:rPr>
        <w:t xml:space="preserve"> Dans toutes les initiatives régionales, le renforcement des capacités figure au nombre des résultats essentiels.</w:t>
      </w:r>
    </w:p>
    <w:p w:rsidR="00A07E13" w:rsidRPr="00F7694A" w:rsidRDefault="00A07E13" w:rsidP="00F37167">
      <w:pPr>
        <w:pStyle w:val="Headingb"/>
        <w:keepLines/>
        <w:rPr>
          <w:lang w:val="fr-FR"/>
        </w:rPr>
      </w:pPr>
      <w:r w:rsidRPr="00F7694A">
        <w:rPr>
          <w:lang w:val="fr-FR"/>
        </w:rPr>
        <w:lastRenderedPageBreak/>
        <w:t>CBS-18</w:t>
      </w:r>
    </w:p>
    <w:p w:rsidR="00AC6F14" w:rsidRPr="00F7694A" w:rsidRDefault="00A07E13" w:rsidP="00F37167">
      <w:pPr>
        <w:keepNext/>
        <w:keepLines/>
        <w:rPr>
          <w:lang w:val="fr-FR"/>
        </w:rPr>
      </w:pPr>
      <w:r w:rsidRPr="00F7694A">
        <w:rPr>
          <w:lang w:val="fr-FR"/>
        </w:rPr>
        <w:t>Le Colloque mondial sur le renforcement des capacités dans le secteur des TIC de 2018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(CBS-18) se tiendra à Saint-Domingue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(République Dominicaine) du 18 au 20 juin 2018</w:t>
      </w:r>
      <w:r w:rsidR="009D043B" w:rsidRPr="00F7694A">
        <w:rPr>
          <w:lang w:val="fr-FR"/>
        </w:rPr>
        <w:t>.</w:t>
      </w:r>
      <w:r w:rsidR="00F37167" w:rsidRPr="00F7694A">
        <w:rPr>
          <w:lang w:val="fr-FR"/>
        </w:rPr>
        <w:t xml:space="preserve"> Ce C</w:t>
      </w:r>
      <w:r w:rsidRPr="00F7694A">
        <w:rPr>
          <w:lang w:val="fr-FR"/>
        </w:rPr>
        <w:t>olloque, qui sera organisée par l</w:t>
      </w:r>
      <w:r w:rsidR="009D043B" w:rsidRPr="00F7694A">
        <w:rPr>
          <w:lang w:val="fr-FR"/>
        </w:rPr>
        <w:t>'</w:t>
      </w:r>
      <w:r w:rsidR="00F37167" w:rsidRPr="00F7694A">
        <w:rPr>
          <w:lang w:val="fr-FR"/>
        </w:rPr>
        <w:t>UIT</w:t>
      </w:r>
      <w:r w:rsidRPr="00F7694A">
        <w:rPr>
          <w:lang w:val="fr-FR"/>
        </w:rPr>
        <w:t xml:space="preserve"> à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aimable invitation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Institut dominicain des télécommunications</w:t>
      </w:r>
      <w:r w:rsidR="009D043B" w:rsidRPr="00F7694A">
        <w:rPr>
          <w:lang w:val="fr-FR"/>
        </w:rPr>
        <w:t xml:space="preserve"> </w:t>
      </w:r>
      <w:r w:rsidR="00F37167" w:rsidRPr="00F7694A">
        <w:rPr>
          <w:lang w:val="fr-FR"/>
        </w:rPr>
        <w:t>(</w:t>
      </w:r>
      <w:r w:rsidRPr="00F7694A">
        <w:rPr>
          <w:lang w:val="fr-FR"/>
        </w:rPr>
        <w:t>Instituto</w:t>
      </w:r>
      <w:r w:rsidR="00F37167" w:rsidRPr="00F7694A">
        <w:rPr>
          <w:lang w:val="fr-FR"/>
        </w:rPr>
        <w:t> </w:t>
      </w:r>
      <w:r w:rsidRPr="00F7694A">
        <w:rPr>
          <w:lang w:val="fr-FR"/>
        </w:rPr>
        <w:t>Do</w:t>
      </w:r>
      <w:r w:rsidR="00F37167" w:rsidRPr="00F7694A">
        <w:rPr>
          <w:lang w:val="fr-FR"/>
        </w:rPr>
        <w:t>minicano de Telecomunicaciones – INDOTEL</w:t>
      </w:r>
      <w:r w:rsidRPr="00F7694A">
        <w:rPr>
          <w:lang w:val="fr-FR"/>
        </w:rPr>
        <w:t>), rassemblera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 xml:space="preserve">des représentants </w:t>
      </w:r>
      <w:r w:rsidR="00F37167" w:rsidRPr="00F7694A">
        <w:rPr>
          <w:lang w:val="fr-FR"/>
        </w:rPr>
        <w:t>de gouvernements</w:t>
      </w:r>
      <w:r w:rsidRPr="00F7694A">
        <w:rPr>
          <w:lang w:val="fr-FR"/>
        </w:rPr>
        <w:t>, du secteur privé et des milieux universitaires</w:t>
      </w:r>
      <w:r w:rsidR="00F37167" w:rsidRPr="00F7694A">
        <w:rPr>
          <w:lang w:val="fr-FR"/>
        </w:rPr>
        <w:t>,</w:t>
      </w:r>
      <w:r w:rsidRPr="00F7694A">
        <w:rPr>
          <w:lang w:val="fr-FR"/>
        </w:rPr>
        <w:t xml:space="preserve"> qui se pencheront sur les questions relatives au renforcement des compétences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dans la perspective de l</w:t>
      </w:r>
      <w:r w:rsidR="009D043B" w:rsidRPr="00F7694A">
        <w:rPr>
          <w:lang w:val="fr-FR"/>
        </w:rPr>
        <w:t>'</w:t>
      </w:r>
      <w:r w:rsidRPr="00F7694A">
        <w:rPr>
          <w:lang w:val="fr-FR"/>
        </w:rPr>
        <w:t>économie et</w:t>
      </w:r>
      <w:r w:rsidR="009D043B" w:rsidRPr="00F7694A">
        <w:rPr>
          <w:lang w:val="fr-FR"/>
        </w:rPr>
        <w:t xml:space="preserve"> </w:t>
      </w:r>
      <w:r w:rsidRPr="00F7694A">
        <w:rPr>
          <w:lang w:val="fr-FR"/>
        </w:rPr>
        <w:t>de la société numériques</w:t>
      </w:r>
      <w:r w:rsidR="00F37167" w:rsidRPr="00F7694A">
        <w:rPr>
          <w:lang w:val="fr-FR"/>
        </w:rPr>
        <w:t>.</w:t>
      </w:r>
    </w:p>
    <w:p w:rsidR="00D040F7" w:rsidRPr="00F7694A" w:rsidRDefault="00D040F7" w:rsidP="00935FF0">
      <w:pPr>
        <w:rPr>
          <w:lang w:val="fr-FR"/>
        </w:rPr>
      </w:pPr>
      <w:bookmarkStart w:id="7" w:name="Proposal"/>
      <w:bookmarkEnd w:id="7"/>
    </w:p>
    <w:p w:rsidR="00F37167" w:rsidRPr="00F7694A" w:rsidRDefault="00F37167" w:rsidP="0032202E">
      <w:pPr>
        <w:pStyle w:val="Reasons"/>
        <w:rPr>
          <w:lang w:val="fr-FR"/>
        </w:rPr>
      </w:pPr>
    </w:p>
    <w:p w:rsidR="00F37167" w:rsidRPr="00F7694A" w:rsidRDefault="00F37167">
      <w:pPr>
        <w:jc w:val="center"/>
        <w:rPr>
          <w:lang w:val="fr-FR"/>
        </w:rPr>
      </w:pPr>
      <w:r w:rsidRPr="00F7694A">
        <w:rPr>
          <w:lang w:val="fr-FR"/>
        </w:rPr>
        <w:t>______________</w:t>
      </w:r>
    </w:p>
    <w:p w:rsidR="00836BDB" w:rsidRPr="00F7694A" w:rsidRDefault="00836BDB" w:rsidP="00F37167">
      <w:pPr>
        <w:rPr>
          <w:lang w:val="fr-FR"/>
        </w:rPr>
      </w:pPr>
    </w:p>
    <w:sectPr w:rsidR="00836BDB" w:rsidRPr="00F7694A" w:rsidSect="0047379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25" w:rsidRDefault="00B94E25">
      <w:r>
        <w:separator/>
      </w:r>
    </w:p>
  </w:endnote>
  <w:endnote w:type="continuationSeparator" w:id="0">
    <w:p w:rsidR="00B94E25" w:rsidRDefault="00B9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07E13" w:rsidRDefault="00721657" w:rsidP="00A07E13">
    <w:pPr>
      <w:pStyle w:val="Footer"/>
      <w:rPr>
        <w:caps w:val="0"/>
        <w:sz w:val="18"/>
        <w:szCs w:val="18"/>
        <w:lang w:val="es-ES_tradnl"/>
      </w:rPr>
    </w:pPr>
    <w:r w:rsidRPr="003125C3">
      <w:rPr>
        <w:caps w:val="0"/>
        <w:sz w:val="18"/>
        <w:szCs w:val="18"/>
      </w:rPr>
      <w:fldChar w:fldCharType="begin"/>
    </w:r>
    <w:r w:rsidRPr="00A07E13">
      <w:rPr>
        <w:caps w:val="0"/>
        <w:sz w:val="18"/>
        <w:szCs w:val="18"/>
        <w:lang w:val="es-ES_tradnl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960A5A">
      <w:rPr>
        <w:caps w:val="0"/>
        <w:sz w:val="18"/>
        <w:szCs w:val="18"/>
        <w:lang w:val="es-ES_tradnl"/>
      </w:rPr>
      <w:t>P:\FRA\ITU-D\CONF-D\TDAG18\000\018F.docx</w:t>
    </w:r>
    <w:r w:rsidRPr="003125C3">
      <w:rPr>
        <w:caps w:val="0"/>
        <w:sz w:val="18"/>
        <w:szCs w:val="18"/>
        <w:lang w:val="en-US"/>
      </w:rPr>
      <w:fldChar w:fldCharType="end"/>
    </w:r>
    <w:r w:rsidR="00A07E13" w:rsidRPr="00A07E13">
      <w:rPr>
        <w:caps w:val="0"/>
        <w:sz w:val="18"/>
        <w:szCs w:val="18"/>
        <w:lang w:val="es-ES_tradnl"/>
      </w:rPr>
      <w:t xml:space="preserve"> (428710)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07E13" w:rsidRPr="003F6FCC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07E13" w:rsidRPr="004D495C" w:rsidRDefault="00A07E13" w:rsidP="00A07E1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A07E13" w:rsidRPr="004D495C" w:rsidRDefault="00A07E13" w:rsidP="00A07E1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A07E13" w:rsidRPr="003F6FCC" w:rsidRDefault="00A07E13" w:rsidP="003F6FCC">
          <w:pPr>
            <w:pStyle w:val="FirstFooter"/>
            <w:rPr>
              <w:sz w:val="18"/>
              <w:szCs w:val="18"/>
              <w:lang w:val="fr-CH"/>
            </w:rPr>
          </w:pPr>
          <w:bookmarkStart w:id="8" w:name="OrgName"/>
          <w:bookmarkEnd w:id="8"/>
          <w:r w:rsidRPr="003F6FCC">
            <w:rPr>
              <w:sz w:val="18"/>
              <w:szCs w:val="18"/>
              <w:lang w:val="fr-CH"/>
            </w:rPr>
            <w:t>M</w:t>
          </w:r>
          <w:r w:rsidR="00F7694A" w:rsidRPr="003F6FCC">
            <w:rPr>
              <w:sz w:val="18"/>
              <w:szCs w:val="18"/>
              <w:lang w:val="fr-CH"/>
            </w:rPr>
            <w:t>.</w:t>
          </w:r>
          <w:r w:rsidRPr="003F6FCC">
            <w:rPr>
              <w:sz w:val="18"/>
              <w:szCs w:val="18"/>
              <w:lang w:val="fr-CH"/>
            </w:rPr>
            <w:t xml:space="preserve"> Cosmas Zavazava, </w:t>
          </w:r>
          <w:r w:rsidR="003F6FCC" w:rsidRPr="003F6FCC">
            <w:rPr>
              <w:sz w:val="18"/>
              <w:szCs w:val="18"/>
              <w:lang w:val="fr-CH"/>
            </w:rPr>
            <w:t>Chef du Département de la gestion des projets et des connaissances</w:t>
          </w:r>
          <w:r w:rsidRPr="003F6FCC">
            <w:rPr>
              <w:sz w:val="18"/>
              <w:szCs w:val="18"/>
              <w:lang w:val="fr-CH"/>
            </w:rPr>
            <w:t xml:space="preserve"> (PKM), </w:t>
          </w:r>
          <w:r w:rsidR="003F6FCC" w:rsidRPr="003F6FCC">
            <w:rPr>
              <w:sz w:val="18"/>
              <w:szCs w:val="24"/>
              <w:lang w:val="fr-CH"/>
            </w:rPr>
            <w:t xml:space="preserve">Bureau de développement des télécommunications </w:t>
          </w:r>
        </w:p>
      </w:tc>
    </w:tr>
    <w:tr w:rsidR="00A07E13" w:rsidRPr="00F7694A" w:rsidTr="004E3CF5">
      <w:tc>
        <w:tcPr>
          <w:tcW w:w="1526" w:type="dxa"/>
          <w:shd w:val="clear" w:color="auto" w:fill="auto"/>
        </w:tcPr>
        <w:p w:rsidR="00A07E13" w:rsidRPr="003F6FCC" w:rsidRDefault="00A07E13" w:rsidP="00A07E1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A07E13" w:rsidRPr="004D495C" w:rsidRDefault="00A07E13" w:rsidP="00A07E1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:rsidR="00A07E13" w:rsidRPr="00AA5536" w:rsidRDefault="00A07E13" w:rsidP="00A07E1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9" w:name="PhoneNo"/>
          <w:bookmarkEnd w:id="9"/>
          <w:r w:rsidRPr="00AA5536">
            <w:rPr>
              <w:sz w:val="18"/>
              <w:szCs w:val="18"/>
              <w:lang w:val="en-US"/>
            </w:rPr>
            <w:t>+41 22 7305447</w:t>
          </w:r>
        </w:p>
      </w:tc>
    </w:tr>
    <w:tr w:rsidR="00A454E1" w:rsidRPr="00F7694A" w:rsidTr="004E3CF5">
      <w:tc>
        <w:tcPr>
          <w:tcW w:w="1526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10" w:name="Email"/>
      <w:bookmarkEnd w:id="10"/>
      <w:tc>
        <w:tcPr>
          <w:tcW w:w="5987" w:type="dxa"/>
          <w:shd w:val="clear" w:color="auto" w:fill="auto"/>
        </w:tcPr>
        <w:p w:rsidR="00A454E1" w:rsidRPr="00E5653A" w:rsidRDefault="00A07E13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 w:rsidRPr="00F7694A">
            <w:rPr>
              <w:lang w:val="en-US"/>
            </w:rPr>
            <w:instrText xml:space="preserve"> HYPERLINK "mailto:cosmas.zavazava@itu.int" </w:instrText>
          </w:r>
          <w:r>
            <w:fldChar w:fldCharType="separate"/>
          </w:r>
          <w:r w:rsidRPr="00AA5536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A454E1" w:rsidRPr="00F7694A" w:rsidRDefault="00A454E1" w:rsidP="00B80157">
    <w:pPr>
      <w:pStyle w:val="Footer"/>
      <w:jc w:val="center"/>
      <w:rPr>
        <w:lang w:val="en-US"/>
      </w:rPr>
    </w:pPr>
  </w:p>
  <w:p w:rsidR="00721657" w:rsidRPr="00226DCA" w:rsidRDefault="00D64F21" w:rsidP="00B80157">
    <w:pPr>
      <w:pStyle w:val="Footer"/>
      <w:jc w:val="center"/>
      <w:rPr>
        <w:lang w:val="en-US"/>
      </w:rPr>
    </w:pPr>
    <w:hyperlink r:id="rId1" w:history="1">
      <w:r w:rsidR="00C63812" w:rsidRPr="00226DCA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25" w:rsidRDefault="00B94E25">
      <w:r>
        <w:t>____________________</w:t>
      </w:r>
    </w:p>
  </w:footnote>
  <w:footnote w:type="continuationSeparator" w:id="0">
    <w:p w:rsidR="00B94E25" w:rsidRDefault="00B9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D64F21" w:rsidRDefault="00A525CC" w:rsidP="00A07E1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 w:rsidRPr="00972BCD">
      <w:rPr>
        <w:sz w:val="22"/>
        <w:szCs w:val="22"/>
      </w:rPr>
      <w:tab/>
    </w:r>
    <w:r w:rsidRPr="00D64F21">
      <w:rPr>
        <w:sz w:val="22"/>
        <w:szCs w:val="22"/>
      </w:rPr>
      <w:t>ITU-D/TDAG1</w:t>
    </w:r>
    <w:r w:rsidR="009E2E4A" w:rsidRPr="00D64F21">
      <w:rPr>
        <w:sz w:val="22"/>
        <w:szCs w:val="22"/>
      </w:rPr>
      <w:t>8</w:t>
    </w:r>
    <w:r w:rsidRPr="00D64F21">
      <w:rPr>
        <w:sz w:val="22"/>
        <w:szCs w:val="22"/>
      </w:rPr>
      <w:t>-2</w:t>
    </w:r>
    <w:r w:rsidR="009E2E4A" w:rsidRPr="00D64F21">
      <w:rPr>
        <w:sz w:val="22"/>
        <w:szCs w:val="22"/>
      </w:rPr>
      <w:t>3</w:t>
    </w:r>
    <w:r w:rsidRPr="00D64F21">
      <w:rPr>
        <w:sz w:val="22"/>
        <w:szCs w:val="22"/>
      </w:rPr>
      <w:t>/</w:t>
    </w:r>
    <w:r w:rsidR="00A07E13" w:rsidRPr="00D64F21">
      <w:rPr>
        <w:sz w:val="22"/>
        <w:szCs w:val="22"/>
      </w:rPr>
      <w:t>18</w:t>
    </w:r>
    <w:r w:rsidRPr="00D64F21">
      <w:rPr>
        <w:sz w:val="22"/>
        <w:szCs w:val="22"/>
      </w:rPr>
      <w:t>-</w:t>
    </w:r>
    <w:r w:rsidR="00B533E9" w:rsidRPr="00D64F21">
      <w:rPr>
        <w:sz w:val="22"/>
        <w:szCs w:val="22"/>
      </w:rPr>
      <w:t>F</w:t>
    </w:r>
    <w:r w:rsidRPr="00D64F21">
      <w:rPr>
        <w:sz w:val="22"/>
        <w:szCs w:val="22"/>
      </w:rPr>
      <w:tab/>
      <w:t xml:space="preserve">Page </w:t>
    </w:r>
    <w:r w:rsidRPr="00972BCD">
      <w:rPr>
        <w:sz w:val="22"/>
        <w:szCs w:val="22"/>
      </w:rPr>
      <w:fldChar w:fldCharType="begin"/>
    </w:r>
    <w:r w:rsidRPr="00D64F21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64F21">
      <w:rPr>
        <w:noProof/>
        <w:sz w:val="22"/>
        <w:szCs w:val="22"/>
      </w:rPr>
      <w:t>5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5"/>
    <w:rsid w:val="00002716"/>
    <w:rsid w:val="00005791"/>
    <w:rsid w:val="00010827"/>
    <w:rsid w:val="00015089"/>
    <w:rsid w:val="0002520B"/>
    <w:rsid w:val="00026169"/>
    <w:rsid w:val="00037A9E"/>
    <w:rsid w:val="00037F91"/>
    <w:rsid w:val="000539F1"/>
    <w:rsid w:val="00054747"/>
    <w:rsid w:val="00055A2A"/>
    <w:rsid w:val="000615C1"/>
    <w:rsid w:val="00061675"/>
    <w:rsid w:val="00063E26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16C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6DCA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96EB8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768B"/>
    <w:rsid w:val="003F2DD8"/>
    <w:rsid w:val="003F3F2D"/>
    <w:rsid w:val="003F50B2"/>
    <w:rsid w:val="003F6FCC"/>
    <w:rsid w:val="00400CCF"/>
    <w:rsid w:val="00401BFF"/>
    <w:rsid w:val="00404424"/>
    <w:rsid w:val="0041156B"/>
    <w:rsid w:val="004122C5"/>
    <w:rsid w:val="00412645"/>
    <w:rsid w:val="00413B78"/>
    <w:rsid w:val="00416DDE"/>
    <w:rsid w:val="00422F22"/>
    <w:rsid w:val="0043736C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2081"/>
    <w:rsid w:val="00870A04"/>
    <w:rsid w:val="00872B6E"/>
    <w:rsid w:val="00874DFD"/>
    <w:rsid w:val="008802F9"/>
    <w:rsid w:val="00883086"/>
    <w:rsid w:val="00883501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D56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0A5A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B309D"/>
    <w:rsid w:val="009C110B"/>
    <w:rsid w:val="009C5441"/>
    <w:rsid w:val="009D043B"/>
    <w:rsid w:val="009D119F"/>
    <w:rsid w:val="009D49A2"/>
    <w:rsid w:val="009E2E4A"/>
    <w:rsid w:val="009F3940"/>
    <w:rsid w:val="009F3EB2"/>
    <w:rsid w:val="009F6EB1"/>
    <w:rsid w:val="00A07E13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4E25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BDA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24C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3391"/>
    <w:rsid w:val="00D35BDD"/>
    <w:rsid w:val="00D5468D"/>
    <w:rsid w:val="00D63006"/>
    <w:rsid w:val="00D64F21"/>
    <w:rsid w:val="00D65B83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7167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5C19"/>
    <w:rsid w:val="00F7694A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4CD09F6-9DEA-4B47-9841-478A863A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0B1EE1"/>
    <w:pPr>
      <w:tabs>
        <w:tab w:val="clear" w:pos="794"/>
        <w:tab w:val="clear" w:pos="1191"/>
        <w:tab w:val="left" w:pos="1134"/>
        <w:tab w:val="left" w:pos="18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3-C-001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Capacity-Building/Pages/events/academia2017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.itu.int/index.php?option=com_content&amp;view=article&amp;id=178&amp;Itemid=687&amp;lang=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4DF4-BE4B-43C6-BBFE-05340FF2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PF_TDAG18.dotx</Template>
  <TotalTime>1000</TotalTime>
  <Pages>5</Pages>
  <Words>1795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BDT - nd</cp:lastModifiedBy>
  <cp:revision>23</cp:revision>
  <cp:lastPrinted>2018-02-07T15:04:00Z</cp:lastPrinted>
  <dcterms:created xsi:type="dcterms:W3CDTF">2018-02-07T14:31:00Z</dcterms:created>
  <dcterms:modified xsi:type="dcterms:W3CDTF">2018-02-08T13:59:00Z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