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6F177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A72045">
              <w:rPr>
                <w:rFonts w:eastAsiaTheme="minorEastAsia" w:hint="cs"/>
                <w:b/>
                <w:bCs/>
                <w:w w:val="110"/>
                <w:sz w:val="24"/>
                <w:szCs w:val="32"/>
                <w:rtl/>
                <w:lang w:eastAsia="zh-CN" w:bidi="ar-EG"/>
              </w:rPr>
              <w:t>الثالث</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A72045">
              <w:rPr>
                <w:rFonts w:eastAsiaTheme="minorEastAsia"/>
                <w:b/>
                <w:bCs/>
                <w:w w:val="110"/>
                <w:sz w:val="24"/>
                <w:szCs w:val="32"/>
                <w:lang w:eastAsia="zh-CN" w:bidi="ar-EG"/>
              </w:rPr>
              <w:t>11</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sidR="00A72045">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2018</w:t>
            </w:r>
          </w:p>
        </w:tc>
        <w:tc>
          <w:tcPr>
            <w:tcW w:w="3108" w:type="dxa"/>
          </w:tcPr>
          <w:p w:rsidR="00CB30F8" w:rsidRPr="00CB30F8" w:rsidRDefault="00A72045"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5D532E">
              <w:rPr>
                <w:noProof/>
                <w:lang w:eastAsia="zh-CN"/>
              </w:rPr>
              <w:drawing>
                <wp:inline distT="0" distB="0" distL="0" distR="0" wp14:anchorId="5C172337" wp14:editId="7EAEEC3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EB2F50">
            <w:pPr>
              <w:tabs>
                <w:tab w:val="clear" w:pos="1134"/>
              </w:tabs>
              <w:spacing w:before="20" w:after="20" w:line="300" w:lineRule="exact"/>
              <w:rPr>
                <w:rFonts w:eastAsiaTheme="minorEastAsia"/>
                <w:b/>
                <w:bCs/>
                <w:rtl/>
                <w:lang w:eastAsia="zh-CN" w:bidi="ar-EG"/>
              </w:rPr>
            </w:pPr>
          </w:p>
        </w:tc>
        <w:tc>
          <w:tcPr>
            <w:tcW w:w="3108" w:type="dxa"/>
          </w:tcPr>
          <w:p w:rsidR="00CB30F8" w:rsidRPr="00CB30F8" w:rsidRDefault="00CB30F8" w:rsidP="00C017F4">
            <w:pPr>
              <w:tabs>
                <w:tab w:val="clear" w:pos="1134"/>
              </w:tabs>
              <w:spacing w:before="20" w:after="20" w:line="300" w:lineRule="exact"/>
              <w:jc w:val="lef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w:t>
            </w:r>
            <w:r w:rsidR="00A72045">
              <w:rPr>
                <w:rFonts w:eastAsiaTheme="minorEastAsia"/>
                <w:b/>
                <w:bCs/>
                <w:lang w:eastAsia="zh-CN" w:bidi="ar-EG"/>
              </w:rPr>
              <w:t>-</w:t>
            </w:r>
            <w:r w:rsidRPr="00CB30F8">
              <w:rPr>
                <w:rFonts w:eastAsiaTheme="minorEastAsia"/>
                <w:b/>
                <w:bCs/>
                <w:lang w:eastAsia="zh-CN" w:bidi="ar-SY"/>
              </w:rPr>
              <w:t>1</w:t>
            </w:r>
            <w:r w:rsidR="00A72045">
              <w:rPr>
                <w:rFonts w:eastAsiaTheme="minorEastAsia"/>
                <w:b/>
                <w:bCs/>
                <w:lang w:eastAsia="zh-CN" w:bidi="ar-SY"/>
              </w:rPr>
              <w:t>8</w:t>
            </w:r>
            <w:r w:rsidRPr="00CB30F8">
              <w:rPr>
                <w:rFonts w:eastAsiaTheme="minorEastAsia"/>
                <w:b/>
                <w:bCs/>
                <w:lang w:eastAsia="zh-CN" w:bidi="ar-SY"/>
              </w:rPr>
              <w:t>/</w:t>
            </w:r>
            <w:r w:rsidR="00C017F4">
              <w:rPr>
                <w:rFonts w:eastAsiaTheme="minorEastAsia"/>
                <w:b/>
                <w:bCs/>
                <w:lang w:eastAsia="zh-CN" w:bidi="ar-SY"/>
              </w:rPr>
              <w:t>18</w:t>
            </w:r>
            <w:r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C017F4" w:rsidP="00C017F4">
            <w:pPr>
              <w:tabs>
                <w:tab w:val="clear" w:pos="1134"/>
              </w:tabs>
              <w:spacing w:before="20" w:after="20" w:line="300" w:lineRule="exact"/>
              <w:rPr>
                <w:rFonts w:eastAsiaTheme="minorEastAsia"/>
                <w:b/>
                <w:bCs/>
                <w:rtl/>
                <w:lang w:eastAsia="zh-CN" w:bidi="ar-SY"/>
              </w:rPr>
            </w:pPr>
            <w:r>
              <w:rPr>
                <w:rFonts w:eastAsiaTheme="minorEastAsia"/>
                <w:b/>
                <w:bCs/>
                <w:lang w:eastAsia="zh-CN" w:bidi="ar-EG"/>
              </w:rPr>
              <w:t>5</w:t>
            </w:r>
            <w:r w:rsidR="00A72045" w:rsidRPr="00CB30F8">
              <w:rPr>
                <w:rFonts w:eastAsiaTheme="minorEastAsia" w:hint="cs"/>
                <w:b/>
                <w:bCs/>
                <w:rtl/>
                <w:lang w:eastAsia="zh-CN" w:bidi="ar-EG"/>
              </w:rPr>
              <w:t xml:space="preserve"> </w:t>
            </w:r>
            <w:r>
              <w:rPr>
                <w:rFonts w:eastAsiaTheme="minorEastAsia" w:hint="cs"/>
                <w:b/>
                <w:bCs/>
                <w:rtl/>
                <w:lang w:eastAsia="zh-CN" w:bidi="ar-EG"/>
              </w:rPr>
              <w:t>فبراير</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72045">
              <w:rPr>
                <w:rFonts w:eastAsiaTheme="minorEastAsia"/>
                <w:b/>
                <w:bCs/>
                <w:lang w:eastAsia="zh-CN" w:bidi="ar-EG"/>
              </w:rPr>
              <w:t>8</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A72045" w:rsidP="00EB2F50">
            <w:pPr>
              <w:tabs>
                <w:tab w:val="clear" w:pos="1134"/>
              </w:tabs>
              <w:spacing w:before="20" w:after="2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C017F4" w:rsidP="00C017F4">
            <w:pPr>
              <w:pStyle w:val="Source"/>
              <w:rPr>
                <w:rFonts w:eastAsiaTheme="minorEastAsia"/>
                <w:rtl/>
                <w:lang w:eastAsia="zh-CN"/>
              </w:rPr>
            </w:pPr>
            <w:r w:rsidRPr="00C017F4">
              <w:rPr>
                <w:rFonts w:eastAsiaTheme="minorEastAsia" w:hint="cs"/>
                <w:rtl/>
                <w:lang w:eastAsia="zh-CN" w:bidi="ar-SA"/>
              </w:rPr>
              <w:t>تقرير من مدير مكتب تنمية الاتصالات</w:t>
            </w:r>
          </w:p>
        </w:tc>
      </w:tr>
      <w:tr w:rsidR="00CB30F8" w:rsidRPr="00CB30F8" w:rsidTr="00A72045">
        <w:trPr>
          <w:cantSplit/>
        </w:trPr>
        <w:tc>
          <w:tcPr>
            <w:tcW w:w="9639" w:type="dxa"/>
            <w:gridSpan w:val="2"/>
          </w:tcPr>
          <w:p w:rsidR="00CB30F8" w:rsidRPr="00CB30F8" w:rsidRDefault="00C017F4" w:rsidP="00C017F4">
            <w:pPr>
              <w:pStyle w:val="Title1"/>
              <w:rPr>
                <w:rFonts w:eastAsiaTheme="minorEastAsia"/>
                <w:w w:val="110"/>
                <w:rtl/>
                <w:lang w:eastAsia="zh-CN"/>
              </w:rPr>
            </w:pPr>
            <w:r w:rsidRPr="00C017F4">
              <w:rPr>
                <w:rFonts w:eastAsiaTheme="minorEastAsia"/>
                <w:w w:val="110"/>
                <w:rtl/>
                <w:lang w:eastAsia="zh-CN" w:bidi="ar-SA"/>
              </w:rPr>
              <w:t>الأنشطة المتصلة ببناء القدرات</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p>
          <w:p w:rsidR="00C017F4" w:rsidRPr="00C017F4" w:rsidRDefault="00C017F4" w:rsidP="00C017F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C017F4">
              <w:rPr>
                <w:rFonts w:eastAsiaTheme="minorEastAsia" w:hint="cs"/>
                <w:rtl/>
                <w:lang w:eastAsia="zh-CN" w:bidi="ar"/>
              </w:rPr>
              <w:t xml:space="preserve">تقدم هذه الوثيقة لمحة عامة عن </w:t>
            </w:r>
            <w:r>
              <w:rPr>
                <w:rFonts w:eastAsiaTheme="minorEastAsia" w:hint="cs"/>
                <w:rtl/>
                <w:lang w:eastAsia="zh-CN" w:bidi="ar-EG"/>
              </w:rPr>
              <w:t>ال</w:t>
            </w:r>
            <w:r w:rsidRPr="00C017F4">
              <w:rPr>
                <w:rFonts w:eastAsiaTheme="minorEastAsia" w:hint="cs"/>
                <w:rtl/>
                <w:lang w:eastAsia="zh-CN" w:bidi="ar"/>
              </w:rPr>
              <w:t xml:space="preserve">أنشطة الرئيسية </w:t>
            </w:r>
            <w:r>
              <w:rPr>
                <w:rFonts w:eastAsiaTheme="minorEastAsia" w:hint="cs"/>
                <w:rtl/>
                <w:lang w:eastAsia="zh-CN" w:bidi="ar"/>
              </w:rPr>
              <w:t>ل</w:t>
            </w:r>
            <w:r w:rsidRPr="00C017F4">
              <w:rPr>
                <w:rFonts w:eastAsiaTheme="minorEastAsia" w:hint="cs"/>
                <w:rtl/>
                <w:lang w:eastAsia="zh-CN" w:bidi="ar"/>
              </w:rPr>
              <w:t>بناء القدرات في مكتب تنمية الاتصالات التي ن</w:t>
            </w:r>
            <w:r w:rsidR="008139F9">
              <w:rPr>
                <w:rFonts w:eastAsiaTheme="minorEastAsia" w:hint="cs"/>
                <w:rtl/>
                <w:lang w:eastAsia="zh-CN" w:bidi="ar"/>
              </w:rPr>
              <w:t>ُ</w:t>
            </w:r>
            <w:r w:rsidRPr="00C017F4">
              <w:rPr>
                <w:rFonts w:eastAsiaTheme="minorEastAsia" w:hint="cs"/>
                <w:rtl/>
                <w:lang w:eastAsia="zh-CN" w:bidi="ar"/>
              </w:rPr>
              <w:t>فذت على مدى العام الماضي في</w:t>
            </w:r>
            <w:r>
              <w:rPr>
                <w:rFonts w:eastAsiaTheme="minorEastAsia" w:hint="eastAsia"/>
                <w:rtl/>
                <w:lang w:eastAsia="zh-CN" w:bidi="ar"/>
              </w:rPr>
              <w:t> </w:t>
            </w:r>
            <w:r w:rsidRPr="00C017F4">
              <w:rPr>
                <w:rFonts w:eastAsiaTheme="minorEastAsia" w:hint="cs"/>
                <w:rtl/>
                <w:lang w:eastAsia="zh-CN" w:bidi="ar"/>
              </w:rPr>
              <w:t xml:space="preserve">إطار أكاديمية الاتحاد، بما في ذلك إعداد </w:t>
            </w:r>
            <w:r>
              <w:rPr>
                <w:rFonts w:eastAsiaTheme="minorEastAsia" w:hint="cs"/>
                <w:rtl/>
                <w:lang w:eastAsia="zh-CN" w:bidi="ar"/>
              </w:rPr>
              <w:t xml:space="preserve">فعاليات </w:t>
            </w:r>
            <w:r w:rsidRPr="00C017F4">
              <w:rPr>
                <w:rFonts w:eastAsiaTheme="minorEastAsia" w:hint="cs"/>
                <w:rtl/>
                <w:lang w:eastAsia="zh-CN" w:bidi="ar"/>
              </w:rPr>
              <w:t>التدريب وتنفيذه</w:t>
            </w:r>
            <w:r>
              <w:rPr>
                <w:rFonts w:eastAsiaTheme="minorEastAsia" w:hint="cs"/>
                <w:rtl/>
                <w:lang w:eastAsia="zh-CN" w:bidi="ar"/>
              </w:rPr>
              <w:t>ا</w:t>
            </w:r>
            <w:r w:rsidRPr="00C017F4">
              <w:rPr>
                <w:rFonts w:eastAsiaTheme="minorEastAsia" w:hint="cs"/>
                <w:rtl/>
                <w:lang w:eastAsia="zh-CN" w:bidi="ar"/>
              </w:rPr>
              <w:t>، وعمل شبكة مراكز التميز، ومنشور ا</w:t>
            </w:r>
            <w:r>
              <w:rPr>
                <w:rFonts w:eastAsiaTheme="minorEastAsia" w:hint="cs"/>
                <w:rtl/>
                <w:lang w:eastAsia="zh-CN" w:bidi="ar"/>
              </w:rPr>
              <w:t>لاتحاد الدولي للاتصالات المعنون</w:t>
            </w:r>
            <w:r w:rsidRPr="00C017F4">
              <w:rPr>
                <w:rFonts w:eastAsiaTheme="minorEastAsia" w:hint="cs"/>
                <w:rtl/>
                <w:lang w:eastAsia="zh-CN"/>
              </w:rPr>
              <w:t xml:space="preserve"> </w:t>
            </w:r>
            <w:r w:rsidRPr="00C017F4">
              <w:rPr>
                <w:rFonts w:eastAsiaTheme="minorEastAsia" w:hint="cs"/>
                <w:rtl/>
                <w:lang w:eastAsia="zh-CN" w:bidi="ar-EG"/>
              </w:rPr>
              <w:t>"بناء القدرات في</w:t>
            </w:r>
            <w:r>
              <w:rPr>
                <w:rFonts w:eastAsiaTheme="minorEastAsia" w:hint="eastAsia"/>
                <w:rtl/>
                <w:lang w:eastAsia="zh-CN" w:bidi="ar-EG"/>
              </w:rPr>
              <w:t> </w:t>
            </w:r>
            <w:r w:rsidRPr="00C017F4">
              <w:rPr>
                <w:rFonts w:eastAsiaTheme="minorEastAsia" w:hint="cs"/>
                <w:rtl/>
                <w:lang w:eastAsia="zh-CN" w:bidi="ar-EG"/>
              </w:rPr>
              <w:t>بيئة متغيرة لتكنولوجيا المعلومات والاتصالات"</w:t>
            </w:r>
            <w:r w:rsidRPr="00C017F4">
              <w:rPr>
                <w:rFonts w:eastAsiaTheme="minorEastAsia" w:hint="cs"/>
                <w:rtl/>
                <w:lang w:eastAsia="zh-CN" w:bidi="ar"/>
              </w:rPr>
              <w:t xml:space="preserve"> واجتماع الشراكة بين </w:t>
            </w:r>
            <w:r>
              <w:rPr>
                <w:rFonts w:eastAsiaTheme="minorEastAsia" w:hint="cs"/>
                <w:rtl/>
                <w:lang w:eastAsia="zh-CN" w:bidi="ar"/>
              </w:rPr>
              <w:t>الاتحاد و</w:t>
            </w:r>
            <w:r w:rsidRPr="00C017F4">
              <w:rPr>
                <w:rFonts w:eastAsiaTheme="minorEastAsia" w:hint="cs"/>
                <w:rtl/>
                <w:lang w:eastAsia="zh-CN" w:bidi="ar"/>
              </w:rPr>
              <w:t>الهيئات الأكاديمية الذي عُقد في</w:t>
            </w:r>
            <w:r>
              <w:rPr>
                <w:rFonts w:eastAsiaTheme="minorEastAsia" w:hint="eastAsia"/>
                <w:rtl/>
                <w:lang w:eastAsia="zh-CN" w:bidi="ar"/>
              </w:rPr>
              <w:t> </w:t>
            </w:r>
            <w:r w:rsidRPr="00C017F4">
              <w:rPr>
                <w:rFonts w:eastAsiaTheme="minorEastAsia" w:hint="cs"/>
                <w:rtl/>
                <w:lang w:eastAsia="zh-CN" w:bidi="ar"/>
              </w:rPr>
              <w:t>سبتمبر</w:t>
            </w:r>
            <w:r>
              <w:rPr>
                <w:rFonts w:eastAsiaTheme="minorEastAsia" w:hint="eastAsia"/>
                <w:rtl/>
                <w:lang w:eastAsia="zh-CN" w:bidi="ar"/>
              </w:rPr>
              <w:t> </w:t>
            </w:r>
            <w:r>
              <w:rPr>
                <w:rFonts w:eastAsiaTheme="minorEastAsia"/>
                <w:lang w:eastAsia="zh-CN" w:bidi="ar"/>
              </w:rPr>
              <w:t>2017</w:t>
            </w:r>
            <w:r w:rsidRPr="00C017F4">
              <w:rPr>
                <w:rFonts w:eastAsiaTheme="minorEastAsia" w:hint="cs"/>
                <w:rtl/>
                <w:lang w:eastAsia="zh-CN" w:bidi="ar"/>
              </w:rPr>
              <w:t xml:space="preserve"> في</w:t>
            </w:r>
            <w:r>
              <w:rPr>
                <w:rFonts w:eastAsiaTheme="minorEastAsia" w:hint="eastAsia"/>
                <w:rtl/>
                <w:lang w:eastAsia="zh-CN" w:bidi="ar"/>
              </w:rPr>
              <w:t> </w:t>
            </w:r>
            <w:r w:rsidRPr="00C017F4">
              <w:rPr>
                <w:rFonts w:eastAsiaTheme="minorEastAsia" w:hint="cs"/>
                <w:rtl/>
                <w:lang w:eastAsia="zh-CN" w:bidi="ar"/>
              </w:rPr>
              <w:t xml:space="preserve">بودابست، هنغاريا. وهي توجز أيضاً </w:t>
            </w:r>
            <w:r>
              <w:rPr>
                <w:rFonts w:eastAsiaTheme="minorEastAsia" w:hint="cs"/>
                <w:rtl/>
                <w:lang w:eastAsia="zh-CN" w:bidi="ar"/>
              </w:rPr>
              <w:t>نتائج</w:t>
            </w:r>
            <w:r w:rsidRPr="00C017F4">
              <w:rPr>
                <w:rFonts w:eastAsiaTheme="minorEastAsia" w:hint="cs"/>
                <w:rtl/>
                <w:lang w:eastAsia="zh-CN" w:bidi="ar"/>
              </w:rPr>
              <w:t xml:space="preserve"> المؤتمر العالمي لتنمية الاتصالات لعام</w:t>
            </w:r>
            <w:r>
              <w:rPr>
                <w:rFonts w:eastAsiaTheme="minorEastAsia" w:hint="eastAsia"/>
                <w:rtl/>
                <w:lang w:eastAsia="zh-CN" w:bidi="ar"/>
              </w:rPr>
              <w:t> </w:t>
            </w:r>
            <w:r>
              <w:rPr>
                <w:rFonts w:eastAsiaTheme="minorEastAsia"/>
                <w:lang w:eastAsia="zh-CN" w:bidi="ar"/>
              </w:rPr>
              <w:t>2017</w:t>
            </w:r>
            <w:r w:rsidRPr="00C017F4">
              <w:rPr>
                <w:rFonts w:eastAsiaTheme="minorEastAsia" w:hint="cs"/>
                <w:rtl/>
                <w:lang w:eastAsia="zh-CN" w:bidi="ar"/>
              </w:rPr>
              <w:t xml:space="preserve"> فيما</w:t>
            </w:r>
            <w:r>
              <w:rPr>
                <w:rFonts w:eastAsiaTheme="minorEastAsia" w:hint="eastAsia"/>
                <w:rtl/>
                <w:lang w:eastAsia="zh-CN" w:bidi="ar"/>
              </w:rPr>
              <w:t> </w:t>
            </w:r>
            <w:r w:rsidRPr="00C017F4">
              <w:rPr>
                <w:rFonts w:eastAsiaTheme="minorEastAsia" w:hint="cs"/>
                <w:rtl/>
                <w:lang w:eastAsia="zh-CN" w:bidi="ar"/>
              </w:rPr>
              <w:t>يتعلق ببناء القدرات.</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p>
          <w:p w:rsidR="00C017F4" w:rsidRDefault="00C017F4" w:rsidP="00C017F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017F4">
              <w:rPr>
                <w:rFonts w:eastAsiaTheme="minorEastAsia"/>
                <w:rtl/>
                <w:lang w:eastAsia="zh-CN"/>
              </w:rPr>
              <w:t xml:space="preserve">يُرجى من الفريق الاستشاري لتنمية الاتصالات </w:t>
            </w:r>
            <w:r w:rsidRPr="00C017F4">
              <w:rPr>
                <w:rFonts w:eastAsiaTheme="minorEastAsia"/>
                <w:lang w:eastAsia="zh-CN"/>
              </w:rPr>
              <w:t>(TDAG)</w:t>
            </w:r>
            <w:r w:rsidRPr="00C017F4">
              <w:rPr>
                <w:rFonts w:eastAsiaTheme="minorEastAsia"/>
                <w:rtl/>
                <w:lang w:eastAsia="zh-CN"/>
              </w:rPr>
              <w:t xml:space="preserve"> الإحاطة علماً بهذا التقرير وتقديم أي توجيهات يراها مناسبة.</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p>
          <w:p w:rsidR="00C017F4" w:rsidRPr="00C017F4" w:rsidRDefault="00C017F4" w:rsidP="00C017F4">
            <w:pPr>
              <w:rPr>
                <w:rFonts w:eastAsiaTheme="minorEastAsia"/>
                <w:rtl/>
                <w:lang w:eastAsia="zh-CN" w:bidi="ar-EG"/>
              </w:rPr>
            </w:pPr>
            <w:r w:rsidRPr="00C017F4">
              <w:rPr>
                <w:rFonts w:eastAsiaTheme="minorEastAsia" w:hint="cs"/>
                <w:rtl/>
                <w:lang w:eastAsia="zh-CN"/>
              </w:rPr>
              <w:t xml:space="preserve">خطة عمل بوينس آيرس، الهدف </w:t>
            </w:r>
            <w:r w:rsidRPr="00C017F4">
              <w:rPr>
                <w:rFonts w:eastAsiaTheme="minorEastAsia"/>
                <w:lang w:eastAsia="zh-CN"/>
              </w:rPr>
              <w:t>3</w:t>
            </w:r>
            <w:r w:rsidRPr="00C017F4">
              <w:rPr>
                <w:rFonts w:eastAsiaTheme="minorEastAsia" w:hint="cs"/>
                <w:rtl/>
                <w:lang w:eastAsia="zh-CN"/>
              </w:rPr>
              <w:t xml:space="preserve">، الناتج </w:t>
            </w:r>
            <w:r w:rsidRPr="00C017F4">
              <w:rPr>
                <w:rFonts w:eastAsiaTheme="minorEastAsia"/>
                <w:lang w:eastAsia="zh-CN"/>
              </w:rPr>
              <w:t>3.3</w:t>
            </w:r>
          </w:p>
          <w:p w:rsidR="00C017F4" w:rsidRPr="00C017F4" w:rsidRDefault="00C017F4" w:rsidP="00C017F4">
            <w:pPr>
              <w:rPr>
                <w:rFonts w:eastAsiaTheme="minorEastAsia"/>
                <w:rtl/>
                <w:lang w:eastAsia="zh-CN" w:bidi="ar-EG"/>
              </w:rPr>
            </w:pPr>
            <w:r w:rsidRPr="00C017F4">
              <w:rPr>
                <w:rFonts w:eastAsiaTheme="minorEastAsia"/>
                <w:rtl/>
                <w:lang w:eastAsia="zh-CN"/>
              </w:rPr>
              <w:t xml:space="preserve">القرار </w:t>
            </w:r>
            <w:r w:rsidRPr="00C017F4">
              <w:rPr>
                <w:rFonts w:eastAsiaTheme="minorEastAsia"/>
                <w:lang w:val="fr-CH" w:eastAsia="zh-CN"/>
              </w:rPr>
              <w:t>40</w:t>
            </w:r>
            <w:r w:rsidRPr="00C017F4">
              <w:rPr>
                <w:rFonts w:eastAsiaTheme="minorEastAsia"/>
                <w:rtl/>
                <w:lang w:eastAsia="zh-CN" w:bidi="ar-EG"/>
              </w:rPr>
              <w:t xml:space="preserve"> </w:t>
            </w:r>
            <w:r w:rsidRPr="00C017F4">
              <w:rPr>
                <w:rFonts w:eastAsiaTheme="minorEastAsia"/>
                <w:rtl/>
                <w:lang w:eastAsia="zh-CN"/>
              </w:rPr>
              <w:t xml:space="preserve">(المراجَع في </w:t>
            </w:r>
            <w:r w:rsidRPr="00C017F4">
              <w:rPr>
                <w:rFonts w:eastAsiaTheme="minorEastAsia" w:hint="cs"/>
                <w:rtl/>
                <w:lang w:eastAsia="zh-CN"/>
              </w:rPr>
              <w:t>بوينس آيرس</w:t>
            </w:r>
            <w:r w:rsidRPr="00C017F4">
              <w:rPr>
                <w:rFonts w:eastAsiaTheme="minorEastAsia"/>
                <w:rtl/>
                <w:lang w:eastAsia="zh-CN"/>
              </w:rPr>
              <w:t xml:space="preserve">، </w:t>
            </w:r>
            <w:r w:rsidRPr="00C017F4">
              <w:rPr>
                <w:rFonts w:eastAsiaTheme="minorEastAsia"/>
                <w:lang w:val="fr-CH" w:eastAsia="zh-CN"/>
              </w:rPr>
              <w:t>2017</w:t>
            </w:r>
            <w:r w:rsidRPr="00C017F4">
              <w:rPr>
                <w:rFonts w:eastAsiaTheme="minorEastAsia"/>
                <w:rtl/>
                <w:lang w:eastAsia="zh-CN" w:bidi="ar-EG"/>
              </w:rPr>
              <w:t xml:space="preserve">) </w:t>
            </w:r>
            <w:r w:rsidRPr="00C017F4">
              <w:rPr>
                <w:rFonts w:eastAsiaTheme="minorEastAsia"/>
                <w:rtl/>
                <w:lang w:eastAsia="zh-CN"/>
              </w:rPr>
              <w:t>للمؤتمر العالمي لتنمية الاتصالات، بشأن الفريق المعني بمبادرات بناء القدرات</w:t>
            </w:r>
          </w:p>
          <w:p w:rsidR="00C017F4" w:rsidRPr="00C017F4" w:rsidRDefault="00C017F4" w:rsidP="00C017F4">
            <w:pPr>
              <w:rPr>
                <w:rFonts w:eastAsiaTheme="minorEastAsia"/>
                <w:rtl/>
                <w:lang w:eastAsia="zh-CN" w:bidi="ar-EG"/>
              </w:rPr>
            </w:pPr>
            <w:r w:rsidRPr="00C017F4">
              <w:rPr>
                <w:rFonts w:eastAsiaTheme="minorEastAsia"/>
                <w:rtl/>
                <w:lang w:eastAsia="zh-CN" w:bidi="ar-EG"/>
              </w:rPr>
              <w:t xml:space="preserve">القرار </w:t>
            </w:r>
            <w:r w:rsidRPr="00C017F4">
              <w:rPr>
                <w:rFonts w:eastAsiaTheme="minorEastAsia"/>
                <w:lang w:eastAsia="zh-CN"/>
              </w:rPr>
              <w:t>73</w:t>
            </w:r>
            <w:r w:rsidRPr="00C017F4">
              <w:rPr>
                <w:rFonts w:eastAsiaTheme="minorEastAsia"/>
                <w:rtl/>
                <w:lang w:eastAsia="zh-CN" w:bidi="ar-EG"/>
              </w:rPr>
              <w:t xml:space="preserve"> (المراجَع في </w:t>
            </w:r>
            <w:r w:rsidRPr="00C017F4">
              <w:rPr>
                <w:rFonts w:eastAsiaTheme="minorEastAsia" w:hint="cs"/>
                <w:rtl/>
                <w:lang w:eastAsia="zh-CN"/>
              </w:rPr>
              <w:t>بوينس آيرس</w:t>
            </w:r>
            <w:r w:rsidRPr="00C017F4">
              <w:rPr>
                <w:rFonts w:eastAsiaTheme="minorEastAsia"/>
                <w:rtl/>
                <w:lang w:eastAsia="zh-CN"/>
              </w:rPr>
              <w:t xml:space="preserve">، </w:t>
            </w:r>
            <w:r w:rsidRPr="00C017F4">
              <w:rPr>
                <w:rFonts w:eastAsiaTheme="minorEastAsia"/>
                <w:lang w:val="fr-CH" w:eastAsia="zh-CN"/>
              </w:rPr>
              <w:t>2017</w:t>
            </w:r>
            <w:r w:rsidRPr="00C017F4">
              <w:rPr>
                <w:rFonts w:eastAsiaTheme="minorEastAsia"/>
                <w:rtl/>
                <w:lang w:eastAsia="zh-CN" w:bidi="ar-EG"/>
              </w:rPr>
              <w:t xml:space="preserve">) للمؤتمر العالمي لتنمية الاتصالات لعام </w:t>
            </w:r>
            <w:r w:rsidRPr="00C017F4">
              <w:rPr>
                <w:rFonts w:eastAsiaTheme="minorEastAsia"/>
                <w:lang w:eastAsia="zh-CN"/>
              </w:rPr>
              <w:t>2014</w:t>
            </w:r>
            <w:r w:rsidRPr="00C017F4">
              <w:rPr>
                <w:rFonts w:eastAsiaTheme="minorEastAsia"/>
                <w:rtl/>
                <w:lang w:eastAsia="zh-CN" w:bidi="ar-EG"/>
              </w:rPr>
              <w:t>، بشأن مراكز التميز التابعة للاتحاد</w:t>
            </w:r>
          </w:p>
          <w:p w:rsidR="003A1741" w:rsidRDefault="00C017F4" w:rsidP="00485610">
            <w:pPr>
              <w:spacing w:after="120"/>
              <w:rPr>
                <w:rFonts w:eastAsiaTheme="minorEastAsia"/>
                <w:w w:val="110"/>
                <w:rtl/>
                <w:lang w:eastAsia="zh-CN"/>
              </w:rPr>
            </w:pPr>
            <w:r w:rsidRPr="00C017F4">
              <w:rPr>
                <w:rFonts w:eastAsiaTheme="minorEastAsia"/>
                <w:rtl/>
                <w:lang w:eastAsia="zh-CN"/>
              </w:rPr>
              <w:t xml:space="preserve">القرار </w:t>
            </w:r>
            <w:r w:rsidRPr="00C017F4">
              <w:rPr>
                <w:rFonts w:eastAsiaTheme="minorEastAsia"/>
                <w:lang w:eastAsia="zh-CN"/>
              </w:rPr>
              <w:t>169</w:t>
            </w:r>
            <w:r w:rsidRPr="00C017F4">
              <w:rPr>
                <w:rFonts w:eastAsiaTheme="minorEastAsia"/>
                <w:rtl/>
                <w:lang w:eastAsia="zh-CN" w:bidi="ar-EG"/>
              </w:rPr>
              <w:t xml:space="preserve"> (المراجَع في بوسان، </w:t>
            </w:r>
            <w:r w:rsidRPr="00C017F4">
              <w:rPr>
                <w:rFonts w:eastAsiaTheme="minorEastAsia"/>
                <w:lang w:eastAsia="zh-CN"/>
              </w:rPr>
              <w:t>2014</w:t>
            </w:r>
            <w:r w:rsidRPr="00C017F4">
              <w:rPr>
                <w:rFonts w:eastAsiaTheme="minorEastAsia"/>
                <w:rtl/>
                <w:lang w:eastAsia="zh-CN" w:bidi="ar-EG"/>
              </w:rPr>
              <w:t>) لمؤتمر المندوبين المفوضين، بشأن السماح للهيئات الأكاديمية بالمشاركة في أعمال الاتحاد</w:t>
            </w:r>
          </w:p>
        </w:tc>
      </w:tr>
    </w:tbl>
    <w:p w:rsidR="006157A3" w:rsidRDefault="006157A3" w:rsidP="008B5B5D">
      <w:pPr>
        <w:rPr>
          <w:rtl/>
          <w:lang w:bidi="ar-EG"/>
        </w:rPr>
      </w:pPr>
    </w:p>
    <w:p w:rsidR="00CB30F8" w:rsidRDefault="00CB30F8" w:rsidP="00CB30F8">
      <w:pPr>
        <w:rPr>
          <w:rFonts w:hint="cs"/>
          <w:rtl/>
          <w:lang w:bidi="ar-EG"/>
        </w:rPr>
      </w:pPr>
      <w:r>
        <w:rPr>
          <w:rtl/>
          <w:lang w:bidi="ar-EG"/>
        </w:rPr>
        <w:br w:type="page"/>
      </w:r>
    </w:p>
    <w:p w:rsidR="00C017F4" w:rsidRPr="00C017F4" w:rsidRDefault="00C017F4" w:rsidP="00C017F4">
      <w:pPr>
        <w:rPr>
          <w:rtl/>
        </w:rPr>
      </w:pPr>
      <w:bookmarkStart w:id="1" w:name="lt_pId029"/>
      <w:r w:rsidRPr="00C017F4">
        <w:rPr>
          <w:rFonts w:hint="cs"/>
          <w:rtl/>
        </w:rPr>
        <w:lastRenderedPageBreak/>
        <w:t xml:space="preserve">اضطلع مكتب تنمية الاتصالات، في إطار أكاديمية الاتحاد، بعدد من أنشطة بناء القدرات التي ساهمت في تقوية المهارات البشرية </w:t>
      </w:r>
      <w:bookmarkStart w:id="2" w:name="_GoBack"/>
      <w:r w:rsidRPr="00C017F4">
        <w:rPr>
          <w:rFonts w:hint="cs"/>
          <w:rtl/>
        </w:rPr>
        <w:t>وتعزيز المعرفة في مجال الاتصالات/تكنولوجيا المعلومات والاتصالات بين أعضاء الاتحاد.</w:t>
      </w:r>
    </w:p>
    <w:bookmarkEnd w:id="2"/>
    <w:p w:rsidR="00C017F4" w:rsidRPr="00C017F4" w:rsidRDefault="00C017F4" w:rsidP="00D901F7">
      <w:pPr>
        <w:pStyle w:val="Headingb"/>
        <w:rPr>
          <w:rtl/>
        </w:rPr>
      </w:pPr>
      <w:r w:rsidRPr="00C017F4">
        <w:rPr>
          <w:rFonts w:hint="cs"/>
          <w:rtl/>
        </w:rPr>
        <w:t>إعداد الدورات التدريبية وتنفيذها</w:t>
      </w:r>
    </w:p>
    <w:p w:rsidR="00C017F4" w:rsidRPr="00C017F4" w:rsidRDefault="00C017F4" w:rsidP="00C017F4">
      <w:pPr>
        <w:rPr>
          <w:rtl/>
        </w:rPr>
      </w:pPr>
      <w:r w:rsidRPr="00C017F4">
        <w:rPr>
          <w:rFonts w:hint="cs"/>
          <w:rtl/>
        </w:rPr>
        <w:t>تنفَّذ أنشطة بناء القدرات بالتعاون الوثيق مع الشركاء، بما في ذلك مراكز التميز</w:t>
      </w:r>
      <w:r w:rsidR="00E77413">
        <w:rPr>
          <w:rFonts w:hint="eastAsia"/>
          <w:rtl/>
        </w:rPr>
        <w:t> </w:t>
      </w:r>
      <w:r w:rsidR="00E77413">
        <w:t>(</w:t>
      </w:r>
      <w:proofErr w:type="spellStart"/>
      <w:r w:rsidR="00E77413">
        <w:t>CoE</w:t>
      </w:r>
      <w:proofErr w:type="spellEnd"/>
      <w:r w:rsidR="00E77413">
        <w:t>)</w:t>
      </w:r>
      <w:r w:rsidRPr="00C017F4">
        <w:rPr>
          <w:rFonts w:hint="cs"/>
          <w:rtl/>
        </w:rPr>
        <w:t>، والقطاع الخاص، والهيئات الأكاديمية وغيرها من مؤسسات التدريب.</w:t>
      </w:r>
    </w:p>
    <w:p w:rsidR="00C017F4" w:rsidRPr="00C017F4" w:rsidRDefault="00C017F4" w:rsidP="00E77413">
      <w:pPr>
        <w:rPr>
          <w:rtl/>
        </w:rPr>
      </w:pPr>
      <w:r w:rsidRPr="00C017F4">
        <w:rPr>
          <w:rFonts w:hint="cs"/>
          <w:rtl/>
        </w:rPr>
        <w:t xml:space="preserve">وفي عام </w:t>
      </w:r>
      <w:r>
        <w:t>2017</w:t>
      </w:r>
      <w:r w:rsidRPr="00C017F4">
        <w:rPr>
          <w:rFonts w:hint="cs"/>
          <w:rtl/>
        </w:rPr>
        <w:t xml:space="preserve">، جرى تدريب أكثر من </w:t>
      </w:r>
      <w:r>
        <w:t>1 500</w:t>
      </w:r>
      <w:r w:rsidRPr="00C017F4">
        <w:rPr>
          <w:rFonts w:hint="cs"/>
          <w:rtl/>
        </w:rPr>
        <w:t xml:space="preserve"> مشارك من </w:t>
      </w:r>
      <w:r>
        <w:t>116</w:t>
      </w:r>
      <w:r w:rsidRPr="00C017F4">
        <w:rPr>
          <w:rFonts w:hint="cs"/>
          <w:rtl/>
        </w:rPr>
        <w:t xml:space="preserve"> بلداً من خلال </w:t>
      </w:r>
      <w:r>
        <w:t>64</w:t>
      </w:r>
      <w:r w:rsidRPr="00C017F4">
        <w:rPr>
          <w:rFonts w:hint="cs"/>
          <w:rtl/>
        </w:rPr>
        <w:t xml:space="preserve"> دورة دراسية نظمتها شبكة مراكز التميز، ونُظم</w:t>
      </w:r>
      <w:r w:rsidR="00E77413">
        <w:rPr>
          <w:rFonts w:hint="eastAsia"/>
          <w:rtl/>
        </w:rPr>
        <w:t> </w:t>
      </w:r>
      <w:r>
        <w:t>28</w:t>
      </w:r>
      <w:r>
        <w:rPr>
          <w:rFonts w:hint="eastAsia"/>
          <w:rtl/>
        </w:rPr>
        <w:t> </w:t>
      </w:r>
      <w:r w:rsidRPr="00C017F4">
        <w:rPr>
          <w:rFonts w:hint="cs"/>
          <w:rtl/>
        </w:rPr>
        <w:t xml:space="preserve">حدثاً إقليمياً لبناء القدرات حضرها نحو </w:t>
      </w:r>
      <w:r>
        <w:t>1 300</w:t>
      </w:r>
      <w:r w:rsidRPr="00C017F4">
        <w:rPr>
          <w:rFonts w:hint="cs"/>
          <w:rtl/>
        </w:rPr>
        <w:t xml:space="preserve"> مشارك، وشملت المجالات الرئيسية التالية: السياسة العامة والتنظيم، والنفاذ إلى النطاق العريض، والأمن السيبراني، وتطبيقات تكنولوجيا المعلومات والاتصالات وخدماتها، وإدارة الطيف، وإدارة الإنترنت، والإذاعة الرقمية، والمطابقة وقابلية التشغيل البيني، والحوسبة السحابية، وجودة الخدمة، والمخلفات الإلكترونية.</w:t>
      </w:r>
    </w:p>
    <w:p w:rsidR="00C017F4" w:rsidRPr="0081271B" w:rsidRDefault="00C017F4" w:rsidP="00A81994">
      <w:pPr>
        <w:rPr>
          <w:spacing w:val="2"/>
          <w:rtl/>
        </w:rPr>
      </w:pPr>
      <w:bookmarkStart w:id="3" w:name="lt_pId035"/>
      <w:bookmarkEnd w:id="1"/>
      <w:r w:rsidRPr="0081271B">
        <w:rPr>
          <w:rFonts w:hint="cs"/>
          <w:spacing w:val="2"/>
          <w:rtl/>
        </w:rPr>
        <w:t>وفي إطار أكاديمية الاتحاد، وضع مكتب تنمية الاتصالات برامج تدريبية شاملة وعالية الجودة. وإذ توضع هذه الموارد التدريبية، يستعرضها الأقران الخبراء من الاتحاد الدولي للاتصالات والباحثون الأكاديميون وغيرهم من الخبراء لضمان استيفائها لأعلى مستويات الجودة ومطابقتها لمعايير الاتحاد. وجرى خلال العام الماضي تحديث برامج التدريب المتعلقة بالمواضيع التالية أو استكمالها أو البدء فيها: إدارة الطيف، وجودة الخدمة، وتكنولوجيا المعلومات والاتصالات وتغير المناخ، وإنترنت الأشياء</w:t>
      </w:r>
      <w:r w:rsidR="00A81994">
        <w:rPr>
          <w:rFonts w:hint="eastAsia"/>
          <w:spacing w:val="2"/>
          <w:rtl/>
        </w:rPr>
        <w:t> </w:t>
      </w:r>
      <w:r w:rsidRPr="0081271B">
        <w:rPr>
          <w:spacing w:val="2"/>
        </w:rPr>
        <w:t>(</w:t>
      </w:r>
      <w:proofErr w:type="spellStart"/>
      <w:r w:rsidRPr="0081271B">
        <w:rPr>
          <w:spacing w:val="2"/>
        </w:rPr>
        <w:t>IoT</w:t>
      </w:r>
      <w:proofErr w:type="spellEnd"/>
      <w:r w:rsidRPr="0081271B">
        <w:rPr>
          <w:spacing w:val="2"/>
        </w:rPr>
        <w:t>)</w:t>
      </w:r>
      <w:r w:rsidRPr="0081271B">
        <w:rPr>
          <w:rFonts w:hint="cs"/>
          <w:spacing w:val="2"/>
          <w:rtl/>
        </w:rPr>
        <w:t>، وإدارة</w:t>
      </w:r>
      <w:r w:rsidR="00662BA2">
        <w:rPr>
          <w:rFonts w:hint="eastAsia"/>
          <w:spacing w:val="2"/>
          <w:rtl/>
        </w:rPr>
        <w:t> </w:t>
      </w:r>
      <w:r w:rsidRPr="0081271B">
        <w:rPr>
          <w:rFonts w:hint="cs"/>
          <w:spacing w:val="2"/>
          <w:rtl/>
        </w:rPr>
        <w:t>الإنترنت.</w:t>
      </w:r>
    </w:p>
    <w:p w:rsidR="00C017F4" w:rsidRPr="00C017F4" w:rsidRDefault="00C017F4" w:rsidP="00D901F7">
      <w:pPr>
        <w:pStyle w:val="Headingb"/>
        <w:rPr>
          <w:rtl/>
        </w:rPr>
      </w:pPr>
      <w:r w:rsidRPr="00C017F4">
        <w:rPr>
          <w:rFonts w:hint="cs"/>
          <w:rtl/>
        </w:rPr>
        <w:t>شبكة مراكز التميز</w:t>
      </w:r>
    </w:p>
    <w:bookmarkEnd w:id="3"/>
    <w:p w:rsidR="00C017F4" w:rsidRPr="00C017F4" w:rsidRDefault="00C017F4" w:rsidP="00C017F4">
      <w:pPr>
        <w:rPr>
          <w:rtl/>
        </w:rPr>
      </w:pPr>
      <w:r w:rsidRPr="00C017F4">
        <w:rPr>
          <w:rFonts w:hint="cs"/>
          <w:rtl/>
        </w:rPr>
        <w:t>إن شبكة مراكز التميز</w:t>
      </w:r>
      <w:r w:rsidR="00E77413">
        <w:rPr>
          <w:rFonts w:hint="eastAsia"/>
          <w:rtl/>
        </w:rPr>
        <w:t> </w:t>
      </w:r>
      <w:r w:rsidR="00E77413">
        <w:t>(</w:t>
      </w:r>
      <w:proofErr w:type="spellStart"/>
      <w:r w:rsidR="00E77413">
        <w:t>CoE</w:t>
      </w:r>
      <w:proofErr w:type="spellEnd"/>
      <w:r w:rsidR="00E77413">
        <w:t>)</w:t>
      </w:r>
      <w:r w:rsidRPr="00C017F4">
        <w:rPr>
          <w:rFonts w:hint="cs"/>
          <w:rtl/>
        </w:rPr>
        <w:t xml:space="preserve"> هي القناة الرئيسية لتنفيذ التدريب في إطار أكاديمية الاتحاد. وعلى مدى العام الماضي، واصلت شبكة مراكز التميز تعزيز القدرات بين واضعي السياسات والهيئات التنظيمية والمشغلين وغيرهم من المستفيدين في طائفة واسعة من المجالات المتصلة بتكنولوجيا المعلومات والاتصالات، تتراوح بين الأمن السيبراني والبنية التحتية للنطاق العريض وإدارة الطيف، وسياسات تكنولوجيا المعلومات والاتصالات وتطبيقاتها وخدماتها.</w:t>
      </w:r>
    </w:p>
    <w:p w:rsidR="00C017F4" w:rsidRPr="00C017F4" w:rsidRDefault="00C017F4" w:rsidP="00E77413">
      <w:pPr>
        <w:rPr>
          <w:rtl/>
        </w:rPr>
      </w:pPr>
      <w:bookmarkStart w:id="4" w:name="lt_pId043"/>
      <w:r w:rsidRPr="00C017F4">
        <w:rPr>
          <w:rFonts w:hint="cs"/>
          <w:rtl/>
        </w:rPr>
        <w:t>وتدخل شبكة مراكز التميز الحالية سنتها الأخيرة، مع انتهاء دورة</w:t>
      </w:r>
      <w:r>
        <w:rPr>
          <w:rFonts w:hint="eastAsia"/>
          <w:rtl/>
        </w:rPr>
        <w:t> </w:t>
      </w:r>
      <w:r>
        <w:t>2018-2015</w:t>
      </w:r>
      <w:r>
        <w:rPr>
          <w:rFonts w:hint="cs"/>
          <w:rtl/>
        </w:rPr>
        <w:t xml:space="preserve"> </w:t>
      </w:r>
      <w:r w:rsidRPr="00C017F4">
        <w:rPr>
          <w:rFonts w:hint="cs"/>
          <w:rtl/>
        </w:rPr>
        <w:t>في</w:t>
      </w:r>
      <w:r>
        <w:rPr>
          <w:rFonts w:hint="eastAsia"/>
          <w:rtl/>
        </w:rPr>
        <w:t> </w:t>
      </w:r>
      <w:r w:rsidRPr="00C017F4">
        <w:rPr>
          <w:rFonts w:hint="cs"/>
          <w:rtl/>
        </w:rPr>
        <w:t>ديسمبر</w:t>
      </w:r>
      <w:r>
        <w:rPr>
          <w:rFonts w:hint="eastAsia"/>
          <w:rtl/>
        </w:rPr>
        <w:t> </w:t>
      </w:r>
      <w:r>
        <w:t>2018</w:t>
      </w:r>
      <w:r w:rsidRPr="00C017F4">
        <w:rPr>
          <w:rFonts w:hint="cs"/>
          <w:rtl/>
        </w:rPr>
        <w:t xml:space="preserve">. وعُقدت الجولة الرابعة من اجتماعات اللجنة التوجيهية لمراكز التميز في إطار الدورة الحالية خلال الفترة ما بين نوفمبر وديسمبر </w:t>
      </w:r>
      <w:r>
        <w:t>2017</w:t>
      </w:r>
      <w:r w:rsidRPr="00C017F4">
        <w:rPr>
          <w:rFonts w:hint="cs"/>
          <w:rtl/>
        </w:rPr>
        <w:t xml:space="preserve">. واستعرضت الاجتماعات أداء الشبكة، وناقشت سبل تحسينه، وبتت في أنشطة التدريب لعام </w:t>
      </w:r>
      <w:r w:rsidR="00E77413">
        <w:t>2018</w:t>
      </w:r>
      <w:r w:rsidRPr="00C017F4">
        <w:rPr>
          <w:rFonts w:hint="cs"/>
          <w:rtl/>
        </w:rPr>
        <w:t>. وتجري الاستعدادات للدورة الجديدة</w:t>
      </w:r>
      <w:r>
        <w:rPr>
          <w:rFonts w:hint="eastAsia"/>
          <w:rtl/>
        </w:rPr>
        <w:t> </w:t>
      </w:r>
      <w:r>
        <w:t>(2022-2019)</w:t>
      </w:r>
      <w:r w:rsidRPr="00C017F4">
        <w:rPr>
          <w:rFonts w:hint="cs"/>
          <w:rtl/>
        </w:rPr>
        <w:t xml:space="preserve">، وإثر </w:t>
      </w:r>
      <w:r>
        <w:rPr>
          <w:rFonts w:hint="cs"/>
          <w:rtl/>
        </w:rPr>
        <w:t xml:space="preserve">نتائج </w:t>
      </w:r>
      <w:r w:rsidRPr="00C017F4">
        <w:rPr>
          <w:rFonts w:hint="cs"/>
          <w:rtl/>
        </w:rPr>
        <w:t xml:space="preserve">المؤتمر العالمي لتنمية الاتصالات لعام </w:t>
      </w:r>
      <w:r>
        <w:t>2017</w:t>
      </w:r>
      <w:r w:rsidRPr="00C017F4">
        <w:rPr>
          <w:rFonts w:hint="cs"/>
          <w:rtl/>
        </w:rPr>
        <w:t>، استعرض مكتب تنمية الاتصالات الاستراتيجية والعمليات التشغيلية والإجراءات التي توجه عمليات مراكز التميز. وستوجَّه دعوة لتقديم مقترحات بشأن مراكز التميز الجديدة في</w:t>
      </w:r>
      <w:r>
        <w:rPr>
          <w:rFonts w:hint="eastAsia"/>
          <w:rtl/>
        </w:rPr>
        <w:t> </w:t>
      </w:r>
      <w:r w:rsidRPr="00C017F4">
        <w:rPr>
          <w:rFonts w:hint="cs"/>
          <w:rtl/>
        </w:rPr>
        <w:t>الربع الثاني من عام</w:t>
      </w:r>
      <w:r>
        <w:rPr>
          <w:rFonts w:hint="eastAsia"/>
          <w:rtl/>
        </w:rPr>
        <w:t> </w:t>
      </w:r>
      <w:r>
        <w:t>2018</w:t>
      </w:r>
      <w:r w:rsidRPr="00C017F4">
        <w:rPr>
          <w:rFonts w:hint="cs"/>
          <w:rtl/>
        </w:rPr>
        <w:t xml:space="preserve">، بهدف استكمال اختيار مراكز التميز الجديدة في الربع الثالث من عام </w:t>
      </w:r>
      <w:r>
        <w:t>2018</w:t>
      </w:r>
      <w:r w:rsidRPr="00C017F4">
        <w:rPr>
          <w:rFonts w:hint="cs"/>
          <w:rtl/>
        </w:rPr>
        <w:t>.</w:t>
      </w:r>
    </w:p>
    <w:p w:rsidR="00C017F4" w:rsidRPr="00C017F4" w:rsidRDefault="00C017F4" w:rsidP="0029317F">
      <w:pPr>
        <w:pStyle w:val="Headingb"/>
        <w:rPr>
          <w:rtl/>
        </w:rPr>
      </w:pPr>
      <w:r w:rsidRPr="00C017F4">
        <w:rPr>
          <w:rFonts w:hint="cs"/>
          <w:rtl/>
        </w:rPr>
        <w:t xml:space="preserve">منشور "بناء القدرات في بيئة متغيرة </w:t>
      </w:r>
      <w:r w:rsidR="0081271B">
        <w:rPr>
          <w:rFonts w:hint="cs"/>
          <w:rtl/>
        </w:rPr>
        <w:t>لتكنولوجيا المعلومات والاتصالات"</w:t>
      </w:r>
    </w:p>
    <w:p w:rsidR="00C017F4" w:rsidRPr="00C017F4" w:rsidRDefault="00C017F4" w:rsidP="00C017F4">
      <w:pPr>
        <w:rPr>
          <w:rtl/>
        </w:rPr>
      </w:pPr>
      <w:r w:rsidRPr="00C017F4">
        <w:rPr>
          <w:rFonts w:hint="cs"/>
          <w:rtl/>
        </w:rPr>
        <w:t>صدر العدد الأول من منشور الاتحاد الدولي للاتصالات المعنون "</w:t>
      </w:r>
      <w:hyperlink r:id="rId11" w:history="1">
        <w:r w:rsidRPr="00E77413">
          <w:rPr>
            <w:rStyle w:val="Hyperlink"/>
            <w:rFonts w:hint="cs"/>
            <w:rtl/>
          </w:rPr>
          <w:t>بناء القدرات في بيئة متغيرة لتكنولوجيا المعلومات والاتصالات</w:t>
        </w:r>
      </w:hyperlink>
      <w:r w:rsidRPr="00C017F4">
        <w:rPr>
          <w:rFonts w:hint="cs"/>
          <w:rtl/>
        </w:rPr>
        <w:t>" في</w:t>
      </w:r>
      <w:r>
        <w:rPr>
          <w:rFonts w:hint="eastAsia"/>
          <w:rtl/>
        </w:rPr>
        <w:t> </w:t>
      </w:r>
      <w:r w:rsidRPr="00C017F4">
        <w:rPr>
          <w:rFonts w:hint="cs"/>
          <w:rtl/>
        </w:rPr>
        <w:t>عام</w:t>
      </w:r>
      <w:r>
        <w:rPr>
          <w:rFonts w:hint="eastAsia"/>
          <w:rtl/>
        </w:rPr>
        <w:t> </w:t>
      </w:r>
      <w:r>
        <w:t>2017</w:t>
      </w:r>
      <w:r w:rsidRPr="00C017F4">
        <w:rPr>
          <w:rFonts w:hint="cs"/>
          <w:rtl/>
        </w:rPr>
        <w:t>. و</w:t>
      </w:r>
      <w:r>
        <w:rPr>
          <w:rFonts w:hint="cs"/>
          <w:rtl/>
        </w:rPr>
        <w:t>ي</w:t>
      </w:r>
      <w:r w:rsidRPr="00C017F4">
        <w:rPr>
          <w:rFonts w:hint="cs"/>
          <w:rtl/>
        </w:rPr>
        <w:t>ضم هذ</w:t>
      </w:r>
      <w:r>
        <w:rPr>
          <w:rFonts w:hint="cs"/>
          <w:rtl/>
        </w:rPr>
        <w:t>ا</w:t>
      </w:r>
      <w:r w:rsidRPr="00C017F4">
        <w:rPr>
          <w:rFonts w:hint="cs"/>
          <w:rtl/>
        </w:rPr>
        <w:t xml:space="preserve"> المنشور الجديد</w:t>
      </w:r>
      <w:r>
        <w:rPr>
          <w:rFonts w:hint="cs"/>
          <w:rtl/>
        </w:rPr>
        <w:t xml:space="preserve"> </w:t>
      </w:r>
      <w:r w:rsidRPr="00C017F4">
        <w:rPr>
          <w:rFonts w:hint="cs"/>
          <w:rtl/>
        </w:rPr>
        <w:t>مقالات علمية مع التركيز على الجوانب البشرية والمؤسسية لبناء القدرات في</w:t>
      </w:r>
      <w:r>
        <w:rPr>
          <w:rFonts w:hint="eastAsia"/>
          <w:rtl/>
        </w:rPr>
        <w:t> </w:t>
      </w:r>
      <w:r w:rsidRPr="00C017F4">
        <w:rPr>
          <w:rFonts w:hint="cs"/>
          <w:rtl/>
        </w:rPr>
        <w:t>قطاع الاتصالات/تكن</w:t>
      </w:r>
      <w:r>
        <w:rPr>
          <w:rFonts w:hint="cs"/>
          <w:rtl/>
        </w:rPr>
        <w:t>ولوجيا المعلومات والاتصالات. وهو ي</w:t>
      </w:r>
      <w:r w:rsidRPr="00C017F4">
        <w:rPr>
          <w:rFonts w:hint="cs"/>
          <w:rtl/>
        </w:rPr>
        <w:t>غطي مجموعة واسعة من مواضيع تكنولوجيا المعلومات والاتصالات التي يمكن أن تؤثر على الناس وتنمية مهاراتهم.</w:t>
      </w:r>
    </w:p>
    <w:p w:rsidR="00C017F4" w:rsidRPr="00C017F4" w:rsidRDefault="00C017F4" w:rsidP="00C017F4">
      <w:pPr>
        <w:rPr>
          <w:rtl/>
        </w:rPr>
      </w:pPr>
      <w:bookmarkStart w:id="5" w:name="lt_pId051"/>
      <w:bookmarkEnd w:id="4"/>
      <w:r w:rsidRPr="00C017F4">
        <w:rPr>
          <w:rFonts w:hint="cs"/>
          <w:rtl/>
        </w:rPr>
        <w:t>ويركز العدد الأول من هذ</w:t>
      </w:r>
      <w:r>
        <w:rPr>
          <w:rFonts w:hint="cs"/>
          <w:rtl/>
        </w:rPr>
        <w:t>ا</w:t>
      </w:r>
      <w:r w:rsidRPr="00C017F4">
        <w:rPr>
          <w:rFonts w:hint="cs"/>
          <w:rtl/>
        </w:rPr>
        <w:t xml:space="preserve"> المنشور على التكنولوجيات المتنقلة المستخدَمة لتنمية المهارات والتعلم مدى الحياة. </w:t>
      </w:r>
      <w:r>
        <w:rPr>
          <w:rFonts w:hint="cs"/>
          <w:rtl/>
        </w:rPr>
        <w:t>ويعرض</w:t>
      </w:r>
      <w:r w:rsidRPr="00C017F4">
        <w:rPr>
          <w:rFonts w:hint="cs"/>
          <w:rtl/>
        </w:rPr>
        <w:t xml:space="preserve"> عمل فريق دولي من الخبراء يعالج القضايا بطريقة تحليلية ونقدية </w:t>
      </w:r>
      <w:proofErr w:type="spellStart"/>
      <w:r w:rsidRPr="00C017F4">
        <w:rPr>
          <w:rFonts w:hint="cs"/>
          <w:rtl/>
        </w:rPr>
        <w:t>ومفاهيمية</w:t>
      </w:r>
      <w:proofErr w:type="spellEnd"/>
      <w:r w:rsidRPr="00C017F4">
        <w:rPr>
          <w:rFonts w:hint="cs"/>
          <w:rtl/>
        </w:rPr>
        <w:t>. وتستكشف المقالات في هذا العدد القوة المتزايدة للأجهزة المتنقلة في</w:t>
      </w:r>
      <w:r>
        <w:rPr>
          <w:rFonts w:hint="eastAsia"/>
          <w:rtl/>
        </w:rPr>
        <w:t> </w:t>
      </w:r>
      <w:r w:rsidRPr="00C017F4">
        <w:rPr>
          <w:rFonts w:hint="cs"/>
          <w:rtl/>
        </w:rPr>
        <w:t>جلب فوائد تكنولوجيا المعلومات والاتصالات إلى المزيد من الناس في جميع أنحاء العالم. وهي تقدم مساهمة في المناقشات الجارية بشأن التطبيقات التعليمية للتكنولوجيات المتنقلة وإمكاناتها في تعزيز وتسهيل التعلم مدى الحياة وتنمية المهارات.</w:t>
      </w:r>
    </w:p>
    <w:bookmarkEnd w:id="5"/>
    <w:p w:rsidR="00C017F4" w:rsidRPr="00C017F4" w:rsidRDefault="00C017F4" w:rsidP="007C7423">
      <w:pPr>
        <w:rPr>
          <w:rtl/>
        </w:rPr>
      </w:pPr>
      <w:r w:rsidRPr="00C017F4">
        <w:rPr>
          <w:rFonts w:hint="cs"/>
          <w:rtl/>
        </w:rPr>
        <w:lastRenderedPageBreak/>
        <w:t>ويجري حالياً إعداد العدد الثاني من هذ</w:t>
      </w:r>
      <w:r>
        <w:rPr>
          <w:rFonts w:hint="cs"/>
          <w:rtl/>
        </w:rPr>
        <w:t>ا</w:t>
      </w:r>
      <w:r w:rsidRPr="00C017F4">
        <w:rPr>
          <w:rFonts w:hint="cs"/>
          <w:rtl/>
        </w:rPr>
        <w:t xml:space="preserve"> المنشور. وسيركز على بناء القدرات للاقتصاد الرقمي في القرن الحادي والعشرين، مع التركيز على الكيفية التي تغيِّر به</w:t>
      </w:r>
      <w:r w:rsidR="00D901F7">
        <w:rPr>
          <w:rFonts w:hint="cs"/>
          <w:rtl/>
        </w:rPr>
        <w:t>ا</w:t>
      </w:r>
      <w:r w:rsidRPr="00C017F4">
        <w:rPr>
          <w:rFonts w:hint="cs"/>
          <w:rtl/>
        </w:rPr>
        <w:t xml:space="preserve"> التحولات الرقمية الكبرى </w:t>
      </w:r>
      <w:proofErr w:type="gramStart"/>
      <w:r w:rsidRPr="00C017F4">
        <w:rPr>
          <w:rFonts w:hint="cs"/>
          <w:rtl/>
        </w:rPr>
        <w:t>- مثل</w:t>
      </w:r>
      <w:proofErr w:type="gramEnd"/>
      <w:r w:rsidRPr="00C017F4">
        <w:rPr>
          <w:rFonts w:hint="cs"/>
          <w:rtl/>
        </w:rPr>
        <w:t xml:space="preserve"> الذكاء الاصطناعي، و</w:t>
      </w:r>
      <w:r>
        <w:rPr>
          <w:rFonts w:hint="cs"/>
          <w:rtl/>
        </w:rPr>
        <w:t>ال</w:t>
      </w:r>
      <w:r w:rsidRPr="00C017F4">
        <w:rPr>
          <w:rFonts w:hint="cs"/>
          <w:rtl/>
        </w:rPr>
        <w:t>تعل</w:t>
      </w:r>
      <w:r>
        <w:rPr>
          <w:rFonts w:hint="cs"/>
          <w:rtl/>
        </w:rPr>
        <w:t>ُّم الآلي</w:t>
      </w:r>
      <w:r w:rsidRPr="00C017F4">
        <w:rPr>
          <w:rFonts w:hint="cs"/>
          <w:rtl/>
        </w:rPr>
        <w:t>، وإنترنت الأشياء وتحليلات البيانات الضخمة</w:t>
      </w:r>
      <w:r w:rsidR="007C7423">
        <w:rPr>
          <w:rFonts w:hint="eastAsia"/>
          <w:rtl/>
        </w:rPr>
        <w:t> </w:t>
      </w:r>
      <w:r>
        <w:rPr>
          <w:rFonts w:hint="cs"/>
          <w:rtl/>
        </w:rPr>
        <w:t>-</w:t>
      </w:r>
      <w:r w:rsidRPr="00C017F4">
        <w:rPr>
          <w:rFonts w:hint="cs"/>
          <w:rtl/>
        </w:rPr>
        <w:t xml:space="preserve"> المتطلبات من المهارات، مما يؤثر بدوره على بناء القدرات وتنمية المهارات. ويُتوقع إصدار العدد الثاني من "بناء القدرات في</w:t>
      </w:r>
      <w:r>
        <w:rPr>
          <w:rFonts w:hint="eastAsia"/>
          <w:rtl/>
        </w:rPr>
        <w:t> </w:t>
      </w:r>
      <w:r w:rsidRPr="00C017F4">
        <w:rPr>
          <w:rFonts w:hint="cs"/>
          <w:rtl/>
        </w:rPr>
        <w:t xml:space="preserve">بيئة متغيرة لتكنولوجيا المعلومات والاتصالات" في الربع الثاني من عام </w:t>
      </w:r>
      <w:r>
        <w:t>2018</w:t>
      </w:r>
      <w:r w:rsidRPr="00C017F4">
        <w:rPr>
          <w:rFonts w:hint="cs"/>
          <w:rtl/>
        </w:rPr>
        <w:t>.</w:t>
      </w:r>
    </w:p>
    <w:p w:rsidR="00C017F4" w:rsidRPr="00C017F4" w:rsidRDefault="00C017F4" w:rsidP="00D901F7">
      <w:pPr>
        <w:pStyle w:val="Headingb"/>
        <w:rPr>
          <w:rtl/>
        </w:rPr>
      </w:pPr>
      <w:r w:rsidRPr="00C017F4">
        <w:rPr>
          <w:rFonts w:hint="cs"/>
          <w:rtl/>
        </w:rPr>
        <w:t xml:space="preserve">اجتماع الشراكة بين </w:t>
      </w:r>
      <w:r w:rsidR="00D901F7" w:rsidRPr="00C017F4">
        <w:rPr>
          <w:rFonts w:hint="cs"/>
          <w:rtl/>
        </w:rPr>
        <w:t xml:space="preserve">الاتحاد </w:t>
      </w:r>
      <w:r w:rsidR="00D901F7">
        <w:rPr>
          <w:rFonts w:hint="cs"/>
          <w:rtl/>
        </w:rPr>
        <w:t>والهيئات الأكاديمية</w:t>
      </w:r>
    </w:p>
    <w:p w:rsidR="00C017F4" w:rsidRPr="00C017F4" w:rsidRDefault="00C017F4" w:rsidP="006C7075">
      <w:pPr>
        <w:rPr>
          <w:rtl/>
        </w:rPr>
      </w:pPr>
      <w:bookmarkStart w:id="6" w:name="lt_pId058"/>
      <w:r w:rsidRPr="00C017F4">
        <w:rPr>
          <w:rFonts w:hint="cs"/>
          <w:rtl/>
        </w:rPr>
        <w:t xml:space="preserve">عُقد </w:t>
      </w:r>
      <w:hyperlink r:id="rId12" w:history="1">
        <w:r w:rsidRPr="0081271B">
          <w:rPr>
            <w:rStyle w:val="Hyperlink"/>
            <w:rFonts w:hint="cs"/>
            <w:rtl/>
          </w:rPr>
          <w:t xml:space="preserve">اجتماع الشراكة بين الاتحاد والهيئات الأكاديمية: </w:t>
        </w:r>
        <w:r w:rsidRPr="0081271B">
          <w:rPr>
            <w:rStyle w:val="Hyperlink"/>
            <w:rFonts w:hint="cs"/>
            <w:i/>
            <w:iCs/>
            <w:rtl/>
          </w:rPr>
          <w:t>تنمية المهارات للعصر الرقمي</w:t>
        </w:r>
      </w:hyperlink>
      <w:r w:rsidRPr="00C017F4">
        <w:rPr>
          <w:rFonts w:hint="cs"/>
          <w:rtl/>
        </w:rPr>
        <w:t xml:space="preserve"> في بودابست، هنغاريا، في الفترة من</w:t>
      </w:r>
      <w:r>
        <w:rPr>
          <w:rFonts w:hint="eastAsia"/>
          <w:rtl/>
        </w:rPr>
        <w:t> </w:t>
      </w:r>
      <w:r>
        <w:t>19</w:t>
      </w:r>
      <w:r w:rsidRPr="00C017F4">
        <w:rPr>
          <w:rFonts w:hint="cs"/>
          <w:rtl/>
        </w:rPr>
        <w:t xml:space="preserve"> إلى </w:t>
      </w:r>
      <w:r>
        <w:t>21</w:t>
      </w:r>
      <w:r w:rsidR="006C7075">
        <w:rPr>
          <w:rFonts w:hint="eastAsia"/>
          <w:rtl/>
          <w:lang w:bidi="ar-EG"/>
        </w:rPr>
        <w:t> </w:t>
      </w:r>
      <w:r w:rsidRPr="00C017F4">
        <w:rPr>
          <w:rFonts w:hint="cs"/>
          <w:rtl/>
        </w:rPr>
        <w:t>سبتمبر</w:t>
      </w:r>
      <w:r w:rsidR="006C7075">
        <w:rPr>
          <w:rFonts w:hint="eastAsia"/>
          <w:rtl/>
        </w:rPr>
        <w:t> </w:t>
      </w:r>
      <w:r>
        <w:t>2017</w:t>
      </w:r>
      <w:r w:rsidRPr="00C017F4">
        <w:rPr>
          <w:rFonts w:hint="cs"/>
          <w:rtl/>
        </w:rPr>
        <w:t xml:space="preserve">. ونظم الاتحاد هذا الاجتماع الذي استضافته </w:t>
      </w:r>
      <w:r w:rsidRPr="00C017F4">
        <w:rPr>
          <w:rFonts w:hint="eastAsia"/>
          <w:rtl/>
        </w:rPr>
        <w:t>الهيئة</w:t>
      </w:r>
      <w:r w:rsidRPr="00C017F4">
        <w:rPr>
          <w:rtl/>
        </w:rPr>
        <w:t xml:space="preserve"> </w:t>
      </w:r>
      <w:r w:rsidRPr="00C017F4">
        <w:rPr>
          <w:rFonts w:hint="eastAsia"/>
          <w:rtl/>
        </w:rPr>
        <w:t>الهنغارية</w:t>
      </w:r>
      <w:r w:rsidRPr="00C017F4">
        <w:rPr>
          <w:rtl/>
        </w:rPr>
        <w:t xml:space="preserve"> </w:t>
      </w:r>
      <w:r w:rsidRPr="00C017F4">
        <w:rPr>
          <w:rFonts w:hint="eastAsia"/>
          <w:rtl/>
        </w:rPr>
        <w:t>الوطنية</w:t>
      </w:r>
      <w:r w:rsidRPr="00C017F4">
        <w:rPr>
          <w:rtl/>
        </w:rPr>
        <w:t xml:space="preserve"> </w:t>
      </w:r>
      <w:r w:rsidRPr="00C017F4">
        <w:rPr>
          <w:rFonts w:hint="eastAsia"/>
          <w:rtl/>
        </w:rPr>
        <w:t>لوسائط</w:t>
      </w:r>
      <w:r w:rsidRPr="00C017F4">
        <w:rPr>
          <w:rtl/>
        </w:rPr>
        <w:t xml:space="preserve"> </w:t>
      </w:r>
      <w:r w:rsidRPr="00C017F4">
        <w:rPr>
          <w:rFonts w:hint="eastAsia"/>
          <w:rtl/>
        </w:rPr>
        <w:t>الإعلام</w:t>
      </w:r>
      <w:r w:rsidRPr="00C017F4">
        <w:rPr>
          <w:rtl/>
        </w:rPr>
        <w:t xml:space="preserve"> </w:t>
      </w:r>
      <w:r w:rsidRPr="00C017F4">
        <w:rPr>
          <w:rFonts w:hint="eastAsia"/>
          <w:rtl/>
        </w:rPr>
        <w:t>والاتصالات</w:t>
      </w:r>
      <w:r>
        <w:rPr>
          <w:rFonts w:hint="eastAsia"/>
          <w:rtl/>
        </w:rPr>
        <w:t> </w:t>
      </w:r>
      <w:r>
        <w:t>(</w:t>
      </w:r>
      <w:r w:rsidRPr="00C017F4">
        <w:t>NMHH</w:t>
      </w:r>
      <w:r>
        <w:t>)</w:t>
      </w:r>
      <w:r w:rsidRPr="00C017F4">
        <w:rPr>
          <w:rFonts w:hint="cs"/>
          <w:rtl/>
        </w:rPr>
        <w:t xml:space="preserve">. وحضر الاجتماع </w:t>
      </w:r>
      <w:r>
        <w:t>88</w:t>
      </w:r>
      <w:r>
        <w:rPr>
          <w:rFonts w:hint="cs"/>
          <w:rtl/>
          <w:lang w:bidi="ar-EG"/>
        </w:rPr>
        <w:t xml:space="preserve"> </w:t>
      </w:r>
      <w:r w:rsidRPr="00C017F4">
        <w:rPr>
          <w:rFonts w:hint="cs"/>
          <w:rtl/>
        </w:rPr>
        <w:t xml:space="preserve">مشاركاً من </w:t>
      </w:r>
      <w:r>
        <w:t>32</w:t>
      </w:r>
      <w:r>
        <w:rPr>
          <w:rFonts w:hint="cs"/>
          <w:rtl/>
          <w:lang w:bidi="ar-EG"/>
        </w:rPr>
        <w:t xml:space="preserve"> </w:t>
      </w:r>
      <w:r w:rsidRPr="00C017F4">
        <w:rPr>
          <w:rFonts w:hint="cs"/>
          <w:rtl/>
        </w:rPr>
        <w:t xml:space="preserve">بلداً، </w:t>
      </w:r>
      <w:r w:rsidR="00D901F7">
        <w:rPr>
          <w:rFonts w:hint="cs"/>
          <w:rtl/>
        </w:rPr>
        <w:t xml:space="preserve">بما في ذلك </w:t>
      </w:r>
      <w:r>
        <w:t>38</w:t>
      </w:r>
      <w:r>
        <w:rPr>
          <w:rFonts w:hint="cs"/>
          <w:rtl/>
          <w:lang w:bidi="ar-EG"/>
        </w:rPr>
        <w:t xml:space="preserve"> </w:t>
      </w:r>
      <w:r w:rsidRPr="00C017F4">
        <w:rPr>
          <w:rFonts w:hint="cs"/>
          <w:rtl/>
        </w:rPr>
        <w:t>مؤسسة أكاديمية تمثل جميع المناطق.</w:t>
      </w:r>
    </w:p>
    <w:p w:rsidR="00C017F4" w:rsidRPr="0081271B" w:rsidRDefault="00C017F4" w:rsidP="00865F5C">
      <w:pPr>
        <w:rPr>
          <w:spacing w:val="2"/>
          <w:rtl/>
        </w:rPr>
      </w:pPr>
      <w:bookmarkStart w:id="7" w:name="lt_pId062"/>
      <w:bookmarkEnd w:id="6"/>
      <w:r w:rsidRPr="0081271B">
        <w:rPr>
          <w:rFonts w:hint="cs"/>
          <w:spacing w:val="2"/>
          <w:rtl/>
        </w:rPr>
        <w:t xml:space="preserve">وناقش الاجتماع اتجاهات التكنولوجيا الناشئة وكيفية تأثيرها على البرامج الأكاديمية، </w:t>
      </w:r>
      <w:r w:rsidR="00D901F7" w:rsidRPr="0081271B">
        <w:rPr>
          <w:rFonts w:hint="cs"/>
          <w:spacing w:val="2"/>
          <w:rtl/>
        </w:rPr>
        <w:t xml:space="preserve">وعرض </w:t>
      </w:r>
      <w:r w:rsidRPr="0081271B">
        <w:rPr>
          <w:rFonts w:hint="cs"/>
          <w:spacing w:val="2"/>
          <w:rtl/>
        </w:rPr>
        <w:t>أحدث التطورات في التعليم والتعلم في</w:t>
      </w:r>
      <w:r w:rsidR="00D901F7" w:rsidRPr="0081271B">
        <w:rPr>
          <w:rFonts w:hint="eastAsia"/>
          <w:spacing w:val="2"/>
          <w:rtl/>
        </w:rPr>
        <w:t> </w:t>
      </w:r>
      <w:r w:rsidRPr="0081271B">
        <w:rPr>
          <w:rFonts w:hint="cs"/>
          <w:spacing w:val="2"/>
          <w:rtl/>
        </w:rPr>
        <w:t xml:space="preserve">العصر الرقمي، وتدارس النُهُج المتبعة لبناء مهارات القوى العاملة في القرن الحادي والعشرين. وتناول هذا الحدث المناقشات </w:t>
      </w:r>
      <w:r w:rsidR="00D901F7" w:rsidRPr="0081271B">
        <w:rPr>
          <w:rFonts w:hint="cs"/>
          <w:spacing w:val="2"/>
          <w:rtl/>
        </w:rPr>
        <w:t>الجارية</w:t>
      </w:r>
      <w:r w:rsidRPr="0081271B">
        <w:rPr>
          <w:rFonts w:hint="cs"/>
          <w:spacing w:val="2"/>
          <w:rtl/>
        </w:rPr>
        <w:t xml:space="preserve"> حول التحول الرقمي ومجموعات المهارات المطلوبة، ودور الجامعات في صياغة جدول الأعمال الرقمي، والتغييرات في</w:t>
      </w:r>
      <w:r w:rsidR="00D901F7" w:rsidRPr="0081271B">
        <w:rPr>
          <w:rFonts w:hint="eastAsia"/>
          <w:spacing w:val="2"/>
          <w:rtl/>
        </w:rPr>
        <w:t> </w:t>
      </w:r>
      <w:r w:rsidRPr="0081271B">
        <w:rPr>
          <w:rFonts w:hint="cs"/>
          <w:spacing w:val="2"/>
          <w:rtl/>
        </w:rPr>
        <w:t>المناهج الدراسية، ولا سيما فيما يتعلق بتبني المواضيع المتعلقة بسياسة الإنترنت، والسبل الجديدة للتعليم والتعلم في</w:t>
      </w:r>
      <w:r w:rsidR="0081271B">
        <w:rPr>
          <w:rFonts w:hint="eastAsia"/>
          <w:spacing w:val="2"/>
          <w:rtl/>
        </w:rPr>
        <w:t> </w:t>
      </w:r>
      <w:r w:rsidRPr="0081271B">
        <w:rPr>
          <w:rFonts w:hint="cs"/>
          <w:spacing w:val="2"/>
          <w:rtl/>
        </w:rPr>
        <w:t>العصر الرقمي. وشهد الاجتماع أيضاً سلسلة من المناقشات عرضت الشراكات الناجحة بين الجامعات والقطاع الخاص ومراكز التميز والاتحاد الدولي للاتصالات. واستكشف أيضاً دور الجامعات بوصفها حاضنات للابتكار والشركات الناشئة وقدم بعض الأمثلة الملموسة</w:t>
      </w:r>
      <w:r w:rsidR="00865F5C">
        <w:rPr>
          <w:rFonts w:hint="eastAsia"/>
          <w:spacing w:val="2"/>
          <w:rtl/>
        </w:rPr>
        <w:t> </w:t>
      </w:r>
      <w:r w:rsidRPr="0081271B">
        <w:rPr>
          <w:rFonts w:hint="cs"/>
          <w:spacing w:val="2"/>
          <w:rtl/>
        </w:rPr>
        <w:t>عنها.</w:t>
      </w:r>
    </w:p>
    <w:p w:rsidR="00C017F4" w:rsidRPr="00C017F4" w:rsidRDefault="00C017F4" w:rsidP="00D901F7">
      <w:pPr>
        <w:rPr>
          <w:rtl/>
        </w:rPr>
      </w:pPr>
      <w:bookmarkStart w:id="8" w:name="lt_pId066"/>
      <w:bookmarkEnd w:id="7"/>
      <w:r w:rsidRPr="00C017F4">
        <w:rPr>
          <w:rFonts w:hint="cs"/>
          <w:rtl/>
        </w:rPr>
        <w:t>وتمثل</w:t>
      </w:r>
      <w:r w:rsidR="00D901F7">
        <w:rPr>
          <w:rFonts w:hint="cs"/>
          <w:rtl/>
        </w:rPr>
        <w:t xml:space="preserve">ت إحدى النتائج </w:t>
      </w:r>
      <w:r w:rsidRPr="00C017F4">
        <w:rPr>
          <w:rFonts w:hint="cs"/>
          <w:rtl/>
        </w:rPr>
        <w:t>الرئيسية لهذا الحدث في سلسلة من التوصيات والمقترحات بشأن سبل ووسائل تعزيز التعاون بين الاتحاد الدولي للاتصالات والمجتمع الأكاديمي في تنمية القدرات من أجل المستقبل الرقمي. وأكد المندوبون أن هناك طلباً كبيراً على هذا النوع من أحداث الشراكة وأن للاتحاد دوراً هاماً في أن يجمع معاً مختلف أصحاب المصلحة والجامعات من جميع المناطق. وفي</w:t>
      </w:r>
      <w:r w:rsidR="00D901F7">
        <w:rPr>
          <w:rFonts w:hint="eastAsia"/>
          <w:rtl/>
        </w:rPr>
        <w:t> </w:t>
      </w:r>
      <w:r w:rsidRPr="00C017F4">
        <w:rPr>
          <w:rFonts w:hint="cs"/>
          <w:rtl/>
        </w:rPr>
        <w:t xml:space="preserve">هذا الصدد، تتمثل إحدى المزايا الرئيسية للاتحاد في </w:t>
      </w:r>
      <w:r w:rsidR="00D901F7">
        <w:rPr>
          <w:rFonts w:hint="cs"/>
          <w:rtl/>
        </w:rPr>
        <w:t xml:space="preserve">شهرته </w:t>
      </w:r>
      <w:r w:rsidRPr="00C017F4">
        <w:rPr>
          <w:rFonts w:hint="cs"/>
          <w:rtl/>
        </w:rPr>
        <w:t>العالمي</w:t>
      </w:r>
      <w:r w:rsidR="00D901F7">
        <w:rPr>
          <w:rFonts w:hint="cs"/>
          <w:rtl/>
        </w:rPr>
        <w:t>ة</w:t>
      </w:r>
      <w:r w:rsidRPr="00C017F4">
        <w:rPr>
          <w:rFonts w:hint="cs"/>
          <w:rtl/>
        </w:rPr>
        <w:t xml:space="preserve"> وفي كثرة أعضائه على امتداد العالم. وأخيراً، اعتبر المشاركون أن تنمية القدرات في العصر الرقمي تمثل مجالاً للنمو، وأن الاتحاد ينبغي أن يضطلع بدور رئيسي في هذا المجال.</w:t>
      </w:r>
    </w:p>
    <w:p w:rsidR="00C017F4" w:rsidRPr="00C017F4" w:rsidRDefault="00C017F4" w:rsidP="00D901F7">
      <w:pPr>
        <w:pStyle w:val="Headingb"/>
        <w:rPr>
          <w:rtl/>
        </w:rPr>
      </w:pPr>
      <w:r w:rsidRPr="00C017F4">
        <w:rPr>
          <w:rFonts w:hint="cs"/>
          <w:rtl/>
        </w:rPr>
        <w:t xml:space="preserve">المؤتمر العالمي لتنمية الاتصالات لعام </w:t>
      </w:r>
      <w:r w:rsidR="00D901F7">
        <w:t>2017</w:t>
      </w:r>
      <w:r w:rsidRPr="00C017F4">
        <w:rPr>
          <w:rFonts w:hint="cs"/>
          <w:rtl/>
        </w:rPr>
        <w:t xml:space="preserve"> </w:t>
      </w:r>
      <w:r w:rsidR="00D901F7">
        <w:t>(</w:t>
      </w:r>
      <w:r w:rsidRPr="00C017F4">
        <w:t>WTDC-17</w:t>
      </w:r>
      <w:r w:rsidR="00D901F7">
        <w:t>)</w:t>
      </w:r>
    </w:p>
    <w:bookmarkEnd w:id="8"/>
    <w:p w:rsidR="00C017F4" w:rsidRPr="0081271B" w:rsidRDefault="00C017F4" w:rsidP="0081271B">
      <w:pPr>
        <w:rPr>
          <w:spacing w:val="2"/>
          <w:rtl/>
        </w:rPr>
      </w:pPr>
      <w:r w:rsidRPr="0081271B">
        <w:rPr>
          <w:rFonts w:hint="cs"/>
          <w:spacing w:val="2"/>
          <w:rtl/>
        </w:rPr>
        <w:t xml:space="preserve">أعيد التأكيد على أهمية بناء القدرات وتنمية المهارات في المؤتمر العالمي لتنمية الاتصالات لعام </w:t>
      </w:r>
      <w:r w:rsidR="00D901F7" w:rsidRPr="0081271B">
        <w:rPr>
          <w:spacing w:val="2"/>
        </w:rPr>
        <w:t>2017</w:t>
      </w:r>
      <w:r w:rsidRPr="0081271B">
        <w:rPr>
          <w:rFonts w:hint="cs"/>
          <w:spacing w:val="2"/>
          <w:rtl/>
        </w:rPr>
        <w:t>، وهو ما عبرت عنه خطة عمل بوينس آيرس في إطار الهدف</w:t>
      </w:r>
      <w:r w:rsidR="00D901F7" w:rsidRPr="0081271B">
        <w:rPr>
          <w:rFonts w:hint="eastAsia"/>
          <w:spacing w:val="2"/>
          <w:rtl/>
        </w:rPr>
        <w:t> </w:t>
      </w:r>
      <w:r w:rsidR="00D901F7" w:rsidRPr="0081271B">
        <w:rPr>
          <w:spacing w:val="2"/>
        </w:rPr>
        <w:t>3</w:t>
      </w:r>
      <w:r w:rsidRPr="0081271B">
        <w:rPr>
          <w:rFonts w:hint="cs"/>
          <w:spacing w:val="2"/>
          <w:rtl/>
        </w:rPr>
        <w:t xml:space="preserve"> </w:t>
      </w:r>
      <w:r w:rsidR="00D901F7" w:rsidRPr="0081271B">
        <w:rPr>
          <w:rFonts w:hint="cs"/>
          <w:spacing w:val="2"/>
          <w:rtl/>
        </w:rPr>
        <w:t>وفي </w:t>
      </w:r>
      <w:r w:rsidRPr="0081271B">
        <w:rPr>
          <w:rFonts w:hint="cs"/>
          <w:spacing w:val="2"/>
          <w:rtl/>
        </w:rPr>
        <w:t>القرار</w:t>
      </w:r>
      <w:r w:rsidR="00D901F7" w:rsidRPr="0081271B">
        <w:rPr>
          <w:rFonts w:hint="eastAsia"/>
          <w:spacing w:val="2"/>
          <w:rtl/>
        </w:rPr>
        <w:t> </w:t>
      </w:r>
      <w:r w:rsidR="00D901F7" w:rsidRPr="0081271B">
        <w:rPr>
          <w:spacing w:val="2"/>
        </w:rPr>
        <w:t>40</w:t>
      </w:r>
      <w:r w:rsidRPr="0081271B">
        <w:rPr>
          <w:rFonts w:hint="cs"/>
          <w:spacing w:val="2"/>
          <w:rtl/>
        </w:rPr>
        <w:t xml:space="preserve"> (بشأن مراكز التميز) والقرار </w:t>
      </w:r>
      <w:r w:rsidR="00D901F7" w:rsidRPr="0081271B">
        <w:rPr>
          <w:spacing w:val="2"/>
        </w:rPr>
        <w:t>73</w:t>
      </w:r>
      <w:r w:rsidRPr="0081271B">
        <w:rPr>
          <w:rFonts w:hint="cs"/>
          <w:spacing w:val="2"/>
          <w:rtl/>
        </w:rPr>
        <w:t xml:space="preserve"> (بشأن مبادرات بناء القدرات، انظر الوثيقة</w:t>
      </w:r>
      <w:r w:rsidR="00D901F7" w:rsidRPr="0081271B">
        <w:rPr>
          <w:rFonts w:hint="eastAsia"/>
          <w:spacing w:val="2"/>
          <w:rtl/>
        </w:rPr>
        <w:t> </w:t>
      </w:r>
      <w:hyperlink r:id="rId13" w:history="1">
        <w:r w:rsidRPr="0081271B">
          <w:rPr>
            <w:rStyle w:val="Hyperlink"/>
            <w:spacing w:val="2"/>
          </w:rPr>
          <w:t>TDAG</w:t>
        </w:r>
        <w:r w:rsidR="0081271B" w:rsidRPr="0081271B">
          <w:rPr>
            <w:rStyle w:val="Hyperlink"/>
            <w:spacing w:val="2"/>
          </w:rPr>
          <w:noBreakHyphen/>
        </w:r>
        <w:r w:rsidRPr="0081271B">
          <w:rPr>
            <w:rStyle w:val="Hyperlink"/>
            <w:spacing w:val="2"/>
          </w:rPr>
          <w:t>18/17</w:t>
        </w:r>
      </w:hyperlink>
      <w:r w:rsidRPr="0081271B">
        <w:rPr>
          <w:rFonts w:hint="cs"/>
          <w:spacing w:val="2"/>
          <w:rtl/>
        </w:rPr>
        <w:t>).</w:t>
      </w:r>
    </w:p>
    <w:p w:rsidR="00C017F4" w:rsidRPr="00C017F4" w:rsidRDefault="00C017F4" w:rsidP="0081271B">
      <w:pPr>
        <w:rPr>
          <w:rtl/>
        </w:rPr>
      </w:pPr>
      <w:r w:rsidRPr="00C017F4">
        <w:rPr>
          <w:rFonts w:hint="cs"/>
          <w:rtl/>
        </w:rPr>
        <w:t xml:space="preserve">وعلى وجه الخصوص، يمكن إبراز </w:t>
      </w:r>
      <w:r w:rsidR="00D901F7">
        <w:rPr>
          <w:rFonts w:hint="cs"/>
          <w:rtl/>
        </w:rPr>
        <w:t>النتائج</w:t>
      </w:r>
      <w:r w:rsidRPr="00C017F4">
        <w:rPr>
          <w:rFonts w:hint="cs"/>
          <w:rtl/>
        </w:rPr>
        <w:t xml:space="preserve"> التالية للمؤتمر العالمي لتنمية الاتصالات لعام </w:t>
      </w:r>
      <w:r w:rsidR="0081271B">
        <w:t>2017</w:t>
      </w:r>
      <w:r w:rsidRPr="00C017F4">
        <w:rPr>
          <w:rFonts w:hint="cs"/>
          <w:rtl/>
        </w:rPr>
        <w:t>:</w:t>
      </w:r>
    </w:p>
    <w:p w:rsidR="00C017F4" w:rsidRPr="00C017F4" w:rsidRDefault="0081271B" w:rsidP="0081271B">
      <w:pPr>
        <w:pStyle w:val="enumlev1"/>
        <w:rPr>
          <w:rtl/>
          <w:lang w:bidi="ar-EG"/>
        </w:rPr>
      </w:pPr>
      <w:r>
        <w:t>●</w:t>
      </w:r>
      <w:r>
        <w:tab/>
      </w:r>
      <w:r w:rsidR="00C017F4" w:rsidRPr="00C017F4">
        <w:rPr>
          <w:rFonts w:hint="cs"/>
          <w:rtl/>
        </w:rPr>
        <w:t>أهمية زيادة الوعي بأهمية تنمية المهارات اللازمة للمستقبل الرقمي.</w:t>
      </w:r>
    </w:p>
    <w:p w:rsidR="00C017F4" w:rsidRPr="00C017F4" w:rsidRDefault="0081271B" w:rsidP="0081271B">
      <w:pPr>
        <w:pStyle w:val="enumlev1"/>
        <w:rPr>
          <w:rtl/>
          <w:lang w:bidi="ar-EG"/>
        </w:rPr>
      </w:pPr>
      <w:r>
        <w:t>●</w:t>
      </w:r>
      <w:r>
        <w:tab/>
      </w:r>
      <w:r w:rsidR="00C017F4" w:rsidRPr="00C017F4">
        <w:rPr>
          <w:rFonts w:hint="cs"/>
          <w:rtl/>
        </w:rPr>
        <w:t xml:space="preserve">إدراج إدارة الإنترنت الدولية في برامج </w:t>
      </w:r>
      <w:r w:rsidR="00D901F7">
        <w:rPr>
          <w:rFonts w:hint="cs"/>
          <w:rtl/>
        </w:rPr>
        <w:t>الاتحاد ل</w:t>
      </w:r>
      <w:r w:rsidR="00C017F4" w:rsidRPr="00C017F4">
        <w:rPr>
          <w:rFonts w:hint="cs"/>
          <w:rtl/>
        </w:rPr>
        <w:t>بناء القدرات وتنمية المهارات البشرية.</w:t>
      </w:r>
    </w:p>
    <w:p w:rsidR="00C017F4" w:rsidRPr="00C017F4" w:rsidRDefault="0081271B" w:rsidP="0081271B">
      <w:pPr>
        <w:pStyle w:val="enumlev1"/>
        <w:rPr>
          <w:rtl/>
          <w:lang w:bidi="ar-EG"/>
        </w:rPr>
      </w:pPr>
      <w:r>
        <w:t>●</w:t>
      </w:r>
      <w:r>
        <w:tab/>
      </w:r>
      <w:r w:rsidR="00C017F4" w:rsidRPr="00C017F4">
        <w:rPr>
          <w:rFonts w:hint="cs"/>
          <w:rtl/>
        </w:rPr>
        <w:t>أهمية برنامج مراكز التميز والدعوة إلى استعراضه ومواصلة تعزيزه.</w:t>
      </w:r>
    </w:p>
    <w:p w:rsidR="00C017F4" w:rsidRPr="00C017F4" w:rsidRDefault="0081271B" w:rsidP="0081271B">
      <w:pPr>
        <w:pStyle w:val="enumlev1"/>
        <w:rPr>
          <w:rtl/>
          <w:lang w:bidi="ar-EG"/>
        </w:rPr>
      </w:pPr>
      <w:r>
        <w:t>●</w:t>
      </w:r>
      <w:r>
        <w:tab/>
      </w:r>
      <w:r w:rsidR="00C017F4" w:rsidRPr="00C017F4">
        <w:rPr>
          <w:rFonts w:hint="cs"/>
          <w:rtl/>
        </w:rPr>
        <w:t>مواصلة تعزيز منصة أكاديمية الاتحاد والخدمات ذات الصلة بوصفها الأداة الأساسية والمظلة الرئيسية لأنشطة تنمية القدرات في الاتحاد.</w:t>
      </w:r>
    </w:p>
    <w:p w:rsidR="00C017F4" w:rsidRPr="00C017F4" w:rsidRDefault="0081271B" w:rsidP="0081271B">
      <w:pPr>
        <w:pStyle w:val="enumlev1"/>
        <w:rPr>
          <w:rtl/>
          <w:lang w:bidi="ar-EG"/>
        </w:rPr>
      </w:pPr>
      <w:r>
        <w:t>●</w:t>
      </w:r>
      <w:r>
        <w:tab/>
      </w:r>
      <w:r w:rsidR="00C017F4" w:rsidRPr="00C017F4">
        <w:rPr>
          <w:rFonts w:hint="cs"/>
          <w:rtl/>
        </w:rPr>
        <w:t>دعوة إلى إقامة منتديات عالمية وإقليمية بشأن تنمية المهارات الرقمية، والتعليم والتعلم مدى الحياة، بما في ذلك من خلال الندوة العالمية لبناء القدرات في مجال تكنولوجيا المعلومات والاتصالات.</w:t>
      </w:r>
    </w:p>
    <w:p w:rsidR="00C017F4" w:rsidRPr="00C017F4" w:rsidRDefault="0081271B" w:rsidP="0081271B">
      <w:pPr>
        <w:pStyle w:val="enumlev1"/>
        <w:rPr>
          <w:rtl/>
          <w:lang w:bidi="ar-EG"/>
        </w:rPr>
      </w:pPr>
      <w:bookmarkStart w:id="9" w:name="lt_pId074"/>
      <w:r>
        <w:t>●</w:t>
      </w:r>
      <w:r>
        <w:tab/>
      </w:r>
      <w:r w:rsidR="00C017F4" w:rsidRPr="00C017F4">
        <w:rPr>
          <w:rFonts w:hint="cs"/>
          <w:rtl/>
        </w:rPr>
        <w:t>تطوير شراكات مع مؤسسات أكاديمية وشركاء آخرين لبناء المعارف المهنية وتنمية المهارات المتعلقة بالتحول الرقمي</w:t>
      </w:r>
      <w:bookmarkEnd w:id="9"/>
      <w:r w:rsidR="00D901F7">
        <w:rPr>
          <w:rFonts w:hint="cs"/>
          <w:rtl/>
        </w:rPr>
        <w:t>.</w:t>
      </w:r>
    </w:p>
    <w:p w:rsidR="00C017F4" w:rsidRPr="00C017F4" w:rsidRDefault="0081271B" w:rsidP="0081271B">
      <w:pPr>
        <w:pStyle w:val="enumlev1"/>
        <w:rPr>
          <w:rtl/>
          <w:lang w:bidi="ar-EG"/>
        </w:rPr>
      </w:pPr>
      <w:bookmarkStart w:id="10" w:name="lt_pId076"/>
      <w:r>
        <w:t>●</w:t>
      </w:r>
      <w:r>
        <w:tab/>
      </w:r>
      <w:r w:rsidR="00C017F4" w:rsidRPr="0081271B">
        <w:rPr>
          <w:rFonts w:hint="cs"/>
          <w:spacing w:val="-4"/>
          <w:rtl/>
        </w:rPr>
        <w:t xml:space="preserve">تعزيز دور المبادرات الإقليمية في بناء القدرات البشرية. </w:t>
      </w:r>
      <w:r w:rsidR="00D901F7" w:rsidRPr="0081271B">
        <w:rPr>
          <w:rFonts w:hint="cs"/>
          <w:spacing w:val="-4"/>
          <w:rtl/>
        </w:rPr>
        <w:t>وقد أدرج</w:t>
      </w:r>
      <w:r w:rsidR="00C017F4" w:rsidRPr="0081271B">
        <w:rPr>
          <w:rFonts w:hint="cs"/>
          <w:spacing w:val="-4"/>
          <w:rtl/>
        </w:rPr>
        <w:t xml:space="preserve"> بناء القدرات في جميع المبادرات الإقليمية كناتج رئيسي</w:t>
      </w:r>
      <w:bookmarkEnd w:id="10"/>
      <w:r w:rsidR="00D901F7" w:rsidRPr="0081271B">
        <w:rPr>
          <w:rFonts w:hint="cs"/>
          <w:spacing w:val="-4"/>
          <w:rtl/>
        </w:rPr>
        <w:t>.</w:t>
      </w:r>
    </w:p>
    <w:p w:rsidR="00C017F4" w:rsidRPr="00C017F4" w:rsidRDefault="00C017F4" w:rsidP="00E77413">
      <w:pPr>
        <w:pStyle w:val="Headingb"/>
        <w:rPr>
          <w:rtl/>
        </w:rPr>
      </w:pPr>
      <w:r w:rsidRPr="00C017F4">
        <w:rPr>
          <w:rFonts w:hint="cs"/>
          <w:rtl/>
        </w:rPr>
        <w:t xml:space="preserve">الندوة العالمية لبناء القدرات في مجال تكنولوجيا المعلومات والاتصالات لعام </w:t>
      </w:r>
      <w:r w:rsidR="00D901F7">
        <w:t>2018</w:t>
      </w:r>
      <w:r w:rsidRPr="00C017F4">
        <w:rPr>
          <w:rFonts w:hint="cs"/>
          <w:rtl/>
        </w:rPr>
        <w:t xml:space="preserve"> </w:t>
      </w:r>
      <w:r w:rsidR="00D901F7">
        <w:t>(</w:t>
      </w:r>
      <w:r w:rsidRPr="00C017F4">
        <w:t>CBS-18</w:t>
      </w:r>
      <w:r w:rsidR="00D901F7">
        <w:t>)</w:t>
      </w:r>
    </w:p>
    <w:p w:rsidR="00CB30F8" w:rsidRPr="0081271B" w:rsidRDefault="00C017F4" w:rsidP="00D901F7">
      <w:pPr>
        <w:rPr>
          <w:spacing w:val="2"/>
          <w:rtl/>
        </w:rPr>
      </w:pPr>
      <w:r w:rsidRPr="0081271B">
        <w:rPr>
          <w:rFonts w:hint="cs"/>
          <w:spacing w:val="2"/>
          <w:rtl/>
        </w:rPr>
        <w:t xml:space="preserve">ستُعقد الندوة العالمية لبناء القدرات في مجال تكنولوجيا المعلومات والاتصالات لعام </w:t>
      </w:r>
      <w:r w:rsidR="00D901F7" w:rsidRPr="0081271B">
        <w:rPr>
          <w:spacing w:val="2"/>
        </w:rPr>
        <w:t>2018</w:t>
      </w:r>
      <w:r w:rsidRPr="0081271B">
        <w:rPr>
          <w:rFonts w:hint="cs"/>
          <w:spacing w:val="2"/>
          <w:rtl/>
        </w:rPr>
        <w:t xml:space="preserve"> </w:t>
      </w:r>
      <w:bookmarkStart w:id="11" w:name="lt_pId077"/>
      <w:r w:rsidR="00D901F7" w:rsidRPr="0081271B">
        <w:rPr>
          <w:spacing w:val="2"/>
        </w:rPr>
        <w:t>(</w:t>
      </w:r>
      <w:r w:rsidRPr="0081271B">
        <w:rPr>
          <w:spacing w:val="2"/>
        </w:rPr>
        <w:t>CBS-18</w:t>
      </w:r>
      <w:bookmarkEnd w:id="11"/>
      <w:r w:rsidR="00D901F7" w:rsidRPr="0081271B">
        <w:rPr>
          <w:spacing w:val="2"/>
        </w:rPr>
        <w:t>)</w:t>
      </w:r>
      <w:r w:rsidRPr="0081271B">
        <w:rPr>
          <w:rFonts w:hint="cs"/>
          <w:spacing w:val="2"/>
          <w:rtl/>
        </w:rPr>
        <w:t xml:space="preserve"> في</w:t>
      </w:r>
      <w:r w:rsidR="00D901F7" w:rsidRPr="0081271B">
        <w:rPr>
          <w:rFonts w:hint="eastAsia"/>
          <w:spacing w:val="2"/>
          <w:rtl/>
        </w:rPr>
        <w:t> </w:t>
      </w:r>
      <w:r w:rsidRPr="0081271B">
        <w:rPr>
          <w:rFonts w:hint="cs"/>
          <w:spacing w:val="2"/>
          <w:rtl/>
        </w:rPr>
        <w:t xml:space="preserve">سانتو </w:t>
      </w:r>
      <w:proofErr w:type="spellStart"/>
      <w:r w:rsidRPr="0081271B">
        <w:rPr>
          <w:rFonts w:hint="cs"/>
          <w:spacing w:val="2"/>
          <w:rtl/>
        </w:rPr>
        <w:t>دومينغو</w:t>
      </w:r>
      <w:proofErr w:type="spellEnd"/>
      <w:r w:rsidRPr="0081271B">
        <w:rPr>
          <w:rFonts w:hint="cs"/>
          <w:spacing w:val="2"/>
          <w:rtl/>
        </w:rPr>
        <w:t xml:space="preserve">، الجمهورية الدومينيكية، في الفترة من </w:t>
      </w:r>
      <w:r w:rsidR="00D901F7" w:rsidRPr="0081271B">
        <w:rPr>
          <w:spacing w:val="2"/>
        </w:rPr>
        <w:t>18</w:t>
      </w:r>
      <w:r w:rsidRPr="0081271B">
        <w:rPr>
          <w:rFonts w:hint="cs"/>
          <w:spacing w:val="2"/>
          <w:rtl/>
        </w:rPr>
        <w:t xml:space="preserve"> إلى </w:t>
      </w:r>
      <w:r w:rsidR="00D901F7" w:rsidRPr="0081271B">
        <w:rPr>
          <w:spacing w:val="2"/>
        </w:rPr>
        <w:t>20</w:t>
      </w:r>
      <w:r w:rsidR="00D901F7" w:rsidRPr="0081271B">
        <w:rPr>
          <w:rFonts w:hint="cs"/>
          <w:spacing w:val="2"/>
          <w:rtl/>
          <w:lang w:bidi="ar-EG"/>
        </w:rPr>
        <w:t xml:space="preserve"> </w:t>
      </w:r>
      <w:r w:rsidRPr="0081271B">
        <w:rPr>
          <w:rFonts w:hint="cs"/>
          <w:spacing w:val="2"/>
          <w:rtl/>
        </w:rPr>
        <w:t xml:space="preserve">يونيو </w:t>
      </w:r>
      <w:r w:rsidR="00D901F7" w:rsidRPr="0081271B">
        <w:rPr>
          <w:spacing w:val="2"/>
        </w:rPr>
        <w:t>2018</w:t>
      </w:r>
      <w:r w:rsidRPr="0081271B">
        <w:rPr>
          <w:rFonts w:hint="cs"/>
          <w:spacing w:val="2"/>
          <w:rtl/>
        </w:rPr>
        <w:t>. وسينظمها الاتحاد ويستضيفها المعهد الدومينيكي للاتصالات</w:t>
      </w:r>
      <w:r w:rsidR="00D901F7" w:rsidRPr="0081271B">
        <w:rPr>
          <w:rFonts w:hint="cs"/>
          <w:spacing w:val="2"/>
          <w:rtl/>
        </w:rPr>
        <w:t xml:space="preserve"> </w:t>
      </w:r>
      <w:r w:rsidR="00D901F7" w:rsidRPr="0081271B">
        <w:rPr>
          <w:spacing w:val="2"/>
        </w:rPr>
        <w:t>((INDOTEOL) </w:t>
      </w:r>
      <w:proofErr w:type="spellStart"/>
      <w:r w:rsidRPr="0081271B">
        <w:rPr>
          <w:spacing w:val="2"/>
        </w:rPr>
        <w:t>Instituto</w:t>
      </w:r>
      <w:proofErr w:type="spellEnd"/>
      <w:r w:rsidRPr="0081271B">
        <w:rPr>
          <w:spacing w:val="2"/>
        </w:rPr>
        <w:t xml:space="preserve"> </w:t>
      </w:r>
      <w:proofErr w:type="spellStart"/>
      <w:r w:rsidRPr="0081271B">
        <w:rPr>
          <w:spacing w:val="2"/>
        </w:rPr>
        <w:t>D</w:t>
      </w:r>
      <w:r w:rsidR="00D901F7" w:rsidRPr="0081271B">
        <w:rPr>
          <w:spacing w:val="2"/>
        </w:rPr>
        <w:t>ominicano</w:t>
      </w:r>
      <w:proofErr w:type="spellEnd"/>
      <w:r w:rsidR="00D901F7" w:rsidRPr="0081271B">
        <w:rPr>
          <w:spacing w:val="2"/>
        </w:rPr>
        <w:t xml:space="preserve"> de </w:t>
      </w:r>
      <w:proofErr w:type="spellStart"/>
      <w:r w:rsidR="00D901F7" w:rsidRPr="0081271B">
        <w:rPr>
          <w:spacing w:val="2"/>
        </w:rPr>
        <w:t>Telecomunicaciones</w:t>
      </w:r>
      <w:proofErr w:type="spellEnd"/>
      <w:r w:rsidR="00D901F7" w:rsidRPr="0081271B">
        <w:rPr>
          <w:spacing w:val="2"/>
        </w:rPr>
        <w:t>)</w:t>
      </w:r>
      <w:r w:rsidRPr="0081271B">
        <w:rPr>
          <w:rFonts w:hint="cs"/>
          <w:spacing w:val="2"/>
          <w:rtl/>
        </w:rPr>
        <w:t xml:space="preserve">. وستجمع الندوة بين ممثلين عن الحكومات والقطاع الخاص والهيئات الأكاديمية لمناقشة القضايا ذات الصلة في </w:t>
      </w:r>
      <w:r w:rsidR="00D901F7" w:rsidRPr="0081271B">
        <w:rPr>
          <w:rFonts w:hint="cs"/>
          <w:spacing w:val="2"/>
          <w:rtl/>
        </w:rPr>
        <w:t>مجال</w:t>
      </w:r>
      <w:r w:rsidRPr="0081271B">
        <w:rPr>
          <w:rFonts w:hint="cs"/>
          <w:spacing w:val="2"/>
          <w:rtl/>
        </w:rPr>
        <w:t xml:space="preserve"> تنمية المهارات اللازمة للاقتصاد الرقمي والمجتمع الرقمي</w:t>
      </w:r>
      <w:r w:rsidR="0081271B">
        <w:rPr>
          <w:rFonts w:hint="cs"/>
          <w:spacing w:val="2"/>
          <w:rtl/>
        </w:rPr>
        <w:t>.</w:t>
      </w:r>
    </w:p>
    <w:p w:rsidR="00CB30F8" w:rsidRDefault="00752F2D" w:rsidP="00752F2D">
      <w:pPr>
        <w:spacing w:before="600"/>
        <w:jc w:val="center"/>
        <w:rPr>
          <w:rtl/>
          <w:lang w:bidi="ar-EG"/>
        </w:rPr>
      </w:pPr>
      <w:r>
        <w:rPr>
          <w:rFonts w:hint="cs"/>
          <w:rtl/>
          <w:lang w:bidi="ar-EG"/>
        </w:rPr>
        <w:t>___________</w:t>
      </w:r>
    </w:p>
    <w:sectPr w:rsidR="00CB30F8" w:rsidSect="008B5B5D">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7F4" w:rsidRDefault="00C017F4" w:rsidP="00E07379">
      <w:pPr>
        <w:spacing w:before="0" w:line="240" w:lineRule="auto"/>
      </w:pPr>
      <w:r>
        <w:separator/>
      </w:r>
    </w:p>
  </w:endnote>
  <w:endnote w:type="continuationSeparator" w:id="0">
    <w:p w:rsidR="00C017F4" w:rsidRDefault="00C017F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E77413" w:rsidRDefault="00485610" w:rsidP="00E77413">
    <w:pPr>
      <w:pStyle w:val="Footer"/>
      <w:tabs>
        <w:tab w:val="clear" w:pos="5812"/>
        <w:tab w:val="center" w:pos="5103"/>
      </w:tabs>
      <w:rPr>
        <w:lang w:val="es-ES"/>
      </w:rPr>
    </w:pPr>
    <w:r>
      <w:fldChar w:fldCharType="begin"/>
    </w:r>
    <w:r w:rsidRPr="00E77413">
      <w:rPr>
        <w:lang w:val="es-ES"/>
      </w:rPr>
      <w:instrText xml:space="preserve"> FILENAME \p \* MERGEFORMAT </w:instrText>
    </w:r>
    <w:r>
      <w:fldChar w:fldCharType="separate"/>
    </w:r>
    <w:r w:rsidR="00154EF1">
      <w:rPr>
        <w:noProof/>
        <w:lang w:val="es-ES"/>
      </w:rPr>
      <w:t>P:\ARA\ITU-D\CONF-D\TDAG18\000\018A.docx</w:t>
    </w:r>
    <w:r>
      <w:rPr>
        <w:noProof/>
      </w:rPr>
      <w:fldChar w:fldCharType="end"/>
    </w:r>
    <w:r w:rsidR="00BD0C50" w:rsidRPr="00E77413">
      <w:rPr>
        <w:lang w:val="es-ES"/>
      </w:rPr>
      <w:t xml:space="preserve">   (</w:t>
    </w:r>
    <w:r w:rsidR="00E77413" w:rsidRPr="00E77413">
      <w:rPr>
        <w:lang w:val="es-ES"/>
      </w:rPr>
      <w:t>428710</w:t>
    </w:r>
    <w:r w:rsidR="00BD0C50" w:rsidRPr="00E77413">
      <w:rPr>
        <w:lang w:val="es-ES"/>
      </w:rPr>
      <w:t>)</w:t>
    </w:r>
    <w:r w:rsidR="00BD0C50" w:rsidRPr="00E77413">
      <w:rPr>
        <w:lang w:val="es-ES"/>
      </w:rPr>
      <w:tab/>
    </w:r>
    <w:r w:rsidR="00BD0C50" w:rsidRPr="00665956">
      <w:fldChar w:fldCharType="begin"/>
    </w:r>
    <w:r w:rsidR="00BD0C50" w:rsidRPr="00665956">
      <w:instrText xml:space="preserve"> savedate \@ dd.MM.yy </w:instrText>
    </w:r>
    <w:r w:rsidR="00BD0C50" w:rsidRPr="00665956">
      <w:fldChar w:fldCharType="separate"/>
    </w:r>
    <w:r w:rsidR="00154EF1">
      <w:rPr>
        <w:noProof/>
      </w:rPr>
      <w:t>13.02.18</w:t>
    </w:r>
    <w:r w:rsidR="00BD0C50" w:rsidRPr="00665956">
      <w:fldChar w:fldCharType="end"/>
    </w:r>
    <w:r w:rsidR="00BD0C50" w:rsidRPr="00E77413">
      <w:rPr>
        <w:lang w:val="es-ES"/>
      </w:rPr>
      <w:tab/>
    </w:r>
    <w:r w:rsidR="00BD0C50" w:rsidRPr="00665956">
      <w:fldChar w:fldCharType="begin"/>
    </w:r>
    <w:r w:rsidR="00BD0C50" w:rsidRPr="00665956">
      <w:instrText xml:space="preserve"> printdate \@ dd.MM.yy </w:instrText>
    </w:r>
    <w:r w:rsidR="00BD0C50" w:rsidRPr="00665956">
      <w:fldChar w:fldCharType="separate"/>
    </w:r>
    <w:r w:rsidR="00154EF1">
      <w:rPr>
        <w:noProof/>
      </w:rPr>
      <w:t>13.02.18</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A72045" w:rsidRPr="00791E7A" w:rsidTr="00765718">
      <w:tc>
        <w:tcPr>
          <w:tcW w:w="1298" w:type="dxa"/>
          <w:tcBorders>
            <w:top w:val="single" w:sz="4" w:space="0" w:color="auto"/>
            <w:left w:val="nil"/>
            <w:bottom w:val="nil"/>
            <w:right w:val="nil"/>
          </w:tcBorders>
          <w:shd w:val="clear" w:color="auto" w:fill="FFFFFF" w:themeFill="background1"/>
          <w:hideMark/>
        </w:tcPr>
        <w:p w:rsidR="00A72045" w:rsidRPr="00791E7A" w:rsidRDefault="00A72045" w:rsidP="00A72045">
          <w:pPr>
            <w:spacing w:after="60" w:line="260" w:lineRule="exact"/>
            <w:rPr>
              <w:position w:val="2"/>
              <w:sz w:val="20"/>
              <w:szCs w:val="26"/>
              <w:lang w:val="en-GB"/>
            </w:rPr>
          </w:pPr>
          <w:r w:rsidRPr="00791E7A">
            <w:rPr>
              <w:position w:val="2"/>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A72045" w:rsidRPr="00791E7A" w:rsidRDefault="00A72045" w:rsidP="00A72045">
          <w:pPr>
            <w:spacing w:after="60" w:line="260" w:lineRule="exact"/>
            <w:rPr>
              <w:position w:val="2"/>
              <w:sz w:val="20"/>
              <w:szCs w:val="26"/>
              <w:lang w:val="en-GB"/>
            </w:rPr>
          </w:pPr>
          <w:r w:rsidRPr="00791E7A">
            <w:rPr>
              <w:position w:val="2"/>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A72045" w:rsidRPr="00791E7A" w:rsidRDefault="00C017F4" w:rsidP="00C017F4">
          <w:pPr>
            <w:spacing w:after="60" w:line="260" w:lineRule="exact"/>
            <w:rPr>
              <w:spacing w:val="-4"/>
              <w:position w:val="2"/>
              <w:sz w:val="20"/>
              <w:szCs w:val="26"/>
              <w:lang w:val="en-GB"/>
            </w:rPr>
          </w:pPr>
          <w:r w:rsidRPr="00791E7A">
            <w:rPr>
              <w:spacing w:val="-4"/>
              <w:position w:val="2"/>
              <w:sz w:val="20"/>
              <w:szCs w:val="26"/>
              <w:rtl/>
            </w:rPr>
            <w:t>السيد كوسماس زافازافا، رئيس دائرة دعم المشاريع وإدارة المعارف</w:t>
          </w:r>
          <w:r w:rsidRPr="00791E7A">
            <w:rPr>
              <w:rFonts w:hint="cs"/>
              <w:spacing w:val="-4"/>
              <w:position w:val="2"/>
              <w:sz w:val="20"/>
              <w:szCs w:val="26"/>
              <w:rtl/>
            </w:rPr>
            <w:t xml:space="preserve"> </w:t>
          </w:r>
          <w:r w:rsidRPr="00791E7A">
            <w:rPr>
              <w:spacing w:val="-4"/>
              <w:position w:val="2"/>
              <w:sz w:val="20"/>
              <w:szCs w:val="26"/>
              <w:lang w:bidi="ar-EG"/>
            </w:rPr>
            <w:t>(PKM)</w:t>
          </w:r>
          <w:r w:rsidRPr="00791E7A">
            <w:rPr>
              <w:spacing w:val="-4"/>
              <w:position w:val="2"/>
              <w:sz w:val="20"/>
              <w:szCs w:val="26"/>
              <w:rtl/>
            </w:rPr>
            <w:t>، مكتب تنمية الاتصالات</w:t>
          </w:r>
        </w:p>
      </w:tc>
    </w:tr>
    <w:tr w:rsidR="00A72045" w:rsidRPr="00791E7A" w:rsidTr="00765718">
      <w:tc>
        <w:tcPr>
          <w:tcW w:w="1298" w:type="dxa"/>
        </w:tcPr>
        <w:p w:rsidR="00A72045" w:rsidRPr="00791E7A" w:rsidRDefault="00A72045" w:rsidP="00A72045">
          <w:pPr>
            <w:spacing w:before="40" w:after="60" w:line="260" w:lineRule="exact"/>
            <w:rPr>
              <w:sz w:val="20"/>
              <w:szCs w:val="26"/>
              <w:lang w:val="en-GB"/>
            </w:rPr>
          </w:pPr>
        </w:p>
      </w:tc>
      <w:tc>
        <w:tcPr>
          <w:tcW w:w="2104" w:type="dxa"/>
          <w:hideMark/>
        </w:tcPr>
        <w:p w:rsidR="00A72045" w:rsidRPr="00791E7A" w:rsidRDefault="00A72045" w:rsidP="00A72045">
          <w:pPr>
            <w:spacing w:before="40" w:after="60" w:line="260" w:lineRule="exact"/>
            <w:rPr>
              <w:sz w:val="20"/>
              <w:szCs w:val="26"/>
              <w:lang w:val="en-GB"/>
            </w:rPr>
          </w:pPr>
          <w:r w:rsidRPr="00791E7A">
            <w:rPr>
              <w:sz w:val="20"/>
              <w:szCs w:val="26"/>
              <w:rtl/>
              <w:lang w:bidi="ar-EG"/>
            </w:rPr>
            <w:t>رقم الهاتف:</w:t>
          </w:r>
        </w:p>
      </w:tc>
      <w:tc>
        <w:tcPr>
          <w:tcW w:w="6237" w:type="dxa"/>
        </w:tcPr>
        <w:p w:rsidR="00A72045" w:rsidRPr="00791E7A" w:rsidRDefault="00791E7A" w:rsidP="00791E7A">
          <w:pPr>
            <w:spacing w:before="40" w:after="60" w:line="260" w:lineRule="exact"/>
            <w:rPr>
              <w:sz w:val="20"/>
              <w:szCs w:val="26"/>
              <w:lang w:val="en-GB"/>
            </w:rPr>
          </w:pPr>
          <w:r>
            <w:rPr>
              <w:sz w:val="20"/>
              <w:szCs w:val="26"/>
              <w:lang w:bidi="ar-EG"/>
            </w:rPr>
            <w:t>+</w:t>
          </w:r>
          <w:r w:rsidR="00C017F4" w:rsidRPr="00791E7A">
            <w:rPr>
              <w:sz w:val="20"/>
              <w:szCs w:val="26"/>
              <w:lang w:bidi="ar-EG"/>
            </w:rPr>
            <w:t>41</w:t>
          </w:r>
          <w:r>
            <w:rPr>
              <w:sz w:val="20"/>
              <w:szCs w:val="26"/>
              <w:lang w:bidi="ar-EG"/>
            </w:rPr>
            <w:t> </w:t>
          </w:r>
          <w:r w:rsidR="00C017F4" w:rsidRPr="00791E7A">
            <w:rPr>
              <w:sz w:val="20"/>
              <w:szCs w:val="26"/>
              <w:lang w:bidi="ar-EG"/>
            </w:rPr>
            <w:t>22</w:t>
          </w:r>
          <w:r>
            <w:rPr>
              <w:sz w:val="20"/>
              <w:szCs w:val="26"/>
              <w:lang w:bidi="ar-EG"/>
            </w:rPr>
            <w:t> </w:t>
          </w:r>
          <w:r w:rsidR="00C017F4" w:rsidRPr="00791E7A">
            <w:rPr>
              <w:sz w:val="20"/>
              <w:szCs w:val="26"/>
              <w:lang w:bidi="ar-EG"/>
            </w:rPr>
            <w:t>730</w:t>
          </w:r>
          <w:r>
            <w:rPr>
              <w:sz w:val="20"/>
              <w:szCs w:val="26"/>
              <w:lang w:bidi="ar-EG"/>
            </w:rPr>
            <w:t> </w:t>
          </w:r>
          <w:r w:rsidR="00C017F4" w:rsidRPr="00791E7A">
            <w:rPr>
              <w:sz w:val="20"/>
              <w:szCs w:val="26"/>
              <w:lang w:bidi="ar-EG"/>
            </w:rPr>
            <w:t>5447</w:t>
          </w:r>
        </w:p>
      </w:tc>
    </w:tr>
    <w:tr w:rsidR="00A72045" w:rsidRPr="00791E7A" w:rsidTr="00765718">
      <w:tc>
        <w:tcPr>
          <w:tcW w:w="1298" w:type="dxa"/>
        </w:tcPr>
        <w:p w:rsidR="00A72045" w:rsidRPr="00791E7A" w:rsidRDefault="00A72045" w:rsidP="00A72045">
          <w:pPr>
            <w:spacing w:before="40" w:after="60" w:line="260" w:lineRule="exact"/>
            <w:rPr>
              <w:sz w:val="20"/>
              <w:szCs w:val="26"/>
              <w:lang w:val="en-GB"/>
            </w:rPr>
          </w:pPr>
        </w:p>
      </w:tc>
      <w:tc>
        <w:tcPr>
          <w:tcW w:w="2104" w:type="dxa"/>
          <w:hideMark/>
        </w:tcPr>
        <w:p w:rsidR="00A72045" w:rsidRPr="00791E7A" w:rsidRDefault="00A72045" w:rsidP="00A72045">
          <w:pPr>
            <w:spacing w:before="40" w:after="60" w:line="260" w:lineRule="exact"/>
            <w:rPr>
              <w:sz w:val="20"/>
              <w:szCs w:val="26"/>
              <w:lang w:val="en-GB"/>
            </w:rPr>
          </w:pPr>
          <w:r w:rsidRPr="00791E7A">
            <w:rPr>
              <w:sz w:val="20"/>
              <w:szCs w:val="26"/>
              <w:rtl/>
              <w:lang w:bidi="ar-EG"/>
            </w:rPr>
            <w:t>البريد الإلكتروني:</w:t>
          </w:r>
        </w:p>
      </w:tc>
      <w:tc>
        <w:tcPr>
          <w:tcW w:w="6237" w:type="dxa"/>
        </w:tcPr>
        <w:p w:rsidR="00A72045" w:rsidRPr="00791E7A" w:rsidRDefault="00154EF1" w:rsidP="00C017F4">
          <w:pPr>
            <w:spacing w:before="40" w:after="60" w:line="260" w:lineRule="exact"/>
            <w:rPr>
              <w:sz w:val="20"/>
              <w:szCs w:val="26"/>
              <w:rtl/>
              <w:lang w:bidi="ar-EG"/>
            </w:rPr>
          </w:pPr>
          <w:hyperlink r:id="rId1" w:history="1">
            <w:r w:rsidR="00C017F4" w:rsidRPr="00791E7A">
              <w:rPr>
                <w:rStyle w:val="Hyperlink"/>
                <w:sz w:val="20"/>
                <w:szCs w:val="26"/>
                <w:lang w:bidi="ar-EG"/>
              </w:rPr>
              <w:t>cosmas.zavazava@itu.int</w:t>
            </w:r>
          </w:hyperlink>
        </w:p>
      </w:tc>
    </w:tr>
  </w:tbl>
  <w:p w:rsidR="00A72045" w:rsidRPr="00C90ADD" w:rsidRDefault="00154EF1" w:rsidP="00747DF8">
    <w:pPr>
      <w:bidi w:val="0"/>
      <w:spacing w:before="240" w:line="240" w:lineRule="auto"/>
      <w:jc w:val="center"/>
      <w:rPr>
        <w:rFonts w:eastAsiaTheme="minorEastAsia"/>
        <w:rtl/>
        <w:lang w:val="ru-RU" w:eastAsia="zh-CN"/>
      </w:rPr>
    </w:pPr>
    <w:hyperlink r:id="rId2" w:history="1">
      <w:r w:rsidR="00C90ADD" w:rsidRPr="00C90ADD">
        <w:rPr>
          <w:rFonts w:cs="Times New Roman"/>
          <w:color w:val="0000FF"/>
          <w:sz w:val="18"/>
          <w:szCs w:val="18"/>
          <w:u w:val="single"/>
        </w:rPr>
        <w:t>http://www.itu.int/ITU-D/TDAG/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7F4" w:rsidRDefault="00C017F4" w:rsidP="00E07379">
      <w:pPr>
        <w:spacing w:before="0" w:line="240" w:lineRule="auto"/>
      </w:pPr>
      <w:r>
        <w:separator/>
      </w:r>
    </w:p>
  </w:footnote>
  <w:footnote w:type="continuationSeparator" w:id="0">
    <w:p w:rsidR="00C017F4" w:rsidRDefault="00C017F4"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F8" w:rsidRPr="00CB30F8" w:rsidRDefault="00CB30F8" w:rsidP="00C017F4">
    <w:pPr>
      <w:tabs>
        <w:tab w:val="clear" w:pos="1134"/>
        <w:tab w:val="center" w:pos="4680"/>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sidR="00A72045">
      <w:rPr>
        <w:rFonts w:eastAsiaTheme="minorEastAsia" w:cs="Calibri"/>
        <w:sz w:val="20"/>
        <w:szCs w:val="20"/>
        <w:lang w:eastAsia="zh-CN"/>
      </w:rPr>
      <w:t>-</w:t>
    </w:r>
    <w:r w:rsidRPr="00CB30F8">
      <w:rPr>
        <w:rFonts w:eastAsiaTheme="minorEastAsia" w:cs="Calibri"/>
        <w:sz w:val="20"/>
        <w:szCs w:val="20"/>
        <w:lang w:val="en-GB" w:eastAsia="zh-CN"/>
      </w:rPr>
      <w:t>1</w:t>
    </w:r>
    <w:r w:rsidR="00A72045">
      <w:rPr>
        <w:rFonts w:eastAsiaTheme="minorEastAsia" w:cs="Calibri"/>
        <w:sz w:val="20"/>
        <w:szCs w:val="20"/>
        <w:lang w:val="en-GB" w:eastAsia="zh-CN"/>
      </w:rPr>
      <w:t>8</w:t>
    </w:r>
    <w:r w:rsidRPr="00CB30F8">
      <w:rPr>
        <w:rFonts w:eastAsiaTheme="minorEastAsia" w:cs="Calibri"/>
        <w:sz w:val="20"/>
        <w:szCs w:val="20"/>
        <w:lang w:val="en-GB" w:eastAsia="zh-CN"/>
      </w:rPr>
      <w:t>/</w:t>
    </w:r>
    <w:r w:rsidR="00C017F4">
      <w:rPr>
        <w:rFonts w:eastAsiaTheme="minorEastAsia" w:cs="Calibri"/>
        <w:sz w:val="20"/>
        <w:szCs w:val="20"/>
        <w:lang w:eastAsia="zh-CN"/>
      </w:rPr>
      <w:t>18</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00752F2D">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154EF1">
      <w:rPr>
        <w:rFonts w:eastAsiaTheme="minorEastAsia" w:cs="Times New Roman"/>
        <w:noProof/>
        <w:sz w:val="20"/>
        <w:szCs w:val="20"/>
        <w:rtl/>
        <w:lang w:val="en-GB" w:eastAsia="zh-CN"/>
      </w:rPr>
      <w:t>2</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E5B99"/>
    <w:multiLevelType w:val="hybridMultilevel"/>
    <w:tmpl w:val="A9C2F088"/>
    <w:lvl w:ilvl="0" w:tplc="519C3D1A">
      <w:start w:val="1"/>
      <w:numFmt w:val="bullet"/>
      <w:lvlText w:val=""/>
      <w:lvlJc w:val="left"/>
      <w:pPr>
        <w:ind w:left="720" w:hanging="360"/>
      </w:pPr>
      <w:rPr>
        <w:rFonts w:ascii="Symbol" w:hAnsi="Symbol" w:hint="default"/>
      </w:rPr>
    </w:lvl>
    <w:lvl w:ilvl="1" w:tplc="92B2432A" w:tentative="1">
      <w:start w:val="1"/>
      <w:numFmt w:val="bullet"/>
      <w:lvlText w:val="o"/>
      <w:lvlJc w:val="left"/>
      <w:pPr>
        <w:ind w:left="1440" w:hanging="360"/>
      </w:pPr>
      <w:rPr>
        <w:rFonts w:ascii="Courier New" w:hAnsi="Courier New" w:cs="Courier New" w:hint="default"/>
      </w:rPr>
    </w:lvl>
    <w:lvl w:ilvl="2" w:tplc="EE749150" w:tentative="1">
      <w:start w:val="1"/>
      <w:numFmt w:val="bullet"/>
      <w:lvlText w:val=""/>
      <w:lvlJc w:val="left"/>
      <w:pPr>
        <w:ind w:left="2160" w:hanging="360"/>
      </w:pPr>
      <w:rPr>
        <w:rFonts w:ascii="Wingdings" w:hAnsi="Wingdings" w:hint="default"/>
      </w:rPr>
    </w:lvl>
    <w:lvl w:ilvl="3" w:tplc="30AEFEA2" w:tentative="1">
      <w:start w:val="1"/>
      <w:numFmt w:val="bullet"/>
      <w:lvlText w:val=""/>
      <w:lvlJc w:val="left"/>
      <w:pPr>
        <w:ind w:left="2880" w:hanging="360"/>
      </w:pPr>
      <w:rPr>
        <w:rFonts w:ascii="Symbol" w:hAnsi="Symbol" w:hint="default"/>
      </w:rPr>
    </w:lvl>
    <w:lvl w:ilvl="4" w:tplc="58369BEC" w:tentative="1">
      <w:start w:val="1"/>
      <w:numFmt w:val="bullet"/>
      <w:lvlText w:val="o"/>
      <w:lvlJc w:val="left"/>
      <w:pPr>
        <w:ind w:left="3600" w:hanging="360"/>
      </w:pPr>
      <w:rPr>
        <w:rFonts w:ascii="Courier New" w:hAnsi="Courier New" w:cs="Courier New" w:hint="default"/>
      </w:rPr>
    </w:lvl>
    <w:lvl w:ilvl="5" w:tplc="454AABE8" w:tentative="1">
      <w:start w:val="1"/>
      <w:numFmt w:val="bullet"/>
      <w:lvlText w:val=""/>
      <w:lvlJc w:val="left"/>
      <w:pPr>
        <w:ind w:left="4320" w:hanging="360"/>
      </w:pPr>
      <w:rPr>
        <w:rFonts w:ascii="Wingdings" w:hAnsi="Wingdings" w:hint="default"/>
      </w:rPr>
    </w:lvl>
    <w:lvl w:ilvl="6" w:tplc="524CC400" w:tentative="1">
      <w:start w:val="1"/>
      <w:numFmt w:val="bullet"/>
      <w:lvlText w:val=""/>
      <w:lvlJc w:val="left"/>
      <w:pPr>
        <w:ind w:left="5040" w:hanging="360"/>
      </w:pPr>
      <w:rPr>
        <w:rFonts w:ascii="Symbol" w:hAnsi="Symbol" w:hint="default"/>
      </w:rPr>
    </w:lvl>
    <w:lvl w:ilvl="7" w:tplc="C5D644C6" w:tentative="1">
      <w:start w:val="1"/>
      <w:numFmt w:val="bullet"/>
      <w:lvlText w:val="o"/>
      <w:lvlJc w:val="left"/>
      <w:pPr>
        <w:ind w:left="5760" w:hanging="360"/>
      </w:pPr>
      <w:rPr>
        <w:rFonts w:ascii="Courier New" w:hAnsi="Courier New" w:cs="Courier New" w:hint="default"/>
      </w:rPr>
    </w:lvl>
    <w:lvl w:ilvl="8" w:tplc="DCD42BC6"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F4"/>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54EF1"/>
    <w:rsid w:val="00173915"/>
    <w:rsid w:val="0022345D"/>
    <w:rsid w:val="00225854"/>
    <w:rsid w:val="0023283D"/>
    <w:rsid w:val="002334F5"/>
    <w:rsid w:val="00252E0C"/>
    <w:rsid w:val="00276881"/>
    <w:rsid w:val="002916BE"/>
    <w:rsid w:val="0029317F"/>
    <w:rsid w:val="002978F4"/>
    <w:rsid w:val="002B028D"/>
    <w:rsid w:val="002B435E"/>
    <w:rsid w:val="002C4DAE"/>
    <w:rsid w:val="002D6669"/>
    <w:rsid w:val="002E6541"/>
    <w:rsid w:val="002F5560"/>
    <w:rsid w:val="0030486B"/>
    <w:rsid w:val="003231B9"/>
    <w:rsid w:val="003275AC"/>
    <w:rsid w:val="00333D29"/>
    <w:rsid w:val="003409F4"/>
    <w:rsid w:val="00357185"/>
    <w:rsid w:val="003A1741"/>
    <w:rsid w:val="003C106D"/>
    <w:rsid w:val="003C475F"/>
    <w:rsid w:val="003E4132"/>
    <w:rsid w:val="003F678F"/>
    <w:rsid w:val="0042686F"/>
    <w:rsid w:val="004367CE"/>
    <w:rsid w:val="00443869"/>
    <w:rsid w:val="004712C6"/>
    <w:rsid w:val="00485610"/>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5F692D"/>
    <w:rsid w:val="00606660"/>
    <w:rsid w:val="006157A3"/>
    <w:rsid w:val="00620E60"/>
    <w:rsid w:val="0063315A"/>
    <w:rsid w:val="0065591D"/>
    <w:rsid w:val="00662BA2"/>
    <w:rsid w:val="00662C5A"/>
    <w:rsid w:val="00670AF5"/>
    <w:rsid w:val="006C1556"/>
    <w:rsid w:val="006C7075"/>
    <w:rsid w:val="006F177A"/>
    <w:rsid w:val="006F267F"/>
    <w:rsid w:val="006F63F7"/>
    <w:rsid w:val="006F6F03"/>
    <w:rsid w:val="00706D7A"/>
    <w:rsid w:val="00726AEC"/>
    <w:rsid w:val="00747DF8"/>
    <w:rsid w:val="00752F2D"/>
    <w:rsid w:val="007530CA"/>
    <w:rsid w:val="00791E7A"/>
    <w:rsid w:val="0079553D"/>
    <w:rsid w:val="007B01CC"/>
    <w:rsid w:val="007C7423"/>
    <w:rsid w:val="007D4F32"/>
    <w:rsid w:val="007E7C6C"/>
    <w:rsid w:val="007F6238"/>
    <w:rsid w:val="007F646C"/>
    <w:rsid w:val="00801FCD"/>
    <w:rsid w:val="00803D7E"/>
    <w:rsid w:val="00803F08"/>
    <w:rsid w:val="0081271B"/>
    <w:rsid w:val="008139F9"/>
    <w:rsid w:val="008235CD"/>
    <w:rsid w:val="00823A07"/>
    <w:rsid w:val="00835FEC"/>
    <w:rsid w:val="008513CB"/>
    <w:rsid w:val="00865F5C"/>
    <w:rsid w:val="00874D9C"/>
    <w:rsid w:val="00895A80"/>
    <w:rsid w:val="008A1810"/>
    <w:rsid w:val="008B5B5D"/>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045"/>
    <w:rsid w:val="00A723C7"/>
    <w:rsid w:val="00A80E11"/>
    <w:rsid w:val="00A81994"/>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017F4"/>
    <w:rsid w:val="00C23331"/>
    <w:rsid w:val="00C265DA"/>
    <w:rsid w:val="00C442F2"/>
    <w:rsid w:val="00C674FE"/>
    <w:rsid w:val="00C7297D"/>
    <w:rsid w:val="00C75633"/>
    <w:rsid w:val="00C8242E"/>
    <w:rsid w:val="00C82615"/>
    <w:rsid w:val="00C867DB"/>
    <w:rsid w:val="00C90ADD"/>
    <w:rsid w:val="00CA2A38"/>
    <w:rsid w:val="00CA50FF"/>
    <w:rsid w:val="00CB30F8"/>
    <w:rsid w:val="00CC3CD2"/>
    <w:rsid w:val="00CC43BE"/>
    <w:rsid w:val="00CD123C"/>
    <w:rsid w:val="00CD2085"/>
    <w:rsid w:val="00CE2EE1"/>
    <w:rsid w:val="00CF3FFD"/>
    <w:rsid w:val="00CF5ED3"/>
    <w:rsid w:val="00D0494C"/>
    <w:rsid w:val="00D14BEB"/>
    <w:rsid w:val="00D21C89"/>
    <w:rsid w:val="00D45542"/>
    <w:rsid w:val="00D77D0F"/>
    <w:rsid w:val="00D901F7"/>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77413"/>
    <w:rsid w:val="00E86CC9"/>
    <w:rsid w:val="00E96624"/>
    <w:rsid w:val="00EB2F50"/>
    <w:rsid w:val="00F126F1"/>
    <w:rsid w:val="00F2106A"/>
    <w:rsid w:val="00F36D8B"/>
    <w:rsid w:val="00F401D0"/>
    <w:rsid w:val="00F45F2B"/>
    <w:rsid w:val="00F57AE4"/>
    <w:rsid w:val="00F67150"/>
    <w:rsid w:val="00F84366"/>
    <w:rsid w:val="00F85089"/>
    <w:rsid w:val="00F85564"/>
    <w:rsid w:val="00F86CFA"/>
    <w:rsid w:val="00F92C66"/>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4EFF301-D063-4502-B07D-9939D86F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8-TDAG23-C-001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D/Capacity-Building/Pages/events/academia2017.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ademy.itu.int/index.php?option=com_content&amp;view=article&amp;id=178&amp;Itemid=687&amp;lang=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D%20(BDT)\PA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 ds:uri="http://purl.org/dc/dcmitype/"/>
    <ds:schemaRef ds:uri="996b2e75-67fd-4955-a3b0-5ab9934cb50b"/>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56F7BCE5-8AFB-4F7D-A550-9E336ACB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PA_TDAG-18.dotx</Template>
  <TotalTime>92</TotalTime>
  <Pages>4</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10</cp:revision>
  <cp:lastPrinted>2018-02-13T10:22:00Z</cp:lastPrinted>
  <dcterms:created xsi:type="dcterms:W3CDTF">2018-02-13T09:51:00Z</dcterms:created>
  <dcterms:modified xsi:type="dcterms:W3CDTF">2018-02-13T18:09:00Z</dcterms:modified>
  <cp:category>Conference document</cp:category>
</cp:coreProperties>
</file>