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Tr="00197169">
        <w:trPr>
          <w:cantSplit/>
          <w:trHeight w:val="1134"/>
        </w:trPr>
        <w:tc>
          <w:tcPr>
            <w:tcW w:w="6804" w:type="dxa"/>
          </w:tcPr>
          <w:p w:rsidR="001E252D" w:rsidRPr="001E252D" w:rsidRDefault="001E252D" w:rsidP="00B951D0">
            <w:pPr>
              <w:tabs>
                <w:tab w:val="clear" w:pos="1134"/>
              </w:tabs>
              <w:spacing w:before="20" w:after="48" w:line="240" w:lineRule="atLeast"/>
              <w:ind w:left="34"/>
              <w:rPr>
                <w:b/>
                <w:bCs/>
                <w:sz w:val="32"/>
                <w:szCs w:val="32"/>
              </w:rPr>
            </w:pPr>
            <w:r w:rsidRPr="001E252D">
              <w:rPr>
                <w:b/>
                <w:bCs/>
                <w:sz w:val="32"/>
                <w:szCs w:val="32"/>
              </w:rPr>
              <w:t>Telecommunication Development Advisory Group (TDAG)</w:t>
            </w:r>
          </w:p>
          <w:p w:rsidR="001E252D" w:rsidRPr="00421F93" w:rsidRDefault="001E252D" w:rsidP="00BC0382">
            <w:pPr>
              <w:tabs>
                <w:tab w:val="clear" w:pos="1134"/>
              </w:tabs>
              <w:spacing w:after="48" w:line="240" w:lineRule="atLeast"/>
              <w:ind w:left="34"/>
              <w:rPr>
                <w:b/>
                <w:bCs/>
                <w:sz w:val="28"/>
                <w:szCs w:val="28"/>
              </w:rPr>
            </w:pPr>
            <w:r>
              <w:rPr>
                <w:b/>
                <w:bCs/>
                <w:sz w:val="26"/>
                <w:szCs w:val="26"/>
              </w:rPr>
              <w:t>23</w:t>
            </w:r>
            <w:r w:rsidRPr="001E252D">
              <w:rPr>
                <w:b/>
                <w:bCs/>
                <w:sz w:val="26"/>
                <w:szCs w:val="26"/>
                <w:vertAlign w:val="superscript"/>
              </w:rPr>
              <w:t>rd</w:t>
            </w:r>
            <w:r>
              <w:rPr>
                <w:b/>
                <w:bCs/>
                <w:sz w:val="26"/>
                <w:szCs w:val="26"/>
              </w:rPr>
              <w:t xml:space="preserve"> Meeting, Geneva, 9-11 April 2018</w:t>
            </w:r>
          </w:p>
        </w:tc>
        <w:tc>
          <w:tcPr>
            <w:tcW w:w="3227" w:type="dxa"/>
          </w:tcPr>
          <w:p w:rsidR="001E252D" w:rsidRPr="00D96B4B" w:rsidRDefault="002B3C84" w:rsidP="00B951D0">
            <w:pPr>
              <w:spacing w:before="0" w:line="240" w:lineRule="atLeast"/>
              <w:jc w:val="right"/>
              <w:rPr>
                <w:rFonts w:cstheme="minorHAnsi"/>
              </w:rPr>
            </w:pPr>
            <w:bookmarkStart w:id="0" w:name="ditulogo"/>
            <w:bookmarkEnd w:id="0"/>
            <w:r w:rsidRPr="005D532E">
              <w:rPr>
                <w:noProof/>
                <w:lang w:val="en-US" w:eastAsia="zh-CN"/>
              </w:rPr>
              <w:drawing>
                <wp:inline distT="0" distB="0" distL="0" distR="0" wp14:anchorId="591A4FE9" wp14:editId="6178710A">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C324A8" w:rsidTr="00B951D0">
        <w:trPr>
          <w:cantSplit/>
        </w:trPr>
        <w:tc>
          <w:tcPr>
            <w:tcW w:w="6804" w:type="dxa"/>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shd w:val="clear" w:color="auto" w:fill="auto"/>
          </w:tcPr>
          <w:p w:rsidR="00D83BF5" w:rsidRPr="00D96B4B" w:rsidRDefault="00D83BF5" w:rsidP="00B951D0">
            <w:pPr>
              <w:pStyle w:val="Committee"/>
              <w:framePr w:hSpace="0" w:wrap="auto" w:hAnchor="text" w:yAlign="inline"/>
            </w:pPr>
            <w:bookmarkStart w:id="2" w:name="dnum" w:colFirst="1" w:colLast="1"/>
            <w:bookmarkStart w:id="3" w:name="dmeeting" w:colFirst="0" w:colLast="0"/>
            <w:bookmarkEnd w:id="1"/>
          </w:p>
        </w:tc>
        <w:tc>
          <w:tcPr>
            <w:tcW w:w="3227" w:type="dxa"/>
          </w:tcPr>
          <w:p w:rsidR="00D83BF5" w:rsidRPr="00E07105" w:rsidRDefault="00D83BF5" w:rsidP="006B547B">
            <w:pPr>
              <w:tabs>
                <w:tab w:val="left" w:pos="851"/>
              </w:tabs>
              <w:spacing w:before="0" w:line="240" w:lineRule="atLeast"/>
              <w:rPr>
                <w:rFonts w:cstheme="minorHAnsi"/>
                <w:szCs w:val="24"/>
                <w:lang w:val="es-ES_tradnl"/>
              </w:rPr>
            </w:pPr>
            <w:r w:rsidRPr="0084734D">
              <w:rPr>
                <w:b/>
                <w:bCs/>
                <w:szCs w:val="24"/>
                <w:lang w:val="es-ES_tradnl"/>
              </w:rPr>
              <w:t xml:space="preserve">Document </w:t>
            </w:r>
            <w:bookmarkStart w:id="4" w:name="DocRef1"/>
            <w:bookmarkEnd w:id="4"/>
            <w:r w:rsidR="001E252D">
              <w:rPr>
                <w:b/>
                <w:bCs/>
                <w:szCs w:val="24"/>
                <w:lang w:val="es-ES_tradnl"/>
              </w:rPr>
              <w:t>TDAG-18</w:t>
            </w:r>
            <w:r w:rsidRPr="00147DA1">
              <w:rPr>
                <w:b/>
                <w:bCs/>
                <w:szCs w:val="24"/>
                <w:lang w:val="es-ES_tradnl"/>
              </w:rPr>
              <w:t>/</w:t>
            </w:r>
            <w:r w:rsidR="006B547B">
              <w:rPr>
                <w:b/>
                <w:bCs/>
                <w:szCs w:val="24"/>
                <w:lang w:val="es-ES_tradnl"/>
              </w:rPr>
              <w:t>15</w:t>
            </w:r>
            <w:r w:rsidRPr="00147DA1">
              <w:rPr>
                <w:b/>
                <w:bCs/>
                <w:szCs w:val="24"/>
                <w:lang w:val="es-ES_tradnl"/>
              </w:rPr>
              <w:t>-E</w:t>
            </w:r>
          </w:p>
        </w:tc>
      </w:tr>
      <w:tr w:rsidR="00D83BF5" w:rsidRPr="00C324A8" w:rsidTr="00B951D0">
        <w:trPr>
          <w:cantSplit/>
          <w:trHeight w:val="23"/>
        </w:trPr>
        <w:tc>
          <w:tcPr>
            <w:tcW w:w="6804" w:type="dxa"/>
            <w:shd w:val="clear" w:color="auto" w:fill="auto"/>
          </w:tcPr>
          <w:p w:rsidR="00D83BF5" w:rsidRPr="00E07105"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D96B4B" w:rsidRDefault="00E84060" w:rsidP="00BA23FE">
            <w:pPr>
              <w:spacing w:before="0" w:line="240" w:lineRule="atLeast"/>
              <w:rPr>
                <w:rFonts w:cstheme="minorHAnsi"/>
                <w:szCs w:val="24"/>
              </w:rPr>
            </w:pPr>
            <w:r>
              <w:rPr>
                <w:b/>
                <w:bCs/>
                <w:szCs w:val="24"/>
                <w:lang w:val="fr-FR"/>
              </w:rPr>
              <w:t>27</w:t>
            </w:r>
            <w:r w:rsidR="00CC2954">
              <w:rPr>
                <w:b/>
                <w:bCs/>
                <w:szCs w:val="24"/>
                <w:lang w:val="fr-FR"/>
              </w:rPr>
              <w:t xml:space="preserve"> </w:t>
            </w:r>
            <w:r w:rsidR="00BA23FE">
              <w:rPr>
                <w:b/>
                <w:bCs/>
                <w:szCs w:val="24"/>
                <w:lang w:val="fr-FR"/>
              </w:rPr>
              <w:t>February</w:t>
            </w:r>
            <w:r w:rsidR="00CC2954">
              <w:rPr>
                <w:b/>
                <w:bCs/>
                <w:szCs w:val="24"/>
                <w:lang w:val="fr-FR"/>
              </w:rPr>
              <w:t xml:space="preserve"> 2018</w:t>
            </w:r>
          </w:p>
        </w:tc>
      </w:tr>
      <w:tr w:rsidR="00D83BF5" w:rsidRPr="00C324A8" w:rsidTr="00B951D0">
        <w:trPr>
          <w:cantSplit/>
          <w:trHeight w:val="23"/>
        </w:trPr>
        <w:tc>
          <w:tcPr>
            <w:tcW w:w="6804" w:type="dxa"/>
            <w:shd w:val="clear" w:color="auto" w:fill="auto"/>
          </w:tcPr>
          <w:p w:rsidR="00D83BF5" w:rsidRPr="00D96B4B" w:rsidRDefault="00D83BF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D83BF5" w:rsidRPr="00D96B4B" w:rsidRDefault="00D83BF5" w:rsidP="00B951D0">
            <w:pPr>
              <w:tabs>
                <w:tab w:val="left" w:pos="993"/>
              </w:tabs>
              <w:spacing w:before="0"/>
              <w:rPr>
                <w:rFonts w:cstheme="minorHAnsi"/>
                <w:b/>
                <w:szCs w:val="24"/>
              </w:rPr>
            </w:pPr>
            <w:r w:rsidRPr="00930F7E">
              <w:rPr>
                <w:b/>
                <w:bCs/>
                <w:szCs w:val="24"/>
                <w:lang w:val="fr-FR"/>
              </w:rPr>
              <w:t>Original:</w:t>
            </w:r>
            <w:r>
              <w:rPr>
                <w:b/>
                <w:bCs/>
                <w:szCs w:val="24"/>
                <w:lang w:val="fr-FR"/>
              </w:rPr>
              <w:t xml:space="preserve"> English</w:t>
            </w:r>
          </w:p>
        </w:tc>
      </w:tr>
      <w:tr w:rsidR="00D83BF5" w:rsidRPr="00C324A8" w:rsidTr="007F735C">
        <w:trPr>
          <w:cantSplit/>
          <w:trHeight w:val="23"/>
        </w:trPr>
        <w:tc>
          <w:tcPr>
            <w:tcW w:w="10031" w:type="dxa"/>
            <w:gridSpan w:val="2"/>
            <w:shd w:val="clear" w:color="auto" w:fill="auto"/>
          </w:tcPr>
          <w:p w:rsidR="00D83BF5" w:rsidRPr="00D83BF5" w:rsidRDefault="006B547B" w:rsidP="00B911B2">
            <w:pPr>
              <w:pStyle w:val="Source"/>
              <w:spacing w:before="240" w:after="240"/>
            </w:pPr>
            <w:r w:rsidRPr="006B547B">
              <w:t>Director, Telecommunication Development Bureau</w:t>
            </w:r>
          </w:p>
        </w:tc>
      </w:tr>
      <w:tr w:rsidR="00D83BF5" w:rsidRPr="00C324A8" w:rsidTr="007F735C">
        <w:trPr>
          <w:cantSplit/>
          <w:trHeight w:val="23"/>
        </w:trPr>
        <w:tc>
          <w:tcPr>
            <w:tcW w:w="10031" w:type="dxa"/>
            <w:gridSpan w:val="2"/>
            <w:shd w:val="clear" w:color="auto" w:fill="auto"/>
            <w:vAlign w:val="center"/>
          </w:tcPr>
          <w:p w:rsidR="00D83BF5" w:rsidRDefault="006B547B" w:rsidP="007F735C">
            <w:pPr>
              <w:pStyle w:val="Title1"/>
              <w:spacing w:before="120" w:after="120"/>
            </w:pPr>
            <w:r w:rsidRPr="006B547B">
              <w:rPr>
                <w:szCs w:val="28"/>
              </w:rPr>
              <w:t>ITU-D CALENDAR OF EVENTS IN 2018-2021</w:t>
            </w:r>
          </w:p>
        </w:tc>
      </w:tr>
      <w:tr w:rsidR="00D83BF5" w:rsidRPr="00C324A8" w:rsidTr="00B951D0">
        <w:trPr>
          <w:cantSplit/>
          <w:trHeight w:val="23"/>
        </w:trPr>
        <w:tc>
          <w:tcPr>
            <w:tcW w:w="10031" w:type="dxa"/>
            <w:gridSpan w:val="2"/>
            <w:tcBorders>
              <w:bottom w:val="single" w:sz="4" w:space="0" w:color="auto"/>
            </w:tcBorders>
            <w:shd w:val="clear" w:color="auto" w:fill="auto"/>
          </w:tcPr>
          <w:p w:rsidR="00D83BF5" w:rsidRPr="00B911B2" w:rsidRDefault="00D83BF5" w:rsidP="00B911B2">
            <w:pPr>
              <w:pStyle w:val="Title1"/>
              <w:spacing w:before="120" w:after="120"/>
              <w:jc w:val="left"/>
              <w:rPr>
                <w:rFonts w:cs="Times New Roman Bold"/>
                <w:caps w:val="0"/>
                <w:szCs w:val="28"/>
              </w:rPr>
            </w:pPr>
          </w:p>
        </w:tc>
      </w:tr>
      <w:tr w:rsidR="001E252D" w:rsidRPr="00C324A8" w:rsidTr="00B951D0">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1E252D" w:rsidRDefault="001E252D" w:rsidP="004E15AD">
            <w:pPr>
              <w:rPr>
                <w:b/>
                <w:bCs/>
                <w:szCs w:val="24"/>
              </w:rPr>
            </w:pPr>
            <w:r w:rsidRPr="00D9621A">
              <w:rPr>
                <w:b/>
                <w:bCs/>
                <w:szCs w:val="24"/>
              </w:rPr>
              <w:t>Summary:</w:t>
            </w:r>
          </w:p>
          <w:p w:rsidR="00596EA8" w:rsidRPr="00596EA8" w:rsidRDefault="00596EA8" w:rsidP="007E54AE">
            <w:pPr>
              <w:rPr>
                <w:szCs w:val="24"/>
              </w:rPr>
            </w:pPr>
            <w:r w:rsidRPr="00596EA8">
              <w:rPr>
                <w:szCs w:val="24"/>
              </w:rPr>
              <w:t xml:space="preserve">This </w:t>
            </w:r>
            <w:r w:rsidR="007E54AE">
              <w:rPr>
                <w:szCs w:val="24"/>
              </w:rPr>
              <w:t>document</w:t>
            </w:r>
            <w:r w:rsidR="007E54AE" w:rsidRPr="00596EA8">
              <w:rPr>
                <w:szCs w:val="24"/>
              </w:rPr>
              <w:t xml:space="preserve"> </w:t>
            </w:r>
            <w:r w:rsidRPr="00596EA8">
              <w:rPr>
                <w:szCs w:val="24"/>
              </w:rPr>
              <w:t>presents a calendar of ITU-D events planned for the years 2018-2021.</w:t>
            </w:r>
          </w:p>
          <w:p w:rsidR="006B547B" w:rsidRDefault="001E252D" w:rsidP="006B547B">
            <w:pPr>
              <w:rPr>
                <w:b/>
                <w:bCs/>
              </w:rPr>
            </w:pPr>
            <w:r w:rsidRPr="005E090D">
              <w:rPr>
                <w:b/>
                <w:bCs/>
              </w:rPr>
              <w:t>Action required:</w:t>
            </w:r>
          </w:p>
          <w:p w:rsidR="00596EA8" w:rsidRDefault="00596EA8" w:rsidP="008C08BC">
            <w:pPr>
              <w:rPr>
                <w:szCs w:val="24"/>
              </w:rPr>
            </w:pPr>
            <w:r w:rsidRPr="00596EA8">
              <w:rPr>
                <w:szCs w:val="24"/>
              </w:rPr>
              <w:t xml:space="preserve">TDAG is invited to note the </w:t>
            </w:r>
            <w:r w:rsidR="007E54AE">
              <w:rPr>
                <w:szCs w:val="24"/>
              </w:rPr>
              <w:t>document</w:t>
            </w:r>
            <w:r w:rsidR="007E54AE" w:rsidRPr="00596EA8">
              <w:rPr>
                <w:szCs w:val="24"/>
              </w:rPr>
              <w:t xml:space="preserve"> </w:t>
            </w:r>
            <w:r w:rsidRPr="00596EA8">
              <w:rPr>
                <w:szCs w:val="24"/>
              </w:rPr>
              <w:t xml:space="preserve">and provide </w:t>
            </w:r>
            <w:r w:rsidR="0069015A">
              <w:rPr>
                <w:szCs w:val="24"/>
              </w:rPr>
              <w:t>guidance</w:t>
            </w:r>
            <w:r w:rsidRPr="00596EA8">
              <w:rPr>
                <w:szCs w:val="24"/>
              </w:rPr>
              <w:t xml:space="preserve"> as deemed appropriate.</w:t>
            </w:r>
          </w:p>
          <w:p w:rsidR="001E252D" w:rsidRPr="00D9621A" w:rsidRDefault="001E252D" w:rsidP="000D4875">
            <w:pPr>
              <w:rPr>
                <w:b/>
                <w:bCs/>
                <w:szCs w:val="24"/>
              </w:rPr>
            </w:pPr>
            <w:r w:rsidRPr="00D9621A">
              <w:rPr>
                <w:b/>
                <w:bCs/>
                <w:szCs w:val="24"/>
              </w:rPr>
              <w:t>References:</w:t>
            </w:r>
          </w:p>
          <w:p w:rsidR="001E252D" w:rsidRPr="00D9621A" w:rsidRDefault="005C4EE3" w:rsidP="004730A6">
            <w:pPr>
              <w:spacing w:after="120"/>
            </w:pPr>
            <w:r>
              <w:t xml:space="preserve">PP </w:t>
            </w:r>
            <w:r w:rsidR="00596EA8" w:rsidRPr="00596EA8">
              <w:t xml:space="preserve">Resolutions 77 </w:t>
            </w:r>
            <w:r w:rsidR="00D201FD">
              <w:t>and 111 (Rev. Busan, 2014), WTDC</w:t>
            </w:r>
            <w:r w:rsidR="00596EA8" w:rsidRPr="00596EA8">
              <w:t xml:space="preserve"> Resolution</w:t>
            </w:r>
            <w:r>
              <w:t>s</w:t>
            </w:r>
            <w:r w:rsidR="00596EA8" w:rsidRPr="00596EA8">
              <w:t xml:space="preserve"> 1 </w:t>
            </w:r>
            <w:r>
              <w:t xml:space="preserve">and 31 </w:t>
            </w:r>
            <w:r w:rsidR="00596EA8" w:rsidRPr="00596EA8">
              <w:t>(Rev. Buenos Aires</w:t>
            </w:r>
            <w:r w:rsidR="00D749EA">
              <w:t>,</w:t>
            </w:r>
            <w:r w:rsidR="00596EA8" w:rsidRPr="00596EA8">
              <w:t xml:space="preserve"> 2017)</w:t>
            </w:r>
            <w:r w:rsidR="00596EA8">
              <w:t xml:space="preserve"> </w:t>
            </w:r>
            <w:r w:rsidR="00596EA8" w:rsidRPr="00596EA8">
              <w:t>and Council-18 Document 37.</w:t>
            </w:r>
          </w:p>
        </w:tc>
      </w:tr>
    </w:tbl>
    <w:bookmarkEnd w:id="7"/>
    <w:bookmarkEnd w:id="8"/>
    <w:p w:rsidR="00596EA8" w:rsidRPr="0092591F" w:rsidRDefault="00847688" w:rsidP="00CC2954">
      <w:pPr>
        <w:pStyle w:val="ListParagraph"/>
        <w:keepNext/>
        <w:tabs>
          <w:tab w:val="clear" w:pos="1871"/>
          <w:tab w:val="clear" w:pos="2268"/>
          <w:tab w:val="left" w:pos="567"/>
          <w:tab w:val="left" w:pos="1701"/>
        </w:tabs>
        <w:overflowPunct/>
        <w:autoSpaceDE/>
        <w:autoSpaceDN/>
        <w:adjustRightInd/>
        <w:spacing w:before="240"/>
        <w:ind w:left="0"/>
        <w:contextualSpacing w:val="0"/>
        <w:textAlignment w:val="auto"/>
        <w:rPr>
          <w:b/>
          <w:bCs/>
          <w:szCs w:val="24"/>
        </w:rPr>
      </w:pPr>
      <w:r>
        <w:rPr>
          <w:b/>
          <w:bCs/>
          <w:szCs w:val="24"/>
        </w:rPr>
        <w:t xml:space="preserve">1. </w:t>
      </w:r>
      <w:r w:rsidR="00CC2954">
        <w:rPr>
          <w:b/>
          <w:bCs/>
          <w:szCs w:val="24"/>
        </w:rPr>
        <w:tab/>
      </w:r>
      <w:r w:rsidR="00596EA8" w:rsidRPr="0092591F">
        <w:rPr>
          <w:b/>
          <w:bCs/>
          <w:szCs w:val="24"/>
        </w:rPr>
        <w:t>Background</w:t>
      </w:r>
    </w:p>
    <w:p w:rsidR="0092591F" w:rsidRPr="007E54AE" w:rsidRDefault="00372077" w:rsidP="00CC2954">
      <w:pPr>
        <w:tabs>
          <w:tab w:val="clear" w:pos="1871"/>
          <w:tab w:val="clear" w:pos="2268"/>
          <w:tab w:val="left" w:pos="567"/>
          <w:tab w:val="left" w:pos="1701"/>
        </w:tabs>
        <w:rPr>
          <w:szCs w:val="24"/>
        </w:rPr>
      </w:pPr>
      <w:r w:rsidRPr="007E54AE">
        <w:rPr>
          <w:szCs w:val="24"/>
        </w:rPr>
        <w:t xml:space="preserve">1.1 </w:t>
      </w:r>
      <w:r w:rsidR="00CC2954" w:rsidRPr="007E54AE">
        <w:rPr>
          <w:szCs w:val="24"/>
        </w:rPr>
        <w:tab/>
      </w:r>
      <w:r w:rsidR="005C4EE3" w:rsidRPr="007E54AE">
        <w:rPr>
          <w:szCs w:val="24"/>
        </w:rPr>
        <w:t xml:space="preserve">Resolution 77 (Rev. Busan, 2014) </w:t>
      </w:r>
      <w:r w:rsidR="002271FB" w:rsidRPr="007E54AE">
        <w:rPr>
          <w:szCs w:val="24"/>
        </w:rPr>
        <w:t xml:space="preserve">on the scheduling and duration of conferences, forums, assemblies and Council sessions of the Union </w:t>
      </w:r>
      <w:r w:rsidR="0092591F" w:rsidRPr="007E54AE">
        <w:rPr>
          <w:szCs w:val="24"/>
        </w:rPr>
        <w:t xml:space="preserve">stipulates the periods in which these events should be held for the years 2015-2019. </w:t>
      </w:r>
    </w:p>
    <w:p w:rsidR="00FE09B7" w:rsidRPr="007E54AE" w:rsidRDefault="00372077" w:rsidP="00CC2954">
      <w:pPr>
        <w:pStyle w:val="CEOMainDocParagraph"/>
        <w:tabs>
          <w:tab w:val="left" w:pos="567"/>
          <w:tab w:val="left" w:pos="1134"/>
          <w:tab w:val="left" w:pos="1701"/>
        </w:tabs>
        <w:spacing w:after="0"/>
        <w:rPr>
          <w:sz w:val="24"/>
          <w:szCs w:val="24"/>
        </w:rPr>
      </w:pPr>
      <w:r w:rsidRPr="004A39E5">
        <w:rPr>
          <w:sz w:val="24"/>
          <w:szCs w:val="24"/>
        </w:rPr>
        <w:t xml:space="preserve">1.2 </w:t>
      </w:r>
      <w:r w:rsidR="00CC2954" w:rsidRPr="004A39E5">
        <w:rPr>
          <w:sz w:val="24"/>
          <w:szCs w:val="24"/>
        </w:rPr>
        <w:tab/>
      </w:r>
      <w:r w:rsidR="005C4EE3" w:rsidRPr="004A39E5">
        <w:rPr>
          <w:sz w:val="24"/>
          <w:szCs w:val="24"/>
        </w:rPr>
        <w:t>Resolution 111</w:t>
      </w:r>
      <w:r w:rsidR="00A02AA7" w:rsidRPr="004A39E5">
        <w:rPr>
          <w:sz w:val="24"/>
          <w:szCs w:val="24"/>
        </w:rPr>
        <w:t xml:space="preserve"> (Rev. Busan, 2014)</w:t>
      </w:r>
      <w:r w:rsidR="004869DB" w:rsidRPr="007E54AE">
        <w:rPr>
          <w:sz w:val="24"/>
          <w:szCs w:val="24"/>
        </w:rPr>
        <w:t xml:space="preserve"> </w:t>
      </w:r>
      <w:r w:rsidR="002809D2" w:rsidRPr="007E54AE">
        <w:rPr>
          <w:sz w:val="24"/>
          <w:szCs w:val="24"/>
        </w:rPr>
        <w:t xml:space="preserve">on considering </w:t>
      </w:r>
      <w:r w:rsidR="00EB6497" w:rsidRPr="007E54AE">
        <w:rPr>
          <w:sz w:val="24"/>
          <w:szCs w:val="24"/>
        </w:rPr>
        <w:t xml:space="preserve">major religious </w:t>
      </w:r>
      <w:r w:rsidR="002809D2" w:rsidRPr="007E54AE">
        <w:rPr>
          <w:sz w:val="24"/>
          <w:szCs w:val="24"/>
        </w:rPr>
        <w:t>periods</w:t>
      </w:r>
      <w:r w:rsidR="00EB6497" w:rsidRPr="007E54AE">
        <w:rPr>
          <w:sz w:val="24"/>
          <w:szCs w:val="24"/>
        </w:rPr>
        <w:t xml:space="preserve"> </w:t>
      </w:r>
      <w:r w:rsidR="002809D2" w:rsidRPr="007E54AE">
        <w:rPr>
          <w:sz w:val="24"/>
          <w:szCs w:val="24"/>
        </w:rPr>
        <w:t xml:space="preserve">in the scheduling of ITU </w:t>
      </w:r>
      <w:r w:rsidR="002809D2" w:rsidRPr="004A39E5">
        <w:rPr>
          <w:sz w:val="24"/>
          <w:szCs w:val="24"/>
        </w:rPr>
        <w:t>conferences, forums, assemblies and Council sessions</w:t>
      </w:r>
      <w:r w:rsidR="002809D2" w:rsidRPr="007E54AE">
        <w:rPr>
          <w:sz w:val="24"/>
          <w:szCs w:val="24"/>
        </w:rPr>
        <w:t xml:space="preserve"> </w:t>
      </w:r>
      <w:r w:rsidR="004869DB" w:rsidRPr="007E54AE">
        <w:rPr>
          <w:sz w:val="24"/>
          <w:szCs w:val="24"/>
        </w:rPr>
        <w:t>calls on the Union and its Member States to make every effort, as far as practicable, to ensure that the planned period of any ITU conference does not conflict with what may be considered a major religious period by a Member State.</w:t>
      </w:r>
      <w:r w:rsidR="00014EA1" w:rsidRPr="007E54AE">
        <w:rPr>
          <w:sz w:val="24"/>
          <w:szCs w:val="24"/>
        </w:rPr>
        <w:t xml:space="preserve"> </w:t>
      </w:r>
      <w:r w:rsidR="005C4EE3" w:rsidRPr="004A39E5">
        <w:rPr>
          <w:sz w:val="24"/>
          <w:szCs w:val="24"/>
        </w:rPr>
        <w:t>Resolution 1</w:t>
      </w:r>
      <w:hyperlink w:anchor="_Toc500930600" w:history="1">
        <w:r w:rsidR="00B33791" w:rsidRPr="004A39E5">
          <w:rPr>
            <w:rStyle w:val="Hyperlink"/>
            <w:noProof/>
            <w:color w:val="auto"/>
            <w:sz w:val="24"/>
            <w:szCs w:val="24"/>
            <w:u w:val="none"/>
          </w:rPr>
          <w:t xml:space="preserve"> (Rev. Buenos Aires, 2017) </w:t>
        </w:r>
      </w:hyperlink>
      <w:r w:rsidR="00FE09B7" w:rsidRPr="004A39E5">
        <w:rPr>
          <w:rStyle w:val="Hyperlink"/>
          <w:noProof/>
          <w:color w:val="auto"/>
          <w:sz w:val="24"/>
          <w:szCs w:val="24"/>
          <w:u w:val="none"/>
        </w:rPr>
        <w:t>on the r</w:t>
      </w:r>
      <w:hyperlink w:anchor="_Toc500930601" w:history="1">
        <w:r w:rsidR="00B33791" w:rsidRPr="004A39E5">
          <w:rPr>
            <w:rStyle w:val="Hyperlink"/>
            <w:noProof/>
            <w:color w:val="auto"/>
            <w:sz w:val="24"/>
            <w:szCs w:val="24"/>
            <w:u w:val="none"/>
          </w:rPr>
          <w:t>ules of procedure of the ITU Telecommunication Development Sector</w:t>
        </w:r>
      </w:hyperlink>
      <w:r w:rsidR="004869DB" w:rsidRPr="004A39E5">
        <w:rPr>
          <w:noProof/>
          <w:sz w:val="24"/>
          <w:szCs w:val="24"/>
        </w:rPr>
        <w:t xml:space="preserve"> </w:t>
      </w:r>
      <w:r w:rsidR="005431E0" w:rsidRPr="004A39E5">
        <w:rPr>
          <w:noProof/>
          <w:sz w:val="24"/>
          <w:szCs w:val="24"/>
        </w:rPr>
        <w:t xml:space="preserve">(ITU-D) </w:t>
      </w:r>
      <w:r w:rsidR="0090084D" w:rsidRPr="004A39E5">
        <w:rPr>
          <w:noProof/>
          <w:sz w:val="24"/>
          <w:szCs w:val="24"/>
        </w:rPr>
        <w:t xml:space="preserve">reiterates this </w:t>
      </w:r>
      <w:r w:rsidR="00DE2ECD" w:rsidRPr="004A39E5">
        <w:rPr>
          <w:noProof/>
          <w:sz w:val="24"/>
          <w:szCs w:val="24"/>
        </w:rPr>
        <w:t>call</w:t>
      </w:r>
      <w:r w:rsidR="00014EA1" w:rsidRPr="004A39E5">
        <w:rPr>
          <w:noProof/>
          <w:sz w:val="24"/>
          <w:szCs w:val="24"/>
        </w:rPr>
        <w:t xml:space="preserve">. </w:t>
      </w:r>
    </w:p>
    <w:p w:rsidR="00921257" w:rsidRPr="007E54AE" w:rsidRDefault="00372077" w:rsidP="00CC2954">
      <w:pPr>
        <w:pStyle w:val="Call"/>
        <w:tabs>
          <w:tab w:val="clear" w:pos="1871"/>
          <w:tab w:val="clear" w:pos="2268"/>
          <w:tab w:val="left" w:pos="567"/>
          <w:tab w:val="left" w:pos="1701"/>
        </w:tabs>
        <w:spacing w:before="120"/>
        <w:ind w:left="0"/>
        <w:rPr>
          <w:i w:val="0"/>
          <w:iCs/>
          <w:szCs w:val="24"/>
        </w:rPr>
      </w:pPr>
      <w:r w:rsidRPr="007E54AE">
        <w:rPr>
          <w:i w:val="0"/>
          <w:iCs/>
          <w:szCs w:val="24"/>
        </w:rPr>
        <w:t xml:space="preserve">1.4 </w:t>
      </w:r>
      <w:r w:rsidR="00CC2954" w:rsidRPr="007E54AE">
        <w:rPr>
          <w:i w:val="0"/>
          <w:iCs/>
          <w:szCs w:val="24"/>
        </w:rPr>
        <w:tab/>
      </w:r>
      <w:r w:rsidR="00921257" w:rsidRPr="007E54AE">
        <w:rPr>
          <w:i w:val="0"/>
          <w:iCs/>
          <w:szCs w:val="24"/>
        </w:rPr>
        <w:t xml:space="preserve">Resolution 31 (Rev. Buenos Aires, 2017) </w:t>
      </w:r>
      <w:r w:rsidR="00DE2ECD" w:rsidRPr="007E54AE">
        <w:rPr>
          <w:i w:val="0"/>
          <w:iCs/>
          <w:szCs w:val="24"/>
        </w:rPr>
        <w:t>instructs the Director of BDT</w:t>
      </w:r>
      <w:r w:rsidR="00671DCD" w:rsidRPr="007E54AE">
        <w:rPr>
          <w:i w:val="0"/>
          <w:iCs/>
          <w:szCs w:val="24"/>
        </w:rPr>
        <w:t xml:space="preserve"> </w:t>
      </w:r>
      <w:r w:rsidR="00921257" w:rsidRPr="007E54AE">
        <w:rPr>
          <w:i w:val="0"/>
          <w:iCs/>
          <w:szCs w:val="24"/>
        </w:rPr>
        <w:t>to organize, within the financial limitations, one regional preparatory meeting per region for each of the</w:t>
      </w:r>
      <w:r w:rsidR="006E7511" w:rsidRPr="007E54AE">
        <w:rPr>
          <w:i w:val="0"/>
          <w:iCs/>
          <w:szCs w:val="24"/>
        </w:rPr>
        <w:t xml:space="preserve"> </w:t>
      </w:r>
      <w:r w:rsidR="006E7511" w:rsidRPr="004A39E5">
        <w:rPr>
          <w:i w:val="0"/>
          <w:iCs/>
          <w:snapToGrid w:val="0"/>
          <w:szCs w:val="24"/>
          <w:lang w:eastAsia="fr-FR"/>
        </w:rPr>
        <w:t>the</w:t>
      </w:r>
      <w:r w:rsidR="006E7511" w:rsidRPr="004A39E5">
        <w:rPr>
          <w:snapToGrid w:val="0"/>
          <w:szCs w:val="24"/>
          <w:lang w:eastAsia="fr-FR"/>
        </w:rPr>
        <w:t xml:space="preserve"> </w:t>
      </w:r>
      <w:r w:rsidR="006E7511" w:rsidRPr="004A39E5">
        <w:rPr>
          <w:i w:val="0"/>
          <w:iCs/>
          <w:snapToGrid w:val="0"/>
          <w:szCs w:val="24"/>
          <w:lang w:eastAsia="fr-FR"/>
        </w:rPr>
        <w:t>six</w:t>
      </w:r>
      <w:r w:rsidR="006E7511" w:rsidRPr="004A39E5">
        <w:rPr>
          <w:rStyle w:val="FootnoteReference"/>
          <w:i w:val="0"/>
          <w:iCs/>
          <w:snapToGrid w:val="0"/>
          <w:sz w:val="24"/>
          <w:szCs w:val="24"/>
          <w:lang w:eastAsia="fr-FR"/>
        </w:rPr>
        <w:footnoteReference w:customMarkFollows="1" w:id="1"/>
        <w:t>1</w:t>
      </w:r>
      <w:r w:rsidR="006E7511" w:rsidRPr="004A39E5">
        <w:rPr>
          <w:i w:val="0"/>
          <w:iCs/>
          <w:snapToGrid w:val="0"/>
          <w:szCs w:val="24"/>
          <w:lang w:eastAsia="fr-FR"/>
        </w:rPr>
        <w:t xml:space="preserve"> regions</w:t>
      </w:r>
      <w:r w:rsidR="00921257" w:rsidRPr="007E54AE">
        <w:rPr>
          <w:i w:val="0"/>
          <w:iCs/>
          <w:szCs w:val="24"/>
        </w:rPr>
        <w:t xml:space="preserve"> (if the relevant region deems appropriate)</w:t>
      </w:r>
      <w:r w:rsidR="008F295A" w:rsidRPr="007E54AE">
        <w:rPr>
          <w:i w:val="0"/>
          <w:iCs/>
          <w:szCs w:val="24"/>
        </w:rPr>
        <w:t>.</w:t>
      </w:r>
    </w:p>
    <w:p w:rsidR="00921257" w:rsidRPr="00372077" w:rsidRDefault="00692F57" w:rsidP="00CC2954">
      <w:pPr>
        <w:keepNext/>
        <w:tabs>
          <w:tab w:val="clear" w:pos="1871"/>
          <w:tab w:val="clear" w:pos="2268"/>
          <w:tab w:val="left" w:pos="567"/>
          <w:tab w:val="left" w:pos="1701"/>
        </w:tabs>
        <w:overflowPunct/>
        <w:autoSpaceDE/>
        <w:autoSpaceDN/>
        <w:adjustRightInd/>
        <w:spacing w:before="240"/>
        <w:textAlignment w:val="auto"/>
        <w:rPr>
          <w:b/>
          <w:bCs/>
          <w:noProof/>
        </w:rPr>
      </w:pPr>
      <w:r>
        <w:rPr>
          <w:b/>
          <w:bCs/>
          <w:noProof/>
        </w:rPr>
        <w:t>2.</w:t>
      </w:r>
      <w:r w:rsidR="00847688">
        <w:rPr>
          <w:b/>
          <w:bCs/>
          <w:noProof/>
        </w:rPr>
        <w:t xml:space="preserve"> </w:t>
      </w:r>
      <w:r w:rsidR="00CC2954">
        <w:rPr>
          <w:b/>
          <w:bCs/>
          <w:noProof/>
        </w:rPr>
        <w:tab/>
      </w:r>
      <w:r w:rsidR="00372077" w:rsidRPr="00372077">
        <w:rPr>
          <w:b/>
          <w:bCs/>
          <w:noProof/>
        </w:rPr>
        <w:t xml:space="preserve">Overview of </w:t>
      </w:r>
      <w:r>
        <w:rPr>
          <w:b/>
          <w:bCs/>
          <w:noProof/>
        </w:rPr>
        <w:t xml:space="preserve">ITU-D </w:t>
      </w:r>
      <w:r w:rsidR="00372077" w:rsidRPr="00372077">
        <w:rPr>
          <w:b/>
          <w:bCs/>
          <w:noProof/>
        </w:rPr>
        <w:t>planned events</w:t>
      </w:r>
    </w:p>
    <w:p w:rsidR="005431E0" w:rsidRDefault="00372077">
      <w:pPr>
        <w:tabs>
          <w:tab w:val="clear" w:pos="1871"/>
          <w:tab w:val="clear" w:pos="2268"/>
          <w:tab w:val="left" w:pos="567"/>
          <w:tab w:val="left" w:pos="1701"/>
        </w:tabs>
        <w:rPr>
          <w:szCs w:val="24"/>
        </w:rPr>
      </w:pPr>
      <w:r>
        <w:rPr>
          <w:szCs w:val="24"/>
        </w:rPr>
        <w:t>2.1</w:t>
      </w:r>
      <w:r w:rsidR="00847688">
        <w:rPr>
          <w:szCs w:val="24"/>
        </w:rPr>
        <w:t xml:space="preserve"> </w:t>
      </w:r>
      <w:r w:rsidR="00CC2954">
        <w:rPr>
          <w:szCs w:val="24"/>
        </w:rPr>
        <w:tab/>
      </w:r>
      <w:r w:rsidR="00596EA8" w:rsidRPr="0035064B">
        <w:rPr>
          <w:szCs w:val="24"/>
        </w:rPr>
        <w:t xml:space="preserve">This </w:t>
      </w:r>
      <w:r w:rsidR="007E54AE">
        <w:rPr>
          <w:szCs w:val="24"/>
        </w:rPr>
        <w:t>document</w:t>
      </w:r>
      <w:r w:rsidR="007E54AE" w:rsidRPr="0035064B">
        <w:rPr>
          <w:szCs w:val="24"/>
        </w:rPr>
        <w:t xml:space="preserve"> </w:t>
      </w:r>
      <w:r w:rsidR="00596EA8" w:rsidRPr="0035064B">
        <w:rPr>
          <w:szCs w:val="24"/>
        </w:rPr>
        <w:t>presents a calendar of ITU-D events planned for the years 2018-2021</w:t>
      </w:r>
      <w:r w:rsidR="00692F57">
        <w:rPr>
          <w:szCs w:val="24"/>
        </w:rPr>
        <w:t>,</w:t>
      </w:r>
      <w:r w:rsidR="00FE33D7">
        <w:rPr>
          <w:szCs w:val="24"/>
        </w:rPr>
        <w:t xml:space="preserve"> guided by the principles stipulated</w:t>
      </w:r>
      <w:r w:rsidR="00671DCD">
        <w:rPr>
          <w:szCs w:val="24"/>
        </w:rPr>
        <w:t xml:space="preserve"> in the resolutions cited above and coordinated with the other two </w:t>
      </w:r>
      <w:r w:rsidR="005431E0">
        <w:rPr>
          <w:szCs w:val="24"/>
        </w:rPr>
        <w:t xml:space="preserve">ITU </w:t>
      </w:r>
      <w:r w:rsidR="00671DCD">
        <w:rPr>
          <w:szCs w:val="24"/>
        </w:rPr>
        <w:lastRenderedPageBreak/>
        <w:t>Sectors</w:t>
      </w:r>
      <w:r w:rsidR="0073325D">
        <w:rPr>
          <w:szCs w:val="24"/>
        </w:rPr>
        <w:t xml:space="preserve"> (Radiocommunication and Telecommunication Standardization)</w:t>
      </w:r>
      <w:r w:rsidR="00692F57">
        <w:rPr>
          <w:szCs w:val="24"/>
        </w:rPr>
        <w:t>,</w:t>
      </w:r>
      <w:r w:rsidR="00671DCD">
        <w:rPr>
          <w:szCs w:val="24"/>
        </w:rPr>
        <w:t xml:space="preserve"> the General Secretariat and the Telecom secretariat.</w:t>
      </w:r>
      <w:r w:rsidR="00FE33D7">
        <w:rPr>
          <w:szCs w:val="24"/>
        </w:rPr>
        <w:t xml:space="preserve"> </w:t>
      </w:r>
    </w:p>
    <w:p w:rsidR="00596EA8" w:rsidRPr="001E0BB2" w:rsidRDefault="005431E0" w:rsidP="00CC2954">
      <w:pPr>
        <w:tabs>
          <w:tab w:val="clear" w:pos="1871"/>
          <w:tab w:val="clear" w:pos="2268"/>
          <w:tab w:val="left" w:pos="567"/>
          <w:tab w:val="left" w:pos="1701"/>
        </w:tabs>
        <w:rPr>
          <w:szCs w:val="24"/>
          <w:lang w:val="en-US"/>
        </w:rPr>
      </w:pPr>
      <w:r>
        <w:rPr>
          <w:szCs w:val="24"/>
        </w:rPr>
        <w:t xml:space="preserve">2.2 </w:t>
      </w:r>
      <w:r w:rsidR="00CC2954">
        <w:rPr>
          <w:szCs w:val="24"/>
        </w:rPr>
        <w:tab/>
      </w:r>
      <w:r w:rsidR="00FE33D7">
        <w:rPr>
          <w:szCs w:val="24"/>
        </w:rPr>
        <w:t xml:space="preserve">The events </w:t>
      </w:r>
      <w:r>
        <w:rPr>
          <w:szCs w:val="24"/>
        </w:rPr>
        <w:t xml:space="preserve">in the calendar </w:t>
      </w:r>
      <w:r w:rsidR="00596EA8" w:rsidRPr="0035064B">
        <w:rPr>
          <w:szCs w:val="24"/>
        </w:rPr>
        <w:t xml:space="preserve">range from </w:t>
      </w:r>
      <w:r w:rsidR="00692F57">
        <w:rPr>
          <w:rFonts w:eastAsia="SimSun"/>
          <w:szCs w:val="24"/>
        </w:rPr>
        <w:t>TDAG meetings</w:t>
      </w:r>
      <w:r w:rsidR="00596EA8" w:rsidRPr="0035064B">
        <w:rPr>
          <w:rFonts w:eastAsia="SimSun"/>
          <w:szCs w:val="24"/>
        </w:rPr>
        <w:t xml:space="preserve">, </w:t>
      </w:r>
      <w:r w:rsidR="00596EA8" w:rsidRPr="0035064B">
        <w:rPr>
          <w:rFonts w:eastAsia="SimSun"/>
          <w:szCs w:val="24"/>
          <w:lang w:val="en-US"/>
        </w:rPr>
        <w:t>ITU-D study group</w:t>
      </w:r>
      <w:r w:rsidR="0073325D">
        <w:rPr>
          <w:rFonts w:eastAsia="SimSun"/>
          <w:szCs w:val="24"/>
          <w:lang w:val="en-US"/>
        </w:rPr>
        <w:t xml:space="preserve"> and </w:t>
      </w:r>
      <w:r w:rsidR="00671DCD">
        <w:rPr>
          <w:rFonts w:eastAsia="SimSun"/>
          <w:szCs w:val="24"/>
          <w:lang w:val="en-US"/>
        </w:rPr>
        <w:t>rapporteur group</w:t>
      </w:r>
      <w:r w:rsidR="0073325D">
        <w:rPr>
          <w:rFonts w:eastAsia="SimSun"/>
          <w:szCs w:val="24"/>
          <w:lang w:val="en-US"/>
        </w:rPr>
        <w:t xml:space="preserve"> meetings</w:t>
      </w:r>
      <w:r w:rsidR="00671DCD">
        <w:rPr>
          <w:rFonts w:eastAsia="SimSun"/>
          <w:szCs w:val="24"/>
          <w:lang w:val="en-US"/>
        </w:rPr>
        <w:t xml:space="preserve"> </w:t>
      </w:r>
      <w:r w:rsidR="00596EA8" w:rsidRPr="0035064B">
        <w:rPr>
          <w:rFonts w:eastAsia="SimSun"/>
          <w:szCs w:val="24"/>
          <w:lang w:val="en-US"/>
        </w:rPr>
        <w:t xml:space="preserve">to </w:t>
      </w:r>
      <w:r w:rsidR="00596EA8" w:rsidRPr="0035064B">
        <w:rPr>
          <w:szCs w:val="24"/>
          <w:lang w:val="en-US"/>
        </w:rPr>
        <w:t xml:space="preserve">the </w:t>
      </w:r>
      <w:r w:rsidR="00596EA8" w:rsidRPr="0035064B">
        <w:rPr>
          <w:szCs w:val="24"/>
        </w:rPr>
        <w:t>annual Global Symposium for Regulators (GSR), the annual World Telecommunication/ICT Indicator</w:t>
      </w:r>
      <w:r w:rsidR="005C4EE3">
        <w:rPr>
          <w:szCs w:val="24"/>
        </w:rPr>
        <w:t xml:space="preserve">s Symposium (WTIS), </w:t>
      </w:r>
      <w:r w:rsidR="0073325D">
        <w:rPr>
          <w:szCs w:val="24"/>
        </w:rPr>
        <w:t xml:space="preserve">the Global Capacity Building Symposium (CBS), the Global Forum on Emergency Telecommunmications (GET), </w:t>
      </w:r>
      <w:r w:rsidR="001E0BB2" w:rsidRPr="005160A7">
        <w:rPr>
          <w:szCs w:val="24"/>
        </w:rPr>
        <w:t>Meeting</w:t>
      </w:r>
      <w:r w:rsidR="008322F8">
        <w:rPr>
          <w:szCs w:val="24"/>
        </w:rPr>
        <w:t>s</w:t>
      </w:r>
      <w:r w:rsidR="001E0BB2" w:rsidRPr="005160A7">
        <w:rPr>
          <w:szCs w:val="24"/>
        </w:rPr>
        <w:t xml:space="preserve"> of Senior Experts on Financing Information and Communication Technology Projects, </w:t>
      </w:r>
      <w:r w:rsidR="001E0BB2" w:rsidRPr="005160A7">
        <w:rPr>
          <w:szCs w:val="24"/>
          <w:lang w:val="en-US"/>
        </w:rPr>
        <w:t xml:space="preserve">Meetings of the Expert Group on ICT Household Indicators and of the Expert Group on Telecommunication/ICT Indicators, </w:t>
      </w:r>
      <w:r w:rsidR="0073325D">
        <w:rPr>
          <w:szCs w:val="24"/>
        </w:rPr>
        <w:t>to</w:t>
      </w:r>
      <w:r w:rsidR="005C4EE3">
        <w:rPr>
          <w:szCs w:val="24"/>
        </w:rPr>
        <w:t xml:space="preserve"> </w:t>
      </w:r>
      <w:r w:rsidR="001E0BB2">
        <w:rPr>
          <w:szCs w:val="24"/>
        </w:rPr>
        <w:t xml:space="preserve">the next </w:t>
      </w:r>
      <w:r w:rsidR="005C4EE3">
        <w:rPr>
          <w:szCs w:val="24"/>
        </w:rPr>
        <w:t>World Telecommunication Development Conference</w:t>
      </w:r>
      <w:r w:rsidR="008322F8">
        <w:rPr>
          <w:szCs w:val="24"/>
        </w:rPr>
        <w:t xml:space="preserve"> in 2021 (WTDC-21).</w:t>
      </w:r>
    </w:p>
    <w:p w:rsidR="0013666F" w:rsidRPr="007E54AE" w:rsidRDefault="00847688">
      <w:pPr>
        <w:tabs>
          <w:tab w:val="clear" w:pos="1871"/>
          <w:tab w:val="clear" w:pos="2268"/>
          <w:tab w:val="left" w:pos="567"/>
          <w:tab w:val="left" w:pos="1701"/>
        </w:tabs>
        <w:rPr>
          <w:szCs w:val="24"/>
          <w:lang w:val="en-US"/>
        </w:rPr>
      </w:pPr>
      <w:r w:rsidRPr="007E54AE">
        <w:rPr>
          <w:szCs w:val="24"/>
        </w:rPr>
        <w:t>2.</w:t>
      </w:r>
      <w:r w:rsidR="005431E0" w:rsidRPr="007E54AE">
        <w:rPr>
          <w:szCs w:val="24"/>
        </w:rPr>
        <w:t>3</w:t>
      </w:r>
      <w:r w:rsidRPr="007E54AE">
        <w:rPr>
          <w:szCs w:val="24"/>
        </w:rPr>
        <w:t xml:space="preserve"> </w:t>
      </w:r>
      <w:r w:rsidR="00CC2954" w:rsidRPr="007E54AE">
        <w:rPr>
          <w:szCs w:val="24"/>
        </w:rPr>
        <w:tab/>
      </w:r>
      <w:r w:rsidR="001E0BB2" w:rsidRPr="007E54AE">
        <w:rPr>
          <w:szCs w:val="24"/>
        </w:rPr>
        <w:t>The ITU-D calendar of events is</w:t>
      </w:r>
      <w:r w:rsidR="00A36B52" w:rsidRPr="007E54AE">
        <w:rPr>
          <w:szCs w:val="24"/>
        </w:rPr>
        <w:t xml:space="preserve"> </w:t>
      </w:r>
      <w:r w:rsidR="002C1501" w:rsidRPr="007E54AE">
        <w:rPr>
          <w:szCs w:val="24"/>
        </w:rPr>
        <w:t>facilitat</w:t>
      </w:r>
      <w:r w:rsidR="001E0BB2" w:rsidRPr="007E54AE">
        <w:rPr>
          <w:szCs w:val="24"/>
        </w:rPr>
        <w:t>ing</w:t>
      </w:r>
      <w:r w:rsidR="00596EA8" w:rsidRPr="007E54AE">
        <w:rPr>
          <w:szCs w:val="24"/>
        </w:rPr>
        <w:t xml:space="preserve"> collaboration and coordination of </w:t>
      </w:r>
      <w:r w:rsidR="00A36B52" w:rsidRPr="007E54AE">
        <w:rPr>
          <w:szCs w:val="24"/>
        </w:rPr>
        <w:t xml:space="preserve">the </w:t>
      </w:r>
      <w:r w:rsidR="00596EA8" w:rsidRPr="007E54AE">
        <w:rPr>
          <w:szCs w:val="24"/>
        </w:rPr>
        <w:t xml:space="preserve">various </w:t>
      </w:r>
      <w:r w:rsidR="00A36B52" w:rsidRPr="007E54AE">
        <w:rPr>
          <w:szCs w:val="24"/>
        </w:rPr>
        <w:t xml:space="preserve">ITU </w:t>
      </w:r>
      <w:r w:rsidR="00596EA8" w:rsidRPr="007E54AE">
        <w:rPr>
          <w:szCs w:val="24"/>
        </w:rPr>
        <w:t>meetings and events</w:t>
      </w:r>
      <w:r w:rsidR="00A36B52" w:rsidRPr="007E54AE">
        <w:rPr>
          <w:szCs w:val="24"/>
        </w:rPr>
        <w:t>.</w:t>
      </w:r>
      <w:r w:rsidR="00596EA8" w:rsidRPr="007E54AE">
        <w:rPr>
          <w:szCs w:val="24"/>
        </w:rPr>
        <w:t xml:space="preserve"> These yearly event calendars are available to members on the </w:t>
      </w:r>
      <w:hyperlink r:id="rId13" w:history="1">
        <w:r w:rsidR="00596EA8" w:rsidRPr="007E54AE">
          <w:rPr>
            <w:rStyle w:val="Hyperlink"/>
            <w:szCs w:val="24"/>
          </w:rPr>
          <w:t>TDAG homepage</w:t>
        </w:r>
      </w:hyperlink>
      <w:r w:rsidR="00596EA8" w:rsidRPr="007E54AE">
        <w:rPr>
          <w:szCs w:val="24"/>
        </w:rPr>
        <w:t xml:space="preserve"> </w:t>
      </w:r>
      <w:r w:rsidR="00A36B52" w:rsidRPr="007E54AE">
        <w:rPr>
          <w:szCs w:val="24"/>
        </w:rPr>
        <w:t xml:space="preserve">and are updated regularly. They are available </w:t>
      </w:r>
      <w:r w:rsidR="00596EA8" w:rsidRPr="007E54AE">
        <w:rPr>
          <w:szCs w:val="24"/>
        </w:rPr>
        <w:t xml:space="preserve">in a printer-friendly format (see </w:t>
      </w:r>
      <w:r w:rsidR="00596EA8" w:rsidRPr="007E54AE">
        <w:rPr>
          <w:b/>
          <w:bCs/>
          <w:szCs w:val="24"/>
        </w:rPr>
        <w:t>Annex</w:t>
      </w:r>
      <w:r w:rsidR="007E54AE">
        <w:rPr>
          <w:b/>
          <w:bCs/>
          <w:szCs w:val="24"/>
        </w:rPr>
        <w:t> </w:t>
      </w:r>
      <w:r w:rsidR="00596EA8" w:rsidRPr="007E54AE">
        <w:rPr>
          <w:b/>
          <w:bCs/>
          <w:szCs w:val="24"/>
        </w:rPr>
        <w:t>1</w:t>
      </w:r>
      <w:r w:rsidR="00596EA8" w:rsidRPr="007E54AE">
        <w:rPr>
          <w:szCs w:val="24"/>
        </w:rPr>
        <w:t xml:space="preserve"> for current versions).</w:t>
      </w:r>
      <w:r w:rsidR="00671DCD" w:rsidRPr="007E54AE">
        <w:rPr>
          <w:szCs w:val="24"/>
        </w:rPr>
        <w:t xml:space="preserve"> </w:t>
      </w:r>
      <w:r w:rsidR="002016D8" w:rsidRPr="007E54AE">
        <w:rPr>
          <w:szCs w:val="24"/>
        </w:rPr>
        <w:t xml:space="preserve">In scheduling these events, due attention has been paid to </w:t>
      </w:r>
      <w:r w:rsidR="002016D8" w:rsidRPr="007E54AE">
        <w:rPr>
          <w:szCs w:val="24"/>
          <w:lang w:val="en-US"/>
        </w:rPr>
        <w:t>the importance of including all delegates in the crucial work of ITU</w:t>
      </w:r>
      <w:r w:rsidR="00A36B52" w:rsidRPr="007E54AE">
        <w:rPr>
          <w:szCs w:val="24"/>
          <w:lang w:val="en-US"/>
        </w:rPr>
        <w:t xml:space="preserve"> events</w:t>
      </w:r>
      <w:r w:rsidR="00692F57" w:rsidRPr="007E54AE">
        <w:rPr>
          <w:szCs w:val="24"/>
          <w:lang w:val="en-US"/>
        </w:rPr>
        <w:t>.</w:t>
      </w:r>
      <w:r w:rsidR="0013666F" w:rsidRPr="007E54AE">
        <w:rPr>
          <w:szCs w:val="24"/>
          <w:lang w:val="en-US"/>
        </w:rPr>
        <w:t xml:space="preserve"> </w:t>
      </w:r>
    </w:p>
    <w:p w:rsidR="0013666F" w:rsidRPr="007E54AE" w:rsidRDefault="00847688" w:rsidP="00CC2954">
      <w:pPr>
        <w:tabs>
          <w:tab w:val="clear" w:pos="1871"/>
          <w:tab w:val="clear" w:pos="2268"/>
          <w:tab w:val="left" w:pos="567"/>
          <w:tab w:val="left" w:pos="1701"/>
        </w:tabs>
        <w:rPr>
          <w:szCs w:val="24"/>
        </w:rPr>
      </w:pPr>
      <w:r w:rsidRPr="007E54AE">
        <w:rPr>
          <w:szCs w:val="24"/>
          <w:lang w:val="en-US"/>
        </w:rPr>
        <w:t>2.</w:t>
      </w:r>
      <w:r w:rsidR="005431E0" w:rsidRPr="007E54AE">
        <w:rPr>
          <w:szCs w:val="24"/>
          <w:lang w:val="en-US"/>
        </w:rPr>
        <w:t>4</w:t>
      </w:r>
      <w:r w:rsidRPr="007E54AE">
        <w:rPr>
          <w:szCs w:val="24"/>
          <w:lang w:val="en-US"/>
        </w:rPr>
        <w:t xml:space="preserve"> </w:t>
      </w:r>
      <w:r w:rsidR="00CC2954" w:rsidRPr="007E54AE">
        <w:rPr>
          <w:szCs w:val="24"/>
          <w:lang w:val="en-US"/>
        </w:rPr>
        <w:tab/>
      </w:r>
      <w:r w:rsidR="0013666F" w:rsidRPr="007E54AE">
        <w:rPr>
          <w:szCs w:val="24"/>
        </w:rPr>
        <w:t>The events outlined above are also reflected in Document 37 of Council-18 on the shculde of future conferences, assemblies and meetings of the Union for the years 2018-2021.</w:t>
      </w:r>
    </w:p>
    <w:p w:rsidR="00847688" w:rsidRDefault="00655434" w:rsidP="00CC2954">
      <w:pPr>
        <w:keepNext/>
        <w:tabs>
          <w:tab w:val="clear" w:pos="1871"/>
          <w:tab w:val="clear" w:pos="2268"/>
          <w:tab w:val="left" w:pos="567"/>
          <w:tab w:val="left" w:pos="1701"/>
        </w:tabs>
        <w:overflowPunct/>
        <w:autoSpaceDE/>
        <w:autoSpaceDN/>
        <w:adjustRightInd/>
        <w:spacing w:before="240"/>
        <w:textAlignment w:val="auto"/>
        <w:rPr>
          <w:b/>
          <w:bCs/>
          <w:szCs w:val="24"/>
        </w:rPr>
      </w:pPr>
      <w:r>
        <w:rPr>
          <w:b/>
          <w:bCs/>
          <w:szCs w:val="24"/>
        </w:rPr>
        <w:t>3.</w:t>
      </w:r>
      <w:r w:rsidR="00847688">
        <w:rPr>
          <w:b/>
          <w:bCs/>
          <w:szCs w:val="24"/>
        </w:rPr>
        <w:t xml:space="preserve"> </w:t>
      </w:r>
      <w:r w:rsidR="00CC2954">
        <w:rPr>
          <w:b/>
          <w:bCs/>
          <w:szCs w:val="24"/>
        </w:rPr>
        <w:tab/>
      </w:r>
      <w:r w:rsidR="004869DB" w:rsidRPr="002C1501">
        <w:rPr>
          <w:b/>
          <w:bCs/>
          <w:szCs w:val="24"/>
        </w:rPr>
        <w:t>TDAG meetings</w:t>
      </w:r>
    </w:p>
    <w:p w:rsidR="00326F32" w:rsidRPr="00C551C1" w:rsidRDefault="001E0BB2" w:rsidP="00CC2954">
      <w:pPr>
        <w:tabs>
          <w:tab w:val="clear" w:pos="1871"/>
          <w:tab w:val="clear" w:pos="2268"/>
          <w:tab w:val="left" w:pos="567"/>
          <w:tab w:val="left" w:pos="1701"/>
        </w:tabs>
        <w:rPr>
          <w:b/>
          <w:bCs/>
          <w:szCs w:val="24"/>
        </w:rPr>
      </w:pPr>
      <w:r>
        <w:rPr>
          <w:rFonts w:eastAsia="SimSun"/>
          <w:szCs w:val="24"/>
        </w:rPr>
        <w:t>3.1</w:t>
      </w:r>
      <w:r w:rsidR="00847688">
        <w:rPr>
          <w:rFonts w:eastAsia="SimSun"/>
          <w:szCs w:val="24"/>
        </w:rPr>
        <w:t xml:space="preserve"> </w:t>
      </w:r>
      <w:r w:rsidR="00CC2954">
        <w:rPr>
          <w:rFonts w:eastAsia="SimSun"/>
          <w:szCs w:val="24"/>
        </w:rPr>
        <w:tab/>
      </w:r>
      <w:r w:rsidR="00655434" w:rsidRPr="0035064B">
        <w:rPr>
          <w:rFonts w:eastAsia="SimSun"/>
          <w:szCs w:val="24"/>
        </w:rPr>
        <w:t>In the case of TDAG</w:t>
      </w:r>
      <w:r w:rsidR="00014EA1">
        <w:rPr>
          <w:rFonts w:eastAsia="SimSun"/>
          <w:szCs w:val="24"/>
        </w:rPr>
        <w:t>,</w:t>
      </w:r>
      <w:r w:rsidR="00692F57">
        <w:rPr>
          <w:rFonts w:eastAsia="SimSun"/>
          <w:szCs w:val="24"/>
        </w:rPr>
        <w:t xml:space="preserve"> </w:t>
      </w:r>
      <w:r w:rsidR="008C08BC">
        <w:rPr>
          <w:rFonts w:eastAsia="SimSun"/>
          <w:szCs w:val="24"/>
        </w:rPr>
        <w:t xml:space="preserve">in line with WTDC Resolution 1, </w:t>
      </w:r>
      <w:r w:rsidR="00655434" w:rsidRPr="0035064B">
        <w:rPr>
          <w:rFonts w:eastAsia="SimSun"/>
          <w:szCs w:val="24"/>
        </w:rPr>
        <w:t>due attention has been paid to scheduling its meetings before the ITU Council sessions to allow</w:t>
      </w:r>
      <w:r w:rsidR="005431E0">
        <w:rPr>
          <w:rFonts w:eastAsia="SimSun"/>
          <w:szCs w:val="24"/>
        </w:rPr>
        <w:t xml:space="preserve"> TDAG</w:t>
      </w:r>
      <w:r w:rsidR="00655434">
        <w:rPr>
          <w:rFonts w:eastAsia="SimSun"/>
          <w:szCs w:val="24"/>
        </w:rPr>
        <w:t xml:space="preserve"> to </w:t>
      </w:r>
      <w:r w:rsidR="00655434" w:rsidRPr="0035064B">
        <w:rPr>
          <w:szCs w:val="24"/>
        </w:rPr>
        <w:t>effectively review the draft</w:t>
      </w:r>
      <w:r w:rsidR="00655434">
        <w:rPr>
          <w:rFonts w:eastAsia="SimSun"/>
          <w:szCs w:val="24"/>
        </w:rPr>
        <w:t xml:space="preserve"> </w:t>
      </w:r>
      <w:r>
        <w:rPr>
          <w:rFonts w:eastAsia="SimSun"/>
          <w:szCs w:val="24"/>
        </w:rPr>
        <w:t xml:space="preserve">ITU-D </w:t>
      </w:r>
      <w:r w:rsidR="00655434">
        <w:rPr>
          <w:rFonts w:eastAsia="SimSun"/>
          <w:szCs w:val="24"/>
        </w:rPr>
        <w:t xml:space="preserve">operational plans </w:t>
      </w:r>
      <w:r w:rsidR="00655434" w:rsidRPr="0035064B">
        <w:rPr>
          <w:szCs w:val="24"/>
        </w:rPr>
        <w:t xml:space="preserve">before </w:t>
      </w:r>
      <w:r w:rsidR="00655434">
        <w:rPr>
          <w:szCs w:val="24"/>
        </w:rPr>
        <w:t xml:space="preserve">their </w:t>
      </w:r>
      <w:r w:rsidR="00655434" w:rsidRPr="0035064B">
        <w:rPr>
          <w:szCs w:val="24"/>
        </w:rPr>
        <w:t xml:space="preserve">adoption </w:t>
      </w:r>
      <w:r w:rsidR="00655434">
        <w:rPr>
          <w:szCs w:val="24"/>
        </w:rPr>
        <w:t xml:space="preserve">by the Council </w:t>
      </w:r>
      <w:r w:rsidR="00655434" w:rsidRPr="0035064B">
        <w:rPr>
          <w:szCs w:val="24"/>
        </w:rPr>
        <w:t>and implementation</w:t>
      </w:r>
      <w:r w:rsidR="00655434">
        <w:rPr>
          <w:szCs w:val="24"/>
        </w:rPr>
        <w:t xml:space="preserve"> by BDT</w:t>
      </w:r>
      <w:r w:rsidR="00655434" w:rsidRPr="0035064B">
        <w:rPr>
          <w:szCs w:val="24"/>
        </w:rPr>
        <w:t>.</w:t>
      </w:r>
      <w:r w:rsidR="00655434" w:rsidRPr="0035064B">
        <w:rPr>
          <w:rFonts w:eastAsia="SimSun"/>
          <w:szCs w:val="24"/>
        </w:rPr>
        <w:t xml:space="preserve"> </w:t>
      </w:r>
      <w:r w:rsidR="00326F32" w:rsidRPr="0035064B">
        <w:rPr>
          <w:szCs w:val="24"/>
        </w:rPr>
        <w:t xml:space="preserve">A lot of coordination was undertaken to ensure that meetings of the advisory groups of the three Sectors of the Union are held consecutively whenever possible. </w:t>
      </w:r>
    </w:p>
    <w:p w:rsidR="002C1501" w:rsidRDefault="001E0BB2" w:rsidP="00CC2954">
      <w:pPr>
        <w:tabs>
          <w:tab w:val="clear" w:pos="1871"/>
          <w:tab w:val="clear" w:pos="2268"/>
          <w:tab w:val="left" w:pos="567"/>
          <w:tab w:val="left" w:pos="1701"/>
        </w:tabs>
        <w:rPr>
          <w:szCs w:val="24"/>
        </w:rPr>
      </w:pPr>
      <w:r>
        <w:rPr>
          <w:szCs w:val="24"/>
        </w:rPr>
        <w:t>3.2</w:t>
      </w:r>
      <w:r w:rsidR="005577CD">
        <w:rPr>
          <w:szCs w:val="24"/>
        </w:rPr>
        <w:t xml:space="preserve"> </w:t>
      </w:r>
      <w:r w:rsidR="00CC2954">
        <w:rPr>
          <w:szCs w:val="24"/>
        </w:rPr>
        <w:tab/>
      </w:r>
      <w:r w:rsidR="00E037E5">
        <w:rPr>
          <w:szCs w:val="24"/>
        </w:rPr>
        <w:t>F</w:t>
      </w:r>
      <w:r w:rsidR="008322F8">
        <w:rPr>
          <w:szCs w:val="24"/>
        </w:rPr>
        <w:t>rom</w:t>
      </w:r>
      <w:r w:rsidR="00E037E5">
        <w:rPr>
          <w:szCs w:val="24"/>
        </w:rPr>
        <w:t xml:space="preserve"> 2019</w:t>
      </w:r>
      <w:r w:rsidR="007A1341">
        <w:rPr>
          <w:szCs w:val="24"/>
        </w:rPr>
        <w:t xml:space="preserve"> to 2021</w:t>
      </w:r>
      <w:r w:rsidR="00E037E5">
        <w:rPr>
          <w:szCs w:val="24"/>
        </w:rPr>
        <w:t>, TDAG meetings will be preceded by a one-day meeting of its correspondence groups</w:t>
      </w:r>
      <w:r w:rsidR="008C08BC">
        <w:rPr>
          <w:szCs w:val="24"/>
        </w:rPr>
        <w:t>, in line with WTDC Resolution 31</w:t>
      </w:r>
      <w:r w:rsidR="00E037E5">
        <w:rPr>
          <w:szCs w:val="24"/>
        </w:rPr>
        <w:t xml:space="preserve">. </w:t>
      </w:r>
      <w:r w:rsidR="007A1341">
        <w:rPr>
          <w:szCs w:val="24"/>
        </w:rPr>
        <w:t xml:space="preserve">The </w:t>
      </w:r>
      <w:r w:rsidR="002C1501" w:rsidRPr="0035064B">
        <w:rPr>
          <w:szCs w:val="24"/>
        </w:rPr>
        <w:t xml:space="preserve">meeting </w:t>
      </w:r>
      <w:r w:rsidR="007A1341">
        <w:rPr>
          <w:szCs w:val="24"/>
        </w:rPr>
        <w:t xml:space="preserve">in 2021 is planned </w:t>
      </w:r>
      <w:r>
        <w:rPr>
          <w:szCs w:val="24"/>
        </w:rPr>
        <w:t>four</w:t>
      </w:r>
      <w:r w:rsidR="007A1341">
        <w:rPr>
          <w:szCs w:val="24"/>
        </w:rPr>
        <w:t xml:space="preserve"> months before </w:t>
      </w:r>
      <w:r w:rsidR="002C1501" w:rsidRPr="0035064B">
        <w:rPr>
          <w:szCs w:val="24"/>
        </w:rPr>
        <w:t xml:space="preserve">WTDC-21, in order to </w:t>
      </w:r>
      <w:r w:rsidR="007A1341">
        <w:rPr>
          <w:szCs w:val="24"/>
        </w:rPr>
        <w:t xml:space="preserve">allow TDAG to </w:t>
      </w:r>
      <w:r w:rsidR="002C1501" w:rsidRPr="0035064B">
        <w:rPr>
          <w:szCs w:val="24"/>
        </w:rPr>
        <w:t>study, discuss and adopt in final form the consolidated report presenting the outputs of the six regional preparatory meetings.</w:t>
      </w:r>
    </w:p>
    <w:p w:rsidR="005431E0" w:rsidRPr="007A1341" w:rsidRDefault="007A1341" w:rsidP="00CC2954">
      <w:pPr>
        <w:tabs>
          <w:tab w:val="clear" w:pos="1871"/>
          <w:tab w:val="clear" w:pos="2268"/>
          <w:tab w:val="left" w:pos="567"/>
          <w:tab w:val="left" w:pos="1701"/>
        </w:tabs>
        <w:rPr>
          <w:szCs w:val="24"/>
        </w:rPr>
      </w:pPr>
      <w:r>
        <w:rPr>
          <w:szCs w:val="24"/>
        </w:rPr>
        <w:t xml:space="preserve">3.3 </w:t>
      </w:r>
      <w:r w:rsidR="00CC2954">
        <w:rPr>
          <w:szCs w:val="24"/>
        </w:rPr>
        <w:tab/>
      </w:r>
      <w:r w:rsidR="00CD3F1F" w:rsidRPr="0035064B">
        <w:rPr>
          <w:szCs w:val="24"/>
        </w:rPr>
        <w:t xml:space="preserve">TDAG meetings have been carefully scheduled to ensure that they do not take place in conjunction with the </w:t>
      </w:r>
      <w:r w:rsidR="0013666F">
        <w:rPr>
          <w:szCs w:val="24"/>
        </w:rPr>
        <w:t xml:space="preserve">ITU-D </w:t>
      </w:r>
      <w:r w:rsidR="00CD3F1F" w:rsidRPr="0035064B">
        <w:rPr>
          <w:szCs w:val="24"/>
        </w:rPr>
        <w:t xml:space="preserve">study group </w:t>
      </w:r>
      <w:r w:rsidR="0013666F">
        <w:rPr>
          <w:szCs w:val="24"/>
        </w:rPr>
        <w:t>or rapporteur group</w:t>
      </w:r>
      <w:r>
        <w:rPr>
          <w:szCs w:val="24"/>
        </w:rPr>
        <w:t xml:space="preserve"> </w:t>
      </w:r>
      <w:r w:rsidR="00CD3F1F" w:rsidRPr="0035064B">
        <w:rPr>
          <w:szCs w:val="24"/>
        </w:rPr>
        <w:t xml:space="preserve">meetings. </w:t>
      </w:r>
      <w:r w:rsidR="005431E0">
        <w:t>E</w:t>
      </w:r>
      <w:r w:rsidR="005431E0" w:rsidRPr="002D27AE">
        <w:t>very possible effort</w:t>
      </w:r>
      <w:r w:rsidR="005431E0">
        <w:t xml:space="preserve"> has been made</w:t>
      </w:r>
      <w:r w:rsidR="005431E0" w:rsidRPr="002D27AE">
        <w:t xml:space="preserve"> in order that the planned period for meetings </w:t>
      </w:r>
      <w:r w:rsidR="005431E0">
        <w:t xml:space="preserve">are </w:t>
      </w:r>
      <w:r w:rsidR="005431E0" w:rsidRPr="002D27AE">
        <w:t>not scheduled during a period which is considered a major reli</w:t>
      </w:r>
      <w:r w:rsidR="005431E0">
        <w:t>gious period by a Member State.</w:t>
      </w:r>
    </w:p>
    <w:p w:rsidR="007C6F61" w:rsidRDefault="0013666F" w:rsidP="00CC2954">
      <w:pPr>
        <w:keepNext/>
        <w:tabs>
          <w:tab w:val="clear" w:pos="1871"/>
          <w:tab w:val="clear" w:pos="2268"/>
          <w:tab w:val="left" w:pos="567"/>
          <w:tab w:val="left" w:pos="1701"/>
        </w:tabs>
        <w:overflowPunct/>
        <w:autoSpaceDE/>
        <w:autoSpaceDN/>
        <w:adjustRightInd/>
        <w:spacing w:before="240"/>
        <w:textAlignment w:val="auto"/>
        <w:rPr>
          <w:b/>
          <w:bCs/>
        </w:rPr>
      </w:pPr>
      <w:r>
        <w:rPr>
          <w:b/>
          <w:bCs/>
        </w:rPr>
        <w:t xml:space="preserve">4. </w:t>
      </w:r>
      <w:r w:rsidR="00CC2954">
        <w:rPr>
          <w:b/>
          <w:bCs/>
        </w:rPr>
        <w:tab/>
      </w:r>
      <w:r w:rsidR="002C1501" w:rsidRPr="002C1501">
        <w:rPr>
          <w:b/>
          <w:bCs/>
        </w:rPr>
        <w:t>Regional preparatory meeting</w:t>
      </w:r>
      <w:r w:rsidR="007C6F61">
        <w:rPr>
          <w:b/>
          <w:bCs/>
        </w:rPr>
        <w:t xml:space="preserve">s </w:t>
      </w:r>
      <w:bookmarkStart w:id="9" w:name="_Toc406757671"/>
    </w:p>
    <w:p w:rsidR="00D57DC4" w:rsidRDefault="0013666F" w:rsidP="00CC2954">
      <w:pPr>
        <w:tabs>
          <w:tab w:val="clear" w:pos="1871"/>
          <w:tab w:val="clear" w:pos="2268"/>
          <w:tab w:val="left" w:pos="567"/>
          <w:tab w:val="left" w:pos="1701"/>
        </w:tabs>
      </w:pPr>
      <w:r>
        <w:t xml:space="preserve">4.1 </w:t>
      </w:r>
      <w:r w:rsidR="00CC2954">
        <w:tab/>
      </w:r>
      <w:r w:rsidR="00207F06">
        <w:t xml:space="preserve">The calendar includes </w:t>
      </w:r>
      <w:r w:rsidR="00207F06" w:rsidRPr="002D27AE">
        <w:t>one regional preparatory meeting</w:t>
      </w:r>
      <w:r w:rsidR="00DF289C">
        <w:t xml:space="preserve"> </w:t>
      </w:r>
      <w:r w:rsidR="0069015A">
        <w:t xml:space="preserve">(RPM) </w:t>
      </w:r>
      <w:r w:rsidR="00207F06" w:rsidRPr="002D27AE">
        <w:t xml:space="preserve">per region for each of the </w:t>
      </w:r>
      <w:r w:rsidR="00D57DC4" w:rsidRPr="0035064B">
        <w:rPr>
          <w:snapToGrid w:val="0"/>
          <w:szCs w:val="24"/>
          <w:lang w:eastAsia="fr-FR"/>
        </w:rPr>
        <w:t>six regions</w:t>
      </w:r>
      <w:r w:rsidR="006E7511">
        <w:rPr>
          <w:snapToGrid w:val="0"/>
          <w:szCs w:val="24"/>
          <w:lang w:eastAsia="fr-FR"/>
        </w:rPr>
        <w:t>.</w:t>
      </w:r>
      <w:r w:rsidR="00207F06">
        <w:t xml:space="preserve"> Two of these metings are planned for the last quarter of 2020 and four for the first quarter of 2021</w:t>
      </w:r>
      <w:r w:rsidR="00F147D8">
        <w:t xml:space="preserve"> as shown </w:t>
      </w:r>
      <w:r w:rsidR="00D57DC4">
        <w:t xml:space="preserve">in the table </w:t>
      </w:r>
      <w:r w:rsidR="00F147D8">
        <w:t>below</w:t>
      </w:r>
      <w:r w:rsidR="00D57DC4">
        <w:t xml:space="preserve">. </w:t>
      </w:r>
    </w:p>
    <w:p w:rsidR="00D57DC4" w:rsidRPr="008F295A" w:rsidRDefault="0013666F" w:rsidP="00D95062">
      <w:pPr>
        <w:tabs>
          <w:tab w:val="clear" w:pos="1871"/>
          <w:tab w:val="clear" w:pos="2268"/>
          <w:tab w:val="left" w:pos="567"/>
          <w:tab w:val="left" w:pos="1701"/>
        </w:tabs>
        <w:rPr>
          <w:b/>
          <w:bCs/>
        </w:rPr>
      </w:pPr>
      <w:r>
        <w:t xml:space="preserve">4.2 </w:t>
      </w:r>
      <w:r w:rsidR="00CC2954">
        <w:tab/>
      </w:r>
      <w:r w:rsidR="00D57DC4" w:rsidRPr="002D27AE">
        <w:t xml:space="preserve">Regional preparatory meetings are direct services to members and are organized to achieve greater regional coordination and engage members early on in the WTDC preparatory process. </w:t>
      </w:r>
      <w:r w:rsidR="00467682">
        <w:t>As noted in Resolution 31, the</w:t>
      </w:r>
      <w:r w:rsidR="00D57DC4" w:rsidRPr="0035064B">
        <w:rPr>
          <w:snapToGrid w:val="0"/>
          <w:szCs w:val="24"/>
          <w:lang w:eastAsia="fr-FR"/>
        </w:rPr>
        <w:t xml:space="preserve"> continued success of future </w:t>
      </w:r>
      <w:r w:rsidR="003F0D04">
        <w:rPr>
          <w:snapToGrid w:val="0"/>
          <w:szCs w:val="24"/>
          <w:lang w:eastAsia="fr-FR"/>
        </w:rPr>
        <w:t>WTDCs</w:t>
      </w:r>
      <w:r w:rsidR="00D57DC4" w:rsidRPr="0035064B">
        <w:rPr>
          <w:snapToGrid w:val="0"/>
          <w:szCs w:val="24"/>
          <w:lang w:eastAsia="fr-FR"/>
        </w:rPr>
        <w:t xml:space="preserve"> will depend on greater efficiency of regional coordination and int</w:t>
      </w:r>
      <w:r w:rsidR="003F0D04">
        <w:rPr>
          <w:snapToGrid w:val="0"/>
          <w:szCs w:val="24"/>
          <w:lang w:eastAsia="fr-FR"/>
        </w:rPr>
        <w:t>eraction at interregional level</w:t>
      </w:r>
      <w:r w:rsidR="00824165">
        <w:rPr>
          <w:snapToGrid w:val="0"/>
          <w:szCs w:val="24"/>
          <w:lang w:eastAsia="fr-FR"/>
        </w:rPr>
        <w:t>.</w:t>
      </w:r>
    </w:p>
    <w:p w:rsidR="00C551C1" w:rsidRPr="00C551C1" w:rsidRDefault="0013666F" w:rsidP="00CC2954">
      <w:pPr>
        <w:tabs>
          <w:tab w:val="clear" w:pos="1871"/>
          <w:tab w:val="clear" w:pos="2268"/>
          <w:tab w:val="left" w:pos="567"/>
          <w:tab w:val="left" w:pos="1701"/>
        </w:tabs>
        <w:rPr>
          <w:rFonts w:cs="Arial"/>
          <w:shd w:val="clear" w:color="auto" w:fill="FFFFFF"/>
        </w:rPr>
      </w:pPr>
      <w:r>
        <w:rPr>
          <w:rFonts w:cs="Arial"/>
          <w:shd w:val="clear" w:color="auto" w:fill="FFFFFF"/>
        </w:rPr>
        <w:t xml:space="preserve">4.3 </w:t>
      </w:r>
      <w:r w:rsidR="00CC2954">
        <w:rPr>
          <w:rFonts w:cs="Arial"/>
          <w:shd w:val="clear" w:color="auto" w:fill="FFFFFF"/>
        </w:rPr>
        <w:tab/>
      </w:r>
      <w:r w:rsidR="003F0D04">
        <w:rPr>
          <w:rFonts w:cs="Arial"/>
          <w:shd w:val="clear" w:color="auto" w:fill="FFFFFF"/>
        </w:rPr>
        <w:t>A o</w:t>
      </w:r>
      <w:r w:rsidR="00F147D8" w:rsidRPr="00D57DC4">
        <w:rPr>
          <w:rFonts w:cs="Arial"/>
          <w:shd w:val="clear" w:color="auto" w:fill="FFFFFF"/>
        </w:rPr>
        <w:t>ne-day Regional Development Forum</w:t>
      </w:r>
      <w:r w:rsidR="003F0D04">
        <w:rPr>
          <w:rFonts w:cs="Arial"/>
          <w:shd w:val="clear" w:color="auto" w:fill="FFFFFF"/>
        </w:rPr>
        <w:t xml:space="preserve"> </w:t>
      </w:r>
      <w:r w:rsidR="009407C8">
        <w:rPr>
          <w:rFonts w:cs="Arial"/>
          <w:shd w:val="clear" w:color="auto" w:fill="FFFFFF"/>
        </w:rPr>
        <w:t xml:space="preserve">(RDF) </w:t>
      </w:r>
      <w:r w:rsidR="003F0D04">
        <w:rPr>
          <w:rFonts w:cs="Arial"/>
          <w:shd w:val="clear" w:color="auto" w:fill="FFFFFF"/>
        </w:rPr>
        <w:t>is planned to take place before each RPM</w:t>
      </w:r>
      <w:r w:rsidR="00824165">
        <w:rPr>
          <w:rFonts w:cs="Arial"/>
          <w:shd w:val="clear" w:color="auto" w:fill="FFFFFF"/>
        </w:rPr>
        <w:t>. These f</w:t>
      </w:r>
      <w:r w:rsidR="00F147D8" w:rsidRPr="00D57DC4">
        <w:rPr>
          <w:rFonts w:cs="Arial"/>
          <w:shd w:val="clear" w:color="auto" w:fill="FFFFFF"/>
        </w:rPr>
        <w:t xml:space="preserve">orums provide an opportunity for high-level dialogue, cooperation and partnerships among telecommunication and ICT policy-makers, regulators, industry, academia, regional and </w:t>
      </w:r>
      <w:r w:rsidR="00F147D8" w:rsidRPr="00D57DC4">
        <w:rPr>
          <w:rFonts w:cs="Arial"/>
          <w:shd w:val="clear" w:color="auto" w:fill="FFFFFF"/>
        </w:rPr>
        <w:lastRenderedPageBreak/>
        <w:t xml:space="preserve">international development agencies and organizations on specific regional telecommunication and ICT issues. </w:t>
      </w:r>
      <w:r w:rsidR="00C551C1" w:rsidRPr="00847A6B">
        <w:rPr>
          <w:szCs w:val="24"/>
        </w:rPr>
        <w:t xml:space="preserve">The </w:t>
      </w:r>
      <w:r w:rsidR="00C551C1">
        <w:rPr>
          <w:szCs w:val="24"/>
        </w:rPr>
        <w:t xml:space="preserve">proposed schedule of RPMs and </w:t>
      </w:r>
      <w:r w:rsidR="00C551C1" w:rsidRPr="00847A6B">
        <w:rPr>
          <w:szCs w:val="24"/>
        </w:rPr>
        <w:t>RDFs is given in the table below.</w:t>
      </w:r>
    </w:p>
    <w:p w:rsidR="00DC5E7D" w:rsidRDefault="0013666F" w:rsidP="00CC2954">
      <w:pPr>
        <w:tabs>
          <w:tab w:val="clear" w:pos="1871"/>
          <w:tab w:val="clear" w:pos="2268"/>
          <w:tab w:val="left" w:pos="567"/>
          <w:tab w:val="left" w:pos="1701"/>
        </w:tabs>
        <w:rPr>
          <w:szCs w:val="24"/>
        </w:rPr>
      </w:pPr>
      <w:r>
        <w:t xml:space="preserve">4.5 </w:t>
      </w:r>
      <w:r w:rsidR="00CC2954">
        <w:tab/>
      </w:r>
      <w:r w:rsidR="00FE33D7" w:rsidRPr="009407C8">
        <w:t>In planning these meetings, every effort has been made to avoid overlap with other relevant ITU-D meetings.</w:t>
      </w:r>
      <w:r w:rsidR="00FE33D7" w:rsidRPr="00FE33D7">
        <w:rPr>
          <w:b/>
          <w:bCs/>
        </w:rPr>
        <w:t xml:space="preserve"> </w:t>
      </w:r>
      <w:r w:rsidR="0035023F">
        <w:rPr>
          <w:szCs w:val="24"/>
        </w:rPr>
        <w:t>Full use will be made of ITU R</w:t>
      </w:r>
      <w:r w:rsidR="00DC5E7D" w:rsidRPr="00FE33D7">
        <w:rPr>
          <w:szCs w:val="24"/>
        </w:rPr>
        <w:t xml:space="preserve">egional </w:t>
      </w:r>
      <w:r w:rsidR="0035023F">
        <w:rPr>
          <w:szCs w:val="24"/>
        </w:rPr>
        <w:t>O</w:t>
      </w:r>
      <w:r w:rsidR="00DC5E7D" w:rsidRPr="00FE33D7">
        <w:rPr>
          <w:szCs w:val="24"/>
        </w:rPr>
        <w:t xml:space="preserve">ffices to facilitate identification of host countries and </w:t>
      </w:r>
      <w:r w:rsidR="0035023F">
        <w:rPr>
          <w:szCs w:val="24"/>
        </w:rPr>
        <w:t xml:space="preserve">to organize </w:t>
      </w:r>
      <w:r w:rsidR="00DC5E7D" w:rsidRPr="00FE33D7">
        <w:rPr>
          <w:szCs w:val="24"/>
        </w:rPr>
        <w:t>these meetings.</w:t>
      </w:r>
    </w:p>
    <w:bookmarkEnd w:id="9"/>
    <w:p w:rsidR="0013666F" w:rsidRDefault="0013666F" w:rsidP="00CC2954">
      <w:pPr>
        <w:keepNext/>
        <w:tabs>
          <w:tab w:val="clear" w:pos="1871"/>
          <w:tab w:val="clear" w:pos="2268"/>
          <w:tab w:val="left" w:pos="567"/>
          <w:tab w:val="left" w:pos="1701"/>
        </w:tabs>
        <w:overflowPunct/>
        <w:autoSpaceDE/>
        <w:autoSpaceDN/>
        <w:adjustRightInd/>
        <w:spacing w:before="240"/>
        <w:textAlignment w:val="auto"/>
        <w:rPr>
          <w:b/>
          <w:bCs/>
          <w:szCs w:val="24"/>
        </w:rPr>
      </w:pPr>
      <w:r>
        <w:rPr>
          <w:b/>
          <w:bCs/>
          <w:szCs w:val="24"/>
        </w:rPr>
        <w:t>5.</w:t>
      </w:r>
      <w:r w:rsidR="00CC2954">
        <w:rPr>
          <w:b/>
          <w:bCs/>
          <w:szCs w:val="24"/>
        </w:rPr>
        <w:tab/>
      </w:r>
      <w:r w:rsidR="009407C8" w:rsidRPr="009407C8">
        <w:rPr>
          <w:b/>
          <w:bCs/>
          <w:szCs w:val="24"/>
        </w:rPr>
        <w:t>Coordination meeting for RPMs</w:t>
      </w:r>
    </w:p>
    <w:p w:rsidR="00596EA8" w:rsidRDefault="00596EA8" w:rsidP="00CC2954">
      <w:pPr>
        <w:tabs>
          <w:tab w:val="clear" w:pos="1871"/>
          <w:tab w:val="clear" w:pos="2268"/>
          <w:tab w:val="left" w:pos="567"/>
          <w:tab w:val="left" w:pos="1701"/>
        </w:tabs>
        <w:rPr>
          <w:szCs w:val="24"/>
        </w:rPr>
      </w:pPr>
      <w:r w:rsidRPr="0035064B">
        <w:rPr>
          <w:szCs w:val="24"/>
        </w:rPr>
        <w:t>A coordination meeting of the six regions is planned in conjunction with the last meeting of TDAG</w:t>
      </w:r>
      <w:r w:rsidR="0013666F">
        <w:rPr>
          <w:szCs w:val="24"/>
        </w:rPr>
        <w:t xml:space="preserve">, with </w:t>
      </w:r>
      <w:r w:rsidRPr="0035064B">
        <w:rPr>
          <w:szCs w:val="24"/>
        </w:rPr>
        <w:t>the participation of ITU-D members.</w:t>
      </w:r>
    </w:p>
    <w:p w:rsidR="0013666F" w:rsidRDefault="0013666F" w:rsidP="00CC2954">
      <w:pPr>
        <w:keepNext/>
        <w:tabs>
          <w:tab w:val="clear" w:pos="1871"/>
          <w:tab w:val="clear" w:pos="2268"/>
          <w:tab w:val="left" w:pos="567"/>
          <w:tab w:val="left" w:pos="1701"/>
        </w:tabs>
        <w:overflowPunct/>
        <w:autoSpaceDE/>
        <w:autoSpaceDN/>
        <w:adjustRightInd/>
        <w:spacing w:before="240"/>
        <w:textAlignment w:val="auto"/>
        <w:rPr>
          <w:b/>
          <w:bCs/>
        </w:rPr>
      </w:pPr>
      <w:r>
        <w:rPr>
          <w:b/>
          <w:bCs/>
          <w:lang w:val="en-US"/>
        </w:rPr>
        <w:t xml:space="preserve">6. </w:t>
      </w:r>
      <w:r w:rsidR="00CC2954">
        <w:rPr>
          <w:b/>
          <w:bCs/>
          <w:lang w:val="en-US"/>
        </w:rPr>
        <w:tab/>
      </w:r>
      <w:r w:rsidR="002016D8" w:rsidRPr="002016D8">
        <w:rPr>
          <w:b/>
          <w:bCs/>
          <w:lang w:val="en-US"/>
        </w:rPr>
        <w:t xml:space="preserve">WTDC-21 </w:t>
      </w:r>
    </w:p>
    <w:p w:rsidR="00D749EA" w:rsidRDefault="00D749EA" w:rsidP="00D95062">
      <w:pPr>
        <w:tabs>
          <w:tab w:val="clear" w:pos="1871"/>
          <w:tab w:val="clear" w:pos="2268"/>
          <w:tab w:val="left" w:pos="567"/>
          <w:tab w:val="left" w:pos="1701"/>
        </w:tabs>
        <w:rPr>
          <w:b/>
          <w:bCs/>
          <w:szCs w:val="24"/>
          <w:lang w:val="en-US"/>
        </w:rPr>
      </w:pPr>
      <w:r>
        <w:rPr>
          <w:szCs w:val="24"/>
        </w:rPr>
        <w:t xml:space="preserve">6.1 </w:t>
      </w:r>
      <w:r w:rsidR="00CC2954">
        <w:rPr>
          <w:szCs w:val="24"/>
        </w:rPr>
        <w:tab/>
      </w:r>
      <w:r>
        <w:rPr>
          <w:szCs w:val="24"/>
        </w:rPr>
        <w:t>The next W</w:t>
      </w:r>
      <w:r w:rsidR="002016D8" w:rsidRPr="006D2A03">
        <w:rPr>
          <w:szCs w:val="24"/>
        </w:rPr>
        <w:t xml:space="preserve">orld </w:t>
      </w:r>
      <w:r>
        <w:rPr>
          <w:szCs w:val="24"/>
        </w:rPr>
        <w:t>T</w:t>
      </w:r>
      <w:r w:rsidR="002016D8" w:rsidRPr="006D2A03">
        <w:rPr>
          <w:szCs w:val="24"/>
        </w:rPr>
        <w:t xml:space="preserve">elecommunication </w:t>
      </w:r>
      <w:r>
        <w:rPr>
          <w:szCs w:val="24"/>
        </w:rPr>
        <w:t>D</w:t>
      </w:r>
      <w:r w:rsidR="002016D8" w:rsidRPr="006D2A03">
        <w:rPr>
          <w:szCs w:val="24"/>
        </w:rPr>
        <w:t xml:space="preserve">evelopment </w:t>
      </w:r>
      <w:r>
        <w:rPr>
          <w:szCs w:val="24"/>
        </w:rPr>
        <w:t>C</w:t>
      </w:r>
      <w:r w:rsidR="002016D8" w:rsidRPr="006D2A03">
        <w:rPr>
          <w:szCs w:val="24"/>
        </w:rPr>
        <w:t>onference</w:t>
      </w:r>
      <w:r>
        <w:rPr>
          <w:szCs w:val="24"/>
        </w:rPr>
        <w:t xml:space="preserve"> (WTDC-21) is scheduled to take place in the last quarter of 2021</w:t>
      </w:r>
      <w:r w:rsidR="002016D8" w:rsidRPr="006D2A03">
        <w:rPr>
          <w:szCs w:val="24"/>
        </w:rPr>
        <w:t xml:space="preserve"> </w:t>
      </w:r>
      <w:r>
        <w:rPr>
          <w:szCs w:val="24"/>
        </w:rPr>
        <w:t xml:space="preserve">in keeping with Resolution 77, </w:t>
      </w:r>
      <w:r w:rsidRPr="00D749EA">
        <w:rPr>
          <w:szCs w:val="24"/>
        </w:rPr>
        <w:t>which resolves that ITU conferences and assemblies shall, in principle, be held in the last quarter of the year.</w:t>
      </w:r>
      <w:r>
        <w:rPr>
          <w:b/>
          <w:bCs/>
          <w:szCs w:val="24"/>
          <w:lang w:val="en-US"/>
        </w:rPr>
        <w:t xml:space="preserve"> </w:t>
      </w:r>
    </w:p>
    <w:p w:rsidR="00D749EA" w:rsidRDefault="00D749EA">
      <w:pPr>
        <w:tabs>
          <w:tab w:val="clear" w:pos="1871"/>
          <w:tab w:val="clear" w:pos="2268"/>
          <w:tab w:val="left" w:pos="567"/>
          <w:tab w:val="left" w:pos="1701"/>
        </w:tabs>
        <w:rPr>
          <w:szCs w:val="24"/>
          <w:lang w:val="en-US"/>
        </w:rPr>
      </w:pPr>
      <w:r>
        <w:rPr>
          <w:szCs w:val="24"/>
          <w:lang w:val="en-US"/>
        </w:rPr>
        <w:t xml:space="preserve">6.2 </w:t>
      </w:r>
      <w:r w:rsidR="00CC2954">
        <w:rPr>
          <w:szCs w:val="24"/>
          <w:lang w:val="en-US"/>
        </w:rPr>
        <w:tab/>
      </w:r>
      <w:r w:rsidR="003D43A0">
        <w:rPr>
          <w:szCs w:val="24"/>
          <w:lang w:val="en-US"/>
        </w:rPr>
        <w:t>The Plenipotentiary</w:t>
      </w:r>
      <w:r w:rsidRPr="00D749EA">
        <w:rPr>
          <w:szCs w:val="24"/>
          <w:lang w:val="en-US"/>
        </w:rPr>
        <w:t xml:space="preserve"> Conference, to be convened in Dubai, United Arab Emirates, from </w:t>
      </w:r>
      <w:r w:rsidR="007E54AE" w:rsidRPr="00D749EA">
        <w:rPr>
          <w:szCs w:val="24"/>
          <w:lang w:val="en-US"/>
        </w:rPr>
        <w:t>29</w:t>
      </w:r>
      <w:r w:rsidR="007E54AE">
        <w:rPr>
          <w:szCs w:val="24"/>
          <w:lang w:val="en-US"/>
        </w:rPr>
        <w:t> </w:t>
      </w:r>
      <w:r w:rsidRPr="00D749EA">
        <w:rPr>
          <w:szCs w:val="24"/>
          <w:lang w:val="en-US"/>
        </w:rPr>
        <w:t>October to 16</w:t>
      </w:r>
      <w:r w:rsidR="007E54AE">
        <w:rPr>
          <w:szCs w:val="24"/>
          <w:lang w:val="en-US"/>
        </w:rPr>
        <w:t> </w:t>
      </w:r>
      <w:r w:rsidRPr="00D749EA">
        <w:rPr>
          <w:szCs w:val="24"/>
          <w:lang w:val="en-US"/>
        </w:rPr>
        <w:t>November 2018</w:t>
      </w:r>
      <w:r w:rsidR="003D43A0">
        <w:rPr>
          <w:szCs w:val="24"/>
          <w:lang w:val="en-US"/>
        </w:rPr>
        <w:t>, is expected to decide on the precise place and exact dates of WTDC-21</w:t>
      </w:r>
      <w:r w:rsidRPr="00D749EA">
        <w:rPr>
          <w:szCs w:val="24"/>
          <w:lang w:val="en-US"/>
        </w:rPr>
        <w:t>.</w:t>
      </w:r>
    </w:p>
    <w:p w:rsidR="00D04E30" w:rsidRDefault="003D43A0" w:rsidP="00D95062">
      <w:pPr>
        <w:tabs>
          <w:tab w:val="clear" w:pos="1871"/>
          <w:tab w:val="clear" w:pos="2268"/>
          <w:tab w:val="left" w:pos="567"/>
          <w:tab w:val="left" w:pos="1701"/>
        </w:tabs>
        <w:rPr>
          <w:szCs w:val="24"/>
        </w:rPr>
      </w:pPr>
      <w:r>
        <w:rPr>
          <w:szCs w:val="24"/>
          <w:lang w:val="en-US"/>
        </w:rPr>
        <w:t xml:space="preserve">Any revisions to </w:t>
      </w:r>
      <w:r w:rsidRPr="0092591F">
        <w:rPr>
          <w:szCs w:val="24"/>
        </w:rPr>
        <w:t>Resolution</w:t>
      </w:r>
      <w:r>
        <w:rPr>
          <w:szCs w:val="24"/>
        </w:rPr>
        <w:t>s</w:t>
      </w:r>
      <w:r w:rsidRPr="0092591F">
        <w:rPr>
          <w:szCs w:val="24"/>
        </w:rPr>
        <w:t xml:space="preserve"> 77 </w:t>
      </w:r>
      <w:r>
        <w:rPr>
          <w:szCs w:val="24"/>
        </w:rPr>
        <w:t xml:space="preserve">and 111 by the Dubai Plenipotentiary Conference </w:t>
      </w:r>
      <w:r w:rsidR="00C7777B">
        <w:rPr>
          <w:szCs w:val="24"/>
        </w:rPr>
        <w:t xml:space="preserve">that affect the event planning given in this document </w:t>
      </w:r>
      <w:r>
        <w:rPr>
          <w:szCs w:val="24"/>
        </w:rPr>
        <w:t xml:space="preserve">will be reflected in </w:t>
      </w:r>
      <w:r w:rsidR="0035023F">
        <w:rPr>
          <w:szCs w:val="24"/>
        </w:rPr>
        <w:t xml:space="preserve">a </w:t>
      </w:r>
      <w:r>
        <w:rPr>
          <w:szCs w:val="24"/>
        </w:rPr>
        <w:t xml:space="preserve">future </w:t>
      </w:r>
      <w:r w:rsidR="0035023F">
        <w:rPr>
          <w:szCs w:val="24"/>
        </w:rPr>
        <w:t xml:space="preserve">calendar of </w:t>
      </w:r>
      <w:r>
        <w:rPr>
          <w:szCs w:val="24"/>
        </w:rPr>
        <w:t>ITU-D events.</w:t>
      </w:r>
    </w:p>
    <w:p w:rsidR="00014EA1" w:rsidRDefault="00014EA1" w:rsidP="00CC2954">
      <w:pPr>
        <w:tabs>
          <w:tab w:val="clear" w:pos="1871"/>
          <w:tab w:val="clear" w:pos="2268"/>
          <w:tab w:val="left" w:pos="567"/>
          <w:tab w:val="left" w:pos="1701"/>
        </w:tabs>
        <w:spacing w:before="0" w:after="120"/>
        <w:rPr>
          <w:szCs w:val="24"/>
        </w:rPr>
      </w:pPr>
    </w:p>
    <w:p w:rsidR="00D04E30" w:rsidRDefault="00D04E30">
      <w:pPr>
        <w:tabs>
          <w:tab w:val="clear" w:pos="1134"/>
          <w:tab w:val="clear" w:pos="1871"/>
          <w:tab w:val="clear" w:pos="2268"/>
        </w:tabs>
        <w:overflowPunct/>
        <w:autoSpaceDE/>
        <w:autoSpaceDN/>
        <w:adjustRightInd/>
        <w:spacing w:before="0"/>
        <w:textAlignment w:val="auto"/>
        <w:rPr>
          <w:b/>
          <w:bCs/>
          <w:szCs w:val="24"/>
        </w:rPr>
      </w:pPr>
      <w:r>
        <w:rPr>
          <w:b/>
          <w:bCs/>
          <w:szCs w:val="24"/>
        </w:rPr>
        <w:br w:type="page"/>
      </w:r>
    </w:p>
    <w:p w:rsidR="00F6651A" w:rsidRDefault="002E346E" w:rsidP="00CC2954">
      <w:pPr>
        <w:keepNext/>
        <w:spacing w:before="240" w:after="120"/>
        <w:jc w:val="center"/>
        <w:rPr>
          <w:b/>
          <w:bCs/>
          <w:sz w:val="28"/>
          <w:szCs w:val="28"/>
        </w:rPr>
      </w:pPr>
      <w:r w:rsidRPr="002E346E">
        <w:rPr>
          <w:b/>
          <w:bCs/>
          <w:sz w:val="28"/>
          <w:szCs w:val="28"/>
        </w:rPr>
        <w:lastRenderedPageBreak/>
        <w:t>Indicative schedule of ITU-D statutory events in 2018-2021</w:t>
      </w:r>
    </w:p>
    <w:tbl>
      <w:tblPr>
        <w:tblStyle w:val="TableGrid"/>
        <w:tblW w:w="9639" w:type="dxa"/>
        <w:tblInd w:w="-5" w:type="dxa"/>
        <w:tblBorders>
          <w:top w:val="single" w:sz="4" w:space="0" w:color="808080"/>
          <w:left w:val="single" w:sz="4" w:space="0" w:color="808080"/>
          <w:bottom w:val="single" w:sz="4" w:space="0" w:color="808080"/>
          <w:right w:val="single" w:sz="4" w:space="0" w:color="808080"/>
          <w:insideH w:val="none" w:sz="0" w:space="0" w:color="auto"/>
          <w:insideV w:val="single" w:sz="4" w:space="0" w:color="808080"/>
        </w:tblBorders>
        <w:tblLook w:val="01E0" w:firstRow="1" w:lastRow="1" w:firstColumn="1" w:lastColumn="1" w:noHBand="0" w:noVBand="0"/>
      </w:tblPr>
      <w:tblGrid>
        <w:gridCol w:w="3686"/>
        <w:gridCol w:w="3402"/>
        <w:gridCol w:w="2551"/>
      </w:tblGrid>
      <w:tr w:rsidR="00014EA1" w:rsidRPr="00505661" w:rsidTr="009943F1">
        <w:trPr>
          <w:tblHeader/>
        </w:trPr>
        <w:tc>
          <w:tcPr>
            <w:tcW w:w="3686" w:type="dxa"/>
            <w:tcBorders>
              <w:top w:val="single" w:sz="4" w:space="0" w:color="auto"/>
              <w:bottom w:val="single" w:sz="4" w:space="0" w:color="auto"/>
            </w:tcBorders>
            <w:shd w:val="clear" w:color="auto" w:fill="6699FF"/>
          </w:tcPr>
          <w:p w:rsidR="00014EA1" w:rsidRPr="00505661" w:rsidRDefault="00505661" w:rsidP="00505661">
            <w:pPr>
              <w:pStyle w:val="CEOAnnexTable"/>
              <w:keepNext/>
              <w:rPr>
                <w:b/>
                <w:bCs/>
                <w:color w:val="FFFFFF" w:themeColor="background1"/>
                <w:sz w:val="24"/>
                <w:szCs w:val="24"/>
              </w:rPr>
            </w:pPr>
            <w:r w:rsidRPr="00505661">
              <w:rPr>
                <w:b/>
                <w:bCs/>
                <w:color w:val="FFFFFF" w:themeColor="background1"/>
                <w:sz w:val="24"/>
                <w:szCs w:val="24"/>
              </w:rPr>
              <w:t>Event title</w:t>
            </w:r>
          </w:p>
        </w:tc>
        <w:tc>
          <w:tcPr>
            <w:tcW w:w="3402" w:type="dxa"/>
            <w:tcBorders>
              <w:top w:val="single" w:sz="4" w:space="0" w:color="auto"/>
              <w:bottom w:val="single" w:sz="4" w:space="0" w:color="auto"/>
            </w:tcBorders>
            <w:shd w:val="clear" w:color="auto" w:fill="6699FF"/>
          </w:tcPr>
          <w:p w:rsidR="00014EA1" w:rsidRPr="00505661" w:rsidRDefault="00014EA1" w:rsidP="00505661">
            <w:pPr>
              <w:pStyle w:val="CEOAnnexTable"/>
              <w:keepNext/>
              <w:rPr>
                <w:b/>
                <w:bCs/>
                <w:color w:val="FFFFFF" w:themeColor="background1"/>
                <w:sz w:val="24"/>
                <w:szCs w:val="24"/>
              </w:rPr>
            </w:pPr>
            <w:r w:rsidRPr="00505661">
              <w:rPr>
                <w:b/>
                <w:bCs/>
                <w:color w:val="FFFFFF" w:themeColor="background1"/>
                <w:sz w:val="24"/>
                <w:szCs w:val="24"/>
              </w:rPr>
              <w:t>Date</w:t>
            </w:r>
          </w:p>
        </w:tc>
        <w:tc>
          <w:tcPr>
            <w:tcW w:w="2551" w:type="dxa"/>
            <w:tcBorders>
              <w:top w:val="single" w:sz="4" w:space="0" w:color="auto"/>
              <w:bottom w:val="single" w:sz="4" w:space="0" w:color="auto"/>
            </w:tcBorders>
            <w:shd w:val="clear" w:color="auto" w:fill="6699FF"/>
          </w:tcPr>
          <w:p w:rsidR="00014EA1" w:rsidRPr="00505661" w:rsidRDefault="00014EA1" w:rsidP="00505661">
            <w:pPr>
              <w:pStyle w:val="CEOAnnexTable"/>
              <w:keepNext/>
              <w:rPr>
                <w:b/>
                <w:bCs/>
                <w:color w:val="FFFFFF" w:themeColor="background1"/>
                <w:sz w:val="24"/>
                <w:szCs w:val="24"/>
              </w:rPr>
            </w:pPr>
            <w:r w:rsidRPr="00505661">
              <w:rPr>
                <w:b/>
                <w:bCs/>
                <w:color w:val="FFFFFF" w:themeColor="background1"/>
                <w:sz w:val="24"/>
                <w:szCs w:val="24"/>
              </w:rPr>
              <w:t>Place</w:t>
            </w:r>
          </w:p>
        </w:tc>
      </w:tr>
      <w:tr w:rsidR="00014EA1" w:rsidRPr="00505661" w:rsidTr="009943F1">
        <w:tc>
          <w:tcPr>
            <w:tcW w:w="3686" w:type="dxa"/>
            <w:tcBorders>
              <w:top w:val="single" w:sz="4" w:space="0" w:color="auto"/>
              <w:bottom w:val="single" w:sz="4" w:space="0" w:color="auto"/>
            </w:tcBorders>
          </w:tcPr>
          <w:p w:rsidR="00014EA1" w:rsidRPr="00505661" w:rsidRDefault="00014EA1" w:rsidP="00505661">
            <w:pPr>
              <w:pStyle w:val="CEOAnnexTable"/>
              <w:rPr>
                <w:sz w:val="24"/>
                <w:szCs w:val="24"/>
              </w:rPr>
            </w:pPr>
            <w:r w:rsidRPr="00505661">
              <w:rPr>
                <w:sz w:val="24"/>
                <w:szCs w:val="24"/>
              </w:rPr>
              <w:t>TDAG-19</w:t>
            </w:r>
          </w:p>
        </w:tc>
        <w:tc>
          <w:tcPr>
            <w:tcW w:w="3402" w:type="dxa"/>
            <w:tcBorders>
              <w:top w:val="single" w:sz="4" w:space="0" w:color="auto"/>
              <w:bottom w:val="single" w:sz="4" w:space="0" w:color="auto"/>
            </w:tcBorders>
          </w:tcPr>
          <w:p w:rsidR="00014EA1" w:rsidRPr="00505661" w:rsidRDefault="00014EA1" w:rsidP="00505661">
            <w:pPr>
              <w:pStyle w:val="CEOAnnexTable"/>
              <w:rPr>
                <w:sz w:val="24"/>
                <w:szCs w:val="24"/>
              </w:rPr>
            </w:pPr>
            <w:r w:rsidRPr="00505661">
              <w:rPr>
                <w:sz w:val="24"/>
                <w:szCs w:val="24"/>
              </w:rPr>
              <w:t>2-5 April 2019</w:t>
            </w:r>
          </w:p>
        </w:tc>
        <w:tc>
          <w:tcPr>
            <w:tcW w:w="2551" w:type="dxa"/>
            <w:tcBorders>
              <w:top w:val="single" w:sz="4" w:space="0" w:color="auto"/>
              <w:bottom w:val="single" w:sz="4" w:space="0" w:color="auto"/>
            </w:tcBorders>
          </w:tcPr>
          <w:p w:rsidR="00014EA1" w:rsidRPr="00505661" w:rsidRDefault="00014EA1" w:rsidP="00505661">
            <w:pPr>
              <w:pStyle w:val="CEOAnnexTable"/>
              <w:rPr>
                <w:sz w:val="24"/>
                <w:szCs w:val="24"/>
              </w:rPr>
            </w:pPr>
            <w:r w:rsidRPr="00505661">
              <w:rPr>
                <w:sz w:val="24"/>
                <w:szCs w:val="24"/>
              </w:rPr>
              <w:t>Geneva, Switzerland</w:t>
            </w:r>
          </w:p>
        </w:tc>
      </w:tr>
      <w:tr w:rsidR="00014EA1" w:rsidRPr="00505661" w:rsidTr="009943F1">
        <w:tc>
          <w:tcPr>
            <w:tcW w:w="3686" w:type="dxa"/>
            <w:tcBorders>
              <w:top w:val="single" w:sz="4" w:space="0" w:color="auto"/>
              <w:bottom w:val="single" w:sz="4" w:space="0" w:color="auto"/>
            </w:tcBorders>
          </w:tcPr>
          <w:p w:rsidR="00014EA1" w:rsidRPr="00505661" w:rsidRDefault="00014EA1" w:rsidP="00505661">
            <w:pPr>
              <w:pStyle w:val="CEOAnnexTable"/>
              <w:rPr>
                <w:sz w:val="24"/>
                <w:szCs w:val="24"/>
              </w:rPr>
            </w:pPr>
            <w:r w:rsidRPr="00505661">
              <w:rPr>
                <w:sz w:val="24"/>
                <w:szCs w:val="24"/>
              </w:rPr>
              <w:t>TDAG-20</w:t>
            </w:r>
          </w:p>
        </w:tc>
        <w:tc>
          <w:tcPr>
            <w:tcW w:w="3402" w:type="dxa"/>
            <w:tcBorders>
              <w:top w:val="single" w:sz="4" w:space="0" w:color="auto"/>
              <w:bottom w:val="single" w:sz="4" w:space="0" w:color="auto"/>
            </w:tcBorders>
          </w:tcPr>
          <w:p w:rsidR="00014EA1" w:rsidRPr="00505661" w:rsidRDefault="00014EA1" w:rsidP="00574E16">
            <w:pPr>
              <w:pStyle w:val="CEOAnnexTable"/>
              <w:rPr>
                <w:sz w:val="24"/>
                <w:szCs w:val="24"/>
              </w:rPr>
            </w:pPr>
            <w:r w:rsidRPr="00505661">
              <w:rPr>
                <w:sz w:val="24"/>
                <w:szCs w:val="24"/>
              </w:rPr>
              <w:t>24-27 March 2020</w:t>
            </w:r>
          </w:p>
        </w:tc>
        <w:tc>
          <w:tcPr>
            <w:tcW w:w="2551" w:type="dxa"/>
            <w:tcBorders>
              <w:top w:val="single" w:sz="4" w:space="0" w:color="auto"/>
              <w:bottom w:val="single" w:sz="4" w:space="0" w:color="auto"/>
            </w:tcBorders>
          </w:tcPr>
          <w:p w:rsidR="00014EA1" w:rsidRPr="00505661" w:rsidRDefault="00014EA1" w:rsidP="00505661">
            <w:pPr>
              <w:pStyle w:val="CEOAnnexTable"/>
              <w:rPr>
                <w:sz w:val="24"/>
                <w:szCs w:val="24"/>
              </w:rPr>
            </w:pPr>
            <w:r w:rsidRPr="00505661">
              <w:rPr>
                <w:sz w:val="24"/>
                <w:szCs w:val="24"/>
              </w:rPr>
              <w:t>Geneva, Switzerland</w:t>
            </w:r>
          </w:p>
        </w:tc>
      </w:tr>
      <w:tr w:rsidR="00014EA1" w:rsidRPr="00505661" w:rsidTr="009943F1">
        <w:tc>
          <w:tcPr>
            <w:tcW w:w="3686" w:type="dxa"/>
            <w:tcBorders>
              <w:top w:val="single" w:sz="4" w:space="0" w:color="auto"/>
              <w:bottom w:val="single" w:sz="4" w:space="0" w:color="6699FF"/>
            </w:tcBorders>
          </w:tcPr>
          <w:p w:rsidR="00014EA1" w:rsidRPr="00505661" w:rsidRDefault="00014EA1" w:rsidP="00505661">
            <w:pPr>
              <w:pStyle w:val="CEOAnnexTable"/>
              <w:rPr>
                <w:sz w:val="24"/>
                <w:szCs w:val="24"/>
              </w:rPr>
            </w:pPr>
            <w:r w:rsidRPr="00505661">
              <w:rPr>
                <w:sz w:val="24"/>
                <w:szCs w:val="24"/>
              </w:rPr>
              <w:t>TDAG-21</w:t>
            </w:r>
          </w:p>
        </w:tc>
        <w:tc>
          <w:tcPr>
            <w:tcW w:w="3402" w:type="dxa"/>
            <w:tcBorders>
              <w:top w:val="single" w:sz="4" w:space="0" w:color="auto"/>
              <w:bottom w:val="single" w:sz="4" w:space="0" w:color="6699FF"/>
            </w:tcBorders>
          </w:tcPr>
          <w:p w:rsidR="00014EA1" w:rsidRPr="00505661" w:rsidRDefault="00014EA1" w:rsidP="00DA4EB7">
            <w:pPr>
              <w:pStyle w:val="CEOAnnexTable"/>
              <w:rPr>
                <w:sz w:val="24"/>
                <w:szCs w:val="24"/>
              </w:rPr>
            </w:pPr>
            <w:r w:rsidRPr="008C08BC">
              <w:rPr>
                <w:sz w:val="24"/>
                <w:szCs w:val="24"/>
              </w:rPr>
              <w:t xml:space="preserve">25-28 May </w:t>
            </w:r>
            <w:r w:rsidR="008C08BC">
              <w:rPr>
                <w:sz w:val="24"/>
                <w:szCs w:val="24"/>
              </w:rPr>
              <w:t>or 22-</w:t>
            </w:r>
            <w:r w:rsidR="00DA4EB7">
              <w:rPr>
                <w:sz w:val="24"/>
                <w:szCs w:val="24"/>
              </w:rPr>
              <w:t xml:space="preserve">25 </w:t>
            </w:r>
            <w:r w:rsidR="008C08BC">
              <w:rPr>
                <w:sz w:val="24"/>
                <w:szCs w:val="24"/>
              </w:rPr>
              <w:t xml:space="preserve">June </w:t>
            </w:r>
            <w:r w:rsidRPr="008C08BC">
              <w:rPr>
                <w:sz w:val="24"/>
                <w:szCs w:val="24"/>
              </w:rPr>
              <w:t>2021</w:t>
            </w:r>
          </w:p>
        </w:tc>
        <w:tc>
          <w:tcPr>
            <w:tcW w:w="2551" w:type="dxa"/>
            <w:tcBorders>
              <w:top w:val="single" w:sz="4" w:space="0" w:color="auto"/>
              <w:bottom w:val="single" w:sz="4" w:space="0" w:color="6699FF"/>
            </w:tcBorders>
          </w:tcPr>
          <w:p w:rsidR="00014EA1" w:rsidRPr="00505661" w:rsidRDefault="00014EA1" w:rsidP="00505661">
            <w:pPr>
              <w:pStyle w:val="CEOAnnexTable"/>
              <w:rPr>
                <w:sz w:val="24"/>
                <w:szCs w:val="24"/>
              </w:rPr>
            </w:pPr>
            <w:r w:rsidRPr="00505661">
              <w:rPr>
                <w:sz w:val="24"/>
                <w:szCs w:val="24"/>
              </w:rPr>
              <w:t>Geneva, Switzerland</w:t>
            </w:r>
          </w:p>
        </w:tc>
      </w:tr>
      <w:tr w:rsidR="00014EA1" w:rsidRPr="00505661" w:rsidTr="00505661">
        <w:trPr>
          <w:trHeight w:hRule="exact" w:val="113"/>
          <w:tblHeader/>
        </w:trPr>
        <w:tc>
          <w:tcPr>
            <w:tcW w:w="3686" w:type="dxa"/>
            <w:tcBorders>
              <w:top w:val="single" w:sz="4" w:space="0" w:color="auto"/>
              <w:bottom w:val="single" w:sz="4" w:space="0" w:color="auto"/>
            </w:tcBorders>
            <w:shd w:val="clear" w:color="auto" w:fill="6699FF"/>
          </w:tcPr>
          <w:p w:rsidR="00014EA1" w:rsidRPr="00505661" w:rsidRDefault="00014EA1" w:rsidP="00505661">
            <w:pPr>
              <w:pStyle w:val="CEOAnnexTable"/>
              <w:keepNext/>
              <w:rPr>
                <w:b/>
                <w:bCs/>
                <w:color w:val="FFFFFF" w:themeColor="background1"/>
                <w:sz w:val="24"/>
                <w:szCs w:val="24"/>
              </w:rPr>
            </w:pPr>
          </w:p>
        </w:tc>
        <w:tc>
          <w:tcPr>
            <w:tcW w:w="3402" w:type="dxa"/>
            <w:tcBorders>
              <w:top w:val="single" w:sz="4" w:space="0" w:color="auto"/>
              <w:bottom w:val="single" w:sz="4" w:space="0" w:color="auto"/>
            </w:tcBorders>
            <w:shd w:val="clear" w:color="auto" w:fill="6699FF"/>
          </w:tcPr>
          <w:p w:rsidR="00014EA1" w:rsidRPr="00505661" w:rsidRDefault="00014EA1" w:rsidP="00505661">
            <w:pPr>
              <w:pStyle w:val="CEOAnnexTable"/>
              <w:keepNext/>
              <w:rPr>
                <w:b/>
                <w:bCs/>
                <w:color w:val="FFFFFF" w:themeColor="background1"/>
                <w:sz w:val="24"/>
                <w:szCs w:val="24"/>
              </w:rPr>
            </w:pPr>
          </w:p>
        </w:tc>
        <w:tc>
          <w:tcPr>
            <w:tcW w:w="2551" w:type="dxa"/>
            <w:tcBorders>
              <w:top w:val="single" w:sz="4" w:space="0" w:color="auto"/>
              <w:bottom w:val="single" w:sz="4" w:space="0" w:color="auto"/>
            </w:tcBorders>
            <w:shd w:val="clear" w:color="auto" w:fill="6699FF"/>
          </w:tcPr>
          <w:p w:rsidR="00014EA1" w:rsidRPr="00505661" w:rsidRDefault="00014EA1" w:rsidP="00505661">
            <w:pPr>
              <w:pStyle w:val="CEOAnnexTable"/>
              <w:keepNext/>
              <w:rPr>
                <w:b/>
                <w:bCs/>
                <w:color w:val="FFFFFF" w:themeColor="background1"/>
                <w:sz w:val="24"/>
                <w:szCs w:val="24"/>
              </w:rPr>
            </w:pPr>
          </w:p>
        </w:tc>
      </w:tr>
      <w:tr w:rsidR="00014EA1" w:rsidRPr="00505661" w:rsidTr="009943F1">
        <w:tc>
          <w:tcPr>
            <w:tcW w:w="3686" w:type="dxa"/>
            <w:tcBorders>
              <w:top w:val="single" w:sz="4" w:space="0" w:color="auto"/>
              <w:bottom w:val="single" w:sz="4" w:space="0" w:color="auto"/>
            </w:tcBorders>
          </w:tcPr>
          <w:p w:rsidR="00014EA1" w:rsidRPr="00505661" w:rsidRDefault="00014EA1" w:rsidP="00505661">
            <w:pPr>
              <w:pStyle w:val="CEOAnnexTable"/>
              <w:rPr>
                <w:sz w:val="24"/>
                <w:szCs w:val="24"/>
              </w:rPr>
            </w:pPr>
            <w:r w:rsidRPr="00505661">
              <w:rPr>
                <w:sz w:val="24"/>
                <w:szCs w:val="24"/>
              </w:rPr>
              <w:t>ITU-D Study Group 1</w:t>
            </w:r>
          </w:p>
        </w:tc>
        <w:tc>
          <w:tcPr>
            <w:tcW w:w="3402" w:type="dxa"/>
            <w:tcBorders>
              <w:top w:val="single" w:sz="4" w:space="0" w:color="auto"/>
              <w:bottom w:val="single" w:sz="4" w:space="0" w:color="auto"/>
            </w:tcBorders>
          </w:tcPr>
          <w:p w:rsidR="00014EA1" w:rsidRPr="00505661" w:rsidRDefault="00014EA1" w:rsidP="00505661">
            <w:pPr>
              <w:pStyle w:val="CEOAnnexTable"/>
              <w:rPr>
                <w:sz w:val="24"/>
                <w:szCs w:val="24"/>
              </w:rPr>
            </w:pPr>
            <w:r w:rsidRPr="00505661">
              <w:rPr>
                <w:sz w:val="24"/>
                <w:szCs w:val="24"/>
              </w:rPr>
              <w:t>30 April – 4 May 2018</w:t>
            </w:r>
          </w:p>
        </w:tc>
        <w:tc>
          <w:tcPr>
            <w:tcW w:w="2551" w:type="dxa"/>
            <w:tcBorders>
              <w:top w:val="single" w:sz="4" w:space="0" w:color="auto"/>
              <w:bottom w:val="single" w:sz="4" w:space="0" w:color="auto"/>
            </w:tcBorders>
          </w:tcPr>
          <w:p w:rsidR="00014EA1" w:rsidRPr="00505661" w:rsidRDefault="00014EA1" w:rsidP="00505661">
            <w:pPr>
              <w:pStyle w:val="CEOAnnexTable"/>
              <w:rPr>
                <w:sz w:val="24"/>
                <w:szCs w:val="24"/>
              </w:rPr>
            </w:pPr>
            <w:r w:rsidRPr="00505661">
              <w:rPr>
                <w:sz w:val="24"/>
                <w:szCs w:val="24"/>
              </w:rPr>
              <w:t>Geneva, Switzerland</w:t>
            </w:r>
          </w:p>
        </w:tc>
      </w:tr>
      <w:tr w:rsidR="00014EA1" w:rsidRPr="00505661" w:rsidTr="009943F1">
        <w:tc>
          <w:tcPr>
            <w:tcW w:w="3686" w:type="dxa"/>
            <w:tcBorders>
              <w:top w:val="single" w:sz="4" w:space="0" w:color="auto"/>
              <w:bottom w:val="single" w:sz="12" w:space="0" w:color="6699FF"/>
            </w:tcBorders>
          </w:tcPr>
          <w:p w:rsidR="00014EA1" w:rsidRPr="00505661" w:rsidRDefault="00014EA1" w:rsidP="00505661">
            <w:pPr>
              <w:pStyle w:val="CEOAnnexTable"/>
              <w:rPr>
                <w:sz w:val="24"/>
                <w:szCs w:val="24"/>
              </w:rPr>
            </w:pPr>
            <w:r w:rsidRPr="00505661">
              <w:rPr>
                <w:sz w:val="24"/>
                <w:szCs w:val="24"/>
              </w:rPr>
              <w:t>ITU-D Study Group 2</w:t>
            </w:r>
          </w:p>
        </w:tc>
        <w:tc>
          <w:tcPr>
            <w:tcW w:w="3402" w:type="dxa"/>
            <w:tcBorders>
              <w:top w:val="single" w:sz="4" w:space="0" w:color="auto"/>
              <w:bottom w:val="single" w:sz="12" w:space="0" w:color="6699FF"/>
            </w:tcBorders>
          </w:tcPr>
          <w:p w:rsidR="00014EA1" w:rsidRPr="00505661" w:rsidRDefault="00014EA1" w:rsidP="00505661">
            <w:pPr>
              <w:pStyle w:val="CEOAnnexTable"/>
              <w:rPr>
                <w:sz w:val="24"/>
                <w:szCs w:val="24"/>
              </w:rPr>
            </w:pPr>
            <w:r w:rsidRPr="00505661">
              <w:rPr>
                <w:sz w:val="24"/>
                <w:szCs w:val="24"/>
              </w:rPr>
              <w:t>7-11 May 2018</w:t>
            </w:r>
          </w:p>
        </w:tc>
        <w:tc>
          <w:tcPr>
            <w:tcW w:w="2551" w:type="dxa"/>
            <w:tcBorders>
              <w:top w:val="single" w:sz="4" w:space="0" w:color="auto"/>
              <w:bottom w:val="single" w:sz="12" w:space="0" w:color="6699FF"/>
            </w:tcBorders>
          </w:tcPr>
          <w:p w:rsidR="00014EA1" w:rsidRPr="00505661" w:rsidRDefault="00014EA1" w:rsidP="00505661">
            <w:pPr>
              <w:pStyle w:val="CEOAnnexTable"/>
              <w:rPr>
                <w:sz w:val="24"/>
                <w:szCs w:val="24"/>
              </w:rPr>
            </w:pPr>
            <w:r w:rsidRPr="00505661">
              <w:rPr>
                <w:sz w:val="24"/>
                <w:szCs w:val="24"/>
              </w:rPr>
              <w:t>Geneva, Switzerland</w:t>
            </w:r>
          </w:p>
        </w:tc>
      </w:tr>
      <w:tr w:rsidR="00D04E30" w:rsidRPr="00505661" w:rsidTr="009943F1">
        <w:tc>
          <w:tcPr>
            <w:tcW w:w="3686" w:type="dxa"/>
            <w:tcBorders>
              <w:top w:val="single" w:sz="4" w:space="0" w:color="auto"/>
              <w:bottom w:val="single" w:sz="4" w:space="0" w:color="auto"/>
            </w:tcBorders>
          </w:tcPr>
          <w:p w:rsidR="00D04E30" w:rsidRPr="00505661" w:rsidRDefault="00D04E30" w:rsidP="00505661">
            <w:pPr>
              <w:pStyle w:val="CEOAnnexTable"/>
              <w:rPr>
                <w:sz w:val="24"/>
                <w:szCs w:val="24"/>
              </w:rPr>
            </w:pPr>
            <w:r w:rsidRPr="00505661">
              <w:rPr>
                <w:sz w:val="24"/>
                <w:szCs w:val="24"/>
              </w:rPr>
              <w:t xml:space="preserve">Rapporteur Group (SG1) </w:t>
            </w:r>
          </w:p>
        </w:tc>
        <w:tc>
          <w:tcPr>
            <w:tcW w:w="3402" w:type="dxa"/>
            <w:tcBorders>
              <w:top w:val="single" w:sz="4" w:space="0" w:color="auto"/>
              <w:bottom w:val="single" w:sz="4" w:space="0" w:color="auto"/>
            </w:tcBorders>
          </w:tcPr>
          <w:p w:rsidR="00D04E30" w:rsidRPr="00505661" w:rsidRDefault="00D04E30" w:rsidP="00505661">
            <w:pPr>
              <w:pStyle w:val="CEOAnnexTable"/>
              <w:rPr>
                <w:sz w:val="24"/>
                <w:szCs w:val="24"/>
              </w:rPr>
            </w:pPr>
            <w:r w:rsidRPr="00505661">
              <w:rPr>
                <w:sz w:val="24"/>
                <w:szCs w:val="24"/>
              </w:rPr>
              <w:t>17-29 September 2018</w:t>
            </w:r>
          </w:p>
        </w:tc>
        <w:tc>
          <w:tcPr>
            <w:tcW w:w="2551" w:type="dxa"/>
            <w:tcBorders>
              <w:top w:val="single" w:sz="4" w:space="0" w:color="auto"/>
              <w:bottom w:val="single" w:sz="4" w:space="0" w:color="auto"/>
            </w:tcBorders>
          </w:tcPr>
          <w:p w:rsidR="00D04E30" w:rsidRPr="00505661" w:rsidRDefault="00D04E30" w:rsidP="00505661">
            <w:pPr>
              <w:pStyle w:val="CEOAnnexTable"/>
              <w:rPr>
                <w:sz w:val="24"/>
                <w:szCs w:val="24"/>
              </w:rPr>
            </w:pPr>
            <w:r w:rsidRPr="00505661">
              <w:rPr>
                <w:sz w:val="24"/>
                <w:szCs w:val="24"/>
              </w:rPr>
              <w:t>Geneva, Switzerland</w:t>
            </w:r>
          </w:p>
        </w:tc>
      </w:tr>
      <w:tr w:rsidR="00D04E30" w:rsidRPr="00505661" w:rsidTr="009943F1">
        <w:tc>
          <w:tcPr>
            <w:tcW w:w="3686" w:type="dxa"/>
            <w:tcBorders>
              <w:top w:val="single" w:sz="4" w:space="0" w:color="auto"/>
              <w:bottom w:val="single" w:sz="12" w:space="0" w:color="6699FF"/>
            </w:tcBorders>
          </w:tcPr>
          <w:p w:rsidR="00D04E30" w:rsidRPr="00505661" w:rsidRDefault="00D04E30" w:rsidP="00505661">
            <w:pPr>
              <w:pStyle w:val="CEOAnnexTable"/>
              <w:rPr>
                <w:sz w:val="24"/>
                <w:szCs w:val="24"/>
              </w:rPr>
            </w:pPr>
            <w:r w:rsidRPr="00505661">
              <w:rPr>
                <w:sz w:val="24"/>
                <w:szCs w:val="24"/>
              </w:rPr>
              <w:t>Rapporteur Group (SG2)</w:t>
            </w:r>
          </w:p>
        </w:tc>
        <w:tc>
          <w:tcPr>
            <w:tcW w:w="3402" w:type="dxa"/>
            <w:tcBorders>
              <w:top w:val="single" w:sz="4" w:space="0" w:color="auto"/>
              <w:bottom w:val="single" w:sz="12" w:space="0" w:color="6699FF"/>
            </w:tcBorders>
          </w:tcPr>
          <w:p w:rsidR="00D04E30" w:rsidRPr="00505661" w:rsidRDefault="00D04E30" w:rsidP="00505661">
            <w:pPr>
              <w:pStyle w:val="CEOAnnexTable"/>
              <w:rPr>
                <w:sz w:val="24"/>
                <w:szCs w:val="24"/>
              </w:rPr>
            </w:pPr>
            <w:r w:rsidRPr="00505661">
              <w:rPr>
                <w:sz w:val="24"/>
                <w:szCs w:val="24"/>
              </w:rPr>
              <w:t>1-12 October 2018</w:t>
            </w:r>
          </w:p>
        </w:tc>
        <w:tc>
          <w:tcPr>
            <w:tcW w:w="2551" w:type="dxa"/>
            <w:tcBorders>
              <w:top w:val="single" w:sz="4" w:space="0" w:color="auto"/>
              <w:bottom w:val="single" w:sz="12" w:space="0" w:color="6699FF"/>
            </w:tcBorders>
          </w:tcPr>
          <w:p w:rsidR="00D04E30" w:rsidRPr="00505661" w:rsidRDefault="00D04E30" w:rsidP="00505661">
            <w:pPr>
              <w:pStyle w:val="CEOAnnexTable"/>
              <w:rPr>
                <w:sz w:val="24"/>
                <w:szCs w:val="24"/>
              </w:rPr>
            </w:pPr>
            <w:r w:rsidRPr="00505661">
              <w:rPr>
                <w:sz w:val="24"/>
                <w:szCs w:val="24"/>
              </w:rPr>
              <w:t>Geneva, Switzerland</w:t>
            </w:r>
          </w:p>
        </w:tc>
      </w:tr>
      <w:tr w:rsidR="00014EA1" w:rsidRPr="00505661" w:rsidTr="009943F1">
        <w:tc>
          <w:tcPr>
            <w:tcW w:w="3686" w:type="dxa"/>
            <w:tcBorders>
              <w:top w:val="single" w:sz="12" w:space="0" w:color="6699FF"/>
              <w:bottom w:val="single" w:sz="4" w:space="0" w:color="auto"/>
            </w:tcBorders>
          </w:tcPr>
          <w:p w:rsidR="00014EA1" w:rsidRPr="00505661" w:rsidRDefault="00014EA1" w:rsidP="00505661">
            <w:pPr>
              <w:pStyle w:val="CEOAnnexTable"/>
              <w:rPr>
                <w:sz w:val="24"/>
                <w:szCs w:val="24"/>
              </w:rPr>
            </w:pPr>
            <w:r w:rsidRPr="00505661">
              <w:rPr>
                <w:sz w:val="24"/>
                <w:szCs w:val="24"/>
              </w:rPr>
              <w:t>ITU-D Study Group 1</w:t>
            </w:r>
          </w:p>
        </w:tc>
        <w:tc>
          <w:tcPr>
            <w:tcW w:w="3402" w:type="dxa"/>
            <w:tcBorders>
              <w:top w:val="single" w:sz="12" w:space="0" w:color="6699FF"/>
              <w:bottom w:val="single" w:sz="4" w:space="0" w:color="auto"/>
            </w:tcBorders>
          </w:tcPr>
          <w:p w:rsidR="00014EA1" w:rsidRPr="00505661" w:rsidRDefault="00014EA1" w:rsidP="00505661">
            <w:pPr>
              <w:pStyle w:val="CEOAnnexTable"/>
              <w:rPr>
                <w:sz w:val="24"/>
                <w:szCs w:val="24"/>
              </w:rPr>
            </w:pPr>
            <w:r w:rsidRPr="00505661">
              <w:rPr>
                <w:sz w:val="24"/>
                <w:szCs w:val="24"/>
              </w:rPr>
              <w:t>18-22 March 2019</w:t>
            </w:r>
          </w:p>
        </w:tc>
        <w:tc>
          <w:tcPr>
            <w:tcW w:w="2551" w:type="dxa"/>
            <w:tcBorders>
              <w:top w:val="single" w:sz="12" w:space="0" w:color="6699FF"/>
              <w:bottom w:val="single" w:sz="4" w:space="0" w:color="auto"/>
            </w:tcBorders>
          </w:tcPr>
          <w:p w:rsidR="00014EA1" w:rsidRPr="00505661" w:rsidRDefault="00014EA1" w:rsidP="00505661">
            <w:pPr>
              <w:pStyle w:val="CEOAnnexTable"/>
              <w:rPr>
                <w:sz w:val="24"/>
                <w:szCs w:val="24"/>
              </w:rPr>
            </w:pPr>
            <w:r w:rsidRPr="00505661">
              <w:rPr>
                <w:sz w:val="24"/>
                <w:szCs w:val="24"/>
              </w:rPr>
              <w:t>Geneva, Switzerland</w:t>
            </w:r>
          </w:p>
        </w:tc>
      </w:tr>
      <w:tr w:rsidR="00014EA1" w:rsidRPr="00505661" w:rsidTr="009943F1">
        <w:tc>
          <w:tcPr>
            <w:tcW w:w="3686" w:type="dxa"/>
            <w:tcBorders>
              <w:top w:val="single" w:sz="4" w:space="0" w:color="auto"/>
              <w:bottom w:val="single" w:sz="12" w:space="0" w:color="6699FF"/>
            </w:tcBorders>
          </w:tcPr>
          <w:p w:rsidR="00014EA1" w:rsidRPr="00505661" w:rsidRDefault="00014EA1" w:rsidP="00505661">
            <w:pPr>
              <w:pStyle w:val="CEOAnnexTable"/>
              <w:rPr>
                <w:sz w:val="24"/>
                <w:szCs w:val="24"/>
              </w:rPr>
            </w:pPr>
            <w:r w:rsidRPr="00505661">
              <w:rPr>
                <w:sz w:val="24"/>
                <w:szCs w:val="24"/>
              </w:rPr>
              <w:t>ITU-D Study Group 2</w:t>
            </w:r>
          </w:p>
        </w:tc>
        <w:tc>
          <w:tcPr>
            <w:tcW w:w="3402" w:type="dxa"/>
            <w:tcBorders>
              <w:top w:val="single" w:sz="4" w:space="0" w:color="auto"/>
              <w:bottom w:val="single" w:sz="12" w:space="0" w:color="6699FF"/>
            </w:tcBorders>
          </w:tcPr>
          <w:p w:rsidR="00014EA1" w:rsidRPr="00505661" w:rsidRDefault="00014EA1" w:rsidP="00505661">
            <w:pPr>
              <w:pStyle w:val="CEOAnnexTable"/>
              <w:rPr>
                <w:sz w:val="24"/>
                <w:szCs w:val="24"/>
              </w:rPr>
            </w:pPr>
            <w:r w:rsidRPr="00505661">
              <w:rPr>
                <w:sz w:val="24"/>
                <w:szCs w:val="24"/>
              </w:rPr>
              <w:t>25-29 March 2019</w:t>
            </w:r>
          </w:p>
        </w:tc>
        <w:tc>
          <w:tcPr>
            <w:tcW w:w="2551" w:type="dxa"/>
            <w:tcBorders>
              <w:top w:val="single" w:sz="4" w:space="0" w:color="auto"/>
              <w:bottom w:val="single" w:sz="12" w:space="0" w:color="6699FF"/>
            </w:tcBorders>
          </w:tcPr>
          <w:p w:rsidR="00014EA1" w:rsidRPr="00505661" w:rsidRDefault="00014EA1" w:rsidP="00505661">
            <w:pPr>
              <w:pStyle w:val="CEOAnnexTable"/>
              <w:rPr>
                <w:sz w:val="24"/>
                <w:szCs w:val="24"/>
              </w:rPr>
            </w:pPr>
            <w:r w:rsidRPr="00505661">
              <w:rPr>
                <w:sz w:val="24"/>
                <w:szCs w:val="24"/>
              </w:rPr>
              <w:t>Geneva, Switzerland</w:t>
            </w:r>
          </w:p>
        </w:tc>
      </w:tr>
      <w:tr w:rsidR="00D04E30" w:rsidRPr="00505661" w:rsidTr="009943F1">
        <w:tc>
          <w:tcPr>
            <w:tcW w:w="3686" w:type="dxa"/>
            <w:tcBorders>
              <w:top w:val="single" w:sz="12" w:space="0" w:color="6699FF"/>
              <w:bottom w:val="single" w:sz="4" w:space="0" w:color="auto"/>
            </w:tcBorders>
          </w:tcPr>
          <w:p w:rsidR="00D04E30" w:rsidRPr="00505661" w:rsidRDefault="00D04E30" w:rsidP="00505661">
            <w:pPr>
              <w:pStyle w:val="CEOAnnexTable"/>
              <w:rPr>
                <w:sz w:val="24"/>
                <w:szCs w:val="24"/>
              </w:rPr>
            </w:pPr>
            <w:r w:rsidRPr="00505661">
              <w:rPr>
                <w:sz w:val="24"/>
                <w:szCs w:val="24"/>
              </w:rPr>
              <w:t xml:space="preserve">Rapporteur Group (SG1) </w:t>
            </w:r>
          </w:p>
        </w:tc>
        <w:tc>
          <w:tcPr>
            <w:tcW w:w="3402" w:type="dxa"/>
            <w:tcBorders>
              <w:top w:val="single" w:sz="12" w:space="0" w:color="6699FF"/>
              <w:bottom w:val="single" w:sz="4" w:space="0" w:color="auto"/>
            </w:tcBorders>
          </w:tcPr>
          <w:p w:rsidR="00D04E30" w:rsidRPr="00505661" w:rsidRDefault="00D04E30" w:rsidP="00505661">
            <w:pPr>
              <w:pStyle w:val="CEOAnnexTable"/>
              <w:rPr>
                <w:sz w:val="24"/>
                <w:szCs w:val="24"/>
              </w:rPr>
            </w:pPr>
            <w:r w:rsidRPr="00505661">
              <w:rPr>
                <w:sz w:val="24"/>
                <w:szCs w:val="24"/>
              </w:rPr>
              <w:t>23 September – 4 October 2019</w:t>
            </w:r>
          </w:p>
        </w:tc>
        <w:tc>
          <w:tcPr>
            <w:tcW w:w="2551" w:type="dxa"/>
            <w:tcBorders>
              <w:top w:val="single" w:sz="12" w:space="0" w:color="6699FF"/>
              <w:bottom w:val="single" w:sz="4" w:space="0" w:color="auto"/>
            </w:tcBorders>
          </w:tcPr>
          <w:p w:rsidR="00D04E30" w:rsidRPr="00505661" w:rsidRDefault="00D04E30" w:rsidP="00505661">
            <w:pPr>
              <w:pStyle w:val="CEOAnnexTable"/>
              <w:rPr>
                <w:sz w:val="24"/>
                <w:szCs w:val="24"/>
              </w:rPr>
            </w:pPr>
            <w:r w:rsidRPr="00505661">
              <w:rPr>
                <w:sz w:val="24"/>
                <w:szCs w:val="24"/>
              </w:rPr>
              <w:t>Geneva, Switzerland</w:t>
            </w:r>
          </w:p>
        </w:tc>
      </w:tr>
      <w:tr w:rsidR="00D04E30" w:rsidRPr="00505661" w:rsidTr="009943F1">
        <w:tc>
          <w:tcPr>
            <w:tcW w:w="3686" w:type="dxa"/>
            <w:tcBorders>
              <w:top w:val="single" w:sz="4" w:space="0" w:color="auto"/>
              <w:bottom w:val="single" w:sz="12" w:space="0" w:color="6699FF"/>
            </w:tcBorders>
          </w:tcPr>
          <w:p w:rsidR="00D04E30" w:rsidRPr="00505661" w:rsidRDefault="00D04E30" w:rsidP="00505661">
            <w:pPr>
              <w:pStyle w:val="CEOAnnexTable"/>
              <w:rPr>
                <w:sz w:val="24"/>
                <w:szCs w:val="24"/>
              </w:rPr>
            </w:pPr>
            <w:r w:rsidRPr="00505661">
              <w:rPr>
                <w:sz w:val="24"/>
                <w:szCs w:val="24"/>
              </w:rPr>
              <w:t>Rapporteur Group (SG2)</w:t>
            </w:r>
          </w:p>
        </w:tc>
        <w:tc>
          <w:tcPr>
            <w:tcW w:w="3402" w:type="dxa"/>
            <w:tcBorders>
              <w:top w:val="single" w:sz="4" w:space="0" w:color="auto"/>
              <w:bottom w:val="single" w:sz="12" w:space="0" w:color="6699FF"/>
            </w:tcBorders>
          </w:tcPr>
          <w:p w:rsidR="00D04E30" w:rsidRPr="00505661" w:rsidRDefault="00D04E30" w:rsidP="00505661">
            <w:pPr>
              <w:pStyle w:val="CEOAnnexTable"/>
              <w:rPr>
                <w:sz w:val="24"/>
                <w:szCs w:val="24"/>
              </w:rPr>
            </w:pPr>
            <w:r w:rsidRPr="00505661">
              <w:rPr>
                <w:sz w:val="24"/>
                <w:szCs w:val="24"/>
              </w:rPr>
              <w:t>7-18 October 2019</w:t>
            </w:r>
          </w:p>
        </w:tc>
        <w:tc>
          <w:tcPr>
            <w:tcW w:w="2551" w:type="dxa"/>
            <w:tcBorders>
              <w:top w:val="single" w:sz="4" w:space="0" w:color="auto"/>
              <w:bottom w:val="single" w:sz="12" w:space="0" w:color="6699FF"/>
            </w:tcBorders>
          </w:tcPr>
          <w:p w:rsidR="00D04E30" w:rsidRPr="00505661" w:rsidRDefault="00D04E30" w:rsidP="00505661">
            <w:pPr>
              <w:pStyle w:val="CEOAnnexTable"/>
              <w:rPr>
                <w:sz w:val="24"/>
                <w:szCs w:val="24"/>
              </w:rPr>
            </w:pPr>
            <w:r w:rsidRPr="00505661">
              <w:rPr>
                <w:sz w:val="24"/>
                <w:szCs w:val="24"/>
              </w:rPr>
              <w:t>Geneva, Switzerland</w:t>
            </w:r>
          </w:p>
        </w:tc>
      </w:tr>
      <w:tr w:rsidR="00014EA1" w:rsidRPr="00505661" w:rsidTr="009943F1">
        <w:tc>
          <w:tcPr>
            <w:tcW w:w="3686" w:type="dxa"/>
            <w:tcBorders>
              <w:top w:val="single" w:sz="12" w:space="0" w:color="6699FF"/>
              <w:bottom w:val="single" w:sz="4" w:space="0" w:color="auto"/>
            </w:tcBorders>
          </w:tcPr>
          <w:p w:rsidR="00014EA1" w:rsidRPr="00505661" w:rsidRDefault="00014EA1" w:rsidP="00505661">
            <w:pPr>
              <w:pStyle w:val="CEOAnnexTable"/>
              <w:rPr>
                <w:sz w:val="24"/>
                <w:szCs w:val="24"/>
              </w:rPr>
            </w:pPr>
            <w:r w:rsidRPr="00505661">
              <w:rPr>
                <w:sz w:val="24"/>
                <w:szCs w:val="24"/>
              </w:rPr>
              <w:t>ITU-D Study Group 1</w:t>
            </w:r>
          </w:p>
        </w:tc>
        <w:tc>
          <w:tcPr>
            <w:tcW w:w="3402" w:type="dxa"/>
            <w:tcBorders>
              <w:top w:val="single" w:sz="12" w:space="0" w:color="6699FF"/>
              <w:bottom w:val="single" w:sz="4" w:space="0" w:color="auto"/>
            </w:tcBorders>
          </w:tcPr>
          <w:p w:rsidR="00014EA1" w:rsidRPr="00505661" w:rsidRDefault="00014EA1" w:rsidP="00505661">
            <w:pPr>
              <w:pStyle w:val="CEOAnnexTable"/>
              <w:rPr>
                <w:sz w:val="24"/>
                <w:szCs w:val="24"/>
              </w:rPr>
            </w:pPr>
            <w:r w:rsidRPr="00505661">
              <w:rPr>
                <w:sz w:val="24"/>
                <w:szCs w:val="24"/>
              </w:rPr>
              <w:t>17-21 February 2020</w:t>
            </w:r>
          </w:p>
        </w:tc>
        <w:tc>
          <w:tcPr>
            <w:tcW w:w="2551" w:type="dxa"/>
            <w:tcBorders>
              <w:top w:val="single" w:sz="12" w:space="0" w:color="6699FF"/>
              <w:bottom w:val="single" w:sz="4" w:space="0" w:color="auto"/>
            </w:tcBorders>
          </w:tcPr>
          <w:p w:rsidR="00014EA1" w:rsidRPr="00505661" w:rsidRDefault="00014EA1" w:rsidP="00505661">
            <w:pPr>
              <w:pStyle w:val="CEOAnnexTable"/>
              <w:rPr>
                <w:sz w:val="24"/>
                <w:szCs w:val="24"/>
              </w:rPr>
            </w:pPr>
            <w:r w:rsidRPr="00505661">
              <w:rPr>
                <w:sz w:val="24"/>
                <w:szCs w:val="24"/>
              </w:rPr>
              <w:t>Geneva, Switzerland</w:t>
            </w:r>
          </w:p>
        </w:tc>
      </w:tr>
      <w:tr w:rsidR="00014EA1" w:rsidRPr="00505661" w:rsidTr="009943F1">
        <w:tc>
          <w:tcPr>
            <w:tcW w:w="3686" w:type="dxa"/>
            <w:tcBorders>
              <w:top w:val="single" w:sz="4" w:space="0" w:color="auto"/>
              <w:bottom w:val="single" w:sz="12" w:space="0" w:color="6699FF"/>
            </w:tcBorders>
          </w:tcPr>
          <w:p w:rsidR="00014EA1" w:rsidRPr="00505661" w:rsidRDefault="00014EA1" w:rsidP="00505661">
            <w:pPr>
              <w:pStyle w:val="CEOAnnexTable"/>
              <w:rPr>
                <w:sz w:val="24"/>
                <w:szCs w:val="24"/>
              </w:rPr>
            </w:pPr>
            <w:r w:rsidRPr="00505661">
              <w:rPr>
                <w:sz w:val="24"/>
                <w:szCs w:val="24"/>
              </w:rPr>
              <w:t>ITU-D Study Group 2</w:t>
            </w:r>
          </w:p>
        </w:tc>
        <w:tc>
          <w:tcPr>
            <w:tcW w:w="3402" w:type="dxa"/>
            <w:tcBorders>
              <w:top w:val="single" w:sz="4" w:space="0" w:color="auto"/>
              <w:bottom w:val="single" w:sz="12" w:space="0" w:color="6699FF"/>
            </w:tcBorders>
          </w:tcPr>
          <w:p w:rsidR="00014EA1" w:rsidRPr="00505661" w:rsidRDefault="00014EA1" w:rsidP="00505661">
            <w:pPr>
              <w:pStyle w:val="CEOAnnexTable"/>
              <w:rPr>
                <w:sz w:val="24"/>
                <w:szCs w:val="24"/>
              </w:rPr>
            </w:pPr>
            <w:r w:rsidRPr="00505661">
              <w:rPr>
                <w:sz w:val="24"/>
                <w:szCs w:val="24"/>
              </w:rPr>
              <w:t>24-28 February 2020</w:t>
            </w:r>
          </w:p>
        </w:tc>
        <w:tc>
          <w:tcPr>
            <w:tcW w:w="2551" w:type="dxa"/>
            <w:tcBorders>
              <w:top w:val="single" w:sz="4" w:space="0" w:color="auto"/>
              <w:bottom w:val="single" w:sz="12" w:space="0" w:color="6699FF"/>
            </w:tcBorders>
          </w:tcPr>
          <w:p w:rsidR="00014EA1" w:rsidRPr="00505661" w:rsidRDefault="00014EA1" w:rsidP="00505661">
            <w:pPr>
              <w:pStyle w:val="CEOAnnexTable"/>
              <w:rPr>
                <w:sz w:val="24"/>
                <w:szCs w:val="24"/>
              </w:rPr>
            </w:pPr>
            <w:r w:rsidRPr="00505661">
              <w:rPr>
                <w:sz w:val="24"/>
                <w:szCs w:val="24"/>
              </w:rPr>
              <w:t>Geneva, Switzerland</w:t>
            </w:r>
          </w:p>
        </w:tc>
      </w:tr>
      <w:tr w:rsidR="00D04E30" w:rsidRPr="00505661" w:rsidTr="009943F1">
        <w:tc>
          <w:tcPr>
            <w:tcW w:w="3686" w:type="dxa"/>
            <w:tcBorders>
              <w:top w:val="single" w:sz="12" w:space="0" w:color="6699FF"/>
              <w:bottom w:val="single" w:sz="4" w:space="0" w:color="auto"/>
            </w:tcBorders>
          </w:tcPr>
          <w:p w:rsidR="00D04E30" w:rsidRPr="00505661" w:rsidRDefault="00D04E30" w:rsidP="00505661">
            <w:pPr>
              <w:pStyle w:val="CEOAnnexTable"/>
              <w:rPr>
                <w:sz w:val="24"/>
                <w:szCs w:val="24"/>
              </w:rPr>
            </w:pPr>
            <w:r w:rsidRPr="00505661">
              <w:rPr>
                <w:sz w:val="24"/>
                <w:szCs w:val="24"/>
              </w:rPr>
              <w:t xml:space="preserve">Rapporteur Group (SG1) </w:t>
            </w:r>
          </w:p>
        </w:tc>
        <w:tc>
          <w:tcPr>
            <w:tcW w:w="3402" w:type="dxa"/>
            <w:tcBorders>
              <w:top w:val="single" w:sz="12" w:space="0" w:color="6699FF"/>
              <w:bottom w:val="single" w:sz="4" w:space="0" w:color="auto"/>
            </w:tcBorders>
          </w:tcPr>
          <w:p w:rsidR="00D04E30" w:rsidRPr="00505661" w:rsidRDefault="00D04E30" w:rsidP="00505661">
            <w:pPr>
              <w:pStyle w:val="CEOAnnexTable"/>
              <w:rPr>
                <w:sz w:val="24"/>
                <w:szCs w:val="24"/>
              </w:rPr>
            </w:pPr>
            <w:r w:rsidRPr="00505661">
              <w:rPr>
                <w:sz w:val="24"/>
                <w:szCs w:val="24"/>
              </w:rPr>
              <w:t>21 September – 2 October 2020</w:t>
            </w:r>
          </w:p>
        </w:tc>
        <w:tc>
          <w:tcPr>
            <w:tcW w:w="2551" w:type="dxa"/>
            <w:tcBorders>
              <w:top w:val="single" w:sz="12" w:space="0" w:color="6699FF"/>
              <w:bottom w:val="single" w:sz="4" w:space="0" w:color="auto"/>
            </w:tcBorders>
          </w:tcPr>
          <w:p w:rsidR="00D04E30" w:rsidRPr="00505661" w:rsidRDefault="00D04E30" w:rsidP="00505661">
            <w:pPr>
              <w:pStyle w:val="CEOAnnexTable"/>
              <w:rPr>
                <w:sz w:val="24"/>
                <w:szCs w:val="24"/>
              </w:rPr>
            </w:pPr>
            <w:r w:rsidRPr="00505661">
              <w:rPr>
                <w:sz w:val="24"/>
                <w:szCs w:val="24"/>
              </w:rPr>
              <w:t>Geneva, Switzerland</w:t>
            </w:r>
          </w:p>
        </w:tc>
      </w:tr>
      <w:tr w:rsidR="00D04E30" w:rsidRPr="00505661" w:rsidTr="009943F1">
        <w:tc>
          <w:tcPr>
            <w:tcW w:w="3686" w:type="dxa"/>
            <w:tcBorders>
              <w:top w:val="single" w:sz="4" w:space="0" w:color="auto"/>
              <w:bottom w:val="single" w:sz="4" w:space="0" w:color="6699FF"/>
            </w:tcBorders>
          </w:tcPr>
          <w:p w:rsidR="00D04E30" w:rsidRPr="00505661" w:rsidRDefault="00D04E30" w:rsidP="00505661">
            <w:pPr>
              <w:pStyle w:val="CEOAnnexTable"/>
              <w:rPr>
                <w:sz w:val="24"/>
                <w:szCs w:val="24"/>
              </w:rPr>
            </w:pPr>
            <w:r w:rsidRPr="00505661">
              <w:rPr>
                <w:sz w:val="24"/>
                <w:szCs w:val="24"/>
              </w:rPr>
              <w:t>Rapporteur Group (SG2)</w:t>
            </w:r>
          </w:p>
        </w:tc>
        <w:tc>
          <w:tcPr>
            <w:tcW w:w="3402" w:type="dxa"/>
            <w:tcBorders>
              <w:top w:val="single" w:sz="4" w:space="0" w:color="auto"/>
              <w:bottom w:val="single" w:sz="4" w:space="0" w:color="6699FF"/>
            </w:tcBorders>
          </w:tcPr>
          <w:p w:rsidR="00D04E30" w:rsidRPr="00505661" w:rsidRDefault="00D04E30" w:rsidP="00505661">
            <w:pPr>
              <w:pStyle w:val="CEOAnnexTable"/>
              <w:rPr>
                <w:sz w:val="24"/>
                <w:szCs w:val="24"/>
              </w:rPr>
            </w:pPr>
            <w:r w:rsidRPr="00505661">
              <w:rPr>
                <w:sz w:val="24"/>
                <w:szCs w:val="24"/>
              </w:rPr>
              <w:t>5-16 October 2020</w:t>
            </w:r>
          </w:p>
        </w:tc>
        <w:tc>
          <w:tcPr>
            <w:tcW w:w="2551" w:type="dxa"/>
            <w:tcBorders>
              <w:top w:val="single" w:sz="4" w:space="0" w:color="auto"/>
              <w:bottom w:val="single" w:sz="4" w:space="0" w:color="6699FF"/>
            </w:tcBorders>
          </w:tcPr>
          <w:p w:rsidR="00D04E30" w:rsidRPr="00505661" w:rsidRDefault="00D04E30" w:rsidP="00505661">
            <w:pPr>
              <w:pStyle w:val="CEOAnnexTable"/>
              <w:rPr>
                <w:sz w:val="24"/>
                <w:szCs w:val="24"/>
              </w:rPr>
            </w:pPr>
            <w:r w:rsidRPr="00505661">
              <w:rPr>
                <w:sz w:val="24"/>
                <w:szCs w:val="24"/>
              </w:rPr>
              <w:t>Geneva, Switzerland</w:t>
            </w:r>
          </w:p>
        </w:tc>
      </w:tr>
      <w:tr w:rsidR="00014EA1" w:rsidRPr="00505661" w:rsidTr="009943F1">
        <w:tc>
          <w:tcPr>
            <w:tcW w:w="3686" w:type="dxa"/>
            <w:tcBorders>
              <w:top w:val="single" w:sz="12" w:space="0" w:color="6699FF"/>
              <w:bottom w:val="single" w:sz="4" w:space="0" w:color="auto"/>
            </w:tcBorders>
          </w:tcPr>
          <w:p w:rsidR="00014EA1" w:rsidRPr="00505661" w:rsidRDefault="00014EA1" w:rsidP="00505661">
            <w:pPr>
              <w:pStyle w:val="CEOAnnexTable"/>
              <w:rPr>
                <w:sz w:val="24"/>
                <w:szCs w:val="24"/>
              </w:rPr>
            </w:pPr>
            <w:r w:rsidRPr="00505661">
              <w:rPr>
                <w:sz w:val="24"/>
                <w:szCs w:val="24"/>
              </w:rPr>
              <w:t>ITU-D Study Group 1</w:t>
            </w:r>
          </w:p>
        </w:tc>
        <w:tc>
          <w:tcPr>
            <w:tcW w:w="3402" w:type="dxa"/>
            <w:tcBorders>
              <w:top w:val="single" w:sz="12" w:space="0" w:color="6699FF"/>
              <w:bottom w:val="single" w:sz="4" w:space="0" w:color="auto"/>
            </w:tcBorders>
          </w:tcPr>
          <w:p w:rsidR="00014EA1" w:rsidRPr="00505661" w:rsidRDefault="00014EA1" w:rsidP="00505661">
            <w:pPr>
              <w:pStyle w:val="CEOAnnexTable"/>
              <w:rPr>
                <w:sz w:val="24"/>
                <w:szCs w:val="24"/>
              </w:rPr>
            </w:pPr>
            <w:r w:rsidRPr="00505661">
              <w:rPr>
                <w:sz w:val="24"/>
                <w:szCs w:val="24"/>
              </w:rPr>
              <w:t>15-19 March 2021</w:t>
            </w:r>
          </w:p>
        </w:tc>
        <w:tc>
          <w:tcPr>
            <w:tcW w:w="2551" w:type="dxa"/>
            <w:tcBorders>
              <w:top w:val="single" w:sz="12" w:space="0" w:color="6699FF"/>
              <w:bottom w:val="single" w:sz="4" w:space="0" w:color="auto"/>
            </w:tcBorders>
          </w:tcPr>
          <w:p w:rsidR="00014EA1" w:rsidRPr="00505661" w:rsidRDefault="00014EA1" w:rsidP="00505661">
            <w:pPr>
              <w:pStyle w:val="CEOAnnexTable"/>
              <w:rPr>
                <w:sz w:val="24"/>
                <w:szCs w:val="24"/>
              </w:rPr>
            </w:pPr>
            <w:r w:rsidRPr="00505661">
              <w:rPr>
                <w:sz w:val="24"/>
                <w:szCs w:val="24"/>
              </w:rPr>
              <w:t>Geneva, Switzerland</w:t>
            </w:r>
          </w:p>
        </w:tc>
      </w:tr>
      <w:tr w:rsidR="00014EA1" w:rsidRPr="00505661" w:rsidTr="009943F1">
        <w:tc>
          <w:tcPr>
            <w:tcW w:w="3686" w:type="dxa"/>
            <w:tcBorders>
              <w:top w:val="single" w:sz="4" w:space="0" w:color="auto"/>
              <w:bottom w:val="single" w:sz="4" w:space="0" w:color="6699FF"/>
            </w:tcBorders>
          </w:tcPr>
          <w:p w:rsidR="00014EA1" w:rsidRPr="00505661" w:rsidRDefault="00014EA1" w:rsidP="00505661">
            <w:pPr>
              <w:pStyle w:val="CEOAnnexTable"/>
              <w:rPr>
                <w:sz w:val="24"/>
                <w:szCs w:val="24"/>
              </w:rPr>
            </w:pPr>
            <w:r w:rsidRPr="00505661">
              <w:rPr>
                <w:sz w:val="24"/>
                <w:szCs w:val="24"/>
              </w:rPr>
              <w:t>ITU-D Study Group 2</w:t>
            </w:r>
          </w:p>
        </w:tc>
        <w:tc>
          <w:tcPr>
            <w:tcW w:w="3402" w:type="dxa"/>
            <w:tcBorders>
              <w:top w:val="single" w:sz="4" w:space="0" w:color="auto"/>
              <w:bottom w:val="single" w:sz="4" w:space="0" w:color="6699FF"/>
            </w:tcBorders>
          </w:tcPr>
          <w:p w:rsidR="00014EA1" w:rsidRPr="00505661" w:rsidRDefault="00014EA1" w:rsidP="00505661">
            <w:pPr>
              <w:pStyle w:val="CEOAnnexTable"/>
              <w:rPr>
                <w:sz w:val="24"/>
                <w:szCs w:val="24"/>
              </w:rPr>
            </w:pPr>
            <w:r w:rsidRPr="00505661">
              <w:rPr>
                <w:sz w:val="24"/>
                <w:szCs w:val="24"/>
              </w:rPr>
              <w:t>22-26 March 2021</w:t>
            </w:r>
          </w:p>
        </w:tc>
        <w:tc>
          <w:tcPr>
            <w:tcW w:w="2551" w:type="dxa"/>
            <w:tcBorders>
              <w:top w:val="single" w:sz="4" w:space="0" w:color="auto"/>
              <w:bottom w:val="single" w:sz="4" w:space="0" w:color="6699FF"/>
            </w:tcBorders>
          </w:tcPr>
          <w:p w:rsidR="00014EA1" w:rsidRPr="00505661" w:rsidRDefault="00014EA1" w:rsidP="00505661">
            <w:pPr>
              <w:pStyle w:val="CEOAnnexTable"/>
              <w:rPr>
                <w:sz w:val="24"/>
                <w:szCs w:val="24"/>
              </w:rPr>
            </w:pPr>
            <w:r w:rsidRPr="00505661">
              <w:rPr>
                <w:sz w:val="24"/>
                <w:szCs w:val="24"/>
              </w:rPr>
              <w:t>Geneva, Switzerland</w:t>
            </w:r>
          </w:p>
        </w:tc>
      </w:tr>
      <w:tr w:rsidR="00014EA1" w:rsidRPr="00505661" w:rsidTr="00505661">
        <w:trPr>
          <w:trHeight w:hRule="exact" w:val="113"/>
          <w:tblHeader/>
        </w:trPr>
        <w:tc>
          <w:tcPr>
            <w:tcW w:w="3686" w:type="dxa"/>
            <w:tcBorders>
              <w:top w:val="single" w:sz="4" w:space="0" w:color="auto"/>
              <w:bottom w:val="single" w:sz="4" w:space="0" w:color="auto"/>
            </w:tcBorders>
            <w:shd w:val="clear" w:color="auto" w:fill="6699FF"/>
          </w:tcPr>
          <w:p w:rsidR="00014EA1" w:rsidRPr="00505661" w:rsidRDefault="00014EA1" w:rsidP="00505661">
            <w:pPr>
              <w:pStyle w:val="CEOAnnexTable"/>
              <w:keepNext/>
              <w:rPr>
                <w:b/>
                <w:bCs/>
                <w:color w:val="FFFFFF" w:themeColor="background1"/>
                <w:sz w:val="24"/>
                <w:szCs w:val="24"/>
              </w:rPr>
            </w:pPr>
          </w:p>
        </w:tc>
        <w:tc>
          <w:tcPr>
            <w:tcW w:w="3402" w:type="dxa"/>
            <w:tcBorders>
              <w:top w:val="single" w:sz="4" w:space="0" w:color="auto"/>
              <w:bottom w:val="single" w:sz="4" w:space="0" w:color="auto"/>
            </w:tcBorders>
            <w:shd w:val="clear" w:color="auto" w:fill="6699FF"/>
          </w:tcPr>
          <w:p w:rsidR="00014EA1" w:rsidRPr="00505661" w:rsidRDefault="00014EA1" w:rsidP="00505661">
            <w:pPr>
              <w:pStyle w:val="CEOAnnexTable"/>
              <w:keepNext/>
              <w:rPr>
                <w:b/>
                <w:bCs/>
                <w:color w:val="FFFFFF" w:themeColor="background1"/>
                <w:sz w:val="24"/>
                <w:szCs w:val="24"/>
              </w:rPr>
            </w:pPr>
          </w:p>
        </w:tc>
        <w:tc>
          <w:tcPr>
            <w:tcW w:w="2551" w:type="dxa"/>
            <w:tcBorders>
              <w:top w:val="single" w:sz="4" w:space="0" w:color="auto"/>
              <w:bottom w:val="single" w:sz="4" w:space="0" w:color="auto"/>
            </w:tcBorders>
            <w:shd w:val="clear" w:color="auto" w:fill="6699FF"/>
          </w:tcPr>
          <w:p w:rsidR="00014EA1" w:rsidRPr="00505661" w:rsidRDefault="00014EA1" w:rsidP="00505661">
            <w:pPr>
              <w:pStyle w:val="CEOAnnexTable"/>
              <w:keepNext/>
              <w:rPr>
                <w:b/>
                <w:bCs/>
                <w:color w:val="FFFFFF" w:themeColor="background1"/>
                <w:sz w:val="24"/>
                <w:szCs w:val="24"/>
              </w:rPr>
            </w:pPr>
          </w:p>
        </w:tc>
      </w:tr>
      <w:tr w:rsidR="00014EA1" w:rsidRPr="00505661" w:rsidTr="009943F1">
        <w:tc>
          <w:tcPr>
            <w:tcW w:w="3686" w:type="dxa"/>
            <w:tcBorders>
              <w:top w:val="single" w:sz="4" w:space="0" w:color="auto"/>
              <w:bottom w:val="single" w:sz="4" w:space="0" w:color="auto"/>
            </w:tcBorders>
          </w:tcPr>
          <w:p w:rsidR="00014EA1" w:rsidRPr="00505661" w:rsidRDefault="00014EA1" w:rsidP="00241F75">
            <w:pPr>
              <w:pStyle w:val="CEOAnnexTable"/>
              <w:rPr>
                <w:sz w:val="24"/>
                <w:szCs w:val="24"/>
              </w:rPr>
            </w:pPr>
            <w:r w:rsidRPr="00505661">
              <w:rPr>
                <w:sz w:val="24"/>
                <w:szCs w:val="24"/>
              </w:rPr>
              <w:t>RPM-</w:t>
            </w:r>
            <w:r w:rsidR="00E037E5" w:rsidRPr="00505661">
              <w:rPr>
                <w:sz w:val="24"/>
                <w:szCs w:val="24"/>
              </w:rPr>
              <w:t>XXX</w:t>
            </w:r>
            <w:r w:rsidRPr="00505661">
              <w:rPr>
                <w:sz w:val="24"/>
                <w:szCs w:val="24"/>
              </w:rPr>
              <w:t xml:space="preserve">, preceded by RDF on </w:t>
            </w:r>
            <w:r w:rsidR="00553189" w:rsidRPr="00505661">
              <w:rPr>
                <w:sz w:val="24"/>
                <w:szCs w:val="24"/>
              </w:rPr>
              <w:br/>
            </w:r>
            <w:r w:rsidR="00241F75">
              <w:rPr>
                <w:sz w:val="24"/>
                <w:szCs w:val="24"/>
              </w:rPr>
              <w:t>9</w:t>
            </w:r>
            <w:r w:rsidR="00241F75" w:rsidRPr="00505661">
              <w:rPr>
                <w:sz w:val="24"/>
                <w:szCs w:val="24"/>
              </w:rPr>
              <w:t xml:space="preserve"> </w:t>
            </w:r>
            <w:r w:rsidRPr="00505661">
              <w:rPr>
                <w:sz w:val="24"/>
                <w:szCs w:val="24"/>
              </w:rPr>
              <w:t>November 2020</w:t>
            </w:r>
          </w:p>
        </w:tc>
        <w:tc>
          <w:tcPr>
            <w:tcW w:w="3402" w:type="dxa"/>
            <w:tcBorders>
              <w:top w:val="single" w:sz="4" w:space="0" w:color="auto"/>
              <w:bottom w:val="single" w:sz="4" w:space="0" w:color="auto"/>
            </w:tcBorders>
          </w:tcPr>
          <w:p w:rsidR="00014EA1" w:rsidRPr="00505661" w:rsidRDefault="00241F75" w:rsidP="00505661">
            <w:pPr>
              <w:pStyle w:val="CEOAnnexTable"/>
              <w:rPr>
                <w:sz w:val="24"/>
                <w:szCs w:val="24"/>
              </w:rPr>
            </w:pPr>
            <w:r>
              <w:rPr>
                <w:sz w:val="24"/>
                <w:szCs w:val="24"/>
              </w:rPr>
              <w:t>10-13</w:t>
            </w:r>
            <w:r w:rsidR="00014EA1" w:rsidRPr="00505661">
              <w:rPr>
                <w:sz w:val="24"/>
                <w:szCs w:val="24"/>
              </w:rPr>
              <w:t xml:space="preserve"> November 2020</w:t>
            </w:r>
          </w:p>
        </w:tc>
        <w:tc>
          <w:tcPr>
            <w:tcW w:w="2551" w:type="dxa"/>
            <w:tcBorders>
              <w:top w:val="single" w:sz="4" w:space="0" w:color="auto"/>
              <w:bottom w:val="single" w:sz="4" w:space="0" w:color="auto"/>
            </w:tcBorders>
          </w:tcPr>
          <w:p w:rsidR="00014EA1" w:rsidRPr="00505661" w:rsidRDefault="007A547A" w:rsidP="00505661">
            <w:pPr>
              <w:pStyle w:val="CEOAnnexTable"/>
              <w:rPr>
                <w:sz w:val="24"/>
                <w:szCs w:val="24"/>
              </w:rPr>
            </w:pPr>
            <w:r>
              <w:rPr>
                <w:sz w:val="24"/>
                <w:szCs w:val="24"/>
              </w:rPr>
              <w:t>TBD</w:t>
            </w:r>
          </w:p>
        </w:tc>
      </w:tr>
      <w:tr w:rsidR="00014EA1" w:rsidRPr="00505661" w:rsidTr="009943F1">
        <w:tc>
          <w:tcPr>
            <w:tcW w:w="3686" w:type="dxa"/>
            <w:tcBorders>
              <w:top w:val="single" w:sz="4" w:space="0" w:color="auto"/>
              <w:bottom w:val="single" w:sz="4" w:space="0" w:color="auto"/>
            </w:tcBorders>
          </w:tcPr>
          <w:p w:rsidR="00014EA1" w:rsidRPr="00505661" w:rsidRDefault="00014EA1" w:rsidP="00474879">
            <w:pPr>
              <w:pStyle w:val="CEOAnnexTable"/>
              <w:rPr>
                <w:sz w:val="24"/>
                <w:szCs w:val="24"/>
              </w:rPr>
            </w:pPr>
            <w:r w:rsidRPr="00505661">
              <w:rPr>
                <w:sz w:val="24"/>
                <w:szCs w:val="24"/>
              </w:rPr>
              <w:t>RPM-</w:t>
            </w:r>
            <w:r w:rsidR="00E037E5" w:rsidRPr="00505661">
              <w:rPr>
                <w:sz w:val="24"/>
                <w:szCs w:val="24"/>
              </w:rPr>
              <w:t>XXX</w:t>
            </w:r>
            <w:r w:rsidRPr="00505661">
              <w:rPr>
                <w:sz w:val="24"/>
                <w:szCs w:val="24"/>
              </w:rPr>
              <w:t xml:space="preserve">, preceded by RDF on </w:t>
            </w:r>
            <w:r w:rsidR="00553189" w:rsidRPr="00505661">
              <w:rPr>
                <w:sz w:val="24"/>
                <w:szCs w:val="24"/>
              </w:rPr>
              <w:br/>
            </w:r>
            <w:r w:rsidR="00241F75">
              <w:rPr>
                <w:sz w:val="24"/>
                <w:szCs w:val="24"/>
              </w:rPr>
              <w:t>7</w:t>
            </w:r>
            <w:r w:rsidR="00241F75" w:rsidRPr="00505661">
              <w:rPr>
                <w:sz w:val="24"/>
                <w:szCs w:val="24"/>
              </w:rPr>
              <w:t xml:space="preserve"> </w:t>
            </w:r>
            <w:r w:rsidRPr="00505661">
              <w:rPr>
                <w:sz w:val="24"/>
                <w:szCs w:val="24"/>
              </w:rPr>
              <w:t>December 2020</w:t>
            </w:r>
          </w:p>
        </w:tc>
        <w:tc>
          <w:tcPr>
            <w:tcW w:w="3402" w:type="dxa"/>
            <w:tcBorders>
              <w:top w:val="single" w:sz="4" w:space="0" w:color="auto"/>
              <w:bottom w:val="single" w:sz="4" w:space="0" w:color="auto"/>
            </w:tcBorders>
          </w:tcPr>
          <w:p w:rsidR="00014EA1" w:rsidRPr="00505661" w:rsidRDefault="00241F75" w:rsidP="00505661">
            <w:pPr>
              <w:pStyle w:val="CEOAnnexTable"/>
              <w:rPr>
                <w:sz w:val="24"/>
                <w:szCs w:val="24"/>
              </w:rPr>
            </w:pPr>
            <w:r>
              <w:rPr>
                <w:sz w:val="24"/>
                <w:szCs w:val="24"/>
              </w:rPr>
              <w:t>8-11</w:t>
            </w:r>
            <w:r w:rsidR="00014EA1" w:rsidRPr="00505661">
              <w:rPr>
                <w:sz w:val="24"/>
                <w:szCs w:val="24"/>
              </w:rPr>
              <w:t xml:space="preserve"> December 2020</w:t>
            </w:r>
          </w:p>
        </w:tc>
        <w:tc>
          <w:tcPr>
            <w:tcW w:w="2551" w:type="dxa"/>
            <w:tcBorders>
              <w:top w:val="single" w:sz="4" w:space="0" w:color="auto"/>
              <w:bottom w:val="single" w:sz="4" w:space="0" w:color="auto"/>
            </w:tcBorders>
          </w:tcPr>
          <w:p w:rsidR="00014EA1" w:rsidRPr="00505661" w:rsidRDefault="007A547A" w:rsidP="00505661">
            <w:pPr>
              <w:pStyle w:val="CEOAnnexTable"/>
              <w:rPr>
                <w:sz w:val="24"/>
                <w:szCs w:val="24"/>
              </w:rPr>
            </w:pPr>
            <w:r>
              <w:rPr>
                <w:sz w:val="24"/>
                <w:szCs w:val="24"/>
              </w:rPr>
              <w:t>TBD</w:t>
            </w:r>
          </w:p>
        </w:tc>
      </w:tr>
      <w:tr w:rsidR="00014EA1" w:rsidRPr="00505661" w:rsidTr="009943F1">
        <w:tc>
          <w:tcPr>
            <w:tcW w:w="3686" w:type="dxa"/>
            <w:tcBorders>
              <w:top w:val="single" w:sz="4" w:space="0" w:color="auto"/>
              <w:bottom w:val="single" w:sz="4" w:space="0" w:color="auto"/>
            </w:tcBorders>
          </w:tcPr>
          <w:p w:rsidR="00014EA1" w:rsidRPr="00505661" w:rsidRDefault="00014EA1" w:rsidP="00505661">
            <w:pPr>
              <w:pStyle w:val="CEOAnnexTable"/>
              <w:rPr>
                <w:sz w:val="24"/>
                <w:szCs w:val="24"/>
              </w:rPr>
            </w:pPr>
            <w:r w:rsidRPr="00505661">
              <w:rPr>
                <w:sz w:val="24"/>
                <w:szCs w:val="24"/>
              </w:rPr>
              <w:t>RPM-</w:t>
            </w:r>
            <w:r w:rsidR="00E037E5" w:rsidRPr="00505661">
              <w:rPr>
                <w:sz w:val="24"/>
                <w:szCs w:val="24"/>
              </w:rPr>
              <w:t>XXX</w:t>
            </w:r>
            <w:r w:rsidRPr="00505661">
              <w:rPr>
                <w:sz w:val="24"/>
                <w:szCs w:val="24"/>
              </w:rPr>
              <w:t xml:space="preserve">, preceded by RDF on </w:t>
            </w:r>
            <w:r w:rsidR="00553189" w:rsidRPr="00505661">
              <w:rPr>
                <w:sz w:val="24"/>
                <w:szCs w:val="24"/>
              </w:rPr>
              <w:br/>
            </w:r>
            <w:r w:rsidRPr="00505661">
              <w:rPr>
                <w:sz w:val="24"/>
                <w:szCs w:val="24"/>
              </w:rPr>
              <w:t>25 January 2021</w:t>
            </w:r>
          </w:p>
        </w:tc>
        <w:tc>
          <w:tcPr>
            <w:tcW w:w="3402" w:type="dxa"/>
            <w:tcBorders>
              <w:top w:val="single" w:sz="4" w:space="0" w:color="auto"/>
              <w:bottom w:val="single" w:sz="4" w:space="0" w:color="auto"/>
            </w:tcBorders>
          </w:tcPr>
          <w:p w:rsidR="00014EA1" w:rsidRPr="00505661" w:rsidRDefault="00014EA1" w:rsidP="00505661">
            <w:pPr>
              <w:pStyle w:val="CEOAnnexTable"/>
              <w:rPr>
                <w:sz w:val="24"/>
                <w:szCs w:val="24"/>
              </w:rPr>
            </w:pPr>
            <w:r w:rsidRPr="00505661">
              <w:rPr>
                <w:sz w:val="24"/>
                <w:szCs w:val="24"/>
              </w:rPr>
              <w:t>26-28 January 2021</w:t>
            </w:r>
          </w:p>
        </w:tc>
        <w:tc>
          <w:tcPr>
            <w:tcW w:w="2551" w:type="dxa"/>
            <w:tcBorders>
              <w:top w:val="single" w:sz="4" w:space="0" w:color="auto"/>
              <w:bottom w:val="single" w:sz="4" w:space="0" w:color="auto"/>
            </w:tcBorders>
          </w:tcPr>
          <w:p w:rsidR="00014EA1" w:rsidRPr="00505661" w:rsidRDefault="007A547A" w:rsidP="00505661">
            <w:pPr>
              <w:pStyle w:val="CEOAnnexTable"/>
              <w:rPr>
                <w:sz w:val="24"/>
                <w:szCs w:val="24"/>
              </w:rPr>
            </w:pPr>
            <w:r>
              <w:rPr>
                <w:sz w:val="24"/>
                <w:szCs w:val="24"/>
              </w:rPr>
              <w:t>TBD</w:t>
            </w:r>
          </w:p>
        </w:tc>
      </w:tr>
      <w:tr w:rsidR="00014EA1" w:rsidRPr="00505661" w:rsidTr="009943F1">
        <w:tc>
          <w:tcPr>
            <w:tcW w:w="3686" w:type="dxa"/>
            <w:tcBorders>
              <w:top w:val="single" w:sz="4" w:space="0" w:color="auto"/>
              <w:bottom w:val="single" w:sz="4" w:space="0" w:color="auto"/>
            </w:tcBorders>
          </w:tcPr>
          <w:p w:rsidR="00014EA1" w:rsidRPr="00505661" w:rsidRDefault="00014EA1" w:rsidP="00505661">
            <w:pPr>
              <w:pStyle w:val="CEOAnnexTable"/>
              <w:rPr>
                <w:sz w:val="24"/>
                <w:szCs w:val="24"/>
              </w:rPr>
            </w:pPr>
            <w:r w:rsidRPr="00505661">
              <w:rPr>
                <w:sz w:val="24"/>
                <w:szCs w:val="24"/>
              </w:rPr>
              <w:t>RPM-</w:t>
            </w:r>
            <w:r w:rsidR="00E037E5" w:rsidRPr="00505661">
              <w:rPr>
                <w:sz w:val="24"/>
                <w:szCs w:val="24"/>
              </w:rPr>
              <w:t>XXX</w:t>
            </w:r>
            <w:r w:rsidRPr="00505661">
              <w:rPr>
                <w:sz w:val="24"/>
                <w:szCs w:val="24"/>
              </w:rPr>
              <w:t xml:space="preserve">, preceded by RDF on </w:t>
            </w:r>
            <w:r w:rsidR="00553189" w:rsidRPr="00505661">
              <w:rPr>
                <w:sz w:val="24"/>
                <w:szCs w:val="24"/>
              </w:rPr>
              <w:br/>
            </w:r>
            <w:r w:rsidRPr="00505661">
              <w:rPr>
                <w:sz w:val="24"/>
                <w:szCs w:val="24"/>
              </w:rPr>
              <w:t>15 February 2021</w:t>
            </w:r>
          </w:p>
        </w:tc>
        <w:tc>
          <w:tcPr>
            <w:tcW w:w="3402" w:type="dxa"/>
            <w:tcBorders>
              <w:top w:val="single" w:sz="4" w:space="0" w:color="auto"/>
              <w:bottom w:val="single" w:sz="4" w:space="0" w:color="auto"/>
            </w:tcBorders>
          </w:tcPr>
          <w:p w:rsidR="00014EA1" w:rsidRPr="00505661" w:rsidRDefault="00014EA1" w:rsidP="00505661">
            <w:pPr>
              <w:pStyle w:val="CEOAnnexTable"/>
              <w:rPr>
                <w:sz w:val="24"/>
                <w:szCs w:val="24"/>
              </w:rPr>
            </w:pPr>
            <w:r w:rsidRPr="00505661">
              <w:rPr>
                <w:sz w:val="24"/>
                <w:szCs w:val="24"/>
              </w:rPr>
              <w:t>16-18 February 2021</w:t>
            </w:r>
          </w:p>
        </w:tc>
        <w:tc>
          <w:tcPr>
            <w:tcW w:w="2551" w:type="dxa"/>
            <w:tcBorders>
              <w:top w:val="single" w:sz="4" w:space="0" w:color="auto"/>
              <w:bottom w:val="single" w:sz="4" w:space="0" w:color="auto"/>
            </w:tcBorders>
          </w:tcPr>
          <w:p w:rsidR="00014EA1" w:rsidRPr="00505661" w:rsidRDefault="007A547A" w:rsidP="00505661">
            <w:pPr>
              <w:pStyle w:val="CEOAnnexTable"/>
              <w:rPr>
                <w:sz w:val="24"/>
                <w:szCs w:val="24"/>
              </w:rPr>
            </w:pPr>
            <w:r>
              <w:rPr>
                <w:sz w:val="24"/>
                <w:szCs w:val="24"/>
              </w:rPr>
              <w:t>TBD</w:t>
            </w:r>
          </w:p>
        </w:tc>
      </w:tr>
      <w:tr w:rsidR="00014EA1" w:rsidRPr="00505661" w:rsidTr="009943F1">
        <w:tc>
          <w:tcPr>
            <w:tcW w:w="3686" w:type="dxa"/>
            <w:tcBorders>
              <w:top w:val="single" w:sz="4" w:space="0" w:color="auto"/>
              <w:bottom w:val="single" w:sz="4" w:space="0" w:color="auto"/>
            </w:tcBorders>
          </w:tcPr>
          <w:p w:rsidR="00014EA1" w:rsidRPr="00505661" w:rsidRDefault="00014EA1" w:rsidP="00505661">
            <w:pPr>
              <w:pStyle w:val="CEOAnnexTable"/>
              <w:rPr>
                <w:sz w:val="24"/>
                <w:szCs w:val="24"/>
              </w:rPr>
            </w:pPr>
            <w:r w:rsidRPr="00505661">
              <w:rPr>
                <w:sz w:val="24"/>
                <w:szCs w:val="24"/>
              </w:rPr>
              <w:t>RPM-</w:t>
            </w:r>
            <w:r w:rsidR="00E037E5" w:rsidRPr="00505661">
              <w:rPr>
                <w:sz w:val="24"/>
                <w:szCs w:val="24"/>
              </w:rPr>
              <w:t>XXX</w:t>
            </w:r>
            <w:r w:rsidRPr="00505661">
              <w:rPr>
                <w:sz w:val="24"/>
                <w:szCs w:val="24"/>
              </w:rPr>
              <w:t xml:space="preserve">, preceded by RDF on </w:t>
            </w:r>
            <w:r w:rsidR="00553189" w:rsidRPr="00505661">
              <w:rPr>
                <w:sz w:val="24"/>
                <w:szCs w:val="24"/>
              </w:rPr>
              <w:br/>
            </w:r>
            <w:r w:rsidRPr="00505661">
              <w:rPr>
                <w:sz w:val="24"/>
                <w:szCs w:val="24"/>
              </w:rPr>
              <w:t>8 March 2021</w:t>
            </w:r>
          </w:p>
        </w:tc>
        <w:tc>
          <w:tcPr>
            <w:tcW w:w="3402" w:type="dxa"/>
            <w:tcBorders>
              <w:top w:val="single" w:sz="4" w:space="0" w:color="auto"/>
              <w:bottom w:val="single" w:sz="4" w:space="0" w:color="auto"/>
            </w:tcBorders>
          </w:tcPr>
          <w:p w:rsidR="00014EA1" w:rsidRPr="00505661" w:rsidRDefault="00014EA1" w:rsidP="00505661">
            <w:pPr>
              <w:pStyle w:val="CEOAnnexTable"/>
              <w:rPr>
                <w:sz w:val="24"/>
                <w:szCs w:val="24"/>
              </w:rPr>
            </w:pPr>
            <w:r w:rsidRPr="00505661">
              <w:rPr>
                <w:sz w:val="24"/>
                <w:szCs w:val="24"/>
              </w:rPr>
              <w:t>9-11 March 2021</w:t>
            </w:r>
          </w:p>
        </w:tc>
        <w:tc>
          <w:tcPr>
            <w:tcW w:w="2551" w:type="dxa"/>
            <w:tcBorders>
              <w:top w:val="single" w:sz="4" w:space="0" w:color="auto"/>
              <w:bottom w:val="single" w:sz="4" w:space="0" w:color="auto"/>
            </w:tcBorders>
          </w:tcPr>
          <w:p w:rsidR="00014EA1" w:rsidRPr="00505661" w:rsidRDefault="007A547A" w:rsidP="00505661">
            <w:pPr>
              <w:pStyle w:val="CEOAnnexTable"/>
              <w:rPr>
                <w:sz w:val="24"/>
                <w:szCs w:val="24"/>
              </w:rPr>
            </w:pPr>
            <w:r>
              <w:rPr>
                <w:sz w:val="24"/>
                <w:szCs w:val="24"/>
              </w:rPr>
              <w:t>TBD</w:t>
            </w:r>
          </w:p>
        </w:tc>
      </w:tr>
      <w:tr w:rsidR="00014EA1" w:rsidRPr="00505661" w:rsidTr="009943F1">
        <w:tc>
          <w:tcPr>
            <w:tcW w:w="3686" w:type="dxa"/>
            <w:tcBorders>
              <w:top w:val="single" w:sz="4" w:space="0" w:color="auto"/>
              <w:bottom w:val="single" w:sz="4" w:space="0" w:color="6699FF"/>
            </w:tcBorders>
          </w:tcPr>
          <w:p w:rsidR="00014EA1" w:rsidRPr="00505661" w:rsidRDefault="00014EA1" w:rsidP="00505661">
            <w:pPr>
              <w:pStyle w:val="CEOAnnexTable"/>
              <w:rPr>
                <w:sz w:val="24"/>
                <w:szCs w:val="24"/>
              </w:rPr>
            </w:pPr>
            <w:r w:rsidRPr="00505661">
              <w:rPr>
                <w:sz w:val="24"/>
                <w:szCs w:val="24"/>
              </w:rPr>
              <w:t>RPM-</w:t>
            </w:r>
            <w:r w:rsidR="00E037E5" w:rsidRPr="00505661">
              <w:rPr>
                <w:sz w:val="24"/>
                <w:szCs w:val="24"/>
              </w:rPr>
              <w:t>XXX</w:t>
            </w:r>
            <w:r w:rsidRPr="00505661">
              <w:rPr>
                <w:sz w:val="24"/>
                <w:szCs w:val="24"/>
              </w:rPr>
              <w:t xml:space="preserve">, preceded by RDF on </w:t>
            </w:r>
            <w:r w:rsidR="00553189" w:rsidRPr="00505661">
              <w:rPr>
                <w:sz w:val="24"/>
                <w:szCs w:val="24"/>
              </w:rPr>
              <w:br/>
            </w:r>
            <w:r w:rsidRPr="00505661">
              <w:rPr>
                <w:sz w:val="24"/>
                <w:szCs w:val="24"/>
              </w:rPr>
              <w:t>19 April 2021</w:t>
            </w:r>
          </w:p>
        </w:tc>
        <w:tc>
          <w:tcPr>
            <w:tcW w:w="3402" w:type="dxa"/>
            <w:tcBorders>
              <w:top w:val="single" w:sz="4" w:space="0" w:color="auto"/>
              <w:bottom w:val="single" w:sz="4" w:space="0" w:color="6699FF"/>
            </w:tcBorders>
          </w:tcPr>
          <w:p w:rsidR="00014EA1" w:rsidRPr="00505661" w:rsidRDefault="00014EA1" w:rsidP="00505661">
            <w:pPr>
              <w:pStyle w:val="CEOAnnexTable"/>
              <w:rPr>
                <w:sz w:val="24"/>
                <w:szCs w:val="24"/>
              </w:rPr>
            </w:pPr>
            <w:r w:rsidRPr="00505661">
              <w:rPr>
                <w:sz w:val="24"/>
                <w:szCs w:val="24"/>
              </w:rPr>
              <w:t>20-22 April 2021</w:t>
            </w:r>
          </w:p>
        </w:tc>
        <w:tc>
          <w:tcPr>
            <w:tcW w:w="2551" w:type="dxa"/>
            <w:tcBorders>
              <w:top w:val="single" w:sz="4" w:space="0" w:color="auto"/>
              <w:bottom w:val="single" w:sz="4" w:space="0" w:color="6699FF"/>
            </w:tcBorders>
          </w:tcPr>
          <w:p w:rsidR="00014EA1" w:rsidRPr="00505661" w:rsidRDefault="007A547A" w:rsidP="00505661">
            <w:pPr>
              <w:pStyle w:val="CEOAnnexTable"/>
              <w:rPr>
                <w:sz w:val="24"/>
                <w:szCs w:val="24"/>
              </w:rPr>
            </w:pPr>
            <w:r>
              <w:rPr>
                <w:sz w:val="24"/>
                <w:szCs w:val="24"/>
              </w:rPr>
              <w:t>TBD</w:t>
            </w:r>
          </w:p>
        </w:tc>
      </w:tr>
      <w:tr w:rsidR="00014EA1" w:rsidRPr="00505661" w:rsidTr="00505661">
        <w:trPr>
          <w:trHeight w:hRule="exact" w:val="113"/>
          <w:tblHeader/>
        </w:trPr>
        <w:tc>
          <w:tcPr>
            <w:tcW w:w="3686" w:type="dxa"/>
            <w:tcBorders>
              <w:top w:val="single" w:sz="4" w:space="0" w:color="auto"/>
              <w:bottom w:val="single" w:sz="4" w:space="0" w:color="auto"/>
            </w:tcBorders>
            <w:shd w:val="clear" w:color="auto" w:fill="6699FF"/>
          </w:tcPr>
          <w:p w:rsidR="00014EA1" w:rsidRPr="00505661" w:rsidRDefault="00014EA1" w:rsidP="00505661">
            <w:pPr>
              <w:pStyle w:val="CEOAnnexTable"/>
              <w:keepNext/>
              <w:rPr>
                <w:b/>
                <w:bCs/>
                <w:color w:val="FFFFFF" w:themeColor="background1"/>
                <w:sz w:val="24"/>
                <w:szCs w:val="24"/>
              </w:rPr>
            </w:pPr>
          </w:p>
        </w:tc>
        <w:tc>
          <w:tcPr>
            <w:tcW w:w="3402" w:type="dxa"/>
            <w:tcBorders>
              <w:top w:val="single" w:sz="4" w:space="0" w:color="auto"/>
              <w:bottom w:val="single" w:sz="4" w:space="0" w:color="auto"/>
            </w:tcBorders>
            <w:shd w:val="clear" w:color="auto" w:fill="6699FF"/>
          </w:tcPr>
          <w:p w:rsidR="00014EA1" w:rsidRPr="00505661" w:rsidRDefault="00014EA1" w:rsidP="00505661">
            <w:pPr>
              <w:pStyle w:val="CEOAnnexTable"/>
              <w:keepNext/>
              <w:rPr>
                <w:b/>
                <w:bCs/>
                <w:color w:val="FFFFFF" w:themeColor="background1"/>
                <w:sz w:val="24"/>
                <w:szCs w:val="24"/>
              </w:rPr>
            </w:pPr>
          </w:p>
        </w:tc>
        <w:tc>
          <w:tcPr>
            <w:tcW w:w="2551" w:type="dxa"/>
            <w:tcBorders>
              <w:top w:val="single" w:sz="4" w:space="0" w:color="auto"/>
              <w:bottom w:val="single" w:sz="4" w:space="0" w:color="auto"/>
            </w:tcBorders>
            <w:shd w:val="clear" w:color="auto" w:fill="6699FF"/>
          </w:tcPr>
          <w:p w:rsidR="00014EA1" w:rsidRPr="00505661" w:rsidRDefault="00014EA1" w:rsidP="00505661">
            <w:pPr>
              <w:pStyle w:val="CEOAnnexTable"/>
              <w:keepNext/>
              <w:rPr>
                <w:b/>
                <w:bCs/>
                <w:color w:val="FFFFFF" w:themeColor="background1"/>
                <w:sz w:val="24"/>
                <w:szCs w:val="24"/>
              </w:rPr>
            </w:pPr>
          </w:p>
        </w:tc>
      </w:tr>
      <w:tr w:rsidR="00014EA1" w:rsidRPr="00505661" w:rsidTr="00F6651A">
        <w:tc>
          <w:tcPr>
            <w:tcW w:w="3686" w:type="dxa"/>
            <w:tcBorders>
              <w:top w:val="single" w:sz="4" w:space="0" w:color="auto"/>
              <w:bottom w:val="single" w:sz="4" w:space="0" w:color="6699FF"/>
            </w:tcBorders>
          </w:tcPr>
          <w:p w:rsidR="00014EA1" w:rsidRPr="00505661" w:rsidRDefault="008C08BC" w:rsidP="00D95062">
            <w:pPr>
              <w:pStyle w:val="CEOAnnexTable"/>
              <w:rPr>
                <w:sz w:val="24"/>
                <w:szCs w:val="24"/>
              </w:rPr>
            </w:pPr>
            <w:r w:rsidRPr="00505661">
              <w:rPr>
                <w:sz w:val="24"/>
                <w:szCs w:val="24"/>
              </w:rPr>
              <w:t>RPM</w:t>
            </w:r>
            <w:r>
              <w:rPr>
                <w:sz w:val="24"/>
                <w:szCs w:val="24"/>
              </w:rPr>
              <w:t>-CM</w:t>
            </w:r>
          </w:p>
        </w:tc>
        <w:tc>
          <w:tcPr>
            <w:tcW w:w="3402" w:type="dxa"/>
            <w:tcBorders>
              <w:top w:val="single" w:sz="4" w:space="0" w:color="auto"/>
              <w:bottom w:val="single" w:sz="4" w:space="0" w:color="6699FF"/>
            </w:tcBorders>
          </w:tcPr>
          <w:p w:rsidR="00014EA1" w:rsidRPr="00505661" w:rsidRDefault="00014EA1" w:rsidP="00505661">
            <w:pPr>
              <w:pStyle w:val="CEOAnnexTable"/>
              <w:rPr>
                <w:sz w:val="24"/>
                <w:szCs w:val="24"/>
              </w:rPr>
            </w:pPr>
            <w:r w:rsidRPr="00505661">
              <w:rPr>
                <w:sz w:val="24"/>
                <w:szCs w:val="24"/>
              </w:rPr>
              <w:t xml:space="preserve">24 May </w:t>
            </w:r>
            <w:r w:rsidR="008C08BC">
              <w:rPr>
                <w:sz w:val="24"/>
                <w:szCs w:val="24"/>
              </w:rPr>
              <w:t xml:space="preserve">or 21 June </w:t>
            </w:r>
            <w:r w:rsidRPr="00505661">
              <w:rPr>
                <w:sz w:val="24"/>
                <w:szCs w:val="24"/>
              </w:rPr>
              <w:t>2021</w:t>
            </w:r>
          </w:p>
        </w:tc>
        <w:tc>
          <w:tcPr>
            <w:tcW w:w="2551" w:type="dxa"/>
            <w:tcBorders>
              <w:top w:val="single" w:sz="4" w:space="0" w:color="auto"/>
              <w:bottom w:val="single" w:sz="4" w:space="0" w:color="6699FF"/>
            </w:tcBorders>
          </w:tcPr>
          <w:p w:rsidR="00014EA1" w:rsidRPr="00505661" w:rsidRDefault="00014EA1" w:rsidP="00505661">
            <w:pPr>
              <w:pStyle w:val="CEOAnnexTable"/>
              <w:rPr>
                <w:sz w:val="24"/>
                <w:szCs w:val="24"/>
              </w:rPr>
            </w:pPr>
            <w:r w:rsidRPr="00505661">
              <w:rPr>
                <w:sz w:val="24"/>
                <w:szCs w:val="24"/>
              </w:rPr>
              <w:t>Geneva, Switzerland</w:t>
            </w:r>
          </w:p>
        </w:tc>
      </w:tr>
      <w:tr w:rsidR="00505661" w:rsidRPr="00505661" w:rsidTr="00505661">
        <w:trPr>
          <w:trHeight w:hRule="exact" w:val="113"/>
          <w:tblHeader/>
        </w:trPr>
        <w:tc>
          <w:tcPr>
            <w:tcW w:w="3686" w:type="dxa"/>
            <w:tcBorders>
              <w:top w:val="single" w:sz="4" w:space="0" w:color="auto"/>
              <w:bottom w:val="single" w:sz="4" w:space="0" w:color="auto"/>
            </w:tcBorders>
            <w:shd w:val="clear" w:color="auto" w:fill="6699FF"/>
          </w:tcPr>
          <w:p w:rsidR="00505661" w:rsidRPr="00505661" w:rsidRDefault="00505661" w:rsidP="00505661">
            <w:pPr>
              <w:pStyle w:val="CEOAnnexTable"/>
              <w:keepNext/>
              <w:rPr>
                <w:b/>
                <w:bCs/>
                <w:color w:val="FFFFFF" w:themeColor="background1"/>
                <w:sz w:val="24"/>
                <w:szCs w:val="24"/>
              </w:rPr>
            </w:pPr>
          </w:p>
        </w:tc>
        <w:tc>
          <w:tcPr>
            <w:tcW w:w="3402" w:type="dxa"/>
            <w:tcBorders>
              <w:top w:val="single" w:sz="4" w:space="0" w:color="auto"/>
              <w:bottom w:val="single" w:sz="4" w:space="0" w:color="auto"/>
            </w:tcBorders>
            <w:shd w:val="clear" w:color="auto" w:fill="6699FF"/>
          </w:tcPr>
          <w:p w:rsidR="00505661" w:rsidRPr="00505661" w:rsidRDefault="00505661" w:rsidP="00505661">
            <w:pPr>
              <w:pStyle w:val="CEOAnnexTable"/>
              <w:keepNext/>
              <w:rPr>
                <w:b/>
                <w:bCs/>
                <w:color w:val="FFFFFF" w:themeColor="background1"/>
                <w:sz w:val="24"/>
                <w:szCs w:val="24"/>
              </w:rPr>
            </w:pPr>
          </w:p>
        </w:tc>
        <w:tc>
          <w:tcPr>
            <w:tcW w:w="2551" w:type="dxa"/>
            <w:tcBorders>
              <w:top w:val="single" w:sz="4" w:space="0" w:color="auto"/>
              <w:bottom w:val="single" w:sz="4" w:space="0" w:color="auto"/>
            </w:tcBorders>
            <w:shd w:val="clear" w:color="auto" w:fill="6699FF"/>
          </w:tcPr>
          <w:p w:rsidR="00505661" w:rsidRPr="00505661" w:rsidRDefault="00505661" w:rsidP="00505661">
            <w:pPr>
              <w:pStyle w:val="CEOAnnexTable"/>
              <w:keepNext/>
              <w:rPr>
                <w:b/>
                <w:bCs/>
                <w:color w:val="FFFFFF" w:themeColor="background1"/>
                <w:sz w:val="24"/>
                <w:szCs w:val="24"/>
              </w:rPr>
            </w:pPr>
          </w:p>
        </w:tc>
      </w:tr>
      <w:tr w:rsidR="002E346E" w:rsidRPr="00505661" w:rsidTr="00A91062">
        <w:tc>
          <w:tcPr>
            <w:tcW w:w="3686" w:type="dxa"/>
            <w:tcBorders>
              <w:top w:val="single" w:sz="4" w:space="0" w:color="auto"/>
              <w:bottom w:val="single" w:sz="4" w:space="0" w:color="6699FF"/>
            </w:tcBorders>
          </w:tcPr>
          <w:p w:rsidR="002E346E" w:rsidRPr="00505661" w:rsidRDefault="002E346E" w:rsidP="00505661">
            <w:pPr>
              <w:pStyle w:val="CEOAnnexTable"/>
              <w:rPr>
                <w:sz w:val="24"/>
                <w:szCs w:val="24"/>
              </w:rPr>
            </w:pPr>
            <w:r w:rsidRPr="00505661">
              <w:rPr>
                <w:sz w:val="24"/>
                <w:szCs w:val="24"/>
              </w:rPr>
              <w:t>WTDC-21</w:t>
            </w:r>
          </w:p>
        </w:tc>
        <w:tc>
          <w:tcPr>
            <w:tcW w:w="3402" w:type="dxa"/>
            <w:tcBorders>
              <w:top w:val="single" w:sz="4" w:space="0" w:color="auto"/>
              <w:bottom w:val="single" w:sz="4" w:space="0" w:color="6699FF"/>
            </w:tcBorders>
          </w:tcPr>
          <w:p w:rsidR="00B424AF" w:rsidRPr="00505661" w:rsidRDefault="00B424AF" w:rsidP="003F2554">
            <w:pPr>
              <w:pStyle w:val="CEOAnnexTable"/>
              <w:rPr>
                <w:sz w:val="24"/>
                <w:szCs w:val="24"/>
              </w:rPr>
            </w:pPr>
            <w:r w:rsidRPr="00505661">
              <w:rPr>
                <w:sz w:val="24"/>
                <w:szCs w:val="24"/>
              </w:rPr>
              <w:t>25 October – 5 November</w:t>
            </w:r>
            <w:r w:rsidR="00D667C9">
              <w:rPr>
                <w:sz w:val="24"/>
                <w:szCs w:val="24"/>
              </w:rPr>
              <w:t xml:space="preserve"> </w:t>
            </w:r>
            <w:r w:rsidR="0006292B">
              <w:rPr>
                <w:sz w:val="24"/>
                <w:szCs w:val="24"/>
              </w:rPr>
              <w:t xml:space="preserve">or </w:t>
            </w:r>
            <w:r w:rsidR="00D667C9">
              <w:rPr>
                <w:sz w:val="24"/>
                <w:szCs w:val="24"/>
              </w:rPr>
              <w:t xml:space="preserve">   </w:t>
            </w:r>
            <w:bookmarkStart w:id="10" w:name="_GoBack"/>
            <w:bookmarkEnd w:id="10"/>
            <w:r w:rsidR="0006292B">
              <w:rPr>
                <w:sz w:val="24"/>
                <w:szCs w:val="24"/>
              </w:rPr>
              <w:t>1-12 November 2021</w:t>
            </w:r>
          </w:p>
        </w:tc>
        <w:tc>
          <w:tcPr>
            <w:tcW w:w="2551" w:type="dxa"/>
            <w:tcBorders>
              <w:top w:val="single" w:sz="4" w:space="0" w:color="auto"/>
              <w:bottom w:val="single" w:sz="4" w:space="0" w:color="6699FF"/>
            </w:tcBorders>
          </w:tcPr>
          <w:p w:rsidR="002E346E" w:rsidRPr="00505661" w:rsidRDefault="007A547A" w:rsidP="00505661">
            <w:pPr>
              <w:pStyle w:val="CEOAnnexTable"/>
              <w:rPr>
                <w:sz w:val="24"/>
                <w:szCs w:val="24"/>
              </w:rPr>
            </w:pPr>
            <w:r>
              <w:rPr>
                <w:sz w:val="24"/>
                <w:szCs w:val="24"/>
              </w:rPr>
              <w:t>TBD</w:t>
            </w:r>
          </w:p>
        </w:tc>
      </w:tr>
    </w:tbl>
    <w:p w:rsidR="00CC2954" w:rsidRDefault="00CC2954" w:rsidP="00CC2954">
      <w:pPr>
        <w:jc w:val="center"/>
        <w:rPr>
          <w:szCs w:val="24"/>
          <w:lang w:val="en-US"/>
        </w:rPr>
      </w:pPr>
    </w:p>
    <w:p w:rsidR="00014EA1" w:rsidRPr="00D749EA" w:rsidRDefault="008F3045" w:rsidP="00CC2954">
      <w:pPr>
        <w:jc w:val="center"/>
        <w:rPr>
          <w:szCs w:val="24"/>
          <w:lang w:val="en-US"/>
        </w:rPr>
      </w:pPr>
      <w:r>
        <w:rPr>
          <w:szCs w:val="24"/>
          <w:lang w:val="en-US"/>
        </w:rPr>
        <w:t>________________</w:t>
      </w:r>
    </w:p>
    <w:sectPr w:rsidR="00014EA1" w:rsidRPr="00D749EA" w:rsidSect="0039169B">
      <w:headerReference w:type="default" r:id="rId14"/>
      <w:footerReference w:type="even" r:id="rId15"/>
      <w:footerReference w:type="first" r:id="rId16"/>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191" w:rsidRDefault="00AC0191">
      <w:r>
        <w:separator/>
      </w:r>
    </w:p>
  </w:endnote>
  <w:endnote w:type="continuationSeparator" w:id="0">
    <w:p w:rsidR="00AC0191" w:rsidRDefault="00AC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667C9">
      <w:rPr>
        <w:noProof/>
        <w:lang w:val="en-US"/>
      </w:rPr>
      <w:t>C:\Users\pokorna\Documents\_TDAG\Docs\015E_v9-clean_Calendar of ITU-D events-20-DECEMBER (002).docx</w:t>
    </w:r>
    <w:r>
      <w:fldChar w:fldCharType="end"/>
    </w:r>
    <w:r w:rsidRPr="0041348E">
      <w:rPr>
        <w:lang w:val="en-US"/>
      </w:rPr>
      <w:tab/>
    </w:r>
    <w:r>
      <w:fldChar w:fldCharType="begin"/>
    </w:r>
    <w:r>
      <w:instrText xml:space="preserve"> SAVEDATE \@ DD.MM.YY </w:instrText>
    </w:r>
    <w:r>
      <w:fldChar w:fldCharType="separate"/>
    </w:r>
    <w:r w:rsidR="00D667C9">
      <w:rPr>
        <w:noProof/>
      </w:rPr>
      <w:t>27.02.18</w:t>
    </w:r>
    <w:r>
      <w:fldChar w:fldCharType="end"/>
    </w:r>
    <w:r w:rsidRPr="0041348E">
      <w:rPr>
        <w:lang w:val="en-US"/>
      </w:rPr>
      <w:tab/>
    </w:r>
    <w:r>
      <w:fldChar w:fldCharType="begin"/>
    </w:r>
    <w:r>
      <w:instrText xml:space="preserve"> PRINTDATE \@ DD.MM.YY </w:instrText>
    </w:r>
    <w:r>
      <w:fldChar w:fldCharType="separate"/>
    </w:r>
    <w:r w:rsidR="00D667C9">
      <w:rPr>
        <w:noProof/>
      </w:rPr>
      <w:t>27.02.18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CC2954" w:rsidRPr="004D495C" w:rsidTr="00CC2954">
      <w:tc>
        <w:tcPr>
          <w:tcW w:w="1526" w:type="dxa"/>
          <w:tcBorders>
            <w:top w:val="single" w:sz="4" w:space="0" w:color="000000"/>
          </w:tcBorders>
          <w:shd w:val="clear" w:color="auto" w:fill="auto"/>
        </w:tcPr>
        <w:p w:rsidR="00CC2954" w:rsidRPr="004D495C" w:rsidRDefault="00CC2954" w:rsidP="005B10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C2954" w:rsidRPr="004D495C" w:rsidRDefault="00CC2954" w:rsidP="005B100B">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CC2954" w:rsidRPr="00AF7A97" w:rsidRDefault="00CC2954" w:rsidP="005B100B">
          <w:pPr>
            <w:pStyle w:val="FirstFooter"/>
            <w:tabs>
              <w:tab w:val="left" w:pos="2302"/>
            </w:tabs>
            <w:rPr>
              <w:sz w:val="18"/>
              <w:szCs w:val="18"/>
              <w:lang w:val="en-US"/>
            </w:rPr>
          </w:pPr>
          <w:r>
            <w:rPr>
              <w:sz w:val="18"/>
              <w:szCs w:val="18"/>
              <w:lang w:val="en-US"/>
            </w:rPr>
            <w:t xml:space="preserve">Mr Yushi Torigoe, Deputy to the Director, </w:t>
          </w:r>
          <w:r>
            <w:rPr>
              <w:sz w:val="18"/>
              <w:szCs w:val="18"/>
            </w:rPr>
            <w:t>Telecommunication Development Bureau</w:t>
          </w:r>
        </w:p>
      </w:tc>
      <w:bookmarkStart w:id="12" w:name="OrgName"/>
      <w:bookmarkEnd w:id="12"/>
    </w:tr>
    <w:tr w:rsidR="00CC2954" w:rsidRPr="004D495C" w:rsidTr="00CC2954">
      <w:tc>
        <w:tcPr>
          <w:tcW w:w="1526" w:type="dxa"/>
          <w:shd w:val="clear" w:color="auto" w:fill="auto"/>
        </w:tcPr>
        <w:p w:rsidR="00CC2954" w:rsidRPr="004D495C" w:rsidRDefault="00CC2954" w:rsidP="005B100B">
          <w:pPr>
            <w:pStyle w:val="FirstFooter"/>
            <w:tabs>
              <w:tab w:val="left" w:pos="1559"/>
              <w:tab w:val="left" w:pos="3828"/>
            </w:tabs>
            <w:rPr>
              <w:sz w:val="20"/>
              <w:lang w:val="en-US"/>
            </w:rPr>
          </w:pPr>
        </w:p>
      </w:tc>
      <w:tc>
        <w:tcPr>
          <w:tcW w:w="2410" w:type="dxa"/>
          <w:shd w:val="clear" w:color="auto" w:fill="auto"/>
        </w:tcPr>
        <w:p w:rsidR="00CC2954" w:rsidRPr="004D495C" w:rsidRDefault="00CC2954" w:rsidP="005B100B">
          <w:pPr>
            <w:pStyle w:val="FirstFooter"/>
            <w:tabs>
              <w:tab w:val="left" w:pos="2302"/>
            </w:tabs>
            <w:rPr>
              <w:sz w:val="18"/>
              <w:szCs w:val="18"/>
              <w:lang w:val="en-US"/>
            </w:rPr>
          </w:pPr>
          <w:r w:rsidRPr="004D495C">
            <w:rPr>
              <w:sz w:val="18"/>
              <w:szCs w:val="18"/>
              <w:lang w:val="en-US"/>
            </w:rPr>
            <w:t>Phone number:</w:t>
          </w:r>
        </w:p>
      </w:tc>
      <w:tc>
        <w:tcPr>
          <w:tcW w:w="5987" w:type="dxa"/>
        </w:tcPr>
        <w:p w:rsidR="00CC2954" w:rsidRPr="00AF7A97" w:rsidRDefault="00CC2954" w:rsidP="005B100B">
          <w:pPr>
            <w:pStyle w:val="FirstFooter"/>
            <w:tabs>
              <w:tab w:val="left" w:pos="2302"/>
            </w:tabs>
            <w:rPr>
              <w:sz w:val="18"/>
              <w:szCs w:val="18"/>
              <w:lang w:val="en-US"/>
            </w:rPr>
          </w:pPr>
          <w:r w:rsidRPr="00AF7A97">
            <w:rPr>
              <w:sz w:val="18"/>
              <w:szCs w:val="18"/>
              <w:lang w:val="en-US"/>
            </w:rPr>
            <w:t xml:space="preserve">+ 41 22 730 </w:t>
          </w:r>
          <w:r>
            <w:rPr>
              <w:sz w:val="18"/>
              <w:szCs w:val="18"/>
              <w:lang w:val="en-US"/>
            </w:rPr>
            <w:t>5784</w:t>
          </w:r>
        </w:p>
      </w:tc>
      <w:bookmarkStart w:id="13" w:name="PhoneNo"/>
      <w:bookmarkEnd w:id="13"/>
    </w:tr>
    <w:tr w:rsidR="00CC2954" w:rsidRPr="004D495C" w:rsidTr="00CC2954">
      <w:tc>
        <w:tcPr>
          <w:tcW w:w="1526" w:type="dxa"/>
          <w:shd w:val="clear" w:color="auto" w:fill="auto"/>
        </w:tcPr>
        <w:p w:rsidR="00CC2954" w:rsidRPr="004D495C" w:rsidRDefault="00CC2954" w:rsidP="005B100B">
          <w:pPr>
            <w:pStyle w:val="FirstFooter"/>
            <w:tabs>
              <w:tab w:val="left" w:pos="1559"/>
              <w:tab w:val="left" w:pos="3828"/>
            </w:tabs>
            <w:rPr>
              <w:sz w:val="20"/>
              <w:lang w:val="en-US"/>
            </w:rPr>
          </w:pPr>
        </w:p>
      </w:tc>
      <w:tc>
        <w:tcPr>
          <w:tcW w:w="2410" w:type="dxa"/>
          <w:shd w:val="clear" w:color="auto" w:fill="auto"/>
        </w:tcPr>
        <w:p w:rsidR="00CC2954" w:rsidRPr="004D495C" w:rsidRDefault="00CC2954" w:rsidP="005B100B">
          <w:pPr>
            <w:pStyle w:val="FirstFooter"/>
            <w:tabs>
              <w:tab w:val="left" w:pos="2302"/>
            </w:tabs>
            <w:rPr>
              <w:sz w:val="18"/>
              <w:szCs w:val="18"/>
              <w:lang w:val="en-US"/>
            </w:rPr>
          </w:pPr>
          <w:r w:rsidRPr="004D495C">
            <w:rPr>
              <w:sz w:val="18"/>
              <w:szCs w:val="18"/>
              <w:lang w:val="en-US"/>
            </w:rPr>
            <w:t>E-mail:</w:t>
          </w:r>
        </w:p>
      </w:tc>
      <w:tc>
        <w:tcPr>
          <w:tcW w:w="5987" w:type="dxa"/>
        </w:tcPr>
        <w:p w:rsidR="00CC2954" w:rsidRPr="00AF7A97" w:rsidRDefault="00AC0191" w:rsidP="005B100B">
          <w:pPr>
            <w:pStyle w:val="FirstFooter"/>
            <w:tabs>
              <w:tab w:val="left" w:pos="2302"/>
            </w:tabs>
            <w:rPr>
              <w:sz w:val="18"/>
              <w:szCs w:val="18"/>
              <w:lang w:val="en-US"/>
            </w:rPr>
          </w:pPr>
          <w:hyperlink r:id="rId1" w:history="1">
            <w:r w:rsidR="00CC2954" w:rsidRPr="007A235C">
              <w:rPr>
                <w:rStyle w:val="Hyperlink"/>
                <w:sz w:val="18"/>
                <w:szCs w:val="18"/>
                <w:lang w:val="en-US"/>
              </w:rPr>
              <w:t>yushi.torigoe@itu.int</w:t>
            </w:r>
          </w:hyperlink>
          <w:r w:rsidR="00CC2954">
            <w:rPr>
              <w:sz w:val="18"/>
              <w:szCs w:val="18"/>
              <w:lang w:val="en-US"/>
            </w:rPr>
            <w:t xml:space="preserve"> </w:t>
          </w:r>
        </w:p>
      </w:tc>
      <w:bookmarkStart w:id="14" w:name="Email"/>
      <w:bookmarkEnd w:id="14"/>
    </w:tr>
  </w:tbl>
  <w:p w:rsidR="00E45D05" w:rsidRPr="00D83BF5" w:rsidRDefault="00AC0191" w:rsidP="001E252D">
    <w:pPr>
      <w:jc w:val="center"/>
    </w:pPr>
    <w:hyperlink r:id="rId2" w:history="1">
      <w:r w:rsidR="001E252D"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191" w:rsidRDefault="00AC0191">
      <w:r>
        <w:rPr>
          <w:b/>
        </w:rPr>
        <w:t>_______________</w:t>
      </w:r>
    </w:p>
  </w:footnote>
  <w:footnote w:type="continuationSeparator" w:id="0">
    <w:p w:rsidR="00AC0191" w:rsidRDefault="00AC0191">
      <w:r>
        <w:continuationSeparator/>
      </w:r>
    </w:p>
  </w:footnote>
  <w:footnote w:id="1">
    <w:p w:rsidR="006E7511" w:rsidRPr="00847688" w:rsidRDefault="006E7511" w:rsidP="006E7511">
      <w:pPr>
        <w:pStyle w:val="FootnoteText"/>
        <w:rPr>
          <w:sz w:val="22"/>
          <w:szCs w:val="22"/>
        </w:rPr>
      </w:pPr>
      <w:r w:rsidRPr="00847688">
        <w:rPr>
          <w:rStyle w:val="FootnoteReference"/>
          <w:sz w:val="20"/>
        </w:rPr>
        <w:t>1</w:t>
      </w:r>
      <w:r w:rsidRPr="00847688">
        <w:rPr>
          <w:sz w:val="20"/>
        </w:rPr>
        <w:t xml:space="preserve"> </w:t>
      </w:r>
      <w:r w:rsidRPr="00847688">
        <w:rPr>
          <w:sz w:val="20"/>
        </w:rPr>
        <w:tab/>
      </w:r>
      <w:r w:rsidRPr="00847688">
        <w:rPr>
          <w:sz w:val="20"/>
          <w:lang w:val="en-US"/>
        </w:rPr>
        <w:t>Africa, Americas, Arab States, Asia and the Pacific, Commonwealth of Independent States, Europe.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D83BF5" w:rsidRDefault="00D83BF5" w:rsidP="006B547B">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001E252D">
      <w:rPr>
        <w:sz w:val="22"/>
        <w:szCs w:val="22"/>
        <w:lang w:val="es-ES_tradnl"/>
      </w:rPr>
      <w:t>TDAG</w:t>
    </w:r>
    <w:r w:rsidR="008B61EA">
      <w:rPr>
        <w:sz w:val="22"/>
        <w:szCs w:val="22"/>
        <w:lang w:val="es-ES_tradnl"/>
      </w:rPr>
      <w:t>-1</w:t>
    </w:r>
    <w:r w:rsidR="001E252D">
      <w:rPr>
        <w:sz w:val="22"/>
        <w:szCs w:val="22"/>
        <w:lang w:val="es-ES_tradnl"/>
      </w:rPr>
      <w:t>8</w:t>
    </w:r>
    <w:r w:rsidRPr="00FF089C">
      <w:rPr>
        <w:sz w:val="22"/>
        <w:szCs w:val="22"/>
        <w:lang w:val="es-ES_tradnl"/>
      </w:rPr>
      <w:t>/</w:t>
    </w:r>
    <w:bookmarkStart w:id="11" w:name="DocNo2"/>
    <w:bookmarkEnd w:id="11"/>
    <w:r w:rsidR="006B547B">
      <w:rPr>
        <w:sz w:val="22"/>
        <w:szCs w:val="22"/>
        <w:lang w:val="es-ES_tradnl"/>
      </w:rPr>
      <w:t>15</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D667C9">
      <w:rPr>
        <w:noProof/>
        <w:sz w:val="22"/>
        <w:szCs w:val="22"/>
        <w:lang w:val="es-ES_tradnl"/>
      </w:rPr>
      <w:t>4</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30AA3584"/>
    <w:multiLevelType w:val="hybridMultilevel"/>
    <w:tmpl w:val="1FCC5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1D6A1B"/>
    <w:multiLevelType w:val="multilevel"/>
    <w:tmpl w:val="5BD09F52"/>
    <w:lvl w:ilvl="0">
      <w:start w:val="3"/>
      <w:numFmt w:val="decimal"/>
      <w:lvlText w:val="%1"/>
      <w:lvlJc w:val="left"/>
      <w:pPr>
        <w:tabs>
          <w:tab w:val="num" w:pos="795"/>
        </w:tabs>
        <w:ind w:left="795" w:hanging="795"/>
      </w:pPr>
      <w:rPr>
        <w:rFonts w:hint="default"/>
      </w:rPr>
    </w:lvl>
    <w:lvl w:ilvl="1">
      <w:start w:val="1"/>
      <w:numFmt w:val="decimal"/>
      <w:lvlText w:val="3.%2"/>
      <w:lvlJc w:val="left"/>
      <w:pPr>
        <w:tabs>
          <w:tab w:val="num" w:pos="795"/>
        </w:tabs>
        <w:ind w:left="795" w:hanging="795"/>
      </w:pPr>
      <w:rPr>
        <w:rFonts w:ascii="Calibri" w:hAnsi="Calibri" w:cs="c" w:hint="default"/>
        <w:b w:val="0"/>
        <w:i w:val="0"/>
        <w:sz w:val="22"/>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354"/>
    <w:rsid w:val="000041EA"/>
    <w:rsid w:val="00014EA1"/>
    <w:rsid w:val="00016488"/>
    <w:rsid w:val="00022A29"/>
    <w:rsid w:val="00031642"/>
    <w:rsid w:val="000355FD"/>
    <w:rsid w:val="00051E39"/>
    <w:rsid w:val="0006292B"/>
    <w:rsid w:val="00075C63"/>
    <w:rsid w:val="00077239"/>
    <w:rsid w:val="00080905"/>
    <w:rsid w:val="000822BE"/>
    <w:rsid w:val="000838CC"/>
    <w:rsid w:val="00084054"/>
    <w:rsid w:val="00086491"/>
    <w:rsid w:val="00091346"/>
    <w:rsid w:val="000B3085"/>
    <w:rsid w:val="000D3E70"/>
    <w:rsid w:val="000D4875"/>
    <w:rsid w:val="000D54BA"/>
    <w:rsid w:val="000F5347"/>
    <w:rsid w:val="000F73FF"/>
    <w:rsid w:val="00114CF7"/>
    <w:rsid w:val="00123B68"/>
    <w:rsid w:val="00126F2E"/>
    <w:rsid w:val="0013666F"/>
    <w:rsid w:val="00146F63"/>
    <w:rsid w:val="00146F6F"/>
    <w:rsid w:val="00147DA1"/>
    <w:rsid w:val="00151E46"/>
    <w:rsid w:val="00152957"/>
    <w:rsid w:val="001565F5"/>
    <w:rsid w:val="00160977"/>
    <w:rsid w:val="00164611"/>
    <w:rsid w:val="0017278E"/>
    <w:rsid w:val="00187BD9"/>
    <w:rsid w:val="00190B02"/>
    <w:rsid w:val="00190B55"/>
    <w:rsid w:val="00194CFB"/>
    <w:rsid w:val="001B2ED3"/>
    <w:rsid w:val="001B7EA3"/>
    <w:rsid w:val="001C274D"/>
    <w:rsid w:val="001C3B5F"/>
    <w:rsid w:val="001D058F"/>
    <w:rsid w:val="001E0BB2"/>
    <w:rsid w:val="001E252D"/>
    <w:rsid w:val="002009EA"/>
    <w:rsid w:val="002016D8"/>
    <w:rsid w:val="00202CA0"/>
    <w:rsid w:val="00207F06"/>
    <w:rsid w:val="002154A6"/>
    <w:rsid w:val="002162CD"/>
    <w:rsid w:val="002255B3"/>
    <w:rsid w:val="002271FB"/>
    <w:rsid w:val="00236E8A"/>
    <w:rsid w:val="00241F75"/>
    <w:rsid w:val="0026764D"/>
    <w:rsid w:val="00271316"/>
    <w:rsid w:val="002809D2"/>
    <w:rsid w:val="00283279"/>
    <w:rsid w:val="002862EB"/>
    <w:rsid w:val="00296313"/>
    <w:rsid w:val="002A75B5"/>
    <w:rsid w:val="002B3C2A"/>
    <w:rsid w:val="002B3C84"/>
    <w:rsid w:val="002C1501"/>
    <w:rsid w:val="002D58BE"/>
    <w:rsid w:val="002D6A60"/>
    <w:rsid w:val="002E346E"/>
    <w:rsid w:val="003013EE"/>
    <w:rsid w:val="00326F32"/>
    <w:rsid w:val="0035023F"/>
    <w:rsid w:val="0035064B"/>
    <w:rsid w:val="003524E4"/>
    <w:rsid w:val="0036516C"/>
    <w:rsid w:val="00372077"/>
    <w:rsid w:val="00377BD3"/>
    <w:rsid w:val="00384088"/>
    <w:rsid w:val="0038489B"/>
    <w:rsid w:val="0039169B"/>
    <w:rsid w:val="003A7F8C"/>
    <w:rsid w:val="003B532E"/>
    <w:rsid w:val="003B6F14"/>
    <w:rsid w:val="003D0F8B"/>
    <w:rsid w:val="003D43A0"/>
    <w:rsid w:val="003F0D04"/>
    <w:rsid w:val="003F2554"/>
    <w:rsid w:val="004131D4"/>
    <w:rsid w:val="0041348E"/>
    <w:rsid w:val="00447308"/>
    <w:rsid w:val="00447DFD"/>
    <w:rsid w:val="004543D0"/>
    <w:rsid w:val="00467682"/>
    <w:rsid w:val="0047057D"/>
    <w:rsid w:val="004730A6"/>
    <w:rsid w:val="00474879"/>
    <w:rsid w:val="004765FF"/>
    <w:rsid w:val="004869DB"/>
    <w:rsid w:val="00492075"/>
    <w:rsid w:val="004969AD"/>
    <w:rsid w:val="004A39E5"/>
    <w:rsid w:val="004B13CB"/>
    <w:rsid w:val="004B4FDF"/>
    <w:rsid w:val="004D5D5C"/>
    <w:rsid w:val="004E15AD"/>
    <w:rsid w:val="0050139F"/>
    <w:rsid w:val="00505661"/>
    <w:rsid w:val="00514F85"/>
    <w:rsid w:val="00521223"/>
    <w:rsid w:val="00524DF1"/>
    <w:rsid w:val="00531301"/>
    <w:rsid w:val="005431E0"/>
    <w:rsid w:val="0055140B"/>
    <w:rsid w:val="00553189"/>
    <w:rsid w:val="00554C4F"/>
    <w:rsid w:val="005577CD"/>
    <w:rsid w:val="00561D72"/>
    <w:rsid w:val="005702FA"/>
    <w:rsid w:val="00574E16"/>
    <w:rsid w:val="005964AB"/>
    <w:rsid w:val="00596EA8"/>
    <w:rsid w:val="005B100B"/>
    <w:rsid w:val="005B44F5"/>
    <w:rsid w:val="005C099A"/>
    <w:rsid w:val="005C0CC6"/>
    <w:rsid w:val="005C31A5"/>
    <w:rsid w:val="005C4EE3"/>
    <w:rsid w:val="005E10C9"/>
    <w:rsid w:val="005E61DD"/>
    <w:rsid w:val="005E6321"/>
    <w:rsid w:val="005F4025"/>
    <w:rsid w:val="006023DF"/>
    <w:rsid w:val="00606464"/>
    <w:rsid w:val="00606A5B"/>
    <w:rsid w:val="0064322F"/>
    <w:rsid w:val="00655434"/>
    <w:rsid w:val="00657DE0"/>
    <w:rsid w:val="0067199F"/>
    <w:rsid w:val="00671DCD"/>
    <w:rsid w:val="006762EB"/>
    <w:rsid w:val="00677048"/>
    <w:rsid w:val="00685313"/>
    <w:rsid w:val="0069015A"/>
    <w:rsid w:val="00692F57"/>
    <w:rsid w:val="006A6E9B"/>
    <w:rsid w:val="006B4830"/>
    <w:rsid w:val="006B547B"/>
    <w:rsid w:val="006B7C2A"/>
    <w:rsid w:val="006C23DA"/>
    <w:rsid w:val="006C6FC5"/>
    <w:rsid w:val="006D2A03"/>
    <w:rsid w:val="006E3D45"/>
    <w:rsid w:val="006E7511"/>
    <w:rsid w:val="007149F9"/>
    <w:rsid w:val="0073325D"/>
    <w:rsid w:val="00733A30"/>
    <w:rsid w:val="00745AEE"/>
    <w:rsid w:val="007479EA"/>
    <w:rsid w:val="00750F10"/>
    <w:rsid w:val="007513B7"/>
    <w:rsid w:val="007742CA"/>
    <w:rsid w:val="007956EB"/>
    <w:rsid w:val="007A1341"/>
    <w:rsid w:val="007A547A"/>
    <w:rsid w:val="007B0C4E"/>
    <w:rsid w:val="007B6EDB"/>
    <w:rsid w:val="007C122F"/>
    <w:rsid w:val="007C6F61"/>
    <w:rsid w:val="007D06F0"/>
    <w:rsid w:val="007D45E3"/>
    <w:rsid w:val="007D5320"/>
    <w:rsid w:val="007E54AE"/>
    <w:rsid w:val="007F2F9A"/>
    <w:rsid w:val="007F655A"/>
    <w:rsid w:val="007F735C"/>
    <w:rsid w:val="00800972"/>
    <w:rsid w:val="00804475"/>
    <w:rsid w:val="00811633"/>
    <w:rsid w:val="00821CEF"/>
    <w:rsid w:val="00824165"/>
    <w:rsid w:val="008322F8"/>
    <w:rsid w:val="00832828"/>
    <w:rsid w:val="0083645A"/>
    <w:rsid w:val="00840B0F"/>
    <w:rsid w:val="00847688"/>
    <w:rsid w:val="008552ED"/>
    <w:rsid w:val="008711AE"/>
    <w:rsid w:val="00872FC8"/>
    <w:rsid w:val="008801D3"/>
    <w:rsid w:val="008845D0"/>
    <w:rsid w:val="008853D0"/>
    <w:rsid w:val="0089501F"/>
    <w:rsid w:val="008B43F2"/>
    <w:rsid w:val="008B61EA"/>
    <w:rsid w:val="008B6CFF"/>
    <w:rsid w:val="008C08BC"/>
    <w:rsid w:val="008C3A51"/>
    <w:rsid w:val="008F295A"/>
    <w:rsid w:val="008F3045"/>
    <w:rsid w:val="0090084D"/>
    <w:rsid w:val="00910B26"/>
    <w:rsid w:val="00921257"/>
    <w:rsid w:val="00922E39"/>
    <w:rsid w:val="0092591F"/>
    <w:rsid w:val="009274B4"/>
    <w:rsid w:val="00934EA2"/>
    <w:rsid w:val="009407C8"/>
    <w:rsid w:val="00944A5C"/>
    <w:rsid w:val="00952A66"/>
    <w:rsid w:val="00953CD9"/>
    <w:rsid w:val="009943F1"/>
    <w:rsid w:val="009B765C"/>
    <w:rsid w:val="009C228D"/>
    <w:rsid w:val="009C56E5"/>
    <w:rsid w:val="009D46BE"/>
    <w:rsid w:val="009E5FC8"/>
    <w:rsid w:val="009E687A"/>
    <w:rsid w:val="00A013DE"/>
    <w:rsid w:val="00A02AA7"/>
    <w:rsid w:val="00A03C5C"/>
    <w:rsid w:val="00A066F1"/>
    <w:rsid w:val="00A141AF"/>
    <w:rsid w:val="00A16431"/>
    <w:rsid w:val="00A1691E"/>
    <w:rsid w:val="00A16D29"/>
    <w:rsid w:val="00A20E5E"/>
    <w:rsid w:val="00A30305"/>
    <w:rsid w:val="00A31D2D"/>
    <w:rsid w:val="00A36B52"/>
    <w:rsid w:val="00A421F2"/>
    <w:rsid w:val="00A4600A"/>
    <w:rsid w:val="00A4641A"/>
    <w:rsid w:val="00A538A6"/>
    <w:rsid w:val="00A54C25"/>
    <w:rsid w:val="00A710E7"/>
    <w:rsid w:val="00A7372E"/>
    <w:rsid w:val="00A93B85"/>
    <w:rsid w:val="00AA0B18"/>
    <w:rsid w:val="00AA5B46"/>
    <w:rsid w:val="00AA666F"/>
    <w:rsid w:val="00AA7704"/>
    <w:rsid w:val="00AB4927"/>
    <w:rsid w:val="00AC0191"/>
    <w:rsid w:val="00AC034F"/>
    <w:rsid w:val="00AD49F2"/>
    <w:rsid w:val="00AD7AF6"/>
    <w:rsid w:val="00B004E5"/>
    <w:rsid w:val="00B15F9D"/>
    <w:rsid w:val="00B2658D"/>
    <w:rsid w:val="00B33791"/>
    <w:rsid w:val="00B40944"/>
    <w:rsid w:val="00B424AF"/>
    <w:rsid w:val="00B639E9"/>
    <w:rsid w:val="00B817CD"/>
    <w:rsid w:val="00B85FF4"/>
    <w:rsid w:val="00B911B2"/>
    <w:rsid w:val="00B9344B"/>
    <w:rsid w:val="00B951D0"/>
    <w:rsid w:val="00B95DA2"/>
    <w:rsid w:val="00BA23FE"/>
    <w:rsid w:val="00BA4EFA"/>
    <w:rsid w:val="00BB29C8"/>
    <w:rsid w:val="00BB3A95"/>
    <w:rsid w:val="00BC0382"/>
    <w:rsid w:val="00BD62C6"/>
    <w:rsid w:val="00BE46D1"/>
    <w:rsid w:val="00C0018F"/>
    <w:rsid w:val="00C20466"/>
    <w:rsid w:val="00C214ED"/>
    <w:rsid w:val="00C21F28"/>
    <w:rsid w:val="00C234E6"/>
    <w:rsid w:val="00C324A8"/>
    <w:rsid w:val="00C54517"/>
    <w:rsid w:val="00C551C1"/>
    <w:rsid w:val="00C64CD8"/>
    <w:rsid w:val="00C7777B"/>
    <w:rsid w:val="00C840D1"/>
    <w:rsid w:val="00C97C68"/>
    <w:rsid w:val="00CA1A47"/>
    <w:rsid w:val="00CC247A"/>
    <w:rsid w:val="00CC2954"/>
    <w:rsid w:val="00CC4C9F"/>
    <w:rsid w:val="00CD3F1F"/>
    <w:rsid w:val="00CD748F"/>
    <w:rsid w:val="00CE5E47"/>
    <w:rsid w:val="00CF020F"/>
    <w:rsid w:val="00CF2B5B"/>
    <w:rsid w:val="00CF4279"/>
    <w:rsid w:val="00D04E30"/>
    <w:rsid w:val="00D14CE0"/>
    <w:rsid w:val="00D17AD2"/>
    <w:rsid w:val="00D201FD"/>
    <w:rsid w:val="00D36333"/>
    <w:rsid w:val="00D53033"/>
    <w:rsid w:val="00D5651D"/>
    <w:rsid w:val="00D57DC4"/>
    <w:rsid w:val="00D60225"/>
    <w:rsid w:val="00D614D1"/>
    <w:rsid w:val="00D667C9"/>
    <w:rsid w:val="00D74898"/>
    <w:rsid w:val="00D749EA"/>
    <w:rsid w:val="00D801ED"/>
    <w:rsid w:val="00D83BF5"/>
    <w:rsid w:val="00D925C2"/>
    <w:rsid w:val="00D936BC"/>
    <w:rsid w:val="00D95062"/>
    <w:rsid w:val="00D9621A"/>
    <w:rsid w:val="00D96530"/>
    <w:rsid w:val="00D96B4B"/>
    <w:rsid w:val="00DA2345"/>
    <w:rsid w:val="00DA453A"/>
    <w:rsid w:val="00DA4EB7"/>
    <w:rsid w:val="00DA7078"/>
    <w:rsid w:val="00DC5E7D"/>
    <w:rsid w:val="00DD08B4"/>
    <w:rsid w:val="00DD44AF"/>
    <w:rsid w:val="00DE2AC3"/>
    <w:rsid w:val="00DE2ECD"/>
    <w:rsid w:val="00DE434C"/>
    <w:rsid w:val="00DE5692"/>
    <w:rsid w:val="00DF289C"/>
    <w:rsid w:val="00DF6F8E"/>
    <w:rsid w:val="00E037E5"/>
    <w:rsid w:val="00E03C94"/>
    <w:rsid w:val="00E05DC6"/>
    <w:rsid w:val="00E07105"/>
    <w:rsid w:val="00E26226"/>
    <w:rsid w:val="00E4165C"/>
    <w:rsid w:val="00E45D05"/>
    <w:rsid w:val="00E55816"/>
    <w:rsid w:val="00E55AEF"/>
    <w:rsid w:val="00E65C48"/>
    <w:rsid w:val="00E84060"/>
    <w:rsid w:val="00E976C1"/>
    <w:rsid w:val="00EA12E5"/>
    <w:rsid w:val="00EB6497"/>
    <w:rsid w:val="00F02766"/>
    <w:rsid w:val="00F04067"/>
    <w:rsid w:val="00F05BD4"/>
    <w:rsid w:val="00F11A98"/>
    <w:rsid w:val="00F147D8"/>
    <w:rsid w:val="00F21A1D"/>
    <w:rsid w:val="00F260E8"/>
    <w:rsid w:val="00F3534D"/>
    <w:rsid w:val="00F54BFE"/>
    <w:rsid w:val="00F65C19"/>
    <w:rsid w:val="00F6651A"/>
    <w:rsid w:val="00FA2DE5"/>
    <w:rsid w:val="00FD2546"/>
    <w:rsid w:val="00FD563F"/>
    <w:rsid w:val="00FD772E"/>
    <w:rsid w:val="00FE09B7"/>
    <w:rsid w:val="00FE33D7"/>
    <w:rsid w:val="00FE3926"/>
    <w:rsid w:val="00FE3E36"/>
    <w:rsid w:val="00FE78C7"/>
    <w:rsid w:val="00FF09D7"/>
    <w:rsid w:val="00FF155E"/>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ref">
    <w:name w:val="href"/>
    <w:basedOn w:val="DefaultParagraphFont"/>
    <w:uiPriority w:val="99"/>
    <w:rsid w:val="00596EA8"/>
    <w:rPr>
      <w:color w:val="auto"/>
    </w:rPr>
  </w:style>
  <w:style w:type="character" w:styleId="FollowedHyperlink">
    <w:name w:val="FollowedHyperlink"/>
    <w:basedOn w:val="DefaultParagraphFont"/>
    <w:semiHidden/>
    <w:unhideWhenUsed/>
    <w:rsid w:val="0035064B"/>
    <w:rPr>
      <w:color w:val="800080" w:themeColor="followedHyperlink"/>
      <w:u w:val="single"/>
    </w:rPr>
  </w:style>
  <w:style w:type="paragraph" w:customStyle="1" w:styleId="CEOMainDocParagraph">
    <w:name w:val="CEO_MainDoc_Paragraph"/>
    <w:basedOn w:val="Normal"/>
    <w:qFormat/>
    <w:rsid w:val="004869DB"/>
    <w:pPr>
      <w:tabs>
        <w:tab w:val="clear" w:pos="1134"/>
        <w:tab w:val="clear" w:pos="1871"/>
        <w:tab w:val="clear" w:pos="2268"/>
      </w:tabs>
      <w:overflowPunct/>
      <w:autoSpaceDE/>
      <w:autoSpaceDN/>
      <w:adjustRightInd/>
      <w:spacing w:after="120"/>
      <w:textAlignment w:val="auto"/>
    </w:pPr>
    <w:rPr>
      <w:rFonts w:eastAsia="SimSun"/>
      <w:sz w:val="22"/>
      <w:szCs w:val="19"/>
    </w:rPr>
  </w:style>
  <w:style w:type="character" w:customStyle="1" w:styleId="CallChar">
    <w:name w:val="Call Char"/>
    <w:basedOn w:val="DefaultParagraphFont"/>
    <w:link w:val="Call"/>
    <w:locked/>
    <w:rsid w:val="00921257"/>
    <w:rPr>
      <w:rFonts w:asciiTheme="minorHAnsi" w:hAnsiTheme="minorHAnsi"/>
      <w:i/>
      <w:sz w:val="24"/>
      <w:lang w:val="en-GB" w:eastAsia="en-US"/>
    </w:rPr>
  </w:style>
  <w:style w:type="paragraph" w:customStyle="1" w:styleId="CEOAnnexTable">
    <w:name w:val="CEO_Annex_Table"/>
    <w:basedOn w:val="Normal"/>
    <w:qFormat/>
    <w:rsid w:val="00D6022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szCs w:val="18"/>
    </w:rPr>
  </w:style>
  <w:style w:type="paragraph" w:styleId="Revision">
    <w:name w:val="Revision"/>
    <w:hidden/>
    <w:uiPriority w:val="99"/>
    <w:semiHidden/>
    <w:rsid w:val="002A75B5"/>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103380426">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en/ITU-D/Conferences/TDAG/Pages/defaul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7177EE-31E5-4610-B1C9-16D2C60F0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8272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Pokorna, Daniela</cp:lastModifiedBy>
  <cp:revision>4</cp:revision>
  <cp:lastPrinted>2018-02-27T16:59:00Z</cp:lastPrinted>
  <dcterms:created xsi:type="dcterms:W3CDTF">2018-02-27T16:58:00Z</dcterms:created>
  <dcterms:modified xsi:type="dcterms:W3CDTF">2018-02-27T16:59:00Z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