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B90C12" w:rsidTr="00D92762">
        <w:trPr>
          <w:cantSplit/>
          <w:trHeight w:val="1134"/>
        </w:trPr>
        <w:tc>
          <w:tcPr>
            <w:tcW w:w="6663" w:type="dxa"/>
            <w:tcBorders>
              <w:bottom w:val="single" w:sz="12" w:space="0" w:color="auto"/>
            </w:tcBorders>
          </w:tcPr>
          <w:p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rsidR="00D372A5" w:rsidRPr="00560C51" w:rsidRDefault="00D372A5" w:rsidP="000725A1">
            <w:pPr>
              <w:spacing w:before="100" w:after="120"/>
              <w:rPr>
                <w:rFonts w:ascii="Verdana" w:hAnsi="Verdana"/>
                <w:sz w:val="28"/>
                <w:szCs w:val="28"/>
                <w:lang w:val="es-ES_tradnl"/>
              </w:rPr>
            </w:pPr>
            <w:r w:rsidRPr="008C1852">
              <w:rPr>
                <w:b/>
                <w:bCs/>
                <w:sz w:val="26"/>
                <w:szCs w:val="26"/>
                <w:lang w:val="es-ES_tradnl"/>
              </w:rPr>
              <w:t>2</w:t>
            </w:r>
            <w:r>
              <w:rPr>
                <w:b/>
                <w:bCs/>
                <w:sz w:val="26"/>
                <w:szCs w:val="26"/>
                <w:lang w:val="es-ES_tradnl"/>
              </w:rPr>
              <w:t>3</w:t>
            </w:r>
            <w:r w:rsidRPr="008C1852">
              <w:rPr>
                <w:b/>
                <w:bCs/>
                <w:sz w:val="26"/>
                <w:szCs w:val="26"/>
                <w:lang w:val="es-ES_tradnl"/>
              </w:rPr>
              <w:t>ª reunión, Ginebra, 9-1</w:t>
            </w:r>
            <w:r>
              <w:rPr>
                <w:b/>
                <w:bCs/>
                <w:sz w:val="26"/>
                <w:szCs w:val="26"/>
                <w:lang w:val="es-ES_tradnl"/>
              </w:rPr>
              <w:t>1</w:t>
            </w:r>
            <w:r w:rsidRPr="008C1852">
              <w:rPr>
                <w:b/>
                <w:bCs/>
                <w:sz w:val="26"/>
                <w:szCs w:val="26"/>
                <w:lang w:val="es-ES_tradnl"/>
              </w:rPr>
              <w:t xml:space="preserve"> de </w:t>
            </w:r>
            <w:r>
              <w:rPr>
                <w:b/>
                <w:bCs/>
                <w:sz w:val="26"/>
                <w:szCs w:val="26"/>
                <w:lang w:val="es-ES_tradnl"/>
              </w:rPr>
              <w:t>abril</w:t>
            </w:r>
            <w:r w:rsidRPr="008C1852">
              <w:rPr>
                <w:b/>
                <w:bCs/>
                <w:sz w:val="26"/>
                <w:szCs w:val="26"/>
                <w:lang w:val="es-ES_tradnl"/>
              </w:rPr>
              <w:t xml:space="preserve"> de 201</w:t>
            </w:r>
            <w:r>
              <w:rPr>
                <w:b/>
                <w:bCs/>
                <w:sz w:val="26"/>
                <w:szCs w:val="26"/>
                <w:lang w:val="es-ES_tradnl"/>
              </w:rPr>
              <w:t>8</w:t>
            </w:r>
          </w:p>
        </w:tc>
        <w:tc>
          <w:tcPr>
            <w:tcW w:w="3225" w:type="dxa"/>
            <w:tcBorders>
              <w:bottom w:val="single" w:sz="12" w:space="0" w:color="auto"/>
            </w:tcBorders>
          </w:tcPr>
          <w:p w:rsidR="00D372A5" w:rsidRPr="00560C51" w:rsidRDefault="00D372A5" w:rsidP="004B7893">
            <w:pPr>
              <w:spacing w:before="40" w:after="80"/>
              <w:ind w:right="142"/>
              <w:rPr>
                <w:lang w:val="es-ES_tradnl"/>
              </w:rPr>
            </w:pPr>
            <w:r w:rsidRPr="00CC1F10">
              <w:rPr>
                <w:noProof/>
                <w:color w:val="3399FF"/>
                <w:lang w:val="en-US" w:eastAsia="zh-CN"/>
              </w:rPr>
              <w:drawing>
                <wp:anchor distT="0" distB="0" distL="114300" distR="114300" simplePos="0" relativeHeight="251661312" behindDoc="0" locked="0" layoutInCell="1" allowOverlap="1" wp14:anchorId="1BC3BCAE" wp14:editId="3F2A306F">
                  <wp:simplePos x="0" y="0"/>
                  <wp:positionH relativeFrom="column">
                    <wp:posOffset>1160145</wp:posOffset>
                  </wp:positionH>
                  <wp:positionV relativeFrom="paragraph">
                    <wp:posOffset>66040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4B7893" w:rsidRPr="00B90C12" w:rsidTr="004B7893">
        <w:trPr>
          <w:cantSplit/>
        </w:trPr>
        <w:tc>
          <w:tcPr>
            <w:tcW w:w="6663" w:type="dxa"/>
            <w:tcBorders>
              <w:top w:val="single" w:sz="12" w:space="0" w:color="auto"/>
            </w:tcBorders>
          </w:tcPr>
          <w:p w:rsidR="004B7893" w:rsidRPr="00560C51" w:rsidRDefault="004B7893" w:rsidP="004B7893">
            <w:pPr>
              <w:spacing w:before="0"/>
              <w:rPr>
                <w:rFonts w:cs="Arial"/>
                <w:b/>
                <w:bCs/>
                <w:sz w:val="20"/>
                <w:lang w:val="es-ES_tradnl"/>
              </w:rPr>
            </w:pPr>
          </w:p>
        </w:tc>
        <w:tc>
          <w:tcPr>
            <w:tcW w:w="3225" w:type="dxa"/>
            <w:tcBorders>
              <w:top w:val="single" w:sz="12" w:space="0" w:color="auto"/>
            </w:tcBorders>
          </w:tcPr>
          <w:p w:rsidR="004B7893" w:rsidRPr="00560C51" w:rsidRDefault="004B7893" w:rsidP="004B7893">
            <w:pPr>
              <w:spacing w:before="0"/>
              <w:rPr>
                <w:b/>
                <w:bCs/>
                <w:sz w:val="20"/>
                <w:lang w:val="es-ES_tradnl"/>
              </w:rPr>
            </w:pPr>
          </w:p>
        </w:tc>
      </w:tr>
      <w:tr w:rsidR="004B7893" w:rsidRPr="00560C51" w:rsidTr="004B7893">
        <w:trPr>
          <w:cantSplit/>
        </w:trPr>
        <w:tc>
          <w:tcPr>
            <w:tcW w:w="6663" w:type="dxa"/>
          </w:tcPr>
          <w:p w:rsidR="004B7893" w:rsidRPr="00560C51" w:rsidRDefault="004B7893" w:rsidP="004B7893">
            <w:pPr>
              <w:pStyle w:val="Committee"/>
              <w:spacing w:before="0"/>
              <w:rPr>
                <w:b w:val="0"/>
                <w:lang w:val="es-ES_tradnl"/>
              </w:rPr>
            </w:pPr>
          </w:p>
        </w:tc>
        <w:tc>
          <w:tcPr>
            <w:tcW w:w="3225" w:type="dxa"/>
          </w:tcPr>
          <w:p w:rsidR="004B7893" w:rsidRPr="00560C51" w:rsidRDefault="005637B9" w:rsidP="00B90C12">
            <w:pPr>
              <w:spacing w:before="0"/>
              <w:rPr>
                <w:bCs/>
                <w:lang w:val="es-ES_tradnl"/>
              </w:rPr>
            </w:pPr>
            <w:r w:rsidRPr="00560C51">
              <w:rPr>
                <w:b/>
                <w:bCs/>
                <w:lang w:val="es-ES_tradnl"/>
              </w:rPr>
              <w:t xml:space="preserve">Documento </w:t>
            </w:r>
            <w:bookmarkStart w:id="0" w:name="DocRef1"/>
            <w:bookmarkEnd w:id="0"/>
            <w:r>
              <w:rPr>
                <w:b/>
                <w:bCs/>
                <w:lang w:val="es-ES_tradnl"/>
              </w:rPr>
              <w:t>TDAG1</w:t>
            </w:r>
            <w:r w:rsidR="000725A1">
              <w:rPr>
                <w:b/>
                <w:bCs/>
                <w:lang w:val="es-ES_tradnl"/>
              </w:rPr>
              <w:t>8</w:t>
            </w:r>
            <w:r>
              <w:rPr>
                <w:b/>
                <w:bCs/>
                <w:lang w:val="es-ES_tradnl"/>
              </w:rPr>
              <w:t>-2</w:t>
            </w:r>
            <w:r w:rsidR="000725A1">
              <w:rPr>
                <w:b/>
                <w:bCs/>
                <w:lang w:val="es-ES_tradnl"/>
              </w:rPr>
              <w:t>3</w:t>
            </w:r>
            <w:r w:rsidRPr="00560C51">
              <w:rPr>
                <w:b/>
                <w:bCs/>
                <w:lang w:val="es-ES_tradnl"/>
              </w:rPr>
              <w:t>/</w:t>
            </w:r>
            <w:bookmarkStart w:id="1" w:name="DocNo1"/>
            <w:bookmarkEnd w:id="1"/>
            <w:r w:rsidR="00B90C12">
              <w:rPr>
                <w:b/>
                <w:bCs/>
                <w:lang w:val="es-ES_tradnl"/>
              </w:rPr>
              <w:t>14</w:t>
            </w:r>
            <w:r>
              <w:rPr>
                <w:b/>
                <w:bCs/>
                <w:lang w:val="es-ES_tradnl"/>
              </w:rPr>
              <w:t>-S</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360762" w:rsidRDefault="00B90C12" w:rsidP="00B90C12">
            <w:pPr>
              <w:spacing w:before="0"/>
              <w:rPr>
                <w:b/>
                <w:lang w:val="es-ES_tradnl"/>
              </w:rPr>
            </w:pPr>
            <w:bookmarkStart w:id="2" w:name="CreationDate"/>
            <w:bookmarkEnd w:id="2"/>
            <w:r>
              <w:rPr>
                <w:b/>
                <w:bCs/>
                <w:szCs w:val="28"/>
              </w:rPr>
              <w:t>31 de enero de</w:t>
            </w:r>
            <w:r w:rsidR="00BC7208" w:rsidRPr="008F5D48">
              <w:rPr>
                <w:b/>
                <w:bCs/>
                <w:szCs w:val="28"/>
              </w:rPr>
              <w:t xml:space="preserve"> 201</w:t>
            </w:r>
            <w:r w:rsidR="000725A1">
              <w:rPr>
                <w:b/>
                <w:bCs/>
                <w:szCs w:val="28"/>
              </w:rPr>
              <w:t>8</w:t>
            </w:r>
          </w:p>
        </w:tc>
      </w:tr>
      <w:tr w:rsidR="004B7893" w:rsidRPr="00560C51" w:rsidTr="004B7893">
        <w:trPr>
          <w:cantSplit/>
        </w:trPr>
        <w:tc>
          <w:tcPr>
            <w:tcW w:w="6663" w:type="dxa"/>
          </w:tcPr>
          <w:p w:rsidR="004B7893" w:rsidRPr="00560C51" w:rsidRDefault="004B7893" w:rsidP="004B7893">
            <w:pPr>
              <w:spacing w:before="0"/>
              <w:rPr>
                <w:b/>
                <w:bCs/>
                <w:smallCaps/>
                <w:lang w:val="es-ES_tradnl"/>
              </w:rPr>
            </w:pPr>
          </w:p>
        </w:tc>
        <w:tc>
          <w:tcPr>
            <w:tcW w:w="3225" w:type="dxa"/>
          </w:tcPr>
          <w:p w:rsidR="004B7893" w:rsidRPr="007F1CC7" w:rsidRDefault="005637B9" w:rsidP="004B7893">
            <w:pPr>
              <w:spacing w:before="0"/>
              <w:rPr>
                <w:szCs w:val="24"/>
              </w:rPr>
            </w:pPr>
            <w:r w:rsidRPr="00560C51">
              <w:rPr>
                <w:b/>
                <w:lang w:val="es-ES_tradnl"/>
              </w:rPr>
              <w:t>Original:</w:t>
            </w:r>
            <w:bookmarkStart w:id="3" w:name="Original"/>
            <w:bookmarkEnd w:id="3"/>
            <w:r>
              <w:rPr>
                <w:b/>
                <w:lang w:val="es-ES_tradnl"/>
              </w:rPr>
              <w:t xml:space="preserve"> </w:t>
            </w:r>
            <w:r w:rsidR="00B90C12">
              <w:rPr>
                <w:b/>
                <w:lang w:val="es-ES_tradnl"/>
              </w:rPr>
              <w:t>inglés</w:t>
            </w:r>
          </w:p>
        </w:tc>
      </w:tr>
      <w:tr w:rsidR="004B7893" w:rsidRPr="00B90C12" w:rsidTr="004B7893">
        <w:trPr>
          <w:cantSplit/>
          <w:trHeight w:val="852"/>
        </w:trPr>
        <w:tc>
          <w:tcPr>
            <w:tcW w:w="9888" w:type="dxa"/>
            <w:gridSpan w:val="2"/>
          </w:tcPr>
          <w:p w:rsidR="004B7893" w:rsidRPr="00560C51" w:rsidRDefault="00B90C12" w:rsidP="004B7893">
            <w:pPr>
              <w:pStyle w:val="Source"/>
              <w:rPr>
                <w:szCs w:val="28"/>
                <w:lang w:val="es-ES_tradnl"/>
              </w:rPr>
            </w:pPr>
            <w:bookmarkStart w:id="4" w:name="Source"/>
            <w:bookmarkEnd w:id="4"/>
            <w:r w:rsidRPr="00AF4FFD">
              <w:rPr>
                <w:lang w:val="es-ES_tradnl"/>
              </w:rPr>
              <w:t>Director, Oficina de Desarrollo de las Telecomunicaciones</w:t>
            </w:r>
          </w:p>
        </w:tc>
      </w:tr>
      <w:tr w:rsidR="004B7893" w:rsidRPr="00560C51" w:rsidTr="004B7893">
        <w:trPr>
          <w:cantSplit/>
        </w:trPr>
        <w:tc>
          <w:tcPr>
            <w:tcW w:w="9888" w:type="dxa"/>
            <w:gridSpan w:val="2"/>
          </w:tcPr>
          <w:p w:rsidR="004B7893" w:rsidRPr="000135AE" w:rsidRDefault="00B90C12" w:rsidP="004B7893">
            <w:pPr>
              <w:pStyle w:val="Title1"/>
              <w:spacing w:afterAutospacing="0"/>
              <w:rPr>
                <w:bCs/>
                <w:szCs w:val="28"/>
                <w:lang w:val="es-ES_tradnl"/>
              </w:rPr>
            </w:pPr>
            <w:bookmarkStart w:id="5" w:name="Title"/>
            <w:bookmarkEnd w:id="5"/>
            <w:r w:rsidRPr="00AF4FFD">
              <w:rPr>
                <w:lang w:val="es-ES_tradnl"/>
              </w:rPr>
              <w:t>Foros Regionales de Desarrollo</w:t>
            </w:r>
          </w:p>
        </w:tc>
      </w:tr>
      <w:tr w:rsidR="004B7893" w:rsidRPr="00560C51" w:rsidTr="004B7893">
        <w:trPr>
          <w:cantSplit/>
        </w:trPr>
        <w:tc>
          <w:tcPr>
            <w:tcW w:w="9888" w:type="dxa"/>
            <w:gridSpan w:val="2"/>
            <w:tcBorders>
              <w:bottom w:val="single" w:sz="4" w:space="0" w:color="auto"/>
            </w:tcBorders>
          </w:tcPr>
          <w:p w:rsidR="004B7893" w:rsidRPr="00A721F4" w:rsidRDefault="004B7893" w:rsidP="00BC7208"/>
        </w:tc>
      </w:tr>
      <w:tr w:rsidR="004B7893" w:rsidRPr="00B90C12"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B90C12" w:rsidRDefault="004B7893" w:rsidP="004B7893">
            <w:pPr>
              <w:spacing w:before="240"/>
              <w:rPr>
                <w:b/>
                <w:bCs/>
                <w:lang w:val="es-ES_tradnl"/>
              </w:rPr>
            </w:pPr>
            <w:r w:rsidRPr="00B90C12">
              <w:rPr>
                <w:b/>
                <w:bCs/>
                <w:lang w:val="es-ES_tradnl"/>
              </w:rPr>
              <w:t>Resumen:</w:t>
            </w:r>
          </w:p>
          <w:p w:rsidR="004B7893" w:rsidRPr="00B90C12" w:rsidRDefault="00B90C12" w:rsidP="004B7893">
            <w:pPr>
              <w:rPr>
                <w:b/>
                <w:bCs/>
                <w:lang w:val="es-ES_tradnl"/>
              </w:rPr>
            </w:pPr>
            <w:r w:rsidRPr="00AF4FFD">
              <w:rPr>
                <w:szCs w:val="24"/>
                <w:lang w:val="es-ES_tradnl"/>
              </w:rPr>
              <w:t xml:space="preserve">En el presente documento se proporciona información de base </w:t>
            </w:r>
            <w:r>
              <w:rPr>
                <w:szCs w:val="24"/>
                <w:lang w:val="es-ES_tradnl"/>
              </w:rPr>
              <w:t>acerca de</w:t>
            </w:r>
            <w:r w:rsidRPr="00AF4FFD">
              <w:rPr>
                <w:szCs w:val="24"/>
                <w:lang w:val="es-ES_tradnl"/>
              </w:rPr>
              <w:t xml:space="preserve"> </w:t>
            </w:r>
            <w:r w:rsidRPr="00AF4FFD">
              <w:rPr>
                <w:lang w:val="es-ES_tradnl"/>
              </w:rPr>
              <w:t xml:space="preserve">la </w:t>
            </w:r>
            <w:r w:rsidRPr="00AF4FFD">
              <w:rPr>
                <w:szCs w:val="24"/>
                <w:lang w:val="es-ES_tradnl"/>
              </w:rPr>
              <w:t>situación de los preparativos de los Foros Regionales de Desarrollo que tendrán lugar en 2018, habida cuenta de los resultados de la CMDT-17.</w:t>
            </w:r>
          </w:p>
          <w:p w:rsidR="004B7893" w:rsidRPr="00B90C12" w:rsidRDefault="004B7893" w:rsidP="004B7893">
            <w:pPr>
              <w:rPr>
                <w:b/>
                <w:bCs/>
                <w:lang w:val="es-ES_tradnl"/>
              </w:rPr>
            </w:pPr>
            <w:r w:rsidRPr="00B90C12">
              <w:rPr>
                <w:b/>
                <w:bCs/>
                <w:lang w:val="es-ES_tradnl"/>
              </w:rPr>
              <w:t xml:space="preserve">Acción solicitada: </w:t>
            </w:r>
          </w:p>
          <w:p w:rsidR="004B7893" w:rsidRPr="00B90C12" w:rsidRDefault="00B90C12" w:rsidP="004B7893">
            <w:pPr>
              <w:rPr>
                <w:b/>
                <w:bCs/>
                <w:lang w:val="es-ES_tradnl"/>
              </w:rPr>
            </w:pPr>
            <w:r w:rsidRPr="00AF4FFD">
              <w:rPr>
                <w:lang w:val="es-ES_tradnl"/>
              </w:rPr>
              <w:t>Se invita al GADT a tomar en consideración este informe y a facilitar las orientaciones que estime oportunas.</w:t>
            </w:r>
          </w:p>
          <w:p w:rsidR="004B7893" w:rsidRPr="00B90C12" w:rsidRDefault="004B7893" w:rsidP="004B7893">
            <w:pPr>
              <w:rPr>
                <w:b/>
                <w:bCs/>
                <w:lang w:val="es-ES_tradnl"/>
              </w:rPr>
            </w:pPr>
            <w:r w:rsidRPr="00B90C12">
              <w:rPr>
                <w:b/>
                <w:bCs/>
                <w:lang w:val="es-ES_tradnl"/>
              </w:rPr>
              <w:t>Referencias:</w:t>
            </w:r>
          </w:p>
          <w:p w:rsidR="004B7893" w:rsidRPr="00B90C12" w:rsidRDefault="00B90C12" w:rsidP="006D16F8">
            <w:pPr>
              <w:rPr>
                <w:b/>
                <w:bCs/>
                <w:lang w:val="es-ES_tradnl"/>
              </w:rPr>
            </w:pPr>
            <w:r w:rsidRPr="00AF4FFD">
              <w:rPr>
                <w:szCs w:val="24"/>
                <w:lang w:val="es-ES_tradnl"/>
              </w:rPr>
              <w:t>Plan de Acción de Buenos Aires</w:t>
            </w:r>
            <w:r>
              <w:rPr>
                <w:szCs w:val="24"/>
                <w:lang w:val="es-ES_tradnl"/>
              </w:rPr>
              <w:t xml:space="preserve"> para</w:t>
            </w:r>
            <w:r w:rsidRPr="00AF4FFD">
              <w:rPr>
                <w:szCs w:val="24"/>
                <w:lang w:val="es-ES_tradnl"/>
              </w:rPr>
              <w:t xml:space="preserve"> la CMDT; Resolución 1 de la CMDT (Rev. Buenos Aires, 2017);</w:t>
            </w:r>
            <w:r w:rsidRPr="00AF4FFD">
              <w:rPr>
                <w:b/>
                <w:bCs/>
                <w:szCs w:val="24"/>
                <w:lang w:val="es-ES_tradnl"/>
              </w:rPr>
              <w:t xml:space="preserve"> </w:t>
            </w:r>
            <w:r w:rsidRPr="00AF4FFD">
              <w:rPr>
                <w:szCs w:val="24"/>
                <w:lang w:val="es-ES_tradnl"/>
              </w:rPr>
              <w:t>Resolución 17 (Rev. Buenos Aires, 2017); Resolución 21 (Rev. Buenos Aires, 2017); Resolución 30 (Rev. Buenos Aires, 2017); Resolución </w:t>
            </w:r>
            <w:r w:rsidRPr="00AF4FFD">
              <w:rPr>
                <w:rFonts w:cstheme="minorHAnsi"/>
                <w:szCs w:val="24"/>
                <w:lang w:val="es-ES_tradnl" w:eastAsia="zh-CN" w:bidi="ar-EG"/>
              </w:rPr>
              <w:t>71 (</w:t>
            </w:r>
            <w:r w:rsidR="006D16F8">
              <w:rPr>
                <w:rFonts w:cstheme="minorHAnsi"/>
                <w:szCs w:val="24"/>
                <w:lang w:val="es-ES_tradnl" w:eastAsia="zh-CN" w:bidi="ar-EG"/>
              </w:rPr>
              <w:t>Buenos Aires</w:t>
            </w:r>
            <w:r w:rsidRPr="00AF4FFD">
              <w:rPr>
                <w:rFonts w:cstheme="minorHAnsi"/>
                <w:szCs w:val="24"/>
                <w:lang w:val="es-ES_tradnl" w:eastAsia="zh-CN" w:bidi="ar-EG"/>
              </w:rPr>
              <w:t>, 201</w:t>
            </w:r>
            <w:r w:rsidR="006D16F8">
              <w:rPr>
                <w:rFonts w:cstheme="minorHAnsi"/>
                <w:szCs w:val="24"/>
                <w:lang w:val="es-ES_tradnl" w:eastAsia="zh-CN" w:bidi="ar-EG"/>
              </w:rPr>
              <w:t>7</w:t>
            </w:r>
            <w:r w:rsidRPr="00AF4FFD">
              <w:rPr>
                <w:rFonts w:cstheme="minorHAnsi"/>
                <w:szCs w:val="24"/>
                <w:lang w:val="es-ES_tradnl" w:eastAsia="zh-CN" w:bidi="ar-EG"/>
              </w:rPr>
              <w:t xml:space="preserve">); </w:t>
            </w:r>
            <w:r w:rsidRPr="00AF4FFD">
              <w:rPr>
                <w:szCs w:val="24"/>
                <w:lang w:val="es-ES_tradnl"/>
              </w:rPr>
              <w:t>Resolución </w:t>
            </w:r>
            <w:r w:rsidRPr="00AF4FFD">
              <w:rPr>
                <w:rFonts w:cstheme="minorHAnsi"/>
                <w:szCs w:val="24"/>
                <w:lang w:val="es-ES_tradnl" w:eastAsia="zh-CN" w:bidi="ar-EG"/>
              </w:rPr>
              <w:t>25</w:t>
            </w:r>
            <w:r w:rsidR="006D16F8">
              <w:rPr>
                <w:rFonts w:cstheme="minorHAnsi"/>
                <w:szCs w:val="24"/>
                <w:lang w:val="es-ES_tradnl" w:eastAsia="zh-CN" w:bidi="ar-EG"/>
              </w:rPr>
              <w:t xml:space="preserve"> de la Conferencia de Plenipotenciarios</w:t>
            </w:r>
            <w:r w:rsidRPr="00AF4FFD">
              <w:rPr>
                <w:rFonts w:cstheme="minorHAnsi"/>
                <w:szCs w:val="24"/>
                <w:lang w:val="es-ES_tradnl" w:eastAsia="zh-CN" w:bidi="ar-EG"/>
              </w:rPr>
              <w:t xml:space="preserve"> (Rev. Guadalajara 2010).</w:t>
            </w:r>
          </w:p>
        </w:tc>
      </w:tr>
    </w:tbl>
    <w:p w:rsidR="00B90C12" w:rsidRPr="00AF4FFD" w:rsidRDefault="00B90C12" w:rsidP="00B90C12">
      <w:pPr>
        <w:pStyle w:val="Heading1"/>
        <w:rPr>
          <w:lang w:val="es-ES_tradnl"/>
        </w:rPr>
      </w:pPr>
      <w:r>
        <w:rPr>
          <w:lang w:val="es-ES_tradnl"/>
        </w:rPr>
        <w:t>1</w:t>
      </w:r>
      <w:r>
        <w:rPr>
          <w:lang w:val="es-ES_tradnl"/>
        </w:rPr>
        <w:tab/>
      </w:r>
      <w:r w:rsidRPr="00AF4FFD">
        <w:rPr>
          <w:lang w:val="es-ES_tradnl"/>
        </w:rPr>
        <w:t>Antecedentes</w:t>
      </w:r>
    </w:p>
    <w:p w:rsidR="00B90C12" w:rsidRDefault="00B90C12" w:rsidP="00E75AFA">
      <w:pPr>
        <w:rPr>
          <w:lang w:val="es-ES_tradnl"/>
        </w:rPr>
      </w:pPr>
      <w:r w:rsidRPr="00AF4FFD">
        <w:rPr>
          <w:lang w:val="es-ES_tradnl"/>
        </w:rPr>
        <w:t>En la CMDT-17 se adoptó la decisión de reforzar las plataformas de coordinación regional, en particular los Foros Regionales de Desarrollo (FRD), a fin de definir claramente su función como marco de aplicación y contribución al cumplimiento de las Líneas de Acción de la CMSI y de los ODS. En la CMDT-17 también se acordaron varias disposiciones sobre la forma en</w:t>
      </w:r>
      <w:r>
        <w:rPr>
          <w:lang w:val="es-ES_tradnl"/>
        </w:rPr>
        <w:t xml:space="preserve"> que</w:t>
      </w:r>
      <w:r w:rsidRPr="00AF4FFD">
        <w:rPr>
          <w:lang w:val="es-ES_tradnl"/>
        </w:rPr>
        <w:t xml:space="preserve"> los FRD podrían facilitar la aplicación de las iniciativas regionales. En este documento se proporciona información actualizada sobre los seis FRD </w:t>
      </w:r>
      <w:r>
        <w:rPr>
          <w:lang w:val="es-ES_tradnl"/>
        </w:rPr>
        <w:t>previstos</w:t>
      </w:r>
      <w:r w:rsidRPr="00AF4FFD">
        <w:rPr>
          <w:lang w:val="es-ES_tradnl"/>
        </w:rPr>
        <w:t xml:space="preserve"> para 2018. </w:t>
      </w:r>
    </w:p>
    <w:p w:rsidR="00A054C2" w:rsidRDefault="00A054C2">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Pr>
          <w:szCs w:val="24"/>
          <w:lang w:val="es-ES_tradnl"/>
        </w:rPr>
        <w:br w:type="page"/>
      </w:r>
    </w:p>
    <w:p w:rsidR="00B90C12" w:rsidRPr="00AF4FFD" w:rsidRDefault="00B90C12" w:rsidP="00B90C12">
      <w:pPr>
        <w:pStyle w:val="Heading1"/>
        <w:rPr>
          <w:lang w:val="es-ES_tradnl"/>
        </w:rPr>
      </w:pPr>
      <w:r>
        <w:rPr>
          <w:lang w:val="es-ES_tradnl"/>
        </w:rPr>
        <w:lastRenderedPageBreak/>
        <w:t>2</w:t>
      </w:r>
      <w:r>
        <w:rPr>
          <w:lang w:val="es-ES_tradnl"/>
        </w:rPr>
        <w:tab/>
      </w:r>
      <w:r w:rsidRPr="00AF4FFD">
        <w:rPr>
          <w:lang w:val="es-ES_tradnl"/>
        </w:rPr>
        <w:t xml:space="preserve">FRD después de la CMDT-17 </w:t>
      </w:r>
    </w:p>
    <w:p w:rsidR="00B90C12" w:rsidRPr="00AF4FFD" w:rsidRDefault="00B90C12" w:rsidP="00E75AFA">
      <w:pPr>
        <w:rPr>
          <w:lang w:val="es-ES_tradnl"/>
        </w:rPr>
      </w:pPr>
      <w:r w:rsidRPr="00AF4FFD">
        <w:rPr>
          <w:lang w:val="es-ES_tradnl"/>
        </w:rPr>
        <w:t xml:space="preserve">A raíz de los resultados de la CMDT-17, los FRD brindan la posibilidad de entablar un diálogo de alto nivel entre la BDT y las instancias decisorias de los Estados Miembros de la UIT y los Miembros de Sector. Constituyen una plataforma en la que se evalúan orientaciones estratégicas que pueden afectar al plan de trabajo regional de la BDT entre Conferencias Mundiales de Desarrollo de las Telecomunicaciones (CMDT). </w:t>
      </w:r>
    </w:p>
    <w:p w:rsidR="00B90C12" w:rsidRPr="00AF4FFD" w:rsidRDefault="00B90C12" w:rsidP="00E75AFA">
      <w:pPr>
        <w:rPr>
          <w:lang w:val="es-ES_tradnl"/>
        </w:rPr>
      </w:pPr>
      <w:r w:rsidRPr="00AF4FFD">
        <w:rPr>
          <w:lang w:val="es-ES_tradnl"/>
        </w:rPr>
        <w:t>A tal efecto, estos Foros proporcionarán información sobre la implantación de las actividades del Plan de Acción de Buenos Aires. Se hará hincapié en las Iniciativas Regionales aprobadas por la CMDT-17, brindando a todas las partes interesadas la oportunidad de debatir planes de implantación, anunciar compromisos e intercambiar experiencias y prácticas</w:t>
      </w:r>
      <w:r>
        <w:rPr>
          <w:lang w:val="es-ES_tradnl"/>
        </w:rPr>
        <w:t xml:space="preserve"> idóneas</w:t>
      </w:r>
      <w:r w:rsidRPr="00AF4FFD">
        <w:rPr>
          <w:lang w:val="es-ES_tradnl"/>
        </w:rPr>
        <w:t xml:space="preserve">. </w:t>
      </w:r>
    </w:p>
    <w:p w:rsidR="00B90C12" w:rsidRPr="00AF4FFD" w:rsidRDefault="00B90C12" w:rsidP="00611BDE">
      <w:pPr>
        <w:rPr>
          <w:lang w:val="es-ES_tradnl"/>
        </w:rPr>
      </w:pPr>
      <w:r w:rsidRPr="00AF4FFD">
        <w:rPr>
          <w:lang w:val="es-ES_tradnl"/>
        </w:rPr>
        <w:t>En los FRD se abordarán, desde un punto de vista regional, las actividades relativas al GADT, las Comisiones de Estudio del UIT-</w:t>
      </w:r>
      <w:r w:rsidR="00611BDE">
        <w:rPr>
          <w:lang w:val="es-ES_tradnl"/>
        </w:rPr>
        <w:t>D</w:t>
      </w:r>
      <w:r w:rsidRPr="00AF4FFD">
        <w:rPr>
          <w:lang w:val="es-ES_tradnl"/>
        </w:rPr>
        <w:t xml:space="preserve">, los Miembros, las Asociaciones y los Centros de Excelencia de la UIT, así como las contribuciones regionales a la implantación de las Líneas de Acción de la CMSI y los ODS. Sobre este particular, los FRD brindarán una buena oportunidad para que lo representantes regionales del GADT (Vicepresidentes) y las Comisiones de Estudio (Vicepresidentes) colaboren con los Miembros de la UIT, entre otras partes interesadas, a escala regional, con objeto de seguir armonizando las medidas adoptadas en los planos regional e internacional. </w:t>
      </w:r>
    </w:p>
    <w:p w:rsidR="00B90C12" w:rsidRPr="00AF4FFD" w:rsidRDefault="00B90C12" w:rsidP="00E75AFA">
      <w:pPr>
        <w:rPr>
          <w:szCs w:val="24"/>
          <w:lang w:val="es-ES_tradnl"/>
        </w:rPr>
      </w:pPr>
      <w:r w:rsidRPr="00AF4FFD">
        <w:rPr>
          <w:lang w:val="es-ES_tradnl"/>
        </w:rPr>
        <w:t>Los FRD están abiertos a todas las partes interesadas que deseen fomentar la cooperación y las asociaciones entre responsables políticos de las telecomunicaciones/TIC, los organismos reguladores, la industria, las instituciones académicas, los organismos de desarrollo a niveles regional e internacional y las organizaciones que tratan de cuestiones específicas de telecomunicaciones/TIC regionales.</w:t>
      </w:r>
      <w:r w:rsidRPr="00AF4FFD">
        <w:rPr>
          <w:szCs w:val="24"/>
          <w:lang w:val="es-ES_tradnl"/>
        </w:rPr>
        <w:t xml:space="preserve"> </w:t>
      </w:r>
    </w:p>
    <w:p w:rsidR="00B90C12" w:rsidRPr="00AF4FFD" w:rsidRDefault="00B90C12" w:rsidP="00E75AFA">
      <w:pPr>
        <w:rPr>
          <w:lang w:val="es-ES_tradnl"/>
        </w:rPr>
      </w:pPr>
      <w:r w:rsidRPr="00AF4FFD">
        <w:rPr>
          <w:lang w:val="es-ES_tradnl"/>
        </w:rPr>
        <w:t xml:space="preserve">Los FRD también tienen como objetivo fomentar la colaboración entre </w:t>
      </w:r>
      <w:r>
        <w:rPr>
          <w:lang w:val="es-ES_tradnl"/>
        </w:rPr>
        <w:t xml:space="preserve">las </w:t>
      </w:r>
      <w:r w:rsidRPr="00AF4FFD">
        <w:rPr>
          <w:lang w:val="es-ES_tradnl"/>
        </w:rPr>
        <w:t xml:space="preserve">Comisiones Económicas Regionales de las Naciones Unidas y </w:t>
      </w:r>
      <w:r>
        <w:rPr>
          <w:lang w:val="es-ES_tradnl"/>
        </w:rPr>
        <w:t xml:space="preserve">los </w:t>
      </w:r>
      <w:r w:rsidRPr="00AF4FFD">
        <w:rPr>
          <w:lang w:val="es-ES_tradnl"/>
        </w:rPr>
        <w:t xml:space="preserve">Grupos Regionales de la ONU para el Desarrollo, en particular en la esfera de las telecomunicaciones/TIC. </w:t>
      </w:r>
    </w:p>
    <w:p w:rsidR="00B90C12" w:rsidRPr="00AF4FFD" w:rsidRDefault="00B90C12" w:rsidP="00E75AFA">
      <w:pPr>
        <w:rPr>
          <w:lang w:val="es-ES_tradnl"/>
        </w:rPr>
      </w:pPr>
      <w:r>
        <w:rPr>
          <w:lang w:val="es-ES_tradnl"/>
        </w:rPr>
        <w:t xml:space="preserve">Los </w:t>
      </w:r>
      <w:r w:rsidRPr="00AF4FFD">
        <w:rPr>
          <w:lang w:val="es-ES_tradnl"/>
        </w:rPr>
        <w:t xml:space="preserve">órdenes del día y la duración de los FRD pueden variar en función de la región de que se trate y de </w:t>
      </w:r>
      <w:r>
        <w:rPr>
          <w:lang w:val="es-ES_tradnl"/>
        </w:rPr>
        <w:t>características regionales específicas</w:t>
      </w:r>
      <w:r w:rsidRPr="00AF4FFD">
        <w:rPr>
          <w:lang w:val="es-ES_tradnl"/>
        </w:rPr>
        <w:t xml:space="preserve">. </w:t>
      </w:r>
    </w:p>
    <w:p w:rsidR="00B90C12" w:rsidRPr="00AF4FFD" w:rsidRDefault="00B90C12" w:rsidP="00E75AFA">
      <w:pPr>
        <w:rPr>
          <w:szCs w:val="24"/>
          <w:lang w:val="es-ES_tradnl"/>
        </w:rPr>
      </w:pPr>
      <w:r w:rsidRPr="00AF4FFD">
        <w:rPr>
          <w:szCs w:val="24"/>
          <w:lang w:val="es-ES_tradnl"/>
        </w:rPr>
        <w:t>A continuación se facilita e</w:t>
      </w:r>
      <w:r>
        <w:rPr>
          <w:szCs w:val="24"/>
          <w:lang w:val="es-ES_tradnl"/>
        </w:rPr>
        <w:t>l</w:t>
      </w:r>
      <w:r w:rsidRPr="00AF4FFD">
        <w:rPr>
          <w:szCs w:val="24"/>
          <w:lang w:val="es-ES_tradnl"/>
        </w:rPr>
        <w:t xml:space="preserve"> proyecto de programa de los FRD para 2018: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África: por determinar</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 xml:space="preserve">FRD para las Américas: 21 de mayo de 2018, Perú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los Estados Árabes: 12-13 de febrero de 2018, Argelia</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Asia-</w:t>
      </w:r>
      <w:r w:rsidR="00611BDE">
        <w:rPr>
          <w:lang w:val="es-ES_tradnl"/>
        </w:rPr>
        <w:t>Pacífico</w:t>
      </w:r>
      <w:r w:rsidR="00B90C12" w:rsidRPr="00AF4FFD">
        <w:rPr>
          <w:lang w:val="es-ES_tradnl"/>
        </w:rPr>
        <w:t xml:space="preserve">: por determinar </w:t>
      </w:r>
    </w:p>
    <w:p w:rsidR="00B90C12" w:rsidRPr="00AF4FFD"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la CIS: por determinar</w:t>
      </w:r>
    </w:p>
    <w:p w:rsidR="00B90C12" w:rsidRDefault="00E75AFA" w:rsidP="00E75AFA">
      <w:pPr>
        <w:pStyle w:val="enumlev1"/>
        <w:rPr>
          <w:lang w:val="es-ES_tradnl"/>
        </w:rPr>
      </w:pPr>
      <w:r w:rsidRPr="00E75AFA">
        <w:rPr>
          <w:lang w:val="es-ES_tradnl"/>
        </w:rPr>
        <w:t>•</w:t>
      </w:r>
      <w:r>
        <w:rPr>
          <w:lang w:val="es-ES_tradnl"/>
        </w:rPr>
        <w:tab/>
      </w:r>
      <w:r w:rsidR="00B90C12" w:rsidRPr="00AF4FFD">
        <w:rPr>
          <w:lang w:val="es-ES_tradnl"/>
        </w:rPr>
        <w:t>FRD para Europa: 11-12 de junio de 2018, República Checa</w:t>
      </w:r>
    </w:p>
    <w:p w:rsidR="00A054C2" w:rsidRPr="00AF4FFD" w:rsidRDefault="00A054C2" w:rsidP="00A054C2">
      <w:pPr>
        <w:tabs>
          <w:tab w:val="clear" w:pos="794"/>
          <w:tab w:val="clear" w:pos="1191"/>
          <w:tab w:val="clear" w:pos="1588"/>
          <w:tab w:val="clear" w:pos="1985"/>
        </w:tabs>
        <w:overflowPunct/>
        <w:autoSpaceDE/>
        <w:autoSpaceDN/>
        <w:adjustRightInd/>
        <w:spacing w:before="0" w:after="200" w:line="276" w:lineRule="auto"/>
        <w:textAlignment w:val="auto"/>
        <w:rPr>
          <w:szCs w:val="24"/>
          <w:lang w:val="es-ES_tradnl"/>
        </w:rPr>
      </w:pPr>
      <w:r>
        <w:rPr>
          <w:szCs w:val="24"/>
          <w:lang w:val="es-ES_tradnl"/>
        </w:rPr>
        <w:br w:type="page"/>
      </w:r>
    </w:p>
    <w:p w:rsidR="00B90C12" w:rsidRPr="00AF4FFD" w:rsidRDefault="00B90C12" w:rsidP="00B90C12">
      <w:pPr>
        <w:pStyle w:val="Heading1"/>
        <w:rPr>
          <w:lang w:val="es-ES_tradnl"/>
        </w:rPr>
      </w:pPr>
      <w:r>
        <w:rPr>
          <w:lang w:val="es-ES_tradnl"/>
        </w:rPr>
        <w:lastRenderedPageBreak/>
        <w:t>3</w:t>
      </w:r>
      <w:r>
        <w:rPr>
          <w:lang w:val="es-ES_tradnl"/>
        </w:rPr>
        <w:tab/>
      </w:r>
      <w:r w:rsidRPr="00AF4FFD">
        <w:rPr>
          <w:lang w:val="es-ES_tradnl"/>
        </w:rPr>
        <w:t xml:space="preserve">Conclusiones </w:t>
      </w:r>
    </w:p>
    <w:p w:rsidR="00B90C12" w:rsidRPr="00AF4FFD" w:rsidRDefault="00B90C12" w:rsidP="00C1251D">
      <w:pPr>
        <w:overflowPunct/>
        <w:autoSpaceDE/>
        <w:autoSpaceDN/>
        <w:adjustRightInd/>
        <w:textAlignment w:val="auto"/>
        <w:rPr>
          <w:lang w:val="es-ES_tradnl"/>
        </w:rPr>
      </w:pPr>
      <w:r w:rsidRPr="00AF4FFD">
        <w:rPr>
          <w:lang w:val="es-ES_tradnl"/>
        </w:rPr>
        <w:t xml:space="preserve">Los FRD </w:t>
      </w:r>
      <w:r>
        <w:rPr>
          <w:lang w:val="es-ES_tradnl"/>
        </w:rPr>
        <w:t>revisten gran importancia</w:t>
      </w:r>
      <w:r w:rsidRPr="00AF4FFD">
        <w:rPr>
          <w:lang w:val="es-ES_tradnl"/>
        </w:rPr>
        <w:t xml:space="preserve"> para </w:t>
      </w:r>
      <w:r>
        <w:rPr>
          <w:lang w:val="es-ES_tradnl"/>
        </w:rPr>
        <w:t>fomentar</w:t>
      </w:r>
      <w:r w:rsidRPr="00AF4FFD">
        <w:rPr>
          <w:lang w:val="es-ES_tradnl"/>
        </w:rPr>
        <w:t xml:space="preserve"> la coordinación y la aplicación de los resultados de la CMDT-17 a nivel regional; en consecuencia: </w:t>
      </w:r>
    </w:p>
    <w:p w:rsidR="00B90C12" w:rsidRPr="00AF4FFD" w:rsidRDefault="00EF3165" w:rsidP="00EF3165">
      <w:pPr>
        <w:pStyle w:val="enumlev1"/>
        <w:rPr>
          <w:lang w:val="es-ES_tradnl"/>
        </w:rPr>
      </w:pPr>
      <w:r w:rsidRPr="00EF3165">
        <w:rPr>
          <w:lang w:val="es-ES_tradnl"/>
        </w:rPr>
        <w:t>–</w:t>
      </w:r>
      <w:r>
        <w:rPr>
          <w:lang w:val="es-ES_tradnl"/>
        </w:rPr>
        <w:tab/>
      </w:r>
      <w:r w:rsidR="00B90C12" w:rsidRPr="00AF4FFD">
        <w:rPr>
          <w:lang w:val="es-ES_tradnl"/>
        </w:rPr>
        <w:t xml:space="preserve">se alienta a participar en los mismos a todas las administraciones, a los </w:t>
      </w:r>
      <w:r w:rsidR="00C1251D">
        <w:rPr>
          <w:lang w:val="es-ES_tradnl"/>
        </w:rPr>
        <w:t>Miembros del UIT</w:t>
      </w:r>
      <w:r w:rsidR="00C1251D">
        <w:rPr>
          <w:lang w:val="es-ES_tradnl"/>
        </w:rPr>
        <w:noBreakHyphen/>
      </w:r>
      <w:r w:rsidR="00B90C12" w:rsidRPr="00AF4FFD">
        <w:rPr>
          <w:lang w:val="es-ES_tradnl"/>
        </w:rPr>
        <w:t xml:space="preserve">D y a las instituciones Académicas, entre otras partes interesadas; </w:t>
      </w:r>
    </w:p>
    <w:p w:rsidR="00B90C12" w:rsidRPr="00AF4FFD" w:rsidRDefault="00EF3165" w:rsidP="00EF3165">
      <w:pPr>
        <w:pStyle w:val="enumlev1"/>
        <w:rPr>
          <w:lang w:val="es-ES_tradnl"/>
        </w:rPr>
      </w:pPr>
      <w:r w:rsidRPr="00EF3165">
        <w:rPr>
          <w:lang w:val="es-ES_tradnl"/>
        </w:rPr>
        <w:t>–</w:t>
      </w:r>
      <w:r>
        <w:rPr>
          <w:lang w:val="es-ES_tradnl"/>
        </w:rPr>
        <w:tab/>
      </w:r>
      <w:r w:rsidR="00B90C12" w:rsidRPr="00AF4FFD">
        <w:rPr>
          <w:lang w:val="es-ES_tradnl"/>
        </w:rPr>
        <w:t xml:space="preserve">se alienta a las partes interesadas a colaborar con </w:t>
      </w:r>
      <w:r w:rsidR="00B90C12">
        <w:rPr>
          <w:lang w:val="es-ES_tradnl"/>
        </w:rPr>
        <w:t>las</w:t>
      </w:r>
      <w:r w:rsidR="00B90C12" w:rsidRPr="00AF4FFD">
        <w:rPr>
          <w:lang w:val="es-ES_tradnl"/>
        </w:rPr>
        <w:t xml:space="preserve"> Oficinas Regionales/de Zona de la UIT </w:t>
      </w:r>
      <w:r w:rsidR="00B90C12">
        <w:rPr>
          <w:lang w:val="es-ES_tradnl"/>
        </w:rPr>
        <w:t xml:space="preserve">respectivas </w:t>
      </w:r>
      <w:r w:rsidR="00B90C12" w:rsidRPr="00AF4FFD">
        <w:rPr>
          <w:lang w:val="es-ES_tradnl"/>
        </w:rPr>
        <w:t xml:space="preserve">en los preparativos de los FRD; </w:t>
      </w:r>
    </w:p>
    <w:p w:rsidR="00B90C12" w:rsidRPr="00AF4FFD" w:rsidRDefault="00EF3165" w:rsidP="00EF3165">
      <w:pPr>
        <w:pStyle w:val="enumlev1"/>
        <w:rPr>
          <w:szCs w:val="24"/>
          <w:lang w:val="es-ES_tradnl"/>
        </w:rPr>
      </w:pPr>
      <w:r w:rsidRPr="00EF3165">
        <w:rPr>
          <w:lang w:val="es-ES_tradnl"/>
        </w:rPr>
        <w:t>–</w:t>
      </w:r>
      <w:r>
        <w:rPr>
          <w:lang w:val="es-ES_tradnl"/>
        </w:rPr>
        <w:tab/>
      </w:r>
      <w:r w:rsidR="00B90C12" w:rsidRPr="00AF4FFD">
        <w:rPr>
          <w:lang w:val="es-ES_tradnl"/>
        </w:rPr>
        <w:t xml:space="preserve">se alienta a los Vicepresidentes del GADT y a las Comisiones de Estudio del UIT-D a participar en los FRD. </w:t>
      </w:r>
    </w:p>
    <w:p w:rsidR="00835A77" w:rsidRPr="000135AE" w:rsidRDefault="00835A77" w:rsidP="00AF563E">
      <w:pPr>
        <w:pStyle w:val="enumlev1"/>
        <w:rPr>
          <w:lang w:val="es-ES_tradnl"/>
        </w:rPr>
      </w:pPr>
    </w:p>
    <w:p w:rsidR="000725A1" w:rsidRDefault="006E4AB3">
      <w:pPr>
        <w:jc w:val="center"/>
      </w:pPr>
      <w:r>
        <w:t>______________</w:t>
      </w:r>
    </w:p>
    <w:p w:rsidR="000725A1" w:rsidRDefault="000725A1">
      <w:pPr>
        <w:tabs>
          <w:tab w:val="clear" w:pos="794"/>
          <w:tab w:val="clear" w:pos="1191"/>
          <w:tab w:val="clear" w:pos="1588"/>
          <w:tab w:val="clear" w:pos="1985"/>
        </w:tabs>
        <w:overflowPunct/>
        <w:autoSpaceDE/>
        <w:autoSpaceDN/>
        <w:adjustRightInd/>
        <w:spacing w:before="0" w:after="200" w:line="276" w:lineRule="auto"/>
        <w:textAlignment w:val="auto"/>
      </w:pPr>
      <w:bookmarkStart w:id="6" w:name="_GoBack"/>
      <w:bookmarkEnd w:id="6"/>
    </w:p>
    <w:sectPr w:rsidR="000725A1" w:rsidSect="004B7893">
      <w:headerReference w:type="default" r:id="rId9"/>
      <w:footerReference w:type="defaul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12" w:rsidRDefault="00B90C12" w:rsidP="0088106F">
      <w:r>
        <w:separator/>
      </w:r>
    </w:p>
  </w:endnote>
  <w:endnote w:type="continuationSeparator" w:id="0">
    <w:p w:rsidR="00B90C12" w:rsidRDefault="00B90C12"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06F" w:rsidRPr="009A6FC4" w:rsidRDefault="00C1251D" w:rsidP="00F0169C">
    <w:pPr>
      <w:pStyle w:val="Footer"/>
    </w:pPr>
    <w:r>
      <w:fldChar w:fldCharType="begin"/>
    </w:r>
    <w:r>
      <w:instrText xml:space="preserve"> FILENAME \p  \* MERGEFORMAT </w:instrText>
    </w:r>
    <w:r>
      <w:fldChar w:fldCharType="separate"/>
    </w:r>
    <w:r w:rsidR="00F0169C">
      <w:t>P:\ESP\ITU-D\CONF-D\TDAG18\000\014S.docx</w:t>
    </w:r>
    <w:r>
      <w:fldChar w:fldCharType="end"/>
    </w:r>
    <w:r w:rsidR="00F0169C">
      <w:t xml:space="preserve"> (428704)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160" w:type="dxa"/>
      <w:tblLayout w:type="fixed"/>
      <w:tblLook w:val="04A0" w:firstRow="1" w:lastRow="0" w:firstColumn="1" w:lastColumn="0" w:noHBand="0" w:noVBand="1"/>
    </w:tblPr>
    <w:tblGrid>
      <w:gridCol w:w="1134"/>
      <w:gridCol w:w="2552"/>
      <w:gridCol w:w="6237"/>
      <w:gridCol w:w="6237"/>
    </w:tblGrid>
    <w:tr w:rsidR="00B90C12" w:rsidRPr="00B90C12" w:rsidTr="00B90C12">
      <w:tc>
        <w:tcPr>
          <w:tcW w:w="1134" w:type="dxa"/>
          <w:tcBorders>
            <w:top w:val="single" w:sz="4" w:space="0" w:color="000000"/>
          </w:tcBorders>
          <w:shd w:val="clear" w:color="auto" w:fill="auto"/>
        </w:tcPr>
        <w:p w:rsidR="00B90C12" w:rsidRPr="004D495C" w:rsidRDefault="00B90C12" w:rsidP="00B90C12">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B90C12" w:rsidRPr="004D495C" w:rsidRDefault="00B90C12" w:rsidP="00B90C12">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tcPr>
        <w:p w:rsidR="00B90C12" w:rsidRPr="00E4089D" w:rsidRDefault="00B90C12" w:rsidP="00B90C12">
          <w:pPr>
            <w:pStyle w:val="FirstFooter"/>
            <w:tabs>
              <w:tab w:val="left" w:pos="2302"/>
            </w:tabs>
            <w:ind w:left="2302" w:hanging="2302"/>
            <w:rPr>
              <w:sz w:val="18"/>
              <w:szCs w:val="18"/>
              <w:lang w:val="es-ES"/>
            </w:rPr>
          </w:pPr>
          <w:r w:rsidRPr="00E4089D">
            <w:rPr>
              <w:sz w:val="18"/>
              <w:szCs w:val="18"/>
              <w:lang w:val="es-ES"/>
            </w:rPr>
            <w:t xml:space="preserve">Jaroslaw Ponder, </w:t>
          </w:r>
          <w:r>
            <w:rPr>
              <w:sz w:val="18"/>
              <w:szCs w:val="18"/>
              <w:lang w:val="es-ES"/>
            </w:rPr>
            <w:t>Jefe</w:t>
          </w:r>
          <w:r w:rsidRPr="00E4089D">
            <w:rPr>
              <w:sz w:val="18"/>
              <w:szCs w:val="18"/>
              <w:lang w:val="es-ES"/>
            </w:rPr>
            <w:t xml:space="preserve"> de la Oficina de la UIT para Europa </w:t>
          </w:r>
        </w:p>
      </w:tc>
      <w:tc>
        <w:tcPr>
          <w:tcW w:w="6237" w:type="dxa"/>
          <w:tcBorders>
            <w:top w:val="single" w:sz="4" w:space="0" w:color="000000"/>
          </w:tcBorders>
          <w:shd w:val="clear" w:color="auto" w:fill="auto"/>
        </w:tcPr>
        <w:p w:rsidR="00B90C12" w:rsidRPr="00B90C12" w:rsidRDefault="00B90C12" w:rsidP="00B90C12">
          <w:pPr>
            <w:pStyle w:val="FirstFooter"/>
            <w:tabs>
              <w:tab w:val="left" w:pos="2302"/>
            </w:tabs>
            <w:ind w:left="2302" w:hanging="2302"/>
            <w:rPr>
              <w:sz w:val="18"/>
              <w:szCs w:val="18"/>
              <w:lang w:val="es-ES_tradnl"/>
            </w:rPr>
          </w:pPr>
          <w:bookmarkStart w:id="7" w:name="OrgName"/>
          <w:bookmarkEnd w:id="7"/>
        </w:p>
      </w:tc>
    </w:tr>
    <w:tr w:rsidR="00B90C12" w:rsidRPr="004D495C" w:rsidTr="00B90C12">
      <w:tc>
        <w:tcPr>
          <w:tcW w:w="1134" w:type="dxa"/>
          <w:shd w:val="clear" w:color="auto" w:fill="auto"/>
        </w:tcPr>
        <w:p w:rsidR="00B90C12" w:rsidRPr="00B90C12" w:rsidRDefault="00B90C12" w:rsidP="00B90C12">
          <w:pPr>
            <w:pStyle w:val="FirstFooter"/>
            <w:tabs>
              <w:tab w:val="left" w:pos="1559"/>
              <w:tab w:val="left" w:pos="3828"/>
            </w:tabs>
            <w:rPr>
              <w:sz w:val="20"/>
              <w:lang w:val="es-ES_tradnl"/>
            </w:rPr>
          </w:pPr>
        </w:p>
      </w:tc>
      <w:tc>
        <w:tcPr>
          <w:tcW w:w="2552" w:type="dxa"/>
          <w:shd w:val="clear" w:color="auto" w:fill="auto"/>
        </w:tcPr>
        <w:p w:rsidR="00B90C12" w:rsidRPr="004D495C" w:rsidRDefault="00B90C12" w:rsidP="00B90C12">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tcPr>
        <w:p w:rsidR="00B90C12" w:rsidRPr="00E4089D" w:rsidRDefault="00B90C12" w:rsidP="00B90C12">
          <w:pPr>
            <w:pStyle w:val="FirstFooter"/>
            <w:tabs>
              <w:tab w:val="left" w:pos="2302"/>
            </w:tabs>
            <w:rPr>
              <w:sz w:val="18"/>
              <w:szCs w:val="18"/>
              <w:lang w:val="es-ES"/>
            </w:rPr>
          </w:pPr>
          <w:r w:rsidRPr="00E4089D">
            <w:rPr>
              <w:sz w:val="18"/>
              <w:szCs w:val="18"/>
              <w:lang w:val="es-ES"/>
            </w:rPr>
            <w:t xml:space="preserve">+41 22 730 6065 </w:t>
          </w:r>
        </w:p>
      </w:tc>
      <w:tc>
        <w:tcPr>
          <w:tcW w:w="6237" w:type="dxa"/>
          <w:shd w:val="clear" w:color="auto" w:fill="auto"/>
        </w:tcPr>
        <w:p w:rsidR="00B90C12" w:rsidRPr="00050E06" w:rsidRDefault="00B90C12" w:rsidP="00B90C12">
          <w:pPr>
            <w:pStyle w:val="FirstFooter"/>
            <w:tabs>
              <w:tab w:val="left" w:pos="2302"/>
            </w:tabs>
            <w:rPr>
              <w:sz w:val="18"/>
              <w:szCs w:val="18"/>
              <w:lang w:val="en-US"/>
            </w:rPr>
          </w:pPr>
          <w:bookmarkStart w:id="8" w:name="PhoneNo"/>
          <w:bookmarkEnd w:id="8"/>
        </w:p>
      </w:tc>
    </w:tr>
    <w:tr w:rsidR="00B90C12" w:rsidRPr="004D495C" w:rsidTr="00B90C12">
      <w:tc>
        <w:tcPr>
          <w:tcW w:w="1134" w:type="dxa"/>
          <w:shd w:val="clear" w:color="auto" w:fill="auto"/>
        </w:tcPr>
        <w:p w:rsidR="00B90C12" w:rsidRPr="004D495C" w:rsidRDefault="00B90C12" w:rsidP="00B90C12">
          <w:pPr>
            <w:pStyle w:val="FirstFooter"/>
            <w:tabs>
              <w:tab w:val="left" w:pos="1559"/>
              <w:tab w:val="left" w:pos="3828"/>
            </w:tabs>
            <w:rPr>
              <w:sz w:val="20"/>
              <w:lang w:val="en-US"/>
            </w:rPr>
          </w:pPr>
        </w:p>
      </w:tc>
      <w:tc>
        <w:tcPr>
          <w:tcW w:w="2552" w:type="dxa"/>
          <w:shd w:val="clear" w:color="auto" w:fill="auto"/>
        </w:tcPr>
        <w:p w:rsidR="00B90C12" w:rsidRPr="004D495C" w:rsidRDefault="00B90C12" w:rsidP="00B90C12">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Pr>
        <w:p w:rsidR="00B90C12" w:rsidRPr="00E4089D" w:rsidRDefault="00B90C12" w:rsidP="00B90C12">
          <w:pPr>
            <w:pStyle w:val="FirstFooter"/>
            <w:tabs>
              <w:tab w:val="left" w:pos="2302"/>
            </w:tabs>
            <w:rPr>
              <w:sz w:val="18"/>
              <w:szCs w:val="18"/>
              <w:lang w:val="es-ES"/>
            </w:rPr>
          </w:pPr>
          <w:hyperlink r:id="rId1" w:history="1">
            <w:r w:rsidRPr="00E4089D">
              <w:rPr>
                <w:rStyle w:val="Hyperlink"/>
                <w:sz w:val="18"/>
                <w:szCs w:val="18"/>
                <w:lang w:val="es-ES"/>
              </w:rPr>
              <w:t>jaroslaw.ponder@itu.int</w:t>
            </w:r>
          </w:hyperlink>
        </w:p>
      </w:tc>
      <w:tc>
        <w:tcPr>
          <w:tcW w:w="6237" w:type="dxa"/>
          <w:shd w:val="clear" w:color="auto" w:fill="auto"/>
        </w:tcPr>
        <w:p w:rsidR="00B90C12" w:rsidRPr="00050E06" w:rsidRDefault="00B90C12" w:rsidP="00B90C12">
          <w:pPr>
            <w:pStyle w:val="FirstFooter"/>
            <w:tabs>
              <w:tab w:val="left" w:pos="2302"/>
            </w:tabs>
            <w:rPr>
              <w:sz w:val="18"/>
              <w:szCs w:val="18"/>
              <w:lang w:val="en-US"/>
            </w:rPr>
          </w:pPr>
          <w:bookmarkStart w:id="9" w:name="Email"/>
          <w:bookmarkEnd w:id="9"/>
        </w:p>
      </w:tc>
    </w:tr>
  </w:tbl>
  <w:p w:rsidR="009D1BD4" w:rsidRDefault="009D1BD4" w:rsidP="006E4AB3">
    <w:pPr>
      <w:tabs>
        <w:tab w:val="clear" w:pos="794"/>
        <w:tab w:val="clear" w:pos="1191"/>
        <w:tab w:val="clear" w:pos="1588"/>
        <w:tab w:val="clear" w:pos="1985"/>
        <w:tab w:val="left" w:pos="5954"/>
        <w:tab w:val="right" w:pos="9639"/>
      </w:tabs>
      <w:spacing w:before="0"/>
      <w:jc w:val="center"/>
    </w:pPr>
  </w:p>
  <w:p w:rsidR="006E4AB3" w:rsidRPr="006E4AB3" w:rsidRDefault="00C1251D" w:rsidP="006E4AB3">
    <w:pPr>
      <w:tabs>
        <w:tab w:val="clear" w:pos="794"/>
        <w:tab w:val="clear" w:pos="1191"/>
        <w:tab w:val="clear" w:pos="1588"/>
        <w:tab w:val="clear" w:pos="1985"/>
        <w:tab w:val="left" w:pos="5954"/>
        <w:tab w:val="right" w:pos="9639"/>
      </w:tabs>
      <w:spacing w:before="0"/>
      <w:jc w:val="center"/>
      <w:rPr>
        <w:rFonts w:ascii="Calibri" w:hAnsi="Calibri"/>
        <w:caps/>
        <w:noProof/>
        <w:sz w:val="16"/>
      </w:rPr>
    </w:pPr>
    <w:hyperlink r:id="rId2" w:history="1">
      <w:r w:rsidR="006E4AB3" w:rsidRPr="009D1BD4">
        <w:rPr>
          <w:rFonts w:ascii="Calibri" w:hAnsi="Calibri"/>
          <w:color w:val="0000FF"/>
          <w:sz w:val="18"/>
          <w:szCs w:val="18"/>
          <w:u w:val="single"/>
        </w:rPr>
        <w:t>http://www.itu.int/ITU-D/TDAG/</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12" w:rsidRDefault="00B90C12" w:rsidP="0088106F">
      <w:r>
        <w:separator/>
      </w:r>
    </w:p>
  </w:footnote>
  <w:footnote w:type="continuationSeparator" w:id="0">
    <w:p w:rsidR="00B90C12" w:rsidRDefault="00B90C12" w:rsidP="0088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C4" w:rsidRPr="00B90C12" w:rsidRDefault="009A6FC4" w:rsidP="000725A1">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Pr="00B90C12">
      <w:rPr>
        <w:sz w:val="22"/>
        <w:szCs w:val="22"/>
        <w:lang w:val="es-ES_tradnl"/>
      </w:rPr>
      <w:t>ITU-D/TDAG1</w:t>
    </w:r>
    <w:r w:rsidR="000725A1" w:rsidRPr="00B90C12">
      <w:rPr>
        <w:sz w:val="22"/>
        <w:szCs w:val="22"/>
        <w:lang w:val="es-ES_tradnl"/>
      </w:rPr>
      <w:t>8</w:t>
    </w:r>
    <w:r w:rsidRPr="00B90C12">
      <w:rPr>
        <w:sz w:val="22"/>
        <w:szCs w:val="22"/>
        <w:lang w:val="es-ES_tradnl"/>
      </w:rPr>
      <w:t>-</w:t>
    </w:r>
    <w:r w:rsidR="0033649F" w:rsidRPr="00B90C12">
      <w:rPr>
        <w:sz w:val="22"/>
        <w:szCs w:val="22"/>
        <w:lang w:val="es-ES_tradnl"/>
      </w:rPr>
      <w:t>2</w:t>
    </w:r>
    <w:r w:rsidR="000725A1" w:rsidRPr="00B90C12">
      <w:rPr>
        <w:sz w:val="22"/>
        <w:szCs w:val="22"/>
        <w:lang w:val="es-ES_tradnl"/>
      </w:rPr>
      <w:t>3</w:t>
    </w:r>
    <w:r w:rsidR="00B90C12">
      <w:rPr>
        <w:sz w:val="22"/>
        <w:szCs w:val="22"/>
        <w:lang w:val="es-ES_tradnl"/>
      </w:rPr>
      <w:t>/14</w:t>
    </w:r>
    <w:r w:rsidRPr="00B90C12">
      <w:rPr>
        <w:sz w:val="22"/>
        <w:szCs w:val="22"/>
        <w:lang w:val="es-ES_tradnl"/>
      </w:rPr>
      <w:t>-S</w:t>
    </w:r>
    <w:r w:rsidRPr="00B90C12">
      <w:rPr>
        <w:sz w:val="22"/>
        <w:szCs w:val="22"/>
        <w:lang w:val="es-ES_tradnl"/>
      </w:rPr>
      <w:tab/>
    </w:r>
    <w:r w:rsidRPr="00877904">
      <w:rPr>
        <w:rStyle w:val="PageNumber"/>
        <w:sz w:val="22"/>
        <w:szCs w:val="22"/>
        <w:lang w:val="es-ES_tradnl"/>
      </w:rPr>
      <w:t>Página</w:t>
    </w:r>
    <w:r w:rsidRPr="00B90C12">
      <w:rPr>
        <w:sz w:val="22"/>
        <w:szCs w:val="22"/>
        <w:lang w:val="es-ES_tradnl"/>
      </w:rPr>
      <w:t xml:space="preserve"> </w:t>
    </w:r>
    <w:r w:rsidRPr="00972BCD">
      <w:rPr>
        <w:sz w:val="22"/>
        <w:szCs w:val="22"/>
      </w:rPr>
      <w:fldChar w:fldCharType="begin"/>
    </w:r>
    <w:r w:rsidRPr="00B90C12">
      <w:rPr>
        <w:sz w:val="22"/>
        <w:szCs w:val="22"/>
        <w:lang w:val="es-ES_tradnl"/>
      </w:rPr>
      <w:instrText xml:space="preserve"> PAGE </w:instrText>
    </w:r>
    <w:r w:rsidRPr="00972BCD">
      <w:rPr>
        <w:sz w:val="22"/>
        <w:szCs w:val="22"/>
      </w:rPr>
      <w:fldChar w:fldCharType="separate"/>
    </w:r>
    <w:r w:rsidR="00C1251D">
      <w:rPr>
        <w:noProof/>
        <w:sz w:val="22"/>
        <w:szCs w:val="22"/>
        <w:lang w:val="es-ES_tradnl"/>
      </w:rPr>
      <w:t>3</w:t>
    </w:r>
    <w:r w:rsidRPr="00972BCD">
      <w:rPr>
        <w:sz w:val="22"/>
        <w:szCs w:val="22"/>
      </w:rPr>
      <w:fldChar w:fldCharType="end"/>
    </w:r>
  </w:p>
  <w:p w:rsidR="009A6FC4" w:rsidRPr="00B90C12" w:rsidRDefault="009A6FC4" w:rsidP="009A6FC4">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31133"/>
    <w:multiLevelType w:val="hybridMultilevel"/>
    <w:tmpl w:val="48344510"/>
    <w:lvl w:ilvl="0" w:tplc="43E4E3A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7582"/>
    <w:multiLevelType w:val="hybridMultilevel"/>
    <w:tmpl w:val="9C609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9B6753"/>
    <w:multiLevelType w:val="hybridMultilevel"/>
    <w:tmpl w:val="43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12"/>
    <w:rsid w:val="000135AE"/>
    <w:rsid w:val="00033D49"/>
    <w:rsid w:val="000725A1"/>
    <w:rsid w:val="000C0AA7"/>
    <w:rsid w:val="000E7A0A"/>
    <w:rsid w:val="00194CB2"/>
    <w:rsid w:val="001F3DEA"/>
    <w:rsid w:val="00213302"/>
    <w:rsid w:val="00221C14"/>
    <w:rsid w:val="00241CB9"/>
    <w:rsid w:val="002A7FAB"/>
    <w:rsid w:val="002D4BE6"/>
    <w:rsid w:val="002D6772"/>
    <w:rsid w:val="00302736"/>
    <w:rsid w:val="0033649F"/>
    <w:rsid w:val="00360762"/>
    <w:rsid w:val="00390391"/>
    <w:rsid w:val="003D4CFB"/>
    <w:rsid w:val="00482632"/>
    <w:rsid w:val="004B7893"/>
    <w:rsid w:val="00535C50"/>
    <w:rsid w:val="005557A3"/>
    <w:rsid w:val="005637B9"/>
    <w:rsid w:val="005643DC"/>
    <w:rsid w:val="00611BDE"/>
    <w:rsid w:val="006339E7"/>
    <w:rsid w:val="00635A62"/>
    <w:rsid w:val="006D16F8"/>
    <w:rsid w:val="006E4AB3"/>
    <w:rsid w:val="006F39EB"/>
    <w:rsid w:val="007C0F1D"/>
    <w:rsid w:val="007C3061"/>
    <w:rsid w:val="007E471D"/>
    <w:rsid w:val="00835A77"/>
    <w:rsid w:val="0088106F"/>
    <w:rsid w:val="008C1852"/>
    <w:rsid w:val="008D789A"/>
    <w:rsid w:val="00917B12"/>
    <w:rsid w:val="009752D2"/>
    <w:rsid w:val="009952F6"/>
    <w:rsid w:val="009A6FC4"/>
    <w:rsid w:val="009D1BD4"/>
    <w:rsid w:val="00A054C2"/>
    <w:rsid w:val="00A33516"/>
    <w:rsid w:val="00A87DD9"/>
    <w:rsid w:val="00AE1BA7"/>
    <w:rsid w:val="00AF563E"/>
    <w:rsid w:val="00B90C12"/>
    <w:rsid w:val="00BC7208"/>
    <w:rsid w:val="00C1251D"/>
    <w:rsid w:val="00D16175"/>
    <w:rsid w:val="00D372A5"/>
    <w:rsid w:val="00E17138"/>
    <w:rsid w:val="00E204A0"/>
    <w:rsid w:val="00E3519F"/>
    <w:rsid w:val="00E51C72"/>
    <w:rsid w:val="00E75AFA"/>
    <w:rsid w:val="00E827C2"/>
    <w:rsid w:val="00EB6D19"/>
    <w:rsid w:val="00ED2681"/>
    <w:rsid w:val="00EF3165"/>
    <w:rsid w:val="00F0169C"/>
    <w:rsid w:val="00F01E28"/>
    <w:rsid w:val="00F12690"/>
    <w:rsid w:val="00FA67A2"/>
    <w:rsid w:val="00FD3A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41072-4CB9-4651-BCD6-7255098C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basedOn w:val="DefaultParagraphFont"/>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213302"/>
    <w:pPr>
      <w:spacing w:before="840" w:after="100" w:afterAutospacing="1"/>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6F39E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basedOn w:val="Normal"/>
    <w:uiPriority w:val="34"/>
    <w:qFormat/>
    <w:rsid w:val="00B90C12"/>
    <w:pPr>
      <w:tabs>
        <w:tab w:val="clear" w:pos="794"/>
        <w:tab w:val="clear" w:pos="1191"/>
        <w:tab w:val="clear" w:pos="1588"/>
        <w:tab w:val="clear" w:pos="1985"/>
        <w:tab w:val="left" w:pos="1134"/>
        <w:tab w:val="left" w:pos="1871"/>
        <w:tab w:val="left" w:pos="2268"/>
      </w:tabs>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jaroslaw.ponder@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TDAG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4E9F-77CA-4E47-A5FA-86C28B8A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PS_TDAG18.dotx</Template>
  <TotalTime>18</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Ayala Martinez, Beatriz</dc:creator>
  <cp:keywords/>
  <dc:description/>
  <cp:lastModifiedBy>Ayala Martinez, Beatriz</cp:lastModifiedBy>
  <cp:revision>10</cp:revision>
  <dcterms:created xsi:type="dcterms:W3CDTF">2018-02-05T10:38:00Z</dcterms:created>
  <dcterms:modified xsi:type="dcterms:W3CDTF">2018-02-05T11:00:00Z</dcterms:modified>
</cp:coreProperties>
</file>