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037130"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037130"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037130">
            <w:pPr>
              <w:spacing w:before="0"/>
              <w:rPr>
                <w:bCs/>
                <w:lang w:val="es-ES_tradnl"/>
              </w:rPr>
            </w:pPr>
            <w:r w:rsidRPr="00560C51">
              <w:rPr>
                <w:b/>
                <w:bCs/>
                <w:lang w:val="es-ES_tradnl"/>
              </w:rPr>
              <w:t xml:space="preserve">Documento </w:t>
            </w:r>
            <w:bookmarkStart w:id="0" w:name="DocRef1"/>
            <w:bookmarkEnd w:id="0"/>
            <w:r>
              <w:rPr>
                <w:b/>
                <w:bCs/>
                <w:lang w:val="es-ES_tradnl"/>
              </w:rPr>
              <w:t>TDAG</w:t>
            </w:r>
            <w:r w:rsidR="00037130">
              <w:rPr>
                <w:b/>
                <w:bCs/>
                <w:lang w:val="es-ES_tradnl"/>
              </w:rPr>
              <w:t>-</w:t>
            </w:r>
            <w:r>
              <w:rPr>
                <w:b/>
                <w:bCs/>
                <w:lang w:val="es-ES_tradnl"/>
              </w:rPr>
              <w:t>1</w:t>
            </w:r>
            <w:r w:rsidR="000725A1">
              <w:rPr>
                <w:b/>
                <w:bCs/>
                <w:lang w:val="es-ES_tradnl"/>
              </w:rPr>
              <w:t>8</w:t>
            </w:r>
            <w:r w:rsidRPr="00560C51">
              <w:rPr>
                <w:b/>
                <w:bCs/>
                <w:lang w:val="es-ES_tradnl"/>
              </w:rPr>
              <w:t>/</w:t>
            </w:r>
            <w:bookmarkStart w:id="1" w:name="DocNo1"/>
            <w:bookmarkEnd w:id="1"/>
            <w:r w:rsidR="006262B8">
              <w:rPr>
                <w:b/>
                <w:bCs/>
                <w:lang w:val="es-ES_tradnl"/>
              </w:rPr>
              <w:t>13</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6262B8" w:rsidP="000725A1">
            <w:pPr>
              <w:spacing w:before="0"/>
              <w:rPr>
                <w:b/>
                <w:lang w:val="es-ES_tradnl"/>
              </w:rPr>
            </w:pPr>
            <w:bookmarkStart w:id="2" w:name="CreationDate"/>
            <w:bookmarkEnd w:id="2"/>
            <w:r w:rsidRPr="006262B8">
              <w:rPr>
                <w:b/>
                <w:bCs/>
                <w:szCs w:val="28"/>
              </w:rPr>
              <w:t>31 de enero de 2018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6262B8" w:rsidRPr="006262B8">
              <w:rPr>
                <w:b/>
                <w:lang w:val="es-ES_tradnl"/>
              </w:rPr>
              <w:t>inglés</w:t>
            </w:r>
          </w:p>
        </w:tc>
      </w:tr>
      <w:tr w:rsidR="004B7893" w:rsidRPr="00037130" w:rsidTr="004B7893">
        <w:trPr>
          <w:cantSplit/>
          <w:trHeight w:val="852"/>
        </w:trPr>
        <w:tc>
          <w:tcPr>
            <w:tcW w:w="9888" w:type="dxa"/>
            <w:gridSpan w:val="2"/>
          </w:tcPr>
          <w:p w:rsidR="004B7893" w:rsidRPr="006262B8" w:rsidRDefault="006262B8" w:rsidP="004B7893">
            <w:pPr>
              <w:pStyle w:val="Source"/>
              <w:rPr>
                <w:szCs w:val="28"/>
                <w:lang w:val="es-ES_tradnl"/>
              </w:rPr>
            </w:pPr>
            <w:bookmarkStart w:id="4" w:name="Source"/>
            <w:bookmarkEnd w:id="4"/>
            <w:r w:rsidRPr="006262B8">
              <w:rPr>
                <w:lang w:val="es-ES_tradnl"/>
              </w:rPr>
              <w:t>Presidente de la Comisión de Estudio 2 del UIT-D</w:t>
            </w:r>
          </w:p>
        </w:tc>
      </w:tr>
      <w:tr w:rsidR="004B7893" w:rsidRPr="00037130" w:rsidTr="004B7893">
        <w:trPr>
          <w:cantSplit/>
        </w:trPr>
        <w:tc>
          <w:tcPr>
            <w:tcW w:w="9888" w:type="dxa"/>
            <w:gridSpan w:val="2"/>
          </w:tcPr>
          <w:p w:rsidR="004B7893" w:rsidRPr="006262B8" w:rsidRDefault="006262B8" w:rsidP="00A47CD2">
            <w:pPr>
              <w:pStyle w:val="Title1"/>
              <w:spacing w:afterAutospacing="0"/>
              <w:rPr>
                <w:bCs/>
                <w:szCs w:val="28"/>
                <w:lang w:val="es-ES_tradnl"/>
              </w:rPr>
            </w:pPr>
            <w:bookmarkStart w:id="5" w:name="Title"/>
            <w:bookmarkEnd w:id="5"/>
            <w:r w:rsidRPr="006262B8">
              <w:rPr>
                <w:lang w:val="es-ES_tradnl"/>
              </w:rPr>
              <w:t xml:space="preserve">ALCANCE DE LA LABOR DE LA COMISIÓN DE ESTUDIO 2 DEL UIT-D </w:t>
            </w:r>
            <w:r w:rsidR="00A47CD2">
              <w:rPr>
                <w:lang w:val="es-ES_tradnl"/>
              </w:rPr>
              <w:br/>
            </w:r>
            <w:r w:rsidRPr="006262B8">
              <w:rPr>
                <w:lang w:val="es-ES_tradnl"/>
              </w:rPr>
              <w:t>PARA EL PER</w:t>
            </w:r>
            <w:r w:rsidR="00A47CD2">
              <w:rPr>
                <w:lang w:val="es-ES_tradnl"/>
              </w:rPr>
              <w:t>I</w:t>
            </w:r>
            <w:r w:rsidRPr="006262B8">
              <w:rPr>
                <w:lang w:val="es-ES_tradnl"/>
              </w:rPr>
              <w:t>ODO DE ESTUDIOS 2018-2021</w:t>
            </w:r>
          </w:p>
        </w:tc>
      </w:tr>
      <w:tr w:rsidR="004B7893" w:rsidRPr="00037130" w:rsidTr="004B7893">
        <w:trPr>
          <w:cantSplit/>
        </w:trPr>
        <w:tc>
          <w:tcPr>
            <w:tcW w:w="9888" w:type="dxa"/>
            <w:gridSpan w:val="2"/>
            <w:tcBorders>
              <w:bottom w:val="single" w:sz="4" w:space="0" w:color="auto"/>
            </w:tcBorders>
          </w:tcPr>
          <w:p w:rsidR="004B7893" w:rsidRPr="006262B8" w:rsidRDefault="004B7893" w:rsidP="00BC7208">
            <w:pPr>
              <w:rPr>
                <w:lang w:val="es-ES_tradnl"/>
              </w:rPr>
            </w:pPr>
          </w:p>
        </w:tc>
      </w:tr>
      <w:tr w:rsidR="004B7893" w:rsidRPr="00037130"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6262B8" w:rsidRDefault="004B7893" w:rsidP="004B7893">
            <w:pPr>
              <w:spacing w:before="240"/>
              <w:rPr>
                <w:b/>
                <w:bCs/>
                <w:lang w:val="es-ES_tradnl"/>
              </w:rPr>
            </w:pPr>
            <w:r w:rsidRPr="006262B8">
              <w:rPr>
                <w:b/>
                <w:bCs/>
                <w:lang w:val="es-ES_tradnl"/>
              </w:rPr>
              <w:t>Resumen:</w:t>
            </w:r>
          </w:p>
          <w:p w:rsidR="006262B8" w:rsidRPr="006262B8" w:rsidRDefault="006262B8" w:rsidP="00E644CA">
            <w:pPr>
              <w:rPr>
                <w:lang w:val="es-ES"/>
              </w:rPr>
            </w:pPr>
            <w:r w:rsidRPr="006262B8">
              <w:rPr>
                <w:lang w:val="es-ES"/>
              </w:rPr>
              <w:t xml:space="preserve">En el presente informe se reseña el alcance de la labor de la Comisión de Estudio </w:t>
            </w:r>
            <w:r w:rsidR="00E644CA">
              <w:rPr>
                <w:lang w:val="es-ES"/>
              </w:rPr>
              <w:t>2</w:t>
            </w:r>
            <w:r w:rsidRPr="006262B8">
              <w:rPr>
                <w:lang w:val="es-ES"/>
              </w:rPr>
              <w:t xml:space="preserve"> del UIT-D para el per</w:t>
            </w:r>
            <w:r w:rsidR="00A47CD2">
              <w:rPr>
                <w:lang w:val="es-ES"/>
              </w:rPr>
              <w:t>i</w:t>
            </w:r>
            <w:r w:rsidRPr="006262B8">
              <w:rPr>
                <w:lang w:val="es-ES"/>
              </w:rPr>
              <w:t xml:space="preserve">odo de estudios 2018-2021 acordado en la Conferencia Mundial de Desarrollo de las Telecomunicaciones (CMDT-17). También se proporciona información sobre las decisiones de la CMDT-17 que repercuten en las Comisiones de Estudio del UIT-D y el plan de trabajo de la Comisión de Estudio </w:t>
            </w:r>
            <w:r w:rsidR="00E644CA">
              <w:rPr>
                <w:lang w:val="es-ES"/>
              </w:rPr>
              <w:t>2</w:t>
            </w:r>
            <w:r w:rsidRPr="006262B8">
              <w:rPr>
                <w:lang w:val="es-ES"/>
              </w:rPr>
              <w:t xml:space="preserve"> para la aplicación de su mandato.</w:t>
            </w:r>
          </w:p>
          <w:p w:rsidR="006262B8" w:rsidRPr="006262B8" w:rsidRDefault="006262B8" w:rsidP="00A47CD2">
            <w:pPr>
              <w:rPr>
                <w:b/>
                <w:bCs/>
                <w:lang w:val="es-ES"/>
              </w:rPr>
            </w:pPr>
            <w:r w:rsidRPr="006262B8">
              <w:rPr>
                <w:lang w:val="es-ES"/>
              </w:rPr>
              <w:t>La primera reunión de la Comisión de Estudio 2 del UIT-D relativa al nuevo per</w:t>
            </w:r>
            <w:r w:rsidR="00A47CD2">
              <w:rPr>
                <w:lang w:val="es-ES"/>
              </w:rPr>
              <w:t>i</w:t>
            </w:r>
            <w:r w:rsidRPr="006262B8">
              <w:rPr>
                <w:lang w:val="es-ES"/>
              </w:rPr>
              <w:t>odo de estudios tendrá lugar del 7 al 11 de mayo de 2018.</w:t>
            </w:r>
          </w:p>
          <w:p w:rsidR="004B7893" w:rsidRPr="006262B8" w:rsidRDefault="004B7893" w:rsidP="004B7893">
            <w:pPr>
              <w:rPr>
                <w:b/>
                <w:bCs/>
                <w:lang w:val="es-ES_tradnl"/>
              </w:rPr>
            </w:pPr>
            <w:r w:rsidRPr="006262B8">
              <w:rPr>
                <w:b/>
                <w:bCs/>
                <w:lang w:val="es-ES_tradnl"/>
              </w:rPr>
              <w:t xml:space="preserve">Acción solicitada: </w:t>
            </w:r>
          </w:p>
          <w:p w:rsidR="006262B8" w:rsidRPr="006262B8" w:rsidRDefault="006262B8" w:rsidP="006262B8">
            <w:pPr>
              <w:rPr>
                <w:b/>
                <w:bCs/>
                <w:lang w:val="es-ES"/>
              </w:rPr>
            </w:pPr>
            <w:r w:rsidRPr="006262B8">
              <w:rPr>
                <w:lang w:val="es-ES"/>
              </w:rPr>
              <w:t>Se invita al GADT a tomar nota del presente informe y a proporcionar las orientaciones que estime convenientes.</w:t>
            </w:r>
          </w:p>
          <w:p w:rsidR="004B7893" w:rsidRPr="006262B8" w:rsidRDefault="004B7893" w:rsidP="004B7893">
            <w:pPr>
              <w:rPr>
                <w:b/>
                <w:bCs/>
                <w:lang w:val="es-ES_tradnl"/>
              </w:rPr>
            </w:pPr>
            <w:r w:rsidRPr="006262B8">
              <w:rPr>
                <w:b/>
                <w:bCs/>
                <w:lang w:val="es-ES_tradnl"/>
              </w:rPr>
              <w:t>Referencias:</w:t>
            </w:r>
          </w:p>
          <w:p w:rsidR="004B7893" w:rsidRPr="006262B8" w:rsidRDefault="006262B8" w:rsidP="006262B8">
            <w:pPr>
              <w:spacing w:after="120"/>
              <w:rPr>
                <w:lang w:val="es-ES_tradnl"/>
              </w:rPr>
            </w:pPr>
            <w:r w:rsidRPr="006262B8">
              <w:rPr>
                <w:lang w:val="es-ES"/>
              </w:rPr>
              <w:t>Informe final de la CMDT</w:t>
            </w:r>
          </w:p>
        </w:tc>
      </w:tr>
    </w:tbl>
    <w:p w:rsidR="006262B8" w:rsidRDefault="006262B8" w:rsidP="006262B8">
      <w:pPr>
        <w:rPr>
          <w:lang w:val="es-ES_tradnl"/>
        </w:rPr>
      </w:pPr>
      <w:r>
        <w:rPr>
          <w:lang w:val="es-ES_tradnl"/>
        </w:rPr>
        <w:br w:type="page"/>
      </w:r>
    </w:p>
    <w:p w:rsidR="00933B93" w:rsidRPr="00933B93" w:rsidRDefault="00A47CD2" w:rsidP="00A47CD2">
      <w:pPr>
        <w:pStyle w:val="Heading1"/>
        <w:rPr>
          <w:lang w:val="es-ES"/>
        </w:rPr>
      </w:pPr>
      <w:r>
        <w:rPr>
          <w:lang w:val="es-ES"/>
        </w:rPr>
        <w:lastRenderedPageBreak/>
        <w:t>1</w:t>
      </w:r>
      <w:r>
        <w:rPr>
          <w:lang w:val="es-ES"/>
        </w:rPr>
        <w:tab/>
      </w:r>
      <w:r w:rsidR="00933B93" w:rsidRPr="00933B93">
        <w:rPr>
          <w:lang w:val="es-ES"/>
        </w:rPr>
        <w:t>Decisiones de la CMDT-17 con incidencia en las Comisiones de Estudio del UIT-D</w:t>
      </w:r>
    </w:p>
    <w:p w:rsidR="00933B93" w:rsidRPr="00933B93" w:rsidRDefault="00933B93" w:rsidP="00FF2A77">
      <w:pPr>
        <w:rPr>
          <w:lang w:val="es-ES"/>
        </w:rPr>
      </w:pPr>
      <w:r w:rsidRPr="00933B93">
        <w:rPr>
          <w:bCs/>
          <w:lang w:val="es-ES"/>
        </w:rPr>
        <w:t xml:space="preserve">Las Comisiones de Estudio del UIT-D se rigen por el proceso y los métodos de trabajo establecidos en virtud de la Resolución 1 (Rev. Buenos Aires, 2017) "Reglamento interno del Sector de Desarrollo de las Telecomunicaciones de la UIT" y su labor se ajusta a los planes de trabajo aprobados en la CMDT-17. La CMDT-17 reforzó el papel de las Comisiones de Estudio del UIT-D a fin de proporcionar una plataforma a los </w:t>
      </w:r>
      <w:r w:rsidR="00FF2A77">
        <w:rPr>
          <w:bCs/>
          <w:lang w:val="es-ES"/>
        </w:rPr>
        <w:t>m</w:t>
      </w:r>
      <w:r w:rsidRPr="00933B93">
        <w:rPr>
          <w:bCs/>
          <w:lang w:val="es-ES"/>
        </w:rPr>
        <w:t>iembros para intercambiar experiencias, presentar propuestas, formular opiniones y alcanzar un consenso sobre estrategias a tenor de las prioridades en materia de telecomunicaciones/TIC. Habida cuenta de ello, se fortaleció la función de las Comisiones de Estudio del UIT-D a fin de prestar asistencia a los Estados Miembros para alcanzar sus metas de los ODS y objetivos de desarrollo específicos</w:t>
      </w:r>
      <w:r w:rsidRPr="00933B93">
        <w:rPr>
          <w:lang w:val="es-ES"/>
        </w:rPr>
        <w:t>.</w:t>
      </w:r>
    </w:p>
    <w:p w:rsidR="00933B93" w:rsidRPr="00933B93" w:rsidRDefault="00933B93" w:rsidP="00933B93">
      <w:pPr>
        <w:rPr>
          <w:lang w:val="es-ES"/>
        </w:rPr>
      </w:pPr>
      <w:r w:rsidRPr="00933B93">
        <w:rPr>
          <w:lang w:val="es-ES"/>
        </w:rPr>
        <w:t>Con respecto al alcance de las Comisiones de Estudio del UIT-D, la Comisión de Estudio 1 del UIT-D seguirá haciendo hincapié en el "Entorno propicio para el desarrollo de las telecomunicaciones/TIC". El enfoque de la Comisión de Estudio 2 del UIT-D pasa a ser "los servicios y las aplicaciones de las TIC para la promoción del desarrollo sostenible". La constitución de grupos de trabajo depende de los requisitos de cada Comisión de Estudio. El nuevo equipo directivo designado en la CMDT-17 para dirigir la labor de ambas Comisiones de Estudio está formado por dos Presidentes y 23 Vicepresidentes. Los Vicepresidentes contarán con nuevas funciones. Se remitió a los Miembros una convocatoria para la designación de Relatores y Vicerrelatores, que tendrá lugar en las primeras reuniones de la CE</w:t>
      </w:r>
      <w:r w:rsidR="00A47CD2">
        <w:rPr>
          <w:lang w:val="es-ES"/>
        </w:rPr>
        <w:t> </w:t>
      </w:r>
      <w:r w:rsidRPr="00933B93">
        <w:rPr>
          <w:lang w:val="es-ES"/>
        </w:rPr>
        <w:t>1 y la CE</w:t>
      </w:r>
      <w:r w:rsidR="00A47CD2">
        <w:rPr>
          <w:lang w:val="es-ES"/>
        </w:rPr>
        <w:t> </w:t>
      </w:r>
      <w:r w:rsidRPr="00933B93">
        <w:rPr>
          <w:lang w:val="es-ES"/>
        </w:rPr>
        <w:t>2 del UIT-D en abril/mayo de 2018</w:t>
      </w:r>
      <w:r w:rsidRPr="00933B93">
        <w:rPr>
          <w:bCs/>
          <w:lang w:val="es-ES"/>
        </w:rPr>
        <w:t>.</w:t>
      </w:r>
    </w:p>
    <w:p w:rsidR="00933B93" w:rsidRPr="00933B93" w:rsidRDefault="00933B93" w:rsidP="00933B93">
      <w:pPr>
        <w:rPr>
          <w:lang w:val="es-ES"/>
        </w:rPr>
      </w:pPr>
      <w:r w:rsidRPr="00933B93">
        <w:rPr>
          <w:lang w:val="es-ES"/>
        </w:rPr>
        <w:t>Cada Comisión de Estudio comprende siete Cuestiones, en lugar de las nueve que incluía anteriormente, lo que permitirá incidir más en los temas objeto de estudio. En determinados casos, los proyectos de Cuestión se han elaborado para abordar aspectos y experiencias "nacionales". En la medida de lo posible, la presentación de los informes sobre resultados anuales se incluirá en los planes de trabajo específicos de cada Cuestión. En las Cuestiones de estudio se hace ahora un mayor hincapié en los aspectos ligados a la creación de capacidad y capacitación de las Comisiones de Estudio del UIT-D, por medio de la elaboración de material didáctico y la impartición de sesiones de formación.</w:t>
      </w:r>
    </w:p>
    <w:p w:rsidR="00933B93" w:rsidRPr="00933B93" w:rsidRDefault="00933B93" w:rsidP="00A47CD2">
      <w:pPr>
        <w:rPr>
          <w:lang w:val="es-ES"/>
        </w:rPr>
      </w:pPr>
      <w:r w:rsidRPr="00933B93">
        <w:rPr>
          <w:lang w:val="es-ES"/>
        </w:rPr>
        <w:t>En la Resolución 1 revisada (Rev. Buenos Aires, 2017) figuran modificaciones sustanciales del Reglamento interno y de los métodos de trabajo con respecto al anterior per</w:t>
      </w:r>
      <w:r w:rsidR="00A47CD2">
        <w:rPr>
          <w:lang w:val="es-ES"/>
        </w:rPr>
        <w:t>i</w:t>
      </w:r>
      <w:r w:rsidRPr="00933B93">
        <w:rPr>
          <w:lang w:val="es-ES"/>
        </w:rPr>
        <w:t>odo de estudios. Las revisiones realizadas obedecen a la labor del Grupo por Correspondencia del GADT sobre la Resolución 1, establecido a raíz de la CMDT-14.</w:t>
      </w:r>
    </w:p>
    <w:p w:rsidR="00933B93" w:rsidRPr="00933B93" w:rsidRDefault="00933B93" w:rsidP="00A47CD2">
      <w:pPr>
        <w:rPr>
          <w:lang w:val="es-ES"/>
        </w:rPr>
      </w:pPr>
      <w:r w:rsidRPr="00933B93">
        <w:rPr>
          <w:lang w:val="es-ES"/>
        </w:rPr>
        <w:t>Las modificaciones de los métodos de trabajo guardan relación con una clara definición de los textos clave del Sector y los procesos de aprobación/supresión pormenorizados que han de seguirse en relación con los principales instrumentos del UIT-D. Se puso al día la plantilla para la presentación de contribuciones, a tenor de las conclusiones extraídas y las prácticas idóneas propuestas. En la medida de lo posible, se incluyeron en los métodos de trabajo nuevos requisitos para la presentación de informes sobre los resultados anuales relativos a las Cuestiones de estudio. Por otro lado, siempre que sea posible se organizarán debates oficiosos, seminarios o talleres informativos relativos a cada Cuestión de estudio a lo largo de todo el per</w:t>
      </w:r>
      <w:r w:rsidR="00A47CD2">
        <w:rPr>
          <w:lang w:val="es-ES"/>
        </w:rPr>
        <w:t>i</w:t>
      </w:r>
      <w:r w:rsidRPr="00933B93">
        <w:rPr>
          <w:lang w:val="es-ES"/>
        </w:rPr>
        <w:t>odo de estudios. Es necesario desplegar esfuerzos de forma coordinada con respecto a las actividades de las Cuestiones y otros trabajos realizados por la BDT, y hacer mayor hincapié en la necesidad de proporcionar información sobre las sinergias resultantes de la labor de las Cuestiones de estudio, los programas, las iniciativas regionales y los proyectos conexos. En la Resolución 1 se presta mayor atención a las "Instituciones Académicas" y a su participación en los trabajos del Sector.</w:t>
      </w:r>
    </w:p>
    <w:p w:rsidR="00933B93" w:rsidRPr="00933B93" w:rsidRDefault="00A47CD2" w:rsidP="00FF2A77">
      <w:pPr>
        <w:pStyle w:val="Heading1"/>
        <w:rPr>
          <w:lang w:val="es-ES"/>
        </w:rPr>
      </w:pPr>
      <w:r>
        <w:rPr>
          <w:lang w:val="es-ES"/>
        </w:rPr>
        <w:lastRenderedPageBreak/>
        <w:t>2</w:t>
      </w:r>
      <w:r>
        <w:rPr>
          <w:lang w:val="es-ES"/>
        </w:rPr>
        <w:tab/>
      </w:r>
      <w:r w:rsidR="00933B93" w:rsidRPr="00933B93">
        <w:rPr>
          <w:lang w:val="es-ES"/>
        </w:rPr>
        <w:t xml:space="preserve">Introducción a la labor de la Comisión de Estudio </w:t>
      </w:r>
      <w:r w:rsidR="00FF2A77">
        <w:rPr>
          <w:lang w:val="es-ES"/>
        </w:rPr>
        <w:t>2</w:t>
      </w:r>
      <w:r w:rsidR="00933B93" w:rsidRPr="00933B93">
        <w:rPr>
          <w:lang w:val="es-ES"/>
        </w:rPr>
        <w:t xml:space="preserve"> del UIT-D</w:t>
      </w:r>
    </w:p>
    <w:p w:rsidR="00933B93" w:rsidRPr="00933B93" w:rsidRDefault="00933B93" w:rsidP="00A47CD2">
      <w:pPr>
        <w:pStyle w:val="Heading2"/>
        <w:rPr>
          <w:lang w:val="es-ES"/>
        </w:rPr>
      </w:pPr>
      <w:r w:rsidRPr="00933B93">
        <w:rPr>
          <w:lang w:val="es-ES"/>
        </w:rPr>
        <w:t>2.1</w:t>
      </w:r>
      <w:r w:rsidRPr="00933B93">
        <w:rPr>
          <w:lang w:val="es-ES"/>
        </w:rPr>
        <w:tab/>
        <w:t>Alcance de la labor</w:t>
      </w:r>
    </w:p>
    <w:p w:rsidR="00933B93" w:rsidRPr="00933B93" w:rsidRDefault="00933B93" w:rsidP="00850B84">
      <w:pPr>
        <w:rPr>
          <w:lang w:val="es-ES"/>
        </w:rPr>
      </w:pPr>
      <w:r w:rsidRPr="00933B93">
        <w:rPr>
          <w:lang w:val="es-ES"/>
        </w:rPr>
        <w:t>La Comisión de Estudio 2 (CE</w:t>
      </w:r>
      <w:r w:rsidR="00850B84">
        <w:rPr>
          <w:lang w:val="es-ES"/>
        </w:rPr>
        <w:t> </w:t>
      </w:r>
      <w:r w:rsidRPr="00933B93">
        <w:rPr>
          <w:lang w:val="es-ES"/>
        </w:rPr>
        <w:t>2) se estableció de conformidad con la Resolución 2 (Rev. Buenos Aires, 2017) con objeto de examinar, por medio de las Cuestiones aprobadas por los Miembros de la UIT en la CMDT-17, los aspectos relacionados con Servicios y aplicaciones de TIC en pro del desarrollo sostenible.</w:t>
      </w:r>
    </w:p>
    <w:p w:rsidR="00933B93" w:rsidRPr="00933B93" w:rsidRDefault="00933B93" w:rsidP="00414213">
      <w:pPr>
        <w:rPr>
          <w:lang w:val="es-ES"/>
        </w:rPr>
      </w:pPr>
      <w:r w:rsidRPr="00933B93">
        <w:rPr>
          <w:lang w:val="es-ES"/>
        </w:rPr>
        <w:t>A tal efecto, la CE</w:t>
      </w:r>
      <w:r w:rsidR="00414213">
        <w:rPr>
          <w:lang w:val="es-ES"/>
        </w:rPr>
        <w:t> 2</w:t>
      </w:r>
      <w:r w:rsidRPr="00933B93">
        <w:rPr>
          <w:lang w:val="es-ES"/>
        </w:rPr>
        <w:t xml:space="preserve"> abarca siete temas sustantivos, que giran en torno a servicios y aplicaciones con soporte de telecomunicaciones/TIC, creación de confianza y seguridad en la utilización de las TIC, pruebas de conformidad e interoperabilidad de dispositivos y equipos de telecomunicaciones/TIC, y lucha contra la falsificación de dispositivos de telecomunicaciones/TIC y el robo de dispositivos móviles de telecomunicación. La CE</w:t>
      </w:r>
      <w:r w:rsidR="00414213">
        <w:rPr>
          <w:lang w:val="es-ES"/>
        </w:rPr>
        <w:t> 2</w:t>
      </w:r>
      <w:r w:rsidRPr="00933B93">
        <w:rPr>
          <w:lang w:val="es-ES"/>
        </w:rPr>
        <w:t xml:space="preserve"> también estudia temas relativos a la utilización de las telecomunicaciones/TIC para controlar y atenuar las consecuencias del cambio climático, en particular en los países en desarrollo, la utilización de las telecomunicaciones/TIC para reducción de los riesgos y la gestión de catástrofes, así como la exposición de las personas a los campos electromagnéticos y eliminación segura de residuos electrónicos.</w:t>
      </w:r>
    </w:p>
    <w:p w:rsidR="00933B93" w:rsidRPr="00933B93" w:rsidRDefault="00933B93" w:rsidP="00A47CD2">
      <w:pPr>
        <w:pStyle w:val="Heading2"/>
        <w:rPr>
          <w:lang w:val="es-ES"/>
        </w:rPr>
      </w:pPr>
      <w:r w:rsidRPr="00933B93">
        <w:rPr>
          <w:lang w:val="es-ES"/>
        </w:rPr>
        <w:t>2.2</w:t>
      </w:r>
      <w:r w:rsidRPr="00933B93">
        <w:rPr>
          <w:lang w:val="es-ES"/>
        </w:rPr>
        <w:tab/>
        <w:t>Equipo directivo de la Comisión de Estudio 2</w:t>
      </w:r>
    </w:p>
    <w:p w:rsidR="00933B93" w:rsidRPr="00933B93" w:rsidRDefault="00933B93" w:rsidP="00C0473F">
      <w:pPr>
        <w:rPr>
          <w:lang w:val="es-ES"/>
        </w:rPr>
      </w:pPr>
      <w:r w:rsidRPr="00933B93">
        <w:rPr>
          <w:lang w:val="es-ES"/>
        </w:rPr>
        <w:t>La CMDT-17 designó el equipo directivo de la CE</w:t>
      </w:r>
      <w:r w:rsidR="00A47CD2">
        <w:rPr>
          <w:lang w:val="es-ES"/>
        </w:rPr>
        <w:t> </w:t>
      </w:r>
      <w:r w:rsidRPr="00933B93">
        <w:rPr>
          <w:lang w:val="es-ES"/>
        </w:rPr>
        <w:t>2 para el séptimo periodo de estudios (2018</w:t>
      </w:r>
      <w:r w:rsidRPr="00933B93">
        <w:rPr>
          <w:lang w:val="es-ES"/>
        </w:rPr>
        <w:noBreakHyphen/>
        <w:t>2021), a saber, al Sr. Ahmad Reza Sharafat (República Islámica del Irán), en calidad de President</w:t>
      </w:r>
      <w:r w:rsidR="00C0473F">
        <w:rPr>
          <w:lang w:val="es-ES"/>
        </w:rPr>
        <w:t>e</w:t>
      </w:r>
      <w:r w:rsidRPr="00933B93">
        <w:rPr>
          <w:lang w:val="es-ES"/>
        </w:rPr>
        <w:t xml:space="preserve">, y los </w:t>
      </w:r>
      <w:r w:rsidR="00C0473F">
        <w:rPr>
          <w:lang w:val="es-ES"/>
        </w:rPr>
        <w:t>once</w:t>
      </w:r>
      <w:r w:rsidRPr="00933B93">
        <w:rPr>
          <w:lang w:val="es-ES"/>
        </w:rPr>
        <w:t xml:space="preserve"> vicepresidentes siguientes:</w:t>
      </w:r>
    </w:p>
    <w:p w:rsidR="00933B93" w:rsidRPr="00933B93" w:rsidRDefault="00A47CD2" w:rsidP="00A47CD2">
      <w:pPr>
        <w:pStyle w:val="enumlev1"/>
        <w:rPr>
          <w:lang w:val="es-ES"/>
        </w:rPr>
      </w:pPr>
      <w:r w:rsidRPr="00933B93">
        <w:rPr>
          <w:lang w:val="es-ES"/>
        </w:rPr>
        <w:t>–</w:t>
      </w:r>
      <w:r w:rsidRPr="00933B93">
        <w:rPr>
          <w:lang w:val="es-ES"/>
        </w:rPr>
        <w:tab/>
      </w:r>
      <w:r w:rsidR="00933B93" w:rsidRPr="00933B93">
        <w:rPr>
          <w:lang w:val="es-ES"/>
        </w:rPr>
        <w:t>Sr. Roland Yaw Kudozia (Ghana, AFR)</w:t>
      </w:r>
    </w:p>
    <w:p w:rsidR="00933B93" w:rsidRPr="00933B93" w:rsidRDefault="00A47CD2" w:rsidP="00A47CD2">
      <w:pPr>
        <w:pStyle w:val="enumlev1"/>
        <w:rPr>
          <w:lang w:val="es-ES"/>
        </w:rPr>
      </w:pPr>
      <w:r w:rsidRPr="00933B93">
        <w:rPr>
          <w:lang w:val="es-ES"/>
        </w:rPr>
        <w:t>–</w:t>
      </w:r>
      <w:r w:rsidRPr="00933B93">
        <w:rPr>
          <w:lang w:val="es-ES"/>
        </w:rPr>
        <w:tab/>
      </w:r>
      <w:r w:rsidR="00933B93" w:rsidRPr="00933B93">
        <w:rPr>
          <w:lang w:val="es-ES"/>
        </w:rPr>
        <w:t>Sr. Henry Chukwudumeme Nkemadu (Nigeria, AFR)</w:t>
      </w:r>
    </w:p>
    <w:p w:rsidR="00933B93" w:rsidRPr="00933B93" w:rsidRDefault="00A47CD2" w:rsidP="00A47CD2">
      <w:pPr>
        <w:pStyle w:val="enumlev1"/>
        <w:rPr>
          <w:lang w:val="es-ES"/>
        </w:rPr>
      </w:pPr>
      <w:r w:rsidRPr="00933B93">
        <w:rPr>
          <w:lang w:val="es-ES"/>
        </w:rPr>
        <w:t>–</w:t>
      </w:r>
      <w:r w:rsidRPr="00933B93">
        <w:rPr>
          <w:lang w:val="es-ES"/>
        </w:rPr>
        <w:tab/>
      </w:r>
      <w:r>
        <w:rPr>
          <w:lang w:val="es-ES"/>
        </w:rPr>
        <w:t xml:space="preserve">Sra. </w:t>
      </w:r>
      <w:r w:rsidR="00933B93" w:rsidRPr="00933B93">
        <w:rPr>
          <w:lang w:val="es-ES"/>
        </w:rPr>
        <w:t>Celina Delgado Castellón (Nicaragua, AMS)</w:t>
      </w:r>
    </w:p>
    <w:p w:rsidR="00933B93" w:rsidRPr="00933B93" w:rsidRDefault="00A47CD2" w:rsidP="00A47CD2">
      <w:pPr>
        <w:pStyle w:val="enumlev1"/>
        <w:rPr>
          <w:lang w:val="es-ES"/>
        </w:rPr>
      </w:pPr>
      <w:r w:rsidRPr="00933B93">
        <w:rPr>
          <w:lang w:val="es-ES"/>
        </w:rPr>
        <w:t>–</w:t>
      </w:r>
      <w:r w:rsidRPr="00933B93">
        <w:rPr>
          <w:lang w:val="es-ES"/>
        </w:rPr>
        <w:tab/>
      </w:r>
      <w:r w:rsidR="00933B93" w:rsidRPr="00933B93">
        <w:rPr>
          <w:lang w:val="es-ES"/>
        </w:rPr>
        <w:t>Sra. Nora Abdalla Hassan Basher (Sudán, ARB)</w:t>
      </w:r>
    </w:p>
    <w:p w:rsidR="00933B93" w:rsidRPr="00933B93" w:rsidRDefault="00A47CD2" w:rsidP="00A47CD2">
      <w:pPr>
        <w:pStyle w:val="enumlev1"/>
        <w:rPr>
          <w:lang w:val="es-ES"/>
        </w:rPr>
      </w:pPr>
      <w:r w:rsidRPr="00933B93">
        <w:rPr>
          <w:lang w:val="es-ES"/>
        </w:rPr>
        <w:t>–</w:t>
      </w:r>
      <w:r w:rsidRPr="00933B93">
        <w:rPr>
          <w:lang w:val="es-ES"/>
        </w:rPr>
        <w:tab/>
      </w:r>
      <w:r>
        <w:rPr>
          <w:lang w:val="es-ES"/>
        </w:rPr>
        <w:t xml:space="preserve">Sr. </w:t>
      </w:r>
      <w:r w:rsidR="00933B93" w:rsidRPr="00933B93">
        <w:rPr>
          <w:lang w:val="es-ES"/>
        </w:rPr>
        <w:t>Nasser Al Marzouqi (Emiratos Árabes Unidos, ARB)</w:t>
      </w:r>
    </w:p>
    <w:p w:rsidR="00933B93" w:rsidRPr="00933B93" w:rsidRDefault="00A47CD2" w:rsidP="00A47CD2">
      <w:pPr>
        <w:pStyle w:val="enumlev1"/>
        <w:rPr>
          <w:lang w:val="es-ES"/>
        </w:rPr>
      </w:pPr>
      <w:r w:rsidRPr="00933B93">
        <w:rPr>
          <w:lang w:val="es-ES"/>
        </w:rPr>
        <w:t>–</w:t>
      </w:r>
      <w:r w:rsidRPr="00933B93">
        <w:rPr>
          <w:lang w:val="es-ES"/>
        </w:rPr>
        <w:tab/>
      </w:r>
      <w:r>
        <w:rPr>
          <w:lang w:val="es-ES"/>
        </w:rPr>
        <w:t xml:space="preserve">Sra. </w:t>
      </w:r>
      <w:r w:rsidR="00933B93" w:rsidRPr="00933B93">
        <w:rPr>
          <w:lang w:val="es-ES"/>
        </w:rPr>
        <w:t>Ke Wang (República Popular de China, ASP)</w:t>
      </w:r>
    </w:p>
    <w:p w:rsidR="00933B93" w:rsidRPr="00933B93" w:rsidRDefault="00A47CD2" w:rsidP="00A47CD2">
      <w:pPr>
        <w:pStyle w:val="enumlev1"/>
        <w:rPr>
          <w:lang w:val="es-ES"/>
        </w:rPr>
      </w:pPr>
      <w:r w:rsidRPr="00933B93">
        <w:rPr>
          <w:lang w:val="es-ES"/>
        </w:rPr>
        <w:t>–</w:t>
      </w:r>
      <w:r w:rsidRPr="00933B93">
        <w:rPr>
          <w:lang w:val="es-ES"/>
        </w:rPr>
        <w:tab/>
      </w:r>
      <w:r>
        <w:rPr>
          <w:lang w:val="es-ES"/>
        </w:rPr>
        <w:t xml:space="preserve">Sr. </w:t>
      </w:r>
      <w:r w:rsidR="00933B93" w:rsidRPr="00933B93">
        <w:rPr>
          <w:lang w:val="es-ES"/>
        </w:rPr>
        <w:t>Ananda Raj Khanal (Nepal, ASP)</w:t>
      </w:r>
    </w:p>
    <w:p w:rsidR="00933B93" w:rsidRPr="00933B93" w:rsidRDefault="00A47CD2" w:rsidP="00A47CD2">
      <w:pPr>
        <w:pStyle w:val="enumlev1"/>
        <w:rPr>
          <w:lang w:val="es-ES"/>
        </w:rPr>
      </w:pPr>
      <w:r w:rsidRPr="00933B93">
        <w:rPr>
          <w:lang w:val="es-ES"/>
        </w:rPr>
        <w:t>–</w:t>
      </w:r>
      <w:r w:rsidRPr="00933B93">
        <w:rPr>
          <w:lang w:val="es-ES"/>
        </w:rPr>
        <w:tab/>
      </w:r>
      <w:r w:rsidR="00933B93" w:rsidRPr="00933B93">
        <w:rPr>
          <w:lang w:val="es-ES"/>
        </w:rPr>
        <w:t>Sr. Yakov Gass (Federación de Rusia, CEI)</w:t>
      </w:r>
    </w:p>
    <w:p w:rsidR="00933B93" w:rsidRPr="00933B93" w:rsidRDefault="00A47CD2" w:rsidP="00C0473F">
      <w:pPr>
        <w:pStyle w:val="enumlev1"/>
        <w:rPr>
          <w:lang w:val="es-ES"/>
        </w:rPr>
      </w:pPr>
      <w:r w:rsidRPr="00933B93">
        <w:rPr>
          <w:lang w:val="es-ES"/>
        </w:rPr>
        <w:t>–</w:t>
      </w:r>
      <w:r w:rsidRPr="00933B93">
        <w:rPr>
          <w:lang w:val="es-ES"/>
        </w:rPr>
        <w:tab/>
      </w:r>
      <w:r w:rsidR="00933B93" w:rsidRPr="00933B93">
        <w:rPr>
          <w:lang w:val="es-ES"/>
        </w:rPr>
        <w:t>Sr. Tolibjon Oltinovich Mirzakulov (Uzbekistán, C</w:t>
      </w:r>
      <w:r w:rsidR="00C0473F">
        <w:rPr>
          <w:lang w:val="es-ES"/>
        </w:rPr>
        <w:t>EI</w:t>
      </w:r>
      <w:r w:rsidR="00933B93" w:rsidRPr="00933B93">
        <w:rPr>
          <w:lang w:val="es-ES"/>
        </w:rPr>
        <w:t>)</w:t>
      </w:r>
    </w:p>
    <w:p w:rsidR="00933B93" w:rsidRPr="00933B93" w:rsidRDefault="00A47CD2" w:rsidP="00A47CD2">
      <w:pPr>
        <w:pStyle w:val="enumlev1"/>
        <w:rPr>
          <w:lang w:val="es-ES"/>
        </w:rPr>
      </w:pPr>
      <w:r w:rsidRPr="00933B93">
        <w:rPr>
          <w:lang w:val="es-ES"/>
        </w:rPr>
        <w:t>–</w:t>
      </w:r>
      <w:r w:rsidRPr="00933B93">
        <w:rPr>
          <w:lang w:val="es-ES"/>
        </w:rPr>
        <w:tab/>
      </w:r>
      <w:r w:rsidR="00933B93" w:rsidRPr="00933B93">
        <w:rPr>
          <w:lang w:val="es-ES"/>
        </w:rPr>
        <w:t>Sr. Filipe Miguel Antunes Batista (Portugal, EUR)</w:t>
      </w:r>
    </w:p>
    <w:p w:rsidR="00933B93" w:rsidRPr="00933B93" w:rsidRDefault="00A47CD2" w:rsidP="00A47CD2">
      <w:pPr>
        <w:pStyle w:val="enumlev1"/>
        <w:rPr>
          <w:lang w:val="es-ES"/>
        </w:rPr>
      </w:pPr>
      <w:r w:rsidRPr="00933B93">
        <w:rPr>
          <w:lang w:val="es-ES"/>
        </w:rPr>
        <w:t>–</w:t>
      </w:r>
      <w:r w:rsidRPr="00933B93">
        <w:rPr>
          <w:lang w:val="es-ES"/>
        </w:rPr>
        <w:tab/>
      </w:r>
      <w:r w:rsidR="00933B93" w:rsidRPr="00933B93">
        <w:rPr>
          <w:lang w:val="es-ES"/>
        </w:rPr>
        <w:t>Sr. Dominique Würges (Francia, EUR)</w:t>
      </w:r>
    </w:p>
    <w:p w:rsidR="00933B93" w:rsidRPr="00933B93" w:rsidRDefault="00933B93" w:rsidP="00C0473F">
      <w:pPr>
        <w:pStyle w:val="Heading2"/>
        <w:rPr>
          <w:lang w:val="es-ES"/>
        </w:rPr>
      </w:pPr>
      <w:r w:rsidRPr="00933B93">
        <w:rPr>
          <w:lang w:val="es-ES"/>
        </w:rPr>
        <w:t>2.3</w:t>
      </w:r>
      <w:r w:rsidRPr="00933B93">
        <w:rPr>
          <w:lang w:val="es-ES"/>
        </w:rPr>
        <w:tab/>
        <w:t>Cuest</w:t>
      </w:r>
      <w:r w:rsidR="00A47CD2">
        <w:rPr>
          <w:lang w:val="es-ES"/>
        </w:rPr>
        <w:t>iones de la Comisión de Estudio</w:t>
      </w:r>
      <w:r w:rsidRPr="00933B93">
        <w:rPr>
          <w:lang w:val="es-ES"/>
        </w:rPr>
        <w:t xml:space="preserve"> </w:t>
      </w:r>
      <w:r w:rsidR="00C0473F">
        <w:rPr>
          <w:lang w:val="es-ES"/>
        </w:rPr>
        <w:t>2</w:t>
      </w:r>
    </w:p>
    <w:p w:rsidR="00933B93" w:rsidRPr="00933B93" w:rsidRDefault="00933B93" w:rsidP="00933B93">
      <w:pPr>
        <w:rPr>
          <w:lang w:val="es-ES"/>
        </w:rPr>
      </w:pPr>
      <w:r w:rsidRPr="00933B93">
        <w:rPr>
          <w:lang w:val="es-ES"/>
        </w:rPr>
        <w:t>La CMDT-17 encomendó a la Comisión de Estudio 2 las Cuestiones siguientes:</w:t>
      </w:r>
    </w:p>
    <w:p w:rsidR="00933B93" w:rsidRPr="00933B93" w:rsidRDefault="00933B93" w:rsidP="00A47CD2">
      <w:pPr>
        <w:pStyle w:val="enumlev1"/>
        <w:rPr>
          <w:lang w:val="es-ES"/>
        </w:rPr>
      </w:pPr>
      <w:r w:rsidRPr="00933B93">
        <w:rPr>
          <w:lang w:val="es-ES"/>
        </w:rPr>
        <w:t>–</w:t>
      </w:r>
      <w:r w:rsidRPr="00933B93">
        <w:rPr>
          <w:lang w:val="es-ES"/>
        </w:rPr>
        <w:tab/>
        <w:t>Cuestión 1/2: Creación de ciudades y sociedades inteligentes: utilización de las tecnologías de la información y la comunicación en pro del desarrollo socioeconómico sostenible.</w:t>
      </w:r>
    </w:p>
    <w:p w:rsidR="00933B93" w:rsidRPr="00933B93" w:rsidRDefault="00933B93" w:rsidP="00A47CD2">
      <w:pPr>
        <w:pStyle w:val="enumlev1"/>
        <w:rPr>
          <w:lang w:val="es-ES"/>
        </w:rPr>
      </w:pPr>
      <w:r w:rsidRPr="00933B93">
        <w:rPr>
          <w:lang w:val="es-ES"/>
        </w:rPr>
        <w:t>–</w:t>
      </w:r>
      <w:r w:rsidRPr="00933B93">
        <w:rPr>
          <w:lang w:val="es-ES"/>
        </w:rPr>
        <w:tab/>
        <w:t>Cuestión 2/2: Telecomunicaciones/tecnologías de la información y la comunicación para la cibersalud.</w:t>
      </w:r>
    </w:p>
    <w:p w:rsidR="00933B93" w:rsidRPr="00933B93" w:rsidRDefault="00933B93" w:rsidP="00A47CD2">
      <w:pPr>
        <w:pStyle w:val="enumlev1"/>
        <w:rPr>
          <w:lang w:val="es-ES"/>
        </w:rPr>
      </w:pPr>
      <w:r w:rsidRPr="00933B93">
        <w:rPr>
          <w:lang w:val="es-ES"/>
        </w:rPr>
        <w:t>–</w:t>
      </w:r>
      <w:r w:rsidRPr="00933B93">
        <w:rPr>
          <w:lang w:val="es-ES"/>
        </w:rPr>
        <w:tab/>
        <w:t>Cuestión 3/2: Seguridad en las redes de información y comunicación: prácticas óptimas para el desarrollo de una cultura de ciberseguridad.</w:t>
      </w:r>
    </w:p>
    <w:p w:rsidR="00933B93" w:rsidRPr="00933B93" w:rsidRDefault="00933B93" w:rsidP="00A47CD2">
      <w:pPr>
        <w:pStyle w:val="enumlev1"/>
        <w:rPr>
          <w:lang w:val="es-ES"/>
        </w:rPr>
      </w:pPr>
      <w:r w:rsidRPr="00933B93">
        <w:rPr>
          <w:lang w:val="es-ES"/>
        </w:rPr>
        <w:lastRenderedPageBreak/>
        <w:t>–</w:t>
      </w:r>
      <w:r w:rsidRPr="00933B93">
        <w:rPr>
          <w:lang w:val="es-ES"/>
        </w:rPr>
        <w:tab/>
        <w:t>Cuestión 4/2: Asistencia a los países en desarrollo para la aplicación de programas de conformidad e interoperabilidad y la lucha contra la falsificación de equipos de tecnologías de la información y la comunicación y el robo de dispositivos móviles.</w:t>
      </w:r>
    </w:p>
    <w:p w:rsidR="00933B93" w:rsidRPr="00933B93" w:rsidRDefault="00933B93" w:rsidP="00A47CD2">
      <w:pPr>
        <w:pStyle w:val="enumlev1"/>
        <w:rPr>
          <w:lang w:val="es-ES"/>
        </w:rPr>
      </w:pPr>
      <w:r w:rsidRPr="00933B93">
        <w:rPr>
          <w:lang w:val="es-ES"/>
        </w:rPr>
        <w:t>–</w:t>
      </w:r>
      <w:r w:rsidRPr="00933B93">
        <w:rPr>
          <w:lang w:val="es-ES"/>
        </w:rPr>
        <w:tab/>
        <w:t>Cuestión 5/2: Utilización de las telecomunicaciones/tecnologías de la información y la comunicación para la reducción del riesgo de catástrofes y su gestión.</w:t>
      </w:r>
    </w:p>
    <w:p w:rsidR="00933B93" w:rsidRPr="00933B93" w:rsidRDefault="00933B93" w:rsidP="00A47CD2">
      <w:pPr>
        <w:pStyle w:val="enumlev1"/>
        <w:rPr>
          <w:lang w:val="es-ES"/>
        </w:rPr>
      </w:pPr>
      <w:r w:rsidRPr="00933B93">
        <w:rPr>
          <w:lang w:val="es-ES"/>
        </w:rPr>
        <w:t>–</w:t>
      </w:r>
      <w:r w:rsidRPr="00933B93">
        <w:rPr>
          <w:lang w:val="es-ES"/>
        </w:rPr>
        <w:tab/>
        <w:t>Cuestión 6/2: Las tecnologías de la información y la comunicación y el medio ambiente.</w:t>
      </w:r>
    </w:p>
    <w:p w:rsidR="00933B93" w:rsidRPr="00933B93" w:rsidRDefault="00933B93" w:rsidP="00A47CD2">
      <w:pPr>
        <w:pStyle w:val="enumlev1"/>
        <w:rPr>
          <w:lang w:val="es-ES"/>
        </w:rPr>
      </w:pPr>
      <w:r w:rsidRPr="00933B93">
        <w:rPr>
          <w:lang w:val="es-ES"/>
        </w:rPr>
        <w:t>–</w:t>
      </w:r>
      <w:r w:rsidRPr="00933B93">
        <w:rPr>
          <w:lang w:val="es-ES"/>
        </w:rPr>
        <w:tab/>
        <w:t>Cuestión 7/2: Estrategias y políticas relativas a la exposición de las personas a los campos electromagnéticos.</w:t>
      </w:r>
    </w:p>
    <w:p w:rsidR="00933B93" w:rsidRPr="00933B93" w:rsidRDefault="00933B93" w:rsidP="004C7E12">
      <w:pPr>
        <w:pStyle w:val="Heading2"/>
        <w:rPr>
          <w:lang w:val="es-ES"/>
        </w:rPr>
      </w:pPr>
      <w:r w:rsidRPr="00933B93">
        <w:rPr>
          <w:lang w:val="es-ES"/>
        </w:rPr>
        <w:t>2.4</w:t>
      </w:r>
      <w:r w:rsidRPr="00933B93">
        <w:rPr>
          <w:lang w:val="es-ES"/>
        </w:rPr>
        <w:tab/>
        <w:t xml:space="preserve">Designación de Relatores y Vicerrelatores de la Comisión de Estudio </w:t>
      </w:r>
      <w:r w:rsidR="004C7E12">
        <w:rPr>
          <w:lang w:val="es-ES"/>
        </w:rPr>
        <w:t>2</w:t>
      </w:r>
    </w:p>
    <w:p w:rsidR="00933B93" w:rsidRPr="00933B93" w:rsidRDefault="00933B93" w:rsidP="003442DF">
      <w:pPr>
        <w:rPr>
          <w:bCs/>
          <w:lang w:val="es-ES"/>
        </w:rPr>
      </w:pPr>
      <w:r w:rsidRPr="00933B93">
        <w:rPr>
          <w:bCs/>
          <w:lang w:val="es-ES"/>
        </w:rPr>
        <w:t xml:space="preserve">Se remitió a los </w:t>
      </w:r>
      <w:r w:rsidR="003442DF">
        <w:rPr>
          <w:bCs/>
          <w:lang w:val="es-ES"/>
        </w:rPr>
        <w:t>m</w:t>
      </w:r>
      <w:r w:rsidRPr="00933B93">
        <w:rPr>
          <w:bCs/>
          <w:lang w:val="es-ES"/>
        </w:rPr>
        <w:t>iembros una convocatoria para la designación de Relatores y Vicerrelatores, y en la primera reunión de la CE</w:t>
      </w:r>
      <w:r w:rsidR="00513F26">
        <w:rPr>
          <w:bCs/>
          <w:lang w:val="es-ES"/>
        </w:rPr>
        <w:t> </w:t>
      </w:r>
      <w:r w:rsidRPr="00933B93">
        <w:rPr>
          <w:bCs/>
          <w:lang w:val="es-ES"/>
        </w:rPr>
        <w:t>2 del UIT-D, que se celebrará en mayo de 2018, tendrán lugar las designaciones ulteriores. En función de la modalidad de los estudios, la designación de Relatores se basará en la experiencia relativa al tema objeto de estudio y la capacidad para coordinar los trab</w:t>
      </w:r>
      <w:r w:rsidR="004C7E12">
        <w:rPr>
          <w:bCs/>
          <w:lang w:val="es-ES"/>
        </w:rPr>
        <w:t>ajos. En la designación de Vicerr</w:t>
      </w:r>
      <w:r w:rsidRPr="00933B93">
        <w:rPr>
          <w:bCs/>
          <w:lang w:val="es-ES"/>
        </w:rPr>
        <w:t>elatores se procurará alcanzar un equilibrio a nivel regional.</w:t>
      </w:r>
    </w:p>
    <w:p w:rsidR="00933B93" w:rsidRPr="00933B93" w:rsidRDefault="00933B93" w:rsidP="00933B93">
      <w:pPr>
        <w:rPr>
          <w:bCs/>
          <w:lang w:val="es-ES"/>
        </w:rPr>
      </w:pPr>
      <w:r w:rsidRPr="00933B93">
        <w:rPr>
          <w:bCs/>
          <w:lang w:val="es-ES"/>
        </w:rPr>
        <w:t xml:space="preserve">La lista de todas las candidaturas recibidas puede consultarse en línea, a través del enlace siguiente: </w:t>
      </w:r>
      <w:hyperlink r:id="rId9" w:history="1">
        <w:r w:rsidRPr="00933B93">
          <w:rPr>
            <w:rStyle w:val="Hyperlink"/>
            <w:bCs/>
            <w:lang w:val="es-ES"/>
          </w:rPr>
          <w:t>https://www.itu.int/en/ITU-D/Study-Groups/2018-2021/Pages/Candidates.aspx</w:t>
        </w:r>
      </w:hyperlink>
      <w:r w:rsidR="00A47CD2">
        <w:rPr>
          <w:bCs/>
          <w:lang w:val="es-ES"/>
        </w:rPr>
        <w:t>.</w:t>
      </w:r>
    </w:p>
    <w:p w:rsidR="00933B93" w:rsidRPr="00933B93" w:rsidRDefault="00A47CD2" w:rsidP="00A47CD2">
      <w:pPr>
        <w:pStyle w:val="Heading1"/>
        <w:rPr>
          <w:lang w:val="es-ES"/>
        </w:rPr>
      </w:pPr>
      <w:r>
        <w:rPr>
          <w:lang w:val="es-ES"/>
        </w:rPr>
        <w:t>3</w:t>
      </w:r>
      <w:r>
        <w:rPr>
          <w:lang w:val="es-ES"/>
        </w:rPr>
        <w:tab/>
      </w:r>
      <w:r w:rsidR="00933B93" w:rsidRPr="00933B93">
        <w:rPr>
          <w:lang w:val="es-ES"/>
        </w:rPr>
        <w:t>Estrategia y plan de tr</w:t>
      </w:r>
      <w:r>
        <w:rPr>
          <w:lang w:val="es-ES"/>
        </w:rPr>
        <w:t>abajo de la Comisión de Estudio</w:t>
      </w:r>
      <w:r w:rsidR="00933B93" w:rsidRPr="00933B93">
        <w:rPr>
          <w:lang w:val="es-ES"/>
        </w:rPr>
        <w:t xml:space="preserve"> 2</w:t>
      </w:r>
    </w:p>
    <w:p w:rsidR="00933B93" w:rsidRPr="00933B93" w:rsidRDefault="00933B93" w:rsidP="0068336F">
      <w:pPr>
        <w:rPr>
          <w:lang w:val="es-ES"/>
        </w:rPr>
      </w:pPr>
      <w:r w:rsidRPr="00933B93">
        <w:rPr>
          <w:lang w:val="es-ES"/>
        </w:rPr>
        <w:t xml:space="preserve">Con objeto de que la Comisión de Estudio </w:t>
      </w:r>
      <w:r w:rsidR="003442DF">
        <w:rPr>
          <w:lang w:val="es-ES"/>
        </w:rPr>
        <w:t>2</w:t>
      </w:r>
      <w:r w:rsidRPr="00933B93">
        <w:rPr>
          <w:lang w:val="es-ES"/>
        </w:rPr>
        <w:t xml:space="preserve"> pueda lograr los resultados esperados para el per</w:t>
      </w:r>
      <w:r w:rsidR="00A47CD2">
        <w:rPr>
          <w:lang w:val="es-ES"/>
        </w:rPr>
        <w:t>i</w:t>
      </w:r>
      <w:r w:rsidRPr="00933B93">
        <w:rPr>
          <w:lang w:val="es-ES"/>
        </w:rPr>
        <w:t>odo de estudios 2018-2021, de conformidad con el alcance de la labor que figura en la Resolución 2 (Rev. Buenos Aires, 2017) "Establecimiento de Comisiones de Estudio", cabe considerar y examinar diversos elementos clave iniciales</w:t>
      </w:r>
      <w:r w:rsidR="0068336F">
        <w:rPr>
          <w:lang w:val="es-ES"/>
        </w:rPr>
        <w:t>. S</w:t>
      </w:r>
      <w:r w:rsidRPr="00933B93">
        <w:rPr>
          <w:lang w:val="es-ES"/>
        </w:rPr>
        <w:t xml:space="preserve">e han programado cuatro reuniones anuales de las Comisiones de Estudio, así como tres series de reuniones de los Grupos de Relator. Por otro lado, se prevé celebrar en Ginebra y en otras regiones varias reuniones de expertos sobre temas relativos a las Cuestiones objeto de estudio. Esas reuniones conexas, que pueden incluir debates oficiosos, seminarios o talleres informativos relacionados con cada Cuestión de estudio, en función de las propuestas recibidas de los </w:t>
      </w:r>
      <w:r w:rsidR="003442DF">
        <w:rPr>
          <w:lang w:val="es-ES"/>
        </w:rPr>
        <w:t>m</w:t>
      </w:r>
      <w:r w:rsidRPr="00933B93">
        <w:rPr>
          <w:lang w:val="es-ES"/>
        </w:rPr>
        <w:t>iembros, se celebrarán en la medida de lo posible a lo largo de todo el per</w:t>
      </w:r>
      <w:r w:rsidR="00A47CD2">
        <w:rPr>
          <w:lang w:val="es-ES"/>
        </w:rPr>
        <w:t>i</w:t>
      </w:r>
      <w:r w:rsidRPr="00933B93">
        <w:rPr>
          <w:lang w:val="es-ES"/>
        </w:rPr>
        <w:t xml:space="preserve">odo de estudios. Los </w:t>
      </w:r>
      <w:r w:rsidR="003442DF">
        <w:rPr>
          <w:lang w:val="es-ES"/>
        </w:rPr>
        <w:t>m</w:t>
      </w:r>
      <w:r w:rsidRPr="00933B93">
        <w:rPr>
          <w:lang w:val="es-ES"/>
        </w:rPr>
        <w:t>iembros alentarán a que se examinen y aprueben las propuestas relativas a esas reuniones y talleres conexos en las reuniones anuales de las Comisiones de Estudio</w:t>
      </w:r>
      <w:r w:rsidR="003442DF">
        <w:rPr>
          <w:lang w:val="es-ES"/>
        </w:rPr>
        <w:t>.</w:t>
      </w:r>
    </w:p>
    <w:p w:rsidR="00933B93" w:rsidRPr="00933B93" w:rsidRDefault="0068336F" w:rsidP="0068336F">
      <w:pPr>
        <w:rPr>
          <w:lang w:val="es-ES"/>
        </w:rPr>
      </w:pPr>
      <w:r>
        <w:rPr>
          <w:lang w:val="es-ES"/>
        </w:rPr>
        <w:t>L</w:t>
      </w:r>
      <w:r w:rsidR="00933B93" w:rsidRPr="00933B93">
        <w:rPr>
          <w:lang w:val="es-ES"/>
        </w:rPr>
        <w:t>a planificación adecuada al comienzo del per</w:t>
      </w:r>
      <w:r w:rsidR="00A47CD2">
        <w:rPr>
          <w:lang w:val="es-ES"/>
        </w:rPr>
        <w:t>i</w:t>
      </w:r>
      <w:r w:rsidR="00933B93" w:rsidRPr="00933B93">
        <w:rPr>
          <w:lang w:val="es-ES"/>
        </w:rPr>
        <w:t>odo de estudios también permitirá armonizar, desde un punto de vista estratégico, la labor de las Cuestiones de estudio de la</w:t>
      </w:r>
      <w:r w:rsidR="00513F26">
        <w:rPr>
          <w:lang w:val="es-ES"/>
        </w:rPr>
        <w:t> </w:t>
      </w:r>
      <w:r w:rsidR="00933B93" w:rsidRPr="00933B93">
        <w:rPr>
          <w:lang w:val="es-ES"/>
        </w:rPr>
        <w:t>CE</w:t>
      </w:r>
      <w:r w:rsidR="00A47CD2">
        <w:rPr>
          <w:lang w:val="es-ES"/>
        </w:rPr>
        <w:t> </w:t>
      </w:r>
      <w:r w:rsidR="00933B93" w:rsidRPr="00933B93">
        <w:rPr>
          <w:lang w:val="es-ES"/>
        </w:rPr>
        <w:t>2 con la relativa a las Cuestiones</w:t>
      </w:r>
      <w:r w:rsidR="00A47CD2">
        <w:rPr>
          <w:lang w:val="es-ES"/>
        </w:rPr>
        <w:t xml:space="preserve"> de la otra Comisión de Estudio</w:t>
      </w:r>
      <w:r w:rsidR="00933B93" w:rsidRPr="00933B93">
        <w:rPr>
          <w:lang w:val="es-ES"/>
        </w:rPr>
        <w:t xml:space="preserve"> y las Comisiones de Estudio de otros Sectores. A tenor de la solicitud formulada por los miembros, se tendrá en cuenta la necesidad de proporcionar información sobre las sinergias logradas mediante la labor de las Cuestiones de estudio, programas, iniciativas regionales y proyectos conexos con respecto a todas las actividades que lleven a cabo las Comisiones de Estudio del UIT-D.</w:t>
      </w:r>
    </w:p>
    <w:p w:rsidR="00933B93" w:rsidRPr="00933B93" w:rsidRDefault="00933B93" w:rsidP="0068336F">
      <w:pPr>
        <w:rPr>
          <w:lang w:val="es-ES"/>
        </w:rPr>
      </w:pPr>
      <w:r w:rsidRPr="00933B93">
        <w:rPr>
          <w:lang w:val="es-ES"/>
        </w:rPr>
        <w:t xml:space="preserve">Las Comisiones de Estudio del UIT-D ofrecen a los </w:t>
      </w:r>
      <w:r w:rsidR="008821D2">
        <w:rPr>
          <w:lang w:val="es-ES"/>
        </w:rPr>
        <w:t>m</w:t>
      </w:r>
      <w:r w:rsidRPr="00933B93">
        <w:rPr>
          <w:lang w:val="es-ES"/>
        </w:rPr>
        <w:t xml:space="preserve">iembros la posibilidad de compartir experiencias, formular propuestas, intercambiar puntos de vista y elaborar estrategias que permitan abordar las actividades prioritarias sobre telecomunicaciones/TIC. La participación de las </w:t>
      </w:r>
      <w:r w:rsidR="008821D2" w:rsidRPr="00933B93">
        <w:rPr>
          <w:lang w:val="es-ES"/>
        </w:rPr>
        <w:t xml:space="preserve">Instituciones Académicas </w:t>
      </w:r>
      <w:r w:rsidRPr="00933B93">
        <w:rPr>
          <w:lang w:val="es-ES"/>
        </w:rPr>
        <w:t xml:space="preserve">en los trabajos del Sector se amplió en virtud del texto revisado de la Resolución 1 (Rev. Buenos Aires, 2017). A tal efecto, las Comisiones de Estudio del UIT-D seguirán aumentando la concienciación sobre la propuesta de que todos los Miembros, en particular las </w:t>
      </w:r>
      <w:r w:rsidR="008821D2" w:rsidRPr="00933B93">
        <w:rPr>
          <w:lang w:val="es-ES"/>
        </w:rPr>
        <w:t>Instituciones Académicas</w:t>
      </w:r>
      <w:r w:rsidRPr="00933B93">
        <w:rPr>
          <w:lang w:val="es-ES"/>
        </w:rPr>
        <w:t>, participen plenamente en la labor del Sector y contribuyan a la misma.</w:t>
      </w:r>
    </w:p>
    <w:p w:rsidR="00933B93" w:rsidRPr="00933B93" w:rsidRDefault="00933B93" w:rsidP="00933B93">
      <w:pPr>
        <w:rPr>
          <w:lang w:val="es-ES"/>
        </w:rPr>
      </w:pPr>
      <w:r w:rsidRPr="00933B93">
        <w:rPr>
          <w:lang w:val="es-ES"/>
        </w:rPr>
        <w:lastRenderedPageBreak/>
        <w:t>De conformidad con la decisión adoptada por el Consejo en 2017 de llevar a cabo un proyecto piloto para la participación de pequeñas y medianas empresas (PYME) en las Comisiones de Estudio del UIT-T y el UIT-D, las PYME podrán participar en las reuniones de las Comisiones de Estudio 1 y 2 del UIT-D que tengan lugar en 2018. El periodo de prueba durará hasta la última reunión inclusive de las Comisiones de Estudio del UIT-D y sus grupos de relator. A tal efecto, las PYME interesadas podrán consultar con sus administraciones respectivas la posibilidad de participar. Las administraciones comunicarán a la UIT cuáles son las PYME que se ajustan a los criterios nacionales y pueden participar. Aunque las PYME seleccionadas no contarán con la categoría de Miembro, podrán participar plenamente en los trabajos de las Comisiones de Estudio del UIT-D durante el periodo de ejecución del proyecto, excluida toda toma de decisión o asunción de función gestora.</w:t>
      </w:r>
    </w:p>
    <w:p w:rsidR="00933B93" w:rsidRPr="00933B93" w:rsidRDefault="00933B93" w:rsidP="008821D2">
      <w:pPr>
        <w:rPr>
          <w:lang w:val="es-ES"/>
        </w:rPr>
      </w:pPr>
      <w:r w:rsidRPr="00933B93">
        <w:rPr>
          <w:lang w:val="es-ES"/>
        </w:rPr>
        <w:t xml:space="preserve">En el </w:t>
      </w:r>
      <w:r w:rsidRPr="00933B93">
        <w:rPr>
          <w:b/>
          <w:bCs/>
          <w:lang w:val="es-ES"/>
        </w:rPr>
        <w:t>Anexo 1</w:t>
      </w:r>
      <w:r w:rsidRPr="00933B93">
        <w:rPr>
          <w:lang w:val="es-ES"/>
        </w:rPr>
        <w:t xml:space="preserve"> figura el plan de trabajo preliminar de la Comisión de Estudio </w:t>
      </w:r>
      <w:r w:rsidR="008821D2">
        <w:rPr>
          <w:lang w:val="es-ES"/>
        </w:rPr>
        <w:t>2</w:t>
      </w:r>
      <w:r w:rsidRPr="00933B93">
        <w:rPr>
          <w:lang w:val="es-ES"/>
        </w:rPr>
        <w:t>. Dicho plan de trabajo se revisará anualmente a fin de orientar la labor de la Comisión de Estudio.</w:t>
      </w:r>
    </w:p>
    <w:p w:rsidR="00933B93" w:rsidRPr="00933B93" w:rsidRDefault="00933B93" w:rsidP="00A47CD2">
      <w:pPr>
        <w:pStyle w:val="Heading1"/>
        <w:rPr>
          <w:lang w:val="es-ES"/>
        </w:rPr>
      </w:pPr>
      <w:r w:rsidRPr="00933B93">
        <w:rPr>
          <w:lang w:val="es-ES"/>
        </w:rPr>
        <w:t>4</w:t>
      </w:r>
      <w:r w:rsidRPr="00933B93">
        <w:rPr>
          <w:lang w:val="es-ES"/>
        </w:rPr>
        <w:tab/>
        <w:t>Instrumentos de colaboración</w:t>
      </w:r>
    </w:p>
    <w:p w:rsidR="00933B93" w:rsidRPr="00933B93" w:rsidRDefault="00933B93" w:rsidP="008821D2">
      <w:pPr>
        <w:rPr>
          <w:lang w:val="es-ES"/>
        </w:rPr>
      </w:pPr>
      <w:r w:rsidRPr="00933B93">
        <w:rPr>
          <w:lang w:val="es-ES"/>
        </w:rPr>
        <w:t xml:space="preserve">De conformidad con el enfoque señalado en la Conferencia Mundial de Desarrollo de las Telecomunicaciones, la Secretaría ha desarrollado diversos instrumentos de colaboración para facilitar la participación de los colaboradores por vía electrónica en la labor de las Comisiones de Estudio del UIT-D. Además de los servicios interactivos de participación a distancia y la transmisión en directo por Internet en los idiomas de cada reunión, los participantes y los miembros del equipo directivo disponen de listas de correo y sitios colaborativos SharePoint relativos a cada Comisión y Cuestión de </w:t>
      </w:r>
      <w:r w:rsidR="008821D2">
        <w:rPr>
          <w:lang w:val="es-ES"/>
        </w:rPr>
        <w:t>e</w:t>
      </w:r>
      <w:r w:rsidRPr="00933B93">
        <w:rPr>
          <w:lang w:val="es-ES"/>
        </w:rPr>
        <w:t>studio.</w:t>
      </w:r>
    </w:p>
    <w:p w:rsidR="00933B93" w:rsidRPr="00933B93" w:rsidRDefault="00933B93" w:rsidP="008821D2">
      <w:pPr>
        <w:rPr>
          <w:lang w:val="es-ES"/>
        </w:rPr>
      </w:pPr>
      <w:r w:rsidRPr="00933B93">
        <w:rPr>
          <w:lang w:val="es-ES"/>
        </w:rPr>
        <w:t>Las listas de correo permiten el intercambio de correos electrónicos entre expertos interesados en los temas objeto de estudio, al tiempo que los sitios colaborativos SharePoint proporcionan a los participantes un lugar de reunión virtual, con inclusión de un programa de actividades para las Comisiones de Estudio, anuncios y una zona de intercambio de documentos para facilitar los trabajos entre reuniones. Los equipos directivos de las Comisiones de Estudio disponen asimismo de una zona exclusiva provista de instalaciones análogas. Por otro lado, la aplicación de escritorio o móvil "ITU-D Events" proporciona a los participantes un medio sencillo y eficaz para acceder mediante ordenadores, teléfonos inteligentes o tabletas a todos los documentos pertinentes, así como a información práctica de las reuniones.</w:t>
      </w:r>
      <w:r w:rsidR="008821D2">
        <w:rPr>
          <w:lang w:val="es-ES"/>
        </w:rPr>
        <w:t xml:space="preserve"> </w:t>
      </w:r>
      <w:r w:rsidRPr="00933B93">
        <w:rPr>
          <w:lang w:val="es-ES"/>
        </w:rPr>
        <w:t>Es necesario poseer una cuenta TIES activa para utilizar estos servicios.</w:t>
      </w:r>
    </w:p>
    <w:p w:rsidR="00933B93" w:rsidRPr="00933B93" w:rsidRDefault="00933B93" w:rsidP="00933B93">
      <w:pPr>
        <w:rPr>
          <w:lang w:val="es-ES"/>
        </w:rPr>
      </w:pPr>
      <w:r w:rsidRPr="00933B93">
        <w:rPr>
          <w:lang w:val="es-ES"/>
        </w:rPr>
        <w:t>La primera reunión de la Comisión de Estudio 2 del UIT-D incluirá sesiones de introducción y capacitación sobre los métodos de trabajo y los instrumentos de colaboración de que disponen los participantes en los trabajos de las Comisiones de Estudio del UIT-D. Se alienta a los participantes en las Comisiones de Estudio a examinar esos instrumentos y a formular las observaciones que estimen pertinentes a la secretaría con miras a contribuir a mejorar su labor.</w:t>
      </w:r>
    </w:p>
    <w:p w:rsidR="00933B93" w:rsidRPr="00933B93" w:rsidRDefault="00933B93" w:rsidP="00A47CD2">
      <w:pPr>
        <w:pStyle w:val="Heading1"/>
        <w:rPr>
          <w:lang w:val="es-ES"/>
        </w:rPr>
      </w:pPr>
      <w:r w:rsidRPr="00933B93">
        <w:rPr>
          <w:lang w:val="es-ES"/>
        </w:rPr>
        <w:lastRenderedPageBreak/>
        <w:t>5</w:t>
      </w:r>
      <w:r w:rsidRPr="00933B93">
        <w:rPr>
          <w:lang w:val="es-ES"/>
        </w:rPr>
        <w:tab/>
        <w:t>Conclusión</w:t>
      </w:r>
    </w:p>
    <w:p w:rsidR="00933B93" w:rsidRPr="00933B93" w:rsidRDefault="00933B93" w:rsidP="008821D2">
      <w:pPr>
        <w:keepNext/>
        <w:keepLines/>
        <w:rPr>
          <w:bCs/>
          <w:lang w:val="es-ES"/>
        </w:rPr>
      </w:pPr>
      <w:r w:rsidRPr="00933B93">
        <w:rPr>
          <w:bCs/>
          <w:lang w:val="es-ES"/>
        </w:rPr>
        <w:t xml:space="preserve">Tras la aprobación del nuevo marco de trabajo y la asignación de las Cuestiones de estudio, la Comisión de Estudio 2 se reunirá del 7 al 14 de mayo de 2018. En las primeras reuniones se examinarán pormenorizadamente los resultados esperados que aprobaron los Miembros en la CMDT-17, se identificarán métodos para llevar a cabo su labor y se aprobarán planes de trabajo detallados para cada Cuestión de </w:t>
      </w:r>
      <w:r w:rsidR="008821D2">
        <w:rPr>
          <w:bCs/>
          <w:lang w:val="es-ES"/>
        </w:rPr>
        <w:t>e</w:t>
      </w:r>
      <w:r w:rsidRPr="00933B93">
        <w:rPr>
          <w:bCs/>
          <w:lang w:val="es-ES"/>
        </w:rPr>
        <w:t>studio. En esas reuniones también se designarán los Relatores y los Vicerrelatores de las correspondientes Cuestiones de estudio.</w:t>
      </w:r>
    </w:p>
    <w:p w:rsidR="00933B93" w:rsidRPr="00933B93" w:rsidRDefault="00933B93" w:rsidP="00933B93">
      <w:pPr>
        <w:rPr>
          <w:bCs/>
          <w:lang w:val="es-ES"/>
        </w:rPr>
      </w:pPr>
      <w:r w:rsidRPr="00933B93">
        <w:rPr>
          <w:bCs/>
          <w:lang w:val="es-ES"/>
        </w:rPr>
        <w:t>En el primer día de la reunión se celebrarán sesiones de introducción a la labor de las Comisiones de Estudio del UIT-D, en las que se detallarán los métodos de trabajo y los instrumentos de que disponen los participantes en dichas Comisiones.</w:t>
      </w:r>
    </w:p>
    <w:p w:rsidR="00933B93" w:rsidRPr="00933B93" w:rsidRDefault="00933B93" w:rsidP="008821D2">
      <w:pPr>
        <w:rPr>
          <w:bCs/>
          <w:lang w:val="es-ES"/>
        </w:rPr>
      </w:pPr>
      <w:r w:rsidRPr="00933B93">
        <w:rPr>
          <w:bCs/>
          <w:lang w:val="es-ES"/>
        </w:rPr>
        <w:t xml:space="preserve">El bloque de reuniones del Grupo de Relator de la Comisión de Estudio </w:t>
      </w:r>
      <w:r w:rsidR="008821D2">
        <w:rPr>
          <w:bCs/>
          <w:lang w:val="es-ES"/>
        </w:rPr>
        <w:t>2</w:t>
      </w:r>
      <w:r w:rsidRPr="00933B93">
        <w:rPr>
          <w:bCs/>
          <w:lang w:val="es-ES"/>
        </w:rPr>
        <w:t xml:space="preserve"> está previsto que tenga lugar del 1 al 12 de octubre de 2018. </w:t>
      </w:r>
    </w:p>
    <w:p w:rsidR="00933B93" w:rsidRDefault="00933B93" w:rsidP="00BC7208">
      <w:pPr>
        <w:rPr>
          <w:lang w:val="es-ES_tradnl"/>
        </w:rPr>
      </w:pPr>
    </w:p>
    <w:p w:rsidR="00933B93" w:rsidRDefault="00933B93" w:rsidP="00AF563E">
      <w:pPr>
        <w:pStyle w:val="enumlev1"/>
        <w:rPr>
          <w:lang w:val="es-ES_tradnl"/>
        </w:rPr>
        <w:sectPr w:rsidR="00933B93"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pPr>
      <w:bookmarkStart w:id="9" w:name="_GoBack"/>
      <w:bookmarkEnd w:id="9"/>
    </w:p>
    <w:p w:rsidR="00070001" w:rsidRDefault="00A47CD2" w:rsidP="0079648D">
      <w:pPr>
        <w:pStyle w:val="AnnexNo"/>
        <w:spacing w:before="0"/>
        <w:rPr>
          <w:lang w:val="es-ES_tradnl"/>
        </w:rPr>
      </w:pPr>
      <w:r w:rsidRPr="00FF2A77">
        <w:rPr>
          <w:lang w:val="es-ES_tradnl"/>
        </w:rPr>
        <w:lastRenderedPageBreak/>
        <w:t>Anexo 1</w:t>
      </w:r>
    </w:p>
    <w:p w:rsidR="00A47CD2" w:rsidRDefault="00A47CD2" w:rsidP="00F62B37">
      <w:pPr>
        <w:pStyle w:val="Annextitle"/>
        <w:spacing w:after="200"/>
        <w:rPr>
          <w:lang w:val="es-ES_tradnl"/>
        </w:rPr>
      </w:pPr>
      <w:r w:rsidRPr="00FF2A77">
        <w:rPr>
          <w:lang w:val="es-ES_tradnl"/>
        </w:rPr>
        <w:t xml:space="preserve">Plan de trabajo de la Comisión de Estudio </w:t>
      </w:r>
      <w:r w:rsidR="0068336F">
        <w:rPr>
          <w:lang w:val="es-ES_tradnl"/>
        </w:rPr>
        <w:t>2</w:t>
      </w:r>
      <w:r w:rsidRPr="00FF2A77">
        <w:rPr>
          <w:lang w:val="es-ES_tradnl"/>
        </w:rPr>
        <w:t xml:space="preserve"> del UIT-D</w:t>
      </w:r>
    </w:p>
    <w:p w:rsidR="00764B93" w:rsidRPr="00EE6798" w:rsidRDefault="00764B93" w:rsidP="007E0908">
      <w:pPr>
        <w:pStyle w:val="Tabletitle"/>
        <w:rPr>
          <w:lang w:val="es-ES_tradnl"/>
        </w:rPr>
      </w:pPr>
      <w:r w:rsidRPr="00EE6798">
        <w:rPr>
          <w:lang w:val="es-ES_tradnl"/>
        </w:rPr>
        <w:t>Plan de trabajo de la Comisión de Estudio 2 del UIT-D (2018-2021)</w:t>
      </w:r>
    </w:p>
    <w:p w:rsidR="007E0908" w:rsidRPr="007E0908" w:rsidRDefault="007E0908" w:rsidP="00F62B37">
      <w:pPr>
        <w:jc w:val="right"/>
        <w:rPr>
          <w:sz w:val="18"/>
          <w:szCs w:val="14"/>
          <w:lang w:val="en-GB"/>
        </w:rPr>
      </w:pPr>
      <w:r w:rsidRPr="007E0908">
        <w:rPr>
          <w:sz w:val="18"/>
          <w:szCs w:val="14"/>
          <w:lang w:val="en-GB"/>
        </w:rPr>
        <w:t>16 de enero de 2018</w:t>
      </w:r>
    </w:p>
    <w:tbl>
      <w:tblPr>
        <w:tblStyle w:val="TableGrid"/>
        <w:tblW w:w="15202" w:type="dxa"/>
        <w:jc w:val="center"/>
        <w:tblLayout w:type="fixed"/>
        <w:tblLook w:val="04A0" w:firstRow="1" w:lastRow="0" w:firstColumn="1" w:lastColumn="0" w:noHBand="0" w:noVBand="1"/>
      </w:tblPr>
      <w:tblGrid>
        <w:gridCol w:w="812"/>
        <w:gridCol w:w="1946"/>
        <w:gridCol w:w="1932"/>
        <w:gridCol w:w="1973"/>
        <w:gridCol w:w="1988"/>
        <w:gridCol w:w="2002"/>
        <w:gridCol w:w="1945"/>
        <w:gridCol w:w="2310"/>
        <w:gridCol w:w="294"/>
      </w:tblGrid>
      <w:tr w:rsidR="00925D30" w:rsidRPr="00925D30" w:rsidTr="00B22DC2">
        <w:trPr>
          <w:cantSplit/>
          <w:jc w:val="center"/>
        </w:trPr>
        <w:tc>
          <w:tcPr>
            <w:tcW w:w="812" w:type="dxa"/>
            <w:tcBorders>
              <w:top w:val="nil"/>
              <w:left w:val="nil"/>
              <w:bottom w:val="nil"/>
            </w:tcBorders>
          </w:tcPr>
          <w:p w:rsidR="00925D30" w:rsidRPr="006614C7" w:rsidRDefault="00925D30" w:rsidP="00597D09">
            <w:pPr>
              <w:pStyle w:val="Tablehead"/>
              <w:rPr>
                <w:sz w:val="15"/>
                <w:szCs w:val="15"/>
                <w:lang w:val="es-ES_tradnl"/>
              </w:rPr>
            </w:pPr>
          </w:p>
        </w:tc>
        <w:tc>
          <w:tcPr>
            <w:tcW w:w="3878" w:type="dxa"/>
            <w:gridSpan w:val="2"/>
            <w:shd w:val="clear" w:color="auto" w:fill="A6A6A6" w:themeFill="background1" w:themeFillShade="A6"/>
          </w:tcPr>
          <w:p w:rsidR="00925D30" w:rsidRPr="006614C7" w:rsidRDefault="00925D30" w:rsidP="00597D09">
            <w:pPr>
              <w:pStyle w:val="Tablehead"/>
              <w:jc w:val="left"/>
              <w:rPr>
                <w:sz w:val="15"/>
                <w:szCs w:val="15"/>
                <w:lang w:val="fr-FR"/>
              </w:rPr>
            </w:pPr>
            <w:r w:rsidRPr="006614C7">
              <w:rPr>
                <w:color w:val="FFFFFF" w:themeColor="background1"/>
                <w:sz w:val="15"/>
                <w:szCs w:val="15"/>
                <w:lang w:val="fr-FR"/>
              </w:rPr>
              <w:t>Informe al GADT</w:t>
            </w:r>
            <w:r w:rsidR="003E0EA4">
              <w:rPr>
                <w:color w:val="FFFFFF" w:themeColor="background1"/>
                <w:sz w:val="15"/>
                <w:szCs w:val="15"/>
                <w:lang w:val="fr-FR"/>
              </w:rPr>
              <w:tab/>
            </w:r>
            <w:r w:rsidRPr="006614C7">
              <w:rPr>
                <w:sz w:val="15"/>
                <w:szCs w:val="15"/>
                <w:lang w:val="fr-FR"/>
              </w:rPr>
              <w:tab/>
              <w:t>2018</w:t>
            </w:r>
          </w:p>
        </w:tc>
        <w:tc>
          <w:tcPr>
            <w:tcW w:w="3961" w:type="dxa"/>
            <w:gridSpan w:val="2"/>
            <w:shd w:val="clear" w:color="auto" w:fill="A6A6A6" w:themeFill="background1" w:themeFillShade="A6"/>
          </w:tcPr>
          <w:p w:rsidR="00925D30" w:rsidRPr="003E0EA4" w:rsidRDefault="00925D30" w:rsidP="00597D09">
            <w:pPr>
              <w:pStyle w:val="Tablehead"/>
              <w:jc w:val="left"/>
              <w:rPr>
                <w:sz w:val="15"/>
                <w:szCs w:val="15"/>
                <w:lang w:val="es-ES_tradnl"/>
              </w:rPr>
            </w:pPr>
            <w:r w:rsidRPr="003E0EA4">
              <w:rPr>
                <w:color w:val="FFFFFF" w:themeColor="background1"/>
                <w:sz w:val="15"/>
                <w:szCs w:val="15"/>
                <w:lang w:val="es-ES_tradnl"/>
              </w:rPr>
              <w:t>Informe al GADT</w:t>
            </w:r>
            <w:r w:rsidRPr="003E0EA4">
              <w:rPr>
                <w:sz w:val="15"/>
                <w:szCs w:val="15"/>
                <w:lang w:val="es-ES_tradnl"/>
              </w:rPr>
              <w:tab/>
            </w:r>
            <w:r w:rsidR="003E0EA4" w:rsidRPr="003E0EA4">
              <w:rPr>
                <w:sz w:val="15"/>
                <w:szCs w:val="15"/>
                <w:lang w:val="es-ES_tradnl"/>
              </w:rPr>
              <w:tab/>
            </w:r>
            <w:r w:rsidRPr="003E0EA4">
              <w:rPr>
                <w:sz w:val="15"/>
                <w:szCs w:val="15"/>
                <w:lang w:val="es-ES_tradnl"/>
              </w:rPr>
              <w:t>2019</w:t>
            </w:r>
          </w:p>
        </w:tc>
        <w:tc>
          <w:tcPr>
            <w:tcW w:w="3947" w:type="dxa"/>
            <w:gridSpan w:val="2"/>
            <w:shd w:val="clear" w:color="auto" w:fill="A6A6A6" w:themeFill="background1" w:themeFillShade="A6"/>
          </w:tcPr>
          <w:p w:rsidR="00925D30" w:rsidRPr="003E0EA4" w:rsidRDefault="00925D30" w:rsidP="00597D09">
            <w:pPr>
              <w:pStyle w:val="Tablehead"/>
              <w:tabs>
                <w:tab w:val="clear" w:pos="1985"/>
                <w:tab w:val="left" w:pos="1924"/>
              </w:tabs>
              <w:jc w:val="left"/>
              <w:rPr>
                <w:sz w:val="15"/>
                <w:szCs w:val="15"/>
                <w:lang w:val="es-ES_tradnl"/>
              </w:rPr>
            </w:pPr>
            <w:r w:rsidRPr="003E0EA4">
              <w:rPr>
                <w:color w:val="FFFFFF" w:themeColor="background1"/>
                <w:sz w:val="15"/>
                <w:szCs w:val="15"/>
                <w:lang w:val="es-ES_tradnl"/>
              </w:rPr>
              <w:t>Informe al GADT</w:t>
            </w:r>
            <w:r w:rsidRPr="003E0EA4">
              <w:rPr>
                <w:sz w:val="15"/>
                <w:szCs w:val="15"/>
                <w:lang w:val="es-ES_tradnl"/>
              </w:rPr>
              <w:tab/>
            </w:r>
            <w:r w:rsidRPr="003E0EA4">
              <w:rPr>
                <w:sz w:val="15"/>
                <w:szCs w:val="15"/>
                <w:lang w:val="es-ES_tradnl"/>
              </w:rPr>
              <w:tab/>
              <w:t>2020</w:t>
            </w:r>
          </w:p>
        </w:tc>
        <w:tc>
          <w:tcPr>
            <w:tcW w:w="2310" w:type="dxa"/>
            <w:shd w:val="clear" w:color="auto" w:fill="A6A6A6" w:themeFill="background1" w:themeFillShade="A6"/>
          </w:tcPr>
          <w:p w:rsidR="00925D30" w:rsidRPr="00925D30" w:rsidRDefault="00B22DC2" w:rsidP="00B22DC2">
            <w:pPr>
              <w:pStyle w:val="Tablehead"/>
              <w:tabs>
                <w:tab w:val="clear" w:pos="284"/>
                <w:tab w:val="clear" w:pos="567"/>
                <w:tab w:val="clear" w:pos="851"/>
                <w:tab w:val="clear" w:pos="1134"/>
                <w:tab w:val="clear" w:pos="1418"/>
                <w:tab w:val="clear" w:pos="1701"/>
                <w:tab w:val="clear" w:pos="1985"/>
                <w:tab w:val="clear" w:pos="2268"/>
                <w:tab w:val="left" w:pos="477"/>
              </w:tabs>
              <w:ind w:left="902" w:hanging="863"/>
              <w:jc w:val="left"/>
              <w:rPr>
                <w:sz w:val="15"/>
                <w:szCs w:val="15"/>
                <w:lang w:val="es-ES_tradnl"/>
              </w:rPr>
            </w:pPr>
            <w:r>
              <w:rPr>
                <w:sz w:val="15"/>
                <w:szCs w:val="15"/>
                <w:lang w:val="es-ES_tradnl"/>
              </w:rPr>
              <w:tab/>
            </w:r>
            <w:r w:rsidR="00925D30" w:rsidRPr="00925D30">
              <w:rPr>
                <w:sz w:val="15"/>
                <w:szCs w:val="15"/>
                <w:lang w:val="es-ES_tradnl"/>
              </w:rPr>
              <w:t>2021</w:t>
            </w:r>
            <w:r w:rsidR="00925D30" w:rsidRPr="00925D30">
              <w:rPr>
                <w:sz w:val="15"/>
                <w:szCs w:val="15"/>
                <w:lang w:val="es-ES_tradnl"/>
              </w:rPr>
              <w:tab/>
            </w:r>
            <w:r w:rsidR="00925D30" w:rsidRPr="00925D30">
              <w:rPr>
                <w:color w:val="FFFFFF" w:themeColor="background1"/>
                <w:sz w:val="15"/>
                <w:szCs w:val="15"/>
                <w:lang w:val="es-ES_tradnl"/>
              </w:rPr>
              <w:t>Informe al GADT/</w:t>
            </w:r>
            <w:r w:rsidR="00925D30" w:rsidRPr="00925D30">
              <w:rPr>
                <w:lang w:val="es-ES_tradnl"/>
              </w:rPr>
              <w:t xml:space="preserve"> </w:t>
            </w:r>
            <w:r w:rsidR="00925D30" w:rsidRPr="00925D30">
              <w:rPr>
                <w:color w:val="FFFFFF" w:themeColor="background1"/>
                <w:sz w:val="15"/>
                <w:szCs w:val="15"/>
                <w:lang w:val="es-ES_tradnl"/>
              </w:rPr>
              <w:t>la CMDT</w:t>
            </w:r>
          </w:p>
        </w:tc>
        <w:tc>
          <w:tcPr>
            <w:tcW w:w="294" w:type="dxa"/>
            <w:vMerge w:val="restart"/>
            <w:shd w:val="clear" w:color="auto" w:fill="A6A6A6" w:themeFill="background1" w:themeFillShade="A6"/>
            <w:textDirection w:val="tbRl"/>
          </w:tcPr>
          <w:p w:rsidR="00925D30" w:rsidRPr="003E0EA4" w:rsidRDefault="00925D30" w:rsidP="0034199B">
            <w:pPr>
              <w:pStyle w:val="Tablehead"/>
              <w:tabs>
                <w:tab w:val="clear" w:pos="284"/>
                <w:tab w:val="clear" w:pos="567"/>
                <w:tab w:val="clear" w:pos="851"/>
                <w:tab w:val="clear" w:pos="1134"/>
                <w:tab w:val="clear" w:pos="1418"/>
                <w:tab w:val="clear" w:pos="1701"/>
                <w:tab w:val="clear" w:pos="1985"/>
                <w:tab w:val="clear" w:pos="2268"/>
                <w:tab w:val="left" w:pos="1740"/>
              </w:tabs>
              <w:spacing w:before="20" w:after="20"/>
              <w:ind w:left="113"/>
              <w:rPr>
                <w:b w:val="0"/>
                <w:bCs/>
                <w:sz w:val="15"/>
                <w:szCs w:val="15"/>
                <w:lang w:val="es-ES_tradnl"/>
              </w:rPr>
            </w:pPr>
            <w:r w:rsidRPr="003E0EA4">
              <w:rPr>
                <w:b w:val="0"/>
                <w:bCs/>
                <w:sz w:val="15"/>
                <w:szCs w:val="15"/>
                <w:lang w:val="es-ES_tradnl"/>
              </w:rPr>
              <w:t>CMDT-21</w:t>
            </w:r>
          </w:p>
        </w:tc>
      </w:tr>
      <w:tr w:rsidR="00925D30" w:rsidRPr="00EE6798" w:rsidTr="00EE6798">
        <w:trPr>
          <w:jc w:val="center"/>
        </w:trPr>
        <w:tc>
          <w:tcPr>
            <w:tcW w:w="812" w:type="dxa"/>
            <w:tcBorders>
              <w:top w:val="nil"/>
              <w:left w:val="nil"/>
              <w:bottom w:val="single" w:sz="8" w:space="0" w:color="FFFFFF" w:themeColor="background1"/>
              <w:right w:val="nil"/>
            </w:tcBorders>
            <w:shd w:val="clear" w:color="auto" w:fill="595959" w:themeFill="text1" w:themeFillTint="A6"/>
            <w:vAlign w:val="center"/>
          </w:tcPr>
          <w:p w:rsidR="00925D30" w:rsidRPr="00925D30" w:rsidRDefault="00925D30" w:rsidP="00597D09">
            <w:pPr>
              <w:pStyle w:val="Tabletext"/>
              <w:spacing w:before="20" w:after="20"/>
              <w:jc w:val="center"/>
              <w:rPr>
                <w:b/>
                <w:bCs/>
                <w:color w:val="FFFFFF" w:themeColor="background1"/>
                <w:sz w:val="15"/>
                <w:szCs w:val="15"/>
                <w:lang w:val="es-ES_tradnl"/>
              </w:rPr>
            </w:pPr>
            <w:r w:rsidRPr="00925D30">
              <w:rPr>
                <w:b/>
                <w:bCs/>
                <w:color w:val="FFFFFF" w:themeColor="background1"/>
                <w:sz w:val="15"/>
                <w:szCs w:val="15"/>
                <w:lang w:val="es-ES_tradnl"/>
              </w:rPr>
              <w:t>Cuestión</w:t>
            </w:r>
          </w:p>
        </w:tc>
        <w:tc>
          <w:tcPr>
            <w:tcW w:w="1946" w:type="dxa"/>
            <w:tcBorders>
              <w:left w:val="nil"/>
              <w:bottom w:val="single" w:sz="8" w:space="0" w:color="FFFFFF" w:themeColor="background1"/>
              <w:right w:val="single" w:sz="4" w:space="0" w:color="FFFFFF" w:themeColor="background1"/>
            </w:tcBorders>
            <w:shd w:val="clear" w:color="auto" w:fill="595959" w:themeFill="text1" w:themeFillTint="A6"/>
          </w:tcPr>
          <w:p w:rsidR="00925D30" w:rsidRPr="006614C7" w:rsidRDefault="00925D30" w:rsidP="00EE6798">
            <w:pPr>
              <w:pStyle w:val="Tabletext"/>
              <w:spacing w:before="20" w:after="20"/>
              <w:ind w:left="-57" w:right="-57"/>
              <w:jc w:val="center"/>
              <w:rPr>
                <w:color w:val="FFFFFF" w:themeColor="background1"/>
                <w:sz w:val="15"/>
                <w:szCs w:val="15"/>
                <w:lang w:val="es-ES_tradnl"/>
              </w:rPr>
            </w:pPr>
            <w:r w:rsidRPr="006614C7">
              <w:rPr>
                <w:b/>
                <w:bCs/>
                <w:color w:val="FFFFFF" w:themeColor="background1"/>
                <w:sz w:val="15"/>
                <w:szCs w:val="15"/>
                <w:lang w:val="es-ES_tradnl"/>
              </w:rPr>
              <w:t>1ª reunión anual de la CE 2</w:t>
            </w:r>
            <w:r w:rsidRPr="006614C7">
              <w:rPr>
                <w:b/>
                <w:bCs/>
                <w:color w:val="FFFFFF" w:themeColor="background1"/>
                <w:sz w:val="15"/>
                <w:szCs w:val="15"/>
                <w:lang w:val="es-ES_tradnl"/>
              </w:rPr>
              <w:br/>
              <w:t>(7-11 de mayo de 2018)</w:t>
            </w:r>
            <w:r w:rsidR="003E0EA4">
              <w:rPr>
                <w:b/>
                <w:bCs/>
                <w:color w:val="FFFFFF" w:themeColor="background1"/>
                <w:sz w:val="15"/>
                <w:szCs w:val="15"/>
                <w:lang w:val="es-ES_tradnl"/>
              </w:rPr>
              <w:t>*</w:t>
            </w:r>
          </w:p>
        </w:tc>
        <w:tc>
          <w:tcPr>
            <w:tcW w:w="193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925D30" w:rsidRPr="006614C7" w:rsidRDefault="00925D30" w:rsidP="003E0EA4">
            <w:pPr>
              <w:pStyle w:val="Tabletext"/>
              <w:spacing w:before="20" w:after="20"/>
              <w:jc w:val="center"/>
              <w:rPr>
                <w:color w:val="FFFFFF" w:themeColor="background1"/>
                <w:sz w:val="15"/>
                <w:szCs w:val="15"/>
                <w:lang w:val="es-ES_tradnl"/>
              </w:rPr>
            </w:pPr>
            <w:r w:rsidRPr="006614C7">
              <w:rPr>
                <w:b/>
                <w:bCs/>
                <w:color w:val="FFFFFF" w:themeColor="background1"/>
                <w:sz w:val="15"/>
                <w:szCs w:val="15"/>
                <w:lang w:val="es-ES_tradnl"/>
              </w:rPr>
              <w:t>Reuniones del Grupo de Relator de la CE</w:t>
            </w:r>
            <w:r w:rsidR="003E0EA4">
              <w:rPr>
                <w:b/>
                <w:bCs/>
                <w:color w:val="FFFFFF" w:themeColor="background1"/>
                <w:sz w:val="15"/>
                <w:szCs w:val="15"/>
                <w:lang w:val="es-ES_tradnl"/>
              </w:rPr>
              <w:t> </w:t>
            </w:r>
            <w:r w:rsidRPr="006614C7">
              <w:rPr>
                <w:b/>
                <w:bCs/>
                <w:color w:val="FFFFFF" w:themeColor="background1"/>
                <w:sz w:val="15"/>
                <w:szCs w:val="15"/>
                <w:lang w:val="es-ES_tradnl"/>
              </w:rPr>
              <w:t>2</w:t>
            </w:r>
            <w:r w:rsidRPr="006614C7">
              <w:rPr>
                <w:b/>
                <w:bCs/>
                <w:color w:val="FFFFFF" w:themeColor="background1"/>
                <w:sz w:val="15"/>
                <w:szCs w:val="15"/>
                <w:lang w:val="es-ES_tradnl"/>
              </w:rPr>
              <w:br/>
              <w:t>(1-12 de octubre de 2018)</w:t>
            </w:r>
          </w:p>
        </w:tc>
        <w:tc>
          <w:tcPr>
            <w:tcW w:w="1973"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925D30" w:rsidRPr="006614C7" w:rsidRDefault="00925D30" w:rsidP="00070001">
            <w:pPr>
              <w:pStyle w:val="Tabletext"/>
              <w:spacing w:before="20" w:after="20"/>
              <w:jc w:val="center"/>
              <w:rPr>
                <w:color w:val="FFFFFF" w:themeColor="background1"/>
                <w:sz w:val="15"/>
                <w:szCs w:val="15"/>
                <w:lang w:val="es-ES_tradnl"/>
              </w:rPr>
            </w:pPr>
            <w:r w:rsidRPr="006614C7">
              <w:rPr>
                <w:b/>
                <w:bCs/>
                <w:color w:val="FFFFFF" w:themeColor="background1"/>
                <w:sz w:val="15"/>
                <w:szCs w:val="15"/>
                <w:lang w:val="es-ES_tradnl"/>
              </w:rPr>
              <w:t>2ª reunión anual de la CE 2</w:t>
            </w:r>
            <w:r w:rsidRPr="006614C7">
              <w:rPr>
                <w:b/>
                <w:bCs/>
                <w:color w:val="FFFFFF" w:themeColor="background1"/>
                <w:sz w:val="15"/>
                <w:szCs w:val="15"/>
                <w:lang w:val="es-ES_tradnl"/>
              </w:rPr>
              <w:br/>
              <w:t>(25-29 de marzo de 2019)</w:t>
            </w:r>
            <w:r w:rsidR="003E0EA4">
              <w:rPr>
                <w:b/>
                <w:bCs/>
                <w:color w:val="FFFFFF" w:themeColor="background1"/>
                <w:sz w:val="15"/>
                <w:szCs w:val="15"/>
                <w:lang w:val="es-ES_tradnl"/>
              </w:rPr>
              <w:t>*</w:t>
            </w:r>
          </w:p>
        </w:tc>
        <w:tc>
          <w:tcPr>
            <w:tcW w:w="1988"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925D30" w:rsidRPr="006614C7" w:rsidRDefault="00925D30" w:rsidP="003E0EA4">
            <w:pPr>
              <w:pStyle w:val="Tabletext"/>
              <w:spacing w:before="20" w:after="20"/>
              <w:jc w:val="center"/>
              <w:rPr>
                <w:b/>
                <w:bCs/>
                <w:color w:val="FFFFFF" w:themeColor="background1"/>
                <w:sz w:val="15"/>
                <w:szCs w:val="15"/>
                <w:lang w:val="es-ES_tradnl"/>
              </w:rPr>
            </w:pPr>
            <w:r w:rsidRPr="006614C7">
              <w:rPr>
                <w:b/>
                <w:bCs/>
                <w:color w:val="FFFFFF" w:themeColor="background1"/>
                <w:sz w:val="15"/>
                <w:szCs w:val="15"/>
                <w:lang w:val="es-ES_tradnl"/>
              </w:rPr>
              <w:t>Reuniones del Grupo de Relator de la CE</w:t>
            </w:r>
            <w:r w:rsidR="003E0EA4">
              <w:rPr>
                <w:b/>
                <w:bCs/>
                <w:color w:val="FFFFFF" w:themeColor="background1"/>
                <w:sz w:val="15"/>
                <w:szCs w:val="15"/>
                <w:lang w:val="es-ES_tradnl"/>
              </w:rPr>
              <w:t> </w:t>
            </w:r>
            <w:r w:rsidRPr="006614C7">
              <w:rPr>
                <w:b/>
                <w:bCs/>
                <w:color w:val="FFFFFF" w:themeColor="background1"/>
                <w:sz w:val="15"/>
                <w:szCs w:val="15"/>
                <w:lang w:val="es-ES_tradnl"/>
              </w:rPr>
              <w:t>2</w:t>
            </w:r>
          </w:p>
          <w:p w:rsidR="00925D30" w:rsidRPr="006614C7" w:rsidRDefault="00925D30" w:rsidP="00070001">
            <w:pPr>
              <w:pStyle w:val="Tabletext"/>
              <w:spacing w:before="20" w:after="20"/>
              <w:jc w:val="center"/>
              <w:rPr>
                <w:color w:val="FFFFFF" w:themeColor="background1"/>
                <w:sz w:val="15"/>
                <w:szCs w:val="15"/>
                <w:lang w:val="fr-FR"/>
              </w:rPr>
            </w:pPr>
            <w:r w:rsidRPr="006614C7">
              <w:rPr>
                <w:b/>
                <w:bCs/>
                <w:color w:val="FFFFFF" w:themeColor="background1"/>
                <w:sz w:val="15"/>
                <w:szCs w:val="15"/>
                <w:lang w:val="es-ES_tradnl"/>
              </w:rPr>
              <w:t>(7-18 de octubre de 2019)</w:t>
            </w:r>
          </w:p>
        </w:tc>
        <w:tc>
          <w:tcPr>
            <w:tcW w:w="200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925D30" w:rsidRPr="006614C7" w:rsidRDefault="00925D30" w:rsidP="009768F5">
            <w:pPr>
              <w:pStyle w:val="Tabletext"/>
              <w:spacing w:before="20" w:after="20"/>
              <w:jc w:val="center"/>
              <w:rPr>
                <w:color w:val="FFFFFF" w:themeColor="background1"/>
                <w:sz w:val="15"/>
                <w:szCs w:val="15"/>
                <w:lang w:val="es-ES_tradnl"/>
              </w:rPr>
            </w:pPr>
            <w:r w:rsidRPr="006614C7">
              <w:rPr>
                <w:b/>
                <w:bCs/>
                <w:color w:val="FFFFFF" w:themeColor="background1"/>
                <w:sz w:val="15"/>
                <w:szCs w:val="15"/>
                <w:lang w:val="es-ES_tradnl"/>
              </w:rPr>
              <w:t>3ª reunión anual de la CE 2</w:t>
            </w:r>
            <w:r w:rsidRPr="006614C7">
              <w:rPr>
                <w:b/>
                <w:bCs/>
                <w:color w:val="FFFFFF" w:themeColor="background1"/>
                <w:sz w:val="15"/>
                <w:szCs w:val="15"/>
                <w:lang w:val="es-ES_tradnl"/>
              </w:rPr>
              <w:br/>
              <w:t>(24-28 de febrero de 2020)</w:t>
            </w:r>
            <w:r w:rsidR="003E0EA4">
              <w:rPr>
                <w:b/>
                <w:bCs/>
                <w:color w:val="FFFFFF" w:themeColor="background1"/>
                <w:sz w:val="15"/>
                <w:szCs w:val="15"/>
                <w:lang w:val="es-ES_tradnl"/>
              </w:rPr>
              <w:t>*</w:t>
            </w:r>
          </w:p>
        </w:tc>
        <w:tc>
          <w:tcPr>
            <w:tcW w:w="1945"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925D30" w:rsidRPr="006614C7" w:rsidRDefault="00925D30" w:rsidP="009768F5">
            <w:pPr>
              <w:pStyle w:val="Tabletext"/>
              <w:spacing w:before="20" w:after="20"/>
              <w:jc w:val="center"/>
              <w:rPr>
                <w:b/>
                <w:bCs/>
                <w:color w:val="FFFFFF" w:themeColor="background1"/>
                <w:sz w:val="15"/>
                <w:szCs w:val="15"/>
                <w:lang w:val="es-ES_tradnl"/>
              </w:rPr>
            </w:pPr>
            <w:r w:rsidRPr="006614C7">
              <w:rPr>
                <w:b/>
                <w:bCs/>
                <w:color w:val="FFFFFF" w:themeColor="background1"/>
                <w:sz w:val="15"/>
                <w:szCs w:val="15"/>
                <w:lang w:val="es-ES_tradnl"/>
              </w:rPr>
              <w:t>Reuniones del Grupo de Relator de la CE 2</w:t>
            </w:r>
          </w:p>
          <w:p w:rsidR="00925D30" w:rsidRPr="00EE6798" w:rsidRDefault="00925D30" w:rsidP="009768F5">
            <w:pPr>
              <w:pStyle w:val="Tabletext"/>
              <w:spacing w:before="20" w:after="20"/>
              <w:jc w:val="center"/>
              <w:rPr>
                <w:color w:val="FFFFFF" w:themeColor="background1"/>
                <w:sz w:val="15"/>
                <w:szCs w:val="15"/>
                <w:lang w:val="es-ES_tradnl"/>
              </w:rPr>
            </w:pPr>
            <w:r w:rsidRPr="006614C7">
              <w:rPr>
                <w:b/>
                <w:bCs/>
                <w:color w:val="FFFFFF" w:themeColor="background1"/>
                <w:sz w:val="15"/>
                <w:szCs w:val="15"/>
                <w:lang w:val="es-ES_tradnl"/>
              </w:rPr>
              <w:t>(5-16 de octubre de 2020)</w:t>
            </w:r>
          </w:p>
        </w:tc>
        <w:tc>
          <w:tcPr>
            <w:tcW w:w="2310" w:type="dxa"/>
            <w:tcBorders>
              <w:left w:val="single" w:sz="4" w:space="0" w:color="FFFFFF" w:themeColor="background1"/>
              <w:bottom w:val="single" w:sz="8" w:space="0" w:color="FFFFFF" w:themeColor="background1"/>
            </w:tcBorders>
            <w:shd w:val="clear" w:color="auto" w:fill="595959" w:themeFill="text1" w:themeFillTint="A6"/>
          </w:tcPr>
          <w:p w:rsidR="00925D30" w:rsidRPr="006614C7" w:rsidRDefault="00925D30" w:rsidP="009768F5">
            <w:pPr>
              <w:pStyle w:val="Tabletext"/>
              <w:spacing w:before="20" w:after="20"/>
              <w:jc w:val="center"/>
              <w:rPr>
                <w:b/>
                <w:bCs/>
                <w:color w:val="FFFFFF" w:themeColor="background1"/>
                <w:sz w:val="15"/>
                <w:szCs w:val="15"/>
                <w:lang w:val="es-ES_tradnl"/>
              </w:rPr>
            </w:pPr>
            <w:r w:rsidRPr="006614C7">
              <w:rPr>
                <w:b/>
                <w:bCs/>
                <w:color w:val="FFFFFF" w:themeColor="background1"/>
                <w:sz w:val="15"/>
                <w:szCs w:val="15"/>
                <w:lang w:val="es-ES_tradnl"/>
              </w:rPr>
              <w:t>4ª reunión anual de la CE 2</w:t>
            </w:r>
          </w:p>
          <w:p w:rsidR="00925D30" w:rsidRPr="00EE6798" w:rsidRDefault="00925D30" w:rsidP="009768F5">
            <w:pPr>
              <w:pStyle w:val="Tabletext"/>
              <w:spacing w:before="20" w:after="20"/>
              <w:jc w:val="center"/>
              <w:rPr>
                <w:color w:val="FFFFFF" w:themeColor="background1"/>
                <w:sz w:val="15"/>
                <w:szCs w:val="15"/>
                <w:lang w:val="es-ES_tradnl"/>
              </w:rPr>
            </w:pPr>
            <w:r w:rsidRPr="006614C7">
              <w:rPr>
                <w:b/>
                <w:bCs/>
                <w:color w:val="FFFFFF" w:themeColor="background1"/>
                <w:sz w:val="15"/>
                <w:szCs w:val="15"/>
                <w:lang w:val="es-ES_tradnl"/>
              </w:rPr>
              <w:t>(22-26 de marzo de 2021)</w:t>
            </w:r>
            <w:r w:rsidR="003E0EA4">
              <w:rPr>
                <w:b/>
                <w:bCs/>
                <w:color w:val="FFFFFF" w:themeColor="background1"/>
                <w:sz w:val="15"/>
                <w:szCs w:val="15"/>
                <w:lang w:val="es-ES_tradnl"/>
              </w:rPr>
              <w:t>*</w:t>
            </w:r>
          </w:p>
        </w:tc>
        <w:tc>
          <w:tcPr>
            <w:tcW w:w="294" w:type="dxa"/>
            <w:vMerge/>
            <w:tcBorders>
              <w:bottom w:val="single" w:sz="4" w:space="0" w:color="FFFFFF" w:themeColor="background1"/>
            </w:tcBorders>
            <w:shd w:val="clear" w:color="auto" w:fill="FFFFFF" w:themeFill="background1"/>
          </w:tcPr>
          <w:p w:rsidR="00925D30" w:rsidRPr="00EE6798" w:rsidRDefault="00925D30" w:rsidP="00070001">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301FD1" w:rsidRPr="00037130" w:rsidTr="00B22DC2">
        <w:trPr>
          <w:jc w:val="center"/>
        </w:trPr>
        <w:tc>
          <w:tcPr>
            <w:tcW w:w="14908" w:type="dxa"/>
            <w:gridSpan w:val="8"/>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rsidR="003A1B4D" w:rsidRPr="006614C7" w:rsidRDefault="003A1B4D" w:rsidP="009768F5">
            <w:pPr>
              <w:pStyle w:val="Tabletext10pt"/>
              <w:jc w:val="center"/>
              <w:rPr>
                <w:color w:val="FFFFFF" w:themeColor="background1"/>
                <w:sz w:val="15"/>
                <w:szCs w:val="15"/>
                <w:lang w:val="es-ES_tradnl"/>
              </w:rPr>
            </w:pPr>
            <w:r w:rsidRPr="006614C7">
              <w:rPr>
                <w:color w:val="FFFFFF" w:themeColor="background1"/>
                <w:sz w:val="15"/>
                <w:szCs w:val="15"/>
                <w:lang w:val="es-ES_tradnl"/>
              </w:rPr>
              <w:t>Se celebrarán talleres, cursos y seminarios temáticos a lo largo del per</w:t>
            </w:r>
            <w:r w:rsidR="009768F5" w:rsidRPr="006614C7">
              <w:rPr>
                <w:color w:val="FFFFFF" w:themeColor="background1"/>
                <w:sz w:val="15"/>
                <w:szCs w:val="15"/>
                <w:lang w:val="es-ES_tradnl"/>
              </w:rPr>
              <w:t>i</w:t>
            </w:r>
            <w:r w:rsidRPr="006614C7">
              <w:rPr>
                <w:color w:val="FFFFFF" w:themeColor="background1"/>
                <w:sz w:val="15"/>
                <w:szCs w:val="15"/>
                <w:lang w:val="es-ES_tradnl"/>
              </w:rPr>
              <w:t>odo de estudios en Ginebra y las regiones sobre la base de las propuestas recibidas.</w:t>
            </w:r>
          </w:p>
        </w:tc>
        <w:tc>
          <w:tcPr>
            <w:tcW w:w="294"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rsidR="003A1B4D" w:rsidRPr="006614C7" w:rsidRDefault="003A1B4D" w:rsidP="00070001">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6614C7" w:rsidRPr="00037130" w:rsidTr="00B22DC2">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B089FF"/>
            <w:vAlign w:val="center"/>
          </w:tcPr>
          <w:p w:rsidR="003A1B4D" w:rsidRPr="006614C7" w:rsidRDefault="003A1B4D" w:rsidP="00F62B37">
            <w:pPr>
              <w:pStyle w:val="Tabletext"/>
              <w:spacing w:before="20" w:after="20"/>
              <w:jc w:val="center"/>
              <w:rPr>
                <w:b/>
                <w:bCs/>
                <w:sz w:val="15"/>
                <w:szCs w:val="15"/>
                <w:lang w:val="fr-FR"/>
              </w:rPr>
            </w:pPr>
            <w:r w:rsidRPr="006614C7">
              <w:rPr>
                <w:b/>
                <w:bCs/>
                <w:sz w:val="15"/>
                <w:szCs w:val="15"/>
                <w:lang w:val="fr-FR"/>
              </w:rPr>
              <w:t>C1/</w:t>
            </w:r>
            <w:r w:rsidR="00925D30">
              <w:rPr>
                <w:b/>
                <w:bCs/>
                <w:sz w:val="15"/>
                <w:szCs w:val="15"/>
                <w:lang w:val="fr-FR"/>
              </w:rPr>
              <w:t>2</w:t>
            </w:r>
          </w:p>
        </w:tc>
        <w:tc>
          <w:tcPr>
            <w:tcW w:w="14096" w:type="dxa"/>
            <w:gridSpan w:val="7"/>
            <w:tcBorders>
              <w:top w:val="single" w:sz="4" w:space="0" w:color="FFFFFF" w:themeColor="background1"/>
              <w:left w:val="nil"/>
              <w:bottom w:val="single" w:sz="4" w:space="0" w:color="FFFFFF" w:themeColor="background1"/>
              <w:right w:val="nil"/>
            </w:tcBorders>
            <w:shd w:val="clear" w:color="auto" w:fill="B089FF"/>
            <w:vAlign w:val="center"/>
          </w:tcPr>
          <w:p w:rsidR="003A1B4D" w:rsidRPr="006614C7" w:rsidRDefault="003A1B4D" w:rsidP="0079648D">
            <w:pPr>
              <w:pStyle w:val="Tabletext10pt"/>
              <w:spacing w:before="20" w:after="20"/>
              <w:jc w:val="center"/>
              <w:rPr>
                <w:sz w:val="15"/>
                <w:szCs w:val="15"/>
                <w:lang w:val="es-ES_tradnl"/>
              </w:rPr>
            </w:pPr>
            <w:r w:rsidRPr="006614C7">
              <w:rPr>
                <w:sz w:val="15"/>
                <w:szCs w:val="15"/>
                <w:lang w:val="es-ES_tradnl"/>
              </w:rPr>
              <w:t>En la Cuestión se ponen de relieve directrices,</w:t>
            </w:r>
            <w:r w:rsidR="0079648D" w:rsidRPr="006614C7">
              <w:rPr>
                <w:sz w:val="15"/>
                <w:szCs w:val="15"/>
                <w:lang w:val="es-ES_tradnl"/>
              </w:rPr>
              <w:t xml:space="preserve"> </w:t>
            </w:r>
            <w:r w:rsidRPr="006614C7">
              <w:rPr>
                <w:sz w:val="15"/>
                <w:szCs w:val="15"/>
                <w:lang w:val="es-ES_tradnl"/>
              </w:rPr>
              <w:t>estudios de caso</w:t>
            </w:r>
            <w:r w:rsidR="0079648D">
              <w:rPr>
                <w:sz w:val="15"/>
                <w:szCs w:val="15"/>
                <w:lang w:val="es-ES_tradnl"/>
              </w:rPr>
              <w:t xml:space="preserve">, </w:t>
            </w:r>
            <w:r w:rsidR="0079648D" w:rsidRPr="006614C7">
              <w:rPr>
                <w:sz w:val="15"/>
                <w:szCs w:val="15"/>
                <w:lang w:val="es-ES_tradnl"/>
              </w:rPr>
              <w:t>talleres,</w:t>
            </w:r>
            <w:r w:rsidR="0079648D">
              <w:rPr>
                <w:sz w:val="15"/>
                <w:szCs w:val="15"/>
                <w:lang w:val="es-ES_tradnl"/>
              </w:rPr>
              <w:t xml:space="preserve"> cursos y seminarios</w:t>
            </w:r>
            <w:r w:rsidRPr="006614C7">
              <w:rPr>
                <w:sz w:val="15"/>
                <w:szCs w:val="15"/>
                <w:lang w:val="es-ES_tradnl"/>
              </w:rPr>
              <w:t>.</w:t>
            </w:r>
          </w:p>
        </w:tc>
        <w:tc>
          <w:tcPr>
            <w:tcW w:w="294" w:type="dxa"/>
            <w:tcBorders>
              <w:top w:val="nil"/>
              <w:left w:val="nil"/>
              <w:bottom w:val="nil"/>
              <w:right w:val="nil"/>
            </w:tcBorders>
            <w:shd w:val="clear" w:color="auto" w:fill="B089FF"/>
          </w:tcPr>
          <w:p w:rsidR="003A1B4D" w:rsidRPr="006614C7" w:rsidRDefault="003A1B4D" w:rsidP="00070001">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3E0EA4" w:rsidRPr="00037130" w:rsidTr="00B22DC2">
        <w:trPr>
          <w:jc w:val="center"/>
        </w:trPr>
        <w:tc>
          <w:tcPr>
            <w:tcW w:w="812" w:type="dxa"/>
            <w:vMerge/>
            <w:tcBorders>
              <w:left w:val="nil"/>
              <w:bottom w:val="single" w:sz="4" w:space="0" w:color="FFFFFF" w:themeColor="background1"/>
              <w:right w:val="nil"/>
            </w:tcBorders>
            <w:vAlign w:val="center"/>
          </w:tcPr>
          <w:p w:rsidR="003A1B4D" w:rsidRPr="006614C7" w:rsidRDefault="003A1B4D" w:rsidP="00F62B37">
            <w:pPr>
              <w:pStyle w:val="Tabletext"/>
              <w:spacing w:before="20" w:after="20"/>
              <w:jc w:val="center"/>
              <w:rPr>
                <w:b/>
                <w:bCs/>
                <w:sz w:val="15"/>
                <w:szCs w:val="15"/>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D3BDFF"/>
          </w:tcPr>
          <w:p w:rsidR="003A1B4D" w:rsidRPr="00925D30" w:rsidRDefault="003A1B4D" w:rsidP="00F24ACF">
            <w:pPr>
              <w:pStyle w:val="Tabletext10pt"/>
              <w:spacing w:before="20" w:after="20"/>
              <w:jc w:val="center"/>
              <w:rPr>
                <w:sz w:val="15"/>
                <w:szCs w:val="15"/>
                <w:lang w:val="es-ES_tradnl"/>
              </w:rPr>
            </w:pPr>
            <w:r w:rsidRPr="00925D30">
              <w:rPr>
                <w:sz w:val="15"/>
                <w:szCs w:val="15"/>
                <w:lang w:val="es-ES_tradnl"/>
              </w:rPr>
              <w:t>Plan de trabajo y proyecto</w:t>
            </w:r>
            <w:r w:rsidR="00F24ACF">
              <w:rPr>
                <w:sz w:val="15"/>
                <w:szCs w:val="15"/>
                <w:lang w:val="es-ES_tradnl"/>
              </w:rPr>
              <w:t> </w:t>
            </w:r>
            <w:r w:rsidRPr="00925D30">
              <w:rPr>
                <w:sz w:val="15"/>
                <w:szCs w:val="15"/>
                <w:lang w:val="es-ES_tradnl"/>
              </w:rPr>
              <w:t>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3A1B4D" w:rsidRPr="00925D30" w:rsidRDefault="003A1B4D" w:rsidP="0079648D">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D3BDFF"/>
          </w:tcPr>
          <w:p w:rsidR="003A1B4D" w:rsidRPr="005321CD" w:rsidRDefault="003A1B4D" w:rsidP="0079648D">
            <w:pPr>
              <w:pStyle w:val="Tabletext10pt"/>
              <w:spacing w:before="20" w:after="20"/>
              <w:jc w:val="center"/>
              <w:rPr>
                <w:sz w:val="15"/>
                <w:szCs w:val="15"/>
                <w:lang w:val="es-ES_tradnl"/>
              </w:rPr>
            </w:pPr>
            <w:r w:rsidRPr="00925D30">
              <w:rPr>
                <w:sz w:val="15"/>
                <w:szCs w:val="15"/>
                <w:lang w:val="es-ES_tradnl"/>
              </w:rPr>
              <w:t>Informe de situación anual</w:t>
            </w:r>
            <w:r w:rsidR="005321CD">
              <w:rPr>
                <w:sz w:val="15"/>
                <w:szCs w:val="15"/>
                <w:lang w:val="es-ES_tradnl"/>
              </w:rPr>
              <w:t>, proyecto de resultado (?)</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3A1B4D" w:rsidRPr="00925D30" w:rsidRDefault="003A1B4D" w:rsidP="0079648D">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D3BDFF"/>
          </w:tcPr>
          <w:p w:rsidR="003A1B4D" w:rsidRPr="00925D30" w:rsidRDefault="003A1B4D" w:rsidP="0079648D">
            <w:pPr>
              <w:pStyle w:val="Tabletext10pt"/>
              <w:spacing w:before="20" w:after="20"/>
              <w:jc w:val="center"/>
              <w:rPr>
                <w:sz w:val="15"/>
                <w:szCs w:val="15"/>
                <w:lang w:val="es-ES_tradnl"/>
              </w:rPr>
            </w:pPr>
            <w:r w:rsidRPr="00925D30">
              <w:rPr>
                <w:sz w:val="15"/>
                <w:szCs w:val="15"/>
                <w:lang w:val="es-ES_tradnl"/>
              </w:rPr>
              <w:t xml:space="preserve">Informe de situación anual, </w:t>
            </w:r>
            <w:r w:rsidR="005321CD">
              <w:rPr>
                <w:sz w:val="15"/>
                <w:szCs w:val="15"/>
                <w:lang w:val="es-ES_tradnl"/>
              </w:rPr>
              <w:t>informe preliminar</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3A1B4D" w:rsidRPr="00925D30" w:rsidRDefault="003A1B4D" w:rsidP="0079648D">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D3BDFF"/>
          </w:tcPr>
          <w:p w:rsidR="003A1B4D" w:rsidRPr="00925D30" w:rsidRDefault="003A1B4D" w:rsidP="0079648D">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3A1B4D" w:rsidRPr="006614C7" w:rsidRDefault="003A1B4D" w:rsidP="00070001">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6614C7" w:rsidRPr="00037130" w:rsidTr="00B22DC2">
        <w:trPr>
          <w:jc w:val="center"/>
        </w:trPr>
        <w:tc>
          <w:tcPr>
            <w:tcW w:w="812" w:type="dxa"/>
            <w:vMerge w:val="restart"/>
            <w:tcBorders>
              <w:top w:val="single" w:sz="4" w:space="0" w:color="FFFFFF" w:themeColor="background1"/>
              <w:left w:val="nil"/>
              <w:bottom w:val="single" w:sz="4" w:space="0" w:color="000000" w:themeColor="text1"/>
              <w:right w:val="nil"/>
            </w:tcBorders>
            <w:shd w:val="clear" w:color="auto" w:fill="0081E2"/>
            <w:vAlign w:val="center"/>
          </w:tcPr>
          <w:p w:rsidR="003A1B4D" w:rsidRPr="006614C7" w:rsidRDefault="003A1B4D" w:rsidP="00F62B37">
            <w:pPr>
              <w:pStyle w:val="Tabletext"/>
              <w:spacing w:before="20" w:after="20"/>
              <w:jc w:val="center"/>
              <w:rPr>
                <w:b/>
                <w:bCs/>
                <w:sz w:val="15"/>
                <w:szCs w:val="15"/>
                <w:lang w:val="fr-FR"/>
              </w:rPr>
            </w:pPr>
            <w:r w:rsidRPr="006614C7">
              <w:rPr>
                <w:b/>
                <w:bCs/>
                <w:sz w:val="15"/>
                <w:szCs w:val="15"/>
                <w:lang w:val="fr-FR"/>
              </w:rPr>
              <w:t>C2/</w:t>
            </w:r>
            <w:r w:rsidR="00925D30">
              <w:rPr>
                <w:b/>
                <w:bCs/>
                <w:sz w:val="15"/>
                <w:szCs w:val="15"/>
                <w:lang w:val="fr-FR"/>
              </w:rPr>
              <w:t>2</w:t>
            </w:r>
          </w:p>
        </w:tc>
        <w:tc>
          <w:tcPr>
            <w:tcW w:w="14096" w:type="dxa"/>
            <w:gridSpan w:val="7"/>
            <w:tcBorders>
              <w:top w:val="single" w:sz="4" w:space="0" w:color="FFFFFF" w:themeColor="background1"/>
              <w:left w:val="nil"/>
              <w:bottom w:val="nil"/>
              <w:right w:val="nil"/>
            </w:tcBorders>
            <w:shd w:val="clear" w:color="auto" w:fill="0081E2"/>
            <w:vAlign w:val="center"/>
          </w:tcPr>
          <w:p w:rsidR="003A1B4D" w:rsidRPr="006614C7" w:rsidRDefault="003A1B4D" w:rsidP="0079648D">
            <w:pPr>
              <w:pStyle w:val="Tabletext10pt"/>
              <w:spacing w:before="20" w:after="20"/>
              <w:jc w:val="center"/>
              <w:rPr>
                <w:sz w:val="15"/>
                <w:szCs w:val="15"/>
                <w:lang w:val="es-ES_tradnl"/>
              </w:rPr>
            </w:pPr>
            <w:r w:rsidRPr="006614C7">
              <w:rPr>
                <w:sz w:val="15"/>
                <w:szCs w:val="15"/>
                <w:lang w:val="es-ES_tradnl"/>
              </w:rPr>
              <w:t>En la Cuestión se pone</w:t>
            </w:r>
            <w:r w:rsidR="00A54DDB">
              <w:rPr>
                <w:sz w:val="15"/>
                <w:szCs w:val="15"/>
                <w:lang w:val="es-ES_tradnl"/>
              </w:rPr>
              <w:t>n</w:t>
            </w:r>
            <w:r w:rsidRPr="006614C7">
              <w:rPr>
                <w:sz w:val="15"/>
                <w:szCs w:val="15"/>
                <w:lang w:val="es-ES_tradnl"/>
              </w:rPr>
              <w:t xml:space="preserve"> de relieve </w:t>
            </w:r>
            <w:r w:rsidR="0079648D">
              <w:rPr>
                <w:sz w:val="15"/>
                <w:szCs w:val="15"/>
                <w:lang w:val="es-ES_tradnl"/>
              </w:rPr>
              <w:t>directrices, normas técnicas y prácticas idóneas</w:t>
            </w:r>
            <w:r w:rsidRPr="006614C7">
              <w:rPr>
                <w:sz w:val="15"/>
                <w:szCs w:val="15"/>
                <w:lang w:val="es-ES_tradnl"/>
              </w:rPr>
              <w:t>.</w:t>
            </w:r>
          </w:p>
        </w:tc>
        <w:tc>
          <w:tcPr>
            <w:tcW w:w="294" w:type="dxa"/>
            <w:tcBorders>
              <w:top w:val="nil"/>
              <w:left w:val="nil"/>
              <w:bottom w:val="nil"/>
              <w:right w:val="nil"/>
            </w:tcBorders>
            <w:shd w:val="clear" w:color="auto" w:fill="0081E2"/>
          </w:tcPr>
          <w:p w:rsidR="003A1B4D" w:rsidRPr="006614C7" w:rsidRDefault="003A1B4D" w:rsidP="00070001">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F24ACF" w:rsidRPr="00037130" w:rsidTr="006151D0">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F24ACF" w:rsidRPr="006614C7" w:rsidRDefault="00F24ACF" w:rsidP="00F24ACF">
            <w:pPr>
              <w:pStyle w:val="Tabletext"/>
              <w:spacing w:before="20" w:after="20"/>
              <w:jc w:val="center"/>
              <w:rPr>
                <w:b/>
                <w:bCs/>
                <w:sz w:val="15"/>
                <w:szCs w:val="15"/>
                <w:lang w:val="es-ES_tradnl"/>
              </w:rPr>
            </w:pPr>
          </w:p>
        </w:tc>
        <w:tc>
          <w:tcPr>
            <w:tcW w:w="1946" w:type="dxa"/>
            <w:tcBorders>
              <w:top w:val="nil"/>
              <w:left w:val="nil"/>
              <w:bottom w:val="single" w:sz="4" w:space="0" w:color="FFFFFF" w:themeColor="background1"/>
              <w:right w:val="nil"/>
            </w:tcBorders>
            <w:shd w:val="clear" w:color="auto" w:fill="2DA5FF"/>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Plan de trabajo y proyecto</w:t>
            </w:r>
            <w:r>
              <w:rPr>
                <w:sz w:val="15"/>
                <w:szCs w:val="15"/>
                <w:lang w:val="es-ES_tradnl"/>
              </w:rPr>
              <w:t> </w:t>
            </w:r>
            <w:r w:rsidRPr="00925D30">
              <w:rPr>
                <w:sz w:val="15"/>
                <w:szCs w:val="15"/>
                <w:lang w:val="es-ES_tradnl"/>
              </w:rPr>
              <w:t>de índice</w:t>
            </w:r>
          </w:p>
        </w:tc>
        <w:tc>
          <w:tcPr>
            <w:tcW w:w="1932" w:type="dxa"/>
            <w:tcBorders>
              <w:top w:val="nil"/>
              <w:left w:val="nil"/>
              <w:bottom w:val="single" w:sz="4" w:space="0" w:color="FFFFFF" w:themeColor="background1"/>
              <w:right w:val="nil"/>
            </w:tcBorders>
            <w:shd w:val="clear" w:color="auto" w:fill="D9D9D9" w:themeFill="background1" w:themeFillShade="D9"/>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nil"/>
              <w:left w:val="nil"/>
              <w:bottom w:val="single" w:sz="4" w:space="0" w:color="FFFFFF" w:themeColor="background1"/>
              <w:right w:val="nil"/>
            </w:tcBorders>
            <w:shd w:val="clear" w:color="auto" w:fill="2DA5FF"/>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Informe de situación anual, resultados anuales</w:t>
            </w:r>
          </w:p>
        </w:tc>
        <w:tc>
          <w:tcPr>
            <w:tcW w:w="1988" w:type="dxa"/>
            <w:tcBorders>
              <w:top w:val="nil"/>
              <w:left w:val="nil"/>
              <w:bottom w:val="single" w:sz="4" w:space="0" w:color="FFFFFF" w:themeColor="background1"/>
              <w:right w:val="nil"/>
            </w:tcBorders>
            <w:shd w:val="clear" w:color="auto" w:fill="D9D9D9" w:themeFill="background1" w:themeFillShade="D9"/>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nil"/>
              <w:left w:val="nil"/>
              <w:bottom w:val="single" w:sz="4" w:space="0" w:color="FFFFFF" w:themeColor="background1"/>
              <w:right w:val="nil"/>
            </w:tcBorders>
            <w:shd w:val="clear" w:color="auto" w:fill="2DA5FF"/>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Informe de situación anual, resultados anuales</w:t>
            </w:r>
          </w:p>
        </w:tc>
        <w:tc>
          <w:tcPr>
            <w:tcW w:w="1945" w:type="dxa"/>
            <w:tcBorders>
              <w:top w:val="nil"/>
              <w:left w:val="nil"/>
              <w:bottom w:val="single" w:sz="4" w:space="0" w:color="FFFFFF" w:themeColor="background1"/>
              <w:right w:val="nil"/>
            </w:tcBorders>
            <w:shd w:val="clear" w:color="auto" w:fill="D9D9D9" w:themeFill="background1" w:themeFillShade="D9"/>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nil"/>
              <w:left w:val="nil"/>
              <w:bottom w:val="single" w:sz="4" w:space="0" w:color="FFFFFF" w:themeColor="background1"/>
              <w:right w:val="nil"/>
            </w:tcBorders>
            <w:shd w:val="clear" w:color="auto" w:fill="2DA5FF"/>
          </w:tcPr>
          <w:p w:rsidR="00F24ACF" w:rsidRPr="00925D30" w:rsidRDefault="00F24ACF" w:rsidP="00F24ACF">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F24ACF" w:rsidRPr="006614C7" w:rsidRDefault="00F24ACF" w:rsidP="00F24AC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6614C7" w:rsidRPr="00037130" w:rsidTr="006151D0">
        <w:trPr>
          <w:jc w:val="center"/>
        </w:trPr>
        <w:tc>
          <w:tcPr>
            <w:tcW w:w="812" w:type="dxa"/>
            <w:vMerge w:val="restart"/>
            <w:tcBorders>
              <w:top w:val="single" w:sz="4" w:space="0" w:color="FFFFFF" w:themeColor="background1"/>
              <w:left w:val="nil"/>
              <w:right w:val="nil"/>
            </w:tcBorders>
            <w:shd w:val="clear" w:color="auto" w:fill="51BCF1"/>
            <w:vAlign w:val="center"/>
          </w:tcPr>
          <w:p w:rsidR="003A1B4D" w:rsidRPr="006614C7" w:rsidRDefault="003A1B4D" w:rsidP="00F62B37">
            <w:pPr>
              <w:pStyle w:val="Tabletext"/>
              <w:spacing w:before="20" w:after="20"/>
              <w:jc w:val="center"/>
              <w:rPr>
                <w:b/>
                <w:bCs/>
                <w:sz w:val="15"/>
                <w:szCs w:val="15"/>
                <w:lang w:val="fr-FR"/>
              </w:rPr>
            </w:pPr>
            <w:r w:rsidRPr="006614C7">
              <w:rPr>
                <w:b/>
                <w:bCs/>
                <w:sz w:val="15"/>
                <w:szCs w:val="15"/>
                <w:lang w:val="fr-FR"/>
              </w:rPr>
              <w:t>C3/</w:t>
            </w:r>
            <w:r w:rsidR="00925D30">
              <w:rPr>
                <w:b/>
                <w:bCs/>
                <w:sz w:val="15"/>
                <w:szCs w:val="15"/>
                <w:lang w:val="fr-FR"/>
              </w:rPr>
              <w:t>2</w:t>
            </w:r>
          </w:p>
        </w:tc>
        <w:tc>
          <w:tcPr>
            <w:tcW w:w="14096" w:type="dxa"/>
            <w:gridSpan w:val="7"/>
            <w:tcBorders>
              <w:top w:val="single" w:sz="4" w:space="0" w:color="FFFFFF" w:themeColor="background1"/>
              <w:left w:val="nil"/>
              <w:bottom w:val="single" w:sz="4" w:space="0" w:color="FFFFFF" w:themeColor="background1"/>
              <w:right w:val="nil"/>
            </w:tcBorders>
            <w:shd w:val="clear" w:color="auto" w:fill="51BCF1"/>
            <w:vAlign w:val="center"/>
          </w:tcPr>
          <w:p w:rsidR="003A1B4D" w:rsidRPr="006614C7" w:rsidRDefault="003A1B4D" w:rsidP="00A54DDB">
            <w:pPr>
              <w:pStyle w:val="Tabletext10pt"/>
              <w:spacing w:before="20" w:after="20"/>
              <w:jc w:val="center"/>
              <w:rPr>
                <w:sz w:val="15"/>
                <w:szCs w:val="15"/>
                <w:lang w:val="es-ES_tradnl"/>
              </w:rPr>
            </w:pPr>
            <w:r w:rsidRPr="006614C7">
              <w:rPr>
                <w:sz w:val="15"/>
                <w:szCs w:val="15"/>
                <w:lang w:val="es-ES_tradnl"/>
              </w:rPr>
              <w:t xml:space="preserve">En la Cuestión se ponen de relieve </w:t>
            </w:r>
            <w:r w:rsidR="0079648D">
              <w:rPr>
                <w:sz w:val="15"/>
                <w:szCs w:val="15"/>
                <w:lang w:val="es-ES_tradnl"/>
              </w:rPr>
              <w:t>talleres</w:t>
            </w:r>
            <w:r w:rsidR="00A54DDB">
              <w:rPr>
                <w:sz w:val="15"/>
                <w:szCs w:val="15"/>
                <w:lang w:val="es-ES_tradnl"/>
              </w:rPr>
              <w:t xml:space="preserve"> y</w:t>
            </w:r>
            <w:r w:rsidR="0079648D">
              <w:rPr>
                <w:sz w:val="15"/>
                <w:szCs w:val="15"/>
                <w:lang w:val="es-ES_tradnl"/>
              </w:rPr>
              <w:t xml:space="preserve"> seminarios y se presentan asociaciones eficaces entre los sectores público y privado</w:t>
            </w:r>
            <w:r w:rsidRPr="006614C7">
              <w:rPr>
                <w:sz w:val="15"/>
                <w:szCs w:val="15"/>
                <w:lang w:val="es-ES_tradnl"/>
              </w:rPr>
              <w:t>.</w:t>
            </w:r>
          </w:p>
        </w:tc>
        <w:tc>
          <w:tcPr>
            <w:tcW w:w="294" w:type="dxa"/>
            <w:tcBorders>
              <w:top w:val="nil"/>
              <w:left w:val="nil"/>
              <w:bottom w:val="nil"/>
              <w:right w:val="nil"/>
            </w:tcBorders>
            <w:shd w:val="clear" w:color="auto" w:fill="51BCF1"/>
          </w:tcPr>
          <w:p w:rsidR="003A1B4D" w:rsidRPr="006614C7" w:rsidRDefault="003A1B4D" w:rsidP="00070001">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6151D0" w:rsidRPr="00037130" w:rsidTr="006151D0">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151D0" w:rsidRPr="006614C7" w:rsidRDefault="006151D0" w:rsidP="006151D0">
            <w:pPr>
              <w:pStyle w:val="Tabletext"/>
              <w:spacing w:before="20" w:after="20"/>
              <w:jc w:val="center"/>
              <w:rPr>
                <w:sz w:val="15"/>
                <w:szCs w:val="15"/>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89EDFB"/>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Plan de trabajo y proyecto</w:t>
            </w:r>
            <w:r>
              <w:rPr>
                <w:sz w:val="15"/>
                <w:szCs w:val="15"/>
                <w:lang w:val="es-ES_tradnl"/>
              </w:rPr>
              <w:t> </w:t>
            </w:r>
            <w:r w:rsidRPr="00925D30">
              <w:rPr>
                <w:sz w:val="15"/>
                <w:szCs w:val="15"/>
                <w:lang w:val="es-ES_tradnl"/>
              </w:rPr>
              <w:t>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9EDFB"/>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 xml:space="preserve">Informe de situación anual, </w:t>
            </w:r>
            <w:r>
              <w:rPr>
                <w:sz w:val="15"/>
                <w:szCs w:val="15"/>
                <w:lang w:val="es-ES_tradnl"/>
              </w:rPr>
              <w:t>proyecto de resultado (?)</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9EDFB"/>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 xml:space="preserve">Informe de situación anual, </w:t>
            </w:r>
            <w:r>
              <w:rPr>
                <w:sz w:val="15"/>
                <w:szCs w:val="15"/>
                <w:lang w:val="es-ES_tradnl"/>
              </w:rPr>
              <w:t>informe preliminar</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89EDFB"/>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6151D0" w:rsidRPr="006614C7" w:rsidRDefault="006151D0" w:rsidP="006151D0">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B22DC2" w:rsidRPr="00037130" w:rsidTr="006151D0">
        <w:trPr>
          <w:jc w:val="center"/>
        </w:trPr>
        <w:tc>
          <w:tcPr>
            <w:tcW w:w="812" w:type="dxa"/>
            <w:vMerge w:val="restart"/>
            <w:tcBorders>
              <w:top w:val="single" w:sz="4" w:space="0" w:color="FFFFFF" w:themeColor="background1"/>
              <w:left w:val="nil"/>
              <w:right w:val="nil"/>
            </w:tcBorders>
            <w:shd w:val="clear" w:color="auto" w:fill="53A757"/>
            <w:vAlign w:val="center"/>
          </w:tcPr>
          <w:p w:rsidR="006614C7" w:rsidRPr="006614C7" w:rsidRDefault="006614C7" w:rsidP="00F62B37">
            <w:pPr>
              <w:pStyle w:val="Tabletext"/>
              <w:spacing w:before="20" w:after="20"/>
              <w:jc w:val="center"/>
              <w:rPr>
                <w:b/>
                <w:bCs/>
                <w:sz w:val="15"/>
                <w:szCs w:val="15"/>
                <w:lang w:val="fr-FR"/>
              </w:rPr>
            </w:pPr>
            <w:r w:rsidRPr="006614C7">
              <w:rPr>
                <w:b/>
                <w:bCs/>
                <w:sz w:val="15"/>
                <w:szCs w:val="15"/>
                <w:lang w:val="fr-FR"/>
              </w:rPr>
              <w:t>C4/</w:t>
            </w:r>
            <w:r w:rsidR="00925D30">
              <w:rPr>
                <w:b/>
                <w:bCs/>
                <w:sz w:val="15"/>
                <w:szCs w:val="15"/>
                <w:lang w:val="fr-FR"/>
              </w:rPr>
              <w:t>2</w:t>
            </w:r>
          </w:p>
        </w:tc>
        <w:tc>
          <w:tcPr>
            <w:tcW w:w="14096" w:type="dxa"/>
            <w:gridSpan w:val="7"/>
            <w:tcBorders>
              <w:top w:val="single" w:sz="4" w:space="0" w:color="FFFFFF" w:themeColor="background1"/>
              <w:left w:val="nil"/>
              <w:bottom w:val="single" w:sz="4" w:space="0" w:color="FFFFFF" w:themeColor="background1"/>
              <w:right w:val="nil"/>
            </w:tcBorders>
            <w:shd w:val="clear" w:color="auto" w:fill="53A757"/>
            <w:vAlign w:val="center"/>
          </w:tcPr>
          <w:p w:rsidR="006614C7" w:rsidRPr="00925D30" w:rsidRDefault="006614C7" w:rsidP="0079648D">
            <w:pPr>
              <w:pStyle w:val="Tabletext10pt"/>
              <w:keepNext/>
              <w:keepLines/>
              <w:spacing w:before="20" w:after="20"/>
              <w:jc w:val="center"/>
              <w:rPr>
                <w:sz w:val="15"/>
                <w:szCs w:val="15"/>
                <w:lang w:val="es-ES_tradnl"/>
              </w:rPr>
            </w:pPr>
            <w:r w:rsidRPr="00925D30">
              <w:rPr>
                <w:sz w:val="15"/>
                <w:szCs w:val="15"/>
                <w:lang w:val="es-ES_tradnl"/>
              </w:rPr>
              <w:t xml:space="preserve">En la Cuestión se ponen de relieve </w:t>
            </w:r>
            <w:r w:rsidR="0079648D">
              <w:rPr>
                <w:sz w:val="15"/>
                <w:szCs w:val="15"/>
                <w:lang w:val="es-ES_tradnl"/>
              </w:rPr>
              <w:t xml:space="preserve">directrices y </w:t>
            </w:r>
            <w:r w:rsidRPr="00925D30">
              <w:rPr>
                <w:sz w:val="15"/>
                <w:szCs w:val="15"/>
                <w:lang w:val="es-ES_tradnl"/>
              </w:rPr>
              <w:t>prácticas idóneas</w:t>
            </w:r>
            <w:r w:rsidR="0079648D">
              <w:rPr>
                <w:sz w:val="15"/>
                <w:szCs w:val="15"/>
                <w:lang w:val="es-ES_tradnl"/>
              </w:rPr>
              <w:t>, cuestionarios y estudios de caso sobre C+I, lucha contra la falsificación</w:t>
            </w:r>
            <w:r w:rsidRPr="00925D30">
              <w:rPr>
                <w:sz w:val="15"/>
                <w:szCs w:val="15"/>
                <w:lang w:val="es-ES_tradnl"/>
              </w:rPr>
              <w:t xml:space="preserve"> </w:t>
            </w:r>
            <w:r w:rsidR="0079648D">
              <w:rPr>
                <w:sz w:val="15"/>
                <w:szCs w:val="15"/>
                <w:lang w:val="es-ES_tradnl"/>
              </w:rPr>
              <w:t>de equipos TIC y el robo de dispositivos móviles</w:t>
            </w:r>
            <w:r w:rsidRPr="00925D30">
              <w:rPr>
                <w:sz w:val="15"/>
                <w:szCs w:val="15"/>
                <w:lang w:val="es-ES_tradnl"/>
              </w:rPr>
              <w:t>.</w:t>
            </w:r>
          </w:p>
        </w:tc>
        <w:tc>
          <w:tcPr>
            <w:tcW w:w="294" w:type="dxa"/>
            <w:tcBorders>
              <w:top w:val="nil"/>
              <w:left w:val="nil"/>
              <w:bottom w:val="nil"/>
              <w:right w:val="nil"/>
            </w:tcBorders>
            <w:shd w:val="clear" w:color="auto" w:fill="53A757"/>
          </w:tcPr>
          <w:p w:rsidR="006614C7" w:rsidRPr="006614C7" w:rsidRDefault="006614C7" w:rsidP="003A1B4D">
            <w:pPr>
              <w:pStyle w:val="Tabletext10pt"/>
              <w:keepNext/>
              <w:keepLines/>
              <w:spacing w:before="0" w:after="0"/>
              <w:jc w:val="center"/>
              <w:rPr>
                <w:b/>
                <w:bCs/>
                <w:sz w:val="15"/>
                <w:szCs w:val="15"/>
                <w:lang w:val="es-ES_tradnl"/>
              </w:rPr>
            </w:pPr>
          </w:p>
        </w:tc>
      </w:tr>
      <w:tr w:rsidR="006151D0" w:rsidRPr="00037130" w:rsidTr="006151D0">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151D0" w:rsidRPr="006614C7" w:rsidRDefault="006151D0" w:rsidP="006151D0">
            <w:pPr>
              <w:pStyle w:val="Tabletext"/>
              <w:spacing w:before="20" w:after="20"/>
              <w:jc w:val="center"/>
              <w:rPr>
                <w:b/>
                <w:bCs/>
                <w:sz w:val="15"/>
                <w:szCs w:val="15"/>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8CC68F"/>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Plan de trabajo y proyecto</w:t>
            </w:r>
            <w:r>
              <w:rPr>
                <w:sz w:val="15"/>
                <w:szCs w:val="15"/>
                <w:lang w:val="es-ES_tradnl"/>
              </w:rPr>
              <w:t> </w:t>
            </w:r>
            <w:r w:rsidRPr="00925D30">
              <w:rPr>
                <w:sz w:val="15"/>
                <w:szCs w:val="15"/>
                <w:lang w:val="es-ES_tradnl"/>
              </w:rPr>
              <w:t>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CC68F"/>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 xml:space="preserve">Informe de situación anual, </w:t>
            </w:r>
            <w:r>
              <w:rPr>
                <w:sz w:val="15"/>
                <w:szCs w:val="15"/>
                <w:lang w:val="es-ES_tradnl"/>
              </w:rPr>
              <w:t>proyecto de resultado (?)</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CC68F"/>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 xml:space="preserve">Informe de situación anual, </w:t>
            </w:r>
            <w:r w:rsidRPr="00F62B37">
              <w:rPr>
                <w:sz w:val="15"/>
                <w:szCs w:val="15"/>
                <w:lang w:val="es-ES_tradnl"/>
              </w:rPr>
              <w:t>proyecto de resultado (?)</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8CC68F"/>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6151D0" w:rsidRPr="006614C7" w:rsidRDefault="006151D0" w:rsidP="006151D0">
            <w:pPr>
              <w:pStyle w:val="Tabletext10pt"/>
              <w:spacing w:before="0" w:after="0"/>
              <w:jc w:val="center"/>
              <w:rPr>
                <w:b/>
                <w:bCs/>
                <w:sz w:val="15"/>
                <w:szCs w:val="15"/>
                <w:lang w:val="es-ES_tradnl"/>
              </w:rPr>
            </w:pPr>
          </w:p>
        </w:tc>
      </w:tr>
      <w:tr w:rsidR="00B22DC2" w:rsidRPr="00037130" w:rsidTr="006151D0">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DD62F"/>
            <w:vAlign w:val="center"/>
          </w:tcPr>
          <w:p w:rsidR="006614C7" w:rsidRPr="006614C7" w:rsidRDefault="006614C7" w:rsidP="00F62B37">
            <w:pPr>
              <w:pStyle w:val="Tabletext"/>
              <w:spacing w:before="20" w:after="20"/>
              <w:jc w:val="center"/>
              <w:rPr>
                <w:b/>
                <w:bCs/>
                <w:sz w:val="15"/>
                <w:szCs w:val="15"/>
                <w:lang w:val="fr-FR"/>
              </w:rPr>
            </w:pPr>
            <w:r w:rsidRPr="006614C7">
              <w:rPr>
                <w:b/>
                <w:bCs/>
                <w:sz w:val="15"/>
                <w:szCs w:val="15"/>
                <w:lang w:val="fr-FR"/>
              </w:rPr>
              <w:t>C5/</w:t>
            </w:r>
            <w:r w:rsidR="00925D30">
              <w:rPr>
                <w:b/>
                <w:bCs/>
                <w:sz w:val="15"/>
                <w:szCs w:val="15"/>
                <w:lang w:val="fr-FR"/>
              </w:rPr>
              <w:t>2</w:t>
            </w:r>
          </w:p>
        </w:tc>
        <w:tc>
          <w:tcPr>
            <w:tcW w:w="14096" w:type="dxa"/>
            <w:gridSpan w:val="7"/>
            <w:tcBorders>
              <w:top w:val="single" w:sz="4" w:space="0" w:color="FFFFFF" w:themeColor="background1"/>
              <w:left w:val="nil"/>
              <w:bottom w:val="single" w:sz="4" w:space="0" w:color="FFFFFF" w:themeColor="background1"/>
              <w:right w:val="nil"/>
            </w:tcBorders>
            <w:shd w:val="clear" w:color="auto" w:fill="EDD62F"/>
            <w:vAlign w:val="center"/>
          </w:tcPr>
          <w:p w:rsidR="006614C7" w:rsidRPr="00925D30" w:rsidRDefault="006614C7" w:rsidP="00A54DDB">
            <w:pPr>
              <w:pStyle w:val="Tabletext10pt"/>
              <w:spacing w:before="20" w:after="20"/>
              <w:jc w:val="center"/>
              <w:rPr>
                <w:sz w:val="15"/>
                <w:szCs w:val="15"/>
                <w:lang w:val="es-ES_tradnl"/>
              </w:rPr>
            </w:pPr>
            <w:r w:rsidRPr="00925D30">
              <w:rPr>
                <w:sz w:val="15"/>
                <w:szCs w:val="15"/>
                <w:lang w:val="es-ES_tradnl"/>
              </w:rPr>
              <w:t xml:space="preserve">En la Cuestión se ponen de relieve </w:t>
            </w:r>
            <w:r w:rsidR="0079648D">
              <w:rPr>
                <w:sz w:val="15"/>
                <w:szCs w:val="15"/>
                <w:lang w:val="es-ES_tradnl"/>
              </w:rPr>
              <w:t xml:space="preserve">prácticas idóneas y la compartición de experiencias </w:t>
            </w:r>
            <w:r w:rsidR="00A54DDB">
              <w:rPr>
                <w:sz w:val="15"/>
                <w:szCs w:val="15"/>
                <w:lang w:val="es-ES_tradnl"/>
              </w:rPr>
              <w:t>na</w:t>
            </w:r>
            <w:r w:rsidR="0079648D">
              <w:rPr>
                <w:sz w:val="15"/>
                <w:szCs w:val="15"/>
                <w:lang w:val="es-ES_tradnl"/>
              </w:rPr>
              <w:t>cionales en actividades de preparación, mitigación y respuesta en caso de catástrofe y en el desarrollo de planes nacionales de comunicación en caso de catástrofe</w:t>
            </w:r>
            <w:r w:rsidRPr="00925D30">
              <w:rPr>
                <w:sz w:val="15"/>
                <w:szCs w:val="15"/>
                <w:lang w:val="es-ES_tradnl"/>
              </w:rPr>
              <w:t>.</w:t>
            </w:r>
          </w:p>
        </w:tc>
        <w:tc>
          <w:tcPr>
            <w:tcW w:w="294" w:type="dxa"/>
            <w:tcBorders>
              <w:top w:val="nil"/>
              <w:left w:val="nil"/>
              <w:bottom w:val="nil"/>
              <w:right w:val="nil"/>
            </w:tcBorders>
            <w:shd w:val="clear" w:color="auto" w:fill="EDD62F"/>
          </w:tcPr>
          <w:p w:rsidR="006614C7" w:rsidRPr="006614C7" w:rsidRDefault="006614C7" w:rsidP="003A1B4D">
            <w:pPr>
              <w:pStyle w:val="Tabletext10pt"/>
              <w:spacing w:before="0" w:after="0"/>
              <w:jc w:val="center"/>
              <w:rPr>
                <w:b/>
                <w:bCs/>
                <w:sz w:val="15"/>
                <w:szCs w:val="15"/>
                <w:lang w:val="es-ES_tradnl"/>
              </w:rPr>
            </w:pPr>
          </w:p>
        </w:tc>
      </w:tr>
      <w:tr w:rsidR="006151D0" w:rsidRPr="00037130" w:rsidTr="006151D0">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151D0" w:rsidRPr="006614C7" w:rsidRDefault="006151D0" w:rsidP="006151D0">
            <w:pPr>
              <w:pStyle w:val="Tabletext"/>
              <w:spacing w:before="20" w:after="20"/>
              <w:jc w:val="center"/>
              <w:rPr>
                <w:b/>
                <w:bCs/>
                <w:sz w:val="15"/>
                <w:szCs w:val="15"/>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F2E26A"/>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Plan de trabajo y proyecto</w:t>
            </w:r>
            <w:r>
              <w:rPr>
                <w:sz w:val="15"/>
                <w:szCs w:val="15"/>
                <w:lang w:val="es-ES_tradnl"/>
              </w:rPr>
              <w:t> </w:t>
            </w:r>
            <w:r w:rsidRPr="00925D30">
              <w:rPr>
                <w:sz w:val="15"/>
                <w:szCs w:val="15"/>
                <w:lang w:val="es-ES_tradnl"/>
              </w:rPr>
              <w:t>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2E26A"/>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 de situación anual, resultados anuales</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2E26A"/>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 de situación anual, resultados anuales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F2E26A"/>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6151D0" w:rsidRPr="006614C7" w:rsidRDefault="006151D0" w:rsidP="006151D0">
            <w:pPr>
              <w:pStyle w:val="Tabletext10pt"/>
              <w:spacing w:before="0" w:after="0"/>
              <w:jc w:val="center"/>
              <w:rPr>
                <w:b/>
                <w:bCs/>
                <w:sz w:val="15"/>
                <w:szCs w:val="15"/>
                <w:lang w:val="es-ES_tradnl"/>
              </w:rPr>
            </w:pPr>
          </w:p>
        </w:tc>
      </w:tr>
      <w:tr w:rsidR="00B22DC2" w:rsidRPr="00037130" w:rsidTr="006151D0">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9832F"/>
            <w:vAlign w:val="center"/>
          </w:tcPr>
          <w:p w:rsidR="006614C7" w:rsidRPr="006614C7" w:rsidRDefault="006614C7" w:rsidP="00F62B37">
            <w:pPr>
              <w:pStyle w:val="Tabletext"/>
              <w:spacing w:before="20" w:after="20"/>
              <w:jc w:val="center"/>
              <w:rPr>
                <w:b/>
                <w:bCs/>
                <w:sz w:val="15"/>
                <w:szCs w:val="15"/>
                <w:lang w:val="fr-FR"/>
              </w:rPr>
            </w:pPr>
            <w:r w:rsidRPr="006614C7">
              <w:rPr>
                <w:b/>
                <w:bCs/>
                <w:sz w:val="15"/>
                <w:szCs w:val="15"/>
                <w:lang w:val="fr-FR"/>
              </w:rPr>
              <w:t>C6/</w:t>
            </w:r>
            <w:r w:rsidR="00925D30">
              <w:rPr>
                <w:b/>
                <w:bCs/>
                <w:sz w:val="15"/>
                <w:szCs w:val="15"/>
                <w:lang w:val="fr-FR"/>
              </w:rPr>
              <w:t>2</w:t>
            </w:r>
          </w:p>
        </w:tc>
        <w:tc>
          <w:tcPr>
            <w:tcW w:w="14096" w:type="dxa"/>
            <w:gridSpan w:val="7"/>
            <w:tcBorders>
              <w:top w:val="single" w:sz="4" w:space="0" w:color="FFFFFF" w:themeColor="background1"/>
              <w:left w:val="nil"/>
              <w:bottom w:val="single" w:sz="4" w:space="0" w:color="FFFFFF" w:themeColor="background1"/>
              <w:right w:val="nil"/>
            </w:tcBorders>
            <w:shd w:val="clear" w:color="auto" w:fill="E9832F"/>
            <w:vAlign w:val="center"/>
          </w:tcPr>
          <w:p w:rsidR="006614C7" w:rsidRPr="00925D30" w:rsidRDefault="006614C7" w:rsidP="0079648D">
            <w:pPr>
              <w:pStyle w:val="Tabletext10pt"/>
              <w:spacing w:before="20" w:after="20"/>
              <w:jc w:val="center"/>
              <w:rPr>
                <w:sz w:val="15"/>
                <w:szCs w:val="15"/>
                <w:lang w:val="es-ES_tradnl"/>
              </w:rPr>
            </w:pPr>
            <w:r w:rsidRPr="00925D30">
              <w:rPr>
                <w:sz w:val="15"/>
                <w:szCs w:val="15"/>
                <w:lang w:val="es-ES_tradnl"/>
              </w:rPr>
              <w:t xml:space="preserve">En la Cuestión se ponen de relieve </w:t>
            </w:r>
            <w:r w:rsidR="0079648D">
              <w:rPr>
                <w:sz w:val="15"/>
                <w:szCs w:val="15"/>
                <w:lang w:val="es-ES_tradnl"/>
              </w:rPr>
              <w:t xml:space="preserve">estrategias, </w:t>
            </w:r>
            <w:r w:rsidRPr="00925D30">
              <w:rPr>
                <w:sz w:val="15"/>
                <w:szCs w:val="15"/>
                <w:lang w:val="es-ES_tradnl"/>
              </w:rPr>
              <w:t>directrices</w:t>
            </w:r>
            <w:r w:rsidR="0079648D">
              <w:rPr>
                <w:sz w:val="15"/>
                <w:szCs w:val="15"/>
                <w:lang w:val="es-ES_tradnl"/>
              </w:rPr>
              <w:t xml:space="preserve"> y</w:t>
            </w:r>
            <w:r w:rsidRPr="00925D30">
              <w:rPr>
                <w:sz w:val="15"/>
                <w:szCs w:val="15"/>
                <w:lang w:val="es-ES_tradnl"/>
              </w:rPr>
              <w:t xml:space="preserve"> prácticas idóneas.</w:t>
            </w:r>
          </w:p>
        </w:tc>
        <w:tc>
          <w:tcPr>
            <w:tcW w:w="294" w:type="dxa"/>
            <w:tcBorders>
              <w:top w:val="nil"/>
              <w:left w:val="nil"/>
              <w:bottom w:val="nil"/>
              <w:right w:val="nil"/>
            </w:tcBorders>
            <w:shd w:val="clear" w:color="auto" w:fill="E9832F"/>
          </w:tcPr>
          <w:p w:rsidR="006614C7" w:rsidRPr="006614C7" w:rsidRDefault="006614C7" w:rsidP="003A1B4D">
            <w:pPr>
              <w:pStyle w:val="Tabletext10pt"/>
              <w:spacing w:before="0" w:after="0"/>
              <w:jc w:val="center"/>
              <w:rPr>
                <w:b/>
                <w:bCs/>
                <w:sz w:val="15"/>
                <w:szCs w:val="15"/>
                <w:lang w:val="es-ES_tradnl"/>
              </w:rPr>
            </w:pPr>
          </w:p>
        </w:tc>
      </w:tr>
      <w:tr w:rsidR="006151D0" w:rsidRPr="00037130" w:rsidTr="006151D0">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6151D0" w:rsidRPr="006614C7" w:rsidRDefault="006151D0" w:rsidP="006151D0">
            <w:pPr>
              <w:pStyle w:val="Tabletext"/>
              <w:spacing w:before="20" w:after="20"/>
              <w:jc w:val="center"/>
              <w:rPr>
                <w:b/>
                <w:bCs/>
                <w:sz w:val="15"/>
                <w:szCs w:val="15"/>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F0AC74"/>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Plan de trabajo y proyecto</w:t>
            </w:r>
            <w:r>
              <w:rPr>
                <w:sz w:val="15"/>
                <w:szCs w:val="15"/>
                <w:lang w:val="es-ES_tradnl"/>
              </w:rPr>
              <w:t> </w:t>
            </w:r>
            <w:r w:rsidRPr="00925D30">
              <w:rPr>
                <w:sz w:val="15"/>
                <w:szCs w:val="15"/>
                <w:lang w:val="es-ES_tradnl"/>
              </w:rPr>
              <w:t>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0AC74"/>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 de situación anual, resultados anuales</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0AC74"/>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 de situación anual, informe provisional</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single" w:sz="4" w:space="0" w:color="FFFFFF" w:themeColor="background1"/>
              <w:left w:val="nil"/>
              <w:bottom w:val="single" w:sz="4" w:space="0" w:color="FFFFFF" w:themeColor="background1"/>
              <w:right w:val="nil"/>
            </w:tcBorders>
            <w:shd w:val="clear" w:color="auto" w:fill="F0AC74"/>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6151D0" w:rsidRPr="006614C7" w:rsidRDefault="006151D0" w:rsidP="006151D0">
            <w:pPr>
              <w:pStyle w:val="Tabletext10pt"/>
              <w:spacing w:before="20" w:after="20"/>
              <w:jc w:val="center"/>
              <w:rPr>
                <w:b/>
                <w:bCs/>
                <w:sz w:val="15"/>
                <w:szCs w:val="15"/>
                <w:lang w:val="es-ES_tradnl"/>
              </w:rPr>
            </w:pPr>
          </w:p>
        </w:tc>
      </w:tr>
      <w:tr w:rsidR="00B22DC2" w:rsidRPr="00037130" w:rsidTr="006151D0">
        <w:trPr>
          <w:jc w:val="center"/>
        </w:trPr>
        <w:tc>
          <w:tcPr>
            <w:tcW w:w="812" w:type="dxa"/>
            <w:vMerge w:val="restart"/>
            <w:tcBorders>
              <w:top w:val="single" w:sz="4" w:space="0" w:color="FFFFFF" w:themeColor="background1"/>
              <w:left w:val="nil"/>
              <w:bottom w:val="nil"/>
              <w:right w:val="nil"/>
            </w:tcBorders>
            <w:shd w:val="clear" w:color="auto" w:fill="FB3919"/>
            <w:vAlign w:val="center"/>
          </w:tcPr>
          <w:p w:rsidR="006614C7" w:rsidRPr="006614C7" w:rsidRDefault="006614C7" w:rsidP="00F62B37">
            <w:pPr>
              <w:pStyle w:val="Tabletext"/>
              <w:spacing w:before="20" w:after="20"/>
              <w:jc w:val="center"/>
              <w:rPr>
                <w:b/>
                <w:bCs/>
                <w:sz w:val="15"/>
                <w:szCs w:val="15"/>
                <w:lang w:val="fr-FR"/>
              </w:rPr>
            </w:pPr>
            <w:r w:rsidRPr="006614C7">
              <w:rPr>
                <w:b/>
                <w:bCs/>
                <w:sz w:val="15"/>
                <w:szCs w:val="15"/>
                <w:lang w:val="fr-FR"/>
              </w:rPr>
              <w:t>C7/</w:t>
            </w:r>
            <w:r w:rsidR="00925D30">
              <w:rPr>
                <w:b/>
                <w:bCs/>
                <w:sz w:val="15"/>
                <w:szCs w:val="15"/>
                <w:lang w:val="fr-FR"/>
              </w:rPr>
              <w:t>2</w:t>
            </w:r>
          </w:p>
        </w:tc>
        <w:tc>
          <w:tcPr>
            <w:tcW w:w="14096" w:type="dxa"/>
            <w:gridSpan w:val="7"/>
            <w:tcBorders>
              <w:top w:val="single" w:sz="4" w:space="0" w:color="FFFFFF" w:themeColor="background1"/>
              <w:left w:val="nil"/>
              <w:bottom w:val="single" w:sz="4" w:space="0" w:color="FFFFFF" w:themeColor="background1"/>
              <w:right w:val="nil"/>
            </w:tcBorders>
            <w:shd w:val="clear" w:color="auto" w:fill="FB3919"/>
            <w:vAlign w:val="center"/>
          </w:tcPr>
          <w:p w:rsidR="006614C7" w:rsidRPr="00925D30" w:rsidRDefault="006614C7" w:rsidP="0079648D">
            <w:pPr>
              <w:pStyle w:val="Tabletext10pt"/>
              <w:spacing w:before="20" w:after="20"/>
              <w:jc w:val="center"/>
              <w:rPr>
                <w:sz w:val="15"/>
                <w:szCs w:val="15"/>
                <w:lang w:val="es-ES_tradnl"/>
              </w:rPr>
            </w:pPr>
            <w:r w:rsidRPr="00925D30">
              <w:rPr>
                <w:sz w:val="15"/>
                <w:szCs w:val="15"/>
                <w:lang w:val="es-ES_tradnl"/>
              </w:rPr>
              <w:t>En la Cuestión se ponen de relieve prácticas idóneas, directrices</w:t>
            </w:r>
            <w:r w:rsidR="0079648D">
              <w:rPr>
                <w:sz w:val="15"/>
                <w:szCs w:val="15"/>
                <w:lang w:val="es-ES_tradnl"/>
              </w:rPr>
              <w:t>,</w:t>
            </w:r>
            <w:r w:rsidRPr="00925D30">
              <w:rPr>
                <w:sz w:val="15"/>
                <w:szCs w:val="15"/>
                <w:lang w:val="es-ES_tradnl"/>
              </w:rPr>
              <w:t xml:space="preserve"> talleres y seminarios para compartir experiencias y aumentar la concienciación.</w:t>
            </w:r>
          </w:p>
        </w:tc>
        <w:tc>
          <w:tcPr>
            <w:tcW w:w="294" w:type="dxa"/>
            <w:tcBorders>
              <w:top w:val="nil"/>
              <w:left w:val="nil"/>
              <w:bottom w:val="nil"/>
              <w:right w:val="nil"/>
            </w:tcBorders>
            <w:shd w:val="clear" w:color="auto" w:fill="FB3919"/>
          </w:tcPr>
          <w:p w:rsidR="006614C7" w:rsidRPr="006614C7" w:rsidRDefault="006614C7" w:rsidP="003A1B4D">
            <w:pPr>
              <w:pStyle w:val="Tabletext10pt"/>
              <w:spacing w:before="0" w:after="0"/>
              <w:jc w:val="center"/>
              <w:rPr>
                <w:b/>
                <w:bCs/>
                <w:sz w:val="15"/>
                <w:szCs w:val="15"/>
                <w:lang w:val="es-ES_tradnl"/>
              </w:rPr>
            </w:pPr>
          </w:p>
        </w:tc>
      </w:tr>
      <w:tr w:rsidR="006151D0" w:rsidRPr="00037130" w:rsidTr="00B22DC2">
        <w:trPr>
          <w:jc w:val="center"/>
        </w:trPr>
        <w:tc>
          <w:tcPr>
            <w:tcW w:w="812" w:type="dxa"/>
            <w:vMerge/>
            <w:tcBorders>
              <w:left w:val="nil"/>
              <w:bottom w:val="nil"/>
              <w:right w:val="nil"/>
            </w:tcBorders>
            <w:vAlign w:val="center"/>
          </w:tcPr>
          <w:p w:rsidR="006151D0" w:rsidRPr="006614C7" w:rsidRDefault="006151D0" w:rsidP="006151D0">
            <w:pPr>
              <w:pStyle w:val="Tabletext"/>
              <w:spacing w:before="0" w:after="0"/>
              <w:jc w:val="center"/>
              <w:rPr>
                <w:sz w:val="15"/>
                <w:szCs w:val="15"/>
                <w:lang w:val="es-ES_tradnl"/>
              </w:rPr>
            </w:pPr>
          </w:p>
        </w:tc>
        <w:tc>
          <w:tcPr>
            <w:tcW w:w="1946" w:type="dxa"/>
            <w:tcBorders>
              <w:top w:val="single" w:sz="4" w:space="0" w:color="FFFFFF" w:themeColor="background1"/>
              <w:left w:val="nil"/>
              <w:bottom w:val="nil"/>
              <w:right w:val="nil"/>
            </w:tcBorders>
            <w:shd w:val="clear" w:color="auto" w:fill="FC8470"/>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Plan de trabajo y proyecto</w:t>
            </w:r>
            <w:r>
              <w:rPr>
                <w:sz w:val="15"/>
                <w:szCs w:val="15"/>
                <w:lang w:val="es-ES_tradnl"/>
              </w:rPr>
              <w:t> </w:t>
            </w:r>
            <w:r w:rsidRPr="00925D30">
              <w:rPr>
                <w:sz w:val="15"/>
                <w:szCs w:val="15"/>
                <w:lang w:val="es-ES_tradnl"/>
              </w:rPr>
              <w:t>de índice</w:t>
            </w:r>
          </w:p>
        </w:tc>
        <w:tc>
          <w:tcPr>
            <w:tcW w:w="1932" w:type="dxa"/>
            <w:tcBorders>
              <w:top w:val="single" w:sz="4" w:space="0" w:color="FFFFFF" w:themeColor="background1"/>
              <w:left w:val="nil"/>
              <w:bottom w:val="nil"/>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1973" w:type="dxa"/>
            <w:tcBorders>
              <w:top w:val="single" w:sz="4" w:space="0" w:color="FFFFFF" w:themeColor="background1"/>
              <w:left w:val="nil"/>
              <w:bottom w:val="nil"/>
              <w:right w:val="nil"/>
            </w:tcBorders>
            <w:shd w:val="clear" w:color="auto" w:fill="FC8470"/>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 xml:space="preserve">Informe de situación anual, </w:t>
            </w:r>
            <w:r>
              <w:rPr>
                <w:sz w:val="15"/>
                <w:szCs w:val="15"/>
                <w:lang w:val="es-ES_tradnl"/>
              </w:rPr>
              <w:t>informe provisional</w:t>
            </w:r>
          </w:p>
        </w:tc>
        <w:tc>
          <w:tcPr>
            <w:tcW w:w="1988" w:type="dxa"/>
            <w:tcBorders>
              <w:top w:val="single" w:sz="4" w:space="0" w:color="FFFFFF" w:themeColor="background1"/>
              <w:left w:val="nil"/>
              <w:bottom w:val="nil"/>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estudios de caso, etc.</w:t>
            </w:r>
          </w:p>
        </w:tc>
        <w:tc>
          <w:tcPr>
            <w:tcW w:w="2002" w:type="dxa"/>
            <w:tcBorders>
              <w:top w:val="single" w:sz="4" w:space="0" w:color="FFFFFF" w:themeColor="background1"/>
              <w:left w:val="nil"/>
              <w:bottom w:val="nil"/>
              <w:right w:val="nil"/>
            </w:tcBorders>
            <w:shd w:val="clear" w:color="auto" w:fill="FC8470"/>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 xml:space="preserve">Informe de situación anual, </w:t>
            </w:r>
            <w:r w:rsidRPr="005321CD">
              <w:rPr>
                <w:sz w:val="15"/>
                <w:szCs w:val="15"/>
                <w:lang w:val="es-ES_tradnl"/>
              </w:rPr>
              <w:t>informe provisional</w:t>
            </w:r>
          </w:p>
        </w:tc>
        <w:tc>
          <w:tcPr>
            <w:tcW w:w="1945" w:type="dxa"/>
            <w:tcBorders>
              <w:top w:val="single" w:sz="4" w:space="0" w:color="FFFFFF" w:themeColor="background1"/>
              <w:left w:val="nil"/>
              <w:bottom w:val="nil"/>
              <w:right w:val="nil"/>
            </w:tcBorders>
            <w:shd w:val="clear" w:color="auto" w:fill="D9D9D9" w:themeFill="background1" w:themeFillShade="D9"/>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Elaboración de proyectos de texto, etc.</w:t>
            </w:r>
          </w:p>
        </w:tc>
        <w:tc>
          <w:tcPr>
            <w:tcW w:w="2310" w:type="dxa"/>
            <w:tcBorders>
              <w:top w:val="single" w:sz="4" w:space="0" w:color="FFFFFF" w:themeColor="background1"/>
              <w:left w:val="nil"/>
              <w:bottom w:val="nil"/>
              <w:right w:val="nil"/>
            </w:tcBorders>
            <w:shd w:val="clear" w:color="auto" w:fill="FC8470"/>
          </w:tcPr>
          <w:p w:rsidR="006151D0" w:rsidRPr="00925D30" w:rsidRDefault="006151D0" w:rsidP="006151D0">
            <w:pPr>
              <w:pStyle w:val="Tabletext10pt"/>
              <w:spacing w:before="20" w:after="20"/>
              <w:jc w:val="center"/>
              <w:rPr>
                <w:sz w:val="15"/>
                <w:szCs w:val="15"/>
                <w:lang w:val="es-ES_tradnl"/>
              </w:rPr>
            </w:pPr>
            <w:r w:rsidRPr="00925D30">
              <w:rPr>
                <w:sz w:val="15"/>
                <w:szCs w:val="15"/>
                <w:lang w:val="es-ES_tradnl"/>
              </w:rPr>
              <w:t>Informe(s) final(es), directrices, proyectos de Recomendación</w:t>
            </w:r>
          </w:p>
        </w:tc>
        <w:tc>
          <w:tcPr>
            <w:tcW w:w="294" w:type="dxa"/>
            <w:tcBorders>
              <w:top w:val="nil"/>
              <w:left w:val="nil"/>
              <w:bottom w:val="nil"/>
              <w:right w:val="nil"/>
            </w:tcBorders>
            <w:shd w:val="clear" w:color="auto" w:fill="FFFFFF" w:themeFill="background1"/>
          </w:tcPr>
          <w:p w:rsidR="006151D0" w:rsidRPr="006614C7" w:rsidRDefault="006151D0" w:rsidP="006151D0">
            <w:pPr>
              <w:pStyle w:val="Tabletext10pt"/>
              <w:spacing w:before="20" w:after="20"/>
              <w:jc w:val="center"/>
              <w:rPr>
                <w:b/>
                <w:bCs/>
                <w:sz w:val="15"/>
                <w:szCs w:val="15"/>
                <w:lang w:val="es-ES_tradnl"/>
              </w:rPr>
            </w:pPr>
          </w:p>
        </w:tc>
      </w:tr>
      <w:tr w:rsidR="003E0EA4" w:rsidRPr="00037130" w:rsidTr="00B22DC2">
        <w:trPr>
          <w:jc w:val="center"/>
        </w:trPr>
        <w:tc>
          <w:tcPr>
            <w:tcW w:w="812" w:type="dxa"/>
            <w:tcBorders>
              <w:top w:val="nil"/>
              <w:left w:val="nil"/>
              <w:bottom w:val="nil"/>
              <w:right w:val="nil"/>
            </w:tcBorders>
            <w:vAlign w:val="center"/>
          </w:tcPr>
          <w:p w:rsidR="00925D30" w:rsidRPr="006614C7" w:rsidRDefault="00925D30" w:rsidP="00925D30">
            <w:pPr>
              <w:pStyle w:val="Tabletext"/>
              <w:spacing w:before="0" w:after="0"/>
              <w:jc w:val="center"/>
              <w:rPr>
                <w:color w:val="FFFFFF" w:themeColor="background1"/>
                <w:sz w:val="15"/>
                <w:szCs w:val="15"/>
                <w:lang w:val="es-ES_tradnl"/>
              </w:rPr>
            </w:pPr>
          </w:p>
        </w:tc>
        <w:tc>
          <w:tcPr>
            <w:tcW w:w="1946" w:type="dxa"/>
            <w:tcBorders>
              <w:top w:val="nil"/>
              <w:left w:val="nil"/>
              <w:bottom w:val="nil"/>
              <w:right w:val="nil"/>
            </w:tcBorders>
            <w:shd w:val="clear" w:color="auto" w:fill="000000" w:themeFill="text1"/>
          </w:tcPr>
          <w:p w:rsidR="00925D30" w:rsidRPr="00925D30" w:rsidRDefault="00925D30" w:rsidP="0079648D">
            <w:pPr>
              <w:pStyle w:val="Tabletext10pt"/>
              <w:spacing w:before="20" w:after="20"/>
              <w:jc w:val="center"/>
              <w:rPr>
                <w:color w:val="FFFFFF" w:themeColor="background1"/>
                <w:sz w:val="15"/>
                <w:szCs w:val="15"/>
                <w:lang w:val="es-ES_tradnl"/>
              </w:rPr>
            </w:pPr>
            <w:r w:rsidRPr="00925D30">
              <w:rPr>
                <w:color w:val="FFFFFF" w:themeColor="background1"/>
                <w:sz w:val="15"/>
                <w:szCs w:val="15"/>
                <w:lang w:val="es-ES_tradnl"/>
              </w:rPr>
              <w:t>Sesiones informativas sobre herramientas disponibles, métodos de trabajo, etc.</w:t>
            </w:r>
          </w:p>
        </w:tc>
        <w:tc>
          <w:tcPr>
            <w:tcW w:w="1932" w:type="dxa"/>
            <w:tcBorders>
              <w:top w:val="nil"/>
              <w:left w:val="nil"/>
              <w:bottom w:val="nil"/>
              <w:right w:val="nil"/>
            </w:tcBorders>
          </w:tcPr>
          <w:p w:rsidR="00925D30" w:rsidRPr="006614C7" w:rsidRDefault="00925D30" w:rsidP="0079648D">
            <w:pPr>
              <w:pStyle w:val="Tabletext10pt"/>
              <w:spacing w:before="20" w:after="20"/>
              <w:jc w:val="center"/>
              <w:rPr>
                <w:color w:val="FFFFFF" w:themeColor="background1"/>
                <w:sz w:val="15"/>
                <w:szCs w:val="15"/>
                <w:lang w:val="es-ES_tradnl"/>
              </w:rPr>
            </w:pPr>
          </w:p>
        </w:tc>
        <w:tc>
          <w:tcPr>
            <w:tcW w:w="1973" w:type="dxa"/>
            <w:tcBorders>
              <w:top w:val="nil"/>
              <w:left w:val="nil"/>
              <w:bottom w:val="nil"/>
              <w:right w:val="nil"/>
            </w:tcBorders>
            <w:shd w:val="clear" w:color="auto" w:fill="000000" w:themeFill="text1"/>
          </w:tcPr>
          <w:p w:rsidR="00925D30" w:rsidRPr="00925D30" w:rsidRDefault="00925D30" w:rsidP="0079648D">
            <w:pPr>
              <w:pStyle w:val="Tabletext10pt"/>
              <w:spacing w:before="20" w:after="20"/>
              <w:jc w:val="center"/>
              <w:rPr>
                <w:color w:val="FFFFFF" w:themeColor="background1"/>
                <w:sz w:val="15"/>
                <w:szCs w:val="15"/>
                <w:lang w:val="es-ES_tradnl"/>
              </w:rPr>
            </w:pPr>
            <w:r w:rsidRPr="00925D30">
              <w:rPr>
                <w:color w:val="FFFFFF" w:themeColor="background1"/>
                <w:sz w:val="15"/>
                <w:szCs w:val="15"/>
                <w:lang w:val="es-ES_tradnl"/>
              </w:rPr>
              <w:t>Compartición de posibles encuestas para su aprobación en la reunión de la CE</w:t>
            </w:r>
            <w:r w:rsidR="003E0EA4">
              <w:rPr>
                <w:color w:val="FFFFFF" w:themeColor="background1"/>
                <w:sz w:val="15"/>
                <w:szCs w:val="15"/>
                <w:lang w:val="es-ES_tradnl"/>
              </w:rPr>
              <w:t> 2</w:t>
            </w:r>
          </w:p>
        </w:tc>
        <w:tc>
          <w:tcPr>
            <w:tcW w:w="1988" w:type="dxa"/>
            <w:tcBorders>
              <w:top w:val="nil"/>
              <w:left w:val="nil"/>
              <w:bottom w:val="nil"/>
              <w:right w:val="nil"/>
            </w:tcBorders>
          </w:tcPr>
          <w:p w:rsidR="00925D30" w:rsidRPr="006614C7" w:rsidRDefault="00925D30" w:rsidP="0079648D">
            <w:pPr>
              <w:pStyle w:val="Tabletext10pt"/>
              <w:spacing w:before="20" w:after="20"/>
              <w:jc w:val="center"/>
              <w:rPr>
                <w:color w:val="FFFFFF" w:themeColor="background1"/>
                <w:sz w:val="15"/>
                <w:szCs w:val="15"/>
                <w:lang w:val="es-ES_tradnl"/>
              </w:rPr>
            </w:pPr>
          </w:p>
        </w:tc>
        <w:tc>
          <w:tcPr>
            <w:tcW w:w="2002" w:type="dxa"/>
            <w:tcBorders>
              <w:top w:val="nil"/>
              <w:left w:val="nil"/>
              <w:bottom w:val="nil"/>
              <w:right w:val="nil"/>
            </w:tcBorders>
            <w:shd w:val="clear" w:color="auto" w:fill="000000" w:themeFill="text1"/>
          </w:tcPr>
          <w:p w:rsidR="00925D30" w:rsidRPr="003E0EA4" w:rsidRDefault="00925D30" w:rsidP="006151D0">
            <w:pPr>
              <w:pStyle w:val="Tabletext10pt"/>
              <w:spacing w:before="20" w:after="20"/>
              <w:jc w:val="center"/>
              <w:rPr>
                <w:color w:val="FFFFFF" w:themeColor="background1"/>
                <w:sz w:val="15"/>
                <w:szCs w:val="15"/>
                <w:lang w:val="es-ES_tradnl"/>
              </w:rPr>
            </w:pPr>
            <w:r w:rsidRPr="00925D30">
              <w:rPr>
                <w:color w:val="FFFFFF" w:themeColor="background1"/>
                <w:sz w:val="15"/>
                <w:szCs w:val="15"/>
                <w:lang w:val="es-ES_tradnl"/>
              </w:rPr>
              <w:t>Análisis e integración de los datos aportados a la encuesta</w:t>
            </w:r>
            <w:r w:rsidR="006151D0">
              <w:rPr>
                <w:color w:val="FFFFFF" w:themeColor="background1"/>
                <w:sz w:val="15"/>
                <w:szCs w:val="15"/>
                <w:lang w:val="es-ES_tradnl"/>
              </w:rPr>
              <w:t>,</w:t>
            </w:r>
            <w:r w:rsidR="003E0EA4">
              <w:rPr>
                <w:color w:val="FFFFFF" w:themeColor="background1"/>
                <w:sz w:val="15"/>
                <w:szCs w:val="15"/>
                <w:lang w:val="es-ES_tradnl"/>
              </w:rPr>
              <w:t xml:space="preserve"> </w:t>
            </w:r>
            <w:r w:rsidRPr="00925D30">
              <w:rPr>
                <w:color w:val="FFFFFF" w:themeColor="background1"/>
                <w:sz w:val="15"/>
                <w:szCs w:val="15"/>
                <w:lang w:val="es-ES_tradnl"/>
              </w:rPr>
              <w:t>Futuro de las Cuestiones.</w:t>
            </w:r>
          </w:p>
        </w:tc>
        <w:tc>
          <w:tcPr>
            <w:tcW w:w="1945" w:type="dxa"/>
            <w:tcBorders>
              <w:top w:val="nil"/>
              <w:left w:val="nil"/>
              <w:bottom w:val="nil"/>
              <w:right w:val="nil"/>
            </w:tcBorders>
            <w:shd w:val="clear" w:color="auto" w:fill="FFFFFF" w:themeFill="background1"/>
          </w:tcPr>
          <w:p w:rsidR="00925D30" w:rsidRPr="003E0EA4" w:rsidRDefault="00925D30" w:rsidP="0079648D">
            <w:pPr>
              <w:pStyle w:val="Tabletext10pt"/>
              <w:spacing w:before="20" w:after="20"/>
              <w:jc w:val="center"/>
              <w:rPr>
                <w:color w:val="FFFFFF" w:themeColor="background1"/>
                <w:sz w:val="15"/>
                <w:szCs w:val="15"/>
                <w:lang w:val="es-ES_tradnl"/>
              </w:rPr>
            </w:pPr>
          </w:p>
        </w:tc>
        <w:tc>
          <w:tcPr>
            <w:tcW w:w="2310" w:type="dxa"/>
            <w:tcBorders>
              <w:top w:val="nil"/>
              <w:left w:val="nil"/>
              <w:bottom w:val="nil"/>
              <w:right w:val="nil"/>
            </w:tcBorders>
            <w:shd w:val="clear" w:color="auto" w:fill="000000" w:themeFill="text1"/>
          </w:tcPr>
          <w:p w:rsidR="00925D30" w:rsidRPr="00925D30" w:rsidRDefault="00925D30" w:rsidP="0079648D">
            <w:pPr>
              <w:pStyle w:val="Tabletext10pt"/>
              <w:spacing w:before="20" w:after="20"/>
              <w:jc w:val="center"/>
              <w:rPr>
                <w:color w:val="FFFFFF" w:themeColor="background1"/>
                <w:sz w:val="15"/>
                <w:szCs w:val="15"/>
                <w:lang w:val="es-ES_tradnl"/>
              </w:rPr>
            </w:pPr>
            <w:r w:rsidRPr="00925D30">
              <w:rPr>
                <w:color w:val="FFFFFF" w:themeColor="background1"/>
                <w:sz w:val="15"/>
                <w:szCs w:val="15"/>
                <w:lang w:val="es-ES_tradnl"/>
              </w:rPr>
              <w:t>Acuerdo sobre los informes para la CMDT-21, futuro de las Cuestiones y propuestas de mejora</w:t>
            </w:r>
          </w:p>
        </w:tc>
        <w:tc>
          <w:tcPr>
            <w:tcW w:w="294" w:type="dxa"/>
            <w:tcBorders>
              <w:top w:val="nil"/>
              <w:left w:val="nil"/>
              <w:bottom w:val="nil"/>
              <w:right w:val="nil"/>
            </w:tcBorders>
            <w:shd w:val="clear" w:color="auto" w:fill="FFFFFF" w:themeFill="background1"/>
          </w:tcPr>
          <w:p w:rsidR="00925D30" w:rsidRPr="006614C7" w:rsidRDefault="00925D30" w:rsidP="00925D30">
            <w:pPr>
              <w:pStyle w:val="Tabletext10pt"/>
              <w:spacing w:before="0" w:after="0"/>
              <w:jc w:val="center"/>
              <w:rPr>
                <w:b/>
                <w:bCs/>
                <w:sz w:val="15"/>
                <w:szCs w:val="15"/>
                <w:lang w:val="es-ES_tradnl"/>
              </w:rPr>
            </w:pPr>
          </w:p>
        </w:tc>
      </w:tr>
    </w:tbl>
    <w:p w:rsidR="00764B93" w:rsidRPr="005321CD" w:rsidRDefault="00764B93" w:rsidP="0079648D">
      <w:pPr>
        <w:pStyle w:val="Tablelegend"/>
        <w:spacing w:before="80"/>
        <w:rPr>
          <w:lang w:val="es-ES_tradnl"/>
        </w:rPr>
      </w:pPr>
      <w:r w:rsidRPr="005321CD">
        <w:rPr>
          <w:lang w:val="es-ES_tradnl"/>
        </w:rPr>
        <w:t>*</w:t>
      </w:r>
      <w:r w:rsidRPr="005321CD">
        <w:rPr>
          <w:lang w:val="es-ES_tradnl"/>
        </w:rPr>
        <w:tab/>
        <w:t>R</w:t>
      </w:r>
      <w:r w:rsidR="005321CD" w:rsidRPr="005321CD">
        <w:rPr>
          <w:lang w:val="es-ES_tradnl"/>
        </w:rPr>
        <w:t>e</w:t>
      </w:r>
      <w:r w:rsidRPr="005321CD">
        <w:rPr>
          <w:lang w:val="es-ES_tradnl"/>
        </w:rPr>
        <w:t>uni</w:t>
      </w:r>
      <w:r w:rsidR="005321CD" w:rsidRPr="005321CD">
        <w:rPr>
          <w:lang w:val="es-ES_tradnl"/>
        </w:rPr>
        <w:t>ón de</w:t>
      </w:r>
      <w:r w:rsidRPr="005321CD">
        <w:rPr>
          <w:lang w:val="es-ES_tradnl"/>
        </w:rPr>
        <w:t>l</w:t>
      </w:r>
      <w:r w:rsidR="005321CD" w:rsidRPr="005321CD">
        <w:rPr>
          <w:lang w:val="es-ES_tradnl"/>
        </w:rPr>
        <w:t xml:space="preserve"> </w:t>
      </w:r>
      <w:r w:rsidR="005321CD">
        <w:rPr>
          <w:lang w:val="es-ES_tradnl"/>
        </w:rPr>
        <w:t>e</w:t>
      </w:r>
      <w:r w:rsidRPr="005321CD">
        <w:rPr>
          <w:lang w:val="es-ES_tradnl"/>
        </w:rPr>
        <w:t>quip</w:t>
      </w:r>
      <w:r w:rsidR="005321CD">
        <w:rPr>
          <w:lang w:val="es-ES_tradnl"/>
        </w:rPr>
        <w:t>o</w:t>
      </w:r>
      <w:r w:rsidRPr="005321CD">
        <w:rPr>
          <w:lang w:val="es-ES_tradnl"/>
        </w:rPr>
        <w:t xml:space="preserve"> de direc</w:t>
      </w:r>
      <w:r w:rsidR="005321CD">
        <w:rPr>
          <w:lang w:val="es-ES_tradnl"/>
        </w:rPr>
        <w:t>c</w:t>
      </w:r>
      <w:r w:rsidRPr="005321CD">
        <w:rPr>
          <w:lang w:val="es-ES_tradnl"/>
        </w:rPr>
        <w:t>i</w:t>
      </w:r>
      <w:r w:rsidR="005321CD">
        <w:rPr>
          <w:lang w:val="es-ES_tradnl"/>
        </w:rPr>
        <w:t>ó</w:t>
      </w:r>
      <w:r w:rsidRPr="005321CD">
        <w:rPr>
          <w:lang w:val="es-ES_tradnl"/>
        </w:rPr>
        <w:t>n de la CE </w:t>
      </w:r>
      <w:r w:rsidR="005321CD">
        <w:rPr>
          <w:lang w:val="es-ES_tradnl"/>
        </w:rPr>
        <w:t>2</w:t>
      </w:r>
      <w:r w:rsidRPr="005321CD">
        <w:rPr>
          <w:lang w:val="es-ES_tradnl"/>
        </w:rPr>
        <w:t>.</w:t>
      </w:r>
    </w:p>
    <w:p w:rsidR="00A47CD2" w:rsidRDefault="00A47CD2" w:rsidP="00F62B37">
      <w:pPr>
        <w:spacing w:before="60"/>
        <w:jc w:val="center"/>
      </w:pPr>
      <w:r>
        <w:t>______________</w:t>
      </w:r>
    </w:p>
    <w:sectPr w:rsidR="00A47CD2" w:rsidSect="003A1B4D">
      <w:headerReference w:type="default" r:id="rId13"/>
      <w:headerReference w:type="first" r:id="rId14"/>
      <w:footerReference w:type="first" r:id="rId15"/>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B8" w:rsidRDefault="006262B8" w:rsidP="0088106F">
      <w:r>
        <w:separator/>
      </w:r>
    </w:p>
  </w:endnote>
  <w:endnote w:type="continuationSeparator" w:id="0">
    <w:p w:rsidR="006262B8" w:rsidRDefault="006262B8"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A54DDB" w:rsidP="00933B93">
    <w:pPr>
      <w:pStyle w:val="Footer"/>
    </w:pPr>
    <w:fldSimple w:instr=" FILENAME \p  \* MERGEFORMAT ">
      <w:r w:rsidR="00F24ACF">
        <w:t>P:\ESP\ITU-D\CONF-D\TDAG18\000\013S.docx</w:t>
      </w:r>
    </w:fldSimple>
    <w:r w:rsidR="00933B93">
      <w:t xml:space="preserve"> (428703)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037130" w:rsidTr="004E3CF5">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E644CA" w:rsidRDefault="00E644CA" w:rsidP="006262B8">
          <w:pPr>
            <w:pStyle w:val="FirstFooter"/>
            <w:tabs>
              <w:tab w:val="left" w:pos="2302"/>
            </w:tabs>
            <w:rPr>
              <w:sz w:val="18"/>
              <w:szCs w:val="18"/>
              <w:lang w:val="es-ES_tradnl"/>
            </w:rPr>
          </w:pPr>
          <w:bookmarkStart w:id="6" w:name="OrgName"/>
          <w:bookmarkEnd w:id="6"/>
          <w:r w:rsidRPr="00E644CA">
            <w:rPr>
              <w:sz w:val="18"/>
              <w:szCs w:val="18"/>
              <w:lang w:val="es-ES_tradnl"/>
            </w:rPr>
            <w:t>Dr. Ahmad Reza Sharafat, Presidente de la Comisión de Estudio 2 del UIT-D</w:t>
          </w:r>
        </w:p>
      </w:tc>
    </w:tr>
    <w:tr w:rsidR="009D1BD4" w:rsidRPr="00E644CA" w:rsidTr="004E3CF5">
      <w:tc>
        <w:tcPr>
          <w:tcW w:w="1134" w:type="dxa"/>
          <w:shd w:val="clear" w:color="auto" w:fill="auto"/>
        </w:tcPr>
        <w:p w:rsidR="009D1BD4" w:rsidRPr="00E644CA"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E644CA" w:rsidP="006262B8">
          <w:pPr>
            <w:pStyle w:val="FirstFooter"/>
            <w:tabs>
              <w:tab w:val="left" w:pos="2302"/>
            </w:tabs>
            <w:rPr>
              <w:sz w:val="18"/>
              <w:szCs w:val="18"/>
              <w:lang w:val="en-US"/>
            </w:rPr>
          </w:pPr>
          <w:bookmarkStart w:id="7" w:name="PhoneNo"/>
          <w:bookmarkEnd w:id="7"/>
          <w:r w:rsidRPr="00E644CA">
            <w:rPr>
              <w:sz w:val="18"/>
              <w:szCs w:val="18"/>
              <w:lang w:val="en-US"/>
            </w:rPr>
            <w:t>+98 912 106 1716, +41 76 797 6116</w:t>
          </w:r>
        </w:p>
      </w:tc>
    </w:tr>
    <w:tr w:rsidR="009D1BD4" w:rsidRPr="004D495C"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8" w:name="Email"/>
      <w:bookmarkEnd w:id="8"/>
      <w:tc>
        <w:tcPr>
          <w:tcW w:w="6237" w:type="dxa"/>
          <w:shd w:val="clear" w:color="auto" w:fill="auto"/>
        </w:tcPr>
        <w:p w:rsidR="009D1BD4" w:rsidRPr="00050E06" w:rsidRDefault="00E644CA" w:rsidP="006262B8">
          <w:pPr>
            <w:pStyle w:val="FirstFooter"/>
            <w:tabs>
              <w:tab w:val="left" w:pos="2302"/>
            </w:tabs>
            <w:rPr>
              <w:sz w:val="18"/>
              <w:szCs w:val="18"/>
              <w:lang w:val="en-US"/>
            </w:rPr>
          </w:pPr>
          <w:r>
            <w:rPr>
              <w:sz w:val="18"/>
              <w:szCs w:val="18"/>
            </w:rPr>
            <w:fldChar w:fldCharType="begin"/>
          </w:r>
          <w:r w:rsidRPr="00E644CA">
            <w:rPr>
              <w:sz w:val="18"/>
              <w:szCs w:val="18"/>
              <w:lang w:val="en-US"/>
            </w:rPr>
            <w:instrText xml:space="preserve"> HYPERLINK "mailto:ahmad.sharafat@gmail.com" </w:instrText>
          </w:r>
          <w:r>
            <w:rPr>
              <w:sz w:val="18"/>
              <w:szCs w:val="18"/>
            </w:rPr>
            <w:fldChar w:fldCharType="separate"/>
          </w:r>
          <w:r w:rsidRPr="00E644CA">
            <w:rPr>
              <w:rStyle w:val="Hyperlink"/>
              <w:sz w:val="18"/>
              <w:szCs w:val="18"/>
              <w:lang w:val="en-US"/>
            </w:rPr>
            <w:t>ahmad.sharafat@gmail.c</w:t>
          </w:r>
          <w:r w:rsidRPr="00A229FA">
            <w:rPr>
              <w:rStyle w:val="Hyperlink"/>
              <w:sz w:val="18"/>
              <w:szCs w:val="18"/>
            </w:rPr>
            <w:t>om</w:t>
          </w:r>
          <w:r>
            <w:rPr>
              <w:sz w:val="18"/>
              <w:szCs w:val="18"/>
            </w:rPr>
            <w:fldChar w:fldCharType="end"/>
          </w:r>
        </w:p>
      </w:tc>
    </w:tr>
  </w:tbl>
  <w:p w:rsidR="006E4AB3" w:rsidRPr="006E4AB3" w:rsidRDefault="00037130" w:rsidP="006262B8">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6E4AB3" w:rsidRPr="009D1BD4">
        <w:rPr>
          <w:rFonts w:ascii="Calibri" w:hAnsi="Calibri"/>
          <w:color w:val="0000FF"/>
          <w:sz w:val="18"/>
          <w:szCs w:val="18"/>
          <w:u w:val="single"/>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D2" w:rsidRPr="00A47CD2" w:rsidRDefault="00037130" w:rsidP="00A47CD2">
    <w:pPr>
      <w:pStyle w:val="Footer"/>
    </w:pPr>
    <w:r>
      <w:fldChar w:fldCharType="begin"/>
    </w:r>
    <w:r>
      <w:instrText xml:space="preserve"> FILENAME \p  \* MERGEFORMAT </w:instrText>
    </w:r>
    <w:r>
      <w:fldChar w:fldCharType="separate"/>
    </w:r>
    <w:r w:rsidR="00F24ACF">
      <w:t>P:\ESP\ITU-D\CONF-D\TDAG18\000\013S.docx</w:t>
    </w:r>
    <w:r>
      <w:fldChar w:fldCharType="end"/>
    </w:r>
    <w:r w:rsidR="00A47CD2">
      <w:t xml:space="preserve"> (428703)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B8" w:rsidRDefault="006262B8" w:rsidP="0088106F">
      <w:r>
        <w:separator/>
      </w:r>
    </w:p>
  </w:footnote>
  <w:footnote w:type="continuationSeparator" w:id="0">
    <w:p w:rsidR="006262B8" w:rsidRDefault="006262B8"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6262B8" w:rsidRDefault="009A6FC4" w:rsidP="00037130">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6262B8">
      <w:rPr>
        <w:sz w:val="22"/>
        <w:szCs w:val="22"/>
        <w:lang w:val="es-ES_tradnl"/>
      </w:rPr>
      <w:t>TDAG</w:t>
    </w:r>
    <w:r w:rsidR="00037130">
      <w:rPr>
        <w:sz w:val="22"/>
        <w:szCs w:val="22"/>
        <w:lang w:val="es-ES_tradnl"/>
      </w:rPr>
      <w:t>-</w:t>
    </w:r>
    <w:r w:rsidRPr="006262B8">
      <w:rPr>
        <w:sz w:val="22"/>
        <w:szCs w:val="22"/>
        <w:lang w:val="es-ES_tradnl"/>
      </w:rPr>
      <w:t>1</w:t>
    </w:r>
    <w:r w:rsidR="000725A1" w:rsidRPr="006262B8">
      <w:rPr>
        <w:sz w:val="22"/>
        <w:szCs w:val="22"/>
        <w:lang w:val="es-ES_tradnl"/>
      </w:rPr>
      <w:t>8</w:t>
    </w:r>
    <w:r w:rsidRPr="006262B8">
      <w:rPr>
        <w:sz w:val="22"/>
        <w:szCs w:val="22"/>
        <w:lang w:val="es-ES_tradnl"/>
      </w:rPr>
      <w:t>/</w:t>
    </w:r>
    <w:r w:rsidR="006262B8">
      <w:rPr>
        <w:sz w:val="22"/>
        <w:szCs w:val="22"/>
        <w:lang w:val="es-ES_tradnl"/>
      </w:rPr>
      <w:t>13</w:t>
    </w:r>
    <w:r w:rsidRPr="006262B8">
      <w:rPr>
        <w:sz w:val="22"/>
        <w:szCs w:val="22"/>
        <w:lang w:val="es-ES_tradnl"/>
      </w:rPr>
      <w:t>-S</w:t>
    </w:r>
    <w:r w:rsidRPr="006262B8">
      <w:rPr>
        <w:sz w:val="22"/>
        <w:szCs w:val="22"/>
        <w:lang w:val="es-ES_tradnl"/>
      </w:rPr>
      <w:tab/>
    </w:r>
    <w:r w:rsidRPr="00877904">
      <w:rPr>
        <w:rStyle w:val="PageNumber"/>
        <w:sz w:val="22"/>
        <w:szCs w:val="22"/>
        <w:lang w:val="es-ES_tradnl"/>
      </w:rPr>
      <w:t>Página</w:t>
    </w:r>
    <w:r w:rsidRPr="006262B8">
      <w:rPr>
        <w:sz w:val="22"/>
        <w:szCs w:val="22"/>
        <w:lang w:val="es-ES_tradnl"/>
      </w:rPr>
      <w:t xml:space="preserve"> </w:t>
    </w:r>
    <w:r w:rsidRPr="00972BCD">
      <w:rPr>
        <w:sz w:val="22"/>
        <w:szCs w:val="22"/>
      </w:rPr>
      <w:fldChar w:fldCharType="begin"/>
    </w:r>
    <w:r w:rsidRPr="006262B8">
      <w:rPr>
        <w:sz w:val="22"/>
        <w:szCs w:val="22"/>
        <w:lang w:val="es-ES_tradnl"/>
      </w:rPr>
      <w:instrText xml:space="preserve"> PAGE </w:instrText>
    </w:r>
    <w:r w:rsidRPr="00972BCD">
      <w:rPr>
        <w:sz w:val="22"/>
        <w:szCs w:val="22"/>
      </w:rPr>
      <w:fldChar w:fldCharType="separate"/>
    </w:r>
    <w:r w:rsidR="00037130">
      <w:rPr>
        <w:noProof/>
        <w:sz w:val="22"/>
        <w:szCs w:val="22"/>
        <w:lang w:val="es-ES_tradnl"/>
      </w:rPr>
      <w:t>6</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4D" w:rsidRPr="003A1B4D" w:rsidRDefault="003A1B4D" w:rsidP="003A1B4D">
    <w:pPr>
      <w:tabs>
        <w:tab w:val="clear" w:pos="794"/>
        <w:tab w:val="clear" w:pos="1191"/>
        <w:tab w:val="clear" w:pos="1588"/>
        <w:tab w:val="clear" w:pos="1985"/>
        <w:tab w:val="center" w:pos="6946"/>
        <w:tab w:val="right" w:pos="14003"/>
      </w:tabs>
      <w:ind w:right="1"/>
      <w:rPr>
        <w:smallCaps/>
        <w:spacing w:val="24"/>
        <w:sz w:val="22"/>
        <w:szCs w:val="22"/>
        <w:lang w:val="es-ES_tradnl"/>
      </w:rPr>
    </w:pPr>
    <w:r w:rsidRPr="00972BCD">
      <w:rPr>
        <w:sz w:val="22"/>
        <w:szCs w:val="22"/>
      </w:rPr>
      <w:tab/>
    </w:r>
    <w:r w:rsidRPr="006262B8">
      <w:rPr>
        <w:sz w:val="22"/>
        <w:szCs w:val="22"/>
        <w:lang w:val="es-ES_tradnl"/>
      </w:rPr>
      <w:t>ITU-D/TDAG18-23/</w:t>
    </w:r>
    <w:r>
      <w:rPr>
        <w:sz w:val="22"/>
        <w:szCs w:val="22"/>
        <w:lang w:val="es-ES_tradnl"/>
      </w:rPr>
      <w:t>13</w:t>
    </w:r>
    <w:r w:rsidRPr="006262B8">
      <w:rPr>
        <w:sz w:val="22"/>
        <w:szCs w:val="22"/>
        <w:lang w:val="es-ES_tradnl"/>
      </w:rPr>
      <w:t>-S</w:t>
    </w:r>
    <w:r w:rsidRPr="006262B8">
      <w:rPr>
        <w:sz w:val="22"/>
        <w:szCs w:val="22"/>
        <w:lang w:val="es-ES_tradnl"/>
      </w:rPr>
      <w:tab/>
    </w:r>
    <w:r w:rsidRPr="00877904">
      <w:rPr>
        <w:rStyle w:val="PageNumber"/>
        <w:sz w:val="22"/>
        <w:szCs w:val="22"/>
        <w:lang w:val="es-ES_tradnl"/>
      </w:rPr>
      <w:t>Página</w:t>
    </w:r>
    <w:r w:rsidRPr="006262B8">
      <w:rPr>
        <w:sz w:val="22"/>
        <w:szCs w:val="22"/>
        <w:lang w:val="es-ES_tradnl"/>
      </w:rPr>
      <w:t xml:space="preserve"> </w:t>
    </w:r>
    <w:r w:rsidRPr="00972BCD">
      <w:rPr>
        <w:sz w:val="22"/>
        <w:szCs w:val="22"/>
      </w:rPr>
      <w:fldChar w:fldCharType="begin"/>
    </w:r>
    <w:r w:rsidRPr="006262B8">
      <w:rPr>
        <w:sz w:val="22"/>
        <w:szCs w:val="22"/>
        <w:lang w:val="es-ES_tradnl"/>
      </w:rPr>
      <w:instrText xml:space="preserve"> PAGE </w:instrText>
    </w:r>
    <w:r w:rsidRPr="00972BCD">
      <w:rPr>
        <w:sz w:val="22"/>
        <w:szCs w:val="22"/>
      </w:rPr>
      <w:fldChar w:fldCharType="separate"/>
    </w:r>
    <w:r w:rsidR="00F62B37">
      <w:rPr>
        <w:noProof/>
        <w:sz w:val="22"/>
        <w:szCs w:val="22"/>
        <w:lang w:val="es-ES_tradnl"/>
      </w:rPr>
      <w:t>8</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D2" w:rsidRPr="006262B8" w:rsidRDefault="00A47CD2" w:rsidP="00037130">
    <w:pPr>
      <w:tabs>
        <w:tab w:val="clear" w:pos="794"/>
        <w:tab w:val="clear" w:pos="1191"/>
        <w:tab w:val="clear" w:pos="1588"/>
        <w:tab w:val="clear" w:pos="1985"/>
        <w:tab w:val="center" w:pos="6946"/>
        <w:tab w:val="right" w:pos="14003"/>
      </w:tabs>
      <w:ind w:right="1"/>
      <w:rPr>
        <w:smallCaps/>
        <w:spacing w:val="24"/>
        <w:sz w:val="22"/>
        <w:szCs w:val="22"/>
        <w:lang w:val="es-ES_tradnl"/>
      </w:rPr>
    </w:pPr>
    <w:r w:rsidRPr="00972BCD">
      <w:rPr>
        <w:sz w:val="22"/>
        <w:szCs w:val="22"/>
      </w:rPr>
      <w:tab/>
    </w:r>
    <w:r w:rsidRPr="006262B8">
      <w:rPr>
        <w:sz w:val="22"/>
        <w:szCs w:val="22"/>
        <w:lang w:val="es-ES_tradnl"/>
      </w:rPr>
      <w:t>TDAG</w:t>
    </w:r>
    <w:r w:rsidR="00037130">
      <w:rPr>
        <w:sz w:val="22"/>
        <w:szCs w:val="22"/>
        <w:lang w:val="es-ES_tradnl"/>
      </w:rPr>
      <w:t>-</w:t>
    </w:r>
    <w:r w:rsidRPr="006262B8">
      <w:rPr>
        <w:sz w:val="22"/>
        <w:szCs w:val="22"/>
        <w:lang w:val="es-ES_tradnl"/>
      </w:rPr>
      <w:t>1</w:t>
    </w:r>
    <w:r w:rsidR="00037130">
      <w:rPr>
        <w:sz w:val="22"/>
        <w:szCs w:val="22"/>
        <w:lang w:val="es-ES_tradnl"/>
      </w:rPr>
      <w:t>8</w:t>
    </w:r>
    <w:r w:rsidRPr="006262B8">
      <w:rPr>
        <w:sz w:val="22"/>
        <w:szCs w:val="22"/>
        <w:lang w:val="es-ES_tradnl"/>
      </w:rPr>
      <w:t>/</w:t>
    </w:r>
    <w:r>
      <w:rPr>
        <w:sz w:val="22"/>
        <w:szCs w:val="22"/>
        <w:lang w:val="es-ES_tradnl"/>
      </w:rPr>
      <w:t>13</w:t>
    </w:r>
    <w:r w:rsidRPr="006262B8">
      <w:rPr>
        <w:sz w:val="22"/>
        <w:szCs w:val="22"/>
        <w:lang w:val="es-ES_tradnl"/>
      </w:rPr>
      <w:t>-S</w:t>
    </w:r>
    <w:r w:rsidRPr="006262B8">
      <w:rPr>
        <w:sz w:val="22"/>
        <w:szCs w:val="22"/>
        <w:lang w:val="es-ES_tradnl"/>
      </w:rPr>
      <w:tab/>
    </w:r>
    <w:r w:rsidRPr="00877904">
      <w:rPr>
        <w:rStyle w:val="PageNumber"/>
        <w:sz w:val="22"/>
        <w:szCs w:val="22"/>
        <w:lang w:val="es-ES_tradnl"/>
      </w:rPr>
      <w:t>Página</w:t>
    </w:r>
    <w:r w:rsidRPr="006262B8">
      <w:rPr>
        <w:sz w:val="22"/>
        <w:szCs w:val="22"/>
        <w:lang w:val="es-ES_tradnl"/>
      </w:rPr>
      <w:t xml:space="preserve"> </w:t>
    </w:r>
    <w:r w:rsidRPr="00972BCD">
      <w:rPr>
        <w:sz w:val="22"/>
        <w:szCs w:val="22"/>
      </w:rPr>
      <w:fldChar w:fldCharType="begin"/>
    </w:r>
    <w:r w:rsidRPr="006262B8">
      <w:rPr>
        <w:sz w:val="22"/>
        <w:szCs w:val="22"/>
        <w:lang w:val="es-ES_tradnl"/>
      </w:rPr>
      <w:instrText xml:space="preserve"> PAGE </w:instrText>
    </w:r>
    <w:r w:rsidRPr="00972BCD">
      <w:rPr>
        <w:sz w:val="22"/>
        <w:szCs w:val="22"/>
      </w:rPr>
      <w:fldChar w:fldCharType="separate"/>
    </w:r>
    <w:r w:rsidR="00037130">
      <w:rPr>
        <w:noProof/>
        <w:sz w:val="22"/>
        <w:szCs w:val="22"/>
        <w:lang w:val="es-ES_tradnl"/>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B8"/>
    <w:rsid w:val="000135AE"/>
    <w:rsid w:val="00033D49"/>
    <w:rsid w:val="00037130"/>
    <w:rsid w:val="00070001"/>
    <w:rsid w:val="000725A1"/>
    <w:rsid w:val="00075E6B"/>
    <w:rsid w:val="000C0AA7"/>
    <w:rsid w:val="000E7A0A"/>
    <w:rsid w:val="00194CB2"/>
    <w:rsid w:val="00213302"/>
    <w:rsid w:val="00221C14"/>
    <w:rsid w:val="00241CB9"/>
    <w:rsid w:val="002A7FAB"/>
    <w:rsid w:val="002D4BE6"/>
    <w:rsid w:val="002D6772"/>
    <w:rsid w:val="00301FD1"/>
    <w:rsid w:val="00302736"/>
    <w:rsid w:val="0033649F"/>
    <w:rsid w:val="0034199B"/>
    <w:rsid w:val="003442DF"/>
    <w:rsid w:val="00360762"/>
    <w:rsid w:val="00370C4D"/>
    <w:rsid w:val="00390391"/>
    <w:rsid w:val="003A1B4D"/>
    <w:rsid w:val="003D1D71"/>
    <w:rsid w:val="003D4CFB"/>
    <w:rsid w:val="003E0EA4"/>
    <w:rsid w:val="003F42A5"/>
    <w:rsid w:val="00414213"/>
    <w:rsid w:val="00444C1C"/>
    <w:rsid w:val="00482632"/>
    <w:rsid w:val="004B7893"/>
    <w:rsid w:val="004C7E12"/>
    <w:rsid w:val="00513F26"/>
    <w:rsid w:val="005321CD"/>
    <w:rsid w:val="00535C50"/>
    <w:rsid w:val="005557A3"/>
    <w:rsid w:val="005637B9"/>
    <w:rsid w:val="005643DC"/>
    <w:rsid w:val="006151D0"/>
    <w:rsid w:val="006262B8"/>
    <w:rsid w:val="006339E7"/>
    <w:rsid w:val="00635A62"/>
    <w:rsid w:val="006614C7"/>
    <w:rsid w:val="0068336F"/>
    <w:rsid w:val="006E4AB3"/>
    <w:rsid w:val="006F39EB"/>
    <w:rsid w:val="00764B93"/>
    <w:rsid w:val="0079648D"/>
    <w:rsid w:val="007C3061"/>
    <w:rsid w:val="007E0908"/>
    <w:rsid w:val="007E471D"/>
    <w:rsid w:val="00835A77"/>
    <w:rsid w:val="00850B84"/>
    <w:rsid w:val="0088106F"/>
    <w:rsid w:val="008821D2"/>
    <w:rsid w:val="008C1852"/>
    <w:rsid w:val="008D789A"/>
    <w:rsid w:val="00917B12"/>
    <w:rsid w:val="00925D30"/>
    <w:rsid w:val="00933B93"/>
    <w:rsid w:val="009752D2"/>
    <w:rsid w:val="009768F5"/>
    <w:rsid w:val="009952F6"/>
    <w:rsid w:val="009A6FC4"/>
    <w:rsid w:val="009D1BD4"/>
    <w:rsid w:val="00A33516"/>
    <w:rsid w:val="00A47CD2"/>
    <w:rsid w:val="00A54DDB"/>
    <w:rsid w:val="00A87DD9"/>
    <w:rsid w:val="00AE1BA7"/>
    <w:rsid w:val="00AF563E"/>
    <w:rsid w:val="00B22DC2"/>
    <w:rsid w:val="00BC7208"/>
    <w:rsid w:val="00C0473F"/>
    <w:rsid w:val="00D16175"/>
    <w:rsid w:val="00D372A5"/>
    <w:rsid w:val="00DE01C1"/>
    <w:rsid w:val="00E17138"/>
    <w:rsid w:val="00E204A0"/>
    <w:rsid w:val="00E3519F"/>
    <w:rsid w:val="00E51C72"/>
    <w:rsid w:val="00E644CA"/>
    <w:rsid w:val="00E827C2"/>
    <w:rsid w:val="00EB6D19"/>
    <w:rsid w:val="00ED2681"/>
    <w:rsid w:val="00EE6798"/>
    <w:rsid w:val="00F01E28"/>
    <w:rsid w:val="00F12690"/>
    <w:rsid w:val="00F24ACF"/>
    <w:rsid w:val="00F603A7"/>
    <w:rsid w:val="00F62B37"/>
    <w:rsid w:val="00FA67A2"/>
    <w:rsid w:val="00FD3A29"/>
    <w:rsid w:val="00FF2A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0482B83-6350-456A-9018-8A077D93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nnex">
    <w:name w:val="Annex_"/>
    <w:basedOn w:val="enumlev1"/>
    <w:rsid w:val="00A47CD2"/>
    <w:rPr>
      <w:b/>
      <w:lang w:val="es-ES"/>
    </w:rPr>
  </w:style>
  <w:style w:type="character" w:styleId="FollowedHyperlink">
    <w:name w:val="FollowedHyperlink"/>
    <w:basedOn w:val="DefaultParagraphFont"/>
    <w:uiPriority w:val="99"/>
    <w:semiHidden/>
    <w:unhideWhenUsed/>
    <w:rsid w:val="003442DF"/>
    <w:rPr>
      <w:color w:val="800080" w:themeColor="followedHyperlink"/>
      <w:u w:val="single"/>
    </w:rPr>
  </w:style>
  <w:style w:type="paragraph" w:customStyle="1" w:styleId="Tabletext10pt">
    <w:name w:val="Table_text + 10 pt"/>
    <w:basedOn w:val="Tabletext"/>
    <w:rsid w:val="00764B93"/>
    <w:rPr>
      <w:sz w:val="20"/>
      <w:lang w:val="fr-CH"/>
    </w:rPr>
  </w:style>
  <w:style w:type="character" w:styleId="CommentReference">
    <w:name w:val="annotation reference"/>
    <w:basedOn w:val="DefaultParagraphFont"/>
    <w:semiHidden/>
    <w:unhideWhenUsed/>
    <w:rsid w:val="003A1B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Study-Groups/2018-2021/Pages/Candidates.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4ACC-A322-4289-9CB6-887FAE39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329</TotalTime>
  <Pages>7</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 - nd</cp:lastModifiedBy>
  <cp:revision>26</cp:revision>
  <cp:lastPrinted>2018-02-09T14:18:00Z</cp:lastPrinted>
  <dcterms:created xsi:type="dcterms:W3CDTF">2018-02-07T13:28:00Z</dcterms:created>
  <dcterms:modified xsi:type="dcterms:W3CDTF">2018-02-09T15:08:00Z</dcterms:modified>
</cp:coreProperties>
</file>